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rPr>
          <w:sz w:val="32"/>
          <w:szCs w:val="32"/>
        </w:rPr>
      </w:pPr>
      <w:bookmarkStart w:id="0" w:name="_Toc20814"/>
      <w:r>
        <w:rPr>
          <w:rFonts w:hint="eastAsia"/>
          <w:sz w:val="32"/>
          <w:szCs w:val="32"/>
        </w:rPr>
        <w:t>第三章  货物采购需求</w:t>
      </w:r>
      <w:bookmarkEnd w:id="0"/>
    </w:p>
    <w:p>
      <w:pPr>
        <w:adjustRightInd w:val="0"/>
        <w:spacing w:line="400" w:lineRule="exact"/>
        <w:rPr>
          <w:rFonts w:ascii="宋体" w:hAnsi="宋体" w:cs="宋体"/>
          <w:b/>
          <w:szCs w:val="21"/>
        </w:rPr>
      </w:pPr>
      <w:r>
        <w:rPr>
          <w:rFonts w:hint="eastAsia" w:ascii="宋体" w:hAnsi="宋体" w:cs="宋体"/>
          <w:b/>
          <w:szCs w:val="21"/>
        </w:rPr>
        <w:t>说明：</w:t>
      </w:r>
    </w:p>
    <w:p>
      <w:pPr>
        <w:adjustRightInd w:val="0"/>
        <w:spacing w:line="400" w:lineRule="exact"/>
        <w:ind w:firstLine="431"/>
        <w:rPr>
          <w:rFonts w:ascii="宋体" w:hAnsi="宋体" w:cs="宋体"/>
          <w:b/>
          <w:szCs w:val="21"/>
        </w:rPr>
      </w:pPr>
      <w:r>
        <w:rPr>
          <w:rFonts w:hint="eastAsia" w:ascii="宋体" w:hAnsi="宋体" w:cs="宋体"/>
          <w:b/>
          <w:szCs w:val="21"/>
        </w:rPr>
        <w:t>1、根据《关于调整优化节能产品、环境标志产品政府采购执行机制的通知》（财库〔2019〕9号）的规定，政府采购节能产品、环境标志产品实施品目清单管理，依据品目清单和认证证书实施政府优先采购。采购人拟采购的产品属于品目清单范围的，采购人及其委托的采购代理机构应当依据国家确定的认证机构出具的、处于有效期之内的节能产品、环境标志产品认证证书，对获得证书的产品实施政府优先采购。投标人投标时须提供投标产品的相关证明材料。</w:t>
      </w:r>
    </w:p>
    <w:p>
      <w:pPr>
        <w:adjustRightInd w:val="0"/>
        <w:spacing w:line="400" w:lineRule="exact"/>
        <w:ind w:firstLine="431"/>
        <w:rPr>
          <w:rFonts w:ascii="宋体" w:hAnsi="宋体" w:cs="宋体"/>
          <w:b/>
          <w:szCs w:val="21"/>
        </w:rPr>
      </w:pPr>
      <w:r>
        <w:rPr>
          <w:rFonts w:hint="eastAsia" w:ascii="宋体" w:hAnsi="宋体" w:cs="宋体"/>
          <w:b/>
          <w:szCs w:val="21"/>
        </w:rPr>
        <w:t>《节能产品政府采购品目清单》中：</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计算机设备（台式计算机、便携式计算机、平板式微型计算机）；</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输入输出设备【打印设备（激光打印机、针式打印机）、显示设备（液晶显示器）】；</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制冷空调设备【制冷压缩机（冷水机组、水源热泵机组、溴化锂吸收式冷水机组）、空调机组（多联式空调（热泵）机组（制冷量＞14000W）、单元式空气调节机（制冷量＞14000W））、专用制冷、空调设备（机房空调）】；</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镇流器（管型荧光灯镇流器）；</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生活用电器｛空调机【房间空气调节器、多联式空调（热泵）机组（制冷量≤14000W）、单元式空气调节机（制冷量≤14000W）】、热水器（电热水器）｝；</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照明设备（普通照明用双端荧光灯）；</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电视设备【普通电视设备（电视机）】；</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视频设备【视频监控设备（监视器）】；</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便器（坐便器、蹲便器、小便器）；</w:t>
      </w:r>
    </w:p>
    <w:p>
      <w:pPr>
        <w:numPr>
          <w:ilvl w:val="0"/>
          <w:numId w:val="1"/>
        </w:numPr>
        <w:adjustRightInd w:val="0"/>
        <w:spacing w:line="400" w:lineRule="exact"/>
        <w:ind w:left="845"/>
        <w:rPr>
          <w:rFonts w:ascii="宋体" w:hAnsi="宋体" w:cs="宋体"/>
          <w:b/>
          <w:szCs w:val="21"/>
        </w:rPr>
      </w:pPr>
      <w:r>
        <w:rPr>
          <w:rFonts w:hint="eastAsia" w:ascii="宋体" w:hAnsi="宋体" w:cs="宋体"/>
          <w:b/>
          <w:szCs w:val="21"/>
        </w:rPr>
        <w:t>水嘴。</w:t>
      </w:r>
    </w:p>
    <w:p>
      <w:pPr>
        <w:adjustRightInd w:val="0"/>
        <w:spacing w:line="400" w:lineRule="exact"/>
        <w:ind w:firstLine="431"/>
        <w:rPr>
          <w:rFonts w:ascii="宋体" w:hAnsi="宋体" w:cs="宋体"/>
          <w:szCs w:val="21"/>
        </w:rPr>
      </w:pPr>
      <w:r>
        <w:rPr>
          <w:rFonts w:hint="eastAsia" w:ascii="宋体" w:hAnsi="宋体" w:cs="宋体"/>
          <w:b/>
          <w:szCs w:val="21"/>
        </w:rPr>
        <w:t>以上所罗列的设备为《节能产品政府采购品目清单》中政府强制采购节能产品，采购人拟采购的产品属于政府强制采购产品的，投标人投标时必须针对该产品出具依据国家确定的认证机构出具的、处于有效期之内的节能产品认证证书复印件，并加盖投标人公章，否则投标无效。</w:t>
      </w:r>
    </w:p>
    <w:p>
      <w:pPr>
        <w:adjustRightInd w:val="0"/>
        <w:spacing w:line="400" w:lineRule="exact"/>
        <w:ind w:firstLine="431"/>
        <w:rPr>
          <w:rFonts w:ascii="宋体" w:hAnsi="宋体" w:cs="宋体"/>
          <w:b/>
          <w:szCs w:val="21"/>
        </w:rPr>
      </w:pPr>
      <w:r>
        <w:rPr>
          <w:rFonts w:hint="eastAsia" w:ascii="宋体" w:hAnsi="宋体" w:cs="宋体"/>
          <w:b/>
          <w:szCs w:val="21"/>
        </w:rPr>
        <w:t>2、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adjustRightInd w:val="0"/>
        <w:spacing w:line="400" w:lineRule="exact"/>
        <w:ind w:firstLine="431"/>
        <w:rPr>
          <w:rFonts w:ascii="宋体" w:hAnsi="宋体" w:cs="宋体"/>
          <w:b/>
          <w:szCs w:val="21"/>
        </w:rPr>
      </w:pPr>
      <w:r>
        <w:rPr>
          <w:rFonts w:hint="eastAsia" w:ascii="宋体" w:hAnsi="宋体" w:cs="宋体"/>
          <w:b/>
          <w:szCs w:val="21"/>
        </w:rPr>
        <w:t>3、根据《关于信息安全产品实施政府采购的通知》（财库〔2010〕48号）的规定，如采购需求中有涉及信息安全产品的设备，必须提供由中国信息安全认证中心按国家标准认证颁发的有效认证证书复印件。</w:t>
      </w:r>
    </w:p>
    <w:p>
      <w:pPr>
        <w:adjustRightInd w:val="0"/>
        <w:spacing w:line="400" w:lineRule="exact"/>
        <w:ind w:firstLine="431"/>
        <w:rPr>
          <w:rFonts w:ascii="宋体" w:hAnsi="宋体" w:cs="宋体"/>
          <w:b/>
          <w:color w:val="000000"/>
          <w:szCs w:val="21"/>
        </w:rPr>
      </w:pPr>
      <w:r>
        <w:rPr>
          <w:rFonts w:hint="eastAsia" w:ascii="宋体" w:hAnsi="宋体" w:cs="宋体"/>
          <w:b/>
          <w:szCs w:val="21"/>
        </w:rPr>
        <w:t>4、投标人应注意</w:t>
      </w:r>
      <w:r>
        <w:rPr>
          <w:rFonts w:hint="eastAsia" w:ascii="宋体" w:hAnsi="宋体" w:cs="宋体"/>
          <w:b/>
          <w:color w:val="000000"/>
          <w:szCs w:val="21"/>
        </w:rPr>
        <w:t>下列内容：</w:t>
      </w:r>
    </w:p>
    <w:p>
      <w:pPr>
        <w:adjustRightInd w:val="0"/>
        <w:spacing w:line="400" w:lineRule="exact"/>
        <w:ind w:firstLine="431"/>
        <w:rPr>
          <w:rFonts w:ascii="宋体" w:hAnsi="宋体" w:cs="宋体"/>
          <w:b/>
          <w:color w:val="000000"/>
          <w:szCs w:val="21"/>
        </w:rPr>
      </w:pPr>
      <w:r>
        <w:rPr>
          <w:rFonts w:hint="eastAsia" w:ascii="宋体" w:hAnsi="宋体" w:cs="宋体"/>
          <w:b/>
          <w:color w:val="000000"/>
          <w:szCs w:val="21"/>
        </w:rPr>
        <w:t>1）本需求一览表中标注★号的内容为实质性要求和条件，投标人须满足或响应，若无法完全满足，将会被认定为无效投标。</w:t>
      </w:r>
    </w:p>
    <w:p>
      <w:pPr>
        <w:adjustRightInd w:val="0"/>
        <w:spacing w:line="400" w:lineRule="exact"/>
        <w:ind w:firstLine="431"/>
        <w:rPr>
          <w:rFonts w:ascii="宋体" w:hAnsi="宋体" w:cs="宋体"/>
          <w:b/>
          <w:szCs w:val="21"/>
        </w:rPr>
      </w:pPr>
      <w:r>
        <w:rPr>
          <w:rFonts w:hint="eastAsia" w:ascii="宋体" w:hAnsi="宋体" w:cs="宋体"/>
          <w:b/>
          <w:szCs w:val="21"/>
        </w:rPr>
        <w:t>2）投标人须在投标文件中填写/应答技术规格参数，当投标文件中技术参数与招标文件中技术参数有偏离时，须在“偏离”栏内如实注明是“正偏离”或“负偏离”，“正偏离”指投标设备的技术参数优于招标文件中要求，“负偏离”指投标设备的技术参数低于招标文件中要求。投标文件中的技术参数、功能或其它内容有“正偏离”的，投标人须对“正偏离”的情况单独作出说明。</w:t>
      </w:r>
    </w:p>
    <w:tbl>
      <w:tblPr>
        <w:tblStyle w:val="4"/>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4"/>
        <w:gridCol w:w="1291"/>
        <w:gridCol w:w="6899"/>
        <w:gridCol w:w="570"/>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3" w:hRule="exact"/>
          <w:tblHeader/>
          <w:jc w:val="center"/>
        </w:trPr>
        <w:tc>
          <w:tcPr>
            <w:tcW w:w="714" w:type="dxa"/>
            <w:shd w:val="clear" w:color="auto" w:fill="EEECE1"/>
            <w:vAlign w:val="center"/>
          </w:tcPr>
          <w:p>
            <w:pPr>
              <w:widowControl/>
              <w:jc w:val="center"/>
              <w:rPr>
                <w:rFonts w:ascii="宋体" w:hAnsi="宋体" w:cs="宋体"/>
                <w:b/>
                <w:bCs/>
                <w:color w:val="000000"/>
                <w:kern w:val="0"/>
                <w:szCs w:val="21"/>
              </w:rPr>
            </w:pPr>
            <w:r>
              <w:rPr>
                <w:rFonts w:hint="eastAsia" w:ascii="宋体" w:hAnsi="宋体" w:cs="宋体"/>
                <w:szCs w:val="21"/>
              </w:rPr>
              <w:br w:type="page"/>
            </w:r>
            <w:r>
              <w:rPr>
                <w:rFonts w:hint="eastAsia" w:ascii="宋体" w:hAnsi="宋体" w:cs="宋体"/>
                <w:b/>
                <w:bCs/>
                <w:color w:val="000000"/>
                <w:kern w:val="0"/>
                <w:szCs w:val="21"/>
              </w:rPr>
              <w:t>序号</w:t>
            </w:r>
          </w:p>
        </w:tc>
        <w:tc>
          <w:tcPr>
            <w:tcW w:w="1291" w:type="dxa"/>
            <w:shd w:val="clear" w:color="auto" w:fill="EEECE1"/>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货物名称</w:t>
            </w:r>
          </w:p>
        </w:tc>
        <w:tc>
          <w:tcPr>
            <w:tcW w:w="6899" w:type="dxa"/>
            <w:shd w:val="clear" w:color="auto" w:fill="EEECE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采购需求（技术参数、性能、配置等要求）</w:t>
            </w:r>
          </w:p>
        </w:tc>
        <w:tc>
          <w:tcPr>
            <w:tcW w:w="570" w:type="dxa"/>
            <w:shd w:val="clear" w:color="auto" w:fill="EEECE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713" w:type="dxa"/>
            <w:shd w:val="clear" w:color="auto" w:fill="EEECE1"/>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714" w:type="dxa"/>
            <w:vAlign w:val="center"/>
          </w:tcPr>
          <w:p>
            <w:pPr>
              <w:widowControl/>
              <w:tabs>
                <w:tab w:val="left" w:pos="0"/>
              </w:tabs>
              <w:jc w:val="center"/>
              <w:rPr>
                <w:rFonts w:ascii="宋体" w:hAnsi="宋体" w:cs="宋体"/>
                <w:color w:val="000000"/>
                <w:kern w:val="0"/>
                <w:szCs w:val="21"/>
              </w:rPr>
            </w:pPr>
            <w:r>
              <w:rPr>
                <w:rFonts w:hint="eastAsia" w:ascii="宋体" w:hAnsi="宋体" w:cs="宋体"/>
                <w:color w:val="000000"/>
                <w:kern w:val="0"/>
                <w:szCs w:val="21"/>
              </w:rPr>
              <w:t>1</w:t>
            </w:r>
          </w:p>
        </w:tc>
        <w:tc>
          <w:tcPr>
            <w:tcW w:w="1291" w:type="dxa"/>
            <w:vAlign w:val="center"/>
          </w:tcPr>
          <w:p>
            <w:pPr>
              <w:keepNext w:val="0"/>
              <w:keepLines w:val="0"/>
              <w:widowControl/>
              <w:suppressLineNumbers w:val="0"/>
              <w:jc w:val="center"/>
              <w:rPr>
                <w:rFonts w:hint="default" w:ascii="宋体" w:hAnsi="宋体" w:eastAsia="宋体" w:cs="宋体"/>
                <w:b/>
                <w:bCs/>
                <w:kern w:val="0"/>
                <w:sz w:val="24"/>
                <w:szCs w:val="24"/>
                <w:highlight w:val="yellow"/>
                <w:lang w:val="en-US" w:eastAsia="zh-CN" w:bidi="ar"/>
              </w:rPr>
            </w:pPr>
            <w:r>
              <w:rPr>
                <w:rFonts w:hint="eastAsia" w:ascii="宋体" w:hAnsi="宋体" w:cs="宋体"/>
                <w:bCs/>
                <w:sz w:val="30"/>
                <w:szCs w:val="30"/>
                <w:lang w:eastAsia="zh-CN"/>
              </w:rPr>
              <w:t>联想启天</w:t>
            </w:r>
            <w:r>
              <w:rPr>
                <w:rFonts w:hint="eastAsia" w:ascii="宋体" w:hAnsi="宋体" w:cs="宋体"/>
                <w:bCs/>
                <w:sz w:val="30"/>
                <w:szCs w:val="30"/>
                <w:lang w:val="en-US" w:eastAsia="zh-CN"/>
              </w:rPr>
              <w:t>M445-B001</w:t>
            </w:r>
          </w:p>
          <w:p>
            <w:pPr>
              <w:jc w:val="left"/>
              <w:rPr>
                <w:rFonts w:hint="default" w:eastAsiaTheme="minorEastAsia"/>
                <w:sz w:val="28"/>
                <w:szCs w:val="28"/>
                <w:highlight w:val="yellow"/>
                <w:lang w:val="en-US" w:eastAsia="zh-CN"/>
              </w:rPr>
            </w:pPr>
          </w:p>
          <w:p>
            <w:pPr>
              <w:jc w:val="center"/>
              <w:rPr>
                <w:rFonts w:hint="eastAsia"/>
                <w:sz w:val="30"/>
                <w:szCs w:val="30"/>
                <w:highlight w:val="yellow"/>
              </w:rPr>
            </w:pPr>
          </w:p>
          <w:p>
            <w:pPr>
              <w:spacing w:line="500" w:lineRule="exact"/>
              <w:jc w:val="center"/>
              <w:rPr>
                <w:rFonts w:hint="eastAsia" w:ascii="宋体" w:hAnsi="宋体" w:eastAsia="宋体" w:cs="宋体"/>
                <w:color w:val="000000"/>
                <w:szCs w:val="21"/>
                <w:lang w:eastAsia="zh-CN"/>
              </w:rPr>
            </w:pPr>
          </w:p>
        </w:tc>
        <w:tc>
          <w:tcPr>
            <w:tcW w:w="6899" w:type="dxa"/>
            <w:vAlign w:val="center"/>
          </w:tcPr>
          <w:p>
            <w:pP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一、硬件配置：</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CPU：≥Intel</w:t>
            </w:r>
            <w:r>
              <w:rPr>
                <w:rFonts w:hint="eastAsia" w:asciiTheme="minorEastAsia" w:hAnsiTheme="minorEastAsia"/>
                <w:sz w:val="21"/>
                <w:szCs w:val="21"/>
                <w:lang w:val="en-US" w:eastAsia="zh-CN"/>
              </w:rPr>
              <w:t>第十一代</w:t>
            </w:r>
            <w:r>
              <w:rPr>
                <w:rFonts w:asciiTheme="minorEastAsia" w:hAnsiTheme="minorEastAsia" w:eastAsiaTheme="minorEastAsia"/>
                <w:sz w:val="21"/>
                <w:szCs w:val="21"/>
              </w:rPr>
              <w:t>酷睿i</w:t>
            </w:r>
            <w:r>
              <w:rPr>
                <w:rFonts w:hint="eastAsia" w:asciiTheme="minorEastAsia" w:hAnsiTheme="minorEastAsia"/>
                <w:sz w:val="21"/>
                <w:szCs w:val="21"/>
                <w:lang w:val="en-US" w:eastAsia="zh-CN"/>
              </w:rPr>
              <w:t>3</w:t>
            </w:r>
            <w:r>
              <w:rPr>
                <w:rFonts w:asciiTheme="minorEastAsia" w:hAnsiTheme="minorEastAsia" w:eastAsiaTheme="minorEastAsia"/>
                <w:sz w:val="21"/>
                <w:szCs w:val="21"/>
              </w:rPr>
              <w:t>-1</w:t>
            </w:r>
            <w:r>
              <w:rPr>
                <w:rFonts w:hint="eastAsia" w:asciiTheme="minorEastAsia" w:hAnsiTheme="minorEastAsia"/>
                <w:sz w:val="21"/>
                <w:szCs w:val="21"/>
                <w:lang w:val="en-US" w:eastAsia="zh-CN"/>
              </w:rPr>
              <w:t>0105</w:t>
            </w:r>
            <w:r>
              <w:rPr>
                <w:rFonts w:asciiTheme="minorEastAsia" w:hAnsiTheme="minorEastAsia" w:eastAsiaTheme="minorEastAsia"/>
                <w:sz w:val="21"/>
                <w:szCs w:val="21"/>
              </w:rPr>
              <w:t>（</w:t>
            </w:r>
            <w:r>
              <w:rPr>
                <w:rFonts w:hint="eastAsia" w:asciiTheme="minorEastAsia" w:hAnsiTheme="minorEastAsia"/>
                <w:sz w:val="21"/>
                <w:szCs w:val="21"/>
                <w:lang w:val="en-US" w:eastAsia="zh-CN"/>
              </w:rPr>
              <w:t>四</w:t>
            </w:r>
            <w:r>
              <w:rPr>
                <w:rFonts w:asciiTheme="minorEastAsia" w:hAnsiTheme="minorEastAsia" w:eastAsiaTheme="minorEastAsia"/>
                <w:sz w:val="21"/>
                <w:szCs w:val="21"/>
              </w:rPr>
              <w:t>核</w:t>
            </w:r>
            <w:r>
              <w:rPr>
                <w:rFonts w:hint="eastAsia" w:asciiTheme="minorEastAsia" w:hAnsiTheme="minorEastAsia"/>
                <w:sz w:val="21"/>
                <w:szCs w:val="21"/>
                <w:lang w:val="en-US" w:eastAsia="zh-CN"/>
              </w:rPr>
              <w:t>3.7</w:t>
            </w:r>
            <w:r>
              <w:rPr>
                <w:rFonts w:asciiTheme="minorEastAsia" w:hAnsiTheme="minorEastAsia" w:eastAsiaTheme="minorEastAsia"/>
                <w:sz w:val="21"/>
                <w:szCs w:val="21"/>
              </w:rPr>
              <w:t>GHz）同档次或以上。</w:t>
            </w:r>
          </w:p>
          <w:p>
            <w:pP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主板：Intel B</w:t>
            </w:r>
            <w:r>
              <w:rPr>
                <w:rFonts w:hint="eastAsia" w:asciiTheme="minorEastAsia" w:hAnsiTheme="minorEastAsia"/>
                <w:sz w:val="21"/>
                <w:szCs w:val="21"/>
                <w:lang w:val="en-US" w:eastAsia="zh-CN"/>
              </w:rPr>
              <w:t>5</w:t>
            </w:r>
            <w:r>
              <w:rPr>
                <w:rFonts w:asciiTheme="minorEastAsia" w:hAnsiTheme="minorEastAsia" w:eastAsiaTheme="minorEastAsia"/>
                <w:sz w:val="21"/>
                <w:szCs w:val="21"/>
              </w:rPr>
              <w:t>60系列主板或以上芯片组；主板具备USB屏蔽技术，可以设置仅识别USB键盘、鼠标，无法识别其他USB读取设备，有效防止病毒入侵及数据泄露。</w:t>
            </w:r>
          </w:p>
          <w:p>
            <w:pP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内存：配置≥</w:t>
            </w:r>
            <w:r>
              <w:rPr>
                <w:rFonts w:hint="eastAsia" w:asciiTheme="minorEastAsia" w:hAnsiTheme="minorEastAsia"/>
                <w:sz w:val="21"/>
                <w:szCs w:val="21"/>
                <w:lang w:val="en-US" w:eastAsia="zh-CN"/>
              </w:rPr>
              <w:t>8</w:t>
            </w:r>
            <w:r>
              <w:rPr>
                <w:rFonts w:asciiTheme="minorEastAsia" w:hAnsiTheme="minorEastAsia" w:eastAsiaTheme="minorEastAsia"/>
                <w:sz w:val="21"/>
                <w:szCs w:val="21"/>
              </w:rPr>
              <w:t>G DDR4  UDIMM内存；</w:t>
            </w:r>
          </w:p>
          <w:p>
            <w:pPr>
              <w:rPr>
                <w:rFonts w:asciiTheme="minorEastAsia" w:hAnsiTheme="minorEastAsia" w:eastAsiaTheme="minorEastAsia"/>
                <w:sz w:val="21"/>
                <w:szCs w:val="21"/>
              </w:rPr>
            </w:pPr>
            <w:r>
              <w:rPr>
                <w:rFonts w:asciiTheme="minorEastAsia" w:hAnsiTheme="minorEastAsia" w:eastAsiaTheme="minorEastAsia"/>
                <w:sz w:val="21"/>
                <w:szCs w:val="21"/>
              </w:rPr>
              <w:t>4、显卡：集成显卡；</w:t>
            </w:r>
          </w:p>
          <w:p>
            <w:pPr>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声卡：5.1声道声卡，具有前2后3共5个音频接口；</w:t>
            </w:r>
          </w:p>
          <w:p>
            <w:pPr>
              <w:rPr>
                <w:rFonts w:hint="eastAsia"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w:t>
            </w:r>
            <w:r>
              <w:rPr>
                <w:rFonts w:asciiTheme="minorEastAsia" w:hAnsiTheme="minorEastAsia" w:eastAsiaTheme="minorEastAsia"/>
                <w:sz w:val="21"/>
                <w:szCs w:val="21"/>
              </w:rPr>
              <w:t>硬盘： ≥</w:t>
            </w:r>
            <w:r>
              <w:rPr>
                <w:rFonts w:hint="eastAsia"/>
                <w:sz w:val="21"/>
                <w:szCs w:val="21"/>
                <w:lang w:val="en-US" w:eastAsia="zh-CN"/>
              </w:rPr>
              <w:t>1000G SATA机械硬盘+128</w:t>
            </w:r>
            <w:r>
              <w:rPr>
                <w:rFonts w:hint="eastAsia"/>
                <w:sz w:val="21"/>
                <w:szCs w:val="21"/>
              </w:rPr>
              <w:t>G</w:t>
            </w:r>
            <w:r>
              <w:rPr>
                <w:rFonts w:hint="eastAsia"/>
                <w:sz w:val="21"/>
                <w:szCs w:val="21"/>
                <w:lang w:val="en-US" w:eastAsia="zh-CN"/>
              </w:rPr>
              <w:t>SSD固态硬盘</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asciiTheme="minorEastAsia" w:hAnsiTheme="minorEastAsia" w:eastAsiaTheme="minorEastAsia"/>
                <w:sz w:val="21"/>
                <w:szCs w:val="21"/>
              </w:rPr>
              <w:t xml:space="preserve">7、网卡：集成10/100/1000M以太网卡. </w:t>
            </w:r>
          </w:p>
          <w:p>
            <w:pPr>
              <w:rPr>
                <w:rFonts w:asciiTheme="minorEastAsia" w:hAnsiTheme="minorEastAsia" w:eastAsiaTheme="minorEastAsia"/>
                <w:sz w:val="21"/>
                <w:szCs w:val="21"/>
              </w:rPr>
            </w:pP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r>
              <w:rPr>
                <w:rFonts w:asciiTheme="minorEastAsia" w:hAnsiTheme="minorEastAsia" w:eastAsiaTheme="minorEastAsia"/>
                <w:sz w:val="21"/>
                <w:szCs w:val="21"/>
              </w:rPr>
              <w:t>扩展槽：≥</w:t>
            </w:r>
            <w:r>
              <w:rPr>
                <w:rFonts w:hint="eastAsia" w:asciiTheme="minorEastAsia" w:hAnsiTheme="minorEastAsia" w:eastAsiaTheme="minorEastAsia"/>
                <w:sz w:val="21"/>
                <w:szCs w:val="21"/>
              </w:rPr>
              <w:t>2</w:t>
            </w:r>
            <w:r>
              <w:rPr>
                <w:rFonts w:asciiTheme="minorEastAsia" w:hAnsiTheme="minorEastAsia" w:eastAsiaTheme="minorEastAsia"/>
                <w:sz w:val="21"/>
                <w:szCs w:val="21"/>
              </w:rPr>
              <w:t>个</w:t>
            </w:r>
            <w:r>
              <w:rPr>
                <w:rFonts w:hint="eastAsia" w:asciiTheme="minorEastAsia" w:hAnsiTheme="minorEastAsia" w:eastAsiaTheme="minorEastAsia"/>
                <w:sz w:val="21"/>
                <w:szCs w:val="21"/>
              </w:rPr>
              <w:t>DDR4内存插槽，</w:t>
            </w: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asciiTheme="minorEastAsia" w:hAnsiTheme="minorEastAsia" w:eastAsiaTheme="minorEastAsia"/>
                <w:sz w:val="21"/>
                <w:szCs w:val="21"/>
              </w:rPr>
              <w:t>个</w:t>
            </w:r>
            <w:r>
              <w:rPr>
                <w:rFonts w:hint="eastAsia" w:asciiTheme="minorEastAsia" w:hAnsiTheme="minorEastAsia" w:eastAsiaTheme="minorEastAsia"/>
                <w:sz w:val="21"/>
                <w:szCs w:val="21"/>
              </w:rPr>
              <w:t>3.5英寸硬盘托架(无需增加其它配件，可直接安装3.5寸硬盘，并预留有数据线及硬盘电源线），</w:t>
            </w:r>
            <w:r>
              <w:rPr>
                <w:rFonts w:asciiTheme="minorEastAsia" w:hAnsiTheme="minorEastAsia" w:eastAsiaTheme="minorEastAsia"/>
                <w:sz w:val="21"/>
                <w:szCs w:val="21"/>
              </w:rPr>
              <w:t>≥1个PCI-E*16，≥1个PCI-E*1</w:t>
            </w:r>
          </w:p>
          <w:p>
            <w:pPr>
              <w:rPr>
                <w:rFonts w:asciiTheme="minorEastAsia" w:hAnsiTheme="minorEastAsia" w:eastAsiaTheme="minorEastAsia"/>
                <w:sz w:val="21"/>
                <w:szCs w:val="21"/>
              </w:rPr>
            </w:pPr>
            <w:r>
              <w:rPr>
                <w:rFonts w:asciiTheme="minorEastAsia" w:hAnsiTheme="minorEastAsia" w:eastAsiaTheme="minorEastAsia"/>
                <w:sz w:val="21"/>
                <w:szCs w:val="21"/>
              </w:rPr>
              <w:t>9、键盘、鼠标：防水抗菌键盘、光电鼠标。</w:t>
            </w:r>
          </w:p>
          <w:p>
            <w:pPr>
              <w:rPr>
                <w:rFonts w:asciiTheme="minorEastAsia" w:hAnsiTheme="minorEastAsia" w:eastAsiaTheme="minorEastAsia"/>
                <w:sz w:val="21"/>
                <w:szCs w:val="21"/>
              </w:rPr>
            </w:pP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标准MATX立式机箱，顶置电源开关键，机箱体积≤</w:t>
            </w:r>
            <w:r>
              <w:rPr>
                <w:rFonts w:hint="eastAsia" w:asciiTheme="minorEastAsia" w:hAnsiTheme="minorEastAsia"/>
                <w:sz w:val="21"/>
                <w:szCs w:val="21"/>
                <w:lang w:val="en-US" w:eastAsia="zh-CN"/>
              </w:rPr>
              <w:t>14</w:t>
            </w:r>
            <w:r>
              <w:rPr>
                <w:rFonts w:asciiTheme="minorEastAsia" w:hAnsiTheme="minorEastAsia" w:eastAsiaTheme="minorEastAsia"/>
                <w:sz w:val="21"/>
                <w:szCs w:val="21"/>
              </w:rPr>
              <w:t>L ；接口≥</w:t>
            </w:r>
            <w:r>
              <w:rPr>
                <w:rFonts w:hint="eastAsia" w:asciiTheme="minorEastAsia" w:hAnsiTheme="minorEastAsia"/>
                <w:sz w:val="21"/>
                <w:szCs w:val="21"/>
                <w:lang w:val="en-US" w:eastAsia="zh-CN"/>
              </w:rPr>
              <w:t>10</w:t>
            </w:r>
            <w:r>
              <w:rPr>
                <w:rFonts w:asciiTheme="minorEastAsia" w:hAnsiTheme="minorEastAsia" w:eastAsiaTheme="minorEastAsia"/>
                <w:sz w:val="21"/>
                <w:szCs w:val="21"/>
              </w:rPr>
              <w:t>个USB接口（其中至少6个USB3.2 GEN1接口</w:t>
            </w:r>
            <w:r>
              <w:rPr>
                <w:rFonts w:hint="eastAsia" w:asciiTheme="minorEastAsia" w:hAnsiTheme="minorEastAsia" w:eastAsiaTheme="minorEastAsia"/>
                <w:sz w:val="21"/>
                <w:szCs w:val="21"/>
              </w:rPr>
              <w:t>）</w:t>
            </w:r>
            <w:r>
              <w:rPr>
                <w:rFonts w:asciiTheme="minorEastAsia" w:hAnsiTheme="minorEastAsia" w:eastAsiaTheme="minorEastAsia"/>
                <w:sz w:val="21"/>
                <w:szCs w:val="21"/>
              </w:rPr>
              <w:t>，要求前置</w:t>
            </w:r>
            <w:r>
              <w:rPr>
                <w:rFonts w:hint="eastAsia" w:asciiTheme="minorEastAsia" w:hAnsiTheme="minorEastAsia"/>
                <w:sz w:val="21"/>
                <w:szCs w:val="21"/>
                <w:lang w:val="en-US" w:eastAsia="zh-CN"/>
              </w:rPr>
              <w:t>6</w:t>
            </w:r>
            <w:r>
              <w:rPr>
                <w:rFonts w:hint="eastAsia" w:asciiTheme="minorEastAsia" w:hAnsiTheme="minorEastAsia" w:eastAsiaTheme="minorEastAsia"/>
                <w:sz w:val="21"/>
                <w:szCs w:val="21"/>
              </w:rPr>
              <w:t>个</w:t>
            </w:r>
            <w:r>
              <w:rPr>
                <w:rFonts w:asciiTheme="minorEastAsia" w:hAnsiTheme="minorEastAsia" w:eastAsiaTheme="minorEastAsia"/>
                <w:sz w:val="21"/>
                <w:szCs w:val="21"/>
              </w:rPr>
              <w:t>USB3.2 GEN1接口</w:t>
            </w:r>
            <w:r>
              <w:rPr>
                <w:rFonts w:hint="eastAsia" w:asciiTheme="minorEastAsia" w:hAnsiTheme="minorEastAsia" w:eastAsiaTheme="minorEastAsia"/>
                <w:sz w:val="21"/>
                <w:szCs w:val="21"/>
              </w:rPr>
              <w:t>，且接口</w:t>
            </w:r>
            <w:r>
              <w:rPr>
                <w:rFonts w:asciiTheme="minorEastAsia" w:hAnsiTheme="minorEastAsia" w:eastAsiaTheme="minorEastAsia"/>
                <w:sz w:val="21"/>
                <w:szCs w:val="21"/>
              </w:rPr>
              <w:t>分离放置，互不干涉</w:t>
            </w:r>
            <w:r>
              <w:rPr>
                <w:rFonts w:hint="eastAsia" w:asciiTheme="minorEastAsia" w:hAnsiTheme="minorEastAsia" w:eastAsiaTheme="minorEastAsia"/>
                <w:sz w:val="21"/>
                <w:szCs w:val="21"/>
              </w:rPr>
              <w:t>；</w:t>
            </w:r>
            <w:r>
              <w:rPr>
                <w:rFonts w:asciiTheme="minorEastAsia" w:hAnsiTheme="minorEastAsia" w:eastAsiaTheme="minorEastAsia"/>
                <w:sz w:val="21"/>
                <w:szCs w:val="21"/>
              </w:rPr>
              <w:t>1个HDMI接口</w:t>
            </w:r>
            <w:r>
              <w:rPr>
                <w:rFonts w:hint="eastAsia" w:asciiTheme="minorEastAsia" w:hAnsiTheme="minorEastAsia" w:eastAsiaTheme="minorEastAsia"/>
                <w:sz w:val="21"/>
                <w:szCs w:val="21"/>
              </w:rPr>
              <w:t>；</w:t>
            </w:r>
            <w:r>
              <w:rPr>
                <w:rFonts w:asciiTheme="minorEastAsia" w:hAnsiTheme="minorEastAsia" w:eastAsiaTheme="minorEastAsia"/>
                <w:sz w:val="21"/>
                <w:szCs w:val="21"/>
              </w:rPr>
              <w:t>1个VGA接口</w:t>
            </w:r>
          </w:p>
          <w:p>
            <w:pPr>
              <w:rPr>
                <w:rFonts w:hint="eastAsia" w:asciiTheme="minorEastAsia" w:hAnsiTheme="minorEastAsia" w:eastAsiaTheme="minorEastAsia"/>
                <w:sz w:val="21"/>
                <w:szCs w:val="21"/>
                <w:lang w:eastAsia="zh-CN"/>
              </w:rPr>
            </w:pPr>
            <w:r>
              <w:rPr>
                <w:rFonts w:hint="eastAsia" w:asciiTheme="minorEastAsia" w:hAnsiTheme="minorEastAsia"/>
                <w:sz w:val="21"/>
                <w:szCs w:val="21"/>
                <w:lang w:val="en-US" w:eastAsia="zh-CN"/>
              </w:rPr>
              <w:t>11、显示器：</w:t>
            </w:r>
            <w:r>
              <w:rPr>
                <w:rFonts w:hint="eastAsia" w:ascii="宋体" w:hAnsi="宋体" w:cs="宋体"/>
                <w:kern w:val="0"/>
                <w:sz w:val="21"/>
                <w:szCs w:val="21"/>
              </w:rPr>
              <w:t>配置与主机同品牌</w:t>
            </w:r>
            <w:r>
              <w:rPr>
                <w:rFonts w:hint="eastAsia" w:ascii="宋体" w:hAnsi="宋体" w:cs="宋体"/>
                <w:kern w:val="0"/>
                <w:sz w:val="21"/>
                <w:szCs w:val="21"/>
                <w:lang w:val="en-US" w:eastAsia="zh-CN"/>
              </w:rPr>
              <w:t>21.5</w:t>
            </w:r>
            <w:r>
              <w:rPr>
                <w:rFonts w:hint="eastAsia" w:ascii="宋体" w:hAnsi="宋体" w:cs="宋体"/>
                <w:kern w:val="0"/>
                <w:sz w:val="21"/>
                <w:szCs w:val="21"/>
              </w:rPr>
              <w:t>寸宽屏液晶显示器，可设置</w:t>
            </w:r>
            <w:r>
              <w:rPr>
                <w:rFonts w:ascii="宋体" w:hAnsi="宋体" w:cs="宋体"/>
                <w:kern w:val="0"/>
                <w:sz w:val="21"/>
                <w:szCs w:val="21"/>
              </w:rPr>
              <w:t>低蓝光</w:t>
            </w:r>
            <w:r>
              <w:rPr>
                <w:rFonts w:hint="eastAsia" w:ascii="宋体" w:hAnsi="宋体" w:cs="宋体"/>
                <w:kern w:val="0"/>
                <w:sz w:val="21"/>
                <w:szCs w:val="21"/>
              </w:rPr>
              <w:t>护眼功能，</w:t>
            </w:r>
            <w:r>
              <w:rPr>
                <w:rFonts w:ascii="宋体" w:hAnsi="宋体" w:cs="宋体"/>
                <w:kern w:val="0"/>
                <w:sz w:val="21"/>
                <w:szCs w:val="21"/>
              </w:rPr>
              <w:t>保护师生用眼</w:t>
            </w:r>
            <w:r>
              <w:rPr>
                <w:rFonts w:hint="eastAsia" w:ascii="宋体" w:hAnsi="宋体" w:cs="宋体"/>
                <w:kern w:val="0"/>
                <w:sz w:val="21"/>
                <w:szCs w:val="21"/>
              </w:rPr>
              <w:t>健康</w:t>
            </w:r>
            <w:r>
              <w:rPr>
                <w:rFonts w:hint="eastAsia" w:ascii="宋体" w:hAnsi="宋体" w:cs="宋体"/>
                <w:kern w:val="0"/>
                <w:sz w:val="21"/>
                <w:szCs w:val="21"/>
                <w:lang w:eastAsia="zh-CN"/>
              </w:rPr>
              <w:t>。</w:t>
            </w:r>
          </w:p>
          <w:p>
            <w:pPr>
              <w:rPr>
                <w:rFonts w:asciiTheme="minorEastAsia" w:hAnsiTheme="minorEastAsia" w:eastAsiaTheme="minorEastAsia"/>
                <w:b/>
                <w:bCs/>
                <w:sz w:val="21"/>
                <w:szCs w:val="21"/>
              </w:rPr>
            </w:pPr>
            <w:r>
              <w:rPr>
                <w:rFonts w:hint="eastAsia" w:asciiTheme="minorEastAsia" w:hAnsiTheme="minorEastAsia"/>
                <w:b/>
                <w:bCs/>
                <w:sz w:val="21"/>
                <w:szCs w:val="21"/>
                <w:lang w:val="en-US" w:eastAsia="zh-CN"/>
              </w:rPr>
              <w:t>二、</w:t>
            </w:r>
            <w:r>
              <w:rPr>
                <w:rFonts w:hint="eastAsia" w:asciiTheme="minorEastAsia" w:hAnsiTheme="minorEastAsia" w:eastAsiaTheme="minorEastAsia"/>
                <w:b/>
                <w:bCs/>
                <w:sz w:val="21"/>
                <w:szCs w:val="21"/>
              </w:rPr>
              <w:t>软件部分：</w:t>
            </w:r>
          </w:p>
          <w:p>
            <w:pPr>
              <w:rPr>
                <w:rFonts w:asciiTheme="minorEastAsia" w:hAnsiTheme="minorEastAsia" w:eastAsiaTheme="minorEastAsia"/>
                <w:sz w:val="21"/>
                <w:szCs w:val="21"/>
              </w:rPr>
            </w:pPr>
            <w:r>
              <w:rPr>
                <w:rFonts w:asciiTheme="minorEastAsia" w:hAnsiTheme="minorEastAsia" w:eastAsiaTheme="minorEastAsia"/>
                <w:sz w:val="21"/>
                <w:szCs w:val="21"/>
              </w:rPr>
              <w:t>1、出厂预装正版</w:t>
            </w:r>
            <w:r>
              <w:rPr>
                <w:rFonts w:hint="eastAsia" w:asciiTheme="minorEastAsia" w:hAnsiTheme="minorEastAsia" w:eastAsiaTheme="minorEastAsia"/>
                <w:sz w:val="21"/>
                <w:szCs w:val="21"/>
              </w:rPr>
              <w:t>Windows1</w:t>
            </w:r>
            <w:r>
              <w:rPr>
                <w:rFonts w:hint="eastAsia" w:asciiTheme="minorEastAsia" w:hAnsiTheme="minorEastAsia"/>
                <w:sz w:val="21"/>
                <w:szCs w:val="21"/>
                <w:lang w:val="en-US" w:eastAsia="zh-CN"/>
              </w:rPr>
              <w:t>1或以上</w:t>
            </w:r>
            <w:r>
              <w:rPr>
                <w:rFonts w:asciiTheme="minorEastAsia" w:hAnsiTheme="minorEastAsia" w:eastAsiaTheme="minorEastAsia"/>
                <w:sz w:val="21"/>
                <w:szCs w:val="21"/>
              </w:rPr>
              <w:t>操作系统。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出厂配置同品牌网络同传及硬盘还原软件（非外插卡），具备以下功能。（投标文件中须提供有关证明材料，证明满足本项参数要求，有关证明材料可以是但不限于官网截图、国家认可的第三方检测机构出具的检测报告、产品说明书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1)可实现所有的计算机终端集中统一管理。断网和服务端宕机，终端都可以使用，不影响正常上课教学及</w:t>
            </w:r>
            <w:r>
              <w:rPr>
                <w:rFonts w:asciiTheme="minorEastAsia" w:hAnsiTheme="minorEastAsia" w:eastAsiaTheme="minorEastAsia"/>
                <w:sz w:val="21"/>
                <w:szCs w:val="21"/>
              </w:rPr>
              <w:t>备课</w:t>
            </w:r>
            <w:r>
              <w:rPr>
                <w:rFonts w:hint="eastAsia" w:asciiTheme="minorEastAsia" w:hAnsiTheme="minorEastAsia" w:eastAsiaTheme="minorEastAsia"/>
                <w:sz w:val="21"/>
                <w:szCs w:val="21"/>
              </w:rPr>
              <w:t>。2)镜像库中的分区镜像可由任何系统调用，支持同一分区镜像供多个系统使用，达到分区共享目的，无论系统镜像如何变化，数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服务端可自我还原，支持分区每次、每天、每周、每月、手动等多种还原方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三、质量及服务保证：</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★原厂3年上门服务（节假日不休）；投标产品生产厂商售后服务体系通过 CCCS 钻石五星认证 、通过 ISO27001 认证，投标时须提供上述认证证书复印件， 并加盖供应商公章；为保证</w:t>
            </w:r>
            <w:r>
              <w:rPr>
                <w:rFonts w:asciiTheme="minorEastAsia" w:hAnsiTheme="minorEastAsia" w:eastAsiaTheme="minorEastAsia"/>
                <w:sz w:val="21"/>
                <w:szCs w:val="21"/>
              </w:rPr>
              <w:t>正品行货，如非</w:t>
            </w:r>
            <w:r>
              <w:rPr>
                <w:rFonts w:hint="eastAsia" w:asciiTheme="minorEastAsia" w:hAnsiTheme="minorEastAsia" w:eastAsiaTheme="minorEastAsia"/>
                <w:sz w:val="21"/>
                <w:szCs w:val="21"/>
              </w:rPr>
              <w:t>产品</w:t>
            </w:r>
            <w:r>
              <w:rPr>
                <w:rFonts w:asciiTheme="minorEastAsia" w:hAnsiTheme="minorEastAsia" w:eastAsiaTheme="minorEastAsia"/>
                <w:sz w:val="21"/>
                <w:szCs w:val="21"/>
              </w:rPr>
              <w:t>生产厂家</w:t>
            </w:r>
            <w:r>
              <w:rPr>
                <w:rFonts w:hint="eastAsia" w:asciiTheme="minorEastAsia" w:hAnsiTheme="minorEastAsia" w:eastAsiaTheme="minorEastAsia"/>
                <w:sz w:val="21"/>
                <w:szCs w:val="21"/>
              </w:rPr>
              <w:t>供货</w:t>
            </w:r>
            <w:r>
              <w:rPr>
                <w:rFonts w:asciiTheme="minorEastAsia" w:hAnsiTheme="minorEastAsia" w:eastAsiaTheme="minorEastAsia"/>
                <w:sz w:val="21"/>
                <w:szCs w:val="21"/>
              </w:rPr>
              <w:t>，</w:t>
            </w:r>
            <w:r>
              <w:rPr>
                <w:rFonts w:hint="eastAsia" w:asciiTheme="minorEastAsia" w:hAnsiTheme="minorEastAsia"/>
                <w:sz w:val="21"/>
                <w:szCs w:val="21"/>
                <w:lang w:val="en-US" w:eastAsia="zh-CN"/>
              </w:rPr>
              <w:t>投标时</w:t>
            </w:r>
            <w:r>
              <w:rPr>
                <w:rFonts w:hint="eastAsia" w:asciiTheme="minorEastAsia" w:hAnsiTheme="minorEastAsia" w:eastAsiaTheme="minorEastAsia"/>
                <w:sz w:val="21"/>
                <w:szCs w:val="21"/>
              </w:rPr>
              <w:t>应</w:t>
            </w:r>
            <w:r>
              <w:rPr>
                <w:rFonts w:asciiTheme="minorEastAsia" w:hAnsiTheme="minorEastAsia" w:eastAsiaTheme="minorEastAsia"/>
                <w:sz w:val="21"/>
                <w:szCs w:val="21"/>
              </w:rPr>
              <w:t>提供所投产品的</w:t>
            </w:r>
            <w:r>
              <w:rPr>
                <w:rFonts w:hint="eastAsia" w:asciiTheme="minorEastAsia" w:hAnsiTheme="minorEastAsia" w:eastAsiaTheme="minorEastAsia"/>
                <w:sz w:val="21"/>
                <w:szCs w:val="21"/>
              </w:rPr>
              <w:t>生产</w:t>
            </w:r>
            <w:r>
              <w:rPr>
                <w:rFonts w:asciiTheme="minorEastAsia" w:hAnsiTheme="minorEastAsia" w:eastAsiaTheme="minorEastAsia"/>
                <w:sz w:val="21"/>
                <w:szCs w:val="21"/>
              </w:rPr>
              <w:t>厂家的</w:t>
            </w:r>
            <w:r>
              <w:rPr>
                <w:rFonts w:ascii="宋体" w:hAnsi="宋体"/>
                <w:color w:val="auto"/>
                <w:szCs w:val="21"/>
              </w:rPr>
              <w:t>售后服务承诺书</w:t>
            </w:r>
            <w:r>
              <w:rPr>
                <w:rFonts w:hint="eastAsia" w:ascii="宋体" w:hAnsi="宋体"/>
                <w:color w:val="auto"/>
                <w:szCs w:val="21"/>
                <w:lang w:eastAsia="zh-CN"/>
              </w:rPr>
              <w:t>和</w:t>
            </w:r>
            <w:r>
              <w:rPr>
                <w:rFonts w:hint="eastAsia" w:ascii="宋体" w:hAnsi="宋体" w:eastAsia="宋体" w:cs="宋体"/>
                <w:b w:val="0"/>
                <w:bCs w:val="0"/>
                <w:color w:val="auto"/>
                <w:sz w:val="21"/>
                <w:szCs w:val="21"/>
                <w:lang w:val="en-US" w:eastAsia="zh-CN"/>
              </w:rPr>
              <w:t>原厂供货承诺函扫描件和授权书</w:t>
            </w:r>
            <w:r>
              <w:rPr>
                <w:rFonts w:hint="eastAsia" w:ascii="宋体" w:hAnsi="宋体"/>
                <w:color w:val="auto"/>
                <w:szCs w:val="21"/>
              </w:rPr>
              <w:t>。</w:t>
            </w:r>
          </w:p>
          <w:p>
            <w:pPr>
              <w:spacing w:line="360" w:lineRule="auto"/>
            </w:pPr>
          </w:p>
        </w:tc>
        <w:tc>
          <w:tcPr>
            <w:tcW w:w="570" w:type="dxa"/>
            <w:vAlign w:val="center"/>
          </w:tcPr>
          <w:p>
            <w:pPr>
              <w:widowControl/>
              <w:jc w:val="center"/>
              <w:textAlignment w:val="top"/>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w:t>
            </w:r>
          </w:p>
        </w:tc>
        <w:tc>
          <w:tcPr>
            <w:tcW w:w="71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tabs>
                <w:tab w:val="left" w:pos="0"/>
              </w:tabs>
              <w:jc w:val="center"/>
              <w:rPr>
                <w:rFonts w:ascii="宋体" w:hAnsi="宋体" w:cs="宋体"/>
                <w:color w:val="000000"/>
                <w:kern w:val="0"/>
                <w:szCs w:val="21"/>
              </w:rPr>
            </w:pPr>
            <w:r>
              <w:rPr>
                <w:rFonts w:ascii="宋体" w:hAnsi="宋体" w:cs="宋体"/>
                <w:color w:val="000000"/>
                <w:kern w:val="0"/>
                <w:szCs w:val="21"/>
              </w:rPr>
              <w:t>2</w:t>
            </w:r>
          </w:p>
        </w:tc>
        <w:tc>
          <w:tcPr>
            <w:tcW w:w="1291" w:type="dxa"/>
            <w:tcBorders>
              <w:top w:val="single" w:color="auto" w:sz="4" w:space="0"/>
              <w:left w:val="single" w:color="auto" w:sz="4" w:space="0"/>
              <w:bottom w:val="single" w:color="auto" w:sz="4" w:space="0"/>
              <w:right w:val="single" w:color="auto" w:sz="4" w:space="0"/>
            </w:tcBorders>
            <w:vAlign w:val="center"/>
          </w:tcPr>
          <w:p>
            <w:pPr>
              <w:jc w:val="center"/>
              <w:rPr>
                <w:b w:val="0"/>
                <w:bCs/>
                <w:sz w:val="24"/>
                <w:szCs w:val="24"/>
              </w:rPr>
            </w:pPr>
            <w:r>
              <w:rPr>
                <w:rFonts w:hint="eastAsia"/>
                <w:b w:val="0"/>
                <w:bCs/>
                <w:sz w:val="24"/>
                <w:szCs w:val="24"/>
                <w:lang w:eastAsia="zh-CN"/>
              </w:rPr>
              <w:t>海康威视</w:t>
            </w:r>
            <w:r>
              <w:rPr>
                <w:rFonts w:hint="eastAsia"/>
                <w:b w:val="0"/>
                <w:bCs/>
                <w:sz w:val="24"/>
                <w:szCs w:val="24"/>
              </w:rPr>
              <w:t>8</w:t>
            </w:r>
            <w:r>
              <w:rPr>
                <w:b w:val="0"/>
                <w:bCs/>
                <w:sz w:val="24"/>
                <w:szCs w:val="24"/>
              </w:rPr>
              <w:t>6</w:t>
            </w:r>
            <w:r>
              <w:rPr>
                <w:rFonts w:hint="eastAsia"/>
                <w:b w:val="0"/>
                <w:bCs/>
                <w:sz w:val="24"/>
                <w:szCs w:val="24"/>
              </w:rPr>
              <w:t>寸智慧黑板</w:t>
            </w:r>
            <w:r>
              <w:rPr>
                <w:b w:val="0"/>
                <w:bCs/>
                <w:sz w:val="24"/>
                <w:szCs w:val="24"/>
              </w:rPr>
              <w:t>DS-D51WXYZ-X/Y</w:t>
            </w:r>
          </w:p>
          <w:p>
            <w:pPr>
              <w:spacing w:line="500" w:lineRule="exact"/>
              <w:jc w:val="center"/>
              <w:rPr>
                <w:rFonts w:hint="eastAsia" w:ascii="宋体" w:hAnsi="宋体" w:eastAsia="宋体" w:cs="宋体"/>
                <w:bCs/>
                <w:szCs w:val="21"/>
                <w:lang w:eastAsia="zh-CN"/>
              </w:rPr>
            </w:pPr>
          </w:p>
        </w:tc>
        <w:tc>
          <w:tcPr>
            <w:tcW w:w="6899" w:type="dxa"/>
            <w:tcBorders>
              <w:top w:val="single" w:color="auto" w:sz="4" w:space="0"/>
              <w:left w:val="single" w:color="auto" w:sz="4" w:space="0"/>
              <w:bottom w:val="single" w:color="auto" w:sz="4" w:space="0"/>
              <w:right w:val="single" w:color="auto" w:sz="4" w:space="0"/>
            </w:tcBorders>
          </w:tcPr>
          <w:p>
            <w:r>
              <w:rPr>
                <w:rFonts w:hint="eastAsia"/>
              </w:rPr>
              <w:t>一、整体设计</w:t>
            </w:r>
          </w:p>
          <w:p>
            <w:r>
              <w:t>1、整机采用三拼接平面一体化设计，无推拉式结构及外露连接线，外观简洁。整机均支持普通粉笔、液体粉笔、水溶性粉笔进行板书书写，便于老师完整书写教学内容。</w:t>
            </w:r>
          </w:p>
          <w:p>
            <w:r>
              <w:t>2、整机主屏幕采用86英寸 UHD超高清LED 液晶屏，A规屏，显示比例16:9，分辨率3840*2160。</w:t>
            </w:r>
          </w:p>
          <w:p>
            <w:r>
              <w:t>3、整机尺寸长≥ 4195mm；高≥1193 mm；厚度≤ 80mm，采用全钢化玻璃，防撞击，防眩晕。</w:t>
            </w:r>
          </w:p>
          <w:p>
            <w:r>
              <w:t>4、电容触控技术，无需安装任何驱动程序，支持WindowXP，WindowVIST，Window7，Window8/8.1，Mac OS，Linux等操作系统。</w:t>
            </w:r>
          </w:p>
          <w:p>
            <w:r>
              <w:t xml:space="preserve">5、屏幕亮度≥500cd/m²，对比度≥6000：1，可视角度：垂直上下≥178°，水平左右≥178°，整机支持色彩空间可选，包含标准模式和sRGB模式，在sRGB模式下全黑场色准△E≤0.5。 </w:t>
            </w:r>
          </w:p>
          <w:p>
            <w:r>
              <w:t>6、显示灰度等级≥256级</w:t>
            </w:r>
          </w:p>
          <w:p>
            <w:r>
              <w:t>7、钢化玻璃硬度≥9H；玻璃透过率≥ 92%；钢化玻璃雾度≤1%</w:t>
            </w:r>
          </w:p>
          <w:p>
            <w:r>
              <w:t>8、水平视角≥178°，垂直视角≥178°。</w:t>
            </w:r>
          </w:p>
          <w:p>
            <w:r>
              <w:t>9、整机支持连接一根网线，实现Windows及Android系统同时联网。</w:t>
            </w:r>
          </w:p>
          <w:p>
            <w:r>
              <w:t>10、黑板副板板面采用黑色磁性金属面板，具备吸附磁片的功能，厚度≤4cm。与显示部分无接缝配合使用。书写面平整，涂层均匀，无波浪、龟裂、针孔、气泡、斑痕。</w:t>
            </w:r>
          </w:p>
          <w:p>
            <w:r>
              <w:rPr>
                <w:rFonts w:hint="eastAsia"/>
              </w:rPr>
              <w:t>二、整机设计</w:t>
            </w:r>
          </w:p>
          <w:p>
            <w:r>
              <w:t>1、整机电视开关、电脑开关和节能待机键三合一，操作便捷。</w:t>
            </w:r>
          </w:p>
          <w:p>
            <w:r>
              <w:t>2、智慧黑板显示模式：标准、用户、动态、亮丽四种。</w:t>
            </w:r>
          </w:p>
          <w:p>
            <w:r>
              <w:t>3、内置触摸中控菜单，将信号源通道切换、亮度对比度调节、声音图像调节等整合到同一菜单下，无须实体按键，在任意显示通道下均可通过手势在屏幕上调取该触摸菜单，方便快捷。</w:t>
            </w:r>
          </w:p>
          <w:p>
            <w:r>
              <w:t>4、整机需包含以下接口：TV，HDMI等视频输入接口；LINE-IN等音频输入接口；LINE-OUT等音频输出接口；USB、Android-USB、Touch-USB等存储控制接口，前置双系统USB接口不少于3个。</w:t>
            </w:r>
          </w:p>
          <w:p>
            <w:r>
              <w:t>5、整机内置2.1声道音响，前朝向额定15W中高音扬声器2个。</w:t>
            </w:r>
          </w:p>
          <w:p>
            <w:r>
              <w:t>6、整机采用硬件低蓝光背光技术，在源头减少有害蓝光波段能量。</w:t>
            </w:r>
          </w:p>
          <w:p>
            <w:r>
              <w:t xml:space="preserve">7、为保护学生视力，有效减轻师生用眼疲劳，整机具有减滤蓝光功能，可通过前置物理功能按键一键启用滤蓝光模式， </w:t>
            </w:r>
          </w:p>
          <w:p>
            <w:r>
              <w:t>8、为满足教师实际教学需求，可便捷外接所需的设备，整机前置USB3.0接口≥3个；HDMI接口≥2个。</w:t>
            </w:r>
          </w:p>
          <w:p>
            <w:r>
              <w:t>9、外接电脑设备时，如整机处于关机上电状态，则接上外接电脑后自动开机。如整机处于正常使用状态，则设备能自动识别并切换到对应的信号源通道，且断开后能回到上一通道。自动跳转前支持选择确认，待确认后再跳转。</w:t>
            </w:r>
          </w:p>
          <w:p>
            <w:r>
              <w:t>10、根据实际教学场景需求，避免损坏教师外接的教学存储设备，整机前置usb接口支持大角度翻转，并对接口进行防水防撞保护。</w:t>
            </w:r>
          </w:p>
          <w:p>
            <w:r>
              <w:t>11、WiFi和AP热点工作距离≥15m</w:t>
            </w:r>
          </w:p>
          <w:p>
            <w:r>
              <w:t>12、触控玻璃具有碎片状态、耐热冲击性，具有玻璃外观质量、弯曲度、玻璃表面应力、抗冲击、霰弹袋冲击性。</w:t>
            </w:r>
          </w:p>
          <w:p>
            <w:r>
              <w:t>13、整机需具备防尘防水IP55等级。</w:t>
            </w:r>
          </w:p>
          <w:p>
            <w:r>
              <w:t>14、整机应采用防火防护外壳设计，满足 GB4943.1-2011 标准中的防火要求。</w:t>
            </w:r>
          </w:p>
          <w:p>
            <w:r>
              <w:t>15、触控板玻璃具有抗磨性能，符合JC/T 2130-2012《移动电子产品视屏盖板玻璃》标准技术要求</w:t>
            </w:r>
          </w:p>
          <w:p>
            <w:r>
              <w:t>16、辐射骚扰应符合 GB 9254-2008 的要求</w:t>
            </w:r>
            <w:r>
              <w:rPr>
                <w:rFonts w:hint="eastAsia"/>
              </w:rPr>
              <w:t>，</w:t>
            </w:r>
            <w:r>
              <w:t>符合B级</w:t>
            </w:r>
          </w:p>
          <w:p>
            <w:r>
              <w:t>17、静电放电抗扰度满足应符合 GB/T 17626.2-2018 A级的要求。</w:t>
            </w:r>
          </w:p>
          <w:p>
            <w:r>
              <w:t>18、电瞬变快速脉冲群扰度实验符合GB/T 17626.4-2018的A级要求</w:t>
            </w:r>
          </w:p>
          <w:p>
            <w:r>
              <w:t>19、浪涌抗扰度符合 GB/T 17626.5-2019 的A级的要求</w:t>
            </w:r>
          </w:p>
          <w:p>
            <w:r>
              <w:t>20、整机具备防跌落特性，保证整机运输或使用过程中不易受损</w:t>
            </w:r>
          </w:p>
          <w:p>
            <w:r>
              <w:t>21、机身具备防盐雾锈蚀特性，盐雾试验不低于20小时产品符合盐雾十级。</w:t>
            </w:r>
          </w:p>
          <w:p>
            <w:r>
              <w:rPr>
                <w:rFonts w:hint="eastAsia"/>
              </w:rPr>
              <w:t>三、主要功能</w:t>
            </w:r>
          </w:p>
          <w:p>
            <w:r>
              <w:t>1、支持在系统中配置前置物理按键功能。如用户可以设置按键功能为短按或者长按响应，响应的功能是一键开关ops、ops一键还原、一键除蓝光</w:t>
            </w:r>
          </w:p>
          <w:p>
            <w:r>
              <w:t>2、整机可设置触摸及按键自动锁定，需要使用时只需插入USBKey即可解锁。</w:t>
            </w:r>
          </w:p>
          <w:p>
            <w:r>
              <w:t>3、显示区域可以通过多指长按屏幕，达到息屏和唤醒功能。</w:t>
            </w:r>
          </w:p>
          <w:p>
            <w:r>
              <w:t>4、自动节能：当设备在五分钟内处于无信号接收状态且无人操作时，若不存在未结束的进程，则设备进入自动关机倒计时；若存在未结束进程则跳出提示“仍要关机”和“取消”。</w:t>
            </w:r>
          </w:p>
          <w:p>
            <w:r>
              <w:t>5、整机支持高级音效设置、左右声道平衡、可根据实际需要设置不同频段调节功能</w:t>
            </w:r>
          </w:p>
          <w:p>
            <w:r>
              <w:t>6、整机支持高级设置，支持集控服务，输入源设置，切换EDID版本，开机动画设置，PC一键还原，恢复出厂设置，开关机设置功能。</w:t>
            </w:r>
          </w:p>
          <w:p>
            <w:r>
              <w:t>7、为方便教师管理本地多媒体设备，整机提供自定义开关机功能，组数不少于5组，在无网络环境下也可实现。</w:t>
            </w:r>
          </w:p>
          <w:p>
            <w:r>
              <w:t>8、整机支持智能辅助，支持设备温度监控，高温预警及断电保护功能并可进行实际模拟演示；内置Samba服务，USB插入跟随配置，悬浮球配置，物理按钮配置及外设控制。</w:t>
            </w:r>
          </w:p>
          <w:p>
            <w:r>
              <w:t>9、开机logo设置：支持自定义开机动画功能，可设置为图片或动画形式</w:t>
            </w:r>
          </w:p>
          <w:p>
            <w:r>
              <w:t>10、当外接信号源时，如整机处于待机上电状态，则接上外接信号源后自动开机。如整机处于正常使用状态，则设备能自动识别并切换到对应的信号源通道，且断开后能回到上一通道。自动跳转前支持选择确认，待确认后再跳转。</w:t>
            </w:r>
          </w:p>
          <w:p>
            <w:r>
              <w:t>11、在任意信号源通道下，长按物理按键或者遥控器两种方式实现触摸锁定及解锁，触摸锁定时整机无法被触控操作。</w:t>
            </w:r>
          </w:p>
          <w:p>
            <w:r>
              <w:t>12、支持多个信号源模式下，液晶屏图像可实现显示窗口下移和恢复，并可以进行正常使用触摸，方便老师操作。</w:t>
            </w:r>
          </w:p>
          <w:p>
            <w:r>
              <w:t>13、整机具备 OTA 升级功能 OTA（Over－the－Air Technology）可通过后台服务器网络推送的方式实现整机系统或应用软件的在线升级，同时支持本地U盘升级、局域网内升级功能，支持定时升级、自动升级、手动升级、延迟升级功能。</w:t>
            </w:r>
          </w:p>
          <w:p>
            <w:r>
              <w:t>14、具备电视遥控功能和电脑键盘常用的F1—F12功能键及Alt+F4、Alt+Tab、Space、Enter、windows快捷按键，可实现一键开启交互白板软件、PPT上下翻页、一键锁定/解锁触摸及整机实体按键、一键熄屏的功能。</w:t>
            </w:r>
          </w:p>
          <w:p>
            <w:r>
              <w:t>15、整机外部设备拓展能力：为方便教师教学辅助设备的高效连接，整机可通过一根线（无需重复连接触摸信号)连接到整机的电脑或手机，在投屏的同时即可直接读写整机前置USB接口的移动存储设备数据，连接整机前置 USB接口的翻页笔和无线鼠标外 接设备可直接使用于外接电脑。</w:t>
            </w:r>
          </w:p>
          <w:p>
            <w:r>
              <w:rPr>
                <w:rFonts w:hint="eastAsia"/>
              </w:rPr>
              <w:t>四、触摸系统</w:t>
            </w:r>
          </w:p>
          <w:p>
            <w:r>
              <w:t>1、触控方案：上下两条红外框形成红外触控方案</w:t>
            </w:r>
          </w:p>
          <w:p>
            <w:r>
              <w:t>2、多点触控：设备支持双系统下20点同时书写触控功能。</w:t>
            </w:r>
          </w:p>
          <w:p>
            <w:r>
              <w:t>3、触摸框在内部通道切换速度小于1秒，外部通道切换小于3秒，切换后即达到可触摸状态。</w:t>
            </w:r>
          </w:p>
          <w:p>
            <w:r>
              <w:t>4、智慧黑板差值分辨率≥32768*32768。</w:t>
            </w:r>
          </w:p>
          <w:p>
            <w:r>
              <w:t>5、触摸响应时间≤3ms；定位精度：≤±0.1mm；触摸高度≤3mm；最小识别直径≤3mm。</w:t>
            </w:r>
          </w:p>
          <w:p>
            <w:r>
              <w:t>6、智慧黑板上使用书写类软件时，书写延时低于30ms，笔迹流畅。</w:t>
            </w:r>
          </w:p>
          <w:p>
            <w:r>
              <w:t>7、整机具备抗强光干扰性能，触摸屏在400K LUX照度的光照下书写功能正常。</w:t>
            </w:r>
          </w:p>
          <w:p>
            <w:r>
              <w:rPr>
                <w:rFonts w:hint="eastAsia"/>
              </w:rPr>
              <w:t>五、安卓系统</w:t>
            </w:r>
          </w:p>
          <w:p>
            <w:r>
              <w:t>1、嵌入式系统版本不低于Android 8.0，内存RAM≥3GB，存储ROM≥8GB。</w:t>
            </w:r>
          </w:p>
          <w:p>
            <w:r>
              <w:t>2、悬浮球配置：可手势唤出，悬浮球支持配置以下功能：首页、返回、截图、冻屏、批注、重启、一键还原。</w:t>
            </w:r>
          </w:p>
          <w:p>
            <w:r>
              <w:t>3、Android系统中，白板内容支持通过移动端扫描二维码或邮件的方式实现文件共享及板书内容共享，并支持以设备内置的文件格式或PDF或图片的格式进行本地存储及再次编辑。</w:t>
            </w:r>
          </w:p>
          <w:p>
            <w:r>
              <w:t>4、支持一键自检：无需借助PC，整机可一键进行硬件自检，可对系统版本、内外部存储、网络状态、热点、PC模块、光感系统等模块进行监测，并针对不同模块给出问题原因提示，支持通过扫描界面二维码方式提交维修申请</w:t>
            </w:r>
          </w:p>
          <w:p>
            <w:r>
              <w:t>5、3D图形笔功能。安卓白板中具备3D图形笔功能，可选择的图形≥10个，可以在白板中画出立体图形并可以对图形进行拖动和缩放；立体图形的颜色可以通过色域板选择。</w:t>
            </w:r>
          </w:p>
          <w:p>
            <w:r>
              <w:t>6、在安卓、PC、HDMI、VGA通道下，设备画面冻屏后可使用设备自带放大镜功能，进行画面局部区域放大以突出显示。</w:t>
            </w:r>
          </w:p>
          <w:p>
            <w:r>
              <w:t>7、嵌入式Android操作系统下，互动白板支持不同背景颜色、底纹和标尺，同时可按学科需要更换背景图案，如：五线谱、信纸、田字格、英文格、篮球和足球场地平面图</w:t>
            </w:r>
          </w:p>
          <w:p>
            <w:r>
              <w:t>8、在嵌入式安卓操作系统下，能对TV多媒体USB所读取到的课件文件进行自动归类，可快速分类查找office文档、音乐、视频、图片等文件，检索后可直接在界面中打开。无PC状态下，嵌入式安卓操作系统可实现windows系统中常用的教学应用功能，如白板书写、WPS软件使用、网页浏览。</w:t>
            </w:r>
          </w:p>
          <w:p>
            <w:r>
              <w:t>9、整机全通道侧边栏支持自行选择所需截取屏幕范围，点击截屏即可截取目标区域并保存至本机。</w:t>
            </w:r>
          </w:p>
          <w:p>
            <w:r>
              <w:t>10、整机全通道侧边栏提供秒表正计时，可精确到0.1秒，点击开始即进入正计时，支持计数。</w:t>
            </w:r>
          </w:p>
          <w:p>
            <w:r>
              <w:t>11、整机全通道侧边栏提供秒表倒计时，输入某特定时间值，可精确到秒，点击开始即进入倒计时。</w:t>
            </w:r>
          </w:p>
          <w:p>
            <w:r>
              <w:t>12、整机全通道侧边栏支持聚光灯功能，可调整聚光灯目标区域大小。</w:t>
            </w:r>
          </w:p>
          <w:p>
            <w:r>
              <w:t>13、整机全通道侧边栏支持超级计算器功能，支持整数与浮点数的四则运算。</w:t>
            </w:r>
          </w:p>
          <w:p>
            <w:r>
              <w:t>14、整机处于非内置PC通道下，支持调用屏幕快捷键一键回到PC通道。</w:t>
            </w:r>
          </w:p>
          <w:p>
            <w:r>
              <w:rPr>
                <w:rFonts w:hint="eastAsia"/>
              </w:rPr>
              <w:t>六、教学软件参数</w:t>
            </w:r>
          </w:p>
          <w:p>
            <w:r>
              <w:t>1、教学软件为备授课一体客户端，同时具备备课模式和授课模式，在软件安装完成后可自有切换备课和授课模式，方便在不同场景下使用。</w:t>
            </w:r>
          </w:p>
          <w:p>
            <w:r>
              <w:t>2、教学软件可支持教师自主注册账号，可使用账号密码登录或使用微信扫码绑定账号完成登录，支持解绑账号与微信号关系进行重新绑定。</w:t>
            </w:r>
          </w:p>
          <w:p>
            <w:r>
              <w:t>3、为打造良好的软件运行环境，支持对当前设备的office版本及状态、网络进行检测，返回检测结果。</w:t>
            </w:r>
          </w:p>
          <w:p>
            <w:r>
              <w:t>4、教学软件需为教师提供免费的20G云存储空间，无需完成额外任务即可获取，教师容量达到使用上限时可支持最大扩展到200G，教师可在个人网盘中上传存储教学资源，资源格式包含：ppt、word、pdf、图片、音视频、zip；支持拖动本地课件素材至网盘区域实现资源上传，支持移动调整文件及文件夹的层级，支持对文件进行重命名、删除操作。</w:t>
            </w:r>
          </w:p>
          <w:p>
            <w:r>
              <w:t>5、★支持提供PPT、WPS插件，同时支持原生 Office、WPS环境下备课，教师可将课件内容一键上传更新至教师云空间，在授课时直接下载使用云端资源。</w:t>
            </w:r>
          </w:p>
          <w:p>
            <w:r>
              <w:t>6 、★支持第三方网页资源导入，支持教师检索到的相关教学内容一键插入PPT，在授课过程中网页资源可直接播放使用，支持网页中音视频内容直接播放。</w:t>
            </w:r>
          </w:p>
          <w:p>
            <w:r>
              <w:t>7、★支持插入音频、视频，并支持在PPT中对音频、视频进行打点，对打点内容进行重命名，支持在PPT播放状态下快速点击标记点，自动跳转至标记点。</w:t>
            </w:r>
          </w:p>
          <w:p>
            <w:r>
              <w:t>8、支持提供按学段学科、教材版本、册别、章节提供优质课件资源，可支持在线预览课件资源，支持将优质课件一键下载插入到PPT课件中，并进行修改。</w:t>
            </w:r>
          </w:p>
          <w:p>
            <w:r>
              <w:t>9、支持提供按学段学科、教材版本、册别、章节或学段学科、知识点提供优质试题资源，可将试题资源一键插入PPT课件中，支持在授课过程中将题干和答案解析进行分步展示，可支持放大、缩小试题内容。</w:t>
            </w:r>
          </w:p>
          <w:p>
            <w:r>
              <w:t>10、支持提供汉字教学资源，将汉字一键插入到PPT课件中，可预览播放汉字教学内容，支持在PPT课件中查看拼音并对拼音进行点播，支持分步或连续步骤查看汉字笔顺，支持查看汉字的释义、组词内容、笔画数、偏旁等内容。</w:t>
            </w:r>
          </w:p>
          <w:p>
            <w:r>
              <w:t>11、支持提供古诗词教学资源，按教材册别、作者朝代筛选查找古诗词内容，支持将古诗词一键插入到PPT课件中，并在授课过程中打开PPT查看古诗词原文、背景、作者、释义、赏析等内容，提供古诗词原文朗读音频。</w:t>
            </w:r>
          </w:p>
          <w:p>
            <w:r>
              <w:t>12、★提供数学教学使用的绘图工具：数学画板、动态课件，提供资源内容，方便教师一键调用，支持将线下已有的动态课件资源一键导入到PPT中，打开PPT即可动态展示数学画板及动态课件的相应资源进行课堂调用。</w:t>
            </w:r>
          </w:p>
          <w:p>
            <w:r>
              <w:t>13、支持教师快速制作化学方程式，并将化学方程式一键插入到当前正在制作的PPT中，软件预设初高中常用化学方程式，支持模糊匹配，方便快速选择匹配的化学方程式并一键插入到PPT中，插入PPT中可支持再次编辑。</w:t>
            </w:r>
          </w:p>
          <w:p>
            <w:r>
              <w:t>14、提供物理化学教学所用的实验器材素材，支持选择多张素材一键插入到PPT中。</w:t>
            </w:r>
          </w:p>
          <w:p>
            <w:r>
              <w:t>15、提供英语26个英文字母卡片素材，素材包含26个英文字在四线三格中的大小写、笔顺、含有该字母的样例单词及示意图，支持多选素材一键插入到PPT中。</w:t>
            </w:r>
          </w:p>
          <w:p>
            <w:r>
              <w:t>16、支持不少于6种形式的互动游戏，每种互动游戏支持多种模板供教师选择，支持教师自定义背景，直接选择并输入相应内容即可生成互动游戏，支持一键插入课件 PPT，并在PPT中进行动画互动；互动游戏可独立保存至教师个人网盘，教师随时调用已制作好的游戏。</w:t>
            </w:r>
          </w:p>
          <w:p>
            <w:r>
              <w:t>17、支持基于PPT的思维导图，至少支持2种及以上的主题模板，并支持修改背景颜色、字体格式、字体大小及字号，并支持在思维导图中插入多媒体资源，支持一键插入PPT课件，并可在授课过程中打开PPT进行逐级或逐个的展示播放，支持在播放中移动思维导图，支持展开收起思维导图节点，支持放大缩小思维导图。</w:t>
            </w:r>
          </w:p>
          <w:p>
            <w:r>
              <w:t>18、教学软件支持本地打开或在线下载个人网盘资源进行教学课件播放，实现PPT的原生态播放；支持PPT文档手势识别（多指放大、滑动翻页、缩略图），播放过程中可实现自由批注与笔迹内容同步保存。</w:t>
            </w:r>
          </w:p>
          <w:p>
            <w:r>
              <w:t>19、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p>
          <w:p>
            <w:r>
              <w:t>20、支持白板教学，提供个性化主题模板（拼音田字格、田字格、米字格、四线格、五线谱、黑板、白板、灰板）；支持在白板任意位置进行原笔迹书写、自由批注、擦除、拖动功能，支持手势按压擦除笔迹。</w:t>
            </w:r>
          </w:p>
          <w:p>
            <w:r>
              <w:t>21、支持不少于 10 点同时书写，满足多人同时书写；提供不少于3种笔型，自带笔锋，支持自由选择笔颜色和粗细；支持手势擦除。</w:t>
            </w:r>
          </w:p>
          <w:p>
            <w:r>
              <w:t>22、★支持移动客户端一键扫码连接大屏，实现投屏授课功能，支持移动客户端拍照上传。</w:t>
            </w:r>
          </w:p>
          <w:p>
            <w:r>
              <w:t>23、支持任意教学环境下（白板讲解、PPT讲解、视频播放等）全屏原笔迹书写、标注功能，笔迹需跟随页面切换，提供至少3种画笔类型，每种画笔支持四种粗细及自定义颜色，笔迹流畅并自带笔锋。</w:t>
            </w:r>
          </w:p>
          <w:p>
            <w:r>
              <w:t>24、提供几何图形教学工具，预设线段、虚线、角、三角形、矩形、平行四边形、题型、圆等多种样式几何图形，可快速在白板上进行几何图形绘制，可针对几何图形进行点标记，可快速调整几何图形，包括等比放大缩小、调整顶点、展示角度、更改图形边的颜色和粗细，针对封闭面进行颜色填空，可框选多个或一个几何图形快捷复制图形。</w:t>
            </w:r>
          </w:p>
          <w:p>
            <w:r>
              <w:t>25、提供尺规工具，包含直尺、三角尺、圆规，可模拟现实场景在白板上快捷绘制线段、图形，显示出绘制长度刻度、角度等参数，支持对尺规工具放大缩小及旋转。</w:t>
            </w:r>
          </w:p>
          <w:p>
            <w:r>
              <w:t>26、支持立体图形功能，支持针对立方体进行360°旋转，支持对立方体面进行填充，支持选择多种不同展开样式针对立方体进行展开效果，展开后可快速复原。</w:t>
            </w:r>
          </w:p>
          <w:p>
            <w:r>
              <w:t>27、支持英文单词、短语手写识别，展示出打印体识别内容，支持播放单词读音、查看单词音标、释义等内容，可通过跳转至三方平台查看完整的单词例句等信息，支持将单词卡片一键插入到白板中并对单词卡片进行样式上无损放大缩小。</w:t>
            </w:r>
          </w:p>
          <w:p>
            <w:r>
              <w:t>28、支持聚焦功能，聚焦框可选择需要重点查看的区域，对框选区域进行放大、关灯、全屏；框选区域可直接插入白板、对比讲解、可实现不少于4张图片的同屏讲解，支持选择本地图片加入对比讲解，支持针对单张图片进行全屏、取消全屏。支持在对比讲解过程中对图片进行批注，批注内容跟随图片放大缩小，支持擦除批注，支持对图片进行旋转、删除操作。</w:t>
            </w:r>
          </w:p>
          <w:p>
            <w:r>
              <w:t>29、支持任何界面一键返回桌面，支持自由切换课件、桌面、白板及电子教材内容。</w:t>
            </w:r>
          </w:p>
          <w:p>
            <w:r>
              <w:t>30、支持进行微信拍照讲评学生作业、试卷、图片、成果、问题。支持在同一个软件中无需下载其他APP，使用微信扫码即可拍照上传。支持现场拍照和从图库调取图片讲解，并且可旋转图片，支持不少于 10 张图片同屏展现，并支持对图片进行放大、缩小、旋转、全屏放大操作，支持对展现内容原笔迹手写批注。</w:t>
            </w:r>
          </w:p>
          <w:p>
            <w:r>
              <w:t>31、支持高拍仪功能，无需单独安装高拍仪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w:t>
            </w:r>
          </w:p>
          <w:p>
            <w:r>
              <w:rPr>
                <w:rFonts w:hint="eastAsia"/>
              </w:rPr>
              <w:t>七、</w:t>
            </w:r>
            <w:r>
              <w:t>OPS模块性能要求：</w:t>
            </w:r>
          </w:p>
          <w:p>
            <w:r>
              <w:t>1、主板搭载i5 CPU。</w:t>
            </w:r>
          </w:p>
          <w:p>
            <w:r>
              <w:t>2、内存：8 GB内存或以上配置。</w:t>
            </w:r>
          </w:p>
          <w:p>
            <w:r>
              <w:t>3、硬盘：256 GB或以上SSD固态硬盘。</w:t>
            </w:r>
          </w:p>
          <w:p>
            <w:r>
              <w:t>4、PC模块可抽拉式插入整机，可实现无单独接线的插拔。</w:t>
            </w:r>
          </w:p>
          <w:p>
            <w:r>
              <w:t>5、和整机的连接接口针脚数≤80pin。</w:t>
            </w:r>
          </w:p>
          <w:p>
            <w:r>
              <w:t>6、电脑模块无需工具即可快速拆卸电脑模块。</w:t>
            </w:r>
          </w:p>
          <w:p>
            <w:r>
              <w:t>7、具有标准PC防盗锁孔。</w:t>
            </w:r>
          </w:p>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其它要求：</w:t>
            </w:r>
          </w:p>
          <w:p>
            <w:pPr>
              <w:numPr>
                <w:ilvl w:val="0"/>
                <w:numId w:val="2"/>
              </w:numPr>
              <w:rPr>
                <w:rFonts w:hint="eastAsia" w:ascii="宋体" w:hAnsi="宋体" w:eastAsia="宋体" w:cs="宋体"/>
                <w:b/>
                <w:bCs/>
                <w:sz w:val="21"/>
                <w:szCs w:val="21"/>
              </w:rPr>
            </w:pPr>
            <w:r>
              <w:rPr>
                <w:rFonts w:hint="eastAsia" w:ascii="宋体" w:hAnsi="宋体" w:eastAsia="宋体" w:cs="宋体"/>
                <w:b/>
                <w:bCs/>
                <w:sz w:val="21"/>
                <w:szCs w:val="21"/>
                <w:lang w:val="en-US" w:eastAsia="zh-CN"/>
              </w:rPr>
              <w:t>为保障产品来源正规和售后服务，</w:t>
            </w:r>
            <w:r>
              <w:rPr>
                <w:rFonts w:hint="eastAsia" w:ascii="宋体" w:hAnsi="宋体" w:eastAsia="宋体" w:cs="宋体"/>
                <w:b/>
                <w:bCs/>
                <w:sz w:val="21"/>
                <w:szCs w:val="21"/>
              </w:rPr>
              <w:t>投标</w:t>
            </w:r>
            <w:r>
              <w:rPr>
                <w:rFonts w:hint="eastAsia" w:ascii="宋体" w:hAnsi="宋体" w:eastAsia="宋体" w:cs="宋体"/>
                <w:b/>
                <w:bCs/>
                <w:sz w:val="21"/>
                <w:szCs w:val="21"/>
                <w:lang w:val="en-US" w:eastAsia="zh-CN"/>
              </w:rPr>
              <w:t>时</w:t>
            </w:r>
            <w:r>
              <w:rPr>
                <w:rFonts w:hint="eastAsia" w:ascii="宋体" w:hAnsi="宋体" w:eastAsia="宋体" w:cs="宋体"/>
                <w:b/>
                <w:bCs/>
                <w:sz w:val="21"/>
                <w:szCs w:val="21"/>
              </w:rPr>
              <w:t>必须</w:t>
            </w:r>
            <w:r>
              <w:rPr>
                <w:rFonts w:hint="eastAsia" w:ascii="宋体" w:hAnsi="宋体" w:eastAsia="宋体" w:cs="宋体"/>
                <w:b/>
                <w:bCs/>
                <w:sz w:val="21"/>
                <w:szCs w:val="21"/>
                <w:lang w:val="en-US" w:eastAsia="zh-CN"/>
              </w:rPr>
              <w:t>上传</w:t>
            </w:r>
            <w:r>
              <w:rPr>
                <w:rFonts w:hint="eastAsia" w:ascii="宋体" w:hAnsi="宋体" w:eastAsia="宋体" w:cs="宋体"/>
                <w:b/>
                <w:bCs/>
                <w:sz w:val="21"/>
                <w:szCs w:val="21"/>
              </w:rPr>
              <w:t>提供生产厂家针对此项目的</w:t>
            </w:r>
            <w:r>
              <w:rPr>
                <w:rFonts w:hint="eastAsia" w:ascii="宋体" w:hAnsi="宋体" w:eastAsia="宋体" w:cs="宋体"/>
                <w:b/>
                <w:bCs/>
                <w:sz w:val="21"/>
                <w:szCs w:val="21"/>
                <w:lang w:val="en-US" w:eastAsia="zh-CN"/>
              </w:rPr>
              <w:t>原厂</w:t>
            </w:r>
            <w:r>
              <w:rPr>
                <w:rFonts w:hint="eastAsia" w:ascii="宋体" w:hAnsi="宋体" w:eastAsia="宋体" w:cs="宋体"/>
                <w:b/>
                <w:bCs/>
                <w:sz w:val="21"/>
                <w:szCs w:val="21"/>
              </w:rPr>
              <w:t>售后服务</w:t>
            </w:r>
            <w:r>
              <w:rPr>
                <w:rFonts w:hint="eastAsia" w:ascii="宋体" w:hAnsi="宋体" w:eastAsia="宋体" w:cs="宋体"/>
                <w:b/>
                <w:bCs/>
                <w:sz w:val="21"/>
                <w:szCs w:val="21"/>
                <w:lang w:val="en-US" w:eastAsia="zh-CN"/>
              </w:rPr>
              <w:t>承诺书和原厂供货承诺函扫描件和授权书</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采购需求中</w:t>
            </w:r>
            <w:r>
              <w:rPr>
                <w:rFonts w:hint="eastAsia" w:ascii="宋体" w:hAnsi="宋体" w:eastAsia="宋体" w:cs="宋体"/>
                <w:b/>
                <w:bCs/>
                <w:sz w:val="21"/>
                <w:szCs w:val="21"/>
              </w:rPr>
              <w:t>标“★”项参数的国家认可的第三方检测（验）机构出具的检测（验）报告复印件证明</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否则视为无效报价。对不能满足参数要求虚假响应，或者无法正常交货影响采购人使用的，采购人可作为废标处理，并按规定对投标公司予以投诉处理。 </w:t>
            </w:r>
          </w:p>
          <w:p>
            <w:pPr>
              <w:numPr>
                <w:ilvl w:val="0"/>
                <w:numId w:val="2"/>
              </w:numPr>
              <w:ind w:left="0" w:leftChars="0" w:firstLine="0" w:firstLineChars="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考虑到售后服务方便，本项目只接受</w:t>
            </w:r>
            <w:r>
              <w:rPr>
                <w:rFonts w:hint="eastAsia" w:ascii="宋体" w:hAnsi="宋体" w:eastAsia="宋体" w:cs="宋体"/>
                <w:b/>
                <w:bCs/>
                <w:kern w:val="0"/>
                <w:sz w:val="21"/>
                <w:szCs w:val="21"/>
              </w:rPr>
              <w:t>桂林市本级</w:t>
            </w:r>
            <w:r>
              <w:rPr>
                <w:rFonts w:hint="eastAsia" w:ascii="宋体" w:hAnsi="宋体" w:eastAsia="宋体" w:cs="宋体"/>
                <w:b/>
                <w:bCs/>
                <w:kern w:val="0"/>
                <w:sz w:val="21"/>
                <w:szCs w:val="21"/>
                <w:lang w:eastAsia="zh-CN"/>
              </w:rPr>
              <w:t>及县区内</w:t>
            </w:r>
            <w:r>
              <w:rPr>
                <w:rFonts w:hint="eastAsia" w:ascii="宋体" w:hAnsi="宋体" w:eastAsia="宋体" w:cs="宋体"/>
                <w:b/>
                <w:bCs/>
                <w:kern w:val="0"/>
                <w:sz w:val="21"/>
                <w:szCs w:val="21"/>
              </w:rPr>
              <w:t>中标供应商，不接受非桂林市供应商授权的定点服务商作为售后服务点，非桂林市内供应商一律不接受、不验收、</w:t>
            </w:r>
            <w:r>
              <w:rPr>
                <w:rFonts w:hint="eastAsia" w:ascii="宋体" w:hAnsi="宋体" w:eastAsia="宋体" w:cs="宋体"/>
                <w:b/>
                <w:bCs/>
                <w:color w:val="000000"/>
                <w:kern w:val="0"/>
                <w:sz w:val="21"/>
                <w:szCs w:val="21"/>
              </w:rPr>
              <w:t>不</w:t>
            </w:r>
            <w:r>
              <w:rPr>
                <w:rFonts w:hint="eastAsia" w:ascii="宋体" w:hAnsi="宋体" w:eastAsia="宋体" w:cs="宋体"/>
                <w:b/>
                <w:bCs/>
                <w:color w:val="000000"/>
                <w:kern w:val="0"/>
                <w:sz w:val="21"/>
                <w:szCs w:val="21"/>
                <w:lang w:eastAsia="zh-CN"/>
              </w:rPr>
              <w:t>签订</w:t>
            </w:r>
            <w:r>
              <w:rPr>
                <w:rFonts w:hint="eastAsia" w:ascii="宋体" w:hAnsi="宋体" w:eastAsia="宋体" w:cs="宋体"/>
                <w:b/>
                <w:bCs/>
                <w:color w:val="000000"/>
                <w:kern w:val="0"/>
                <w:sz w:val="21"/>
                <w:szCs w:val="21"/>
              </w:rPr>
              <w:t xml:space="preserve">合同。 </w:t>
            </w:r>
          </w:p>
          <w:p>
            <w:pPr>
              <w:pStyle w:val="2"/>
              <w:rPr>
                <w:b/>
                <w:color w:val="000000" w:themeColor="text1"/>
                <w:sz w:val="18"/>
                <w:szCs w:val="18"/>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本次采</w:t>
            </w:r>
            <w:r>
              <w:rPr>
                <w:rFonts w:hint="eastAsia" w:ascii="宋体" w:hAnsi="宋体" w:eastAsia="宋体" w:cs="宋体"/>
                <w:b/>
                <w:bCs/>
                <w:color w:val="000000" w:themeColor="text1"/>
                <w:sz w:val="21"/>
                <w:szCs w:val="21"/>
                <w:lang w:eastAsia="zh-CN"/>
                <w14:textFill>
                  <w14:solidFill>
                    <w14:schemeClr w14:val="tx1"/>
                  </w14:solidFill>
                </w14:textFill>
              </w:rPr>
              <w:t>购</w:t>
            </w:r>
            <w:r>
              <w:rPr>
                <w:rFonts w:hint="eastAsia" w:ascii="宋体" w:hAnsi="宋体" w:eastAsia="宋体" w:cs="宋体"/>
                <w:b/>
                <w:bCs/>
                <w:color w:val="000000" w:themeColor="text1"/>
                <w:sz w:val="21"/>
                <w:szCs w:val="21"/>
                <w14:textFill>
                  <w14:solidFill>
                    <w14:schemeClr w14:val="tx1"/>
                  </w14:solidFill>
                </w14:textFill>
              </w:rPr>
              <w:t>实施要求生产厂家原厂工程师负责上门完成，且实施后应将软件部分全部功能逐一演示验收并培训后，方为合格。工程师上门时，应当提供生产厂家委派实施函原件，以确保实施服务质量。</w:t>
            </w: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14" w:type="dxa"/>
            <w:vAlign w:val="center"/>
          </w:tcPr>
          <w:p>
            <w:pPr>
              <w:widowControl/>
              <w:tabs>
                <w:tab w:val="left" w:pos="0"/>
              </w:tabs>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1291" w:type="dxa"/>
            <w:vAlign w:val="center"/>
          </w:tcPr>
          <w:p>
            <w:pPr>
              <w:spacing w:line="500" w:lineRule="exact"/>
              <w:jc w:val="center"/>
              <w:rPr>
                <w:rFonts w:cs="宋体" w:asciiTheme="minorEastAsia" w:hAnsiTheme="minorEastAsia" w:eastAsiaTheme="minorEastAsia"/>
                <w:bCs/>
                <w:szCs w:val="21"/>
              </w:rPr>
            </w:pPr>
            <w:r>
              <w:rPr>
                <w:rFonts w:hint="eastAsia" w:ascii="宋体" w:hAnsi="宋体" w:cs="宋体"/>
                <w:bCs/>
                <w:szCs w:val="21"/>
              </w:rPr>
              <w:t>学生床</w:t>
            </w:r>
            <w:r>
              <w:rPr>
                <w:rFonts w:hint="eastAsia" w:ascii="宋体" w:hAnsi="宋体" w:cs="宋体"/>
                <w:bCs/>
                <w:szCs w:val="21"/>
                <w:lang w:eastAsia="zh-CN"/>
              </w:rPr>
              <w:t>铺</w:t>
            </w:r>
          </w:p>
        </w:tc>
        <w:tc>
          <w:tcPr>
            <w:tcW w:w="6899" w:type="dxa"/>
            <w:vAlign w:val="center"/>
          </w:tcPr>
          <w:p>
            <w:pPr>
              <w:rPr>
                <w:rFonts w:hint="eastAsia"/>
              </w:rPr>
            </w:pPr>
            <w:r>
              <w:rPr>
                <w:rFonts w:hint="eastAsia"/>
              </w:rPr>
              <w:t xml:space="preserve">双层床的尺寸：2000 mm×900 mm×1800mm（长×宽×高） </w:t>
            </w:r>
          </w:p>
          <w:p>
            <w:pPr>
              <w:rPr>
                <w:rFonts w:hint="eastAsia"/>
              </w:rPr>
            </w:pPr>
            <w:r>
              <w:rPr>
                <w:rFonts w:hint="eastAsia"/>
              </w:rPr>
              <w:t xml:space="preserve"> 1、主体材料</w:t>
            </w:r>
          </w:p>
          <w:p>
            <w:pPr>
              <w:rPr>
                <w:rFonts w:hint="eastAsia"/>
              </w:rPr>
            </w:pPr>
            <w:r>
              <w:rPr>
                <w:rFonts w:hint="eastAsia"/>
              </w:rPr>
              <w:t>主柱：方管40mm×40mm，厚度1.5 mm。</w:t>
            </w:r>
          </w:p>
          <w:p>
            <w:pPr>
              <w:rPr>
                <w:rFonts w:hint="eastAsia"/>
              </w:rPr>
            </w:pPr>
            <w:r>
              <w:rPr>
                <w:rFonts w:hint="eastAsia"/>
              </w:rPr>
              <w:t>主柱横担：方管25mm×25mm，厚度1.0 mm。</w:t>
            </w:r>
          </w:p>
          <w:p>
            <w:pPr>
              <w:rPr>
                <w:rFonts w:hint="eastAsia"/>
              </w:rPr>
            </w:pPr>
            <w:r>
              <w:rPr>
                <w:rFonts w:hint="eastAsia"/>
              </w:rPr>
              <w:t>床梃（床母）：矩形管25mm×50mm，厚度1.5 mm。</w:t>
            </w:r>
          </w:p>
          <w:p>
            <w:pPr>
              <w:rPr>
                <w:rFonts w:hint="eastAsia"/>
              </w:rPr>
            </w:pPr>
            <w:r>
              <w:rPr>
                <w:rFonts w:hint="eastAsia"/>
              </w:rPr>
              <w:t>床梃（床母）横担：方管25mm×25mm，厚度1.0mm，上床铺床梃（床母）横担不少于4根，下床铺床梃（床母）横担不少于4根。</w:t>
            </w:r>
          </w:p>
          <w:p>
            <w:pPr>
              <w:rPr>
                <w:rFonts w:hint="eastAsia"/>
              </w:rPr>
            </w:pPr>
            <w:r>
              <w:rPr>
                <w:rFonts w:hint="eastAsia"/>
              </w:rPr>
              <w:t>上床铺面安全栏板及床两端护栏：双层床的安全栏板规格：1000mm×250mm（长×高），安全栏竖管不少于3根，钢管直径19mm，管壁厚：1.0mm。安全栏板与主柱距离（缺口长度）为500mm。</w:t>
            </w:r>
          </w:p>
          <w:p>
            <w:pPr>
              <w:rPr>
                <w:rFonts w:hint="eastAsia"/>
              </w:rPr>
            </w:pPr>
            <w:r>
              <w:rPr>
                <w:rFonts w:hint="eastAsia"/>
              </w:rPr>
              <w:t>2、材料质量</w:t>
            </w:r>
          </w:p>
          <w:p>
            <w:pPr>
              <w:rPr>
                <w:rFonts w:hint="eastAsia"/>
              </w:rPr>
            </w:pPr>
            <w:r>
              <w:rPr>
                <w:rFonts w:hint="eastAsia"/>
              </w:rPr>
              <w:t>金属件材质不允许使用出现孔洞、缺口、开裂、尖角、裂缝、叠缝、腐蚀、离层、结疤、氧化皮等影响产品结构强度、外观和安全的材料。</w:t>
            </w:r>
          </w:p>
          <w:p>
            <w:pPr>
              <w:rPr>
                <w:rFonts w:hint="eastAsia"/>
              </w:rPr>
            </w:pPr>
            <w:r>
              <w:rPr>
                <w:rFonts w:hint="eastAsia"/>
              </w:rPr>
              <w:t>3、双层床所用木材为杉木版，板材厚度1.5mm单面抛光，床板用四根方条固定。每张双层床配2块床板。</w:t>
            </w:r>
          </w:p>
          <w:p>
            <w:pPr>
              <w:rPr>
                <w:rFonts w:hint="eastAsia"/>
              </w:rPr>
            </w:pPr>
            <w:r>
              <w:rPr>
                <w:rFonts w:hint="eastAsia"/>
              </w:rPr>
              <w:t>4、脚套。</w:t>
            </w:r>
          </w:p>
          <w:p>
            <w:pPr>
              <w:rPr>
                <w:rFonts w:hint="eastAsia"/>
              </w:rPr>
            </w:pPr>
            <w:r>
              <w:rPr>
                <w:rFonts w:hint="eastAsia"/>
              </w:rPr>
              <w:t>床脚和床主柱顶端的脚套为内嵌式黑色脚套，采用超高分子量PE材料制作,脚套与床脚（或主柱顶端）应结合紧密，牢靠，不脱落。</w:t>
            </w:r>
          </w:p>
          <w:p>
            <w:pPr>
              <w:rPr>
                <w:rFonts w:hint="eastAsia"/>
              </w:rPr>
            </w:pPr>
            <w:r>
              <w:rPr>
                <w:rFonts w:hint="eastAsia"/>
              </w:rPr>
              <w:t>5、焊接件焊接时采用二氧化碳保护焊接。不允许脱焊、虚焊、焊穿、错位现象；焊接处应无夹渣、气孔、焊瘤、焊丝头、咬边、飞溅；焊疤表面波纹应均匀、高低之差应不大于1mm。</w:t>
            </w:r>
          </w:p>
          <w:p>
            <w:pPr>
              <w:rPr>
                <w:rFonts w:hint="eastAsia"/>
              </w:rPr>
            </w:pPr>
            <w:r>
              <w:rPr>
                <w:rFonts w:hint="eastAsia"/>
              </w:rPr>
              <w:t>6、床梯子与床梃（床母）的联接采用与上下床梃（床母）垂直插入定位方式。</w:t>
            </w:r>
          </w:p>
          <w:p>
            <w:r>
              <w:rPr>
                <w:rFonts w:hint="eastAsia"/>
              </w:rPr>
              <w:t xml:space="preserve"> </w:t>
            </w:r>
            <w:r>
              <w:rPr>
                <w:rFonts w:hint="eastAsia"/>
                <w:lang w:val="en-US" w:eastAsia="zh-CN"/>
              </w:rPr>
              <w:t>7</w:t>
            </w:r>
            <w:r>
              <w:rPr>
                <w:rFonts w:hint="eastAsia"/>
              </w:rPr>
              <w:t>、金属件涂层应无漏喷、锈蚀；应光滑均匀，色泽一致，应无流挂、疙瘩、皱皮、飞漆等缺陷。</w:t>
            </w:r>
          </w:p>
        </w:tc>
        <w:tc>
          <w:tcPr>
            <w:tcW w:w="570" w:type="dxa"/>
            <w:vAlign w:val="center"/>
          </w:tcPr>
          <w:p>
            <w:pPr>
              <w:widowControl/>
              <w:jc w:val="center"/>
              <w:textAlignment w:val="top"/>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410</w:t>
            </w:r>
          </w:p>
        </w:tc>
        <w:tc>
          <w:tcPr>
            <w:tcW w:w="713" w:type="dxa"/>
            <w:vAlign w:val="center"/>
          </w:tcPr>
          <w:p>
            <w:pPr>
              <w:widowControl/>
              <w:jc w:val="center"/>
              <w:textAlignment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714" w:type="dxa"/>
            <w:vAlign w:val="center"/>
          </w:tcPr>
          <w:p>
            <w:pPr>
              <w:widowControl/>
              <w:tabs>
                <w:tab w:val="left" w:pos="0"/>
              </w:tabs>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1291" w:type="dxa"/>
            <w:vAlign w:val="center"/>
          </w:tcPr>
          <w:p>
            <w:pPr>
              <w:spacing w:line="5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学生课桌椅</w:t>
            </w:r>
          </w:p>
        </w:tc>
        <w:tc>
          <w:tcPr>
            <w:tcW w:w="6899" w:type="dxa"/>
            <w:vAlign w:val="center"/>
          </w:tcPr>
          <w:p>
            <w:pPr>
              <w:rPr>
                <w:rFonts w:hint="eastAsia"/>
              </w:rPr>
            </w:pPr>
            <w:r>
              <w:rPr>
                <w:rFonts w:hint="eastAsia"/>
              </w:rPr>
              <w:t>一、学生课桌：</w:t>
            </w:r>
          </w:p>
          <w:p>
            <w:pPr>
              <w:rPr>
                <w:rFonts w:hint="eastAsia"/>
              </w:rPr>
            </w:pPr>
            <w:r>
              <w:rPr>
                <w:rFonts w:hint="eastAsia"/>
              </w:rPr>
              <w:t>1.产品符合GB/T 3976-2014《学校课桌椅功能尺寸》中的功能尺寸及技术要求；</w:t>
            </w:r>
          </w:p>
          <w:p>
            <w:pPr>
              <w:rPr>
                <w:rFonts w:hint="eastAsia"/>
              </w:rPr>
            </w:pPr>
            <w:r>
              <w:rPr>
                <w:rFonts w:hint="eastAsia"/>
              </w:rPr>
              <w:t>2.桌面尺寸：不小于600mm×400mm；</w:t>
            </w:r>
          </w:p>
          <w:p>
            <w:pPr>
              <w:rPr>
                <w:rFonts w:hint="eastAsia"/>
              </w:rPr>
            </w:pPr>
            <w:r>
              <w:rPr>
                <w:rFonts w:hint="eastAsia"/>
              </w:rPr>
              <w:t>（1）中学部分：采用双柱升降课桌；高度760mm（1号）、730mm（2号）、700mm（3号）、670mm（4号），允许误差±5mm，可在以上型号进行升降调整；</w:t>
            </w:r>
          </w:p>
          <w:p>
            <w:pPr>
              <w:rPr>
                <w:rFonts w:hint="eastAsia"/>
              </w:rPr>
            </w:pPr>
            <w:r>
              <w:rPr>
                <w:rFonts w:hint="eastAsia"/>
              </w:rPr>
              <w:t>（2）小学部分：采用双柱升降课桌；高度640 mm（5号）、610 mm（6号）、580mm（7号）、550mm（8号），允许误差±5mm，可在以上型号进行升降调整；</w:t>
            </w:r>
          </w:p>
          <w:p>
            <w:pPr>
              <w:rPr>
                <w:rFonts w:hint="eastAsia"/>
              </w:rPr>
            </w:pPr>
            <w:r>
              <w:rPr>
                <w:rFonts w:hint="eastAsia"/>
              </w:rPr>
              <w:t>3.桌斗尺寸：深370mm，长520mm，高115mm（净空）（以上尺寸允许±3mm)；桌斗与侧片使用铆钉或螺钉连接；桌斗加强筋间距25mm(±1mm)，深度6mm(±0.2m  m)，距斗边距35mm(±1mm)</w:t>
            </w:r>
          </w:p>
          <w:p>
            <w:pPr>
              <w:rPr>
                <w:rFonts w:hint="eastAsia"/>
              </w:rPr>
            </w:pPr>
            <w:r>
              <w:rPr>
                <w:rFonts w:hint="eastAsia"/>
              </w:rPr>
              <w:t>二、4.钢材要求：桌斗与侧片采用冷轧板，课桌两侧可调高度的立板厚度为0.8mm，桌斗板厚0.6mm，课桌脚·立柱采用25mm×50mm椭圆管，管壁厚度1.2mm</w:t>
            </w:r>
          </w:p>
          <w:p>
            <w:pPr>
              <w:rPr>
                <w:rFonts w:hint="eastAsia"/>
              </w:rPr>
            </w:pPr>
            <w:r>
              <w:rPr>
                <w:rFonts w:hint="eastAsia"/>
              </w:rPr>
              <w:t>三、5.桌面规格：600*400mm，主体采用公称厚度不小于18mmE1级中密度板四周围一次性注塑封边。主体采用公称厚度不小于18mmE1级中密度板四周一次性注塑封边。中密度板外表面装饰层（上下两面）采用接近天然木色的木纹贴面防火板。（面板颜色及封边颜色可按实际需求生产）</w:t>
            </w:r>
          </w:p>
          <w:p>
            <w:pPr>
              <w:rPr>
                <w:rFonts w:hint="eastAsia"/>
              </w:rPr>
            </w:pPr>
            <w:r>
              <w:rPr>
                <w:rFonts w:hint="eastAsia"/>
              </w:rPr>
              <w:t>6.课桌脚套采用优质PVC软塑料制作，每个脚套有倒钩技术功能，能有效防脱落；</w:t>
            </w:r>
          </w:p>
          <w:p>
            <w:pPr>
              <w:rPr>
                <w:rFonts w:hint="eastAsia"/>
              </w:rPr>
            </w:pPr>
            <w:r>
              <w:rPr>
                <w:rFonts w:hint="eastAsia"/>
              </w:rPr>
              <w:t>7.桌斗桌脚架固定要用螺栓、平垫片和弹簧垫片坚固，螺帽采用圆头螺帽，每侧安装数量均不能少于4颗；侧片采用圆形孔，安装好产品致使螺丝不能任意松垮，确保课桌椅的安全使用；</w:t>
            </w:r>
          </w:p>
          <w:p>
            <w:pPr>
              <w:rPr>
                <w:rFonts w:hint="eastAsia"/>
              </w:rPr>
            </w:pPr>
            <w:r>
              <w:rPr>
                <w:rFonts w:hint="eastAsia"/>
              </w:rPr>
              <w:t>8.塑粉采用优质环保塑粉；</w:t>
            </w:r>
          </w:p>
          <w:p>
            <w:pPr>
              <w:rPr>
                <w:rFonts w:hint="eastAsia"/>
              </w:rPr>
            </w:pPr>
            <w:r>
              <w:rPr>
                <w:rFonts w:hint="eastAsia"/>
              </w:rPr>
              <w:t>9.铁件部分均要经过除油、去锈、磷化处理再进行喷塑，然后经过180℃以上高温烘烤；</w:t>
            </w:r>
          </w:p>
          <w:p>
            <w:pPr>
              <w:rPr>
                <w:rFonts w:hint="eastAsia"/>
              </w:rPr>
            </w:pPr>
            <w:r>
              <w:rPr>
                <w:rFonts w:hint="eastAsia"/>
              </w:rPr>
              <w:t>10.铁件的焊接采用二氧化碳护焊进行焊接；</w:t>
            </w:r>
          </w:p>
          <w:p>
            <w:pPr>
              <w:rPr>
                <w:rFonts w:hint="eastAsia"/>
              </w:rPr>
            </w:pPr>
            <w:r>
              <w:rPr>
                <w:rFonts w:hint="eastAsia"/>
              </w:rPr>
              <w:t>11.桌子左右两边要求配有挂钩，挂钩采用PE注塑成型，使用铆钉固定，可用来挂学生书包，挂钩边缘经打磨处理，以防划伤手、书包；</w:t>
            </w:r>
          </w:p>
          <w:p>
            <w:pPr>
              <w:rPr>
                <w:rFonts w:hint="eastAsia"/>
              </w:rPr>
            </w:pPr>
            <w:r>
              <w:rPr>
                <w:rFonts w:hint="eastAsia"/>
              </w:rPr>
              <w:t>12.冲压件应无脱层、裂缝。桌斗利用钢板由机器冲压一次成型，端口作卷边处理增加刚性，以防尖利边角对人体的伤害。桌斗底面冲压两条上凸的加强筋以增强桌斗刚性。课桌两侧立板边缘打磨平滑后再喷漆，以防尖毛边刮伤人体；</w:t>
            </w:r>
          </w:p>
          <w:p>
            <w:pPr>
              <w:rPr>
                <w:rFonts w:hint="eastAsia"/>
              </w:rPr>
            </w:pPr>
            <w:r>
              <w:rPr>
                <w:rFonts w:hint="eastAsia"/>
              </w:rPr>
              <w:t>13.课桌面板与钢架的连接采用抽芯钉连接，抽芯钉的铆头直径不小于1cm，面板与钢架连接的抽芯钉不少于四根；</w:t>
            </w:r>
          </w:p>
          <w:p>
            <w:pPr>
              <w:rPr>
                <w:rFonts w:hint="eastAsia"/>
              </w:rPr>
            </w:pPr>
            <w:r>
              <w:rPr>
                <w:rFonts w:hint="eastAsia"/>
              </w:rPr>
              <w:t>14.桌斗与桌架颜色为高光灰白色，脚套颜色为黑色。</w:t>
            </w:r>
          </w:p>
          <w:p>
            <w:pPr>
              <w:rPr>
                <w:rFonts w:hint="eastAsia"/>
              </w:rPr>
            </w:pPr>
            <w:r>
              <w:rPr>
                <w:rFonts w:hint="eastAsia"/>
              </w:rPr>
              <w:t>二、学生课椅：</w:t>
            </w:r>
          </w:p>
          <w:p>
            <w:pPr>
              <w:rPr>
                <w:rFonts w:hint="eastAsia"/>
              </w:rPr>
            </w:pPr>
            <w:r>
              <w:rPr>
                <w:rFonts w:hint="eastAsia"/>
              </w:rPr>
              <w:t>1.产品符合GB/T 3976-2014《学校课桌椅功能尺寸》中的功能尺寸及技术要求；</w:t>
            </w:r>
          </w:p>
          <w:p>
            <w:pPr>
              <w:rPr>
                <w:rFonts w:hint="eastAsia"/>
              </w:rPr>
            </w:pPr>
            <w:r>
              <w:rPr>
                <w:rFonts w:hint="eastAsia"/>
              </w:rPr>
              <w:t>2.椅子椅座面尺寸：≥宽385mm×深385mm（±5mm），椅靠背面尺寸：≥宽385×高160mm（±5mm），椅背高350mm（±5mm）；</w:t>
            </w:r>
          </w:p>
          <w:p>
            <w:pPr>
              <w:rPr>
                <w:rFonts w:hint="eastAsia"/>
              </w:rPr>
            </w:pPr>
            <w:r>
              <w:rPr>
                <w:rFonts w:hint="eastAsia"/>
              </w:rPr>
              <w:t>3.座面高度：</w:t>
            </w:r>
          </w:p>
          <w:p>
            <w:pPr>
              <w:rPr>
                <w:rFonts w:hint="eastAsia"/>
              </w:rPr>
            </w:pPr>
            <w:r>
              <w:rPr>
                <w:rFonts w:hint="eastAsia"/>
              </w:rPr>
              <w:t>（1）中学部分：采用双柱升降课椅；高度440 mm（1号）、420 mm（2号）、400 mm（3号）、380mm（4号），允许误差±5mm，可在以上型号进行升降调整；</w:t>
            </w:r>
          </w:p>
          <w:p>
            <w:pPr>
              <w:rPr>
                <w:rFonts w:hint="eastAsia"/>
              </w:rPr>
            </w:pPr>
            <w:r>
              <w:rPr>
                <w:rFonts w:hint="eastAsia"/>
              </w:rPr>
              <w:t>（2）小学部分：采用双柱升降课椅；高度360mm（5号）、340mm（6号）、320mm（7号）、300mm（8号），允许误差±5mm，可在以上型号进行升降调整；</w:t>
            </w:r>
          </w:p>
          <w:p>
            <w:pPr>
              <w:rPr>
                <w:rFonts w:hint="eastAsia"/>
              </w:rPr>
            </w:pPr>
            <w:r>
              <w:rPr>
                <w:rFonts w:hint="eastAsia"/>
              </w:rPr>
              <w:t>4.钢材要求：椅脚架采用优质高频焊接（25×50mm）椭圆管，满焊，管壁厚度1.2mm及以上；椅脚两侧可调高度的立板采用冷轧板，厚度为0.8mm及以上；椅子靠背支架采用高频焊接（20×20mm）方管，管壁厚度不小于1.0mm；5.椅座规格：370*370mm ，主体采用公称厚度不小于18mmE1级中密度板四周一次性注塑封边。中密度板外表面装饰层（上下两面）采用接近天然木色的木纹贴面防火板。（面板颜色及封边颜色可按实际需求生产）</w:t>
            </w:r>
          </w:p>
          <w:p>
            <w:pPr>
              <w:rPr>
                <w:rFonts w:hint="eastAsia"/>
              </w:rPr>
            </w:pPr>
            <w:r>
              <w:rPr>
                <w:rFonts w:hint="eastAsia"/>
              </w:rPr>
              <w:t>6.课椅靠背规格：370*170mm，要求是弧形的主体采用桉木基材的中密度板,靠背面板四周一次性注塑封边，注塑边缘与座面圆润连接，无突兀感，增加舒适程度。</w:t>
            </w:r>
          </w:p>
          <w:p>
            <w:pPr>
              <w:rPr>
                <w:rFonts w:hint="eastAsia"/>
              </w:rPr>
            </w:pPr>
            <w:r>
              <w:rPr>
                <w:rFonts w:hint="eastAsia"/>
              </w:rPr>
              <w:t>7.课椅脚套采用具有良好的硬度和韧度的PVC注塑成型，</w:t>
            </w:r>
          </w:p>
          <w:p>
            <w:pPr>
              <w:rPr>
                <w:rFonts w:hint="eastAsia"/>
              </w:rPr>
            </w:pPr>
            <w:r>
              <w:rPr>
                <w:rFonts w:hint="eastAsia"/>
              </w:rPr>
              <w:t>8.课椅脚架固定要用螺栓、平垫片和弹簧垫片坚固，螺帽采用圆头螺帽，每侧安装数量均不能少于4颗；课椅两侧立板边缘打磨平滑后再喷漆，以防尖毛边刮伤人体；侧片采用圆形孔，安装好产品致使螺丝不能任意松垮，即能确保课桌椅的安全使用。</w:t>
            </w:r>
          </w:p>
          <w:p>
            <w:pPr>
              <w:rPr>
                <w:rFonts w:hint="eastAsia"/>
              </w:rPr>
            </w:pPr>
            <w:r>
              <w:rPr>
                <w:rFonts w:hint="eastAsia"/>
              </w:rPr>
              <w:t>9.塑粉采用优质环保塑粉；</w:t>
            </w:r>
          </w:p>
          <w:p>
            <w:pPr>
              <w:rPr>
                <w:rFonts w:hint="eastAsia"/>
              </w:rPr>
            </w:pPr>
            <w:r>
              <w:rPr>
                <w:rFonts w:hint="eastAsia"/>
              </w:rPr>
              <w:t>10.铁件部分均要经过除油、去锈、磷化处理再进行喷塑，然后经过180℃高温烘烤。</w:t>
            </w:r>
          </w:p>
          <w:p>
            <w:pPr>
              <w:rPr>
                <w:rFonts w:hint="eastAsia"/>
              </w:rPr>
            </w:pPr>
            <w:r>
              <w:rPr>
                <w:rFonts w:hint="eastAsia"/>
              </w:rPr>
              <w:t>11.铁件的焊接均采用二氧化碳护焊进行焊接。</w:t>
            </w:r>
          </w:p>
          <w:p>
            <w:pPr>
              <w:rPr>
                <w:rFonts w:hint="eastAsia"/>
              </w:rPr>
            </w:pPr>
            <w:r>
              <w:rPr>
                <w:rFonts w:hint="eastAsia"/>
              </w:rPr>
              <w:t>12.椅架颜色为高光灰白色，脚套颜色为兰色。</w:t>
            </w:r>
          </w:p>
          <w:p>
            <w:pPr>
              <w:rPr>
                <w:rFonts w:eastAsia="微软雅黑"/>
              </w:rPr>
            </w:pPr>
            <w:r>
              <w:rPr>
                <w:rFonts w:hint="eastAsia"/>
              </w:rPr>
              <w:t>13.课椅面板、靠背板与钢架的连接采用抽芯钉连接，面板、靠背板与钢架连接的抽芯钉均不少于四根。</w:t>
            </w:r>
          </w:p>
        </w:tc>
        <w:tc>
          <w:tcPr>
            <w:tcW w:w="570" w:type="dxa"/>
            <w:vAlign w:val="center"/>
          </w:tcPr>
          <w:p>
            <w:pPr>
              <w:widowControl/>
              <w:jc w:val="center"/>
              <w:textAlignment w:val="top"/>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640</w:t>
            </w:r>
          </w:p>
        </w:tc>
        <w:tc>
          <w:tcPr>
            <w:tcW w:w="713" w:type="dxa"/>
            <w:vAlign w:val="center"/>
          </w:tcPr>
          <w:p>
            <w:pPr>
              <w:widowControl/>
              <w:jc w:val="center"/>
              <w:textAlignment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1" w:hRule="atLeast"/>
          <w:jc w:val="center"/>
        </w:trPr>
        <w:tc>
          <w:tcPr>
            <w:tcW w:w="10187" w:type="dxa"/>
            <w:gridSpan w:val="5"/>
            <w:vAlign w:val="center"/>
          </w:tcPr>
          <w:p>
            <w:pPr>
              <w:spacing w:line="360" w:lineRule="auto"/>
              <w:jc w:val="left"/>
              <w:outlineLvl w:val="1"/>
              <w:rPr>
                <w:rFonts w:hint="eastAsia" w:ascii="宋体" w:hAnsi="宋体" w:cs="宋体"/>
                <w:b/>
                <w:szCs w:val="21"/>
              </w:rPr>
            </w:pPr>
          </w:p>
          <w:p>
            <w:pPr>
              <w:spacing w:line="360" w:lineRule="auto"/>
              <w:jc w:val="left"/>
              <w:outlineLvl w:val="1"/>
              <w:rPr>
                <w:rFonts w:cs="宋体" w:asciiTheme="minorEastAsia" w:hAnsiTheme="minorEastAsia" w:eastAsiaTheme="minorEastAsia"/>
                <w:color w:val="000000"/>
                <w:kern w:val="0"/>
                <w:szCs w:val="21"/>
              </w:rPr>
            </w:pPr>
            <w:r>
              <w:rPr>
                <w:rFonts w:hint="eastAsia" w:ascii="宋体" w:hAnsi="宋体" w:cs="宋体"/>
                <w:b/>
                <w:szCs w:val="21"/>
              </w:rPr>
              <w:t>商务要求（本项目商务要求均为实质性响应条件）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vAlign w:val="center"/>
          </w:tcPr>
          <w:p>
            <w:pPr>
              <w:widowControl/>
              <w:snapToGrid w:val="0"/>
              <w:spacing w:line="400" w:lineRule="exact"/>
              <w:jc w:val="center"/>
              <w:textAlignment w:val="bottom"/>
              <w:rPr>
                <w:rFonts w:ascii="宋体" w:hAnsi="宋体" w:cs="宋体"/>
                <w:kern w:val="0"/>
                <w:szCs w:val="21"/>
              </w:rPr>
            </w:pPr>
            <w:r>
              <w:rPr>
                <w:rFonts w:hint="eastAsia" w:ascii="宋体" w:hAnsi="宋体" w:cs="宋体"/>
                <w:kern w:val="0"/>
                <w:szCs w:val="21"/>
              </w:rPr>
              <w:t>售后服务要求</w:t>
            </w:r>
          </w:p>
        </w:tc>
        <w:tc>
          <w:tcPr>
            <w:tcW w:w="8182" w:type="dxa"/>
            <w:gridSpan w:val="3"/>
            <w:vAlign w:val="center"/>
          </w:tcPr>
          <w:p>
            <w:pPr>
              <w:widowControl/>
              <w:snapToGrid w:val="0"/>
              <w:spacing w:line="400" w:lineRule="exact"/>
              <w:jc w:val="left"/>
              <w:textAlignment w:val="bottom"/>
              <w:rPr>
                <w:color w:val="FF0000"/>
              </w:rPr>
            </w:pPr>
            <w:r>
              <w:rPr>
                <w:rFonts w:hint="eastAsia"/>
              </w:rPr>
              <w:t>1.按国家有关产品“三包”规定执行“三包”，</w:t>
            </w:r>
            <w:r>
              <w:rPr>
                <w:rFonts w:hint="eastAsia"/>
                <w:color w:val="auto"/>
              </w:rPr>
              <w:t>3年（含）免费保修期（免费保修期从设备验收合格之日起计算），免费上门服务。</w:t>
            </w:r>
          </w:p>
          <w:p>
            <w:pPr>
              <w:widowControl/>
              <w:snapToGrid w:val="0"/>
              <w:spacing w:line="400" w:lineRule="exact"/>
              <w:jc w:val="left"/>
              <w:textAlignment w:val="bottom"/>
            </w:pPr>
            <w:r>
              <w:rPr>
                <w:rFonts w:hint="eastAsia"/>
              </w:rPr>
              <w:t>2.维修响应：供应商应设有客户服务中心，24小时服务电话，在接到用户的维修电话后20分钟内响应。在质量保证期内，供应商在收到设备用户第一个报修电话后，应在1小时内赶到现场，</w:t>
            </w:r>
            <w:r>
              <w:rPr>
                <w:rFonts w:hint="eastAsia"/>
                <w:color w:val="auto"/>
              </w:rPr>
              <w:t>并免费维修更换有缺陷的货物或部件</w:t>
            </w:r>
            <w:r>
              <w:rPr>
                <w:rFonts w:hint="eastAsia"/>
                <w:color w:val="FF0000"/>
                <w:lang w:eastAsia="zh-CN"/>
              </w:rPr>
              <w:t>（</w:t>
            </w:r>
            <w:r>
              <w:rPr>
                <w:rFonts w:hint="eastAsia"/>
                <w:lang w:eastAsia="zh-CN"/>
              </w:rPr>
              <w:t>免费保修期内</w:t>
            </w:r>
            <w:r>
              <w:rPr>
                <w:rFonts w:hint="eastAsia"/>
                <w:color w:val="FF0000"/>
                <w:lang w:eastAsia="zh-CN"/>
              </w:rPr>
              <w:t>）</w:t>
            </w:r>
            <w:r>
              <w:rPr>
                <w:rFonts w:hint="eastAsia"/>
              </w:rPr>
              <w:t>，若现场不能解决，应最多不超过4小时内将设备修好，如4小时内未能修复提供同档次备机，保证学校工作正常开展。</w:t>
            </w:r>
          </w:p>
          <w:p>
            <w:pPr>
              <w:pStyle w:val="2"/>
              <w:rPr>
                <w:rFonts w:asciiTheme="minorEastAsia" w:hAnsiTheme="minorEastAsia" w:eastAsiaTheme="minorEastAsia"/>
                <w:sz w:val="21"/>
                <w:szCs w:val="21"/>
              </w:rPr>
            </w:pPr>
            <w:r>
              <w:rPr>
                <w:rFonts w:hint="eastAsia"/>
              </w:rPr>
              <w:t>3</w:t>
            </w:r>
            <w:r>
              <w:rPr>
                <w:rFonts w:hint="eastAsia" w:asciiTheme="minorEastAsia" w:hAnsiTheme="minorEastAsia" w:eastAsiaTheme="minorEastAsia"/>
                <w:sz w:val="21"/>
                <w:szCs w:val="21"/>
              </w:rPr>
              <w:t>.培训：提供线上培训不少于3课时，经培训后，采购人能完成本项目产品日常管理与维护工作，能熟练操作本项目的设备，培训所需的资料费、授课费由中标供应商负责；培训详细方案内容需报采购人主管部门审定后方可实施。</w:t>
            </w:r>
          </w:p>
          <w:p>
            <w:pPr>
              <w:pStyle w:val="2"/>
              <w:rPr>
                <w:rFonts w:asciiTheme="minorEastAsia" w:hAnsiTheme="minorEastAsia" w:eastAsiaTheme="minorEastAsia"/>
                <w:sz w:val="21"/>
                <w:szCs w:val="21"/>
              </w:rPr>
            </w:pPr>
            <w:r>
              <w:rPr>
                <w:rFonts w:hint="eastAsia" w:ascii="宋体" w:hAnsi="宋体" w:cs="宋体"/>
                <w:sz w:val="21"/>
                <w:szCs w:val="21"/>
              </w:rPr>
              <w:t>4.</w:t>
            </w:r>
            <w:r>
              <w:rPr>
                <w:rFonts w:hint="eastAsia" w:asciiTheme="minorEastAsia" w:hAnsiTheme="minorEastAsia" w:eastAsiaTheme="minorEastAsia"/>
                <w:sz w:val="21"/>
                <w:szCs w:val="21"/>
              </w:rPr>
              <w:t>要求投标人在永福县设立有固定服务机构，以保障设备售后服务及时性，竞标时提供在永福县固定服务机构的证明文件（可以是营业执照或租房合同）及联系电话。</w:t>
            </w:r>
          </w:p>
          <w:p>
            <w:r>
              <w:t>5.本项目不接受联合体投标及项目服务转包。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ottom"/>
              <w:rPr>
                <w:rFonts w:ascii="宋体" w:hAnsi="宋体" w:cs="宋体"/>
                <w:kern w:val="0"/>
                <w:szCs w:val="21"/>
              </w:rPr>
            </w:pPr>
            <w:r>
              <w:rPr>
                <w:rFonts w:hint="eastAsia" w:ascii="宋体" w:hAnsi="宋体" w:cs="宋体"/>
                <w:bCs/>
                <w:kern w:val="0"/>
                <w:szCs w:val="21"/>
              </w:rPr>
              <w:t>合同签订期</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textAlignment w:val="bottom"/>
              <w:rPr>
                <w:rFonts w:ascii="宋体" w:hAnsi="宋体" w:cs="宋体"/>
                <w:szCs w:val="21"/>
              </w:rPr>
            </w:pPr>
            <w:r>
              <w:rPr>
                <w:rFonts w:hint="eastAsia" w:ascii="宋体" w:hAnsi="宋体" w:cs="宋体"/>
                <w:szCs w:val="21"/>
              </w:rPr>
              <w:t>中标通知书发出之日起</w:t>
            </w:r>
            <w:r>
              <w:rPr>
                <w:rFonts w:hint="eastAsia" w:ascii="宋体" w:hAnsi="宋体" w:cs="宋体"/>
                <w:szCs w:val="21"/>
                <w:lang w:val="en-US" w:eastAsia="zh-CN"/>
              </w:rPr>
              <w:t>1</w:t>
            </w:r>
            <w:r>
              <w:rPr>
                <w:rFonts w:hint="eastAsia" w:ascii="宋体" w:hAnsi="宋体" w:cs="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ottom"/>
              <w:rPr>
                <w:rFonts w:ascii="宋体" w:hAnsi="宋体" w:cs="宋体"/>
                <w:kern w:val="0"/>
                <w:szCs w:val="21"/>
              </w:rPr>
            </w:pPr>
            <w:r>
              <w:rPr>
                <w:rFonts w:hint="eastAsia" w:ascii="宋体" w:hAnsi="宋体" w:cs="宋体"/>
                <w:kern w:val="0"/>
                <w:szCs w:val="21"/>
              </w:rPr>
              <w:t>交付使用时间及地点</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left"/>
              <w:textAlignment w:val="bottom"/>
              <w:rPr>
                <w:rFonts w:ascii="宋体" w:hAnsi="宋体" w:cs="宋体"/>
                <w:b w:val="0"/>
                <w:bCs w:val="0"/>
                <w:szCs w:val="21"/>
              </w:rPr>
            </w:pPr>
            <w:r>
              <w:rPr>
                <w:rFonts w:hint="eastAsia" w:ascii="宋体" w:hAnsi="宋体" w:cs="宋体"/>
                <w:b w:val="0"/>
                <w:bCs w:val="0"/>
                <w:szCs w:val="21"/>
              </w:rPr>
              <w:t>1.交付使用时间：由于本项目采购货物采购需求紧急，中标供应商必须</w:t>
            </w:r>
            <w:r>
              <w:rPr>
                <w:rFonts w:hint="eastAsia" w:ascii="宋体" w:hAnsi="宋体" w:cs="宋体"/>
                <w:b w:val="0"/>
                <w:bCs w:val="0"/>
                <w:kern w:val="0"/>
                <w:szCs w:val="21"/>
              </w:rPr>
              <w:t>在</w:t>
            </w:r>
            <w:r>
              <w:rPr>
                <w:rFonts w:hint="eastAsia" w:ascii="宋体" w:hAnsi="宋体" w:cs="宋体"/>
                <w:b w:val="0"/>
                <w:bCs w:val="0"/>
                <w:color w:val="auto"/>
                <w:kern w:val="0"/>
                <w:szCs w:val="21"/>
                <w:lang w:val="en-US" w:eastAsia="zh-CN"/>
              </w:rPr>
              <w:t>2022年9 月3</w:t>
            </w:r>
            <w:r>
              <w:rPr>
                <w:rFonts w:hint="eastAsia" w:ascii="宋体" w:hAnsi="宋体" w:cs="宋体"/>
                <w:b w:val="0"/>
                <w:bCs w:val="0"/>
                <w:color w:val="70AD47" w:themeColor="accent6"/>
                <w:kern w:val="0"/>
                <w:szCs w:val="21"/>
                <w:lang w:val="en-US" w:eastAsia="zh-CN"/>
                <w14:textFill>
                  <w14:solidFill>
                    <w14:schemeClr w14:val="accent6"/>
                  </w14:solidFill>
                </w14:textFill>
              </w:rPr>
              <w:t xml:space="preserve">  </w:t>
            </w:r>
            <w:r>
              <w:rPr>
                <w:rFonts w:hint="eastAsia" w:ascii="宋体" w:hAnsi="宋体" w:cs="宋体"/>
                <w:b w:val="0"/>
                <w:bCs w:val="0"/>
                <w:kern w:val="0"/>
                <w:szCs w:val="21"/>
                <w:lang w:val="en-US" w:eastAsia="zh-CN"/>
              </w:rPr>
              <w:t>日前</w:t>
            </w:r>
            <w:r>
              <w:rPr>
                <w:rFonts w:hint="eastAsia" w:ascii="宋体" w:hAnsi="宋体" w:cs="宋体"/>
                <w:b w:val="0"/>
                <w:bCs w:val="0"/>
                <w:kern w:val="0"/>
                <w:szCs w:val="21"/>
              </w:rPr>
              <w:t>全部安装调试合格并通过验收，</w:t>
            </w:r>
            <w:r>
              <w:rPr>
                <w:rFonts w:hint="eastAsia" w:ascii="宋体" w:hAnsi="宋体" w:cs="宋体"/>
                <w:b w:val="0"/>
                <w:bCs w:val="0"/>
                <w:kern w:val="0"/>
                <w:szCs w:val="21"/>
                <w:lang w:eastAsia="zh-CN"/>
              </w:rPr>
              <w:t>逾期未交付使用</w:t>
            </w:r>
            <w:r>
              <w:rPr>
                <w:rFonts w:hint="eastAsia" w:ascii="宋体" w:hAnsi="宋体" w:cs="宋体"/>
                <w:b w:val="0"/>
                <w:bCs w:val="0"/>
                <w:kern w:val="0"/>
                <w:szCs w:val="21"/>
                <w:lang w:val="en-US" w:eastAsia="zh-CN"/>
              </w:rPr>
              <w:t>将按此项目总金额的30%处罚中标供应商</w:t>
            </w:r>
            <w:r>
              <w:rPr>
                <w:rFonts w:hint="eastAsia" w:ascii="宋体" w:hAnsi="宋体" w:cs="宋体"/>
                <w:b w:val="0"/>
                <w:bCs w:val="0"/>
                <w:kern w:val="0"/>
                <w:szCs w:val="21"/>
              </w:rPr>
              <w:t>。</w:t>
            </w:r>
          </w:p>
          <w:p>
            <w:pPr>
              <w:widowControl/>
              <w:snapToGrid w:val="0"/>
              <w:spacing w:line="400" w:lineRule="exact"/>
              <w:textAlignment w:val="bottom"/>
              <w:rPr>
                <w:rFonts w:ascii="宋体" w:hAnsi="宋体" w:cs="宋体"/>
                <w:szCs w:val="21"/>
              </w:rPr>
            </w:pPr>
            <w:r>
              <w:rPr>
                <w:rFonts w:hint="eastAsia" w:ascii="宋体" w:hAnsi="宋体" w:cs="宋体"/>
                <w:b w:val="0"/>
                <w:bCs w:val="0"/>
                <w:szCs w:val="21"/>
              </w:rPr>
              <w:t>2.</w:t>
            </w:r>
            <w:r>
              <w:rPr>
                <w:rFonts w:hint="eastAsia" w:ascii="宋体" w:hAnsi="宋体" w:cs="宋体"/>
                <w:b w:val="0"/>
                <w:bCs w:val="0"/>
                <w:kern w:val="0"/>
                <w:szCs w:val="21"/>
              </w:rPr>
              <w:t>交货地点：</w:t>
            </w:r>
            <w:r>
              <w:rPr>
                <w:rFonts w:hint="eastAsia" w:ascii="宋体" w:hAnsi="宋体" w:cs="宋体"/>
                <w:b w:val="0"/>
                <w:bCs w:val="0"/>
                <w:kern w:val="0"/>
                <w:szCs w:val="21"/>
                <w:u w:val="single"/>
              </w:rPr>
              <w:t>中标人按照采购人要求配送到指定地点安装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ottom"/>
              <w:rPr>
                <w:rFonts w:ascii="宋体" w:hAnsi="宋体" w:cs="宋体"/>
                <w:kern w:val="0"/>
                <w:szCs w:val="21"/>
              </w:rPr>
            </w:pPr>
            <w:r>
              <w:rPr>
                <w:rFonts w:hint="eastAsia" w:ascii="宋体" w:hAnsi="宋体" w:cs="宋体"/>
                <w:kern w:val="0"/>
                <w:szCs w:val="21"/>
              </w:rPr>
              <w:t>付款方式</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bCs/>
                <w:szCs w:val="21"/>
              </w:rPr>
              <w:t>本项目的资金拨付根据项目资金的到账情况及财政部门的付款流程、付款期限执行，采购人不承担延期付款的责任。专项资金到账且项目验收合格后支付成交合同价95%货款（无息），其余5%的货款在验收之日起一年后30个工作日内一次性付清余款（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textAlignment w:val="bottom"/>
              <w:rPr>
                <w:rFonts w:ascii="宋体" w:hAnsi="宋体" w:cs="宋体"/>
                <w:kern w:val="0"/>
                <w:szCs w:val="21"/>
              </w:rPr>
            </w:pPr>
            <w:r>
              <w:rPr>
                <w:rFonts w:hint="eastAsia" w:ascii="宋体" w:hAnsi="宋体" w:cs="宋体"/>
                <w:szCs w:val="21"/>
              </w:rPr>
              <w:t>质量标准及验收要求</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widowControl/>
              <w:numPr>
                <w:ilvl w:val="0"/>
                <w:numId w:val="3"/>
              </w:numPr>
              <w:snapToGrid w:val="0"/>
              <w:spacing w:line="400" w:lineRule="exact"/>
              <w:jc w:val="left"/>
              <w:textAlignment w:val="bottom"/>
              <w:rPr>
                <w:rFonts w:ascii="宋体" w:hAnsi="宋体" w:cs="宋体"/>
                <w:szCs w:val="21"/>
              </w:rPr>
            </w:pPr>
            <w:r>
              <w:rPr>
                <w:rFonts w:hint="eastAsia" w:ascii="宋体" w:hAnsi="宋体" w:cs="宋体"/>
                <w:szCs w:val="21"/>
              </w:rPr>
              <w:t>中标供应商须于供货时配合采购人进行检测测试，采购人将根据采购需求对所提供部分产品参数的真实性和实际效果进行验证，通过检测测试方可进行验收。在检测测试过程中如发现有虚假应标行为的，采购人将拒绝接收货物、验收并退货。检测测试费用由中标供应商承担。并依法进行处罚，并赔偿采购人一切损失。</w:t>
            </w:r>
          </w:p>
          <w:p>
            <w:pPr>
              <w:widowControl/>
              <w:numPr>
                <w:ilvl w:val="0"/>
                <w:numId w:val="3"/>
              </w:numPr>
              <w:snapToGrid w:val="0"/>
              <w:spacing w:line="400" w:lineRule="exact"/>
              <w:jc w:val="left"/>
              <w:textAlignment w:val="bottom"/>
              <w:rPr>
                <w:rFonts w:ascii="宋体" w:hAnsi="宋体" w:cs="宋体"/>
                <w:szCs w:val="21"/>
              </w:rPr>
            </w:pPr>
            <w:r>
              <w:rPr>
                <w:rFonts w:hint="eastAsia" w:ascii="宋体" w:hAnsi="宋体" w:cs="宋体"/>
                <w:szCs w:val="21"/>
              </w:rPr>
              <w:t>验收材料：①验收申请书（原件），中标（成交）供应商应当提出验收申请，验收申请书的内容包括项目名称、编号、中标金额 、自检结论；②中标（成交）通知书复印件；③合同复印件；④项目实施过程文件：包括实施计划、项目到货接受文档、安装调试过程记录（如照片、测试、隐蔽部分签证、点位图或详细的设备分配单）；⑤货物的证明文件：包括合格证（如有）、检测报告（如供货时要求提供，并提供原件备查）、使用单位接货证明文件，所投产品生产厂家针对本项目出具的供货证明和售后服务承诺函原件（注明保修政策）；⑥货物的技术资料：包括安装文档、使用说明书等；⑦培训记录：包括采购人确认的培训方案、培训签到表、培训现场照片等；⑧验收结论：验收报告、整改情况说明及证明材料。所有验收材料应当装订成册，并提供最终验收材料给采购人存档。</w:t>
            </w:r>
          </w:p>
          <w:p>
            <w:pPr>
              <w:widowControl/>
              <w:snapToGrid w:val="0"/>
              <w:spacing w:line="400" w:lineRule="exact"/>
              <w:jc w:val="left"/>
              <w:textAlignment w:val="bottom"/>
              <w:rPr>
                <w:rFonts w:ascii="宋体" w:hAnsi="宋体" w:cs="宋体"/>
                <w:szCs w:val="21"/>
              </w:rPr>
            </w:pPr>
            <w:r>
              <w:rPr>
                <w:rFonts w:hint="eastAsia" w:ascii="宋体" w:hAnsi="宋体" w:cs="宋体"/>
                <w:szCs w:val="21"/>
              </w:rPr>
              <w:t>3.验收方法：抽样法，抽样的数量不少于单项产品总数的30%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200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textAlignment w:val="bottom"/>
              <w:rPr>
                <w:rFonts w:ascii="宋体" w:hAnsi="宋体" w:cs="宋体"/>
                <w:kern w:val="0"/>
                <w:szCs w:val="21"/>
              </w:rPr>
            </w:pPr>
            <w:r>
              <w:rPr>
                <w:rFonts w:hint="eastAsia" w:ascii="宋体" w:hAnsi="宋体" w:cs="宋体"/>
                <w:kern w:val="0"/>
                <w:szCs w:val="21"/>
              </w:rPr>
              <w:t>其他要求</w:t>
            </w:r>
          </w:p>
        </w:tc>
        <w:tc>
          <w:tcPr>
            <w:tcW w:w="8182"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textAlignment w:val="bottom"/>
            </w:pPr>
            <w:r>
              <w:rPr>
                <w:rFonts w:hint="eastAsia"/>
              </w:rPr>
              <w:t>1.本项目采购最高限价金额（人民币）：</w:t>
            </w:r>
            <w:r>
              <w:rPr>
                <w:rFonts w:hint="eastAsia"/>
                <w:lang w:eastAsia="zh-CN"/>
              </w:rPr>
              <w:t>玖拾陆万叁仟捌佰</w:t>
            </w:r>
            <w:r>
              <w:rPr>
                <w:rFonts w:hint="eastAsia"/>
              </w:rPr>
              <w:t>元整（¥</w:t>
            </w:r>
            <w:r>
              <w:rPr>
                <w:rFonts w:hint="eastAsia"/>
                <w:lang w:val="en-US" w:eastAsia="zh-CN"/>
              </w:rPr>
              <w:t>96380</w:t>
            </w:r>
            <w:r>
              <w:rPr>
                <w:rFonts w:hint="eastAsia"/>
              </w:rPr>
              <w:t>0</w:t>
            </w:r>
            <w:r>
              <w:rPr>
                <w:rFonts w:hint="eastAsia"/>
                <w:lang w:val="en-US" w:eastAsia="zh-CN"/>
              </w:rPr>
              <w:t>.00</w:t>
            </w:r>
            <w:r>
              <w:rPr>
                <w:rFonts w:hint="eastAsia"/>
              </w:rPr>
              <w:t>），超出采购最高限价金额的投标报价为无效报价。</w:t>
            </w:r>
          </w:p>
          <w:p>
            <w:pPr>
              <w:widowControl/>
              <w:snapToGrid w:val="0"/>
              <w:spacing w:line="400" w:lineRule="exact"/>
              <w:jc w:val="left"/>
              <w:textAlignment w:val="bottom"/>
            </w:pPr>
            <w:r>
              <w:t>2</w:t>
            </w:r>
            <w:r>
              <w:rPr>
                <w:rFonts w:hint="eastAsia"/>
              </w:rPr>
              <w:t>.本项目货物不接受进口产品投标（即通过中国海关报关验放进入中国境内且产自关境外的产品），如有此类产品参与投标的作无效投标处理。</w:t>
            </w:r>
          </w:p>
          <w:p>
            <w:pPr>
              <w:widowControl/>
              <w:snapToGrid w:val="0"/>
              <w:spacing w:line="400" w:lineRule="exact"/>
              <w:jc w:val="left"/>
              <w:textAlignment w:val="bottom"/>
            </w:pPr>
            <w:r>
              <w:t>3</w:t>
            </w:r>
            <w:r>
              <w:rPr>
                <w:rFonts w:hint="eastAsia"/>
              </w:rPr>
              <w:t>.标★号技术参数为重要参数，投标人投标产品必须全部满足，否则投标人投标无效；非★号技术参数负偏离超过3项（包含）或以上的，投标人投标无效。</w:t>
            </w:r>
          </w:p>
          <w:p>
            <w:pPr>
              <w:pStyle w:val="2"/>
              <w:rPr>
                <w:rFonts w:hint="eastAsia"/>
              </w:rPr>
            </w:pPr>
            <w:r>
              <w:t>4</w:t>
            </w:r>
            <w:r>
              <w:rPr>
                <w:rFonts w:hint="eastAsia"/>
              </w:rPr>
              <w:t>.该项目为总包工程，该预算已经包含中标人安装、调试及设备安装所需的网线、电源线、线槽、线管等安装辅助材料费用，中标人必须保证所有设备按照采购人要求采取有线连接采购人原有局域网和电源，并规范布线、施工，采购人不再支付中标价以外的任何费用，具体安装环境由意向供应商自行前往勘察。</w:t>
            </w:r>
          </w:p>
          <w:p>
            <w:pPr>
              <w:rPr>
                <w:rFonts w:hint="eastAsia"/>
              </w:rPr>
            </w:pPr>
            <w:r>
              <w:rPr>
                <w:rFonts w:hint="eastAsia"/>
                <w:lang w:val="en-US" w:eastAsia="zh-CN"/>
              </w:rPr>
              <w:t>5</w:t>
            </w:r>
            <w:r>
              <w:rPr>
                <w:rFonts w:hint="eastAsia"/>
              </w:rPr>
              <w:t>.该项目所属行业：工业。</w:t>
            </w:r>
          </w:p>
          <w:p>
            <w:pPr>
              <w:pStyle w:val="2"/>
              <w:rPr>
                <w:rFonts w:hint="default" w:eastAsiaTheme="minorEastAsia"/>
                <w:lang w:val="en-US" w:eastAsia="zh-CN"/>
              </w:rPr>
            </w:pPr>
            <w:r>
              <w:rPr>
                <w:rFonts w:hint="eastAsia"/>
              </w:rPr>
              <w:t>★</w:t>
            </w:r>
            <w:r>
              <w:rPr>
                <w:rFonts w:hint="eastAsia" w:cs="宋体" w:asciiTheme="minorEastAsia" w:hAnsiTheme="minorEastAsia" w:eastAsiaTheme="minorEastAsia"/>
                <w:szCs w:val="21"/>
                <w:lang w:val="en-US" w:eastAsia="zh-CN"/>
              </w:rPr>
              <w:t>6.</w:t>
            </w:r>
            <w:r>
              <w:rPr>
                <w:rFonts w:hint="eastAsia" w:cs="宋体" w:asciiTheme="minorEastAsia" w:hAnsiTheme="minorEastAsia" w:eastAsiaTheme="minorEastAsia"/>
                <w:b/>
                <w:bCs/>
                <w:szCs w:val="21"/>
                <w:lang w:val="en-US" w:eastAsia="zh-CN"/>
              </w:rPr>
              <w:t>必须上传投标响应文件</w:t>
            </w:r>
            <w:bookmarkStart w:id="1" w:name="_GoBack"/>
            <w:bookmarkEnd w:id="1"/>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B11C9"/>
    <w:multiLevelType w:val="singleLevel"/>
    <w:tmpl w:val="AA8B11C9"/>
    <w:lvl w:ilvl="0" w:tentative="0">
      <w:start w:val="1"/>
      <w:numFmt w:val="decimal"/>
      <w:suff w:val="nothing"/>
      <w:lvlText w:val="%1、"/>
      <w:lvlJc w:val="left"/>
    </w:lvl>
  </w:abstractNum>
  <w:abstractNum w:abstractNumId="1">
    <w:nsid w:val="BAFAE081"/>
    <w:multiLevelType w:val="singleLevel"/>
    <w:tmpl w:val="BAFAE081"/>
    <w:lvl w:ilvl="0" w:tentative="0">
      <w:start w:val="1"/>
      <w:numFmt w:val="decimal"/>
      <w:lvlText w:val="%1."/>
      <w:lvlJc w:val="left"/>
      <w:pPr>
        <w:tabs>
          <w:tab w:val="left" w:pos="312"/>
        </w:tabs>
      </w:pPr>
    </w:lvl>
  </w:abstractNum>
  <w:abstractNum w:abstractNumId="2">
    <w:nsid w:val="0F3F0521"/>
    <w:multiLevelType w:val="singleLevel"/>
    <w:tmpl w:val="0F3F0521"/>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4C"/>
    <w:rsid w:val="00001A81"/>
    <w:rsid w:val="00032B3A"/>
    <w:rsid w:val="001A295E"/>
    <w:rsid w:val="001B0775"/>
    <w:rsid w:val="001D3578"/>
    <w:rsid w:val="001F42AC"/>
    <w:rsid w:val="00223275"/>
    <w:rsid w:val="00287DC2"/>
    <w:rsid w:val="002F06F8"/>
    <w:rsid w:val="0031075C"/>
    <w:rsid w:val="003F3F44"/>
    <w:rsid w:val="003F431D"/>
    <w:rsid w:val="005714CB"/>
    <w:rsid w:val="005C2771"/>
    <w:rsid w:val="006D27A9"/>
    <w:rsid w:val="008E7C49"/>
    <w:rsid w:val="00AE003E"/>
    <w:rsid w:val="00B0025C"/>
    <w:rsid w:val="00C6483F"/>
    <w:rsid w:val="00C950BE"/>
    <w:rsid w:val="00CD329D"/>
    <w:rsid w:val="00DD0528"/>
    <w:rsid w:val="00EA124C"/>
    <w:rsid w:val="00EE21E8"/>
    <w:rsid w:val="00F56D85"/>
    <w:rsid w:val="00FD46A4"/>
    <w:rsid w:val="04A752D7"/>
    <w:rsid w:val="0BBA795A"/>
    <w:rsid w:val="0CA35E19"/>
    <w:rsid w:val="0F9D4DE2"/>
    <w:rsid w:val="112B1640"/>
    <w:rsid w:val="1BA613F7"/>
    <w:rsid w:val="201659F5"/>
    <w:rsid w:val="24204E5A"/>
    <w:rsid w:val="25992BA8"/>
    <w:rsid w:val="27310BFD"/>
    <w:rsid w:val="33B23333"/>
    <w:rsid w:val="37C87C37"/>
    <w:rsid w:val="3AA90B4A"/>
    <w:rsid w:val="3BA902EB"/>
    <w:rsid w:val="3EE81A2D"/>
    <w:rsid w:val="3FCF7FD7"/>
    <w:rsid w:val="421C01FE"/>
    <w:rsid w:val="44C561C8"/>
    <w:rsid w:val="44DA6898"/>
    <w:rsid w:val="44DE65DE"/>
    <w:rsid w:val="47C07797"/>
    <w:rsid w:val="49B452CA"/>
    <w:rsid w:val="4AA42473"/>
    <w:rsid w:val="4C6F3000"/>
    <w:rsid w:val="4E9F23B0"/>
    <w:rsid w:val="53A4540D"/>
    <w:rsid w:val="5433641F"/>
    <w:rsid w:val="582E1E9A"/>
    <w:rsid w:val="5CD10F5D"/>
    <w:rsid w:val="5FE802B9"/>
    <w:rsid w:val="636B74C0"/>
    <w:rsid w:val="64DE4302"/>
    <w:rsid w:val="64E03138"/>
    <w:rsid w:val="67BB118D"/>
    <w:rsid w:val="698E759A"/>
    <w:rsid w:val="6A3C5FFB"/>
    <w:rsid w:val="6C4C04D9"/>
    <w:rsid w:val="712C048D"/>
    <w:rsid w:val="729D3598"/>
    <w:rsid w:val="760C35EC"/>
    <w:rsid w:val="791F761A"/>
    <w:rsid w:val="797163D5"/>
    <w:rsid w:val="7B1B7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after="330" w:line="578" w:lineRule="auto"/>
      <w:outlineLvl w:val="0"/>
    </w:pPr>
    <w:rPr>
      <w:rFonts w:ascii="Tahoma" w:hAnsi="Tahoma"/>
      <w:b/>
      <w:bCs/>
      <w:kern w:val="44"/>
      <w:sz w:val="44"/>
      <w:szCs w:val="44"/>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8"/>
    <w:qFormat/>
    <w:uiPriority w:val="0"/>
    <w:pPr>
      <w:spacing w:line="380" w:lineRule="exact"/>
    </w:pPr>
    <w:rPr>
      <w:sz w:val="24"/>
    </w:rPr>
  </w:style>
  <w:style w:type="character" w:styleId="6">
    <w:name w:val="Hyperlink"/>
    <w:basedOn w:val="5"/>
    <w:unhideWhenUsed/>
    <w:qFormat/>
    <w:uiPriority w:val="99"/>
    <w:rPr>
      <w:color w:val="0000FF"/>
      <w:u w:val="single"/>
    </w:rPr>
  </w:style>
  <w:style w:type="character" w:customStyle="1" w:styleId="7">
    <w:name w:val="标题 1 Char"/>
    <w:basedOn w:val="5"/>
    <w:link w:val="3"/>
    <w:qFormat/>
    <w:uiPriority w:val="0"/>
    <w:rPr>
      <w:rFonts w:ascii="Tahoma" w:hAnsi="Tahoma" w:eastAsia="宋体" w:cs="Times New Roman"/>
      <w:b/>
      <w:bCs/>
      <w:kern w:val="44"/>
      <w:sz w:val="44"/>
      <w:szCs w:val="44"/>
    </w:rPr>
  </w:style>
  <w:style w:type="character" w:customStyle="1" w:styleId="8">
    <w:name w:val="正文文本 Char"/>
    <w:basedOn w:val="5"/>
    <w:link w:val="2"/>
    <w:qFormat/>
    <w:uiPriority w:val="0"/>
    <w:rPr>
      <w:rFonts w:ascii="Times New Roman" w:hAnsi="Times New Roman" w:eastAsia="宋体" w:cs="Times New Roman"/>
      <w:sz w:val="24"/>
      <w:szCs w:val="24"/>
    </w:rPr>
  </w:style>
  <w:style w:type="paragraph" w:customStyle="1" w:styleId="9">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929</Words>
  <Characters>5299</Characters>
  <Lines>44</Lines>
  <Paragraphs>12</Paragraphs>
  <TotalTime>1</TotalTime>
  <ScaleCrop>false</ScaleCrop>
  <LinksUpToDate>false</LinksUpToDate>
  <CharactersWithSpaces>6216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2022-06-01T01:08:00Z</dcterms:created>
  <dc:creator>HUAWEI</dc:creator>
  <cp:lastModifiedBy>admin</cp:lastModifiedBy>
  <dcterms:modified xsi:type="dcterms:W3CDTF">2022-08-30T09:51:48Z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D0AF4C1A5A8548EFB9AB673736D03BA9</vt:lpwstr>
  </property>
</Properties>
</file>