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276" w:lineRule="auto"/>
        <w:jc w:val="center"/>
        <w:rPr>
          <w:rFonts w:hint="eastAsia" w:ascii="仿宋_GB2312" w:hAnsi="仿宋_GB2312" w:eastAsia="仿宋_GB2312" w:cs="仿宋_GB2312"/>
          <w:b/>
          <w:bCs/>
          <w:sz w:val="32"/>
          <w:szCs w:val="32"/>
          <w:lang w:val="en-US" w:eastAsia="zh-CN"/>
        </w:rPr>
      </w:pPr>
      <w:bookmarkStart w:id="1" w:name="_GoBack"/>
      <w:bookmarkEnd w:id="1"/>
      <w:r>
        <w:rPr>
          <w:rFonts w:hint="eastAsia" w:ascii="仿宋_GB2312" w:hAnsi="仿宋_GB2312" w:eastAsia="仿宋_GB2312" w:cs="仿宋_GB2312"/>
          <w:b/>
          <w:bCs/>
          <w:sz w:val="32"/>
          <w:szCs w:val="32"/>
          <w:lang w:val="en-US" w:eastAsia="zh-CN"/>
        </w:rPr>
        <w:t>少年儿童图书馆250M互联网线路</w:t>
      </w:r>
    </w:p>
    <w:p>
      <w:pPr>
        <w:tabs>
          <w:tab w:val="left" w:pos="720"/>
        </w:tabs>
        <w:spacing w:line="276"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在线询价采购需求</w:t>
      </w:r>
    </w:p>
    <w:p>
      <w:pPr>
        <w:tabs>
          <w:tab w:val="left" w:pos="720"/>
        </w:tabs>
        <w:spacing w:line="276" w:lineRule="auto"/>
        <w:rPr>
          <w:rFonts w:hint="eastAsia" w:ascii="仿宋_GB2312" w:hAnsi="仿宋_GB2312" w:eastAsia="仿宋_GB2312" w:cs="仿宋_GB2312"/>
          <w:sz w:val="24"/>
          <w:szCs w:val="24"/>
          <w:lang w:val="en-US" w:eastAsia="zh-CN"/>
        </w:rPr>
      </w:pPr>
    </w:p>
    <w:p>
      <w:pPr>
        <w:tabs>
          <w:tab w:val="left" w:pos="720"/>
        </w:tabs>
        <w:spacing w:line="276"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一、服务内容</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1、提供</w:t>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50M</w:t>
      </w:r>
      <w:r>
        <w:rPr>
          <w:rFonts w:hint="eastAsia" w:ascii="仿宋_GB2312" w:hAnsi="仿宋_GB2312" w:eastAsia="仿宋_GB2312" w:cs="仿宋_GB2312"/>
          <w:sz w:val="24"/>
          <w:szCs w:val="24"/>
          <w:lang w:val="en-US" w:eastAsia="zh-CN"/>
        </w:rPr>
        <w:t>互联网</w:t>
      </w:r>
      <w:r>
        <w:rPr>
          <w:rFonts w:hint="eastAsia" w:ascii="仿宋_GB2312" w:hAnsi="仿宋_GB2312" w:eastAsia="仿宋_GB2312" w:cs="仿宋_GB2312"/>
          <w:sz w:val="24"/>
          <w:szCs w:val="24"/>
        </w:rPr>
        <w:t>市内专线，接入方式为光纤接入，要求专线速率上、下行对称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要求通道接口与用户设备接口兼容，安装地址由采购人指定。</w:t>
      </w:r>
    </w:p>
    <w:p>
      <w:pPr>
        <w:tabs>
          <w:tab w:val="left" w:pos="720"/>
        </w:tabs>
        <w:spacing w:line="276"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采用基于分组交换、面向连接的PTN分组传送网络技术进行组网，可应对采购人突发的带宽增长需求,现网统计本地PTN网元达10000个以上，具备在本地大规模使用该网络技术组网的能力（须书面提交由本地电信运营商出具的采用PTN分组传送网络技术组网承诺函，并提供工信部进网许可证复印件，加盖本地电信运营商公章）。</w:t>
      </w:r>
    </w:p>
    <w:p>
      <w:pPr>
        <w:tabs>
          <w:tab w:val="left" w:pos="720"/>
        </w:tabs>
        <w:spacing w:line="276"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、线路汇聚层和骨干层具有自愈环保护功能，具备不超过50ms保护倒换能力，保证专线不会因光缆的意外阻断或部分设备故障而中断</w:t>
      </w:r>
      <w:r>
        <w:rPr>
          <w:rFonts w:hint="eastAsia" w:ascii="仿宋_GB2312" w:hAnsi="仿宋_GB2312" w:eastAsia="仿宋_GB2312" w:cs="仿宋_GB2312"/>
          <w:sz w:val="24"/>
          <w:szCs w:val="24"/>
          <w:lang w:eastAsia="zh-CN"/>
        </w:rPr>
        <w:t>；</w:t>
      </w:r>
    </w:p>
    <w:p>
      <w:pPr>
        <w:tabs>
          <w:tab w:val="left" w:pos="720"/>
        </w:tabs>
        <w:spacing w:line="276"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、要求全网的传输设备均具备网管能力，全程提供端到端的网管监控功能，实行7*24小时不间断监控，可有效地检测并定位网络故障</w:t>
      </w:r>
      <w:r>
        <w:rPr>
          <w:rFonts w:hint="eastAsia" w:ascii="仿宋_GB2312" w:hAnsi="仿宋_GB2312" w:eastAsia="仿宋_GB2312" w:cs="仿宋_GB2312"/>
          <w:sz w:val="24"/>
          <w:szCs w:val="24"/>
          <w:lang w:eastAsia="zh-CN"/>
        </w:rPr>
        <w:t>；</w:t>
      </w:r>
    </w:p>
    <w:p>
      <w:pPr>
        <w:tabs>
          <w:tab w:val="left" w:pos="720"/>
        </w:tabs>
        <w:spacing w:line="276"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、提供各种主流物理光、电接口，如RJ45/LC/FC等供采购人使用</w:t>
      </w:r>
      <w:r>
        <w:rPr>
          <w:rFonts w:hint="eastAsia" w:ascii="仿宋_GB2312" w:hAnsi="仿宋_GB2312" w:eastAsia="仿宋_GB2312" w:cs="仿宋_GB2312"/>
          <w:sz w:val="24"/>
          <w:szCs w:val="24"/>
          <w:lang w:eastAsia="zh-CN"/>
        </w:rPr>
        <w:t>；</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、电路误码率：单条电路端到端比特误码率≤1×10-7；</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、电路丢包率：单条电路端到端丢包率≤0.5%；</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、电路速率：电路各个节点最大时延≤15ms；</w:t>
      </w:r>
    </w:p>
    <w:p>
      <w:pPr>
        <w:tabs>
          <w:tab w:val="left" w:pos="720"/>
        </w:tabs>
        <w:spacing w:line="276"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、电路速率：单条电路端到端时延抖动率≤15ms</w:t>
      </w:r>
      <w:r>
        <w:rPr>
          <w:rFonts w:hint="eastAsia" w:ascii="仿宋_GB2312" w:hAnsi="仿宋_GB2312" w:eastAsia="仿宋_GB2312" w:cs="仿宋_GB2312"/>
          <w:sz w:val="24"/>
          <w:szCs w:val="24"/>
          <w:lang w:eastAsia="zh-CN"/>
        </w:rPr>
        <w:t>；</w:t>
      </w:r>
    </w:p>
    <w:p>
      <w:pPr>
        <w:tabs>
          <w:tab w:val="left" w:pos="720"/>
        </w:tabs>
        <w:spacing w:line="276"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为确保专线出口性能优越，要求电信运营商IPV6国际出口达1000G以上（须书面提交国家IPV6发展监测平台或中国IPV6发展状况白皮书，或中国IPV6发展监测报告，或同等级别发布的IPV6国际出口数据截图，并加盖本地电信运营商公章）。</w:t>
      </w:r>
    </w:p>
    <w:p>
      <w:pPr>
        <w:tabs>
          <w:tab w:val="left" w:pos="720"/>
        </w:tabs>
        <w:spacing w:line="276" w:lineRule="auto"/>
        <w:rPr>
          <w:rFonts w:hint="eastAsia" w:ascii="仿宋_GB2312" w:hAnsi="仿宋_GB2312" w:eastAsia="仿宋_GB2312" w:cs="仿宋_GB2312"/>
          <w:sz w:val="24"/>
          <w:szCs w:val="24"/>
        </w:rPr>
      </w:pPr>
    </w:p>
    <w:p>
      <w:pPr>
        <w:tabs>
          <w:tab w:val="left" w:pos="720"/>
        </w:tabs>
        <w:spacing w:line="276"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商务要求</w:t>
      </w:r>
    </w:p>
    <w:p>
      <w:pPr>
        <w:tabs>
          <w:tab w:val="left" w:pos="720"/>
        </w:tabs>
        <w:spacing w:line="276" w:lineRule="auto"/>
        <w:ind w:firstLine="480" w:firstLineChars="200"/>
        <w:rPr>
          <w:rFonts w:hint="eastAsia" w:ascii="仿宋_GB2312" w:hAnsi="仿宋_GB2312" w:eastAsia="仿宋_GB2312" w:cs="仿宋_GB2312"/>
          <w:sz w:val="24"/>
          <w:szCs w:val="24"/>
        </w:rPr>
      </w:pPr>
      <w:bookmarkStart w:id="0" w:name="_Hlk89848494"/>
      <w:r>
        <w:rPr>
          <w:rFonts w:hint="eastAsia" w:ascii="仿宋_GB2312" w:hAnsi="仿宋_GB2312" w:eastAsia="仿宋_GB2312" w:cs="仿宋_GB2312"/>
          <w:sz w:val="24"/>
          <w:szCs w:val="24"/>
        </w:rPr>
        <w:t>1、合同签订期：自中标通知书发出之日起7个工作日内。</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★2、提交服务成果时间：合同签订之日起3个日历日内。</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3、提交服务成果地点：采购人指定地点。</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★4、服务期：1年（自交付使用之日起计算）。</w:t>
      </w:r>
    </w:p>
    <w:p>
      <w:pPr>
        <w:tabs>
          <w:tab w:val="left" w:pos="720"/>
        </w:tabs>
        <w:spacing w:line="276"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5、付款方式：本项目无预付款，供应商所提交的服务交付采购人使用后，采购人</w:t>
      </w:r>
      <w:r>
        <w:rPr>
          <w:rFonts w:hint="eastAsia" w:ascii="仿宋_GB2312" w:hAnsi="仿宋_GB2312" w:eastAsia="仿宋_GB2312" w:cs="仿宋_GB2312"/>
          <w:sz w:val="24"/>
          <w:szCs w:val="24"/>
          <w:lang w:val="en-US" w:eastAsia="zh-CN"/>
        </w:rPr>
        <w:t>一次性付清合同款。</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★6、售后服务要求：</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（1）质保期1年（自交付使用之日起计算）。</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（2）质保期内，全额减免租用线路的安装费、调试费和迁移费，当采购人线路需要扩展或升级时，免费提供解决方案。</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（3）质保期内，负责对线路进行免费维护，如果线路出现故障，30分钟内做出响应，2个小时内赶往现场，4个小时内解决问题。</w:t>
      </w:r>
    </w:p>
    <w:p>
      <w:pPr>
        <w:tabs>
          <w:tab w:val="left" w:pos="720"/>
        </w:tabs>
        <w:spacing w:line="276"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（4）质保期内，成交人应严格遵守《中华人民共和国电信条例》，维护双方权益，按工信部颁布的《电信服务标准》的电路质量要求，保证采购人网络的连续稳定运行。</w:t>
      </w:r>
    </w:p>
    <w:p>
      <w:pPr>
        <w:tabs>
          <w:tab w:val="left" w:pos="720"/>
        </w:tabs>
        <w:spacing w:line="276"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因施工、网络割接等原因影响宽带网络运行的，应当提前1天通知用户，并尽快消除故障、恢复通信</w:t>
      </w:r>
      <w:r>
        <w:rPr>
          <w:rFonts w:hint="eastAsia" w:ascii="仿宋_GB2312" w:hAnsi="仿宋_GB2312" w:eastAsia="仿宋_GB2312" w:cs="仿宋_GB2312"/>
          <w:sz w:val="24"/>
          <w:szCs w:val="24"/>
        </w:rPr>
        <w:t>服务</w:t>
      </w:r>
      <w:r>
        <w:rPr>
          <w:rFonts w:hint="eastAsia" w:ascii="仿宋_GB2312" w:hAnsi="仿宋_GB2312" w:eastAsia="仿宋_GB2312" w:cs="仿宋_GB2312"/>
          <w:color w:val="000000"/>
          <w:sz w:val="24"/>
          <w:szCs w:val="24"/>
        </w:rPr>
        <w:t xml:space="preserve">。 </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成交供应商</w:t>
      </w:r>
      <w:r>
        <w:rPr>
          <w:rFonts w:hint="eastAsia" w:ascii="仿宋_GB2312" w:hAnsi="仿宋_GB2312" w:eastAsia="仿宋_GB2312" w:cs="仿宋_GB2312"/>
          <w:color w:val="000000"/>
          <w:sz w:val="24"/>
          <w:szCs w:val="24"/>
          <w:lang w:val="en-US" w:eastAsia="zh-CN"/>
        </w:rPr>
        <w:t>指定1名</w:t>
      </w:r>
      <w:r>
        <w:rPr>
          <w:rFonts w:hint="eastAsia" w:ascii="仿宋_GB2312" w:hAnsi="仿宋_GB2312" w:eastAsia="仿宋_GB2312" w:cs="仿宋_GB2312"/>
          <w:color w:val="000000"/>
          <w:sz w:val="24"/>
          <w:szCs w:val="24"/>
        </w:rPr>
        <w:t>项目负责人同时具备高级工程师（含副高级）、信息系统项目管理师（高级）和注册信息安全工程师证书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bCs/>
          <w:color w:val="auto"/>
          <w:sz w:val="24"/>
          <w:szCs w:val="24"/>
          <w:highlight w:val="none"/>
          <w:lang w:val="en-US" w:eastAsia="zh-CN"/>
        </w:rPr>
        <w:t>1名售后服务人员</w:t>
      </w:r>
      <w:r>
        <w:rPr>
          <w:rFonts w:hint="eastAsia" w:ascii="仿宋_GB2312" w:hAnsi="仿宋_GB2312" w:eastAsia="仿宋_GB2312" w:cs="仿宋_GB2312"/>
          <w:bCs/>
          <w:color w:val="auto"/>
          <w:sz w:val="24"/>
          <w:szCs w:val="24"/>
          <w:highlight w:val="none"/>
        </w:rPr>
        <w:t>同时具备计算机应用（高级）工程师、信息系统项目管理师（高级）、系统分析师（高级）和系统架构设计师（高级）证书</w:t>
      </w:r>
      <w:r>
        <w:rPr>
          <w:rFonts w:hint="eastAsia" w:ascii="仿宋_GB2312" w:hAnsi="仿宋_GB2312" w:eastAsia="仿宋_GB2312" w:cs="仿宋_GB2312"/>
          <w:color w:val="000000"/>
          <w:sz w:val="24"/>
          <w:szCs w:val="24"/>
        </w:rPr>
        <w:t>（中标后提供相关资质证书并提供投标截止时间前半年内连续三个月成交供应商为其缴纳的社保证明材料）。</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成交供应商自有用于承载</w:t>
      </w:r>
      <w:r>
        <w:rPr>
          <w:rFonts w:hint="eastAsia" w:ascii="仿宋_GB2312" w:hAnsi="仿宋_GB2312" w:eastAsia="仿宋_GB2312" w:cs="仿宋_GB2312"/>
          <w:color w:val="000000"/>
          <w:sz w:val="24"/>
          <w:szCs w:val="24"/>
          <w:lang w:val="en-US" w:eastAsia="zh-CN"/>
        </w:rPr>
        <w:t>网络服务</w:t>
      </w:r>
      <w:r>
        <w:rPr>
          <w:rFonts w:hint="eastAsia" w:ascii="仿宋_GB2312" w:hAnsi="仿宋_GB2312" w:eastAsia="仿宋_GB2312" w:cs="仿宋_GB2312"/>
          <w:color w:val="000000"/>
          <w:sz w:val="24"/>
          <w:szCs w:val="24"/>
        </w:rPr>
        <w:t>所采用的分组传送网技术获得过国务院颁发的国家科学技术进步奖（中标后须提供有效证书复印件）。</w:t>
      </w:r>
    </w:p>
    <w:p>
      <w:pPr>
        <w:spacing w:line="360" w:lineRule="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三、其他要求</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应标资格要求：本项目的成交供应商须为基础电信运营商或具有基础电信运营商对本项目的有效授权的供应商，成交供应商须在中标结果公示起2个工作日内向采购人提供基础电信业务经营许可证复印件或基础电信运营商对本项目的有效授权证明文件，若不按时提供全部材料，则视为虚假应标，采购人有权进行废标处理追究该投标人相关法律责任。</w:t>
      </w:r>
      <w:bookmarkEnd w:id="0"/>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以上标注“★”号条款必须满足，对不能满足参数要求虚假响应，或者无法正常交货影响使用的，采购单位将作为废标处理，并上报监管机构追究中标供应商虚假应标责任。</w:t>
      </w:r>
    </w:p>
    <w:p>
      <w:pPr>
        <w:spacing w:line="360" w:lineRule="auto"/>
        <w:ind w:firstLine="480" w:firstLineChars="200"/>
        <w:rPr>
          <w:rFonts w:hint="eastAsia" w:ascii="仿宋_GB2312" w:hAnsi="仿宋_GB2312" w:eastAsia="仿宋_GB2312" w:cs="仿宋_GB2312"/>
          <w:color w:val="000000"/>
          <w:sz w:val="24"/>
          <w:szCs w:val="24"/>
        </w:rPr>
      </w:pPr>
    </w:p>
    <w:sectPr>
      <w:footerReference r:id="rId4" w:type="default"/>
      <w:pgSz w:w="11906" w:h="16838"/>
      <w:pgMar w:top="1440" w:right="1800" w:bottom="1440" w:left="180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2MjRmYWExNmE2ZTgwNTYwNThmZDEyODZjNTA4Y2YifQ=="/>
  </w:docVars>
  <w:rsids>
    <w:rsidRoot w:val="008B77DA"/>
    <w:rsid w:val="000114CC"/>
    <w:rsid w:val="0003007B"/>
    <w:rsid w:val="0006396C"/>
    <w:rsid w:val="000809BB"/>
    <w:rsid w:val="0008738F"/>
    <w:rsid w:val="00095F46"/>
    <w:rsid w:val="000A5ECB"/>
    <w:rsid w:val="000C7BA3"/>
    <w:rsid w:val="0011670E"/>
    <w:rsid w:val="001407FB"/>
    <w:rsid w:val="001756B7"/>
    <w:rsid w:val="00175C62"/>
    <w:rsid w:val="00183C0E"/>
    <w:rsid w:val="001B57CC"/>
    <w:rsid w:val="001D693B"/>
    <w:rsid w:val="002326F4"/>
    <w:rsid w:val="002443E0"/>
    <w:rsid w:val="0025771F"/>
    <w:rsid w:val="00270CC8"/>
    <w:rsid w:val="00270EE1"/>
    <w:rsid w:val="002B6A92"/>
    <w:rsid w:val="002F7BDB"/>
    <w:rsid w:val="0031475B"/>
    <w:rsid w:val="0035207A"/>
    <w:rsid w:val="003524FB"/>
    <w:rsid w:val="0035456F"/>
    <w:rsid w:val="003979B9"/>
    <w:rsid w:val="003A4897"/>
    <w:rsid w:val="003A7003"/>
    <w:rsid w:val="004351AF"/>
    <w:rsid w:val="00443749"/>
    <w:rsid w:val="004447D7"/>
    <w:rsid w:val="00456687"/>
    <w:rsid w:val="00467644"/>
    <w:rsid w:val="004837B4"/>
    <w:rsid w:val="004C6D5E"/>
    <w:rsid w:val="00500EBA"/>
    <w:rsid w:val="005C6C1E"/>
    <w:rsid w:val="005F1BC9"/>
    <w:rsid w:val="00655EE0"/>
    <w:rsid w:val="006D58CE"/>
    <w:rsid w:val="006E1951"/>
    <w:rsid w:val="00706122"/>
    <w:rsid w:val="00785518"/>
    <w:rsid w:val="007A595C"/>
    <w:rsid w:val="007C3609"/>
    <w:rsid w:val="007E799E"/>
    <w:rsid w:val="008222C6"/>
    <w:rsid w:val="00851CF9"/>
    <w:rsid w:val="008B77DA"/>
    <w:rsid w:val="00903742"/>
    <w:rsid w:val="00930F92"/>
    <w:rsid w:val="0094367F"/>
    <w:rsid w:val="00947B15"/>
    <w:rsid w:val="009B6F69"/>
    <w:rsid w:val="00A7705C"/>
    <w:rsid w:val="00AC70CC"/>
    <w:rsid w:val="00AD3FBB"/>
    <w:rsid w:val="00B04FD7"/>
    <w:rsid w:val="00B1696B"/>
    <w:rsid w:val="00B74E01"/>
    <w:rsid w:val="00B76962"/>
    <w:rsid w:val="00BA0818"/>
    <w:rsid w:val="00BC25C3"/>
    <w:rsid w:val="00BE1C74"/>
    <w:rsid w:val="00C01D15"/>
    <w:rsid w:val="00C03DF0"/>
    <w:rsid w:val="00C25898"/>
    <w:rsid w:val="00C47541"/>
    <w:rsid w:val="00C51FEF"/>
    <w:rsid w:val="00C60BAC"/>
    <w:rsid w:val="00C96277"/>
    <w:rsid w:val="00CF4A8C"/>
    <w:rsid w:val="00CF60B7"/>
    <w:rsid w:val="00D245C1"/>
    <w:rsid w:val="00D30F6D"/>
    <w:rsid w:val="00D558EC"/>
    <w:rsid w:val="00D57272"/>
    <w:rsid w:val="00D607F5"/>
    <w:rsid w:val="00D75BF0"/>
    <w:rsid w:val="00D95521"/>
    <w:rsid w:val="00DF0EF0"/>
    <w:rsid w:val="00E21C9F"/>
    <w:rsid w:val="00E51943"/>
    <w:rsid w:val="00E631FA"/>
    <w:rsid w:val="00E74463"/>
    <w:rsid w:val="00EB2203"/>
    <w:rsid w:val="00EC2D1D"/>
    <w:rsid w:val="00EC77D8"/>
    <w:rsid w:val="00ED16FD"/>
    <w:rsid w:val="00EE48CF"/>
    <w:rsid w:val="00F01E1C"/>
    <w:rsid w:val="00F57544"/>
    <w:rsid w:val="00F6133F"/>
    <w:rsid w:val="0E343994"/>
    <w:rsid w:val="16395511"/>
    <w:rsid w:val="2C6A7542"/>
    <w:rsid w:val="33A86D8F"/>
    <w:rsid w:val="36482E67"/>
    <w:rsid w:val="369E5A59"/>
    <w:rsid w:val="42772304"/>
    <w:rsid w:val="462E77AF"/>
    <w:rsid w:val="4EDF1360"/>
    <w:rsid w:val="575A4A42"/>
    <w:rsid w:val="661A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ody Text Indent"/>
    <w:basedOn w:val="1"/>
    <w:link w:val="13"/>
    <w:qFormat/>
    <w:uiPriority w:val="0"/>
    <w:pPr>
      <w:widowControl w:val="0"/>
      <w:adjustRightInd/>
      <w:snapToGrid/>
      <w:spacing w:after="0" w:line="200" w:lineRule="exact"/>
      <w:ind w:firstLine="301"/>
      <w:jc w:val="both"/>
    </w:pPr>
    <w:rPr>
      <w:rFonts w:ascii="宋体" w:hAnsi="Courier New" w:eastAsia="宋体"/>
      <w:spacing w:val="-4"/>
      <w:kern w:val="2"/>
      <w:sz w:val="18"/>
      <w:szCs w:val="20"/>
    </w:rPr>
  </w:style>
  <w:style w:type="paragraph" w:styleId="4">
    <w:name w:val="Plain Text"/>
    <w:basedOn w:val="1"/>
    <w:link w:val="9"/>
    <w:qFormat/>
    <w:uiPriority w:val="99"/>
    <w:pPr>
      <w:widowControl w:val="0"/>
      <w:adjustRightInd/>
      <w:snapToGrid/>
      <w:spacing w:after="0"/>
      <w:jc w:val="both"/>
    </w:pPr>
    <w:rPr>
      <w:rFonts w:ascii="宋体" w:hAnsi="Courier New" w:eastAsiaTheme="minorEastAsia" w:cstheme="minorBidi"/>
      <w:kern w:val="2"/>
      <w:sz w:val="21"/>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纯文本 字符"/>
    <w:link w:val="4"/>
    <w:qFormat/>
    <w:locked/>
    <w:uiPriority w:val="0"/>
    <w:rPr>
      <w:rFonts w:ascii="宋体" w:hAnsi="Courier New"/>
    </w:rPr>
  </w:style>
  <w:style w:type="character" w:customStyle="1" w:styleId="10">
    <w:name w:val="纯文本 Char1"/>
    <w:basedOn w:val="8"/>
    <w:semiHidden/>
    <w:qFormat/>
    <w:uiPriority w:val="99"/>
    <w:rPr>
      <w:rFonts w:ascii="宋体" w:hAnsi="Courier New" w:eastAsia="宋体" w:cs="Courier New"/>
      <w:kern w:val="0"/>
      <w:szCs w:val="21"/>
    </w:rPr>
  </w:style>
  <w:style w:type="paragraph" w:styleId="11">
    <w:name w:val="List Paragraph"/>
    <w:basedOn w:val="1"/>
    <w:qFormat/>
    <w:uiPriority w:val="34"/>
    <w:pPr>
      <w:ind w:firstLine="420" w:firstLineChars="200"/>
    </w:pPr>
  </w:style>
  <w:style w:type="paragraph" w:customStyle="1" w:styleId="12">
    <w:name w:val="_Style 20"/>
    <w:basedOn w:val="1"/>
    <w:qFormat/>
    <w:uiPriority w:val="0"/>
    <w:pPr>
      <w:widowControl w:val="0"/>
      <w:adjustRightInd/>
      <w:snapToGrid/>
      <w:spacing w:after="0"/>
      <w:jc w:val="both"/>
    </w:pPr>
    <w:rPr>
      <w:rFonts w:ascii="Times New Roman" w:hAnsi="Times New Roman" w:eastAsia="宋体"/>
      <w:sz w:val="20"/>
      <w:szCs w:val="20"/>
    </w:rPr>
  </w:style>
  <w:style w:type="character" w:customStyle="1" w:styleId="13">
    <w:name w:val="正文文本缩进 字符"/>
    <w:basedOn w:val="8"/>
    <w:link w:val="3"/>
    <w:qFormat/>
    <w:uiPriority w:val="0"/>
    <w:rPr>
      <w:rFonts w:ascii="宋体" w:hAnsi="Courier New" w:eastAsia="宋体" w:cs="Times New Roman"/>
      <w:spacing w:val="-4"/>
      <w:sz w:val="18"/>
      <w:szCs w:val="20"/>
    </w:rPr>
  </w:style>
  <w:style w:type="character" w:customStyle="1" w:styleId="14">
    <w:name w:val="文档结构图 字符"/>
    <w:basedOn w:val="8"/>
    <w:link w:val="2"/>
    <w:semiHidden/>
    <w:qFormat/>
    <w:uiPriority w:val="99"/>
    <w:rPr>
      <w:rFonts w:ascii="宋体" w:hAnsi="Tahoma" w:eastAsia="宋体" w:cs="Times New Roman"/>
      <w:kern w:val="0"/>
      <w:sz w:val="18"/>
      <w:szCs w:val="18"/>
    </w:rPr>
  </w:style>
  <w:style w:type="character" w:customStyle="1" w:styleId="15">
    <w:name w:val="页眉 字符"/>
    <w:basedOn w:val="8"/>
    <w:link w:val="6"/>
    <w:qFormat/>
    <w:uiPriority w:val="99"/>
    <w:rPr>
      <w:rFonts w:ascii="Tahoma" w:hAnsi="Tahoma" w:eastAsia="微软雅黑" w:cs="Times New Roman"/>
      <w:kern w:val="0"/>
      <w:sz w:val="18"/>
      <w:szCs w:val="18"/>
    </w:rPr>
  </w:style>
  <w:style w:type="character" w:customStyle="1" w:styleId="16">
    <w:name w:val="页脚 字符"/>
    <w:basedOn w:val="8"/>
    <w:link w:val="5"/>
    <w:qFormat/>
    <w:uiPriority w:val="99"/>
    <w:rPr>
      <w:rFonts w:ascii="Tahoma" w:hAnsi="Tahoma" w:eastAsia="微软雅黑" w:cs="Times New Roman"/>
      <w:kern w:val="0"/>
      <w:sz w:val="18"/>
      <w:szCs w:val="18"/>
    </w:rPr>
  </w:style>
  <w:style w:type="paragraph" w:customStyle="1" w:styleId="17">
    <w:name w:val="列出段落1"/>
    <w:basedOn w:val="1"/>
    <w:qFormat/>
    <w:uiPriority w:val="0"/>
    <w:pPr>
      <w:widowControl w:val="0"/>
      <w:adjustRightInd/>
      <w:snapToGrid/>
      <w:spacing w:after="0"/>
      <w:ind w:firstLine="420" w:firstLineChars="200"/>
      <w:jc w:val="both"/>
    </w:pPr>
    <w:rPr>
      <w:rFonts w:ascii="Times New Roman" w:hAnsi="Times New Roman" w:eastAsia="宋体" w:cs="黑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1453</Words>
  <Characters>1517</Characters>
  <Lines>13</Lines>
  <Paragraphs>3</Paragraphs>
  <TotalTime>0</TotalTime>
  <ScaleCrop>false</ScaleCrop>
  <LinksUpToDate>false</LinksUpToDate>
  <CharactersWithSpaces>1518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2021-08-26T08:03:00Z</dcterms:created>
  <dc:creator>韦兰芳</dc:creator>
  <cp:lastModifiedBy>菩提树</cp:lastModifiedBy>
  <cp:lastPrinted>2018-08-06T02:34:00Z</cp:lastPrinted>
  <dcterms:modified xsi:type="dcterms:W3CDTF">2022-10-21T09:28:26Z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96C6A2FCC83B4F4F977631D213F792E4</vt:lpwstr>
  </property>
</Properties>
</file>