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pPr>
      <w:r>
        <w:rPr>
          <w:rFonts w:hint="eastAsia" w:ascii="宋体" w:hAnsi="宋体" w:eastAsia="宋体" w:cs="Times New Roman"/>
          <w:b/>
          <w:kern w:val="2"/>
          <w:sz w:val="28"/>
          <w:szCs w:val="28"/>
          <w:lang w:val="en-US" w:eastAsia="zh-CN" w:bidi="ar-SA"/>
        </w:rPr>
        <w:t>南宁市第二十四中学</w:t>
      </w:r>
      <w:r>
        <w:rPr>
          <w:rFonts w:hint="eastAsia" w:ascii="宋体" w:hAnsi="宋体" w:cs="Times New Roman"/>
          <w:b/>
          <w:kern w:val="2"/>
          <w:sz w:val="28"/>
          <w:szCs w:val="28"/>
          <w:lang w:val="en-US" w:eastAsia="zh-CN" w:bidi="ar-SA"/>
        </w:rPr>
        <w:t>安防监控设备</w:t>
      </w:r>
      <w:r>
        <w:rPr>
          <w:rFonts w:hint="eastAsia" w:ascii="宋体" w:hAnsi="宋体" w:eastAsia="宋体" w:cs="Times New Roman"/>
          <w:b/>
          <w:kern w:val="2"/>
          <w:sz w:val="28"/>
          <w:szCs w:val="28"/>
          <w:lang w:val="en-US" w:eastAsia="zh-CN" w:bidi="ar-SA"/>
        </w:rPr>
        <w:t>采购需求表</w:t>
      </w:r>
    </w:p>
    <w:p>
      <w:pPr>
        <w:spacing w:line="240" w:lineRule="auto"/>
        <w:ind w:firstLine="360"/>
        <w:jc w:val="left"/>
      </w:pPr>
      <w:r>
        <w:rPr>
          <w:rFonts w:ascii="宋体" w:hAnsi="宋体"/>
          <w:b/>
          <w:bCs/>
          <w:color w:val="000000"/>
          <w:sz w:val="18"/>
          <w:szCs w:val="18"/>
        </w:rPr>
        <w:t>说明：</w:t>
      </w:r>
    </w:p>
    <w:p>
      <w:pPr>
        <w:spacing w:line="240" w:lineRule="auto"/>
        <w:ind w:firstLine="360"/>
        <w:jc w:val="left"/>
        <w:rPr>
          <w:rFonts w:ascii="宋体" w:hAnsi="宋体"/>
          <w:sz w:val="18"/>
          <w:szCs w:val="18"/>
        </w:rPr>
      </w:pPr>
      <w:r>
        <w:rPr>
          <w:rFonts w:hint="eastAsia" w:ascii="宋体" w:hAnsi="宋体"/>
          <w:sz w:val="18"/>
          <w:szCs w:val="18"/>
        </w:rPr>
        <w:t>1.</w:t>
      </w:r>
      <w:r>
        <w:rPr>
          <w:rFonts w:ascii="宋体" w:hAnsi="宋体"/>
          <w:sz w:val="18"/>
          <w:szCs w:val="18"/>
        </w:rPr>
        <w:t>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w:t>
      </w:r>
      <w:r>
        <w:rPr>
          <w:rFonts w:hint="eastAsia" w:ascii="宋体" w:hAnsi="宋体"/>
          <w:sz w:val="18"/>
          <w:szCs w:val="18"/>
        </w:rPr>
        <w:t>投标人</w:t>
      </w:r>
      <w:r>
        <w:rPr>
          <w:rFonts w:ascii="宋体" w:hAnsi="宋体"/>
          <w:sz w:val="18"/>
          <w:szCs w:val="18"/>
        </w:rPr>
        <w:t>的竞标货物必须使用政府强制采购的节能产品，</w:t>
      </w:r>
      <w:r>
        <w:rPr>
          <w:rFonts w:hint="eastAsia" w:ascii="宋体" w:hAnsi="宋体"/>
          <w:sz w:val="18"/>
          <w:szCs w:val="18"/>
        </w:rPr>
        <w:t>投标人</w:t>
      </w:r>
      <w:r>
        <w:rPr>
          <w:rFonts w:ascii="宋体" w:hAnsi="宋体"/>
          <w:sz w:val="18"/>
          <w:szCs w:val="18"/>
        </w:rPr>
        <w:t>必须在响应文件中提供所竞标产品的节能产品认证证书复印件（加盖供应商公章），否则响应文件按无效响应处理。</w:t>
      </w:r>
    </w:p>
    <w:p>
      <w:pPr>
        <w:spacing w:line="240" w:lineRule="auto"/>
        <w:ind w:firstLine="360"/>
        <w:jc w:val="left"/>
        <w:rPr>
          <w:sz w:val="18"/>
          <w:szCs w:val="18"/>
        </w:rPr>
      </w:pPr>
      <w:r>
        <w:rPr>
          <w:rFonts w:hint="eastAsia" w:ascii="宋体" w:hAnsi="宋体"/>
          <w:sz w:val="18"/>
          <w:szCs w:val="18"/>
        </w:rPr>
        <w:t>2.</w:t>
      </w:r>
      <w:r>
        <w:rPr>
          <w:rFonts w:eastAsia="Arial" w:cs="Arial"/>
          <w:sz w:val="18"/>
          <w:szCs w:val="18"/>
          <w:shd w:val="clear" w:color="auto" w:fill="FFFFFF"/>
        </w:rPr>
        <w:t>请各潜在投标人熟悉政采云平台细化在线询价管理规则，保障业务有序开展。</w:t>
      </w:r>
      <w:r>
        <w:rPr>
          <w:rFonts w:eastAsia="Arial" w:cs="Arial"/>
          <w:color w:val="FF0000"/>
          <w:sz w:val="18"/>
          <w:szCs w:val="18"/>
          <w:shd w:val="clear" w:color="auto" w:fill="FFFFFF"/>
        </w:rPr>
        <w:t>如供应商存在不按要求报价、中标后无故放弃、不按合同履行等违约行为的，</w:t>
      </w:r>
      <w:r>
        <w:rPr>
          <w:rFonts w:hint="eastAsia" w:eastAsia="宋体" w:cs="Arial"/>
          <w:color w:val="FF0000"/>
          <w:sz w:val="18"/>
          <w:szCs w:val="18"/>
          <w:shd w:val="clear" w:color="auto" w:fill="FFFFFF"/>
          <w:lang w:eastAsia="zh-CN"/>
        </w:rPr>
        <w:t>影响到</w:t>
      </w:r>
      <w:r>
        <w:rPr>
          <w:rFonts w:hint="eastAsia" w:cs="Arial"/>
          <w:color w:val="FF0000"/>
          <w:sz w:val="18"/>
          <w:szCs w:val="18"/>
          <w:shd w:val="clear" w:color="auto" w:fill="FFFFFF"/>
          <w:lang w:val="en-US" w:eastAsia="zh-CN"/>
        </w:rPr>
        <w:t>使用者</w:t>
      </w:r>
      <w:r>
        <w:rPr>
          <w:rFonts w:hint="eastAsia" w:eastAsia="宋体" w:cs="Arial"/>
          <w:color w:val="FF0000"/>
          <w:sz w:val="18"/>
          <w:szCs w:val="18"/>
          <w:shd w:val="clear" w:color="auto" w:fill="FFFFFF"/>
          <w:lang w:eastAsia="zh-CN"/>
        </w:rPr>
        <w:t>正常使用的，</w:t>
      </w:r>
      <w:r>
        <w:rPr>
          <w:rFonts w:eastAsia="Arial" w:cs="Arial"/>
          <w:color w:val="FF0000"/>
          <w:sz w:val="18"/>
          <w:szCs w:val="18"/>
          <w:shd w:val="clear" w:color="auto" w:fill="FFFFFF"/>
        </w:rPr>
        <w:t>采购人有权向政采云平台举报，并上报政府采购监管部门，予以禁止报价、扣除诚信分等处罚，</w:t>
      </w:r>
      <w:r>
        <w:rPr>
          <w:rFonts w:eastAsia="Arial" w:cs="Arial"/>
          <w:sz w:val="18"/>
          <w:szCs w:val="18"/>
          <w:shd w:val="clear" w:color="auto" w:fill="FFFFFF"/>
        </w:rPr>
        <w:t>政采云全平台各区划联动生效。</w:t>
      </w:r>
    </w:p>
    <w:p>
      <w:pPr>
        <w:spacing w:line="240" w:lineRule="auto"/>
        <w:ind w:firstLine="363" w:firstLineChars="202"/>
        <w:jc w:val="left"/>
        <w:rPr>
          <w:rFonts w:ascii="宋体" w:hAnsi="宋体"/>
          <w:b/>
          <w:bCs/>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投标人</w:t>
      </w:r>
      <w:r>
        <w:rPr>
          <w:rFonts w:ascii="宋体" w:hAnsi="宋体"/>
          <w:sz w:val="18"/>
          <w:szCs w:val="18"/>
        </w:rPr>
        <w:t>必须自行为其</w:t>
      </w:r>
      <w:r>
        <w:rPr>
          <w:rFonts w:hint="eastAsia" w:ascii="宋体" w:hAnsi="宋体"/>
          <w:sz w:val="18"/>
          <w:szCs w:val="18"/>
        </w:rPr>
        <w:t>询价</w:t>
      </w:r>
      <w:r>
        <w:rPr>
          <w:rFonts w:ascii="宋体" w:hAnsi="宋体"/>
          <w:sz w:val="18"/>
          <w:szCs w:val="18"/>
        </w:rPr>
        <w:t>产品侵犯他人的知识产权或者专利成果的行为承担相应法律责任。</w:t>
      </w:r>
    </w:p>
    <w:p>
      <w:pPr>
        <w:spacing w:line="240" w:lineRule="auto"/>
        <w:ind w:firstLine="360"/>
        <w:jc w:val="left"/>
        <w:rPr>
          <w:rFonts w:hint="default"/>
          <w:lang w:val="en-US" w:eastAsia="zh-CN"/>
        </w:rPr>
      </w:pPr>
      <w:r>
        <w:rPr>
          <w:rFonts w:hint="eastAsia" w:ascii="宋体" w:hAnsi="宋体"/>
          <w:sz w:val="18"/>
          <w:szCs w:val="18"/>
        </w:rPr>
        <w:t>4</w:t>
      </w:r>
      <w:r>
        <w:rPr>
          <w:rFonts w:ascii="宋体" w:hAnsi="宋体"/>
          <w:sz w:val="18"/>
          <w:szCs w:val="18"/>
        </w:rPr>
        <w:t>.</w:t>
      </w:r>
      <w:r>
        <w:rPr>
          <w:rFonts w:hint="eastAsia" w:ascii="宋体" w:hAnsi="宋体"/>
          <w:sz w:val="18"/>
          <w:szCs w:val="18"/>
        </w:rPr>
        <w:t>投标人</w:t>
      </w:r>
      <w:r>
        <w:rPr>
          <w:rFonts w:ascii="宋体" w:hAnsi="宋体"/>
          <w:sz w:val="18"/>
          <w:szCs w:val="18"/>
        </w:rPr>
        <w:t>应根据采购需求中的各项需求</w:t>
      </w:r>
      <w:r>
        <w:rPr>
          <w:rFonts w:hint="eastAsia" w:ascii="宋体" w:hAnsi="宋体"/>
          <w:sz w:val="18"/>
          <w:szCs w:val="18"/>
        </w:rPr>
        <w:t>提供报价清单，并完整的提交相关</w:t>
      </w:r>
      <w:r>
        <w:rPr>
          <w:rFonts w:ascii="宋体" w:hAnsi="宋体"/>
          <w:sz w:val="18"/>
          <w:szCs w:val="18"/>
        </w:rPr>
        <w:t>资料。凡不符合上述要求的，将视为文件按无效响应处理。</w:t>
      </w:r>
      <w:r>
        <w:rPr>
          <w:rFonts w:hint="eastAsia" w:ascii="宋体" w:hAnsi="宋体"/>
          <w:sz w:val="18"/>
          <w:szCs w:val="18"/>
          <w:lang w:val="en-US" w:eastAsia="zh-CN"/>
        </w:rPr>
        <w:br w:type="textWrapping"/>
      </w:r>
    </w:p>
    <w:tbl>
      <w:tblPr>
        <w:tblW w:w="100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76"/>
        <w:gridCol w:w="600"/>
        <w:gridCol w:w="450"/>
        <w:gridCol w:w="1155"/>
        <w:gridCol w:w="4155"/>
        <w:gridCol w:w="705"/>
        <w:gridCol w:w="660"/>
        <w:gridCol w:w="1110"/>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76" w:type="dxa"/>
            <w:tcBorders>
              <w:top w:val="single" w:color="000000" w:sz="8" w:space="0"/>
              <w:left w:val="single" w:color="000000" w:sz="8" w:space="0"/>
              <w:bottom w:val="single" w:color="000000" w:sz="8"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600" w:type="dxa"/>
            <w:tcBorders>
              <w:top w:val="single" w:color="000000" w:sz="8" w:space="0"/>
              <w:left w:val="single" w:color="000000" w:sz="4" w:space="0"/>
              <w:bottom w:val="single" w:color="000000" w:sz="8"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名称</w:t>
            </w:r>
          </w:p>
        </w:tc>
        <w:tc>
          <w:tcPr>
            <w:tcW w:w="450" w:type="dxa"/>
            <w:tcBorders>
              <w:top w:val="single" w:color="000000" w:sz="8" w:space="0"/>
              <w:left w:val="single" w:color="000000" w:sz="4" w:space="0"/>
              <w:bottom w:val="single" w:color="000000" w:sz="8"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品牌</w:t>
            </w:r>
          </w:p>
        </w:tc>
        <w:tc>
          <w:tcPr>
            <w:tcW w:w="1155" w:type="dxa"/>
            <w:tcBorders>
              <w:top w:val="single" w:color="000000" w:sz="8" w:space="0"/>
              <w:left w:val="single" w:color="000000" w:sz="4" w:space="0"/>
              <w:bottom w:val="single" w:color="000000" w:sz="8"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型号规格</w:t>
            </w:r>
          </w:p>
        </w:tc>
        <w:tc>
          <w:tcPr>
            <w:tcW w:w="4155" w:type="dxa"/>
            <w:tcBorders>
              <w:top w:val="single" w:color="000000" w:sz="8"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技术参数及性能配置要求</w:t>
            </w:r>
          </w:p>
        </w:tc>
        <w:tc>
          <w:tcPr>
            <w:tcW w:w="705" w:type="dxa"/>
            <w:tcBorders>
              <w:top w:val="single" w:color="000000" w:sz="8" w:space="0"/>
              <w:left w:val="single" w:color="000000" w:sz="4" w:space="0"/>
              <w:bottom w:val="single" w:color="000000" w:sz="8"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660" w:type="dxa"/>
            <w:tcBorders>
              <w:top w:val="single" w:color="000000" w:sz="8" w:space="0"/>
              <w:left w:val="single" w:color="000000" w:sz="4" w:space="0"/>
              <w:bottom w:val="single" w:color="000000" w:sz="8"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数量</w:t>
            </w:r>
          </w:p>
        </w:tc>
        <w:tc>
          <w:tcPr>
            <w:tcW w:w="1110" w:type="dxa"/>
            <w:tcBorders>
              <w:top w:val="single" w:color="000000" w:sz="8" w:space="0"/>
              <w:left w:val="single" w:color="000000" w:sz="4" w:space="0"/>
              <w:bottom w:val="single" w:color="000000" w:sz="8"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单价(元)</w:t>
            </w:r>
          </w:p>
        </w:tc>
        <w:tc>
          <w:tcPr>
            <w:tcW w:w="675" w:type="dxa"/>
            <w:tcBorders>
              <w:top w:val="single" w:color="000000" w:sz="8" w:space="0"/>
              <w:left w:val="single" w:color="000000" w:sz="4" w:space="0"/>
              <w:bottom w:val="single" w:color="000000" w:sz="8" w:space="0"/>
              <w:right w:val="nil"/>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0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枪型网络摄像机</w:t>
            </w:r>
          </w:p>
        </w:tc>
        <w:tc>
          <w:tcPr>
            <w:tcW w:w="45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大华</w:t>
            </w:r>
          </w:p>
        </w:tc>
        <w:tc>
          <w:tcPr>
            <w:tcW w:w="115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DH-IPC-HFW6458M-I1</w:t>
            </w:r>
          </w:p>
        </w:tc>
        <w:tc>
          <w:tcPr>
            <w:tcW w:w="415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像素：400万</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最大分辨率：2688×1520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最低照度：0.002Lux（彩色模式）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0.0002Lux（黑白模式）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0Lux（补光灯开启）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视频压缩标准：H.265，H.264，H.264B，MJPEG</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在客户端软件或IE浏览器下，具有认证模式设置选项，且WEB认证具有basic和digest两种设置选项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★不小于1600TVL(分辨率设置为2560×1440、帧率设置为30fps、码率设置为2Mbps、RJ45输出、图像四周有畸变)（提供公安部有效检测报告复印件加盖原厂公章或投标专用章）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照度适应范围不小于140dB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★具有自动白平衡功能，当使用环境实际色温在2800K~10000K范围内变化时，能自动调整白平衡，使输出图像准确重现出观察场景的实际色彩（提供公安部有效检测报告复印件加盖原厂公章或投标专用章）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开启走廊模式后，监控画面可90旋转并自动调整宽高比；</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可通过5个IE浏览器同时浏览主码流2560×1440(25帧/秒)、子码流704*576(25帧/秒)、第三码流1280×720(25帧/秒)、第四码流704×576(25帧/秒)、第五码流704×576(25帧/秒)的视频图像（提供公安部有效检测报告复印件加盖原厂公章或投标专用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★红外夜视距离：可识别距样机250m处的人体轮廓（提供公安部有效检测报告复印件加盖原厂公章或投标专用章）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供电方式：DC12V/POE</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防护等级：IP67</w:t>
            </w:r>
          </w:p>
        </w:tc>
        <w:tc>
          <w:tcPr>
            <w:tcW w:w="705" w:type="dxa"/>
            <w:tcBorders>
              <w:top w:val="single" w:color="000000" w:sz="8" w:space="0"/>
              <w:left w:val="nil"/>
              <w:bottom w:val="single" w:color="000000" w:sz="8" w:space="0"/>
              <w:right w:val="single" w:color="000000" w:sz="8"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66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111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w:t>
            </w:r>
          </w:p>
        </w:tc>
        <w:tc>
          <w:tcPr>
            <w:tcW w:w="67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9"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60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红外定焦海螺网络摄像机</w:t>
            </w:r>
          </w:p>
        </w:tc>
        <w:tc>
          <w:tcPr>
            <w:tcW w:w="45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大华</w:t>
            </w:r>
          </w:p>
        </w:tc>
        <w:tc>
          <w:tcPr>
            <w:tcW w:w="115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DH-IPC-HDW6458T</w:t>
            </w:r>
          </w:p>
        </w:tc>
        <w:tc>
          <w:tcPr>
            <w:tcW w:w="415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像素：400万</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最大分辨率：2688×1520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最低照度：0.002Lux（彩色模式）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0.0002Lux（黑白模式）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0Lux（补光灯开启）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宽动态：120dB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内置MIC：支持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报警事件：网络断开，IP冲突，非法访问，动态检测，视频遮挡，绊线入侵，区域入侵，音频异常侦测，电压异常；</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★在IE浏览器下，具有TCP/IP、HTTP、HTTPS、FTP、DNS、DDNS、RTSP、PPPOE、IPv4/v6、SMTP、NTP、UPnP、SNMP、802.1x、QoS、组播、UDP、Onvif、Bonjour设置选项（提供公安部有效检测报告复印件加盖原厂公章或投标专用章）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照度适应范围不小于140dB）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★具有自动白平衡功能，当使用环境实际色温在2800K-10000K范围内变化时，样机应能自动调整白平衡，使输出图像准确重现出观察场景的实际色彩（提供公安部有效检测报告复印件加盖原厂公章或投标专用章）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可通过5个IE浏览器同时浏览主码流2688×1520（30fps）、子码流704×480（30fps）、第三码流1280×720（30fps）、第四码流1920×1080（30fps）、第五码流1280×720（30fps）的视频图像（提供公安部有效检测报告复印件加盖原厂公章或投标专用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可根据IP地址进行访问控制：在白名单模式中，只有添加在白名单中的IP地址才允许访问样机，白名单中最多可添加200个IP地址。在黑名单模式中，只有添加在黑名单中的IP地址不允许访问样机，黑名单中最多可添加200个IP地址样机可根据MAC地址进行访问控制：在白名单模式中，只有添加在白名单中的MAC地址才允许访问样机，白名单中最多可添加200个MAC地址在黑名单模式中，只有添加在黑名单中的MAC地址不允许访问样机，黑名单中最多可添加200个MAC地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供电方式：DC12V/POE</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防护等级：IP67</w:t>
            </w:r>
          </w:p>
        </w:tc>
        <w:tc>
          <w:tcPr>
            <w:tcW w:w="705" w:type="dxa"/>
            <w:tcBorders>
              <w:top w:val="nil"/>
              <w:left w:val="nil"/>
              <w:bottom w:val="single" w:color="000000" w:sz="8" w:space="0"/>
              <w:right w:val="single" w:color="000000" w:sz="8"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66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111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760</w:t>
            </w:r>
          </w:p>
        </w:tc>
        <w:tc>
          <w:tcPr>
            <w:tcW w:w="67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2"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6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综合监控管理平台</w:t>
            </w:r>
          </w:p>
        </w:tc>
        <w:tc>
          <w:tcPr>
            <w:tcW w:w="45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大华</w:t>
            </w:r>
          </w:p>
        </w:tc>
        <w:tc>
          <w:tcPr>
            <w:tcW w:w="115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DH-DSS7016S2-D</w:t>
            </w:r>
          </w:p>
        </w:tc>
        <w:tc>
          <w:tcPr>
            <w:tcW w:w="41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1、管理存储二合一，单台设备接入支持1000个IP/ 3000个通道；2、支持B/S、C/S客户端访问平台；3、支持多个客户端同时访问平台；4、支持单网卡同时接入700Mbps，存储700Mbps，转发700Mbps；5、支持分布式部署，双机备份，N+M备份；6、支持大华云存储，支持直存、转存模式；7、支持手机APP查看前端摄像机实时图像及录像，电子地图、告警处理、人脸识别等功能；8、支持设备树的弹出、漫游、拉伸及回归；9、支持设备树的设备节点显示（须勾选使能），在、离线数通道展示相应设备节点下；10、支持以组织、收藏形式布局设备资源；11、支持流媒体视频流的转发、回放及下载；12、支持获取RTSP、RTMP协议实时码流（VLC网络串流）；13、支持1/4/6/8/9/13/16/20/25/36/64多分屏画面显示；14、支持九档屏显比例：满屏、1：1、4：3、3：4、5：4、4：5、16：9、9：16及64：9；15、支持去雾、去噪、去偏色及夜视增强灵敏度的视频增强；16、支持平台与前端设备的语音对讲；17、支持平台对前端设备的语音广播；18、支持卡口过车信息接收及记录；19、支持车辆信息列表、大图、统计显示及其导出；</w:t>
            </w:r>
          </w:p>
        </w:tc>
        <w:tc>
          <w:tcPr>
            <w:tcW w:w="7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66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1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39500</w:t>
            </w:r>
          </w:p>
        </w:tc>
        <w:tc>
          <w:tcPr>
            <w:tcW w:w="67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2"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6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存储服务器</w:t>
            </w:r>
          </w:p>
        </w:tc>
        <w:tc>
          <w:tcPr>
            <w:tcW w:w="45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大华</w:t>
            </w:r>
          </w:p>
        </w:tc>
        <w:tc>
          <w:tcPr>
            <w:tcW w:w="115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DH-EVS5236S</w:t>
            </w:r>
          </w:p>
        </w:tc>
        <w:tc>
          <w:tcPr>
            <w:tcW w:w="41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bookmarkStart w:id="0" w:name="_GoBack"/>
            <w:bookmarkEnd w:id="0"/>
            <w:r>
              <w:rPr>
                <w:rFonts w:hint="eastAsia" w:ascii="宋体" w:hAnsi="宋体" w:eastAsia="宋体" w:cs="宋体"/>
                <w:i w:val="0"/>
                <w:iCs w:val="0"/>
                <w:color w:val="000000"/>
                <w:kern w:val="0"/>
                <w:sz w:val="18"/>
                <w:szCs w:val="18"/>
                <w:u w:val="none"/>
                <w:bdr w:val="none" w:color="auto" w:sz="0" w:space="0"/>
                <w:lang w:val="en-US" w:eastAsia="zh-CN" w:bidi="ar"/>
              </w:rPr>
              <w:t>操作系统：嵌入式LINUX系统；主处理器：64位高性能多核处理器；控制器：单控制器；高速缓存：标配8GB，可扩展至128GB；电源冗余：1+1冗余电源；网络接口：1个千兆管理电口，4个千兆数据电口；硬盘个数：支持36块企业级硬盘；硬盘兼容性：1TB、2TB、3TB、4TB、5TB、6TB、8TB、10TB、12TB、14TB、16TB，支持SATA盘混插支持SSD硬盘支持2.5、3.5英寸硬盘；视频直存（私有协议）：最大支持400路（800Mbps）前端接入、存储、转发，32路（64 Mbps）网络回放                                    ★采用LINUX操作系统，具有1个控制单元，1个64位六核处理器，8GB内存，可扩展至128GB，具有128GB SSD固态硬盘，可扩展至2个512GB SSD固态硬盘。可扩展1个2.5英寸SATA硬盘。具有2个可热插拔BBU电源。样机外部接口可再扩展8个RJ45网络接口或4个RJ45网络接口及4个光纤接口，2个Mini SAS HD接口。样机前面板具有锁止功能，加锁后硬盘无法取出，具有可拆卸式防尘滤网（提供公安部有效检测报告复印件加盖原厂公章或投标专用章）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包括RAID0、RAID1、RAID3、RAID4、RAID5、RAID6、RAID10、RAID50、RAID60、超级RAID、JBOD、RAID5EE的RAID功能设置选项。具有同步优先、业务优先、I/O均衡及自适应四种RAID同步方式设置选项。支持全局热备和局部热备。支持RAID即建即用。可通过浏览器在线扩展客户端逻辑卷的存储空间。支持逻辑卷的动态在线扩展。（提供公安部有效检测报告复印件加盖原厂公章或投标专用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支持同时进行2600Mbps视（音）频码流存储，2600Mbps视（音）频码流转发、400Mbps视（音）频码流回放在转发模式下，可支持4096Mbps视（音）频码流的转发可支持不低于600MBps的图片并发输入，同时不低于600MBps图片并发输出IPSAN工作模式下，存储带宽不小于8Gbps（提供公安部有效检测报告复印件加盖原厂公章或投标专用章）</w:t>
            </w:r>
          </w:p>
        </w:tc>
        <w:tc>
          <w:tcPr>
            <w:tcW w:w="7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66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1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43500</w:t>
            </w:r>
          </w:p>
        </w:tc>
        <w:tc>
          <w:tcPr>
            <w:tcW w:w="67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6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存储硬盘</w:t>
            </w:r>
          </w:p>
        </w:tc>
        <w:tc>
          <w:tcPr>
            <w:tcW w:w="45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西数</w:t>
            </w:r>
          </w:p>
        </w:tc>
        <w:tc>
          <w:tcPr>
            <w:tcW w:w="115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西数6TB</w:t>
            </w:r>
          </w:p>
        </w:tc>
        <w:tc>
          <w:tcPr>
            <w:tcW w:w="41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监控专用硬盘，6GB/s接口，缓存64MB，转速5400～7200智能调节，6TB容量</w:t>
            </w:r>
          </w:p>
        </w:tc>
        <w:tc>
          <w:tcPr>
            <w:tcW w:w="7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66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11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1170</w:t>
            </w:r>
          </w:p>
        </w:tc>
        <w:tc>
          <w:tcPr>
            <w:tcW w:w="67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600" w:type="dxa"/>
            <w:tcBorders>
              <w:top w:val="nil"/>
              <w:left w:val="nil"/>
              <w:bottom w:val="nil"/>
              <w:right w:val="single" w:color="000000" w:sz="8"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监视器</w:t>
            </w:r>
          </w:p>
        </w:tc>
        <w:tc>
          <w:tcPr>
            <w:tcW w:w="45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大华</w:t>
            </w:r>
          </w:p>
        </w:tc>
        <w:tc>
          <w:tcPr>
            <w:tcW w:w="115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DH-LM24-F200A</w:t>
            </w:r>
          </w:p>
        </w:tc>
        <w:tc>
          <w:tcPr>
            <w:tcW w:w="4155" w:type="dxa"/>
            <w:tcBorders>
              <w:top w:val="nil"/>
              <w:left w:val="nil"/>
              <w:bottom w:val="nil"/>
              <w:right w:val="single" w:color="000000" w:sz="8"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面板尺寸：23.8英寸；</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亮度：250cd/m²；</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安装方式：底座、壁挂；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供电方式：AC100~240V (±10%), 50/60Hz；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工作温度：0-40℃；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信号输入标配：HDMI×1、VGA(D-Sub)×1、Audio in×1；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支持的分辨率：1920×1080</w:t>
            </w:r>
          </w:p>
        </w:tc>
        <w:tc>
          <w:tcPr>
            <w:tcW w:w="705" w:type="dxa"/>
            <w:tcBorders>
              <w:top w:val="nil"/>
              <w:left w:val="nil"/>
              <w:bottom w:val="nil"/>
              <w:right w:val="single" w:color="000000" w:sz="8" w:space="0"/>
            </w:tcBorders>
            <w:shd w:val="clear" w:color="auto" w:fill="FFFFFF"/>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660" w:type="dxa"/>
            <w:tcBorders>
              <w:top w:val="nil"/>
              <w:left w:val="nil"/>
              <w:bottom w:val="nil"/>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10" w:type="dxa"/>
            <w:tcBorders>
              <w:top w:val="nil"/>
              <w:left w:val="nil"/>
              <w:bottom w:val="nil"/>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1650</w:t>
            </w:r>
          </w:p>
        </w:tc>
        <w:tc>
          <w:tcPr>
            <w:tcW w:w="675" w:type="dxa"/>
            <w:tcBorders>
              <w:top w:val="nil"/>
              <w:left w:val="nil"/>
              <w:bottom w:val="nil"/>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60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核心交换机24口</w:t>
            </w:r>
          </w:p>
        </w:tc>
        <w:tc>
          <w:tcPr>
            <w:tcW w:w="45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大华</w:t>
            </w:r>
          </w:p>
        </w:tc>
        <w:tc>
          <w:tcPr>
            <w:tcW w:w="115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DH-S3100C-24GT4XF</w:t>
            </w:r>
          </w:p>
        </w:tc>
        <w:tc>
          <w:tcPr>
            <w:tcW w:w="415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24*RJ45 10/100/1000M，4*10G SFP+光口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交换容量：128Gbps 包转发率：95.2Mpps 包缓存：32Mb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通信标准：IEEE 802.3 10Base-T、IEEE 802.3u 100Base-TX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IEEE 802.3ab 1000BASE-T 、IEEE 802.3z 1000Base-X</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工作温度： -20℃～55℃，无风扇设计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支持基于IEEE802.1Q的VLAN配置。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支持手工链路聚合和静态LACP链路聚合。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支持生成树STP/RSTP/MSTP,快速环网ERPS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支持三层Vlan接口和静态路由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支持CLI,WEB，SSH,SNMP V1/V2C/V3等管理方式。</w:t>
            </w:r>
          </w:p>
        </w:tc>
        <w:tc>
          <w:tcPr>
            <w:tcW w:w="705"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66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1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6950</w:t>
            </w:r>
          </w:p>
        </w:tc>
        <w:tc>
          <w:tcPr>
            <w:tcW w:w="67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6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汇聚交换机24口</w:t>
            </w:r>
          </w:p>
        </w:tc>
        <w:tc>
          <w:tcPr>
            <w:tcW w:w="45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大华</w:t>
            </w:r>
          </w:p>
        </w:tc>
        <w:tc>
          <w:tcPr>
            <w:tcW w:w="115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DH-S3000C-24GT2GF</w:t>
            </w:r>
          </w:p>
        </w:tc>
        <w:tc>
          <w:tcPr>
            <w:tcW w:w="41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24口千兆POE供电+2个SFP光口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非网管POE交换机，24个10/100/1000 Base-T 以太网端口(Data/Power) ，2个100/1000Base-X SFP光口，交换容量48Gbps，整机PoE功率最大380W，防雷6KV，19寸1U机架式；</w:t>
            </w:r>
          </w:p>
        </w:tc>
        <w:tc>
          <w:tcPr>
            <w:tcW w:w="70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6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3450</w:t>
            </w:r>
          </w:p>
        </w:tc>
        <w:tc>
          <w:tcPr>
            <w:tcW w:w="6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6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接入交换机16口</w:t>
            </w:r>
          </w:p>
        </w:tc>
        <w:tc>
          <w:tcPr>
            <w:tcW w:w="45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大华</w:t>
            </w:r>
          </w:p>
        </w:tc>
        <w:tc>
          <w:tcPr>
            <w:tcW w:w="115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DH-S3000C-16GT2GT2GF-APWR</w:t>
            </w:r>
          </w:p>
        </w:tc>
        <w:tc>
          <w:tcPr>
            <w:tcW w:w="41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接入电口：16个；电口速率：10Mbps/100Mbps/1000Mbps；光口：2个；光口速率：1000Mbps；业务端口描述:Port1-16：16*RJ45 10M/100M/1000M(PoE) Port17-18：2*RJ45 10M/100M/1000M（上行） Port19-20：2*SFP 1000M（上行）推荐视频路数：24路200万像素；PoE：Port3-16≤30W，总功率≤360W，Port1-2≤ 90W；交换容量：52Gbps；包转发率：41.664Mpps；通信标准：IEEE802.3，IEEE802.3u，IEEE802.3x，IEEE 802.3ab，IEEE 802.3z；工作温度：-10℃～55℃；全千兆接入设计：大缓存，全千兆接入设计满足大码流高清接入需求。智能PoE：支持功耗管理策略，保障重点电口供电，智能检测功耗变化防宕机；支持宽功率供电，适应恶劣环境下IPC功耗波动；红口90W：红口支持IEEE820.3af/at标准外，也满足60W Hi-PoE与90W IEEE802.3 bt标准；八芯供电：网口支持八芯供电，增强前后端的兼容性；减小线缆损耗，提升带载能力。</w:t>
            </w:r>
          </w:p>
        </w:tc>
        <w:tc>
          <w:tcPr>
            <w:tcW w:w="70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6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1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2450</w:t>
            </w:r>
          </w:p>
        </w:tc>
        <w:tc>
          <w:tcPr>
            <w:tcW w:w="6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6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接入交换机8口</w:t>
            </w:r>
          </w:p>
        </w:tc>
        <w:tc>
          <w:tcPr>
            <w:tcW w:w="45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大华</w:t>
            </w:r>
          </w:p>
        </w:tc>
        <w:tc>
          <w:tcPr>
            <w:tcW w:w="115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DH-S3000C-8GT-DPWR</w:t>
            </w:r>
          </w:p>
        </w:tc>
        <w:tc>
          <w:tcPr>
            <w:tcW w:w="41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8*RJ45 10/100/1000M推荐接入路数：8路200万4M码流工作温度：-10℃～55℃雷电防护：共模 6KV，差模 4KVPoE:Port 1≤ 90W，Port2-8≤30W，总功率≤90W；支持全千兆端口设计支持IEEE802.3af、IEEE802.3at、IEEE802.3bt供电标准，红口符合Hi-PoE和IEEE802.3bt供电标准，橙口符合Hi-PoE供电标准支持10 Mbps协商速率下250米远距离供电支持交换机PoE网口PoE看门狗功能支持桌面安装方式</w:t>
            </w:r>
          </w:p>
        </w:tc>
        <w:tc>
          <w:tcPr>
            <w:tcW w:w="70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6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1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w:t>
            </w:r>
          </w:p>
        </w:tc>
        <w:tc>
          <w:tcPr>
            <w:tcW w:w="6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光纤</w:t>
            </w:r>
          </w:p>
        </w:tc>
        <w:tc>
          <w:tcPr>
            <w:tcW w:w="45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国产</w:t>
            </w:r>
          </w:p>
        </w:tc>
        <w:tc>
          <w:tcPr>
            <w:tcW w:w="11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国产</w:t>
            </w:r>
          </w:p>
        </w:tc>
        <w:tc>
          <w:tcPr>
            <w:tcW w:w="4155" w:type="dxa"/>
            <w:tcBorders>
              <w:top w:val="nil"/>
              <w:left w:val="nil"/>
              <w:bottom w:val="single" w:color="000000" w:sz="8" w:space="0"/>
              <w:right w:val="single" w:color="000000" w:sz="8" w:space="0"/>
            </w:tcBorders>
            <w:shd w:val="clear"/>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单模12芯非屏蔽光纤，含配套单纤双向100/1000M收发器，单模20KM，熔纤、耦合器、尾仟、光纤跳线等相关配件；光纤不能外露，需套线管或暗埋；</w:t>
            </w:r>
          </w:p>
        </w:tc>
        <w:tc>
          <w:tcPr>
            <w:tcW w:w="70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米</w:t>
            </w:r>
          </w:p>
        </w:tc>
        <w:tc>
          <w:tcPr>
            <w:tcW w:w="66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1800</w:t>
            </w:r>
          </w:p>
        </w:tc>
        <w:tc>
          <w:tcPr>
            <w:tcW w:w="111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67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60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网线</w:t>
            </w:r>
          </w:p>
        </w:tc>
        <w:tc>
          <w:tcPr>
            <w:tcW w:w="45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粤道</w:t>
            </w:r>
          </w:p>
        </w:tc>
        <w:tc>
          <w:tcPr>
            <w:tcW w:w="1155"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粤道</w:t>
            </w:r>
          </w:p>
        </w:tc>
        <w:tc>
          <w:tcPr>
            <w:tcW w:w="415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300米/箱，足米，高纯度无氧铜，标准超五类国标线，线芯0.56，工程及装修电线，真材实料，久用不断裂，耐用耐拉扯，上网不卡顿，清晰米标，布线自由，支持监控POE供电，适用于众多场景。</w:t>
            </w:r>
          </w:p>
        </w:tc>
        <w:tc>
          <w:tcPr>
            <w:tcW w:w="70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箱</w:t>
            </w:r>
          </w:p>
        </w:tc>
        <w:tc>
          <w:tcPr>
            <w:tcW w:w="66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1110"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660</w:t>
            </w:r>
          </w:p>
        </w:tc>
        <w:tc>
          <w:tcPr>
            <w:tcW w:w="67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600" w:type="dxa"/>
            <w:tcBorders>
              <w:top w:val="single" w:color="000000" w:sz="8" w:space="0"/>
              <w:left w:val="single" w:color="000000" w:sz="4" w:space="0"/>
              <w:bottom w:val="single" w:color="000000" w:sz="8"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接入交换机箱</w:t>
            </w:r>
          </w:p>
        </w:tc>
        <w:tc>
          <w:tcPr>
            <w:tcW w:w="450" w:type="dxa"/>
            <w:tcBorders>
              <w:top w:val="single" w:color="000000" w:sz="8" w:space="0"/>
              <w:left w:val="single" w:color="000000" w:sz="4" w:space="0"/>
              <w:bottom w:val="single" w:color="000000" w:sz="8"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国产</w:t>
            </w:r>
          </w:p>
        </w:tc>
        <w:tc>
          <w:tcPr>
            <w:tcW w:w="1155" w:type="dxa"/>
            <w:tcBorders>
              <w:top w:val="single" w:color="000000" w:sz="8"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6U</w:t>
            </w:r>
          </w:p>
        </w:tc>
        <w:tc>
          <w:tcPr>
            <w:tcW w:w="4155" w:type="dxa"/>
            <w:tcBorders>
              <w:top w:val="single" w:color="000000" w:sz="8" w:space="0"/>
              <w:left w:val="single" w:color="000000" w:sz="4" w:space="0"/>
              <w:bottom w:val="single" w:color="000000" w:sz="8" w:space="0"/>
              <w:right w:val="nil"/>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壁挂，定制6U，SPCC优质冷轧钢板，IP20防护，多种过线方式，环保喷漆。</w:t>
            </w:r>
          </w:p>
        </w:tc>
        <w:tc>
          <w:tcPr>
            <w:tcW w:w="70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660" w:type="dxa"/>
            <w:tcBorders>
              <w:top w:val="single" w:color="000000" w:sz="8" w:space="0"/>
              <w:left w:val="single" w:color="000000" w:sz="4"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10" w:type="dxa"/>
            <w:tcBorders>
              <w:top w:val="single" w:color="000000" w:sz="8" w:space="0"/>
              <w:left w:val="single" w:color="000000" w:sz="4"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385</w:t>
            </w:r>
          </w:p>
        </w:tc>
        <w:tc>
          <w:tcPr>
            <w:tcW w:w="67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60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机房机柜</w:t>
            </w:r>
          </w:p>
        </w:tc>
        <w:tc>
          <w:tcPr>
            <w:tcW w:w="45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国产</w:t>
            </w:r>
          </w:p>
        </w:tc>
        <w:tc>
          <w:tcPr>
            <w:tcW w:w="115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32U</w:t>
            </w:r>
          </w:p>
        </w:tc>
        <w:tc>
          <w:tcPr>
            <w:tcW w:w="4155" w:type="dxa"/>
            <w:tcBorders>
              <w:top w:val="single" w:color="000000" w:sz="8" w:space="0"/>
              <w:left w:val="nil"/>
              <w:bottom w:val="single" w:color="000000" w:sz="8" w:space="0"/>
              <w:right w:val="nil"/>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交换机机柜  2045*600*1000,32U，SPCC优质冷轧钢板，IP20防护，镀锌方孔条立柱，全方位通风散热设计，可调节托盘，底部布线槽和接地。</w:t>
            </w:r>
          </w:p>
        </w:tc>
        <w:tc>
          <w:tcPr>
            <w:tcW w:w="70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66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1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2540</w:t>
            </w:r>
          </w:p>
        </w:tc>
        <w:tc>
          <w:tcPr>
            <w:tcW w:w="675" w:type="dxa"/>
            <w:tcBorders>
              <w:top w:val="nil"/>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9" w:hRule="atLeast"/>
        </w:trPr>
        <w:tc>
          <w:tcPr>
            <w:tcW w:w="576"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60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综合布线及安装</w:t>
            </w:r>
          </w:p>
        </w:tc>
        <w:tc>
          <w:tcPr>
            <w:tcW w:w="45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115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根据现场定制</w:t>
            </w:r>
          </w:p>
        </w:tc>
        <w:tc>
          <w:tcPr>
            <w:tcW w:w="415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相关PVC阻燃线管，监控支架立杆等、水晶接头、插座、胶布、线订，线扎等材料，严格按照弱电安装要求进行安装，所有的安装线路吊顶里面，或暗埋于墙体里面，不能外露。弱电与强电要独立分开，均套用PVC阻燃管及对原有监控线路改造。所有设备均采用专用线路，确保24小时设备不间断运行、原有监控线路改造及人工费用等，含维保1年。</w:t>
            </w:r>
          </w:p>
        </w:tc>
        <w:tc>
          <w:tcPr>
            <w:tcW w:w="70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66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1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90435</w:t>
            </w:r>
          </w:p>
        </w:tc>
        <w:tc>
          <w:tcPr>
            <w:tcW w:w="675" w:type="dxa"/>
            <w:tcBorders>
              <w:top w:val="nil"/>
              <w:left w:val="nil"/>
              <w:bottom w:val="nil"/>
              <w:right w:val="single" w:color="000000" w:sz="8"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9" w:hRule="atLeast"/>
        </w:trPr>
        <w:tc>
          <w:tcPr>
            <w:tcW w:w="10086" w:type="dxa"/>
            <w:gridSpan w:val="9"/>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b/>
                <w:bCs/>
                <w:i w:val="0"/>
                <w:iCs w:val="0"/>
                <w:color w:val="000000"/>
                <w:kern w:val="0"/>
                <w:sz w:val="28"/>
                <w:szCs w:val="28"/>
                <w:u w:val="none"/>
                <w:bdr w:val="none" w:color="auto" w:sz="0" w:space="0"/>
                <w:lang w:val="en-US" w:eastAsia="zh-CN" w:bidi="ar"/>
              </w:rPr>
              <w:t>商务需求表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9" w:hRule="atLeast"/>
        </w:trPr>
        <w:tc>
          <w:tcPr>
            <w:tcW w:w="10086" w:type="dxa"/>
            <w:gridSpan w:val="9"/>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 xml:space="preserve">1、标注★号的内容为实质性要求和条件，必须满足或优于，否则投标无效。非标注★号允许偏离的技术、性能指标或者辅助功能项目发生负偏离达 3项（含）以上的，投标报价及文件作投标无效处理。 </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 xml:space="preserve">★2、合同签订期：自中标通知书发出之日起3日内； </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 xml:space="preserve">★3、交货期：自合同签订之日起10日内供货完毕，现场交货到采购人指定地点； </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 xml:space="preserve">★4签订合同前必须要提供对应生产厂家针对本项目的供货证明和售后服务承诺书原件并加盖公章及相关产品的检测报告，避免假冒伪劣产品；对不能满足参数要求虚假响应，或者无法正常交货影响业主使用的，业主可作为废标处理，并按规定对投标公司予以处罚，和进行网上通报处理。 </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 xml:space="preserve">★5、售后服务要求： ★(1)、考虑到售后服务方便，本项目只接受广西本级供应商，不接受广西本级供应商授权的定点服务商作为售后服务点。 ★(2)、质量保证期1年(自交货并验收合格之日起计)；同时提供产品“三包”服务，定期回访以及对设备维修；质保期后提供终身维修服务； 故障响应时间：中标供应商接到故障通知后在 2 小时内到达采购人指定现场；对于故障处理，要求中标人在质保期内提供24小时提供免费提供维护服务；48小时无法排除故障时，投标人需提供相同型号备用设备，以保证正常使用； (3)、质量保证期内免费上门维修、免费更换配件，每月对所有设备进行一次保养。 (4)、免费送货上门、安装、调试，免费培训使用人员和维护人员，培训内容主要为：所采购的各种设备的使用和维护知识。 (5)、中标供应商负责处理解决货物出现的质量及安全问题并承担一切费用，所有非故意性损坏以及正常使用范围内造成的损坏均要免费维修。 </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6、其他要求： 1、投标报价为采购人指定地点的现场交货价，包括： （1）货物及标准附件、备品备件、专用工具的价格； （2）运输、装卸、调试、培训、技术支持、售后服务等费用； （3）必要的保险费用，安全施工费和各项税费； （4）包括安装费用； 2、付款条件：本项目无预付款，供应商交货完毕并经验收合格后，一次性支付完合同款。</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7、验收方法及方案：(1)采购人对中标单位所交货物依照采购文件上的技术规格要求进行逐条验收，以确认其提供的货物是否达到竞标文件中所承诺的技术功能，中标单位提供设备验收结果为达不到竞标文件承诺的技术功能的，须按采购人要求提供合格设备并通过检测或演示方可正式供货，超过合同约定供货时间，则按中标单位违约处理，视为虚假应标处理。(2)产品到位且所有设备安装调试完毕后，性能达到技术要求的，给予验收。验收不合格视为中标人违约，违约责任：验收不合格按废标处理。并将上报政府采购监管部门，根据《中华人民共和国政府采购法实施条例》将其列入黑名单，由财政部门列入不良行为记录名单，禁止其1至3年内参加政府采购活动。</w:t>
            </w:r>
          </w:p>
        </w:tc>
      </w:tr>
    </w:tbl>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B5BBA"/>
    <w:multiLevelType w:val="multilevel"/>
    <w:tmpl w:val="479B5BBA"/>
    <w:lvl w:ilvl="0" w:tentative="0">
      <w:start w:val="1"/>
      <w:numFmt w:val="chineseCountingThousand"/>
      <w:suff w:val="space"/>
      <w:lvlText w:val="第 %1 章"/>
      <w:lvlJc w:val="left"/>
      <w:pPr>
        <w:ind w:left="3402" w:firstLine="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decimal"/>
      <w:pStyle w:val="2"/>
      <w:isLgl/>
      <w:suff w:val="space"/>
      <w:lvlText w:val="%1.%2"/>
      <w:lvlJc w:val="left"/>
      <w:pPr>
        <w:ind w:left="0"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rPr>
    </w:lvl>
    <w:lvl w:ilvl="2" w:tentative="0">
      <w:start w:val="1"/>
      <w:numFmt w:val="decimal"/>
      <w:isLgl/>
      <w:suff w:val="space"/>
      <w:lvlText w:val="%1.%2.%3"/>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C0A0C"/>
    <w:rsid w:val="0ACF204E"/>
    <w:rsid w:val="0B4D57B0"/>
    <w:rsid w:val="20BC0A0C"/>
    <w:rsid w:val="22EC34DE"/>
    <w:rsid w:val="2443783F"/>
    <w:rsid w:val="2B4B6C1A"/>
    <w:rsid w:val="34D770C7"/>
    <w:rsid w:val="39A6688E"/>
    <w:rsid w:val="3C120974"/>
    <w:rsid w:val="3DAE14D8"/>
    <w:rsid w:val="4228077F"/>
    <w:rsid w:val="430361CF"/>
    <w:rsid w:val="45814EC3"/>
    <w:rsid w:val="4B6B7BBE"/>
    <w:rsid w:val="50A92379"/>
    <w:rsid w:val="5D4374E5"/>
    <w:rsid w:val="613B5427"/>
    <w:rsid w:val="665F675B"/>
    <w:rsid w:val="71703B95"/>
    <w:rsid w:val="71D0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Arial" w:hAnsi="Arial" w:eastAsia="宋体" w:cs="宋体"/>
      <w:kern w:val="2"/>
      <w:sz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numPr>
        <w:ilvl w:val="1"/>
        <w:numId w:val="1"/>
      </w:numPr>
      <w:spacing w:before="240" w:after="120" w:line="480" w:lineRule="auto"/>
      <w:ind w:firstLineChars="0"/>
      <w:jc w:val="left"/>
      <w:outlineLvl w:val="1"/>
    </w:pPr>
    <w:rPr>
      <w:rFonts w:eastAsia="黑体"/>
      <w:bCs/>
      <w:sz w:val="36"/>
      <w:szCs w:val="36"/>
      <w:lang w:val="zh-CN"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 标题 2 + 宋体"/>
    <w:basedOn w:val="2"/>
    <w:qFormat/>
    <w:uiPriority w:val="99"/>
    <w:rPr>
      <w:rFonts w:ascii="宋体" w:hAnsi="宋体"/>
      <w:sz w:val="30"/>
    </w:rPr>
  </w:style>
  <w:style w:type="paragraph" w:customStyle="1" w:styleId="10">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1">
    <w:name w:val="List Paragraph"/>
    <w:basedOn w:val="1"/>
    <w:qFormat/>
    <w:uiPriority w:val="99"/>
    <w:pPr>
      <w:widowControl/>
      <w:ind w:firstLine="420" w:firstLineChars="200"/>
      <w:jc w:val="left"/>
    </w:pPr>
    <w:rPr>
      <w:rFonts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2021-08-18T11:23:00Z</dcterms:created>
  <dc:creator>卢培盛</dc:creator>
  <cp:lastModifiedBy>See  you</cp:lastModifiedBy>
  <dcterms:modified xsi:type="dcterms:W3CDTF">2021-12-08T12:42:30Z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E2E4531B4C0D46E49CF46931DFE78FA2</vt:lpwstr>
  </property>
</Properties>
</file>