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湖南农业大学8教实验室台柜及通风柜利旧搬迁维修项目</w:t>
      </w:r>
    </w:p>
    <w:p>
      <w:pPr>
        <w:spacing w:line="360" w:lineRule="auto"/>
        <w:rPr>
          <w:rFonts w:ascii="宋体" w:hAnsi="宋体" w:cs="宋体"/>
          <w:b/>
          <w:bCs/>
          <w:color w:val="auto"/>
          <w:szCs w:val="21"/>
        </w:rPr>
      </w:pPr>
      <w:r>
        <w:rPr>
          <w:rFonts w:hint="eastAsia" w:ascii="宋体" w:hAnsi="宋体" w:cs="宋体"/>
          <w:b/>
          <w:bCs/>
          <w:color w:val="auto"/>
          <w:szCs w:val="21"/>
          <w:lang w:val="en-US" w:eastAsia="zh-CN"/>
        </w:rPr>
        <w:t>一</w:t>
      </w:r>
      <w:r>
        <w:rPr>
          <w:rFonts w:hint="eastAsia" w:ascii="宋体" w:hAnsi="宋体" w:cs="宋体"/>
          <w:b/>
          <w:bCs/>
          <w:color w:val="auto"/>
          <w:szCs w:val="21"/>
        </w:rPr>
        <w:t>、工程概况：</w:t>
      </w:r>
    </w:p>
    <w:p>
      <w:pPr>
        <w:pStyle w:val="2"/>
        <w:spacing w:line="360" w:lineRule="auto"/>
        <w:rPr>
          <w:rFonts w:ascii="宋体" w:hAnsi="宋体"/>
          <w:color w:val="auto"/>
          <w:kern w:val="2"/>
          <w:sz w:val="21"/>
          <w:szCs w:val="21"/>
        </w:rPr>
      </w:pPr>
      <w:r>
        <w:rPr>
          <w:rFonts w:hint="eastAsia" w:ascii="宋体" w:hAnsi="宋体"/>
          <w:color w:val="auto"/>
          <w:kern w:val="2"/>
          <w:sz w:val="21"/>
          <w:szCs w:val="21"/>
        </w:rPr>
        <w:t>本项目</w:t>
      </w:r>
      <w:r>
        <w:rPr>
          <w:rFonts w:hint="eastAsia" w:ascii="宋体" w:hAnsi="宋体"/>
          <w:color w:val="auto"/>
          <w:kern w:val="2"/>
          <w:sz w:val="21"/>
          <w:szCs w:val="21"/>
          <w:lang w:val="en-US" w:eastAsia="zh-CN"/>
        </w:rPr>
        <w:t>为实验室改造、实验台柜、</w:t>
      </w:r>
      <w:r>
        <w:rPr>
          <w:rFonts w:hint="eastAsia" w:ascii="宋体" w:hAnsi="宋体"/>
          <w:color w:val="auto"/>
          <w:kern w:val="2"/>
          <w:sz w:val="21"/>
          <w:szCs w:val="21"/>
        </w:rPr>
        <w:t>通风柜</w:t>
      </w:r>
      <w:r>
        <w:rPr>
          <w:rFonts w:hint="eastAsia" w:ascii="宋体" w:hAnsi="宋体"/>
          <w:color w:val="auto"/>
          <w:kern w:val="2"/>
          <w:sz w:val="21"/>
          <w:szCs w:val="21"/>
          <w:lang w:val="en-US" w:eastAsia="zh-CN"/>
        </w:rPr>
        <w:t>及</w:t>
      </w:r>
      <w:r>
        <w:rPr>
          <w:rFonts w:hint="eastAsia" w:ascii="宋体" w:hAnsi="宋体"/>
          <w:color w:val="auto"/>
          <w:sz w:val="21"/>
          <w:szCs w:val="21"/>
        </w:rPr>
        <w:t>通风系统改造与利旧搬迁</w:t>
      </w:r>
      <w:r>
        <w:rPr>
          <w:rFonts w:hint="eastAsia" w:ascii="宋体" w:hAnsi="宋体"/>
          <w:color w:val="auto"/>
          <w:sz w:val="21"/>
          <w:szCs w:val="21"/>
        </w:rPr>
        <w:t>维修</w:t>
      </w:r>
      <w:r>
        <w:rPr>
          <w:rFonts w:hint="eastAsia" w:ascii="宋体" w:hAnsi="宋体"/>
          <w:color w:val="auto"/>
          <w:kern w:val="2"/>
          <w:sz w:val="21"/>
          <w:szCs w:val="21"/>
        </w:rPr>
        <w:t>,</w:t>
      </w:r>
      <w:r>
        <w:rPr>
          <w:rFonts w:hint="eastAsia" w:ascii="宋体" w:hAnsi="宋体"/>
          <w:color w:val="auto"/>
          <w:kern w:val="2"/>
          <w:sz w:val="21"/>
          <w:szCs w:val="21"/>
          <w:lang w:val="en-US" w:eastAsia="zh-CN"/>
        </w:rPr>
        <w:t>进水,排水,电路改造</w:t>
      </w:r>
      <w:r>
        <w:rPr>
          <w:rFonts w:hint="eastAsia" w:ascii="宋体" w:hAnsi="宋体"/>
          <w:color w:val="auto"/>
          <w:kern w:val="2"/>
          <w:sz w:val="21"/>
          <w:szCs w:val="21"/>
        </w:rPr>
        <w:t>等。该项目最高限价为：</w:t>
      </w:r>
      <w:r>
        <w:rPr>
          <w:rFonts w:hint="eastAsia" w:ascii="宋体" w:hAnsi="宋体"/>
          <w:color w:val="auto"/>
          <w:kern w:val="2"/>
          <w:sz w:val="21"/>
          <w:szCs w:val="21"/>
          <w:lang w:val="en-US" w:eastAsia="zh-CN"/>
        </w:rPr>
        <w:t>19</w:t>
      </w:r>
      <w:r>
        <w:rPr>
          <w:rFonts w:hint="eastAsia" w:ascii="宋体" w:hAnsi="宋体"/>
          <w:color w:val="auto"/>
          <w:kern w:val="2"/>
          <w:sz w:val="21"/>
          <w:szCs w:val="21"/>
        </w:rPr>
        <w:t>.6</w:t>
      </w:r>
      <w:r>
        <w:rPr>
          <w:rFonts w:hint="eastAsia" w:ascii="宋体" w:hAnsi="宋体"/>
          <w:color w:val="auto"/>
          <w:kern w:val="2"/>
          <w:sz w:val="21"/>
          <w:szCs w:val="21"/>
          <w:lang w:val="en-US" w:eastAsia="zh-CN"/>
        </w:rPr>
        <w:t>8</w:t>
      </w:r>
      <w:r>
        <w:rPr>
          <w:rFonts w:hint="eastAsia" w:ascii="宋体" w:hAnsi="宋体"/>
          <w:color w:val="auto"/>
          <w:kern w:val="2"/>
          <w:sz w:val="21"/>
          <w:szCs w:val="21"/>
        </w:rPr>
        <w:t>万元。</w:t>
      </w:r>
    </w:p>
    <w:tbl>
      <w:tblPr>
        <w:tblStyle w:val="15"/>
        <w:tblW w:w="8324" w:type="dxa"/>
        <w:tblInd w:w="96" w:type="dxa"/>
        <w:tblLayout w:type="fixed"/>
        <w:tblCellMar>
          <w:top w:w="0" w:type="dxa"/>
          <w:left w:w="108" w:type="dxa"/>
          <w:bottom w:w="0" w:type="dxa"/>
          <w:right w:w="108" w:type="dxa"/>
        </w:tblCellMar>
      </w:tblPr>
      <w:tblGrid>
        <w:gridCol w:w="751"/>
        <w:gridCol w:w="2340"/>
        <w:gridCol w:w="1711"/>
        <w:gridCol w:w="743"/>
        <w:gridCol w:w="798"/>
        <w:gridCol w:w="1981"/>
      </w:tblGrid>
      <w:tr>
        <w:tblPrEx>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0"/>
                <w:szCs w:val="20"/>
              </w:rPr>
            </w:pPr>
            <w:r>
              <w:rPr>
                <w:rFonts w:hint="eastAsia" w:ascii="宋体" w:hAnsi="宋体" w:cs="宋体"/>
                <w:b/>
                <w:bCs/>
                <w:color w:val="auto"/>
                <w:kern w:val="0"/>
                <w:sz w:val="20"/>
                <w:szCs w:val="20"/>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名称</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规格:L*D*H</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数量</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1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rPr>
              <w:t>说    明</w:t>
            </w:r>
          </w:p>
        </w:tc>
      </w:tr>
      <w:tr>
        <w:tblPrEx>
          <w:tblCellMar>
            <w:top w:w="0" w:type="dxa"/>
            <w:left w:w="108" w:type="dxa"/>
            <w:bottom w:w="0" w:type="dxa"/>
            <w:right w:w="108" w:type="dxa"/>
          </w:tblCellMar>
        </w:tblPrEx>
        <w:trPr>
          <w:trHeight w:val="8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olor w:val="auto"/>
                <w:szCs w:val="21"/>
                <w:lang w:val="en-US" w:eastAsia="zh-CN"/>
              </w:rPr>
              <w:t>实验室改造、实验台柜、</w:t>
            </w:r>
            <w:r>
              <w:rPr>
                <w:rFonts w:hint="eastAsia" w:ascii="宋体" w:hAnsi="宋体"/>
                <w:color w:val="auto"/>
                <w:szCs w:val="21"/>
              </w:rPr>
              <w:t>通风柜</w:t>
            </w:r>
            <w:r>
              <w:rPr>
                <w:rFonts w:hint="eastAsia" w:ascii="宋体" w:hAnsi="宋体"/>
                <w:color w:val="auto"/>
                <w:szCs w:val="21"/>
                <w:lang w:val="en-US" w:eastAsia="zh-CN"/>
              </w:rPr>
              <w:t>及</w:t>
            </w:r>
            <w:r>
              <w:rPr>
                <w:rFonts w:hint="eastAsia" w:ascii="宋体" w:hAnsi="宋体"/>
                <w:color w:val="auto"/>
                <w:szCs w:val="21"/>
              </w:rPr>
              <w:t>通风系统改造与维修,</w:t>
            </w:r>
            <w:r>
              <w:rPr>
                <w:rFonts w:hint="eastAsia" w:ascii="宋体" w:hAnsi="宋体"/>
                <w:color w:val="auto"/>
                <w:szCs w:val="21"/>
                <w:lang w:val="en-US" w:eastAsia="zh-CN"/>
              </w:rPr>
              <w:t>进水,排水,电路改造</w:t>
            </w:r>
            <w:r>
              <w:rPr>
                <w:rFonts w:hint="eastAsia" w:ascii="宋体" w:hAnsi="宋体"/>
                <w:color w:val="auto"/>
                <w:szCs w:val="21"/>
              </w:rPr>
              <w:t>等</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sz w:val="20"/>
                <w:szCs w:val="20"/>
              </w:rPr>
              <w:t>订制产品</w:t>
            </w:r>
          </w:p>
        </w:tc>
        <w:tc>
          <w:tcPr>
            <w:tcW w:w="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7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sz w:val="20"/>
                <w:szCs w:val="20"/>
              </w:rPr>
              <w:t>批</w:t>
            </w:r>
          </w:p>
        </w:tc>
        <w:tc>
          <w:tcPr>
            <w:tcW w:w="1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按要求定制</w:t>
            </w:r>
          </w:p>
        </w:tc>
      </w:tr>
    </w:tbl>
    <w:p>
      <w:pPr>
        <w:tabs>
          <w:tab w:val="right" w:pos="180"/>
        </w:tabs>
        <w:adjustRightInd w:val="0"/>
        <w:snapToGrid w:val="0"/>
        <w:spacing w:line="360" w:lineRule="auto"/>
        <w:ind w:firstLine="422" w:firstLineChars="200"/>
        <w:rPr>
          <w:rFonts w:ascii="宋体" w:hAnsi="宋体" w:cs="宋体"/>
          <w:b/>
          <w:bCs/>
          <w:snapToGrid w:val="0"/>
          <w:color w:val="auto"/>
          <w:kern w:val="0"/>
          <w:szCs w:val="21"/>
        </w:rPr>
      </w:pPr>
    </w:p>
    <w:p>
      <w:pPr>
        <w:spacing w:line="360" w:lineRule="auto"/>
        <w:rPr>
          <w:rFonts w:ascii="宋体" w:hAnsi="宋体" w:cs="宋体"/>
          <w:b/>
          <w:bCs/>
          <w:color w:val="auto"/>
          <w:szCs w:val="21"/>
        </w:rPr>
      </w:pPr>
      <w:r>
        <w:rPr>
          <w:rFonts w:hint="eastAsia" w:ascii="宋体" w:hAnsi="宋体" w:cs="宋体"/>
          <w:b/>
          <w:bCs/>
          <w:color w:val="auto"/>
          <w:szCs w:val="21"/>
          <w:lang w:val="en-US" w:eastAsia="zh-CN"/>
        </w:rPr>
        <w:t>二</w:t>
      </w:r>
      <w:r>
        <w:rPr>
          <w:rFonts w:hint="eastAsia" w:ascii="宋体" w:hAnsi="宋体" w:cs="宋体"/>
          <w:b/>
          <w:bCs/>
          <w:color w:val="auto"/>
          <w:szCs w:val="21"/>
        </w:rPr>
        <w:t>、设计依据</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snapToGrid w:val="0"/>
          <w:color w:val="auto"/>
          <w:kern w:val="0"/>
          <w:szCs w:val="21"/>
        </w:rPr>
        <w:t>1、</w:t>
      </w:r>
      <w:r>
        <w:rPr>
          <w:rFonts w:hint="eastAsia" w:ascii="宋体" w:hAnsi="宋体" w:cs="宋体"/>
          <w:color w:val="auto"/>
          <w:szCs w:val="21"/>
        </w:rPr>
        <w:t>《实验室变风量排风柜/lab VAV fume hood》（JG/T222－2007）</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 xml:space="preserve"> 2、</w:t>
      </w:r>
      <w:r>
        <w:rPr>
          <w:rFonts w:hint="eastAsia" w:ascii="宋体" w:hAnsi="宋体" w:cs="宋体"/>
          <w:color w:val="auto"/>
          <w:szCs w:val="21"/>
        </w:rPr>
        <w:t>《简明通风设计手册》</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 xml:space="preserve"> 3、</w:t>
      </w:r>
      <w:r>
        <w:rPr>
          <w:rFonts w:hint="eastAsia" w:ascii="宋体" w:hAnsi="宋体" w:cs="宋体"/>
          <w:color w:val="auto"/>
          <w:szCs w:val="21"/>
        </w:rPr>
        <w:t>《工业建筑采暖通风与空调设计规范》（GBJ50019-2015）</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 xml:space="preserve"> 4、</w:t>
      </w:r>
      <w:r>
        <w:rPr>
          <w:rFonts w:hint="eastAsia" w:ascii="宋体" w:hAnsi="宋体" w:cs="宋体"/>
          <w:color w:val="auto"/>
          <w:szCs w:val="21"/>
        </w:rPr>
        <w:t>《通用用电设备配电设计规范》GB50055-2011</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 xml:space="preserve"> 5、</w:t>
      </w:r>
      <w:r>
        <w:rPr>
          <w:rFonts w:hint="eastAsia" w:ascii="宋体" w:hAnsi="宋体" w:cs="宋体"/>
          <w:color w:val="auto"/>
          <w:szCs w:val="21"/>
        </w:rPr>
        <w:t>《公共建筑节能设计标准》（GB50189-2015）</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 xml:space="preserve"> 6、</w:t>
      </w:r>
      <w:r>
        <w:rPr>
          <w:rFonts w:hint="eastAsia" w:ascii="宋体" w:hAnsi="宋体" w:cs="宋体"/>
          <w:color w:val="auto"/>
          <w:szCs w:val="21"/>
        </w:rPr>
        <w:t>《建筑设计防火规范》（GB50016-2014）</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 xml:space="preserve"> 7、</w:t>
      </w:r>
      <w:r>
        <w:rPr>
          <w:rFonts w:hint="eastAsia" w:ascii="宋体" w:hAnsi="宋体" w:cs="宋体"/>
          <w:color w:val="auto"/>
          <w:szCs w:val="21"/>
        </w:rPr>
        <w:t>《通风与空调工程质量检验评定标准》（GBJ304－2002）</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 xml:space="preserve"> 8、</w:t>
      </w:r>
      <w:r>
        <w:rPr>
          <w:rFonts w:hint="eastAsia" w:ascii="宋体" w:hAnsi="宋体" w:cs="宋体"/>
          <w:color w:val="auto"/>
          <w:szCs w:val="21"/>
        </w:rPr>
        <w:t>《工业企业噪声控制设计标准》、《城市区域环境噪声标准》</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 xml:space="preserve"> 9、</w:t>
      </w:r>
      <w:r>
        <w:rPr>
          <w:rFonts w:hint="eastAsia" w:ascii="宋体" w:hAnsi="宋体" w:cs="宋体"/>
          <w:color w:val="auto"/>
          <w:szCs w:val="21"/>
        </w:rPr>
        <w:t>《环境空气质量标准》（GB3095-2016）</w:t>
      </w:r>
    </w:p>
    <w:p>
      <w:pPr>
        <w:spacing w:line="360" w:lineRule="auto"/>
        <w:ind w:right="105" w:rightChars="50" w:firstLine="420" w:firstLineChars="200"/>
        <w:rPr>
          <w:rFonts w:ascii="宋体" w:hAnsi="宋体" w:cs="宋体"/>
          <w:color w:val="auto"/>
          <w:szCs w:val="21"/>
        </w:rPr>
      </w:pPr>
      <w:r>
        <w:rPr>
          <w:rFonts w:hint="eastAsia" w:ascii="宋体" w:hAnsi="宋体" w:cs="宋体"/>
          <w:snapToGrid w:val="0"/>
          <w:color w:val="auto"/>
          <w:kern w:val="0"/>
          <w:szCs w:val="21"/>
        </w:rPr>
        <w:t>10、</w:t>
      </w:r>
      <w:r>
        <w:rPr>
          <w:rFonts w:hint="eastAsia" w:ascii="宋体" w:hAnsi="宋体" w:cs="宋体"/>
          <w:color w:val="auto"/>
          <w:szCs w:val="21"/>
        </w:rPr>
        <w:t>《大气污染物综合排放标准》GB16297-2012</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11、《通风与空调工程质量检验评定标准》（GBJ304-2002）。</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12、《简明通风设计手册》（GB50194-2002）。</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13、《压缩机、风机、泵安装工程施工及验收规范》（JBJ29-2002）。</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14、《电气装置安装工程低压电器施工及验收规范》（GB50254-96）</w:t>
      </w:r>
    </w:p>
    <w:p>
      <w:pPr>
        <w:adjustRightInd w:val="0"/>
        <w:snapToGrid w:val="0"/>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lang w:bidi="he-IL"/>
        </w:rPr>
        <w:t>15、</w:t>
      </w:r>
      <w:r>
        <w:rPr>
          <w:rFonts w:hint="eastAsia" w:ascii="宋体" w:hAnsi="宋体" w:cs="宋体"/>
          <w:snapToGrid w:val="0"/>
          <w:color w:val="auto"/>
          <w:szCs w:val="21"/>
        </w:rPr>
        <w:t>《静压分风技术与推广》-SCI科技杂志文件检索；</w:t>
      </w:r>
    </w:p>
    <w:p>
      <w:pPr>
        <w:adjustRightInd w:val="0"/>
        <w:snapToGrid w:val="0"/>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lang w:bidi="he-IL"/>
        </w:rPr>
        <w:t>16、</w:t>
      </w:r>
      <w:r>
        <w:rPr>
          <w:rFonts w:hint="eastAsia" w:ascii="宋体" w:hAnsi="宋体" w:cs="宋体"/>
          <w:snapToGrid w:val="0"/>
          <w:color w:val="auto"/>
          <w:szCs w:val="21"/>
        </w:rPr>
        <w:t>发标方的实验室具体情况需求；</w:t>
      </w:r>
    </w:p>
    <w:p>
      <w:pPr>
        <w:adjustRightInd w:val="0"/>
        <w:snapToGrid w:val="0"/>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lang w:bidi="he-IL"/>
        </w:rPr>
        <w:t>17、</w:t>
      </w:r>
      <w:r>
        <w:rPr>
          <w:rFonts w:hint="eastAsia" w:ascii="宋体" w:hAnsi="宋体" w:cs="宋体"/>
          <w:snapToGrid w:val="0"/>
          <w:color w:val="auto"/>
          <w:szCs w:val="21"/>
        </w:rPr>
        <w:t>室外气象条件：</w:t>
      </w:r>
    </w:p>
    <w:p>
      <w:pPr>
        <w:spacing w:line="360" w:lineRule="auto"/>
        <w:ind w:left="540" w:leftChars="257" w:firstLine="420" w:firstLineChars="200"/>
        <w:rPr>
          <w:rFonts w:ascii="宋体" w:hAnsi="宋体" w:cs="宋体"/>
          <w:snapToGrid w:val="0"/>
          <w:color w:val="auto"/>
          <w:szCs w:val="21"/>
        </w:rPr>
      </w:pPr>
      <w:r>
        <w:rPr>
          <w:rFonts w:hint="eastAsia" w:ascii="宋体" w:hAnsi="宋体" w:cs="宋体"/>
          <w:snapToGrid w:val="0"/>
          <w:color w:val="auto"/>
          <w:szCs w:val="21"/>
        </w:rPr>
        <w:t>通风工程的设计与计算的室外空气参数，按《采暖通风与空气调节设计规范》GBJ19-87中规定进行采值：</w:t>
      </w:r>
    </w:p>
    <w:p>
      <w:pPr>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rPr>
        <w:t>（1）夏季室外大气压力：1004.5HPa；</w:t>
      </w:r>
    </w:p>
    <w:p>
      <w:pPr>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rPr>
        <w:t>（2）夏季室外通风计算温度：33.50C；</w:t>
      </w:r>
    </w:p>
    <w:p>
      <w:pPr>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rPr>
        <w:t>（3）夏季室外计算相对湿度：83%；</w:t>
      </w:r>
    </w:p>
    <w:p>
      <w:pPr>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rPr>
        <w:t>（4）夏季室外计算风速、最多风向：2.6M/S、C-13%、SE-13%；</w:t>
      </w:r>
    </w:p>
    <w:p>
      <w:pPr>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rPr>
        <w:t>（5）冬季室外大气压力：1019.5HPa；</w:t>
      </w:r>
    </w:p>
    <w:p>
      <w:pPr>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rPr>
        <w:t>（6）冬季室外通风计算温度：5.00C；</w:t>
      </w:r>
    </w:p>
    <w:p>
      <w:pPr>
        <w:spacing w:line="360" w:lineRule="auto"/>
        <w:ind w:firstLine="420" w:firstLineChars="200"/>
        <w:rPr>
          <w:rFonts w:ascii="宋体" w:hAnsi="宋体" w:cs="宋体"/>
          <w:snapToGrid w:val="0"/>
          <w:color w:val="auto"/>
          <w:szCs w:val="21"/>
        </w:rPr>
      </w:pPr>
      <w:r>
        <w:rPr>
          <w:rFonts w:hint="eastAsia" w:ascii="宋体" w:hAnsi="宋体" w:cs="宋体"/>
          <w:snapToGrid w:val="0"/>
          <w:color w:val="auto"/>
          <w:szCs w:val="21"/>
        </w:rPr>
        <w:t>（7）冬季室外计算相对湿度：70%；</w:t>
      </w:r>
    </w:p>
    <w:p>
      <w:pPr>
        <w:pStyle w:val="21"/>
        <w:spacing w:line="360" w:lineRule="auto"/>
        <w:ind w:firstLine="200" w:firstLineChars="0"/>
        <w:contextualSpacing/>
        <w:jc w:val="left"/>
        <w:rPr>
          <w:rFonts w:ascii="宋体" w:hAnsi="宋体" w:cs="宋体"/>
          <w:snapToGrid w:val="0"/>
          <w:color w:val="auto"/>
          <w:szCs w:val="21"/>
        </w:rPr>
      </w:pPr>
      <w:r>
        <w:rPr>
          <w:rFonts w:hint="eastAsia" w:ascii="宋体" w:hAnsi="宋体" w:cs="宋体"/>
          <w:snapToGrid w:val="0"/>
          <w:color w:val="auto"/>
          <w:szCs w:val="21"/>
        </w:rPr>
        <w:t xml:space="preserve">  （8）冬季室外计算风速、最多风向：2.6M/S、C-25%、NE-10%。</w:t>
      </w:r>
    </w:p>
    <w:p>
      <w:pPr>
        <w:spacing w:line="360" w:lineRule="auto"/>
        <w:rPr>
          <w:rFonts w:ascii="宋体" w:hAnsi="宋体" w:cs="宋体"/>
          <w:b/>
          <w:bCs/>
          <w:color w:val="auto"/>
          <w:szCs w:val="21"/>
        </w:rPr>
      </w:pPr>
      <w:r>
        <w:rPr>
          <w:rFonts w:hint="eastAsia" w:ascii="宋体" w:hAnsi="宋体" w:cs="宋体"/>
          <w:b/>
          <w:bCs/>
          <w:color w:val="auto"/>
          <w:szCs w:val="21"/>
          <w:lang w:val="en-US" w:eastAsia="zh-CN"/>
        </w:rPr>
        <w:t>三</w:t>
      </w:r>
      <w:r>
        <w:rPr>
          <w:rFonts w:hint="eastAsia" w:ascii="宋体" w:hAnsi="宋体" w:cs="宋体"/>
          <w:b/>
          <w:bCs/>
          <w:color w:val="auto"/>
          <w:szCs w:val="21"/>
        </w:rPr>
        <w:t>、系统设计原则</w:t>
      </w:r>
    </w:p>
    <w:p>
      <w:pPr>
        <w:tabs>
          <w:tab w:val="left" w:pos="1034"/>
        </w:tabs>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1）、安全性、舒适性、经济性原则:</w:t>
      </w:r>
    </w:p>
    <w:p>
      <w:pPr>
        <w:tabs>
          <w:tab w:val="left" w:pos="1034"/>
        </w:tabs>
        <w:adjustRightInd w:val="0"/>
        <w:snapToGrid w:val="0"/>
        <w:spacing w:line="360" w:lineRule="auto"/>
        <w:ind w:right="105" w:rightChars="50"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实验室通风控制系统必须确保工作人员的安全和健康,</w:t>
      </w:r>
      <w:r>
        <w:rPr>
          <w:rFonts w:hint="eastAsia" w:ascii="宋体" w:hAnsi="宋体" w:cs="宋体"/>
          <w:color w:val="auto"/>
          <w:szCs w:val="21"/>
        </w:rPr>
        <w:t xml:space="preserve"> 气流控制是整个实验室的控制核心。为了确保污染不能从实验室污染区泄漏到洁净区甚至周围的环境中，保证对室外环境的安全以及实验操作人员的安全，必须建立稳定可靠的气流组织、保证实验室气流稳定。从而建立起安全、可靠、有效的防护屏障</w:t>
      </w:r>
      <w:r>
        <w:rPr>
          <w:rFonts w:hint="eastAsia" w:ascii="宋体" w:hAnsi="宋体" w:cs="宋体"/>
          <w:snapToGrid w:val="0"/>
          <w:color w:val="auto"/>
          <w:kern w:val="0"/>
          <w:szCs w:val="21"/>
        </w:rPr>
        <w:t>；</w:t>
      </w:r>
    </w:p>
    <w:p>
      <w:pPr>
        <w:tabs>
          <w:tab w:val="right" w:pos="180"/>
        </w:tabs>
        <w:adjustRightInd w:val="0"/>
        <w:snapToGrid w:val="0"/>
        <w:spacing w:line="360" w:lineRule="auto"/>
        <w:ind w:firstLine="422" w:firstLineChars="200"/>
        <w:rPr>
          <w:rFonts w:ascii="宋体" w:hAnsi="宋体" w:cs="宋体"/>
          <w:b/>
          <w:bCs/>
          <w:snapToGrid w:val="0"/>
          <w:color w:val="auto"/>
          <w:kern w:val="0"/>
          <w:szCs w:val="21"/>
        </w:rPr>
      </w:pPr>
      <w:r>
        <w:rPr>
          <w:rFonts w:hint="eastAsia" w:ascii="宋体" w:hAnsi="宋体" w:cs="宋体"/>
          <w:b/>
          <w:bCs/>
          <w:snapToGrid w:val="0"/>
          <w:color w:val="auto"/>
          <w:kern w:val="0"/>
          <w:szCs w:val="21"/>
        </w:rPr>
        <w:t>2）、系统控制方案</w:t>
      </w:r>
    </w:p>
    <w:p>
      <w:pPr>
        <w:tabs>
          <w:tab w:val="left" w:pos="1034"/>
        </w:tabs>
        <w:adjustRightInd w:val="0"/>
        <w:snapToGrid w:val="0"/>
        <w:spacing w:line="360" w:lineRule="auto"/>
        <w:ind w:right="105" w:rightChars="50"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1.通风柜排风装置或桌上型排风罩采用变频控制系统；</w:t>
      </w:r>
    </w:p>
    <w:p>
      <w:pPr>
        <w:tabs>
          <w:tab w:val="left" w:pos="1034"/>
        </w:tabs>
        <w:adjustRightInd w:val="0"/>
        <w:snapToGrid w:val="0"/>
        <w:spacing w:line="360" w:lineRule="auto"/>
        <w:ind w:right="105" w:rightChars="50"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2.每组通风末端设备安装排风和补风风量阀各一个，可实现单台或多台通风设备等不同工况下的控制。风量调节阀门可采用数字显示可调角度的电动风阀进行调节。</w:t>
      </w:r>
    </w:p>
    <w:p>
      <w:pPr>
        <w:tabs>
          <w:tab w:val="left" w:pos="1034"/>
        </w:tabs>
        <w:adjustRightInd w:val="0"/>
        <w:snapToGrid w:val="0"/>
        <w:spacing w:line="360" w:lineRule="auto"/>
        <w:ind w:right="105" w:rightChars="50"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3.系统风阀和风机整体联锁，实现气流的有序流动，平衡系统风量，防止气流反串、倒流。</w:t>
      </w:r>
    </w:p>
    <w:p>
      <w:pPr>
        <w:tabs>
          <w:tab w:val="right" w:pos="180"/>
        </w:tabs>
        <w:adjustRightInd w:val="0"/>
        <w:snapToGrid w:val="0"/>
        <w:spacing w:line="360" w:lineRule="auto"/>
        <w:ind w:firstLine="422" w:firstLineChars="200"/>
        <w:rPr>
          <w:rFonts w:ascii="宋体" w:hAnsi="宋体" w:cs="宋体"/>
          <w:b/>
          <w:bCs/>
          <w:snapToGrid w:val="0"/>
          <w:color w:val="auto"/>
          <w:kern w:val="0"/>
          <w:szCs w:val="21"/>
        </w:rPr>
      </w:pPr>
      <w:r>
        <w:rPr>
          <w:rFonts w:hint="eastAsia" w:ascii="宋体" w:hAnsi="宋体" w:cs="宋体"/>
          <w:b/>
          <w:bCs/>
          <w:snapToGrid w:val="0"/>
          <w:color w:val="auto"/>
          <w:kern w:val="0"/>
          <w:szCs w:val="21"/>
        </w:rPr>
        <w:t>3）、通风系统及其气流组织</w:t>
      </w:r>
    </w:p>
    <w:p>
      <w:pPr>
        <w:spacing w:line="360" w:lineRule="auto"/>
        <w:ind w:firstLine="422" w:firstLineChars="200"/>
        <w:rPr>
          <w:rFonts w:ascii="宋体" w:hAnsi="宋体" w:cs="宋体"/>
          <w:bCs/>
          <w:color w:val="auto"/>
          <w:szCs w:val="21"/>
        </w:rPr>
      </w:pPr>
      <w:r>
        <w:rPr>
          <w:rFonts w:hint="eastAsia" w:ascii="宋体" w:hAnsi="宋体" w:cs="宋体"/>
          <w:b/>
          <w:color w:val="auto"/>
          <w:szCs w:val="21"/>
        </w:rPr>
        <w:t>系统设备的排风量的确定：</w:t>
      </w:r>
      <w:r>
        <w:rPr>
          <w:rFonts w:hint="eastAsia" w:ascii="宋体" w:hAnsi="宋体" w:cs="宋体"/>
          <w:bCs/>
          <w:color w:val="auto"/>
          <w:szCs w:val="21"/>
        </w:rPr>
        <w:t>根据《供热通风设计手册》与规范GB50736-2012、企业的生产标准中的相关规定，确定通风柜、原子吸引罩、万向排气罩等通风设备、建筑全面通风换气的通风量：</w:t>
      </w:r>
    </w:p>
    <w:p>
      <w:pPr>
        <w:spacing w:line="360" w:lineRule="auto"/>
        <w:ind w:firstLine="422" w:firstLineChars="200"/>
        <w:rPr>
          <w:rFonts w:ascii="宋体" w:hAnsi="宋体" w:cs="宋体"/>
          <w:b/>
          <w:bCs/>
          <w:color w:val="auto"/>
          <w:szCs w:val="21"/>
        </w:rPr>
      </w:pPr>
      <w:r>
        <w:rPr>
          <w:rFonts w:hint="eastAsia" w:ascii="宋体" w:hAnsi="宋体" w:cs="宋体"/>
          <w:b/>
          <w:color w:val="auto"/>
          <w:szCs w:val="21"/>
        </w:rPr>
        <w:t>（1）建</w:t>
      </w:r>
      <w:r>
        <w:rPr>
          <w:rFonts w:hint="eastAsia" w:ascii="宋体" w:hAnsi="宋体" w:cs="宋体"/>
          <w:b/>
          <w:bCs/>
          <w:color w:val="auto"/>
          <w:szCs w:val="21"/>
        </w:rPr>
        <w:t>筑全面通风换气的通风量：</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一般实验办公综合区域的通风量：      5-6次/小时</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一般性化学实验室的通风量：          10-15次/小时</w:t>
      </w:r>
    </w:p>
    <w:p>
      <w:pPr>
        <w:spacing w:line="360" w:lineRule="auto"/>
        <w:ind w:firstLine="420" w:firstLineChars="200"/>
        <w:rPr>
          <w:rFonts w:ascii="宋体" w:hAnsi="宋体" w:cs="宋体"/>
          <w:color w:val="auto"/>
          <w:szCs w:val="21"/>
        </w:rPr>
      </w:pPr>
      <w:r>
        <w:rPr>
          <w:rFonts w:hint="eastAsia" w:ascii="宋体" w:hAnsi="宋体" w:cs="宋体"/>
          <w:color w:val="auto"/>
          <w:szCs w:val="21"/>
        </w:rPr>
        <w:t>毒气室、有机合成、菌种培养的通风量：15-20次/小时</w:t>
      </w:r>
    </w:p>
    <w:p>
      <w:pPr>
        <w:spacing w:line="360" w:lineRule="auto"/>
        <w:ind w:firstLine="422" w:firstLineChars="200"/>
        <w:rPr>
          <w:rFonts w:ascii="宋体" w:hAnsi="宋体" w:cs="宋体"/>
          <w:b/>
          <w:bCs/>
          <w:color w:val="auto"/>
          <w:szCs w:val="21"/>
        </w:rPr>
      </w:pPr>
      <w:r>
        <w:rPr>
          <w:rFonts w:hint="eastAsia" w:ascii="宋体" w:hAnsi="宋体" w:cs="宋体"/>
          <w:b/>
          <w:color w:val="auto"/>
          <w:szCs w:val="21"/>
        </w:rPr>
        <w:t xml:space="preserve"> （2）</w:t>
      </w:r>
      <w:r>
        <w:rPr>
          <w:rFonts w:hint="eastAsia" w:ascii="宋体" w:hAnsi="宋体" w:cs="宋体"/>
          <w:b/>
          <w:bCs/>
          <w:color w:val="auto"/>
          <w:szCs w:val="21"/>
        </w:rPr>
        <w:t>通风柜的排风量的确定：</w:t>
      </w: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 xml:space="preserve">  </w:t>
      </w:r>
      <w:r>
        <w:rPr>
          <w:rFonts w:hint="eastAsia" w:ascii="宋体" w:hAnsi="宋体" w:cs="宋体"/>
          <w:bCs/>
          <w:color w:val="auto"/>
          <w:szCs w:val="21"/>
        </w:rPr>
        <w:t xml:space="preserve"> 影响通风柜性能的重要指标：</w:t>
      </w:r>
    </w:p>
    <w:p>
      <w:pPr>
        <w:numPr>
          <w:ilvl w:val="0"/>
          <w:numId w:val="1"/>
        </w:numPr>
        <w:tabs>
          <w:tab w:val="left" w:pos="720"/>
        </w:tabs>
        <w:spacing w:line="360" w:lineRule="auto"/>
        <w:ind w:firstLine="420" w:firstLineChars="200"/>
        <w:rPr>
          <w:rFonts w:ascii="宋体" w:hAnsi="宋体" w:cs="宋体"/>
          <w:color w:val="auto"/>
          <w:szCs w:val="21"/>
        </w:rPr>
      </w:pPr>
      <w:r>
        <w:rPr>
          <w:rFonts w:hint="eastAsia" w:ascii="宋体" w:hAnsi="宋体" w:cs="宋体"/>
          <w:color w:val="auto"/>
          <w:szCs w:val="21"/>
        </w:rPr>
        <w:t>面风速控制</w:t>
      </w:r>
    </w:p>
    <w:p>
      <w:pPr>
        <w:numPr>
          <w:ilvl w:val="0"/>
          <w:numId w:val="1"/>
        </w:numPr>
        <w:tabs>
          <w:tab w:val="left" w:pos="720"/>
        </w:tabs>
        <w:spacing w:line="360" w:lineRule="auto"/>
        <w:ind w:firstLine="420" w:firstLineChars="200"/>
        <w:rPr>
          <w:rFonts w:ascii="宋体" w:hAnsi="宋体" w:cs="宋体"/>
          <w:color w:val="auto"/>
          <w:szCs w:val="21"/>
        </w:rPr>
      </w:pPr>
      <w:r>
        <w:rPr>
          <w:rFonts w:hint="eastAsia" w:ascii="宋体" w:hAnsi="宋体" w:cs="宋体"/>
          <w:color w:val="auto"/>
          <w:szCs w:val="21"/>
        </w:rPr>
        <w:t>节能环保</w:t>
      </w:r>
    </w:p>
    <w:p>
      <w:pPr>
        <w:numPr>
          <w:ilvl w:val="0"/>
          <w:numId w:val="1"/>
        </w:numPr>
        <w:tabs>
          <w:tab w:val="left" w:pos="720"/>
        </w:tabs>
        <w:spacing w:line="360" w:lineRule="auto"/>
        <w:ind w:firstLine="420" w:firstLineChars="200"/>
        <w:rPr>
          <w:rFonts w:ascii="宋体" w:hAnsi="宋体" w:cs="宋体"/>
          <w:color w:val="auto"/>
          <w:szCs w:val="21"/>
        </w:rPr>
      </w:pPr>
      <w:r>
        <w:rPr>
          <w:rFonts w:hint="eastAsia" w:ascii="宋体" w:hAnsi="宋体" w:cs="宋体"/>
          <w:color w:val="auto"/>
          <w:szCs w:val="21"/>
        </w:rPr>
        <w:t>抑烟集尘能力</w:t>
      </w:r>
    </w:p>
    <w:p>
      <w:pPr>
        <w:spacing w:line="360" w:lineRule="auto"/>
        <w:ind w:firstLine="420" w:firstLineChars="200"/>
        <w:rPr>
          <w:rFonts w:ascii="宋体" w:hAnsi="宋体" w:cs="宋体"/>
          <w:color w:val="auto"/>
          <w:szCs w:val="21"/>
        </w:rPr>
      </w:pPr>
      <w:r>
        <w:rPr>
          <w:rFonts w:hint="eastAsia" w:ascii="宋体" w:hAnsi="宋体" w:cs="宋体"/>
          <w:bCs/>
          <w:color w:val="auto"/>
          <w:szCs w:val="21"/>
        </w:rPr>
        <w:t>通风柜面风速标准与指标：符合国标标准或行标。</w:t>
      </w:r>
    </w:p>
    <w:p>
      <w:pPr>
        <w:tabs>
          <w:tab w:val="right" w:pos="180"/>
        </w:tabs>
        <w:adjustRightInd w:val="0"/>
        <w:snapToGrid w:val="0"/>
        <w:spacing w:line="360" w:lineRule="auto"/>
        <w:ind w:firstLine="422" w:firstLineChars="200"/>
        <w:rPr>
          <w:rFonts w:ascii="宋体" w:hAnsi="宋体" w:cs="宋体"/>
          <w:b/>
          <w:bCs/>
          <w:snapToGrid w:val="0"/>
          <w:color w:val="auto"/>
          <w:kern w:val="0"/>
          <w:szCs w:val="21"/>
        </w:rPr>
      </w:pPr>
      <w:r>
        <w:rPr>
          <w:rFonts w:hint="eastAsia" w:ascii="宋体" w:hAnsi="宋体" w:cs="宋体"/>
          <w:b/>
          <w:bCs/>
          <w:snapToGrid w:val="0"/>
          <w:color w:val="auto"/>
          <w:kern w:val="0"/>
          <w:szCs w:val="21"/>
        </w:rPr>
        <w:t>4）、控制目标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1、面风速控制：通风柜视窗在任意高度时，平均面风速达到公认的安全面风速范围：约0.5m/s; </w:t>
      </w:r>
    </w:p>
    <w:p>
      <w:pPr>
        <w:spacing w:line="360" w:lineRule="auto"/>
        <w:ind w:firstLine="420" w:firstLineChars="200"/>
        <w:rPr>
          <w:rFonts w:ascii="宋体" w:hAnsi="宋体" w:cs="宋体"/>
          <w:color w:val="auto"/>
          <w:szCs w:val="21"/>
        </w:rPr>
      </w:pPr>
      <w:r>
        <w:rPr>
          <w:rFonts w:hint="eastAsia" w:ascii="宋体" w:hAnsi="宋体" w:cs="宋体"/>
          <w:color w:val="auto"/>
          <w:szCs w:val="21"/>
        </w:rPr>
        <w:t>2、系统反应速度：风速控制系统持续地监测通风柜实际排风量，根据视窗开启高度计算出视窗面积的平均面风速，当排风管道压力变化或视窗高度发生变化时，系统在≦1S的时间做出反应，并及时调整风阀角度在 3S之内保持面风速稳定；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3、每个排风柜的顶部的变风量排风阀，均有控制排风量的面风速传感器/变风量控制阀门与执行系统，该变风量阀的响应时间应该优于《中华人民共和国建设工业行业标准JG/T-222-2007》之规定（&lt;1秒钟）。</w:t>
      </w:r>
    </w:p>
    <w:p>
      <w:pPr>
        <w:tabs>
          <w:tab w:val="right" w:pos="180"/>
        </w:tabs>
        <w:adjustRightInd w:val="0"/>
        <w:snapToGrid w:val="0"/>
        <w:spacing w:line="360" w:lineRule="auto"/>
        <w:ind w:firstLine="422" w:firstLineChars="200"/>
        <w:rPr>
          <w:rFonts w:ascii="宋体" w:hAnsi="宋体" w:cs="宋体"/>
          <w:b/>
          <w:bCs/>
          <w:snapToGrid w:val="0"/>
          <w:color w:val="auto"/>
          <w:kern w:val="0"/>
          <w:szCs w:val="21"/>
        </w:rPr>
      </w:pPr>
      <w:r>
        <w:rPr>
          <w:rFonts w:hint="eastAsia" w:ascii="宋体" w:hAnsi="宋体" w:cs="宋体"/>
          <w:b/>
          <w:bCs/>
          <w:snapToGrid w:val="0"/>
          <w:color w:val="auto"/>
          <w:kern w:val="0"/>
          <w:szCs w:val="21"/>
        </w:rPr>
        <w:t>5）、设计参数要求</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1、支管路内风速6～8m/s, 干管路内风速8～12m/s；</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snapToGrid w:val="0"/>
          <w:color w:val="auto"/>
          <w:kern w:val="0"/>
          <w:szCs w:val="21"/>
        </w:rPr>
        <w:t>2、通风设备设计风量：</w:t>
      </w:r>
      <w:r>
        <w:rPr>
          <w:rFonts w:hint="eastAsia" w:ascii="宋体" w:hAnsi="宋体" w:cs="宋体"/>
          <w:bCs/>
          <w:color w:val="auto"/>
          <w:kern w:val="0"/>
          <w:szCs w:val="21"/>
        </w:rPr>
        <w:t>通风柜面风速：0.3～0.8 m/s，单台1200*800*2350通风柜设计风量1500m3</w:t>
      </w:r>
      <w:r>
        <w:rPr>
          <w:rFonts w:hint="eastAsia" w:ascii="宋体" w:hAnsi="宋体" w:cs="宋体"/>
          <w:color w:val="auto"/>
          <w:kern w:val="0"/>
          <w:szCs w:val="21"/>
        </w:rPr>
        <w:t>/h；单台1500*800*2350通风柜设计风量1800m3/h；单台1800*800*2350通风柜设计风量2200m3/h。万向抽气罩面风速：≥0.35 m/s，万向抽气罩排风量150～350 m3/h，原子吸收罩面风速：≥0.35 m/s，排风量350～600 m3/h。以上控制风量及其他参数为出厂默认，客户可根据实际需求自行设定。</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3、风机采用耐腐蚀玻璃钢离心风机，系统采用变频控制，以达到节能和降噪的目的。</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4．通风系统使用终端噪声≤60db。</w:t>
      </w:r>
    </w:p>
    <w:p>
      <w:pPr>
        <w:tabs>
          <w:tab w:val="left" w:pos="1034"/>
        </w:tabs>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5、通风柜排风设计参数</w:t>
      </w:r>
    </w:p>
    <w:p>
      <w:pPr>
        <w:adjustRightInd w:val="0"/>
        <w:snapToGrid w:val="0"/>
        <w:spacing w:line="360" w:lineRule="auto"/>
        <w:ind w:firstLine="630" w:firstLineChars="300"/>
        <w:rPr>
          <w:rFonts w:ascii="宋体" w:hAnsi="宋体" w:cs="宋体"/>
          <w:snapToGrid w:val="0"/>
          <w:color w:val="auto"/>
          <w:kern w:val="0"/>
          <w:szCs w:val="21"/>
        </w:rPr>
      </w:pPr>
      <w:r>
        <w:rPr>
          <w:rFonts w:hint="eastAsia" w:ascii="宋体" w:hAnsi="宋体" w:cs="宋体"/>
          <w:snapToGrid w:val="0"/>
          <w:color w:val="auto"/>
          <w:kern w:val="0"/>
          <w:szCs w:val="21"/>
        </w:rPr>
        <w:t>5.1排风量(定风量控制系统)</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（计算排风量＝移门宽度×移门开启高度×0.5m/s×3600秒）。</w:t>
      </w:r>
    </w:p>
    <w:p>
      <w:pPr>
        <w:adjustRightInd w:val="0"/>
        <w:snapToGrid w:val="0"/>
        <w:spacing w:line="360" w:lineRule="auto"/>
        <w:ind w:firstLine="630" w:firstLineChars="300"/>
        <w:rPr>
          <w:rFonts w:ascii="宋体" w:hAnsi="宋体" w:cs="宋体"/>
          <w:snapToGrid w:val="0"/>
          <w:color w:val="auto"/>
          <w:kern w:val="0"/>
          <w:szCs w:val="21"/>
        </w:rPr>
      </w:pPr>
      <w:r>
        <w:rPr>
          <w:rFonts w:hint="eastAsia" w:ascii="宋体" w:hAnsi="宋体" w:cs="宋体"/>
          <w:snapToGrid w:val="0"/>
          <w:color w:val="auto"/>
          <w:kern w:val="0"/>
          <w:szCs w:val="21"/>
        </w:rPr>
        <w:t>5.2通风柜阻力</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达到《排风柜》JB/T6412-1999技术标准规定的排风量和平均面风速保持0.5m/s±20%，的条件下，排风柜阻力应小于或等于70Pa。</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snapToGrid w:val="0"/>
          <w:color w:val="auto"/>
          <w:kern w:val="0"/>
          <w:szCs w:val="21"/>
        </w:rPr>
        <w:t>6、</w:t>
      </w:r>
      <w:r>
        <w:rPr>
          <w:rFonts w:hint="eastAsia" w:ascii="宋体" w:hAnsi="宋体" w:cs="宋体"/>
          <w:color w:val="auto"/>
          <w:szCs w:val="21"/>
        </w:rPr>
        <w:t>产品基本功能：</w:t>
      </w:r>
    </w:p>
    <w:p>
      <w:pPr>
        <w:autoSpaceDE w:val="0"/>
        <w:autoSpaceDN w:val="0"/>
        <w:spacing w:line="360" w:lineRule="auto"/>
        <w:ind w:left="105" w:right="105" w:rightChars="50" w:firstLine="200"/>
        <w:jc w:val="left"/>
        <w:rPr>
          <w:rFonts w:ascii="宋体" w:hAnsi="宋体" w:cs="宋体"/>
          <w:color w:val="auto"/>
          <w:szCs w:val="21"/>
        </w:rPr>
      </w:pPr>
      <w:r>
        <w:rPr>
          <w:rFonts w:hint="eastAsia" w:ascii="宋体" w:hAnsi="宋体" w:cs="宋体"/>
          <w:color w:val="auto"/>
          <w:szCs w:val="21"/>
        </w:rPr>
        <w:t xml:space="preserve"> 6.1系统采用管道实测风量和需求风量对比控制方式，直接测量并在彩色触摸屏上显示当前平均面风速及风阀开度状态，当前柜视窗高度，人体感应状态，视窗控制状态等。</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color w:val="auto"/>
          <w:szCs w:val="21"/>
        </w:rPr>
        <w:t>6.2自动调节风量以恒定不同状态下的安全面风速。</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color w:val="auto"/>
          <w:szCs w:val="21"/>
        </w:rPr>
        <w:t>6.3不安全的条件下，数字显示报警。</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color w:val="auto"/>
          <w:szCs w:val="21"/>
        </w:rPr>
        <w:t>6.4有人、无人操作状态下，面风速自动切换。</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color w:val="auto"/>
          <w:szCs w:val="21"/>
        </w:rPr>
        <w:t>6.5通风柜门全关闭时维持最小排风量，1500MM通风柜为300CMH。</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color w:val="auto"/>
          <w:szCs w:val="21"/>
        </w:rPr>
        <w:t>6.6通风柜视窗超限高报警。</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color w:val="auto"/>
          <w:szCs w:val="21"/>
        </w:rPr>
        <w:t>6.7延时自动关机，可在操作者离开后按设定时间排风后自动关闭系统，安全方便节能。</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color w:val="auto"/>
          <w:szCs w:val="21"/>
        </w:rPr>
        <w:t>6.8通风柜不使用时阀门全部关闭。</w:t>
      </w:r>
    </w:p>
    <w:p>
      <w:pPr>
        <w:spacing w:line="360" w:lineRule="auto"/>
        <w:ind w:left="105" w:leftChars="50" w:right="105" w:rightChars="50" w:firstLine="420" w:firstLineChars="200"/>
        <w:rPr>
          <w:rFonts w:ascii="宋体" w:hAnsi="宋体" w:cs="宋体"/>
          <w:color w:val="auto"/>
          <w:szCs w:val="21"/>
        </w:rPr>
      </w:pPr>
      <w:r>
        <w:rPr>
          <w:rFonts w:hint="eastAsia" w:ascii="宋体" w:hAnsi="宋体" w:cs="宋体"/>
          <w:color w:val="auto"/>
          <w:szCs w:val="21"/>
        </w:rPr>
        <w:t>6.9意外发生时有紧急排放功能。</w:t>
      </w:r>
    </w:p>
    <w:p>
      <w:pPr>
        <w:spacing w:line="360" w:lineRule="auto"/>
        <w:rPr>
          <w:rFonts w:ascii="宋体" w:hAnsi="宋体" w:cs="宋体"/>
          <w:b/>
          <w:bCs/>
          <w:color w:val="auto"/>
          <w:szCs w:val="21"/>
        </w:rPr>
      </w:pPr>
      <w:r>
        <w:rPr>
          <w:rFonts w:hint="eastAsia" w:ascii="宋体" w:hAnsi="宋体" w:cs="宋体"/>
          <w:b/>
          <w:bCs/>
          <w:color w:val="auto"/>
          <w:szCs w:val="21"/>
          <w:lang w:val="en-US" w:eastAsia="zh-CN"/>
        </w:rPr>
        <w:t>四</w:t>
      </w:r>
      <w:r>
        <w:rPr>
          <w:rFonts w:hint="eastAsia" w:ascii="宋体" w:hAnsi="宋体" w:cs="宋体"/>
          <w:b/>
          <w:bCs/>
          <w:color w:val="auto"/>
          <w:szCs w:val="21"/>
        </w:rPr>
        <w:t>、商务要求：</w:t>
      </w:r>
    </w:p>
    <w:p>
      <w:pPr>
        <w:pStyle w:val="2"/>
        <w:spacing w:line="360" w:lineRule="auto"/>
        <w:ind w:firstLine="0"/>
        <w:rPr>
          <w:rFonts w:ascii="宋体" w:hAnsi="宋体"/>
          <w:bCs/>
          <w:color w:val="auto"/>
          <w:sz w:val="21"/>
          <w:szCs w:val="21"/>
        </w:rPr>
      </w:pPr>
      <w:r>
        <w:rPr>
          <w:rFonts w:hint="eastAsia" w:ascii="宋体" w:hAnsi="宋体"/>
          <w:bCs/>
          <w:color w:val="auto"/>
          <w:sz w:val="21"/>
          <w:szCs w:val="21"/>
        </w:rPr>
        <w:t>1、由于该项目为</w:t>
      </w:r>
      <w:r>
        <w:rPr>
          <w:rFonts w:hint="eastAsia" w:ascii="宋体" w:hAnsi="宋体"/>
          <w:bCs/>
          <w:color w:val="auto"/>
          <w:sz w:val="21"/>
          <w:szCs w:val="21"/>
          <w:lang w:eastAsia="zh-CN"/>
        </w:rPr>
        <w:t>学院</w:t>
      </w:r>
      <w:r>
        <w:rPr>
          <w:rFonts w:hint="eastAsia" w:ascii="宋体" w:hAnsi="宋体"/>
          <w:bCs/>
          <w:color w:val="auto"/>
          <w:sz w:val="21"/>
          <w:szCs w:val="21"/>
        </w:rPr>
        <w:t>实验室建设同步工程，现场情况较为复杂，为保证本项目的质量及部分安装工作的顺利实施，有意向参与本项目竞价的供应商必须进行现场踏勘（联系人：周老师，电话：15874279264），有意向参加现场踏勘的供应商须提供公司营业执照复印件，公司授权委托书和身份证原件（如踏勘者为公司法人则只需提供身份证原件），提供近3个月的社保证明材料</w:t>
      </w:r>
      <w:r>
        <w:rPr>
          <w:rFonts w:hint="eastAsia" w:ascii="宋体" w:hAnsi="宋体"/>
          <w:bCs/>
          <w:color w:val="auto"/>
          <w:sz w:val="21"/>
          <w:szCs w:val="21"/>
          <w:lang w:eastAsia="zh-CN"/>
        </w:rPr>
        <w:t>以及针对本项目的</w:t>
      </w:r>
      <w:r>
        <w:rPr>
          <w:rFonts w:hint="eastAsia" w:ascii="宋体" w:hAnsi="宋体"/>
          <w:bCs/>
          <w:color w:val="auto"/>
          <w:sz w:val="21"/>
          <w:szCs w:val="21"/>
        </w:rPr>
        <w:t>初步设计方案，</w:t>
      </w:r>
      <w:r>
        <w:rPr>
          <w:rFonts w:hint="eastAsia" w:ascii="宋体" w:hAnsi="宋体"/>
          <w:bCs/>
          <w:color w:val="auto"/>
          <w:sz w:val="21"/>
          <w:szCs w:val="21"/>
          <w:lang w:eastAsia="zh-CN"/>
        </w:rPr>
        <w:t>审核通过后，可由我方开具加盖单位公章的现场踏勘证明，</w:t>
      </w:r>
      <w:r>
        <w:rPr>
          <w:rFonts w:hint="eastAsia" w:ascii="宋体" w:hAnsi="宋体"/>
          <w:bCs/>
          <w:color w:val="auto"/>
          <w:sz w:val="21"/>
          <w:szCs w:val="21"/>
        </w:rPr>
        <w:t>报价时须将加盖单位公章的踏勘证明以及设计方案作为附件上传；未参与现场踏勘并上传有效踏勘证明及</w:t>
      </w:r>
      <w:bookmarkStart w:id="0" w:name="_GoBack"/>
      <w:bookmarkEnd w:id="0"/>
      <w:r>
        <w:rPr>
          <w:rFonts w:hint="eastAsia" w:ascii="宋体" w:hAnsi="宋体"/>
          <w:bCs/>
          <w:color w:val="auto"/>
          <w:sz w:val="21"/>
          <w:szCs w:val="21"/>
        </w:rPr>
        <w:t>设计方案的供应商，竞价无效。参与竞价的供应商须将本项目中所有的货物部分列出清单并加盖公司公章，一并作为货物清单（包括品牌，型号，技术参数，数量，单价，总价等）扫描并在附件中上传。因用户单位科研工作急需，故该项目工程时间紧迫，要求工期在10天内，质保3年以上。</w:t>
      </w:r>
    </w:p>
    <w:p>
      <w:pPr>
        <w:pStyle w:val="2"/>
        <w:spacing w:line="360" w:lineRule="auto"/>
        <w:ind w:firstLine="0"/>
        <w:rPr>
          <w:rFonts w:ascii="宋体" w:hAnsi="宋体"/>
          <w:bCs/>
          <w:color w:val="auto"/>
          <w:sz w:val="21"/>
          <w:szCs w:val="21"/>
        </w:rPr>
      </w:pPr>
      <w:r>
        <w:rPr>
          <w:rFonts w:hint="eastAsia" w:ascii="宋体" w:hAnsi="宋体"/>
          <w:bCs/>
          <w:color w:val="auto"/>
          <w:sz w:val="21"/>
          <w:szCs w:val="21"/>
        </w:rPr>
        <w:t>2、中标的供应商在报账时须按照学校财务部门的要求提供“增值税专用发票”,因为科研急需，供应商中标后须立马联系用户并按照用户指定的时间期限内完成该项目建设。</w:t>
      </w:r>
    </w:p>
    <w:p>
      <w:pPr>
        <w:pStyle w:val="2"/>
        <w:spacing w:line="360" w:lineRule="auto"/>
        <w:ind w:firstLine="0"/>
        <w:rPr>
          <w:rFonts w:ascii="宋体" w:hAnsi="宋体"/>
          <w:bCs/>
          <w:color w:val="auto"/>
          <w:sz w:val="21"/>
          <w:szCs w:val="21"/>
        </w:rPr>
      </w:pPr>
      <w:r>
        <w:rPr>
          <w:rFonts w:hint="eastAsia" w:ascii="宋体" w:hAnsi="宋体"/>
          <w:bCs/>
          <w:color w:val="auto"/>
          <w:sz w:val="21"/>
          <w:szCs w:val="21"/>
        </w:rPr>
        <w:t>3、付款方式：货到安装调试并验收合格后，由学校向中标人支付95%的合同款，剩余5%的尾款待所有产品使用运行一年后，如无质量问题，凭用户单位相关部门的证明材料支付（尾款不计利息）。</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Pr>
    </w:pPr>
    <w:r>
      <w:fldChar w:fldCharType="begin"/>
    </w:r>
    <w:r>
      <w:rPr>
        <w:rStyle w:val="17"/>
      </w:rPr>
      <w:instrText xml:space="preserve">PAGE  </w:instrText>
    </w:r>
    <w: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B6F15"/>
    <w:multiLevelType w:val="multilevel"/>
    <w:tmpl w:val="11AB6F15"/>
    <w:lvl w:ilvl="0" w:tentative="0">
      <w:start w:val="1"/>
      <w:numFmt w:val="bullet"/>
      <w:lvlText w:val=""/>
      <w:lvlJc w:val="left"/>
      <w:pPr>
        <w:tabs>
          <w:tab w:val="left" w:pos="207"/>
        </w:tabs>
        <w:ind w:left="207" w:hanging="360"/>
      </w:pPr>
      <w:rPr>
        <w:rFonts w:hint="default" w:ascii="Wingdings" w:hAnsi="Wingdings"/>
      </w:rPr>
    </w:lvl>
    <w:lvl w:ilvl="1" w:tentative="0">
      <w:start w:val="1"/>
      <w:numFmt w:val="bullet"/>
      <w:lvlText w:val=""/>
      <w:lvlJc w:val="left"/>
      <w:pPr>
        <w:tabs>
          <w:tab w:val="left" w:pos="927"/>
        </w:tabs>
        <w:ind w:left="927" w:hanging="360"/>
      </w:pPr>
      <w:rPr>
        <w:rFonts w:hint="default" w:ascii="Wingdings" w:hAnsi="Wingdings"/>
      </w:rPr>
    </w:lvl>
    <w:lvl w:ilvl="2" w:tentative="0">
      <w:start w:val="1"/>
      <w:numFmt w:val="bullet"/>
      <w:lvlText w:val=""/>
      <w:lvlJc w:val="left"/>
      <w:pPr>
        <w:tabs>
          <w:tab w:val="left" w:pos="1647"/>
        </w:tabs>
        <w:ind w:left="1647" w:hanging="360"/>
      </w:pPr>
      <w:rPr>
        <w:rFonts w:hint="default" w:ascii="Wingdings" w:hAnsi="Wingdings"/>
      </w:rPr>
    </w:lvl>
    <w:lvl w:ilvl="3" w:tentative="0">
      <w:start w:val="1"/>
      <w:numFmt w:val="bullet"/>
      <w:lvlText w:val=""/>
      <w:lvlJc w:val="left"/>
      <w:pPr>
        <w:tabs>
          <w:tab w:val="left" w:pos="2367"/>
        </w:tabs>
        <w:ind w:left="2367" w:hanging="360"/>
      </w:pPr>
      <w:rPr>
        <w:rFonts w:hint="default" w:ascii="Wingdings" w:hAnsi="Wingdings"/>
      </w:rPr>
    </w:lvl>
    <w:lvl w:ilvl="4" w:tentative="0">
      <w:start w:val="1"/>
      <w:numFmt w:val="bullet"/>
      <w:lvlText w:val=""/>
      <w:lvlJc w:val="left"/>
      <w:pPr>
        <w:tabs>
          <w:tab w:val="left" w:pos="3087"/>
        </w:tabs>
        <w:ind w:left="3087" w:hanging="360"/>
      </w:pPr>
      <w:rPr>
        <w:rFonts w:hint="default" w:ascii="Wingdings" w:hAnsi="Wingdings"/>
      </w:rPr>
    </w:lvl>
    <w:lvl w:ilvl="5" w:tentative="0">
      <w:start w:val="1"/>
      <w:numFmt w:val="bullet"/>
      <w:lvlText w:val=""/>
      <w:lvlJc w:val="left"/>
      <w:pPr>
        <w:tabs>
          <w:tab w:val="left" w:pos="3807"/>
        </w:tabs>
        <w:ind w:left="3807" w:hanging="360"/>
      </w:pPr>
      <w:rPr>
        <w:rFonts w:hint="default" w:ascii="Wingdings" w:hAnsi="Wingdings"/>
      </w:rPr>
    </w:lvl>
    <w:lvl w:ilvl="6" w:tentative="0">
      <w:start w:val="1"/>
      <w:numFmt w:val="bullet"/>
      <w:lvlText w:val=""/>
      <w:lvlJc w:val="left"/>
      <w:pPr>
        <w:tabs>
          <w:tab w:val="left" w:pos="4527"/>
        </w:tabs>
        <w:ind w:left="4527" w:hanging="360"/>
      </w:pPr>
      <w:rPr>
        <w:rFonts w:hint="default" w:ascii="Wingdings" w:hAnsi="Wingdings"/>
      </w:rPr>
    </w:lvl>
    <w:lvl w:ilvl="7" w:tentative="0">
      <w:start w:val="1"/>
      <w:numFmt w:val="bullet"/>
      <w:lvlText w:val=""/>
      <w:lvlJc w:val="left"/>
      <w:pPr>
        <w:tabs>
          <w:tab w:val="left" w:pos="5247"/>
        </w:tabs>
        <w:ind w:left="5247" w:hanging="360"/>
      </w:pPr>
      <w:rPr>
        <w:rFonts w:hint="default" w:ascii="Wingdings" w:hAnsi="Wingdings"/>
      </w:rPr>
    </w:lvl>
    <w:lvl w:ilvl="8" w:tentative="0">
      <w:start w:val="1"/>
      <w:numFmt w:val="bullet"/>
      <w:lvlText w:val=""/>
      <w:lvlJc w:val="left"/>
      <w:pPr>
        <w:tabs>
          <w:tab w:val="left" w:pos="5967"/>
        </w:tabs>
        <w:ind w:left="5967"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1NDBiZGIxOTJmY2ExMThiMzI2OTE3Y2QzNDE3N2EifQ=="/>
  </w:docVars>
  <w:rsids>
    <w:rsidRoot w:val="468B473D"/>
    <w:rsid w:val="000661D2"/>
    <w:rsid w:val="00085FA9"/>
    <w:rsid w:val="000A2C08"/>
    <w:rsid w:val="000D1AAC"/>
    <w:rsid w:val="001144EE"/>
    <w:rsid w:val="00273BFD"/>
    <w:rsid w:val="002B4846"/>
    <w:rsid w:val="00380724"/>
    <w:rsid w:val="003836D5"/>
    <w:rsid w:val="003A430C"/>
    <w:rsid w:val="0042617A"/>
    <w:rsid w:val="00484D99"/>
    <w:rsid w:val="00492C9B"/>
    <w:rsid w:val="004C2384"/>
    <w:rsid w:val="004C5C2D"/>
    <w:rsid w:val="004D6052"/>
    <w:rsid w:val="005A4630"/>
    <w:rsid w:val="006804F0"/>
    <w:rsid w:val="00684CEE"/>
    <w:rsid w:val="006E58D0"/>
    <w:rsid w:val="007C4F1F"/>
    <w:rsid w:val="007D6E09"/>
    <w:rsid w:val="00826D76"/>
    <w:rsid w:val="00836E1C"/>
    <w:rsid w:val="008D696E"/>
    <w:rsid w:val="00944A36"/>
    <w:rsid w:val="00976047"/>
    <w:rsid w:val="00A26F21"/>
    <w:rsid w:val="00AF25A4"/>
    <w:rsid w:val="00C068FB"/>
    <w:rsid w:val="00C9315B"/>
    <w:rsid w:val="00D73552"/>
    <w:rsid w:val="00D87461"/>
    <w:rsid w:val="00DF5673"/>
    <w:rsid w:val="00E37F9D"/>
    <w:rsid w:val="00E92507"/>
    <w:rsid w:val="00EA14E7"/>
    <w:rsid w:val="00EA64A4"/>
    <w:rsid w:val="00EF4E51"/>
    <w:rsid w:val="00FE262B"/>
    <w:rsid w:val="00FE7FBD"/>
    <w:rsid w:val="01007840"/>
    <w:rsid w:val="011201FA"/>
    <w:rsid w:val="05076B8A"/>
    <w:rsid w:val="06157AD8"/>
    <w:rsid w:val="07256142"/>
    <w:rsid w:val="0740276B"/>
    <w:rsid w:val="08884C18"/>
    <w:rsid w:val="0C352764"/>
    <w:rsid w:val="0CB54C8B"/>
    <w:rsid w:val="0DC854A0"/>
    <w:rsid w:val="12B61D8D"/>
    <w:rsid w:val="1363333E"/>
    <w:rsid w:val="146F06EE"/>
    <w:rsid w:val="172E3A9E"/>
    <w:rsid w:val="1D025EC1"/>
    <w:rsid w:val="21AA2676"/>
    <w:rsid w:val="21C53307"/>
    <w:rsid w:val="23331A1C"/>
    <w:rsid w:val="23755341"/>
    <w:rsid w:val="248F15B1"/>
    <w:rsid w:val="27AA0551"/>
    <w:rsid w:val="295A02BD"/>
    <w:rsid w:val="29855B13"/>
    <w:rsid w:val="29BF6B83"/>
    <w:rsid w:val="2C7E5F56"/>
    <w:rsid w:val="2E4F57C5"/>
    <w:rsid w:val="317D4985"/>
    <w:rsid w:val="31D717B2"/>
    <w:rsid w:val="35226BBC"/>
    <w:rsid w:val="353B2893"/>
    <w:rsid w:val="39801D27"/>
    <w:rsid w:val="3C303C53"/>
    <w:rsid w:val="3CE5033A"/>
    <w:rsid w:val="3DD8510E"/>
    <w:rsid w:val="3E3D17D7"/>
    <w:rsid w:val="3E946C88"/>
    <w:rsid w:val="3FDD2C77"/>
    <w:rsid w:val="4000500F"/>
    <w:rsid w:val="43562705"/>
    <w:rsid w:val="44352F03"/>
    <w:rsid w:val="45516873"/>
    <w:rsid w:val="45982A11"/>
    <w:rsid w:val="468B473D"/>
    <w:rsid w:val="46EC4E76"/>
    <w:rsid w:val="48FD7DB6"/>
    <w:rsid w:val="49000785"/>
    <w:rsid w:val="49813B9F"/>
    <w:rsid w:val="4B5C5A99"/>
    <w:rsid w:val="4FD81B6F"/>
    <w:rsid w:val="503A0541"/>
    <w:rsid w:val="51EB1CFB"/>
    <w:rsid w:val="54795557"/>
    <w:rsid w:val="57932961"/>
    <w:rsid w:val="57AE7293"/>
    <w:rsid w:val="5FEB115C"/>
    <w:rsid w:val="604E1BAA"/>
    <w:rsid w:val="61C76963"/>
    <w:rsid w:val="620A533F"/>
    <w:rsid w:val="62A609A7"/>
    <w:rsid w:val="62AC26CC"/>
    <w:rsid w:val="657B5DD8"/>
    <w:rsid w:val="65F02FAC"/>
    <w:rsid w:val="68831F1A"/>
    <w:rsid w:val="693724CD"/>
    <w:rsid w:val="69C12AF9"/>
    <w:rsid w:val="6B084321"/>
    <w:rsid w:val="6BB7329E"/>
    <w:rsid w:val="6CA21B62"/>
    <w:rsid w:val="6D4B2248"/>
    <w:rsid w:val="6D8D5C5F"/>
    <w:rsid w:val="6F825DF8"/>
    <w:rsid w:val="72C61ACC"/>
    <w:rsid w:val="737501A3"/>
    <w:rsid w:val="74990194"/>
    <w:rsid w:val="77D62F36"/>
    <w:rsid w:val="798D39A9"/>
    <w:rsid w:val="79C417EA"/>
    <w:rsid w:val="7B166F8A"/>
    <w:rsid w:val="7B2B4AC7"/>
    <w:rsid w:val="7BEE541C"/>
    <w:rsid w:val="7DC46119"/>
    <w:rsid w:val="7ED3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Body Text Indent 2"/>
    <w:basedOn w:val="1"/>
    <w:qFormat/>
    <w:uiPriority w:val="0"/>
    <w:pPr>
      <w:spacing w:after="120" w:line="480" w:lineRule="auto"/>
      <w:ind w:left="420" w:leftChars="2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1"/>
    <w:qFormat/>
    <w:uiPriority w:val="0"/>
    <w:pPr>
      <w:ind w:firstLine="420" w:firstLineChars="200"/>
    </w:pPr>
    <w:rPr>
      <w:rFonts w:ascii="Times New Roman" w:hAnsi="Times New Roman"/>
    </w:rPr>
  </w:style>
  <w:style w:type="character" w:styleId="17">
    <w:name w:val="page number"/>
    <w:basedOn w:val="16"/>
    <w:qFormat/>
    <w:uiPriority w:val="0"/>
  </w:style>
  <w:style w:type="character" w:styleId="18">
    <w:name w:val="annotation reference"/>
    <w:basedOn w:val="16"/>
    <w:qFormat/>
    <w:uiPriority w:val="0"/>
    <w:rPr>
      <w:sz w:val="21"/>
      <w:szCs w:val="21"/>
    </w:rPr>
  </w:style>
  <w:style w:type="character" w:customStyle="1" w:styleId="19">
    <w:name w:val="font51"/>
    <w:qFormat/>
    <w:uiPriority w:val="0"/>
    <w:rPr>
      <w:rFonts w:hint="eastAsia" w:ascii="黑体" w:hAnsi="宋体" w:eastAsia="黑体" w:cs="黑体"/>
      <w:color w:val="000000"/>
      <w:sz w:val="40"/>
      <w:szCs w:val="40"/>
      <w:u w:val="none"/>
    </w:rPr>
  </w:style>
  <w:style w:type="character" w:customStyle="1" w:styleId="20">
    <w:name w:val="font41"/>
    <w:qFormat/>
    <w:uiPriority w:val="0"/>
    <w:rPr>
      <w:rFonts w:hint="eastAsia" w:ascii="宋体" w:hAnsi="宋体" w:eastAsia="宋体" w:cs="宋体"/>
      <w:color w:val="000000"/>
      <w:sz w:val="20"/>
      <w:szCs w:val="20"/>
      <w:u w:val="none"/>
    </w:rPr>
  </w:style>
  <w:style w:type="paragraph" w:styleId="21">
    <w:name w:val="List Paragraph"/>
    <w:basedOn w:val="1"/>
    <w:unhideWhenUsed/>
    <w:qFormat/>
    <w:uiPriority w:val="34"/>
    <w:pPr>
      <w:ind w:firstLine="420" w:firstLineChars="200"/>
    </w:pPr>
  </w:style>
  <w:style w:type="paragraph" w:customStyle="1" w:styleId="2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2561</Words>
  <Characters>2997</Characters>
  <Lines>32</Lines>
  <Paragraphs>9</Paragraphs>
  <TotalTime>7</TotalTime>
  <ScaleCrop>false</ScaleCrop>
  <LinksUpToDate>false</LinksUpToDate>
  <CharactersWithSpaces>3044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2021-03-10T12:13:00Z</dcterms:created>
  <dc:creator>小€陈13696166925</dc:creator>
  <cp:lastModifiedBy>人以德为本</cp:lastModifiedBy>
  <dcterms:modified xsi:type="dcterms:W3CDTF">2022-06-20T08:40:19Z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DAC69DBBBCB4455296347C1DA9BE3DFC</vt:lpwstr>
  </property>
</Properties>
</file>