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b/>
          <w:sz w:val="44"/>
          <w:szCs w:val="44"/>
        </w:rPr>
      </w:pPr>
      <w:r>
        <w:rPr>
          <w:rFonts w:hint="eastAsia"/>
          <w:b/>
          <w:sz w:val="44"/>
          <w:szCs w:val="44"/>
        </w:rPr>
        <w:t>湖南科技大学采购需求技术文件</w:t>
      </w:r>
    </w:p>
    <w:p>
      <w:pPr>
        <w:numPr>
          <w:ilvl w:val="0"/>
          <w:numId w:val="1"/>
        </w:numPr>
        <w:rPr>
          <w:rFonts w:hint="eastAsia" w:eastAsia="仿宋_GB2312"/>
          <w:b/>
          <w:sz w:val="28"/>
          <w:szCs w:val="28"/>
          <w:lang w:val="en-US" w:eastAsia="zh-CN"/>
        </w:rPr>
      </w:pPr>
      <w:r>
        <w:rPr>
          <w:rFonts w:hint="eastAsia" w:eastAsia="仿宋_GB2312"/>
          <w:b/>
          <w:sz w:val="28"/>
          <w:szCs w:val="28"/>
        </w:rPr>
        <w:t>项目名称：</w:t>
      </w:r>
      <w:r>
        <w:rPr>
          <w:rFonts w:hint="eastAsia" w:eastAsia="仿宋_GB2312"/>
          <w:b/>
          <w:sz w:val="28"/>
          <w:szCs w:val="28"/>
          <w:lang w:eastAsia="zh-CN"/>
        </w:rPr>
        <w:t>湖南科技大学西</w:t>
      </w:r>
      <w:r>
        <w:rPr>
          <w:rFonts w:hint="eastAsia" w:eastAsia="仿宋_GB2312"/>
          <w:b/>
          <w:sz w:val="28"/>
          <w:szCs w:val="28"/>
          <w:lang w:val="en-US" w:eastAsia="zh-CN"/>
        </w:rPr>
        <w:t>01、西02西03、北02供电增容室室外路灯安装项目</w:t>
      </w:r>
    </w:p>
    <w:p>
      <w:pPr>
        <w:numPr>
          <w:ilvl w:val="0"/>
          <w:numId w:val="0"/>
        </w:numPr>
        <w:rPr>
          <w:rFonts w:eastAsia="仿宋_GB2312"/>
          <w:b/>
          <w:sz w:val="28"/>
          <w:szCs w:val="28"/>
        </w:rPr>
      </w:pPr>
      <w:r>
        <w:rPr>
          <w:rFonts w:hint="eastAsia" w:eastAsia="仿宋_GB2312"/>
          <w:b/>
          <w:sz w:val="28"/>
          <w:szCs w:val="28"/>
        </w:rPr>
        <w:t xml:space="preserve">二、项目预算金额：455595.07元                        </w:t>
      </w:r>
    </w:p>
    <w:p>
      <w:pPr>
        <w:rPr>
          <w:rFonts w:hint="eastAsia" w:eastAsia="仿宋_GB2312"/>
          <w:b/>
          <w:sz w:val="28"/>
          <w:szCs w:val="28"/>
        </w:rPr>
      </w:pPr>
      <w:r>
        <w:rPr>
          <w:rFonts w:hint="eastAsia" w:eastAsia="仿宋_GB2312"/>
          <w:b/>
          <w:sz w:val="28"/>
          <w:szCs w:val="28"/>
        </w:rPr>
        <w:t>三</w:t>
      </w:r>
      <w:r>
        <w:rPr>
          <w:rFonts w:eastAsia="仿宋_GB2312"/>
          <w:b/>
          <w:sz w:val="28"/>
          <w:szCs w:val="28"/>
        </w:rPr>
        <w:t>、</w:t>
      </w:r>
      <w:r>
        <w:rPr>
          <w:rFonts w:hint="eastAsia" w:eastAsia="仿宋_GB2312"/>
          <w:b/>
          <w:sz w:val="28"/>
          <w:szCs w:val="28"/>
          <w:lang w:eastAsia="zh-CN"/>
        </w:rPr>
        <w:t>项目</w:t>
      </w:r>
      <w:r>
        <w:rPr>
          <w:rFonts w:eastAsia="仿宋_GB2312"/>
          <w:b/>
          <w:sz w:val="28"/>
          <w:szCs w:val="28"/>
        </w:rPr>
        <w:t>一览表</w:t>
      </w:r>
      <w:r>
        <w:rPr>
          <w:rFonts w:hint="eastAsia" w:eastAsia="仿宋_GB2312"/>
          <w:b/>
          <w:sz w:val="28"/>
          <w:szCs w:val="28"/>
        </w:rPr>
        <w:t xml:space="preserve">                         </w:t>
      </w:r>
    </w:p>
    <w:tbl>
      <w:tblPr>
        <w:tblStyle w:val="3"/>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482"/>
        <w:gridCol w:w="2539"/>
        <w:gridCol w:w="707"/>
        <w:gridCol w:w="658"/>
        <w:gridCol w:w="475"/>
        <w:gridCol w:w="563"/>
        <w:gridCol w:w="1550"/>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94"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包号</w:t>
            </w:r>
          </w:p>
        </w:tc>
        <w:tc>
          <w:tcPr>
            <w:tcW w:w="482"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序号</w:t>
            </w:r>
          </w:p>
        </w:tc>
        <w:tc>
          <w:tcPr>
            <w:tcW w:w="2539"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eastAsia="zh-CN"/>
              </w:rPr>
              <w:t>工程</w:t>
            </w:r>
            <w:r>
              <w:rPr>
                <w:rFonts w:hint="eastAsia" w:ascii="仿宋_GB2312" w:hAnsi="仿宋_GB2312" w:eastAsia="仿宋_GB2312" w:cs="仿宋_GB2312"/>
                <w:b w:val="0"/>
                <w:bCs w:val="0"/>
                <w:color w:val="000000"/>
                <w:sz w:val="21"/>
                <w:szCs w:val="21"/>
              </w:rPr>
              <w:t>名称</w:t>
            </w:r>
          </w:p>
        </w:tc>
        <w:tc>
          <w:tcPr>
            <w:tcW w:w="707"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数量</w:t>
            </w:r>
          </w:p>
        </w:tc>
        <w:tc>
          <w:tcPr>
            <w:tcW w:w="658"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单位</w:t>
            </w:r>
          </w:p>
        </w:tc>
        <w:tc>
          <w:tcPr>
            <w:tcW w:w="475"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单价</w:t>
            </w:r>
          </w:p>
        </w:tc>
        <w:tc>
          <w:tcPr>
            <w:tcW w:w="563"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总价</w:t>
            </w:r>
          </w:p>
        </w:tc>
        <w:tc>
          <w:tcPr>
            <w:tcW w:w="1550"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控制金额（元）</w:t>
            </w:r>
          </w:p>
        </w:tc>
        <w:tc>
          <w:tcPr>
            <w:tcW w:w="2279"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94" w:type="dxa"/>
            <w:tcBorders>
              <w:tl2br w:val="nil"/>
              <w:tr2bl w:val="nil"/>
            </w:tcBorders>
            <w:noWrap w:val="0"/>
            <w:vAlign w:val="center"/>
          </w:tcPr>
          <w:p>
            <w:pPr>
              <w:spacing w:before="31" w:beforeLines="10" w:after="31" w:afterLines="10" w:line="360" w:lineRule="exact"/>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w:t>
            </w:r>
          </w:p>
        </w:tc>
        <w:tc>
          <w:tcPr>
            <w:tcW w:w="482"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w:t>
            </w:r>
          </w:p>
        </w:tc>
        <w:tc>
          <w:tcPr>
            <w:tcW w:w="2539" w:type="dxa"/>
            <w:tcBorders>
              <w:tl2br w:val="nil"/>
              <w:tr2bl w:val="nil"/>
            </w:tcBorders>
            <w:noWrap w:val="0"/>
            <w:vAlign w:val="center"/>
          </w:tcPr>
          <w:p>
            <w:pPr>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sz w:val="21"/>
                <w:szCs w:val="21"/>
                <w:lang w:eastAsia="zh-CN"/>
              </w:rPr>
              <w:t>湖南科技大学西</w:t>
            </w:r>
            <w:r>
              <w:rPr>
                <w:rFonts w:hint="eastAsia" w:ascii="仿宋_GB2312" w:hAnsi="仿宋_GB2312" w:eastAsia="仿宋_GB2312" w:cs="仿宋_GB2312"/>
                <w:b w:val="0"/>
                <w:bCs w:val="0"/>
                <w:color w:val="000000"/>
                <w:sz w:val="21"/>
                <w:szCs w:val="21"/>
                <w:lang w:val="en-US" w:eastAsia="zh-CN"/>
              </w:rPr>
              <w:t>01、西02西03、北02供电增容室外路灯安装项目</w:t>
            </w:r>
          </w:p>
        </w:tc>
        <w:tc>
          <w:tcPr>
            <w:tcW w:w="707" w:type="dxa"/>
            <w:tcBorders>
              <w:tl2br w:val="nil"/>
              <w:tr2bl w:val="nil"/>
            </w:tcBorders>
            <w:noWrap w:val="0"/>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w:t>
            </w:r>
          </w:p>
        </w:tc>
        <w:tc>
          <w:tcPr>
            <w:tcW w:w="658" w:type="dxa"/>
            <w:tcBorders>
              <w:tl2br w:val="nil"/>
              <w:tr2bl w:val="nil"/>
            </w:tcBorders>
            <w:noWrap w:val="0"/>
            <w:vAlign w:val="center"/>
          </w:tcPr>
          <w:p>
            <w:pPr>
              <w:widowControl/>
              <w:jc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eastAsia="zh-CN"/>
              </w:rPr>
              <w:t>批</w:t>
            </w:r>
          </w:p>
        </w:tc>
        <w:tc>
          <w:tcPr>
            <w:tcW w:w="475" w:type="dxa"/>
            <w:tcBorders>
              <w:tl2br w:val="nil"/>
              <w:tr2bl w:val="nil"/>
            </w:tcBorders>
            <w:noWrap w:val="0"/>
            <w:vAlign w:val="center"/>
          </w:tcPr>
          <w:p>
            <w:pPr>
              <w:spacing w:before="31" w:beforeLines="10" w:after="31" w:afterLines="10" w:line="360" w:lineRule="exact"/>
              <w:jc w:val="center"/>
              <w:rPr>
                <w:rFonts w:hint="eastAsia" w:ascii="仿宋_GB2312" w:hAnsi="仿宋_GB2312" w:eastAsia="仿宋_GB2312" w:cs="仿宋_GB2312"/>
                <w:b w:val="0"/>
                <w:bCs w:val="0"/>
                <w:color w:val="000000"/>
                <w:sz w:val="21"/>
                <w:szCs w:val="21"/>
              </w:rPr>
            </w:pPr>
          </w:p>
        </w:tc>
        <w:tc>
          <w:tcPr>
            <w:tcW w:w="563" w:type="dxa"/>
            <w:tcBorders>
              <w:tl2br w:val="nil"/>
              <w:tr2bl w:val="nil"/>
            </w:tcBorders>
            <w:noWrap w:val="0"/>
            <w:vAlign w:val="center"/>
          </w:tcPr>
          <w:p>
            <w:pPr>
              <w:spacing w:before="31" w:beforeLines="10" w:after="31" w:afterLines="10" w:line="360" w:lineRule="exact"/>
              <w:jc w:val="center"/>
              <w:rPr>
                <w:rFonts w:hint="eastAsia" w:ascii="仿宋_GB2312" w:hAnsi="仿宋_GB2312" w:eastAsia="仿宋_GB2312" w:cs="仿宋_GB2312"/>
                <w:b w:val="0"/>
                <w:bCs w:val="0"/>
                <w:color w:val="000000"/>
                <w:sz w:val="21"/>
                <w:szCs w:val="21"/>
              </w:rPr>
            </w:pPr>
          </w:p>
        </w:tc>
        <w:tc>
          <w:tcPr>
            <w:tcW w:w="1550" w:type="dxa"/>
            <w:tcBorders>
              <w:tl2br w:val="nil"/>
              <w:tr2bl w:val="nil"/>
            </w:tcBorders>
            <w:noWrap w:val="0"/>
            <w:vAlign w:val="center"/>
          </w:tcPr>
          <w:p>
            <w:pPr>
              <w:widowControl/>
              <w:jc w:val="center"/>
              <w:rPr>
                <w:rFonts w:hint="default" w:ascii="仿宋_GB2312" w:hAnsi="仿宋_GB2312" w:eastAsia="仿宋_GB2312" w:cs="仿宋_GB2312"/>
                <w:b w:val="0"/>
                <w:bCs w:val="0"/>
                <w:color w:val="000000"/>
                <w:kern w:val="0"/>
                <w:sz w:val="21"/>
                <w:szCs w:val="21"/>
                <w:lang w:val="en-US"/>
              </w:rPr>
            </w:pPr>
            <w:r>
              <w:rPr>
                <w:rFonts w:hint="eastAsia" w:ascii="仿宋_GB2312" w:hAnsi="仿宋_GB2312" w:eastAsia="仿宋_GB2312" w:cs="仿宋_GB2312"/>
                <w:b w:val="0"/>
                <w:bCs w:val="0"/>
                <w:color w:val="000000"/>
                <w:sz w:val="21"/>
                <w:szCs w:val="21"/>
                <w:lang w:val="en-US" w:eastAsia="zh-CN"/>
              </w:rPr>
              <w:t>455595.07</w:t>
            </w:r>
          </w:p>
        </w:tc>
        <w:tc>
          <w:tcPr>
            <w:tcW w:w="2279" w:type="dxa"/>
            <w:tcBorders>
              <w:tl2br w:val="nil"/>
              <w:tr2bl w:val="nil"/>
            </w:tcBorders>
            <w:noWrap w:val="0"/>
            <w:vAlign w:val="center"/>
          </w:tcPr>
          <w:p>
            <w:pPr>
              <w:pStyle w:val="5"/>
              <w:ind w:firstLine="0" w:firstLineChars="0"/>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1. 保修要求：两年</w:t>
            </w:r>
          </w:p>
          <w:p>
            <w:pPr>
              <w:widowControl/>
              <w:jc w:val="center"/>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2"/>
                <w:sz w:val="21"/>
                <w:szCs w:val="21"/>
                <w:lang w:val="en-US" w:eastAsia="zh-CN" w:bidi="ar-SA"/>
              </w:rPr>
              <w:t>2.质量等级：合格工程</w:t>
            </w:r>
          </w:p>
        </w:tc>
      </w:tr>
    </w:tbl>
    <w:p>
      <w:pPr>
        <w:rPr>
          <w:rFonts w:hint="eastAsia" w:eastAsia="仿宋_GB2312"/>
          <w:b/>
          <w:sz w:val="28"/>
          <w:szCs w:val="28"/>
        </w:rPr>
      </w:pPr>
      <w:r>
        <w:rPr>
          <w:rFonts w:hint="eastAsia" w:eastAsia="仿宋_GB2312"/>
          <w:b/>
          <w:sz w:val="28"/>
          <w:szCs w:val="28"/>
        </w:rPr>
        <w:t>四</w:t>
      </w:r>
      <w:r>
        <w:rPr>
          <w:rFonts w:eastAsia="仿宋_GB2312"/>
          <w:b/>
          <w:sz w:val="28"/>
          <w:szCs w:val="28"/>
        </w:rPr>
        <w:t>、</w:t>
      </w:r>
      <w:r>
        <w:rPr>
          <w:rFonts w:hint="eastAsia" w:eastAsia="仿宋_GB2312"/>
          <w:b/>
          <w:sz w:val="28"/>
          <w:szCs w:val="28"/>
        </w:rPr>
        <w:t>商务要求</w:t>
      </w:r>
    </w:p>
    <w:tbl>
      <w:tblPr>
        <w:tblStyle w:val="3"/>
        <w:tblW w:w="6086" w:type="pct"/>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201"/>
        <w:gridCol w:w="840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4" w:type="pct"/>
            <w:tcBorders>
              <w:tl2br w:val="nil"/>
              <w:tr2bl w:val="nil"/>
            </w:tcBorders>
            <w:noWrap w:val="0"/>
            <w:vAlign w:val="center"/>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Cs w:val="21"/>
                <w:lang w:val="en-US" w:eastAsia="zh-CN"/>
              </w:rPr>
              <w:t>序号</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商务要求项目</w:t>
            </w:r>
          </w:p>
        </w:tc>
        <w:tc>
          <w:tcPr>
            <w:tcW w:w="4048" w:type="pct"/>
            <w:tcBorders>
              <w:tl2br w:val="nil"/>
              <w:tr2bl w:val="nil"/>
            </w:tcBorders>
            <w:noWrap w:val="0"/>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具体要求</w:t>
            </w:r>
          </w:p>
        </w:tc>
        <w:tc>
          <w:tcPr>
            <w:tcW w:w="197" w:type="pct"/>
            <w:tcBorders>
              <w:tl2br w:val="nil"/>
              <w:tr2bl w:val="nil"/>
            </w:tcBorders>
            <w:noWrap w:val="0"/>
            <w:vAlign w:val="center"/>
          </w:tcPr>
          <w:p>
            <w:pPr>
              <w:widowControl/>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4" w:type="pct"/>
            <w:tcBorders>
              <w:tl2br w:val="nil"/>
              <w:tr2bl w:val="nil"/>
            </w:tcBorders>
            <w:shd w:val="clear" w:color="auto" w:fill="auto"/>
            <w:noWrap w:val="0"/>
            <w:vAlign w:val="center"/>
          </w:tcPr>
          <w:p>
            <w:pPr>
              <w:widowControl/>
              <w:jc w:val="center"/>
              <w:rPr>
                <w:color w:val="000000"/>
                <w:kern w:val="0"/>
                <w:szCs w:val="21"/>
              </w:rPr>
            </w:pPr>
            <w:r>
              <w:rPr>
                <w:color w:val="000000"/>
                <w:kern w:val="0"/>
                <w:szCs w:val="21"/>
              </w:rPr>
              <w:t>1</w:t>
            </w:r>
          </w:p>
        </w:tc>
        <w:tc>
          <w:tcPr>
            <w:tcW w:w="578" w:type="pct"/>
            <w:tcBorders>
              <w:tl2br w:val="nil"/>
              <w:tr2bl w:val="nil"/>
            </w:tcBorders>
            <w:shd w:val="clear" w:color="auto" w:fill="auto"/>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项目总体说明</w:t>
            </w:r>
          </w:p>
        </w:tc>
        <w:tc>
          <w:tcPr>
            <w:tcW w:w="4048" w:type="pct"/>
            <w:tcBorders>
              <w:tl2br w:val="nil"/>
              <w:tr2bl w:val="nil"/>
            </w:tcBorders>
            <w:shd w:val="clear" w:color="000000" w:fill="FFFFFF"/>
            <w:noWrap w:val="0"/>
            <w:vAlign w:val="center"/>
          </w:tcPr>
          <w:p>
            <w:pPr>
              <w:widowControl/>
              <w:jc w:val="center"/>
              <w:rPr>
                <w:rFonts w:ascii="宋体" w:hAnsi="宋体" w:cs="宋体"/>
                <w:color w:val="404040"/>
                <w:kern w:val="0"/>
                <w:szCs w:val="21"/>
              </w:rPr>
            </w:pPr>
            <w:r>
              <w:rPr>
                <w:rFonts w:hint="eastAsia" w:ascii="仿宋_GB2312" w:hAnsi="仿宋_GB2312" w:eastAsia="仿宋_GB2312" w:cs="仿宋_GB2312"/>
                <w:b w:val="0"/>
                <w:bCs w:val="0"/>
                <w:color w:val="000000"/>
                <w:sz w:val="21"/>
                <w:szCs w:val="21"/>
                <w:lang w:eastAsia="zh-CN"/>
              </w:rPr>
              <w:t>湖南科技大学西</w:t>
            </w:r>
            <w:r>
              <w:rPr>
                <w:rFonts w:hint="eastAsia" w:ascii="仿宋_GB2312" w:hAnsi="仿宋_GB2312" w:eastAsia="仿宋_GB2312" w:cs="仿宋_GB2312"/>
                <w:b w:val="0"/>
                <w:bCs w:val="0"/>
                <w:color w:val="000000"/>
                <w:sz w:val="21"/>
                <w:szCs w:val="21"/>
                <w:lang w:val="en-US" w:eastAsia="zh-CN"/>
              </w:rPr>
              <w:t>01、西02西03、北02供电增容室外路灯安装项目</w:t>
            </w:r>
          </w:p>
        </w:tc>
        <w:tc>
          <w:tcPr>
            <w:tcW w:w="197"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4" w:type="pct"/>
            <w:tcBorders>
              <w:tl2br w:val="nil"/>
              <w:tr2bl w:val="nil"/>
            </w:tcBorders>
            <w:noWrap w:val="0"/>
            <w:vAlign w:val="center"/>
          </w:tcPr>
          <w:p>
            <w:pPr>
              <w:widowControl/>
              <w:jc w:val="center"/>
              <w:rPr>
                <w:color w:val="000000"/>
                <w:kern w:val="0"/>
                <w:szCs w:val="21"/>
              </w:rPr>
            </w:pPr>
            <w:r>
              <w:rPr>
                <w:color w:val="000000"/>
                <w:kern w:val="0"/>
                <w:szCs w:val="21"/>
              </w:rPr>
              <w:t>2</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供应商资质要求</w:t>
            </w:r>
          </w:p>
        </w:tc>
        <w:tc>
          <w:tcPr>
            <w:tcW w:w="4048" w:type="pct"/>
            <w:tcBorders>
              <w:tl2br w:val="nil"/>
              <w:tr2bl w:val="nil"/>
            </w:tcBorders>
            <w:noWrap/>
            <w:vAlign w:val="top"/>
          </w:tcPr>
          <w:p>
            <w:pPr>
              <w:widowControl/>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1、投标人具有建设行政主管部门颁发且在有效期内的住房和城乡建设部门颁发的电力工程施工总承包三级及以上资质或输变电专业承包三级及以上资质，且安全生产许可证处于有效期；</w:t>
            </w:r>
          </w:p>
          <w:p>
            <w:pPr>
              <w:widowControl/>
              <w:jc w:val="both"/>
              <w:rPr>
                <w:rFonts w:ascii="宋体" w:hAnsi="宋体" w:cs="宋体"/>
                <w:color w:val="000000"/>
                <w:kern w:val="0"/>
                <w:sz w:val="22"/>
                <w:szCs w:val="22"/>
              </w:rPr>
            </w:pPr>
            <w:r>
              <w:rPr>
                <w:rFonts w:hint="eastAsia" w:ascii="仿宋_GB2312" w:hAnsi="仿宋_GB2312" w:eastAsia="仿宋_GB2312" w:cs="仿宋_GB2312"/>
                <w:b w:val="0"/>
                <w:bCs/>
                <w:color w:val="auto"/>
                <w:sz w:val="21"/>
                <w:szCs w:val="21"/>
                <w:lang w:val="en-US" w:eastAsia="zh-CN"/>
              </w:rPr>
              <w:t>2、具有电力监管机构核发的“承装（修、试）电力设施许可证”，许可类别和等级要求：承装、承修、承试五级及以上。</w:t>
            </w:r>
          </w:p>
        </w:tc>
        <w:tc>
          <w:tcPr>
            <w:tcW w:w="197"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4" w:type="pct"/>
            <w:tcBorders>
              <w:tl2br w:val="nil"/>
              <w:tr2bl w:val="nil"/>
            </w:tcBorders>
            <w:noWrap w:val="0"/>
            <w:vAlign w:val="center"/>
          </w:tcPr>
          <w:p>
            <w:pPr>
              <w:widowControl/>
              <w:jc w:val="center"/>
              <w:rPr>
                <w:color w:val="000000"/>
                <w:kern w:val="0"/>
                <w:szCs w:val="21"/>
              </w:rPr>
            </w:pPr>
            <w:r>
              <w:rPr>
                <w:color w:val="000000"/>
                <w:kern w:val="0"/>
                <w:szCs w:val="21"/>
              </w:rPr>
              <w:t>3</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保修要求</w:t>
            </w:r>
          </w:p>
        </w:tc>
        <w:tc>
          <w:tcPr>
            <w:tcW w:w="4048"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仿宋_GB2312" w:hAnsi="仿宋_GB2312" w:eastAsia="仿宋_GB2312" w:cs="仿宋_GB2312"/>
                <w:b w:val="0"/>
                <w:bCs/>
                <w:color w:val="auto"/>
                <w:sz w:val="21"/>
                <w:szCs w:val="21"/>
                <w:lang w:val="en-US" w:eastAsia="zh-CN"/>
              </w:rPr>
              <w:t>两年</w:t>
            </w:r>
          </w:p>
        </w:tc>
        <w:tc>
          <w:tcPr>
            <w:tcW w:w="197"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4" w:type="pct"/>
            <w:tcBorders>
              <w:tl2br w:val="nil"/>
              <w:tr2bl w:val="nil"/>
            </w:tcBorders>
            <w:noWrap w:val="0"/>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4</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交货时间</w:t>
            </w:r>
          </w:p>
        </w:tc>
        <w:tc>
          <w:tcPr>
            <w:tcW w:w="4048"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仿宋_GB2312" w:hAnsi="仿宋_GB2312" w:eastAsia="仿宋_GB2312" w:cs="仿宋_GB2312"/>
                <w:b w:val="0"/>
                <w:bCs/>
                <w:color w:val="auto"/>
                <w:sz w:val="21"/>
                <w:szCs w:val="21"/>
                <w:lang w:val="en-US" w:eastAsia="zh-CN"/>
              </w:rPr>
              <w:t>合同签订后40天</w:t>
            </w:r>
          </w:p>
        </w:tc>
        <w:tc>
          <w:tcPr>
            <w:tcW w:w="197"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4" w:type="pct"/>
            <w:tcBorders>
              <w:tl2br w:val="nil"/>
              <w:tr2bl w:val="nil"/>
            </w:tcBorders>
            <w:noWrap w:val="0"/>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5</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踏勘</w:t>
            </w:r>
          </w:p>
        </w:tc>
        <w:tc>
          <w:tcPr>
            <w:tcW w:w="4048" w:type="pct"/>
            <w:tcBorders>
              <w:tl2br w:val="nil"/>
              <w:tr2bl w:val="nil"/>
            </w:tcBorders>
            <w:noWrap/>
            <w:vAlign w:val="center"/>
          </w:tcPr>
          <w:p>
            <w:pPr>
              <w:widowControl/>
              <w:ind w:firstLine="420" w:firstLineChars="200"/>
              <w:jc w:val="center"/>
              <w:rPr>
                <w:rFonts w:hint="eastAsia" w:ascii="宋体" w:hAnsi="宋体" w:eastAsia="宋体" w:cs="宋体"/>
                <w:color w:val="000000"/>
                <w:kern w:val="0"/>
                <w:sz w:val="22"/>
                <w:szCs w:val="22"/>
                <w:lang w:eastAsia="zh-CN"/>
              </w:rPr>
            </w:pPr>
            <w:r>
              <w:rPr>
                <w:rFonts w:hint="eastAsia" w:ascii="仿宋_GB2312" w:hAnsi="仿宋_GB2312" w:eastAsia="仿宋_GB2312" w:cs="仿宋_GB2312"/>
                <w:b w:val="0"/>
                <w:bCs/>
                <w:color w:val="auto"/>
                <w:sz w:val="21"/>
                <w:szCs w:val="21"/>
                <w:lang w:val="en-US" w:eastAsia="zh-CN"/>
              </w:rPr>
              <w:t>不组织</w:t>
            </w:r>
          </w:p>
        </w:tc>
        <w:tc>
          <w:tcPr>
            <w:tcW w:w="197" w:type="pct"/>
            <w:tcBorders>
              <w:tl2br w:val="nil"/>
              <w:tr2bl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4" w:type="pct"/>
            <w:tcBorders>
              <w:tl2br w:val="nil"/>
              <w:tr2bl w:val="nil"/>
            </w:tcBorders>
            <w:noWrap w:val="0"/>
            <w:vAlign w:val="center"/>
          </w:tcPr>
          <w:p>
            <w:pPr>
              <w:widowControl/>
              <w:jc w:val="center"/>
              <w:rPr>
                <w:rFonts w:hint="default"/>
                <w:color w:val="000000"/>
                <w:kern w:val="0"/>
                <w:szCs w:val="21"/>
                <w:lang w:val="en-US" w:eastAsia="zh-CN"/>
              </w:rPr>
            </w:pPr>
            <w:r>
              <w:rPr>
                <w:rFonts w:hint="eastAsia"/>
                <w:color w:val="000000"/>
                <w:kern w:val="0"/>
                <w:szCs w:val="21"/>
                <w:lang w:val="en-US" w:eastAsia="zh-CN"/>
              </w:rPr>
              <w:t>6</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售后服务</w:t>
            </w:r>
          </w:p>
        </w:tc>
        <w:tc>
          <w:tcPr>
            <w:tcW w:w="4048" w:type="pct"/>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cs="宋体"/>
                <w:b w:val="0"/>
                <w:bCs w:val="0"/>
                <w:color w:val="000000"/>
                <w:kern w:val="0"/>
                <w:szCs w:val="21"/>
                <w:lang w:eastAsia="zh-CN"/>
              </w:rPr>
              <w:t>接到通知后</w:t>
            </w:r>
            <w:r>
              <w:rPr>
                <w:rFonts w:hint="eastAsia" w:ascii="仿宋_GB2312" w:hAnsi="宋体" w:eastAsia="仿宋_GB2312" w:cs="宋体"/>
                <w:b w:val="0"/>
                <w:bCs w:val="0"/>
                <w:color w:val="000000"/>
                <w:kern w:val="0"/>
                <w:szCs w:val="21"/>
                <w:lang w:val="en-US" w:eastAsia="zh-CN"/>
              </w:rPr>
              <w:t>24小时内上门</w:t>
            </w:r>
          </w:p>
        </w:tc>
        <w:tc>
          <w:tcPr>
            <w:tcW w:w="197" w:type="pct"/>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4" w:type="pct"/>
            <w:tcBorders>
              <w:tl2br w:val="nil"/>
              <w:tr2bl w:val="nil"/>
            </w:tcBorders>
            <w:noWrap w:val="0"/>
            <w:vAlign w:val="center"/>
          </w:tcPr>
          <w:p>
            <w:pPr>
              <w:widowControl/>
              <w:jc w:val="center"/>
              <w:rPr>
                <w:rFonts w:hint="default"/>
                <w:color w:val="000000"/>
                <w:kern w:val="0"/>
                <w:szCs w:val="21"/>
                <w:lang w:val="en-US" w:eastAsia="zh-CN"/>
              </w:rPr>
            </w:pPr>
            <w:r>
              <w:rPr>
                <w:rFonts w:hint="eastAsia"/>
                <w:color w:val="000000"/>
                <w:kern w:val="0"/>
                <w:szCs w:val="21"/>
                <w:lang w:val="en-US" w:eastAsia="zh-CN"/>
              </w:rPr>
              <w:t>7</w:t>
            </w:r>
          </w:p>
        </w:tc>
        <w:tc>
          <w:tcPr>
            <w:tcW w:w="578" w:type="pct"/>
            <w:tcBorders>
              <w:tl2br w:val="nil"/>
              <w:tr2bl w:val="nil"/>
            </w:tcBorders>
            <w:noWrap w:val="0"/>
            <w:vAlign w:val="center"/>
          </w:tcPr>
          <w:p>
            <w:pPr>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bCs/>
                <w:color w:val="000000"/>
                <w:kern w:val="0"/>
                <w:szCs w:val="21"/>
                <w:lang w:val="en-US" w:eastAsia="zh-CN"/>
              </w:rPr>
              <w:t>其他要求</w:t>
            </w:r>
          </w:p>
        </w:tc>
        <w:tc>
          <w:tcPr>
            <w:tcW w:w="4048" w:type="pct"/>
            <w:tcBorders>
              <w:tl2br w:val="nil"/>
              <w:tr2bl w:val="nil"/>
            </w:tcBorders>
            <w:noWrap/>
            <w:vAlign w:val="center"/>
          </w:tcPr>
          <w:p>
            <w:pPr>
              <w:widowControl/>
              <w:numPr>
                <w:ilvl w:val="0"/>
                <w:numId w:val="0"/>
              </w:numPr>
              <w:jc w:val="both"/>
              <w:rPr>
                <w:rFonts w:hint="eastAsia" w:ascii="仿宋_GB2312" w:hAnsi="宋体" w:eastAsia="仿宋_GB2312" w:cs="宋体"/>
                <w:b w:val="0"/>
                <w:bCs w:val="0"/>
                <w:color w:val="000000"/>
                <w:kern w:val="0"/>
                <w:szCs w:val="21"/>
                <w:lang w:eastAsia="zh-CN"/>
              </w:rPr>
            </w:pPr>
            <w:r>
              <w:rPr>
                <w:rFonts w:hint="eastAsia" w:ascii="仿宋_GB2312" w:hAnsi="宋体" w:eastAsia="仿宋_GB2312" w:cs="宋体"/>
                <w:b w:val="0"/>
                <w:bCs w:val="0"/>
                <w:color w:val="000000"/>
                <w:kern w:val="0"/>
                <w:szCs w:val="21"/>
                <w:lang w:val="en-US" w:eastAsia="zh-CN"/>
              </w:rPr>
              <w:t>1、不锈钢庭院灯品牌为方迪或永威，</w:t>
            </w:r>
            <w:r>
              <w:rPr>
                <w:rFonts w:hint="eastAsia" w:ascii="仿宋_GB2312" w:hAnsi="宋体" w:eastAsia="仿宋_GB2312" w:cs="宋体"/>
                <w:b w:val="0"/>
                <w:bCs w:val="0"/>
                <w:color w:val="000000"/>
                <w:kern w:val="0"/>
                <w:szCs w:val="21"/>
                <w:lang w:eastAsia="zh-CN"/>
              </w:rPr>
              <w:t>供应商应选择候选品牌中的一个品牌，供应商所选品牌应提供相应品牌的公司营业执照、产品检测（试验）报告、产品合格证、品牌厂家的售后服务承诺书等证明材料（以上证明材料均应加盖制造商红公章），品牌详细参数见本项目清单。</w:t>
            </w:r>
          </w:p>
          <w:p>
            <w:pPr>
              <w:widowControl/>
              <w:numPr>
                <w:ilvl w:val="0"/>
                <w:numId w:val="0"/>
              </w:numPr>
              <w:jc w:val="both"/>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2、供应商具有有效期范围内的质量管理体系认证证书、环境管理体系认证证书、职业健康安全管理体系认证证书；</w:t>
            </w:r>
            <w:bookmarkStart w:id="0" w:name="_GoBack"/>
            <w:bookmarkEnd w:id="0"/>
          </w:p>
          <w:p>
            <w:pPr>
              <w:widowControl/>
              <w:jc w:val="both"/>
              <w:rPr>
                <w:rFonts w:hint="eastAsia" w:ascii="仿宋_GB2312" w:hAnsi="宋体" w:eastAsia="仿宋_GB2312" w:cs="宋体"/>
                <w:b w:val="0"/>
                <w:bCs w:val="0"/>
                <w:color w:val="000000"/>
                <w:kern w:val="0"/>
                <w:szCs w:val="21"/>
                <w:lang w:eastAsia="zh-CN"/>
              </w:rPr>
            </w:pPr>
            <w:r>
              <w:rPr>
                <w:rFonts w:hint="eastAsia" w:ascii="仿宋_GB2312" w:hAnsi="宋体" w:eastAsia="仿宋_GB2312" w:cs="宋体"/>
                <w:b w:val="0"/>
                <w:bCs w:val="0"/>
                <w:color w:val="000000"/>
                <w:kern w:val="0"/>
                <w:szCs w:val="21"/>
                <w:lang w:val="en-US" w:eastAsia="zh-CN"/>
              </w:rPr>
              <w:t>3、</w:t>
            </w:r>
            <w:r>
              <w:rPr>
                <w:rFonts w:hint="eastAsia" w:ascii="仿宋_GB2312" w:hAnsi="宋体" w:eastAsia="仿宋_GB2312" w:cs="宋体"/>
                <w:b w:val="0"/>
                <w:bCs w:val="0"/>
                <w:color w:val="000000"/>
                <w:kern w:val="0"/>
                <w:szCs w:val="21"/>
                <w:lang w:eastAsia="zh-CN"/>
              </w:rPr>
              <w:t>付款办法：</w:t>
            </w:r>
            <w:r>
              <w:rPr>
                <w:rFonts w:hint="eastAsia" w:ascii="仿宋_GB2312" w:hAnsi="宋体" w:eastAsia="仿宋_GB2312" w:cs="宋体"/>
                <w:b w:val="0"/>
                <w:bCs w:val="0"/>
                <w:color w:val="000000"/>
                <w:kern w:val="0"/>
                <w:szCs w:val="21"/>
                <w:lang w:val="en-US" w:eastAsia="zh-CN"/>
              </w:rPr>
              <w:t xml:space="preserve"> 项目</w:t>
            </w:r>
            <w:r>
              <w:rPr>
                <w:rFonts w:hint="eastAsia" w:ascii="仿宋_GB2312" w:hAnsi="宋体" w:eastAsia="仿宋_GB2312" w:cs="宋体"/>
                <w:b w:val="0"/>
                <w:bCs w:val="0"/>
                <w:color w:val="000000"/>
                <w:kern w:val="0"/>
                <w:szCs w:val="21"/>
                <w:lang w:eastAsia="zh-CN"/>
              </w:rPr>
              <w:t>竣工验收合格后支付付款基价的75%；项目结算审核完成后一个月内支付至结算审核价的97%；余款3%，作为本项目的质保金，在质保年限期满后一次性无息支付；</w:t>
            </w:r>
          </w:p>
          <w:p>
            <w:pPr>
              <w:widowControl/>
              <w:jc w:val="both"/>
              <w:rPr>
                <w:rFonts w:hint="default" w:ascii="仿宋_GB2312" w:hAnsi="宋体" w:eastAsia="仿宋_GB2312" w:cs="宋体"/>
                <w:b w:val="0"/>
                <w:bCs w:val="0"/>
                <w:color w:val="000000"/>
                <w:kern w:val="0"/>
                <w:szCs w:val="21"/>
                <w:lang w:val="en-US" w:eastAsia="zh-CN"/>
              </w:rPr>
            </w:pPr>
            <w:r>
              <w:rPr>
                <w:rFonts w:hint="eastAsia" w:ascii="仿宋_GB2312" w:hAnsi="宋体" w:eastAsia="仿宋_GB2312" w:cs="宋体"/>
                <w:b w:val="0"/>
                <w:bCs w:val="0"/>
                <w:color w:val="000000"/>
                <w:kern w:val="0"/>
                <w:szCs w:val="21"/>
                <w:lang w:val="en-US" w:eastAsia="zh-CN"/>
              </w:rPr>
              <w:t>4、不可预见费（暂列金）含税。</w:t>
            </w:r>
          </w:p>
        </w:tc>
        <w:tc>
          <w:tcPr>
            <w:tcW w:w="197" w:type="pct"/>
            <w:tcBorders>
              <w:tl2br w:val="nil"/>
              <w:tr2bl w:val="nil"/>
            </w:tcBorders>
            <w:noWrap/>
            <w:vAlign w:val="center"/>
          </w:tcPr>
          <w:p>
            <w:pPr>
              <w:widowControl/>
              <w:jc w:val="center"/>
              <w:rPr>
                <w:rFonts w:hint="eastAsia" w:ascii="宋体" w:hAnsi="宋体" w:cs="宋体"/>
                <w:color w:val="000000"/>
                <w:kern w:val="0"/>
                <w:sz w:val="22"/>
                <w:szCs w:val="22"/>
              </w:rPr>
            </w:pPr>
          </w:p>
        </w:tc>
      </w:tr>
    </w:tbl>
    <w:p>
      <w:r>
        <w:rPr>
          <w:rFonts w:hint="eastAsia" w:eastAsia="仿宋_GB2312"/>
          <w:b/>
          <w:sz w:val="28"/>
          <w:szCs w:val="28"/>
          <w:lang w:eastAsia="zh-CN"/>
        </w:rPr>
        <w:t>五</w:t>
      </w:r>
      <w:r>
        <w:rPr>
          <w:rFonts w:eastAsia="仿宋_GB2312"/>
          <w:b/>
          <w:sz w:val="28"/>
          <w:szCs w:val="28"/>
        </w:rPr>
        <w:t>、单位签章</w:t>
      </w:r>
      <w:r>
        <w:rPr>
          <w:rFonts w:hint="eastAsia" w:eastAsia="仿宋_GB2312"/>
          <w:b/>
          <w:sz w:val="28"/>
          <w:szCs w:val="28"/>
        </w:rPr>
        <w:t>：</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1BB43"/>
    <w:multiLevelType w:val="singleLevel"/>
    <w:tmpl w:val="FD01BB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OWJjNThiMjkxYTJkYWIxOGY0OTI5NzdiYWNiNmMifQ=="/>
  </w:docVars>
  <w:rsids>
    <w:rsidRoot w:val="15B205AF"/>
    <w:rsid w:val="15B205AF"/>
    <w:rsid w:val="16824D43"/>
    <w:rsid w:val="1A327743"/>
    <w:rsid w:val="2C8E3B10"/>
    <w:rsid w:val="49CD7B84"/>
    <w:rsid w:val="7E37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szCs w:val="20"/>
    </w:rPr>
  </w:style>
  <w:style w:type="paragraph" w:customStyle="1" w:styleId="5">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698</Characters>
  <Lines>0</Lines>
  <Paragraphs>0</Paragraphs>
  <TotalTime>19</TotalTime>
  <ScaleCrop>false</ScaleCrop>
  <LinksUpToDate>false</LinksUpToDate>
  <CharactersWithSpaces>755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2022-07-16T01:18:00Z</dcterms:created>
  <dc:creator>Administrator</dc:creator>
  <cp:lastModifiedBy>Administrator</cp:lastModifiedBy>
  <cp:lastPrinted>2022-07-22T08:27:36Z</cp:lastPrinted>
  <dcterms:modified xsi:type="dcterms:W3CDTF">2022-07-22T08:28:19Z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F1D99D7C88AB46629F5C107BBB011A0D</vt:lpwstr>
  </property>
</Properties>
</file>