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2"/>
          <w:szCs w:val="32"/>
        </w:rPr>
      </w:pPr>
      <w:r>
        <w:rPr>
          <w:rFonts w:hint="eastAsia" w:ascii="华文中宋" w:hAnsi="华文中宋" w:eastAsia="华文中宋"/>
          <w:b/>
          <w:sz w:val="32"/>
          <w:szCs w:val="32"/>
        </w:rPr>
        <w:t>湖南省未成年犯管教所网络安全与信息系统运维服务项目</w:t>
      </w:r>
    </w:p>
    <w:p>
      <w:pPr>
        <w:rPr>
          <w:rFonts w:ascii="华文中宋" w:hAnsi="华文中宋" w:eastAsia="华文中宋"/>
          <w:b/>
          <w:sz w:val="28"/>
          <w:szCs w:val="28"/>
        </w:rPr>
      </w:pPr>
      <w:r>
        <w:rPr>
          <w:rFonts w:hint="eastAsia" w:ascii="华文中宋" w:hAnsi="华文中宋" w:eastAsia="华文中宋"/>
          <w:b/>
          <w:sz w:val="28"/>
          <w:szCs w:val="28"/>
          <w:lang w:val="en-US" w:eastAsia="zh-CN"/>
        </w:rPr>
        <w:t>一、服务清单</w:t>
      </w:r>
      <w:r>
        <w:rPr>
          <w:rFonts w:hint="eastAsia" w:ascii="华文中宋" w:hAnsi="华文中宋" w:eastAsia="华文中宋"/>
          <w:b/>
          <w:sz w:val="28"/>
          <w:szCs w:val="28"/>
        </w:rPr>
        <w:t>要求：</w:t>
      </w:r>
    </w:p>
    <w:tbl>
      <w:tblPr>
        <w:tblStyle w:val="2"/>
        <w:tblW w:w="46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322"/>
        <w:gridCol w:w="7387"/>
        <w:gridCol w:w="127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序号</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产品</w:t>
            </w:r>
          </w:p>
        </w:tc>
        <w:tc>
          <w:tcPr>
            <w:tcW w:w="281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描述</w:t>
            </w:r>
          </w:p>
        </w:tc>
        <w:tc>
          <w:tcPr>
            <w:tcW w:w="487"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数量</w:t>
            </w:r>
          </w:p>
        </w:tc>
        <w:tc>
          <w:tcPr>
            <w:tcW w:w="407"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安全体系建设</w:t>
            </w:r>
          </w:p>
        </w:tc>
        <w:tc>
          <w:tcPr>
            <w:tcW w:w="281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完善和丰富安全管理体系、安全技术体系和运维体系；</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1、对现场调研中得到的用户信息安全技术和管理情况进行综合分析，最终确定用户组织在信息安全方面存在的风险，并依据风险评估方法确定风险等级；</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2、参照网络安全法、等保2.0、ISO/IEC27001的等法律标准基本要求，根据组织实际信息安全需求及风险制订一套完整的文档化的信息安全管理体系各级文件，如策略、制度等；</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3、协助用户解决体系运行过程中出现的问题，过程中进行内部审核与管理评审，及时发现运行中出现的问题及需要改进的地方；</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4</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2</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安全顾问服务</w:t>
            </w:r>
          </w:p>
        </w:tc>
        <w:tc>
          <w:tcPr>
            <w:tcW w:w="281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1、对未管所自检出现的问题，提出建设性意见，协助未管所解决自检问题，提供技术支持；</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2、每年安全等保测评或者上级检查后，对发现问题进行整改，提供技术保障；</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3</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04" w:type="pct"/>
            <w:vMerge w:val="restar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3</w:t>
            </w:r>
          </w:p>
        </w:tc>
        <w:tc>
          <w:tcPr>
            <w:tcW w:w="885" w:type="pct"/>
            <w:vMerge w:val="restar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安全巡检服务</w:t>
            </w:r>
          </w:p>
        </w:tc>
        <w:tc>
          <w:tcPr>
            <w:tcW w:w="2814" w:type="pct"/>
            <w:vMerge w:val="restar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1、对网络和安全设备进行巡检，并出具巡检报告；</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2、安全配置要求为基准，协助用户对各系统在新设备入网和工程验收环节进行安全功能和安全配置的符合性检查，确保设备入网时满足安全要求；</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3、安全巡检问题，提出解决方法，提供技术支持；</w:t>
            </w:r>
          </w:p>
        </w:tc>
        <w:tc>
          <w:tcPr>
            <w:tcW w:w="487" w:type="pct"/>
            <w:vMerge w:val="restar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4</w:t>
            </w:r>
          </w:p>
        </w:tc>
        <w:tc>
          <w:tcPr>
            <w:tcW w:w="407" w:type="pct"/>
            <w:vMerge w:val="restar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04" w:type="pct"/>
            <w:vMerge w:val="continue"/>
            <w:noWrap w:val="0"/>
            <w:vAlign w:val="center"/>
          </w:tcPr>
          <w:p>
            <w:pPr>
              <w:spacing w:line="360" w:lineRule="auto"/>
              <w:ind w:firstLine="426"/>
              <w:rPr>
                <w:rFonts w:ascii="华文中宋" w:hAnsi="华文中宋" w:eastAsia="华文中宋"/>
                <w:color w:val="000000"/>
                <w:szCs w:val="21"/>
              </w:rPr>
            </w:pPr>
          </w:p>
        </w:tc>
        <w:tc>
          <w:tcPr>
            <w:tcW w:w="885" w:type="pct"/>
            <w:vMerge w:val="continue"/>
            <w:noWrap w:val="0"/>
            <w:vAlign w:val="center"/>
          </w:tcPr>
          <w:p>
            <w:pPr>
              <w:spacing w:line="360" w:lineRule="auto"/>
              <w:ind w:firstLine="426"/>
              <w:rPr>
                <w:rFonts w:ascii="华文中宋" w:hAnsi="华文中宋" w:eastAsia="华文中宋"/>
                <w:color w:val="000000"/>
                <w:szCs w:val="21"/>
              </w:rPr>
            </w:pPr>
          </w:p>
        </w:tc>
        <w:tc>
          <w:tcPr>
            <w:tcW w:w="2814" w:type="pct"/>
            <w:vMerge w:val="continue"/>
            <w:noWrap w:val="0"/>
            <w:vAlign w:val="center"/>
          </w:tcPr>
          <w:p>
            <w:pPr>
              <w:spacing w:line="360" w:lineRule="auto"/>
              <w:ind w:firstLine="426"/>
              <w:rPr>
                <w:rFonts w:ascii="华文中宋" w:hAnsi="华文中宋" w:eastAsia="华文中宋"/>
                <w:color w:val="000000"/>
                <w:szCs w:val="21"/>
              </w:rPr>
            </w:pPr>
          </w:p>
        </w:tc>
        <w:tc>
          <w:tcPr>
            <w:tcW w:w="487" w:type="pct"/>
            <w:vMerge w:val="continue"/>
            <w:noWrap w:val="0"/>
            <w:vAlign w:val="center"/>
          </w:tcPr>
          <w:p>
            <w:pPr>
              <w:spacing w:line="360" w:lineRule="auto"/>
              <w:ind w:firstLine="426"/>
              <w:rPr>
                <w:rFonts w:ascii="华文中宋" w:hAnsi="华文中宋" w:eastAsia="华文中宋"/>
                <w:color w:val="000000"/>
                <w:szCs w:val="21"/>
              </w:rPr>
            </w:pPr>
          </w:p>
        </w:tc>
        <w:tc>
          <w:tcPr>
            <w:tcW w:w="407" w:type="pct"/>
            <w:vMerge w:val="continue"/>
            <w:noWrap w:val="0"/>
            <w:vAlign w:val="center"/>
          </w:tcPr>
          <w:p>
            <w:pPr>
              <w:spacing w:line="360" w:lineRule="auto"/>
              <w:ind w:firstLine="426"/>
              <w:rPr>
                <w:rFonts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04" w:type="pct"/>
            <w:vMerge w:val="continue"/>
            <w:noWrap w:val="0"/>
            <w:vAlign w:val="center"/>
          </w:tcPr>
          <w:p>
            <w:pPr>
              <w:spacing w:line="360" w:lineRule="auto"/>
              <w:ind w:firstLine="426"/>
              <w:rPr>
                <w:rFonts w:ascii="华文中宋" w:hAnsi="华文中宋" w:eastAsia="华文中宋"/>
                <w:color w:val="000000"/>
                <w:szCs w:val="21"/>
              </w:rPr>
            </w:pPr>
          </w:p>
        </w:tc>
        <w:tc>
          <w:tcPr>
            <w:tcW w:w="885" w:type="pct"/>
            <w:vMerge w:val="continue"/>
            <w:noWrap w:val="0"/>
            <w:vAlign w:val="center"/>
          </w:tcPr>
          <w:p>
            <w:pPr>
              <w:spacing w:line="360" w:lineRule="auto"/>
              <w:ind w:firstLine="426"/>
              <w:rPr>
                <w:rFonts w:ascii="华文中宋" w:hAnsi="华文中宋" w:eastAsia="华文中宋"/>
                <w:color w:val="000000"/>
                <w:szCs w:val="21"/>
              </w:rPr>
            </w:pPr>
          </w:p>
        </w:tc>
        <w:tc>
          <w:tcPr>
            <w:tcW w:w="2814" w:type="pct"/>
            <w:vMerge w:val="continue"/>
            <w:noWrap w:val="0"/>
            <w:vAlign w:val="center"/>
          </w:tcPr>
          <w:p>
            <w:pPr>
              <w:spacing w:line="360" w:lineRule="auto"/>
              <w:ind w:firstLine="426"/>
              <w:rPr>
                <w:rFonts w:ascii="华文中宋" w:hAnsi="华文中宋" w:eastAsia="华文中宋"/>
                <w:color w:val="000000"/>
                <w:szCs w:val="21"/>
              </w:rPr>
            </w:pPr>
          </w:p>
        </w:tc>
        <w:tc>
          <w:tcPr>
            <w:tcW w:w="487" w:type="pct"/>
            <w:vMerge w:val="continue"/>
            <w:noWrap w:val="0"/>
            <w:vAlign w:val="center"/>
          </w:tcPr>
          <w:p>
            <w:pPr>
              <w:spacing w:line="360" w:lineRule="auto"/>
              <w:ind w:firstLine="426"/>
              <w:rPr>
                <w:rFonts w:ascii="华文中宋" w:hAnsi="华文中宋" w:eastAsia="华文中宋"/>
                <w:color w:val="000000"/>
                <w:szCs w:val="21"/>
              </w:rPr>
            </w:pPr>
          </w:p>
        </w:tc>
        <w:tc>
          <w:tcPr>
            <w:tcW w:w="407" w:type="pct"/>
            <w:vMerge w:val="continue"/>
            <w:noWrap w:val="0"/>
            <w:vAlign w:val="center"/>
          </w:tcPr>
          <w:p>
            <w:pPr>
              <w:spacing w:line="360" w:lineRule="auto"/>
              <w:ind w:firstLine="426"/>
              <w:rPr>
                <w:rFonts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4</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漏洞扫描</w:t>
            </w:r>
          </w:p>
        </w:tc>
        <w:tc>
          <w:tcPr>
            <w:tcW w:w="281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1、使用系统漏洞扫描工具对 数据库、操作系统、中间件等进行漏洞、端口、弱口令扫描，扫描完成后由技术人员对漏洞进行确认测试，提出整改建议，协助开发人员整改；</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2、对系统漏洞扫描后，整合所有漏洞，提供漏洞扫描报告，并对其进行风险评估；</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2</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5</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网络拓扑优化服务</w:t>
            </w:r>
          </w:p>
        </w:tc>
        <w:tc>
          <w:tcPr>
            <w:tcW w:w="281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网络拓扑优化及维护；对整网网络拓扑图进行整理，即时更新，保证拓扑准确性；</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4</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6</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网络安全应急服务</w:t>
            </w:r>
          </w:p>
        </w:tc>
        <w:tc>
          <w:tcPr>
            <w:tcW w:w="281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网络安全故障应急处理（问题发生后1小时内响应，一般故障4小时内处理到位，重大故障24小时内处理到位）；</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7</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安全培训服务</w:t>
            </w:r>
          </w:p>
        </w:tc>
        <w:tc>
          <w:tcPr>
            <w:tcW w:w="281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网络安全意识培训：网络安全讲师一名</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1、定期组织开展办公人员信息安全教育，增强员工的安全意识；针对新上岗人员进行信息安全教育和培训。</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2、介绍日常桌面系统安全事件危害，常见的病毒及处理方法，日常安全习惯。</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基础网络安全技能培训：网络安全实施工程师一名</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1、掌握TCP/IP协议与其他重要通信协议，掌握网络及安全设备的安全策略配置和加固方法，熟悉网络安全事件的排查和分析方法；</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2、了解无线网络的技术特点、发展历程和应用现状，了解无线网络面临的威胁和攻击方法，掌握必要的防护手段。</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2</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8</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安全加固指导服务</w:t>
            </w:r>
          </w:p>
        </w:tc>
        <w:tc>
          <w:tcPr>
            <w:tcW w:w="281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1、根据安全分析结果，提出安全监测、防护手段建议，并指导运行维护单位进行策略部署。</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2、根据安全配置要求为基准，协助用户对各系统在新设备入网和工程验收环节进行安全功能和安全配置的符合性检查，确保设备入网时满足安全要求。</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3、对已入网设备，应结合安全检查结果及基线配置规范，协助用户对各系统已入网设备进行安全功能和安全配置的核查和加固，保障在网设备安全运行。</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4、在发现系统异常、发生安全事件、或发生重大故障可能涉及安全设备等情况下应进行专项检查加固。</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4</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9</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重大活动保障</w:t>
            </w:r>
          </w:p>
        </w:tc>
        <w:tc>
          <w:tcPr>
            <w:tcW w:w="281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重大活动信息安全保障服务将采用人工现场值守和远程技术支持相结合方式进行，保障的具体内容，重大活动信息安全保障服务可分为前期检查、保障期间、保障结束。</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1、安全保障前期：在确定安全保障范围后，并针对各网络系统及业务平台，实施安全技术服务，评估整体网络安全状况；</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2、安全保障期间：在重大时期安全保障过程中，采取现场值守方式进行各类应急事件处理，确保保障过程中，各业务系统稳定运行，并监控处理安全事件；</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3、安全保障结束：重大活动保障工作结束后，安全保障服务人员将协助我所网络安全保障组、网络安全值守组负责完成安全保障总结材料。</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8</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04"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10</w:t>
            </w:r>
          </w:p>
        </w:tc>
        <w:tc>
          <w:tcPr>
            <w:tcW w:w="885" w:type="pct"/>
            <w:shd w:val="clear" w:color="auto" w:fill="auto"/>
            <w:noWrap/>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巡检</w:t>
            </w:r>
          </w:p>
        </w:tc>
        <w:tc>
          <w:tcPr>
            <w:tcW w:w="2814" w:type="pct"/>
            <w:shd w:val="clear" w:color="auto" w:fill="auto"/>
            <w:noWrap w:val="0"/>
            <w:vAlign w:val="center"/>
          </w:tcPr>
          <w:p>
            <w:pPr>
              <w:spacing w:line="360" w:lineRule="auto"/>
              <w:rPr>
                <w:rFonts w:ascii="华文中宋" w:hAnsi="华文中宋" w:eastAsia="华文中宋"/>
                <w:color w:val="000000"/>
                <w:szCs w:val="21"/>
              </w:rPr>
            </w:pPr>
            <w:r>
              <w:rPr>
                <w:rFonts w:hint="eastAsia" w:ascii="华文中宋" w:hAnsi="华文中宋" w:eastAsia="华文中宋"/>
                <w:color w:val="000000"/>
                <w:szCs w:val="21"/>
              </w:rPr>
              <w:t>1、每周进行信息化机房设备，安全设备等进行巡检；</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2、根据要求提供驻场服务及巡检巡查，进行技术配合及支持。</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3、遵照</w:t>
            </w:r>
            <w:r>
              <w:rPr>
                <w:rFonts w:hint="eastAsia" w:ascii="华文中宋" w:hAnsi="华文中宋" w:eastAsia="华文中宋"/>
                <w:color w:val="000000"/>
                <w:szCs w:val="21"/>
                <w:lang w:val="en-US" w:eastAsia="zh-CN"/>
              </w:rPr>
              <w:t>未管所网络安全</w:t>
            </w:r>
            <w:r>
              <w:rPr>
                <w:rFonts w:hint="eastAsia" w:ascii="华文中宋" w:hAnsi="华文中宋" w:eastAsia="华文中宋"/>
                <w:color w:val="000000"/>
                <w:szCs w:val="21"/>
              </w:rPr>
              <w:t>管理制度做好登记记录等要求。</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4、每次巡检安排一个具备信创电脑技术和网络安全技术工程师。</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40</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0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1.1</w:t>
            </w:r>
          </w:p>
        </w:tc>
        <w:tc>
          <w:tcPr>
            <w:tcW w:w="885"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服务器设备</w:t>
            </w:r>
          </w:p>
        </w:tc>
        <w:tc>
          <w:tcPr>
            <w:tcW w:w="2814" w:type="pct"/>
            <w:shd w:val="clear" w:color="auto" w:fill="auto"/>
            <w:noWrap w:val="0"/>
            <w:vAlign w:val="center"/>
          </w:tcPr>
          <w:p>
            <w:pPr>
              <w:spacing w:line="360" w:lineRule="auto"/>
              <w:rPr>
                <w:rFonts w:ascii="华文中宋" w:hAnsi="华文中宋" w:eastAsia="华文中宋"/>
                <w:color w:val="000000"/>
                <w:szCs w:val="21"/>
              </w:rPr>
            </w:pPr>
            <w:r>
              <w:rPr>
                <w:rFonts w:hint="eastAsia" w:ascii="华文中宋" w:hAnsi="华文中宋" w:eastAsia="华文中宋"/>
                <w:color w:val="000000"/>
                <w:szCs w:val="21"/>
              </w:rPr>
              <w:t>1、所有的服务器设备常见问题进行解决；</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2、所有的存储设备常见问题进行解决；</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3、服务器和存储设备的日常维护；</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4、服务器和存储设备配置管理；</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5、服务器和存储设备硬件故障处理；</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6、服务器和存储设备设备保修；</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7</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40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2.1</w:t>
            </w:r>
          </w:p>
        </w:tc>
        <w:tc>
          <w:tcPr>
            <w:tcW w:w="885"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交换机设备</w:t>
            </w:r>
          </w:p>
        </w:tc>
        <w:tc>
          <w:tcPr>
            <w:tcW w:w="2814" w:type="pct"/>
            <w:shd w:val="clear" w:color="auto" w:fill="auto"/>
            <w:noWrap w:val="0"/>
            <w:vAlign w:val="center"/>
          </w:tcPr>
          <w:p>
            <w:pPr>
              <w:spacing w:line="360" w:lineRule="auto"/>
              <w:rPr>
                <w:rFonts w:ascii="华文中宋" w:hAnsi="华文中宋" w:eastAsia="华文中宋"/>
                <w:color w:val="000000"/>
                <w:szCs w:val="21"/>
              </w:rPr>
            </w:pPr>
            <w:r>
              <w:rPr>
                <w:rFonts w:hint="eastAsia" w:ascii="华文中宋" w:hAnsi="华文中宋" w:eastAsia="华文中宋"/>
                <w:color w:val="000000"/>
                <w:szCs w:val="21"/>
              </w:rPr>
              <w:t>1、网络设备常见问题进行解决；</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2、网络设备的日常维护；</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3、网络设备配置管理；</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4、网络设备硬件故障处理；</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5、网络设备设备保修；</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50</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40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3.1</w:t>
            </w:r>
          </w:p>
        </w:tc>
        <w:tc>
          <w:tcPr>
            <w:tcW w:w="885"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网络安全设备</w:t>
            </w:r>
          </w:p>
        </w:tc>
        <w:tc>
          <w:tcPr>
            <w:tcW w:w="2814" w:type="pct"/>
            <w:shd w:val="clear" w:color="auto" w:fill="auto"/>
            <w:noWrap w:val="0"/>
            <w:vAlign w:val="center"/>
          </w:tcPr>
          <w:p>
            <w:pPr>
              <w:spacing w:line="360" w:lineRule="auto"/>
              <w:rPr>
                <w:rFonts w:ascii="华文中宋" w:hAnsi="华文中宋" w:eastAsia="华文中宋"/>
                <w:color w:val="000000"/>
                <w:szCs w:val="21"/>
              </w:rPr>
            </w:pPr>
            <w:r>
              <w:rPr>
                <w:rFonts w:hint="eastAsia" w:ascii="华文中宋" w:hAnsi="华文中宋" w:eastAsia="华文中宋"/>
                <w:color w:val="000000"/>
                <w:szCs w:val="21"/>
              </w:rPr>
              <w:t>1、网络安全设备常见问题进行解决；</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2、网络安全设备的日常维护；</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3、网络安全设备配置管理；</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4、网络安全设备硬件故障处理；</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5、网络安全设备设备保修；</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7</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0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4.1</w:t>
            </w:r>
          </w:p>
        </w:tc>
        <w:tc>
          <w:tcPr>
            <w:tcW w:w="885"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电脑</w:t>
            </w:r>
          </w:p>
        </w:tc>
        <w:tc>
          <w:tcPr>
            <w:tcW w:w="2814" w:type="pct"/>
            <w:shd w:val="clear" w:color="auto" w:fill="auto"/>
            <w:noWrap w:val="0"/>
            <w:vAlign w:val="center"/>
          </w:tcPr>
          <w:p>
            <w:pPr>
              <w:spacing w:line="360" w:lineRule="auto"/>
              <w:rPr>
                <w:rFonts w:ascii="华文中宋" w:hAnsi="华文中宋" w:eastAsia="华文中宋"/>
                <w:color w:val="000000"/>
                <w:szCs w:val="21"/>
              </w:rPr>
            </w:pPr>
            <w:r>
              <w:rPr>
                <w:rFonts w:hint="eastAsia" w:ascii="华文中宋" w:hAnsi="华文中宋" w:eastAsia="华文中宋"/>
                <w:color w:val="000000"/>
                <w:szCs w:val="21"/>
              </w:rPr>
              <w:t>1.对全监电脑使用中遇到的常用软件问题进行解决（含办公软件、杀毒、浏览器、输入法等软件的安装、维护及操作系统的重装）；</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2.对故障电脑能准确判读故障原因并进行技术维修；</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3.终端设备保修；</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150</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40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5.1</w:t>
            </w:r>
          </w:p>
        </w:tc>
        <w:tc>
          <w:tcPr>
            <w:tcW w:w="885"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机房设备</w:t>
            </w:r>
          </w:p>
        </w:tc>
        <w:tc>
          <w:tcPr>
            <w:tcW w:w="2814" w:type="pct"/>
            <w:shd w:val="clear" w:color="auto" w:fill="auto"/>
            <w:noWrap w:val="0"/>
            <w:vAlign w:val="center"/>
          </w:tcPr>
          <w:p>
            <w:pPr>
              <w:spacing w:line="360" w:lineRule="auto"/>
              <w:rPr>
                <w:rFonts w:ascii="华文中宋" w:hAnsi="华文中宋" w:eastAsia="华文中宋"/>
                <w:color w:val="000000"/>
                <w:szCs w:val="21"/>
              </w:rPr>
            </w:pPr>
            <w:r>
              <w:rPr>
                <w:rFonts w:hint="eastAsia" w:ascii="华文中宋" w:hAnsi="华文中宋" w:eastAsia="华文中宋"/>
                <w:color w:val="000000"/>
                <w:szCs w:val="21"/>
              </w:rPr>
              <w:t>1、机房管理；</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2、空调系统运维；</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3、消防系统运维；</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4、新风系统运维；</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5、动环系统运维；</w:t>
            </w:r>
            <w:r>
              <w:rPr>
                <w:rFonts w:hint="eastAsia" w:ascii="华文中宋" w:hAnsi="华文中宋" w:eastAsia="华文中宋"/>
                <w:color w:val="000000"/>
                <w:szCs w:val="21"/>
              </w:rPr>
              <w:br w:type="textWrapping"/>
            </w:r>
            <w:r>
              <w:rPr>
                <w:rFonts w:hint="eastAsia" w:ascii="华文中宋" w:hAnsi="华文中宋" w:eastAsia="华文中宋"/>
                <w:color w:val="000000"/>
                <w:szCs w:val="21"/>
              </w:rPr>
              <w:t>6、机房设备保修；</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2</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6.1</w:t>
            </w:r>
          </w:p>
        </w:tc>
        <w:tc>
          <w:tcPr>
            <w:tcW w:w="885"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线路保障</w:t>
            </w:r>
          </w:p>
        </w:tc>
        <w:tc>
          <w:tcPr>
            <w:tcW w:w="2814" w:type="pct"/>
            <w:shd w:val="clear" w:color="auto" w:fill="auto"/>
            <w:noWrap w:val="0"/>
            <w:vAlign w:val="center"/>
          </w:tcPr>
          <w:p>
            <w:pPr>
              <w:spacing w:line="360" w:lineRule="auto"/>
              <w:rPr>
                <w:rFonts w:ascii="华文中宋" w:hAnsi="华文中宋" w:eastAsia="华文中宋"/>
                <w:color w:val="000000"/>
                <w:szCs w:val="21"/>
              </w:rPr>
            </w:pPr>
            <w:r>
              <w:rPr>
                <w:rFonts w:hint="eastAsia" w:ascii="华文中宋" w:hAnsi="华文中宋" w:eastAsia="华文中宋"/>
                <w:color w:val="000000"/>
                <w:szCs w:val="21"/>
                <w:lang w:val="en-US" w:eastAsia="zh-CN"/>
              </w:rPr>
              <w:t>所有网络</w:t>
            </w:r>
            <w:r>
              <w:rPr>
                <w:rFonts w:hint="eastAsia" w:ascii="华文中宋" w:hAnsi="华文中宋" w:eastAsia="华文中宋"/>
                <w:color w:val="000000"/>
                <w:szCs w:val="21"/>
              </w:rPr>
              <w:t>线路保障</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w:t>
            </w:r>
          </w:p>
        </w:tc>
        <w:tc>
          <w:tcPr>
            <w:tcW w:w="40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4"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7.1</w:t>
            </w:r>
          </w:p>
        </w:tc>
        <w:tc>
          <w:tcPr>
            <w:tcW w:w="885"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驻场工程师</w:t>
            </w:r>
          </w:p>
        </w:tc>
        <w:tc>
          <w:tcPr>
            <w:tcW w:w="2814" w:type="pct"/>
            <w:shd w:val="clear" w:color="auto" w:fill="auto"/>
            <w:noWrap w:val="0"/>
            <w:vAlign w:val="center"/>
          </w:tcPr>
          <w:p>
            <w:pPr>
              <w:pStyle w:val="4"/>
              <w:numPr>
                <w:ilvl w:val="0"/>
                <w:numId w:val="1"/>
              </w:numPr>
              <w:spacing w:line="360" w:lineRule="auto"/>
              <w:ind w:firstLineChars="0"/>
              <w:rPr>
                <w:rFonts w:ascii="华文中宋" w:hAnsi="华文中宋" w:eastAsia="华文中宋"/>
                <w:color w:val="000000"/>
                <w:szCs w:val="21"/>
              </w:rPr>
            </w:pPr>
            <w:r>
              <w:rPr>
                <w:rFonts w:hint="eastAsia" w:ascii="华文中宋" w:hAnsi="华文中宋" w:eastAsia="华文中宋"/>
                <w:color w:val="000000"/>
                <w:szCs w:val="21"/>
              </w:rPr>
              <w:t>日常现场运维保障。</w:t>
            </w:r>
          </w:p>
          <w:p>
            <w:pPr>
              <w:pStyle w:val="4"/>
              <w:numPr>
                <w:ilvl w:val="0"/>
                <w:numId w:val="1"/>
              </w:numPr>
              <w:spacing w:line="360" w:lineRule="auto"/>
              <w:ind w:firstLineChars="0"/>
              <w:rPr>
                <w:rFonts w:ascii="华文中宋" w:hAnsi="华文中宋" w:eastAsia="华文中宋"/>
                <w:color w:val="000000"/>
                <w:szCs w:val="21"/>
              </w:rPr>
            </w:pPr>
            <w:r>
              <w:rPr>
                <w:rFonts w:hint="eastAsia" w:ascii="华文中宋" w:hAnsi="华文中宋" w:eastAsia="华文中宋"/>
                <w:color w:val="000000"/>
                <w:szCs w:val="21"/>
              </w:rPr>
              <w:t>年平均服务天数不少于290天/年。</w:t>
            </w:r>
          </w:p>
        </w:tc>
        <w:tc>
          <w:tcPr>
            <w:tcW w:w="487" w:type="pct"/>
            <w:shd w:val="clear" w:color="auto" w:fill="auto"/>
            <w:noWrap w:val="0"/>
            <w:vAlign w:val="center"/>
          </w:tcPr>
          <w:p>
            <w:pPr>
              <w:spacing w:line="360" w:lineRule="auto"/>
              <w:ind w:firstLine="426"/>
              <w:rPr>
                <w:rFonts w:ascii="华文中宋" w:hAnsi="华文中宋" w:eastAsia="华文中宋"/>
                <w:color w:val="000000"/>
                <w:szCs w:val="21"/>
              </w:rPr>
            </w:pPr>
            <w:r>
              <w:rPr>
                <w:rFonts w:hint="eastAsia" w:ascii="华文中宋" w:hAnsi="华文中宋" w:eastAsia="华文中宋"/>
                <w:color w:val="000000"/>
                <w:szCs w:val="21"/>
              </w:rPr>
              <w:t>1</w:t>
            </w:r>
          </w:p>
        </w:tc>
        <w:tc>
          <w:tcPr>
            <w:tcW w:w="407" w:type="pct"/>
            <w:shd w:val="clear" w:color="auto" w:fill="auto"/>
            <w:noWrap w:val="0"/>
            <w:vAlign w:val="center"/>
          </w:tcPr>
          <w:p>
            <w:pPr>
              <w:spacing w:line="360" w:lineRule="auto"/>
              <w:ind w:firstLine="426"/>
              <w:jc w:val="center"/>
              <w:rPr>
                <w:rFonts w:ascii="华文中宋" w:hAnsi="华文中宋" w:eastAsia="华文中宋"/>
                <w:color w:val="000000"/>
                <w:szCs w:val="21"/>
              </w:rPr>
            </w:pPr>
            <w:r>
              <w:rPr>
                <w:rFonts w:hint="eastAsia" w:ascii="华文中宋" w:hAnsi="华文中宋" w:eastAsia="华文中宋"/>
                <w:color w:val="000000"/>
                <w:szCs w:val="21"/>
              </w:rPr>
              <w:t>人/年</w:t>
            </w:r>
          </w:p>
        </w:tc>
      </w:tr>
    </w:tbl>
    <w:p>
      <w:pPr>
        <w:jc w:val="both"/>
        <w:rPr>
          <w:rFonts w:hint="eastAsia" w:ascii="华文中宋" w:hAnsi="华文中宋" w:eastAsia="华文中宋"/>
          <w:b/>
          <w:sz w:val="28"/>
          <w:szCs w:val="28"/>
          <w:lang w:val="en-US" w:eastAsia="zh-CN"/>
        </w:rPr>
      </w:pPr>
      <w:r>
        <w:rPr>
          <w:rFonts w:hint="eastAsia"/>
          <w:b/>
          <w:bCs/>
          <w:color w:val="auto"/>
          <w:sz w:val="28"/>
          <w:szCs w:val="28"/>
          <w:lang w:val="en-US" w:eastAsia="zh-CN"/>
        </w:rPr>
        <w:t>项目预算总价：286000元。</w:t>
      </w:r>
    </w:p>
    <w:p>
      <w:pPr>
        <w:jc w:val="center"/>
        <w:rPr>
          <w:rFonts w:hint="eastAsia" w:ascii="华文中宋" w:hAnsi="华文中宋" w:eastAsia="华文中宋"/>
          <w:b/>
          <w:sz w:val="28"/>
          <w:szCs w:val="28"/>
        </w:rPr>
      </w:pPr>
      <w:r>
        <w:rPr>
          <w:rFonts w:hint="eastAsia" w:ascii="华文中宋" w:hAnsi="华文中宋" w:eastAsia="华文中宋"/>
          <w:b/>
          <w:sz w:val="28"/>
          <w:szCs w:val="28"/>
          <w:lang w:val="en-US" w:eastAsia="zh-CN"/>
        </w:rPr>
        <w:t>竞价</w:t>
      </w:r>
      <w:r>
        <w:rPr>
          <w:rFonts w:hint="eastAsia" w:ascii="华文中宋" w:hAnsi="华文中宋" w:eastAsia="华文中宋"/>
          <w:b/>
          <w:sz w:val="28"/>
          <w:szCs w:val="28"/>
        </w:rPr>
        <w:t>要求：</w:t>
      </w:r>
    </w:p>
    <w:p>
      <w:pPr>
        <w:spacing w:line="360" w:lineRule="auto"/>
        <w:rPr>
          <w:rFonts w:ascii="宋体" w:hAnsi="宋体" w:eastAsia="宋体" w:cs="宋体"/>
          <w:b/>
          <w:bCs/>
          <w:color w:val="000000"/>
          <w:kern w:val="0"/>
          <w:sz w:val="24"/>
          <w:szCs w:val="24"/>
        </w:rPr>
      </w:pPr>
      <w:r>
        <w:rPr>
          <w:rFonts w:ascii="宋体" w:hAnsi="宋体" w:eastAsia="宋体" w:cs="宋体"/>
          <w:b/>
          <w:bCs/>
          <w:color w:val="000000"/>
          <w:kern w:val="0"/>
          <w:sz w:val="24"/>
          <w:szCs w:val="24"/>
        </w:rPr>
        <w:t>1、</w:t>
      </w:r>
      <w:r>
        <w:rPr>
          <w:rFonts w:hint="eastAsia" w:ascii="宋体" w:hAnsi="宋体" w:eastAsia="宋体" w:cs="宋体"/>
          <w:b/>
          <w:bCs/>
          <w:color w:val="000000"/>
          <w:kern w:val="0"/>
          <w:sz w:val="24"/>
          <w:szCs w:val="24"/>
        </w:rPr>
        <w:t>服务</w:t>
      </w:r>
      <w:r>
        <w:rPr>
          <w:rFonts w:ascii="宋体" w:hAnsi="宋体" w:eastAsia="宋体" w:cs="宋体"/>
          <w:b/>
          <w:bCs/>
          <w:color w:val="000000"/>
          <w:kern w:val="0"/>
          <w:sz w:val="24"/>
          <w:szCs w:val="24"/>
        </w:rPr>
        <w:t>地点：</w:t>
      </w:r>
      <w:r>
        <w:rPr>
          <w:rFonts w:hint="eastAsia" w:ascii="宋体" w:hAnsi="宋体" w:eastAsia="宋体" w:cs="宋体"/>
          <w:b/>
          <w:bCs/>
          <w:color w:val="000000"/>
          <w:kern w:val="0"/>
          <w:sz w:val="24"/>
          <w:szCs w:val="24"/>
        </w:rPr>
        <w:t>湖南省未成年犯管</w:t>
      </w:r>
      <w:r>
        <w:rPr>
          <w:rFonts w:hint="eastAsia" w:ascii="宋体" w:hAnsi="宋体" w:eastAsia="宋体" w:cs="宋体"/>
          <w:b/>
          <w:bCs/>
          <w:color w:val="000000"/>
          <w:kern w:val="0"/>
          <w:sz w:val="24"/>
          <w:szCs w:val="24"/>
          <w:lang w:val="en-US" w:eastAsia="zh-CN"/>
        </w:rPr>
        <w:t>教</w:t>
      </w:r>
      <w:r>
        <w:rPr>
          <w:rFonts w:hint="eastAsia" w:ascii="宋体" w:hAnsi="宋体" w:eastAsia="宋体" w:cs="宋体"/>
          <w:b/>
          <w:bCs/>
          <w:color w:val="000000"/>
          <w:kern w:val="0"/>
          <w:sz w:val="24"/>
          <w:szCs w:val="24"/>
        </w:rPr>
        <w:t>所。</w:t>
      </w:r>
      <w:r>
        <w:rPr>
          <w:rFonts w:ascii="宋体" w:hAnsi="宋体" w:eastAsia="宋体" w:cs="宋体"/>
          <w:b/>
          <w:bCs/>
          <w:color w:val="000000"/>
          <w:kern w:val="0"/>
          <w:sz w:val="24"/>
          <w:szCs w:val="24"/>
        </w:rPr>
        <w:t xml:space="preserve"> </w:t>
      </w:r>
    </w:p>
    <w:p>
      <w:pPr>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2</w:t>
      </w:r>
      <w:r>
        <w:rPr>
          <w:rFonts w:ascii="宋体" w:hAnsi="宋体" w:eastAsia="宋体" w:cs="宋体"/>
          <w:b/>
          <w:bCs/>
          <w:color w:val="000000"/>
          <w:kern w:val="0"/>
          <w:sz w:val="24"/>
          <w:szCs w:val="24"/>
        </w:rPr>
        <w:t>、服务期：1年。</w:t>
      </w:r>
    </w:p>
    <w:p>
      <w:pPr>
        <w:spacing w:line="360" w:lineRule="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3、投标人需具有ISO27001（信息安全管理体系认证证书）或者ISO9001（质量管理体系认证证书），提供证书原件扫描件上传，否则视为无效竞价。</w:t>
      </w:r>
      <w:bookmarkStart w:id="0" w:name="_GoBack"/>
      <w:bookmarkEnd w:id="0"/>
    </w:p>
    <w:p>
      <w:pPr>
        <w:spacing w:line="360" w:lineRule="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r>
        <w:rPr>
          <w:rFonts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投标人需要</w:t>
      </w:r>
      <w:r>
        <w:rPr>
          <w:rFonts w:ascii="宋体" w:hAnsi="宋体" w:eastAsia="宋体" w:cs="宋体"/>
          <w:b/>
          <w:bCs/>
          <w:color w:val="000000"/>
          <w:kern w:val="0"/>
          <w:sz w:val="24"/>
          <w:szCs w:val="24"/>
        </w:rPr>
        <w:t>针对</w:t>
      </w:r>
      <w:r>
        <w:rPr>
          <w:rFonts w:hint="eastAsia" w:ascii="宋体" w:hAnsi="宋体" w:eastAsia="宋体" w:cs="宋体"/>
          <w:b/>
          <w:bCs/>
          <w:color w:val="000000"/>
          <w:kern w:val="0"/>
          <w:sz w:val="24"/>
          <w:szCs w:val="24"/>
          <w:lang w:val="en-US" w:eastAsia="zh-CN"/>
        </w:rPr>
        <w:t>我</w:t>
      </w:r>
      <w:r>
        <w:rPr>
          <w:rFonts w:ascii="宋体" w:hAnsi="宋体" w:eastAsia="宋体" w:cs="宋体"/>
          <w:b/>
          <w:bCs/>
          <w:color w:val="000000"/>
          <w:kern w:val="0"/>
          <w:sz w:val="24"/>
          <w:szCs w:val="24"/>
        </w:rPr>
        <w:t>方工作需求现状</w:t>
      </w:r>
      <w:r>
        <w:rPr>
          <w:rFonts w:hint="eastAsia" w:ascii="宋体" w:hAnsi="宋体" w:eastAsia="宋体" w:cs="宋体"/>
          <w:b/>
          <w:bCs/>
          <w:color w:val="000000"/>
          <w:kern w:val="0"/>
          <w:sz w:val="24"/>
          <w:szCs w:val="24"/>
          <w:lang w:val="en-US" w:eastAsia="zh-CN"/>
        </w:rPr>
        <w:t>与现有网络及安全设备情况</w:t>
      </w:r>
      <w:r>
        <w:rPr>
          <w:rFonts w:ascii="宋体" w:hAnsi="宋体" w:eastAsia="宋体" w:cs="宋体"/>
          <w:b/>
          <w:bCs/>
          <w:color w:val="000000"/>
          <w:kern w:val="0"/>
          <w:sz w:val="24"/>
          <w:szCs w:val="24"/>
        </w:rPr>
        <w:t>，出具</w:t>
      </w:r>
      <w:r>
        <w:rPr>
          <w:rFonts w:hint="eastAsia" w:ascii="宋体" w:hAnsi="宋体" w:eastAsia="宋体" w:cs="宋体"/>
          <w:b/>
          <w:bCs/>
          <w:color w:val="000000"/>
          <w:kern w:val="0"/>
          <w:sz w:val="24"/>
          <w:szCs w:val="24"/>
          <w:lang w:val="en-US" w:eastAsia="zh-CN"/>
        </w:rPr>
        <w:t>详细</w:t>
      </w:r>
      <w:r>
        <w:rPr>
          <w:rFonts w:ascii="宋体" w:hAnsi="宋体" w:eastAsia="宋体" w:cs="宋体"/>
          <w:b/>
          <w:bCs/>
          <w:color w:val="000000"/>
          <w:kern w:val="0"/>
          <w:sz w:val="24"/>
          <w:szCs w:val="24"/>
        </w:rPr>
        <w:t>实施方案</w:t>
      </w:r>
      <w:r>
        <w:rPr>
          <w:rFonts w:hint="eastAsia" w:ascii="宋体" w:hAnsi="宋体" w:eastAsia="宋体" w:cs="宋体"/>
          <w:b/>
          <w:bCs/>
          <w:color w:val="000000"/>
          <w:kern w:val="0"/>
          <w:sz w:val="24"/>
          <w:szCs w:val="24"/>
          <w:lang w:val="en-US" w:eastAsia="zh-CN"/>
        </w:rPr>
        <w:t>并上传</w:t>
      </w:r>
      <w:r>
        <w:rPr>
          <w:rFonts w:ascii="宋体" w:hAnsi="宋体" w:eastAsia="宋体" w:cs="宋体"/>
          <w:b/>
          <w:bCs/>
          <w:color w:val="000000"/>
          <w:kern w:val="0"/>
          <w:sz w:val="24"/>
          <w:szCs w:val="24"/>
        </w:rPr>
        <w:t>，否则视为无效</w:t>
      </w:r>
      <w:r>
        <w:rPr>
          <w:rFonts w:hint="eastAsia" w:ascii="宋体" w:hAnsi="宋体" w:eastAsia="宋体" w:cs="宋体"/>
          <w:b/>
          <w:bCs/>
          <w:color w:val="000000"/>
          <w:kern w:val="0"/>
          <w:sz w:val="24"/>
          <w:szCs w:val="24"/>
          <w:lang w:val="en-US" w:eastAsia="zh-CN"/>
        </w:rPr>
        <w:t>竞价。如需来我所现场勘探的，必须遵守我所疫情防控与保密制度要求，否则我所有权拒绝（仅限工作时间接待）。联系电话0731-88143456。</w:t>
      </w:r>
    </w:p>
    <w:p>
      <w:pPr>
        <w:spacing w:line="360" w:lineRule="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r>
        <w:rPr>
          <w:rFonts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预成交商签订合同之前需提供涉密运行维护资质证明文件、深信服、联软等本次服务项目关联产品厂商出具的针对本项目的售后服务函原件，否则视为无效竞价。</w:t>
      </w:r>
    </w:p>
    <w:p>
      <w:pPr>
        <w:spacing w:line="360" w:lineRule="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5、成交商需与我所签订线下合同与保密协议。</w:t>
      </w:r>
    </w:p>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37636"/>
    <w:multiLevelType w:val="multilevel"/>
    <w:tmpl w:val="2AE376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U3YjMxZGI2YTE5MTNjMGQ4ZjRkMTA2NGVkYjIifQ=="/>
  </w:docVars>
  <w:rsids>
    <w:rsidRoot w:val="4EF27365"/>
    <w:rsid w:val="280B2D48"/>
    <w:rsid w:val="3A2C3B71"/>
    <w:rsid w:val="4CBD2F42"/>
    <w:rsid w:val="4EF27365"/>
    <w:rsid w:val="54117C0E"/>
    <w:rsid w:val="5A3D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2260</Words>
  <Characters>2320</Characters>
  <Lines>0</Lines>
  <Paragraphs>0</Paragraphs>
  <TotalTime>8</TotalTime>
  <ScaleCrop>false</ScaleCrop>
  <LinksUpToDate>false</LinksUpToDate>
  <CharactersWithSpaces>2322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2022-07-13T02:25:00Z</dcterms:created>
  <dc:creator>xxk</dc:creator>
  <cp:lastModifiedBy>xxk</cp:lastModifiedBy>
  <dcterms:modified xsi:type="dcterms:W3CDTF">2022-07-18T01:20:58Z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FCA887B508DC4564AF146474BC5BE06C</vt:lpwstr>
  </property>
</Properties>
</file>