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color w:val="auto"/>
          <w:sz w:val="44"/>
          <w:szCs w:val="44"/>
          <w:lang w:eastAsia="zh-CN"/>
        </w:rPr>
      </w:pPr>
    </w:p>
    <w:p>
      <w:pPr>
        <w:jc w:val="center"/>
        <w:rPr>
          <w:rFonts w:hint="eastAsia" w:ascii="华文中宋" w:hAnsi="华文中宋" w:eastAsia="华文中宋"/>
          <w:b/>
          <w:color w:val="auto"/>
          <w:sz w:val="44"/>
          <w:szCs w:val="44"/>
          <w:lang w:eastAsia="zh-CN"/>
        </w:rPr>
      </w:pPr>
    </w:p>
    <w:p>
      <w:pPr>
        <w:jc w:val="center"/>
        <w:rPr>
          <w:rFonts w:hint="eastAsia" w:ascii="华文中宋" w:hAnsi="华文中宋" w:eastAsia="华文中宋"/>
          <w:b/>
          <w:color w:val="auto"/>
          <w:sz w:val="44"/>
          <w:szCs w:val="44"/>
          <w:lang w:eastAsia="zh-CN"/>
        </w:rPr>
      </w:pPr>
    </w:p>
    <w:p>
      <w:pPr>
        <w:jc w:val="center"/>
        <w:rPr>
          <w:rFonts w:hint="eastAsia" w:ascii="华文中宋" w:hAnsi="华文中宋" w:eastAsia="华文中宋"/>
          <w:b/>
          <w:color w:val="auto"/>
          <w:sz w:val="44"/>
          <w:szCs w:val="44"/>
          <w:lang w:eastAsia="zh-CN"/>
        </w:rPr>
      </w:pPr>
    </w:p>
    <w:p>
      <w:pPr>
        <w:jc w:val="center"/>
        <w:rPr>
          <w:rFonts w:hint="eastAsia" w:ascii="华文中宋" w:hAnsi="华文中宋" w:eastAsia="华文中宋"/>
          <w:b/>
          <w:color w:val="auto"/>
          <w:sz w:val="44"/>
          <w:szCs w:val="44"/>
          <w:lang w:eastAsia="zh-CN"/>
        </w:rPr>
      </w:pPr>
      <w:r>
        <w:rPr>
          <w:rFonts w:hint="eastAsia" w:ascii="华文中宋" w:hAnsi="华文中宋" w:eastAsia="华文中宋"/>
          <w:b/>
          <w:color w:val="auto"/>
          <w:sz w:val="44"/>
          <w:szCs w:val="44"/>
          <w:lang w:eastAsia="zh-CN"/>
        </w:rPr>
        <w:t>湖南省未成年犯管教所</w:t>
      </w:r>
    </w:p>
    <w:p>
      <w:pPr>
        <w:jc w:val="center"/>
        <w:rPr>
          <w:rFonts w:hint="eastAsia" w:ascii="华文中宋" w:hAnsi="华文中宋" w:eastAsia="华文中宋"/>
          <w:b/>
          <w:color w:val="auto"/>
          <w:sz w:val="44"/>
          <w:szCs w:val="44"/>
          <w:lang w:val="en-US" w:eastAsia="zh-CN"/>
        </w:rPr>
      </w:pPr>
      <w:r>
        <w:rPr>
          <w:rFonts w:hint="eastAsia" w:ascii="华文中宋" w:hAnsi="华文中宋" w:eastAsia="华文中宋"/>
          <w:b/>
          <w:color w:val="auto"/>
          <w:sz w:val="44"/>
          <w:szCs w:val="44"/>
        </w:rPr>
        <w:t>网络安全</w:t>
      </w:r>
      <w:r>
        <w:rPr>
          <w:rFonts w:hint="eastAsia" w:ascii="华文中宋" w:hAnsi="华文中宋" w:eastAsia="华文中宋"/>
          <w:b/>
          <w:color w:val="auto"/>
          <w:sz w:val="44"/>
          <w:szCs w:val="44"/>
          <w:lang w:val="en-US" w:eastAsia="zh-CN"/>
        </w:rPr>
        <w:t>等级保护测评项目</w:t>
      </w:r>
    </w:p>
    <w:p>
      <w:pPr>
        <w:pStyle w:val="2"/>
        <w:rPr>
          <w:rFonts w:hint="default"/>
          <w:lang w:val="en-US" w:eastAsia="zh-CN"/>
        </w:rPr>
      </w:pPr>
      <w:r>
        <w:rPr>
          <w:rFonts w:hint="eastAsia" w:ascii="华文中宋" w:hAnsi="华文中宋" w:eastAsia="华文中宋"/>
          <w:b/>
          <w:color w:val="auto"/>
          <w:sz w:val="44"/>
          <w:szCs w:val="44"/>
          <w:lang w:val="en-US" w:eastAsia="zh-CN"/>
        </w:rPr>
        <w:t xml:space="preserve">                 </w:t>
      </w:r>
    </w:p>
    <w:p>
      <w:pPr>
        <w:spacing w:line="276" w:lineRule="auto"/>
        <w:jc w:val="both"/>
        <w:rPr>
          <w:rFonts w:hint="eastAsia" w:ascii="华文中宋" w:hAnsi="华文中宋" w:eastAsia="华文中宋"/>
          <w:b/>
          <w:color w:val="auto"/>
          <w:sz w:val="56"/>
          <w:szCs w:val="44"/>
        </w:rPr>
      </w:pPr>
    </w:p>
    <w:p>
      <w:pPr>
        <w:pStyle w:val="2"/>
        <w:rPr>
          <w:rFonts w:hint="eastAsia"/>
        </w:rPr>
      </w:pPr>
    </w:p>
    <w:p>
      <w:pPr>
        <w:jc w:val="center"/>
        <w:rPr>
          <w:rFonts w:ascii="华文中宋" w:hAnsi="华文中宋" w:eastAsia="华文中宋"/>
          <w:b/>
          <w:color w:val="auto"/>
          <w:sz w:val="44"/>
          <w:szCs w:val="44"/>
        </w:rPr>
      </w:pPr>
    </w:p>
    <w:p>
      <w:pPr>
        <w:widowControl w:val="0"/>
        <w:jc w:val="center"/>
        <w:rPr>
          <w:rFonts w:ascii="华文中宋" w:hAnsi="华文中宋" w:eastAsia="华文中宋"/>
          <w:b/>
          <w:color w:val="auto"/>
          <w:kern w:val="2"/>
          <w:sz w:val="44"/>
          <w:szCs w:val="44"/>
        </w:rPr>
      </w:pPr>
    </w:p>
    <w:p>
      <w:pPr>
        <w:ind w:right="50" w:rightChars="21"/>
        <w:jc w:val="center"/>
        <w:rPr>
          <w:rFonts w:hint="eastAsia"/>
          <w:b/>
          <w:color w:val="auto"/>
          <w:sz w:val="44"/>
        </w:rPr>
      </w:pPr>
    </w:p>
    <w:p>
      <w:pPr>
        <w:ind w:right="50" w:rightChars="21"/>
        <w:jc w:val="center"/>
        <w:rPr>
          <w:rFonts w:hint="eastAsia"/>
          <w:b/>
          <w:color w:val="auto"/>
          <w:sz w:val="44"/>
        </w:rPr>
      </w:pPr>
    </w:p>
    <w:p>
      <w:pPr>
        <w:ind w:right="50" w:rightChars="21"/>
        <w:jc w:val="center"/>
        <w:rPr>
          <w:rFonts w:hint="eastAsia"/>
          <w:b/>
          <w:color w:val="auto"/>
          <w:sz w:val="44"/>
        </w:rPr>
      </w:pPr>
    </w:p>
    <w:p>
      <w:pPr>
        <w:ind w:right="50" w:rightChars="21"/>
        <w:jc w:val="center"/>
        <w:rPr>
          <w:rFonts w:hint="eastAsia"/>
          <w:b/>
          <w:color w:val="auto"/>
          <w:sz w:val="44"/>
        </w:rPr>
      </w:pPr>
    </w:p>
    <w:p>
      <w:pPr>
        <w:ind w:right="50" w:rightChars="21"/>
        <w:jc w:val="center"/>
        <w:rPr>
          <w:b/>
          <w:color w:val="auto"/>
          <w:sz w:val="44"/>
        </w:rPr>
        <w:sectPr>
          <w:headerReference r:id="rId5" w:type="default"/>
          <w:footerReference r:id="rId6" w:type="default"/>
          <w:pgSz w:w="11906" w:h="16838"/>
          <w:pgMar w:top="1440" w:right="1418" w:bottom="1440" w:left="1797" w:header="851" w:footer="992" w:gutter="0"/>
          <w:pgBorders w:offsetFrom="page">
            <w:top w:val="none" w:sz="0" w:space="0"/>
            <w:left w:val="none" w:sz="0" w:space="0"/>
            <w:bottom w:val="none" w:sz="0" w:space="0"/>
            <w:right w:val="none" w:sz="0" w:space="0"/>
          </w:pgBorders>
          <w:pgNumType w:fmt="upperRoman"/>
          <w:cols w:space="720" w:num="1"/>
          <w:docGrid w:type="linesAndChars" w:linePitch="312" w:charSpace="0"/>
        </w:sectPr>
      </w:pPr>
    </w:p>
    <w:p>
      <w:pPr>
        <w:pStyle w:val="3"/>
        <w:rPr>
          <w:rFonts w:hint="eastAsia"/>
          <w:color w:val="auto"/>
        </w:rPr>
      </w:pPr>
      <w:bookmarkStart w:id="0" w:name="_Toc15837"/>
      <w:r>
        <w:rPr>
          <w:rFonts w:hint="eastAsia"/>
          <w:color w:val="auto"/>
        </w:rPr>
        <w:t>项目概述</w:t>
      </w:r>
      <w:bookmarkEnd w:id="0"/>
    </w:p>
    <w:p>
      <w:pPr>
        <w:pStyle w:val="4"/>
        <w:rPr>
          <w:rFonts w:hint="eastAsia"/>
          <w:color w:val="auto"/>
        </w:rPr>
      </w:pPr>
      <w:bookmarkStart w:id="1" w:name="_Toc14754"/>
      <w:r>
        <w:rPr>
          <w:rFonts w:hint="eastAsia"/>
          <w:color w:val="auto"/>
        </w:rPr>
        <w:t>项目背景</w:t>
      </w:r>
      <w:bookmarkEnd w:id="1"/>
    </w:p>
    <w:p>
      <w:pPr>
        <w:spacing w:line="360" w:lineRule="auto"/>
        <w:ind w:firstLine="480" w:firstLineChars="200"/>
        <w:rPr>
          <w:rFonts w:hint="eastAsia" w:ascii="宋体" w:hAnsi="宋体"/>
          <w:color w:val="auto"/>
        </w:rPr>
      </w:pPr>
      <w:r>
        <w:rPr>
          <w:rFonts w:hint="eastAsia" w:ascii="宋体" w:hAnsi="宋体"/>
          <w:color w:val="auto"/>
        </w:rPr>
        <w:t>网络安全等级保护制度是我国网络安全保障工作的基本制度、基本策略和基本方法，是促进信息化健康发展，维护国家安全、社会秩序和公共利益的根本保障。国务院法规（国务院[1994]147号令）和中央文件（中办发[2003]27号文）明确规定，要实行信息安全等级保护，重点保护基础信息网络和关系国家安全、经济命脉、社会稳定等方面的重要信息系统，抓紧建立信息安全等级保护制度。2017年6月1日正式施行的《中华人民共各国网络安全法》（主席令第五十三号）第二十一条明确规定国家实行网络安全等级保护制度。因此，开展网络安全等级保护工作不仅是保障重要信息系统安全的重大措施，也是一项事关国家安全、国家利益、社会稳定的重要任务，同时也是网络运营者应当履行的安全保护义务。</w:t>
      </w:r>
    </w:p>
    <w:p>
      <w:pPr>
        <w:ind w:firstLine="480" w:firstLineChars="200"/>
        <w:rPr>
          <w:color w:val="auto"/>
        </w:rPr>
      </w:pPr>
      <w:r>
        <w:rPr>
          <w:rFonts w:hint="eastAsia"/>
          <w:color w:val="auto"/>
        </w:rPr>
        <w:t>面对我国信息安全的严峻形势，国家采取了一系列重大举措加大网络安全和信息化发展的力度，将“网络安全”上升到国家战略。</w:t>
      </w:r>
    </w:p>
    <w:p>
      <w:pPr>
        <w:ind w:firstLine="480" w:firstLineChars="200"/>
        <w:rPr>
          <w:rFonts w:hint="eastAsia"/>
          <w:color w:val="auto"/>
        </w:rPr>
      </w:pPr>
      <w:r>
        <w:rPr>
          <w:rFonts w:hint="eastAsia" w:ascii="宋体" w:hAnsi="宋体" w:cs="宋体"/>
          <w:color w:val="auto"/>
        </w:rPr>
        <w:t>近些年来，随着信息化的不断发展，信息系统的应用成为业务重要支撑平台，关键流程、重要数据的处理都依赖于信息系统</w:t>
      </w:r>
      <w:r>
        <w:rPr>
          <w:rFonts w:hint="eastAsia" w:cs="宋体"/>
          <w:color w:val="auto"/>
          <w:lang w:eastAsia="zh-CN"/>
        </w:rPr>
        <w:t>，</w:t>
      </w:r>
      <w:r>
        <w:rPr>
          <w:color w:val="auto"/>
        </w:rPr>
        <w:t>为切实减少</w:t>
      </w:r>
      <w:r>
        <w:rPr>
          <w:rFonts w:hint="eastAsia"/>
          <w:color w:val="auto"/>
          <w:lang w:eastAsia="zh-CN"/>
        </w:rPr>
        <w:t>未管所</w:t>
      </w:r>
      <w:r>
        <w:rPr>
          <w:color w:val="auto"/>
        </w:rPr>
        <w:t>信息系统安全风险、保障信息系统安全运行，需开展信息系统</w:t>
      </w:r>
      <w:r>
        <w:rPr>
          <w:rFonts w:hint="eastAsia"/>
          <w:color w:val="auto"/>
          <w:lang w:val="en-US" w:eastAsia="zh-CN"/>
        </w:rPr>
        <w:t>安全等级保护测评</w:t>
      </w:r>
      <w:r>
        <w:rPr>
          <w:color w:val="auto"/>
        </w:rPr>
        <w:t>工作</w:t>
      </w:r>
      <w:r>
        <w:rPr>
          <w:rFonts w:hint="eastAsia"/>
          <w:color w:val="auto"/>
        </w:rPr>
        <w:t>，找出</w:t>
      </w:r>
      <w:r>
        <w:rPr>
          <w:rFonts w:hint="eastAsia"/>
          <w:color w:val="auto"/>
          <w:lang w:eastAsia="zh-CN"/>
        </w:rPr>
        <w:t>未管所</w:t>
      </w:r>
      <w:r>
        <w:rPr>
          <w:rFonts w:hint="eastAsia"/>
          <w:color w:val="auto"/>
        </w:rPr>
        <w:t>系统与国家标准要求之间的差距，对存在的风险进行评估</w:t>
      </w:r>
      <w:r>
        <w:rPr>
          <w:color w:val="auto"/>
        </w:rPr>
        <w:t>。</w:t>
      </w:r>
    </w:p>
    <w:p>
      <w:pPr>
        <w:pStyle w:val="4"/>
        <w:rPr>
          <w:rFonts w:hint="eastAsia"/>
          <w:color w:val="auto"/>
        </w:rPr>
      </w:pPr>
      <w:bookmarkStart w:id="2" w:name="_Toc24085"/>
      <w:r>
        <w:rPr>
          <w:rFonts w:hint="eastAsia"/>
          <w:color w:val="auto"/>
        </w:rPr>
        <w:t>项目目标</w:t>
      </w:r>
      <w:bookmarkEnd w:id="2"/>
    </w:p>
    <w:p>
      <w:pPr>
        <w:spacing w:line="360" w:lineRule="auto"/>
        <w:ind w:firstLine="480" w:firstLineChars="200"/>
        <w:rPr>
          <w:rFonts w:hint="eastAsia"/>
          <w:color w:val="auto"/>
          <w:lang w:eastAsia="zh-CN"/>
        </w:rPr>
      </w:pPr>
      <w:r>
        <w:rPr>
          <w:rFonts w:hint="eastAsia"/>
          <w:color w:val="auto"/>
          <w:lang w:eastAsia="zh-CN"/>
        </w:rPr>
        <w:t>依据《信息安全技术网络安全等级保护基本要求》（以下简称《基本要求》）二级</w:t>
      </w:r>
      <w:r>
        <w:rPr>
          <w:rFonts w:hint="eastAsia"/>
          <w:color w:val="auto"/>
          <w:lang w:val="en-US" w:eastAsia="zh-CN"/>
        </w:rPr>
        <w:t>和</w:t>
      </w:r>
      <w:r>
        <w:rPr>
          <w:rFonts w:hint="eastAsia"/>
          <w:color w:val="auto"/>
          <w:lang w:eastAsia="zh-CN"/>
        </w:rPr>
        <w:t>三级要求，对湖南省未成年犯管教所触发式报警系统、安防集成平台进行等级测评，找出系统与国家标准要求之间的差距，对存在的风险进行评估，并出具《信息安全等级测评报告》和《差距分析报告》。</w:t>
      </w:r>
    </w:p>
    <w:p>
      <w:pPr>
        <w:pStyle w:val="3"/>
        <w:rPr>
          <w:rFonts w:hint="eastAsia"/>
          <w:color w:val="auto"/>
        </w:rPr>
      </w:pPr>
      <w:bookmarkStart w:id="3" w:name="_Toc32041"/>
      <w:r>
        <w:rPr>
          <w:rFonts w:hint="eastAsia"/>
          <w:color w:val="auto"/>
        </w:rPr>
        <w:t>项目内容</w:t>
      </w:r>
      <w:bookmarkEnd w:id="3"/>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olor w:val="auto"/>
          <w:sz w:val="24"/>
          <w:szCs w:val="24"/>
          <w:lang w:val="en-US" w:eastAsia="zh-CN" w:bidi="ar-SA"/>
        </w:rPr>
      </w:pPr>
      <w:bookmarkStart w:id="4" w:name="_Toc458766419"/>
      <w:r>
        <w:rPr>
          <w:rFonts w:hint="eastAsia" w:ascii="宋体" w:hAnsi="宋体" w:eastAsia="宋体"/>
          <w:color w:val="auto"/>
          <w:sz w:val="24"/>
          <w:szCs w:val="24"/>
          <w:lang w:val="en-US" w:eastAsia="zh-CN" w:bidi="ar-SA"/>
        </w:rPr>
        <w:t>1、聘请第三方具有等保测评资质的公司，协助湖南省未成年犯管教所对信息系统进行定级，协助编写定级报告。</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olor w:val="auto"/>
          <w:sz w:val="24"/>
          <w:szCs w:val="24"/>
          <w:lang w:val="en-US" w:eastAsia="zh-CN" w:bidi="ar-SA"/>
        </w:rPr>
      </w:pPr>
      <w:r>
        <w:rPr>
          <w:rFonts w:hint="eastAsia" w:ascii="宋体" w:hAnsi="宋体" w:eastAsia="宋体"/>
          <w:color w:val="auto"/>
          <w:sz w:val="24"/>
          <w:szCs w:val="24"/>
          <w:lang w:val="en-US" w:eastAsia="zh-CN" w:bidi="ar-SA"/>
        </w:rPr>
        <w:t>2、聘请第三方具有等保测评资质的公司，对未管所定级系统进行差距分析，如差距分析结果不能通过测试，则出具整改方案指导未管所进行安全整改，待安全整改后进行复测试。</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olor w:val="auto"/>
          <w:sz w:val="24"/>
          <w:szCs w:val="24"/>
          <w:lang w:val="en-US" w:eastAsia="zh-CN" w:bidi="ar-SA"/>
        </w:rPr>
      </w:pPr>
      <w:r>
        <w:rPr>
          <w:rFonts w:hint="eastAsia" w:ascii="宋体" w:hAnsi="宋体" w:eastAsia="宋体"/>
          <w:color w:val="auto"/>
          <w:sz w:val="24"/>
          <w:szCs w:val="24"/>
          <w:lang w:val="en-US" w:eastAsia="zh-CN" w:bidi="ar-SA"/>
        </w:rPr>
        <w:t>3、第三方具有等保测评资质的公司测评后出具等级测评报告。</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olor w:val="auto"/>
          <w:sz w:val="24"/>
          <w:szCs w:val="24"/>
          <w:lang w:val="en-US" w:eastAsia="zh-CN" w:bidi="ar-SA"/>
        </w:rPr>
      </w:pPr>
      <w:r>
        <w:rPr>
          <w:rFonts w:hint="eastAsia" w:ascii="宋体" w:hAnsi="宋体" w:eastAsia="宋体"/>
          <w:color w:val="auto"/>
          <w:sz w:val="24"/>
          <w:szCs w:val="24"/>
          <w:lang w:val="en-US" w:eastAsia="zh-CN" w:bidi="ar-SA"/>
        </w:rPr>
        <w:t>4、第三方具有等保测评资质的公司协助湖南省未成年犯管教所向所在地区的公安机关办理备案手续，获得备案证。</w:t>
      </w:r>
    </w:p>
    <w:p>
      <w:pPr>
        <w:pStyle w:val="2"/>
        <w:keepNext w:val="0"/>
        <w:keepLines w:val="0"/>
        <w:pageBreakBefore w:val="0"/>
        <w:widowControl/>
        <w:kinsoku/>
        <w:wordWrap/>
        <w:overflowPunct/>
        <w:topLinePunct w:val="0"/>
        <w:autoSpaceDE/>
        <w:autoSpaceDN/>
        <w:bidi w:val="0"/>
        <w:adjustRightInd/>
        <w:snapToGrid/>
        <w:ind w:firstLine="480" w:firstLineChars="200"/>
        <w:jc w:val="center"/>
        <w:textAlignment w:val="auto"/>
        <w:rPr>
          <w:color w:val="auto"/>
        </w:rPr>
      </w:pPr>
      <w:r>
        <w:rPr>
          <w:color w:val="auto"/>
        </w:rPr>
        <w:drawing>
          <wp:inline distT="0" distB="0" distL="114300" distR="114300">
            <wp:extent cx="3916680" cy="25450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916680" cy="2545080"/>
                    </a:xfrm>
                    <a:prstGeom prst="rect">
                      <a:avLst/>
                    </a:prstGeom>
                    <a:noFill/>
                    <a:ln>
                      <a:noFill/>
                    </a:ln>
                  </pic:spPr>
                </pic:pic>
              </a:graphicData>
            </a:graphic>
          </wp:inline>
        </w:drawing>
      </w:r>
    </w:p>
    <w:p>
      <w:pPr>
        <w:pStyle w:val="4"/>
        <w:rPr>
          <w:rFonts w:hint="eastAsia" w:ascii="宋体" w:hAnsi="宋体"/>
          <w:b/>
          <w:color w:val="auto"/>
          <w:lang w:val="en-US" w:eastAsia="zh-CN"/>
        </w:rPr>
      </w:pPr>
      <w:bookmarkStart w:id="5" w:name="_Toc447205072"/>
      <w:bookmarkStart w:id="6" w:name="_Toc16279"/>
      <w:bookmarkStart w:id="7" w:name="_Toc26414_WPSOffice_Level2"/>
      <w:bookmarkStart w:id="8" w:name="_Toc526960086"/>
      <w:bookmarkStart w:id="9" w:name="_Toc14994"/>
      <w:r>
        <w:rPr>
          <w:rFonts w:hint="eastAsia" w:ascii="宋体" w:hAnsi="宋体"/>
          <w:b/>
          <w:color w:val="auto"/>
          <w:lang w:val="en-US" w:eastAsia="zh-CN"/>
        </w:rPr>
        <w:t>定级</w:t>
      </w:r>
      <w:bookmarkEnd w:id="5"/>
      <w:bookmarkEnd w:id="6"/>
      <w:bookmarkEnd w:id="7"/>
      <w:bookmarkEnd w:id="8"/>
      <w:bookmarkEnd w:id="9"/>
    </w:p>
    <w:p>
      <w:pPr>
        <w:spacing w:line="360" w:lineRule="auto"/>
        <w:ind w:firstLine="480" w:firstLineChars="200"/>
        <w:rPr>
          <w:color w:val="auto"/>
          <w:sz w:val="24"/>
          <w:szCs w:val="24"/>
        </w:rPr>
      </w:pPr>
      <w:r>
        <w:rPr>
          <w:rFonts w:hint="eastAsia" w:ascii="宋体" w:hAnsi="宋体" w:eastAsia="宋体"/>
          <w:color w:val="auto"/>
          <w:sz w:val="24"/>
          <w:szCs w:val="24"/>
          <w:lang w:val="en-US" w:eastAsia="zh-CN" w:bidi="ar-SA"/>
        </w:rPr>
        <w:t>聘请第三方具有等保测评资质的公司协助</w:t>
      </w:r>
      <w:r>
        <w:rPr>
          <w:rFonts w:hint="eastAsia"/>
          <w:color w:val="auto"/>
          <w:sz w:val="24"/>
          <w:szCs w:val="24"/>
          <w:lang w:val="en-US" w:eastAsia="zh-CN"/>
        </w:rPr>
        <w:t>我所</w:t>
      </w:r>
      <w:r>
        <w:rPr>
          <w:rFonts w:hint="eastAsia"/>
          <w:color w:val="auto"/>
          <w:sz w:val="24"/>
          <w:szCs w:val="24"/>
        </w:rPr>
        <w:t>，依据《网络安全等级保护定级指南》，确定信息系统的安全保护等级，编写定级报告。</w:t>
      </w:r>
    </w:p>
    <w:p>
      <w:pPr>
        <w:spacing w:line="360" w:lineRule="auto"/>
        <w:ind w:firstLine="480" w:firstLineChars="200"/>
        <w:rPr>
          <w:color w:val="auto"/>
          <w:sz w:val="24"/>
          <w:szCs w:val="24"/>
        </w:rPr>
      </w:pPr>
      <w:r>
        <w:rPr>
          <w:rFonts w:hint="eastAsia"/>
          <w:color w:val="auto"/>
          <w:sz w:val="24"/>
          <w:szCs w:val="24"/>
        </w:rPr>
        <w:t>系统定级阶段需完成以下工作：</w:t>
      </w:r>
    </w:p>
    <w:p>
      <w:pPr>
        <w:numPr>
          <w:ilvl w:val="0"/>
          <w:numId w:val="3"/>
        </w:numPr>
        <w:spacing w:line="360" w:lineRule="auto"/>
        <w:rPr>
          <w:color w:val="auto"/>
          <w:sz w:val="24"/>
          <w:szCs w:val="24"/>
        </w:rPr>
      </w:pPr>
      <w:r>
        <w:rPr>
          <w:rFonts w:hint="eastAsia"/>
          <w:color w:val="auto"/>
          <w:sz w:val="24"/>
          <w:szCs w:val="24"/>
        </w:rPr>
        <w:t>等级保护的培训：在进行测评服务之前，对</w:t>
      </w:r>
      <w:r>
        <w:rPr>
          <w:rFonts w:hint="eastAsia"/>
          <w:color w:val="auto"/>
          <w:sz w:val="24"/>
          <w:szCs w:val="24"/>
          <w:lang w:val="en-US" w:eastAsia="zh-CN"/>
        </w:rPr>
        <w:t>我所</w:t>
      </w:r>
      <w:r>
        <w:rPr>
          <w:rFonts w:hint="eastAsia"/>
          <w:color w:val="auto"/>
          <w:sz w:val="24"/>
          <w:szCs w:val="24"/>
        </w:rPr>
        <w:t>信息技术人员进行等级保护的内容培训。</w:t>
      </w:r>
    </w:p>
    <w:p>
      <w:pPr>
        <w:numPr>
          <w:ilvl w:val="0"/>
          <w:numId w:val="3"/>
        </w:numPr>
        <w:spacing w:line="360" w:lineRule="auto"/>
        <w:rPr>
          <w:color w:val="auto"/>
          <w:sz w:val="24"/>
          <w:szCs w:val="24"/>
        </w:rPr>
      </w:pPr>
      <w:r>
        <w:rPr>
          <w:rFonts w:hint="eastAsia"/>
          <w:color w:val="auto"/>
          <w:sz w:val="24"/>
          <w:szCs w:val="24"/>
        </w:rPr>
        <w:t>系统业务安全域划分：进行信息收集和资产调研，明确业务系统的范围、边界、功能以及重要性等。</w:t>
      </w:r>
    </w:p>
    <w:p>
      <w:pPr>
        <w:numPr>
          <w:ilvl w:val="0"/>
          <w:numId w:val="3"/>
        </w:numPr>
        <w:spacing w:line="360" w:lineRule="auto"/>
        <w:rPr>
          <w:color w:val="auto"/>
          <w:sz w:val="24"/>
          <w:szCs w:val="24"/>
        </w:rPr>
      </w:pPr>
      <w:r>
        <w:rPr>
          <w:rFonts w:hint="eastAsia"/>
          <w:color w:val="auto"/>
          <w:sz w:val="24"/>
          <w:szCs w:val="24"/>
          <w:lang w:val="en-US" w:eastAsia="zh-CN"/>
        </w:rPr>
        <w:t>协助我所</w:t>
      </w:r>
      <w:r>
        <w:rPr>
          <w:rFonts w:hint="eastAsia"/>
          <w:color w:val="auto"/>
          <w:sz w:val="24"/>
          <w:szCs w:val="24"/>
        </w:rPr>
        <w:t>召开专家评审会、获得备案证明：定级和备案是等级保护工作开展的前提，如果级别定错了，或者专家有不同的评审意见，则后续的测评将无法进行。</w:t>
      </w:r>
    </w:p>
    <w:p>
      <w:pPr>
        <w:pStyle w:val="4"/>
        <w:rPr>
          <w:rFonts w:hint="eastAsia" w:ascii="宋体" w:hAnsi="宋体"/>
          <w:b/>
          <w:color w:val="auto"/>
          <w:lang w:val="en-US" w:eastAsia="zh-CN"/>
        </w:rPr>
      </w:pPr>
      <w:bookmarkStart w:id="10" w:name="_Toc2684"/>
      <w:bookmarkStart w:id="11" w:name="_Toc526960087"/>
      <w:bookmarkStart w:id="12" w:name="_Toc19414"/>
      <w:bookmarkStart w:id="13" w:name="_Toc25169_WPSOffice_Level2"/>
      <w:r>
        <w:rPr>
          <w:rFonts w:hint="eastAsia" w:ascii="宋体" w:hAnsi="宋体"/>
          <w:b/>
          <w:color w:val="auto"/>
          <w:lang w:val="en-US" w:eastAsia="zh-CN"/>
        </w:rPr>
        <w:t>差距评估</w:t>
      </w:r>
      <w:bookmarkEnd w:id="10"/>
      <w:bookmarkEnd w:id="11"/>
      <w:bookmarkEnd w:id="12"/>
      <w:bookmarkEnd w:id="13"/>
    </w:p>
    <w:p>
      <w:pPr>
        <w:spacing w:line="360" w:lineRule="auto"/>
        <w:ind w:firstLine="480" w:firstLineChars="200"/>
        <w:rPr>
          <w:color w:val="auto"/>
          <w:sz w:val="24"/>
          <w:szCs w:val="24"/>
        </w:rPr>
      </w:pPr>
      <w:r>
        <w:rPr>
          <w:rFonts w:hint="eastAsia"/>
          <w:color w:val="auto"/>
          <w:sz w:val="24"/>
          <w:szCs w:val="24"/>
        </w:rPr>
        <w:t xml:space="preserve">差距评估是以国际安全标准、行业最佳实践、国家安全法规及标准为依据，对客户网络与信息系统的资产价值、潜在的安全威胁、薄弱环节、现有安全防护措施等进行综合分析，以发现信息系统中存在的主要安全问题，并找到解决这些问题的方法。 </w:t>
      </w:r>
    </w:p>
    <w:p>
      <w:pPr>
        <w:spacing w:line="360" w:lineRule="auto"/>
        <w:ind w:firstLine="480" w:firstLineChars="200"/>
        <w:rPr>
          <w:color w:val="auto"/>
          <w:sz w:val="24"/>
          <w:szCs w:val="24"/>
        </w:rPr>
      </w:pPr>
      <w:r>
        <w:rPr>
          <w:rFonts w:hint="eastAsia" w:ascii="宋体" w:hAnsi="宋体" w:eastAsia="宋体"/>
          <w:color w:val="auto"/>
          <w:sz w:val="24"/>
          <w:szCs w:val="24"/>
          <w:lang w:val="en-US" w:eastAsia="zh-CN" w:bidi="ar-SA"/>
        </w:rPr>
        <w:t>聘请第三方具有等保测评资质的公司，</w:t>
      </w:r>
      <w:r>
        <w:rPr>
          <w:rFonts w:hint="eastAsia"/>
          <w:color w:val="auto"/>
          <w:sz w:val="24"/>
          <w:szCs w:val="24"/>
        </w:rPr>
        <w:t>依据差距分析表中的各项安全要求，通过人员访谈、现场检查和测试对比现状和安全要求之间的差距，确定不满足要求的安全项。通过等级差距评估，可以明确</w:t>
      </w:r>
      <w:r>
        <w:rPr>
          <w:rFonts w:hint="eastAsia"/>
          <w:color w:val="auto"/>
          <w:sz w:val="24"/>
          <w:szCs w:val="24"/>
          <w:lang w:val="en-US" w:eastAsia="zh-CN"/>
        </w:rPr>
        <w:t>我所</w:t>
      </w:r>
      <w:r>
        <w:rPr>
          <w:rFonts w:hint="eastAsia"/>
          <w:color w:val="auto"/>
          <w:sz w:val="24"/>
          <w:szCs w:val="24"/>
        </w:rPr>
        <w:t>信息系统的现状，确定不符合安全项，找出目前信息系统与等级保护安全要求之间的差距，有针对性地提出整改建议。</w:t>
      </w:r>
    </w:p>
    <w:p>
      <w:pPr>
        <w:pStyle w:val="4"/>
        <w:rPr>
          <w:rFonts w:hint="eastAsia" w:ascii="宋体" w:hAnsi="宋体"/>
          <w:b/>
          <w:color w:val="auto"/>
          <w:lang w:val="en-US" w:eastAsia="zh-CN"/>
        </w:rPr>
      </w:pPr>
      <w:bookmarkStart w:id="14" w:name="_Toc8856_WPSOffice_Level2"/>
      <w:bookmarkStart w:id="15" w:name="_Toc24494"/>
      <w:bookmarkStart w:id="16" w:name="_Toc24176"/>
      <w:bookmarkStart w:id="17" w:name="_Toc447205078"/>
      <w:bookmarkStart w:id="18" w:name="_Toc526960088"/>
      <w:r>
        <w:rPr>
          <w:rFonts w:hint="eastAsia" w:ascii="宋体" w:hAnsi="宋体"/>
          <w:b/>
          <w:color w:val="auto"/>
          <w:lang w:val="en-US" w:eastAsia="zh-CN"/>
        </w:rPr>
        <w:t>安全整改方案设计</w:t>
      </w:r>
      <w:bookmarkEnd w:id="14"/>
      <w:bookmarkEnd w:id="15"/>
      <w:bookmarkEnd w:id="16"/>
      <w:bookmarkEnd w:id="17"/>
      <w:bookmarkEnd w:id="18"/>
    </w:p>
    <w:p>
      <w:pPr>
        <w:spacing w:line="360" w:lineRule="auto"/>
        <w:ind w:firstLine="480" w:firstLineChars="200"/>
        <w:rPr>
          <w:color w:val="auto"/>
          <w:sz w:val="24"/>
          <w:szCs w:val="24"/>
        </w:rPr>
      </w:pPr>
      <w:r>
        <w:rPr>
          <w:rFonts w:hint="eastAsia"/>
          <w:color w:val="auto"/>
          <w:sz w:val="24"/>
          <w:szCs w:val="24"/>
        </w:rPr>
        <w:t>参考国家标准《网络安全等级保护基本要求》、《网络安全等级保护安全设计技术要求》，依据差距分析的结论，结合</w:t>
      </w:r>
      <w:r>
        <w:rPr>
          <w:rFonts w:hint="eastAsia"/>
          <w:color w:val="auto"/>
          <w:sz w:val="24"/>
          <w:szCs w:val="24"/>
          <w:lang w:val="en-US" w:eastAsia="zh-CN"/>
        </w:rPr>
        <w:t>我所</w:t>
      </w:r>
      <w:r>
        <w:rPr>
          <w:rFonts w:hint="eastAsia"/>
          <w:color w:val="auto"/>
          <w:sz w:val="24"/>
          <w:szCs w:val="24"/>
        </w:rPr>
        <w:t>实际情况，给出《安全整改方案》。</w:t>
      </w:r>
    </w:p>
    <w:p>
      <w:pPr>
        <w:pStyle w:val="4"/>
        <w:rPr>
          <w:rFonts w:hint="eastAsia" w:ascii="宋体" w:hAnsi="宋体"/>
          <w:b/>
          <w:color w:val="auto"/>
          <w:lang w:val="en-US" w:eastAsia="zh-CN"/>
        </w:rPr>
      </w:pPr>
      <w:bookmarkStart w:id="19" w:name="_Toc447205080"/>
      <w:bookmarkStart w:id="20" w:name="_Toc526960089"/>
      <w:bookmarkStart w:id="21" w:name="_Toc14634"/>
      <w:bookmarkStart w:id="22" w:name="_Toc10085"/>
      <w:bookmarkStart w:id="23" w:name="_Toc11939_WPSOffice_Level2"/>
      <w:r>
        <w:rPr>
          <w:rFonts w:hint="eastAsia" w:ascii="宋体" w:hAnsi="宋体"/>
          <w:b/>
          <w:color w:val="auto"/>
          <w:lang w:val="en-US" w:eastAsia="zh-CN"/>
        </w:rPr>
        <w:t>等级测评</w:t>
      </w:r>
      <w:bookmarkEnd w:id="19"/>
      <w:bookmarkEnd w:id="20"/>
      <w:bookmarkEnd w:id="21"/>
      <w:bookmarkEnd w:id="22"/>
      <w:bookmarkEnd w:id="23"/>
    </w:p>
    <w:p>
      <w:pPr>
        <w:spacing w:line="360" w:lineRule="auto"/>
        <w:ind w:firstLine="480" w:firstLineChars="200"/>
        <w:rPr>
          <w:color w:val="auto"/>
          <w:sz w:val="24"/>
          <w:szCs w:val="24"/>
        </w:rPr>
      </w:pPr>
      <w:r>
        <w:rPr>
          <w:rFonts w:hint="eastAsia"/>
          <w:color w:val="auto"/>
          <w:sz w:val="24"/>
          <w:szCs w:val="24"/>
          <w:lang w:val="en-US" w:eastAsia="zh-CN"/>
        </w:rPr>
        <w:t>在我所</w:t>
      </w:r>
      <w:r>
        <w:rPr>
          <w:rFonts w:hint="eastAsia"/>
          <w:color w:val="auto"/>
          <w:sz w:val="24"/>
          <w:szCs w:val="24"/>
        </w:rPr>
        <w:t>根据</w:t>
      </w:r>
      <w:r>
        <w:rPr>
          <w:rFonts w:hint="eastAsia"/>
          <w:color w:val="auto"/>
          <w:sz w:val="24"/>
          <w:szCs w:val="24"/>
          <w:lang w:val="en-US" w:eastAsia="zh-CN"/>
        </w:rPr>
        <w:t>第三方测评公司</w:t>
      </w:r>
      <w:r>
        <w:rPr>
          <w:rFonts w:hint="eastAsia"/>
          <w:color w:val="auto"/>
          <w:sz w:val="24"/>
          <w:szCs w:val="24"/>
        </w:rPr>
        <w:t>整改方案进行整改后，</w:t>
      </w:r>
      <w:r>
        <w:rPr>
          <w:rFonts w:hint="eastAsia"/>
          <w:color w:val="auto"/>
          <w:sz w:val="24"/>
          <w:szCs w:val="24"/>
          <w:lang w:val="en-US" w:eastAsia="zh-CN"/>
        </w:rPr>
        <w:t>第三方公司再</w:t>
      </w:r>
      <w:r>
        <w:rPr>
          <w:rFonts w:hint="eastAsia"/>
          <w:color w:val="auto"/>
          <w:sz w:val="24"/>
          <w:szCs w:val="24"/>
        </w:rPr>
        <w:t>对</w:t>
      </w:r>
      <w:r>
        <w:rPr>
          <w:rFonts w:hint="eastAsia"/>
          <w:color w:val="auto"/>
          <w:sz w:val="24"/>
          <w:szCs w:val="24"/>
          <w:lang w:val="en-US" w:eastAsia="zh-CN"/>
        </w:rPr>
        <w:t>我所定级备案的</w:t>
      </w:r>
      <w:r>
        <w:rPr>
          <w:rFonts w:hint="eastAsia"/>
          <w:color w:val="auto"/>
          <w:sz w:val="24"/>
          <w:szCs w:val="24"/>
        </w:rPr>
        <w:t>信息系统开展信息系统等级保护测评工作，并出具《等级测评报告》。</w:t>
      </w:r>
    </w:p>
    <w:p>
      <w:pPr>
        <w:pStyle w:val="4"/>
        <w:rPr>
          <w:rFonts w:hint="eastAsia" w:ascii="宋体" w:hAnsi="宋体"/>
          <w:b/>
          <w:color w:val="auto"/>
          <w:lang w:val="en-US" w:eastAsia="zh-CN"/>
        </w:rPr>
      </w:pPr>
      <w:bookmarkStart w:id="24" w:name="_Toc526960090"/>
      <w:bookmarkStart w:id="25" w:name="_Toc15888_WPSOffice_Level2"/>
      <w:bookmarkStart w:id="26" w:name="_Toc3690"/>
      <w:bookmarkStart w:id="27" w:name="_Toc29036"/>
      <w:r>
        <w:rPr>
          <w:rFonts w:hint="eastAsia" w:ascii="宋体" w:hAnsi="宋体"/>
          <w:b/>
          <w:color w:val="auto"/>
          <w:lang w:val="en-US" w:eastAsia="zh-CN"/>
        </w:rPr>
        <w:t>协助备案</w:t>
      </w:r>
      <w:bookmarkEnd w:id="24"/>
      <w:bookmarkEnd w:id="25"/>
      <w:bookmarkEnd w:id="26"/>
      <w:bookmarkEnd w:id="27"/>
    </w:p>
    <w:p>
      <w:pPr>
        <w:spacing w:line="360" w:lineRule="auto"/>
        <w:ind w:firstLine="480" w:firstLineChars="200"/>
        <w:rPr>
          <w:rFonts w:hint="eastAsia"/>
          <w:color w:val="auto"/>
          <w:sz w:val="24"/>
          <w:szCs w:val="24"/>
        </w:rPr>
      </w:pPr>
      <w:r>
        <w:rPr>
          <w:rFonts w:hint="eastAsia"/>
          <w:color w:val="auto"/>
          <w:sz w:val="24"/>
          <w:szCs w:val="24"/>
        </w:rPr>
        <w:t>准备定级备案表和定级报告，协助</w:t>
      </w:r>
      <w:r>
        <w:rPr>
          <w:rFonts w:hint="eastAsia"/>
          <w:color w:val="auto"/>
          <w:sz w:val="24"/>
          <w:szCs w:val="24"/>
          <w:lang w:val="en-US" w:eastAsia="zh-CN"/>
        </w:rPr>
        <w:t>湖南省未成年犯管教所</w:t>
      </w:r>
      <w:r>
        <w:rPr>
          <w:rFonts w:hint="eastAsia"/>
          <w:color w:val="auto"/>
          <w:sz w:val="24"/>
          <w:szCs w:val="24"/>
        </w:rPr>
        <w:t>向所在地区的公安机关办理备案手续，获得备案证</w:t>
      </w:r>
      <w:r>
        <w:rPr>
          <w:rFonts w:hint="eastAsia"/>
          <w:color w:val="auto"/>
          <w:sz w:val="24"/>
          <w:szCs w:val="24"/>
          <w:lang w:val="en-US" w:eastAsia="zh-CN"/>
        </w:rPr>
        <w:t>（如系统已经取得备案证明，则协助取得公安部门出具的《信息系统安全等级保护测评报告回执单》）</w:t>
      </w:r>
      <w:r>
        <w:rPr>
          <w:rFonts w:hint="eastAsia"/>
          <w:color w:val="auto"/>
          <w:sz w:val="24"/>
          <w:szCs w:val="24"/>
        </w:rPr>
        <w:t>。</w:t>
      </w:r>
      <w:bookmarkEnd w:id="4"/>
      <w:bookmarkStart w:id="28" w:name="_Toc19124"/>
    </w:p>
    <w:p>
      <w:pPr>
        <w:pStyle w:val="4"/>
        <w:rPr>
          <w:rFonts w:hint="eastAsia" w:ascii="宋体" w:hAnsi="宋体"/>
          <w:b/>
          <w:color w:val="auto"/>
          <w:lang w:val="en-US" w:eastAsia="zh-CN"/>
        </w:rPr>
      </w:pPr>
      <w:r>
        <w:rPr>
          <w:rFonts w:hint="eastAsia" w:ascii="宋体" w:hAnsi="宋体"/>
          <w:b/>
          <w:color w:val="auto"/>
          <w:lang w:val="en-US" w:eastAsia="zh-CN"/>
        </w:rPr>
        <w:t>协助整改</w:t>
      </w:r>
    </w:p>
    <w:p>
      <w:pPr>
        <w:pStyle w:val="12"/>
        <w:ind w:firstLine="480"/>
        <w:rPr>
          <w:rFonts w:hint="eastAsia" w:ascii="宋体" w:hAnsi="宋体"/>
          <w:color w:val="auto"/>
          <w:sz w:val="24"/>
          <w:szCs w:val="24"/>
          <w:lang w:val="en-US" w:eastAsia="zh-CN" w:bidi="ar-SA"/>
        </w:rPr>
      </w:pPr>
      <w:r>
        <w:rPr>
          <w:rFonts w:hint="eastAsia" w:ascii="宋体" w:hAnsi="宋体"/>
          <w:color w:val="auto"/>
          <w:sz w:val="24"/>
          <w:szCs w:val="24"/>
          <w:lang w:val="en-US" w:eastAsia="zh-CN" w:bidi="ar-SA"/>
        </w:rPr>
        <w:t>为协助我所通过等保测评及增强我所信息系统安全防护能力，第三方测评公司在开展等保测评时将同时为我所应用服务器部署防护工具“网防G01”，全称“网站综合防护系统”，是首款专门针对WEB应用服务器等关键信息基础资源进行综合防护的产品，由公安部第一研究所和计算机病毒防治技术国家工程实验室（北京）研发，该系统采用C/S与B/S的结合，通过PC端、客户端、浏览器即可实现对服务器端的安全管理与监控。系统跨平台支持Windows及Linux双操作系统，以操作系统内核加固技术、web访问控制技术作为核心防御体系，针对操作系统核心资源，如注册表、网络连接、系统文件、进程等进行有效防护，同时，采用web访问控制技术有效抵御网络层攻击。</w:t>
      </w:r>
    </w:p>
    <w:p>
      <w:pPr>
        <w:rPr>
          <w:rFonts w:hint="eastAsia"/>
          <w:lang w:val="en-US" w:eastAsia="zh-CN"/>
        </w:rPr>
      </w:pPr>
    </w:p>
    <w:p>
      <w:pPr>
        <w:bidi w:val="0"/>
        <w:rPr>
          <w:rFonts w:hint="eastAsia"/>
        </w:rPr>
      </w:pPr>
    </w:p>
    <w:p>
      <w:pPr>
        <w:pStyle w:val="3"/>
        <w:rPr>
          <w:rFonts w:hint="eastAsia" w:ascii="宋体" w:hAnsi="宋体"/>
          <w:b/>
          <w:color w:val="auto"/>
        </w:rPr>
      </w:pPr>
      <w:r>
        <w:rPr>
          <w:rFonts w:hint="eastAsia" w:ascii="宋体" w:hAnsi="宋体"/>
          <w:b/>
          <w:color w:val="auto"/>
        </w:rPr>
        <w:t>项目</w:t>
      </w:r>
      <w:r>
        <w:rPr>
          <w:rFonts w:hint="eastAsia" w:ascii="宋体" w:hAnsi="宋体"/>
          <w:b/>
          <w:color w:val="auto"/>
          <w:lang w:val="en-US" w:eastAsia="zh-CN"/>
        </w:rPr>
        <w:t>实施流程</w:t>
      </w:r>
    </w:p>
    <w:p>
      <w:pPr>
        <w:rPr>
          <w:rFonts w:hint="default" w:eastAsia="宋体"/>
          <w:lang w:val="en-US" w:eastAsia="zh-CN"/>
        </w:rPr>
      </w:pPr>
      <w:r>
        <w:rPr>
          <w:rFonts w:hint="eastAsia"/>
          <w:lang w:val="en-US" w:eastAsia="zh-CN"/>
        </w:rPr>
        <w:t xml:space="preserve">     根据我所系统的等级与规模，测评时间进度为30天左右，具体工作流程见下表，第三方测评公司应派遣具有等保测评资质的人员负责本项目的实施工作，项目组人员不得少于5人，</w:t>
      </w:r>
      <w:r>
        <w:rPr>
          <w:rFonts w:hint="eastAsia" w:ascii="宋体" w:hAnsi="宋体" w:cs="宋体"/>
        </w:rPr>
        <w:t>并能根据一些特殊的情况可以适当增加测评人员。</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22"/>
        <w:gridCol w:w="1975"/>
        <w:gridCol w:w="4564"/>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8" w:hRule="atLeast"/>
        </w:trPr>
        <w:tc>
          <w:tcPr>
            <w:tcW w:w="7761" w:type="dxa"/>
            <w:gridSpan w:val="3"/>
            <w:tcBorders>
              <w:top w:val="single" w:color="000000" w:sz="4" w:space="0"/>
              <w:left w:val="single" w:color="000000" w:sz="4" w:space="0"/>
              <w:bottom w:val="single" w:color="000000" w:sz="4" w:space="0"/>
              <w:right w:val="single" w:color="000000" w:sz="4" w:space="0"/>
            </w:tcBorders>
            <w:shd w:val="pct20"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b/>
                <w:i w:val="0"/>
                <w:color w:val="000000"/>
                <w:sz w:val="22"/>
                <w:szCs w:val="22"/>
                <w:u w:val="none"/>
              </w:rPr>
            </w:pPr>
            <w:r>
              <w:rPr>
                <w:rFonts w:hint="eastAsia" w:ascii="微软雅黑 Light" w:hAnsi="微软雅黑 Light" w:eastAsia="微软雅黑 Light" w:cs="微软雅黑 Light"/>
                <w:b/>
                <w:i w:val="0"/>
                <w:color w:val="000000"/>
                <w:kern w:val="0"/>
                <w:sz w:val="22"/>
                <w:szCs w:val="22"/>
                <w:u w:val="none"/>
                <w:lang w:val="en-US" w:eastAsia="zh-CN" w:bidi="ar"/>
              </w:rPr>
              <w:t>工作流程</w:t>
            </w:r>
          </w:p>
        </w:tc>
        <w:tc>
          <w:tcPr>
            <w:tcW w:w="1050" w:type="dxa"/>
            <w:tcBorders>
              <w:top w:val="single" w:color="000000" w:sz="4" w:space="0"/>
              <w:left w:val="single" w:color="000000" w:sz="4" w:space="0"/>
              <w:bottom w:val="single" w:color="000000" w:sz="4" w:space="0"/>
              <w:right w:val="single" w:color="000000" w:sz="4" w:space="0"/>
            </w:tcBorders>
            <w:shd w:val="pct20"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微软雅黑 Light" w:hAnsi="微软雅黑 Light" w:eastAsia="微软雅黑 Light" w:cs="微软雅黑 Light"/>
                <w:b/>
                <w:i w:val="0"/>
                <w:color w:val="000000"/>
                <w:kern w:val="0"/>
                <w:sz w:val="22"/>
                <w:szCs w:val="22"/>
                <w:u w:val="none"/>
                <w:lang w:val="en-US" w:eastAsia="zh-CN" w:bidi="ar"/>
              </w:rPr>
            </w:pPr>
            <w:r>
              <w:rPr>
                <w:rFonts w:hint="eastAsia" w:ascii="微软雅黑 Light" w:hAnsi="微软雅黑 Light" w:eastAsia="微软雅黑 Light" w:cs="微软雅黑 Light"/>
                <w:b/>
                <w:i w:val="0"/>
                <w:color w:val="000000"/>
                <w:kern w:val="0"/>
                <w:sz w:val="22"/>
                <w:szCs w:val="22"/>
                <w:u w:val="none"/>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测评准备活动</w:t>
            </w:r>
          </w:p>
        </w:tc>
        <w:tc>
          <w:tcPr>
            <w:tcW w:w="197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1．项目启动</w:t>
            </w: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组建测评项目组</w:t>
            </w:r>
          </w:p>
        </w:tc>
        <w:tc>
          <w:tcPr>
            <w:tcW w:w="105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编制项目计划书</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确定湖南省未成年犯管教所应提供的资料</w:t>
            </w:r>
          </w:p>
        </w:tc>
        <w:tc>
          <w:tcPr>
            <w:tcW w:w="105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2．信息收集和分析</w:t>
            </w: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查阅定级报告、系统描述文件、系统安全设计方案、自查或上次等级测评报告(如果做过资产或等级测评)等资料</w:t>
            </w:r>
          </w:p>
        </w:tc>
        <w:tc>
          <w:tcPr>
            <w:tcW w:w="105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根据查阅到的系统情况调整调查表内容</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发放调查表给湖南省未成年犯管教所</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协助湖南省未成年犯管教所填写调查表</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收回调查结果</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根据情况确定是否安排现场调查</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分析调查结果</w:t>
            </w:r>
          </w:p>
        </w:tc>
        <w:tc>
          <w:tcPr>
            <w:tcW w:w="105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3．工具和表单准备</w:t>
            </w: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调试测评工具</w:t>
            </w:r>
          </w:p>
        </w:tc>
        <w:tc>
          <w:tcPr>
            <w:tcW w:w="105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模拟被测系统搭建测评环境</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模拟测评</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准备和打印表单</w:t>
            </w:r>
          </w:p>
        </w:tc>
        <w:tc>
          <w:tcPr>
            <w:tcW w:w="105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方案编制活动</w:t>
            </w:r>
          </w:p>
        </w:tc>
        <w:tc>
          <w:tcPr>
            <w:tcW w:w="197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1．测评对象确定</w:t>
            </w: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识别被测系统等级</w:t>
            </w:r>
          </w:p>
        </w:tc>
        <w:tc>
          <w:tcPr>
            <w:tcW w:w="105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识别被测系统的整体结构</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识别被测系统的边界</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识别被测系统的网络区域</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识别被测系统的重要节点和业务应用</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确定测评对象</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2．测评指标确定</w:t>
            </w: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识别被测系统业务信息和系统服务安全保护等级</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选择对应等级的ASG三类安全要求作为测评指标</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就高原则调整多个定级对象共用的某些物理安全或管理安全测评指标</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3．测试工具接入点确定</w:t>
            </w: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确定工具测试的测评对象</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选择测试路径</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确定测试工具的接入点</w:t>
            </w:r>
          </w:p>
        </w:tc>
        <w:tc>
          <w:tcPr>
            <w:tcW w:w="105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4．测评内容确定</w:t>
            </w: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识别每个测评对象对应的测评指标</w:t>
            </w:r>
          </w:p>
        </w:tc>
        <w:tc>
          <w:tcPr>
            <w:tcW w:w="105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识别每个测评对象对应的每个测评指标的测评方法</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5．测评指导书开发</w:t>
            </w: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从已有的测评指导书中选择与测评对象对应的手册</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针对没有现成测评指导书的测评对象，开发新的测评指导书</w:t>
            </w:r>
          </w:p>
        </w:tc>
        <w:tc>
          <w:tcPr>
            <w:tcW w:w="105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6．测评方案编制</w:t>
            </w: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描述测评项目基本情况和工作依据</w:t>
            </w:r>
          </w:p>
        </w:tc>
        <w:tc>
          <w:tcPr>
            <w:tcW w:w="105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描述被测系统的整体结构、边界和网络区域</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描述被测系统的重要节点和业务应用</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描述测评指标</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描述测评对象</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描述测评内容和方法</w:t>
            </w:r>
          </w:p>
        </w:tc>
        <w:tc>
          <w:tcPr>
            <w:tcW w:w="105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现场测评活动</w:t>
            </w:r>
          </w:p>
        </w:tc>
        <w:tc>
          <w:tcPr>
            <w:tcW w:w="197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1．现场测评准备</w:t>
            </w: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现场测评授权书签署</w:t>
            </w:r>
          </w:p>
        </w:tc>
        <w:tc>
          <w:tcPr>
            <w:tcW w:w="105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召开现场测评启动会</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双方确认测评方案</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双方确认配合人员、环境等资源</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确认信息系统已经备份</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测评方案、结果记录表格等资料更新</w:t>
            </w:r>
          </w:p>
        </w:tc>
        <w:tc>
          <w:tcPr>
            <w:tcW w:w="105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2．现场测评和结果记录</w:t>
            </w: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依据测评指导书实施测评</w:t>
            </w:r>
          </w:p>
        </w:tc>
        <w:tc>
          <w:tcPr>
            <w:tcW w:w="105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记录测评获取的证据、资料等信息</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汇总测评记录，如果需要，实施补充测评</w:t>
            </w:r>
          </w:p>
        </w:tc>
        <w:tc>
          <w:tcPr>
            <w:tcW w:w="105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3．结果确认和资料归还</w:t>
            </w: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召开现场测评结束会</w:t>
            </w:r>
          </w:p>
        </w:tc>
        <w:tc>
          <w:tcPr>
            <w:tcW w:w="105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湖南省未成年犯管教所确认测评过程中获取的证据和资料的正确性，并签字认可</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测评人员归还借阅的各种资料</w:t>
            </w:r>
          </w:p>
        </w:tc>
        <w:tc>
          <w:tcPr>
            <w:tcW w:w="105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分析与报告编制活动</w:t>
            </w:r>
          </w:p>
        </w:tc>
        <w:tc>
          <w:tcPr>
            <w:tcW w:w="197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1．单项测评结果判定</w:t>
            </w: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分析测评项所对抗威胁的存在情况</w:t>
            </w:r>
          </w:p>
        </w:tc>
        <w:tc>
          <w:tcPr>
            <w:tcW w:w="105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分析单个测评项是否有多方面的要求内容, 依据“优势证据”法选择优势证据，并将优势证据与预期测评结果相比较</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综合判定单个测评项的测评结果</w:t>
            </w:r>
          </w:p>
        </w:tc>
        <w:tc>
          <w:tcPr>
            <w:tcW w:w="105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2．单元测评结果判定</w:t>
            </w: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汇总每个测评对象在每个测评单元的单项测评结果</w:t>
            </w:r>
          </w:p>
        </w:tc>
        <w:tc>
          <w:tcPr>
            <w:tcW w:w="105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判定每个测评对象的单元测评结果</w:t>
            </w:r>
          </w:p>
        </w:tc>
        <w:tc>
          <w:tcPr>
            <w:tcW w:w="105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3．整体测评</w:t>
            </w: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分析不符合和部分符合的测评项与其他测评项（包括单元内、层面间、区域间）之间的关联关系及对结果的影响情况</w:t>
            </w:r>
          </w:p>
        </w:tc>
        <w:tc>
          <w:tcPr>
            <w:tcW w:w="105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分析被测系统整体结构的安全性对结果的影响情况</w:t>
            </w:r>
          </w:p>
        </w:tc>
        <w:tc>
          <w:tcPr>
            <w:tcW w:w="105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4．风险分析</w:t>
            </w: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整体测评后的单项测评结果再次汇总</w:t>
            </w:r>
          </w:p>
        </w:tc>
        <w:tc>
          <w:tcPr>
            <w:tcW w:w="105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分析部分符合项或不符合项所产生的安全问题被威胁利用的可能性</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分析威胁利用安全问题后造成的影响程度</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为被测系统面临的风险进行赋值</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评价风险分析结果</w:t>
            </w:r>
          </w:p>
        </w:tc>
        <w:tc>
          <w:tcPr>
            <w:tcW w:w="105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5．等级测评结论形成</w:t>
            </w: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统计再次汇总后的单项测评结果为部分符合和不符合项的项数</w:t>
            </w:r>
          </w:p>
        </w:tc>
        <w:tc>
          <w:tcPr>
            <w:tcW w:w="105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形成等级测评结论</w:t>
            </w:r>
          </w:p>
        </w:tc>
        <w:tc>
          <w:tcPr>
            <w:tcW w:w="105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6．测评报告编制</w:t>
            </w: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概述测评项目情况</w:t>
            </w:r>
          </w:p>
        </w:tc>
        <w:tc>
          <w:tcPr>
            <w:tcW w:w="105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描述被测系统情况</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描述测评范围和方法</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描述单元测评情况</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描述整体测评情况</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汇总测评结果</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描述风险情况</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给出等级测评结论和整改建议</w:t>
            </w:r>
          </w:p>
        </w:tc>
        <w:tc>
          <w:tcPr>
            <w:tcW w:w="105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总结汇报阶段</w:t>
            </w:r>
          </w:p>
        </w:tc>
        <w:tc>
          <w:tcPr>
            <w:tcW w:w="19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1．编制汇报材料</w:t>
            </w: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从测评过程及测评结论、风险、整改建议等方面编写汇报材料</w:t>
            </w:r>
          </w:p>
        </w:tc>
        <w:tc>
          <w:tcPr>
            <w:tcW w:w="105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2．进行汇报总结</w:t>
            </w: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针对测评过程及测评结论、风险、整改建议等向被测单位领导层汇报</w:t>
            </w:r>
          </w:p>
        </w:tc>
        <w:tc>
          <w:tcPr>
            <w:tcW w:w="1050" w:type="dxa"/>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9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3．项目验收</w:t>
            </w:r>
          </w:p>
        </w:tc>
        <w:tc>
          <w:tcPr>
            <w:tcW w:w="4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双方确认测评结果后进行测评项目验收工作，并对测评报告进行备案</w:t>
            </w:r>
          </w:p>
        </w:tc>
        <w:tc>
          <w:tcPr>
            <w:tcW w:w="105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pStyle w:val="2"/>
        <w:rPr>
          <w:rFonts w:hint="eastAsia"/>
          <w:lang w:eastAsia="zh-CN"/>
        </w:rPr>
      </w:pPr>
    </w:p>
    <w:p>
      <w:pPr>
        <w:pStyle w:val="3"/>
        <w:numPr>
          <w:ilvl w:val="0"/>
          <w:numId w:val="0"/>
        </w:numPr>
        <w:bidi w:val="0"/>
        <w:ind w:leftChars="0"/>
        <w:rPr>
          <w:rFonts w:hint="eastAsia"/>
        </w:rPr>
      </w:pPr>
      <w:r>
        <w:rPr>
          <w:rFonts w:hint="eastAsia"/>
          <w:lang w:val="en-US" w:eastAsia="zh-CN"/>
        </w:rPr>
        <w:t>四、项目预算清单</w:t>
      </w:r>
      <w:bookmarkEnd w:id="28"/>
    </w:p>
    <w:tbl>
      <w:tblPr>
        <w:tblStyle w:val="9"/>
        <w:tblW w:w="7948"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1277"/>
        <w:gridCol w:w="1530"/>
        <w:gridCol w:w="960"/>
        <w:gridCol w:w="340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0" w:type="dxa"/>
            <w:shd w:val="clear" w:color="auto" w:fill="D8D8D8"/>
            <w:noWrap w:val="0"/>
            <w:vAlign w:val="center"/>
          </w:tcPr>
          <w:p>
            <w:pPr>
              <w:pStyle w:val="13"/>
              <w:ind w:firstLine="0" w:firstLineChars="0"/>
              <w:jc w:val="center"/>
              <w:rPr>
                <w:rFonts w:hint="eastAsia" w:ascii="微软雅黑" w:hAnsi="微软雅黑" w:eastAsia="微软雅黑" w:cs="微软雅黑"/>
                <w:b/>
                <w:color w:val="auto"/>
                <w:sz w:val="21"/>
              </w:rPr>
            </w:pPr>
            <w:r>
              <w:rPr>
                <w:rFonts w:hint="eastAsia" w:ascii="微软雅黑" w:hAnsi="微软雅黑" w:eastAsia="微软雅黑" w:cs="微软雅黑"/>
                <w:b/>
                <w:color w:val="auto"/>
                <w:sz w:val="21"/>
              </w:rPr>
              <w:t>序号</w:t>
            </w:r>
          </w:p>
        </w:tc>
        <w:tc>
          <w:tcPr>
            <w:tcW w:w="1277" w:type="dxa"/>
            <w:shd w:val="clear" w:color="auto" w:fill="D8D8D8"/>
            <w:noWrap w:val="0"/>
            <w:vAlign w:val="center"/>
          </w:tcPr>
          <w:p>
            <w:pPr>
              <w:pStyle w:val="13"/>
              <w:ind w:firstLine="0" w:firstLineChars="0"/>
              <w:jc w:val="center"/>
              <w:rPr>
                <w:rFonts w:hint="eastAsia" w:ascii="微软雅黑" w:hAnsi="微软雅黑" w:eastAsia="微软雅黑" w:cs="微软雅黑"/>
                <w:b/>
                <w:color w:val="auto"/>
                <w:sz w:val="21"/>
              </w:rPr>
            </w:pPr>
            <w:r>
              <w:rPr>
                <w:rFonts w:hint="eastAsia" w:ascii="微软雅黑" w:hAnsi="微软雅黑" w:eastAsia="微软雅黑" w:cs="微软雅黑"/>
                <w:b/>
                <w:color w:val="auto"/>
                <w:sz w:val="21"/>
                <w:lang w:val="en-US" w:eastAsia="zh-CN"/>
              </w:rPr>
              <w:t>服务</w:t>
            </w:r>
            <w:r>
              <w:rPr>
                <w:rFonts w:hint="eastAsia" w:ascii="微软雅黑" w:hAnsi="微软雅黑" w:eastAsia="微软雅黑" w:cs="微软雅黑"/>
                <w:b/>
                <w:color w:val="auto"/>
                <w:sz w:val="21"/>
              </w:rPr>
              <w:t>名称</w:t>
            </w:r>
          </w:p>
        </w:tc>
        <w:tc>
          <w:tcPr>
            <w:tcW w:w="1530" w:type="dxa"/>
            <w:shd w:val="clear" w:color="auto" w:fill="D8D8D8"/>
            <w:noWrap w:val="0"/>
            <w:vAlign w:val="center"/>
          </w:tcPr>
          <w:p>
            <w:pPr>
              <w:pStyle w:val="13"/>
              <w:ind w:firstLine="0" w:firstLineChars="0"/>
              <w:jc w:val="center"/>
              <w:rPr>
                <w:rFonts w:hint="default" w:ascii="微软雅黑" w:hAnsi="微软雅黑" w:eastAsia="微软雅黑" w:cs="微软雅黑"/>
                <w:b/>
                <w:color w:val="auto"/>
                <w:sz w:val="21"/>
                <w:lang w:val="en-US" w:eastAsia="zh-CN"/>
              </w:rPr>
            </w:pPr>
            <w:r>
              <w:rPr>
                <w:rFonts w:hint="eastAsia" w:ascii="微软雅黑" w:hAnsi="微软雅黑" w:eastAsia="微软雅黑" w:cs="微软雅黑"/>
                <w:b/>
                <w:color w:val="auto"/>
                <w:sz w:val="21"/>
                <w:lang w:val="en-US" w:eastAsia="zh-CN"/>
              </w:rPr>
              <w:t>服务内容</w:t>
            </w:r>
          </w:p>
        </w:tc>
        <w:tc>
          <w:tcPr>
            <w:tcW w:w="960" w:type="dxa"/>
            <w:shd w:val="clear" w:color="auto" w:fill="D8D8D8"/>
            <w:noWrap w:val="0"/>
            <w:vAlign w:val="center"/>
          </w:tcPr>
          <w:p>
            <w:pPr>
              <w:pStyle w:val="13"/>
              <w:ind w:firstLine="0" w:firstLineChars="0"/>
              <w:jc w:val="center"/>
              <w:rPr>
                <w:rFonts w:hint="eastAsia" w:ascii="微软雅黑" w:hAnsi="微软雅黑" w:eastAsia="微软雅黑" w:cs="微软雅黑"/>
                <w:b/>
                <w:color w:val="auto"/>
                <w:sz w:val="21"/>
              </w:rPr>
            </w:pPr>
            <w:r>
              <w:rPr>
                <w:rFonts w:hint="eastAsia" w:ascii="微软雅黑" w:hAnsi="微软雅黑" w:eastAsia="微软雅黑" w:cs="微软雅黑"/>
                <w:b/>
                <w:color w:val="auto"/>
                <w:sz w:val="21"/>
              </w:rPr>
              <w:t>数量</w:t>
            </w:r>
          </w:p>
        </w:tc>
        <w:tc>
          <w:tcPr>
            <w:tcW w:w="3401" w:type="dxa"/>
            <w:shd w:val="clear" w:color="auto" w:fill="D8D8D8"/>
            <w:noWrap w:val="0"/>
            <w:vAlign w:val="center"/>
          </w:tcPr>
          <w:p>
            <w:pPr>
              <w:pStyle w:val="13"/>
              <w:ind w:firstLine="0" w:firstLineChars="0"/>
              <w:jc w:val="center"/>
              <w:rPr>
                <w:rFonts w:hint="eastAsia" w:ascii="微软雅黑" w:hAnsi="微软雅黑" w:eastAsia="微软雅黑" w:cs="微软雅黑"/>
                <w:b/>
                <w:color w:val="auto"/>
                <w:sz w:val="21"/>
                <w:lang w:val="en-US" w:eastAsia="zh-CN"/>
              </w:rPr>
            </w:pPr>
            <w:r>
              <w:rPr>
                <w:rFonts w:hint="eastAsia" w:ascii="微软雅黑" w:hAnsi="微软雅黑" w:eastAsia="微软雅黑" w:cs="微软雅黑"/>
                <w:b/>
                <w:color w:val="auto"/>
                <w:sz w:val="21"/>
                <w:lang w:val="en-US" w:eastAsia="zh-C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0" w:type="dxa"/>
            <w:vMerge w:val="restart"/>
            <w:noWrap w:val="0"/>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w:t>
            </w:r>
          </w:p>
        </w:tc>
        <w:tc>
          <w:tcPr>
            <w:tcW w:w="1277" w:type="dxa"/>
            <w:vMerge w:val="restart"/>
            <w:noWrap w:val="0"/>
            <w:vAlign w:val="center"/>
          </w:tcPr>
          <w:p>
            <w:pPr>
              <w:widowControl/>
              <w:spacing w:line="360" w:lineRule="auto"/>
              <w:jc w:val="center"/>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等级保护二级系统测评(触发式报警系统)</w:t>
            </w: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i w:val="0"/>
                <w:color w:val="000000"/>
                <w:kern w:val="0"/>
                <w:sz w:val="20"/>
                <w:szCs w:val="20"/>
                <w:u w:val="none"/>
                <w:lang w:val="en-US" w:eastAsia="zh-CN" w:bidi="ar"/>
              </w:rPr>
              <w:t>定级备案</w:t>
            </w:r>
          </w:p>
        </w:tc>
        <w:tc>
          <w:tcPr>
            <w:tcW w:w="960" w:type="dxa"/>
            <w:noWrap w:val="0"/>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1次</w:t>
            </w:r>
          </w:p>
        </w:tc>
        <w:tc>
          <w:tcPr>
            <w:tcW w:w="3401" w:type="dxa"/>
            <w:vMerge w:val="restart"/>
            <w:noWrap w:val="0"/>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kern w:val="0"/>
                <w:sz w:val="20"/>
                <w:szCs w:val="20"/>
                <w:lang w:val="en-US" w:eastAsia="zh-CN"/>
              </w:rPr>
              <w:t>按照等保2.0二级要求对触发式报警系统进行测评。出具</w:t>
            </w:r>
            <w:r>
              <w:rPr>
                <w:rFonts w:hint="eastAsia" w:ascii="宋体" w:hAnsi="宋体" w:eastAsia="宋体" w:cs="宋体"/>
                <w:b w:val="0"/>
                <w:bCs w:val="0"/>
                <w:color w:val="auto"/>
                <w:sz w:val="20"/>
                <w:szCs w:val="20"/>
                <w:lang w:val="en-US" w:eastAsia="zh-CN"/>
              </w:rPr>
              <w:t>《差距分析报告》、《信息系统安全等级保护测评报告》</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0" w:type="dxa"/>
            <w:vMerge w:val="continue"/>
            <w:noWrap w:val="0"/>
            <w:vAlign w:val="center"/>
          </w:tcPr>
          <w:p>
            <w:pPr>
              <w:jc w:val="center"/>
              <w:rPr>
                <w:rFonts w:hint="eastAsia" w:ascii="宋体" w:hAnsi="宋体" w:eastAsia="宋体" w:cs="宋体"/>
                <w:b w:val="0"/>
                <w:bCs w:val="0"/>
                <w:color w:val="auto"/>
                <w:sz w:val="20"/>
                <w:szCs w:val="20"/>
                <w:lang w:val="en-US" w:eastAsia="zh-CN"/>
              </w:rPr>
            </w:pPr>
          </w:p>
        </w:tc>
        <w:tc>
          <w:tcPr>
            <w:tcW w:w="1277" w:type="dxa"/>
            <w:vMerge w:val="continue"/>
            <w:noWrap w:val="0"/>
            <w:vAlign w:val="center"/>
          </w:tcPr>
          <w:p>
            <w:pPr>
              <w:widowControl/>
              <w:spacing w:line="360" w:lineRule="auto"/>
              <w:jc w:val="center"/>
              <w:rPr>
                <w:rFonts w:hint="eastAsia" w:ascii="宋体" w:hAnsi="宋体" w:eastAsia="宋体" w:cs="宋体"/>
                <w:b w:val="0"/>
                <w:bCs w:val="0"/>
                <w:color w:val="auto"/>
                <w:kern w:val="0"/>
                <w:sz w:val="20"/>
                <w:szCs w:val="20"/>
                <w:lang w:val="en-US" w:eastAsia="zh-CN"/>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i w:val="0"/>
                <w:color w:val="000000"/>
                <w:kern w:val="0"/>
                <w:sz w:val="20"/>
                <w:szCs w:val="20"/>
                <w:u w:val="none"/>
                <w:lang w:val="en-US" w:eastAsia="zh-CN" w:bidi="ar"/>
              </w:rPr>
              <w:t>专家评审</w:t>
            </w:r>
          </w:p>
        </w:tc>
        <w:tc>
          <w:tcPr>
            <w:tcW w:w="960" w:type="dxa"/>
            <w:noWrap w:val="0"/>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1次</w:t>
            </w:r>
          </w:p>
        </w:tc>
        <w:tc>
          <w:tcPr>
            <w:tcW w:w="3401" w:type="dxa"/>
            <w:vMerge w:val="continue"/>
            <w:noWrap w:val="0"/>
            <w:vAlign w:val="center"/>
          </w:tcPr>
          <w:p>
            <w:pPr>
              <w:jc w:val="center"/>
              <w:rPr>
                <w:rFonts w:hint="eastAsia" w:ascii="宋体" w:hAnsi="宋体" w:eastAsia="宋体" w:cs="宋体"/>
                <w:b w:val="0"/>
                <w:bCs w:val="0"/>
                <w:color w:val="auto"/>
                <w:sz w:val="20"/>
                <w:szCs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0" w:type="dxa"/>
            <w:vMerge w:val="continue"/>
            <w:noWrap w:val="0"/>
            <w:vAlign w:val="center"/>
          </w:tcPr>
          <w:p>
            <w:pPr>
              <w:jc w:val="center"/>
              <w:rPr>
                <w:rFonts w:hint="eastAsia" w:ascii="宋体" w:hAnsi="宋体" w:eastAsia="宋体" w:cs="宋体"/>
                <w:b w:val="0"/>
                <w:bCs w:val="0"/>
                <w:color w:val="auto"/>
                <w:sz w:val="20"/>
                <w:szCs w:val="20"/>
                <w:lang w:val="en-US" w:eastAsia="zh-CN"/>
              </w:rPr>
            </w:pPr>
          </w:p>
        </w:tc>
        <w:tc>
          <w:tcPr>
            <w:tcW w:w="1277" w:type="dxa"/>
            <w:vMerge w:val="continue"/>
            <w:noWrap w:val="0"/>
            <w:vAlign w:val="center"/>
          </w:tcPr>
          <w:p>
            <w:pPr>
              <w:widowControl/>
              <w:spacing w:line="360" w:lineRule="auto"/>
              <w:jc w:val="center"/>
              <w:rPr>
                <w:rFonts w:hint="eastAsia" w:ascii="宋体" w:hAnsi="宋体" w:eastAsia="宋体" w:cs="宋体"/>
                <w:b w:val="0"/>
                <w:bCs w:val="0"/>
                <w:color w:val="auto"/>
                <w:kern w:val="0"/>
                <w:sz w:val="20"/>
                <w:szCs w:val="20"/>
                <w:lang w:val="en-US" w:eastAsia="zh-CN"/>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i w:val="0"/>
                <w:color w:val="000000"/>
                <w:kern w:val="0"/>
                <w:sz w:val="20"/>
                <w:szCs w:val="20"/>
                <w:u w:val="none"/>
                <w:lang w:val="en-US" w:eastAsia="zh-CN" w:bidi="ar"/>
              </w:rPr>
              <w:t>差距分析</w:t>
            </w:r>
          </w:p>
        </w:tc>
        <w:tc>
          <w:tcPr>
            <w:tcW w:w="960" w:type="dxa"/>
            <w:noWrap w:val="0"/>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1次</w:t>
            </w:r>
          </w:p>
        </w:tc>
        <w:tc>
          <w:tcPr>
            <w:tcW w:w="3401" w:type="dxa"/>
            <w:vMerge w:val="continue"/>
            <w:noWrap w:val="0"/>
            <w:vAlign w:val="center"/>
          </w:tcPr>
          <w:p>
            <w:pPr>
              <w:jc w:val="center"/>
              <w:rPr>
                <w:rFonts w:hint="eastAsia" w:ascii="宋体" w:hAnsi="宋体" w:eastAsia="宋体" w:cs="宋体"/>
                <w:b w:val="0"/>
                <w:bCs w:val="0"/>
                <w:color w:val="auto"/>
                <w:sz w:val="20"/>
                <w:szCs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0" w:type="dxa"/>
            <w:vMerge w:val="continue"/>
            <w:noWrap w:val="0"/>
            <w:vAlign w:val="center"/>
          </w:tcPr>
          <w:p>
            <w:pPr>
              <w:jc w:val="center"/>
              <w:rPr>
                <w:rFonts w:hint="eastAsia" w:ascii="宋体" w:hAnsi="宋体" w:eastAsia="宋体" w:cs="宋体"/>
                <w:b w:val="0"/>
                <w:bCs w:val="0"/>
                <w:color w:val="auto"/>
                <w:sz w:val="20"/>
                <w:szCs w:val="20"/>
                <w:lang w:val="en-US" w:eastAsia="zh-CN"/>
              </w:rPr>
            </w:pPr>
          </w:p>
        </w:tc>
        <w:tc>
          <w:tcPr>
            <w:tcW w:w="1277" w:type="dxa"/>
            <w:vMerge w:val="continue"/>
            <w:noWrap w:val="0"/>
            <w:vAlign w:val="center"/>
          </w:tcPr>
          <w:p>
            <w:pPr>
              <w:widowControl/>
              <w:spacing w:line="360" w:lineRule="auto"/>
              <w:jc w:val="center"/>
              <w:rPr>
                <w:rFonts w:hint="eastAsia" w:ascii="宋体" w:hAnsi="宋体" w:eastAsia="宋体" w:cs="宋体"/>
                <w:b w:val="0"/>
                <w:bCs w:val="0"/>
                <w:color w:val="auto"/>
                <w:kern w:val="0"/>
                <w:sz w:val="20"/>
                <w:szCs w:val="20"/>
                <w:lang w:val="en-US" w:eastAsia="zh-CN"/>
              </w:rPr>
            </w:pPr>
          </w:p>
        </w:tc>
        <w:tc>
          <w:tcPr>
            <w:tcW w:w="1530" w:type="dxa"/>
            <w:noWrap w:val="0"/>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0"/>
                <w:szCs w:val="20"/>
                <w:u w:val="none"/>
                <w:lang w:val="en-US" w:eastAsia="zh-CN" w:bidi="ar"/>
              </w:rPr>
            </w:pPr>
            <w:r>
              <w:rPr>
                <w:rFonts w:hint="eastAsia" w:eastAsia="宋体" w:cs="宋体"/>
                <w:b w:val="0"/>
                <w:bCs w:val="0"/>
                <w:i w:val="0"/>
                <w:color w:val="000000"/>
                <w:kern w:val="0"/>
                <w:sz w:val="20"/>
                <w:szCs w:val="20"/>
                <w:u w:val="none"/>
                <w:lang w:val="en-US" w:eastAsia="zh-CN" w:bidi="ar"/>
              </w:rPr>
              <w:t>协助整改</w:t>
            </w:r>
          </w:p>
        </w:tc>
        <w:tc>
          <w:tcPr>
            <w:tcW w:w="960" w:type="dxa"/>
            <w:noWrap w:val="0"/>
            <w:vAlign w:val="center"/>
          </w:tcPr>
          <w:p>
            <w:pPr>
              <w:jc w:val="center"/>
              <w:rPr>
                <w:rFonts w:hint="default" w:ascii="宋体" w:hAnsi="宋体" w:eastAsia="宋体" w:cs="宋体"/>
                <w:b w:val="0"/>
                <w:bCs w:val="0"/>
                <w:color w:val="auto"/>
                <w:sz w:val="20"/>
                <w:szCs w:val="20"/>
                <w:lang w:val="en-US" w:eastAsia="zh-CN"/>
              </w:rPr>
            </w:pPr>
            <w:r>
              <w:rPr>
                <w:rFonts w:hint="eastAsia" w:eastAsia="宋体" w:cs="宋体"/>
                <w:b w:val="0"/>
                <w:bCs w:val="0"/>
                <w:color w:val="auto"/>
                <w:sz w:val="20"/>
                <w:szCs w:val="20"/>
                <w:lang w:val="en-US" w:eastAsia="zh-CN"/>
              </w:rPr>
              <w:t>1次</w:t>
            </w:r>
          </w:p>
        </w:tc>
        <w:tc>
          <w:tcPr>
            <w:tcW w:w="3401" w:type="dxa"/>
            <w:vMerge w:val="continue"/>
            <w:noWrap w:val="0"/>
            <w:vAlign w:val="center"/>
          </w:tcPr>
          <w:p>
            <w:pPr>
              <w:jc w:val="center"/>
              <w:rPr>
                <w:rFonts w:hint="eastAsia" w:ascii="宋体" w:hAnsi="宋体" w:eastAsia="宋体" w:cs="宋体"/>
                <w:b w:val="0"/>
                <w:bCs w:val="0"/>
                <w:color w:val="auto"/>
                <w:sz w:val="20"/>
                <w:szCs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0" w:type="dxa"/>
            <w:vMerge w:val="continue"/>
            <w:noWrap w:val="0"/>
            <w:vAlign w:val="center"/>
          </w:tcPr>
          <w:p>
            <w:pPr>
              <w:jc w:val="center"/>
              <w:rPr>
                <w:rFonts w:hint="eastAsia" w:ascii="宋体" w:hAnsi="宋体" w:eastAsia="宋体" w:cs="宋体"/>
                <w:b w:val="0"/>
                <w:bCs w:val="0"/>
                <w:color w:val="auto"/>
                <w:sz w:val="20"/>
                <w:szCs w:val="20"/>
                <w:lang w:val="en-US" w:eastAsia="zh-CN"/>
              </w:rPr>
            </w:pPr>
          </w:p>
        </w:tc>
        <w:tc>
          <w:tcPr>
            <w:tcW w:w="1277" w:type="dxa"/>
            <w:vMerge w:val="continue"/>
            <w:noWrap w:val="0"/>
            <w:vAlign w:val="center"/>
          </w:tcPr>
          <w:p>
            <w:pPr>
              <w:widowControl/>
              <w:spacing w:line="360" w:lineRule="auto"/>
              <w:jc w:val="center"/>
              <w:rPr>
                <w:rFonts w:hint="eastAsia" w:ascii="宋体" w:hAnsi="宋体" w:eastAsia="宋体" w:cs="宋体"/>
                <w:b w:val="0"/>
                <w:bCs w:val="0"/>
                <w:color w:val="auto"/>
                <w:kern w:val="0"/>
                <w:sz w:val="20"/>
                <w:szCs w:val="20"/>
                <w:lang w:val="en-US" w:eastAsia="zh-CN"/>
              </w:rPr>
            </w:pPr>
          </w:p>
        </w:tc>
        <w:tc>
          <w:tcPr>
            <w:tcW w:w="1530" w:type="dxa"/>
            <w:noWrap w:val="0"/>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等保测评</w:t>
            </w:r>
          </w:p>
        </w:tc>
        <w:tc>
          <w:tcPr>
            <w:tcW w:w="960" w:type="dxa"/>
            <w:noWrap w:val="0"/>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1次</w:t>
            </w:r>
          </w:p>
        </w:tc>
        <w:tc>
          <w:tcPr>
            <w:tcW w:w="3401" w:type="dxa"/>
            <w:vMerge w:val="continue"/>
            <w:noWrap w:val="0"/>
            <w:vAlign w:val="center"/>
          </w:tcPr>
          <w:p>
            <w:pPr>
              <w:jc w:val="center"/>
              <w:rPr>
                <w:rFonts w:hint="eastAsia" w:ascii="宋体" w:hAnsi="宋体" w:eastAsia="宋体" w:cs="宋体"/>
                <w:b w:val="0"/>
                <w:bCs w:val="0"/>
                <w:color w:val="auto"/>
                <w:sz w:val="20"/>
                <w:szCs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0" w:type="dxa"/>
            <w:vMerge w:val="restart"/>
            <w:noWrap w:val="0"/>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w:t>
            </w:r>
          </w:p>
        </w:tc>
        <w:tc>
          <w:tcPr>
            <w:tcW w:w="1277" w:type="dxa"/>
            <w:vMerge w:val="restart"/>
            <w:noWrap w:val="0"/>
            <w:vAlign w:val="center"/>
          </w:tcPr>
          <w:p>
            <w:pPr>
              <w:widowControl/>
              <w:spacing w:line="360" w:lineRule="auto"/>
              <w:jc w:val="center"/>
              <w:rPr>
                <w:rFonts w:hint="eastAsia" w:ascii="宋体" w:hAnsi="宋体" w:eastAsia="宋体" w:cs="宋体"/>
                <w:b w:val="0"/>
                <w:bCs w:val="0"/>
                <w:color w:val="auto"/>
                <w:kern w:val="0"/>
                <w:sz w:val="20"/>
                <w:szCs w:val="20"/>
                <w:lang w:val="en-US" w:eastAsia="zh-CN"/>
              </w:rPr>
            </w:pPr>
            <w:r>
              <w:rPr>
                <w:rFonts w:hint="eastAsia" w:ascii="宋体" w:hAnsi="宋体" w:eastAsia="宋体" w:cs="宋体"/>
                <w:b w:val="0"/>
                <w:bCs w:val="0"/>
                <w:color w:val="auto"/>
                <w:sz w:val="20"/>
                <w:szCs w:val="20"/>
                <w:lang w:val="en-US" w:eastAsia="zh-CN"/>
              </w:rPr>
              <w:t>等级保护三级系统测评(</w:t>
            </w:r>
            <w:r>
              <w:rPr>
                <w:rFonts w:hint="eastAsia" w:ascii="宋体" w:hAnsi="宋体" w:eastAsia="宋体" w:cs="宋体"/>
                <w:b w:val="0"/>
                <w:bCs w:val="0"/>
                <w:color w:val="auto"/>
                <w:sz w:val="20"/>
                <w:szCs w:val="20"/>
                <w:lang w:eastAsia="zh-CN"/>
              </w:rPr>
              <w:t>安防集成平台</w:t>
            </w:r>
            <w:r>
              <w:rPr>
                <w:rFonts w:hint="eastAsia" w:ascii="宋体" w:hAnsi="宋体" w:eastAsia="宋体" w:cs="宋体"/>
                <w:b w:val="0"/>
                <w:bCs w:val="0"/>
                <w:color w:val="auto"/>
                <w:sz w:val="20"/>
                <w:szCs w:val="20"/>
                <w:lang w:val="en-US" w:eastAsia="zh-CN"/>
              </w:rPr>
              <w:t>)</w:t>
            </w: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定级备案</w:t>
            </w:r>
          </w:p>
        </w:tc>
        <w:tc>
          <w:tcPr>
            <w:tcW w:w="960" w:type="dxa"/>
            <w:noWrap w:val="0"/>
            <w:vAlign w:val="center"/>
          </w:tcPr>
          <w:p>
            <w:pPr>
              <w:jc w:val="center"/>
              <w:rPr>
                <w:rFonts w:hint="eastAsia" w:ascii="宋体" w:hAnsi="宋体" w:eastAsia="宋体" w:cs="宋体"/>
                <w:b w:val="0"/>
                <w:bCs w:val="0"/>
                <w:color w:val="auto"/>
                <w:sz w:val="20"/>
                <w:szCs w:val="20"/>
                <w:lang w:val="en-US" w:eastAsia="zh-CN" w:bidi="ar-SA"/>
              </w:rPr>
            </w:pPr>
            <w:r>
              <w:rPr>
                <w:rFonts w:hint="eastAsia" w:ascii="宋体" w:hAnsi="宋体" w:eastAsia="宋体" w:cs="宋体"/>
                <w:b w:val="0"/>
                <w:bCs w:val="0"/>
                <w:color w:val="auto"/>
                <w:sz w:val="20"/>
                <w:szCs w:val="20"/>
                <w:lang w:val="en-US" w:eastAsia="zh-CN"/>
              </w:rPr>
              <w:t>1次</w:t>
            </w:r>
          </w:p>
        </w:tc>
        <w:tc>
          <w:tcPr>
            <w:tcW w:w="3401" w:type="dxa"/>
            <w:vMerge w:val="restart"/>
            <w:noWrap w:val="0"/>
            <w:vAlign w:val="center"/>
          </w:tcPr>
          <w:p>
            <w:pPr>
              <w:jc w:val="center"/>
              <w:rPr>
                <w:rFonts w:hint="eastAsia" w:ascii="宋体" w:hAnsi="宋体" w:eastAsia="宋体" w:cs="宋体"/>
                <w:b w:val="0"/>
                <w:bCs w:val="0"/>
                <w:color w:val="auto"/>
                <w:sz w:val="20"/>
                <w:szCs w:val="20"/>
                <w:lang w:val="en-US" w:eastAsia="zh-CN" w:bidi="ar-SA"/>
              </w:rPr>
            </w:pPr>
            <w:r>
              <w:rPr>
                <w:rFonts w:hint="eastAsia" w:ascii="宋体" w:hAnsi="宋体" w:eastAsia="宋体" w:cs="宋体"/>
                <w:b w:val="0"/>
                <w:bCs w:val="0"/>
                <w:color w:val="auto"/>
                <w:kern w:val="0"/>
                <w:sz w:val="20"/>
                <w:szCs w:val="20"/>
                <w:lang w:val="en-US" w:eastAsia="zh-CN"/>
              </w:rPr>
              <w:t>按照等保2.0三级要求对安防集成平台进行测评。出具</w:t>
            </w:r>
            <w:r>
              <w:rPr>
                <w:rFonts w:hint="eastAsia" w:ascii="宋体" w:hAnsi="宋体" w:eastAsia="宋体" w:cs="宋体"/>
                <w:b w:val="0"/>
                <w:bCs w:val="0"/>
                <w:color w:val="auto"/>
                <w:sz w:val="20"/>
                <w:szCs w:val="20"/>
                <w:lang w:val="en-US" w:eastAsia="zh-CN"/>
              </w:rPr>
              <w:t>《差距分析报告》、《信息系统安全等级保护测评报告》</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0" w:type="dxa"/>
            <w:vMerge w:val="continue"/>
            <w:noWrap w:val="0"/>
            <w:vAlign w:val="center"/>
          </w:tcPr>
          <w:p>
            <w:pPr>
              <w:jc w:val="center"/>
              <w:rPr>
                <w:rFonts w:hint="eastAsia" w:ascii="宋体" w:hAnsi="宋体" w:eastAsia="宋体" w:cs="宋体"/>
                <w:b w:val="0"/>
                <w:bCs w:val="0"/>
                <w:color w:val="auto"/>
                <w:sz w:val="20"/>
                <w:szCs w:val="20"/>
                <w:lang w:val="en-US" w:eastAsia="zh-CN"/>
              </w:rPr>
            </w:pPr>
          </w:p>
        </w:tc>
        <w:tc>
          <w:tcPr>
            <w:tcW w:w="1277" w:type="dxa"/>
            <w:vMerge w:val="continue"/>
            <w:noWrap w:val="0"/>
            <w:vAlign w:val="center"/>
          </w:tcPr>
          <w:p>
            <w:pPr>
              <w:widowControl/>
              <w:spacing w:line="360" w:lineRule="auto"/>
              <w:jc w:val="center"/>
              <w:rPr>
                <w:rFonts w:hint="eastAsia" w:ascii="宋体" w:hAnsi="宋体" w:eastAsia="宋体" w:cs="宋体"/>
                <w:b w:val="0"/>
                <w:bCs w:val="0"/>
                <w:color w:val="auto"/>
                <w:kern w:val="0"/>
                <w:sz w:val="20"/>
                <w:szCs w:val="20"/>
                <w:lang w:val="en-US" w:eastAsia="zh-CN"/>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专家评审</w:t>
            </w:r>
          </w:p>
        </w:tc>
        <w:tc>
          <w:tcPr>
            <w:tcW w:w="960" w:type="dxa"/>
            <w:noWrap w:val="0"/>
            <w:vAlign w:val="center"/>
          </w:tcPr>
          <w:p>
            <w:pPr>
              <w:jc w:val="center"/>
              <w:rPr>
                <w:rFonts w:hint="eastAsia" w:ascii="宋体" w:hAnsi="宋体" w:eastAsia="宋体" w:cs="宋体"/>
                <w:b w:val="0"/>
                <w:bCs w:val="0"/>
                <w:color w:val="auto"/>
                <w:sz w:val="20"/>
                <w:szCs w:val="20"/>
                <w:lang w:val="en-US" w:eastAsia="zh-CN" w:bidi="ar-SA"/>
              </w:rPr>
            </w:pPr>
            <w:r>
              <w:rPr>
                <w:rFonts w:hint="eastAsia" w:ascii="宋体" w:hAnsi="宋体" w:eastAsia="宋体" w:cs="宋体"/>
                <w:b w:val="0"/>
                <w:bCs w:val="0"/>
                <w:color w:val="auto"/>
                <w:sz w:val="20"/>
                <w:szCs w:val="20"/>
                <w:lang w:val="en-US" w:eastAsia="zh-CN"/>
              </w:rPr>
              <w:t>1次</w:t>
            </w:r>
          </w:p>
        </w:tc>
        <w:tc>
          <w:tcPr>
            <w:tcW w:w="3401" w:type="dxa"/>
            <w:vMerge w:val="continue"/>
            <w:noWrap w:val="0"/>
            <w:vAlign w:val="center"/>
          </w:tcPr>
          <w:p>
            <w:pPr>
              <w:jc w:val="center"/>
              <w:rPr>
                <w:rFonts w:hint="eastAsia" w:ascii="宋体" w:hAnsi="宋体" w:eastAsia="宋体" w:cs="宋体"/>
                <w:b w:val="0"/>
                <w:bCs w:val="0"/>
                <w:color w:val="auto"/>
                <w:sz w:val="20"/>
                <w:szCs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0" w:type="dxa"/>
            <w:vMerge w:val="continue"/>
            <w:noWrap w:val="0"/>
            <w:vAlign w:val="center"/>
          </w:tcPr>
          <w:p>
            <w:pPr>
              <w:jc w:val="center"/>
              <w:rPr>
                <w:rFonts w:hint="eastAsia" w:ascii="宋体" w:hAnsi="宋体" w:eastAsia="宋体" w:cs="宋体"/>
                <w:b w:val="0"/>
                <w:bCs w:val="0"/>
                <w:color w:val="auto"/>
                <w:sz w:val="20"/>
                <w:szCs w:val="20"/>
                <w:lang w:val="en-US" w:eastAsia="zh-CN"/>
              </w:rPr>
            </w:pPr>
          </w:p>
        </w:tc>
        <w:tc>
          <w:tcPr>
            <w:tcW w:w="1277" w:type="dxa"/>
            <w:vMerge w:val="continue"/>
            <w:noWrap w:val="0"/>
            <w:vAlign w:val="center"/>
          </w:tcPr>
          <w:p>
            <w:pPr>
              <w:widowControl/>
              <w:spacing w:line="360" w:lineRule="auto"/>
              <w:jc w:val="center"/>
              <w:rPr>
                <w:rFonts w:hint="eastAsia" w:ascii="宋体" w:hAnsi="宋体" w:eastAsia="宋体" w:cs="宋体"/>
                <w:b w:val="0"/>
                <w:bCs w:val="0"/>
                <w:color w:val="auto"/>
                <w:kern w:val="0"/>
                <w:sz w:val="20"/>
                <w:szCs w:val="20"/>
                <w:lang w:val="en-US" w:eastAsia="zh-CN"/>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差距分析</w:t>
            </w:r>
          </w:p>
        </w:tc>
        <w:tc>
          <w:tcPr>
            <w:tcW w:w="960" w:type="dxa"/>
            <w:noWrap w:val="0"/>
            <w:vAlign w:val="center"/>
          </w:tcPr>
          <w:p>
            <w:pPr>
              <w:jc w:val="center"/>
              <w:rPr>
                <w:rFonts w:hint="eastAsia" w:ascii="宋体" w:hAnsi="宋体" w:eastAsia="宋体" w:cs="宋体"/>
                <w:b w:val="0"/>
                <w:bCs w:val="0"/>
                <w:color w:val="auto"/>
                <w:sz w:val="20"/>
                <w:szCs w:val="20"/>
                <w:lang w:val="en-US" w:eastAsia="zh-CN" w:bidi="ar-SA"/>
              </w:rPr>
            </w:pPr>
            <w:r>
              <w:rPr>
                <w:rFonts w:hint="eastAsia" w:ascii="宋体" w:hAnsi="宋体" w:eastAsia="宋体" w:cs="宋体"/>
                <w:b w:val="0"/>
                <w:bCs w:val="0"/>
                <w:color w:val="auto"/>
                <w:sz w:val="20"/>
                <w:szCs w:val="20"/>
                <w:lang w:val="en-US" w:eastAsia="zh-CN"/>
              </w:rPr>
              <w:t>1次</w:t>
            </w:r>
          </w:p>
        </w:tc>
        <w:tc>
          <w:tcPr>
            <w:tcW w:w="3401" w:type="dxa"/>
            <w:vMerge w:val="continue"/>
            <w:noWrap w:val="0"/>
            <w:vAlign w:val="center"/>
          </w:tcPr>
          <w:p>
            <w:pPr>
              <w:jc w:val="center"/>
              <w:rPr>
                <w:rFonts w:hint="eastAsia" w:ascii="宋体" w:hAnsi="宋体" w:eastAsia="宋体" w:cs="宋体"/>
                <w:b w:val="0"/>
                <w:bCs w:val="0"/>
                <w:color w:val="auto"/>
                <w:sz w:val="20"/>
                <w:szCs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0" w:type="dxa"/>
            <w:vMerge w:val="continue"/>
            <w:noWrap w:val="0"/>
            <w:vAlign w:val="center"/>
          </w:tcPr>
          <w:p>
            <w:pPr>
              <w:jc w:val="center"/>
              <w:rPr>
                <w:rFonts w:hint="eastAsia" w:ascii="宋体" w:hAnsi="宋体" w:eastAsia="宋体" w:cs="宋体"/>
                <w:b w:val="0"/>
                <w:bCs w:val="0"/>
                <w:color w:val="auto"/>
                <w:sz w:val="20"/>
                <w:szCs w:val="20"/>
                <w:lang w:val="en-US" w:eastAsia="zh-CN"/>
              </w:rPr>
            </w:pPr>
          </w:p>
        </w:tc>
        <w:tc>
          <w:tcPr>
            <w:tcW w:w="1277" w:type="dxa"/>
            <w:vMerge w:val="continue"/>
            <w:noWrap w:val="0"/>
            <w:vAlign w:val="center"/>
          </w:tcPr>
          <w:p>
            <w:pPr>
              <w:widowControl/>
              <w:spacing w:line="360" w:lineRule="auto"/>
              <w:jc w:val="center"/>
              <w:rPr>
                <w:rFonts w:hint="eastAsia" w:ascii="宋体" w:hAnsi="宋体" w:eastAsia="宋体" w:cs="宋体"/>
                <w:b w:val="0"/>
                <w:bCs w:val="0"/>
                <w:color w:val="auto"/>
                <w:kern w:val="0"/>
                <w:sz w:val="20"/>
                <w:szCs w:val="20"/>
                <w:lang w:val="en-US" w:eastAsia="zh-CN"/>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0"/>
                <w:szCs w:val="20"/>
                <w:u w:val="none"/>
                <w:lang w:val="en-US" w:eastAsia="zh-CN" w:bidi="ar"/>
              </w:rPr>
            </w:pPr>
            <w:r>
              <w:rPr>
                <w:rFonts w:hint="eastAsia" w:eastAsia="宋体" w:cs="宋体"/>
                <w:b w:val="0"/>
                <w:bCs w:val="0"/>
                <w:i w:val="0"/>
                <w:color w:val="000000"/>
                <w:kern w:val="0"/>
                <w:sz w:val="20"/>
                <w:szCs w:val="20"/>
                <w:u w:val="none"/>
                <w:lang w:val="en-US" w:eastAsia="zh-CN" w:bidi="ar"/>
              </w:rPr>
              <w:t>协助整改</w:t>
            </w:r>
          </w:p>
        </w:tc>
        <w:tc>
          <w:tcPr>
            <w:tcW w:w="960" w:type="dxa"/>
            <w:noWrap w:val="0"/>
            <w:vAlign w:val="center"/>
          </w:tcPr>
          <w:p>
            <w:pPr>
              <w:jc w:val="center"/>
              <w:rPr>
                <w:rFonts w:hint="eastAsia" w:ascii="宋体" w:hAnsi="宋体" w:eastAsia="宋体" w:cs="宋体"/>
                <w:b w:val="0"/>
                <w:bCs w:val="0"/>
                <w:color w:val="auto"/>
                <w:sz w:val="20"/>
                <w:szCs w:val="20"/>
                <w:lang w:val="en-US" w:eastAsia="zh-CN"/>
              </w:rPr>
            </w:pPr>
            <w:r>
              <w:rPr>
                <w:rFonts w:hint="eastAsia" w:eastAsia="宋体" w:cs="宋体"/>
                <w:b w:val="0"/>
                <w:bCs w:val="0"/>
                <w:color w:val="auto"/>
                <w:sz w:val="20"/>
                <w:szCs w:val="20"/>
                <w:lang w:val="en-US" w:eastAsia="zh-CN"/>
              </w:rPr>
              <w:t>1次</w:t>
            </w:r>
          </w:p>
        </w:tc>
        <w:tc>
          <w:tcPr>
            <w:tcW w:w="3401" w:type="dxa"/>
            <w:vMerge w:val="continue"/>
            <w:noWrap w:val="0"/>
            <w:vAlign w:val="center"/>
          </w:tcPr>
          <w:p>
            <w:pPr>
              <w:jc w:val="center"/>
              <w:rPr>
                <w:rFonts w:hint="eastAsia" w:ascii="宋体" w:hAnsi="宋体" w:eastAsia="宋体" w:cs="宋体"/>
                <w:b w:val="0"/>
                <w:bCs w:val="0"/>
                <w:color w:val="auto"/>
                <w:sz w:val="20"/>
                <w:szCs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0" w:type="dxa"/>
            <w:vMerge w:val="continue"/>
            <w:noWrap w:val="0"/>
            <w:vAlign w:val="center"/>
          </w:tcPr>
          <w:p>
            <w:pPr>
              <w:jc w:val="center"/>
              <w:rPr>
                <w:rFonts w:hint="eastAsia" w:ascii="宋体" w:hAnsi="宋体" w:eastAsia="宋体" w:cs="宋体"/>
                <w:b w:val="0"/>
                <w:bCs w:val="0"/>
                <w:color w:val="auto"/>
                <w:sz w:val="20"/>
                <w:szCs w:val="20"/>
                <w:lang w:val="en-US" w:eastAsia="zh-CN"/>
              </w:rPr>
            </w:pPr>
          </w:p>
        </w:tc>
        <w:tc>
          <w:tcPr>
            <w:tcW w:w="1277" w:type="dxa"/>
            <w:vMerge w:val="continue"/>
            <w:noWrap w:val="0"/>
            <w:vAlign w:val="center"/>
          </w:tcPr>
          <w:p>
            <w:pPr>
              <w:widowControl/>
              <w:spacing w:line="360" w:lineRule="auto"/>
              <w:jc w:val="center"/>
              <w:rPr>
                <w:rFonts w:hint="eastAsia" w:ascii="宋体" w:hAnsi="宋体" w:eastAsia="宋体" w:cs="宋体"/>
                <w:b w:val="0"/>
                <w:bCs w:val="0"/>
                <w:color w:val="auto"/>
                <w:kern w:val="0"/>
                <w:sz w:val="20"/>
                <w:szCs w:val="20"/>
                <w:lang w:val="en-US" w:eastAsia="zh-CN"/>
              </w:rPr>
            </w:pPr>
          </w:p>
        </w:tc>
        <w:tc>
          <w:tcPr>
            <w:tcW w:w="1530" w:type="dxa"/>
            <w:noWrap w:val="0"/>
            <w:vAlign w:val="center"/>
          </w:tcPr>
          <w:p>
            <w:pPr>
              <w:jc w:val="center"/>
              <w:rPr>
                <w:rFonts w:hint="eastAsia" w:ascii="宋体" w:hAnsi="宋体" w:eastAsia="宋体" w:cs="宋体"/>
                <w:b w:val="0"/>
                <w:bCs w:val="0"/>
                <w:color w:val="auto"/>
                <w:sz w:val="20"/>
                <w:szCs w:val="20"/>
                <w:lang w:val="en-US" w:eastAsia="zh-CN" w:bidi="ar-SA"/>
              </w:rPr>
            </w:pPr>
            <w:r>
              <w:rPr>
                <w:rFonts w:hint="eastAsia" w:ascii="宋体" w:hAnsi="宋体" w:eastAsia="宋体" w:cs="宋体"/>
                <w:b w:val="0"/>
                <w:bCs w:val="0"/>
                <w:color w:val="auto"/>
                <w:sz w:val="20"/>
                <w:szCs w:val="20"/>
                <w:lang w:val="en-US" w:eastAsia="zh-CN"/>
              </w:rPr>
              <w:t>等保测评</w:t>
            </w:r>
          </w:p>
        </w:tc>
        <w:tc>
          <w:tcPr>
            <w:tcW w:w="960" w:type="dxa"/>
            <w:noWrap w:val="0"/>
            <w:vAlign w:val="center"/>
          </w:tcPr>
          <w:p>
            <w:pPr>
              <w:jc w:val="center"/>
              <w:rPr>
                <w:rFonts w:hint="eastAsia" w:ascii="宋体" w:hAnsi="宋体" w:eastAsia="宋体" w:cs="宋体"/>
                <w:b w:val="0"/>
                <w:bCs w:val="0"/>
                <w:color w:val="auto"/>
                <w:sz w:val="20"/>
                <w:szCs w:val="20"/>
                <w:lang w:val="en-US" w:eastAsia="zh-CN" w:bidi="ar-SA"/>
              </w:rPr>
            </w:pPr>
            <w:r>
              <w:rPr>
                <w:rFonts w:hint="eastAsia" w:ascii="宋体" w:hAnsi="宋体" w:eastAsia="宋体" w:cs="宋体"/>
                <w:b w:val="0"/>
                <w:bCs w:val="0"/>
                <w:color w:val="auto"/>
                <w:sz w:val="20"/>
                <w:szCs w:val="20"/>
                <w:lang w:val="en-US" w:eastAsia="zh-CN"/>
              </w:rPr>
              <w:t>1次</w:t>
            </w:r>
          </w:p>
        </w:tc>
        <w:tc>
          <w:tcPr>
            <w:tcW w:w="3401" w:type="dxa"/>
            <w:vMerge w:val="continue"/>
            <w:noWrap w:val="0"/>
            <w:vAlign w:val="center"/>
          </w:tcPr>
          <w:p>
            <w:pPr>
              <w:jc w:val="center"/>
              <w:rPr>
                <w:rFonts w:hint="eastAsia" w:ascii="宋体" w:hAnsi="宋体" w:eastAsia="宋体" w:cs="宋体"/>
                <w:b w:val="0"/>
                <w:bCs w:val="0"/>
                <w:color w:val="auto"/>
                <w:sz w:val="20"/>
                <w:szCs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0" w:type="dxa"/>
            <w:noWrap w:val="0"/>
            <w:vAlign w:val="center"/>
          </w:tcPr>
          <w:p>
            <w:pPr>
              <w:jc w:val="center"/>
              <w:rPr>
                <w:rFonts w:hint="default" w:ascii="宋体" w:hAnsi="宋体" w:eastAsia="宋体" w:cs="宋体"/>
                <w:b w:val="0"/>
                <w:bCs w:val="0"/>
                <w:color w:val="auto"/>
                <w:sz w:val="20"/>
                <w:szCs w:val="20"/>
                <w:lang w:val="en-US" w:eastAsia="zh-CN"/>
              </w:rPr>
            </w:pPr>
            <w:r>
              <w:rPr>
                <w:rFonts w:hint="eastAsia" w:eastAsia="宋体" w:cs="宋体"/>
                <w:b w:val="0"/>
                <w:bCs w:val="0"/>
                <w:color w:val="auto"/>
                <w:sz w:val="20"/>
                <w:szCs w:val="20"/>
                <w:lang w:val="en-US" w:eastAsia="zh-CN"/>
              </w:rPr>
              <w:t>3</w:t>
            </w:r>
          </w:p>
        </w:tc>
        <w:tc>
          <w:tcPr>
            <w:tcW w:w="1277" w:type="dxa"/>
            <w:noWrap w:val="0"/>
            <w:vAlign w:val="center"/>
          </w:tcPr>
          <w:p>
            <w:pPr>
              <w:widowControl/>
              <w:spacing w:line="360" w:lineRule="auto"/>
              <w:jc w:val="center"/>
              <w:rPr>
                <w:rFonts w:hint="default" w:ascii="宋体" w:hAnsi="宋体" w:eastAsia="宋体" w:cs="宋体"/>
                <w:b w:val="0"/>
                <w:bCs w:val="0"/>
                <w:color w:val="auto"/>
                <w:kern w:val="0"/>
                <w:sz w:val="20"/>
                <w:szCs w:val="20"/>
                <w:lang w:val="en-US" w:eastAsia="zh-CN"/>
              </w:rPr>
            </w:pPr>
            <w:r>
              <w:rPr>
                <w:rFonts w:hint="eastAsia" w:eastAsia="宋体" w:cs="宋体"/>
                <w:b w:val="0"/>
                <w:bCs w:val="0"/>
                <w:color w:val="auto"/>
                <w:kern w:val="0"/>
                <w:sz w:val="20"/>
                <w:szCs w:val="20"/>
                <w:lang w:val="en-US" w:eastAsia="zh-CN"/>
              </w:rPr>
              <w:t>安全加固</w:t>
            </w:r>
          </w:p>
        </w:tc>
        <w:tc>
          <w:tcPr>
            <w:tcW w:w="1530" w:type="dxa"/>
            <w:noWrap w:val="0"/>
            <w:vAlign w:val="center"/>
          </w:tcPr>
          <w:p>
            <w:pPr>
              <w:jc w:val="center"/>
              <w:rPr>
                <w:rFonts w:hint="default" w:ascii="宋体" w:hAnsi="宋体" w:eastAsia="宋体" w:cs="宋体"/>
                <w:b w:val="0"/>
                <w:bCs w:val="0"/>
                <w:color w:val="auto"/>
                <w:sz w:val="20"/>
                <w:szCs w:val="20"/>
                <w:lang w:val="en-US" w:eastAsia="zh-CN"/>
              </w:rPr>
            </w:pPr>
            <w:r>
              <w:rPr>
                <w:rFonts w:hint="eastAsia" w:eastAsia="宋体" w:cs="宋体"/>
                <w:b w:val="0"/>
                <w:bCs w:val="0"/>
                <w:color w:val="auto"/>
                <w:sz w:val="20"/>
                <w:szCs w:val="20"/>
                <w:lang w:val="en-US" w:eastAsia="zh-CN"/>
              </w:rPr>
              <w:t>服务器加固</w:t>
            </w:r>
          </w:p>
        </w:tc>
        <w:tc>
          <w:tcPr>
            <w:tcW w:w="960" w:type="dxa"/>
            <w:noWrap w:val="0"/>
            <w:vAlign w:val="center"/>
          </w:tcPr>
          <w:p>
            <w:pPr>
              <w:jc w:val="center"/>
              <w:rPr>
                <w:rFonts w:hint="default" w:ascii="宋体" w:hAnsi="宋体" w:eastAsia="宋体" w:cs="宋体"/>
                <w:b w:val="0"/>
                <w:bCs w:val="0"/>
                <w:color w:val="auto"/>
                <w:sz w:val="20"/>
                <w:szCs w:val="20"/>
                <w:lang w:val="en-US" w:eastAsia="zh-CN"/>
              </w:rPr>
            </w:pPr>
            <w:r>
              <w:rPr>
                <w:rFonts w:hint="eastAsia" w:eastAsia="宋体" w:cs="宋体"/>
                <w:b w:val="0"/>
                <w:bCs w:val="0"/>
                <w:color w:val="auto"/>
                <w:sz w:val="20"/>
                <w:szCs w:val="20"/>
                <w:lang w:val="en-US" w:eastAsia="zh-CN"/>
              </w:rPr>
              <w:t>1次</w:t>
            </w:r>
          </w:p>
        </w:tc>
        <w:tc>
          <w:tcPr>
            <w:tcW w:w="3401" w:type="dxa"/>
            <w:noWrap w:val="0"/>
            <w:vAlign w:val="center"/>
          </w:tcPr>
          <w:p>
            <w:pPr>
              <w:jc w:val="center"/>
              <w:rPr>
                <w:rFonts w:hint="default" w:ascii="宋体" w:hAnsi="宋体" w:eastAsia="宋体" w:cs="宋体"/>
                <w:b w:val="0"/>
                <w:bCs w:val="0"/>
                <w:color w:val="auto"/>
                <w:sz w:val="20"/>
                <w:szCs w:val="20"/>
                <w:lang w:val="en-US" w:eastAsia="zh-CN"/>
              </w:rPr>
            </w:pPr>
            <w:r>
              <w:rPr>
                <w:rFonts w:hint="eastAsia" w:eastAsia="宋体" w:cs="宋体"/>
                <w:b w:val="0"/>
                <w:bCs w:val="0"/>
                <w:color w:val="auto"/>
                <w:sz w:val="20"/>
                <w:szCs w:val="20"/>
                <w:lang w:val="en-US" w:eastAsia="zh-CN"/>
              </w:rPr>
              <w:t>在应用服务器上部署“网防G01”安全加固软件，提升服务器网络安全防护能力。</w:t>
            </w:r>
          </w:p>
        </w:tc>
      </w:tr>
    </w:tbl>
    <w:p>
      <w:pPr>
        <w:rPr>
          <w:rFonts w:hint="eastAsia"/>
          <w:b/>
          <w:bCs/>
          <w:color w:val="auto"/>
          <w:lang w:val="en-US" w:eastAsia="zh-CN"/>
        </w:rPr>
      </w:pPr>
      <w:r>
        <w:rPr>
          <w:rFonts w:hint="eastAsia"/>
          <w:b/>
          <w:bCs/>
          <w:color w:val="auto"/>
          <w:lang w:val="en-US" w:eastAsia="zh-CN"/>
        </w:rPr>
        <w:t>项目预算总价：125000元。</w:t>
      </w:r>
    </w:p>
    <w:p>
      <w:pPr>
        <w:pStyle w:val="2"/>
        <w:jc w:val="center"/>
        <w:rPr>
          <w:rFonts w:hint="eastAsia"/>
          <w:b/>
          <w:bCs/>
          <w:color w:val="auto"/>
          <w:sz w:val="36"/>
          <w:szCs w:val="36"/>
          <w:lang w:val="en-US" w:eastAsia="zh-CN"/>
        </w:rPr>
      </w:pPr>
    </w:p>
    <w:p>
      <w:pPr>
        <w:pStyle w:val="2"/>
        <w:jc w:val="center"/>
        <w:rPr>
          <w:rFonts w:hint="eastAsia"/>
          <w:b/>
          <w:bCs/>
          <w:color w:val="auto"/>
          <w:sz w:val="36"/>
          <w:szCs w:val="36"/>
          <w:lang w:val="en-US" w:eastAsia="zh-CN"/>
        </w:rPr>
      </w:pPr>
      <w:r>
        <w:rPr>
          <w:rFonts w:hint="eastAsia"/>
          <w:b/>
          <w:bCs/>
          <w:color w:val="auto"/>
          <w:sz w:val="36"/>
          <w:szCs w:val="36"/>
          <w:lang w:val="en-US" w:eastAsia="zh-CN"/>
        </w:rPr>
        <w:t>竞价要求</w:t>
      </w:r>
    </w:p>
    <w:p>
      <w:pPr>
        <w:pStyle w:val="2"/>
        <w:numPr>
          <w:ilvl w:val="0"/>
          <w:numId w:val="4"/>
        </w:numPr>
        <w:jc w:val="both"/>
        <w:rPr>
          <w:rFonts w:hint="eastAsia"/>
          <w:b/>
          <w:bCs/>
          <w:color w:val="auto"/>
          <w:lang w:val="en-US" w:eastAsia="zh-CN"/>
        </w:rPr>
      </w:pPr>
      <w:r>
        <w:rPr>
          <w:rFonts w:hint="eastAsia"/>
          <w:b/>
          <w:bCs/>
          <w:color w:val="auto"/>
          <w:lang w:val="en-US" w:eastAsia="zh-CN"/>
        </w:rPr>
        <w:t>投标人须具有公安部第三研究所颁发的：网络安全等级测评与检测评估机构服务认证证书（提供扫描件并加盖公章上传），否则视为无效竞价。</w:t>
      </w:r>
    </w:p>
    <w:p>
      <w:pPr>
        <w:pStyle w:val="2"/>
        <w:numPr>
          <w:ilvl w:val="0"/>
          <w:numId w:val="4"/>
        </w:numPr>
        <w:jc w:val="both"/>
        <w:rPr>
          <w:rFonts w:hint="default"/>
          <w:b/>
          <w:bCs/>
          <w:color w:val="auto"/>
          <w:lang w:val="en-US" w:eastAsia="zh-CN"/>
        </w:rPr>
      </w:pPr>
      <w:r>
        <w:rPr>
          <w:rFonts w:hint="eastAsia"/>
          <w:b/>
          <w:bCs/>
          <w:color w:val="auto"/>
          <w:lang w:val="en-US" w:eastAsia="zh-CN"/>
        </w:rPr>
        <w:t>投标人须具有中国网络安全审核技术与认证中心颁发的信息安全服务资质认证证书-信息安全风险评估资质、信息系统安全运维资质、信息安全应急处理服务资质（提供扫描件并加盖公章上传），否则视为无效竞价。</w:t>
      </w:r>
    </w:p>
    <w:p>
      <w:pPr>
        <w:pStyle w:val="2"/>
        <w:numPr>
          <w:ilvl w:val="0"/>
          <w:numId w:val="4"/>
        </w:numPr>
        <w:jc w:val="both"/>
        <w:rPr>
          <w:rFonts w:hint="default"/>
          <w:b/>
          <w:bCs/>
          <w:color w:val="auto"/>
          <w:lang w:val="en-US" w:eastAsia="zh-CN"/>
        </w:rPr>
      </w:pPr>
      <w:r>
        <w:rPr>
          <w:rFonts w:hint="eastAsia"/>
          <w:b/>
          <w:bCs/>
          <w:color w:val="auto"/>
          <w:lang w:val="en-US" w:eastAsia="zh-CN"/>
        </w:rPr>
        <w:t>投标人须具备公安部指定的网防安全服务中心授牌（提供照片并加盖公章上传），否则视为无效竞价。</w:t>
      </w:r>
    </w:p>
    <w:p>
      <w:pPr>
        <w:pStyle w:val="2"/>
        <w:numPr>
          <w:ilvl w:val="0"/>
          <w:numId w:val="4"/>
        </w:numPr>
        <w:jc w:val="both"/>
        <w:rPr>
          <w:rFonts w:hint="default"/>
          <w:b/>
          <w:bCs/>
          <w:color w:val="auto"/>
          <w:lang w:val="en-US" w:eastAsia="zh-CN"/>
        </w:rPr>
      </w:pPr>
      <w:r>
        <w:rPr>
          <w:rFonts w:hint="eastAsia" w:ascii="宋体" w:hAnsi="宋体" w:eastAsia="宋体" w:cs="宋体"/>
          <w:b/>
          <w:bCs/>
          <w:color w:val="000000"/>
          <w:kern w:val="0"/>
          <w:sz w:val="24"/>
          <w:szCs w:val="24"/>
          <w:lang w:val="en-US" w:eastAsia="zh-CN"/>
        </w:rPr>
        <w:t>预成交商签订合同之前需提供涉密</w:t>
      </w:r>
      <w:r>
        <w:rPr>
          <w:rFonts w:hint="eastAsia" w:cs="宋体"/>
          <w:b/>
          <w:bCs/>
          <w:color w:val="000000"/>
          <w:kern w:val="0"/>
          <w:sz w:val="24"/>
          <w:szCs w:val="24"/>
          <w:lang w:val="en-US" w:eastAsia="zh-CN"/>
        </w:rPr>
        <w:t>信息系统集成</w:t>
      </w:r>
      <w:r>
        <w:rPr>
          <w:rFonts w:hint="eastAsia" w:ascii="宋体" w:hAnsi="宋体" w:eastAsia="宋体" w:cs="宋体"/>
          <w:b/>
          <w:bCs/>
          <w:color w:val="000000"/>
          <w:kern w:val="0"/>
          <w:sz w:val="24"/>
          <w:szCs w:val="24"/>
          <w:lang w:val="en-US" w:eastAsia="zh-CN"/>
        </w:rPr>
        <w:t>资质</w:t>
      </w:r>
      <w:r>
        <w:rPr>
          <w:rFonts w:hint="eastAsia" w:cs="宋体"/>
          <w:b/>
          <w:bCs/>
          <w:color w:val="000000"/>
          <w:kern w:val="0"/>
          <w:sz w:val="24"/>
          <w:szCs w:val="24"/>
          <w:lang w:val="en-US" w:eastAsia="zh-CN"/>
        </w:rPr>
        <w:t>（运行维护）</w:t>
      </w:r>
      <w:r>
        <w:rPr>
          <w:rFonts w:hint="eastAsia" w:ascii="宋体" w:hAnsi="宋体" w:eastAsia="宋体" w:cs="宋体"/>
          <w:b/>
          <w:bCs/>
          <w:color w:val="000000"/>
          <w:kern w:val="0"/>
          <w:sz w:val="24"/>
          <w:szCs w:val="24"/>
          <w:lang w:val="en-US" w:eastAsia="zh-CN"/>
        </w:rPr>
        <w:t>证明文件</w:t>
      </w:r>
      <w:r>
        <w:rPr>
          <w:rFonts w:hint="eastAsia" w:cs="宋体"/>
          <w:b/>
          <w:bCs/>
          <w:color w:val="000000"/>
          <w:kern w:val="0"/>
          <w:sz w:val="24"/>
          <w:szCs w:val="24"/>
          <w:lang w:val="en-US" w:eastAsia="zh-CN"/>
        </w:rPr>
        <w:t>，</w:t>
      </w:r>
      <w:r>
        <w:rPr>
          <w:rFonts w:hint="eastAsia"/>
          <w:b/>
          <w:bCs/>
          <w:color w:val="auto"/>
          <w:lang w:val="en-US" w:eastAsia="zh-CN"/>
        </w:rPr>
        <w:t>否则视为无效竞价。</w:t>
      </w:r>
      <w:bookmarkStart w:id="29" w:name="_GoBack"/>
      <w:bookmarkEnd w:id="29"/>
    </w:p>
    <w:p/>
    <w:sectPr>
      <w:footerReference r:id="rId7" w:type="default"/>
      <w:pgSz w:w="11906" w:h="16838"/>
      <w:pgMar w:top="1440" w:right="1418" w:bottom="1440" w:left="1797" w:header="850" w:footer="992" w:gutter="0"/>
      <w:pgBorders w:offsetFrom="page">
        <w:top w:val="none" w:sz="0" w:space="0"/>
        <w:left w:val="none" w:sz="0" w:space="0"/>
        <w:bottom w:val="none" w:sz="0" w:space="0"/>
        <w:right w:val="none" w:sz="0" w:space="0"/>
      </w:pgBorders>
      <w:pgNumType w:start="1"/>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II</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4</w:t>
    </w:r>
    <w: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2D326"/>
    <w:multiLevelType w:val="singleLevel"/>
    <w:tmpl w:val="E032D326"/>
    <w:lvl w:ilvl="0" w:tentative="0">
      <w:start w:val="1"/>
      <w:numFmt w:val="decimal"/>
      <w:suff w:val="nothing"/>
      <w:lvlText w:val="%1、"/>
      <w:lvlJc w:val="left"/>
    </w:lvl>
  </w:abstractNum>
  <w:abstractNum w:abstractNumId="1">
    <w:nsid w:val="2E9E0FF9"/>
    <w:multiLevelType w:val="multilevel"/>
    <w:tmpl w:val="2E9E0FF9"/>
    <w:lvl w:ilvl="0" w:tentative="0">
      <w:start w:val="1"/>
      <w:numFmt w:val="chineseCountingThousand"/>
      <w:lvlText w:val="%1、"/>
      <w:lvlJc w:val="left"/>
      <w:pPr>
        <w:ind w:left="850" w:hanging="850"/>
      </w:pPr>
      <w:rPr>
        <w:rFonts w:hint="eastAsia" w:eastAsia="黑体"/>
        <w:b/>
        <w:sz w:val="36"/>
      </w:rPr>
    </w:lvl>
    <w:lvl w:ilvl="1" w:tentative="0">
      <w:start w:val="1"/>
      <w:numFmt w:val="decimal"/>
      <w:isLgl/>
      <w:lvlText w:val="%1.%2"/>
      <w:lvlJc w:val="left"/>
      <w:pPr>
        <w:ind w:left="992" w:hanging="935"/>
      </w:pPr>
      <w:rPr>
        <w:rFonts w:hint="eastAsia" w:eastAsia="宋体"/>
        <w:b/>
        <w:sz w:val="32"/>
      </w:rPr>
    </w:lvl>
    <w:lvl w:ilvl="2" w:tentative="0">
      <w:start w:val="1"/>
      <w:numFmt w:val="decimal"/>
      <w:isLgl/>
      <w:lvlText w:val="%1.%2.%3"/>
      <w:lvlJc w:val="left"/>
      <w:pPr>
        <w:ind w:left="1134" w:hanging="1021"/>
      </w:pPr>
      <w:rPr>
        <w:rFonts w:hint="eastAsia" w:ascii="宋体" w:hAnsi="宋体" w:eastAsia="宋体"/>
        <w:b/>
        <w:sz w:val="30"/>
      </w:rPr>
    </w:lvl>
    <w:lvl w:ilvl="3" w:tentative="0">
      <w:start w:val="1"/>
      <w:numFmt w:val="decimal"/>
      <w:isLgl/>
      <w:lvlText w:val="%1.%2.%3.%4"/>
      <w:lvlJc w:val="left"/>
      <w:pPr>
        <w:ind w:left="1276" w:hanging="1106"/>
      </w:pPr>
      <w:rPr>
        <w:rFonts w:hint="eastAsia" w:ascii="宋体" w:hAnsi="宋体" w:eastAsia="宋体"/>
        <w:b/>
        <w:sz w:val="28"/>
      </w:rPr>
    </w:lvl>
    <w:lvl w:ilvl="4" w:tentative="0">
      <w:start w:val="1"/>
      <w:numFmt w:val="decimal"/>
      <w:isLgl/>
      <w:lvlText w:val="%1.%2.%3.%4.%5"/>
      <w:lvlJc w:val="left"/>
      <w:pPr>
        <w:ind w:left="1418" w:hanging="1191"/>
      </w:pPr>
      <w:rPr>
        <w:rFonts w:hint="eastAsia" w:ascii="宋体" w:hAnsi="宋体" w:eastAsia="宋体"/>
        <w:b/>
        <w:sz w:val="24"/>
      </w:rPr>
    </w:lvl>
    <w:lvl w:ilvl="5" w:tentative="0">
      <w:start w:val="1"/>
      <w:numFmt w:val="decimal"/>
      <w:isLgl/>
      <w:lvlText w:val="%1.%2.%3.%4.%5.%6"/>
      <w:lvlJc w:val="left"/>
      <w:pPr>
        <w:ind w:left="1559" w:hanging="1275"/>
      </w:pPr>
      <w:rPr>
        <w:rFonts w:hint="eastAsia" w:eastAsia="宋体"/>
        <w:sz w:val="24"/>
      </w:rPr>
    </w:lvl>
    <w:lvl w:ilvl="6" w:tentative="0">
      <w:start w:val="1"/>
      <w:numFmt w:val="decimal"/>
      <w:isLgl/>
      <w:lvlText w:val="%1.%2.%3.%4.%5.%6.%7"/>
      <w:lvlJc w:val="left"/>
      <w:pPr>
        <w:ind w:left="1701" w:hanging="1361"/>
      </w:pPr>
      <w:rPr>
        <w:rFonts w:hint="eastAsia" w:eastAsia="宋体"/>
        <w:sz w:val="24"/>
      </w:rPr>
    </w:lvl>
    <w:lvl w:ilvl="7" w:tentative="0">
      <w:start w:val="1"/>
      <w:numFmt w:val="decimal"/>
      <w:lvlText w:val="%1.%2.%3.%4.%5.%6.%7.%8"/>
      <w:lvlJc w:val="left"/>
      <w:pPr>
        <w:ind w:left="4819" w:hanging="850"/>
      </w:pPr>
      <w:rPr>
        <w:rFonts w:hint="eastAsia"/>
      </w:rPr>
    </w:lvl>
    <w:lvl w:ilvl="8" w:tentative="0">
      <w:start w:val="1"/>
      <w:numFmt w:val="decimal"/>
      <w:lvlText w:val="%1.%2.%3.%4.%5.%6.%7.%8.%9"/>
      <w:lvlJc w:val="left"/>
      <w:pPr>
        <w:ind w:left="4961" w:hanging="567"/>
      </w:pPr>
      <w:rPr>
        <w:rFonts w:hint="eastAsia"/>
      </w:rPr>
    </w:lvl>
  </w:abstractNum>
  <w:abstractNum w:abstractNumId="2">
    <w:nsid w:val="3B0E4BEC"/>
    <w:multiLevelType w:val="multilevel"/>
    <w:tmpl w:val="3B0E4BE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lvlOverride w:ilvl="0">
      <w:lvl w:ilvl="0" w:tentative="1">
        <w:start w:val="1"/>
        <w:numFmt w:val="chineseCountingThousand"/>
        <w:pStyle w:val="3"/>
        <w:lvlText w:val="%1、"/>
        <w:lvlJc w:val="left"/>
        <w:pPr>
          <w:ind w:left="850" w:hanging="850"/>
        </w:pPr>
        <w:rPr>
          <w:rFonts w:hint="eastAsia" w:eastAsia="黑体"/>
          <w:b/>
          <w:sz w:val="36"/>
        </w:rPr>
      </w:lvl>
    </w:lvlOverride>
    <w:lvlOverride w:ilvl="1">
      <w:lvl w:ilvl="1" w:tentative="1">
        <w:start w:val="1"/>
        <w:numFmt w:val="decimal"/>
        <w:isLgl/>
        <w:lvlText w:val="%1.%2"/>
        <w:lvlJc w:val="left"/>
        <w:pPr>
          <w:ind w:left="992" w:hanging="935"/>
        </w:pPr>
        <w:rPr>
          <w:rFonts w:hint="eastAsia"/>
          <w:b/>
          <w:sz w:val="32"/>
        </w:rPr>
      </w:lvl>
    </w:lvlOverride>
    <w:lvlOverride w:ilvl="2">
      <w:lvl w:ilvl="2" w:tentative="1">
        <w:start w:val="1"/>
        <w:numFmt w:val="decimal"/>
        <w:isLgl/>
        <w:lvlText w:val="%1.%2.%3"/>
        <w:lvlJc w:val="left"/>
        <w:pPr>
          <w:ind w:left="1134" w:hanging="1021"/>
        </w:pPr>
        <w:rPr>
          <w:rFonts w:hint="eastAsia" w:ascii="宋体" w:hAnsi="宋体" w:eastAsia="宋体"/>
          <w:b/>
          <w:sz w:val="30"/>
        </w:rPr>
      </w:lvl>
    </w:lvlOverride>
    <w:lvlOverride w:ilvl="3">
      <w:lvl w:ilvl="3" w:tentative="1">
        <w:start w:val="1"/>
        <w:numFmt w:val="decimal"/>
        <w:isLgl/>
        <w:lvlText w:val="%1.%2.%3.%4"/>
        <w:lvlJc w:val="left"/>
        <w:pPr>
          <w:ind w:left="1276" w:hanging="1106"/>
        </w:pPr>
        <w:rPr>
          <w:rFonts w:hint="eastAsia" w:ascii="宋体" w:hAnsi="宋体" w:eastAsia="宋体"/>
          <w:b/>
          <w:sz w:val="28"/>
        </w:rPr>
      </w:lvl>
    </w:lvlOverride>
    <w:lvlOverride w:ilvl="4">
      <w:lvl w:ilvl="4" w:tentative="1">
        <w:start w:val="1"/>
        <w:numFmt w:val="decimal"/>
        <w:isLgl/>
        <w:lvlText w:val="%1.%2.%3.%4.%5"/>
        <w:lvlJc w:val="left"/>
        <w:pPr>
          <w:ind w:left="1418" w:hanging="1191"/>
        </w:pPr>
        <w:rPr>
          <w:rFonts w:hint="eastAsia" w:ascii="宋体" w:hAnsi="宋体" w:eastAsia="宋体"/>
          <w:b/>
          <w:sz w:val="24"/>
        </w:rPr>
      </w:lvl>
    </w:lvlOverride>
    <w:lvlOverride w:ilvl="5">
      <w:lvl w:ilvl="5" w:tentative="1">
        <w:start w:val="1"/>
        <w:numFmt w:val="decimal"/>
        <w:isLgl/>
        <w:lvlText w:val="%1.%2.%3.%4.%5.%6"/>
        <w:lvlJc w:val="left"/>
        <w:pPr>
          <w:ind w:left="1559" w:hanging="1275"/>
        </w:pPr>
        <w:rPr>
          <w:rFonts w:hint="eastAsia"/>
          <w:sz w:val="24"/>
        </w:rPr>
      </w:lvl>
    </w:lvlOverride>
    <w:lvlOverride w:ilvl="6">
      <w:lvl w:ilvl="6" w:tentative="1">
        <w:start w:val="1"/>
        <w:numFmt w:val="decimal"/>
        <w:isLgl/>
        <w:lvlText w:val="%1.%2.%3.%4.%5.%6.%7"/>
        <w:lvlJc w:val="left"/>
        <w:pPr>
          <w:ind w:left="1701" w:hanging="1361"/>
        </w:pPr>
        <w:rPr>
          <w:rFonts w:hint="eastAsia" w:eastAsia="宋体"/>
          <w:sz w:val="24"/>
        </w:rPr>
      </w:lvl>
    </w:lvlOverride>
    <w:lvlOverride w:ilvl="7">
      <w:lvl w:ilvl="7" w:tentative="1">
        <w:start w:val="1"/>
        <w:numFmt w:val="decimal"/>
        <w:lvlText w:val="%1.%2.%3.%4.%5.%6.%7.%8"/>
        <w:lvlJc w:val="left"/>
        <w:pPr>
          <w:ind w:left="4819" w:hanging="850"/>
        </w:pPr>
        <w:rPr>
          <w:rFonts w:hint="eastAsia"/>
        </w:rPr>
      </w:lvl>
    </w:lvlOverride>
    <w:lvlOverride w:ilvl="8">
      <w:lvl w:ilvl="8" w:tentative="1">
        <w:start w:val="1"/>
        <w:numFmt w:val="decimal"/>
        <w:lvlText w:val="%1.%2.%3.%4.%5.%6.%7.%8.%9"/>
        <w:lvlJc w:val="left"/>
        <w:pPr>
          <w:ind w:left="4961" w:hanging="567"/>
        </w:pPr>
        <w:rPr>
          <w:rFonts w:hint="eastAsia"/>
        </w:rPr>
      </w:lvl>
    </w:lvlOverride>
  </w:num>
  <w:num w:numId="2">
    <w:abstractNumId w:val="1"/>
    <w:lvlOverride w:ilvl="0">
      <w:startOverride w:val="1"/>
      <w:lvl w:ilvl="0" w:tentative="1">
        <w:start w:val="1"/>
        <w:numFmt w:val="chineseCountingThousand"/>
        <w:lvlText w:val="%1、"/>
        <w:lvlJc w:val="left"/>
        <w:pPr>
          <w:ind w:left="850" w:hanging="850"/>
        </w:pPr>
        <w:rPr>
          <w:rFonts w:hint="eastAsia" w:eastAsia="黑体"/>
          <w:b/>
          <w:sz w:val="36"/>
        </w:rPr>
      </w:lvl>
    </w:lvlOverride>
    <w:lvlOverride w:ilvl="1">
      <w:startOverride w:val="1"/>
      <w:lvl w:ilvl="1" w:tentative="1">
        <w:start w:val="1"/>
        <w:numFmt w:val="decimal"/>
        <w:pStyle w:val="4"/>
        <w:isLgl/>
        <w:lvlText w:val="%1.%2"/>
        <w:lvlJc w:val="left"/>
        <w:pPr>
          <w:ind w:left="992" w:hanging="935"/>
        </w:pPr>
        <w:rPr>
          <w:rFonts w:hint="eastAsia"/>
          <w:b/>
          <w:sz w:val="32"/>
        </w:rPr>
      </w:lvl>
    </w:lvlOverride>
    <w:lvlOverride w:ilvl="2">
      <w:startOverride w:val="1"/>
      <w:lvl w:ilvl="2" w:tentative="1">
        <w:start w:val="1"/>
        <w:numFmt w:val="decimal"/>
        <w:isLgl/>
        <w:lvlText w:val="%1.%2.%3"/>
        <w:lvlJc w:val="left"/>
        <w:pPr>
          <w:ind w:left="1134" w:hanging="1021"/>
        </w:pPr>
        <w:rPr>
          <w:rFonts w:hint="eastAsia" w:ascii="宋体" w:hAnsi="宋体" w:eastAsia="宋体"/>
          <w:b/>
          <w:sz w:val="30"/>
        </w:rPr>
      </w:lvl>
    </w:lvlOverride>
    <w:lvlOverride w:ilvl="3">
      <w:startOverride w:val="1"/>
      <w:lvl w:ilvl="3" w:tentative="1">
        <w:start w:val="1"/>
        <w:numFmt w:val="decimal"/>
        <w:isLgl/>
        <w:lvlText w:val="%1.%2.%3.%4"/>
        <w:lvlJc w:val="left"/>
        <w:pPr>
          <w:ind w:left="1276" w:hanging="1106"/>
        </w:pPr>
        <w:rPr>
          <w:rFonts w:hint="eastAsia" w:ascii="宋体" w:hAnsi="宋体" w:eastAsia="宋体"/>
          <w:b/>
          <w:sz w:val="28"/>
        </w:rPr>
      </w:lvl>
    </w:lvlOverride>
    <w:lvlOverride w:ilvl="4">
      <w:startOverride w:val="1"/>
      <w:lvl w:ilvl="4" w:tentative="1">
        <w:start w:val="1"/>
        <w:numFmt w:val="decimal"/>
        <w:isLgl/>
        <w:lvlText w:val="%1.%2.%3.%4.%5"/>
        <w:lvlJc w:val="left"/>
        <w:pPr>
          <w:ind w:left="1418" w:hanging="1191"/>
        </w:pPr>
        <w:rPr>
          <w:rFonts w:hint="eastAsia" w:ascii="宋体" w:hAnsi="宋体" w:eastAsia="宋体"/>
          <w:b/>
          <w:sz w:val="24"/>
        </w:rPr>
      </w:lvl>
    </w:lvlOverride>
    <w:lvlOverride w:ilvl="5">
      <w:startOverride w:val="1"/>
      <w:lvl w:ilvl="5" w:tentative="1">
        <w:start w:val="1"/>
        <w:numFmt w:val="decimal"/>
        <w:isLgl/>
        <w:lvlText w:val="%1.%2.%3.%4.%5.%6"/>
        <w:lvlJc w:val="left"/>
        <w:pPr>
          <w:ind w:left="1559" w:hanging="1275"/>
        </w:pPr>
        <w:rPr>
          <w:rFonts w:hint="eastAsia"/>
          <w:sz w:val="24"/>
        </w:rPr>
      </w:lvl>
    </w:lvlOverride>
    <w:lvlOverride w:ilvl="6">
      <w:startOverride w:val="1"/>
      <w:lvl w:ilvl="6" w:tentative="1">
        <w:start w:val="1"/>
        <w:numFmt w:val="decimal"/>
        <w:isLgl/>
        <w:lvlText w:val="%1.%2.%3.%4.%5.%6.%7"/>
        <w:lvlJc w:val="left"/>
        <w:pPr>
          <w:ind w:left="1701" w:hanging="1361"/>
        </w:pPr>
        <w:rPr>
          <w:rFonts w:hint="eastAsia" w:eastAsia="宋体"/>
          <w:sz w:val="24"/>
        </w:rPr>
      </w:lvl>
    </w:lvlOverride>
    <w:lvlOverride w:ilvl="7">
      <w:startOverride w:val="1"/>
      <w:lvl w:ilvl="7" w:tentative="1">
        <w:start w:val="1"/>
        <w:numFmt w:val="decimal"/>
        <w:lvlText w:val="%1.%2.%3.%4.%5.%6.%7.%8"/>
        <w:lvlJc w:val="left"/>
        <w:pPr>
          <w:ind w:left="4819" w:hanging="850"/>
        </w:pPr>
        <w:rPr>
          <w:rFonts w:hint="eastAsia"/>
        </w:rPr>
      </w:lvl>
    </w:lvlOverride>
    <w:lvlOverride w:ilvl="8">
      <w:startOverride w:val="1"/>
      <w:lvl w:ilvl="8" w:tentative="1">
        <w:start w:val="1"/>
        <w:numFmt w:val="decimal"/>
        <w:lvlText w:val="%1.%2.%3.%4.%5.%6.%7.%8.%9"/>
        <w:lvlJc w:val="left"/>
        <w:pPr>
          <w:ind w:left="4961" w:hanging="567"/>
        </w:pPr>
        <w:rPr>
          <w:rFonts w:hint="eastAsia"/>
        </w:r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mU3YjMxZGI2YTE5MTNjMGQ4ZjRkMTA2NGVkYjIifQ=="/>
  </w:docVars>
  <w:rsids>
    <w:rsidRoot w:val="66500229"/>
    <w:rsid w:val="07230428"/>
    <w:rsid w:val="1C3A5E97"/>
    <w:rsid w:val="365B78E4"/>
    <w:rsid w:val="37C10444"/>
    <w:rsid w:val="4A7D294E"/>
    <w:rsid w:val="59A60AFF"/>
    <w:rsid w:val="66500229"/>
    <w:rsid w:val="746E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宋体" w:hAnsi="宋体" w:eastAsia="宋体" w:cs="Times New Roman"/>
      <w:sz w:val="24"/>
      <w:szCs w:val="24"/>
      <w:lang w:val="en-US" w:eastAsia="zh-CN" w:bidi="ar-SA"/>
    </w:rPr>
  </w:style>
  <w:style w:type="paragraph" w:styleId="3">
    <w:name w:val="heading 1"/>
    <w:basedOn w:val="1"/>
    <w:next w:val="1"/>
    <w:qFormat/>
    <w:uiPriority w:val="1"/>
    <w:pPr>
      <w:keepNext/>
      <w:keepLines/>
      <w:pageBreakBefore/>
      <w:numPr>
        <w:ilvl w:val="0"/>
        <w:numId w:val="1"/>
      </w:numPr>
      <w:pBdr>
        <w:bottom w:val="thinThickSmallGap" w:color="92D050" w:sz="24" w:space="1"/>
      </w:pBdr>
      <w:tabs>
        <w:tab w:val="left" w:pos="432"/>
      </w:tabs>
      <w:spacing w:before="400" w:after="330"/>
      <w:outlineLvl w:val="0"/>
    </w:pPr>
    <w:rPr>
      <w:rFonts w:eastAsia="黑体"/>
      <w:b/>
      <w:kern w:val="44"/>
      <w:sz w:val="36"/>
    </w:rPr>
  </w:style>
  <w:style w:type="paragraph" w:styleId="4">
    <w:name w:val="heading 2"/>
    <w:basedOn w:val="1"/>
    <w:next w:val="1"/>
    <w:qFormat/>
    <w:uiPriority w:val="1"/>
    <w:pPr>
      <w:keepNext/>
      <w:keepLines/>
      <w:numPr>
        <w:ilvl w:val="1"/>
        <w:numId w:val="2"/>
      </w:numPr>
      <w:tabs>
        <w:tab w:val="left" w:pos="576"/>
      </w:tabs>
      <w:spacing w:before="260" w:after="260" w:line="413" w:lineRule="auto"/>
      <w:outlineLvl w:val="1"/>
    </w:pPr>
    <w:rPr>
      <w:b/>
      <w:sz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footer"/>
    <w:basedOn w:val="1"/>
    <w:qFormat/>
    <w:uiPriority w:val="99"/>
    <w:pPr>
      <w:tabs>
        <w:tab w:val="center" w:pos="4153"/>
        <w:tab w:val="right" w:pos="8306"/>
      </w:tabs>
      <w:snapToGrid w:val="0"/>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11">
    <w:name w:val="List Paragraph"/>
    <w:basedOn w:val="1"/>
    <w:qFormat/>
    <w:uiPriority w:val="34"/>
    <w:pPr>
      <w:widowControl w:val="0"/>
      <w:spacing w:line="240" w:lineRule="auto"/>
      <w:ind w:firstLine="420" w:firstLineChars="200"/>
      <w:jc w:val="both"/>
    </w:pPr>
    <w:rPr>
      <w:rFonts w:ascii="Calibri" w:hAnsi="Calibri"/>
      <w:kern w:val="2"/>
      <w:sz w:val="21"/>
      <w:szCs w:val="22"/>
    </w:rPr>
  </w:style>
  <w:style w:type="paragraph" w:customStyle="1" w:styleId="12">
    <w:name w:val="样式1"/>
    <w:basedOn w:val="1"/>
    <w:qFormat/>
    <w:uiPriority w:val="0"/>
    <w:pPr>
      <w:ind w:left="161" w:leftChars="67" w:firstLine="566" w:firstLineChars="236"/>
    </w:pPr>
  </w:style>
  <w:style w:type="paragraph" w:customStyle="1" w:styleId="13">
    <w:name w:val="技术文档正文"/>
    <w:basedOn w:val="1"/>
    <w:qFormat/>
    <w:uiPriority w:val="0"/>
    <w:pPr>
      <w:spacing w:line="360" w:lineRule="auto"/>
      <w:ind w:firstLine="200" w:firstLineChars="200"/>
    </w:pPr>
    <w:rPr>
      <w:rFonts w:ascii="Times New Roman" w:hAnsi="Times New Roman" w:eastAsia="宋体"/>
      <w:sz w:val="24"/>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3962</Words>
  <Characters>4017</Characters>
  <Lines>0</Lines>
  <Paragraphs>0</Paragraphs>
  <TotalTime>12</TotalTime>
  <ScaleCrop>false</ScaleCrop>
  <LinksUpToDate>false</LinksUpToDate>
  <CharactersWithSpaces>4041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2022-07-12T06:58:00Z</dcterms:created>
  <dc:creator>xxk</dc:creator>
  <cp:lastModifiedBy>xxk</cp:lastModifiedBy>
  <dcterms:modified xsi:type="dcterms:W3CDTF">2022-07-18T03:08:25Z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D3A1145AD8DE41E18A7110D05F1DF30C</vt:lpwstr>
  </property>
</Properties>
</file>