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采购需求</w:t>
      </w:r>
    </w:p>
    <w:p>
      <w:pPr>
        <w:spacing w:line="560" w:lineRule="exac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一、品目及技术需求</w:t>
      </w:r>
    </w:p>
    <w:tbl>
      <w:tblPr>
        <w:tblStyle w:val="4"/>
        <w:tblW w:w="90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5214"/>
        <w:gridCol w:w="804"/>
        <w:gridCol w:w="1094"/>
        <w:gridCol w:w="1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3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名称</w:t>
            </w:r>
          </w:p>
        </w:tc>
        <w:tc>
          <w:tcPr>
            <w:tcW w:w="521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参数要求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数量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控制金额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建议品牌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  <w:jc w:val="center"/>
        </w:trPr>
        <w:tc>
          <w:tcPr>
            <w:tcW w:w="8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</w:rPr>
              <w:t>防火墙</w:t>
            </w:r>
          </w:p>
        </w:tc>
        <w:tc>
          <w:tcPr>
            <w:tcW w:w="5214" w:type="dxa"/>
            <w:vAlign w:val="center"/>
          </w:tcPr>
          <w:p>
            <w:pPr>
              <w:adjustRightInd w:val="0"/>
              <w:snapToGrid w:val="0"/>
              <w:rPr>
                <w:rFonts w:hint="eastAsia" w:ascii="Times New Roman" w:hAnsi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</w:rPr>
              <w:t>1、桌面式式结构；≥5个千M电口，≥1个Combo，网络吞吐≥700M，并发连接≥20万，每秒新建连接≥2000；支持扩展SSL VPN模块、AI应用识别、IPS入侵防御及AV防病毒功能。；</w:t>
            </w:r>
          </w:p>
          <w:p>
            <w:pPr>
              <w:adjustRightInd w:val="0"/>
              <w:snapToGrid w:val="0"/>
              <w:rPr>
                <w:rFonts w:hint="eastAsia" w:ascii="Times New Roman" w:hAnsi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</w:rPr>
              <w:t xml:space="preserve">2、支持IPv4/IPv6双栈工作模式； </w:t>
            </w:r>
          </w:p>
          <w:p>
            <w:pPr>
              <w:adjustRightInd w:val="0"/>
              <w:snapToGrid w:val="0"/>
              <w:rPr>
                <w:rFonts w:hint="eastAsia" w:ascii="Times New Roman" w:hAnsi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</w:rPr>
              <w:t>3、支持IPv6安全控制策略设置，能针对IPv6的目的/源地址、目的/源服务端口、区域、服务、时间、扩展头属性等条件进行安全访问规则的设置；</w:t>
            </w:r>
          </w:p>
          <w:p>
            <w:pPr>
              <w:adjustRightInd w:val="0"/>
              <w:snapToGrid w:val="0"/>
              <w:rPr>
                <w:rFonts w:hint="eastAsia" w:ascii="Times New Roman" w:hAnsi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</w:rPr>
              <w:t>4、具有策略自学习功能，并且能够根据自学习结果直接生成访问控制策略；支持策略冲突检测功能；</w:t>
            </w:r>
          </w:p>
          <w:p>
            <w:pPr>
              <w:adjustRightInd w:val="0"/>
              <w:snapToGrid w:val="0"/>
              <w:rPr>
                <w:rFonts w:hint="eastAsia" w:ascii="Times New Roman" w:hAnsi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</w:rPr>
              <w:t>5、支持在一台物理设备上划分出24个相互独立的虚拟系统，可根据连接配额及连接新建速率为每个虚拟系统分配资源；</w:t>
            </w:r>
          </w:p>
          <w:p>
            <w:pPr>
              <w:adjustRightInd w:val="0"/>
              <w:snapToGrid w:val="0"/>
              <w:rPr>
                <w:rFonts w:hint="eastAsia" w:ascii="Times New Roman" w:hAnsi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</w:rPr>
              <w:t xml:space="preserve">6、内置强大的用户身份管理系统，支持本地认证、证书认证及免认证等方式，同时支持RADIUS、LDAP、TACACS等多种第三方外部认证设置； </w:t>
            </w:r>
          </w:p>
          <w:p>
            <w:pPr>
              <w:adjustRightInd w:val="0"/>
              <w:snapToGrid w:val="0"/>
              <w:rPr>
                <w:rFonts w:hint="eastAsia" w:ascii="Times New Roman" w:hAnsi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</w:rPr>
              <w:t>7、支持一体化安全策略配置，可以通过一条策略实现五元组信息源MAC、域名、地理区域、应用、服务、时间、长连接、并发会话、WEB认证、IPS、AV、URL过滤、WAF、邮件安全、数据过滤、文件过滤、审计、防代理、APT等功能配置,简化用户管理；</w:t>
            </w:r>
          </w:p>
          <w:p>
            <w:pPr>
              <w:adjustRightInd w:val="0"/>
              <w:snapToGrid w:val="0"/>
              <w:rPr>
                <w:rFonts w:hint="eastAsia" w:ascii="Times New Roman" w:hAnsi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</w:rPr>
              <w:t xml:space="preserve">8、支持异常行为检测，内置统计智能学习算法，对特定地址对象建立监控策略，基于新建、并发、流量等数据与上一周期记录值进行比较判定是否异常，如果存在异常则报警； </w:t>
            </w:r>
          </w:p>
          <w:p>
            <w:pPr>
              <w:adjustRightInd w:val="0"/>
              <w:snapToGrid w:val="0"/>
              <w:rPr>
                <w:rFonts w:hint="eastAsia" w:ascii="Times New Roman" w:hAnsi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</w:rPr>
              <w:t>9、内置文件过滤引擎，支持对即时通讯、社交网络、网络硬盘、网页邮箱、IM文件传输等应用类型以及HTTP/FTP/SMTP/POP3等标准协议进行检测，识别可执行文件、office文件、视频文件、图片文件、帮助文件、压缩文件、数据文件等超过50种文档类型的文件过滤；</w:t>
            </w:r>
          </w:p>
          <w:p>
            <w:pPr>
              <w:adjustRightInd w:val="0"/>
              <w:snapToGrid w:val="0"/>
              <w:rPr>
                <w:rFonts w:hint="eastAsia" w:ascii="Times New Roman" w:hAnsi="Times New Roman" w:eastAsia="宋体"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</w:rPr>
              <w:t>10、设备厂商提供针对本项目的3年原厂售后服务承诺函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:lang w:eastAsia="zh-CN"/>
              </w:rPr>
              <w:t>。</w:t>
            </w:r>
          </w:p>
        </w:tc>
        <w:tc>
          <w:tcPr>
            <w:tcW w:w="8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</w:rPr>
              <w:t>2</w:t>
            </w:r>
          </w:p>
        </w:tc>
        <w:tc>
          <w:tcPr>
            <w:tcW w:w="10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color w:val="000000" w:themeColor="text1"/>
                <w:szCs w:val="21"/>
              </w:rPr>
              <w:t>万</w:t>
            </w:r>
          </w:p>
        </w:tc>
        <w:tc>
          <w:tcPr>
            <w:tcW w:w="11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</w:rPr>
              <w:t>天融信、深信服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  <w:jc w:val="center"/>
        </w:trPr>
        <w:tc>
          <w:tcPr>
            <w:tcW w:w="8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</w:rPr>
              <w:t>无线许可</w:t>
            </w:r>
          </w:p>
        </w:tc>
        <w:tc>
          <w:tcPr>
            <w:tcW w:w="5214" w:type="dxa"/>
            <w:vAlign w:val="center"/>
          </w:tcPr>
          <w:p>
            <w:pPr>
              <w:adjustRightInd w:val="0"/>
              <w:snapToGrid w:val="0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</w:rPr>
              <w:t>无线控制器容量升级许可：无线控制器AP管理数量增加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</w:rPr>
              <w:t>96</w:t>
            </w:r>
            <w:r>
              <w:rPr>
                <w:rFonts w:hint="eastAsia" w:ascii="Times New Roman" w:hAnsi="Times New Roman"/>
                <w:color w:val="000000" w:themeColor="text1"/>
                <w:szCs w:val="21"/>
              </w:rPr>
              <w:t>个</w:t>
            </w:r>
          </w:p>
        </w:tc>
        <w:tc>
          <w:tcPr>
            <w:tcW w:w="8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</w:rPr>
              <w:t>96</w:t>
            </w:r>
          </w:p>
        </w:tc>
        <w:tc>
          <w:tcPr>
            <w:tcW w:w="10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</w:rPr>
              <w:t>3万</w:t>
            </w:r>
          </w:p>
        </w:tc>
        <w:tc>
          <w:tcPr>
            <w:tcW w:w="11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</w:rPr>
              <w:t>极进、华为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atLeast"/>
          <w:jc w:val="center"/>
        </w:trPr>
        <w:tc>
          <w:tcPr>
            <w:tcW w:w="8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</w:rPr>
              <w:t>无线AP</w:t>
            </w:r>
          </w:p>
        </w:tc>
        <w:tc>
          <w:tcPr>
            <w:tcW w:w="5214" w:type="dxa"/>
            <w:vAlign w:val="center"/>
          </w:tcPr>
          <w:p>
            <w:pPr>
              <w:adjustRightInd w:val="0"/>
              <w:snapToGrid w:val="0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  <w:t>室内型双基站 802.11ac Wave2 接入点，可管理同型号产品64个（含自身），1个千兆以太网口，内置蓝牙传感器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</w:rPr>
              <w:t>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采用原厂设计、生产的非OEM产品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可以工作于</w:t>
            </w:r>
            <w:r>
              <w:rPr>
                <w:rFonts w:ascii="宋体" w:hAnsi="宋体" w:eastAsia="宋体" w:cs="宋体"/>
                <w:color w:val="auto"/>
                <w:szCs w:val="21"/>
                <w:highlight w:val="none"/>
              </w:rPr>
              <w:t>WLAN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的</w:t>
            </w:r>
            <w:r>
              <w:rPr>
                <w:rFonts w:ascii="宋体" w:hAnsi="宋体" w:eastAsia="宋体" w:cs="宋体"/>
                <w:color w:val="auto"/>
                <w:szCs w:val="21"/>
                <w:highlight w:val="none"/>
              </w:rPr>
              <w:t>2.4GHz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频段和</w:t>
            </w:r>
            <w:r>
              <w:rPr>
                <w:rFonts w:ascii="宋体" w:hAnsi="宋体" w:eastAsia="宋体" w:cs="宋体"/>
                <w:color w:val="auto"/>
                <w:szCs w:val="21"/>
                <w:highlight w:val="none"/>
              </w:rPr>
              <w:t>5GHz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频段之上，支持802.11</w:t>
            </w:r>
            <w:r>
              <w:rPr>
                <w:rFonts w:ascii="宋体" w:hAnsi="宋体" w:eastAsia="宋体" w:cs="宋体"/>
                <w:color w:val="auto"/>
                <w:szCs w:val="21"/>
                <w:highlight w:val="none"/>
              </w:rPr>
              <w:t>b/g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/</w:t>
            </w:r>
            <w:r>
              <w:rPr>
                <w:rFonts w:ascii="宋体" w:hAnsi="宋体" w:eastAsia="宋体" w:cs="宋体"/>
                <w:color w:val="auto"/>
                <w:szCs w:val="21"/>
                <w:highlight w:val="none"/>
              </w:rPr>
              <w:t>n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和</w:t>
            </w:r>
            <w:r>
              <w:rPr>
                <w:rFonts w:ascii="宋体" w:hAnsi="宋体" w:eastAsia="宋体" w:cs="宋体"/>
                <w:color w:val="auto"/>
                <w:szCs w:val="21"/>
                <w:highlight w:val="none"/>
              </w:rPr>
              <w:t>802.11a/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 xml:space="preserve">n/ac </w:t>
            </w:r>
            <w:r>
              <w:rPr>
                <w:rFonts w:ascii="宋体" w:hAnsi="宋体" w:eastAsia="宋体" w:cs="宋体"/>
                <w:color w:val="auto"/>
                <w:szCs w:val="21"/>
                <w:highlight w:val="none"/>
              </w:rPr>
              <w:t xml:space="preserve">wave2 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szCs w:val="21"/>
                <w:highlight w:val="none"/>
              </w:rPr>
              <w:t>AP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基于</w:t>
            </w:r>
            <w:r>
              <w:rPr>
                <w:rFonts w:ascii="宋体" w:hAnsi="宋体" w:eastAsia="宋体" w:cs="宋体"/>
                <w:color w:val="auto"/>
                <w:szCs w:val="21"/>
                <w:highlight w:val="none"/>
              </w:rPr>
              <w:t>2*2:2 MIMO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架构；最大发射功率≤</w:t>
            </w:r>
            <w:r>
              <w:rPr>
                <w:rFonts w:ascii="宋体" w:hAnsi="宋体" w:eastAsia="宋体" w:cs="宋体"/>
                <w:color w:val="auto"/>
                <w:szCs w:val="21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0</w:t>
            </w:r>
            <w:r>
              <w:rPr>
                <w:rFonts w:ascii="宋体" w:hAnsi="宋体" w:eastAsia="宋体" w:cs="宋体"/>
                <w:color w:val="auto"/>
                <w:szCs w:val="21"/>
                <w:highlight w:val="none"/>
              </w:rPr>
              <w:t>dBm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支持把射频Radio用作Sensor，对WLAN进行无线监控；需要支持独立全时监听模式和分时监听的两种模式。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支持WLAN自动关闭及开启功能，可基于“AP在线状态、上联链路端口状态、MESH链路、任意IP地址监控”实现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为便于部署及安装美观，需要使用内置天线版AP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;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支持集中转发、本地转发模式，并可支持混合转发模式（集中转发下的智能本地转发），在本地转发模式下，AC可查看终端关联情况；AP自身可以支持portal认证、RADIUS认证、防火墙等功能，保证AC宕机后，AP的这些功能还可使用，与现有无线控制器对接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;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  <w:t>AP工作于集中转发模式或本地转发模式下，可以平滑转换，无需更换版本</w:t>
            </w:r>
            <w:r>
              <w:rPr>
                <w:rFonts w:hint="eastAsia" w:ascii="宋体" w:hAnsi="宋体" w:eastAsia="宋体"/>
                <w:color w:val="auto"/>
                <w:szCs w:val="21"/>
                <w:highlight w:val="none"/>
                <w:lang w:val="en-US" w:eastAsia="zh-CN"/>
              </w:rPr>
              <w:t>;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  <w:t>支持自适应模式，在有</w:t>
            </w:r>
            <w:r>
              <w:rPr>
                <w:rFonts w:ascii="宋体" w:hAnsi="宋体" w:eastAsia="宋体"/>
                <w:color w:val="auto"/>
                <w:szCs w:val="21"/>
                <w:highlight w:val="none"/>
              </w:rPr>
              <w:t>AC</w:t>
            </w:r>
            <w: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  <w:t>的情况下由</w:t>
            </w:r>
            <w:r>
              <w:rPr>
                <w:rFonts w:ascii="宋体" w:hAnsi="宋体" w:eastAsia="宋体"/>
                <w:color w:val="auto"/>
                <w:szCs w:val="21"/>
                <w:highlight w:val="none"/>
              </w:rPr>
              <w:t>AC</w:t>
            </w:r>
            <w: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  <w:t>统一管理，</w:t>
            </w:r>
            <w:r>
              <w:rPr>
                <w:rFonts w:ascii="宋体" w:hAnsi="宋体" w:eastAsia="宋体"/>
                <w:color w:val="auto"/>
                <w:szCs w:val="21"/>
                <w:highlight w:val="none"/>
              </w:rPr>
              <w:t>AC</w:t>
            </w:r>
            <w: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  <w:t>宕机仍保持存活，并保持最后的配置不变，无</w:t>
            </w:r>
            <w:r>
              <w:rPr>
                <w:rFonts w:ascii="宋体" w:hAnsi="宋体" w:eastAsia="宋体"/>
                <w:color w:val="auto"/>
                <w:szCs w:val="21"/>
                <w:highlight w:val="none"/>
              </w:rPr>
              <w:t>AC</w:t>
            </w:r>
            <w: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  <w:t>情况下可以自行工作，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终端用户认证、漫游、安全等功能不受影响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数据速率：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 xml:space="preserve">802.11n: MCS 0-23 up to </w:t>
            </w:r>
            <w:r>
              <w:rPr>
                <w:rFonts w:ascii="宋体" w:hAnsi="宋体" w:eastAsia="宋体" w:cs="宋体"/>
                <w:color w:val="auto"/>
                <w:szCs w:val="21"/>
                <w:highlight w:val="none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 xml:space="preserve">0Mbps 802.11ac： MCS 0-9 up to </w:t>
            </w:r>
            <w:r>
              <w:rPr>
                <w:rFonts w:ascii="宋体" w:hAnsi="宋体" w:eastAsia="宋体" w:cs="宋体"/>
                <w:color w:val="auto"/>
                <w:szCs w:val="21"/>
                <w:highlight w:val="none"/>
              </w:rPr>
              <w:t>866M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支持标准802.3af POE供电方式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单个</w:t>
            </w:r>
            <w:r>
              <w:rPr>
                <w:rFonts w:ascii="宋体" w:hAnsi="宋体" w:eastAsia="宋体" w:cs="宋体"/>
                <w:color w:val="auto"/>
                <w:szCs w:val="21"/>
                <w:highlight w:val="none"/>
              </w:rPr>
              <w:t>AP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可支持不小于</w:t>
            </w:r>
            <w:r>
              <w:rPr>
                <w:rFonts w:ascii="宋体" w:hAnsi="宋体" w:eastAsia="宋体" w:cs="宋体"/>
                <w:color w:val="auto"/>
                <w:szCs w:val="21"/>
                <w:highlight w:val="none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个</w:t>
            </w:r>
            <w:r>
              <w:rPr>
                <w:rFonts w:ascii="宋体" w:hAnsi="宋体" w:eastAsia="宋体" w:cs="宋体"/>
                <w:color w:val="auto"/>
                <w:szCs w:val="21"/>
                <w:highlight w:val="none"/>
              </w:rPr>
              <w:t>BSSID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和</w:t>
            </w:r>
            <w:r>
              <w:rPr>
                <w:rFonts w:ascii="宋体" w:hAnsi="宋体" w:eastAsia="宋体" w:cs="宋体"/>
                <w:color w:val="auto"/>
                <w:szCs w:val="21"/>
                <w:highlight w:val="none"/>
              </w:rPr>
              <w:t>16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个可广播</w:t>
            </w:r>
            <w:r>
              <w:rPr>
                <w:rFonts w:ascii="宋体" w:hAnsi="宋体" w:eastAsia="宋体" w:cs="宋体"/>
                <w:color w:val="auto"/>
                <w:szCs w:val="21"/>
                <w:highlight w:val="none"/>
              </w:rPr>
              <w:t>SSID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；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支持虚拟</w:t>
            </w:r>
            <w:r>
              <w:rPr>
                <w:rFonts w:ascii="宋体" w:hAnsi="宋体" w:eastAsia="宋体" w:cs="宋体"/>
                <w:color w:val="auto"/>
                <w:szCs w:val="21"/>
                <w:highlight w:val="none"/>
              </w:rPr>
              <w:t>AC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模式，可管理同型号≥</w:t>
            </w:r>
            <w:r>
              <w:rPr>
                <w:rFonts w:ascii="宋体" w:hAnsi="宋体" w:eastAsia="宋体" w:cs="宋体"/>
                <w:color w:val="auto"/>
                <w:szCs w:val="21"/>
                <w:highlight w:val="none"/>
              </w:rPr>
              <w:t>64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个</w:t>
            </w:r>
            <w:r>
              <w:rPr>
                <w:rFonts w:ascii="宋体" w:hAnsi="宋体" w:eastAsia="宋体" w:cs="宋体"/>
                <w:color w:val="auto"/>
                <w:szCs w:val="21"/>
                <w:highlight w:val="none"/>
              </w:rPr>
              <w:t>AP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；</w:t>
            </w:r>
            <w:r>
              <w:rPr>
                <w:rFonts w:ascii="宋体" w:hAnsi="宋体" w:eastAsia="宋体" w:cs="宋体"/>
                <w:color w:val="auto"/>
                <w:szCs w:val="21"/>
                <w:highlight w:val="none"/>
              </w:rPr>
              <w:t>并且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在后期AP需要被AC管理后，</w:t>
            </w:r>
            <w:r>
              <w:rPr>
                <w:rFonts w:ascii="宋体" w:hAnsi="宋体" w:eastAsia="宋体" w:cs="宋体"/>
                <w:color w:val="auto"/>
                <w:szCs w:val="21"/>
                <w:highlight w:val="none"/>
              </w:rPr>
              <w:t>不需要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升级软件版本即可实现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要求AP天线支持智能射频分析，根据周边环境智能调整射频，如发射功率、信道等。并且AP实现此功能时需要满足：1</w:t>
            </w:r>
            <w:r>
              <w:rPr>
                <w:rFonts w:ascii="宋体" w:hAnsi="宋体" w:eastAsia="宋体" w:cs="宋体"/>
                <w:color w:val="auto"/>
                <w:szCs w:val="21"/>
                <w:highlight w:val="none"/>
              </w:rPr>
              <w:t>.不能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重启AP；2</w:t>
            </w:r>
            <w:r>
              <w:rPr>
                <w:rFonts w:ascii="宋体" w:hAnsi="宋体" w:eastAsia="宋体" w:cs="宋体"/>
                <w:color w:val="auto"/>
                <w:szCs w:val="21"/>
                <w:highlight w:val="none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在指定区域的AP进行智能射频调整时，同一AC下其他区域的AP不会受到影响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可基于AP的IP地址、vlan等条件自动取得对应</w:t>
            </w:r>
            <w:r>
              <w:rPr>
                <w:rFonts w:ascii="宋体" w:hAnsi="宋体" w:eastAsia="宋体" w:cs="宋体"/>
                <w:color w:val="auto"/>
                <w:szCs w:val="21"/>
                <w:highlight w:val="none"/>
              </w:rPr>
              <w:t>AC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上配置文件集中的AP配置，无需基于AP mac手动对应AP配置文件集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支持临时密钥交换协议（</w:t>
            </w:r>
            <w:r>
              <w:rPr>
                <w:rFonts w:ascii="宋体" w:hAnsi="宋体" w:eastAsia="宋体" w:cs="宋体"/>
                <w:color w:val="auto"/>
                <w:szCs w:val="21"/>
                <w:highlight w:val="none"/>
              </w:rPr>
              <w:t>TKIP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）以及有线对等加密（</w:t>
            </w:r>
            <w:r>
              <w:rPr>
                <w:rFonts w:ascii="宋体" w:hAnsi="宋体" w:eastAsia="宋体" w:cs="宋体"/>
                <w:color w:val="auto"/>
                <w:szCs w:val="21"/>
                <w:highlight w:val="none"/>
              </w:rPr>
              <w:t>64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、</w:t>
            </w:r>
            <w:r>
              <w:rPr>
                <w:rFonts w:ascii="宋体" w:hAnsi="宋体" w:eastAsia="宋体" w:cs="宋体"/>
                <w:color w:val="auto"/>
                <w:szCs w:val="21"/>
                <w:highlight w:val="none"/>
              </w:rPr>
              <w:t>128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位</w:t>
            </w:r>
            <w:r>
              <w:rPr>
                <w:rFonts w:ascii="宋体" w:hAnsi="宋体" w:eastAsia="宋体" w:cs="宋体"/>
                <w:color w:val="auto"/>
                <w:szCs w:val="21"/>
                <w:highlight w:val="none"/>
              </w:rPr>
              <w:t>WEP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加密）、支持</w:t>
            </w:r>
            <w:r>
              <w:rPr>
                <w:rFonts w:ascii="宋体" w:hAnsi="宋体" w:eastAsia="宋体" w:cs="宋体"/>
                <w:color w:val="auto"/>
                <w:szCs w:val="21"/>
                <w:highlight w:val="none"/>
              </w:rPr>
              <w:t>WPA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、</w:t>
            </w:r>
            <w:r>
              <w:rPr>
                <w:rFonts w:ascii="宋体" w:hAnsi="宋体" w:eastAsia="宋体" w:cs="宋体"/>
                <w:color w:val="auto"/>
                <w:szCs w:val="21"/>
                <w:highlight w:val="none"/>
              </w:rPr>
              <w:t>802.11i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及</w:t>
            </w:r>
            <w:r>
              <w:rPr>
                <w:rFonts w:ascii="宋体" w:hAnsi="宋体" w:eastAsia="宋体" w:cs="宋体"/>
                <w:color w:val="auto"/>
                <w:szCs w:val="21"/>
                <w:highlight w:val="none"/>
              </w:rPr>
              <w:t>WPA2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加密算法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支持同一个AP下的用户之间的隔离，隔离后的用户将不能相互访问。能够和无线控制器协调实现不同AP下用户的隔离功能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szCs w:val="21"/>
                <w:highlight w:val="none"/>
              </w:rPr>
              <w:t>QoS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：</w:t>
            </w:r>
            <w:r>
              <w:rPr>
                <w:rFonts w:ascii="宋体" w:hAnsi="宋体" w:eastAsia="宋体" w:cs="宋体"/>
                <w:color w:val="auto"/>
                <w:szCs w:val="21"/>
                <w:highlight w:val="none"/>
              </w:rPr>
              <w:t xml:space="preserve">802.1p VLAN 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优先级</w:t>
            </w:r>
            <w:r>
              <w:rPr>
                <w:rFonts w:ascii="宋体" w:hAnsi="宋体" w:eastAsia="宋体" w:cs="宋体"/>
                <w:color w:val="auto"/>
                <w:szCs w:val="21"/>
                <w:highlight w:val="none"/>
              </w:rPr>
              <w:t xml:space="preserve">, 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区分服务</w:t>
            </w:r>
            <w:r>
              <w:rPr>
                <w:rFonts w:ascii="宋体" w:hAnsi="宋体" w:eastAsia="宋体" w:cs="宋体"/>
                <w:color w:val="auto"/>
                <w:szCs w:val="21"/>
                <w:highlight w:val="none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服务条款</w:t>
            </w:r>
            <w:r>
              <w:rPr>
                <w:rFonts w:ascii="宋体" w:hAnsi="宋体" w:eastAsia="宋体" w:cs="宋体"/>
                <w:color w:val="auto"/>
                <w:szCs w:val="21"/>
                <w:highlight w:val="none"/>
              </w:rPr>
              <w:t xml:space="preserve">, 1-4 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层数据包分类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，</w:t>
            </w:r>
            <w:r>
              <w:rPr>
                <w:rFonts w:ascii="宋体" w:hAnsi="宋体" w:eastAsia="宋体" w:cs="宋体"/>
                <w:color w:val="auto"/>
                <w:szCs w:val="21"/>
                <w:highlight w:val="none"/>
              </w:rPr>
              <w:t xml:space="preserve">802.11 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流量优先顺序确定和优先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  <w:t>基于用户的视频流量、BT下载和社交软件等应用的带宽限制</w:t>
            </w:r>
            <w:r>
              <w:rPr>
                <w:rFonts w:hint="eastAsia" w:ascii="宋体" w:hAnsi="宋体" w:eastAsia="宋体"/>
                <w:color w:val="auto"/>
                <w:szCs w:val="21"/>
                <w:highlight w:val="none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兼容性：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所投产品要求与我校原有的无线控制器兼容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8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</w:rPr>
              <w:t>50</w:t>
            </w:r>
          </w:p>
        </w:tc>
        <w:tc>
          <w:tcPr>
            <w:tcW w:w="10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</w:rPr>
              <w:t>4万</w:t>
            </w:r>
          </w:p>
        </w:tc>
        <w:tc>
          <w:tcPr>
            <w:tcW w:w="11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</w:rPr>
              <w:t>极进、华为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二、商务要求</w:t>
      </w:r>
    </w:p>
    <w:tbl>
      <w:tblPr>
        <w:tblStyle w:val="4"/>
        <w:tblW w:w="93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1" w:hRule="atLeast"/>
          <w:jc w:val="center"/>
        </w:trPr>
        <w:tc>
          <w:tcPr>
            <w:tcW w:w="9362" w:type="dxa"/>
            <w:vAlign w:val="center"/>
          </w:tcPr>
          <w:p>
            <w:pPr>
              <w:ind w:firstLine="422" w:firstLineChars="200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szCs w:val="21"/>
              </w:rPr>
              <w:t>交货期</w:t>
            </w:r>
          </w:p>
          <w:p>
            <w:pPr>
              <w:ind w:firstLine="420" w:firstLineChars="200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1、交货时间（工期）:</w:t>
            </w:r>
            <w:r>
              <w:rPr>
                <w:rFonts w:hint="eastAsia" w:ascii="新宋体" w:hAnsi="新宋体" w:eastAsia="新宋体"/>
                <w:b/>
                <w:szCs w:val="21"/>
              </w:rPr>
              <w:t xml:space="preserve"> 合同签订后5日内</w:t>
            </w:r>
            <w:r>
              <w:rPr>
                <w:rFonts w:hint="eastAsia" w:ascii="新宋体" w:hAnsi="新宋体" w:eastAsia="新宋体"/>
                <w:szCs w:val="21"/>
              </w:rPr>
              <w:t>将所需货物运输至指定的安装调试地点，负责将所有设备和系统安装调试完毕，并完成对使用人员的使用操作培训。</w:t>
            </w:r>
          </w:p>
          <w:p>
            <w:pPr>
              <w:tabs>
                <w:tab w:val="left" w:pos="720"/>
              </w:tabs>
              <w:ind w:firstLine="420" w:firstLineChars="200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2、交货地点：</w:t>
            </w:r>
            <w:r>
              <w:rPr>
                <w:rFonts w:hint="eastAsia" w:ascii="新宋体" w:hAnsi="新宋体" w:eastAsia="新宋体"/>
                <w:b/>
                <w:szCs w:val="21"/>
              </w:rPr>
              <w:t>工程学院指定的地点。</w:t>
            </w:r>
          </w:p>
          <w:p>
            <w:pPr>
              <w:tabs>
                <w:tab w:val="left" w:pos="720"/>
              </w:tabs>
              <w:ind w:firstLine="420" w:firstLineChars="200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3、交货方式为：现场交货，即卖方负责办理运输和保险事宜，将货物运至现场</w:t>
            </w:r>
            <w:r>
              <w:rPr>
                <w:rFonts w:ascii="新宋体" w:hAnsi="新宋体" w:eastAsia="新宋体"/>
                <w:szCs w:val="21"/>
              </w:rPr>
              <w:t>，</w:t>
            </w:r>
            <w:r>
              <w:rPr>
                <w:rFonts w:hint="eastAsia" w:ascii="新宋体" w:hAnsi="新宋体" w:eastAsia="新宋体"/>
                <w:szCs w:val="21"/>
              </w:rPr>
              <w:t>一切费用均由卖方负责，途中所发生的损失均由卖方负责。</w:t>
            </w:r>
          </w:p>
          <w:p>
            <w:pPr>
              <w:ind w:firstLine="422" w:firstLineChars="200"/>
              <w:rPr>
                <w:rFonts w:ascii="新宋体" w:hAnsi="新宋体" w:eastAsia="新宋体"/>
                <w:b/>
                <w:bCs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szCs w:val="21"/>
              </w:rPr>
              <w:t>安装调试</w:t>
            </w:r>
          </w:p>
          <w:p>
            <w:pPr>
              <w:ind w:firstLine="420" w:firstLineChars="200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1、在货物运达后5日之内完成安装调试，经试运转验收合格后交付买方使用。</w:t>
            </w:r>
          </w:p>
          <w:p>
            <w:pPr>
              <w:ind w:firstLine="420" w:firstLineChars="200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2、安装调试过程中，操作人员应注意自身的财产和人身安全，避免安全事故发生，因安装人员、工作人员原因导致相关事故发生的，由卖方承担最终责任。</w:t>
            </w:r>
          </w:p>
          <w:p>
            <w:pPr>
              <w:ind w:firstLine="422" w:firstLineChars="200"/>
              <w:rPr>
                <w:rFonts w:ascii="新宋体" w:hAnsi="新宋体" w:eastAsia="新宋体"/>
                <w:b/>
                <w:bCs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szCs w:val="21"/>
              </w:rPr>
              <w:t>检验和验收</w:t>
            </w:r>
          </w:p>
          <w:p>
            <w:pPr>
              <w:ind w:left="420" w:leftChars="200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1、卖方应按照本次购买设备规定的技术要求和范围进行提供货物。</w:t>
            </w:r>
          </w:p>
          <w:p>
            <w:pPr>
              <w:ind w:firstLine="420" w:firstLineChars="200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2、设备安装调试完毕后5日内，由买方组织有关专业人员，按产品的性能指标、国家及行业相关标准进行验收，合格后，双方即签署验收文件，设备即视为验收通过。</w:t>
            </w:r>
          </w:p>
          <w:p>
            <w:pPr>
              <w:numPr>
                <w:ilvl w:val="0"/>
                <w:numId w:val="2"/>
              </w:numPr>
              <w:ind w:left="0" w:firstLine="420" w:firstLineChars="200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安装调试后设备的各种性能和参数应满足技术要求。</w:t>
            </w:r>
          </w:p>
          <w:p>
            <w:pPr>
              <w:ind w:firstLine="422" w:firstLineChars="200"/>
              <w:rPr>
                <w:rFonts w:ascii="新宋体" w:hAnsi="新宋体" w:eastAsia="新宋体"/>
                <w:b/>
                <w:bCs/>
                <w:szCs w:val="21"/>
              </w:rPr>
            </w:pPr>
            <w:bookmarkStart w:id="0" w:name="_Toc41442529"/>
            <w:r>
              <w:rPr>
                <w:rFonts w:hint="eastAsia" w:ascii="新宋体" w:hAnsi="新宋体" w:eastAsia="新宋体"/>
                <w:b/>
                <w:bCs/>
                <w:szCs w:val="21"/>
              </w:rPr>
              <w:t>售后服务</w:t>
            </w:r>
            <w:bookmarkEnd w:id="0"/>
          </w:p>
          <w:p>
            <w:pPr>
              <w:ind w:firstLine="420" w:firstLineChars="200"/>
              <w:rPr>
                <w:rFonts w:ascii="新宋体" w:hAnsi="新宋体" w:eastAsia="新宋体"/>
                <w:szCs w:val="21"/>
              </w:rPr>
            </w:pPr>
            <w:r>
              <w:rPr>
                <w:rFonts w:ascii="新宋体" w:hAnsi="新宋体" w:eastAsia="新宋体"/>
                <w:szCs w:val="21"/>
              </w:rPr>
              <w:t>1</w:t>
            </w:r>
            <w:r>
              <w:rPr>
                <w:rFonts w:hint="eastAsia" w:ascii="新宋体" w:hAnsi="新宋体" w:eastAsia="新宋体"/>
                <w:szCs w:val="21"/>
              </w:rPr>
              <w:t>、卖方保证提供与购货清单所列产品相符，并以卖方产品说明书中技术指标为准。</w:t>
            </w:r>
          </w:p>
          <w:p>
            <w:pPr>
              <w:ind w:firstLine="420" w:firstLineChars="200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2、自交付使用之日起，在保修期内，由于产品本身质量原因发生故障，卖方无偿检修或者更换主体设备；由于外因或买方维护、使用不当发生故障，检修或更换所发生的一切费用由买方承担。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auto"/>
        <w:ind w:firstLine="3960" w:firstLineChars="1650"/>
        <w:textAlignment w:val="auto"/>
        <w:rPr>
          <w:rFonts w:ascii="Times New Roman" w:hAnsi="Times New Roman"/>
          <w:sz w:val="24"/>
        </w:rPr>
      </w:pPr>
      <w:bookmarkStart w:id="1" w:name="_GoBack"/>
      <w:bookmarkEnd w:id="1"/>
    </w:p>
    <w:sectPr>
      <w:pgSz w:w="11906" w:h="16838"/>
      <w:pgMar w:top="1134" w:right="1800" w:bottom="113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681A4D"/>
    <w:multiLevelType w:val="singleLevel"/>
    <w:tmpl w:val="88681A4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4A672CA"/>
    <w:multiLevelType w:val="multilevel"/>
    <w:tmpl w:val="34A672CA"/>
    <w:lvl w:ilvl="0" w:tentative="0">
      <w:start w:val="3"/>
      <w:numFmt w:val="decimal"/>
      <w:lvlText w:val="%1、"/>
      <w:lvlJc w:val="left"/>
      <w:pPr>
        <w:tabs>
          <w:tab w:val="left" w:pos="840"/>
        </w:tabs>
        <w:ind w:left="84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yN2I4ZDRiMmU3NDVmYzExMTU0M2Y0ZDI1YzIyNzMifQ=="/>
  </w:docVars>
  <w:rsids>
    <w:rsidRoot w:val="00CA7103"/>
    <w:rsid w:val="00402439"/>
    <w:rsid w:val="005804FE"/>
    <w:rsid w:val="006D74AA"/>
    <w:rsid w:val="00766C77"/>
    <w:rsid w:val="007714F3"/>
    <w:rsid w:val="008278D5"/>
    <w:rsid w:val="008C0E36"/>
    <w:rsid w:val="00A11AF0"/>
    <w:rsid w:val="00A35AA8"/>
    <w:rsid w:val="00B715D8"/>
    <w:rsid w:val="00BE0054"/>
    <w:rsid w:val="00C274BB"/>
    <w:rsid w:val="00CA7103"/>
    <w:rsid w:val="00D32F00"/>
    <w:rsid w:val="00EB05DE"/>
    <w:rsid w:val="00EE35AF"/>
    <w:rsid w:val="00F50993"/>
    <w:rsid w:val="03C926DB"/>
    <w:rsid w:val="04C83CE8"/>
    <w:rsid w:val="05A27EB2"/>
    <w:rsid w:val="0B1D07F1"/>
    <w:rsid w:val="0D397101"/>
    <w:rsid w:val="1B123172"/>
    <w:rsid w:val="1C8B1AAC"/>
    <w:rsid w:val="1DEA35E4"/>
    <w:rsid w:val="21143E30"/>
    <w:rsid w:val="3207124E"/>
    <w:rsid w:val="33F41850"/>
    <w:rsid w:val="363F3464"/>
    <w:rsid w:val="3AD43138"/>
    <w:rsid w:val="41DF0F65"/>
    <w:rsid w:val="48B11E40"/>
    <w:rsid w:val="49524B8B"/>
    <w:rsid w:val="4D8D64BA"/>
    <w:rsid w:val="541435A7"/>
    <w:rsid w:val="553F161F"/>
    <w:rsid w:val="572D024B"/>
    <w:rsid w:val="5E022505"/>
    <w:rsid w:val="5E7029B1"/>
    <w:rsid w:val="611D5A65"/>
    <w:rsid w:val="6449618B"/>
    <w:rsid w:val="6623434A"/>
    <w:rsid w:val="66C8513E"/>
    <w:rsid w:val="6AC04904"/>
    <w:rsid w:val="6D51562A"/>
    <w:rsid w:val="707B113B"/>
    <w:rsid w:val="77731DD9"/>
    <w:rsid w:val="79D07623"/>
    <w:rsid w:val="7C0A5308"/>
    <w:rsid w:val="7E0C78C1"/>
    <w:rsid w:val="7F226015"/>
    <w:rsid w:val="7F60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4</Pages>
  <Words>2443</Words>
  <Characters>2779</Characters>
  <Lines>10</Lines>
  <Paragraphs>2</Paragraphs>
  <TotalTime>15</TotalTime>
  <ScaleCrop>false</ScaleCrop>
  <LinksUpToDate>false</LinksUpToDate>
  <CharactersWithSpaces>2923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2022-04-24T02:18:00Z</dcterms:created>
  <dc:creator>DELL</dc:creator>
  <cp:lastModifiedBy>Administrator</cp:lastModifiedBy>
  <cp:lastPrinted>2023-05-23T07:59:00Z</cp:lastPrinted>
  <dcterms:modified xsi:type="dcterms:W3CDTF">2023-05-29T07:17:56Z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B310216A288F44D3992E50EFC8B60A43_13</vt:lpwstr>
  </property>
</Properties>
</file>