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采购需求</w:t>
      </w:r>
    </w:p>
    <w:p>
      <w:pPr>
        <w:spacing w:line="560" w:lineRule="exac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一、品目及技术需求</w:t>
      </w:r>
    </w:p>
    <w:tbl>
      <w:tblPr>
        <w:tblStyle w:val="5"/>
        <w:tblW w:w="90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6"/>
        <w:gridCol w:w="4841"/>
        <w:gridCol w:w="804"/>
        <w:gridCol w:w="1094"/>
        <w:gridCol w:w="11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1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1"/>
                <w:szCs w:val="20"/>
              </w:rPr>
            </w:pPr>
            <w:r>
              <w:rPr>
                <w:rFonts w:ascii="Times New Roman" w:hAnsi="Times New Roman"/>
                <w:sz w:val="21"/>
                <w:szCs w:val="20"/>
              </w:rPr>
              <w:t>名称</w:t>
            </w:r>
          </w:p>
        </w:tc>
        <w:tc>
          <w:tcPr>
            <w:tcW w:w="484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1"/>
                <w:szCs w:val="20"/>
              </w:rPr>
            </w:pPr>
            <w:r>
              <w:rPr>
                <w:rFonts w:ascii="Times New Roman" w:hAnsi="Times New Roman"/>
                <w:sz w:val="21"/>
                <w:szCs w:val="20"/>
              </w:rPr>
              <w:t>参数要求</w:t>
            </w:r>
          </w:p>
        </w:tc>
        <w:tc>
          <w:tcPr>
            <w:tcW w:w="8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1"/>
                <w:szCs w:val="20"/>
              </w:rPr>
            </w:pPr>
            <w:r>
              <w:rPr>
                <w:rFonts w:ascii="Times New Roman" w:hAnsi="Times New Roman"/>
                <w:sz w:val="21"/>
                <w:szCs w:val="20"/>
              </w:rPr>
              <w:t>数量</w:t>
            </w: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1"/>
                <w:szCs w:val="20"/>
              </w:rPr>
            </w:pPr>
            <w:r>
              <w:rPr>
                <w:rFonts w:ascii="Times New Roman" w:hAnsi="Times New Roman"/>
                <w:sz w:val="21"/>
                <w:szCs w:val="20"/>
              </w:rPr>
              <w:t>控制金额</w:t>
            </w:r>
          </w:p>
        </w:tc>
        <w:tc>
          <w:tcPr>
            <w:tcW w:w="110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1"/>
                <w:szCs w:val="20"/>
              </w:rPr>
            </w:pPr>
            <w:r>
              <w:rPr>
                <w:rFonts w:ascii="Times New Roman" w:hAnsi="Times New Roman"/>
                <w:sz w:val="21"/>
                <w:szCs w:val="20"/>
              </w:rPr>
              <w:t>建议品牌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9" w:hRule="atLeast"/>
          <w:jc w:val="center"/>
        </w:trPr>
        <w:tc>
          <w:tcPr>
            <w:tcW w:w="11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Cs w:val="21"/>
              </w:rPr>
            </w:pPr>
            <w:r>
              <w:rPr>
                <w:rFonts w:hint="eastAsia" w:ascii="Times New Roman" w:hAnsi="Times New Roman"/>
                <w:color w:val="000000" w:themeColor="text1"/>
                <w:szCs w:val="21"/>
              </w:rPr>
              <w:t>网站安全防护设备</w:t>
            </w:r>
          </w:p>
        </w:tc>
        <w:tc>
          <w:tcPr>
            <w:tcW w:w="4841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  <w:rPr>
                <w:rFonts w:hint="eastAsia"/>
              </w:rPr>
            </w:pPr>
            <w:r>
              <w:rPr>
                <w:rFonts w:hint="eastAsia"/>
              </w:rPr>
              <w:t>标准</w:t>
            </w:r>
            <w:r>
              <w:t>2</w:t>
            </w:r>
            <w:r>
              <w:rPr>
                <w:rFonts w:hint="eastAsia"/>
              </w:rPr>
              <w:t>U硬件，≥2个管理千兆电口，≥4个业务千兆电口（含2组硬件BYPASS模块），≥4个千兆光口，硬盘：≥1T，≥1个RJ45串口，双电源。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网络吞吐量≥</w:t>
            </w:r>
            <w:r>
              <w:t>4</w:t>
            </w:r>
            <w:r>
              <w:rPr>
                <w:rFonts w:hint="eastAsia"/>
              </w:rPr>
              <w:t>Gbps，HTTP应用吞吐量≥</w:t>
            </w:r>
            <w:r>
              <w:t>2</w:t>
            </w:r>
            <w:r>
              <w:rPr>
                <w:rFonts w:hint="eastAsia"/>
              </w:rPr>
              <w:t>Gbps，HTTP最大并发数≥</w:t>
            </w:r>
            <w:r>
              <w:t>20</w:t>
            </w:r>
            <w:r>
              <w:rPr>
                <w:rFonts w:hint="eastAsia"/>
              </w:rPr>
              <w:t>万，HTTP最大新建数≥</w:t>
            </w:r>
            <w:r>
              <w:t>20</w:t>
            </w:r>
            <w:r>
              <w:rPr>
                <w:rFonts w:hint="eastAsia"/>
              </w:rPr>
              <w:t>0</w:t>
            </w:r>
            <w:r>
              <w:t>00</w:t>
            </w:r>
            <w:r>
              <w:rPr>
                <w:rFonts w:hint="eastAsia"/>
              </w:rPr>
              <w:t>，HTTPS应用吞吐量≥</w:t>
            </w:r>
            <w:r>
              <w:t>5</w:t>
            </w:r>
            <w:r>
              <w:rPr>
                <w:rFonts w:hint="eastAsia"/>
              </w:rPr>
              <w:t>00Mbps，HTTPS最大并发数≥</w:t>
            </w:r>
            <w:r>
              <w:t>40</w:t>
            </w:r>
            <w:r>
              <w:rPr>
                <w:rFonts w:hint="eastAsia"/>
              </w:rPr>
              <w:t>000，HTTPS最大新建数≥</w:t>
            </w:r>
            <w:r>
              <w:t>40</w:t>
            </w:r>
            <w:r>
              <w:rPr>
                <w:rFonts w:hint="eastAsia"/>
              </w:rPr>
              <w:t>00，物理保护链路≥</w:t>
            </w:r>
            <w:r>
              <w:t>4</w:t>
            </w:r>
            <w:r>
              <w:rPr>
                <w:rFonts w:hint="eastAsia"/>
              </w:rPr>
              <w:t>路，保护站点无限制。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支持透明串接、反向代理、旁路镜像等多种部署模式部署，支持链路聚合；支持集群模式、主-主模式、主备模式、硬件BYPASS、软件BYPASS。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支持多条链路数据的防护，防护网段数量不限；支持ipv4/ipv6双协议栈。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支持保护站点快速向导配置部署。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支持自动发现现网环境中存在的Web业务系统，记录服务器的IP、Port、域名等信息。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支持透明串接和旁路反向代理下的HTTPS业务的安全防护。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支持HTTPS站点SSL算法自动探测功能。探测时可以设置指定站点及端口，可以显示探测结果。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支持对跨站脚本(XSS)和注入式攻击（包括SQL注入、命令注入 、代码注入、文件注入、LDAP注入、SSI注入等）的检测防护。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支持对HTTP请求关键字段进行合规性的检测（包括Host字段、User-Agent、Content-type字段等）。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支持主流Webshell特征库，支持对文件上传内容进行检查，防止恶意Webshell上传，对已经上传的webshell发起请求的行为进行拦截阻断。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支持身份证、银行卡、手机号、社保号等个人敏感信息数据，支持对服务器返回的敏感个人信息数据通过星号进行隐藏，并支持用户自定义敏感词。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客户端安全防护，插入特殊的HTTP报头以保护客户端免受某些攻击包括但不限于增加以下安全报头：X-Frame-Options（用于防护客户端免受Clickjacking攻击）、X-Content-Type-Options（以防止浏览器将文件解释为内容类型声明以外的其他内容）、X-XSS-Protect（用于当检测到XSS攻击时，指示浏览器停止加载页面）、Content-Security-Policy（用于降低浏览器上的XSS风险和数据注入攻击）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支持内置安全规则，可有效识别Acunetix、nessus 、WebScan、Webdump、AppScan 、等扫描器的扫描行为。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支持对HTTP请求中URI、HOST、参数、参数名、请求头、Cookie、版本号、方法和请求体及HTTP响应的响应体等条件进行自定义正则。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支持系统内置针对SQL注入、XSS的语义分析规则。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支持智能识别攻击者，对网站连接发起攻击的IP地址进行自动锁定禁止访问被攻击的网站；可配置攻击者识别策略和算法以及攻击者锁定时间。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420" w:firstLineChars="200"/>
            </w:pPr>
            <w:r>
              <w:rPr>
                <w:rFonts w:hint="eastAsia"/>
              </w:rPr>
              <w:t>WAF与云端高防中心联动，通过WAF一键开启防护，实现3-7的DDOS安全防护，可提供1T的抗D能力。</w:t>
            </w:r>
          </w:p>
          <w:p>
            <w:pPr>
              <w:pStyle w:val="2"/>
              <w:numPr>
                <w:ilvl w:val="0"/>
                <w:numId w:val="0"/>
              </w:numPr>
              <w:ind w:firstLine="420" w:firstLineChars="200"/>
              <w:rPr>
                <w:rFonts w:hint="eastAsia" w:cs="黑体" w:asciiTheme="minorEastAsia" w:hAnsiTheme="minorEastAsia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黑体" w:asciiTheme="minorEastAsia" w:hAnsiTheme="minorEastAsia" w:eastAsiaTheme="minorEastAsia"/>
                <w:kern w:val="0"/>
                <w:szCs w:val="21"/>
                <w:lang w:val="en-US" w:eastAsia="zh-CN"/>
              </w:rPr>
              <w:t>19.</w:t>
            </w:r>
            <w:r>
              <w:rPr>
                <w:rFonts w:hint="eastAsia" w:cs="黑体" w:asciiTheme="minorEastAsia" w:hAnsiTheme="minorEastAsia" w:eastAsiaTheme="minorEastAsia"/>
                <w:kern w:val="0"/>
                <w:szCs w:val="21"/>
              </w:rPr>
              <w:t>售后服务</w:t>
            </w:r>
            <w:r>
              <w:rPr>
                <w:rFonts w:hint="eastAsia" w:cs="黑体" w:asciiTheme="minorEastAsia" w:hAnsiTheme="minorEastAsia" w:eastAsiaTheme="minorEastAsia"/>
                <w:kern w:val="0"/>
                <w:szCs w:val="21"/>
                <w:lang w:eastAsia="zh-CN"/>
              </w:rPr>
              <w:t>：</w:t>
            </w:r>
            <w:r>
              <w:rPr>
                <w:rFonts w:hint="eastAsia" w:cs="黑体" w:asciiTheme="minorEastAsia" w:hAnsiTheme="minorEastAsia" w:eastAsiaTheme="minorEastAsia"/>
                <w:kern w:val="0"/>
                <w:szCs w:val="21"/>
              </w:rPr>
              <w:t>提供不少于三年免费升级维护和永久使用授权</w:t>
            </w:r>
            <w:r>
              <w:rPr>
                <w:rFonts w:hint="eastAsia" w:cs="黑体" w:asciiTheme="minorEastAsia" w:hAnsiTheme="minorEastAsia" w:eastAsiaTheme="minorEastAsia"/>
                <w:kern w:val="0"/>
                <w:szCs w:val="21"/>
                <w:lang w:eastAsia="zh-CN"/>
              </w:rPr>
              <w:t>。</w:t>
            </w:r>
          </w:p>
        </w:tc>
        <w:tc>
          <w:tcPr>
            <w:tcW w:w="8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hint="eastAsia" w:ascii="Times New Roman" w:hAnsi="Times New Roman" w:eastAsia="宋体"/>
                <w:color w:val="000000" w:themeColor="text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 w:themeColor="text1"/>
                <w:szCs w:val="21"/>
                <w:lang w:val="en-US" w:eastAsia="zh-CN"/>
              </w:rPr>
              <w:t>1</w:t>
            </w:r>
          </w:p>
        </w:tc>
        <w:tc>
          <w:tcPr>
            <w:tcW w:w="109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Cs w:val="21"/>
              </w:rPr>
            </w:pPr>
            <w:r>
              <w:rPr>
                <w:rFonts w:hint="eastAsia" w:ascii="Times New Roman" w:hAnsi="Times New Roman"/>
                <w:color w:val="000000" w:themeColor="text1"/>
                <w:szCs w:val="21"/>
                <w:lang w:val="en-US" w:eastAsia="zh-CN"/>
              </w:rPr>
              <w:t>8.5</w:t>
            </w:r>
            <w:r>
              <w:rPr>
                <w:rFonts w:hint="eastAsia" w:ascii="Times New Roman" w:hAnsi="Times New Roman"/>
                <w:color w:val="000000" w:themeColor="text1"/>
                <w:szCs w:val="21"/>
              </w:rPr>
              <w:t>万</w:t>
            </w:r>
          </w:p>
        </w:tc>
        <w:tc>
          <w:tcPr>
            <w:tcW w:w="110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rPr>
                <w:rFonts w:hint="eastAsia" w:ascii="Times New Roman" w:hAnsi="Times New Roman" w:eastAsia="宋体"/>
                <w:color w:val="000000" w:themeColor="text1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color w:val="000000" w:themeColor="text1"/>
                <w:szCs w:val="21"/>
                <w:lang w:val="en-US" w:eastAsia="zh-CN"/>
              </w:rPr>
              <w:t>安恒、山石网科</w:t>
            </w:r>
          </w:p>
        </w:tc>
      </w:tr>
    </w:tbl>
    <w:p>
      <w:pPr>
        <w:spacing w:line="560" w:lineRule="exac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二、商务要求</w:t>
      </w:r>
    </w:p>
    <w:tbl>
      <w:tblPr>
        <w:tblStyle w:val="5"/>
        <w:tblW w:w="90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9077" w:type="dxa"/>
            <w:vAlign w:val="center"/>
          </w:tcPr>
          <w:p>
            <w:pPr>
              <w:spacing w:line="240" w:lineRule="auto"/>
              <w:ind w:firstLine="422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>交货期</w:t>
            </w:r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1、交货时间（工期）:</w:t>
            </w:r>
            <w:r>
              <w:rPr>
                <w:rFonts w:hint="eastAsia" w:ascii="新宋体" w:hAnsi="新宋体" w:eastAsia="新宋体"/>
                <w:b/>
                <w:szCs w:val="21"/>
              </w:rPr>
              <w:t xml:space="preserve"> 合同签订后</w:t>
            </w:r>
            <w:r>
              <w:rPr>
                <w:rFonts w:hint="eastAsia" w:ascii="新宋体" w:hAnsi="新宋体" w:eastAsia="新宋体"/>
                <w:b/>
                <w:szCs w:val="21"/>
                <w:lang w:val="en-US" w:eastAsia="zh-CN"/>
              </w:rPr>
              <w:t>2</w:t>
            </w:r>
            <w:r>
              <w:rPr>
                <w:rFonts w:hint="eastAsia" w:ascii="新宋体" w:hAnsi="新宋体" w:eastAsia="新宋体"/>
                <w:b/>
                <w:szCs w:val="21"/>
              </w:rPr>
              <w:t>日内</w:t>
            </w:r>
            <w:r>
              <w:rPr>
                <w:rFonts w:hint="eastAsia" w:ascii="新宋体" w:hAnsi="新宋体" w:eastAsia="新宋体"/>
                <w:szCs w:val="21"/>
              </w:rPr>
              <w:t>将所需货物运输至指定的安装调试地点，负责将所有设备和系统安装调试完毕，并完成对使用人员的使用操作培训。</w:t>
            </w:r>
          </w:p>
          <w:p>
            <w:pPr>
              <w:tabs>
                <w:tab w:val="left" w:pos="720"/>
              </w:tabs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2、交货地点：</w:t>
            </w:r>
            <w:r>
              <w:rPr>
                <w:rFonts w:hint="eastAsia" w:ascii="新宋体" w:hAnsi="新宋体" w:eastAsia="新宋体"/>
                <w:b/>
                <w:szCs w:val="21"/>
              </w:rPr>
              <w:t>工程学院指定的地点。</w:t>
            </w:r>
          </w:p>
          <w:p>
            <w:pPr>
              <w:tabs>
                <w:tab w:val="left" w:pos="720"/>
              </w:tabs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3、交货方式为：现场交货，即卖方负责办理运输和保险事宜，将货物运至现场</w:t>
            </w:r>
            <w:r>
              <w:rPr>
                <w:rFonts w:ascii="新宋体" w:hAnsi="新宋体" w:eastAsia="新宋体"/>
                <w:szCs w:val="21"/>
              </w:rPr>
              <w:t>，</w:t>
            </w:r>
            <w:r>
              <w:rPr>
                <w:rFonts w:hint="eastAsia" w:ascii="新宋体" w:hAnsi="新宋体" w:eastAsia="新宋体"/>
                <w:szCs w:val="21"/>
              </w:rPr>
              <w:t>一切费用均由卖方负责，途中所发生的损失均由卖方负责。</w:t>
            </w:r>
          </w:p>
          <w:p>
            <w:pPr>
              <w:spacing w:line="240" w:lineRule="auto"/>
              <w:ind w:firstLine="422" w:firstLineChars="200"/>
              <w:rPr>
                <w:rFonts w:ascii="新宋体" w:hAnsi="新宋体" w:eastAsia="新宋体"/>
                <w:b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>安装调试</w:t>
            </w:r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1、在货物运达后5日之内完成安装调试，经试运转验收合格后交付买方使用。</w:t>
            </w:r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2、安装调试过程中，操作人员应注意自身的财产和人身安全，避免安全事故发生，因安装人员、工作人员原因导致相关事故发生的，由卖方承担最终责任。</w:t>
            </w:r>
          </w:p>
          <w:p>
            <w:pPr>
              <w:spacing w:line="240" w:lineRule="auto"/>
              <w:ind w:firstLine="422" w:firstLineChars="200"/>
              <w:rPr>
                <w:rFonts w:ascii="新宋体" w:hAnsi="新宋体" w:eastAsia="新宋体"/>
                <w:b/>
                <w:bCs/>
                <w:szCs w:val="21"/>
              </w:rPr>
            </w:pPr>
            <w:r>
              <w:rPr>
                <w:rFonts w:hint="eastAsia" w:ascii="新宋体" w:hAnsi="新宋体" w:eastAsia="新宋体"/>
                <w:b/>
                <w:bCs/>
                <w:szCs w:val="21"/>
              </w:rPr>
              <w:t>检验和验收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left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  <w:lang w:val="en-US" w:eastAsia="zh-CN"/>
              </w:rPr>
              <w:t>1、</w:t>
            </w:r>
            <w:r>
              <w:rPr>
                <w:rFonts w:hint="eastAsia" w:ascii="新宋体" w:hAnsi="新宋体" w:eastAsia="新宋体"/>
                <w:szCs w:val="21"/>
              </w:rPr>
              <w:t>卖方应按照本次购买设备规定的技术要求和范围进行提供货物。</w:t>
            </w:r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2、设备安装调试完毕后5日内，由买方组织有关专业人员，按产品的性能指标、国家及行业相关标准进行验收，合格后，双方即签署验收文件，设备即视为验收通过。</w:t>
            </w:r>
          </w:p>
          <w:p>
            <w:pPr>
              <w:numPr>
                <w:ilvl w:val="0"/>
                <w:numId w:val="2"/>
              </w:numPr>
              <w:spacing w:line="240" w:lineRule="auto"/>
              <w:ind w:left="0"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安装调试后设备的各种性能和参数应满足技术要求。</w:t>
            </w:r>
          </w:p>
          <w:p>
            <w:pPr>
              <w:spacing w:line="240" w:lineRule="auto"/>
              <w:ind w:firstLine="422" w:firstLineChars="200"/>
              <w:rPr>
                <w:rFonts w:ascii="新宋体" w:hAnsi="新宋体" w:eastAsia="新宋体"/>
                <w:b/>
                <w:bCs/>
                <w:szCs w:val="21"/>
              </w:rPr>
            </w:pPr>
            <w:bookmarkStart w:id="0" w:name="_Toc41442529"/>
            <w:r>
              <w:rPr>
                <w:rFonts w:hint="eastAsia" w:ascii="新宋体" w:hAnsi="新宋体" w:eastAsia="新宋体"/>
                <w:b/>
                <w:bCs/>
                <w:szCs w:val="21"/>
              </w:rPr>
              <w:t>售后服务</w:t>
            </w:r>
            <w:bookmarkEnd w:id="0"/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ascii="新宋体" w:hAnsi="新宋体" w:eastAsia="新宋体"/>
                <w:szCs w:val="21"/>
              </w:rPr>
              <w:t>1</w:t>
            </w:r>
            <w:r>
              <w:rPr>
                <w:rFonts w:hint="eastAsia" w:ascii="新宋体" w:hAnsi="新宋体" w:eastAsia="新宋体"/>
                <w:szCs w:val="21"/>
              </w:rPr>
              <w:t>、卖方保证提供与购货清单所列产品相符，并以卖方产品说明书中技术指标为准。</w:t>
            </w:r>
          </w:p>
          <w:p>
            <w:pPr>
              <w:spacing w:line="240" w:lineRule="auto"/>
              <w:ind w:firstLine="420" w:firstLineChars="200"/>
              <w:rPr>
                <w:rFonts w:ascii="新宋体" w:hAnsi="新宋体" w:eastAsia="新宋体"/>
                <w:szCs w:val="21"/>
              </w:rPr>
            </w:pPr>
            <w:r>
              <w:rPr>
                <w:rFonts w:hint="eastAsia" w:ascii="新宋体" w:hAnsi="新宋体" w:eastAsia="新宋体"/>
                <w:szCs w:val="21"/>
              </w:rPr>
              <w:t>2、自交付使用之日起，在三年保修期内，由于产品本身质量原因发生故障，卖方无偿检修或者更换主体设备；由于外因或买方维护、使用不当发生故障，检修或更换所发生的一切费用由买方承担。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12" w:lineRule="auto"/>
        <w:ind w:firstLine="3960" w:firstLineChars="1650"/>
        <w:textAlignment w:val="auto"/>
        <w:rPr>
          <w:rFonts w:ascii="Times New Roman" w:hAnsi="Times New Roman"/>
          <w:sz w:val="24"/>
          <w:szCs w:val="22"/>
        </w:rPr>
      </w:pPr>
      <w:bookmarkStart w:id="1" w:name="_GoBack"/>
      <w:bookmarkEnd w:id="1"/>
    </w:p>
    <w:sectPr>
      <w:pgSz w:w="11906" w:h="16838"/>
      <w:pgMar w:top="1134" w:right="1800" w:bottom="1134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A672CA"/>
    <w:multiLevelType w:val="multilevel"/>
    <w:tmpl w:val="34A672CA"/>
    <w:lvl w:ilvl="0" w:tentative="0">
      <w:start w:val="3"/>
      <w:numFmt w:val="decimal"/>
      <w:lvlText w:val="%1、"/>
      <w:lvlJc w:val="left"/>
      <w:pPr>
        <w:tabs>
          <w:tab w:val="left" w:pos="840"/>
        </w:tabs>
        <w:ind w:left="840" w:hanging="36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1320"/>
        </w:tabs>
        <w:ind w:left="132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740"/>
        </w:tabs>
        <w:ind w:left="1740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0"/>
        </w:tabs>
        <w:ind w:left="216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0"/>
        </w:tabs>
        <w:ind w:left="258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</w:lvl>
  </w:abstractNum>
  <w:abstractNum w:abstractNumId="1">
    <w:nsid w:val="423D7007"/>
    <w:multiLevelType w:val="singleLevel"/>
    <w:tmpl w:val="423D7007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cyN2I4ZDRiMmU3NDVmYzExMTU0M2Y0ZDI1YzIyNzMifQ=="/>
  </w:docVars>
  <w:rsids>
    <w:rsidRoot w:val="00CA7103"/>
    <w:rsid w:val="00402439"/>
    <w:rsid w:val="005804FE"/>
    <w:rsid w:val="00766C77"/>
    <w:rsid w:val="007714F3"/>
    <w:rsid w:val="008278D5"/>
    <w:rsid w:val="008C0E36"/>
    <w:rsid w:val="00A11AF0"/>
    <w:rsid w:val="00B715D8"/>
    <w:rsid w:val="00BE0054"/>
    <w:rsid w:val="00C274BB"/>
    <w:rsid w:val="00CA7103"/>
    <w:rsid w:val="00EB05DE"/>
    <w:rsid w:val="00EE35AF"/>
    <w:rsid w:val="00F50993"/>
    <w:rsid w:val="03C926DB"/>
    <w:rsid w:val="04C83CE8"/>
    <w:rsid w:val="067031F8"/>
    <w:rsid w:val="0A686706"/>
    <w:rsid w:val="0D397101"/>
    <w:rsid w:val="1C8B1AAC"/>
    <w:rsid w:val="1DEA35E4"/>
    <w:rsid w:val="21143E30"/>
    <w:rsid w:val="2C1E26CB"/>
    <w:rsid w:val="392751D2"/>
    <w:rsid w:val="3A056702"/>
    <w:rsid w:val="3AD43138"/>
    <w:rsid w:val="41DF0F65"/>
    <w:rsid w:val="43B70D07"/>
    <w:rsid w:val="48B11E40"/>
    <w:rsid w:val="4D8D64BA"/>
    <w:rsid w:val="506902C4"/>
    <w:rsid w:val="553F161F"/>
    <w:rsid w:val="5E022505"/>
    <w:rsid w:val="5E7029B1"/>
    <w:rsid w:val="611D5A65"/>
    <w:rsid w:val="6623434A"/>
    <w:rsid w:val="66C8513E"/>
    <w:rsid w:val="6AC04904"/>
    <w:rsid w:val="707B113B"/>
    <w:rsid w:val="77731DD9"/>
    <w:rsid w:val="79D07623"/>
    <w:rsid w:val="7E0C7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Header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Organization</Company>
  <Pages>3</Pages>
  <Words>1847</Words>
  <Characters>2173</Characters>
  <Lines>12</Lines>
  <Paragraphs>3</Paragraphs>
  <TotalTime>8</TotalTime>
  <ScaleCrop>false</ScaleCrop>
  <LinksUpToDate>false</LinksUpToDate>
  <CharactersWithSpaces>2291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2022-04-24T02:18:00Z</dcterms:created>
  <dc:creator>DELL</dc:creator>
  <cp:lastModifiedBy>强哥</cp:lastModifiedBy>
  <cp:lastPrinted>2022-09-20T08:51:00Z</cp:lastPrinted>
  <dcterms:modified xsi:type="dcterms:W3CDTF">2022-09-29T02:44:16Z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6695ACFBB62F4F11A781CD1850DE4644</vt:lpwstr>
  </property>
</Properties>
</file>