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Style w:val="13"/>
        </w:rPr>
      </w:pPr>
      <w:bookmarkStart w:id="0" w:name="_GoBack"/>
      <w:bookmarkEnd w:id="0"/>
      <w:r>
        <w:rPr>
          <w:rStyle w:val="13"/>
          <w:rFonts w:hint="eastAsia" w:cs="Times New Roman"/>
          <w:b/>
          <w:bCs/>
          <w:sz w:val="32"/>
          <w:szCs w:val="32"/>
        </w:rPr>
        <w:t>化工楼A栋多媒体设备采购</w:t>
      </w:r>
      <w:r>
        <w:rPr>
          <w:rStyle w:val="13"/>
          <w:rFonts w:cs="Times New Roman"/>
          <w:b/>
          <w:bCs/>
          <w:sz w:val="32"/>
          <w:szCs w:val="32"/>
        </w:rPr>
        <w:t>配置清单</w:t>
      </w:r>
    </w:p>
    <w:tbl>
      <w:tblPr>
        <w:tblStyle w:val="8"/>
        <w:tblW w:w="13225" w:type="dxa"/>
        <w:jc w:val="center"/>
        <w:tblLayout w:type="fixed"/>
        <w:tblCellMar>
          <w:top w:w="0" w:type="dxa"/>
          <w:left w:w="0" w:type="dxa"/>
          <w:bottom w:w="0" w:type="dxa"/>
          <w:right w:w="0" w:type="dxa"/>
        </w:tblCellMar>
      </w:tblPr>
      <w:tblGrid>
        <w:gridCol w:w="652"/>
        <w:gridCol w:w="1200"/>
        <w:gridCol w:w="7056"/>
        <w:gridCol w:w="495"/>
        <w:gridCol w:w="584"/>
        <w:gridCol w:w="2190"/>
        <w:gridCol w:w="1048"/>
      </w:tblGrid>
      <w:tr>
        <w:tblPrEx>
          <w:tblCellMar>
            <w:top w:w="0" w:type="dxa"/>
            <w:left w:w="0" w:type="dxa"/>
            <w:bottom w:w="0" w:type="dxa"/>
            <w:right w:w="0" w:type="dxa"/>
          </w:tblCellMar>
        </w:tblPrEx>
        <w:trPr>
          <w:trHeight w:val="634" w:hRule="atLeast"/>
          <w:jc w:val="center"/>
        </w:trPr>
        <w:tc>
          <w:tcPr>
            <w:tcW w:w="652" w:type="dxa"/>
            <w:tcBorders>
              <w:top w:val="single" w:color="000000" w:sz="4" w:space="0"/>
              <w:left w:val="single" w:color="000000" w:sz="4" w:space="0"/>
              <w:bottom w:val="single" w:color="000000" w:sz="4" w:space="0"/>
              <w:right w:val="nil"/>
            </w:tcBorders>
            <w:vAlign w:val="center"/>
          </w:tcPr>
          <w:p>
            <w:pPr>
              <w:jc w:val="center"/>
              <w:rPr>
                <w:rStyle w:val="13"/>
                <w:rFonts w:ascii="宋体" w:hAnsi="宋体" w:cs="宋体"/>
                <w:b/>
                <w:bCs/>
                <w:kern w:val="0"/>
                <w:szCs w:val="21"/>
              </w:rPr>
            </w:pPr>
            <w:r>
              <w:rPr>
                <w:rStyle w:val="13"/>
                <w:rFonts w:hint="eastAsia" w:ascii="宋体" w:hAnsi="宋体" w:cs="宋体"/>
                <w:b/>
                <w:bCs/>
                <w:kern w:val="0"/>
                <w:szCs w:val="21"/>
              </w:rPr>
              <w:t>序号</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s="宋体"/>
                <w:b/>
                <w:bCs/>
                <w:kern w:val="0"/>
                <w:szCs w:val="21"/>
              </w:rPr>
            </w:pPr>
            <w:r>
              <w:rPr>
                <w:rStyle w:val="13"/>
                <w:rFonts w:hint="eastAsia" w:ascii="宋体" w:hAnsi="宋体" w:cs="宋体"/>
                <w:b/>
                <w:bCs/>
                <w:kern w:val="0"/>
                <w:szCs w:val="21"/>
              </w:rPr>
              <w:t>货物名称</w:t>
            </w:r>
          </w:p>
        </w:tc>
        <w:tc>
          <w:tcPr>
            <w:tcW w:w="7056" w:type="dxa"/>
            <w:tcBorders>
              <w:top w:val="single" w:color="000000" w:sz="4" w:space="0"/>
              <w:left w:val="nil"/>
              <w:bottom w:val="single" w:color="000000" w:sz="4" w:space="0"/>
              <w:right w:val="single" w:color="000000" w:sz="4" w:space="0"/>
            </w:tcBorders>
            <w:vAlign w:val="center"/>
          </w:tcPr>
          <w:p>
            <w:pPr>
              <w:jc w:val="center"/>
              <w:rPr>
                <w:rStyle w:val="13"/>
                <w:rFonts w:ascii="宋体" w:hAnsi="宋体" w:cs="宋体"/>
                <w:b/>
                <w:bCs/>
                <w:kern w:val="0"/>
                <w:szCs w:val="21"/>
              </w:rPr>
            </w:pPr>
            <w:r>
              <w:rPr>
                <w:rStyle w:val="13"/>
                <w:rFonts w:hint="eastAsia" w:ascii="宋体" w:hAnsi="宋体" w:cs="宋体"/>
                <w:b/>
                <w:bCs/>
                <w:kern w:val="0"/>
                <w:szCs w:val="21"/>
              </w:rPr>
              <w:t>设备主要技术参数</w:t>
            </w:r>
          </w:p>
        </w:tc>
        <w:tc>
          <w:tcPr>
            <w:tcW w:w="495" w:type="dxa"/>
            <w:tcBorders>
              <w:top w:val="single" w:color="000000" w:sz="4" w:space="0"/>
              <w:left w:val="nil"/>
              <w:bottom w:val="single" w:color="000000" w:sz="4" w:space="0"/>
              <w:right w:val="single" w:color="000000" w:sz="4" w:space="0"/>
            </w:tcBorders>
            <w:vAlign w:val="center"/>
          </w:tcPr>
          <w:p>
            <w:pPr>
              <w:jc w:val="center"/>
              <w:rPr>
                <w:rStyle w:val="13"/>
                <w:rFonts w:ascii="宋体" w:hAnsi="宋体" w:cs="宋体"/>
                <w:b/>
                <w:bCs/>
                <w:kern w:val="0"/>
                <w:szCs w:val="21"/>
              </w:rPr>
            </w:pPr>
            <w:r>
              <w:rPr>
                <w:rStyle w:val="13"/>
                <w:rFonts w:hint="eastAsia" w:ascii="宋体" w:hAnsi="宋体" w:cs="宋体"/>
                <w:b/>
                <w:bCs/>
                <w:kern w:val="0"/>
                <w:szCs w:val="21"/>
              </w:rPr>
              <w:t>数量</w:t>
            </w:r>
          </w:p>
        </w:tc>
        <w:tc>
          <w:tcPr>
            <w:tcW w:w="584" w:type="dxa"/>
            <w:tcBorders>
              <w:top w:val="single" w:color="000000" w:sz="4" w:space="0"/>
              <w:left w:val="nil"/>
              <w:bottom w:val="single" w:color="000000" w:sz="4" w:space="0"/>
              <w:right w:val="single" w:color="000000" w:sz="4" w:space="0"/>
            </w:tcBorders>
            <w:vAlign w:val="center"/>
          </w:tcPr>
          <w:p>
            <w:pPr>
              <w:jc w:val="center"/>
              <w:rPr>
                <w:rStyle w:val="13"/>
                <w:rFonts w:ascii="宋体" w:hAnsi="宋体" w:cs="宋体"/>
                <w:b/>
                <w:bCs/>
                <w:kern w:val="0"/>
                <w:szCs w:val="21"/>
              </w:rPr>
            </w:pPr>
            <w:r>
              <w:rPr>
                <w:rStyle w:val="13"/>
                <w:rFonts w:hint="eastAsia" w:ascii="宋体" w:hAnsi="宋体" w:cs="宋体"/>
                <w:b/>
                <w:bCs/>
                <w:kern w:val="0"/>
                <w:szCs w:val="21"/>
              </w:rPr>
              <w:t>单位</w:t>
            </w:r>
          </w:p>
        </w:tc>
        <w:tc>
          <w:tcPr>
            <w:tcW w:w="2190" w:type="dxa"/>
            <w:tcBorders>
              <w:top w:val="single" w:color="000000" w:sz="4" w:space="0"/>
              <w:left w:val="nil"/>
              <w:bottom w:val="single" w:color="000000" w:sz="4" w:space="0"/>
              <w:right w:val="single" w:color="000000" w:sz="4" w:space="0"/>
            </w:tcBorders>
            <w:vAlign w:val="center"/>
          </w:tcPr>
          <w:p>
            <w:pPr>
              <w:ind w:firstLine="843" w:firstLineChars="400"/>
              <w:jc w:val="center"/>
              <w:rPr>
                <w:rStyle w:val="13"/>
                <w:rFonts w:ascii="宋体" w:hAnsi="宋体" w:cs="宋体"/>
                <w:b/>
                <w:bCs/>
                <w:kern w:val="0"/>
                <w:szCs w:val="21"/>
              </w:rPr>
            </w:pPr>
            <w:r>
              <w:rPr>
                <w:rStyle w:val="13"/>
                <w:rFonts w:hint="eastAsia" w:ascii="宋体" w:hAnsi="宋体" w:cs="宋体"/>
                <w:b/>
                <w:bCs/>
                <w:kern w:val="0"/>
                <w:szCs w:val="21"/>
              </w:rPr>
              <w:t>参考图片</w:t>
            </w:r>
          </w:p>
        </w:tc>
        <w:tc>
          <w:tcPr>
            <w:tcW w:w="1048" w:type="dxa"/>
            <w:tcBorders>
              <w:top w:val="single" w:color="000000" w:sz="4" w:space="0"/>
              <w:left w:val="nil"/>
              <w:bottom w:val="single" w:color="000000" w:sz="4" w:space="0"/>
              <w:right w:val="single" w:color="000000" w:sz="4" w:space="0"/>
            </w:tcBorders>
            <w:vAlign w:val="center"/>
          </w:tcPr>
          <w:p>
            <w:pPr>
              <w:jc w:val="center"/>
              <w:rPr>
                <w:rStyle w:val="13"/>
                <w:rFonts w:ascii="宋体" w:hAnsi="宋体" w:cs="宋体"/>
                <w:b/>
                <w:bCs/>
                <w:kern w:val="0"/>
                <w:szCs w:val="21"/>
              </w:rPr>
            </w:pPr>
            <w:r>
              <w:rPr>
                <w:rStyle w:val="13"/>
                <w:rFonts w:hint="eastAsia" w:ascii="宋体" w:hAnsi="宋体" w:cs="宋体"/>
                <w:b/>
                <w:bCs/>
                <w:kern w:val="0"/>
                <w:szCs w:val="21"/>
              </w:rPr>
              <w:t>推荐品牌</w:t>
            </w:r>
          </w:p>
        </w:tc>
      </w:tr>
      <w:tr>
        <w:tblPrEx>
          <w:tblCellMar>
            <w:top w:w="0" w:type="dxa"/>
            <w:left w:w="0" w:type="dxa"/>
            <w:bottom w:w="0" w:type="dxa"/>
            <w:right w:w="0" w:type="dxa"/>
          </w:tblCellMar>
        </w:tblPrEx>
        <w:trPr>
          <w:trHeight w:val="394" w:hRule="atLeast"/>
          <w:jc w:val="center"/>
        </w:trPr>
        <w:tc>
          <w:tcPr>
            <w:tcW w:w="652" w:type="dxa"/>
            <w:tcBorders>
              <w:top w:val="single" w:color="000000" w:sz="4" w:space="0"/>
              <w:left w:val="single" w:color="000000" w:sz="4" w:space="0"/>
              <w:bottom w:val="single" w:color="000000" w:sz="4" w:space="0"/>
              <w:right w:val="nil"/>
            </w:tcBorders>
            <w:vAlign w:val="center"/>
          </w:tcPr>
          <w:p>
            <w:pPr>
              <w:jc w:val="center"/>
              <w:rPr>
                <w:rStyle w:val="13"/>
                <w:rFonts w:ascii="宋体" w:hAnsi="宋体" w:cs="宋体"/>
                <w:b/>
                <w:bCs/>
                <w:kern w:val="0"/>
                <w:szCs w:val="21"/>
              </w:rPr>
            </w:pPr>
            <w:r>
              <w:rPr>
                <w:rStyle w:val="13"/>
                <w:rFonts w:hint="eastAsia" w:ascii="宋体" w:hAnsi="宋体" w:cs="宋体"/>
                <w:b/>
                <w:bCs/>
                <w:kern w:val="0"/>
                <w:szCs w:val="21"/>
              </w:rPr>
              <w:t>1</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画框幕</w:t>
            </w:r>
          </w:p>
        </w:tc>
        <w:tc>
          <w:tcPr>
            <w:tcW w:w="7056" w:type="dxa"/>
            <w:tcBorders>
              <w:top w:val="single" w:color="000000" w:sz="4" w:space="0"/>
              <w:left w:val="nil"/>
              <w:bottom w:val="single" w:color="000000" w:sz="4" w:space="0"/>
              <w:right w:val="single" w:color="000000" w:sz="4" w:space="0"/>
            </w:tcBorders>
            <w:vAlign w:val="center"/>
          </w:tcPr>
          <w:p>
            <w:pPr>
              <w:pStyle w:val="11"/>
              <w:spacing w:line="240" w:lineRule="auto"/>
              <w:ind w:left="210" w:leftChars="100"/>
              <w:jc w:val="left"/>
              <w:rPr>
                <w:rFonts w:ascii="宋体" w:hAnsi="宋体" w:cs="宋体"/>
                <w:b w:val="0"/>
                <w:bCs w:val="0"/>
                <w:sz w:val="21"/>
                <w:szCs w:val="21"/>
              </w:rPr>
            </w:pPr>
            <w:r>
              <w:rPr>
                <w:rFonts w:hint="eastAsia" w:ascii="宋体" w:hAnsi="宋体" w:cs="宋体"/>
                <w:b w:val="0"/>
                <w:bCs w:val="0"/>
                <w:sz w:val="21"/>
                <w:szCs w:val="21"/>
              </w:rPr>
              <w:t>1、对角线（英寸） 120"，屏幕材质：PVC软白幕材质，幕基：不小于0.52MM厚采用高清柔性灰幕和高清柔性白幕，高反射，增强对比度。防静电，可清洗、防潮、防霉、阻燃，长久使用不老化、不沾灰。</w:t>
            </w:r>
            <w:r>
              <w:rPr>
                <w:rFonts w:hint="eastAsia" w:ascii="宋体" w:hAnsi="宋体" w:cs="宋体"/>
                <w:b w:val="0"/>
                <w:bCs w:val="0"/>
                <w:sz w:val="21"/>
                <w:szCs w:val="21"/>
              </w:rPr>
              <w:br w:type="textWrapping"/>
            </w:r>
            <w:r>
              <w:rPr>
                <w:rFonts w:hint="eastAsia" w:ascii="宋体" w:hAnsi="宋体" w:cs="宋体"/>
                <w:b w:val="0"/>
                <w:bCs w:val="0"/>
                <w:sz w:val="21"/>
                <w:szCs w:val="21"/>
              </w:rPr>
              <w:t>2、漫反射传输率~90%，漫反射率0.9%，镜面反射率0.1%，回射率小于5%。</w:t>
            </w:r>
            <w:r>
              <w:rPr>
                <w:rFonts w:hint="eastAsia" w:ascii="宋体" w:hAnsi="宋体" w:cs="宋体"/>
                <w:b w:val="0"/>
                <w:bCs w:val="0"/>
                <w:sz w:val="21"/>
                <w:szCs w:val="21"/>
              </w:rPr>
              <w:br w:type="textWrapping"/>
            </w:r>
            <w:r>
              <w:rPr>
                <w:rFonts w:hint="eastAsia" w:ascii="宋体" w:hAnsi="宋体" w:cs="宋体"/>
                <w:b w:val="0"/>
                <w:bCs w:val="0"/>
                <w:sz w:val="21"/>
                <w:szCs w:val="21"/>
              </w:rPr>
              <w:t>3、增益不小于1.0，视角160度，亮度均匀性大于90%。</w:t>
            </w:r>
            <w:r>
              <w:rPr>
                <w:rFonts w:hint="eastAsia" w:ascii="宋体" w:hAnsi="宋体" w:cs="宋体"/>
                <w:b w:val="0"/>
                <w:bCs w:val="0"/>
                <w:sz w:val="21"/>
                <w:szCs w:val="21"/>
              </w:rPr>
              <w:br w:type="textWrapping"/>
            </w:r>
            <w:r>
              <w:rPr>
                <w:rFonts w:hint="eastAsia" w:ascii="宋体" w:hAnsi="宋体" w:cs="宋体"/>
                <w:b w:val="0"/>
                <w:bCs w:val="0"/>
                <w:sz w:val="21"/>
                <w:szCs w:val="21"/>
              </w:rPr>
              <w:t>4、采用四面镶嵌式一体安装，配合弹簧紧绷幕面，确保幕面受力均匀，有效消除四周区“水波纹”及“V形纹”，使幕面纯平如画。</w:t>
            </w:r>
          </w:p>
        </w:tc>
        <w:tc>
          <w:tcPr>
            <w:tcW w:w="495" w:type="dxa"/>
            <w:tcBorders>
              <w:top w:val="single" w:color="000000" w:sz="4" w:space="0"/>
              <w:left w:val="nil"/>
              <w:bottom w:val="single" w:color="000000" w:sz="4" w:space="0"/>
              <w:right w:val="single" w:color="000000" w:sz="4" w:space="0"/>
            </w:tcBorders>
            <w:vAlign w:val="center"/>
          </w:tcPr>
          <w:p>
            <w:pPr>
              <w:jc w:val="center"/>
              <w:rPr>
                <w:rStyle w:val="13"/>
                <w:rFonts w:ascii="宋体" w:hAnsi="宋体" w:cs="宋体"/>
                <w:b/>
                <w:bCs/>
                <w:kern w:val="0"/>
                <w:szCs w:val="21"/>
              </w:rPr>
            </w:pPr>
            <w:r>
              <w:rPr>
                <w:rStyle w:val="13"/>
                <w:rFonts w:hint="eastAsia" w:ascii="宋体" w:hAnsi="宋体" w:cs="宋体"/>
                <w:b/>
                <w:bCs/>
                <w:kern w:val="0"/>
                <w:szCs w:val="21"/>
              </w:rPr>
              <w:t>4</w:t>
            </w:r>
          </w:p>
        </w:tc>
        <w:tc>
          <w:tcPr>
            <w:tcW w:w="584" w:type="dxa"/>
            <w:tcBorders>
              <w:top w:val="single" w:color="000000" w:sz="4" w:space="0"/>
              <w:left w:val="nil"/>
              <w:bottom w:val="single" w:color="000000" w:sz="4" w:space="0"/>
              <w:right w:val="single" w:color="000000" w:sz="4" w:space="0"/>
            </w:tcBorders>
            <w:vAlign w:val="center"/>
          </w:tcPr>
          <w:p>
            <w:pPr>
              <w:jc w:val="center"/>
              <w:rPr>
                <w:rStyle w:val="13"/>
                <w:rFonts w:ascii="宋体" w:hAnsi="宋体" w:cs="宋体"/>
                <w:b/>
                <w:bCs/>
                <w:kern w:val="0"/>
                <w:szCs w:val="21"/>
              </w:rPr>
            </w:pPr>
            <w:r>
              <w:rPr>
                <w:rStyle w:val="13"/>
                <w:rFonts w:hint="eastAsia" w:ascii="宋体" w:hAnsi="宋体" w:cs="宋体"/>
                <w:b/>
                <w:bCs/>
                <w:kern w:val="0"/>
                <w:szCs w:val="21"/>
              </w:rPr>
              <w:t>套</w:t>
            </w:r>
          </w:p>
        </w:tc>
        <w:tc>
          <w:tcPr>
            <w:tcW w:w="2190" w:type="dxa"/>
            <w:tcBorders>
              <w:top w:val="single" w:color="000000" w:sz="4" w:space="0"/>
              <w:left w:val="nil"/>
              <w:bottom w:val="single" w:color="000000" w:sz="4" w:space="0"/>
              <w:right w:val="single" w:color="000000" w:sz="4" w:space="0"/>
            </w:tcBorders>
            <w:vAlign w:val="center"/>
          </w:tcPr>
          <w:p>
            <w:pPr>
              <w:pStyle w:val="10"/>
              <w:jc w:val="center"/>
              <w:rPr>
                <w:rFonts w:ascii="宋体" w:hAnsi="宋体" w:cs="宋体"/>
                <w:szCs w:val="21"/>
              </w:rPr>
            </w:pPr>
            <w:r>
              <w:rPr>
                <w:rStyle w:val="13"/>
                <w:rFonts w:hint="eastAsia" w:ascii="宋体" w:hAnsi="宋体" w:cs="宋体"/>
                <w:b/>
                <w:bCs/>
                <w:kern w:val="0"/>
                <w:szCs w:val="21"/>
              </w:rPr>
              <w:drawing>
                <wp:inline distT="0" distB="0" distL="114300" distR="114300">
                  <wp:extent cx="1134745" cy="1351280"/>
                  <wp:effectExtent l="0" t="0" r="8255" b="1270"/>
                  <wp:docPr id="4" name="图片 4" descr="ae0cf9e9cc3ef1f24cea81b14c5fb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e0cf9e9cc3ef1f24cea81b14c5fbd7"/>
                          <pic:cNvPicPr>
                            <a:picLocks noChangeAspect="1"/>
                          </pic:cNvPicPr>
                        </pic:nvPicPr>
                        <pic:blipFill>
                          <a:blip r:embed="rId5"/>
                          <a:srcRect t="31189" b="12358"/>
                          <a:stretch>
                            <a:fillRect/>
                          </a:stretch>
                        </pic:blipFill>
                        <pic:spPr>
                          <a:xfrm>
                            <a:off x="0" y="0"/>
                            <a:ext cx="1134745" cy="1351280"/>
                          </a:xfrm>
                          <a:prstGeom prst="rect">
                            <a:avLst/>
                          </a:prstGeom>
                        </pic:spPr>
                      </pic:pic>
                    </a:graphicData>
                  </a:graphic>
                </wp:inline>
              </w:drawing>
            </w:r>
          </w:p>
        </w:tc>
        <w:tc>
          <w:tcPr>
            <w:tcW w:w="1048" w:type="dxa"/>
            <w:tcBorders>
              <w:top w:val="single" w:color="000000" w:sz="4" w:space="0"/>
              <w:left w:val="nil"/>
              <w:bottom w:val="single" w:color="000000" w:sz="4" w:space="0"/>
              <w:right w:val="single" w:color="000000" w:sz="4" w:space="0"/>
            </w:tcBorders>
            <w:vAlign w:val="center"/>
          </w:tcPr>
          <w:p>
            <w:pPr>
              <w:jc w:val="center"/>
              <w:rPr>
                <w:rStyle w:val="13"/>
                <w:rFonts w:ascii="宋体" w:hAnsi="宋体" w:cs="宋体"/>
                <w:b/>
                <w:bCs/>
                <w:kern w:val="0"/>
                <w:szCs w:val="21"/>
              </w:rPr>
            </w:pPr>
            <w:r>
              <w:rPr>
                <w:rFonts w:hint="eastAsia" w:ascii="宋体" w:hAnsi="宋体" w:cs="宋体"/>
                <w:b/>
                <w:bCs/>
                <w:kern w:val="0"/>
                <w:szCs w:val="21"/>
              </w:rPr>
              <w:t>红叶、绿叶</w:t>
            </w:r>
            <w:r>
              <w:rPr>
                <w:rStyle w:val="13"/>
                <w:rFonts w:ascii="宋体" w:hAnsi="宋体" w:cs="宋体"/>
                <w:b/>
                <w:bCs/>
                <w:kern w:val="0"/>
                <w:szCs w:val="21"/>
              </w:rPr>
              <w:t xml:space="preserve"> </w:t>
            </w:r>
          </w:p>
        </w:tc>
      </w:tr>
      <w:tr>
        <w:tblPrEx>
          <w:tblCellMar>
            <w:top w:w="0" w:type="dxa"/>
            <w:left w:w="0" w:type="dxa"/>
            <w:bottom w:w="0" w:type="dxa"/>
            <w:right w:w="0" w:type="dxa"/>
          </w:tblCellMar>
        </w:tblPrEx>
        <w:trPr>
          <w:trHeight w:val="1103" w:hRule="atLeast"/>
          <w:jc w:val="center"/>
        </w:trPr>
        <w:tc>
          <w:tcPr>
            <w:tcW w:w="652" w:type="dxa"/>
            <w:tcBorders>
              <w:top w:val="single" w:color="000000" w:sz="4" w:space="0"/>
              <w:left w:val="single" w:color="000000" w:sz="4" w:space="0"/>
              <w:bottom w:val="single" w:color="000000" w:sz="4" w:space="0"/>
              <w:right w:val="nil"/>
            </w:tcBorders>
            <w:vAlign w:val="center"/>
          </w:tcPr>
          <w:p>
            <w:pPr>
              <w:jc w:val="center"/>
              <w:rPr>
                <w:rStyle w:val="13"/>
                <w:rFonts w:ascii="宋体" w:hAnsi="宋体" w:cs="宋体"/>
                <w:szCs w:val="21"/>
              </w:rPr>
            </w:pPr>
            <w:r>
              <w:rPr>
                <w:rStyle w:val="13"/>
                <w:rFonts w:hint="eastAsia" w:ascii="宋体" w:hAnsi="宋体" w:cs="宋体"/>
                <w:szCs w:val="21"/>
              </w:rPr>
              <w:t>2</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Style w:val="13"/>
                <w:rFonts w:hint="eastAsia" w:ascii="宋体" w:hAnsi="宋体" w:cs="宋体"/>
                <w:szCs w:val="21"/>
              </w:rPr>
              <w:t>教师终端</w:t>
            </w:r>
          </w:p>
        </w:tc>
        <w:tc>
          <w:tcPr>
            <w:tcW w:w="7056" w:type="dxa"/>
            <w:tcBorders>
              <w:top w:val="single" w:color="000000" w:sz="4" w:space="0"/>
              <w:left w:val="nil"/>
              <w:bottom w:val="single" w:color="000000" w:sz="4" w:space="0"/>
              <w:right w:val="single" w:color="000000" w:sz="4" w:space="0"/>
            </w:tcBorders>
            <w:vAlign w:val="center"/>
          </w:tcPr>
          <w:p>
            <w:pPr>
              <w:ind w:left="635" w:leftChars="100" w:hanging="425"/>
              <w:rPr>
                <w:rStyle w:val="13"/>
                <w:rFonts w:ascii="宋体" w:hAnsi="宋体" w:cs="宋体"/>
                <w:kern w:val="0"/>
                <w:szCs w:val="21"/>
              </w:rPr>
            </w:pPr>
            <w:r>
              <w:rPr>
                <w:rStyle w:val="13"/>
                <w:rFonts w:hint="eastAsia" w:ascii="宋体" w:hAnsi="宋体" w:cs="宋体"/>
                <w:kern w:val="0"/>
                <w:szCs w:val="21"/>
              </w:rPr>
              <w:t>1、台式计算机。</w:t>
            </w:r>
          </w:p>
          <w:p>
            <w:pPr>
              <w:ind w:left="635" w:leftChars="100" w:hanging="425"/>
              <w:rPr>
                <w:rStyle w:val="13"/>
                <w:rFonts w:ascii="宋体" w:hAnsi="宋体" w:cs="宋体"/>
                <w:kern w:val="0"/>
                <w:szCs w:val="21"/>
              </w:rPr>
            </w:pPr>
            <w:r>
              <w:rPr>
                <w:rStyle w:val="13"/>
                <w:rFonts w:hint="eastAsia" w:ascii="宋体" w:hAnsi="宋体" w:cs="宋体"/>
                <w:kern w:val="0"/>
                <w:szCs w:val="21"/>
              </w:rPr>
              <w:t>2、CPU：≥INTEL酷睿十代 i5-10500。</w:t>
            </w:r>
          </w:p>
          <w:p>
            <w:pPr>
              <w:ind w:left="635" w:leftChars="100" w:hanging="425"/>
              <w:rPr>
                <w:rStyle w:val="13"/>
                <w:rFonts w:ascii="宋体" w:hAnsi="宋体" w:cs="宋体"/>
                <w:kern w:val="0"/>
                <w:szCs w:val="21"/>
              </w:rPr>
            </w:pPr>
            <w:r>
              <w:rPr>
                <w:rStyle w:val="13"/>
                <w:rFonts w:hint="eastAsia" w:ascii="宋体" w:hAnsi="宋体" w:cs="宋体"/>
                <w:kern w:val="0"/>
                <w:szCs w:val="21"/>
              </w:rPr>
              <w:t>3、内存：8G DDR4。</w:t>
            </w:r>
          </w:p>
          <w:p>
            <w:pPr>
              <w:ind w:left="635" w:leftChars="100" w:hanging="425"/>
              <w:rPr>
                <w:rStyle w:val="13"/>
                <w:rFonts w:ascii="宋体" w:hAnsi="宋体" w:cs="宋体"/>
                <w:kern w:val="0"/>
                <w:szCs w:val="21"/>
              </w:rPr>
            </w:pPr>
            <w:r>
              <w:rPr>
                <w:rStyle w:val="13"/>
                <w:rFonts w:hint="eastAsia" w:ascii="宋体" w:hAnsi="宋体" w:cs="宋体"/>
                <w:kern w:val="0"/>
                <w:szCs w:val="21"/>
              </w:rPr>
              <w:t>4、硬盘：128G SSD（PCI-E接口）+1T SATA。</w:t>
            </w:r>
          </w:p>
          <w:p>
            <w:pPr>
              <w:ind w:left="635" w:leftChars="100" w:hanging="425"/>
              <w:rPr>
                <w:rStyle w:val="13"/>
                <w:rFonts w:ascii="宋体" w:hAnsi="宋体" w:cs="宋体"/>
                <w:kern w:val="0"/>
                <w:szCs w:val="21"/>
              </w:rPr>
            </w:pPr>
            <w:r>
              <w:rPr>
                <w:rStyle w:val="13"/>
                <w:rFonts w:hint="eastAsia" w:ascii="宋体" w:hAnsi="宋体" w:cs="宋体"/>
                <w:kern w:val="0"/>
                <w:szCs w:val="21"/>
              </w:rPr>
              <w:t>5、独立显卡：2G。</w:t>
            </w:r>
          </w:p>
          <w:p>
            <w:pPr>
              <w:ind w:left="635" w:leftChars="100" w:hanging="425"/>
              <w:rPr>
                <w:rStyle w:val="13"/>
                <w:rFonts w:ascii="宋体" w:hAnsi="宋体" w:cs="宋体"/>
                <w:kern w:val="0"/>
                <w:szCs w:val="21"/>
              </w:rPr>
            </w:pPr>
            <w:r>
              <w:rPr>
                <w:rStyle w:val="13"/>
                <w:rFonts w:hint="eastAsia" w:ascii="宋体" w:hAnsi="宋体" w:cs="宋体"/>
                <w:kern w:val="0"/>
                <w:szCs w:val="21"/>
              </w:rPr>
              <w:t>6、标准声卡：集成。</w:t>
            </w:r>
          </w:p>
          <w:p>
            <w:pPr>
              <w:ind w:left="635" w:leftChars="100" w:hanging="425"/>
              <w:rPr>
                <w:rStyle w:val="13"/>
                <w:rFonts w:ascii="宋体" w:hAnsi="宋体" w:cs="宋体"/>
                <w:kern w:val="0"/>
                <w:szCs w:val="21"/>
              </w:rPr>
            </w:pPr>
            <w:r>
              <w:rPr>
                <w:rStyle w:val="13"/>
                <w:rFonts w:hint="eastAsia" w:ascii="宋体" w:hAnsi="宋体" w:cs="宋体"/>
                <w:kern w:val="0"/>
                <w:szCs w:val="21"/>
              </w:rPr>
              <w:t>7、网卡：千兆网卡。</w:t>
            </w:r>
          </w:p>
          <w:p>
            <w:pPr>
              <w:ind w:left="635" w:leftChars="100" w:hanging="425"/>
              <w:rPr>
                <w:rStyle w:val="13"/>
                <w:rFonts w:ascii="宋体" w:hAnsi="宋体" w:cs="宋体"/>
                <w:kern w:val="0"/>
                <w:szCs w:val="21"/>
              </w:rPr>
            </w:pPr>
            <w:r>
              <w:rPr>
                <w:rStyle w:val="13"/>
                <w:rFonts w:hint="eastAsia" w:ascii="宋体" w:hAnsi="宋体" w:cs="宋体"/>
                <w:kern w:val="0"/>
                <w:szCs w:val="21"/>
              </w:rPr>
              <w:t>8、液晶显示器：≥21.5英寸。</w:t>
            </w:r>
          </w:p>
          <w:p>
            <w:pPr>
              <w:ind w:left="635" w:leftChars="100" w:hanging="425"/>
              <w:rPr>
                <w:rStyle w:val="13"/>
                <w:rFonts w:ascii="宋体" w:hAnsi="宋体" w:cs="宋体"/>
                <w:kern w:val="0"/>
                <w:szCs w:val="21"/>
              </w:rPr>
            </w:pPr>
            <w:r>
              <w:rPr>
                <w:rStyle w:val="13"/>
                <w:rFonts w:hint="eastAsia" w:ascii="宋体" w:hAnsi="宋体" w:cs="宋体"/>
                <w:kern w:val="0"/>
                <w:szCs w:val="21"/>
              </w:rPr>
              <w:t>9、USB防水键盘/ USB光电鼠标。</w:t>
            </w:r>
          </w:p>
          <w:p>
            <w:pPr>
              <w:ind w:left="635" w:leftChars="100" w:hanging="425"/>
              <w:rPr>
                <w:rStyle w:val="13"/>
                <w:rFonts w:ascii="宋体" w:hAnsi="宋体" w:cs="宋体"/>
                <w:kern w:val="0"/>
                <w:szCs w:val="21"/>
              </w:rPr>
            </w:pPr>
            <w:r>
              <w:rPr>
                <w:rStyle w:val="13"/>
                <w:rFonts w:hint="eastAsia" w:ascii="宋体" w:hAnsi="宋体" w:cs="宋体"/>
                <w:kern w:val="0"/>
                <w:szCs w:val="21"/>
              </w:rPr>
              <w:t>10、Windows 简体中文版操作系统。</w:t>
            </w:r>
          </w:p>
        </w:tc>
        <w:tc>
          <w:tcPr>
            <w:tcW w:w="495" w:type="dxa"/>
            <w:tcBorders>
              <w:top w:val="single" w:color="000000" w:sz="4" w:space="0"/>
              <w:left w:val="nil"/>
              <w:bottom w:val="single" w:color="000000" w:sz="4" w:space="0"/>
              <w:right w:val="single" w:color="000000" w:sz="4" w:space="0"/>
            </w:tcBorders>
            <w:vAlign w:val="center"/>
          </w:tcPr>
          <w:p>
            <w:pPr>
              <w:jc w:val="center"/>
              <w:rPr>
                <w:rStyle w:val="13"/>
                <w:rFonts w:ascii="宋体" w:hAnsi="宋体" w:cs="宋体"/>
                <w:b/>
                <w:bCs/>
                <w:kern w:val="0"/>
                <w:szCs w:val="21"/>
              </w:rPr>
            </w:pPr>
            <w:r>
              <w:rPr>
                <w:rStyle w:val="13"/>
                <w:rFonts w:hint="eastAsia" w:ascii="宋体" w:hAnsi="宋体" w:cs="宋体"/>
                <w:b/>
                <w:bCs/>
                <w:kern w:val="0"/>
                <w:szCs w:val="21"/>
              </w:rPr>
              <w:t>6</w:t>
            </w:r>
          </w:p>
        </w:tc>
        <w:tc>
          <w:tcPr>
            <w:tcW w:w="584" w:type="dxa"/>
            <w:tcBorders>
              <w:top w:val="single" w:color="000000" w:sz="4" w:space="0"/>
              <w:left w:val="nil"/>
              <w:bottom w:val="single" w:color="000000" w:sz="4" w:space="0"/>
              <w:right w:val="single" w:color="000000" w:sz="4" w:space="0"/>
            </w:tcBorders>
            <w:vAlign w:val="center"/>
          </w:tcPr>
          <w:p>
            <w:pPr>
              <w:jc w:val="center"/>
              <w:rPr>
                <w:rStyle w:val="13"/>
                <w:rFonts w:ascii="宋体" w:hAnsi="宋体" w:cs="宋体"/>
                <w:b/>
                <w:bCs/>
                <w:kern w:val="0"/>
                <w:szCs w:val="21"/>
              </w:rPr>
            </w:pPr>
            <w:r>
              <w:rPr>
                <w:rStyle w:val="13"/>
                <w:rFonts w:hint="eastAsia" w:ascii="宋体" w:hAnsi="宋体" w:cs="宋体"/>
                <w:b/>
                <w:bCs/>
                <w:kern w:val="0"/>
                <w:szCs w:val="21"/>
              </w:rPr>
              <w:t>台</w:t>
            </w:r>
          </w:p>
        </w:tc>
        <w:tc>
          <w:tcPr>
            <w:tcW w:w="2190" w:type="dxa"/>
            <w:tcBorders>
              <w:top w:val="single" w:color="000000" w:sz="4" w:space="0"/>
              <w:left w:val="nil"/>
              <w:bottom w:val="single" w:color="000000" w:sz="4" w:space="0"/>
              <w:right w:val="single" w:color="000000" w:sz="4" w:space="0"/>
            </w:tcBorders>
            <w:vAlign w:val="center"/>
          </w:tcPr>
          <w:p>
            <w:pPr>
              <w:jc w:val="center"/>
              <w:rPr>
                <w:rStyle w:val="13"/>
                <w:rFonts w:ascii="宋体" w:hAnsi="宋体" w:cs="宋体"/>
                <w:b/>
                <w:bCs/>
                <w:kern w:val="0"/>
                <w:szCs w:val="21"/>
              </w:rPr>
            </w:pPr>
            <w:r>
              <w:rPr>
                <w:rStyle w:val="13"/>
                <w:rFonts w:hint="eastAsia" w:ascii="宋体" w:hAnsi="宋体" w:cs="宋体"/>
                <w:b/>
                <w:bCs/>
                <w:kern w:val="0"/>
                <w:szCs w:val="21"/>
              </w:rPr>
              <w:drawing>
                <wp:inline distT="0" distB="0" distL="114300" distR="114300">
                  <wp:extent cx="1336040" cy="1074420"/>
                  <wp:effectExtent l="0" t="0" r="16510" b="11430"/>
                  <wp:docPr id="9" name="图片 2" descr="16504214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1650421452(1)"/>
                          <pic:cNvPicPr>
                            <a:picLocks noChangeAspect="1"/>
                          </pic:cNvPicPr>
                        </pic:nvPicPr>
                        <pic:blipFill>
                          <a:blip r:embed="rId6"/>
                          <a:stretch>
                            <a:fillRect/>
                          </a:stretch>
                        </pic:blipFill>
                        <pic:spPr>
                          <a:xfrm>
                            <a:off x="0" y="0"/>
                            <a:ext cx="1336040" cy="1074420"/>
                          </a:xfrm>
                          <a:prstGeom prst="rect">
                            <a:avLst/>
                          </a:prstGeom>
                          <a:noFill/>
                          <a:ln>
                            <a:noFill/>
                          </a:ln>
                        </pic:spPr>
                      </pic:pic>
                    </a:graphicData>
                  </a:graphic>
                </wp:inline>
              </w:drawing>
            </w:r>
          </w:p>
        </w:tc>
        <w:tc>
          <w:tcPr>
            <w:tcW w:w="1048" w:type="dxa"/>
            <w:tcBorders>
              <w:top w:val="single" w:color="000000" w:sz="4" w:space="0"/>
              <w:left w:val="nil"/>
              <w:bottom w:val="single" w:color="000000" w:sz="4" w:space="0"/>
              <w:right w:val="single" w:color="000000" w:sz="4" w:space="0"/>
            </w:tcBorders>
            <w:vAlign w:val="center"/>
          </w:tcPr>
          <w:p>
            <w:pPr>
              <w:jc w:val="center"/>
              <w:rPr>
                <w:rStyle w:val="13"/>
                <w:rFonts w:ascii="宋体" w:hAnsi="宋体" w:cs="宋体"/>
                <w:b/>
                <w:bCs/>
                <w:kern w:val="0"/>
                <w:szCs w:val="21"/>
              </w:rPr>
            </w:pPr>
            <w:r>
              <w:rPr>
                <w:rFonts w:hint="eastAsia" w:ascii="宋体" w:hAnsi="宋体" w:cs="宋体"/>
                <w:b/>
                <w:bCs/>
                <w:kern w:val="0"/>
                <w:szCs w:val="21"/>
              </w:rPr>
              <w:t>联想、戴尔、</w:t>
            </w:r>
          </w:p>
        </w:tc>
      </w:tr>
      <w:tr>
        <w:tblPrEx>
          <w:tblCellMar>
            <w:top w:w="0" w:type="dxa"/>
            <w:left w:w="0" w:type="dxa"/>
            <w:bottom w:w="0" w:type="dxa"/>
            <w:right w:w="0" w:type="dxa"/>
          </w:tblCellMar>
        </w:tblPrEx>
        <w:trPr>
          <w:trHeight w:val="688" w:hRule="atLeast"/>
          <w:jc w:val="center"/>
        </w:trPr>
        <w:tc>
          <w:tcPr>
            <w:tcW w:w="652" w:type="dxa"/>
            <w:tcBorders>
              <w:top w:val="single" w:color="000000" w:sz="4" w:space="0"/>
              <w:left w:val="single" w:color="000000" w:sz="4" w:space="0"/>
              <w:bottom w:val="single" w:color="000000" w:sz="4" w:space="0"/>
              <w:right w:val="nil"/>
            </w:tcBorders>
            <w:vAlign w:val="center"/>
          </w:tcPr>
          <w:p>
            <w:pPr>
              <w:jc w:val="center"/>
              <w:rPr>
                <w:rStyle w:val="13"/>
                <w:rFonts w:ascii="宋体" w:hAnsi="宋体" w:cs="宋体"/>
                <w:szCs w:val="21"/>
              </w:rPr>
            </w:pPr>
            <w:r>
              <w:rPr>
                <w:rStyle w:val="13"/>
                <w:rFonts w:hint="eastAsia" w:ascii="宋体" w:hAnsi="宋体" w:cs="宋体"/>
                <w:szCs w:val="21"/>
              </w:rPr>
              <w:t>3</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s="宋体"/>
                <w:szCs w:val="21"/>
              </w:rPr>
            </w:pPr>
            <w:r>
              <w:rPr>
                <w:rStyle w:val="13"/>
                <w:rFonts w:hint="eastAsia" w:ascii="宋体" w:hAnsi="宋体" w:cs="宋体"/>
                <w:szCs w:val="21"/>
              </w:rPr>
              <w:t>钢制讲台</w:t>
            </w:r>
          </w:p>
        </w:tc>
        <w:tc>
          <w:tcPr>
            <w:tcW w:w="7056" w:type="dxa"/>
            <w:tcBorders>
              <w:top w:val="single" w:color="000000" w:sz="4" w:space="0"/>
              <w:left w:val="nil"/>
              <w:bottom w:val="single" w:color="000000" w:sz="4" w:space="0"/>
              <w:right w:val="single" w:color="000000" w:sz="4" w:space="0"/>
            </w:tcBorders>
            <w:vAlign w:val="center"/>
          </w:tcPr>
          <w:p>
            <w:pPr>
              <w:rPr>
                <w:rStyle w:val="13"/>
                <w:rFonts w:ascii="宋体" w:hAnsi="宋体" w:cs="宋体"/>
                <w:szCs w:val="21"/>
              </w:rPr>
            </w:pPr>
            <w:r>
              <w:rPr>
                <w:rStyle w:val="13"/>
                <w:rFonts w:hint="eastAsia" w:ascii="宋体" w:hAnsi="宋体" w:cs="宋体"/>
                <w:szCs w:val="21"/>
              </w:rPr>
              <w:t>(1)规格：讲台长1400mm，宽730mm，高990mm。</w:t>
            </w:r>
          </w:p>
          <w:p>
            <w:pPr>
              <w:rPr>
                <w:rStyle w:val="13"/>
                <w:rFonts w:ascii="宋体" w:hAnsi="宋体" w:cs="宋体"/>
                <w:szCs w:val="21"/>
              </w:rPr>
            </w:pPr>
            <w:r>
              <w:rPr>
                <w:rStyle w:val="13"/>
                <w:rFonts w:hint="eastAsia" w:ascii="宋体" w:hAnsi="宋体" w:cs="宋体"/>
                <w:szCs w:val="21"/>
              </w:rPr>
              <w:t>采用钢木相结合制造的讲台；木制部分选用高档实木作为讲台木扶手,豪华美观，台面铺设木板，尽显高贵；钢制部分选用精装冷轧钢板，并采用数控设备精加工制作；钢板表面采用静电喷塑处理，防腐防锈耐磨。上柜的显示器固定在可伸缩调节支架上，轻轻滑开盖门老师即可根据自己的身高调节显示器角度，方便不同身高的老师观看使用。滑盖门关闭时，讲台面为平面。</w:t>
            </w:r>
          </w:p>
          <w:p>
            <w:pPr>
              <w:rPr>
                <w:rStyle w:val="13"/>
                <w:rFonts w:ascii="宋体" w:hAnsi="宋体" w:cs="宋体"/>
                <w:szCs w:val="21"/>
              </w:rPr>
            </w:pPr>
            <w:r>
              <w:rPr>
                <w:rStyle w:val="13"/>
                <w:rFonts w:hint="eastAsia" w:ascii="宋体" w:hAnsi="宋体" w:cs="宋体"/>
                <w:szCs w:val="21"/>
              </w:rPr>
              <w:t>(2)采用上下分体结构，方便搬运及装卸。</w:t>
            </w:r>
          </w:p>
          <w:p>
            <w:pPr>
              <w:rPr>
                <w:rStyle w:val="13"/>
                <w:rFonts w:ascii="宋体" w:hAnsi="宋体" w:cs="宋体"/>
                <w:szCs w:val="21"/>
              </w:rPr>
            </w:pPr>
            <w:r>
              <w:rPr>
                <w:rStyle w:val="13"/>
                <w:rFonts w:hint="eastAsia" w:ascii="宋体" w:hAnsi="宋体" w:cs="宋体"/>
                <w:szCs w:val="21"/>
              </w:rPr>
              <w:t>(3)讲台采用一把钥匙控制，极大方便使用和检修。；讲台边角平滑圆弧过渡，工艺精湛，高贵大方。</w:t>
            </w:r>
          </w:p>
          <w:p>
            <w:pPr>
              <w:rPr>
                <w:rStyle w:val="13"/>
                <w:rFonts w:ascii="宋体" w:hAnsi="宋体" w:cs="宋体"/>
                <w:szCs w:val="21"/>
              </w:rPr>
            </w:pPr>
            <w:r>
              <w:rPr>
                <w:rStyle w:val="13"/>
                <w:rFonts w:hint="eastAsia" w:ascii="宋体" w:hAnsi="宋体" w:cs="宋体"/>
                <w:szCs w:val="21"/>
              </w:rPr>
              <w:t>(4)讲台配有后检修上门：方便安装检修设备。配有后检修下门：由于电脑主机等设备后面的接线很多，所以在讲台的背面有一扇专供装配及检修的后门（配有一把锁），极大地方便了电脑主机等设备的接线操作，除检修设备等特殊情况外，后门不需打开。讲台后检修门采用百叶窗设计，通风散热。</w:t>
            </w:r>
          </w:p>
          <w:p>
            <w:pPr>
              <w:rPr>
                <w:rStyle w:val="13"/>
                <w:rFonts w:ascii="宋体" w:hAnsi="宋体" w:cs="宋体"/>
                <w:szCs w:val="21"/>
              </w:rPr>
            </w:pPr>
            <w:r>
              <w:rPr>
                <w:rStyle w:val="13"/>
                <w:rFonts w:hint="eastAsia" w:ascii="宋体" w:hAnsi="宋体" w:cs="宋体"/>
                <w:szCs w:val="21"/>
              </w:rPr>
              <w:t>(5)讲台配设备调试门（前门），电脑主机和光驱开关小门一张，方便老师在不打开下柜门时操作及使用电脑。</w:t>
            </w:r>
          </w:p>
          <w:p>
            <w:pPr>
              <w:rPr>
                <w:rStyle w:val="13"/>
                <w:rFonts w:ascii="宋体" w:hAnsi="宋体" w:cs="宋体"/>
                <w:szCs w:val="21"/>
              </w:rPr>
            </w:pPr>
            <w:r>
              <w:rPr>
                <w:rStyle w:val="13"/>
                <w:rFonts w:hint="eastAsia" w:ascii="宋体" w:hAnsi="宋体" w:cs="宋体"/>
                <w:szCs w:val="21"/>
              </w:rPr>
              <w:t>(6)为方便学校对讲台钥匙的管理，我们对讲台采用一把钥匙控制，既键盘抽屉，实物展台抽屉，前后门全部只用一把钥匙进行控制。</w:t>
            </w:r>
          </w:p>
          <w:p>
            <w:pPr>
              <w:rPr>
                <w:rStyle w:val="13"/>
                <w:rFonts w:ascii="宋体" w:hAnsi="宋体" w:cs="宋体"/>
                <w:szCs w:val="21"/>
              </w:rPr>
            </w:pPr>
            <w:r>
              <w:rPr>
                <w:rStyle w:val="13"/>
                <w:rFonts w:hint="eastAsia" w:ascii="宋体" w:hAnsi="宋体" w:cs="宋体"/>
                <w:szCs w:val="21"/>
              </w:rPr>
              <w:t>(7)实用性强，有足够的平面放置笔记本电脑、教案教具，还可以在讲台上一边做演示实验,一边使用电脑和视频展台；设备箱内配备可调节活动隔板。</w:t>
            </w:r>
          </w:p>
          <w:p>
            <w:pPr>
              <w:rPr>
                <w:rStyle w:val="13"/>
                <w:rFonts w:ascii="宋体" w:hAnsi="宋体" w:cs="宋体"/>
                <w:szCs w:val="21"/>
              </w:rPr>
            </w:pPr>
            <w:r>
              <w:rPr>
                <w:rStyle w:val="13"/>
                <w:rFonts w:hint="eastAsia" w:ascii="宋体" w:hAnsi="宋体" w:cs="宋体"/>
                <w:szCs w:val="21"/>
              </w:rPr>
              <w:t>(8)适应范围广泛：大中专院校、中小学校的多媒体教室、阶梯教室、普通教室、网络机房、会议室、演播厅、以及各种培训教室、报告厅等等。</w:t>
            </w:r>
          </w:p>
          <w:p>
            <w:pPr>
              <w:rPr>
                <w:rStyle w:val="13"/>
                <w:rFonts w:ascii="宋体" w:hAnsi="宋体" w:cs="宋体"/>
                <w:szCs w:val="21"/>
              </w:rPr>
            </w:pPr>
            <w:r>
              <w:rPr>
                <w:rStyle w:val="13"/>
                <w:rFonts w:hint="eastAsia" w:ascii="宋体" w:hAnsi="宋体" w:cs="宋体"/>
                <w:szCs w:val="21"/>
              </w:rPr>
              <w:t>(9)讲台内可放置的多媒体设备有：电脑主机， 17"--22"LCD，实物展示台，键盘鼠标，VCD，功放，笔记本电脑，音箱功放，中控装置，话筒等等。</w:t>
            </w:r>
          </w:p>
        </w:tc>
        <w:tc>
          <w:tcPr>
            <w:tcW w:w="495" w:type="dxa"/>
            <w:tcBorders>
              <w:top w:val="single" w:color="000000" w:sz="4" w:space="0"/>
              <w:left w:val="nil"/>
              <w:bottom w:val="single" w:color="000000" w:sz="4" w:space="0"/>
              <w:right w:val="single" w:color="000000" w:sz="4" w:space="0"/>
            </w:tcBorders>
            <w:vAlign w:val="center"/>
          </w:tcPr>
          <w:p>
            <w:pPr>
              <w:jc w:val="center"/>
              <w:rPr>
                <w:rStyle w:val="13"/>
                <w:rFonts w:ascii="宋体" w:hAnsi="宋体" w:cs="宋体"/>
                <w:b/>
                <w:bCs/>
                <w:kern w:val="0"/>
                <w:szCs w:val="21"/>
              </w:rPr>
            </w:pPr>
            <w:r>
              <w:rPr>
                <w:rStyle w:val="13"/>
                <w:rFonts w:hint="eastAsia" w:ascii="宋体" w:hAnsi="宋体" w:cs="宋体"/>
                <w:b/>
                <w:bCs/>
                <w:kern w:val="0"/>
                <w:szCs w:val="21"/>
              </w:rPr>
              <w:t>6</w:t>
            </w:r>
          </w:p>
        </w:tc>
        <w:tc>
          <w:tcPr>
            <w:tcW w:w="584" w:type="dxa"/>
            <w:tcBorders>
              <w:top w:val="single" w:color="000000" w:sz="4" w:space="0"/>
              <w:left w:val="nil"/>
              <w:bottom w:val="single" w:color="000000" w:sz="4" w:space="0"/>
              <w:right w:val="single" w:color="000000" w:sz="4" w:space="0"/>
            </w:tcBorders>
            <w:vAlign w:val="center"/>
          </w:tcPr>
          <w:p>
            <w:pPr>
              <w:jc w:val="center"/>
              <w:rPr>
                <w:rStyle w:val="13"/>
                <w:rFonts w:ascii="宋体" w:hAnsi="宋体" w:cs="宋体"/>
                <w:b/>
                <w:bCs/>
                <w:kern w:val="0"/>
                <w:szCs w:val="21"/>
              </w:rPr>
            </w:pPr>
            <w:r>
              <w:rPr>
                <w:rStyle w:val="13"/>
                <w:rFonts w:hint="eastAsia" w:ascii="宋体" w:hAnsi="宋体" w:cs="宋体"/>
                <w:b/>
                <w:bCs/>
                <w:kern w:val="0"/>
                <w:szCs w:val="21"/>
              </w:rPr>
              <w:t>个</w:t>
            </w:r>
          </w:p>
        </w:tc>
        <w:tc>
          <w:tcPr>
            <w:tcW w:w="2190" w:type="dxa"/>
            <w:tcBorders>
              <w:top w:val="single" w:color="000000" w:sz="4" w:space="0"/>
              <w:left w:val="nil"/>
              <w:bottom w:val="single" w:color="000000" w:sz="4" w:space="0"/>
              <w:right w:val="single" w:color="000000" w:sz="4" w:space="0"/>
            </w:tcBorders>
            <w:vAlign w:val="center"/>
          </w:tcPr>
          <w:p>
            <w:pPr>
              <w:jc w:val="center"/>
              <w:rPr>
                <w:rStyle w:val="13"/>
                <w:rFonts w:ascii="宋体" w:hAnsi="宋体" w:cs="宋体"/>
                <w:b/>
                <w:bCs/>
                <w:kern w:val="0"/>
                <w:szCs w:val="21"/>
              </w:rPr>
            </w:pPr>
            <w:r>
              <w:rPr>
                <w:rStyle w:val="13"/>
                <w:rFonts w:hint="eastAsia" w:ascii="宋体" w:hAnsi="宋体" w:cs="宋体"/>
                <w:b/>
                <w:bCs/>
                <w:kern w:val="0"/>
                <w:szCs w:val="21"/>
              </w:rPr>
              <w:drawing>
                <wp:inline distT="0" distB="0" distL="114300" distR="114300">
                  <wp:extent cx="1190625" cy="991235"/>
                  <wp:effectExtent l="0" t="0" r="9525" b="18415"/>
                  <wp:docPr id="17" name="图片 17" descr="89cad860b8733224e2263154e30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89cad860b8733224e2263154e303608"/>
                          <pic:cNvPicPr>
                            <a:picLocks noChangeAspect="1"/>
                          </pic:cNvPicPr>
                        </pic:nvPicPr>
                        <pic:blipFill>
                          <a:blip r:embed="rId7"/>
                          <a:stretch>
                            <a:fillRect/>
                          </a:stretch>
                        </pic:blipFill>
                        <pic:spPr>
                          <a:xfrm>
                            <a:off x="0" y="0"/>
                            <a:ext cx="1190625" cy="991235"/>
                          </a:xfrm>
                          <a:prstGeom prst="rect">
                            <a:avLst/>
                          </a:prstGeom>
                        </pic:spPr>
                      </pic:pic>
                    </a:graphicData>
                  </a:graphic>
                </wp:inline>
              </w:drawing>
            </w:r>
          </w:p>
        </w:tc>
        <w:tc>
          <w:tcPr>
            <w:tcW w:w="1048" w:type="dxa"/>
            <w:tcBorders>
              <w:top w:val="single" w:color="000000" w:sz="4" w:space="0"/>
              <w:left w:val="nil"/>
              <w:bottom w:val="single" w:color="000000" w:sz="4" w:space="0"/>
              <w:right w:val="single" w:color="000000" w:sz="4" w:space="0"/>
            </w:tcBorders>
            <w:vAlign w:val="center"/>
          </w:tcPr>
          <w:p>
            <w:pPr>
              <w:jc w:val="center"/>
              <w:rPr>
                <w:rStyle w:val="13"/>
                <w:rFonts w:ascii="宋体" w:hAnsi="宋体" w:cs="宋体"/>
                <w:b/>
                <w:bCs/>
                <w:kern w:val="0"/>
                <w:szCs w:val="21"/>
              </w:rPr>
            </w:pPr>
          </w:p>
        </w:tc>
      </w:tr>
      <w:tr>
        <w:tblPrEx>
          <w:tblCellMar>
            <w:top w:w="0" w:type="dxa"/>
            <w:left w:w="0" w:type="dxa"/>
            <w:bottom w:w="0" w:type="dxa"/>
            <w:right w:w="0" w:type="dxa"/>
          </w:tblCellMar>
        </w:tblPrEx>
        <w:trPr>
          <w:trHeight w:val="688" w:hRule="atLeast"/>
          <w:jc w:val="center"/>
        </w:trPr>
        <w:tc>
          <w:tcPr>
            <w:tcW w:w="652" w:type="dxa"/>
            <w:tcBorders>
              <w:top w:val="single" w:color="000000" w:sz="4" w:space="0"/>
              <w:left w:val="single" w:color="000000" w:sz="4" w:space="0"/>
              <w:bottom w:val="single" w:color="000000" w:sz="4" w:space="0"/>
              <w:right w:val="nil"/>
            </w:tcBorders>
            <w:vAlign w:val="center"/>
          </w:tcPr>
          <w:p>
            <w:pPr>
              <w:jc w:val="center"/>
              <w:rPr>
                <w:rFonts w:ascii="宋体" w:hAnsi="宋体" w:cs="宋体"/>
                <w:szCs w:val="21"/>
              </w:rPr>
            </w:pPr>
            <w:r>
              <w:rPr>
                <w:rFonts w:hint="eastAsia" w:ascii="宋体" w:hAnsi="宋体" w:cs="宋体"/>
                <w:szCs w:val="21"/>
              </w:rPr>
              <w:t>4</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显示单元</w:t>
            </w:r>
          </w:p>
          <w:p>
            <w:pPr>
              <w:pStyle w:val="10"/>
              <w:rPr>
                <w:rFonts w:ascii="宋体" w:hAnsi="宋体" w:cs="宋体"/>
                <w:szCs w:val="21"/>
              </w:rPr>
            </w:pPr>
          </w:p>
        </w:tc>
        <w:tc>
          <w:tcPr>
            <w:tcW w:w="7056" w:type="dxa"/>
            <w:tcBorders>
              <w:top w:val="single" w:color="000000" w:sz="4" w:space="0"/>
              <w:left w:val="nil"/>
              <w:bottom w:val="single" w:color="000000" w:sz="4" w:space="0"/>
              <w:right w:val="single" w:color="000000" w:sz="4" w:space="0"/>
            </w:tcBorders>
            <w:vAlign w:val="center"/>
          </w:tcPr>
          <w:p>
            <w:pPr>
              <w:ind w:left="210" w:leftChars="100"/>
              <w:rPr>
                <w:rFonts w:ascii="宋体" w:hAnsi="宋体" w:cs="宋体"/>
                <w:szCs w:val="21"/>
              </w:rPr>
            </w:pPr>
            <w:r>
              <w:rPr>
                <w:rFonts w:hint="eastAsia" w:ascii="宋体" w:hAnsi="宋体" w:cs="宋体"/>
                <w:szCs w:val="21"/>
              </w:rPr>
              <w:t>1.纯激光光源LCD液晶技术，流明度≥3800流明；芯片尺寸≥0.59英寸；</w:t>
            </w:r>
          </w:p>
          <w:p>
            <w:pPr>
              <w:ind w:left="210" w:leftChars="100"/>
              <w:rPr>
                <w:rFonts w:ascii="宋体" w:hAnsi="宋体" w:cs="宋体"/>
                <w:szCs w:val="21"/>
              </w:rPr>
            </w:pPr>
            <w:r>
              <w:rPr>
                <w:rFonts w:hint="eastAsia" w:ascii="宋体" w:hAnsi="宋体" w:cs="宋体"/>
                <w:szCs w:val="21"/>
              </w:rPr>
              <w:t>2.投影为16:10的80寸画面≤22cm（机身前端距离屏幕的距离），使用寿命≥50000小时，重量≤7.8kg，可以投射≥125寸超大画面</w:t>
            </w:r>
          </w:p>
          <w:p>
            <w:pPr>
              <w:ind w:left="210" w:leftChars="100"/>
              <w:rPr>
                <w:rFonts w:ascii="宋体" w:hAnsi="宋体" w:cs="宋体"/>
                <w:szCs w:val="21"/>
              </w:rPr>
            </w:pPr>
            <w:r>
              <w:rPr>
                <w:rFonts w:hint="eastAsia" w:ascii="宋体" w:hAnsi="宋体" w:cs="宋体"/>
                <w:szCs w:val="21"/>
              </w:rPr>
              <w:t>3.标准分辨率：1280*800，待机模式下≤0.5W，对比度≥500000:1，具有电动聚焦及边角校正功能；</w:t>
            </w:r>
          </w:p>
          <w:p>
            <w:pPr>
              <w:ind w:left="210" w:leftChars="100"/>
              <w:rPr>
                <w:rFonts w:ascii="宋体" w:hAnsi="宋体" w:cs="宋体"/>
                <w:szCs w:val="21"/>
              </w:rPr>
            </w:pPr>
            <w:r>
              <w:rPr>
                <w:rFonts w:hint="eastAsia" w:ascii="宋体" w:hAnsi="宋体" w:cs="宋体"/>
                <w:szCs w:val="21"/>
              </w:rPr>
              <w:t xml:space="preserve">4.具有图像分明处理技术，在明亮的环境下也可以显示清晰画面；具有气压传感监看，适应高海拔显示，自定义开机画面，整机功率≥270W； </w:t>
            </w:r>
          </w:p>
          <w:p>
            <w:pPr>
              <w:ind w:left="210" w:leftChars="100"/>
              <w:rPr>
                <w:rFonts w:ascii="宋体" w:hAnsi="宋体" w:cs="宋体"/>
                <w:szCs w:val="21"/>
              </w:rPr>
            </w:pPr>
            <w:r>
              <w:rPr>
                <w:rFonts w:hint="eastAsia" w:ascii="宋体" w:hAnsi="宋体" w:cs="宋体"/>
                <w:szCs w:val="21"/>
              </w:rPr>
              <w:t>5.有日程表管理，轻松实现管理智能化，扬声器瓦数≥16W；</w:t>
            </w:r>
          </w:p>
          <w:p>
            <w:pPr>
              <w:ind w:left="210" w:leftChars="100"/>
              <w:rPr>
                <w:rFonts w:ascii="宋体" w:hAnsi="宋体" w:cs="宋体"/>
                <w:szCs w:val="21"/>
              </w:rPr>
            </w:pPr>
            <w:r>
              <w:rPr>
                <w:rFonts w:hint="eastAsia" w:ascii="宋体" w:hAnsi="宋体" w:cs="宋体"/>
                <w:szCs w:val="21"/>
              </w:rPr>
              <w:t>6.丰富的端口设计：HDMI端子≥2个；USB≥2个 ,RJ-45端子≥1个；</w:t>
            </w:r>
          </w:p>
          <w:p>
            <w:pPr>
              <w:ind w:left="210" w:leftChars="100"/>
              <w:rPr>
                <w:rFonts w:ascii="宋体" w:hAnsi="宋体" w:cs="宋体"/>
                <w:szCs w:val="21"/>
              </w:rPr>
            </w:pPr>
            <w:r>
              <w:rPr>
                <w:rFonts w:hint="eastAsia" w:ascii="宋体" w:hAnsi="宋体" w:cs="宋体"/>
                <w:szCs w:val="21"/>
              </w:rPr>
              <w:t>7.提供一个原厂超短焦支架；</w:t>
            </w:r>
          </w:p>
          <w:p>
            <w:pPr>
              <w:pStyle w:val="2"/>
              <w:ind w:left="210" w:leftChars="100"/>
              <w:rPr>
                <w:rFonts w:ascii="宋体" w:hAnsi="宋体" w:cs="宋体"/>
                <w:kern w:val="0"/>
                <w:szCs w:val="21"/>
              </w:rPr>
            </w:pPr>
            <w:r>
              <w:rPr>
                <w:rFonts w:hint="eastAsia" w:ascii="宋体" w:hAnsi="宋体" w:cs="宋体"/>
                <w:kern w:val="0"/>
                <w:szCs w:val="21"/>
              </w:rPr>
              <w:t>8.为保证产品的稳定性，所投产品通过国家认可的检测机构检测的平均无故障时间</w:t>
            </w:r>
            <w:r>
              <w:rPr>
                <w:rFonts w:hint="eastAsia" w:ascii="宋体" w:hAnsi="宋体" w:cs="宋体"/>
                <w:szCs w:val="21"/>
              </w:rPr>
              <w:t>≥12万小时认证</w:t>
            </w:r>
          </w:p>
          <w:p>
            <w:pPr>
              <w:pStyle w:val="2"/>
              <w:ind w:left="210" w:leftChars="100"/>
              <w:rPr>
                <w:rFonts w:ascii="宋体" w:hAnsi="宋体" w:cs="宋体"/>
                <w:szCs w:val="21"/>
              </w:rPr>
            </w:pPr>
            <w:r>
              <w:rPr>
                <w:rFonts w:hint="eastAsia" w:ascii="宋体" w:hAnsi="宋体" w:cs="宋体"/>
                <w:kern w:val="0"/>
                <w:szCs w:val="21"/>
              </w:rPr>
              <w:t>为保证质量及享受正规的售后服务，交货时提供品牌针对本项目的售后服务承诺书</w:t>
            </w:r>
          </w:p>
        </w:tc>
        <w:tc>
          <w:tcPr>
            <w:tcW w:w="495" w:type="dxa"/>
            <w:tcBorders>
              <w:top w:val="single" w:color="000000" w:sz="4" w:space="0"/>
              <w:left w:val="nil"/>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4</w:t>
            </w:r>
          </w:p>
        </w:tc>
        <w:tc>
          <w:tcPr>
            <w:tcW w:w="584" w:type="dxa"/>
            <w:tcBorders>
              <w:top w:val="single" w:color="000000" w:sz="4" w:space="0"/>
              <w:left w:val="nil"/>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套</w:t>
            </w:r>
          </w:p>
        </w:tc>
        <w:tc>
          <w:tcPr>
            <w:tcW w:w="2190" w:type="dxa"/>
            <w:tcBorders>
              <w:top w:val="single" w:color="000000" w:sz="4" w:space="0"/>
              <w:left w:val="nil"/>
              <w:bottom w:val="single" w:color="000000" w:sz="4" w:space="0"/>
              <w:right w:val="single" w:color="000000" w:sz="4" w:space="0"/>
            </w:tcBorders>
            <w:vAlign w:val="center"/>
          </w:tcPr>
          <w:p>
            <w:pPr>
              <w:jc w:val="center"/>
              <w:rPr>
                <w:rStyle w:val="13"/>
                <w:rFonts w:ascii="宋体" w:hAnsi="宋体" w:cs="宋体"/>
                <w:b/>
                <w:bCs/>
                <w:kern w:val="0"/>
                <w:szCs w:val="21"/>
              </w:rPr>
            </w:pPr>
            <w:r>
              <w:rPr>
                <w:rFonts w:hint="eastAsia" w:ascii="宋体" w:hAnsi="宋体" w:cs="宋体"/>
                <w:b/>
                <w:bCs/>
                <w:kern w:val="0"/>
                <w:szCs w:val="21"/>
              </w:rPr>
              <w:drawing>
                <wp:inline distT="0" distB="0" distL="114300" distR="114300">
                  <wp:extent cx="1260475" cy="648335"/>
                  <wp:effectExtent l="0" t="0" r="15875" b="18415"/>
                  <wp:docPr id="16" name="图片 1" descr="QQ截图20220413175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QQ截图20220413175316"/>
                          <pic:cNvPicPr>
                            <a:picLocks noChangeAspect="1"/>
                          </pic:cNvPicPr>
                        </pic:nvPicPr>
                        <pic:blipFill>
                          <a:blip r:embed="rId8"/>
                          <a:stretch>
                            <a:fillRect/>
                          </a:stretch>
                        </pic:blipFill>
                        <pic:spPr>
                          <a:xfrm>
                            <a:off x="0" y="0"/>
                            <a:ext cx="1260475" cy="648335"/>
                          </a:xfrm>
                          <a:prstGeom prst="rect">
                            <a:avLst/>
                          </a:prstGeom>
                          <a:noFill/>
                          <a:ln>
                            <a:noFill/>
                          </a:ln>
                        </pic:spPr>
                      </pic:pic>
                    </a:graphicData>
                  </a:graphic>
                </wp:inline>
              </w:drawing>
            </w:r>
          </w:p>
        </w:tc>
        <w:tc>
          <w:tcPr>
            <w:tcW w:w="1048" w:type="dxa"/>
            <w:tcBorders>
              <w:top w:val="single" w:color="000000" w:sz="4" w:space="0"/>
              <w:left w:val="nil"/>
              <w:bottom w:val="single" w:color="000000" w:sz="4" w:space="0"/>
              <w:right w:val="single" w:color="000000" w:sz="4" w:space="0"/>
            </w:tcBorders>
            <w:vAlign w:val="center"/>
          </w:tcPr>
          <w:p>
            <w:pPr>
              <w:jc w:val="center"/>
              <w:rPr>
                <w:rStyle w:val="13"/>
                <w:rFonts w:ascii="宋体" w:hAnsi="宋体" w:cs="宋体"/>
                <w:b/>
                <w:bCs/>
                <w:kern w:val="0"/>
                <w:szCs w:val="21"/>
              </w:rPr>
            </w:pPr>
            <w:r>
              <w:rPr>
                <w:rFonts w:hint="eastAsia" w:ascii="宋体" w:hAnsi="宋体" w:cs="宋体"/>
                <w:szCs w:val="21"/>
              </w:rPr>
              <w:t>维泰克，麦克赛尔，</w:t>
            </w:r>
            <w:r>
              <w:rPr>
                <w:rStyle w:val="13"/>
                <w:rFonts w:ascii="宋体" w:hAnsi="宋体" w:cs="宋体"/>
                <w:b/>
                <w:bCs/>
                <w:kern w:val="0"/>
                <w:szCs w:val="21"/>
              </w:rPr>
              <w:t xml:space="preserve"> </w:t>
            </w:r>
          </w:p>
        </w:tc>
      </w:tr>
      <w:tr>
        <w:trPr>
          <w:trHeight w:val="403" w:hRule="atLeast"/>
          <w:jc w:val="center"/>
        </w:trPr>
        <w:tc>
          <w:tcPr>
            <w:tcW w:w="652" w:type="dxa"/>
            <w:tcBorders>
              <w:top w:val="single" w:color="000000" w:sz="4" w:space="0"/>
              <w:left w:val="single" w:color="000000" w:sz="4" w:space="0"/>
              <w:bottom w:val="single" w:color="000000" w:sz="4" w:space="0"/>
              <w:right w:val="nil"/>
            </w:tcBorders>
            <w:vAlign w:val="center"/>
          </w:tcPr>
          <w:p>
            <w:pPr>
              <w:jc w:val="center"/>
              <w:rPr>
                <w:rStyle w:val="13"/>
                <w:rFonts w:ascii="宋体" w:hAnsi="宋体" w:cs="宋体"/>
                <w:szCs w:val="21"/>
              </w:rPr>
            </w:pPr>
            <w:r>
              <w:rPr>
                <w:rStyle w:val="13"/>
                <w:rFonts w:hint="eastAsia" w:ascii="宋体" w:hAnsi="宋体" w:cs="宋体"/>
                <w:szCs w:val="21"/>
              </w:rPr>
              <w:t>5</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全数字多功能教学主机</w:t>
            </w:r>
          </w:p>
          <w:p>
            <w:pPr>
              <w:pStyle w:val="2"/>
              <w:rPr>
                <w:rFonts w:ascii="宋体" w:hAnsi="宋体" w:cs="宋体"/>
                <w:szCs w:val="21"/>
              </w:rPr>
            </w:pPr>
            <w:r>
              <w:rPr>
                <w:rFonts w:hint="eastAsia" w:ascii="宋体" w:hAnsi="宋体" w:cs="宋体"/>
                <w:szCs w:val="21"/>
              </w:rPr>
              <w:t>品牌：</w:t>
            </w:r>
          </w:p>
        </w:tc>
        <w:tc>
          <w:tcPr>
            <w:tcW w:w="7056" w:type="dxa"/>
            <w:tcBorders>
              <w:top w:val="single" w:color="000000" w:sz="4" w:space="0"/>
              <w:left w:val="nil"/>
              <w:bottom w:val="single" w:color="000000" w:sz="4" w:space="0"/>
              <w:right w:val="single" w:color="000000" w:sz="4" w:space="0"/>
            </w:tcBorders>
            <w:vAlign w:val="center"/>
          </w:tcPr>
          <w:p>
            <w:pPr>
              <w:pStyle w:val="27"/>
              <w:numPr>
                <w:ilvl w:val="0"/>
                <w:numId w:val="1"/>
              </w:numPr>
              <w:spacing w:before="0" w:beforeAutospacing="0" w:after="0" w:afterAutospacing="0" w:line="360" w:lineRule="auto"/>
              <w:rPr>
                <w:sz w:val="21"/>
                <w:szCs w:val="21"/>
              </w:rPr>
            </w:pPr>
            <w:r>
              <w:rPr>
                <w:rFonts w:hint="eastAsia"/>
                <w:sz w:val="21"/>
                <w:szCs w:val="21"/>
              </w:rPr>
              <w:t>使用频率范围 ：2400 - 2483MHz；调制方法： GFSK ；</w:t>
            </w:r>
          </w:p>
          <w:p>
            <w:pPr>
              <w:pStyle w:val="27"/>
              <w:numPr>
                <w:ilvl w:val="0"/>
                <w:numId w:val="1"/>
              </w:numPr>
              <w:spacing w:before="0" w:beforeAutospacing="0" w:after="0" w:afterAutospacing="0" w:line="360" w:lineRule="auto"/>
              <w:rPr>
                <w:sz w:val="21"/>
                <w:szCs w:val="21"/>
              </w:rPr>
            </w:pPr>
            <w:r>
              <w:rPr>
                <w:rFonts w:hint="eastAsia"/>
                <w:sz w:val="21"/>
                <w:szCs w:val="21"/>
              </w:rPr>
              <w:t>开机自动对频,发射功率：15dbm；与无线话筒的有效使用距离≥20米。</w:t>
            </w:r>
          </w:p>
          <w:p>
            <w:pPr>
              <w:pStyle w:val="27"/>
              <w:numPr>
                <w:ilvl w:val="0"/>
                <w:numId w:val="1"/>
              </w:numPr>
              <w:spacing w:before="0" w:beforeAutospacing="0" w:after="0" w:afterAutospacing="0" w:line="360" w:lineRule="auto"/>
              <w:rPr>
                <w:sz w:val="21"/>
                <w:szCs w:val="21"/>
              </w:rPr>
            </w:pPr>
            <w:r>
              <w:rPr>
                <w:rFonts w:hint="eastAsia"/>
                <w:sz w:val="21"/>
                <w:szCs w:val="21"/>
              </w:rPr>
              <w:t>两路无线话筒输入；6路有线话筒输入（音量独立可调和静音），5路音频输入（音量独立可调和静音），一组录音输出接口及A组与A+B组功率输出切换开关，1路中控RS-232接口，话筒输入插口自带幻象直流电源。</w:t>
            </w:r>
          </w:p>
          <w:p>
            <w:pPr>
              <w:pStyle w:val="27"/>
              <w:numPr>
                <w:ilvl w:val="0"/>
                <w:numId w:val="1"/>
              </w:numPr>
              <w:spacing w:before="0" w:beforeAutospacing="0" w:after="0" w:afterAutospacing="0" w:line="360" w:lineRule="auto"/>
              <w:rPr>
                <w:sz w:val="21"/>
                <w:szCs w:val="21"/>
              </w:rPr>
            </w:pPr>
            <w:r>
              <w:rPr>
                <w:rFonts w:hint="eastAsia"/>
                <w:sz w:val="21"/>
                <w:szCs w:val="21"/>
              </w:rPr>
              <w:t>频率响应：20HZ-20KHZ(+1dB,-3dB)，输出功率：200W 阻抗：8Ω；数字音量调节，增强旋钮使用寿命；支持遥控功能；</w:t>
            </w:r>
          </w:p>
          <w:p>
            <w:pPr>
              <w:pStyle w:val="27"/>
              <w:numPr>
                <w:ilvl w:val="0"/>
                <w:numId w:val="1"/>
              </w:numPr>
              <w:spacing w:before="0" w:beforeAutospacing="0" w:after="0" w:afterAutospacing="0" w:line="360" w:lineRule="auto"/>
              <w:rPr>
                <w:sz w:val="21"/>
                <w:szCs w:val="21"/>
              </w:rPr>
            </w:pPr>
            <w:r>
              <w:rPr>
                <w:rFonts w:hint="eastAsia"/>
                <w:sz w:val="21"/>
                <w:szCs w:val="21"/>
              </w:rPr>
              <w:t>可直接播放外插U盘MP3文件, 便于在教学过程中使用MP3等音频素材；</w:t>
            </w:r>
          </w:p>
          <w:p>
            <w:pPr>
              <w:pStyle w:val="27"/>
              <w:numPr>
                <w:ilvl w:val="0"/>
                <w:numId w:val="1"/>
              </w:numPr>
              <w:spacing w:before="0" w:beforeAutospacing="0" w:after="0" w:afterAutospacing="0" w:line="360" w:lineRule="auto"/>
              <w:rPr>
                <w:sz w:val="21"/>
                <w:szCs w:val="21"/>
              </w:rPr>
            </w:pPr>
            <w:r>
              <w:rPr>
                <w:rFonts w:hint="eastAsia"/>
                <w:sz w:val="21"/>
                <w:szCs w:val="21"/>
              </w:rPr>
              <w:t>采用国际IEA标准19寸1U外壳设计，可安装在多媒体机柜上</w:t>
            </w:r>
          </w:p>
          <w:p>
            <w:pPr>
              <w:pStyle w:val="27"/>
              <w:numPr>
                <w:ilvl w:val="0"/>
                <w:numId w:val="1"/>
              </w:numPr>
              <w:spacing w:before="0" w:beforeAutospacing="0" w:after="0" w:afterAutospacing="0" w:line="360" w:lineRule="auto"/>
              <w:rPr>
                <w:sz w:val="21"/>
                <w:szCs w:val="21"/>
              </w:rPr>
            </w:pPr>
            <w:r>
              <w:rPr>
                <w:rFonts w:hint="eastAsia"/>
                <w:sz w:val="21"/>
                <w:szCs w:val="21"/>
              </w:rPr>
              <w:t>各种音频信号源可自由选择（音乐同时输入，不可选，所有音乐都同时响，除广播系统外）；专设一键复位功能，防止误操作，随时可恢复出厂设置；</w:t>
            </w:r>
          </w:p>
          <w:p>
            <w:pPr>
              <w:ind w:left="425"/>
              <w:rPr>
                <w:rStyle w:val="13"/>
                <w:rFonts w:hint="eastAsia" w:ascii="宋体" w:hAnsi="宋体" w:cs="宋体"/>
                <w:kern w:val="0"/>
                <w:szCs w:val="21"/>
              </w:rPr>
            </w:pPr>
          </w:p>
        </w:tc>
        <w:tc>
          <w:tcPr>
            <w:tcW w:w="495" w:type="dxa"/>
            <w:tcBorders>
              <w:top w:val="single" w:color="000000" w:sz="4" w:space="0"/>
              <w:left w:val="nil"/>
              <w:bottom w:val="single" w:color="000000" w:sz="4" w:space="0"/>
              <w:right w:val="single" w:color="000000" w:sz="4" w:space="0"/>
            </w:tcBorders>
            <w:vAlign w:val="center"/>
          </w:tcPr>
          <w:p>
            <w:pPr>
              <w:jc w:val="center"/>
              <w:rPr>
                <w:rStyle w:val="13"/>
                <w:rFonts w:ascii="宋体" w:hAnsi="宋体" w:cs="宋体"/>
                <w:b/>
                <w:bCs/>
                <w:kern w:val="0"/>
                <w:szCs w:val="21"/>
              </w:rPr>
            </w:pPr>
            <w:r>
              <w:rPr>
                <w:rStyle w:val="13"/>
                <w:rFonts w:hint="eastAsia" w:ascii="宋体" w:hAnsi="宋体" w:cs="宋体"/>
                <w:b/>
                <w:bCs/>
                <w:kern w:val="0"/>
                <w:szCs w:val="21"/>
              </w:rPr>
              <w:t>6</w:t>
            </w:r>
          </w:p>
        </w:tc>
        <w:tc>
          <w:tcPr>
            <w:tcW w:w="584" w:type="dxa"/>
            <w:tcBorders>
              <w:top w:val="single" w:color="000000" w:sz="4" w:space="0"/>
              <w:left w:val="nil"/>
              <w:bottom w:val="single" w:color="000000" w:sz="4" w:space="0"/>
              <w:right w:val="single" w:color="000000" w:sz="4" w:space="0"/>
            </w:tcBorders>
            <w:vAlign w:val="center"/>
          </w:tcPr>
          <w:p>
            <w:pPr>
              <w:jc w:val="center"/>
              <w:rPr>
                <w:rStyle w:val="13"/>
                <w:rFonts w:ascii="宋体" w:hAnsi="宋体" w:cs="宋体"/>
                <w:b/>
                <w:bCs/>
                <w:kern w:val="0"/>
                <w:szCs w:val="21"/>
              </w:rPr>
            </w:pPr>
            <w:r>
              <w:rPr>
                <w:rStyle w:val="13"/>
                <w:rFonts w:hint="eastAsia" w:ascii="宋体" w:hAnsi="宋体" w:cs="宋体"/>
                <w:b/>
                <w:bCs/>
                <w:kern w:val="0"/>
                <w:szCs w:val="21"/>
              </w:rPr>
              <w:t>台</w:t>
            </w:r>
          </w:p>
        </w:tc>
        <w:tc>
          <w:tcPr>
            <w:tcW w:w="2190" w:type="dxa"/>
            <w:tcBorders>
              <w:top w:val="single" w:color="000000" w:sz="4" w:space="0"/>
              <w:left w:val="nil"/>
              <w:bottom w:val="single" w:color="000000" w:sz="4" w:space="0"/>
              <w:right w:val="single" w:color="000000" w:sz="4" w:space="0"/>
            </w:tcBorders>
            <w:vAlign w:val="center"/>
          </w:tcPr>
          <w:p>
            <w:pPr>
              <w:jc w:val="center"/>
              <w:rPr>
                <w:rStyle w:val="13"/>
                <w:rFonts w:ascii="宋体" w:hAnsi="宋体" w:cs="宋体"/>
                <w:b/>
                <w:bCs/>
                <w:kern w:val="0"/>
                <w:szCs w:val="21"/>
              </w:rPr>
            </w:pPr>
            <w:r>
              <w:rPr>
                <w:rFonts w:hint="eastAsia" w:ascii="宋体" w:hAnsi="宋体" w:cs="宋体"/>
                <w:szCs w:val="21"/>
              </w:rPr>
              <w:drawing>
                <wp:inline distT="0" distB="0" distL="114300" distR="114300">
                  <wp:extent cx="1101725" cy="374015"/>
                  <wp:effectExtent l="0" t="0" r="3175" b="6985"/>
                  <wp:docPr id="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pic:cNvPicPr>
                            <a:picLocks noChangeAspect="1"/>
                          </pic:cNvPicPr>
                        </pic:nvPicPr>
                        <pic:blipFill>
                          <a:blip r:embed="rId9"/>
                          <a:stretch>
                            <a:fillRect/>
                          </a:stretch>
                        </pic:blipFill>
                        <pic:spPr>
                          <a:xfrm>
                            <a:off x="0" y="0"/>
                            <a:ext cx="1101725" cy="374015"/>
                          </a:xfrm>
                          <a:prstGeom prst="rect">
                            <a:avLst/>
                          </a:prstGeom>
                          <a:noFill/>
                          <a:ln>
                            <a:noFill/>
                          </a:ln>
                        </pic:spPr>
                      </pic:pic>
                    </a:graphicData>
                  </a:graphic>
                </wp:inline>
              </w:drawing>
            </w:r>
          </w:p>
        </w:tc>
        <w:tc>
          <w:tcPr>
            <w:tcW w:w="1048" w:type="dxa"/>
            <w:tcBorders>
              <w:top w:val="single" w:color="000000" w:sz="4" w:space="0"/>
              <w:left w:val="nil"/>
              <w:bottom w:val="single" w:color="000000" w:sz="4" w:space="0"/>
              <w:right w:val="single" w:color="000000" w:sz="4" w:space="0"/>
            </w:tcBorders>
            <w:vAlign w:val="center"/>
          </w:tcPr>
          <w:p>
            <w:pPr>
              <w:jc w:val="center"/>
              <w:textAlignment w:val="center"/>
              <w:rPr>
                <w:rStyle w:val="13"/>
                <w:rFonts w:ascii="宋体" w:hAnsi="宋体" w:cs="宋体"/>
                <w:b/>
                <w:bCs/>
                <w:kern w:val="0"/>
                <w:szCs w:val="21"/>
              </w:rPr>
            </w:pPr>
            <w:r>
              <w:rPr>
                <w:rFonts w:hint="eastAsia" w:ascii="宋体" w:hAnsi="宋体" w:cs="宋体"/>
                <w:szCs w:val="21"/>
              </w:rPr>
              <w:t>湖山，音王</w:t>
            </w:r>
          </w:p>
        </w:tc>
      </w:tr>
      <w:tr>
        <w:trPr>
          <w:trHeight w:val="398" w:hRule="atLeast"/>
          <w:jc w:val="center"/>
        </w:trPr>
        <w:tc>
          <w:tcPr>
            <w:tcW w:w="652" w:type="dxa"/>
            <w:tcBorders>
              <w:top w:val="single" w:color="000000" w:sz="4" w:space="0"/>
              <w:left w:val="single" w:color="000000" w:sz="4" w:space="0"/>
              <w:bottom w:val="single" w:color="000000" w:sz="4" w:space="0"/>
              <w:right w:val="nil"/>
            </w:tcBorders>
            <w:vAlign w:val="center"/>
          </w:tcPr>
          <w:p>
            <w:pPr>
              <w:jc w:val="center"/>
              <w:rPr>
                <w:rStyle w:val="13"/>
                <w:rFonts w:ascii="宋体" w:hAnsi="宋体" w:cs="宋体"/>
                <w:szCs w:val="21"/>
              </w:rPr>
            </w:pPr>
            <w:r>
              <w:rPr>
                <w:rStyle w:val="13"/>
                <w:rFonts w:hint="eastAsia" w:ascii="宋体" w:hAnsi="宋体" w:cs="宋体"/>
                <w:szCs w:val="21"/>
              </w:rPr>
              <w:t>6</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Style w:val="13"/>
                <w:rFonts w:hint="eastAsia" w:ascii="宋体" w:hAnsi="宋体" w:cs="宋体"/>
                <w:szCs w:val="21"/>
              </w:rPr>
              <w:t>高保真教学音箱</w:t>
            </w:r>
          </w:p>
        </w:tc>
        <w:tc>
          <w:tcPr>
            <w:tcW w:w="7056" w:type="dxa"/>
            <w:tcBorders>
              <w:top w:val="single" w:color="000000" w:sz="4" w:space="0"/>
              <w:left w:val="nil"/>
              <w:bottom w:val="single" w:color="000000" w:sz="4" w:space="0"/>
              <w:right w:val="single" w:color="000000" w:sz="4" w:space="0"/>
            </w:tcBorders>
            <w:vAlign w:val="center"/>
          </w:tcPr>
          <w:p>
            <w:pPr>
              <w:pStyle w:val="27"/>
              <w:numPr>
                <w:ilvl w:val="0"/>
                <w:numId w:val="2"/>
              </w:numPr>
              <w:spacing w:before="0" w:beforeAutospacing="0" w:after="0" w:afterAutospacing="0" w:line="360" w:lineRule="auto"/>
              <w:ind w:firstLine="420" w:firstLineChars="200"/>
              <w:rPr>
                <w:sz w:val="21"/>
                <w:szCs w:val="21"/>
              </w:rPr>
            </w:pPr>
            <w:r>
              <w:rPr>
                <w:rFonts w:hint="eastAsia"/>
                <w:sz w:val="21"/>
                <w:szCs w:val="21"/>
              </w:rPr>
              <w:t xml:space="preserve">功率：25W 频率范围： 20Hz~20KHz 失真度： &lt;0.1% at 1W  信噪比： &gt;65dB 隔离度： &gt;50dB  </w:t>
            </w:r>
          </w:p>
          <w:p>
            <w:pPr>
              <w:pStyle w:val="27"/>
              <w:numPr>
                <w:ilvl w:val="0"/>
                <w:numId w:val="2"/>
              </w:numPr>
              <w:spacing w:before="0" w:beforeAutospacing="0" w:after="0" w:afterAutospacing="0" w:line="360" w:lineRule="auto"/>
              <w:ind w:firstLine="420" w:firstLineChars="200"/>
              <w:rPr>
                <w:sz w:val="21"/>
                <w:szCs w:val="21"/>
              </w:rPr>
            </w:pPr>
            <w:r>
              <w:rPr>
                <w:rFonts w:hint="eastAsia"/>
                <w:sz w:val="21"/>
                <w:szCs w:val="21"/>
              </w:rPr>
              <w:t xml:space="preserve">喇叭单元：低音喇叭 5.5寸 ″防磁 球顶高音喇叭1*″防磁 </w:t>
            </w:r>
          </w:p>
          <w:p>
            <w:pPr>
              <w:ind w:left="425" w:hanging="425"/>
              <w:rPr>
                <w:rStyle w:val="13"/>
                <w:rFonts w:ascii="宋体" w:hAnsi="宋体" w:cs="宋体"/>
                <w:kern w:val="0"/>
                <w:szCs w:val="21"/>
              </w:rPr>
            </w:pPr>
          </w:p>
        </w:tc>
        <w:tc>
          <w:tcPr>
            <w:tcW w:w="495" w:type="dxa"/>
            <w:tcBorders>
              <w:top w:val="single" w:color="000000" w:sz="4" w:space="0"/>
              <w:left w:val="nil"/>
              <w:bottom w:val="single" w:color="000000" w:sz="4" w:space="0"/>
              <w:right w:val="single" w:color="000000" w:sz="4" w:space="0"/>
            </w:tcBorders>
            <w:vAlign w:val="center"/>
          </w:tcPr>
          <w:p>
            <w:pPr>
              <w:jc w:val="center"/>
              <w:rPr>
                <w:rStyle w:val="13"/>
                <w:rFonts w:ascii="宋体" w:hAnsi="宋体" w:cs="宋体"/>
                <w:b/>
                <w:bCs/>
                <w:kern w:val="0"/>
                <w:szCs w:val="21"/>
              </w:rPr>
            </w:pPr>
            <w:r>
              <w:rPr>
                <w:rStyle w:val="13"/>
                <w:rFonts w:hint="eastAsia" w:ascii="宋体" w:hAnsi="宋体" w:cs="宋体"/>
                <w:b/>
                <w:bCs/>
                <w:kern w:val="0"/>
                <w:szCs w:val="21"/>
              </w:rPr>
              <w:t>6</w:t>
            </w:r>
          </w:p>
        </w:tc>
        <w:tc>
          <w:tcPr>
            <w:tcW w:w="584" w:type="dxa"/>
            <w:tcBorders>
              <w:top w:val="single" w:color="000000" w:sz="4" w:space="0"/>
              <w:left w:val="nil"/>
              <w:bottom w:val="single" w:color="000000" w:sz="4" w:space="0"/>
              <w:right w:val="single" w:color="000000" w:sz="4" w:space="0"/>
            </w:tcBorders>
            <w:vAlign w:val="center"/>
          </w:tcPr>
          <w:p>
            <w:pPr>
              <w:jc w:val="center"/>
              <w:rPr>
                <w:rStyle w:val="13"/>
                <w:rFonts w:ascii="宋体" w:hAnsi="宋体" w:cs="宋体"/>
                <w:b/>
                <w:bCs/>
                <w:kern w:val="0"/>
                <w:szCs w:val="21"/>
              </w:rPr>
            </w:pPr>
            <w:r>
              <w:rPr>
                <w:rStyle w:val="13"/>
                <w:rFonts w:hint="eastAsia" w:ascii="宋体" w:hAnsi="宋体" w:cs="宋体"/>
                <w:b/>
                <w:bCs/>
                <w:kern w:val="0"/>
                <w:szCs w:val="21"/>
              </w:rPr>
              <w:t>对</w:t>
            </w:r>
          </w:p>
        </w:tc>
        <w:tc>
          <w:tcPr>
            <w:tcW w:w="2190" w:type="dxa"/>
            <w:tcBorders>
              <w:top w:val="single" w:color="000000" w:sz="4" w:space="0"/>
              <w:left w:val="nil"/>
              <w:bottom w:val="single" w:color="000000" w:sz="4" w:space="0"/>
              <w:right w:val="single" w:color="000000" w:sz="4" w:space="0"/>
            </w:tcBorders>
            <w:vAlign w:val="center"/>
          </w:tcPr>
          <w:p>
            <w:pPr>
              <w:rPr>
                <w:rStyle w:val="13"/>
                <w:rFonts w:ascii="宋体" w:hAnsi="宋体" w:cs="宋体"/>
                <w:b/>
                <w:bCs/>
                <w:kern w:val="0"/>
                <w:szCs w:val="21"/>
              </w:rPr>
            </w:pPr>
            <w:r>
              <w:rPr>
                <w:rFonts w:hint="eastAsia" w:ascii="宋体" w:hAnsi="宋体" w:cs="宋体"/>
                <w:szCs w:val="21"/>
              </w:rPr>
              <w:drawing>
                <wp:inline distT="0" distB="0" distL="114300" distR="114300">
                  <wp:extent cx="1085850" cy="91440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0"/>
                          <a:stretch>
                            <a:fillRect/>
                          </a:stretch>
                        </pic:blipFill>
                        <pic:spPr>
                          <a:xfrm>
                            <a:off x="0" y="0"/>
                            <a:ext cx="1085850" cy="914400"/>
                          </a:xfrm>
                          <a:prstGeom prst="rect">
                            <a:avLst/>
                          </a:prstGeom>
                          <a:noFill/>
                          <a:ln>
                            <a:noFill/>
                          </a:ln>
                        </pic:spPr>
                      </pic:pic>
                    </a:graphicData>
                  </a:graphic>
                </wp:inline>
              </w:drawing>
            </w:r>
          </w:p>
        </w:tc>
        <w:tc>
          <w:tcPr>
            <w:tcW w:w="1048" w:type="dxa"/>
            <w:tcBorders>
              <w:top w:val="single" w:color="000000" w:sz="4" w:space="0"/>
              <w:left w:val="nil"/>
              <w:bottom w:val="single" w:color="000000" w:sz="4" w:space="0"/>
              <w:right w:val="single" w:color="000000" w:sz="4" w:space="0"/>
            </w:tcBorders>
            <w:vAlign w:val="center"/>
          </w:tcPr>
          <w:p>
            <w:pPr>
              <w:jc w:val="center"/>
              <w:textAlignment w:val="center"/>
              <w:rPr>
                <w:rStyle w:val="13"/>
                <w:rFonts w:ascii="宋体" w:hAnsi="宋体" w:cs="宋体"/>
                <w:b/>
                <w:bCs/>
                <w:kern w:val="0"/>
                <w:szCs w:val="21"/>
              </w:rPr>
            </w:pPr>
            <w:r>
              <w:rPr>
                <w:rFonts w:hint="eastAsia" w:ascii="宋体" w:hAnsi="宋体" w:cs="宋体"/>
                <w:szCs w:val="21"/>
              </w:rPr>
              <w:t>湖山，音王，</w:t>
            </w:r>
          </w:p>
        </w:tc>
      </w:tr>
      <w:tr>
        <w:tblPrEx>
          <w:tblCellMar>
            <w:top w:w="0" w:type="dxa"/>
            <w:left w:w="0" w:type="dxa"/>
            <w:bottom w:w="0" w:type="dxa"/>
            <w:right w:w="0" w:type="dxa"/>
          </w:tblCellMar>
        </w:tblPrEx>
        <w:trPr>
          <w:trHeight w:val="968" w:hRule="atLeast"/>
          <w:jc w:val="center"/>
        </w:trPr>
        <w:tc>
          <w:tcPr>
            <w:tcW w:w="652" w:type="dxa"/>
            <w:tcBorders>
              <w:top w:val="single" w:color="000000" w:sz="4" w:space="0"/>
              <w:left w:val="single" w:color="000000" w:sz="4" w:space="0"/>
              <w:bottom w:val="single" w:color="000000" w:sz="4" w:space="0"/>
              <w:right w:val="nil"/>
            </w:tcBorders>
            <w:vAlign w:val="center"/>
          </w:tcPr>
          <w:p>
            <w:pPr>
              <w:jc w:val="center"/>
              <w:rPr>
                <w:rStyle w:val="13"/>
                <w:rFonts w:ascii="宋体" w:hAnsi="宋体" w:cs="宋体"/>
                <w:szCs w:val="21"/>
              </w:rPr>
            </w:pPr>
            <w:r>
              <w:rPr>
                <w:rStyle w:val="13"/>
                <w:rFonts w:hint="eastAsia" w:ascii="宋体" w:hAnsi="宋体" w:cs="宋体"/>
                <w:szCs w:val="21"/>
              </w:rPr>
              <w:t>7</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无线话筒</w:t>
            </w:r>
          </w:p>
          <w:p>
            <w:pPr>
              <w:pStyle w:val="2"/>
              <w:rPr>
                <w:rFonts w:ascii="宋体" w:hAnsi="宋体" w:cs="宋体"/>
                <w:szCs w:val="21"/>
              </w:rPr>
            </w:pPr>
          </w:p>
        </w:tc>
        <w:tc>
          <w:tcPr>
            <w:tcW w:w="7056" w:type="dxa"/>
            <w:tcBorders>
              <w:top w:val="single" w:color="000000" w:sz="4" w:space="0"/>
              <w:left w:val="nil"/>
              <w:bottom w:val="single" w:color="000000" w:sz="4" w:space="0"/>
              <w:right w:val="single" w:color="000000" w:sz="4" w:space="0"/>
            </w:tcBorders>
            <w:vAlign w:val="center"/>
          </w:tcPr>
          <w:p>
            <w:pPr>
              <w:pStyle w:val="27"/>
              <w:numPr>
                <w:ilvl w:val="0"/>
                <w:numId w:val="3"/>
              </w:numPr>
              <w:spacing w:before="0" w:beforeAutospacing="0" w:after="0" w:afterAutospacing="0" w:line="360" w:lineRule="auto"/>
              <w:rPr>
                <w:bCs/>
                <w:sz w:val="21"/>
                <w:szCs w:val="21"/>
              </w:rPr>
            </w:pPr>
            <w:r>
              <w:rPr>
                <w:rFonts w:hint="eastAsia"/>
                <w:bCs/>
                <w:sz w:val="21"/>
                <w:szCs w:val="21"/>
              </w:rPr>
              <w:t>使用频率范围 ：2400 - 2483MHz；调制方法： GFSK ；</w:t>
            </w:r>
          </w:p>
          <w:p>
            <w:pPr>
              <w:pStyle w:val="27"/>
              <w:numPr>
                <w:ilvl w:val="0"/>
                <w:numId w:val="3"/>
              </w:numPr>
              <w:spacing w:before="0" w:beforeAutospacing="0" w:after="0" w:afterAutospacing="0" w:line="360" w:lineRule="auto"/>
              <w:rPr>
                <w:bCs/>
                <w:sz w:val="21"/>
                <w:szCs w:val="21"/>
              </w:rPr>
            </w:pPr>
            <w:r>
              <w:rPr>
                <w:rFonts w:hint="eastAsia"/>
                <w:bCs/>
                <w:sz w:val="21"/>
                <w:szCs w:val="21"/>
              </w:rPr>
              <w:t>支持无线对频，开机后，自动进入对频状态，操作简单方便。</w:t>
            </w:r>
          </w:p>
          <w:p>
            <w:pPr>
              <w:pStyle w:val="27"/>
              <w:numPr>
                <w:ilvl w:val="0"/>
                <w:numId w:val="3"/>
              </w:numPr>
              <w:spacing w:before="0" w:beforeAutospacing="0" w:after="0" w:afterAutospacing="0" w:line="360" w:lineRule="auto"/>
              <w:rPr>
                <w:bCs/>
                <w:sz w:val="21"/>
                <w:szCs w:val="21"/>
              </w:rPr>
            </w:pPr>
            <w:r>
              <w:rPr>
                <w:rFonts w:hint="eastAsia"/>
                <w:bCs/>
                <w:sz w:val="21"/>
                <w:szCs w:val="21"/>
              </w:rPr>
              <w:t>自动配对连接距离≥3米，配对连接时间≤1秒；有效接收半径≥15米；</w:t>
            </w:r>
          </w:p>
          <w:p>
            <w:pPr>
              <w:pStyle w:val="27"/>
              <w:numPr>
                <w:ilvl w:val="0"/>
                <w:numId w:val="3"/>
              </w:numPr>
              <w:spacing w:before="0" w:beforeAutospacing="0" w:after="0" w:afterAutospacing="0" w:line="360" w:lineRule="auto"/>
              <w:rPr>
                <w:bCs/>
                <w:sz w:val="21"/>
                <w:szCs w:val="21"/>
              </w:rPr>
            </w:pPr>
            <w:r>
              <w:rPr>
                <w:rFonts w:hint="eastAsia"/>
                <w:bCs/>
                <w:sz w:val="21"/>
                <w:szCs w:val="21"/>
              </w:rPr>
              <w:t>采用内置式锂电池，连续工作时间大于10小时，待机60小时</w:t>
            </w:r>
          </w:p>
          <w:p>
            <w:pPr>
              <w:pStyle w:val="27"/>
              <w:numPr>
                <w:ilvl w:val="0"/>
                <w:numId w:val="3"/>
              </w:numPr>
              <w:spacing w:before="0" w:beforeAutospacing="0" w:after="0" w:afterAutospacing="0" w:line="360" w:lineRule="auto"/>
              <w:rPr>
                <w:bCs/>
                <w:sz w:val="21"/>
                <w:szCs w:val="21"/>
              </w:rPr>
            </w:pPr>
            <w:r>
              <w:rPr>
                <w:rFonts w:hint="eastAsia"/>
                <w:bCs/>
                <w:sz w:val="21"/>
                <w:szCs w:val="21"/>
              </w:rPr>
              <w:t>★发射器采用内置式横竖双咪头拾音器设计（可切换），也支持头带话筒输入，可以手持、可以头带</w:t>
            </w:r>
          </w:p>
          <w:p>
            <w:pPr>
              <w:pStyle w:val="27"/>
              <w:numPr>
                <w:ilvl w:val="0"/>
                <w:numId w:val="3"/>
              </w:numPr>
              <w:spacing w:before="0" w:beforeAutospacing="0" w:after="0" w:afterAutospacing="0" w:line="360" w:lineRule="auto"/>
              <w:rPr>
                <w:bCs/>
                <w:sz w:val="21"/>
                <w:szCs w:val="21"/>
              </w:rPr>
            </w:pPr>
            <w:r>
              <w:rPr>
                <w:rFonts w:hint="eastAsia"/>
                <w:bCs/>
                <w:sz w:val="21"/>
                <w:szCs w:val="21"/>
              </w:rPr>
              <w:t>无线麦克风发射机自带音量控制调节按键，可调节音量大小</w:t>
            </w:r>
          </w:p>
          <w:p>
            <w:pPr>
              <w:pStyle w:val="27"/>
              <w:numPr>
                <w:ilvl w:val="0"/>
                <w:numId w:val="3"/>
              </w:numPr>
              <w:spacing w:before="0" w:beforeAutospacing="0" w:after="0" w:afterAutospacing="0" w:line="360" w:lineRule="auto"/>
              <w:rPr>
                <w:bCs/>
                <w:sz w:val="21"/>
                <w:szCs w:val="21"/>
              </w:rPr>
            </w:pPr>
            <w:r>
              <w:rPr>
                <w:rFonts w:hint="eastAsia"/>
                <w:bCs/>
                <w:sz w:val="21"/>
                <w:szCs w:val="21"/>
              </w:rPr>
              <w:t>无线话筒具有电子教鞭功能、具有PPT上下翻页和一键黑屏功能</w:t>
            </w:r>
          </w:p>
          <w:p>
            <w:pPr>
              <w:pStyle w:val="27"/>
              <w:numPr>
                <w:ilvl w:val="0"/>
                <w:numId w:val="3"/>
              </w:numPr>
              <w:spacing w:before="0" w:beforeAutospacing="0" w:after="0" w:afterAutospacing="0" w:line="360" w:lineRule="auto"/>
              <w:rPr>
                <w:bCs/>
                <w:sz w:val="21"/>
                <w:szCs w:val="21"/>
              </w:rPr>
            </w:pPr>
            <w:r>
              <w:rPr>
                <w:rFonts w:hint="eastAsia"/>
                <w:bCs/>
                <w:sz w:val="21"/>
                <w:szCs w:val="21"/>
              </w:rPr>
              <w:t>无线麦克风发射机有液晶（LCD）显示屏，可显示当前音量、当前频道、电池容量、充电状态等信息</w:t>
            </w:r>
          </w:p>
          <w:p>
            <w:pPr>
              <w:pStyle w:val="27"/>
              <w:numPr>
                <w:ilvl w:val="0"/>
                <w:numId w:val="3"/>
              </w:numPr>
              <w:spacing w:before="0" w:beforeAutospacing="0" w:after="0" w:afterAutospacing="0" w:line="360" w:lineRule="auto"/>
              <w:rPr>
                <w:bCs/>
                <w:sz w:val="21"/>
                <w:szCs w:val="21"/>
              </w:rPr>
            </w:pPr>
            <w:r>
              <w:rPr>
                <w:rFonts w:hint="eastAsia"/>
                <w:bCs/>
                <w:sz w:val="21"/>
                <w:szCs w:val="21"/>
              </w:rPr>
              <w:t>同一个无线话筒可到任何教室使用，不干扰不串频道。</w:t>
            </w:r>
          </w:p>
          <w:p>
            <w:pPr>
              <w:pStyle w:val="27"/>
              <w:numPr>
                <w:ilvl w:val="0"/>
                <w:numId w:val="3"/>
              </w:numPr>
              <w:spacing w:before="0" w:beforeAutospacing="0" w:after="0" w:afterAutospacing="0" w:line="360" w:lineRule="auto"/>
              <w:rPr>
                <w:bCs/>
                <w:sz w:val="21"/>
                <w:szCs w:val="21"/>
              </w:rPr>
            </w:pPr>
            <w:r>
              <w:rPr>
                <w:rFonts w:hint="eastAsia"/>
                <w:bCs/>
                <w:sz w:val="21"/>
                <w:szCs w:val="21"/>
              </w:rPr>
              <w:t>★无线话筒具有男女音色切换</w:t>
            </w:r>
          </w:p>
          <w:p>
            <w:pPr>
              <w:jc w:val="left"/>
              <w:rPr>
                <w:rStyle w:val="13"/>
                <w:rFonts w:ascii="宋体" w:hAnsi="宋体" w:cs="宋体"/>
                <w:kern w:val="0"/>
                <w:szCs w:val="21"/>
              </w:rPr>
            </w:pPr>
          </w:p>
        </w:tc>
        <w:tc>
          <w:tcPr>
            <w:tcW w:w="495" w:type="dxa"/>
            <w:tcBorders>
              <w:top w:val="single" w:color="000000" w:sz="4" w:space="0"/>
              <w:left w:val="nil"/>
              <w:bottom w:val="single" w:color="000000" w:sz="4" w:space="0"/>
              <w:right w:val="single" w:color="000000" w:sz="4" w:space="0"/>
            </w:tcBorders>
            <w:vAlign w:val="center"/>
          </w:tcPr>
          <w:p>
            <w:pPr>
              <w:jc w:val="center"/>
              <w:rPr>
                <w:rStyle w:val="13"/>
                <w:rFonts w:ascii="宋体" w:hAnsi="宋体" w:cs="宋体"/>
                <w:b/>
                <w:bCs/>
                <w:kern w:val="0"/>
                <w:szCs w:val="21"/>
              </w:rPr>
            </w:pPr>
            <w:r>
              <w:rPr>
                <w:rStyle w:val="13"/>
                <w:rFonts w:hint="eastAsia" w:ascii="宋体" w:hAnsi="宋体" w:cs="宋体"/>
                <w:b/>
                <w:bCs/>
                <w:kern w:val="0"/>
                <w:szCs w:val="21"/>
              </w:rPr>
              <w:t>6</w:t>
            </w:r>
          </w:p>
        </w:tc>
        <w:tc>
          <w:tcPr>
            <w:tcW w:w="584" w:type="dxa"/>
            <w:tcBorders>
              <w:top w:val="single" w:color="000000" w:sz="4" w:space="0"/>
              <w:left w:val="nil"/>
              <w:bottom w:val="single" w:color="000000" w:sz="4" w:space="0"/>
              <w:right w:val="single" w:color="000000" w:sz="4" w:space="0"/>
            </w:tcBorders>
            <w:vAlign w:val="center"/>
          </w:tcPr>
          <w:p>
            <w:pPr>
              <w:jc w:val="center"/>
              <w:rPr>
                <w:rStyle w:val="13"/>
                <w:rFonts w:ascii="宋体" w:hAnsi="宋体" w:cs="宋体"/>
                <w:b/>
                <w:bCs/>
                <w:kern w:val="0"/>
                <w:szCs w:val="21"/>
              </w:rPr>
            </w:pPr>
            <w:r>
              <w:rPr>
                <w:rStyle w:val="13"/>
                <w:rFonts w:hint="eastAsia" w:ascii="宋体" w:hAnsi="宋体" w:cs="宋体"/>
                <w:b/>
                <w:bCs/>
                <w:kern w:val="0"/>
                <w:szCs w:val="21"/>
              </w:rPr>
              <w:t>个</w:t>
            </w:r>
          </w:p>
        </w:tc>
        <w:tc>
          <w:tcPr>
            <w:tcW w:w="2190" w:type="dxa"/>
            <w:tcBorders>
              <w:top w:val="single" w:color="000000" w:sz="4" w:space="0"/>
              <w:left w:val="nil"/>
              <w:bottom w:val="single" w:color="000000" w:sz="4" w:space="0"/>
              <w:right w:val="single" w:color="000000" w:sz="4" w:space="0"/>
            </w:tcBorders>
            <w:vAlign w:val="center"/>
          </w:tcPr>
          <w:p>
            <w:pPr>
              <w:rPr>
                <w:rStyle w:val="13"/>
                <w:rFonts w:ascii="宋体" w:hAnsi="宋体" w:cs="宋体"/>
                <w:b/>
                <w:bCs/>
                <w:kern w:val="0"/>
                <w:szCs w:val="21"/>
              </w:rPr>
            </w:pPr>
            <w:r>
              <w:rPr>
                <w:rStyle w:val="13"/>
                <w:rFonts w:hint="eastAsia" w:ascii="宋体" w:hAnsi="宋体" w:cs="宋体"/>
                <w:b/>
                <w:bCs/>
                <w:kern w:val="0"/>
                <w:szCs w:val="21"/>
              </w:rPr>
              <w:t xml:space="preserve">   </w:t>
            </w:r>
            <w:r>
              <w:rPr>
                <w:rFonts w:hint="eastAsia" w:ascii="宋体" w:hAnsi="宋体" w:cs="宋体"/>
                <w:szCs w:val="21"/>
              </w:rPr>
              <w:drawing>
                <wp:inline distT="0" distB="0" distL="114300" distR="114300">
                  <wp:extent cx="473710" cy="1322070"/>
                  <wp:effectExtent l="0" t="0" r="2540" b="1143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1"/>
                          <a:stretch>
                            <a:fillRect/>
                          </a:stretch>
                        </pic:blipFill>
                        <pic:spPr>
                          <a:xfrm>
                            <a:off x="0" y="0"/>
                            <a:ext cx="473710" cy="1322070"/>
                          </a:xfrm>
                          <a:prstGeom prst="rect">
                            <a:avLst/>
                          </a:prstGeom>
                          <a:noFill/>
                          <a:ln>
                            <a:noFill/>
                          </a:ln>
                        </pic:spPr>
                      </pic:pic>
                    </a:graphicData>
                  </a:graphic>
                </wp:inline>
              </w:drawing>
            </w:r>
          </w:p>
        </w:tc>
        <w:tc>
          <w:tcPr>
            <w:tcW w:w="1048" w:type="dxa"/>
            <w:tcBorders>
              <w:top w:val="single" w:color="000000" w:sz="4" w:space="0"/>
              <w:left w:val="nil"/>
              <w:bottom w:val="single" w:color="000000" w:sz="4" w:space="0"/>
              <w:right w:val="single" w:color="000000" w:sz="4" w:space="0"/>
            </w:tcBorders>
            <w:vAlign w:val="center"/>
          </w:tcPr>
          <w:p>
            <w:pPr>
              <w:jc w:val="center"/>
              <w:textAlignment w:val="center"/>
              <w:rPr>
                <w:rStyle w:val="13"/>
                <w:rFonts w:ascii="宋体" w:hAnsi="宋体" w:cs="宋体"/>
                <w:b/>
                <w:bCs/>
                <w:kern w:val="0"/>
                <w:szCs w:val="21"/>
              </w:rPr>
            </w:pPr>
            <w:r>
              <w:rPr>
                <w:rFonts w:hint="eastAsia" w:ascii="宋体" w:hAnsi="宋体" w:cs="宋体"/>
                <w:szCs w:val="21"/>
              </w:rPr>
              <w:t>湖山，音王</w:t>
            </w:r>
          </w:p>
        </w:tc>
      </w:tr>
      <w:tr>
        <w:trPr>
          <w:trHeight w:val="428" w:hRule="atLeast"/>
          <w:jc w:val="center"/>
        </w:trPr>
        <w:tc>
          <w:tcPr>
            <w:tcW w:w="652" w:type="dxa"/>
            <w:tcBorders>
              <w:top w:val="single" w:color="000000" w:sz="4" w:space="0"/>
              <w:left w:val="single" w:color="000000" w:sz="4" w:space="0"/>
              <w:bottom w:val="single" w:color="000000" w:sz="4" w:space="0"/>
              <w:right w:val="nil"/>
            </w:tcBorders>
            <w:vAlign w:val="center"/>
          </w:tcPr>
          <w:p>
            <w:pPr>
              <w:jc w:val="center"/>
              <w:rPr>
                <w:rStyle w:val="13"/>
                <w:rFonts w:ascii="宋体" w:hAnsi="宋体" w:cs="宋体"/>
                <w:szCs w:val="21"/>
              </w:rPr>
            </w:pPr>
            <w:r>
              <w:rPr>
                <w:rStyle w:val="13"/>
                <w:rFonts w:hint="eastAsia" w:ascii="宋体" w:hAnsi="宋体" w:cs="宋体"/>
                <w:b/>
                <w:bCs/>
                <w:kern w:val="0"/>
                <w:szCs w:val="21"/>
              </w:rPr>
              <w:t>8</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s="宋体"/>
                <w:szCs w:val="21"/>
              </w:rPr>
            </w:pPr>
            <w:r>
              <w:rPr>
                <w:rStyle w:val="13"/>
                <w:rFonts w:hint="eastAsia" w:ascii="宋体" w:hAnsi="宋体" w:cs="宋体"/>
                <w:szCs w:val="21"/>
              </w:rPr>
              <w:t>推拉书写板，</w:t>
            </w:r>
          </w:p>
        </w:tc>
        <w:tc>
          <w:tcPr>
            <w:tcW w:w="7056" w:type="dxa"/>
            <w:tcBorders>
              <w:top w:val="single" w:color="000000" w:sz="4" w:space="0"/>
              <w:left w:val="nil"/>
              <w:bottom w:val="single" w:color="000000" w:sz="4" w:space="0"/>
              <w:right w:val="single" w:color="000000" w:sz="4" w:space="0"/>
            </w:tcBorders>
          </w:tcPr>
          <w:p>
            <w:pPr>
              <w:ind w:left="420" w:leftChars="200"/>
              <w:rPr>
                <w:rFonts w:ascii="宋体" w:hAnsi="宋体" w:cs="宋体"/>
                <w:szCs w:val="21"/>
              </w:rPr>
            </w:pPr>
            <w:r>
              <w:rPr>
                <w:rFonts w:hint="eastAsia" w:ascii="宋体" w:hAnsi="宋体" w:cs="宋体"/>
                <w:szCs w:val="21"/>
              </w:rPr>
              <w:t>一、结构</w:t>
            </w:r>
          </w:p>
          <w:p>
            <w:pPr>
              <w:ind w:left="210" w:leftChars="100"/>
              <w:rPr>
                <w:rFonts w:ascii="宋体" w:hAnsi="宋体" w:cs="宋体"/>
                <w:szCs w:val="21"/>
              </w:rPr>
            </w:pPr>
            <w:r>
              <w:rPr>
                <w:rFonts w:hint="eastAsia" w:ascii="宋体" w:hAnsi="宋体" w:cs="宋体"/>
                <w:szCs w:val="21"/>
              </w:rPr>
              <w:t>1、结构：分内外两层结构，四块同等大小的内板组成，整体尺寸≥4000*1305mm（大小可根据多媒体设备的尺寸进行调整），保证与电教设备有效配套。</w:t>
            </w:r>
          </w:p>
          <w:p>
            <w:pPr>
              <w:ind w:left="210" w:leftChars="100"/>
              <w:rPr>
                <w:rFonts w:ascii="宋体" w:hAnsi="宋体" w:cs="宋体"/>
                <w:szCs w:val="21"/>
              </w:rPr>
            </w:pPr>
            <w:r>
              <w:rPr>
                <w:rFonts w:hint="eastAsia" w:ascii="宋体" w:hAnsi="宋体" w:cs="宋体"/>
                <w:szCs w:val="21"/>
              </w:rPr>
              <w:t>2、组成：内层为两块固定书写板，外层为两块滑动书写板，可以左右双向滑动，电教设备居中，配有带品牌标识高档挂锁。</w:t>
            </w:r>
          </w:p>
          <w:p>
            <w:pPr>
              <w:ind w:left="210" w:leftChars="100"/>
              <w:rPr>
                <w:rFonts w:ascii="宋体" w:hAnsi="宋体" w:cs="宋体"/>
                <w:szCs w:val="21"/>
              </w:rPr>
            </w:pPr>
            <w:r>
              <w:rPr>
                <w:rFonts w:hint="eastAsia" w:ascii="宋体" w:hAnsi="宋体" w:cs="宋体"/>
                <w:szCs w:val="21"/>
              </w:rPr>
              <w:t>二、材料</w:t>
            </w:r>
          </w:p>
          <w:p>
            <w:pPr>
              <w:ind w:left="210" w:leftChars="100"/>
              <w:rPr>
                <w:rFonts w:ascii="宋体" w:hAnsi="宋体" w:cs="宋体"/>
                <w:szCs w:val="21"/>
              </w:rPr>
            </w:pPr>
            <w:r>
              <w:rPr>
                <w:rFonts w:hint="eastAsia" w:ascii="宋体" w:hAnsi="宋体" w:cs="宋体"/>
                <w:szCs w:val="21"/>
              </w:rPr>
              <w:t>1、边框：采用高强度工业级电泳色铝合金，经氧化涂层处理，美观大方。横框立框均采用双层加厚结构，边框壁厚15mm，受力150kg不变形。</w:t>
            </w:r>
          </w:p>
          <w:p>
            <w:pPr>
              <w:ind w:left="210" w:leftChars="100"/>
              <w:rPr>
                <w:rFonts w:ascii="宋体" w:hAnsi="宋体" w:cs="宋体"/>
                <w:szCs w:val="21"/>
              </w:rPr>
            </w:pPr>
            <w:r>
              <w:rPr>
                <w:rFonts w:hint="eastAsia" w:ascii="宋体" w:hAnsi="宋体" w:cs="宋体"/>
                <w:szCs w:val="21"/>
              </w:rPr>
              <w:t>2、书写板面：板面采用优质烤漆钢板，亚光墨绿色，厚度≥0.3mm，硬度6H。书写板中甲醛释放量≤0.5mg/L</w:t>
            </w:r>
          </w:p>
          <w:p>
            <w:pPr>
              <w:ind w:left="210" w:leftChars="100"/>
              <w:rPr>
                <w:rFonts w:ascii="宋体" w:hAnsi="宋体" w:cs="宋体"/>
                <w:szCs w:val="21"/>
              </w:rPr>
            </w:pPr>
            <w:r>
              <w:rPr>
                <w:rFonts w:hint="eastAsia" w:ascii="宋体" w:hAnsi="宋体" w:cs="宋体"/>
                <w:szCs w:val="21"/>
              </w:rPr>
              <w:t>3、内芯材料：选用高强度吸音、防潮、阻燃聚苯乙烯板，厚度≥14mm。</w:t>
            </w:r>
          </w:p>
          <w:p>
            <w:pPr>
              <w:ind w:left="210" w:leftChars="100"/>
              <w:rPr>
                <w:rFonts w:ascii="宋体" w:hAnsi="宋体" w:cs="宋体"/>
                <w:szCs w:val="21"/>
              </w:rPr>
            </w:pPr>
            <w:r>
              <w:rPr>
                <w:rFonts w:hint="eastAsia" w:ascii="宋体" w:hAnsi="宋体" w:cs="宋体"/>
                <w:szCs w:val="21"/>
              </w:rPr>
              <w:t>4、背板：选用优质镀锌钢板，纵向间隔80mm压有20mm专利加强筋，增强书写板整体承重能力。</w:t>
            </w:r>
          </w:p>
          <w:p>
            <w:pPr>
              <w:ind w:left="210" w:leftChars="100"/>
              <w:rPr>
                <w:rFonts w:ascii="宋体" w:hAnsi="宋体" w:cs="宋体"/>
                <w:szCs w:val="21"/>
              </w:rPr>
            </w:pPr>
            <w:r>
              <w:rPr>
                <w:rFonts w:hint="eastAsia" w:ascii="宋体" w:hAnsi="宋体" w:cs="宋体"/>
                <w:szCs w:val="21"/>
              </w:rPr>
              <w:t>5、包角：采用抗老化高强度ABS工程塑料注塑成型，双壁成腔流线型设计。</w:t>
            </w:r>
          </w:p>
          <w:p>
            <w:pPr>
              <w:ind w:left="210" w:leftChars="100"/>
              <w:rPr>
                <w:rFonts w:ascii="宋体" w:hAnsi="宋体" w:cs="宋体"/>
                <w:szCs w:val="21"/>
              </w:rPr>
            </w:pPr>
            <w:r>
              <w:rPr>
                <w:rFonts w:hint="eastAsia" w:ascii="宋体" w:hAnsi="宋体" w:cs="宋体"/>
                <w:szCs w:val="21"/>
              </w:rPr>
              <w:t>6、安装固定件：采用厚度2mm的L型优质钢板，隐形安装。</w:t>
            </w:r>
          </w:p>
          <w:p>
            <w:pPr>
              <w:ind w:left="210" w:leftChars="100"/>
              <w:rPr>
                <w:rFonts w:ascii="宋体" w:hAnsi="宋体" w:cs="宋体"/>
                <w:szCs w:val="21"/>
              </w:rPr>
            </w:pPr>
            <w:r>
              <w:rPr>
                <w:rFonts w:hint="eastAsia" w:ascii="宋体" w:hAnsi="宋体" w:cs="宋体"/>
                <w:szCs w:val="21"/>
              </w:rPr>
              <w:t>三、滑动系统及除尘</w:t>
            </w:r>
          </w:p>
          <w:p>
            <w:pPr>
              <w:ind w:left="210" w:leftChars="100"/>
              <w:rPr>
                <w:rFonts w:ascii="宋体" w:hAnsi="宋体" w:cs="宋体"/>
                <w:szCs w:val="21"/>
              </w:rPr>
            </w:pPr>
            <w:r>
              <w:rPr>
                <w:rFonts w:hint="eastAsia" w:ascii="宋体" w:hAnsi="宋体" w:cs="宋体"/>
                <w:szCs w:val="21"/>
              </w:rPr>
              <w:t>1、滑轮：上轮采用减震消音双滑道吊轮下轮，下轮采用一字型平轮单滑动结构，使用高精度轴承，滑动流畅，噪音小。</w:t>
            </w:r>
          </w:p>
          <w:p>
            <w:pPr>
              <w:ind w:left="210" w:leftChars="100"/>
              <w:rPr>
                <w:rFonts w:ascii="宋体" w:hAnsi="宋体" w:cs="宋体"/>
                <w:szCs w:val="21"/>
              </w:rPr>
            </w:pPr>
            <w:r>
              <w:rPr>
                <w:rFonts w:hint="eastAsia" w:ascii="宋体" w:hAnsi="宋体" w:cs="宋体"/>
                <w:szCs w:val="21"/>
              </w:rPr>
              <w:t>2、滑道：上滑道为吊轮轨道设计，下滑道位于粉尘槽内侧，滑道口方向向下，书写时定位精确不晃动，滑动板前后晃动小0.5mm，经久耐用，各四组。</w:t>
            </w:r>
          </w:p>
          <w:p>
            <w:pPr>
              <w:ind w:left="210" w:leftChars="100"/>
              <w:rPr>
                <w:rFonts w:ascii="宋体" w:hAnsi="宋体" w:cs="宋体"/>
                <w:szCs w:val="21"/>
              </w:rPr>
            </w:pPr>
            <w:r>
              <w:rPr>
                <w:rFonts w:hint="eastAsia" w:ascii="宋体" w:hAnsi="宋体" w:cs="宋体"/>
                <w:szCs w:val="21"/>
              </w:rPr>
              <w:t>3、铝合金粉尘槽：配备铝合金粉尘槽，且与滑动系统（滑道与滑轮）完全分离，避免粉笔和杂物直接掉入滑道所造成的负面使用问题，解决粉尘堆积问题与滑动板推拉不畅所造成的售后问题。</w:t>
            </w:r>
          </w:p>
          <w:p>
            <w:pPr>
              <w:pStyle w:val="2"/>
              <w:ind w:left="210" w:leftChars="100"/>
              <w:rPr>
                <w:rFonts w:ascii="宋体" w:hAnsi="宋体" w:cs="宋体"/>
                <w:szCs w:val="21"/>
              </w:rPr>
            </w:pPr>
          </w:p>
        </w:tc>
        <w:tc>
          <w:tcPr>
            <w:tcW w:w="495" w:type="dxa"/>
            <w:tcBorders>
              <w:top w:val="single" w:color="000000" w:sz="4" w:space="0"/>
              <w:left w:val="nil"/>
              <w:bottom w:val="single" w:color="000000" w:sz="4" w:space="0"/>
              <w:right w:val="single" w:color="000000" w:sz="4" w:space="0"/>
            </w:tcBorders>
            <w:vAlign w:val="center"/>
          </w:tcPr>
          <w:p>
            <w:pPr>
              <w:jc w:val="center"/>
              <w:rPr>
                <w:rStyle w:val="13"/>
                <w:rFonts w:ascii="宋体" w:hAnsi="宋体" w:cs="宋体"/>
                <w:b/>
                <w:bCs/>
                <w:kern w:val="0"/>
                <w:szCs w:val="21"/>
              </w:rPr>
            </w:pPr>
            <w:r>
              <w:rPr>
                <w:rStyle w:val="13"/>
                <w:rFonts w:hint="eastAsia" w:ascii="宋体" w:hAnsi="宋体" w:cs="宋体"/>
                <w:b/>
                <w:bCs/>
                <w:kern w:val="0"/>
                <w:szCs w:val="21"/>
              </w:rPr>
              <w:t>2</w:t>
            </w:r>
          </w:p>
        </w:tc>
        <w:tc>
          <w:tcPr>
            <w:tcW w:w="584" w:type="dxa"/>
            <w:tcBorders>
              <w:top w:val="single" w:color="000000" w:sz="4" w:space="0"/>
              <w:left w:val="nil"/>
              <w:bottom w:val="single" w:color="000000" w:sz="4" w:space="0"/>
              <w:right w:val="single" w:color="000000" w:sz="4" w:space="0"/>
            </w:tcBorders>
            <w:vAlign w:val="center"/>
          </w:tcPr>
          <w:p>
            <w:pPr>
              <w:jc w:val="center"/>
              <w:rPr>
                <w:rStyle w:val="13"/>
                <w:rFonts w:ascii="宋体" w:hAnsi="宋体" w:cs="宋体"/>
                <w:b/>
                <w:bCs/>
                <w:kern w:val="0"/>
                <w:szCs w:val="21"/>
              </w:rPr>
            </w:pPr>
            <w:r>
              <w:rPr>
                <w:rStyle w:val="13"/>
                <w:rFonts w:hint="eastAsia" w:ascii="宋体" w:hAnsi="宋体" w:cs="宋体"/>
                <w:b/>
                <w:bCs/>
                <w:kern w:val="0"/>
                <w:szCs w:val="21"/>
              </w:rPr>
              <w:t>块</w:t>
            </w:r>
          </w:p>
        </w:tc>
        <w:tc>
          <w:tcPr>
            <w:tcW w:w="2190" w:type="dxa"/>
            <w:tcBorders>
              <w:top w:val="single" w:color="000000" w:sz="4" w:space="0"/>
              <w:left w:val="nil"/>
              <w:bottom w:val="single" w:color="000000" w:sz="4" w:space="0"/>
              <w:right w:val="single" w:color="000000" w:sz="4" w:space="0"/>
            </w:tcBorders>
            <w:vAlign w:val="center"/>
          </w:tcPr>
          <w:p>
            <w:pPr>
              <w:pStyle w:val="10"/>
              <w:rPr>
                <w:rStyle w:val="13"/>
                <w:rFonts w:ascii="宋体" w:hAnsi="宋体" w:cs="宋体"/>
                <w:b/>
                <w:bCs/>
                <w:kern w:val="0"/>
                <w:szCs w:val="21"/>
              </w:rPr>
            </w:pPr>
          </w:p>
          <w:p>
            <w:pPr>
              <w:pStyle w:val="10"/>
              <w:jc w:val="center"/>
              <w:rPr>
                <w:rStyle w:val="13"/>
                <w:rFonts w:ascii="宋体" w:hAnsi="宋体" w:cs="宋体"/>
                <w:b/>
                <w:bCs/>
                <w:kern w:val="0"/>
                <w:szCs w:val="21"/>
              </w:rPr>
            </w:pPr>
            <w:r>
              <w:rPr>
                <w:rStyle w:val="13"/>
                <w:rFonts w:hint="eastAsia" w:ascii="宋体" w:hAnsi="宋体" w:cs="宋体"/>
                <w:b/>
                <w:bCs/>
                <w:kern w:val="0"/>
                <w:szCs w:val="21"/>
              </w:rPr>
              <w:drawing>
                <wp:inline distT="0" distB="0" distL="114300" distR="114300">
                  <wp:extent cx="1294130" cy="970915"/>
                  <wp:effectExtent l="0" t="0" r="1270" b="635"/>
                  <wp:docPr id="11" name="图片 11" descr="8e8dcca172ae7a0bdef8e820dfce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8e8dcca172ae7a0bdef8e820dfce503"/>
                          <pic:cNvPicPr>
                            <a:picLocks noChangeAspect="1"/>
                          </pic:cNvPicPr>
                        </pic:nvPicPr>
                        <pic:blipFill>
                          <a:blip r:embed="rId12"/>
                          <a:stretch>
                            <a:fillRect/>
                          </a:stretch>
                        </pic:blipFill>
                        <pic:spPr>
                          <a:xfrm>
                            <a:off x="0" y="0"/>
                            <a:ext cx="1294130" cy="970915"/>
                          </a:xfrm>
                          <a:prstGeom prst="rect">
                            <a:avLst/>
                          </a:prstGeom>
                        </pic:spPr>
                      </pic:pic>
                    </a:graphicData>
                  </a:graphic>
                </wp:inline>
              </w:drawing>
            </w:r>
          </w:p>
        </w:tc>
        <w:tc>
          <w:tcPr>
            <w:tcW w:w="1048" w:type="dxa"/>
            <w:tcBorders>
              <w:top w:val="single" w:color="000000" w:sz="4" w:space="0"/>
              <w:left w:val="nil"/>
              <w:bottom w:val="single" w:color="000000" w:sz="4" w:space="0"/>
              <w:right w:val="single" w:color="000000" w:sz="4" w:space="0"/>
            </w:tcBorders>
            <w:vAlign w:val="center"/>
          </w:tcPr>
          <w:p>
            <w:pPr>
              <w:jc w:val="center"/>
              <w:rPr>
                <w:rStyle w:val="13"/>
                <w:rFonts w:ascii="宋体" w:hAnsi="宋体" w:cs="宋体"/>
                <w:b/>
                <w:bCs/>
                <w:kern w:val="0"/>
                <w:szCs w:val="21"/>
              </w:rPr>
            </w:pPr>
            <w:r>
              <w:rPr>
                <w:rFonts w:hint="eastAsia" w:ascii="宋体" w:hAnsi="宋体" w:cs="宋体"/>
                <w:b/>
                <w:bCs/>
                <w:kern w:val="0"/>
                <w:szCs w:val="21"/>
              </w:rPr>
              <w:t>蓝贝思特，大杉，</w:t>
            </w:r>
          </w:p>
        </w:tc>
      </w:tr>
      <w:tr>
        <w:tblPrEx>
          <w:tblCellMar>
            <w:top w:w="0" w:type="dxa"/>
            <w:left w:w="0" w:type="dxa"/>
            <w:bottom w:w="0" w:type="dxa"/>
            <w:right w:w="0" w:type="dxa"/>
          </w:tblCellMar>
        </w:tblPrEx>
        <w:trPr>
          <w:trHeight w:val="423" w:hRule="atLeast"/>
          <w:jc w:val="center"/>
        </w:trPr>
        <w:tc>
          <w:tcPr>
            <w:tcW w:w="652" w:type="dxa"/>
            <w:tcBorders>
              <w:top w:val="single" w:color="000000" w:sz="4" w:space="0"/>
              <w:left w:val="single" w:color="000000" w:sz="4" w:space="0"/>
              <w:bottom w:val="single" w:color="000000" w:sz="4" w:space="0"/>
              <w:right w:val="nil"/>
            </w:tcBorders>
            <w:vAlign w:val="center"/>
          </w:tcPr>
          <w:p>
            <w:pPr>
              <w:jc w:val="center"/>
              <w:rPr>
                <w:rStyle w:val="13"/>
                <w:rFonts w:ascii="宋体" w:hAnsi="宋体" w:cs="宋体"/>
                <w:szCs w:val="21"/>
              </w:rPr>
            </w:pPr>
            <w:r>
              <w:rPr>
                <w:rStyle w:val="13"/>
                <w:rFonts w:hint="eastAsia" w:ascii="宋体" w:hAnsi="宋体" w:cs="宋体"/>
                <w:b/>
                <w:bCs/>
                <w:kern w:val="0"/>
                <w:szCs w:val="21"/>
              </w:rPr>
              <w:t>9</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Style w:val="13"/>
                <w:rFonts w:hint="eastAsia" w:ascii="宋体" w:hAnsi="宋体" w:cs="宋体"/>
                <w:szCs w:val="21"/>
              </w:rPr>
              <w:t>86寸交互智能平板</w:t>
            </w:r>
          </w:p>
        </w:tc>
        <w:tc>
          <w:tcPr>
            <w:tcW w:w="7056" w:type="dxa"/>
            <w:tcBorders>
              <w:top w:val="single" w:color="000000" w:sz="4" w:space="0"/>
              <w:left w:val="nil"/>
              <w:bottom w:val="single" w:color="000000" w:sz="4" w:space="0"/>
              <w:right w:val="single" w:color="000000" w:sz="4" w:space="0"/>
            </w:tcBorders>
          </w:tcPr>
          <w:p>
            <w:pPr>
              <w:pStyle w:val="4"/>
              <w:spacing w:line="240" w:lineRule="auto"/>
              <w:rPr>
                <w:rFonts w:ascii="宋体" w:hAnsi="宋体" w:cs="宋体"/>
                <w:b w:val="0"/>
                <w:bCs w:val="0"/>
                <w:sz w:val="21"/>
                <w:szCs w:val="21"/>
              </w:rPr>
            </w:pPr>
            <w:r>
              <w:rPr>
                <w:rFonts w:hint="eastAsia" w:ascii="宋体" w:hAnsi="宋体" w:cs="宋体"/>
                <w:b w:val="0"/>
                <w:bCs w:val="0"/>
                <w:sz w:val="21"/>
                <w:szCs w:val="21"/>
              </w:rPr>
              <w:t>一、硬件参数</w:t>
            </w:r>
          </w:p>
          <w:p>
            <w:pPr>
              <w:tabs>
                <w:tab w:val="left" w:pos="397"/>
              </w:tabs>
              <w:rPr>
                <w:rFonts w:ascii="宋体" w:hAnsi="宋体" w:cs="宋体"/>
                <w:szCs w:val="21"/>
              </w:rPr>
            </w:pPr>
            <w:r>
              <w:rPr>
                <w:rFonts w:hint="eastAsia" w:ascii="宋体" w:hAnsi="宋体" w:cs="宋体"/>
                <w:szCs w:val="21"/>
              </w:rPr>
              <w:t>1.外观要求：整机外壳无塑胶部件，采用金属结构一体化设计，外部无可见内部功能模块的连接线，表面无尖锐边缘或突起，整体设计安全，牢固，美观。</w:t>
            </w:r>
          </w:p>
          <w:p>
            <w:pPr>
              <w:tabs>
                <w:tab w:val="left" w:pos="397"/>
              </w:tabs>
              <w:rPr>
                <w:rFonts w:ascii="宋体" w:hAnsi="宋体" w:cs="宋体"/>
                <w:szCs w:val="21"/>
              </w:rPr>
            </w:pPr>
            <w:r>
              <w:rPr>
                <w:rFonts w:hint="eastAsia" w:ascii="宋体" w:hAnsi="宋体" w:cs="宋体"/>
                <w:szCs w:val="21"/>
              </w:rPr>
              <w:t>2.整机表面采用≤3.5mm全钢化玻璃，防眩光玻璃，表面莫氏硬度≥9H，雾度≤8%，使用1.5kg的钢珠2.5米高度进行自由落体撞击测试，防护玻璃无损伤，功能无异常。</w:t>
            </w:r>
          </w:p>
          <w:p>
            <w:pPr>
              <w:tabs>
                <w:tab w:val="left" w:pos="397"/>
              </w:tabs>
              <w:rPr>
                <w:rFonts w:ascii="宋体" w:hAnsi="宋体" w:cs="宋体"/>
                <w:szCs w:val="21"/>
              </w:rPr>
            </w:pPr>
            <w:r>
              <w:rPr>
                <w:rFonts w:hint="eastAsia" w:ascii="宋体" w:hAnsi="宋体" w:cs="宋体"/>
                <w:szCs w:val="21"/>
              </w:rPr>
              <w:t>3.显示尺寸：≥86寸；显示分辨率：3840(H)×2160(V)；显示比例：16:9。</w:t>
            </w:r>
          </w:p>
          <w:p>
            <w:pPr>
              <w:tabs>
                <w:tab w:val="left" w:pos="397"/>
              </w:tabs>
              <w:rPr>
                <w:rFonts w:ascii="宋体" w:hAnsi="宋体" w:cs="宋体"/>
                <w:szCs w:val="21"/>
              </w:rPr>
            </w:pPr>
            <w:r>
              <w:rPr>
                <w:rFonts w:hint="eastAsia" w:ascii="宋体" w:hAnsi="宋体" w:cs="宋体"/>
                <w:szCs w:val="21"/>
              </w:rPr>
              <w:t>4.亮度：≥500 cd/㎡；对比度：≥6500：1；可视角度：≥178°。</w:t>
            </w:r>
          </w:p>
          <w:p>
            <w:pPr>
              <w:tabs>
                <w:tab w:val="left" w:pos="397"/>
              </w:tabs>
              <w:rPr>
                <w:rFonts w:ascii="宋体" w:hAnsi="宋体" w:cs="宋体"/>
                <w:szCs w:val="21"/>
              </w:rPr>
            </w:pPr>
            <w:r>
              <w:rPr>
                <w:rFonts w:hint="eastAsia" w:ascii="宋体" w:hAnsi="宋体" w:cs="宋体"/>
                <w:szCs w:val="21"/>
              </w:rPr>
              <w:t>5.采用红外触摸技术，在WINDOWS与安卓系统可同时支持二十点触摸。</w:t>
            </w:r>
          </w:p>
          <w:p>
            <w:pPr>
              <w:tabs>
                <w:tab w:val="left" w:pos="397"/>
              </w:tabs>
              <w:rPr>
                <w:rFonts w:ascii="宋体" w:hAnsi="宋体" w:cs="宋体"/>
                <w:szCs w:val="21"/>
              </w:rPr>
            </w:pPr>
            <w:r>
              <w:rPr>
                <w:rFonts w:hint="eastAsia" w:ascii="宋体" w:hAnsi="宋体" w:cs="宋体"/>
                <w:szCs w:val="21"/>
              </w:rPr>
              <w:t>6.触摸分辨率：32769*32769；触摸精准度：≤0.1mm；光标速度：≥300点/秒</w:t>
            </w:r>
          </w:p>
          <w:p>
            <w:pPr>
              <w:tabs>
                <w:tab w:val="left" w:pos="397"/>
              </w:tabs>
              <w:rPr>
                <w:rFonts w:ascii="宋体" w:hAnsi="宋体" w:cs="宋体"/>
                <w:szCs w:val="21"/>
              </w:rPr>
            </w:pPr>
            <w:r>
              <w:rPr>
                <w:rFonts w:hint="eastAsia" w:ascii="宋体" w:hAnsi="宋体" w:cs="宋体"/>
                <w:szCs w:val="21"/>
              </w:rPr>
              <w:t>7.前置扬声器：≥2×15W。</w:t>
            </w:r>
          </w:p>
          <w:p>
            <w:pPr>
              <w:tabs>
                <w:tab w:val="left" w:pos="397"/>
              </w:tabs>
              <w:rPr>
                <w:rFonts w:ascii="宋体" w:hAnsi="宋体" w:cs="宋体"/>
                <w:szCs w:val="21"/>
              </w:rPr>
            </w:pPr>
            <w:r>
              <w:rPr>
                <w:rFonts w:hint="eastAsia" w:ascii="宋体" w:hAnsi="宋体" w:cs="宋体"/>
                <w:szCs w:val="21"/>
              </w:rPr>
              <w:t>8.显示颜色：10bit，16. 7M Colors；色域：≥95% NTSC高色域；透光率＞95%；色彩覆盖率：≥130%。</w:t>
            </w:r>
          </w:p>
          <w:p>
            <w:pPr>
              <w:tabs>
                <w:tab w:val="left" w:pos="397"/>
              </w:tabs>
              <w:rPr>
                <w:rFonts w:ascii="宋体" w:hAnsi="宋体" w:cs="宋体"/>
                <w:szCs w:val="21"/>
              </w:rPr>
            </w:pPr>
            <w:r>
              <w:rPr>
                <w:rFonts w:hint="eastAsia" w:ascii="宋体" w:hAnsi="宋体" w:cs="宋体"/>
                <w:szCs w:val="21"/>
              </w:rPr>
              <w:t>9.安卓系统配置：安卓系统≥9.0，内存≥1G，存储内存≥8G非外扩。</w:t>
            </w:r>
          </w:p>
          <w:p>
            <w:pPr>
              <w:tabs>
                <w:tab w:val="left" w:pos="397"/>
              </w:tabs>
              <w:rPr>
                <w:rFonts w:ascii="宋体" w:hAnsi="宋体" w:cs="宋体"/>
                <w:szCs w:val="21"/>
              </w:rPr>
            </w:pPr>
            <w:r>
              <w:rPr>
                <w:rFonts w:hint="eastAsia" w:ascii="宋体" w:hAnsi="宋体" w:cs="宋体"/>
                <w:szCs w:val="21"/>
              </w:rPr>
              <w:t>10.前置具有物理按键。</w:t>
            </w:r>
          </w:p>
          <w:p>
            <w:pPr>
              <w:tabs>
                <w:tab w:val="left" w:pos="397"/>
              </w:tabs>
              <w:rPr>
                <w:rFonts w:ascii="宋体" w:hAnsi="宋体" w:cs="宋体"/>
                <w:szCs w:val="21"/>
              </w:rPr>
            </w:pPr>
            <w:r>
              <w:rPr>
                <w:rFonts w:hint="eastAsia" w:ascii="宋体" w:hAnsi="宋体" w:cs="宋体"/>
                <w:szCs w:val="21"/>
              </w:rPr>
              <w:t>11.前置接口：USB2.0≥2、USB3.0≥1、HDMI≥1、Touch USB≥1。</w:t>
            </w:r>
          </w:p>
          <w:p>
            <w:pPr>
              <w:tabs>
                <w:tab w:val="left" w:pos="397"/>
              </w:tabs>
              <w:rPr>
                <w:rFonts w:ascii="宋体" w:hAnsi="宋体" w:cs="宋体"/>
                <w:szCs w:val="21"/>
              </w:rPr>
            </w:pPr>
            <w:r>
              <w:rPr>
                <w:rFonts w:hint="eastAsia" w:ascii="宋体" w:hAnsi="宋体" w:cs="宋体"/>
                <w:szCs w:val="21"/>
              </w:rPr>
              <w:t>12.灰度：屏幕显示灰度分辨等级达到256灰阶以上。</w:t>
            </w:r>
          </w:p>
          <w:p>
            <w:pPr>
              <w:tabs>
                <w:tab w:val="left" w:pos="397"/>
              </w:tabs>
              <w:rPr>
                <w:rFonts w:ascii="宋体" w:hAnsi="宋体" w:cs="宋体"/>
                <w:szCs w:val="21"/>
              </w:rPr>
            </w:pPr>
            <w:r>
              <w:rPr>
                <w:rFonts w:hint="eastAsia" w:ascii="宋体" w:hAnsi="宋体" w:cs="宋体"/>
                <w:szCs w:val="21"/>
              </w:rPr>
              <w:t>13.熄屏方式：≥3种方式熄屏方式，通过前置按钮、五指熄屏、遥控器等方式，均可实现显示区熄屏、亮屏，熄屏同时断开触摸操作功能，以防发生误操作方便触控。</w:t>
            </w:r>
          </w:p>
          <w:p>
            <w:pPr>
              <w:tabs>
                <w:tab w:val="left" w:pos="397"/>
              </w:tabs>
              <w:rPr>
                <w:rFonts w:ascii="宋体" w:hAnsi="宋体" w:cs="宋体"/>
                <w:szCs w:val="21"/>
              </w:rPr>
            </w:pPr>
            <w:r>
              <w:rPr>
                <w:rFonts w:hint="eastAsia" w:ascii="宋体" w:hAnsi="宋体" w:cs="宋体"/>
                <w:szCs w:val="21"/>
              </w:rPr>
              <w:t>14.高温工作状态，（85℃±3℃）工作 8H，低温（-20℃±3℃），湿度 85%PH，各工作 8H，高温结束后，常温 2H 后进行低温测试。高低温工作结束后立即进行检查外观。常温恢复 2H 后再次进行外观、功能检查，需无异常。</w:t>
            </w:r>
          </w:p>
          <w:p>
            <w:pPr>
              <w:tabs>
                <w:tab w:val="left" w:pos="397"/>
              </w:tabs>
              <w:rPr>
                <w:rFonts w:ascii="宋体" w:hAnsi="宋体" w:cs="宋体"/>
                <w:szCs w:val="21"/>
              </w:rPr>
            </w:pPr>
            <w:r>
              <w:rPr>
                <w:rFonts w:hint="eastAsia" w:ascii="宋体" w:hAnsi="宋体" w:cs="宋体"/>
                <w:szCs w:val="21"/>
              </w:rPr>
              <w:t>15.防尘功能：直径 1.0mm 的试验金属线不得进入外壳， 并与带电部分保持足够的间隙。</w:t>
            </w:r>
          </w:p>
          <w:p>
            <w:pPr>
              <w:tabs>
                <w:tab w:val="left" w:pos="397"/>
              </w:tabs>
              <w:rPr>
                <w:rFonts w:ascii="宋体" w:hAnsi="宋体" w:cs="宋体"/>
                <w:szCs w:val="21"/>
              </w:rPr>
            </w:pPr>
            <w:r>
              <w:rPr>
                <w:rFonts w:hint="eastAsia" w:ascii="宋体" w:hAnsi="宋体" w:cs="宋体"/>
                <w:szCs w:val="21"/>
              </w:rPr>
              <w:t>16.整机在振动台上频率 5-50Hz, 振动方向X、Y、Z 三个方向的上下（6 度测试）≥60 分钟的振动试验， 外观无损伤、破裂、部件松动，整机可正常运行。</w:t>
            </w:r>
          </w:p>
          <w:p>
            <w:pPr>
              <w:tabs>
                <w:tab w:val="left" w:pos="397"/>
              </w:tabs>
              <w:rPr>
                <w:rFonts w:ascii="宋体" w:hAnsi="宋体" w:cs="宋体"/>
                <w:szCs w:val="21"/>
              </w:rPr>
            </w:pPr>
            <w:r>
              <w:rPr>
                <w:rFonts w:hint="eastAsia" w:ascii="宋体" w:hAnsi="宋体" w:cs="宋体"/>
                <w:szCs w:val="21"/>
              </w:rPr>
              <w:t>17.侧置接口至少包含1路RJ45、1路EAPHHONE、1路VGA AUDIO IN、1路TF卡座等接口。</w:t>
            </w:r>
          </w:p>
          <w:p>
            <w:pPr>
              <w:tabs>
                <w:tab w:val="left" w:pos="397"/>
              </w:tabs>
              <w:rPr>
                <w:rFonts w:ascii="宋体" w:hAnsi="宋体" w:cs="宋体"/>
                <w:szCs w:val="21"/>
              </w:rPr>
            </w:pPr>
            <w:r>
              <w:rPr>
                <w:rFonts w:hint="eastAsia" w:ascii="宋体" w:hAnsi="宋体" w:cs="宋体"/>
                <w:szCs w:val="21"/>
              </w:rPr>
              <w:t>18.抗强光测试：极端环境-10°~45°连续工作 12 小时，触摸屏在强光（≥500K LUX）照射下，触摸、书写功能正常操作。</w:t>
            </w:r>
          </w:p>
          <w:p>
            <w:pPr>
              <w:tabs>
                <w:tab w:val="left" w:pos="397"/>
              </w:tabs>
              <w:rPr>
                <w:rFonts w:ascii="宋体" w:hAnsi="宋体" w:cs="宋体"/>
                <w:szCs w:val="21"/>
              </w:rPr>
            </w:pPr>
            <w:r>
              <w:rPr>
                <w:rFonts w:hint="eastAsia" w:ascii="宋体" w:hAnsi="宋体" w:cs="宋体"/>
                <w:szCs w:val="21"/>
              </w:rPr>
              <w:t>19.整机在任意通道下，可通过手势在整机下方任意位置迅速调出中控便捷菜单，且菜单调取及操作各功能触摸速度小于 1s，响应无延迟，具有返回操作、一键主页、任务预览、菜单设置、音量加减、亮度调整、一键白板、全通道屏幕批注、截图，具有一个自定义键；并且可以轻敲隐藏，不用时不占用显示面积。</w:t>
            </w:r>
          </w:p>
          <w:p>
            <w:pPr>
              <w:tabs>
                <w:tab w:val="left" w:pos="397"/>
              </w:tabs>
              <w:rPr>
                <w:rFonts w:ascii="宋体" w:hAnsi="宋体" w:cs="宋体"/>
                <w:szCs w:val="21"/>
              </w:rPr>
            </w:pPr>
            <w:r>
              <w:rPr>
                <w:rFonts w:hint="eastAsia" w:ascii="宋体" w:hAnsi="宋体" w:cs="宋体"/>
                <w:szCs w:val="21"/>
              </w:rPr>
              <w:t>20.整机屏幕触摸有效识别高度不超过 3.5mm，即触摸物体距离玻璃外表面高度不超过 3.5mm 时，触摸屏识别为点击操作。</w:t>
            </w:r>
          </w:p>
          <w:p>
            <w:pPr>
              <w:tabs>
                <w:tab w:val="left" w:pos="397"/>
              </w:tabs>
              <w:rPr>
                <w:rFonts w:ascii="宋体" w:hAnsi="宋体" w:cs="宋体"/>
                <w:szCs w:val="21"/>
              </w:rPr>
            </w:pPr>
            <w:r>
              <w:rPr>
                <w:rFonts w:hint="eastAsia" w:ascii="宋体" w:hAnsi="宋体" w:cs="宋体"/>
                <w:szCs w:val="21"/>
              </w:rPr>
              <w:t>21.设备可设置开机默认通道，在任意通道关机时可实现设置的默认通道开机，也可设置关机信号源记忆为开机信号源功能。</w:t>
            </w:r>
          </w:p>
          <w:p>
            <w:pPr>
              <w:tabs>
                <w:tab w:val="left" w:pos="397"/>
              </w:tabs>
              <w:rPr>
                <w:rFonts w:ascii="宋体" w:hAnsi="宋体" w:cs="宋体"/>
                <w:szCs w:val="21"/>
              </w:rPr>
            </w:pPr>
            <w:r>
              <w:rPr>
                <w:rFonts w:hint="eastAsia" w:ascii="宋体" w:hAnsi="宋体" w:cs="宋体"/>
                <w:szCs w:val="21"/>
              </w:rPr>
              <w:t>22.整机待机功率＜0.5W，进入节能模式，整机可降低功耗 95%以上。</w:t>
            </w:r>
          </w:p>
          <w:p>
            <w:pPr>
              <w:tabs>
                <w:tab w:val="left" w:pos="397"/>
              </w:tabs>
              <w:rPr>
                <w:rFonts w:ascii="宋体" w:hAnsi="宋体" w:cs="宋体"/>
                <w:szCs w:val="21"/>
              </w:rPr>
            </w:pPr>
            <w:r>
              <w:rPr>
                <w:rFonts w:hint="eastAsia" w:ascii="宋体" w:hAnsi="宋体" w:cs="宋体"/>
                <w:szCs w:val="21"/>
              </w:rPr>
              <w:t>23.前置接口及按键须具备中文标识，方便用户识别，避免误操作。</w:t>
            </w:r>
          </w:p>
          <w:p>
            <w:pPr>
              <w:pStyle w:val="4"/>
              <w:spacing w:line="240" w:lineRule="auto"/>
              <w:rPr>
                <w:rFonts w:ascii="宋体" w:hAnsi="宋体" w:cs="宋体"/>
                <w:b w:val="0"/>
                <w:bCs w:val="0"/>
                <w:sz w:val="21"/>
                <w:szCs w:val="21"/>
              </w:rPr>
            </w:pPr>
            <w:r>
              <w:rPr>
                <w:rFonts w:hint="eastAsia" w:ascii="宋体" w:hAnsi="宋体" w:cs="宋体"/>
                <w:b w:val="0"/>
                <w:bCs w:val="0"/>
                <w:sz w:val="21"/>
                <w:szCs w:val="21"/>
              </w:rPr>
              <w:t>二、内置电脑模块</w:t>
            </w:r>
          </w:p>
          <w:p>
            <w:pPr>
              <w:rPr>
                <w:rFonts w:ascii="宋体" w:hAnsi="宋体" w:cs="宋体"/>
                <w:szCs w:val="21"/>
              </w:rPr>
            </w:pPr>
            <w:r>
              <w:rPr>
                <w:rFonts w:hint="eastAsia" w:ascii="宋体" w:hAnsi="宋体" w:cs="宋体"/>
                <w:szCs w:val="21"/>
              </w:rPr>
              <w:t>1.标准的 80 针可拔 插式电脑 OPS 电脑，采用模块化电脑方案，按压式插入； 整机除电源线外无外部可见连线，避免线材导致的信号损耗，方便产品售后维护。</w:t>
            </w:r>
          </w:p>
          <w:p>
            <w:pPr>
              <w:rPr>
                <w:rFonts w:ascii="宋体" w:hAnsi="宋体" w:cs="宋体"/>
                <w:szCs w:val="21"/>
              </w:rPr>
            </w:pPr>
            <w:r>
              <w:rPr>
                <w:rFonts w:hint="eastAsia" w:ascii="宋体" w:hAnsi="宋体" w:cs="宋体"/>
                <w:szCs w:val="21"/>
              </w:rPr>
              <w:t>2.CPU：≥Intel Core i5 十代处理器；内存：≥8GB 硬盘：≥256GB；</w:t>
            </w:r>
          </w:p>
          <w:p>
            <w:pPr>
              <w:rPr>
                <w:rFonts w:ascii="宋体" w:hAnsi="宋体" w:cs="宋体"/>
                <w:szCs w:val="21"/>
              </w:rPr>
            </w:pPr>
            <w:r>
              <w:rPr>
                <w:rFonts w:hint="eastAsia" w:ascii="宋体" w:hAnsi="宋体" w:cs="宋体"/>
                <w:szCs w:val="21"/>
              </w:rPr>
              <w:t>3.模块具有多个独立非外扩展的电脑 USB 接口：电脑上至少有 4个 USB 接口。具有独立非外扩展的视频输出接口：≥1 路 HDMI 。</w:t>
            </w:r>
          </w:p>
          <w:p>
            <w:pPr>
              <w:rPr>
                <w:rFonts w:ascii="宋体" w:hAnsi="宋体" w:cs="宋体"/>
                <w:szCs w:val="21"/>
              </w:rPr>
            </w:pPr>
            <w:r>
              <w:rPr>
                <w:rFonts w:hint="eastAsia" w:ascii="宋体" w:hAnsi="宋体" w:cs="宋体"/>
                <w:szCs w:val="21"/>
              </w:rPr>
              <w:t>4.低噪音用热管传导散热设计，采用台式低功耗CPU。</w:t>
            </w:r>
          </w:p>
          <w:p>
            <w:pPr>
              <w:rPr>
                <w:rFonts w:ascii="宋体" w:hAnsi="宋体" w:cs="宋体"/>
                <w:szCs w:val="21"/>
              </w:rPr>
            </w:pPr>
            <w:r>
              <w:rPr>
                <w:rFonts w:hint="eastAsia" w:ascii="宋体" w:hAnsi="宋体" w:cs="宋体"/>
                <w:szCs w:val="21"/>
              </w:rPr>
              <w:t>5.为保证产品质量及实际使用过程中维护的便利性，OPS必须通过CCC认证，且与整机为同一厂家和品牌。</w:t>
            </w:r>
          </w:p>
          <w:p>
            <w:pPr>
              <w:pStyle w:val="4"/>
              <w:spacing w:line="240" w:lineRule="auto"/>
              <w:rPr>
                <w:rFonts w:ascii="宋体" w:hAnsi="宋体" w:cs="宋体"/>
                <w:b w:val="0"/>
                <w:bCs w:val="0"/>
                <w:sz w:val="21"/>
                <w:szCs w:val="21"/>
              </w:rPr>
            </w:pPr>
            <w:r>
              <w:rPr>
                <w:rFonts w:hint="eastAsia" w:ascii="宋体" w:hAnsi="宋体" w:cs="宋体"/>
                <w:b w:val="0"/>
                <w:bCs w:val="0"/>
                <w:sz w:val="21"/>
                <w:szCs w:val="21"/>
              </w:rPr>
              <w:t>三、白板软件</w:t>
            </w:r>
          </w:p>
          <w:p>
            <w:pPr>
              <w:rPr>
                <w:rFonts w:ascii="宋体" w:hAnsi="宋体" w:cs="宋体"/>
                <w:szCs w:val="21"/>
              </w:rPr>
            </w:pPr>
            <w:r>
              <w:rPr>
                <w:rFonts w:hint="eastAsia" w:ascii="宋体" w:hAnsi="宋体" w:cs="宋体"/>
                <w:szCs w:val="21"/>
              </w:rPr>
              <w:t>1.画笔工具：支持钢笔、荧光笔、纹理笔、智能笔、图案笔多种不同类型的画笔，笔尖线条的粗细大小可实时进行调整，同时根据教学需要可对书写笔迹颜色进行更换。</w:t>
            </w:r>
          </w:p>
          <w:p>
            <w:pPr>
              <w:rPr>
                <w:rFonts w:ascii="宋体" w:hAnsi="宋体" w:cs="宋体"/>
                <w:szCs w:val="21"/>
              </w:rPr>
            </w:pPr>
            <w:r>
              <w:rPr>
                <w:rFonts w:hint="eastAsia" w:ascii="宋体" w:hAnsi="宋体" w:cs="宋体"/>
                <w:szCs w:val="21"/>
              </w:rPr>
              <w:t>2.选择工具：根据教学需要老师可以选择单一对象，或者框选多个对象进行移动、放大、缩小、旋转，也可以对选中的对象进行删除操作。</w:t>
            </w:r>
          </w:p>
          <w:p>
            <w:pPr>
              <w:rPr>
                <w:rFonts w:ascii="宋体" w:hAnsi="宋体" w:cs="宋体"/>
                <w:szCs w:val="21"/>
              </w:rPr>
            </w:pPr>
            <w:r>
              <w:rPr>
                <w:rFonts w:hint="eastAsia" w:ascii="宋体" w:hAnsi="宋体" w:cs="宋体"/>
                <w:szCs w:val="21"/>
              </w:rPr>
              <w:t>3.擦除功能:为了满足不同擦除需要，提供按点、按笔擦，同时为了满足擦除的便捷性，提供一键清屏功能，除了擦除画笔的笔迹，也可以支持手势擦除，同时板刷支持调整大小。</w:t>
            </w:r>
          </w:p>
          <w:p>
            <w:pPr>
              <w:rPr>
                <w:rFonts w:ascii="宋体" w:hAnsi="宋体" w:cs="宋体"/>
                <w:szCs w:val="21"/>
              </w:rPr>
            </w:pPr>
            <w:r>
              <w:rPr>
                <w:rFonts w:hint="eastAsia" w:ascii="宋体" w:hAnsi="宋体" w:cs="宋体"/>
                <w:szCs w:val="21"/>
              </w:rPr>
              <w:t>4.图形工具：提供包括矩形、三角形、椭圆形、直线、虚线在内的21种基本几何图形；可实现图形的快速绘制；根据教学需要可针对图形对象进行自定义颜色。图形工具方便用户快速的创建标准的图形，并可实现图形的填充、移动、大小调整、删除、旋转等操作。</w:t>
            </w:r>
          </w:p>
          <w:p>
            <w:pPr>
              <w:rPr>
                <w:rFonts w:ascii="宋体" w:hAnsi="宋体" w:cs="宋体"/>
                <w:szCs w:val="21"/>
              </w:rPr>
            </w:pPr>
            <w:r>
              <w:rPr>
                <w:rFonts w:hint="eastAsia" w:ascii="宋体" w:hAnsi="宋体" w:cs="宋体"/>
                <w:szCs w:val="21"/>
              </w:rPr>
              <w:t>5.聚光灯：对于课堂重点内容，教师可以使用聚光灯遮蔽重点知识以外的内容，着重突出显示光圈内选择内容，使用过程中可以根据需要拖动光标改变光圈大小。</w:t>
            </w:r>
          </w:p>
          <w:p>
            <w:pPr>
              <w:rPr>
                <w:rFonts w:ascii="宋体" w:hAnsi="宋体" w:cs="宋体"/>
                <w:szCs w:val="21"/>
              </w:rPr>
            </w:pPr>
            <w:r>
              <w:rPr>
                <w:rFonts w:hint="eastAsia" w:ascii="宋体" w:hAnsi="宋体" w:cs="宋体"/>
                <w:szCs w:val="21"/>
              </w:rPr>
              <w:t>6.辅助工具：软件支持四线三格、字母拼音、放大镜等辅助教学工具，四线三格板书可规范的板书大小写字母；同时根据教学需要使用字母拼音播放语音以及书写步骤展示，协助老师更快捷教学。</w:t>
            </w:r>
          </w:p>
          <w:p>
            <w:pPr>
              <w:rPr>
                <w:rFonts w:ascii="宋体" w:hAnsi="宋体" w:cs="宋体"/>
                <w:szCs w:val="21"/>
              </w:rPr>
            </w:pPr>
            <w:r>
              <w:rPr>
                <w:rFonts w:hint="eastAsia" w:ascii="宋体" w:hAnsi="宋体" w:cs="宋体"/>
                <w:szCs w:val="21"/>
              </w:rPr>
              <w:t>7.截屏工具：老师可根据需要把当前屏幕教学内容进行截屏，截屏区域/大小可以根据需要自由拖动，对于截屏内容老师可以选择保存以便后续备课/讲解等。</w:t>
            </w:r>
          </w:p>
          <w:p>
            <w:pPr>
              <w:rPr>
                <w:rFonts w:ascii="宋体" w:hAnsi="宋体" w:cs="宋体"/>
                <w:szCs w:val="21"/>
              </w:rPr>
            </w:pPr>
            <w:r>
              <w:rPr>
                <w:rFonts w:hint="eastAsia" w:ascii="宋体" w:hAnsi="宋体" w:cs="宋体"/>
                <w:szCs w:val="21"/>
              </w:rPr>
              <w:t>8.页面功能：可新增页面、删除页面、查看页面缩略图；将操作过的页面自动保存，可随时调看之前操作的任何页面，并能再次修改；在账号登录场景下，可以将板书页面保存历史白板，以便该老师随时查看；</w:t>
            </w:r>
          </w:p>
          <w:p>
            <w:pPr>
              <w:rPr>
                <w:rFonts w:ascii="宋体" w:hAnsi="宋体" w:cs="宋体"/>
                <w:szCs w:val="21"/>
              </w:rPr>
            </w:pPr>
            <w:r>
              <w:rPr>
                <w:rFonts w:hint="eastAsia" w:ascii="宋体" w:hAnsi="宋体" w:cs="宋体"/>
                <w:szCs w:val="21"/>
              </w:rPr>
              <w:t>9.最小化：将电子白板最小化成悬浮窗模式，老师可以通过这个功能与桌面来回切换，并形成可随意拖拉的浮动工具菜单，方便教师进行课堂讲解；</w:t>
            </w:r>
          </w:p>
          <w:p>
            <w:pPr>
              <w:rPr>
                <w:rFonts w:ascii="宋体" w:hAnsi="宋体" w:cs="宋体"/>
                <w:szCs w:val="21"/>
              </w:rPr>
            </w:pPr>
            <w:r>
              <w:rPr>
                <w:rFonts w:hint="eastAsia" w:ascii="宋体" w:hAnsi="宋体" w:cs="宋体"/>
                <w:szCs w:val="21"/>
              </w:rPr>
              <w:t>10.计时器：课堂可以根据需要设置使用正计时和倒计时，允许老师调整计时器时间，计时过程中支持暂停以及全屏显示时间</w:t>
            </w:r>
          </w:p>
          <w:p>
            <w:pPr>
              <w:rPr>
                <w:rFonts w:ascii="宋体" w:hAnsi="宋体" w:cs="宋体"/>
                <w:szCs w:val="21"/>
              </w:rPr>
            </w:pPr>
            <w:r>
              <w:rPr>
                <w:rFonts w:hint="eastAsia" w:ascii="宋体" w:hAnsi="宋体" w:cs="宋体"/>
                <w:szCs w:val="21"/>
              </w:rPr>
              <w:t>11.计算器：支持课堂数学运算使用，具备基础计算功能，方便老师教学使用。</w:t>
            </w:r>
          </w:p>
          <w:p>
            <w:pPr>
              <w:rPr>
                <w:rFonts w:ascii="宋体" w:hAnsi="宋体" w:cs="宋体"/>
                <w:szCs w:val="21"/>
              </w:rPr>
            </w:pPr>
            <w:r>
              <w:rPr>
                <w:rFonts w:hint="eastAsia" w:ascii="宋体" w:hAnsi="宋体" w:cs="宋体"/>
                <w:szCs w:val="21"/>
              </w:rPr>
              <w:t>12.函数工具：软件提供7种函数，如自定义函数、一次函数、二次函数、幂函数、对数函数、三角函数、指数函数，教学过程中老师可根据需要实时编辑函数内容投放到白板界面，便于老师辅助教学。</w:t>
            </w:r>
          </w:p>
          <w:p>
            <w:pPr>
              <w:rPr>
                <w:rFonts w:ascii="宋体" w:hAnsi="宋体" w:cs="宋体"/>
                <w:szCs w:val="21"/>
              </w:rPr>
            </w:pPr>
            <w:r>
              <w:rPr>
                <w:rFonts w:hint="eastAsia" w:ascii="宋体" w:hAnsi="宋体" w:cs="宋体"/>
                <w:szCs w:val="21"/>
              </w:rPr>
              <w:t>13.公式工具：课堂上老师可根据教学需要编辑教学公式，并可将公式内容投放白板界面。</w:t>
            </w:r>
          </w:p>
          <w:p>
            <w:pPr>
              <w:rPr>
                <w:rFonts w:ascii="宋体" w:hAnsi="宋体" w:cs="宋体"/>
                <w:szCs w:val="21"/>
              </w:rPr>
            </w:pPr>
            <w:r>
              <w:rPr>
                <w:rFonts w:hint="eastAsia" w:ascii="宋体" w:hAnsi="宋体" w:cs="宋体"/>
                <w:szCs w:val="21"/>
              </w:rPr>
              <w:t>14.汉字字典：通过手写的方式选择汉字，更可查</w:t>
            </w:r>
          </w:p>
          <w:p>
            <w:pPr>
              <w:rPr>
                <w:rFonts w:ascii="宋体" w:hAnsi="宋体" w:cs="宋体"/>
                <w:szCs w:val="21"/>
              </w:rPr>
            </w:pPr>
            <w:r>
              <w:rPr>
                <w:rFonts w:hint="eastAsia" w:ascii="宋体" w:hAnsi="宋体" w:cs="宋体"/>
                <w:szCs w:val="21"/>
              </w:rPr>
              <w:t>15.找该汉字的释义、词语、成语、歇后语等，更支持书写分布/连续展示，协助学生快速掌握字体的意思以及书写步骤。</w:t>
            </w:r>
          </w:p>
          <w:p>
            <w:pPr>
              <w:rPr>
                <w:rFonts w:ascii="宋体" w:hAnsi="宋体" w:cs="宋体"/>
                <w:szCs w:val="21"/>
              </w:rPr>
            </w:pPr>
            <w:r>
              <w:rPr>
                <w:rFonts w:hint="eastAsia" w:ascii="宋体" w:hAnsi="宋体" w:cs="宋体"/>
                <w:szCs w:val="21"/>
              </w:rPr>
              <w:t>16.英汉字典：英语教学中可根据需要输入英文拼写查找其具体注释，更可查找该单词的词语/短句/例句，方便学生快速掌握单词具体意思并做到灵活运用。</w:t>
            </w:r>
          </w:p>
          <w:p>
            <w:pPr>
              <w:rPr>
                <w:rFonts w:ascii="宋体" w:hAnsi="宋体" w:cs="宋体"/>
                <w:szCs w:val="21"/>
              </w:rPr>
            </w:pPr>
            <w:r>
              <w:rPr>
                <w:rFonts w:hint="eastAsia" w:ascii="宋体" w:hAnsi="宋体" w:cs="宋体"/>
                <w:szCs w:val="21"/>
              </w:rPr>
              <w:t>17.尺规工具：提供直尺、三角尺、直角尺、圆尺、三角尺等5种教学尺规，每一类尺规都支持放大、缩小、旋转以及移动功能，以便辅助教师在课堂随意使用。</w:t>
            </w:r>
          </w:p>
          <w:p>
            <w:pPr>
              <w:rPr>
                <w:rFonts w:ascii="宋体" w:hAnsi="宋体" w:cs="宋体"/>
                <w:szCs w:val="21"/>
              </w:rPr>
            </w:pPr>
            <w:r>
              <w:rPr>
                <w:rFonts w:hint="eastAsia" w:ascii="宋体" w:hAnsi="宋体" w:cs="宋体"/>
                <w:szCs w:val="21"/>
              </w:rPr>
              <w:t>18.双屏工具：根据教学需要时，可把屏幕设置为双屏，双屏同时可实现书写、擦除、移动等操作，并且双屏之间不会跨屏操作。</w:t>
            </w:r>
          </w:p>
          <w:p>
            <w:pPr>
              <w:rPr>
                <w:rFonts w:ascii="宋体" w:hAnsi="宋体" w:cs="宋体"/>
                <w:szCs w:val="21"/>
              </w:rPr>
            </w:pPr>
            <w:r>
              <w:rPr>
                <w:rFonts w:hint="eastAsia" w:ascii="宋体" w:hAnsi="宋体" w:cs="宋体"/>
                <w:szCs w:val="21"/>
              </w:rPr>
              <w:t>19.页面背景：可根据教学需求，任意改变页面背景，老师可根据需要设置一个页面模板，方便对所有页面进行整体背景设置。</w:t>
            </w:r>
          </w:p>
          <w:p>
            <w:pPr>
              <w:rPr>
                <w:rFonts w:ascii="宋体" w:hAnsi="宋体" w:cs="宋体"/>
                <w:szCs w:val="21"/>
              </w:rPr>
            </w:pPr>
            <w:r>
              <w:rPr>
                <w:rFonts w:hint="eastAsia" w:ascii="宋体" w:hAnsi="宋体" w:cs="宋体"/>
                <w:szCs w:val="21"/>
              </w:rPr>
              <w:t>20.截图工具：老师可根据需要对桌面素材内容进行一键全屏截图，同时根据教学需要自由调整区域以及大小，便于老师对内容进行备课/讲解等。</w:t>
            </w:r>
          </w:p>
          <w:p>
            <w:pPr>
              <w:rPr>
                <w:rFonts w:ascii="宋体" w:hAnsi="宋体" w:cs="宋体"/>
                <w:szCs w:val="21"/>
              </w:rPr>
            </w:pPr>
            <w:r>
              <w:rPr>
                <w:rFonts w:hint="eastAsia" w:ascii="宋体" w:hAnsi="宋体" w:cs="宋体"/>
                <w:szCs w:val="21"/>
              </w:rPr>
              <w:t>21.插入图片：为了满足教学的要求插入的图片要求支持 png、jpeg、bmp、jpg等格式，对插入的图片可以根据使用者需要任意调整大小、缩小、旋转、删除等。</w:t>
            </w:r>
          </w:p>
          <w:p>
            <w:pPr>
              <w:rPr>
                <w:rFonts w:ascii="宋体" w:hAnsi="宋体" w:cs="宋体"/>
                <w:szCs w:val="21"/>
              </w:rPr>
            </w:pPr>
            <w:r>
              <w:rPr>
                <w:rFonts w:hint="eastAsia" w:ascii="宋体" w:hAnsi="宋体" w:cs="宋体"/>
                <w:szCs w:val="21"/>
              </w:rPr>
              <w:t>22.根据教学需求，可任意改变白板软件以及桌面背景，老师可根据需要设置一个页面模板，方便对所有页面进行整体背景设置。</w:t>
            </w:r>
          </w:p>
          <w:p>
            <w:pPr>
              <w:rPr>
                <w:rFonts w:ascii="宋体" w:hAnsi="宋体" w:cs="宋体"/>
                <w:szCs w:val="21"/>
              </w:rPr>
            </w:pPr>
            <w:r>
              <w:rPr>
                <w:rFonts w:hint="eastAsia" w:ascii="宋体" w:hAnsi="宋体" w:cs="宋体"/>
                <w:szCs w:val="21"/>
              </w:rPr>
              <w:t>23.老师可以根据需要进行微课视频录制，根据不同使用环境的录制要求，软件可自定义声音输出设备，录制完成老师可随时查看录制的视频文件。</w:t>
            </w:r>
          </w:p>
          <w:p>
            <w:pPr>
              <w:pStyle w:val="4"/>
              <w:spacing w:line="240" w:lineRule="auto"/>
              <w:rPr>
                <w:rFonts w:ascii="宋体" w:hAnsi="宋体" w:cs="宋体"/>
                <w:b w:val="0"/>
                <w:bCs w:val="0"/>
                <w:sz w:val="21"/>
                <w:szCs w:val="21"/>
              </w:rPr>
            </w:pPr>
            <w:r>
              <w:rPr>
                <w:rFonts w:hint="eastAsia" w:ascii="宋体" w:hAnsi="宋体" w:cs="宋体"/>
                <w:b w:val="0"/>
                <w:bCs w:val="0"/>
                <w:sz w:val="21"/>
                <w:szCs w:val="21"/>
              </w:rPr>
              <w:t>四、同屏软件</w:t>
            </w:r>
          </w:p>
          <w:p>
            <w:pPr>
              <w:rPr>
                <w:rFonts w:ascii="宋体" w:hAnsi="宋体" w:cs="宋体"/>
                <w:szCs w:val="21"/>
              </w:rPr>
            </w:pPr>
            <w:r>
              <w:rPr>
                <w:rFonts w:hint="eastAsia" w:ascii="宋体" w:hAnsi="宋体" w:cs="宋体"/>
                <w:szCs w:val="21"/>
              </w:rPr>
              <w:t>1.软件使用可以完全脱离英特网络，在使用一般路由器、WIFI、热点等局域网环境下即可实现同屏教学</w:t>
            </w:r>
          </w:p>
          <w:p>
            <w:pPr>
              <w:rPr>
                <w:rFonts w:ascii="宋体" w:hAnsi="宋体" w:cs="宋体"/>
                <w:szCs w:val="21"/>
              </w:rPr>
            </w:pPr>
            <w:r>
              <w:rPr>
                <w:rFonts w:hint="eastAsia" w:ascii="宋体" w:hAnsi="宋体" w:cs="宋体"/>
                <w:szCs w:val="21"/>
              </w:rPr>
              <w:t>2.支持移动设备远程控制电子白板、黑板、电脑等，并实现鼠标移动、单击、双击、左右键等功能。</w:t>
            </w:r>
          </w:p>
          <w:p>
            <w:pPr>
              <w:rPr>
                <w:rFonts w:ascii="宋体" w:hAnsi="宋体" w:cs="宋体"/>
                <w:szCs w:val="21"/>
              </w:rPr>
            </w:pPr>
            <w:r>
              <w:rPr>
                <w:rFonts w:hint="eastAsia" w:ascii="宋体" w:hAnsi="宋体" w:cs="宋体"/>
                <w:szCs w:val="21"/>
              </w:rPr>
              <w:t>3.可以通过移动设备摄像头随时分享直播学生桌面做题过程及实验情景，分享过程中，支持视频录制；同时根据需要可将移动设备的界面无线投屏至大屏，通过移动设备上直接批注大屏内容。</w:t>
            </w:r>
          </w:p>
          <w:p>
            <w:pPr>
              <w:rPr>
                <w:rFonts w:ascii="宋体" w:hAnsi="宋体" w:cs="宋体"/>
                <w:szCs w:val="21"/>
              </w:rPr>
            </w:pPr>
            <w:r>
              <w:rPr>
                <w:rFonts w:hint="eastAsia" w:ascii="宋体" w:hAnsi="宋体" w:cs="宋体"/>
                <w:szCs w:val="21"/>
              </w:rPr>
              <w:t>4.软件具备与桌面可来回切换的功能操作，并形成可随意隐藏/显示的浮动工具菜单，方便教师进行多样化课堂讲解。</w:t>
            </w:r>
          </w:p>
          <w:p>
            <w:pPr>
              <w:jc w:val="left"/>
              <w:textAlignment w:val="center"/>
              <w:rPr>
                <w:rFonts w:ascii="宋体" w:hAnsi="宋体" w:cs="宋体"/>
                <w:szCs w:val="21"/>
              </w:rPr>
            </w:pPr>
            <w:r>
              <w:rPr>
                <w:rFonts w:hint="eastAsia" w:ascii="宋体" w:hAnsi="宋体" w:cs="宋体"/>
                <w:szCs w:val="21"/>
              </w:rPr>
              <w:t>移动设备端软件可扫描二维码自动下载，整个软件系统支持Android、win7/8/10，具备自动提示新版本升级或自动检查升级至最新版的功能。</w:t>
            </w:r>
          </w:p>
          <w:p>
            <w:pPr>
              <w:rPr>
                <w:rFonts w:ascii="宋体" w:hAnsi="宋体" w:cs="宋体"/>
                <w:szCs w:val="21"/>
              </w:rPr>
            </w:pPr>
            <w:r>
              <w:rPr>
                <w:rFonts w:hint="eastAsia" w:ascii="宋体" w:hAnsi="宋体" w:cs="宋体"/>
                <w:kern w:val="0"/>
                <w:szCs w:val="21"/>
              </w:rPr>
              <w:t>其他要求：1.为保证突然断电引起机器烧坏，提供所投触摸一体机产品支持内置UPS断电保护功能的证明文件复印件;</w:t>
            </w:r>
          </w:p>
          <w:p>
            <w:pPr>
              <w:numPr>
                <w:ilvl w:val="0"/>
                <w:numId w:val="2"/>
              </w:numPr>
              <w:ind w:firstLine="420" w:firstLineChars="200"/>
              <w:jc w:val="left"/>
              <w:rPr>
                <w:rFonts w:ascii="宋体" w:hAnsi="宋体" w:cs="宋体"/>
                <w:kern w:val="0"/>
                <w:szCs w:val="21"/>
              </w:rPr>
            </w:pPr>
            <w:r>
              <w:rPr>
                <w:rFonts w:hint="eastAsia" w:ascii="宋体" w:hAnsi="宋体" w:cs="宋体"/>
                <w:kern w:val="0"/>
                <w:szCs w:val="21"/>
              </w:rPr>
              <w:t>提供所投触摸一体机整机、内置电脑模块平均分别通过无故障时间（MTBF）≥20万小时的通过国家认可的检测机构检测的证明文件复印件;</w:t>
            </w:r>
          </w:p>
          <w:p>
            <w:pPr>
              <w:numPr>
                <w:ilvl w:val="0"/>
                <w:numId w:val="2"/>
              </w:numPr>
              <w:ind w:firstLine="420" w:firstLineChars="200"/>
              <w:jc w:val="left"/>
              <w:rPr>
                <w:rFonts w:ascii="宋体" w:hAnsi="宋体" w:cs="宋体"/>
                <w:kern w:val="0"/>
                <w:szCs w:val="21"/>
              </w:rPr>
            </w:pPr>
            <w:r>
              <w:rPr>
                <w:rFonts w:hint="eastAsia" w:ascii="宋体" w:hAnsi="宋体" w:cs="宋体"/>
                <w:szCs w:val="21"/>
              </w:rPr>
              <w:t>所投</w:t>
            </w:r>
            <w:r>
              <w:rPr>
                <w:rFonts w:hint="eastAsia" w:ascii="宋体" w:hAnsi="宋体" w:cs="宋体"/>
                <w:kern w:val="0"/>
                <w:szCs w:val="21"/>
              </w:rPr>
              <w:t>触摸一体机产品品牌</w:t>
            </w:r>
            <w:r>
              <w:rPr>
                <w:rFonts w:hint="eastAsia" w:ascii="宋体" w:hAnsi="宋体" w:cs="宋体"/>
                <w:szCs w:val="21"/>
              </w:rPr>
              <w:t>软件提供信息安全等级保护二级或以上认证</w:t>
            </w:r>
            <w:r>
              <w:rPr>
                <w:rFonts w:hint="eastAsia" w:ascii="宋体" w:hAnsi="宋体" w:cs="宋体"/>
                <w:kern w:val="0"/>
                <w:szCs w:val="21"/>
              </w:rPr>
              <w:t>;</w:t>
            </w:r>
          </w:p>
          <w:p>
            <w:pPr>
              <w:jc w:val="left"/>
              <w:rPr>
                <w:rFonts w:ascii="宋体" w:hAnsi="宋体" w:cs="宋体"/>
                <w:kern w:val="0"/>
                <w:szCs w:val="21"/>
              </w:rPr>
            </w:pPr>
            <w:r>
              <w:rPr>
                <w:rFonts w:ascii="宋体" w:hAnsi="宋体" w:cs="宋体"/>
                <w:kern w:val="0"/>
                <w:szCs w:val="21"/>
              </w:rPr>
              <w:t>5</w:t>
            </w:r>
            <w:r>
              <w:rPr>
                <w:rFonts w:hint="eastAsia" w:ascii="宋体" w:hAnsi="宋体" w:cs="宋体"/>
                <w:kern w:val="0"/>
                <w:szCs w:val="21"/>
              </w:rPr>
              <w:t>.提供所投触摸一体机产品通过了显示性能高、蓝光危害低、电磁辐射低和工作噪声低的性能要求和视觉健康认证的证明文件影印件；</w:t>
            </w:r>
          </w:p>
          <w:p>
            <w:pPr>
              <w:rPr>
                <w:rStyle w:val="13"/>
                <w:rFonts w:ascii="宋体" w:hAnsi="宋体" w:cs="宋体"/>
                <w:szCs w:val="21"/>
              </w:rPr>
            </w:pPr>
            <w:r>
              <w:rPr>
                <w:rFonts w:ascii="宋体" w:hAnsi="宋体" w:cs="宋体"/>
                <w:kern w:val="0"/>
                <w:szCs w:val="21"/>
              </w:rPr>
              <w:t>6</w:t>
            </w:r>
            <w:r>
              <w:rPr>
                <w:rFonts w:hint="eastAsia" w:ascii="宋体" w:hAnsi="宋体" w:cs="宋体"/>
                <w:kern w:val="0"/>
                <w:szCs w:val="21"/>
              </w:rPr>
              <w:t>.承诺成交后提供三年质保及售后服务承诺函</w:t>
            </w:r>
          </w:p>
        </w:tc>
        <w:tc>
          <w:tcPr>
            <w:tcW w:w="495" w:type="dxa"/>
            <w:tcBorders>
              <w:top w:val="single" w:color="000000" w:sz="4" w:space="0"/>
              <w:left w:val="nil"/>
              <w:bottom w:val="single" w:color="000000" w:sz="4" w:space="0"/>
              <w:right w:val="single" w:color="000000" w:sz="4" w:space="0"/>
            </w:tcBorders>
            <w:vAlign w:val="center"/>
          </w:tcPr>
          <w:p>
            <w:pPr>
              <w:jc w:val="center"/>
              <w:rPr>
                <w:rStyle w:val="13"/>
                <w:rFonts w:ascii="宋体" w:hAnsi="宋体" w:cs="宋体"/>
                <w:b/>
                <w:bCs/>
                <w:kern w:val="0"/>
                <w:szCs w:val="21"/>
              </w:rPr>
            </w:pPr>
            <w:r>
              <w:rPr>
                <w:rStyle w:val="13"/>
                <w:rFonts w:hint="eastAsia" w:ascii="宋体" w:hAnsi="宋体" w:cs="宋体"/>
                <w:b/>
                <w:bCs/>
                <w:kern w:val="0"/>
                <w:szCs w:val="21"/>
              </w:rPr>
              <w:t>2</w:t>
            </w:r>
          </w:p>
        </w:tc>
        <w:tc>
          <w:tcPr>
            <w:tcW w:w="584" w:type="dxa"/>
            <w:tcBorders>
              <w:top w:val="single" w:color="000000" w:sz="4" w:space="0"/>
              <w:left w:val="nil"/>
              <w:bottom w:val="single" w:color="000000" w:sz="4" w:space="0"/>
              <w:right w:val="single" w:color="000000" w:sz="4" w:space="0"/>
            </w:tcBorders>
            <w:vAlign w:val="center"/>
          </w:tcPr>
          <w:p>
            <w:pPr>
              <w:jc w:val="center"/>
              <w:rPr>
                <w:rStyle w:val="13"/>
                <w:rFonts w:ascii="宋体" w:hAnsi="宋体" w:cs="宋体"/>
                <w:b/>
                <w:bCs/>
                <w:kern w:val="0"/>
                <w:szCs w:val="21"/>
              </w:rPr>
            </w:pPr>
            <w:r>
              <w:rPr>
                <w:rStyle w:val="13"/>
                <w:rFonts w:hint="eastAsia" w:ascii="宋体" w:hAnsi="宋体" w:cs="宋体"/>
                <w:b/>
                <w:bCs/>
                <w:kern w:val="0"/>
                <w:szCs w:val="21"/>
              </w:rPr>
              <w:t>套</w:t>
            </w:r>
          </w:p>
        </w:tc>
        <w:tc>
          <w:tcPr>
            <w:tcW w:w="2190" w:type="dxa"/>
            <w:tcBorders>
              <w:top w:val="single" w:color="000000" w:sz="4" w:space="0"/>
              <w:left w:val="nil"/>
              <w:bottom w:val="single" w:color="000000" w:sz="4" w:space="0"/>
              <w:right w:val="single" w:color="000000" w:sz="4" w:space="0"/>
            </w:tcBorders>
            <w:vAlign w:val="center"/>
          </w:tcPr>
          <w:p>
            <w:pPr>
              <w:jc w:val="center"/>
              <w:rPr>
                <w:rStyle w:val="13"/>
                <w:rFonts w:ascii="宋体" w:hAnsi="宋体" w:cs="宋体"/>
                <w:b/>
                <w:bCs/>
                <w:kern w:val="0"/>
                <w:szCs w:val="21"/>
              </w:rPr>
            </w:pPr>
            <w:r>
              <w:rPr>
                <w:rStyle w:val="13"/>
                <w:rFonts w:hint="eastAsia" w:ascii="宋体" w:hAnsi="宋体" w:cs="宋体"/>
                <w:b/>
                <w:bCs/>
                <w:kern w:val="0"/>
                <w:szCs w:val="21"/>
              </w:rPr>
              <w:drawing>
                <wp:inline distT="0" distB="0" distL="114300" distR="114300">
                  <wp:extent cx="1217930" cy="913765"/>
                  <wp:effectExtent l="0" t="0" r="1270" b="635"/>
                  <wp:docPr id="3" name="图片 3" descr="8e8dcca172ae7a0bdef8e820dfce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e8dcca172ae7a0bdef8e820dfce503"/>
                          <pic:cNvPicPr>
                            <a:picLocks noChangeAspect="1"/>
                          </pic:cNvPicPr>
                        </pic:nvPicPr>
                        <pic:blipFill>
                          <a:blip r:embed="rId12"/>
                          <a:stretch>
                            <a:fillRect/>
                          </a:stretch>
                        </pic:blipFill>
                        <pic:spPr>
                          <a:xfrm>
                            <a:off x="0" y="0"/>
                            <a:ext cx="1217930" cy="913765"/>
                          </a:xfrm>
                          <a:prstGeom prst="rect">
                            <a:avLst/>
                          </a:prstGeom>
                        </pic:spPr>
                      </pic:pic>
                    </a:graphicData>
                  </a:graphic>
                </wp:inline>
              </w:drawing>
            </w:r>
          </w:p>
        </w:tc>
        <w:tc>
          <w:tcPr>
            <w:tcW w:w="1048" w:type="dxa"/>
            <w:tcBorders>
              <w:top w:val="single" w:color="000000" w:sz="4" w:space="0"/>
              <w:left w:val="nil"/>
              <w:bottom w:val="single" w:color="000000" w:sz="4" w:space="0"/>
              <w:right w:val="single" w:color="000000" w:sz="4" w:space="0"/>
            </w:tcBorders>
            <w:vAlign w:val="center"/>
          </w:tcPr>
          <w:p>
            <w:pPr>
              <w:jc w:val="center"/>
              <w:rPr>
                <w:rStyle w:val="13"/>
                <w:rFonts w:ascii="宋体" w:hAnsi="宋体" w:cs="宋体"/>
                <w:b/>
                <w:bCs/>
                <w:kern w:val="0"/>
                <w:szCs w:val="21"/>
              </w:rPr>
            </w:pPr>
            <w:r>
              <w:rPr>
                <w:rFonts w:hint="eastAsia" w:ascii="宋体" w:hAnsi="宋体" w:cs="宋体"/>
                <w:b/>
                <w:bCs/>
                <w:kern w:val="0"/>
                <w:szCs w:val="21"/>
              </w:rPr>
              <w:t>东方中原，易教</w:t>
            </w:r>
            <w:r>
              <w:rPr>
                <w:rStyle w:val="13"/>
                <w:rFonts w:ascii="宋体" w:hAnsi="宋体" w:cs="宋体"/>
                <w:b/>
                <w:bCs/>
                <w:kern w:val="0"/>
                <w:szCs w:val="21"/>
              </w:rPr>
              <w:t xml:space="preserve"> </w:t>
            </w:r>
          </w:p>
        </w:tc>
      </w:tr>
      <w:tr>
        <w:tblPrEx>
          <w:tblCellMar>
            <w:top w:w="0" w:type="dxa"/>
            <w:left w:w="0" w:type="dxa"/>
            <w:bottom w:w="0" w:type="dxa"/>
            <w:right w:w="0" w:type="dxa"/>
          </w:tblCellMar>
        </w:tblPrEx>
        <w:trPr>
          <w:trHeight w:val="398" w:hRule="atLeast"/>
          <w:jc w:val="center"/>
        </w:trPr>
        <w:tc>
          <w:tcPr>
            <w:tcW w:w="652" w:type="dxa"/>
            <w:tcBorders>
              <w:top w:val="single" w:color="000000" w:sz="4" w:space="0"/>
              <w:left w:val="single" w:color="000000" w:sz="4" w:space="0"/>
              <w:bottom w:val="single" w:color="000000" w:sz="4" w:space="0"/>
              <w:right w:val="nil"/>
            </w:tcBorders>
            <w:vAlign w:val="center"/>
          </w:tcPr>
          <w:p>
            <w:pPr>
              <w:jc w:val="center"/>
              <w:rPr>
                <w:rStyle w:val="13"/>
                <w:rFonts w:ascii="宋体" w:hAnsi="宋体" w:cs="宋体"/>
                <w:b/>
                <w:bCs/>
                <w:kern w:val="0"/>
                <w:szCs w:val="21"/>
              </w:rPr>
            </w:pPr>
            <w:r>
              <w:rPr>
                <w:rStyle w:val="13"/>
                <w:rFonts w:hint="eastAsia" w:ascii="宋体" w:hAnsi="宋体" w:cs="宋体"/>
                <w:b/>
                <w:bCs/>
                <w:kern w:val="0"/>
                <w:szCs w:val="21"/>
              </w:rPr>
              <w:t>10</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s="宋体"/>
                <w:szCs w:val="21"/>
              </w:rPr>
            </w:pPr>
            <w:r>
              <w:rPr>
                <w:rFonts w:hint="eastAsia" w:ascii="宋体" w:hAnsi="宋体" w:cs="宋体"/>
                <w:szCs w:val="21"/>
              </w:rPr>
              <w:t>万向书写板，</w:t>
            </w:r>
          </w:p>
        </w:tc>
        <w:tc>
          <w:tcPr>
            <w:tcW w:w="7056" w:type="dxa"/>
            <w:tcBorders>
              <w:top w:val="single" w:color="000000" w:sz="4" w:space="0"/>
              <w:left w:val="nil"/>
              <w:bottom w:val="single" w:color="000000" w:sz="4" w:space="0"/>
              <w:right w:val="single" w:color="000000" w:sz="4" w:space="0"/>
            </w:tcBorders>
          </w:tcPr>
          <w:p>
            <w:pPr>
              <w:jc w:val="left"/>
              <w:rPr>
                <w:rFonts w:ascii="宋体" w:hAnsi="宋体" w:cs="宋体"/>
                <w:szCs w:val="21"/>
              </w:rPr>
            </w:pPr>
            <w:r>
              <w:rPr>
                <w:rFonts w:hint="eastAsia" w:ascii="宋体" w:hAnsi="宋体" w:cs="宋体"/>
                <w:szCs w:val="21"/>
              </w:rPr>
              <w:t>1.结构:（板面、衬板、背板）经高科技流水线专用胶水高压粘合密封而成，结构牢固、弹性好，耐腐蚀、耐冲击，保持板面坚挺平整，外加铝合金流线装饰边框。</w:t>
            </w:r>
            <w:r>
              <w:rPr>
                <w:rFonts w:hint="eastAsia" w:ascii="宋体" w:hAnsi="宋体" w:cs="宋体"/>
                <w:szCs w:val="21"/>
              </w:rPr>
              <w:br w:type="textWrapping"/>
            </w:r>
            <w:r>
              <w:rPr>
                <w:rFonts w:hint="eastAsia" w:ascii="宋体" w:hAnsi="宋体" w:cs="宋体"/>
                <w:szCs w:val="21"/>
              </w:rPr>
              <w:t>2.书写面颜色:墨绿色选用优质烤漆板面，纳米技术图层好写好擦，壁厚0.3mm，无裂纹、无流痕、无气泡等缺陷、细腻平整、书写流畅，字迹清晰、擦后无留、耐磨损、耐腐蚀，色调柔和、时尚美观，学生任何角度都能正常观看，可视效果极佳，有效的保护了师生的视力健康不刺眼有效保护视力。板面表面附有一层透明保护膜。</w:t>
            </w:r>
            <w:r>
              <w:rPr>
                <w:rFonts w:hint="eastAsia" w:ascii="宋体" w:hAnsi="宋体" w:cs="宋体"/>
                <w:szCs w:val="21"/>
              </w:rPr>
              <w:br w:type="textWrapping"/>
            </w:r>
            <w:r>
              <w:rPr>
                <w:rFonts w:hint="eastAsia" w:ascii="宋体" w:hAnsi="宋体" w:cs="宋体"/>
                <w:szCs w:val="21"/>
              </w:rPr>
              <w:t>3.内芯材料:高强度硬挺蜂窝纸板或聚苯乙烯板，软硬适中、不变形、整板无拼接，壁厚≥14mm。</w:t>
            </w:r>
            <w:r>
              <w:rPr>
                <w:rFonts w:hint="eastAsia" w:ascii="宋体" w:hAnsi="宋体" w:cs="宋体"/>
                <w:szCs w:val="21"/>
              </w:rPr>
              <w:br w:type="textWrapping"/>
            </w:r>
            <w:r>
              <w:rPr>
                <w:rFonts w:hint="eastAsia" w:ascii="宋体" w:hAnsi="宋体" w:cs="宋体"/>
                <w:szCs w:val="21"/>
              </w:rPr>
              <w:t>4.背板:材料为优质镀锌钢板，厚度≥0.2mm。</w:t>
            </w:r>
            <w:r>
              <w:rPr>
                <w:rFonts w:hint="eastAsia" w:ascii="宋体" w:hAnsi="宋体" w:cs="宋体"/>
                <w:szCs w:val="21"/>
              </w:rPr>
              <w:br w:type="textWrapping"/>
            </w:r>
            <w:r>
              <w:rPr>
                <w:rFonts w:hint="eastAsia" w:ascii="宋体" w:hAnsi="宋体" w:cs="宋体"/>
                <w:szCs w:val="21"/>
              </w:rPr>
              <w:t>5.覆板：采用环保型双组份聚氨酯胶水，自动化流水线覆板作业，确保粘接牢固板面平整，甲醛释放量≤0.2mg/L，符合GB 28231-2011《书写板安全卫生要求》。</w:t>
            </w:r>
            <w:r>
              <w:rPr>
                <w:rFonts w:hint="eastAsia" w:ascii="宋体" w:hAnsi="宋体" w:cs="宋体"/>
                <w:szCs w:val="21"/>
              </w:rPr>
              <w:br w:type="textWrapping"/>
            </w:r>
            <w:r>
              <w:rPr>
                <w:rFonts w:hint="eastAsia" w:ascii="宋体" w:hAnsi="宋体" w:cs="宋体"/>
                <w:szCs w:val="21"/>
              </w:rPr>
              <w:t>6.香槟电泳色铝合金边框:规格40mm*20mm  壁厚≥1mm</w:t>
            </w:r>
            <w:r>
              <w:rPr>
                <w:rFonts w:hint="eastAsia" w:ascii="宋体" w:hAnsi="宋体" w:cs="宋体"/>
                <w:szCs w:val="21"/>
              </w:rPr>
              <w:br w:type="textWrapping"/>
            </w:r>
            <w:r>
              <w:rPr>
                <w:rFonts w:hint="eastAsia" w:ascii="宋体" w:hAnsi="宋体" w:cs="宋体"/>
                <w:szCs w:val="21"/>
              </w:rPr>
              <w:t>7.包角材料:模具成型；包角材料：采用抗老化高强度ABS工程塑料注塑成型。</w:t>
            </w:r>
            <w:r>
              <w:rPr>
                <w:rFonts w:hint="eastAsia" w:ascii="宋体" w:hAnsi="宋体" w:cs="宋体"/>
                <w:szCs w:val="21"/>
              </w:rPr>
              <w:br w:type="textWrapping"/>
            </w:r>
            <w:r>
              <w:rPr>
                <w:rFonts w:hint="eastAsia" w:ascii="宋体" w:hAnsi="宋体" w:cs="宋体"/>
                <w:szCs w:val="21"/>
              </w:rPr>
              <w:t>8.传动装置：1、采用配重块平衡、铝合金滑轨及钢丝绳双滑轮组传动，承重轮为尼龙轮，内嵌钢制轴承，钢丝绳采用3mm防锈无油钢丝绳，确保承重力；为防止跳槽，装有安全装置及防跳装置。</w:t>
            </w:r>
            <w:r>
              <w:rPr>
                <w:rFonts w:hint="eastAsia" w:ascii="宋体" w:hAnsi="宋体" w:cs="宋体"/>
                <w:szCs w:val="21"/>
              </w:rPr>
              <w:br w:type="textWrapping"/>
            </w:r>
            <w:r>
              <w:rPr>
                <w:rFonts w:hint="eastAsia" w:ascii="宋体" w:hAnsi="宋体" w:cs="宋体"/>
                <w:szCs w:val="21"/>
              </w:rPr>
              <w:t>9.左右滑动</w:t>
            </w:r>
            <w:r>
              <w:rPr>
                <w:rFonts w:hint="eastAsia" w:ascii="宋体" w:hAnsi="宋体" w:cs="宋体"/>
                <w:szCs w:val="21"/>
              </w:rPr>
              <w:br w:type="textWrapping"/>
            </w:r>
            <w:r>
              <w:rPr>
                <w:rFonts w:ascii="宋体" w:hAnsi="宋体" w:cs="宋体"/>
                <w:szCs w:val="21"/>
              </w:rPr>
              <w:t>1</w:t>
            </w:r>
            <w:r>
              <w:rPr>
                <w:rFonts w:hint="eastAsia" w:ascii="宋体" w:hAnsi="宋体" w:cs="宋体"/>
                <w:szCs w:val="21"/>
              </w:rPr>
              <w:t>0.横向推拉导轨：轨道壁厚≥2.4mm，中间预留空间可按现场情况调整。</w:t>
            </w:r>
          </w:p>
          <w:p>
            <w:pPr>
              <w:pStyle w:val="2"/>
              <w:rPr>
                <w:rStyle w:val="13"/>
                <w:rFonts w:ascii="宋体" w:hAnsi="宋体" w:cs="宋体"/>
                <w:kern w:val="0"/>
                <w:szCs w:val="21"/>
              </w:rPr>
            </w:pPr>
          </w:p>
        </w:tc>
        <w:tc>
          <w:tcPr>
            <w:tcW w:w="495" w:type="dxa"/>
            <w:tcBorders>
              <w:top w:val="single" w:color="000000" w:sz="4" w:space="0"/>
              <w:left w:val="nil"/>
              <w:bottom w:val="single" w:color="000000" w:sz="4" w:space="0"/>
              <w:right w:val="single" w:color="000000" w:sz="4" w:space="0"/>
            </w:tcBorders>
            <w:vAlign w:val="center"/>
          </w:tcPr>
          <w:p>
            <w:pPr>
              <w:jc w:val="center"/>
              <w:rPr>
                <w:rStyle w:val="13"/>
                <w:rFonts w:ascii="宋体" w:hAnsi="宋体" w:cs="宋体"/>
                <w:b/>
                <w:bCs/>
                <w:kern w:val="0"/>
                <w:szCs w:val="21"/>
              </w:rPr>
            </w:pPr>
            <w:r>
              <w:rPr>
                <w:rStyle w:val="13"/>
                <w:rFonts w:hint="eastAsia" w:ascii="宋体" w:hAnsi="宋体" w:cs="宋体"/>
                <w:b/>
                <w:bCs/>
                <w:kern w:val="0"/>
                <w:szCs w:val="21"/>
              </w:rPr>
              <w:t>4</w:t>
            </w:r>
          </w:p>
        </w:tc>
        <w:tc>
          <w:tcPr>
            <w:tcW w:w="584" w:type="dxa"/>
            <w:tcBorders>
              <w:top w:val="single" w:color="000000" w:sz="4" w:space="0"/>
              <w:left w:val="nil"/>
              <w:bottom w:val="single" w:color="000000" w:sz="4" w:space="0"/>
              <w:right w:val="single" w:color="000000" w:sz="4" w:space="0"/>
            </w:tcBorders>
            <w:vAlign w:val="center"/>
          </w:tcPr>
          <w:p>
            <w:pPr>
              <w:jc w:val="center"/>
              <w:rPr>
                <w:rStyle w:val="13"/>
                <w:rFonts w:ascii="宋体" w:hAnsi="宋体" w:cs="宋体"/>
                <w:b/>
                <w:bCs/>
                <w:kern w:val="0"/>
                <w:szCs w:val="21"/>
              </w:rPr>
            </w:pPr>
            <w:r>
              <w:rPr>
                <w:rStyle w:val="13"/>
                <w:rFonts w:hint="eastAsia" w:ascii="宋体" w:hAnsi="宋体" w:cs="宋体"/>
                <w:b/>
                <w:bCs/>
                <w:kern w:val="0"/>
                <w:szCs w:val="21"/>
              </w:rPr>
              <w:t>块</w:t>
            </w:r>
          </w:p>
        </w:tc>
        <w:tc>
          <w:tcPr>
            <w:tcW w:w="2190" w:type="dxa"/>
            <w:tcBorders>
              <w:top w:val="single" w:color="000000" w:sz="4" w:space="0"/>
              <w:left w:val="nil"/>
              <w:bottom w:val="single" w:color="000000" w:sz="4" w:space="0"/>
              <w:right w:val="single" w:color="000000" w:sz="4" w:space="0"/>
            </w:tcBorders>
            <w:vAlign w:val="center"/>
          </w:tcPr>
          <w:p>
            <w:pPr>
              <w:jc w:val="center"/>
              <w:rPr>
                <w:rFonts w:ascii="宋体" w:hAnsi="宋体" w:cs="宋体"/>
                <w:b/>
                <w:bCs/>
                <w:kern w:val="0"/>
                <w:szCs w:val="21"/>
              </w:rPr>
            </w:pPr>
            <w:r>
              <w:rPr>
                <w:rStyle w:val="13"/>
                <w:rFonts w:hint="eastAsia" w:ascii="宋体" w:hAnsi="宋体" w:cs="宋体"/>
                <w:b/>
                <w:bCs/>
                <w:kern w:val="0"/>
                <w:szCs w:val="21"/>
              </w:rPr>
              <w:drawing>
                <wp:inline distT="0" distB="0" distL="114300" distR="114300">
                  <wp:extent cx="1176655" cy="407670"/>
                  <wp:effectExtent l="0" t="0" r="4445" b="11430"/>
                  <wp:docPr id="6" name="图片 1" descr="1650423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1650423283(1)"/>
                          <pic:cNvPicPr>
                            <a:picLocks noChangeAspect="1"/>
                          </pic:cNvPicPr>
                        </pic:nvPicPr>
                        <pic:blipFill>
                          <a:blip r:embed="rId13"/>
                          <a:stretch>
                            <a:fillRect/>
                          </a:stretch>
                        </pic:blipFill>
                        <pic:spPr>
                          <a:xfrm>
                            <a:off x="0" y="0"/>
                            <a:ext cx="1176655" cy="407670"/>
                          </a:xfrm>
                          <a:prstGeom prst="rect">
                            <a:avLst/>
                          </a:prstGeom>
                          <a:noFill/>
                          <a:ln>
                            <a:noFill/>
                          </a:ln>
                        </pic:spPr>
                      </pic:pic>
                    </a:graphicData>
                  </a:graphic>
                </wp:inline>
              </w:drawing>
            </w:r>
          </w:p>
        </w:tc>
        <w:tc>
          <w:tcPr>
            <w:tcW w:w="1048" w:type="dxa"/>
            <w:tcBorders>
              <w:top w:val="single" w:color="000000" w:sz="4" w:space="0"/>
              <w:left w:val="nil"/>
              <w:bottom w:val="single" w:color="000000" w:sz="4" w:space="0"/>
              <w:right w:val="single" w:color="000000" w:sz="4" w:space="0"/>
            </w:tcBorders>
            <w:vAlign w:val="center"/>
          </w:tcPr>
          <w:p>
            <w:pPr>
              <w:jc w:val="center"/>
              <w:rPr>
                <w:rFonts w:ascii="宋体" w:hAnsi="宋体" w:cs="宋体"/>
                <w:b/>
                <w:bCs/>
                <w:kern w:val="0"/>
                <w:szCs w:val="21"/>
              </w:rPr>
            </w:pPr>
            <w:r>
              <w:rPr>
                <w:rFonts w:hint="eastAsia" w:ascii="宋体" w:hAnsi="宋体" w:cs="宋体"/>
                <w:b/>
                <w:bCs/>
                <w:kern w:val="0"/>
                <w:szCs w:val="21"/>
              </w:rPr>
              <w:t>蓝贝思特，大杉</w:t>
            </w:r>
            <w:r>
              <w:rPr>
                <w:rFonts w:ascii="宋体" w:hAnsi="宋体" w:cs="宋体"/>
                <w:b/>
                <w:bCs/>
                <w:kern w:val="0"/>
                <w:szCs w:val="21"/>
              </w:rPr>
              <w:t xml:space="preserve"> </w:t>
            </w:r>
          </w:p>
        </w:tc>
      </w:tr>
    </w:tbl>
    <w:p>
      <w:pPr>
        <w:rPr>
          <w:rStyle w:val="13"/>
        </w:rPr>
      </w:pPr>
    </w:p>
    <w:p>
      <w:pPr>
        <w:pStyle w:val="17"/>
        <w:rPr>
          <w:rStyle w:val="13"/>
        </w:rPr>
      </w:pPr>
    </w:p>
    <w:sectPr>
      <w:footerReference r:id="rId3" w:type="default"/>
      <w:pgSz w:w="16840" w:h="11907" w:orient="landscape"/>
      <w:pgMar w:top="1457" w:right="1502" w:bottom="1457" w:left="19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3"/>
      </w:rPr>
    </w:pPr>
    <w:r>
      <w:rPr>
        <w:rStyle w:val="1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Style w:val="13"/>
                            </w:rPr>
                          </w:pPr>
                        </w:p>
                        <w:p>
                          <w:pPr>
                            <w:rPr>
                              <w:rStyle w:val="13"/>
                            </w:rPr>
                          </w:pPr>
                        </w:p>
                      </w:txbxContent>
                    </wps:txbx>
                    <wps:bodyPr lIns="0" tIns="0" rIns="0" bIns="0" anchor="t" anchorCtr="0" upright="1"/>
                  </wps:wsp>
                </a:graphicData>
              </a:graphic>
            </wp:anchor>
          </w:drawing>
        </mc:Choice>
        <mc:Fallback>
          <w:pict>
            <v:shape id="文本框 1"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mk9kDSAAAABQEAAA8AAAAAAAAAAQAgAAAAIgAAAGRycy9kb3ducmV2Lnht&#10;bFBLAQIUABQAAAAIAIdO4kC05ZenxgEAAJsDAAAOAAAAAAAAAAEAIAAAACEBAABkcnMvZTJvRG9j&#10;LnhtbFBLBQYAAAAABgAGAFkBAABZBQAAAAA=&#10;">
              <v:fill on="f" focussize="0,0"/>
              <v:stroke on="f"/>
              <v:imagedata o:title=""/>
              <o:lock v:ext="edit" aspectratio="f"/>
              <v:textbox inset="0mm,0mm,0mm,0mm">
                <w:txbxContent>
                  <w:p>
                    <w:pPr>
                      <w:pStyle w:val="6"/>
                      <w:rPr>
                        <w:rStyle w:val="13"/>
                      </w:rPr>
                    </w:pPr>
                  </w:p>
                  <w:p>
                    <w:pPr>
                      <w:rPr>
                        <w:rStyle w:val="13"/>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640788"/>
    <w:multiLevelType w:val="singleLevel"/>
    <w:tmpl w:val="E7640788"/>
    <w:lvl w:ilvl="0" w:tentative="0">
      <w:start w:val="1"/>
      <w:numFmt w:val="decimal"/>
      <w:lvlText w:val="%1."/>
      <w:lvlJc w:val="left"/>
      <w:pPr>
        <w:ind w:left="425" w:hanging="425"/>
      </w:pPr>
      <w:rPr>
        <w:rFonts w:hint="default"/>
      </w:rPr>
    </w:lvl>
  </w:abstractNum>
  <w:abstractNum w:abstractNumId="1">
    <w:nsid w:val="3EF707F6"/>
    <w:multiLevelType w:val="singleLevel"/>
    <w:tmpl w:val="3EF707F6"/>
    <w:lvl w:ilvl="0" w:tentative="0">
      <w:start w:val="1"/>
      <w:numFmt w:val="decimal"/>
      <w:lvlText w:val="%1."/>
      <w:lvlJc w:val="left"/>
      <w:pPr>
        <w:ind w:left="425" w:hanging="425"/>
      </w:pPr>
      <w:rPr>
        <w:rFonts w:hint="default"/>
      </w:rPr>
    </w:lvl>
  </w:abstractNum>
  <w:abstractNum w:abstractNumId="2">
    <w:nsid w:val="6B95A9B7"/>
    <w:multiLevelType w:val="singleLevel"/>
    <w:tmpl w:val="6B95A9B7"/>
    <w:lvl w:ilvl="0" w:tentative="0">
      <w:start w:val="1"/>
      <w:numFmt w:val="decimal"/>
      <w:suff w:val="nothing"/>
      <w:lvlText w:val="%1．"/>
      <w:lvlJc w:val="left"/>
      <w:pPr>
        <w:ind w:left="0" w:firstLine="4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ZTJkNjFkODUwZTdiYjU2MDk4Y2Q5ZmZkZWQxNTEifQ=="/>
  </w:docVars>
  <w:rsids>
    <w:rsidRoot w:val="001F2102"/>
    <w:rsid w:val="000030FD"/>
    <w:rsid w:val="0001129E"/>
    <w:rsid w:val="000113AD"/>
    <w:rsid w:val="00087873"/>
    <w:rsid w:val="0009487E"/>
    <w:rsid w:val="000C7E98"/>
    <w:rsid w:val="000F4019"/>
    <w:rsid w:val="001822B2"/>
    <w:rsid w:val="001C7813"/>
    <w:rsid w:val="001F2102"/>
    <w:rsid w:val="001F49F3"/>
    <w:rsid w:val="00287B34"/>
    <w:rsid w:val="00325844"/>
    <w:rsid w:val="00334195"/>
    <w:rsid w:val="00386CA1"/>
    <w:rsid w:val="003D0EC9"/>
    <w:rsid w:val="00412B71"/>
    <w:rsid w:val="00426EB7"/>
    <w:rsid w:val="00440E30"/>
    <w:rsid w:val="0049516E"/>
    <w:rsid w:val="004F5205"/>
    <w:rsid w:val="004F7F85"/>
    <w:rsid w:val="00521844"/>
    <w:rsid w:val="005345E9"/>
    <w:rsid w:val="00563594"/>
    <w:rsid w:val="0058528E"/>
    <w:rsid w:val="005D6795"/>
    <w:rsid w:val="005F2B14"/>
    <w:rsid w:val="00613F67"/>
    <w:rsid w:val="006328A8"/>
    <w:rsid w:val="00660919"/>
    <w:rsid w:val="00700919"/>
    <w:rsid w:val="0070363D"/>
    <w:rsid w:val="00726EE6"/>
    <w:rsid w:val="007C1C54"/>
    <w:rsid w:val="007C5955"/>
    <w:rsid w:val="007C60ED"/>
    <w:rsid w:val="008225C6"/>
    <w:rsid w:val="00835333"/>
    <w:rsid w:val="008811A0"/>
    <w:rsid w:val="008D3E77"/>
    <w:rsid w:val="00986AC3"/>
    <w:rsid w:val="009954CB"/>
    <w:rsid w:val="00A02E68"/>
    <w:rsid w:val="00A7145D"/>
    <w:rsid w:val="00AA3DCC"/>
    <w:rsid w:val="00AB3BC7"/>
    <w:rsid w:val="00B163BB"/>
    <w:rsid w:val="00B4563B"/>
    <w:rsid w:val="00B76C89"/>
    <w:rsid w:val="00B97F01"/>
    <w:rsid w:val="00C3553C"/>
    <w:rsid w:val="00C50844"/>
    <w:rsid w:val="00C670F3"/>
    <w:rsid w:val="00C94177"/>
    <w:rsid w:val="00CA6549"/>
    <w:rsid w:val="00CE5A7F"/>
    <w:rsid w:val="00CE7556"/>
    <w:rsid w:val="00D052C5"/>
    <w:rsid w:val="00D73BD8"/>
    <w:rsid w:val="00D843D2"/>
    <w:rsid w:val="00DA403B"/>
    <w:rsid w:val="00E40419"/>
    <w:rsid w:val="00E4608F"/>
    <w:rsid w:val="00E50ABE"/>
    <w:rsid w:val="00ED4DF1"/>
    <w:rsid w:val="00F10D63"/>
    <w:rsid w:val="00F12062"/>
    <w:rsid w:val="00F26587"/>
    <w:rsid w:val="00F93622"/>
    <w:rsid w:val="03190CB5"/>
    <w:rsid w:val="03E6060C"/>
    <w:rsid w:val="069F3BC7"/>
    <w:rsid w:val="07520C39"/>
    <w:rsid w:val="07585B24"/>
    <w:rsid w:val="09446EB5"/>
    <w:rsid w:val="0E19600D"/>
    <w:rsid w:val="0E3E3C3B"/>
    <w:rsid w:val="10CC3366"/>
    <w:rsid w:val="11411741"/>
    <w:rsid w:val="12345DD1"/>
    <w:rsid w:val="13E717B9"/>
    <w:rsid w:val="145558C5"/>
    <w:rsid w:val="1461070D"/>
    <w:rsid w:val="14C36CD2"/>
    <w:rsid w:val="150317C5"/>
    <w:rsid w:val="15B807B1"/>
    <w:rsid w:val="16EB42BE"/>
    <w:rsid w:val="17CA5C1C"/>
    <w:rsid w:val="1C054074"/>
    <w:rsid w:val="1D8A2A83"/>
    <w:rsid w:val="1E413C8A"/>
    <w:rsid w:val="1E65704C"/>
    <w:rsid w:val="1EF83A1C"/>
    <w:rsid w:val="1F422D63"/>
    <w:rsid w:val="1F5A4CBF"/>
    <w:rsid w:val="208E288A"/>
    <w:rsid w:val="22F56BF1"/>
    <w:rsid w:val="23FC3FAF"/>
    <w:rsid w:val="24FD7FDE"/>
    <w:rsid w:val="26D905D7"/>
    <w:rsid w:val="275E288B"/>
    <w:rsid w:val="29486A61"/>
    <w:rsid w:val="2AF552B4"/>
    <w:rsid w:val="320266E5"/>
    <w:rsid w:val="32F80037"/>
    <w:rsid w:val="35847960"/>
    <w:rsid w:val="37363AF6"/>
    <w:rsid w:val="37985945"/>
    <w:rsid w:val="3AB31C5D"/>
    <w:rsid w:val="3B9A2880"/>
    <w:rsid w:val="3C277297"/>
    <w:rsid w:val="3C3C072D"/>
    <w:rsid w:val="3E2B7513"/>
    <w:rsid w:val="420413CE"/>
    <w:rsid w:val="42AD59C7"/>
    <w:rsid w:val="42BF022A"/>
    <w:rsid w:val="43086642"/>
    <w:rsid w:val="461E495F"/>
    <w:rsid w:val="46B06807"/>
    <w:rsid w:val="477B5067"/>
    <w:rsid w:val="479E460C"/>
    <w:rsid w:val="482F19AD"/>
    <w:rsid w:val="484541B5"/>
    <w:rsid w:val="497D1516"/>
    <w:rsid w:val="4A8E7BDF"/>
    <w:rsid w:val="4AD30E6A"/>
    <w:rsid w:val="4AEF3676"/>
    <w:rsid w:val="4BF52F0E"/>
    <w:rsid w:val="4D18117E"/>
    <w:rsid w:val="4FDF0786"/>
    <w:rsid w:val="515C7E94"/>
    <w:rsid w:val="524F2E58"/>
    <w:rsid w:val="52C91DA5"/>
    <w:rsid w:val="53487DC7"/>
    <w:rsid w:val="561C5C67"/>
    <w:rsid w:val="57A04676"/>
    <w:rsid w:val="595402B8"/>
    <w:rsid w:val="5BD20B76"/>
    <w:rsid w:val="5D8F250D"/>
    <w:rsid w:val="5DD07337"/>
    <w:rsid w:val="5FB25003"/>
    <w:rsid w:val="69AB33AB"/>
    <w:rsid w:val="6A4E5B4D"/>
    <w:rsid w:val="6AF503DD"/>
    <w:rsid w:val="6C16685D"/>
    <w:rsid w:val="6CA20659"/>
    <w:rsid w:val="6EFF182A"/>
    <w:rsid w:val="6F411E43"/>
    <w:rsid w:val="71B90184"/>
    <w:rsid w:val="72F0605A"/>
    <w:rsid w:val="73441F01"/>
    <w:rsid w:val="751339FD"/>
    <w:rsid w:val="78034139"/>
    <w:rsid w:val="7899684C"/>
    <w:rsid w:val="79D175B1"/>
    <w:rsid w:val="7A0456A4"/>
    <w:rsid w:val="7A4842BC"/>
    <w:rsid w:val="7D4E22FA"/>
    <w:rsid w:val="7DDD367E"/>
    <w:rsid w:val="7FB464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heme="minorBidi"/>
      <w:kern w:val="2"/>
      <w:sz w:val="21"/>
      <w:szCs w:val="22"/>
      <w:lang w:val="en-US" w:eastAsia="zh-CN" w:bidi="ar-SA"/>
    </w:rPr>
  </w:style>
  <w:style w:type="paragraph" w:styleId="3">
    <w:name w:val="heading 1"/>
    <w:basedOn w:val="1"/>
    <w:next w:val="1"/>
    <w:qFormat/>
    <w:uiPriority w:val="9"/>
    <w:pPr>
      <w:keepNext/>
      <w:keepLines/>
      <w:spacing w:line="360" w:lineRule="auto"/>
      <w:outlineLvl w:val="0"/>
    </w:pPr>
    <w:rPr>
      <w:b/>
      <w:bCs/>
      <w:kern w:val="44"/>
      <w:sz w:val="36"/>
      <w:szCs w:val="44"/>
    </w:rPr>
  </w:style>
  <w:style w:type="paragraph" w:styleId="4">
    <w:name w:val="heading 2"/>
    <w:basedOn w:val="1"/>
    <w:next w:val="1"/>
    <w:unhideWhenUsed/>
    <w:qFormat/>
    <w:uiPriority w:val="9"/>
    <w:pPr>
      <w:keepNext/>
      <w:keepLines/>
      <w:spacing w:line="360" w:lineRule="auto"/>
      <w:outlineLvl w:val="1"/>
    </w:pPr>
    <w:rPr>
      <w:rFonts w:ascii="Calibri Light" w:hAnsi="Calibri Light" w:cs="Times New Roman"/>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Balloon Text"/>
    <w:basedOn w:val="1"/>
    <w:link w:val="2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paragraph" w:customStyle="1" w:styleId="10">
    <w:name w:val="BodyText"/>
    <w:basedOn w:val="1"/>
    <w:qFormat/>
    <w:uiPriority w:val="0"/>
    <w:pPr>
      <w:spacing w:after="120"/>
    </w:pPr>
  </w:style>
  <w:style w:type="paragraph" w:customStyle="1" w:styleId="11">
    <w:name w:val="Heading1"/>
    <w:basedOn w:val="1"/>
    <w:next w:val="1"/>
    <w:qFormat/>
    <w:uiPriority w:val="0"/>
    <w:pPr>
      <w:keepNext/>
      <w:keepLines/>
      <w:spacing w:line="360" w:lineRule="auto"/>
    </w:pPr>
    <w:rPr>
      <w:rFonts w:cs="Times New Roman"/>
      <w:b/>
      <w:bCs/>
      <w:kern w:val="44"/>
      <w:sz w:val="36"/>
      <w:szCs w:val="44"/>
    </w:rPr>
  </w:style>
  <w:style w:type="paragraph" w:customStyle="1" w:styleId="12">
    <w:name w:val="Heading2"/>
    <w:basedOn w:val="1"/>
    <w:next w:val="1"/>
    <w:qFormat/>
    <w:uiPriority w:val="0"/>
    <w:pPr>
      <w:keepNext/>
      <w:keepLines/>
      <w:spacing w:line="360" w:lineRule="auto"/>
    </w:pPr>
    <w:rPr>
      <w:rFonts w:ascii="Calibri Light" w:hAnsi="Calibri Light" w:cs="Times New Roman"/>
      <w:b/>
      <w:bCs/>
      <w:sz w:val="32"/>
      <w:szCs w:val="32"/>
    </w:rPr>
  </w:style>
  <w:style w:type="character" w:customStyle="1" w:styleId="13">
    <w:name w:val="NormalCharacter"/>
    <w:semiHidden/>
    <w:qFormat/>
    <w:uiPriority w:val="0"/>
  </w:style>
  <w:style w:type="table" w:customStyle="1" w:styleId="14">
    <w:name w:val="TableNormal"/>
    <w:semiHidden/>
    <w:qFormat/>
    <w:uiPriority w:val="0"/>
    <w:tblPr>
      <w:tblCellMar>
        <w:top w:w="0" w:type="dxa"/>
        <w:left w:w="0" w:type="dxa"/>
        <w:bottom w:w="0" w:type="dxa"/>
        <w:right w:w="0" w:type="dxa"/>
      </w:tblCellMar>
    </w:tblPr>
  </w:style>
  <w:style w:type="paragraph" w:customStyle="1" w:styleId="15">
    <w:name w:val="BodyTextIndent"/>
    <w:basedOn w:val="1"/>
    <w:qFormat/>
    <w:uiPriority w:val="0"/>
    <w:pPr>
      <w:spacing w:after="120"/>
      <w:ind w:left="420" w:leftChars="200"/>
    </w:pPr>
  </w:style>
  <w:style w:type="paragraph" w:customStyle="1" w:styleId="16">
    <w:name w:val="PlainText"/>
    <w:basedOn w:val="1"/>
    <w:next w:val="1"/>
    <w:qFormat/>
    <w:uiPriority w:val="0"/>
    <w:rPr>
      <w:rFonts w:ascii="宋体" w:hAnsi="Courier New"/>
      <w:kern w:val="0"/>
      <w:sz w:val="20"/>
      <w:szCs w:val="21"/>
    </w:rPr>
  </w:style>
  <w:style w:type="paragraph" w:customStyle="1" w:styleId="17">
    <w:name w:val="TOC1"/>
    <w:basedOn w:val="1"/>
    <w:next w:val="1"/>
    <w:qFormat/>
    <w:uiPriority w:val="0"/>
  </w:style>
  <w:style w:type="paragraph" w:customStyle="1" w:styleId="18">
    <w:name w:val="HtmlNormal"/>
    <w:basedOn w:val="1"/>
    <w:qFormat/>
    <w:uiPriority w:val="0"/>
    <w:pPr>
      <w:spacing w:before="100" w:beforeAutospacing="1" w:after="100" w:afterAutospacing="1"/>
      <w:jc w:val="left"/>
    </w:pPr>
    <w:rPr>
      <w:rFonts w:ascii="宋体" w:hAnsi="宋体"/>
      <w:kern w:val="0"/>
      <w:sz w:val="24"/>
    </w:rPr>
  </w:style>
  <w:style w:type="paragraph" w:customStyle="1" w:styleId="19">
    <w:name w:val="BodyText1I2"/>
    <w:basedOn w:val="15"/>
    <w:qFormat/>
    <w:uiPriority w:val="0"/>
    <w:pPr>
      <w:ind w:firstLine="420" w:firstLineChars="200"/>
    </w:pPr>
  </w:style>
  <w:style w:type="table" w:customStyle="1" w:styleId="20">
    <w:name w:val="TableGrid"/>
    <w:basedOn w:val="14"/>
    <w:qFormat/>
    <w:uiPriority w:val="0"/>
  </w:style>
  <w:style w:type="character" w:customStyle="1" w:styleId="21">
    <w:name w:val="UserStyle_0"/>
    <w:qFormat/>
    <w:uiPriority w:val="0"/>
    <w:rPr>
      <w:color w:val="000000"/>
      <w:sz w:val="15"/>
      <w:szCs w:val="15"/>
    </w:rPr>
  </w:style>
  <w:style w:type="paragraph" w:customStyle="1" w:styleId="22">
    <w:name w:val="UserStyle_1"/>
    <w:basedOn w:val="1"/>
    <w:qFormat/>
    <w:uiPriority w:val="0"/>
    <w:pPr>
      <w:ind w:firstLine="420" w:firstLineChars="200"/>
    </w:pPr>
  </w:style>
  <w:style w:type="paragraph" w:customStyle="1" w:styleId="23">
    <w:name w:val="UserStyle_2"/>
    <w:basedOn w:val="1"/>
    <w:qFormat/>
    <w:uiPriority w:val="0"/>
    <w:pPr>
      <w:spacing w:line="360" w:lineRule="auto"/>
      <w:ind w:firstLine="420" w:firstLineChars="200"/>
    </w:pPr>
    <w:rPr>
      <w:sz w:val="24"/>
    </w:rPr>
  </w:style>
  <w:style w:type="paragraph" w:customStyle="1" w:styleId="24">
    <w:name w:val="UserStyle_3"/>
    <w:basedOn w:val="1"/>
    <w:qFormat/>
    <w:uiPriority w:val="0"/>
    <w:rPr>
      <w:rFonts w:ascii="宋体" w:hAnsi="宋体"/>
      <w:lang w:val="zh-CN" w:bidi="zh-CN"/>
    </w:rPr>
  </w:style>
  <w:style w:type="paragraph" w:customStyle="1" w:styleId="25">
    <w:name w:val="UserStyle_4"/>
    <w:basedOn w:val="1"/>
    <w:qFormat/>
    <w:uiPriority w:val="0"/>
    <w:pPr>
      <w:ind w:firstLine="200" w:firstLineChars="200"/>
    </w:pPr>
    <w:rPr>
      <w:rFonts w:ascii="Times New Roman" w:hAnsi="Times New Roman"/>
      <w:szCs w:val="24"/>
    </w:rPr>
  </w:style>
  <w:style w:type="character" w:customStyle="1" w:styleId="26">
    <w:name w:val="批注框文本 字符"/>
    <w:basedOn w:val="9"/>
    <w:link w:val="5"/>
    <w:qFormat/>
    <w:uiPriority w:val="0"/>
    <w:rPr>
      <w:rFonts w:ascii="Calibri" w:hAnsi="Calibri"/>
      <w:kern w:val="2"/>
      <w:sz w:val="18"/>
      <w:szCs w:val="18"/>
    </w:rPr>
  </w:style>
  <w:style w:type="paragraph" w:customStyle="1" w:styleId="27">
    <w:name w:val="p0"/>
    <w:basedOn w:val="1"/>
    <w:qFormat/>
    <w:uiPriority w:val="0"/>
    <w:pPr>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1124</Words>
  <Characters>6410</Characters>
  <Lines>53</Lines>
  <Paragraphs>15</Paragraphs>
  <TotalTime>16</TotalTime>
  <ScaleCrop>false</ScaleCrop>
  <LinksUpToDate>false</LinksUpToDate>
  <CharactersWithSpaces>7519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2022-04-15T02:51:00Z</dcterms:created>
  <dc:creator>Administrator</dc:creator>
  <cp:lastModifiedBy>飞天蜈蚣</cp:lastModifiedBy>
  <cp:lastPrinted>2022-04-29T03:12:00Z</cp:lastPrinted>
  <dcterms:modified xsi:type="dcterms:W3CDTF">2022-06-09T02:19:46Z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D790D6C36FDB417BB2F7D893C2E58A09</vt:lpwstr>
  </property>
  <property fmtid="{D5CDD505-2E9C-101B-9397-08002B2CF9AE}" pid="4" name="commondata">
    <vt:lpwstr>eyJoZGlkIjoiMGM4MzIwYzkxODFjNTczYTRjMWUwYjc3YWMzMzY2NjIifQ==</vt:lpwstr>
  </property>
</Properties>
</file>