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ind w:right="105" w:rightChars="50"/>
        <w:jc w:val="center"/>
        <w:rPr>
          <w:rFonts w:ascii="方正小标宋简体" w:eastAsia="方正小标宋简体"/>
          <w:color w:val="auto"/>
          <w:sz w:val="44"/>
          <w:szCs w:val="44"/>
        </w:rPr>
        <w:sectPr>
          <w:footerReference r:id="rId3" w:type="default"/>
          <w:pgSz w:w="11906" w:h="16838"/>
          <w:pgMar w:top="2098" w:right="1474" w:bottom="1985" w:left="1588" w:header="851" w:footer="992" w:gutter="0"/>
          <w:cols w:space="425" w:num="1"/>
          <w:docGrid w:type="lines" w:linePitch="312" w:charSpace="0"/>
        </w:sectPr>
      </w:pPr>
    </w:p>
    <w:p>
      <w:pPr>
        <w:spacing w:line="480" w:lineRule="exact"/>
        <w:ind w:right="105" w:rightChars="50"/>
        <w:jc w:val="center"/>
        <w:rPr>
          <w:rFonts w:hint="eastAsia" w:ascii="黑体" w:hAnsi="黑体" w:eastAsia="黑体" w:cs="黑体"/>
          <w:color w:val="auto"/>
          <w:sz w:val="36"/>
          <w:szCs w:val="36"/>
          <w:lang w:val="zh-CN" w:eastAsia="zh-CN"/>
        </w:rPr>
      </w:pPr>
      <w:r>
        <w:rPr>
          <w:rFonts w:hint="eastAsia" w:ascii="黑体" w:hAnsi="黑体" w:eastAsia="黑体" w:cs="黑体"/>
          <w:color w:val="auto"/>
          <w:sz w:val="36"/>
          <w:szCs w:val="36"/>
          <w:lang w:val="zh-CN" w:eastAsia="zh-CN"/>
        </w:rPr>
        <w:t>岳阳市应急管理局南湖广场和湖南理工学院广场应急</w:t>
      </w:r>
    </w:p>
    <w:p>
      <w:pPr>
        <w:spacing w:line="480" w:lineRule="exact"/>
        <w:ind w:right="105" w:rightChars="50"/>
        <w:jc w:val="center"/>
        <w:rPr>
          <w:rFonts w:ascii="方正小标宋简体" w:hAnsi="华文中宋" w:eastAsia="方正小标宋简体" w:cs="黑体"/>
          <w:color w:val="auto"/>
          <w:sz w:val="44"/>
          <w:szCs w:val="44"/>
          <w:lang w:val="zh-CN"/>
        </w:rPr>
      </w:pPr>
      <w:r>
        <w:rPr>
          <w:rFonts w:hint="eastAsia" w:ascii="黑体" w:hAnsi="黑体" w:eastAsia="黑体" w:cs="黑体"/>
          <w:color w:val="auto"/>
          <w:sz w:val="36"/>
          <w:szCs w:val="36"/>
          <w:lang w:val="zh-CN" w:eastAsia="zh-CN"/>
        </w:rPr>
        <w:t>避难场所建设</w:t>
      </w:r>
      <w:r>
        <w:rPr>
          <w:rFonts w:hint="eastAsia" w:ascii="黑体" w:hAnsi="黑体" w:eastAsia="黑体" w:cs="黑体"/>
          <w:color w:val="auto"/>
          <w:sz w:val="36"/>
          <w:szCs w:val="36"/>
        </w:rPr>
        <w:t>监理</w:t>
      </w:r>
      <w:r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  <w:t>服务</w:t>
      </w:r>
      <w:r>
        <w:rPr>
          <w:rFonts w:hint="eastAsia" w:ascii="黑体" w:hAnsi="黑体" w:eastAsia="黑体" w:cs="黑体"/>
          <w:color w:val="auto"/>
          <w:sz w:val="36"/>
          <w:szCs w:val="36"/>
        </w:rPr>
        <w:t>采购需求</w:t>
      </w:r>
    </w:p>
    <w:p>
      <w:pPr>
        <w:spacing w:line="480" w:lineRule="exact"/>
        <w:rPr>
          <w:rFonts w:ascii="宋体"/>
          <w:color w:val="auto"/>
          <w:sz w:val="28"/>
          <w:szCs w:val="28"/>
        </w:rPr>
      </w:pPr>
    </w:p>
    <w:p>
      <w:pPr>
        <w:pStyle w:val="10"/>
        <w:spacing w:line="480" w:lineRule="exact"/>
        <w:ind w:firstLine="560" w:firstLineChars="200"/>
        <w:jc w:val="both"/>
        <w:rPr>
          <w:rFonts w:ascii="黑体" w:hAnsi="宋体" w:eastAsia="黑体"/>
          <w:color w:val="auto"/>
          <w:szCs w:val="28"/>
        </w:rPr>
      </w:pPr>
      <w:r>
        <w:rPr>
          <w:rFonts w:hint="eastAsia" w:ascii="黑体" w:hAnsi="宋体" w:eastAsia="黑体"/>
          <w:color w:val="auto"/>
          <w:szCs w:val="28"/>
        </w:rPr>
        <w:t>一、项目概况</w:t>
      </w:r>
    </w:p>
    <w:p>
      <w:pPr>
        <w:pStyle w:val="10"/>
        <w:spacing w:line="480" w:lineRule="exact"/>
        <w:ind w:left="2205" w:leftChars="250" w:hanging="1680" w:hangingChars="600"/>
        <w:jc w:val="both"/>
        <w:rPr>
          <w:rFonts w:hint="eastAsia" w:ascii="仿宋_GB2312" w:hAnsi="宋体" w:eastAsia="仿宋_GB2312"/>
          <w:color w:val="auto"/>
          <w:kern w:val="2"/>
          <w:szCs w:val="28"/>
          <w:lang w:val="zh-CN" w:eastAsia="zh-CN"/>
        </w:rPr>
      </w:pPr>
      <w:r>
        <w:rPr>
          <w:rFonts w:ascii="仿宋_GB2312" w:hAnsi="宋体" w:eastAsia="仿宋_GB2312"/>
          <w:color w:val="auto"/>
          <w:kern w:val="2"/>
          <w:szCs w:val="28"/>
        </w:rPr>
        <w:t>1.</w:t>
      </w:r>
      <w:r>
        <w:rPr>
          <w:rFonts w:hint="eastAsia" w:ascii="仿宋_GB2312" w:hAnsi="宋体" w:eastAsia="仿宋_GB2312"/>
          <w:color w:val="auto"/>
          <w:kern w:val="2"/>
          <w:szCs w:val="28"/>
        </w:rPr>
        <w:t>项目</w:t>
      </w:r>
      <w:r>
        <w:rPr>
          <w:rFonts w:ascii="仿宋_GB2312" w:hAnsi="宋体" w:eastAsia="仿宋_GB2312"/>
          <w:color w:val="auto"/>
          <w:kern w:val="2"/>
          <w:szCs w:val="28"/>
        </w:rPr>
        <w:t>名称：</w:t>
      </w:r>
      <w:r>
        <w:rPr>
          <w:rFonts w:hint="eastAsia" w:ascii="仿宋_GB2312" w:hAnsi="宋体" w:eastAsia="仿宋_GB2312"/>
          <w:color w:val="auto"/>
          <w:kern w:val="2"/>
          <w:szCs w:val="28"/>
          <w:lang w:val="zh-CN" w:eastAsia="zh-CN"/>
        </w:rPr>
        <w:t>岳阳市应急管理局南湖广场和湖南理工学院广场应急</w:t>
      </w:r>
    </w:p>
    <w:p>
      <w:pPr>
        <w:pStyle w:val="10"/>
        <w:spacing w:line="480" w:lineRule="exact"/>
        <w:ind w:left="0" w:leftChars="0" w:firstLine="0" w:firstLineChars="0"/>
        <w:jc w:val="both"/>
        <w:rPr>
          <w:rFonts w:hint="eastAsia" w:ascii="仿宋_GB2312" w:hAnsi="宋体" w:eastAsia="仿宋_GB2312"/>
          <w:color w:val="auto"/>
          <w:kern w:val="2"/>
          <w:szCs w:val="28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2"/>
          <w:szCs w:val="28"/>
          <w:lang w:val="zh-CN" w:eastAsia="zh-CN"/>
        </w:rPr>
        <w:t>避难场所建设</w:t>
      </w:r>
      <w:r>
        <w:rPr>
          <w:rFonts w:hint="eastAsia" w:ascii="仿宋_GB2312" w:hAnsi="宋体" w:eastAsia="仿宋_GB2312"/>
          <w:color w:val="auto"/>
          <w:kern w:val="2"/>
          <w:szCs w:val="28"/>
        </w:rPr>
        <w:t>监理</w:t>
      </w:r>
      <w:r>
        <w:rPr>
          <w:rFonts w:hint="eastAsia" w:ascii="仿宋_GB2312" w:hAnsi="宋体" w:eastAsia="仿宋_GB2312"/>
          <w:color w:val="auto"/>
          <w:kern w:val="2"/>
          <w:szCs w:val="28"/>
          <w:lang w:val="en-US" w:eastAsia="zh-CN"/>
        </w:rPr>
        <w:t>服务</w:t>
      </w:r>
      <w:r>
        <w:rPr>
          <w:rFonts w:hint="eastAsia" w:ascii="仿宋_GB2312" w:hAnsi="宋体" w:eastAsia="仿宋_GB2312"/>
          <w:color w:val="auto"/>
          <w:kern w:val="2"/>
          <w:szCs w:val="28"/>
        </w:rPr>
        <w:t>采购需求</w:t>
      </w:r>
    </w:p>
    <w:p>
      <w:pPr>
        <w:pStyle w:val="10"/>
        <w:spacing w:line="480" w:lineRule="exact"/>
        <w:ind w:left="560" w:firstLine="0"/>
        <w:jc w:val="both"/>
        <w:rPr>
          <w:rFonts w:hint="default" w:ascii="仿宋_GB2312" w:hAnsi="宋体" w:eastAsia="仿宋_GB2312"/>
          <w:color w:val="auto"/>
          <w:kern w:val="2"/>
          <w:szCs w:val="28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2"/>
          <w:szCs w:val="28"/>
          <w:lang w:val="en-US" w:eastAsia="zh-CN"/>
        </w:rPr>
        <w:t>2</w:t>
      </w:r>
      <w:r>
        <w:rPr>
          <w:rFonts w:hint="eastAsia" w:ascii="仿宋_GB2312" w:hAnsi="宋体" w:eastAsia="仿宋_GB2312"/>
          <w:color w:val="auto"/>
          <w:kern w:val="2"/>
          <w:szCs w:val="28"/>
        </w:rPr>
        <w:t>.项目地点</w:t>
      </w:r>
      <w:r>
        <w:rPr>
          <w:rFonts w:ascii="仿宋_GB2312" w:hAnsi="宋体" w:eastAsia="仿宋_GB2312"/>
          <w:color w:val="auto"/>
          <w:kern w:val="2"/>
          <w:szCs w:val="28"/>
        </w:rPr>
        <w:t>：</w:t>
      </w:r>
      <w:r>
        <w:rPr>
          <w:rFonts w:hint="eastAsia" w:ascii="仿宋_GB2312" w:hAnsi="宋体" w:eastAsia="仿宋_GB2312"/>
          <w:color w:val="auto"/>
          <w:kern w:val="2"/>
          <w:szCs w:val="28"/>
          <w:lang w:val="en-US" w:eastAsia="zh-CN"/>
        </w:rPr>
        <w:t>岳阳市南湖广场、湖南理工学院广场</w:t>
      </w:r>
    </w:p>
    <w:p>
      <w:pPr>
        <w:overflowPunct w:val="0"/>
        <w:spacing w:line="480" w:lineRule="exact"/>
        <w:ind w:firstLine="560" w:firstLineChars="200"/>
        <w:rPr>
          <w:rFonts w:hint="eastAsia" w:ascii="仿宋_GB2312" w:hAnsi="宋体" w:eastAsia="仿宋_GB2312"/>
          <w:color w:val="auto"/>
          <w:sz w:val="28"/>
          <w:szCs w:val="28"/>
          <w:u w:color="000000"/>
        </w:rPr>
      </w:pPr>
      <w:r>
        <w:rPr>
          <w:rFonts w:hint="eastAsia" w:ascii="仿宋_GB2312" w:hAnsi="宋体" w:eastAsia="仿宋_GB2312"/>
          <w:color w:val="auto"/>
          <w:sz w:val="28"/>
          <w:szCs w:val="28"/>
          <w:u w:color="000000"/>
          <w:lang w:val="en-US" w:eastAsia="zh-CN"/>
        </w:rPr>
        <w:t>3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</w:rPr>
        <w:t>.项目</w:t>
      </w:r>
      <w:r>
        <w:rPr>
          <w:rFonts w:ascii="仿宋_GB2312" w:hAnsi="宋体" w:eastAsia="仿宋_GB2312"/>
          <w:color w:val="auto"/>
          <w:sz w:val="28"/>
          <w:szCs w:val="28"/>
          <w:u w:color="000000"/>
        </w:rPr>
        <w:t>内容：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  <w:lang w:val="en-US" w:eastAsia="zh-CN"/>
        </w:rPr>
        <w:t>该项目主要施工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</w:rPr>
        <w:t>内容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  <w:lang w:val="en-US" w:eastAsia="zh-CN"/>
        </w:rPr>
        <w:t>包括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</w:rPr>
        <w:t>，拟设人员安置区、应急医疗卫生区和供应区等应急避难服务区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  <w:lang w:eastAsia="zh-CN"/>
        </w:rPr>
        <w:t>；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</w:rPr>
        <w:t>并对已有设施进行相应的改造，配套完善区域内应急服务设施，包括:应急标识应急供电、应急消防、应急通信、应急供水、应急排污等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  <w:lang w:eastAsia="zh-CN"/>
        </w:rPr>
        <w:t>。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</w:rPr>
        <w:t>具体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  <w:lang w:val="en-US" w:eastAsia="zh-CN"/>
        </w:rPr>
        <w:t>施工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</w:rPr>
        <w:t>内容以工程量清单及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  <w:lang w:val="en-US" w:eastAsia="zh-CN"/>
        </w:rPr>
        <w:t>施工图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</w:rPr>
        <w:t>为准。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  <w:lang w:val="en-US" w:eastAsia="zh-CN"/>
        </w:rPr>
        <w:t>工程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</w:rPr>
        <w:t>项目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  <w:lang w:val="en-US" w:eastAsia="zh-CN"/>
        </w:rPr>
        <w:t>投资总计约为91.68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</w:rPr>
        <w:t>万元，工期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  <w:lang w:val="en-US" w:eastAsia="zh-CN"/>
        </w:rPr>
        <w:t>30日历天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</w:rPr>
        <w:t>。</w:t>
      </w:r>
    </w:p>
    <w:p>
      <w:pPr>
        <w:overflowPunct w:val="0"/>
        <w:spacing w:line="480" w:lineRule="exact"/>
        <w:ind w:firstLine="560" w:firstLineChars="200"/>
        <w:rPr>
          <w:rFonts w:hint="eastAsia" w:ascii="仿宋_GB2312" w:hAnsi="宋体" w:eastAsia="仿宋_GB2312" w:cs="Times New Roman"/>
          <w:color w:val="auto"/>
          <w:sz w:val="28"/>
          <w:szCs w:val="28"/>
          <w:u w:color="000000"/>
          <w:lang w:val="en-US" w:eastAsia="zh-CN"/>
        </w:rPr>
      </w:pPr>
      <w:r>
        <w:rPr>
          <w:rFonts w:hint="eastAsia" w:ascii="仿宋_GB2312" w:hAnsi="宋体" w:eastAsia="仿宋_GB2312" w:cs="Times New Roman"/>
          <w:color w:val="auto"/>
          <w:sz w:val="28"/>
          <w:szCs w:val="28"/>
          <w:u w:color="000000"/>
          <w:lang w:val="en-US" w:eastAsia="zh-CN"/>
        </w:rPr>
        <w:t>4.监理内容及要求：包括但不限于南湖广场和湖南理工学院广场应急</w:t>
      </w:r>
    </w:p>
    <w:p>
      <w:pPr>
        <w:overflowPunct w:val="0"/>
        <w:spacing w:line="480" w:lineRule="exact"/>
        <w:rPr>
          <w:rFonts w:hint="eastAsia" w:ascii="仿宋_GB2312" w:hAnsi="宋体" w:eastAsia="仿宋_GB2312" w:cs="Times New Roman"/>
          <w:color w:val="auto"/>
          <w:sz w:val="28"/>
          <w:szCs w:val="28"/>
          <w:u w:color="000000"/>
          <w:lang w:val="zh-CN" w:eastAsia="zh-CN"/>
        </w:rPr>
      </w:pPr>
      <w:r>
        <w:rPr>
          <w:rFonts w:hint="eastAsia" w:ascii="仿宋_GB2312" w:hAnsi="宋体" w:eastAsia="仿宋_GB2312" w:cs="Times New Roman"/>
          <w:color w:val="auto"/>
          <w:sz w:val="28"/>
          <w:szCs w:val="28"/>
          <w:u w:color="000000"/>
          <w:lang w:val="en-US" w:eastAsia="zh-CN"/>
        </w:rPr>
        <w:t>避难场所建设施工方案审查、材料及设备采购和安装监理、组织隐蔽验收及分部分项验收、施工过程资料管理及移交、施工协调等。</w:t>
      </w:r>
      <w:r>
        <w:rPr>
          <w:rFonts w:hint="eastAsia" w:ascii="仿宋_GB2312" w:hAnsi="宋体" w:eastAsia="仿宋_GB2312" w:cs="Times New Roman"/>
          <w:color w:val="auto"/>
          <w:sz w:val="28"/>
          <w:szCs w:val="28"/>
          <w:u w:color="000000"/>
          <w:lang w:val="zh-CN" w:eastAsia="zh-CN"/>
        </w:rPr>
        <w:t>按照“</w:t>
      </w:r>
      <w:r>
        <w:rPr>
          <w:rFonts w:hint="eastAsia" w:ascii="仿宋_GB2312" w:hAnsi="宋体" w:eastAsia="仿宋_GB2312" w:cs="Times New Roman"/>
          <w:color w:val="auto"/>
          <w:sz w:val="28"/>
          <w:szCs w:val="28"/>
          <w:u w:color="000000"/>
          <w:lang w:val="en-US" w:eastAsia="zh-CN"/>
        </w:rPr>
        <w:t>三</w:t>
      </w:r>
      <w:r>
        <w:rPr>
          <w:rFonts w:hint="eastAsia" w:ascii="仿宋_GB2312" w:hAnsi="宋体" w:eastAsia="仿宋_GB2312" w:cs="Times New Roman"/>
          <w:color w:val="auto"/>
          <w:sz w:val="28"/>
          <w:szCs w:val="28"/>
          <w:u w:color="000000"/>
          <w:lang w:val="zh-CN" w:eastAsia="zh-CN"/>
        </w:rPr>
        <w:t>控制、三管理、一协调”的原则，确保项目在规定的时间内完成。</w:t>
      </w:r>
    </w:p>
    <w:p>
      <w:pPr>
        <w:overflowPunct w:val="0"/>
        <w:spacing w:line="480" w:lineRule="exact"/>
        <w:ind w:firstLine="560" w:firstLineChars="200"/>
        <w:rPr>
          <w:rFonts w:hint="eastAsia" w:ascii="仿宋_GB2312" w:hAnsi="宋体" w:eastAsia="仿宋_GB2312" w:cs="Times New Roman"/>
          <w:color w:val="auto"/>
          <w:sz w:val="28"/>
          <w:szCs w:val="28"/>
          <w:u w:color="000000"/>
          <w:lang w:val="en-US" w:eastAsia="zh-CN"/>
        </w:rPr>
      </w:pPr>
      <w:r>
        <w:rPr>
          <w:rFonts w:hint="eastAsia" w:ascii="仿宋_GB2312" w:hAnsi="宋体" w:eastAsia="仿宋_GB2312" w:cs="Times New Roman"/>
          <w:color w:val="auto"/>
          <w:sz w:val="28"/>
          <w:szCs w:val="28"/>
          <w:u w:color="000000"/>
          <w:lang w:val="en-US" w:eastAsia="zh-CN"/>
        </w:rPr>
        <w:t>5.监理范围：上述项目</w:t>
      </w:r>
      <w:r>
        <w:rPr>
          <w:rFonts w:hint="eastAsia" w:ascii="仿宋_GB2312" w:hAnsi="宋体" w:eastAsia="仿宋_GB2312" w:cs="Times New Roman"/>
          <w:color w:val="auto"/>
          <w:sz w:val="28"/>
          <w:szCs w:val="28"/>
          <w:u w:color="000000"/>
          <w:lang w:val="zh-CN" w:eastAsia="zh-CN"/>
        </w:rPr>
        <w:t>实施准备阶段</w:t>
      </w:r>
      <w:r>
        <w:rPr>
          <w:rFonts w:hint="eastAsia" w:ascii="仿宋_GB2312" w:hAnsi="宋体" w:eastAsia="仿宋_GB2312" w:cs="Times New Roman"/>
          <w:color w:val="auto"/>
          <w:sz w:val="28"/>
          <w:szCs w:val="28"/>
          <w:u w:color="000000"/>
          <w:lang w:val="en-US" w:eastAsia="zh-CN"/>
        </w:rPr>
        <w:t>、实施阶段、</w:t>
      </w:r>
      <w:r>
        <w:rPr>
          <w:rFonts w:hint="eastAsia" w:ascii="仿宋_GB2312" w:hAnsi="宋体" w:eastAsia="仿宋_GB2312" w:cs="Times New Roman"/>
          <w:color w:val="auto"/>
          <w:sz w:val="28"/>
          <w:szCs w:val="28"/>
          <w:u w:color="000000"/>
          <w:lang w:val="zh-CN" w:eastAsia="zh-CN"/>
        </w:rPr>
        <w:t>预验阶段、项目竣工验收阶段、质保期</w:t>
      </w:r>
      <w:r>
        <w:rPr>
          <w:rFonts w:hint="eastAsia" w:ascii="仿宋_GB2312" w:hAnsi="宋体" w:eastAsia="仿宋_GB2312" w:cs="Times New Roman"/>
          <w:color w:val="auto"/>
          <w:sz w:val="28"/>
          <w:szCs w:val="28"/>
          <w:u w:color="000000"/>
          <w:lang w:val="en-US" w:eastAsia="zh-CN"/>
        </w:rPr>
        <w:t>阶段等。</w:t>
      </w:r>
    </w:p>
    <w:p>
      <w:pPr>
        <w:overflowPunct w:val="0"/>
        <w:spacing w:line="480" w:lineRule="exact"/>
        <w:ind w:firstLine="560" w:firstLineChars="200"/>
        <w:rPr>
          <w:rFonts w:hint="default" w:ascii="仿宋_GB2312" w:hAnsi="宋体" w:eastAsia="仿宋_GB2312" w:cs="Times New Roman"/>
          <w:color w:val="auto"/>
          <w:sz w:val="28"/>
          <w:szCs w:val="28"/>
          <w:u w:color="000000"/>
          <w:lang w:val="en-US" w:eastAsia="zh-CN"/>
        </w:rPr>
      </w:pPr>
      <w:r>
        <w:rPr>
          <w:rFonts w:hint="eastAsia" w:ascii="仿宋_GB2312" w:hAnsi="宋体" w:eastAsia="仿宋_GB2312" w:cs="Times New Roman"/>
          <w:color w:val="auto"/>
          <w:sz w:val="28"/>
          <w:szCs w:val="28"/>
          <w:u w:color="000000"/>
          <w:lang w:val="en-US" w:eastAsia="zh-CN"/>
        </w:rPr>
        <w:t>6.工程监理费上限值：壹万捌仟元整（¥</w:t>
      </w:r>
      <w:bookmarkStart w:id="0" w:name="OLE_LINK1"/>
      <w:r>
        <w:rPr>
          <w:rFonts w:hint="eastAsia" w:ascii="仿宋_GB2312" w:hAnsi="宋体" w:eastAsia="仿宋_GB2312" w:cs="Times New Roman"/>
          <w:color w:val="auto"/>
          <w:sz w:val="28"/>
          <w:szCs w:val="28"/>
          <w:u w:color="000000"/>
          <w:lang w:val="en-US" w:eastAsia="zh-CN"/>
        </w:rPr>
        <w:t>18000.00</w:t>
      </w:r>
      <w:bookmarkEnd w:id="0"/>
      <w:r>
        <w:rPr>
          <w:rFonts w:hint="eastAsia" w:ascii="仿宋_GB2312" w:hAnsi="宋体" w:eastAsia="仿宋_GB2312" w:cs="Times New Roman"/>
          <w:color w:val="auto"/>
          <w:sz w:val="28"/>
          <w:szCs w:val="28"/>
          <w:u w:color="000000"/>
          <w:lang w:val="en-US" w:eastAsia="zh-CN"/>
        </w:rPr>
        <w:t>元）。</w:t>
      </w:r>
    </w:p>
    <w:p>
      <w:pPr>
        <w:pStyle w:val="10"/>
        <w:spacing w:line="480" w:lineRule="exact"/>
        <w:ind w:left="560" w:firstLine="0"/>
        <w:jc w:val="both"/>
        <w:rPr>
          <w:rFonts w:ascii="黑体" w:hAnsi="宋体" w:eastAsia="黑体"/>
          <w:color w:val="auto"/>
          <w:szCs w:val="28"/>
        </w:rPr>
      </w:pPr>
      <w:r>
        <w:rPr>
          <w:rFonts w:hint="eastAsia" w:ascii="黑体" w:hAnsi="宋体" w:eastAsia="黑体"/>
          <w:color w:val="auto"/>
          <w:szCs w:val="28"/>
        </w:rPr>
        <w:t>二</w:t>
      </w:r>
      <w:r>
        <w:rPr>
          <w:rFonts w:ascii="黑体" w:hAnsi="宋体" w:eastAsia="黑体"/>
          <w:color w:val="auto"/>
          <w:szCs w:val="28"/>
        </w:rPr>
        <w:t>、</w:t>
      </w:r>
      <w:r>
        <w:rPr>
          <w:rFonts w:hint="eastAsia" w:ascii="黑体" w:hAnsi="宋体" w:eastAsia="黑体"/>
          <w:color w:val="auto"/>
          <w:szCs w:val="28"/>
        </w:rPr>
        <w:t>资格条件</w:t>
      </w:r>
      <w:bookmarkStart w:id="1" w:name="_GoBack"/>
      <w:bookmarkEnd w:id="1"/>
    </w:p>
    <w:p>
      <w:pPr>
        <w:tabs>
          <w:tab w:val="left" w:pos="0"/>
          <w:tab w:val="left" w:pos="1122"/>
        </w:tabs>
        <w:spacing w:line="540" w:lineRule="exact"/>
        <w:ind w:firstLine="560" w:firstLineChars="200"/>
        <w:rPr>
          <w:rFonts w:hint="eastAsia" w:ascii="仿宋_GB2312" w:hAnsi="Times New Roman" w:eastAsia="仿宋_GB2312"/>
          <w:color w:val="auto"/>
          <w:sz w:val="28"/>
          <w:szCs w:val="28"/>
        </w:rPr>
      </w:pPr>
      <w:r>
        <w:rPr>
          <w:rFonts w:hint="eastAsia" w:ascii="仿宋_GB2312" w:hAnsi="Times New Roman" w:eastAsia="仿宋_GB2312"/>
          <w:color w:val="auto"/>
          <w:sz w:val="28"/>
          <w:szCs w:val="28"/>
        </w:rPr>
        <w:t>（一）符合《中华人民共和国政府采购法》第二十二条资格条件：</w:t>
      </w:r>
    </w:p>
    <w:p>
      <w:pPr>
        <w:tabs>
          <w:tab w:val="left" w:pos="0"/>
          <w:tab w:val="left" w:pos="1122"/>
        </w:tabs>
        <w:spacing w:line="540" w:lineRule="exact"/>
        <w:ind w:firstLine="560" w:firstLineChars="200"/>
        <w:rPr>
          <w:rFonts w:hint="eastAsia" w:ascii="仿宋_GB2312" w:hAnsi="Times New Roman" w:eastAsia="仿宋_GB2312"/>
          <w:color w:val="auto"/>
          <w:sz w:val="28"/>
          <w:szCs w:val="28"/>
        </w:rPr>
      </w:pPr>
      <w:r>
        <w:rPr>
          <w:rFonts w:hint="eastAsia" w:ascii="仿宋_GB2312" w:hAnsi="Times New Roman" w:eastAsia="仿宋_GB2312"/>
          <w:color w:val="auto"/>
          <w:sz w:val="28"/>
          <w:szCs w:val="28"/>
        </w:rPr>
        <w:t>1.具有独立承担民事责任的能力；</w:t>
      </w:r>
    </w:p>
    <w:p>
      <w:pPr>
        <w:tabs>
          <w:tab w:val="left" w:pos="0"/>
          <w:tab w:val="left" w:pos="1122"/>
        </w:tabs>
        <w:spacing w:line="540" w:lineRule="exact"/>
        <w:ind w:firstLine="560" w:firstLineChars="200"/>
        <w:rPr>
          <w:rFonts w:hint="eastAsia" w:ascii="仿宋_GB2312" w:hAnsi="Times New Roman" w:eastAsia="仿宋_GB2312"/>
          <w:color w:val="auto"/>
          <w:sz w:val="28"/>
          <w:szCs w:val="28"/>
        </w:rPr>
      </w:pPr>
      <w:r>
        <w:rPr>
          <w:rFonts w:hint="eastAsia" w:ascii="仿宋_GB2312" w:hAnsi="Times New Roman" w:eastAsia="仿宋_GB2312"/>
          <w:color w:val="auto"/>
          <w:sz w:val="28"/>
          <w:szCs w:val="28"/>
        </w:rPr>
        <w:t>2.具有良好的商业信誉和健全的财务会计制度；</w:t>
      </w:r>
    </w:p>
    <w:p>
      <w:pPr>
        <w:tabs>
          <w:tab w:val="left" w:pos="0"/>
          <w:tab w:val="left" w:pos="1122"/>
        </w:tabs>
        <w:spacing w:line="540" w:lineRule="exact"/>
        <w:ind w:firstLine="560" w:firstLineChars="200"/>
        <w:rPr>
          <w:rFonts w:hint="eastAsia" w:ascii="仿宋_GB2312" w:hAnsi="Times New Roman" w:eastAsia="仿宋_GB2312"/>
          <w:color w:val="auto"/>
          <w:sz w:val="28"/>
          <w:szCs w:val="28"/>
        </w:rPr>
      </w:pPr>
      <w:r>
        <w:rPr>
          <w:rFonts w:hint="eastAsia" w:ascii="仿宋_GB2312" w:hAnsi="Times New Roman" w:eastAsia="仿宋_GB2312"/>
          <w:color w:val="auto"/>
          <w:sz w:val="28"/>
          <w:szCs w:val="28"/>
        </w:rPr>
        <w:t>3.具有履行合同所必需的设备和专业技术能力；</w:t>
      </w:r>
    </w:p>
    <w:p>
      <w:pPr>
        <w:tabs>
          <w:tab w:val="left" w:pos="0"/>
          <w:tab w:val="left" w:pos="1122"/>
        </w:tabs>
        <w:spacing w:line="540" w:lineRule="exact"/>
        <w:ind w:firstLine="560" w:firstLineChars="200"/>
        <w:rPr>
          <w:rFonts w:hint="eastAsia" w:ascii="仿宋_GB2312" w:hAnsi="Times New Roman" w:eastAsia="仿宋_GB2312"/>
          <w:color w:val="auto"/>
          <w:sz w:val="28"/>
          <w:szCs w:val="28"/>
        </w:rPr>
      </w:pPr>
      <w:r>
        <w:rPr>
          <w:rFonts w:hint="eastAsia" w:ascii="仿宋_GB2312" w:hAnsi="Times New Roman" w:eastAsia="仿宋_GB2312"/>
          <w:color w:val="auto"/>
          <w:sz w:val="28"/>
          <w:szCs w:val="28"/>
        </w:rPr>
        <w:t>4.有依法缴纳税收和社会保障资金的良好记录；</w:t>
      </w:r>
    </w:p>
    <w:p>
      <w:pPr>
        <w:tabs>
          <w:tab w:val="left" w:pos="0"/>
          <w:tab w:val="left" w:pos="1122"/>
        </w:tabs>
        <w:spacing w:line="540" w:lineRule="exact"/>
        <w:ind w:firstLine="560" w:firstLineChars="200"/>
        <w:rPr>
          <w:rFonts w:hint="eastAsia" w:ascii="仿宋_GB2312" w:hAnsi="Times New Roman" w:eastAsia="仿宋_GB2312"/>
          <w:color w:val="auto"/>
          <w:sz w:val="28"/>
          <w:szCs w:val="28"/>
        </w:rPr>
      </w:pPr>
      <w:r>
        <w:rPr>
          <w:rFonts w:hint="eastAsia" w:ascii="仿宋_GB2312" w:hAnsi="Times New Roman" w:eastAsia="仿宋_GB2312"/>
          <w:color w:val="auto"/>
          <w:sz w:val="28"/>
          <w:szCs w:val="28"/>
        </w:rPr>
        <w:t>5.参加政府采购活动前3年内，在经营活动中没有重大违法记录；</w:t>
      </w:r>
    </w:p>
    <w:p>
      <w:pPr>
        <w:tabs>
          <w:tab w:val="left" w:pos="0"/>
          <w:tab w:val="left" w:pos="1122"/>
        </w:tabs>
        <w:spacing w:line="540" w:lineRule="exact"/>
        <w:ind w:firstLine="560" w:firstLineChars="200"/>
        <w:rPr>
          <w:rFonts w:hint="eastAsia" w:ascii="仿宋_GB2312" w:hAnsi="Times New Roman" w:eastAsia="仿宋_GB2312"/>
          <w:color w:val="auto"/>
          <w:sz w:val="28"/>
          <w:szCs w:val="28"/>
        </w:rPr>
      </w:pPr>
      <w:r>
        <w:rPr>
          <w:rFonts w:hint="eastAsia" w:ascii="仿宋_GB2312" w:hAnsi="Times New Roman" w:eastAsia="仿宋_GB2312"/>
          <w:color w:val="auto"/>
          <w:sz w:val="28"/>
          <w:szCs w:val="28"/>
        </w:rPr>
        <w:t>6.法律、行政法规规定的其他条件。</w:t>
      </w:r>
    </w:p>
    <w:p>
      <w:pPr>
        <w:tabs>
          <w:tab w:val="left" w:pos="0"/>
          <w:tab w:val="left" w:pos="1122"/>
        </w:tabs>
        <w:spacing w:line="540" w:lineRule="exact"/>
        <w:ind w:firstLine="560" w:firstLineChars="200"/>
        <w:rPr>
          <w:rFonts w:hint="eastAsia" w:ascii="仿宋_GB2312" w:hAnsi="Times New Roman" w:eastAsia="仿宋_GB2312"/>
          <w:color w:val="auto"/>
          <w:sz w:val="28"/>
          <w:szCs w:val="28"/>
        </w:rPr>
      </w:pPr>
      <w:r>
        <w:rPr>
          <w:rFonts w:hint="eastAsia" w:ascii="仿宋_GB2312" w:hAnsi="Times New Roman" w:eastAsia="仿宋_GB2312"/>
          <w:color w:val="auto"/>
          <w:sz w:val="28"/>
          <w:szCs w:val="28"/>
        </w:rPr>
        <w:t>（</w:t>
      </w:r>
      <w:r>
        <w:rPr>
          <w:rFonts w:hint="eastAsia" w:ascii="仿宋_GB2312" w:hAnsi="Times New Roman" w:eastAsia="仿宋_GB2312"/>
          <w:color w:val="auto"/>
          <w:sz w:val="28"/>
          <w:szCs w:val="28"/>
          <w:lang w:val="en-US" w:eastAsia="zh-CN"/>
        </w:rPr>
        <w:t>二</w:t>
      </w:r>
      <w:r>
        <w:rPr>
          <w:rFonts w:hint="eastAsia" w:ascii="仿宋_GB2312" w:hAnsi="Times New Roman" w:eastAsia="仿宋_GB2312"/>
          <w:color w:val="auto"/>
          <w:sz w:val="28"/>
          <w:szCs w:val="28"/>
        </w:rPr>
        <w:t>）省外入湘企业</w:t>
      </w:r>
      <w:r>
        <w:rPr>
          <w:rFonts w:hint="eastAsia" w:ascii="仿宋_GB2312" w:hAnsi="Times New Roman" w:eastAsia="仿宋_GB2312"/>
          <w:color w:val="auto"/>
          <w:sz w:val="28"/>
          <w:szCs w:val="28"/>
          <w:lang w:val="en-US" w:eastAsia="zh-CN"/>
        </w:rPr>
        <w:t>应</w:t>
      </w:r>
      <w:r>
        <w:rPr>
          <w:rFonts w:hint="eastAsia" w:ascii="仿宋_GB2312" w:hAnsi="Times New Roman" w:eastAsia="仿宋_GB2312"/>
          <w:color w:val="auto"/>
          <w:sz w:val="28"/>
          <w:szCs w:val="28"/>
        </w:rPr>
        <w:t>在 “湖南省住房和城乡建设网” 进行了基本信息登记；</w:t>
      </w:r>
    </w:p>
    <w:p>
      <w:pPr>
        <w:tabs>
          <w:tab w:val="left" w:pos="0"/>
          <w:tab w:val="left" w:pos="1122"/>
        </w:tabs>
        <w:spacing w:line="540" w:lineRule="exact"/>
        <w:ind w:firstLine="560" w:firstLineChars="200"/>
        <w:rPr>
          <w:rFonts w:hint="eastAsia" w:ascii="仿宋_GB2312" w:hAnsi="Times New Roman" w:eastAsia="仿宋_GB2312"/>
          <w:color w:val="auto"/>
          <w:sz w:val="28"/>
          <w:szCs w:val="28"/>
        </w:rPr>
      </w:pPr>
      <w:r>
        <w:rPr>
          <w:rFonts w:hint="eastAsia" w:ascii="仿宋_GB2312" w:hAnsi="Times New Roman" w:eastAsia="仿宋_GB2312"/>
          <w:color w:val="auto"/>
          <w:sz w:val="28"/>
          <w:szCs w:val="28"/>
        </w:rPr>
        <w:t>（</w:t>
      </w:r>
      <w:r>
        <w:rPr>
          <w:rFonts w:hint="eastAsia" w:ascii="仿宋_GB2312" w:hAnsi="Times New Roman" w:eastAsia="仿宋_GB2312"/>
          <w:color w:val="auto"/>
          <w:sz w:val="28"/>
          <w:szCs w:val="28"/>
          <w:lang w:val="en-US" w:eastAsia="zh-CN"/>
        </w:rPr>
        <w:t>三</w:t>
      </w:r>
      <w:r>
        <w:rPr>
          <w:rFonts w:hint="eastAsia" w:ascii="仿宋_GB2312" w:hAnsi="Times New Roman" w:eastAsia="仿宋_GB2312"/>
          <w:color w:val="auto"/>
          <w:sz w:val="28"/>
          <w:szCs w:val="28"/>
        </w:rPr>
        <w:t>）要求具备独立法人资格，</w:t>
      </w:r>
      <w:r>
        <w:rPr>
          <w:rFonts w:hint="eastAsia" w:ascii="仿宋_GB2312" w:hAnsi="Times New Roman" w:eastAsia="仿宋_GB2312"/>
          <w:color w:val="auto"/>
          <w:sz w:val="28"/>
          <w:szCs w:val="28"/>
          <w:lang w:val="en-US" w:eastAsia="zh-CN"/>
        </w:rPr>
        <w:t>具备</w:t>
      </w:r>
      <w:r>
        <w:rPr>
          <w:rFonts w:hint="eastAsia" w:ascii="仿宋_GB2312" w:hAnsi="Times New Roman" w:eastAsia="仿宋_GB2312"/>
          <w:color w:val="auto"/>
          <w:sz w:val="28"/>
          <w:szCs w:val="28"/>
          <w:lang w:eastAsia="zh-CN"/>
        </w:rPr>
        <w:t>市政公用</w:t>
      </w:r>
      <w:r>
        <w:rPr>
          <w:rFonts w:hint="eastAsia" w:ascii="仿宋_GB2312" w:hAnsi="Times New Roman" w:eastAsia="仿宋_GB2312"/>
          <w:color w:val="auto"/>
          <w:sz w:val="28"/>
          <w:szCs w:val="28"/>
        </w:rPr>
        <w:t>工程监理</w:t>
      </w:r>
      <w:r>
        <w:rPr>
          <w:rFonts w:hint="eastAsia" w:ascii="仿宋_GB2312" w:hAnsi="Times New Roman" w:eastAsia="仿宋_GB2312"/>
          <w:color w:val="auto"/>
          <w:sz w:val="28"/>
          <w:szCs w:val="28"/>
          <w:lang w:eastAsia="zh-CN"/>
        </w:rPr>
        <w:t>丙</w:t>
      </w:r>
      <w:r>
        <w:rPr>
          <w:rFonts w:hint="eastAsia" w:ascii="仿宋_GB2312" w:hAnsi="Times New Roman" w:eastAsia="仿宋_GB2312"/>
          <w:color w:val="auto"/>
          <w:sz w:val="28"/>
          <w:szCs w:val="28"/>
        </w:rPr>
        <w:t>级（含）及以上资质，资质证书处于有效期；拟任总监理工程师必须持有</w:t>
      </w:r>
      <w:r>
        <w:rPr>
          <w:rFonts w:hint="eastAsia" w:ascii="仿宋_GB2312" w:hAnsi="Times New Roman" w:eastAsia="仿宋_GB2312"/>
          <w:color w:val="auto"/>
          <w:sz w:val="28"/>
          <w:szCs w:val="28"/>
          <w:lang w:val="en-US" w:eastAsia="zh-CN"/>
        </w:rPr>
        <w:t>市政公用工程国家</w:t>
      </w:r>
      <w:r>
        <w:rPr>
          <w:rFonts w:hint="eastAsia" w:ascii="仿宋_GB2312" w:hAnsi="Times New Roman" w:eastAsia="仿宋_GB2312"/>
          <w:color w:val="auto"/>
          <w:sz w:val="28"/>
          <w:szCs w:val="28"/>
        </w:rPr>
        <w:t>注册监理工程师执业证书（在有效期内），证书注册单位应与投标人名称一致</w:t>
      </w:r>
      <w:r>
        <w:rPr>
          <w:rFonts w:hint="eastAsia" w:ascii="仿宋_GB2312" w:hAnsi="Times New Roman" w:eastAsia="仿宋_GB2312"/>
          <w:color w:val="auto"/>
          <w:sz w:val="28"/>
          <w:szCs w:val="28"/>
          <w:lang w:eastAsia="zh-CN"/>
        </w:rPr>
        <w:t>，</w:t>
      </w:r>
      <w:r>
        <w:rPr>
          <w:rFonts w:hint="eastAsia" w:ascii="仿宋_GB2312" w:hAnsi="Times New Roman" w:eastAsia="仿宋_GB2312"/>
          <w:color w:val="auto"/>
          <w:sz w:val="28"/>
          <w:szCs w:val="28"/>
        </w:rPr>
        <w:t>其他监理人员必须持有岗位证书。</w:t>
      </w:r>
    </w:p>
    <w:p>
      <w:pPr>
        <w:spacing w:line="540" w:lineRule="exact"/>
        <w:ind w:firstLine="560" w:firstLineChars="200"/>
        <w:rPr>
          <w:rFonts w:hint="eastAsia" w:ascii="仿宋_GB2312" w:hAnsi="Times New Roman" w:eastAsia="仿宋_GB2312"/>
          <w:color w:val="auto"/>
          <w:sz w:val="28"/>
          <w:szCs w:val="28"/>
        </w:rPr>
      </w:pPr>
      <w:r>
        <w:rPr>
          <w:rFonts w:hint="eastAsia" w:ascii="仿宋_GB2312" w:hAnsi="Times New Roman" w:eastAsia="仿宋_GB2312"/>
          <w:color w:val="auto"/>
          <w:sz w:val="28"/>
          <w:szCs w:val="28"/>
        </w:rPr>
        <w:t>（</w:t>
      </w:r>
      <w:r>
        <w:rPr>
          <w:rFonts w:hint="eastAsia" w:ascii="仿宋_GB2312" w:hAnsi="Times New Roman" w:eastAsia="仿宋_GB2312"/>
          <w:color w:val="auto"/>
          <w:sz w:val="28"/>
          <w:szCs w:val="28"/>
          <w:lang w:val="en-US" w:eastAsia="zh-CN"/>
        </w:rPr>
        <w:t>四</w:t>
      </w:r>
      <w:r>
        <w:rPr>
          <w:rFonts w:hint="eastAsia" w:ascii="仿宋_GB2312" w:hAnsi="Times New Roman" w:eastAsia="仿宋_GB2312"/>
          <w:color w:val="auto"/>
          <w:sz w:val="28"/>
          <w:szCs w:val="28"/>
        </w:rPr>
        <w:t>）本项目不接受联合体</w:t>
      </w:r>
      <w:r>
        <w:rPr>
          <w:rFonts w:hint="eastAsia" w:ascii="仿宋_GB2312" w:hAnsi="Times New Roman" w:eastAsia="仿宋_GB2312"/>
          <w:color w:val="auto"/>
          <w:sz w:val="28"/>
          <w:szCs w:val="28"/>
          <w:lang w:val="en-US" w:eastAsia="zh-CN"/>
        </w:rPr>
        <w:t>投标</w:t>
      </w:r>
      <w:r>
        <w:rPr>
          <w:rFonts w:hint="eastAsia" w:ascii="仿宋_GB2312" w:hAnsi="Times New Roman" w:eastAsia="仿宋_GB2312"/>
          <w:color w:val="auto"/>
          <w:sz w:val="28"/>
          <w:szCs w:val="28"/>
        </w:rPr>
        <w:t>。</w:t>
      </w:r>
    </w:p>
    <w:p>
      <w:pPr>
        <w:pStyle w:val="10"/>
        <w:spacing w:line="480" w:lineRule="exact"/>
        <w:ind w:left="560" w:firstLine="0"/>
        <w:jc w:val="both"/>
        <w:rPr>
          <w:rFonts w:ascii="宋体" w:hAnsi="宋体"/>
          <w:color w:val="auto"/>
          <w:szCs w:val="28"/>
        </w:rPr>
      </w:pPr>
      <w:r>
        <w:rPr>
          <w:rFonts w:hint="eastAsia" w:ascii="黑体" w:hAnsi="宋体" w:eastAsia="黑体"/>
          <w:color w:val="auto"/>
          <w:szCs w:val="28"/>
          <w:lang w:val="en-US" w:eastAsia="zh-CN"/>
        </w:rPr>
        <w:t>三</w:t>
      </w:r>
      <w:r>
        <w:rPr>
          <w:rFonts w:ascii="黑体" w:hAnsi="宋体" w:eastAsia="黑体"/>
          <w:color w:val="auto"/>
          <w:szCs w:val="28"/>
        </w:rPr>
        <w:t>、</w:t>
      </w:r>
      <w:r>
        <w:rPr>
          <w:rFonts w:hint="eastAsia" w:ascii="黑体" w:hAnsi="宋体" w:eastAsia="黑体"/>
          <w:color w:val="auto"/>
          <w:szCs w:val="28"/>
        </w:rPr>
        <w:t>评审方法</w:t>
      </w:r>
    </w:p>
    <w:p>
      <w:pPr>
        <w:overflowPunct w:val="0"/>
        <w:spacing w:line="480" w:lineRule="exact"/>
        <w:ind w:firstLine="560" w:firstLineChars="200"/>
        <w:rPr>
          <w:rFonts w:ascii="仿宋_GB2312" w:hAnsi="宋体" w:eastAsia="仿宋_GB2312"/>
          <w:color w:val="auto"/>
          <w:sz w:val="28"/>
          <w:szCs w:val="28"/>
          <w:u w:color="000000"/>
        </w:rPr>
      </w:pPr>
      <w:r>
        <w:rPr>
          <w:rFonts w:ascii="仿宋_GB2312" w:hAnsi="宋体" w:eastAsia="仿宋_GB2312"/>
          <w:color w:val="auto"/>
          <w:sz w:val="28"/>
          <w:szCs w:val="28"/>
          <w:u w:color="000000"/>
        </w:rPr>
        <w:t>满足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  <w:lang w:val="en-US" w:eastAsia="zh-CN"/>
        </w:rPr>
        <w:t>资格</w:t>
      </w:r>
      <w:r>
        <w:rPr>
          <w:rFonts w:ascii="仿宋_GB2312" w:hAnsi="宋体" w:eastAsia="仿宋_GB2312"/>
          <w:color w:val="auto"/>
          <w:sz w:val="28"/>
          <w:szCs w:val="28"/>
          <w:u w:color="000000"/>
        </w:rPr>
        <w:t>条件的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  <w:lang w:val="en-US" w:eastAsia="zh-CN"/>
        </w:rPr>
        <w:t>投标</w:t>
      </w:r>
      <w:r>
        <w:rPr>
          <w:rFonts w:ascii="仿宋_GB2312" w:hAnsi="宋体" w:eastAsia="仿宋_GB2312"/>
          <w:color w:val="auto"/>
          <w:sz w:val="28"/>
          <w:szCs w:val="28"/>
          <w:u w:color="000000"/>
        </w:rPr>
        <w:t>报价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</w:rPr>
        <w:t>最低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  <w:lang w:val="en-US" w:eastAsia="zh-CN"/>
        </w:rPr>
        <w:t>的</w:t>
      </w:r>
      <w:r>
        <w:rPr>
          <w:rFonts w:ascii="仿宋_GB2312" w:hAnsi="宋体" w:eastAsia="仿宋_GB2312"/>
          <w:color w:val="auto"/>
          <w:sz w:val="28"/>
          <w:szCs w:val="28"/>
          <w:u w:color="000000"/>
        </w:rPr>
        <w:t>公司作为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</w:rPr>
        <w:t>成交</w:t>
      </w:r>
      <w:r>
        <w:rPr>
          <w:rFonts w:ascii="仿宋_GB2312" w:hAnsi="宋体" w:eastAsia="仿宋_GB2312"/>
          <w:color w:val="auto"/>
          <w:sz w:val="28"/>
          <w:szCs w:val="28"/>
          <w:u w:color="000000"/>
        </w:rPr>
        <w:t>单位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</w:rPr>
        <w:t>。</w:t>
      </w:r>
      <w:r>
        <w:rPr>
          <w:rFonts w:ascii="仿宋_GB2312" w:hAnsi="宋体" w:eastAsia="仿宋_GB2312"/>
          <w:color w:val="auto"/>
          <w:sz w:val="28"/>
          <w:szCs w:val="28"/>
          <w:u w:color="000000"/>
        </w:rPr>
        <w:t>若出现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</w:rPr>
        <w:t>2个</w:t>
      </w:r>
      <w:r>
        <w:rPr>
          <w:rFonts w:ascii="仿宋_GB2312" w:hAnsi="宋体" w:eastAsia="仿宋_GB2312"/>
          <w:color w:val="auto"/>
          <w:sz w:val="28"/>
          <w:szCs w:val="28"/>
          <w:u w:color="000000"/>
        </w:rPr>
        <w:t>及以上企业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  <w:lang w:val="en-US" w:eastAsia="zh-CN"/>
        </w:rPr>
        <w:t>最低</w:t>
      </w:r>
      <w:r>
        <w:rPr>
          <w:rFonts w:ascii="仿宋_GB2312" w:hAnsi="宋体" w:eastAsia="仿宋_GB2312"/>
          <w:color w:val="auto"/>
          <w:sz w:val="28"/>
          <w:szCs w:val="28"/>
          <w:u w:color="000000"/>
        </w:rPr>
        <w:t>报价相同的，则通过抽签方式确定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  <w:lang w:val="en-US" w:eastAsia="zh-CN"/>
        </w:rPr>
        <w:t>成交单位</w:t>
      </w:r>
      <w:r>
        <w:rPr>
          <w:rFonts w:ascii="仿宋_GB2312" w:hAnsi="宋体" w:eastAsia="仿宋_GB2312"/>
          <w:color w:val="auto"/>
          <w:sz w:val="28"/>
          <w:szCs w:val="28"/>
          <w:u w:color="000000"/>
        </w:rPr>
        <w:t>。</w:t>
      </w:r>
    </w:p>
    <w:p>
      <w:pPr>
        <w:pStyle w:val="10"/>
        <w:spacing w:line="480" w:lineRule="exact"/>
        <w:ind w:left="560" w:firstLine="0"/>
        <w:jc w:val="both"/>
        <w:rPr>
          <w:rFonts w:ascii="黑体" w:hAnsi="宋体" w:eastAsia="黑体"/>
          <w:color w:val="auto"/>
          <w:szCs w:val="28"/>
        </w:rPr>
      </w:pPr>
      <w:r>
        <w:rPr>
          <w:rFonts w:hint="eastAsia" w:ascii="黑体" w:hAnsi="宋体" w:eastAsia="黑体"/>
          <w:color w:val="auto"/>
          <w:szCs w:val="28"/>
          <w:lang w:val="en-US" w:eastAsia="zh-CN"/>
        </w:rPr>
        <w:t>四</w:t>
      </w:r>
      <w:r>
        <w:rPr>
          <w:rFonts w:ascii="黑体" w:hAnsi="宋体" w:eastAsia="黑体"/>
          <w:color w:val="auto"/>
          <w:szCs w:val="28"/>
        </w:rPr>
        <w:t>、</w:t>
      </w:r>
      <w:r>
        <w:rPr>
          <w:rFonts w:hint="eastAsia" w:ascii="黑体" w:hAnsi="宋体" w:eastAsia="黑体"/>
          <w:color w:val="auto"/>
          <w:szCs w:val="28"/>
          <w:lang w:val="en-US" w:eastAsia="zh-CN"/>
        </w:rPr>
        <w:t>响应</w:t>
      </w:r>
      <w:r>
        <w:rPr>
          <w:rFonts w:hint="eastAsia" w:ascii="黑体" w:hAnsi="宋体" w:eastAsia="黑体"/>
          <w:color w:val="auto"/>
          <w:szCs w:val="28"/>
        </w:rPr>
        <w:t>文件</w:t>
      </w:r>
      <w:r>
        <w:rPr>
          <w:rFonts w:ascii="黑体" w:hAnsi="宋体" w:eastAsia="黑体"/>
          <w:color w:val="auto"/>
          <w:szCs w:val="28"/>
        </w:rPr>
        <w:t>组成</w:t>
      </w:r>
    </w:p>
    <w:p>
      <w:pPr>
        <w:spacing w:line="480" w:lineRule="exact"/>
        <w:ind w:firstLine="564"/>
        <w:rPr>
          <w:rFonts w:hint="eastAsia" w:ascii="仿宋_GB2312" w:hAnsi="宋体" w:eastAsia="仿宋_GB2312"/>
          <w:color w:val="auto"/>
          <w:sz w:val="28"/>
          <w:szCs w:val="28"/>
          <w:u w:color="000000"/>
          <w:lang w:eastAsia="zh-CN"/>
        </w:rPr>
      </w:pPr>
      <w:r>
        <w:rPr>
          <w:rFonts w:hint="eastAsia" w:ascii="仿宋_GB2312" w:hAnsi="宋体" w:eastAsia="仿宋_GB2312"/>
          <w:color w:val="auto"/>
          <w:sz w:val="28"/>
          <w:szCs w:val="28"/>
          <w:u w:color="000000"/>
          <w:lang w:val="en-US" w:eastAsia="zh-CN"/>
        </w:rPr>
        <w:t>1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</w:rPr>
        <w:t>.企业</w:t>
      </w:r>
      <w:r>
        <w:rPr>
          <w:rFonts w:ascii="仿宋_GB2312" w:hAnsi="宋体" w:eastAsia="仿宋_GB2312"/>
          <w:color w:val="auto"/>
          <w:sz w:val="28"/>
          <w:szCs w:val="28"/>
          <w:u w:color="000000"/>
        </w:rPr>
        <w:t>营业执照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  <w:lang w:eastAsia="zh-CN"/>
        </w:rPr>
        <w:t>、</w:t>
      </w:r>
      <w:r>
        <w:rPr>
          <w:rFonts w:ascii="仿宋_GB2312" w:hAnsi="宋体" w:eastAsia="仿宋_GB2312"/>
          <w:color w:val="auto"/>
          <w:sz w:val="28"/>
          <w:szCs w:val="28"/>
          <w:u w:color="000000"/>
        </w:rPr>
        <w:t>企业资质证书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  <w:lang w:val="en-US" w:eastAsia="zh-CN"/>
        </w:rPr>
        <w:t>扫描件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  <w:lang w:eastAsia="zh-CN"/>
        </w:rPr>
        <w:t>。</w:t>
      </w:r>
    </w:p>
    <w:p>
      <w:pPr>
        <w:spacing w:line="480" w:lineRule="exact"/>
        <w:ind w:firstLine="564"/>
        <w:rPr>
          <w:rFonts w:hint="eastAsia" w:ascii="仿宋_GB2312" w:eastAsia="仿宋_GB2312"/>
          <w:color w:val="auto"/>
          <w:sz w:val="28"/>
          <w:szCs w:val="28"/>
          <w:lang w:val="en-US" w:eastAsia="zh-CN"/>
        </w:rPr>
      </w:pPr>
      <w:r>
        <w:rPr>
          <w:rFonts w:hint="eastAsia" w:ascii="仿宋_GB2312" w:hAnsi="宋体" w:eastAsia="仿宋_GB2312"/>
          <w:color w:val="auto"/>
          <w:sz w:val="28"/>
          <w:szCs w:val="28"/>
          <w:u w:color="000000"/>
          <w:lang w:val="en-US" w:eastAsia="zh-CN"/>
        </w:rPr>
        <w:t>2</w:t>
      </w:r>
      <w:r>
        <w:rPr>
          <w:rFonts w:hint="eastAsia" w:ascii="仿宋_GB2312" w:hAnsi="宋体" w:eastAsia="仿宋_GB2312"/>
          <w:color w:val="auto"/>
          <w:sz w:val="28"/>
          <w:szCs w:val="28"/>
          <w:u w:color="000000"/>
        </w:rPr>
        <w:t>.</w:t>
      </w:r>
      <w:r>
        <w:rPr>
          <w:rFonts w:hint="eastAsia" w:ascii="仿宋_GB2312" w:hAnsi="Times New Roman" w:eastAsia="仿宋_GB2312"/>
          <w:color w:val="auto"/>
          <w:sz w:val="28"/>
          <w:szCs w:val="28"/>
        </w:rPr>
        <w:t xml:space="preserve"> </w:t>
      </w:r>
      <w:r>
        <w:rPr>
          <w:rFonts w:hint="eastAsia" w:ascii="仿宋_GB2312" w:eastAsia="仿宋_GB2312"/>
          <w:color w:val="auto"/>
          <w:sz w:val="28"/>
          <w:szCs w:val="28"/>
        </w:rPr>
        <w:t>拟任监理工程师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国家</w:t>
      </w:r>
      <w:r>
        <w:rPr>
          <w:rFonts w:hint="eastAsia" w:ascii="仿宋_GB2312" w:eastAsia="仿宋_GB2312"/>
          <w:color w:val="auto"/>
          <w:sz w:val="28"/>
          <w:szCs w:val="28"/>
        </w:rPr>
        <w:t>注册监理工程师</w:t>
      </w:r>
      <w:r>
        <w:rPr>
          <w:rFonts w:hint="eastAsia" w:ascii="仿宋_GB2312" w:eastAsia="仿宋_GB2312"/>
          <w:color w:val="auto"/>
          <w:sz w:val="28"/>
          <w:szCs w:val="28"/>
          <w:lang w:eastAsia="zh-CN"/>
        </w:rPr>
        <w:t>（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市政公用专业</w:t>
      </w:r>
      <w:r>
        <w:rPr>
          <w:rFonts w:hint="eastAsia" w:ascii="仿宋_GB2312" w:eastAsia="仿宋_GB2312"/>
          <w:color w:val="auto"/>
          <w:sz w:val="28"/>
          <w:szCs w:val="28"/>
          <w:lang w:eastAsia="zh-CN"/>
        </w:rPr>
        <w:t>）</w:t>
      </w:r>
      <w:r>
        <w:rPr>
          <w:rFonts w:hint="eastAsia" w:ascii="仿宋_GB2312" w:eastAsia="仿宋_GB2312"/>
          <w:color w:val="auto"/>
          <w:sz w:val="28"/>
          <w:szCs w:val="28"/>
        </w:rPr>
        <w:t>执业证书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扫描件</w:t>
      </w:r>
      <w:r>
        <w:rPr>
          <w:rFonts w:hint="eastAsia" w:ascii="仿宋_GB2312" w:eastAsia="仿宋_GB2312"/>
          <w:color w:val="auto"/>
          <w:sz w:val="28"/>
          <w:szCs w:val="28"/>
        </w:rPr>
        <w:t>（在有效期内）</w:t>
      </w:r>
      <w:r>
        <w:rPr>
          <w:rFonts w:hint="eastAsia" w:ascii="仿宋_GB2312" w:hAnsi="Times New Roman" w:eastAsia="仿宋_GB2312"/>
          <w:color w:val="auto"/>
          <w:sz w:val="28"/>
          <w:szCs w:val="28"/>
          <w:lang w:val="en-US" w:eastAsia="zh-CN"/>
        </w:rPr>
        <w:t>扫描件</w:t>
      </w:r>
      <w:r>
        <w:rPr>
          <w:rFonts w:hint="eastAsia" w:ascii="仿宋_GB2312" w:eastAsia="仿宋_GB2312"/>
          <w:color w:val="auto"/>
          <w:sz w:val="28"/>
          <w:szCs w:val="28"/>
          <w:lang w:eastAsia="zh-CN"/>
        </w:rPr>
        <w:t>。</w:t>
      </w:r>
    </w:p>
    <w:p>
      <w:pPr>
        <w:spacing w:line="480" w:lineRule="exact"/>
        <w:ind w:firstLine="564"/>
        <w:rPr>
          <w:rFonts w:ascii="仿宋_GB2312" w:hAnsi="宋体" w:eastAsia="仿宋_GB2312"/>
          <w:color w:val="auto"/>
          <w:kern w:val="0"/>
          <w:sz w:val="28"/>
          <w:szCs w:val="28"/>
        </w:rPr>
      </w:pP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备注：以上材料均需加盖投标单位公章。</w:t>
      </w:r>
    </w:p>
    <w:sectPr>
      <w:footerReference r:id="rId4" w:type="default"/>
      <w:type w:val="continuous"/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A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wordWrap w:val="0"/>
      <w:jc w:val="right"/>
      <w:rPr>
        <w:rFonts w:ascii="仿宋_GB2312" w:eastAsia="仿宋_GB2312"/>
        <w:sz w:val="20"/>
      </w:rPr>
    </w:pPr>
    <w:r>
      <w:rPr>
        <w:rFonts w:hint="eastAsia" w:ascii="仿宋_GB2312" w:eastAsia="仿宋_GB2312"/>
        <w:sz w:val="20"/>
      </w:rPr>
      <w:t>—</w:t>
    </w:r>
    <w:r>
      <w:rPr>
        <w:rFonts w:hint="eastAsia" w:ascii="仿宋_GB2312" w:eastAsia="仿宋_GB2312"/>
        <w:sz w:val="20"/>
      </w:rPr>
      <w:fldChar w:fldCharType="begin"/>
    </w:r>
    <w:r>
      <w:rPr>
        <w:rFonts w:hint="eastAsia" w:ascii="仿宋_GB2312" w:eastAsia="仿宋_GB2312"/>
        <w:sz w:val="20"/>
      </w:rPr>
      <w:instrText xml:space="preserve">PAGE   \* MERGEFORMAT</w:instrText>
    </w:r>
    <w:r>
      <w:rPr>
        <w:rFonts w:hint="eastAsia" w:ascii="仿宋_GB2312" w:eastAsia="仿宋_GB2312"/>
        <w:sz w:val="20"/>
      </w:rPr>
      <w:fldChar w:fldCharType="separate"/>
    </w:r>
    <w:r>
      <w:rPr>
        <w:rFonts w:ascii="仿宋_GB2312" w:eastAsia="仿宋_GB2312"/>
        <w:sz w:val="20"/>
        <w:lang w:val="zh-CN"/>
      </w:rPr>
      <w:t>1</w:t>
    </w:r>
    <w:r>
      <w:rPr>
        <w:rFonts w:hint="eastAsia" w:ascii="仿宋_GB2312" w:eastAsia="仿宋_GB2312"/>
        <w:sz w:val="20"/>
      </w:rPr>
      <w:fldChar w:fldCharType="end"/>
    </w:r>
    <w:r>
      <w:rPr>
        <w:rFonts w:hint="eastAsia" w:ascii="仿宋_GB2312" w:eastAsia="仿宋_GB2312"/>
        <w:sz w:val="20"/>
      </w:rPr>
      <w:t xml:space="preserve">—  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8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I0NDk4MmFjNzZhNmFiY2NhNzkzNTY5YjlkYjJiNjcifQ=="/>
  </w:docVars>
  <w:rsids>
    <w:rsidRoot w:val="00A154A7"/>
    <w:rsid w:val="0000097E"/>
    <w:rsid w:val="00015241"/>
    <w:rsid w:val="00034613"/>
    <w:rsid w:val="00034CDC"/>
    <w:rsid w:val="000374A5"/>
    <w:rsid w:val="00051CA2"/>
    <w:rsid w:val="00062A53"/>
    <w:rsid w:val="00063E22"/>
    <w:rsid w:val="000642C9"/>
    <w:rsid w:val="00066D6A"/>
    <w:rsid w:val="00067A5E"/>
    <w:rsid w:val="0007134C"/>
    <w:rsid w:val="000774BB"/>
    <w:rsid w:val="00097F94"/>
    <w:rsid w:val="000A3C6C"/>
    <w:rsid w:val="000B0229"/>
    <w:rsid w:val="000B3D45"/>
    <w:rsid w:val="000B6CD1"/>
    <w:rsid w:val="000B7EFF"/>
    <w:rsid w:val="000D244F"/>
    <w:rsid w:val="000D5968"/>
    <w:rsid w:val="000F326E"/>
    <w:rsid w:val="00104A33"/>
    <w:rsid w:val="00110808"/>
    <w:rsid w:val="00114185"/>
    <w:rsid w:val="0011561C"/>
    <w:rsid w:val="0013433B"/>
    <w:rsid w:val="001424CA"/>
    <w:rsid w:val="00156126"/>
    <w:rsid w:val="001666C7"/>
    <w:rsid w:val="00174C71"/>
    <w:rsid w:val="0017672D"/>
    <w:rsid w:val="00183EB8"/>
    <w:rsid w:val="0018769F"/>
    <w:rsid w:val="00187A7A"/>
    <w:rsid w:val="001910AE"/>
    <w:rsid w:val="001931F9"/>
    <w:rsid w:val="001958E1"/>
    <w:rsid w:val="001A041A"/>
    <w:rsid w:val="001A1F23"/>
    <w:rsid w:val="001A5BBB"/>
    <w:rsid w:val="001D0ABA"/>
    <w:rsid w:val="001D13A7"/>
    <w:rsid w:val="001E0028"/>
    <w:rsid w:val="001E34D0"/>
    <w:rsid w:val="001E5CDD"/>
    <w:rsid w:val="001E6D0E"/>
    <w:rsid w:val="002043B3"/>
    <w:rsid w:val="00215A4B"/>
    <w:rsid w:val="00215F02"/>
    <w:rsid w:val="002463C0"/>
    <w:rsid w:val="002525A3"/>
    <w:rsid w:val="0027702A"/>
    <w:rsid w:val="00283A7D"/>
    <w:rsid w:val="00290496"/>
    <w:rsid w:val="0029768F"/>
    <w:rsid w:val="002A26DA"/>
    <w:rsid w:val="002A5CAC"/>
    <w:rsid w:val="002A6E0D"/>
    <w:rsid w:val="002B18EC"/>
    <w:rsid w:val="002B2CB0"/>
    <w:rsid w:val="002B7DE5"/>
    <w:rsid w:val="002C2487"/>
    <w:rsid w:val="002C3E3A"/>
    <w:rsid w:val="002C3F04"/>
    <w:rsid w:val="002C554D"/>
    <w:rsid w:val="002D0F40"/>
    <w:rsid w:val="002D2C72"/>
    <w:rsid w:val="002D59D9"/>
    <w:rsid w:val="002E6A2D"/>
    <w:rsid w:val="002F09C1"/>
    <w:rsid w:val="002F609D"/>
    <w:rsid w:val="00310298"/>
    <w:rsid w:val="003155EB"/>
    <w:rsid w:val="00315601"/>
    <w:rsid w:val="00320BED"/>
    <w:rsid w:val="00322E68"/>
    <w:rsid w:val="0036630E"/>
    <w:rsid w:val="0037218C"/>
    <w:rsid w:val="003813AF"/>
    <w:rsid w:val="00395841"/>
    <w:rsid w:val="003A7392"/>
    <w:rsid w:val="003B246F"/>
    <w:rsid w:val="003B3B2E"/>
    <w:rsid w:val="003B5FE4"/>
    <w:rsid w:val="003B7A68"/>
    <w:rsid w:val="003C32EC"/>
    <w:rsid w:val="003D52A5"/>
    <w:rsid w:val="003E20C0"/>
    <w:rsid w:val="003F06FB"/>
    <w:rsid w:val="00404E43"/>
    <w:rsid w:val="004146BE"/>
    <w:rsid w:val="00423C67"/>
    <w:rsid w:val="00433853"/>
    <w:rsid w:val="00437A8D"/>
    <w:rsid w:val="004402FF"/>
    <w:rsid w:val="00461F31"/>
    <w:rsid w:val="00470266"/>
    <w:rsid w:val="00471C61"/>
    <w:rsid w:val="004738FB"/>
    <w:rsid w:val="00482185"/>
    <w:rsid w:val="00482BE9"/>
    <w:rsid w:val="004859BB"/>
    <w:rsid w:val="004A08AB"/>
    <w:rsid w:val="004A0BC2"/>
    <w:rsid w:val="004A2F40"/>
    <w:rsid w:val="004B0810"/>
    <w:rsid w:val="004B7063"/>
    <w:rsid w:val="004B7085"/>
    <w:rsid w:val="004C00DA"/>
    <w:rsid w:val="004C55F5"/>
    <w:rsid w:val="004C71A1"/>
    <w:rsid w:val="004C74E0"/>
    <w:rsid w:val="004D05AE"/>
    <w:rsid w:val="004D0C5C"/>
    <w:rsid w:val="004D5725"/>
    <w:rsid w:val="004D67B2"/>
    <w:rsid w:val="004E26A6"/>
    <w:rsid w:val="004F3EC8"/>
    <w:rsid w:val="004F4DCC"/>
    <w:rsid w:val="004F66E4"/>
    <w:rsid w:val="005000BD"/>
    <w:rsid w:val="00501FD3"/>
    <w:rsid w:val="005039AA"/>
    <w:rsid w:val="0051155C"/>
    <w:rsid w:val="005206C5"/>
    <w:rsid w:val="00541A8F"/>
    <w:rsid w:val="00552784"/>
    <w:rsid w:val="00560D29"/>
    <w:rsid w:val="005624F7"/>
    <w:rsid w:val="00565A13"/>
    <w:rsid w:val="005750C5"/>
    <w:rsid w:val="005774CF"/>
    <w:rsid w:val="00580A54"/>
    <w:rsid w:val="0058165D"/>
    <w:rsid w:val="00582CE3"/>
    <w:rsid w:val="0059180B"/>
    <w:rsid w:val="00591F39"/>
    <w:rsid w:val="00596263"/>
    <w:rsid w:val="005979F2"/>
    <w:rsid w:val="005A0800"/>
    <w:rsid w:val="005B53B7"/>
    <w:rsid w:val="005B7C7D"/>
    <w:rsid w:val="005E13DD"/>
    <w:rsid w:val="005F1F41"/>
    <w:rsid w:val="00601E61"/>
    <w:rsid w:val="00604620"/>
    <w:rsid w:val="00630E97"/>
    <w:rsid w:val="0067261F"/>
    <w:rsid w:val="00681965"/>
    <w:rsid w:val="00685B83"/>
    <w:rsid w:val="0068774B"/>
    <w:rsid w:val="0069117D"/>
    <w:rsid w:val="0069524E"/>
    <w:rsid w:val="00695847"/>
    <w:rsid w:val="006A0D74"/>
    <w:rsid w:val="006A16AA"/>
    <w:rsid w:val="006B7135"/>
    <w:rsid w:val="006F480F"/>
    <w:rsid w:val="00717396"/>
    <w:rsid w:val="00727B0F"/>
    <w:rsid w:val="00731CFE"/>
    <w:rsid w:val="00732A1C"/>
    <w:rsid w:val="007442E5"/>
    <w:rsid w:val="007571E6"/>
    <w:rsid w:val="0077465B"/>
    <w:rsid w:val="00776209"/>
    <w:rsid w:val="00780F97"/>
    <w:rsid w:val="00781265"/>
    <w:rsid w:val="007B697E"/>
    <w:rsid w:val="007C0768"/>
    <w:rsid w:val="007C315A"/>
    <w:rsid w:val="007C367F"/>
    <w:rsid w:val="007C5CD9"/>
    <w:rsid w:val="007D0D92"/>
    <w:rsid w:val="007D274D"/>
    <w:rsid w:val="007D6BD0"/>
    <w:rsid w:val="007E4A74"/>
    <w:rsid w:val="007F03AF"/>
    <w:rsid w:val="00800FA8"/>
    <w:rsid w:val="00802E02"/>
    <w:rsid w:val="00807F6E"/>
    <w:rsid w:val="00812993"/>
    <w:rsid w:val="008160F9"/>
    <w:rsid w:val="00821B61"/>
    <w:rsid w:val="008264E9"/>
    <w:rsid w:val="008313AD"/>
    <w:rsid w:val="00831DBA"/>
    <w:rsid w:val="00832955"/>
    <w:rsid w:val="008430E3"/>
    <w:rsid w:val="008664B1"/>
    <w:rsid w:val="00884218"/>
    <w:rsid w:val="00885F90"/>
    <w:rsid w:val="008A3188"/>
    <w:rsid w:val="008B2F0B"/>
    <w:rsid w:val="008B5ABF"/>
    <w:rsid w:val="008B7202"/>
    <w:rsid w:val="008D15AD"/>
    <w:rsid w:val="008E243D"/>
    <w:rsid w:val="00902951"/>
    <w:rsid w:val="00911BAB"/>
    <w:rsid w:val="00916637"/>
    <w:rsid w:val="00924F7E"/>
    <w:rsid w:val="00925785"/>
    <w:rsid w:val="0093009C"/>
    <w:rsid w:val="0094581E"/>
    <w:rsid w:val="009559DF"/>
    <w:rsid w:val="00956554"/>
    <w:rsid w:val="00972249"/>
    <w:rsid w:val="009A5273"/>
    <w:rsid w:val="009A5DB0"/>
    <w:rsid w:val="009A6328"/>
    <w:rsid w:val="009C3174"/>
    <w:rsid w:val="009C6BD2"/>
    <w:rsid w:val="009D0F11"/>
    <w:rsid w:val="009D7375"/>
    <w:rsid w:val="009E1361"/>
    <w:rsid w:val="009E52C1"/>
    <w:rsid w:val="009F7845"/>
    <w:rsid w:val="00A0029D"/>
    <w:rsid w:val="00A007FE"/>
    <w:rsid w:val="00A05EB6"/>
    <w:rsid w:val="00A07379"/>
    <w:rsid w:val="00A07784"/>
    <w:rsid w:val="00A10907"/>
    <w:rsid w:val="00A148E8"/>
    <w:rsid w:val="00A154A7"/>
    <w:rsid w:val="00A20545"/>
    <w:rsid w:val="00A21CBD"/>
    <w:rsid w:val="00A26F08"/>
    <w:rsid w:val="00A378D8"/>
    <w:rsid w:val="00A42F3F"/>
    <w:rsid w:val="00A52EC6"/>
    <w:rsid w:val="00A67C7E"/>
    <w:rsid w:val="00A9144C"/>
    <w:rsid w:val="00AA07A9"/>
    <w:rsid w:val="00AA08FD"/>
    <w:rsid w:val="00AA288D"/>
    <w:rsid w:val="00AC1DB7"/>
    <w:rsid w:val="00AC5BC4"/>
    <w:rsid w:val="00AC710A"/>
    <w:rsid w:val="00AE3F76"/>
    <w:rsid w:val="00B16045"/>
    <w:rsid w:val="00B26DFE"/>
    <w:rsid w:val="00B27A3D"/>
    <w:rsid w:val="00B40597"/>
    <w:rsid w:val="00B43A2B"/>
    <w:rsid w:val="00B56DD5"/>
    <w:rsid w:val="00B749E8"/>
    <w:rsid w:val="00B7566F"/>
    <w:rsid w:val="00B805CA"/>
    <w:rsid w:val="00BC45DA"/>
    <w:rsid w:val="00BC540D"/>
    <w:rsid w:val="00BE4729"/>
    <w:rsid w:val="00BE60E9"/>
    <w:rsid w:val="00BF35CE"/>
    <w:rsid w:val="00BF41C7"/>
    <w:rsid w:val="00C06715"/>
    <w:rsid w:val="00C2464E"/>
    <w:rsid w:val="00C324C7"/>
    <w:rsid w:val="00C342B7"/>
    <w:rsid w:val="00C36620"/>
    <w:rsid w:val="00C36894"/>
    <w:rsid w:val="00C4500C"/>
    <w:rsid w:val="00C45569"/>
    <w:rsid w:val="00C51090"/>
    <w:rsid w:val="00C51D81"/>
    <w:rsid w:val="00C5392E"/>
    <w:rsid w:val="00C60166"/>
    <w:rsid w:val="00C608F5"/>
    <w:rsid w:val="00C62AFB"/>
    <w:rsid w:val="00C7180A"/>
    <w:rsid w:val="00C74740"/>
    <w:rsid w:val="00C83292"/>
    <w:rsid w:val="00C900C0"/>
    <w:rsid w:val="00C97B20"/>
    <w:rsid w:val="00CA1202"/>
    <w:rsid w:val="00CB01EF"/>
    <w:rsid w:val="00CB5AF9"/>
    <w:rsid w:val="00CB7F3F"/>
    <w:rsid w:val="00CE2DEC"/>
    <w:rsid w:val="00CE67B9"/>
    <w:rsid w:val="00CE6B86"/>
    <w:rsid w:val="00CF20B3"/>
    <w:rsid w:val="00D120FA"/>
    <w:rsid w:val="00D67206"/>
    <w:rsid w:val="00D77B05"/>
    <w:rsid w:val="00D81D4C"/>
    <w:rsid w:val="00D85A49"/>
    <w:rsid w:val="00D91F72"/>
    <w:rsid w:val="00D9348E"/>
    <w:rsid w:val="00DA756F"/>
    <w:rsid w:val="00DB03F7"/>
    <w:rsid w:val="00DC1F0D"/>
    <w:rsid w:val="00DD01ED"/>
    <w:rsid w:val="00DD40A6"/>
    <w:rsid w:val="00DE3E18"/>
    <w:rsid w:val="00DE7437"/>
    <w:rsid w:val="00DF2FA0"/>
    <w:rsid w:val="00E04D72"/>
    <w:rsid w:val="00E04E93"/>
    <w:rsid w:val="00E06BF8"/>
    <w:rsid w:val="00E101BA"/>
    <w:rsid w:val="00E17384"/>
    <w:rsid w:val="00E17802"/>
    <w:rsid w:val="00E22DEE"/>
    <w:rsid w:val="00E24D78"/>
    <w:rsid w:val="00E3326F"/>
    <w:rsid w:val="00E4408A"/>
    <w:rsid w:val="00E55361"/>
    <w:rsid w:val="00E67B02"/>
    <w:rsid w:val="00E76532"/>
    <w:rsid w:val="00E82D75"/>
    <w:rsid w:val="00E910AC"/>
    <w:rsid w:val="00E92188"/>
    <w:rsid w:val="00EA763A"/>
    <w:rsid w:val="00EB24C2"/>
    <w:rsid w:val="00EB7E79"/>
    <w:rsid w:val="00EC1378"/>
    <w:rsid w:val="00ED38BE"/>
    <w:rsid w:val="00ED4A50"/>
    <w:rsid w:val="00EF1B52"/>
    <w:rsid w:val="00EF1E85"/>
    <w:rsid w:val="00EF626C"/>
    <w:rsid w:val="00EF6B71"/>
    <w:rsid w:val="00F06BDD"/>
    <w:rsid w:val="00F11411"/>
    <w:rsid w:val="00F20925"/>
    <w:rsid w:val="00F3263A"/>
    <w:rsid w:val="00F40A0C"/>
    <w:rsid w:val="00F445AA"/>
    <w:rsid w:val="00F767AD"/>
    <w:rsid w:val="00F81B7A"/>
    <w:rsid w:val="00F949D8"/>
    <w:rsid w:val="00FA5CEA"/>
    <w:rsid w:val="00FA5DBC"/>
    <w:rsid w:val="00FB129F"/>
    <w:rsid w:val="00FB2911"/>
    <w:rsid w:val="00FC2F44"/>
    <w:rsid w:val="00FC3334"/>
    <w:rsid w:val="00FC5B3C"/>
    <w:rsid w:val="00FD7218"/>
    <w:rsid w:val="00FD7289"/>
    <w:rsid w:val="00FF4D31"/>
    <w:rsid w:val="00FF7F0B"/>
    <w:rsid w:val="033F6241"/>
    <w:rsid w:val="09A92667"/>
    <w:rsid w:val="0A00672A"/>
    <w:rsid w:val="0A0A1357"/>
    <w:rsid w:val="0CEF6C81"/>
    <w:rsid w:val="0D63693B"/>
    <w:rsid w:val="0D912082"/>
    <w:rsid w:val="0E0D5C03"/>
    <w:rsid w:val="0EE7610B"/>
    <w:rsid w:val="118C3EF1"/>
    <w:rsid w:val="12293FA3"/>
    <w:rsid w:val="14DE1D5E"/>
    <w:rsid w:val="15516FD0"/>
    <w:rsid w:val="176E4B57"/>
    <w:rsid w:val="18A62B93"/>
    <w:rsid w:val="19FD4A34"/>
    <w:rsid w:val="1A051B3B"/>
    <w:rsid w:val="1B410951"/>
    <w:rsid w:val="1CA2512E"/>
    <w:rsid w:val="1D1F4CC2"/>
    <w:rsid w:val="1DBD07C4"/>
    <w:rsid w:val="1F1840BF"/>
    <w:rsid w:val="1F9E7857"/>
    <w:rsid w:val="20997668"/>
    <w:rsid w:val="22456F79"/>
    <w:rsid w:val="22E21CC0"/>
    <w:rsid w:val="278E4F1E"/>
    <w:rsid w:val="27E04CB6"/>
    <w:rsid w:val="28B86EB8"/>
    <w:rsid w:val="29BB5D72"/>
    <w:rsid w:val="29D46E34"/>
    <w:rsid w:val="2A131AB9"/>
    <w:rsid w:val="2A8C34AA"/>
    <w:rsid w:val="2BC0763F"/>
    <w:rsid w:val="2D483DC1"/>
    <w:rsid w:val="2E2A34C6"/>
    <w:rsid w:val="2E305B1F"/>
    <w:rsid w:val="2E6E5AA9"/>
    <w:rsid w:val="2E8C4181"/>
    <w:rsid w:val="2FA63021"/>
    <w:rsid w:val="33C60576"/>
    <w:rsid w:val="35B3351F"/>
    <w:rsid w:val="365B2DB7"/>
    <w:rsid w:val="37023283"/>
    <w:rsid w:val="3A712BA9"/>
    <w:rsid w:val="3B500720"/>
    <w:rsid w:val="3DDB3812"/>
    <w:rsid w:val="3E1E09BD"/>
    <w:rsid w:val="3F76656C"/>
    <w:rsid w:val="47EA4E0C"/>
    <w:rsid w:val="47EE0B9D"/>
    <w:rsid w:val="4B6E0A3F"/>
    <w:rsid w:val="4DF74D1B"/>
    <w:rsid w:val="4E3A4FB6"/>
    <w:rsid w:val="500951DA"/>
    <w:rsid w:val="51967151"/>
    <w:rsid w:val="524E5126"/>
    <w:rsid w:val="52570EFF"/>
    <w:rsid w:val="52B92EE7"/>
    <w:rsid w:val="55345162"/>
    <w:rsid w:val="582330AF"/>
    <w:rsid w:val="585F1E3B"/>
    <w:rsid w:val="5EFA0D0D"/>
    <w:rsid w:val="5F451EBA"/>
    <w:rsid w:val="5FE22262"/>
    <w:rsid w:val="650C6EA7"/>
    <w:rsid w:val="65590CCC"/>
    <w:rsid w:val="65B17A4E"/>
    <w:rsid w:val="66467C7B"/>
    <w:rsid w:val="6700305F"/>
    <w:rsid w:val="6773145F"/>
    <w:rsid w:val="67A15756"/>
    <w:rsid w:val="67B12B8E"/>
    <w:rsid w:val="68B7537B"/>
    <w:rsid w:val="68C458EF"/>
    <w:rsid w:val="6A0351F7"/>
    <w:rsid w:val="6F9D2818"/>
    <w:rsid w:val="70031682"/>
    <w:rsid w:val="72231CD3"/>
    <w:rsid w:val="73836ECE"/>
    <w:rsid w:val="73B71131"/>
    <w:rsid w:val="75157FF9"/>
    <w:rsid w:val="758F47A0"/>
    <w:rsid w:val="788039DC"/>
    <w:rsid w:val="78872AD1"/>
    <w:rsid w:val="7CD9190C"/>
    <w:rsid w:val="7DC46119"/>
    <w:rsid w:val="7FDD34C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39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0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qFormat="1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qFormat="1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0"/>
    <w:pPr>
      <w:autoSpaceDE w:val="0"/>
      <w:autoSpaceDN w:val="0"/>
      <w:adjustRightInd w:val="0"/>
      <w:spacing w:beforeLines="0" w:afterLines="0"/>
      <w:ind w:left="420" w:firstLine="420"/>
      <w:jc w:val="left"/>
    </w:pPr>
    <w:rPr>
      <w:rFonts w:hint="eastAsia" w:ascii="Calibri" w:hAnsi="Calibri" w:eastAsia="Calibri"/>
      <w:kern w:val="0"/>
      <w:sz w:val="30"/>
    </w:rPr>
  </w:style>
  <w:style w:type="paragraph" w:styleId="3">
    <w:name w:val="Body Text Indent"/>
    <w:basedOn w:val="1"/>
    <w:next w:val="1"/>
    <w:unhideWhenUsed/>
    <w:qFormat/>
    <w:uiPriority w:val="0"/>
    <w:pPr>
      <w:spacing w:beforeLines="0" w:afterLines="0"/>
      <w:ind w:firstLine="480"/>
    </w:pPr>
    <w:rPr>
      <w:rFonts w:hint="default" w:ascii="宋体"/>
      <w:sz w:val="30"/>
    </w:rPr>
  </w:style>
  <w:style w:type="paragraph" w:styleId="4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toc 1"/>
    <w:basedOn w:val="1"/>
    <w:next w:val="1"/>
    <w:qFormat/>
    <w:locked/>
    <w:uiPriority w:val="39"/>
  </w:style>
  <w:style w:type="paragraph" w:customStyle="1" w:styleId="10">
    <w:name w:val="正文文字缩进"/>
    <w:qFormat/>
    <w:uiPriority w:val="99"/>
    <w:pPr>
      <w:spacing w:line="351" w:lineRule="atLeast"/>
      <w:ind w:firstLine="555"/>
    </w:pPr>
    <w:rPr>
      <w:rFonts w:ascii="Times New Roman" w:hAnsi="Times New Roman" w:eastAsia="宋体" w:cs="Times New Roman"/>
      <w:color w:val="000000"/>
      <w:sz w:val="28"/>
      <w:u w:color="000000"/>
      <w:lang w:val="en-US" w:eastAsia="zh-CN" w:bidi="ar-SA"/>
    </w:rPr>
  </w:style>
  <w:style w:type="character" w:customStyle="1" w:styleId="11">
    <w:name w:val="页眉 Char"/>
    <w:basedOn w:val="9"/>
    <w:link w:val="6"/>
    <w:qFormat/>
    <w:locked/>
    <w:uiPriority w:val="99"/>
    <w:rPr>
      <w:rFonts w:cs="Times New Roman"/>
      <w:sz w:val="18"/>
      <w:szCs w:val="18"/>
    </w:rPr>
  </w:style>
  <w:style w:type="character" w:customStyle="1" w:styleId="12">
    <w:name w:val="页脚 Char"/>
    <w:basedOn w:val="9"/>
    <w:link w:val="5"/>
    <w:qFormat/>
    <w:locked/>
    <w:uiPriority w:val="99"/>
    <w:rPr>
      <w:rFonts w:cs="Times New Roman"/>
      <w:sz w:val="18"/>
      <w:szCs w:val="18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  <w:style w:type="character" w:customStyle="1" w:styleId="14">
    <w:name w:val="批注框文本 Char"/>
    <w:basedOn w:val="9"/>
    <w:link w:val="4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83A3FB-BA0D-4208-8597-8B4C1D21BC4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1331</Words>
  <Characters>1375</Characters>
  <Lines>18</Lines>
  <Paragraphs>5</Paragraphs>
  <TotalTime>1</TotalTime>
  <ScaleCrop>false</ScaleCrop>
  <LinksUpToDate>false</LinksUpToDate>
  <CharactersWithSpaces>1378</CharactersWithSpaces>
  <Application>WPS Office_11.8.6.11825_F1E327BC-269C-435d-A152-05C5408002CA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2021-10-13T01:35:00Z</dcterms:created>
  <dc:creator>微软用户</dc:creator>
  <cp:lastModifiedBy>木木峥</cp:lastModifiedBy>
  <cp:lastPrinted>2020-03-12T09:17:00Z</cp:lastPrinted>
  <dcterms:modified xsi:type="dcterms:W3CDTF">2023-06-16T07:05:14Z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2052-11.8.6.11825</vt:lpwstr>
  </property>
  <property fmtid="{D5CDD505-2E9C-101B-9397-08002B2CF9AE}" pid="3" name="ICV">
    <vt:lpwstr>949309CEB7FD4600821B803EEFF85793</vt:lpwstr>
  </property>
</Properties>
</file>