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环境监测技术服务要求</w:t>
      </w:r>
    </w:p>
    <w:p>
      <w:pPr>
        <w:shd w:val="solid" w:color="FFFFFF" w:fill="auto"/>
        <w:autoSpaceDN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hd w:val="solid" w:color="FFFFFF" w:fill="auto"/>
        <w:autoSpaceDN w:val="0"/>
        <w:spacing w:line="40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检测服务项目名称：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湖南岳阳绿色化工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高新技术产业开发区</w:t>
      </w:r>
      <w:r>
        <w:rPr>
          <w:rFonts w:hint="eastAsia" w:ascii="仿宋" w:hAnsi="仿宋" w:eastAsia="仿宋" w:cs="仿宋"/>
          <w:sz w:val="32"/>
          <w:szCs w:val="32"/>
          <w:u w:val="single"/>
        </w:rPr>
        <w:t>环境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监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技术服务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 xml:space="preserve"> </w:t>
      </w: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二、监</w:t>
      </w:r>
      <w:r>
        <w:rPr>
          <w:rFonts w:hint="eastAsia" w:ascii="仿宋" w:hAnsi="仿宋" w:eastAsia="仿宋" w:cs="仿宋"/>
          <w:sz w:val="32"/>
          <w:szCs w:val="32"/>
        </w:rPr>
        <w:t>测服务类别：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年度日常环境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监测 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u w:val="single"/>
        </w:rPr>
        <w:t>应急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监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三、监</w:t>
      </w:r>
      <w:r>
        <w:rPr>
          <w:rFonts w:hint="eastAsia" w:ascii="仿宋" w:hAnsi="仿宋" w:eastAsia="仿宋" w:cs="仿宋"/>
          <w:sz w:val="32"/>
          <w:szCs w:val="32"/>
        </w:rPr>
        <w:t>测服务时间：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bCs/>
          <w:sz w:val="32"/>
          <w:szCs w:val="32"/>
        </w:rPr>
        <w:t>日至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32"/>
          <w:szCs w:val="32"/>
        </w:rPr>
        <w:t>日。</w:t>
      </w: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</w:rPr>
        <w:t>检测内容及检测频次：</w:t>
      </w: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年度日常环境内容及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监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测频次：</w:t>
      </w:r>
      <w:r>
        <w:rPr>
          <w:rFonts w:hint="eastAsia" w:ascii="仿宋" w:hAnsi="仿宋" w:eastAsia="仿宋" w:cs="仿宋"/>
          <w:bCs/>
          <w:sz w:val="32"/>
          <w:szCs w:val="32"/>
        </w:rPr>
        <w:t>按附件1《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湖南岳阳绿色化工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高新技术产业开发区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年日常环境监测方案</w:t>
      </w:r>
      <w:r>
        <w:rPr>
          <w:rFonts w:hint="eastAsia" w:ascii="仿宋" w:hAnsi="仿宋" w:eastAsia="仿宋" w:cs="仿宋"/>
          <w:bCs/>
          <w:sz w:val="32"/>
          <w:szCs w:val="32"/>
        </w:rPr>
        <w:t>》（以下简称“监测方案”）执行。</w:t>
      </w: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u w:val="single"/>
        </w:rPr>
        <w:t>应急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监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测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内容及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监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测频次:乙方按甲方电话通知执行。</w:t>
      </w: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Cs/>
          <w:sz w:val="32"/>
          <w:szCs w:val="32"/>
        </w:rPr>
        <w:t>成果要求：乙方完成每次采样和检测后，向甲方提供以下成果：</w:t>
      </w: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</w:rPr>
        <w:t>提供有效的检测报告，每次检测报告数量为2份。</w:t>
      </w: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提供报告的时间要求为：</w:t>
      </w: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年度日常环境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监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测的</w:t>
      </w:r>
      <w:r>
        <w:rPr>
          <w:rFonts w:hint="eastAsia" w:ascii="仿宋" w:hAnsi="仿宋" w:eastAsia="仿宋" w:cs="仿宋"/>
          <w:bCs/>
          <w:sz w:val="32"/>
          <w:szCs w:val="32"/>
        </w:rPr>
        <w:t>月度报告为下月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15</w:t>
      </w:r>
      <w:r>
        <w:rPr>
          <w:rFonts w:hint="eastAsia" w:ascii="仿宋" w:hAnsi="仿宋" w:eastAsia="仿宋" w:cs="仿宋"/>
          <w:bCs/>
          <w:sz w:val="32"/>
          <w:szCs w:val="32"/>
        </w:rPr>
        <w:t>日前，季度报告为下季度的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首</w:t>
      </w:r>
      <w:r>
        <w:rPr>
          <w:rFonts w:hint="eastAsia" w:ascii="仿宋" w:hAnsi="仿宋" w:eastAsia="仿宋" w:cs="仿宋"/>
          <w:bCs/>
          <w:sz w:val="32"/>
          <w:szCs w:val="32"/>
        </w:rPr>
        <w:t>月的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15</w:t>
      </w:r>
      <w:r>
        <w:rPr>
          <w:rFonts w:hint="eastAsia" w:ascii="仿宋" w:hAnsi="仿宋" w:eastAsia="仿宋" w:cs="仿宋"/>
          <w:bCs/>
          <w:sz w:val="32"/>
          <w:szCs w:val="32"/>
        </w:rPr>
        <w:t>日前。</w:t>
      </w: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（2）应急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检</w:t>
      </w:r>
      <w:r>
        <w:rPr>
          <w:rFonts w:hint="eastAsia" w:ascii="仿宋" w:hAnsi="仿宋" w:eastAsia="仿宋" w:cs="仿宋"/>
          <w:bCs/>
          <w:sz w:val="32"/>
          <w:szCs w:val="32"/>
        </w:rPr>
        <w:t>测报告的提交时间：根据甲方的要求和实际情况双方另行商定。</w:t>
      </w:r>
    </w:p>
    <w:p>
      <w:pPr>
        <w:spacing w:before="62" w:beforeLines="20"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>
      <w:pPr>
        <w:spacing w:before="62" w:beforeLines="20" w:line="58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>
      <w:pPr>
        <w:spacing w:before="62" w:beforeLines="20" w:line="58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>
      <w:pPr>
        <w:spacing w:before="62" w:beforeLines="20" w:line="58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>
      <w:pPr>
        <w:spacing w:before="62" w:beforeLines="20" w:line="58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>
      <w:pPr>
        <w:spacing w:before="62" w:beforeLines="20" w:line="58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>
      <w:pPr>
        <w:spacing w:before="62" w:beforeLines="20" w:line="58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>
      <w:pPr>
        <w:spacing w:before="62" w:beforeLines="20" w:line="58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附件1</w:t>
      </w:r>
    </w:p>
    <w:p>
      <w:pPr>
        <w:spacing w:before="62" w:beforeLines="20"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2022年湖南岳阳绿色化工高新技术产业开发区环境监测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方案</w:t>
      </w:r>
    </w:p>
    <w:tbl>
      <w:tblPr>
        <w:tblStyle w:val="3"/>
        <w:tblW w:w="10110" w:type="dxa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75"/>
        <w:gridCol w:w="2220"/>
        <w:gridCol w:w="1074"/>
        <w:gridCol w:w="4131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要素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监测点设置要求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点位个数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监测项目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监测频次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空气环境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云溪片区、长岭片区、胜利小区共计5个监测点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5个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>2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、NOx、PM</w:t>
            </w:r>
            <w:r>
              <w:rPr>
                <w:rStyle w:val="6"/>
                <w:rFonts w:hint="default" w:ascii="仿宋_GB2312" w:hAnsi="仿宋_GB2312" w:eastAsia="仿宋_GB2312" w:cs="仿宋_GB2312"/>
                <w:vertAlign w:val="subscript"/>
                <w:lang w:bidi="ar"/>
              </w:rPr>
              <w:t>10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、PM</w:t>
            </w:r>
            <w:r>
              <w:rPr>
                <w:rStyle w:val="6"/>
                <w:rFonts w:hint="default" w:ascii="仿宋_GB2312" w:hAnsi="仿宋_GB2312" w:eastAsia="仿宋_GB2312" w:cs="仿宋_GB2312"/>
                <w:vertAlign w:val="subscript"/>
                <w:lang w:bidi="ar"/>
              </w:rPr>
              <w:t>2.5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、臭氧、CO、H</w:t>
            </w: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>2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S、NH</w:t>
            </w: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>3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、非甲烷总烃、氯化氢、甲苯、二甲苯、苯酚、TVOC、苯胺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2次/年，冬夏各一次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水环境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云溪片区、长岭片区排污口上游500米，下游500米、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4个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温、pH值、色度、悬浮物、溶解氧、高锰酸盐指数、化学需氧量、五日生化需氧量、氨氮、总氮、甲苯、二甲苯、苯胺、总磷、石油类、挥发酚、阴离子表面活性剂、硫化物、粪大肠菌群、氰化物、铜、镉、铁、砷、锌、铅、汞、六价铬、锰等29项监测因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每年枯水期、平水期、丰水期各1次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雨水排口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12个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pH值、化学需氧量、五日生化需氧量、氨氮、总氮、甲苯、二甲苯、苯胺、总磷、石油类、挥发酚、硫化物等12项监测因子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1次/季度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渗水点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2个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pH值、COD、氨氮、石油类、总磷、总氮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1次/月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地下水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云溪片区地下水上游、下游、云溪片区范围内、长岭片区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14个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K</w:t>
            </w:r>
            <w:r>
              <w:rPr>
                <w:rStyle w:val="7"/>
                <w:rFonts w:hint="default" w:ascii="仿宋_GB2312" w:hAnsi="仿宋_GB2312" w:eastAsia="仿宋_GB2312" w:cs="仿宋_GB2312"/>
                <w:lang w:bidi="ar"/>
              </w:rPr>
              <w:t>+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、Na</w:t>
            </w:r>
            <w:r>
              <w:rPr>
                <w:rStyle w:val="7"/>
                <w:rFonts w:hint="default" w:ascii="仿宋_GB2312" w:hAnsi="仿宋_GB2312" w:eastAsia="仿宋_GB2312" w:cs="仿宋_GB2312"/>
                <w:lang w:bidi="ar"/>
              </w:rPr>
              <w:t>+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、Ca</w:t>
            </w:r>
            <w:r>
              <w:rPr>
                <w:rStyle w:val="7"/>
                <w:rFonts w:hint="default" w:ascii="仿宋_GB2312" w:hAnsi="仿宋_GB2312" w:eastAsia="仿宋_GB2312" w:cs="仿宋_GB2312"/>
                <w:lang w:bidi="ar"/>
              </w:rPr>
              <w:t>2+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、Mg</w:t>
            </w:r>
            <w:r>
              <w:rPr>
                <w:rStyle w:val="7"/>
                <w:rFonts w:hint="default" w:ascii="仿宋_GB2312" w:hAnsi="仿宋_GB2312" w:eastAsia="仿宋_GB2312" w:cs="仿宋_GB2312"/>
                <w:lang w:bidi="ar"/>
              </w:rPr>
              <w:t>2+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、CO</w:t>
            </w: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>3</w:t>
            </w:r>
            <w:r>
              <w:rPr>
                <w:rStyle w:val="7"/>
                <w:rFonts w:hint="default" w:ascii="仿宋_GB2312" w:hAnsi="仿宋_GB2312" w:eastAsia="仿宋_GB2312" w:cs="仿宋_GB2312"/>
                <w:lang w:bidi="ar"/>
              </w:rPr>
              <w:t>2-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、HCO</w:t>
            </w: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>3</w:t>
            </w:r>
            <w:r>
              <w:rPr>
                <w:rStyle w:val="7"/>
                <w:rFonts w:hint="default" w:ascii="仿宋_GB2312" w:hAnsi="仿宋_GB2312" w:eastAsia="仿宋_GB2312" w:cs="仿宋_GB2312"/>
                <w:lang w:bidi="ar"/>
              </w:rPr>
              <w:t>-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、Cl</w:t>
            </w:r>
            <w:r>
              <w:rPr>
                <w:rStyle w:val="7"/>
                <w:rFonts w:hint="default" w:ascii="仿宋_GB2312" w:hAnsi="仿宋_GB2312" w:eastAsia="仿宋_GB2312" w:cs="仿宋_GB2312"/>
                <w:lang w:bidi="ar"/>
              </w:rPr>
              <w:t>-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和SO</w:t>
            </w: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>4</w:t>
            </w:r>
            <w:r>
              <w:rPr>
                <w:rStyle w:val="7"/>
                <w:rFonts w:hint="default" w:ascii="仿宋_GB2312" w:hAnsi="仿宋_GB2312" w:eastAsia="仿宋_GB2312" w:cs="仿宋_GB2312"/>
                <w:lang w:bidi="ar"/>
              </w:rPr>
              <w:t>2-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基本水质因子及特殊因子:pH、耗氧量、NH</w:t>
            </w: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>3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-N、挥发性酚类、硝酸盐、亚硝酸盐、总大肠杆菌群、总硬度、Cu、As、Hg、Cr</w:t>
            </w:r>
            <w:r>
              <w:rPr>
                <w:rStyle w:val="7"/>
                <w:rFonts w:hint="default" w:ascii="仿宋_GB2312" w:hAnsi="仿宋_GB2312" w:eastAsia="仿宋_GB2312" w:cs="仿宋_GB2312"/>
                <w:lang w:bidi="ar"/>
              </w:rPr>
              <w:t>6+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、Pb、Mn、Cd、Fe、氟化物、氰化物、甲苯、苯、二氯丙烷、石油类、溶解性总固体。同时监测地下水水位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半年/次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声环境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主要交通干线两侧、工业用地各边界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8个（两片区四周）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等效连续A声级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半年/次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土  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各片区上、下风向各设一个监测点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4个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pH、镉、汞、砷、铅、铬、铜、镍、锌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1次/年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各片区区内建设用地设一个点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2个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GB36600——2018表1中的基本项目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1次/年</w:t>
            </w:r>
          </w:p>
        </w:tc>
      </w:tr>
    </w:tbl>
    <w:p>
      <w:pPr>
        <w:spacing w:before="62" w:beforeLines="20" w:line="580" w:lineRule="exact"/>
        <w:rPr>
          <w:rFonts w:hint="default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附件2</w:t>
      </w:r>
    </w:p>
    <w:p>
      <w:pPr>
        <w:spacing w:before="62" w:beforeLines="20"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湖南岳阳绿色化工产业园环境应急监测分项报价表</w:t>
      </w:r>
    </w:p>
    <w:tbl>
      <w:tblPr>
        <w:tblStyle w:val="3"/>
        <w:tblW w:w="90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4526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检测类别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检测项目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空气环境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SO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  <w:lang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NOx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  <w:lang w:bidi="ar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  <w:lang w:bidi="ar"/>
              </w:rPr>
              <w:t>2.5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臭氧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CO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NH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  <w:lang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非甲烷总烃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氯化氢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甲苯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二甲苯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苯酚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TVOC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苯胺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排污口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pH值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色度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悬浮物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溶解氧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高锰酸盐指数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化学需氧量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五日生化需氧量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氨氮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总氮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甲苯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二甲苯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苯胺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总磷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石油类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挥发酚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阴离子表面活性剂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硫化物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粪大肠菌群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氰化物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铅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六价铬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雨水排口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pH值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化学需氧量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五日生化需氧量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氨氮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总氮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甲苯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二甲苯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苯胺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总磷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石油类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挥发酚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硫化物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地下水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K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  <w:lang w:bidi="ar"/>
              </w:rPr>
              <w:t>+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  <w:lang w:bidi="ar"/>
              </w:rPr>
              <w:t>+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Ca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  <w:lang w:bidi="ar"/>
              </w:rPr>
              <w:t>2+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Mg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  <w:lang w:bidi="ar"/>
              </w:rPr>
              <w:t>2+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CO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  <w:lang w:bidi="ar"/>
              </w:rPr>
              <w:t>2-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HCO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  <w:lang w:bidi="ar"/>
              </w:rPr>
              <w:t>-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Cl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  <w:lang w:bidi="ar"/>
              </w:rPr>
              <w:t>-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SO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  <w:lang w:bidi="ar"/>
              </w:rPr>
              <w:t>2-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pH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耗氧量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NH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-N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挥发性酚类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硝酸盐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亚硝酸盐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总大肠杆菌群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总硬度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Cu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As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Hg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Cr6+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Pb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Cd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Fe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氟化物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氰化物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甲苯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二氯丙烷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石油类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溶解性总固体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地下水水位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可吸附有机卤代物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声环境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等效连续A声级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土  壤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PH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铅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铬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铬（六价）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铅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四氯化碳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氯仿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氯甲烷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1,1-二氯乙烷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1,2-二氯乙烷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1,1-二氯乙烯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顺-1,2-二氯乙烯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反-1,2-二氯乙烯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二氯甲烷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1,2-二氯丙烷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1,1,1,2-四氯乙烷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1,1,2,2-四氯乙烷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四氯乙烯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1,1,1-三氯乙烷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1,1,2-三氯乙烷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三氯乙烯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1,2,3-三氯丙烷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氯乙烯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氯苯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1,2-二氯苯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1,4-二氯苯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乙苯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苯乙烯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甲苯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间二甲苯+对二甲苯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邻二甲苯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硝基苯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苯胺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2-氯酚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苯并[a]蒽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苯并[a]芘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苯并[b]荧蒽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苯并[k]荧蒽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䓛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二苯并[a,h]蒽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茚并[1,2,3-cd]芘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萘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土壤采样费（深度≤0.15米）（元/样）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土壤采样费（0.15米＜深度≤0.5米）（元/样）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土壤采样费（深度＞0.5米）（元/样）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土壤样品制备费（元/样）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地下水前处理费（元/样）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土壤样品前处理费（元/样·项）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采样车辆费（元/台/天）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采样人工费（元/人/天）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单独需要的 报告编制费（一式2份）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before="62" w:beforeLines="20" w:line="580" w:lineRule="exact"/>
        <w:rPr>
          <w:rFonts w:ascii="宋体" w:hAnsi="宋体" w:cs="宋体"/>
          <w:bCs/>
          <w:sz w:val="28"/>
          <w:szCs w:val="28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NDEwZWFhODY3NmNiODAzZjIzNDA4MTA4YjU1MWQifQ=="/>
  </w:docVars>
  <w:rsids>
    <w:rsidRoot w:val="00000000"/>
    <w:rsid w:val="011348FE"/>
    <w:rsid w:val="02657731"/>
    <w:rsid w:val="0691085B"/>
    <w:rsid w:val="0F405A07"/>
    <w:rsid w:val="0FE8038D"/>
    <w:rsid w:val="10DE6F60"/>
    <w:rsid w:val="153E29FE"/>
    <w:rsid w:val="1C3F5987"/>
    <w:rsid w:val="1C406AD2"/>
    <w:rsid w:val="1F2426DB"/>
    <w:rsid w:val="20AC18F8"/>
    <w:rsid w:val="32275815"/>
    <w:rsid w:val="34367069"/>
    <w:rsid w:val="34C13400"/>
    <w:rsid w:val="362058DB"/>
    <w:rsid w:val="38C92B50"/>
    <w:rsid w:val="3A63223A"/>
    <w:rsid w:val="3DFE308E"/>
    <w:rsid w:val="3F013D16"/>
    <w:rsid w:val="41EC520B"/>
    <w:rsid w:val="47A10846"/>
    <w:rsid w:val="4BE3142D"/>
    <w:rsid w:val="4D3A4CFE"/>
    <w:rsid w:val="4EFA2326"/>
    <w:rsid w:val="4EFB6A8D"/>
    <w:rsid w:val="53B13BBE"/>
    <w:rsid w:val="54FE53EA"/>
    <w:rsid w:val="56E72D34"/>
    <w:rsid w:val="5F4C04C3"/>
    <w:rsid w:val="619E1C26"/>
    <w:rsid w:val="665211C0"/>
    <w:rsid w:val="712832BA"/>
    <w:rsid w:val="727B0FD2"/>
    <w:rsid w:val="78944344"/>
    <w:rsid w:val="7E93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1561</Words>
  <Characters>1810</Characters>
  <Lines>0</Lines>
  <Paragraphs>0</Paragraphs>
  <TotalTime>43</TotalTime>
  <ScaleCrop>false</ScaleCrop>
  <LinksUpToDate>false</LinksUpToDate>
  <CharactersWithSpaces>1824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2022-07-07T03:22:00Z</dcterms:created>
  <dc:creator>Administrator</dc:creator>
  <cp:lastModifiedBy>阳光海岸</cp:lastModifiedBy>
  <dcterms:modified xsi:type="dcterms:W3CDTF">2022-07-14T02:32:19Z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92A4015D347C4BF8BA306E625497AB24</vt:lpwstr>
  </property>
</Properties>
</file>