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460" w:lineRule="exact"/>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_GB2312" w:hAnsi="仿宋_GB2312" w:eastAsia="仿宋_GB2312" w:cs="仿宋_GB2312"/>
          <w:b/>
          <w:bCs/>
          <w:color w:val="000000" w:themeColor="text1"/>
          <w:sz w:val="36"/>
          <w:szCs w:val="36"/>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lang w:val="en-US" w:eastAsia="zh-CN"/>
          <w14:textFill>
            <w14:solidFill>
              <w14:schemeClr w14:val="tx1"/>
            </w14:solidFill>
          </w14:textFill>
        </w:rPr>
        <w:t>衡阳县10座小型水库大坝安全鉴定报告编制项目</w:t>
      </w:r>
    </w:p>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_GB2312" w:hAnsi="仿宋_GB2312" w:eastAsia="仿宋_GB2312" w:cs="仿宋_GB2312"/>
          <w:b/>
          <w:bCs/>
          <w:color w:val="000000" w:themeColor="text1"/>
          <w:sz w:val="36"/>
          <w:szCs w:val="36"/>
          <w:highlight w:val="none"/>
          <w14:textFill>
            <w14:solidFill>
              <w14:schemeClr w14:val="tx1"/>
            </w14:solidFill>
          </w14:textFill>
        </w:rPr>
      </w:pPr>
      <w:r>
        <w:rPr>
          <w:rFonts w:hint="eastAsia" w:ascii="仿宋_GB2312" w:hAnsi="仿宋_GB2312" w:eastAsia="仿宋_GB2312" w:cs="仿宋_GB2312"/>
          <w:b/>
          <w:bCs/>
          <w:color w:val="000000" w:themeColor="text1"/>
          <w:sz w:val="36"/>
          <w:szCs w:val="36"/>
          <w:highlight w:val="none"/>
          <w14:textFill>
            <w14:solidFill>
              <w14:schemeClr w14:val="tx1"/>
            </w14:solidFill>
          </w14:textFill>
        </w:rPr>
        <w:t>采购需求</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60" w:lineRule="exact"/>
        <w:ind w:firstLine="482" w:firstLineChars="200"/>
        <w:jc w:val="both"/>
        <w:textAlignment w:val="auto"/>
        <w:rPr>
          <w:rFonts w:hint="eastAsia" w:ascii="仿宋_GB2312" w:hAnsi="仿宋_GB2312" w:eastAsia="仿宋_GB2312" w:cs="仿宋_GB2312"/>
          <w:b/>
          <w:bCs/>
          <w:color w:val="000000"/>
          <w:kern w:val="0"/>
          <w:sz w:val="24"/>
          <w:szCs w:val="24"/>
          <w:highlight w:val="none"/>
          <w:lang w:val="en-US" w:eastAsia="zh-CN" w:bidi="ar-SA"/>
        </w:rPr>
      </w:pPr>
      <w:r>
        <w:rPr>
          <w:rFonts w:hint="eastAsia" w:ascii="仿宋_GB2312" w:hAnsi="仿宋_GB2312" w:eastAsia="仿宋_GB2312" w:cs="仿宋_GB2312"/>
          <w:b/>
          <w:bCs/>
          <w:color w:val="000000"/>
          <w:kern w:val="0"/>
          <w:sz w:val="24"/>
          <w:szCs w:val="24"/>
          <w:highlight w:val="none"/>
          <w:lang w:val="en-US" w:eastAsia="zh-CN" w:bidi="ar-SA"/>
        </w:rPr>
        <w:t>一、采购项目基本情况</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60" w:lineRule="exact"/>
        <w:ind w:left="0" w:leftChars="0" w:firstLine="360" w:firstLineChars="150"/>
        <w:jc w:val="both"/>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1.1名称:</w:t>
      </w:r>
      <w:bookmarkStart w:id="0" w:name="_Toc20651235"/>
      <w:r>
        <w:rPr>
          <w:rFonts w:hint="eastAsia" w:ascii="仿宋_GB2312" w:hAnsi="仿宋_GB2312" w:eastAsia="仿宋_GB2312" w:cs="仿宋_GB2312"/>
          <w:b w:val="0"/>
          <w:bCs w:val="0"/>
          <w:color w:val="000000"/>
          <w:kern w:val="0"/>
          <w:sz w:val="24"/>
          <w:szCs w:val="24"/>
          <w:highlight w:val="none"/>
          <w:lang w:val="en-US" w:eastAsia="zh-CN" w:bidi="ar-SA"/>
        </w:rPr>
        <w:t xml:space="preserve"> 衡阳县10座小型水库大坝安全鉴定报告编制项目</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60" w:lineRule="exact"/>
        <w:ind w:left="0" w:leftChars="0" w:firstLine="360" w:firstLineChars="150"/>
        <w:jc w:val="both"/>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1.2编制内容：衡阳县10座小型水库大坝安全鉴定报告编制项目</w:t>
      </w:r>
      <w:r>
        <w:rPr>
          <w:rFonts w:hint="eastAsia" w:ascii="仿宋_GB2312" w:hAnsi="仿宋_GB2312" w:eastAsia="仿宋_GB2312" w:cs="仿宋_GB2312"/>
          <w:b w:val="0"/>
          <w:bCs w:val="0"/>
          <w:color w:val="000000"/>
          <w:kern w:val="0"/>
          <w:sz w:val="24"/>
          <w:szCs w:val="24"/>
          <w:highlight w:val="none"/>
          <w:lang w:val="en-US" w:eastAsia="zh-CN" w:bidi="ar-SA"/>
        </w:rPr>
        <w:t>包括衡阳县琵琶水库、尹祠水库、龙上水库、清水塘水库、东塘水库、丰山水库、玉家水库、德声水库、川塘水库、古塘水库等10座水库，承担水库大坝安全评价报告、安全鉴定报告书编制工作，含工程质量评价、大坝运行管理评价、防洪标准复核、大坝结构安全、稳定评价、渗流安全评价、抗震安全复核、金属结构安全评价和大坝安全综合评价等。</w:t>
      </w:r>
    </w:p>
    <w:p>
      <w:pPr>
        <w:pStyle w:val="13"/>
        <w:keepNext w:val="0"/>
        <w:keepLines w:val="0"/>
        <w:pageBreakBefore w:val="0"/>
        <w:widowControl w:val="0"/>
        <w:numPr>
          <w:ilvl w:val="0"/>
          <w:numId w:val="0"/>
        </w:numPr>
        <w:kinsoku/>
        <w:wordWrap/>
        <w:overflowPunct/>
        <w:topLinePunct w:val="0"/>
        <w:autoSpaceDE/>
        <w:autoSpaceDN/>
        <w:bidi w:val="0"/>
        <w:spacing w:after="0" w:line="460" w:lineRule="exact"/>
        <w:ind w:left="0" w:leftChars="0" w:firstLine="360" w:firstLineChars="150"/>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1.3质量要求：</w:t>
      </w:r>
      <w:bookmarkEnd w:id="0"/>
      <w:r>
        <w:rPr>
          <w:rFonts w:hint="eastAsia" w:ascii="仿宋_GB2312" w:hAnsi="仿宋_GB2312" w:eastAsia="仿宋_GB2312" w:cs="仿宋_GB2312"/>
          <w:b w:val="0"/>
          <w:bCs w:val="0"/>
          <w:color w:val="000000"/>
          <w:kern w:val="0"/>
          <w:sz w:val="24"/>
          <w:szCs w:val="24"/>
          <w:highlight w:val="none"/>
          <w:lang w:val="en-US" w:eastAsia="zh-CN" w:bidi="ar-SA"/>
        </w:rPr>
        <w:t>成果要符合国家、地方或行业设计规范并通过相关部门审查。</w:t>
      </w:r>
    </w:p>
    <w:p>
      <w:pPr>
        <w:pStyle w:val="13"/>
        <w:keepNext w:val="0"/>
        <w:keepLines w:val="0"/>
        <w:pageBreakBefore w:val="0"/>
        <w:widowControl w:val="0"/>
        <w:numPr>
          <w:ilvl w:val="0"/>
          <w:numId w:val="0"/>
        </w:numPr>
        <w:kinsoku/>
        <w:wordWrap/>
        <w:overflowPunct/>
        <w:topLinePunct w:val="0"/>
        <w:autoSpaceDE/>
        <w:autoSpaceDN/>
        <w:bidi w:val="0"/>
        <w:spacing w:after="0" w:line="460" w:lineRule="exact"/>
        <w:ind w:left="0" w:leftChars="0" w:firstLine="360" w:firstLineChars="150"/>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1.4编制周期：签订合同后7天内完成。</w:t>
      </w:r>
      <w:bookmarkStart w:id="1" w:name="_GoBack"/>
      <w:bookmarkEnd w:id="1"/>
    </w:p>
    <w:p>
      <w:pPr>
        <w:pStyle w:val="13"/>
        <w:keepNext w:val="0"/>
        <w:keepLines w:val="0"/>
        <w:pageBreakBefore w:val="0"/>
        <w:widowControl w:val="0"/>
        <w:numPr>
          <w:ilvl w:val="0"/>
          <w:numId w:val="0"/>
        </w:numPr>
        <w:kinsoku/>
        <w:wordWrap/>
        <w:overflowPunct/>
        <w:topLinePunct w:val="0"/>
        <w:autoSpaceDE/>
        <w:autoSpaceDN/>
        <w:bidi w:val="0"/>
        <w:spacing w:after="0" w:line="460" w:lineRule="exact"/>
        <w:ind w:left="0" w:leftChars="0" w:firstLine="360" w:firstLineChars="150"/>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1.5编制成果提交：每座水库大坝的安全评价报告、安全鉴定报告书各4份，所有设计成果需提供电子文档。</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60" w:lineRule="exact"/>
        <w:ind w:firstLine="482" w:firstLineChars="200"/>
        <w:jc w:val="both"/>
        <w:textAlignment w:val="auto"/>
        <w:rPr>
          <w:rFonts w:hint="eastAsia" w:ascii="仿宋_GB2312" w:hAnsi="仿宋_GB2312" w:eastAsia="仿宋_GB2312" w:cs="仿宋_GB2312"/>
          <w:b/>
          <w:bCs/>
          <w:color w:val="000000"/>
          <w:kern w:val="0"/>
          <w:sz w:val="24"/>
          <w:szCs w:val="24"/>
          <w:highlight w:val="none"/>
          <w:lang w:val="en-US" w:eastAsia="zh-CN" w:bidi="ar-SA"/>
        </w:rPr>
      </w:pPr>
      <w:r>
        <w:rPr>
          <w:rFonts w:hint="eastAsia" w:ascii="仿宋_GB2312" w:hAnsi="仿宋_GB2312" w:eastAsia="仿宋_GB2312" w:cs="仿宋_GB2312"/>
          <w:b/>
          <w:bCs/>
          <w:color w:val="000000"/>
          <w:kern w:val="0"/>
          <w:sz w:val="24"/>
          <w:szCs w:val="24"/>
          <w:highlight w:val="none"/>
          <w:lang w:val="en-US" w:eastAsia="zh-CN" w:bidi="ar-SA"/>
        </w:rPr>
        <w:t>二、供应商的资格要求</w:t>
      </w:r>
    </w:p>
    <w:p>
      <w:pPr>
        <w:pStyle w:val="13"/>
        <w:keepNext w:val="0"/>
        <w:keepLines w:val="0"/>
        <w:pageBreakBefore w:val="0"/>
        <w:widowControl w:val="0"/>
        <w:numPr>
          <w:ilvl w:val="0"/>
          <w:numId w:val="0"/>
        </w:numPr>
        <w:kinsoku/>
        <w:wordWrap/>
        <w:overflowPunct/>
        <w:topLinePunct w:val="0"/>
        <w:autoSpaceDE/>
        <w:autoSpaceDN/>
        <w:bidi w:val="0"/>
        <w:spacing w:after="0" w:line="460" w:lineRule="exact"/>
        <w:ind w:left="0" w:leftChars="0" w:firstLine="360" w:firstLineChars="150"/>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 xml:space="preserve">2.1供应商的基本资格条件：供应商必须是在中华人民共和国境内注册登记的法人、其他组织或者自然人，且应当符合《政府采购法》第二十二条第一款的规定，即： </w:t>
      </w:r>
    </w:p>
    <w:p>
      <w:pPr>
        <w:pStyle w:val="13"/>
        <w:keepNext w:val="0"/>
        <w:keepLines w:val="0"/>
        <w:pageBreakBefore w:val="0"/>
        <w:widowControl w:val="0"/>
        <w:numPr>
          <w:ilvl w:val="0"/>
          <w:numId w:val="0"/>
        </w:numPr>
        <w:kinsoku/>
        <w:wordWrap/>
        <w:overflowPunct/>
        <w:topLinePunct w:val="0"/>
        <w:autoSpaceDE/>
        <w:autoSpaceDN/>
        <w:bidi w:val="0"/>
        <w:spacing w:after="0" w:line="460" w:lineRule="exact"/>
        <w:ind w:left="0" w:leftChars="0" w:firstLine="360" w:firstLineChars="150"/>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 xml:space="preserve">（1）具有独立承担民事责任的能力； </w:t>
      </w:r>
    </w:p>
    <w:p>
      <w:pPr>
        <w:pStyle w:val="13"/>
        <w:keepNext w:val="0"/>
        <w:keepLines w:val="0"/>
        <w:pageBreakBefore w:val="0"/>
        <w:widowControl w:val="0"/>
        <w:numPr>
          <w:ilvl w:val="0"/>
          <w:numId w:val="0"/>
        </w:numPr>
        <w:kinsoku/>
        <w:wordWrap/>
        <w:overflowPunct/>
        <w:topLinePunct w:val="0"/>
        <w:autoSpaceDE/>
        <w:autoSpaceDN/>
        <w:bidi w:val="0"/>
        <w:spacing w:after="0" w:line="460" w:lineRule="exact"/>
        <w:ind w:left="0" w:leftChars="0" w:firstLine="360" w:firstLineChars="150"/>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 xml:space="preserve">（2）具有良好的商业信誉和健全的财务会计制度； </w:t>
      </w:r>
    </w:p>
    <w:p>
      <w:pPr>
        <w:pStyle w:val="13"/>
        <w:keepNext w:val="0"/>
        <w:keepLines w:val="0"/>
        <w:pageBreakBefore w:val="0"/>
        <w:widowControl w:val="0"/>
        <w:numPr>
          <w:ilvl w:val="0"/>
          <w:numId w:val="0"/>
        </w:numPr>
        <w:kinsoku/>
        <w:wordWrap/>
        <w:overflowPunct/>
        <w:topLinePunct w:val="0"/>
        <w:autoSpaceDE/>
        <w:autoSpaceDN/>
        <w:bidi w:val="0"/>
        <w:spacing w:after="0" w:line="460" w:lineRule="exact"/>
        <w:ind w:left="0" w:leftChars="0" w:firstLine="360" w:firstLineChars="150"/>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 xml:space="preserve">（3）具有履行合同所必需的设备和专业技术能力； </w:t>
      </w:r>
    </w:p>
    <w:p>
      <w:pPr>
        <w:pStyle w:val="13"/>
        <w:keepNext w:val="0"/>
        <w:keepLines w:val="0"/>
        <w:pageBreakBefore w:val="0"/>
        <w:widowControl w:val="0"/>
        <w:numPr>
          <w:ilvl w:val="0"/>
          <w:numId w:val="0"/>
        </w:numPr>
        <w:kinsoku/>
        <w:wordWrap/>
        <w:overflowPunct/>
        <w:topLinePunct w:val="0"/>
        <w:autoSpaceDE/>
        <w:autoSpaceDN/>
        <w:bidi w:val="0"/>
        <w:spacing w:after="0" w:line="460" w:lineRule="exact"/>
        <w:ind w:left="0" w:leftChars="0" w:firstLine="360" w:firstLineChars="150"/>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 xml:space="preserve">（4）有依法缴纳税收和社会保障资金的良好记录； </w:t>
      </w:r>
    </w:p>
    <w:p>
      <w:pPr>
        <w:pStyle w:val="13"/>
        <w:keepNext w:val="0"/>
        <w:keepLines w:val="0"/>
        <w:pageBreakBefore w:val="0"/>
        <w:widowControl w:val="0"/>
        <w:numPr>
          <w:ilvl w:val="0"/>
          <w:numId w:val="0"/>
        </w:numPr>
        <w:kinsoku/>
        <w:wordWrap/>
        <w:overflowPunct/>
        <w:topLinePunct w:val="0"/>
        <w:autoSpaceDE/>
        <w:autoSpaceDN/>
        <w:bidi w:val="0"/>
        <w:spacing w:after="0" w:line="460" w:lineRule="exact"/>
        <w:ind w:left="0" w:leftChars="0" w:firstLine="360" w:firstLineChars="150"/>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（5）参加政府采购活动前三年内，在经营活动中没有重大违法记录；</w:t>
      </w:r>
    </w:p>
    <w:p>
      <w:pPr>
        <w:pStyle w:val="13"/>
        <w:keepNext w:val="0"/>
        <w:keepLines w:val="0"/>
        <w:pageBreakBefore w:val="0"/>
        <w:widowControl w:val="0"/>
        <w:numPr>
          <w:ilvl w:val="0"/>
          <w:numId w:val="0"/>
        </w:numPr>
        <w:kinsoku/>
        <w:wordWrap/>
        <w:overflowPunct/>
        <w:topLinePunct w:val="0"/>
        <w:autoSpaceDE/>
        <w:autoSpaceDN/>
        <w:bidi w:val="0"/>
        <w:spacing w:after="0" w:line="460" w:lineRule="exact"/>
        <w:ind w:left="0" w:leftChars="0" w:firstLine="360" w:firstLineChars="150"/>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 xml:space="preserve">（6）法律、行政法规规定的其他条件。 </w:t>
      </w:r>
    </w:p>
    <w:p>
      <w:pPr>
        <w:pStyle w:val="13"/>
        <w:keepNext w:val="0"/>
        <w:keepLines w:val="0"/>
        <w:pageBreakBefore w:val="0"/>
        <w:widowControl w:val="0"/>
        <w:numPr>
          <w:ilvl w:val="0"/>
          <w:numId w:val="0"/>
        </w:numPr>
        <w:kinsoku/>
        <w:wordWrap/>
        <w:overflowPunct/>
        <w:topLinePunct w:val="0"/>
        <w:autoSpaceDE/>
        <w:autoSpaceDN/>
        <w:bidi w:val="0"/>
        <w:spacing w:after="0" w:line="460" w:lineRule="exact"/>
        <w:ind w:left="0" w:leftChars="0" w:firstLine="360" w:firstLineChars="150"/>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2.2供应商的特定资格条件：</w:t>
      </w:r>
    </w:p>
    <w:p>
      <w:pPr>
        <w:pStyle w:val="13"/>
        <w:keepNext w:val="0"/>
        <w:keepLines w:val="0"/>
        <w:pageBreakBefore w:val="0"/>
        <w:widowControl w:val="0"/>
        <w:numPr>
          <w:ilvl w:val="0"/>
          <w:numId w:val="0"/>
        </w:numPr>
        <w:kinsoku/>
        <w:wordWrap/>
        <w:overflowPunct/>
        <w:topLinePunct w:val="0"/>
        <w:autoSpaceDE/>
        <w:autoSpaceDN/>
        <w:bidi w:val="0"/>
        <w:spacing w:after="0" w:line="460" w:lineRule="exact"/>
        <w:ind w:left="0" w:leftChars="0" w:firstLine="360" w:firstLineChars="150"/>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（1）供应商须具备建设行政主管部门颁发的工程设计综合资质或工程设计水利行业专业丙级及以上资质。</w:t>
      </w:r>
    </w:p>
    <w:p>
      <w:pPr>
        <w:pStyle w:val="13"/>
        <w:keepNext w:val="0"/>
        <w:keepLines w:val="0"/>
        <w:pageBreakBefore w:val="0"/>
        <w:widowControl w:val="0"/>
        <w:numPr>
          <w:ilvl w:val="0"/>
          <w:numId w:val="0"/>
        </w:numPr>
        <w:kinsoku/>
        <w:wordWrap/>
        <w:overflowPunct/>
        <w:topLinePunct w:val="0"/>
        <w:autoSpaceDE/>
        <w:autoSpaceDN/>
        <w:bidi w:val="0"/>
        <w:spacing w:after="0" w:line="460" w:lineRule="exact"/>
        <w:ind w:left="0" w:leftChars="0" w:firstLine="360" w:firstLineChars="150"/>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（2）供应商须是在水利部水利建设市场综合监管平台和湖南省湖南省水利建设市场综合监管系统建立了信用档案的市场主体。</w:t>
      </w:r>
    </w:p>
    <w:p>
      <w:pPr>
        <w:pStyle w:val="13"/>
        <w:keepNext w:val="0"/>
        <w:keepLines w:val="0"/>
        <w:pageBreakBefore w:val="0"/>
        <w:widowControl w:val="0"/>
        <w:numPr>
          <w:ilvl w:val="0"/>
          <w:numId w:val="0"/>
        </w:numPr>
        <w:kinsoku/>
        <w:wordWrap/>
        <w:overflowPunct/>
        <w:topLinePunct w:val="0"/>
        <w:autoSpaceDE/>
        <w:autoSpaceDN/>
        <w:bidi w:val="0"/>
        <w:spacing w:after="0" w:line="460" w:lineRule="exact"/>
        <w:ind w:left="0" w:leftChars="0" w:firstLine="360" w:firstLineChars="150"/>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3）项目负责人具有水利水电工程相关专业中级及以上职称；项目负责人必须是本企业在职人员（需提供身份证复印件和劳动保障部门出具的近6个月及以上处于正常参保状态的养老保险证明及账户官网查询网址和密码或当地社保部门的座机联系电话及联系人；国家和地方政府对退休人员和企业社保缴费有专门规定的，从其规定）。</w:t>
      </w:r>
    </w:p>
    <w:p>
      <w:pPr>
        <w:pStyle w:val="13"/>
        <w:keepNext w:val="0"/>
        <w:keepLines w:val="0"/>
        <w:pageBreakBefore w:val="0"/>
        <w:widowControl w:val="0"/>
        <w:numPr>
          <w:ilvl w:val="0"/>
          <w:numId w:val="0"/>
        </w:numPr>
        <w:kinsoku/>
        <w:wordWrap/>
        <w:overflowPunct/>
        <w:topLinePunct w:val="0"/>
        <w:autoSpaceDE/>
        <w:autoSpaceDN/>
        <w:bidi w:val="0"/>
        <w:spacing w:after="0" w:line="460" w:lineRule="exact"/>
        <w:ind w:left="0" w:leftChars="0" w:firstLine="480" w:firstLineChars="200"/>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4）拟任本项目配备人员需具备水利水电工程相关专业中级及以上职称，必须是本企业在职人员（需提供身份证复印件和劳动保障部门出具的近6个月及以上处于正常参保状态的养老保险证明及账户官网查询网址和密码或当地社保部门的座机联系电话及联系人；国家和地方政府对退休人员和企业社保缴费有专门规定的，从其规定）。</w:t>
      </w:r>
    </w:p>
    <w:p>
      <w:pPr>
        <w:pStyle w:val="13"/>
        <w:keepNext w:val="0"/>
        <w:keepLines w:val="0"/>
        <w:pageBreakBefore w:val="0"/>
        <w:widowControl w:val="0"/>
        <w:numPr>
          <w:ilvl w:val="0"/>
          <w:numId w:val="0"/>
        </w:numPr>
        <w:kinsoku/>
        <w:wordWrap/>
        <w:overflowPunct/>
        <w:topLinePunct w:val="0"/>
        <w:autoSpaceDE/>
        <w:autoSpaceDN/>
        <w:bidi w:val="0"/>
        <w:spacing w:after="0" w:line="460" w:lineRule="exact"/>
        <w:ind w:left="0" w:leftChars="0" w:firstLine="480" w:firstLineChars="200"/>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（5）本项目不接受联合体投标。</w:t>
      </w:r>
    </w:p>
    <w:p>
      <w:pPr>
        <w:pStyle w:val="13"/>
        <w:keepNext w:val="0"/>
        <w:keepLines w:val="0"/>
        <w:pageBreakBefore w:val="0"/>
        <w:widowControl w:val="0"/>
        <w:numPr>
          <w:ilvl w:val="0"/>
          <w:numId w:val="0"/>
        </w:numPr>
        <w:kinsoku/>
        <w:wordWrap/>
        <w:overflowPunct/>
        <w:topLinePunct w:val="0"/>
        <w:autoSpaceDE/>
        <w:autoSpaceDN/>
        <w:bidi w:val="0"/>
        <w:spacing w:after="0" w:line="460" w:lineRule="exact"/>
        <w:ind w:left="0" w:leftChars="0" w:firstLine="480" w:firstLineChars="200"/>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6）与采购人存在利害关系可能影响招标公正性的法人、其他组织或者个人，不得参加投标。单位负责人为同一人或者存在控股、管理关系的不同单位，不得参加同一标段投标或者未划分标段的同一招标项目投标。</w:t>
      </w:r>
    </w:p>
    <w:p>
      <w:pPr>
        <w:pStyle w:val="13"/>
        <w:keepNext w:val="0"/>
        <w:keepLines w:val="0"/>
        <w:pageBreakBefore w:val="0"/>
        <w:widowControl w:val="0"/>
        <w:numPr>
          <w:ilvl w:val="0"/>
          <w:numId w:val="0"/>
        </w:numPr>
        <w:kinsoku/>
        <w:wordWrap/>
        <w:overflowPunct/>
        <w:topLinePunct w:val="0"/>
        <w:autoSpaceDE/>
        <w:autoSpaceDN/>
        <w:bidi w:val="0"/>
        <w:spacing w:after="0" w:line="460" w:lineRule="exact"/>
        <w:ind w:left="0" w:leftChars="0" w:firstLine="480" w:firstLineChars="200"/>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（7）列入失信被执行人、重大税收违法案件当事人名单，列入政府采购严重违法失信行为记录名单的，拒绝其参与政府采购活动。</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60" w:lineRule="exact"/>
        <w:ind w:firstLine="482" w:firstLineChars="200"/>
        <w:jc w:val="both"/>
        <w:textAlignment w:val="auto"/>
        <w:rPr>
          <w:rFonts w:hint="eastAsia" w:ascii="仿宋_GB2312" w:hAnsi="仿宋_GB2312" w:eastAsia="仿宋_GB2312" w:cs="仿宋_GB2312"/>
          <w:b/>
          <w:bCs/>
          <w:color w:val="000000"/>
          <w:kern w:val="0"/>
          <w:sz w:val="24"/>
          <w:szCs w:val="24"/>
          <w:highlight w:val="none"/>
          <w:lang w:val="en-US" w:eastAsia="zh-CN" w:bidi="ar-SA"/>
        </w:rPr>
      </w:pPr>
      <w:r>
        <w:rPr>
          <w:rFonts w:hint="eastAsia" w:ascii="仿宋_GB2312" w:hAnsi="仿宋_GB2312" w:eastAsia="仿宋_GB2312" w:cs="仿宋_GB2312"/>
          <w:b/>
          <w:bCs/>
          <w:color w:val="000000"/>
          <w:kern w:val="0"/>
          <w:sz w:val="24"/>
          <w:szCs w:val="24"/>
          <w:highlight w:val="none"/>
          <w:lang w:val="en-US" w:eastAsia="zh-CN" w:bidi="ar-SA"/>
        </w:rPr>
        <w:t>三、本项目上限值</w:t>
      </w:r>
    </w:p>
    <w:p>
      <w:pPr>
        <w:pStyle w:val="13"/>
        <w:keepNext w:val="0"/>
        <w:keepLines w:val="0"/>
        <w:pageBreakBefore w:val="0"/>
        <w:widowControl w:val="0"/>
        <w:numPr>
          <w:ilvl w:val="0"/>
          <w:numId w:val="0"/>
        </w:numPr>
        <w:kinsoku/>
        <w:wordWrap/>
        <w:overflowPunct/>
        <w:topLinePunct w:val="0"/>
        <w:autoSpaceDE/>
        <w:autoSpaceDN/>
        <w:bidi w:val="0"/>
        <w:spacing w:after="0" w:line="460" w:lineRule="exact"/>
        <w:ind w:left="0" w:leftChars="0" w:firstLine="480" w:firstLineChars="200"/>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本项目上限值为贰拾肆万壹仟壹佰叁拾元整（¥241130.00元），且单座水库价格不超过人民币贰万肆仟壹佰壹拾叁元整（¥24113.00元）。</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60" w:lineRule="exact"/>
        <w:ind w:firstLine="482" w:firstLineChars="200"/>
        <w:jc w:val="both"/>
        <w:textAlignment w:val="auto"/>
        <w:rPr>
          <w:rFonts w:hint="eastAsia" w:ascii="仿宋_GB2312" w:hAnsi="仿宋_GB2312" w:eastAsia="仿宋_GB2312" w:cs="仿宋_GB2312"/>
          <w:b/>
          <w:bCs/>
          <w:color w:val="000000"/>
          <w:kern w:val="0"/>
          <w:sz w:val="24"/>
          <w:szCs w:val="24"/>
          <w:highlight w:val="none"/>
          <w:lang w:val="en-US" w:eastAsia="zh-CN" w:bidi="ar-SA"/>
        </w:rPr>
      </w:pPr>
      <w:r>
        <w:rPr>
          <w:rFonts w:hint="eastAsia" w:ascii="仿宋_GB2312" w:hAnsi="仿宋_GB2312" w:eastAsia="仿宋_GB2312" w:cs="仿宋_GB2312"/>
          <w:b/>
          <w:bCs/>
          <w:color w:val="000000"/>
          <w:kern w:val="0"/>
          <w:sz w:val="24"/>
          <w:szCs w:val="24"/>
          <w:highlight w:val="none"/>
          <w:lang w:val="en-US" w:eastAsia="zh-CN" w:bidi="ar-SA"/>
        </w:rPr>
        <w:t>四、响应文件要求</w:t>
      </w:r>
    </w:p>
    <w:p>
      <w:pPr>
        <w:pStyle w:val="13"/>
        <w:keepNext w:val="0"/>
        <w:keepLines w:val="0"/>
        <w:pageBreakBefore w:val="0"/>
        <w:widowControl w:val="0"/>
        <w:numPr>
          <w:ilvl w:val="0"/>
          <w:numId w:val="0"/>
        </w:numPr>
        <w:kinsoku/>
        <w:wordWrap/>
        <w:overflowPunct/>
        <w:topLinePunct w:val="0"/>
        <w:autoSpaceDE/>
        <w:autoSpaceDN/>
        <w:bidi w:val="0"/>
        <w:spacing w:after="0" w:line="460" w:lineRule="exact"/>
        <w:ind w:left="0" w:leftChars="0" w:firstLine="480" w:firstLineChars="200"/>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符合条件的供应商应提供本项目采购需求“二、供应商的资格要求”规定的相关证明材料并提供服务方案，未按要求提供的或所提供资料不符合要求的，在需求响应评审时视为不符合。</w:t>
      </w:r>
    </w:p>
    <w:p>
      <w:pPr>
        <w:keepNext w:val="0"/>
        <w:keepLines w:val="0"/>
        <w:pageBreakBefore w:val="0"/>
        <w:widowControl w:val="0"/>
        <w:tabs>
          <w:tab w:val="left" w:pos="7587"/>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highlight w:val="none"/>
        </w:rPr>
      </w:pPr>
    </w:p>
    <w:p>
      <w:pPr>
        <w:keepNext w:val="0"/>
        <w:keepLines w:val="0"/>
        <w:pageBreakBefore w:val="0"/>
        <w:widowControl w:val="0"/>
        <w:tabs>
          <w:tab w:val="left" w:pos="7587"/>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供应商需踏勘现场后，合理报价。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b/>
          <w:bCs/>
          <w:sz w:val="24"/>
          <w:szCs w:val="24"/>
          <w:lang w:val="en-US"/>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、本项目须具有独立承担民事责任的能力、具有独立法人资格并依法取得企业营业执照，根据《公司法》第十四条规定“ 公司可以设立分公司。设立分公司，应当向公司登记机关申请登记，领取营业执照。分公司不具有法人资格，其民事责任由公司承担。”因此分公司不具备独立承担民事责任能力。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63D69"/>
    <w:multiLevelType w:val="multilevel"/>
    <w:tmpl w:val="5E663D69"/>
    <w:lvl w:ilvl="0" w:tentative="0">
      <w:start w:val="1"/>
      <w:numFmt w:val="decimal"/>
      <w:suff w:val="space"/>
      <w:lvlText w:val="%1"/>
      <w:lvlJc w:val="center"/>
      <w:pPr>
        <w:ind w:left="0" w:firstLine="0"/>
      </w:pPr>
      <w:rPr>
        <w:rFonts w:hint="eastAsia" w:ascii="黑体" w:eastAsia="黑体"/>
        <w:b w:val="0"/>
        <w:i w:val="0"/>
        <w:caps w:val="0"/>
        <w:strike w:val="0"/>
        <w:dstrike w:val="0"/>
        <w:vanish w:val="0"/>
        <w:color w:val="auto"/>
        <w:sz w:val="32"/>
        <w:szCs w:val="32"/>
        <w:vertAlign w:val="baseline"/>
      </w:rPr>
    </w:lvl>
    <w:lvl w:ilvl="1" w:tentative="0">
      <w:start w:val="1"/>
      <w:numFmt w:val="decimal"/>
      <w:suff w:val="space"/>
      <w:lvlText w:val="%1.%2"/>
      <w:lvlJc w:val="center"/>
      <w:pPr>
        <w:ind w:left="0" w:firstLine="0"/>
      </w:pPr>
      <w:rPr>
        <w:rFonts w:hint="eastAsia" w:ascii="黑体" w:eastAsia="黑体"/>
        <w:b w:val="0"/>
        <w:i w:val="0"/>
        <w:caps w:val="0"/>
        <w:strike w:val="0"/>
        <w:dstrike w:val="0"/>
        <w:vanish w:val="0"/>
        <w:sz w:val="30"/>
        <w:szCs w:val="30"/>
        <w:vertAlign w:val="baseline"/>
      </w:rPr>
    </w:lvl>
    <w:lvl w:ilvl="2" w:tentative="0">
      <w:start w:val="1"/>
      <w:numFmt w:val="decimal"/>
      <w:suff w:val="space"/>
      <w:lvlText w:val="%1.%2.%3"/>
      <w:lvlJc w:val="left"/>
      <w:pPr>
        <w:ind w:left="0" w:firstLine="0"/>
      </w:pPr>
      <w:rPr>
        <w:rFonts w:hint="eastAsia" w:ascii="黑体" w:eastAsia="黑体"/>
        <w:b w:val="0"/>
        <w:i w:val="0"/>
        <w:caps w:val="0"/>
        <w:strike w:val="0"/>
        <w:dstrike w:val="0"/>
        <w:vanish w:val="0"/>
        <w:color w:val="auto"/>
        <w:sz w:val="28"/>
        <w:szCs w:val="28"/>
        <w:vertAlign w:val="baseline"/>
      </w:rPr>
    </w:lvl>
    <w:lvl w:ilvl="3" w:tentative="0">
      <w:start w:val="1"/>
      <w:numFmt w:val="decimal"/>
      <w:pStyle w:val="5"/>
      <w:suff w:val="space"/>
      <w:lvlText w:val="%1.%2.%3.%4"/>
      <w:lvlJc w:val="left"/>
      <w:pPr>
        <w:ind w:left="0" w:firstLine="0"/>
      </w:pPr>
      <w:rPr>
        <w:rFonts w:hint="eastAsia" w:ascii="黑体" w:eastAsia="黑体"/>
        <w:b w:val="0"/>
        <w:i w:val="0"/>
        <w:caps w:val="0"/>
        <w:strike w:val="0"/>
        <w:dstrike w:val="0"/>
        <w:vanish w:val="0"/>
        <w:sz w:val="24"/>
        <w:szCs w:val="24"/>
        <w:vertAlign w:val="baseline"/>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MTk4M2EwMmRhOWFmNmI5NDZjNzlhMjAxOGJjYTgifQ=="/>
  </w:docVars>
  <w:rsids>
    <w:rsidRoot w:val="5043708B"/>
    <w:rsid w:val="02C67147"/>
    <w:rsid w:val="03C91566"/>
    <w:rsid w:val="06042972"/>
    <w:rsid w:val="079C4D12"/>
    <w:rsid w:val="085D5F6C"/>
    <w:rsid w:val="0B1F52C6"/>
    <w:rsid w:val="0BE300B2"/>
    <w:rsid w:val="0DF0672E"/>
    <w:rsid w:val="11E06E41"/>
    <w:rsid w:val="196640D0"/>
    <w:rsid w:val="1A404137"/>
    <w:rsid w:val="1CC16936"/>
    <w:rsid w:val="1E404FF6"/>
    <w:rsid w:val="1FFD76B3"/>
    <w:rsid w:val="23405C42"/>
    <w:rsid w:val="24A3017F"/>
    <w:rsid w:val="24FE78B3"/>
    <w:rsid w:val="25077D0A"/>
    <w:rsid w:val="27083624"/>
    <w:rsid w:val="2AE27056"/>
    <w:rsid w:val="2EF049E7"/>
    <w:rsid w:val="300F6E18"/>
    <w:rsid w:val="34183804"/>
    <w:rsid w:val="34F20C90"/>
    <w:rsid w:val="35183D36"/>
    <w:rsid w:val="357A3162"/>
    <w:rsid w:val="36EC6A42"/>
    <w:rsid w:val="392B2D30"/>
    <w:rsid w:val="3D891FB8"/>
    <w:rsid w:val="3F8E2DF7"/>
    <w:rsid w:val="40947C6C"/>
    <w:rsid w:val="47247698"/>
    <w:rsid w:val="47720540"/>
    <w:rsid w:val="49E1317B"/>
    <w:rsid w:val="4BE86137"/>
    <w:rsid w:val="4FD20DA0"/>
    <w:rsid w:val="5043708B"/>
    <w:rsid w:val="51B65612"/>
    <w:rsid w:val="52822C9A"/>
    <w:rsid w:val="550146D2"/>
    <w:rsid w:val="59A57D21"/>
    <w:rsid w:val="5B370E4D"/>
    <w:rsid w:val="5ECF7267"/>
    <w:rsid w:val="602C3E45"/>
    <w:rsid w:val="61CD6A60"/>
    <w:rsid w:val="628506F0"/>
    <w:rsid w:val="63B57DD8"/>
    <w:rsid w:val="63DC1FEB"/>
    <w:rsid w:val="682D103D"/>
    <w:rsid w:val="6B1B6095"/>
    <w:rsid w:val="6CCD33BF"/>
    <w:rsid w:val="6D4B7FB3"/>
    <w:rsid w:val="6E9D136B"/>
    <w:rsid w:val="75D42949"/>
    <w:rsid w:val="79C50A36"/>
    <w:rsid w:val="7C9712F4"/>
    <w:rsid w:val="7D2863F0"/>
    <w:rsid w:val="7FF3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楷体_GB2312" w:hAnsi="楷体_GB2312" w:eastAsia="楷体_GB2312" w:cs="楷体_GB2312"/>
      <w:b/>
      <w:bCs/>
      <w:kern w:val="44"/>
      <w:sz w:val="44"/>
      <w:szCs w:val="44"/>
    </w:rPr>
  </w:style>
  <w:style w:type="paragraph" w:styleId="2">
    <w:name w:val="heading 2"/>
    <w:basedOn w:val="1"/>
    <w:next w:val="1"/>
    <w:link w:val="17"/>
    <w:semiHidden/>
    <w:unhideWhenUsed/>
    <w:qFormat/>
    <w:uiPriority w:val="0"/>
    <w:pPr>
      <w:keepNext/>
      <w:keepLines/>
      <w:spacing w:beforeLines="0" w:beforeAutospacing="0" w:afterLines="0" w:afterAutospacing="0" w:line="360" w:lineRule="auto"/>
      <w:jc w:val="center"/>
      <w:outlineLvl w:val="1"/>
    </w:pPr>
    <w:rPr>
      <w:rFonts w:ascii="楷体_GB2312" w:hAnsi="楷体_GB2312" w:eastAsia="楷体_GB2312" w:cs="楷体_GB2312"/>
      <w:b/>
      <w:bCs/>
      <w:sz w:val="32"/>
      <w:szCs w:val="32"/>
    </w:rPr>
  </w:style>
  <w:style w:type="paragraph" w:styleId="4">
    <w:name w:val="heading 3"/>
    <w:basedOn w:val="1"/>
    <w:next w:val="1"/>
    <w:semiHidden/>
    <w:unhideWhenUsed/>
    <w:qFormat/>
    <w:uiPriority w:val="0"/>
    <w:pPr>
      <w:keepNext/>
      <w:keepLines/>
      <w:spacing w:beforeLines="0" w:beforeAutospacing="0" w:afterLines="0" w:afterAutospacing="0" w:line="360" w:lineRule="auto"/>
      <w:outlineLvl w:val="2"/>
    </w:pPr>
    <w:rPr>
      <w:rFonts w:ascii="楷体_GB2312" w:hAnsi="楷体_GB2312" w:eastAsia="楷体_GB2312" w:cs="楷体_GB2312"/>
      <w:b/>
      <w:sz w:val="30"/>
      <w:szCs w:val="30"/>
    </w:rPr>
  </w:style>
  <w:style w:type="paragraph" w:styleId="5">
    <w:name w:val="heading 4"/>
    <w:basedOn w:val="1"/>
    <w:next w:val="1"/>
    <w:qFormat/>
    <w:uiPriority w:val="0"/>
    <w:pPr>
      <w:keepNext/>
      <w:keepLines/>
      <w:numPr>
        <w:ilvl w:val="3"/>
        <w:numId w:val="1"/>
      </w:numPr>
      <w:tabs>
        <w:tab w:val="left" w:pos="7587"/>
      </w:tabs>
      <w:outlineLvl w:val="3"/>
    </w:pPr>
    <w:rPr>
      <w:rFonts w:ascii="黑体" w:hAnsi="Arial" w:eastAsia="黑体"/>
      <w:bCs/>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99"/>
    <w:pPr>
      <w:ind w:firstLine="420"/>
    </w:pPr>
  </w:style>
  <w:style w:type="paragraph" w:customStyle="1" w:styleId="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8">
    <w:name w:val="Body Text"/>
    <w:basedOn w:val="1"/>
    <w:next w:val="9"/>
    <w:qFormat/>
    <w:uiPriority w:val="0"/>
    <w:pPr>
      <w:spacing w:after="120"/>
    </w:pPr>
  </w:style>
  <w:style w:type="paragraph" w:customStyle="1" w:styleId="9">
    <w:name w:val="1"/>
    <w:basedOn w:val="1"/>
    <w:next w:val="10"/>
    <w:qFormat/>
    <w:uiPriority w:val="0"/>
    <w:pPr>
      <w:spacing w:afterLines="50" w:line="360" w:lineRule="auto"/>
    </w:pPr>
    <w:rPr>
      <w:rFonts w:ascii="宋体" w:hAnsi="宋体"/>
      <w:b/>
      <w:sz w:val="30"/>
      <w:szCs w:val="21"/>
    </w:rPr>
  </w:style>
  <w:style w:type="paragraph" w:styleId="10">
    <w:name w:val="Body Text Indent"/>
    <w:basedOn w:val="1"/>
    <w:next w:val="11"/>
    <w:qFormat/>
    <w:uiPriority w:val="0"/>
    <w:pPr>
      <w:spacing w:after="120"/>
      <w:ind w:left="420" w:leftChars="200"/>
    </w:pPr>
  </w:style>
  <w:style w:type="paragraph" w:customStyle="1" w:styleId="11">
    <w:name w:val="font5"/>
    <w:basedOn w:val="1"/>
    <w:qFormat/>
    <w:uiPriority w:val="0"/>
    <w:pPr>
      <w:widowControl/>
      <w:spacing w:before="100" w:beforeAutospacing="1" w:after="100" w:afterAutospacing="1"/>
      <w:jc w:val="left"/>
    </w:pPr>
    <w:rPr>
      <w:rFonts w:ascii="宋体"/>
      <w:kern w:val="0"/>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spacing w:line="360" w:lineRule="auto"/>
      <w:ind w:firstLine="309" w:firstLineChars="100"/>
      <w:outlineLvl w:val="0"/>
    </w:pPr>
    <w:rPr>
      <w:bCs/>
      <w:color w:val="000000"/>
      <w:kern w:val="28"/>
      <w:szCs w:val="21"/>
    </w:rPr>
  </w:style>
  <w:style w:type="paragraph" w:styleId="14">
    <w:name w:val="Body Text First Indent 2"/>
    <w:basedOn w:val="10"/>
    <w:next w:val="6"/>
    <w:unhideWhenUsed/>
    <w:qFormat/>
    <w:uiPriority w:val="99"/>
    <w:pPr>
      <w:ind w:firstLine="420" w:firstLineChars="200"/>
    </w:pPr>
  </w:style>
  <w:style w:type="character" w:customStyle="1" w:styleId="17">
    <w:name w:val="标题 2 Char"/>
    <w:link w:val="2"/>
    <w:qFormat/>
    <w:uiPriority w:val="0"/>
    <w:rPr>
      <w:rFonts w:ascii="楷体_GB2312" w:hAnsi="楷体_GB2312" w:eastAsia="楷体_GB2312" w:cs="楷体_GB2312"/>
      <w:b/>
      <w:bCs/>
      <w:sz w:val="32"/>
      <w:szCs w:val="32"/>
    </w:rPr>
  </w:style>
  <w:style w:type="paragraph" w:customStyle="1" w:styleId="18">
    <w:name w:val="样式2"/>
    <w:basedOn w:val="6"/>
    <w:next w:val="5"/>
    <w:qFormat/>
    <w:uiPriority w:val="0"/>
    <w:pPr>
      <w:tabs>
        <w:tab w:val="left" w:pos="7587"/>
      </w:tab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1438</Words>
  <Characters>1473</Characters>
  <Lines>0</Lines>
  <Paragraphs>0</Paragraphs>
  <TotalTime>3</TotalTime>
  <ScaleCrop>false</ScaleCrop>
  <LinksUpToDate>false</LinksUpToDate>
  <CharactersWithSpaces>1481</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2022-07-07T08:16:00Z</dcterms:created>
  <dc:creator>其实月亮是我啃弯旳1373847671</dc:creator>
  <cp:lastModifiedBy>Yan</cp:lastModifiedBy>
  <dcterms:modified xsi:type="dcterms:W3CDTF">2022-07-25T06:10:52Z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9B4103F499334E13ACCF1FA489C3745D</vt:lpwstr>
  </property>
</Properties>
</file>