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6"/>
          <w:szCs w:val="36"/>
          <w:lang w:val="en-US" w:eastAsia="zh-CN"/>
        </w:rPr>
      </w:pPr>
      <w:r>
        <w:rPr>
          <w:rFonts w:hint="eastAsia"/>
          <w:b/>
          <w:sz w:val="36"/>
          <w:szCs w:val="36"/>
          <w:lang w:val="en-US" w:eastAsia="zh-CN"/>
        </w:rPr>
        <w:t>技术服务采购需求</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140" w:firstLineChars="50"/>
        <w:textAlignment w:val="auto"/>
        <w:rPr>
          <w:rFonts w:ascii="仿宋_GB2312" w:eastAsia="仿宋_GB2312"/>
          <w:sz w:val="28"/>
          <w:szCs w:val="28"/>
        </w:rPr>
      </w:pPr>
      <w:r>
        <w:rPr>
          <w:rFonts w:hint="eastAsia"/>
          <w:sz w:val="28"/>
          <w:szCs w:val="28"/>
        </w:rPr>
        <w:t xml:space="preserve">  </w:t>
      </w:r>
      <w:r>
        <w:rPr>
          <w:rFonts w:hint="eastAsia" w:ascii="仿宋_GB2312" w:eastAsia="仿宋_GB2312"/>
          <w:sz w:val="28"/>
          <w:szCs w:val="28"/>
          <w:lang w:val="en-US" w:eastAsia="zh-CN"/>
        </w:rPr>
        <w:t xml:space="preserve"> 根据“文化和旅游部办公厅关于开展第七次全国县级以上公共图书馆评估定级工作的通知”的要求，为提高蒸湘区图书馆完成本次公共图书馆评估定级工作的效率和质量，甲方拟进行相关技术服务工作采购，具体需求如下</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asciiTheme="minorEastAsia" w:hAnsiTheme="minorEastAsia"/>
          <w:b/>
          <w:sz w:val="28"/>
          <w:szCs w:val="28"/>
        </w:rPr>
      </w:pPr>
      <w:r>
        <w:rPr>
          <w:rFonts w:hint="eastAsia" w:asciiTheme="minorEastAsia" w:hAnsiTheme="minorEastAsia"/>
          <w:b/>
          <w:sz w:val="28"/>
          <w:szCs w:val="28"/>
        </w:rPr>
        <w:t>一、服务内容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资料整理：协助</w:t>
      </w:r>
      <w:r>
        <w:rPr>
          <w:rFonts w:hint="eastAsia" w:ascii="仿宋_GB2312" w:eastAsia="仿宋_GB2312"/>
          <w:sz w:val="28"/>
          <w:szCs w:val="28"/>
          <w:lang w:val="en-US" w:eastAsia="zh-CN"/>
        </w:rPr>
        <w:t>馆方按照评估标准要求逐条</w:t>
      </w:r>
      <w:r>
        <w:rPr>
          <w:rFonts w:hint="eastAsia" w:ascii="仿宋_GB2312" w:eastAsia="仿宋_GB2312"/>
          <w:sz w:val="28"/>
          <w:szCs w:val="28"/>
        </w:rPr>
        <w:t>完成评估资料的收集整理，包括不限于相关数据、图片、文档等内容</w:t>
      </w:r>
      <w:r>
        <w:rPr>
          <w:rFonts w:hint="eastAsia" w:ascii="仿宋_GB2312" w:eastAsia="仿宋_GB2312"/>
          <w:sz w:val="28"/>
          <w:szCs w:val="28"/>
          <w:lang w:val="en-US" w:eastAsia="zh-CN"/>
        </w:rPr>
        <w:t>的收集整理</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2.资料编制：协助馆方按照评估标准要求逐条进行资料的编制，包括不限于评估材料的制作、打印、装订等。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.资料填写：协助</w:t>
      </w:r>
      <w:r>
        <w:rPr>
          <w:rFonts w:hint="eastAsia" w:ascii="仿宋_GB2312" w:eastAsia="仿宋_GB2312"/>
          <w:sz w:val="28"/>
          <w:szCs w:val="28"/>
          <w:lang w:eastAsia="zh-CN"/>
        </w:rPr>
        <w:t>蒸</w:t>
      </w:r>
      <w:r>
        <w:rPr>
          <w:rFonts w:hint="eastAsia" w:ascii="仿宋_GB2312" w:eastAsia="仿宋_GB2312"/>
          <w:sz w:val="28"/>
          <w:szCs w:val="28"/>
          <w:lang w:val="en-US" w:eastAsia="zh-CN"/>
        </w:rPr>
        <w:t>馆方按照全国公共图书馆</w:t>
      </w:r>
      <w:r>
        <w:rPr>
          <w:rFonts w:hint="eastAsia" w:ascii="仿宋_GB2312" w:eastAsia="仿宋_GB2312"/>
          <w:sz w:val="28"/>
          <w:szCs w:val="28"/>
        </w:rPr>
        <w:t>评估定级</w:t>
      </w:r>
      <w:r>
        <w:rPr>
          <w:rFonts w:hint="eastAsia" w:ascii="仿宋_GB2312" w:eastAsia="仿宋_GB2312"/>
          <w:sz w:val="28"/>
          <w:szCs w:val="28"/>
          <w:lang w:val="en-US" w:eastAsia="zh-CN"/>
        </w:rPr>
        <w:t>管理平台中的表格</w:t>
      </w:r>
      <w:r>
        <w:rPr>
          <w:rFonts w:hint="eastAsia" w:ascii="仿宋_GB2312" w:eastAsia="仿宋_GB2312"/>
          <w:sz w:val="28"/>
          <w:szCs w:val="28"/>
        </w:rPr>
        <w:t>模版进行</w:t>
      </w:r>
      <w:r>
        <w:rPr>
          <w:rFonts w:hint="eastAsia" w:ascii="仿宋_GB2312" w:eastAsia="仿宋_GB2312"/>
          <w:sz w:val="28"/>
          <w:szCs w:val="28"/>
          <w:lang w:val="en-US" w:eastAsia="zh-CN"/>
        </w:rPr>
        <w:t>资料</w:t>
      </w:r>
      <w:r>
        <w:rPr>
          <w:rFonts w:hint="eastAsia" w:ascii="仿宋_GB2312" w:eastAsia="仿宋_GB2312"/>
          <w:sz w:val="28"/>
          <w:szCs w:val="28"/>
        </w:rPr>
        <w:t>的填写。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4</w:t>
      </w:r>
      <w:r>
        <w:rPr>
          <w:rFonts w:hint="eastAsia" w:ascii="仿宋_GB2312" w:eastAsia="仿宋_GB2312"/>
          <w:sz w:val="28"/>
          <w:szCs w:val="28"/>
        </w:rPr>
        <w:t>.资料上传：协助</w:t>
      </w:r>
      <w:r>
        <w:rPr>
          <w:rFonts w:hint="eastAsia" w:ascii="仿宋_GB2312" w:eastAsia="仿宋_GB2312"/>
          <w:sz w:val="28"/>
          <w:szCs w:val="28"/>
          <w:lang w:val="en-US" w:eastAsia="zh-CN"/>
        </w:rPr>
        <w:t>馆方</w:t>
      </w:r>
      <w:r>
        <w:rPr>
          <w:rFonts w:hint="eastAsia" w:ascii="仿宋_GB2312" w:eastAsia="仿宋_GB2312"/>
          <w:sz w:val="28"/>
          <w:szCs w:val="28"/>
        </w:rPr>
        <w:t>在</w:t>
      </w:r>
      <w:r>
        <w:rPr>
          <w:rFonts w:hint="eastAsia" w:ascii="仿宋_GB2312" w:eastAsia="仿宋_GB2312"/>
          <w:sz w:val="28"/>
          <w:szCs w:val="28"/>
          <w:lang w:val="en-US" w:eastAsia="zh-CN"/>
        </w:rPr>
        <w:t>全国公共图书馆</w:t>
      </w:r>
      <w:r>
        <w:rPr>
          <w:rFonts w:hint="eastAsia" w:ascii="仿宋_GB2312" w:eastAsia="仿宋_GB2312"/>
          <w:sz w:val="28"/>
          <w:szCs w:val="28"/>
        </w:rPr>
        <w:t>评估定级</w:t>
      </w:r>
      <w:r>
        <w:rPr>
          <w:rFonts w:hint="eastAsia" w:ascii="仿宋_GB2312" w:eastAsia="仿宋_GB2312"/>
          <w:sz w:val="28"/>
          <w:szCs w:val="28"/>
          <w:lang w:val="en-US" w:eastAsia="zh-CN"/>
        </w:rPr>
        <w:t>管理平台上完成各项数据、</w:t>
      </w:r>
      <w:r>
        <w:rPr>
          <w:rFonts w:hint="eastAsia" w:ascii="仿宋_GB2312" w:eastAsia="仿宋_GB2312"/>
          <w:sz w:val="28"/>
          <w:szCs w:val="28"/>
        </w:rPr>
        <w:t>表格、证明材料等资料</w:t>
      </w:r>
      <w:r>
        <w:rPr>
          <w:rFonts w:hint="eastAsia" w:ascii="仿宋_GB2312" w:eastAsia="仿宋_GB2312"/>
          <w:sz w:val="28"/>
          <w:szCs w:val="28"/>
          <w:lang w:val="en-US" w:eastAsia="zh-CN"/>
        </w:rPr>
        <w:t>的上传。</w:t>
      </w:r>
    </w:p>
    <w:p>
      <w:pPr>
        <w:pStyle w:val="2"/>
        <w:ind w:left="0" w:leftChars="0" w:firstLine="0" w:firstLineChars="0"/>
        <w:rPr>
          <w:rFonts w:hint="default"/>
          <w:lang w:val="en-US"/>
        </w:rPr>
      </w:pPr>
      <w:r>
        <w:rPr>
          <w:rFonts w:hint="eastAsia" w:ascii="仿宋_GB2312" w:eastAsia="仿宋_GB2312"/>
          <w:sz w:val="28"/>
          <w:szCs w:val="28"/>
          <w:lang w:val="en-US" w:eastAsia="zh-CN"/>
        </w:rPr>
        <w:t xml:space="preserve">    5.其他服务：文创产品制作、网站建设、分馆标牌制作及其他相关协调服务工作。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Theme="minorEastAsia" w:hAnsiTheme="minorEastAsia"/>
          <w:b/>
          <w:sz w:val="28"/>
          <w:szCs w:val="28"/>
        </w:rPr>
      </w:pPr>
      <w:r>
        <w:rPr>
          <w:rFonts w:hint="eastAsia" w:asciiTheme="minorEastAsia" w:hAnsiTheme="minorEastAsia"/>
          <w:b/>
          <w:sz w:val="28"/>
          <w:szCs w:val="28"/>
        </w:rPr>
        <w:t>二、</w:t>
      </w:r>
      <w:r>
        <w:rPr>
          <w:rFonts w:hint="eastAsia" w:asciiTheme="minorEastAsia" w:hAnsiTheme="minorEastAsia"/>
          <w:b/>
          <w:sz w:val="28"/>
          <w:szCs w:val="28"/>
          <w:lang w:val="en-US" w:eastAsia="zh-CN"/>
        </w:rPr>
        <w:t>服务</w:t>
      </w:r>
      <w:r>
        <w:rPr>
          <w:rFonts w:hint="eastAsia" w:asciiTheme="minorEastAsia" w:hAnsiTheme="minorEastAsia"/>
          <w:b/>
          <w:sz w:val="28"/>
          <w:szCs w:val="28"/>
        </w:rPr>
        <w:t>完成时间</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sz w:val="28"/>
          <w:szCs w:val="28"/>
        </w:rPr>
      </w:pPr>
      <w:r>
        <w:rPr>
          <w:rFonts w:hint="eastAsia" w:ascii="仿宋_GB2312" w:eastAsia="仿宋_GB2312"/>
          <w:sz w:val="28"/>
          <w:szCs w:val="28"/>
        </w:rPr>
        <w:t>在20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31</w:t>
      </w:r>
      <w:r>
        <w:rPr>
          <w:rFonts w:hint="eastAsia" w:ascii="仿宋_GB2312" w:eastAsia="仿宋_GB2312"/>
          <w:sz w:val="28"/>
          <w:szCs w:val="28"/>
        </w:rPr>
        <w:t>日前，</w:t>
      </w:r>
      <w:r>
        <w:rPr>
          <w:rFonts w:hint="eastAsia" w:ascii="仿宋_GB2312" w:eastAsia="仿宋_GB2312"/>
          <w:sz w:val="28"/>
          <w:szCs w:val="28"/>
          <w:lang w:eastAsia="zh-CN"/>
        </w:rPr>
        <w:t>供应商</w:t>
      </w:r>
      <w:r>
        <w:rPr>
          <w:rFonts w:hint="eastAsia" w:ascii="仿宋_GB2312" w:eastAsia="仿宋_GB2312"/>
          <w:sz w:val="28"/>
          <w:szCs w:val="28"/>
        </w:rPr>
        <w:t>必须完成前款所列4项服务内容。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三、</w:t>
      </w:r>
      <w:r>
        <w:rPr>
          <w:rFonts w:hint="eastAsia" w:asciiTheme="minorEastAsia" w:hAnsiTheme="minorEastAsia"/>
          <w:b/>
          <w:sz w:val="28"/>
          <w:szCs w:val="28"/>
          <w:lang w:val="en-US" w:eastAsia="zh-CN"/>
        </w:rPr>
        <w:t>服务费用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技术服务费</w:t>
      </w:r>
      <w:r>
        <w:rPr>
          <w:rFonts w:hint="eastAsia" w:ascii="仿宋_GB2312" w:eastAsia="仿宋_GB2312"/>
          <w:sz w:val="28"/>
          <w:szCs w:val="28"/>
          <w:lang w:val="en-US" w:eastAsia="zh-CN"/>
        </w:rPr>
        <w:t>用上限值为</w:t>
      </w:r>
      <w:r>
        <w:rPr>
          <w:rFonts w:hint="eastAsia" w:ascii="仿宋_GB2312" w:eastAsia="仿宋_GB2312"/>
          <w:sz w:val="28"/>
          <w:szCs w:val="28"/>
        </w:rPr>
        <w:t>：人民币</w:t>
      </w:r>
      <w:r>
        <w:rPr>
          <w:rFonts w:hint="eastAsia" w:ascii="仿宋_GB2312" w:eastAsia="仿宋_GB2312"/>
          <w:sz w:val="28"/>
          <w:szCs w:val="28"/>
          <w:u w:val="single"/>
        </w:rPr>
        <w:t>￥</w:t>
      </w:r>
      <w:r>
        <w:rPr>
          <w:rFonts w:hint="eastAsia" w:ascii="仿宋_GB2312" w:eastAsia="仿宋_GB2312"/>
          <w:sz w:val="28"/>
          <w:szCs w:val="28"/>
          <w:u w:val="single"/>
          <w:lang w:val="en-US" w:eastAsia="zh-CN"/>
        </w:rPr>
        <w:t>80000</w:t>
      </w:r>
      <w:r>
        <w:rPr>
          <w:rFonts w:hint="eastAsia" w:ascii="仿宋_GB2312" w:eastAsia="仿宋_GB2312"/>
          <w:sz w:val="28"/>
          <w:szCs w:val="28"/>
          <w:u w:val="single"/>
        </w:rPr>
        <w:t xml:space="preserve"> </w:t>
      </w:r>
      <w:r>
        <w:rPr>
          <w:rFonts w:hint="eastAsia" w:ascii="仿宋_GB2312" w:eastAsia="仿宋_GB2312"/>
          <w:sz w:val="28"/>
          <w:szCs w:val="28"/>
        </w:rPr>
        <w:t>元（大写：</w:t>
      </w:r>
      <w:r>
        <w:rPr>
          <w:rFonts w:hint="eastAsia" w:ascii="仿宋_GB2312" w:eastAsia="仿宋_GB2312"/>
          <w:sz w:val="28"/>
          <w:szCs w:val="28"/>
          <w:lang w:val="en-US" w:eastAsia="zh-CN"/>
        </w:rPr>
        <w:t>捌万元</w:t>
      </w:r>
      <w:r>
        <w:rPr>
          <w:rFonts w:hint="eastAsia" w:ascii="仿宋_GB2312" w:eastAsia="仿宋_GB2312"/>
          <w:sz w:val="28"/>
          <w:szCs w:val="28"/>
        </w:rPr>
        <w:t>整）。包含了</w:t>
      </w:r>
      <w:r>
        <w:rPr>
          <w:rFonts w:hint="eastAsia" w:ascii="仿宋_GB2312" w:eastAsia="仿宋_GB2312"/>
          <w:sz w:val="28"/>
          <w:szCs w:val="28"/>
          <w:lang w:eastAsia="zh-CN"/>
        </w:rPr>
        <w:t>供应商</w:t>
      </w:r>
      <w:r>
        <w:rPr>
          <w:rFonts w:hint="eastAsia" w:ascii="仿宋_GB2312" w:eastAsia="仿宋_GB2312"/>
          <w:sz w:val="28"/>
          <w:szCs w:val="28"/>
        </w:rPr>
        <w:t>为完成本</w:t>
      </w:r>
      <w:r>
        <w:rPr>
          <w:rFonts w:hint="eastAsia" w:ascii="仿宋_GB2312" w:eastAsia="仿宋_GB2312"/>
          <w:sz w:val="28"/>
          <w:szCs w:val="28"/>
          <w:lang w:eastAsia="zh-CN"/>
        </w:rPr>
        <w:t>协议</w:t>
      </w:r>
      <w:r>
        <w:rPr>
          <w:rFonts w:hint="eastAsia" w:ascii="仿宋_GB2312" w:eastAsia="仿宋_GB2312"/>
          <w:sz w:val="28"/>
          <w:szCs w:val="28"/>
        </w:rPr>
        <w:t>义务所需的</w:t>
      </w:r>
      <w:r>
        <w:rPr>
          <w:rFonts w:hint="eastAsia" w:ascii="仿宋_GB2312" w:eastAsia="仿宋_GB2312"/>
          <w:sz w:val="28"/>
          <w:szCs w:val="28"/>
          <w:lang w:val="en-US" w:eastAsia="zh-CN"/>
        </w:rPr>
        <w:t>人工、差旅费、税费等费用</w:t>
      </w:r>
      <w:r>
        <w:rPr>
          <w:rFonts w:hint="eastAsia" w:ascii="仿宋_GB2312" w:eastAsia="仿宋_GB2312"/>
          <w:sz w:val="28"/>
          <w:szCs w:val="28"/>
        </w:rPr>
        <w:t>，除另有约定外，甲方不再增加。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rPr>
          <w:rFonts w:hint="eastAsia" w:asciiTheme="minorEastAsia" w:hAnsiTheme="minorEastAsia"/>
          <w:b/>
          <w:sz w:val="28"/>
          <w:szCs w:val="28"/>
        </w:rPr>
      </w:pPr>
      <w:r>
        <w:rPr>
          <w:rFonts w:hint="eastAsia" w:asciiTheme="minorEastAsia" w:hAnsiTheme="minorEastAsia"/>
          <w:b/>
          <w:sz w:val="28"/>
          <w:szCs w:val="28"/>
        </w:rPr>
        <w:t>四、支付方式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1.协议签订生效后7日内，甲方支付</w:t>
      </w:r>
      <w:r>
        <w:rPr>
          <w:rFonts w:hint="eastAsia" w:ascii="仿宋_GB2312" w:eastAsia="仿宋_GB2312"/>
          <w:sz w:val="28"/>
          <w:szCs w:val="28"/>
          <w:u w:val="single"/>
        </w:rPr>
        <w:t>￥</w:t>
      </w:r>
      <w:r>
        <w:rPr>
          <w:rFonts w:hint="eastAsia" w:ascii="仿宋_GB2312" w:eastAsia="仿宋_GB2312"/>
          <w:sz w:val="28"/>
          <w:szCs w:val="28"/>
          <w:u w:val="single"/>
          <w:lang w:val="en-US" w:eastAsia="zh-CN"/>
        </w:rPr>
        <w:t xml:space="preserve">30000 </w:t>
      </w:r>
      <w:r>
        <w:rPr>
          <w:rFonts w:hint="eastAsia" w:ascii="仿宋_GB2312" w:eastAsia="仿宋_GB2312"/>
          <w:sz w:val="28"/>
          <w:szCs w:val="28"/>
          <w:lang w:val="en-US" w:eastAsia="zh-CN"/>
        </w:rPr>
        <w:t>元给供应商，作为预付款（项目启动资金）</w:t>
      </w:r>
      <w:r>
        <w:rPr>
          <w:rFonts w:hint="eastAsia" w:ascii="仿宋_GB2312" w:eastAsia="仿宋_GB2312"/>
          <w:sz w:val="28"/>
          <w:szCs w:val="28"/>
          <w:lang w:eastAsia="zh-CN"/>
        </w:rPr>
        <w:t>，在完成本次评估定级资料提交后15日内支付</w:t>
      </w:r>
      <w:r>
        <w:rPr>
          <w:rFonts w:hint="eastAsia" w:ascii="仿宋_GB2312" w:eastAsia="仿宋_GB2312"/>
          <w:sz w:val="28"/>
          <w:szCs w:val="28"/>
          <w:u w:val="single"/>
          <w:lang w:eastAsia="zh-CN"/>
        </w:rPr>
        <w:t>￥</w:t>
      </w:r>
      <w:r>
        <w:rPr>
          <w:rFonts w:hint="eastAsia" w:ascii="仿宋_GB2312" w:eastAsia="仿宋_GB2312"/>
          <w:sz w:val="28"/>
          <w:szCs w:val="28"/>
          <w:u w:val="single"/>
          <w:lang w:val="en-US" w:eastAsia="zh-CN"/>
        </w:rPr>
        <w:t xml:space="preserve">40000 </w:t>
      </w:r>
      <w:r>
        <w:rPr>
          <w:rFonts w:hint="eastAsia" w:ascii="仿宋_GB2312" w:eastAsia="仿宋_GB2312"/>
          <w:sz w:val="28"/>
          <w:szCs w:val="28"/>
          <w:lang w:eastAsia="zh-CN"/>
        </w:rPr>
        <w:t>元，余款在评估定级结果出来后付清。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pPr>
      <w:r>
        <w:rPr>
          <w:rFonts w:hint="eastAsia" w:ascii="仿宋_GB2312" w:eastAsia="仿宋_GB2312"/>
          <w:sz w:val="28"/>
          <w:szCs w:val="28"/>
          <w:lang w:val="en-US" w:eastAsia="zh-CN"/>
        </w:rPr>
        <w:t>2.</w:t>
      </w:r>
      <w:r>
        <w:rPr>
          <w:rFonts w:hint="eastAsia" w:ascii="仿宋_GB2312" w:eastAsia="仿宋_GB2312"/>
          <w:sz w:val="28"/>
          <w:szCs w:val="28"/>
          <w:lang w:eastAsia="zh-CN"/>
        </w:rPr>
        <w:t>供应商</w:t>
      </w:r>
      <w:r>
        <w:rPr>
          <w:rFonts w:hint="eastAsia" w:ascii="仿宋_GB2312" w:eastAsia="仿宋_GB2312"/>
          <w:sz w:val="28"/>
          <w:szCs w:val="28"/>
        </w:rPr>
        <w:t xml:space="preserve">于甲方付款前向甲方开具合法有效的发票，否则甲方有权延迟付款。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sectPr>
      <w:footerReference r:id="rId3" w:type="default"/>
      <w:pgSz w:w="11906" w:h="16838"/>
      <w:pgMar w:top="986" w:right="1463" w:bottom="986"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870C3"/>
    <w:multiLevelType w:val="multilevel"/>
    <w:tmpl w:val="C47870C3"/>
    <w:lvl w:ilvl="0" w:tentative="0">
      <w:start w:val="1"/>
      <w:numFmt w:val="chineseCounting"/>
      <w:pStyle w:val="4"/>
      <w:lvlText w:val="%1、"/>
      <w:lvlJc w:val="left"/>
      <w:pPr>
        <w:tabs>
          <w:tab w:val="left" w:pos="420"/>
        </w:tabs>
        <w:ind w:left="432" w:hanging="432"/>
      </w:pPr>
      <w:rPr>
        <w:rFonts w:hint="eastAsia" w:ascii="宋体" w:hAnsi="宋体" w:eastAsia="宋体" w:cs="宋体"/>
        <w:sz w:val="30"/>
      </w:rPr>
    </w:lvl>
    <w:lvl w:ilvl="1" w:tentative="0">
      <w:start w:val="1"/>
      <w:numFmt w:val="decimal"/>
      <w:pStyle w:val="7"/>
      <w:isLgl/>
      <w:suff w:val="space"/>
      <w:lvlText w:val="%1.%2."/>
      <w:lvlJc w:val="left"/>
      <w:pPr>
        <w:tabs>
          <w:tab w:val="left" w:pos="420"/>
        </w:tabs>
        <w:ind w:left="431" w:hanging="431"/>
      </w:pPr>
      <w:rPr>
        <w:rFonts w:hint="eastAsia" w:ascii="宋体" w:hAnsi="宋体" w:eastAsia="宋体" w:cs="宋体"/>
      </w:rPr>
    </w:lvl>
    <w:lvl w:ilvl="2" w:tentative="0">
      <w:start w:val="1"/>
      <w:numFmt w:val="decimal"/>
      <w:pStyle w:val="8"/>
      <w:isLgl/>
      <w:lvlText w:val="%1.%2.%3."/>
      <w:lvlJc w:val="left"/>
      <w:pPr>
        <w:tabs>
          <w:tab w:val="left" w:pos="420"/>
        </w:tabs>
        <w:ind w:left="431" w:hanging="431"/>
      </w:pPr>
      <w:rPr>
        <w:rFonts w:hint="eastAsia" w:ascii="宋体" w:hAnsi="宋体" w:eastAsia="宋体" w:cs="宋体"/>
      </w:rPr>
    </w:lvl>
    <w:lvl w:ilvl="3" w:tentative="0">
      <w:start w:val="1"/>
      <w:numFmt w:val="decimal"/>
      <w:pStyle w:val="9"/>
      <w:isLgl/>
      <w:lvlText w:val="%1.%2.%3.%4."/>
      <w:lvlJc w:val="left"/>
      <w:pPr>
        <w:ind w:left="431" w:hanging="431"/>
      </w:pPr>
      <w:rPr>
        <w:rFonts w:hint="eastAsia" w:ascii="宋体" w:hAnsi="宋体" w:eastAsia="宋体" w:cs="宋体"/>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1" w:hanging="1151"/>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YWExNWNiYzI5MjkzMDQwMzk2YTAwZjk2MWE1NzAifQ=="/>
  </w:docVars>
  <w:rsids>
    <w:rsidRoot w:val="0DAF3F24"/>
    <w:rsid w:val="02150D7B"/>
    <w:rsid w:val="04E36464"/>
    <w:rsid w:val="05D171F8"/>
    <w:rsid w:val="098B347D"/>
    <w:rsid w:val="0B2251A2"/>
    <w:rsid w:val="0B8657F4"/>
    <w:rsid w:val="0C5012B9"/>
    <w:rsid w:val="0DAF3F24"/>
    <w:rsid w:val="0FE96503"/>
    <w:rsid w:val="102712A0"/>
    <w:rsid w:val="1785469E"/>
    <w:rsid w:val="1FED1C00"/>
    <w:rsid w:val="2066029F"/>
    <w:rsid w:val="24480F2D"/>
    <w:rsid w:val="253F41A7"/>
    <w:rsid w:val="25E47384"/>
    <w:rsid w:val="274A4FBC"/>
    <w:rsid w:val="291270A5"/>
    <w:rsid w:val="2C6154A8"/>
    <w:rsid w:val="31FE1F29"/>
    <w:rsid w:val="32844B27"/>
    <w:rsid w:val="32C358B6"/>
    <w:rsid w:val="38471022"/>
    <w:rsid w:val="3894728C"/>
    <w:rsid w:val="399107B9"/>
    <w:rsid w:val="3C9E53FF"/>
    <w:rsid w:val="42BA0DF0"/>
    <w:rsid w:val="45C71D12"/>
    <w:rsid w:val="490C25BF"/>
    <w:rsid w:val="4C452F6E"/>
    <w:rsid w:val="4E3B3F0A"/>
    <w:rsid w:val="51387C9C"/>
    <w:rsid w:val="51F329EB"/>
    <w:rsid w:val="525C4666"/>
    <w:rsid w:val="526C2FF7"/>
    <w:rsid w:val="55511028"/>
    <w:rsid w:val="5B787530"/>
    <w:rsid w:val="5CE10C78"/>
    <w:rsid w:val="5EEE5CC7"/>
    <w:rsid w:val="6369479F"/>
    <w:rsid w:val="6A10662F"/>
    <w:rsid w:val="6BFB1A79"/>
    <w:rsid w:val="6C2C5151"/>
    <w:rsid w:val="6D483319"/>
    <w:rsid w:val="719C4B11"/>
    <w:rsid w:val="72712F23"/>
    <w:rsid w:val="7739597D"/>
    <w:rsid w:val="7AA8412B"/>
    <w:rsid w:val="7D8D3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5"/>
    <w:qFormat/>
    <w:uiPriority w:val="0"/>
    <w:pPr>
      <w:keepNext/>
      <w:keepLines/>
      <w:numPr>
        <w:ilvl w:val="0"/>
        <w:numId w:val="1"/>
      </w:numPr>
      <w:tabs>
        <w:tab w:val="left" w:pos="432"/>
      </w:tabs>
      <w:spacing w:before="340" w:after="330" w:line="578" w:lineRule="auto"/>
      <w:outlineLvl w:val="0"/>
    </w:pPr>
    <w:rPr>
      <w:rFonts w:ascii="宋体" w:hAnsi="宋体" w:eastAsia="宋体" w:cs="宋体"/>
      <w:b/>
      <w:bCs/>
      <w:kern w:val="44"/>
      <w:sz w:val="30"/>
      <w:szCs w:val="44"/>
    </w:rPr>
  </w:style>
  <w:style w:type="paragraph" w:styleId="7">
    <w:name w:val="heading 2"/>
    <w:basedOn w:val="1"/>
    <w:next w:val="1"/>
    <w:semiHidden/>
    <w:unhideWhenUsed/>
    <w:qFormat/>
    <w:uiPriority w:val="0"/>
    <w:pPr>
      <w:keepNext/>
      <w:keepLines/>
      <w:numPr>
        <w:ilvl w:val="1"/>
        <w:numId w:val="1"/>
      </w:numPr>
      <w:tabs>
        <w:tab w:val="left" w:pos="575"/>
        <w:tab w:val="clear" w:pos="420"/>
      </w:tabs>
      <w:spacing w:before="260" w:after="260" w:line="416" w:lineRule="auto"/>
      <w:ind w:left="431" w:hanging="431"/>
      <w:outlineLvl w:val="1"/>
    </w:pPr>
    <w:rPr>
      <w:rFonts w:ascii="Times New Roman" w:hAnsi="Times New Roman" w:eastAsia="宋体" w:cs="Times New Roman"/>
      <w:kern w:val="0"/>
      <w:sz w:val="30"/>
      <w:szCs w:val="32"/>
    </w:rPr>
  </w:style>
  <w:style w:type="paragraph" w:styleId="8">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431" w:hanging="431"/>
      <w:outlineLvl w:val="2"/>
    </w:pPr>
    <w:rPr>
      <w:rFonts w:ascii="Calibri" w:hAnsi="Calibri" w:eastAsia="宋体" w:cs="Times New Roman"/>
      <w:b/>
      <w:sz w:val="28"/>
    </w:rPr>
  </w:style>
  <w:style w:type="paragraph" w:styleId="9">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431" w:hanging="431"/>
      <w:outlineLvl w:val="3"/>
    </w:pPr>
    <w:rPr>
      <w:rFonts w:ascii="Arial" w:hAnsi="Arial" w:eastAsia="宋体" w:cs="Times New Roman"/>
      <w:b/>
      <w:sz w:val="28"/>
    </w:rPr>
  </w:style>
  <w:style w:type="paragraph" w:styleId="10">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1">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2">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3">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4">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15">
    <w:name w:val="Plain Text"/>
    <w:basedOn w:val="1"/>
    <w:qFormat/>
    <w:uiPriority w:val="0"/>
    <w:rPr>
      <w:rFonts w:ascii="宋体" w:hAnsi="Courier New"/>
    </w:rPr>
  </w:style>
  <w:style w:type="paragraph" w:styleId="16">
    <w:name w:val="footer"/>
    <w:basedOn w:val="1"/>
    <w:qFormat/>
    <w:uiPriority w:val="0"/>
    <w:pPr>
      <w:tabs>
        <w:tab w:val="center" w:pos="4153"/>
        <w:tab w:val="right" w:pos="8306"/>
      </w:tabs>
      <w:snapToGrid w:val="0"/>
      <w:jc w:val="left"/>
    </w:pPr>
    <w:rPr>
      <w:rFonts w:cs="Times New Roman"/>
      <w:kern w:val="0"/>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规划正文"/>
    <w:basedOn w:val="1"/>
    <w:qFormat/>
    <w:uiPriority w:val="0"/>
    <w:pPr>
      <w:spacing w:before="100" w:beforeLines="100" w:line="360" w:lineRule="auto"/>
      <w:ind w:firstLine="200" w:firstLineChars="200"/>
      <w:jc w:val="left"/>
    </w:pPr>
    <w:rPr>
      <w:rFonts w:ascii="Arial" w:hAnsi="Arial" w:eastAsia="宋体" w:cs="Times New Roman"/>
      <w:bCs/>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1103</Words>
  <Characters>1123</Characters>
  <Lines>0</Lines>
  <Paragraphs>0</Paragraphs>
  <TotalTime>0</TotalTime>
  <ScaleCrop>false</ScaleCrop>
  <LinksUpToDate>false</LinksUpToDate>
  <CharactersWithSpaces>1185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2022-08-08T14:35:00Z</dcterms:created>
  <dc:creator>文戈</dc:creator>
  <cp:lastModifiedBy>文戈</cp:lastModifiedBy>
  <dcterms:modified xsi:type="dcterms:W3CDTF">2022-08-22T04:58:19Z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B677B1D8FBEC405CBA56A0C46189BE93</vt:lpwstr>
  </property>
</Properties>
</file>