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66"/>
          <w:tab w:val="left" w:pos="5464"/>
        </w:tabs>
        <w:adjustRightInd w:val="0"/>
        <w:snapToGrid w:val="0"/>
        <w:spacing w:line="360" w:lineRule="auto"/>
        <w:ind w:left="108"/>
        <w:jc w:val="center"/>
        <w:rPr>
          <w:b/>
        </w:rPr>
      </w:pPr>
      <w:r>
        <w:rPr>
          <w:rFonts w:hint="eastAsia" w:ascii="黑体" w:eastAsia="黑体"/>
          <w:b/>
          <w:sz w:val="32"/>
          <w:szCs w:val="32"/>
        </w:rPr>
        <w:t>采购需求</w:t>
      </w:r>
    </w:p>
    <w:p>
      <w:pPr>
        <w:pStyle w:val="5"/>
        <w:adjustRightInd w:val="0"/>
        <w:snapToGrid w:val="0"/>
        <w:spacing w:beforeLines="50"/>
        <w:jc w:val="center"/>
        <w:rPr>
          <w:rFonts w:ascii="宋体" w:hAnsi="宋体" w:cs="宋体"/>
        </w:rPr>
      </w:pPr>
      <w:bookmarkStart w:id="0" w:name="_Toc34637774"/>
      <w:r>
        <w:rPr>
          <w:rFonts w:hint="eastAsia" w:ascii="黑体" w:hAnsi="黑体" w:eastAsia="黑体"/>
          <w:sz w:val="28"/>
          <w:szCs w:val="28"/>
        </w:rPr>
        <w:t xml:space="preserve">第一节 </w:t>
      </w:r>
      <w:bookmarkEnd w:id="0"/>
      <w:r>
        <w:rPr>
          <w:rFonts w:hint="eastAsia" w:ascii="黑体" w:hAnsi="黑体" w:eastAsia="黑体"/>
          <w:sz w:val="28"/>
          <w:szCs w:val="28"/>
        </w:rPr>
        <w:t>采购清单一览表</w:t>
      </w:r>
    </w:p>
    <w:tbl>
      <w:tblPr>
        <w:tblStyle w:val="11"/>
        <w:tblW w:w="8098" w:type="dxa"/>
        <w:tblInd w:w="533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095"/>
        <w:gridCol w:w="1140"/>
        <w:gridCol w:w="222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2220" w:type="dxa"/>
            <w:tcBorders>
              <w:left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采购项目预算</w:t>
            </w:r>
          </w:p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（元人民币）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43" w:type="dxa"/>
            <w:tcBorders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beforeLines="50"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01</w:t>
            </w:r>
          </w:p>
        </w:tc>
        <w:tc>
          <w:tcPr>
            <w:tcW w:w="40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hAnsi="宋体" w:cs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衡阳市珠晖区东阳渡街道等3个乡镇新园社区等4个村高标准农田建设项目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（二〇二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年）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耕地质量等级评定服务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beforeLines="50"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一项</w:t>
            </w:r>
          </w:p>
        </w:tc>
        <w:tc>
          <w:tcPr>
            <w:tcW w:w="2220" w:type="dxa"/>
            <w:tcBorders>
              <w:left w:val="single" w:color="auto" w:sz="4" w:space="0"/>
              <w:right w:val="double" w:color="auto" w:sz="2" w:space="0"/>
            </w:tcBorders>
          </w:tcPr>
          <w:p>
            <w:pPr>
              <w:pStyle w:val="8"/>
              <w:adjustRightInd w:val="0"/>
              <w:snapToGrid w:val="0"/>
              <w:spacing w:beforeLines="50" w:line="360" w:lineRule="auto"/>
              <w:jc w:val="center"/>
              <w:rPr>
                <w:rFonts w:hint="default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lang w:val="en-US" w:eastAsia="zh-CN"/>
              </w:rPr>
              <w:t>6万元</w:t>
            </w:r>
          </w:p>
        </w:tc>
      </w:tr>
    </w:tbl>
    <w:p>
      <w:pPr>
        <w:pStyle w:val="5"/>
        <w:adjustRightInd w:val="0"/>
        <w:snapToGrid w:val="0"/>
        <w:spacing w:beforeLines="50"/>
        <w:jc w:val="center"/>
        <w:rPr>
          <w:rFonts w:ascii="黑体" w:hAnsi="黑体" w:eastAsia="黑体"/>
          <w:sz w:val="28"/>
          <w:szCs w:val="28"/>
        </w:rPr>
      </w:pPr>
      <w:bookmarkStart w:id="1" w:name="_Toc34637775"/>
    </w:p>
    <w:p>
      <w:pPr>
        <w:pStyle w:val="5"/>
        <w:adjustRightInd w:val="0"/>
        <w:snapToGrid w:val="0"/>
        <w:spacing w:before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第二节 </w:t>
      </w:r>
      <w:r>
        <w:rPr>
          <w:rFonts w:ascii="黑体" w:hAnsi="黑体" w:eastAsia="黑体"/>
          <w:sz w:val="28"/>
          <w:szCs w:val="28"/>
        </w:rPr>
        <w:t>技术要求</w:t>
      </w:r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</w:t>
      </w:r>
      <w:r>
        <w:rPr>
          <w:rFonts w:ascii="宋体" w:hAnsi="宋体" w:cs="宋体"/>
          <w:b/>
          <w:szCs w:val="21"/>
        </w:rPr>
        <w:t>采购项目名称：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衡阳市珠晖区东阳渡街道等3个乡镇新园社区等4个村高标准农田建设项目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二〇二二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年）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耕地质量等级评定服务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</w:t>
      </w:r>
      <w:r>
        <w:rPr>
          <w:rFonts w:ascii="宋体" w:hAnsi="宋体" w:cs="宋体"/>
          <w:b/>
          <w:szCs w:val="21"/>
        </w:rPr>
        <w:t>项目</w:t>
      </w:r>
      <w:r>
        <w:rPr>
          <w:rFonts w:hint="eastAsia" w:ascii="宋体" w:hAnsi="宋体" w:cs="宋体"/>
          <w:b/>
          <w:szCs w:val="21"/>
        </w:rPr>
        <w:t>说明</w:t>
      </w:r>
      <w:r>
        <w:rPr>
          <w:rFonts w:ascii="宋体" w:hAnsi="宋体" w:cs="宋体"/>
          <w:b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</w:pPr>
      <w:r>
        <w:rPr>
          <w:rFonts w:hint="eastAsia" w:ascii="宋体" w:hAnsi="宋体" w:cs="方正仿宋简体"/>
          <w:szCs w:val="28"/>
          <w:lang w:val="en-US" w:eastAsia="zh-CN"/>
        </w:rPr>
        <w:t xml:space="preserve">珠晖区 </w:t>
      </w:r>
      <w:r>
        <w:rPr>
          <w:rFonts w:hint="default" w:ascii="宋体" w:hAnsi="宋体" w:cs="方正仿宋简体"/>
          <w:szCs w:val="28"/>
          <w:lang w:val="en-US" w:eastAsia="zh-CN"/>
        </w:rPr>
        <w:t>202</w:t>
      </w:r>
      <w:r>
        <w:rPr>
          <w:rFonts w:hint="eastAsia" w:ascii="宋体" w:hAnsi="宋体" w:cs="方正仿宋简体"/>
          <w:szCs w:val="28"/>
          <w:lang w:val="en-US" w:eastAsia="zh-CN"/>
        </w:rPr>
        <w:t>2</w:t>
      </w:r>
      <w:r>
        <w:rPr>
          <w:rFonts w:hint="default" w:ascii="宋体" w:hAnsi="宋体" w:cs="方正仿宋简体"/>
          <w:szCs w:val="28"/>
          <w:lang w:val="en-US" w:eastAsia="zh-CN"/>
        </w:rPr>
        <w:t xml:space="preserve"> </w:t>
      </w:r>
      <w:r>
        <w:rPr>
          <w:rFonts w:hint="eastAsia" w:ascii="宋体" w:hAnsi="宋体" w:cs="方正仿宋简体"/>
          <w:szCs w:val="28"/>
          <w:lang w:val="en-US" w:eastAsia="zh-CN"/>
        </w:rPr>
        <w:t>年高标准农田建设项目涉及 3个乡镇片区。包括东阳渡街道、茶山坳镇、衡州路街道等 3个乡镇（街道）4</w:t>
      </w:r>
      <w:r>
        <w:rPr>
          <w:rFonts w:hint="default" w:ascii="宋体" w:hAnsi="宋体" w:cs="方正仿宋简体"/>
          <w:szCs w:val="28"/>
          <w:lang w:val="en-US" w:eastAsia="zh-CN"/>
        </w:rPr>
        <w:t xml:space="preserve"> </w:t>
      </w:r>
      <w:r>
        <w:rPr>
          <w:rFonts w:hint="eastAsia" w:ascii="宋体" w:hAnsi="宋体" w:cs="方正仿宋简体"/>
          <w:szCs w:val="28"/>
          <w:lang w:val="en-US" w:eastAsia="zh-CN"/>
        </w:rPr>
        <w:t>个村，本次高标准农田建设项目共 0.6</w:t>
      </w:r>
      <w:r>
        <w:rPr>
          <w:rFonts w:hint="default" w:ascii="宋体" w:hAnsi="宋体" w:cs="方正仿宋简体"/>
          <w:szCs w:val="28"/>
          <w:lang w:val="en-US" w:eastAsia="zh-CN"/>
        </w:rPr>
        <w:t xml:space="preserve"> </w:t>
      </w:r>
      <w:r>
        <w:rPr>
          <w:rFonts w:hint="eastAsia" w:ascii="宋体" w:hAnsi="宋体" w:cs="方正仿宋简体"/>
          <w:szCs w:val="28"/>
          <w:lang w:val="en-US" w:eastAsia="zh-CN"/>
        </w:rPr>
        <w:t>万亩。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方正仿宋简体"/>
          <w:szCs w:val="28"/>
        </w:rPr>
        <w:t>按照国家标准《耕地质量等级》（G</w:t>
      </w:r>
      <w:r>
        <w:rPr>
          <w:rFonts w:ascii="宋体" w:hAnsi="宋体" w:cs="方正仿宋简体"/>
          <w:szCs w:val="28"/>
        </w:rPr>
        <w:t>B/T3349-2016</w:t>
      </w:r>
      <w:r>
        <w:rPr>
          <w:rFonts w:hint="eastAsia" w:ascii="宋体" w:hAnsi="宋体" w:cs="方正仿宋简体"/>
          <w:szCs w:val="28"/>
        </w:rPr>
        <w:t>）的要求对</w:t>
      </w:r>
      <w:r>
        <w:rPr>
          <w:rFonts w:hint="eastAsia" w:ascii="宋体" w:hAnsi="宋体" w:cs="方正仿宋简体"/>
          <w:szCs w:val="28"/>
          <w:lang w:val="en-US" w:eastAsia="zh-CN"/>
        </w:rPr>
        <w:t>珠晖区</w:t>
      </w:r>
      <w:r>
        <w:rPr>
          <w:rFonts w:hint="eastAsia" w:ascii="宋体" w:hAnsi="宋体" w:cs="方正仿宋简体"/>
          <w:szCs w:val="28"/>
        </w:rPr>
        <w:t>高标建设项目区实施前、实施后的耕地质量等级分别进行评定，形成独立的评定报告。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三、服务要求、质量和标准：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  <w:lang w:eastAsia="zh-CN"/>
        </w:rPr>
        <w:t>珠晖区</w:t>
      </w:r>
      <w:r>
        <w:rPr>
          <w:rFonts w:hint="eastAsia" w:ascii="宋体" w:hAnsi="宋体" w:cs="方正仿宋简体"/>
          <w:szCs w:val="28"/>
        </w:rPr>
        <w:t>高标准农田建设项目耕地质量等级评定项目工作具体</w:t>
      </w:r>
      <w:r>
        <w:rPr>
          <w:rFonts w:hint="eastAsia" w:ascii="宋体" w:hAnsi="宋体" w:cs="方正仿宋简体"/>
          <w:szCs w:val="28"/>
          <w:lang w:val="en-US" w:eastAsia="zh-CN"/>
        </w:rPr>
        <w:t>要求</w:t>
      </w:r>
      <w:r>
        <w:rPr>
          <w:rFonts w:hint="eastAsia" w:ascii="宋体" w:hAnsi="宋体" w:cs="方正仿宋简体"/>
          <w:szCs w:val="28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1、工作申请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由</w:t>
      </w:r>
      <w:r>
        <w:rPr>
          <w:rFonts w:hint="eastAsia" w:ascii="宋体" w:hAnsi="宋体" w:cs="方正仿宋简体"/>
          <w:szCs w:val="28"/>
          <w:lang w:val="en-US" w:eastAsia="zh-CN"/>
        </w:rPr>
        <w:t>珠晖区</w:t>
      </w:r>
      <w:r>
        <w:rPr>
          <w:rFonts w:hint="eastAsia" w:ascii="宋体" w:hAnsi="宋体" w:cs="方正仿宋简体"/>
          <w:szCs w:val="28"/>
        </w:rPr>
        <w:t>农业农村局农田建设与农垦农机</w:t>
      </w:r>
      <w:r>
        <w:rPr>
          <w:rFonts w:hint="eastAsia" w:ascii="宋体" w:hAnsi="宋体" w:cs="方正仿宋简体"/>
          <w:szCs w:val="28"/>
          <w:lang w:val="en-US" w:eastAsia="zh-CN"/>
        </w:rPr>
        <w:t>股</w:t>
      </w:r>
      <w:r>
        <w:rPr>
          <w:rFonts w:hint="eastAsia" w:ascii="宋体" w:hAnsi="宋体" w:cs="方正仿宋简体"/>
          <w:szCs w:val="28"/>
        </w:rPr>
        <w:t>提出耕地质量评定申请，提供评定工作所需的相关材料。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2、开展采样并填写耕地地力评定土样品采样记录表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宋体" w:hAnsi="宋体" w:cs="方正仿宋简体"/>
          <w:szCs w:val="28"/>
          <w:highlight w:val="none"/>
        </w:rPr>
      </w:pPr>
      <w:r>
        <w:rPr>
          <w:rFonts w:hint="eastAsia" w:ascii="宋体" w:hAnsi="宋体" w:cs="方正仿宋简体"/>
          <w:szCs w:val="28"/>
          <w:highlight w:val="none"/>
        </w:rPr>
        <w:t>按照国家标准《耕地质量等级》（</w:t>
      </w:r>
      <w:r>
        <w:rPr>
          <w:rFonts w:ascii="宋体" w:hAnsi="宋体" w:cs="方正仿宋简体"/>
          <w:szCs w:val="28"/>
          <w:highlight w:val="none"/>
        </w:rPr>
        <w:t>GB/T33469--2016)</w:t>
      </w:r>
      <w:r>
        <w:rPr>
          <w:rFonts w:hint="eastAsia" w:ascii="宋体" w:hAnsi="宋体" w:cs="方正仿宋简体"/>
          <w:szCs w:val="28"/>
          <w:highlight w:val="none"/>
        </w:rPr>
        <w:t>的要求开展高标准农田建设项目耕地质量等级评定。根据地貌类型、土壤类型、肥力水平、农业生产情况的差异性，将自然分隔的项目区农田划分为多个评定单元。一般选择项目区农田存在的</w:t>
      </w:r>
      <w:r>
        <w:rPr>
          <w:rFonts w:ascii="宋体" w:hAnsi="宋体" w:cs="方正仿宋简体"/>
          <w:szCs w:val="28"/>
          <w:highlight w:val="none"/>
        </w:rPr>
        <w:t>1</w:t>
      </w:r>
      <w:r>
        <w:rPr>
          <w:rFonts w:hint="eastAsia" w:ascii="微软雅黑" w:hAnsi="微软雅黑" w:eastAsia="微软雅黑" w:cs="微软雅黑"/>
          <w:szCs w:val="28"/>
          <w:highlight w:val="none"/>
        </w:rPr>
        <w:t>〜</w:t>
      </w:r>
      <w:r>
        <w:rPr>
          <w:rFonts w:ascii="宋体" w:hAnsi="宋体" w:cs="方正仿宋简体"/>
          <w:szCs w:val="28"/>
          <w:highlight w:val="none"/>
        </w:rPr>
        <w:t>2</w:t>
      </w:r>
      <w:r>
        <w:rPr>
          <w:rFonts w:hint="eastAsia" w:ascii="宋体" w:hAnsi="宋体" w:cs="方正仿宋简体"/>
          <w:szCs w:val="28"/>
          <w:highlight w:val="none"/>
        </w:rPr>
        <w:t>个主要差异因素（如农田排灌条件、地形部位</w:t>
      </w:r>
      <w:r>
        <w:rPr>
          <w:rFonts w:ascii="宋体" w:hAnsi="宋体" w:cs="方正仿宋简体"/>
          <w:szCs w:val="28"/>
          <w:highlight w:val="none"/>
        </w:rPr>
        <w:t>)</w:t>
      </w:r>
      <w:r>
        <w:rPr>
          <w:rFonts w:hint="eastAsia" w:ascii="宋体" w:hAnsi="宋体" w:cs="方正仿宋简体"/>
          <w:szCs w:val="28"/>
          <w:highlight w:val="none"/>
        </w:rPr>
        <w:t>作为划分评定单元的依据，将单个项目区农田划分为</w:t>
      </w:r>
      <w:r>
        <w:rPr>
          <w:rFonts w:ascii="宋体" w:hAnsi="宋体" w:cs="方正仿宋简体"/>
          <w:szCs w:val="28"/>
          <w:highlight w:val="none"/>
        </w:rPr>
        <w:t>2</w:t>
      </w:r>
      <w:r>
        <w:rPr>
          <w:rFonts w:hint="eastAsia" w:ascii="宋体" w:hAnsi="宋体" w:cs="方正仿宋简体"/>
          <w:szCs w:val="28"/>
          <w:highlight w:val="none"/>
        </w:rPr>
        <w:t>个以上的评定单元，保持单元之间存在较为明显的差异。每个评定单元原则上按</w:t>
      </w:r>
      <w:r>
        <w:rPr>
          <w:rFonts w:ascii="宋体" w:hAnsi="宋体" w:cs="方正仿宋简体"/>
          <w:szCs w:val="28"/>
          <w:highlight w:val="none"/>
        </w:rPr>
        <w:t>200-500</w:t>
      </w:r>
      <w:r>
        <w:rPr>
          <w:rFonts w:hint="eastAsia" w:ascii="宋体" w:hAnsi="宋体" w:cs="方正仿宋简体"/>
          <w:szCs w:val="28"/>
          <w:highlight w:val="none"/>
        </w:rPr>
        <w:t>亩采集一个土样的标准采集</w:t>
      </w:r>
      <w:r>
        <w:rPr>
          <w:rFonts w:hint="eastAsia" w:ascii="宋体" w:hAnsi="宋体" w:cs="方正仿宋简体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方正仿宋简体"/>
          <w:szCs w:val="28"/>
          <w:highlight w:val="none"/>
        </w:rPr>
        <w:t>个以上土样品</w:t>
      </w:r>
      <w:r>
        <w:rPr>
          <w:rFonts w:hint="eastAsia" w:ascii="宋体" w:hAnsi="宋体" w:cs="方正仿宋简体"/>
          <w:szCs w:val="28"/>
          <w:highlight w:val="none"/>
          <w:lang w:eastAsia="zh-CN"/>
        </w:rPr>
        <w:t>，</w:t>
      </w:r>
      <w:r>
        <w:rPr>
          <w:rFonts w:hint="eastAsia" w:ascii="宋体" w:hAnsi="宋体" w:cs="方正仿宋简体"/>
          <w:szCs w:val="28"/>
          <w:highlight w:val="none"/>
          <w:lang w:val="en-US" w:eastAsia="zh-CN"/>
        </w:rPr>
        <w:t>点位:20个，两次实施一共40个样品，容重样品，40个，</w:t>
      </w:r>
      <w:r>
        <w:rPr>
          <w:rFonts w:hint="eastAsia" w:ascii="宋体" w:hAnsi="宋体" w:cs="方正仿宋简体"/>
          <w:szCs w:val="28"/>
          <w:highlight w:val="none"/>
        </w:rPr>
        <w:t>并填写《耕地采样记录表》。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  <w:highlight w:val="none"/>
        </w:rPr>
      </w:pPr>
      <w:r>
        <w:rPr>
          <w:rFonts w:hint="eastAsia" w:ascii="宋体" w:hAnsi="宋体" w:cs="方正仿宋简体"/>
          <w:szCs w:val="28"/>
          <w:highlight w:val="none"/>
        </w:rPr>
        <w:t>采样数据主要实施前和实施后的数据：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ascii="宋体" w:hAnsi="宋体" w:cs="方正仿宋简体"/>
          <w:szCs w:val="28"/>
        </w:rPr>
        <w:t>实施前的数据</w:t>
      </w:r>
      <w:r>
        <w:rPr>
          <w:rFonts w:hint="eastAsia" w:ascii="宋体" w:hAnsi="宋体" w:cs="方正仿宋简体"/>
          <w:szCs w:val="28"/>
        </w:rPr>
        <w:t>包括：地形部位、林网化程度、有效图层厚度、障碍层因素、耕层厚度、有机质含量、p</w:t>
      </w:r>
      <w:r>
        <w:rPr>
          <w:rFonts w:ascii="宋体" w:hAnsi="宋体" w:cs="方正仿宋简体"/>
          <w:szCs w:val="28"/>
        </w:rPr>
        <w:t>H值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有效磷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速效钾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土壤容重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耕层质地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质地构型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土壤健康状况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灌溉能力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排水能力</w:t>
      </w:r>
      <w:r>
        <w:rPr>
          <w:rFonts w:hint="eastAsia" w:ascii="宋体" w:hAnsi="宋体" w:cs="方正仿宋简体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ascii="宋体" w:hAnsi="宋体" w:cs="方正仿宋简体"/>
          <w:szCs w:val="28"/>
        </w:rPr>
        <w:t>实施后的数据包括</w:t>
      </w:r>
      <w:r>
        <w:rPr>
          <w:rFonts w:hint="eastAsia" w:ascii="宋体" w:hAnsi="宋体" w:cs="方正仿宋简体"/>
          <w:szCs w:val="28"/>
        </w:rPr>
        <w:t>：</w:t>
      </w:r>
      <w:r>
        <w:rPr>
          <w:rFonts w:ascii="宋体" w:hAnsi="宋体" w:cs="方正仿宋简体"/>
          <w:szCs w:val="28"/>
        </w:rPr>
        <w:t>林网化程度</w:t>
      </w:r>
      <w:r>
        <w:rPr>
          <w:rFonts w:hint="eastAsia" w:ascii="宋体" w:hAnsi="宋体" w:cs="方正仿宋简体"/>
          <w:szCs w:val="28"/>
        </w:rPr>
        <w:t>（依工程定）、有机质含量、</w:t>
      </w:r>
      <w:r>
        <w:rPr>
          <w:rFonts w:ascii="宋体" w:hAnsi="宋体" w:cs="方正仿宋简体"/>
          <w:szCs w:val="28"/>
        </w:rPr>
        <w:t>pH值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有效磷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速效钾</w:t>
      </w:r>
      <w:r>
        <w:rPr>
          <w:rFonts w:hint="eastAsia" w:ascii="宋体" w:hAnsi="宋体" w:cs="方正仿宋简体"/>
          <w:szCs w:val="28"/>
        </w:rPr>
        <w:t>（同一田块对照）、土壤健康程度（依工程定）、灌溉能力、排水能力（依工程定）。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3、土样样本检测及报告编制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将步骤2所采集的土样样品送具有资质的检测机构检验并完成《耕地质量评定工作报告》和《耕地质量评定技术报告》的初评工作。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ascii="宋体" w:hAnsi="宋体" w:cs="方正仿宋简体"/>
          <w:szCs w:val="28"/>
        </w:rPr>
        <w:t>4</w:t>
      </w:r>
      <w:r>
        <w:rPr>
          <w:rFonts w:hint="eastAsia" w:ascii="宋体" w:hAnsi="宋体" w:cs="方正仿宋简体"/>
          <w:szCs w:val="28"/>
        </w:rPr>
        <w:t>、</w:t>
      </w:r>
      <w:r>
        <w:rPr>
          <w:rFonts w:ascii="宋体" w:hAnsi="宋体" w:cs="方正仿宋简体"/>
          <w:szCs w:val="28"/>
        </w:rPr>
        <w:t>耕地质量评价成果审核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ascii="宋体" w:hAnsi="宋体" w:cs="方正仿宋简体"/>
          <w:szCs w:val="28"/>
        </w:rPr>
        <w:t>根据</w:t>
      </w:r>
      <w:r>
        <w:rPr>
          <w:rFonts w:hint="eastAsia" w:ascii="宋体" w:hAnsi="宋体" w:cs="方正仿宋简体"/>
          <w:szCs w:val="28"/>
        </w:rPr>
        <w:t>《</w:t>
      </w:r>
      <w:r>
        <w:rPr>
          <w:rFonts w:hint="eastAsia" w:ascii="宋体" w:hAnsi="宋体" w:cs="方正仿宋简体"/>
          <w:szCs w:val="28"/>
          <w:lang w:val="en-US" w:eastAsia="zh-CN"/>
        </w:rPr>
        <w:t>衡阳</w:t>
      </w:r>
      <w:r>
        <w:rPr>
          <w:rFonts w:hint="eastAsia" w:ascii="宋体" w:hAnsi="宋体" w:cs="方正仿宋简体"/>
          <w:szCs w:val="28"/>
        </w:rPr>
        <w:t>市高标准农田建设项目耕地质量等级评定实施方案》要求：</w:t>
      </w:r>
      <w:r>
        <w:rPr>
          <w:rFonts w:hint="eastAsia" w:ascii="宋体" w:hAnsi="宋体" w:cs="方正仿宋简体"/>
          <w:szCs w:val="28"/>
          <w:lang w:val="en-US" w:eastAsia="zh-CN"/>
        </w:rPr>
        <w:t>衡阳</w:t>
      </w:r>
      <w:r>
        <w:rPr>
          <w:rFonts w:hint="eastAsia" w:ascii="宋体" w:hAnsi="宋体" w:cs="方正仿宋简体"/>
          <w:szCs w:val="28"/>
        </w:rPr>
        <w:t>市农田建设与农垦科随机抽取5-7名专家对各县市的耕地质量报告进行审核，专家组实地复核原始数据采集的真实性、准确性、评定过程的规范性，验证评价结果与实际情况的一致性，评议《耕地质量评定工作初评报告》和《耕地质量评定技术初评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方正仿宋简体"/>
          <w:szCs w:val="28"/>
        </w:rPr>
      </w:pPr>
      <w:r>
        <w:rPr>
          <w:rFonts w:hint="eastAsia" w:ascii="宋体" w:hAnsi="宋体" w:cs="方正仿宋简体"/>
          <w:szCs w:val="28"/>
        </w:rPr>
        <w:t>5、成果提交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宋体" w:hAnsi="宋体" w:cs="宋体"/>
        </w:rPr>
      </w:pPr>
      <w:r>
        <w:rPr>
          <w:rFonts w:ascii="宋体" w:hAnsi="宋体" w:cs="方正仿宋简体"/>
          <w:szCs w:val="28"/>
        </w:rPr>
        <w:t>对完成审核的</w:t>
      </w:r>
      <w:r>
        <w:rPr>
          <w:rFonts w:hint="eastAsia" w:ascii="宋体" w:hAnsi="宋体" w:cs="方正仿宋简体"/>
          <w:szCs w:val="28"/>
        </w:rPr>
        <w:t>《耕地质量评定工作初评报告》和《耕地质量评定技术初评报告》进行上报和提交。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成交供应商向采购人提交的成果如下：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</w:t>
      </w:r>
      <w:r>
        <w:rPr>
          <w:rFonts w:hint="eastAsia" w:ascii="宋体" w:hAnsi="宋体" w:cs="宋体"/>
          <w:lang w:val="en-US" w:eastAsia="zh-CN"/>
        </w:rPr>
        <w:t>珠晖区2022年高标准农田耕地建设项目耕地质量等级评定报告、技术报告。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2、</w:t>
      </w:r>
      <w:r>
        <w:rPr>
          <w:rFonts w:hint="eastAsia" w:ascii="宋体" w:hAnsi="宋体" w:cs="宋体"/>
          <w:lang w:val="en-US" w:eastAsia="zh-CN"/>
        </w:rPr>
        <w:t>土壤化验检测报告。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3、</w:t>
      </w:r>
      <w:r>
        <w:rPr>
          <w:rFonts w:hint="eastAsia" w:ascii="宋体" w:hAnsi="宋体" w:cs="宋体"/>
          <w:lang w:val="en-US" w:eastAsia="zh-CN"/>
        </w:rPr>
        <w:t>前后两次采样点位照片及数据过录表。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4、确保通过市</w:t>
      </w:r>
      <w:r>
        <w:rPr>
          <w:rFonts w:hint="eastAsia" w:ascii="宋体" w:hAnsi="宋体" w:cs="宋体"/>
          <w:lang w:val="en-US" w:eastAsia="zh-CN"/>
        </w:rPr>
        <w:t>级评定</w:t>
      </w:r>
      <w:r>
        <w:rPr>
          <w:rFonts w:hint="eastAsia" w:ascii="宋体" w:hAnsi="宋体" w:cs="宋体"/>
        </w:rPr>
        <w:t>验收</w:t>
      </w:r>
      <w:r>
        <w:rPr>
          <w:rFonts w:hint="eastAsia" w:ascii="宋体" w:hAnsi="宋体" w:cs="宋体"/>
          <w:lang w:val="en-US" w:eastAsia="zh-CN"/>
        </w:rPr>
        <w:t>通过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四、服务期及付款方式：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　　1、服务期要求：本项目实施</w:t>
      </w:r>
      <w:r>
        <w:rPr>
          <w:rFonts w:hint="eastAsia" w:ascii="宋体" w:hAnsi="宋体" w:cs="宋体"/>
          <w:lang w:val="en-US" w:eastAsia="zh-CN"/>
        </w:rPr>
        <w:t>周期长</w:t>
      </w:r>
      <w:r>
        <w:rPr>
          <w:rFonts w:hint="eastAsia" w:ascii="宋体" w:hAnsi="宋体" w:cs="宋体"/>
        </w:rPr>
        <w:t>，要求供应商</w:t>
      </w:r>
      <w:r>
        <w:rPr>
          <w:rFonts w:hint="eastAsia" w:ascii="宋体" w:hAnsi="宋体" w:cs="宋体"/>
          <w:lang w:val="en-US" w:eastAsia="zh-CN"/>
        </w:rPr>
        <w:t>在2023年10月1号前提交所有成果。</w:t>
      </w:r>
      <w:r>
        <w:rPr>
          <w:rFonts w:hint="eastAsia" w:ascii="宋体" w:hAnsi="宋体" w:cs="宋体"/>
        </w:rPr>
        <w:t>　　2、服务地点：采购人指定地点。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cs="宋体"/>
        </w:rPr>
        <w:t>3、付款方式：</w:t>
      </w:r>
      <w:r>
        <w:rPr>
          <w:rFonts w:hint="eastAsia" w:ascii="宋体" w:hAnsi="宋体" w:cs="宋体"/>
          <w:color w:val="0000FF"/>
          <w:lang w:val="en-US" w:eastAsia="zh-CN"/>
        </w:rPr>
        <w:t>通过市级验收评定后一次性支付。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五、供应商资格要求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方正仿宋简体"/>
          <w:szCs w:val="28"/>
          <w:lang w:val="en-US" w:eastAsia="zh-CN"/>
        </w:rPr>
      </w:pPr>
      <w:r>
        <w:rPr>
          <w:rFonts w:hint="eastAsia" w:ascii="宋体" w:hAnsi="宋体" w:cs="方正仿宋简体"/>
          <w:szCs w:val="28"/>
          <w:lang w:val="en-US" w:eastAsia="zh-CN"/>
        </w:rPr>
        <w:t>1.供应商必须具备CMA资质认证或者具备与CMA资质实验室委托检测合作书。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cs="方正仿宋简体"/>
          <w:szCs w:val="28"/>
          <w:lang w:val="en-US" w:eastAsia="zh-CN"/>
        </w:rPr>
      </w:pPr>
      <w:r>
        <w:rPr>
          <w:rFonts w:hint="eastAsia" w:ascii="宋体" w:hAnsi="宋体" w:cs="方正仿宋简体"/>
          <w:szCs w:val="28"/>
          <w:lang w:val="en-US" w:eastAsia="zh-CN"/>
        </w:rPr>
        <w:t>2.供应商在衡阳市区域近3年有5个以上高标准农田项目业绩合同优先采购。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cs="方正仿宋简体"/>
          <w:szCs w:val="28"/>
          <w:lang w:val="en-US" w:eastAsia="zh-CN"/>
        </w:rPr>
      </w:pPr>
      <w:r>
        <w:rPr>
          <w:rFonts w:hint="eastAsia" w:ascii="宋体" w:hAnsi="宋体" w:cs="方正仿宋简体"/>
          <w:szCs w:val="28"/>
          <w:lang w:val="en-US" w:eastAsia="zh-CN"/>
        </w:rPr>
        <w:t>3.项目实施方案合理优秀的优先采购。</w:t>
      </w:r>
      <w:bookmarkStart w:id="2" w:name="_GoBack"/>
      <w:bookmarkEnd w:id="2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六、违约条款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甲方违约责任：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甲方未按合同约定支付应付款项，乙方有权向甲方索赔，索赔金额不超过千分之三每天，累计索赔不超过合同金额的5%；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甲方无正当理由干扰乙方编制工作，乙方有权单方面解除合同，甲方应当赔偿乙方已产生的劳务费用。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乙方违约责任：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乙方未能按要求提交编制成果，视为未能按要求完成，甲方有权扣罚乙方违约款项，金额不超过千分之三每天，乙方超过1个月仍不能提交达标的编制成果，视为不能完成，甲方有权单方面解除合同，乙方应当退回已支付款项，甲方有权向乙方要求赔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2、乙</w:t>
      </w:r>
      <w:r>
        <w:rPr>
          <w:rFonts w:hint="eastAsia"/>
          <w:sz w:val="21"/>
          <w:szCs w:val="21"/>
          <w:lang w:val="en-US" w:eastAsia="zh-CN"/>
        </w:rPr>
        <w:t>方不能通过市级验收，按照未完成处理。</w:t>
      </w:r>
    </w:p>
    <w:p>
      <w:pPr>
        <w:pStyle w:val="1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D887A"/>
    <w:multiLevelType w:val="singleLevel"/>
    <w:tmpl w:val="9E9D88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F97DCF"/>
    <w:multiLevelType w:val="singleLevel"/>
    <w:tmpl w:val="4CF97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zZkNmI1MzYyZjlmNTAwYjE1ZDY5NzQwZWY5YmIifQ=="/>
    <w:docVar w:name="KSO_WPS_MARK_KEY" w:val="c5133205-f2c5-4f05-af20-8625ee2a74ea"/>
  </w:docVars>
  <w:rsids>
    <w:rsidRoot w:val="00E318B1"/>
    <w:rsid w:val="00073613"/>
    <w:rsid w:val="001038AC"/>
    <w:rsid w:val="001562D2"/>
    <w:rsid w:val="00187CA4"/>
    <w:rsid w:val="001D03B8"/>
    <w:rsid w:val="001F60B7"/>
    <w:rsid w:val="0023332D"/>
    <w:rsid w:val="0028246A"/>
    <w:rsid w:val="002C219D"/>
    <w:rsid w:val="002D49A8"/>
    <w:rsid w:val="00301461"/>
    <w:rsid w:val="003215D8"/>
    <w:rsid w:val="00391BA8"/>
    <w:rsid w:val="0039354D"/>
    <w:rsid w:val="00462230"/>
    <w:rsid w:val="00526698"/>
    <w:rsid w:val="005608E1"/>
    <w:rsid w:val="0058452C"/>
    <w:rsid w:val="005B3BC7"/>
    <w:rsid w:val="005D4073"/>
    <w:rsid w:val="00642D70"/>
    <w:rsid w:val="0065615A"/>
    <w:rsid w:val="0069358F"/>
    <w:rsid w:val="006C6DFB"/>
    <w:rsid w:val="006C79BB"/>
    <w:rsid w:val="006E2066"/>
    <w:rsid w:val="007D764E"/>
    <w:rsid w:val="00864F12"/>
    <w:rsid w:val="00875F20"/>
    <w:rsid w:val="008B2B7B"/>
    <w:rsid w:val="00A7719A"/>
    <w:rsid w:val="00A90738"/>
    <w:rsid w:val="00AC65ED"/>
    <w:rsid w:val="00AF2289"/>
    <w:rsid w:val="00B20BC1"/>
    <w:rsid w:val="00BD613A"/>
    <w:rsid w:val="00C62FBA"/>
    <w:rsid w:val="00D609CC"/>
    <w:rsid w:val="00DE6C45"/>
    <w:rsid w:val="00DF717D"/>
    <w:rsid w:val="00E318B1"/>
    <w:rsid w:val="00E55FB7"/>
    <w:rsid w:val="00EB5DE3"/>
    <w:rsid w:val="00FA5125"/>
    <w:rsid w:val="00FB1535"/>
    <w:rsid w:val="02B9115F"/>
    <w:rsid w:val="02F91488"/>
    <w:rsid w:val="05FB55EF"/>
    <w:rsid w:val="07D91F10"/>
    <w:rsid w:val="089A3AB6"/>
    <w:rsid w:val="0AA960EE"/>
    <w:rsid w:val="0E9D2CE8"/>
    <w:rsid w:val="10317656"/>
    <w:rsid w:val="12B008E8"/>
    <w:rsid w:val="1E3531A3"/>
    <w:rsid w:val="22D8094A"/>
    <w:rsid w:val="23694659"/>
    <w:rsid w:val="264F6B28"/>
    <w:rsid w:val="2920093E"/>
    <w:rsid w:val="2D4670C1"/>
    <w:rsid w:val="2FED0CE0"/>
    <w:rsid w:val="343279DC"/>
    <w:rsid w:val="34AF3569"/>
    <w:rsid w:val="3D417033"/>
    <w:rsid w:val="3E7E58C4"/>
    <w:rsid w:val="41A00676"/>
    <w:rsid w:val="42612CC9"/>
    <w:rsid w:val="43396AF2"/>
    <w:rsid w:val="44A75C0E"/>
    <w:rsid w:val="44FF51E9"/>
    <w:rsid w:val="4C5E3312"/>
    <w:rsid w:val="4E4E414A"/>
    <w:rsid w:val="4E792340"/>
    <w:rsid w:val="4FBC1D2D"/>
    <w:rsid w:val="4FF13389"/>
    <w:rsid w:val="5A55379B"/>
    <w:rsid w:val="5A6545DD"/>
    <w:rsid w:val="5CE24796"/>
    <w:rsid w:val="6227079D"/>
    <w:rsid w:val="62283C60"/>
    <w:rsid w:val="6DC55D85"/>
    <w:rsid w:val="6DDE365A"/>
    <w:rsid w:val="722E45CA"/>
    <w:rsid w:val="724424D8"/>
    <w:rsid w:val="760A3B63"/>
    <w:rsid w:val="76E55E31"/>
    <w:rsid w:val="77766BD9"/>
    <w:rsid w:val="7F0F7501"/>
    <w:rsid w:val="7FE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3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3">
    <w:name w:val="Body Text Indent 2"/>
    <w:basedOn w:val="1"/>
    <w:next w:val="4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/>
      <w:spacing w:val="12"/>
      <w:kern w:val="0"/>
      <w:sz w:val="24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7"/>
    <w:next w:val="6"/>
    <w:qFormat/>
    <w:uiPriority w:val="0"/>
    <w:pPr>
      <w:ind w:firstLine="420" w:firstLineChars="200"/>
    </w:pPr>
  </w:style>
  <w:style w:type="character" w:customStyle="1" w:styleId="13">
    <w:name w:val="标题 2 Char"/>
    <w:link w:val="5"/>
    <w:qFormat/>
    <w:locked/>
    <w:uiPriority w:val="0"/>
    <w:rPr>
      <w:rFonts w:ascii="Arial" w:hAnsi="Arial" w:eastAsia="宋体"/>
      <w:b/>
      <w:bCs/>
      <w:kern w:val="2"/>
      <w:sz w:val="24"/>
      <w:szCs w:val="32"/>
      <w:lang w:val="en-US" w:eastAsia="zh-CN" w:bidi="ar-SA"/>
    </w:rPr>
  </w:style>
  <w:style w:type="character" w:customStyle="1" w:styleId="14">
    <w:name w:val="纯文本 Char"/>
    <w:link w:val="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5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1666</Words>
  <Characters>1735</Characters>
  <Lines>8</Lines>
  <Paragraphs>2</Paragraphs>
  <TotalTime>7</TotalTime>
  <ScaleCrop>false</ScaleCrop>
  <LinksUpToDate>false</LinksUpToDate>
  <CharactersWithSpaces>1749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2020-07-09T04:09:00Z</dcterms:created>
  <dc:creator>Administrator</dc:creator>
  <cp:lastModifiedBy>夕阳づ</cp:lastModifiedBy>
  <dcterms:modified xsi:type="dcterms:W3CDTF">2023-01-13T06:30:04Z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471599534DC14741BF4814C3B54D0DC3</vt:lpwstr>
  </property>
</Properties>
</file>