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继续教育学院多功能智慧教室实施硬件设备</w:t>
      </w:r>
    </w:p>
    <w:p/>
    <w:tbl>
      <w:tblPr>
        <w:tblStyle w:val="5"/>
        <w:tblW w:w="112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25"/>
        <w:gridCol w:w="1056"/>
        <w:gridCol w:w="724"/>
        <w:gridCol w:w="475"/>
        <w:gridCol w:w="816"/>
        <w:gridCol w:w="936"/>
        <w:gridCol w:w="3643"/>
        <w:gridCol w:w="1071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324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3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8139" w:hRule="atLeast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强力巨彩Q2Pro室内全彩led显示屏（包含控制卡、电源、LED播放软件、大屏钢结构框架、线材、调试、安装）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强力巨彩Q2Pro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P1.86 显示屏模组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7.99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"1、LED灯管：SMD表贴三合一，像素间距(mm)：≤1.86mm ； 模组尺寸320mm*160mm ；分辨率：172*86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2、主屏幕尺寸：屏幕尺寸：(宽)≥4.16m；(高)≥1.92m，屏幕面积≥7.98㎡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3、LED像素：线性排列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像素密度（点/m2）：≥288907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4、LED像素失控率：≤1/100000；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5、屏幕亮度：屏幕亮度≥800cd（色温3000-9300K可调）（亮度可调）；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6、对比度：对比度≥8000:1★需提供具备CNAS第三方检测机构得检测报告复印件，并加盖制造厂家公章。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7、发光点中心距偏差：发光点中心距偏差：＜3%，★需提供具备CNAS第三方检测机构得检测报告复印件，并加盖制造厂家公章。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8、亮度均匀性：亮度均匀性（校正后）≥97%，★需提供具备CNAS第三方检测机构得检测报告复印件，并加盖制造厂家公章。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9、色度均匀性：色度均匀性（校正后）±0.003Cx,Cy之内，★需提供具备CNAS第三方检测机构得检测报告复印件，并加盖制造厂家公章。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10、功耗：峰值≤500W/㎡，平均≤280W/㎡，★需提供具备CNAS第三方检测机构得检测报告复印件，并加盖制造厂家公章。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11、平整度：平整度≥98%★需提供具备CNAS第三方检测机构得检测报告复印件，并加盖制造厂家公章。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刷新频率：刷新频率3840Hz★需提供具备CNAS第三方检测机构得检测报告复印件，并加盖制造厂家公章。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12、换帧频率：≥60HZ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13、视角：水平视角160度，垂直视角160度。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14、色温：色温可调范围：2000k~9500k★需提供具备CNAS第三方检测机构得检测报告复印件，并加盖制造厂家公章。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15、阻燃：PCB阻燃等级V-0级，★需提供具备CNAS第三方检测机构得检测报告复印件，并加盖制造厂家公章。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16、供电要求：供电要求：110~220VAC±15%寿命典型值（h）：≥10万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★17、提供LED显示屏产品CCC认证证书；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★18、合同签订前需提供LED显示屏制造商针对本项目的授权书原件；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6081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控制卡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1、单卡输出 RGBR’数据16组；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2、单卡输出 RGB 数据20组；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3、单卡输出串行数据64组；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4、单卡带载像素为 256×256  128×512；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5、支持配置文件回读；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6、支持程序复制；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7、支持温度监控.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8、支持网线通讯状态检测；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9、支持供电电压检测；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10、支持绝大多数芯片高灰度高刷新；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11、支持逐点亮色度校正，每颗灯都有亮色度校正系数；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12、支持接收卡预存画面设置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13、升级最新控制卡，与接收卡二合一。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14、一张控制卡可控5-6张显示屏模组。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★为保证显示屏更好的显示效果，提供控制系统校正计算机软件著作权证书；投标时提供证明材料复印件或扫描件加盖厂商公章；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★为保证显示屏更好的管理，需提供LED信息屏管理软件计算机软件著作权证书；投标时提供证明材料复印件或扫描件加盖厂商公章；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★为保证电源更好的运行，需提供电源管理板嵌入式软件计算机，投标时提供相关证明材料复印件或扫描件加盖厂商公章。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★合同签订前需提供厂家专项授权书原件（加盖厂商公章）。</w:t>
            </w: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1884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1、高性价比，可靠性高，带载能力强，宽压输入，带转换开关；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2、保护功能：过载/短路保护；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3、输入电压/输入频率：100~240VAC/47~63HZ带转换开关；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输出过载保护：110%-150%切断输出，输入重启后；上升保持时间：50ms，20ms额定满载。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★为保证屏幕稳定工作和良好兼容性，电源须与显示屏为统一厂家，提供具备CNAS第三方检测机构得检测报告复印件加盖制造厂家公章、3C认证复印件加制造厂家公章；</w:t>
            </w: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1260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强力巨彩LED播放软件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多显示屏支持；多屏独立编辑；数据库显示；表格输入；网络功能；后台播放；定时播放；多窗口多任务同时播放；文本支持 Word， Excel； 可为节目窗叠加背景音乐；支持所有的动画文件（MPG ／MPEG／MPV／MPA／AVI／VCD／SWF／RM／RA／RMJ／ASF．）；丰富的图片浏览方式； 日期、 时间、 日期+时间、 模拟时钟等；各种正负计时功能；日历可透明显示；可自动播放多个任务（*.LSP）；提供外部程序接口；视频源色度、饱和度、亮度、对比度软件调节；</w:t>
            </w: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1260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强力巨彩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专用LED大屏钢结构框架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7.99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国标优质热镀锌钢材焊接制作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专用方管2*4*30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10050材型*3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10050拐角*4</w:t>
            </w: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636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调试、安装费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安装、调试、教学指导、维护等均为安排当地专人负责。</w:t>
            </w: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324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线材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2820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大唐卫士</w:t>
            </w:r>
            <w:r>
              <w:rPr>
                <w:rFonts w:ascii="Arial" w:hAnsi="Arial" w:eastAsia="Arial" w:cs="Arial"/>
                <w:color w:val="404040"/>
                <w:szCs w:val="21"/>
                <w:shd w:val="clear" w:color="auto" w:fill="FFFFFF"/>
              </w:rPr>
              <w:t>T3-5012 网络机柜12U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1、长宽高为：68cm*53cm*105cm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2、三开门</w:t>
            </w:r>
            <w:r>
              <w:rPr>
                <w:rFonts w:ascii="Segoe UI Emoji" w:hAnsi="Segoe UI Emoji" w:eastAsia="新宋体" w:cs="Segoe UI Emoji"/>
                <w:color w:val="000000"/>
                <w:kern w:val="0"/>
                <w:sz w:val="22"/>
              </w:rPr>
              <w:t>➕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</w:rPr>
              <w:t>组合成设备工作台。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3、课随意调节设备间距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4、配备6把蝴蝶锁扣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5、防震防压航空机柜箱。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6、铝合金包边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7、带滑轮，可移动机柜。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可放置电脑、服务器、调音台、控制器、稳压器、话筒接收器等硬件设备。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8139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诺瓦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V1160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1、混合矩阵式输入，标配DVI×2、HDMI×2、SDI×1（支持3G SDI且带环出）、DP×1(支持4K×1K×60Hz)；提供两路扩展输入，包括：VGA、SDI、DVI、DP可选择。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2、输出8个DVI口，分为4组，采用4×2模式，带载高达900万像素点，输出分辨率支持自定义，可做水平/垂直、等分/不等分拼接。单机可实现7680×1080×60Hz范围内的点对点显示。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3、输出可扩展监视输出口：包含一个Monitor DVI输出及一个IP回显口，可外接监视器，实时监视LED屏显示画面，或在上位机软件界面内实时监视。4、输出可扩展genlock同步信号,包含一个输入及环出，可与周边其它设备进行genlock同步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5、DP任意环出功能，可任意环出某一路输入信号，方便与下级设备互联。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6、单机多种拼接模式：单屏、双屏、三屏、四屏模式，并且具有快捷的自动拼接 设置，无需繁琐的拼接参数设置即可完成LED屏拼接显示。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7、可多机级联同步拼接，实现超大分辨率LED屏拼接显示。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8、四组输出口可独立输出，分别带载不同分辨率大小的LED屏。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9、内部4图层处理，单屏模式下可输出四个独立大小画面。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10、输入信号热备份功能，若输入信号因故障丢失，可手动或自动切换至备份信号，最大程度保证项目顺利进行。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11、具有切换器模式：单屏输出和双屏输出；单屏输出：实现3画面与1画面淡入淡出切换,；双屏输出：4K与4K之间淡入淡出切换；切换器模式下，可以进行预监模板的保存及调用，切换时间可调整。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12、每一路输入可独立的进行EDID管理，让pc输出与LED屏最匹配的分辨率。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13、多种测试图卡，无需外接信号，本机可输出多种测试画面，用于检测后端设备是否正常工作。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14、可使用上位机软件进行各项参数的调节与控制，支持无线局域网络远程控制，可以通过局域网络访问设备的IP。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15、支持RS232串口控制，可提供串口开发协议，与中控设备互联。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16、无需外接U盘和电脑，可直接在本机控制软件内，输入字幕，直接在LED屏上显示，字幕的颜色、大小、位置、透明度、底色以及滚动的方向、速度等均可调节。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17、精确亮度等级控制，低亮高灰度，优化显示效果。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18、处理器自带固定工作模板，可快速消除异常的工作状态。用户也可储存多种预设，便捷的进行不同工作模式之间的调用。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19、时间任务功能：处理器按照用户的任务安排，自行执行切换功能，真正做到无人值守。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20、旋转输出：每个口输出图像可进行90°、180°、270°旋转，水平/上下翻转，独立旋转之后可再拼接。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21、图像截取功能：可以任意的选取输入图像的某部分，全屏至LED屏显示。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22、售后服务模块，通过U盘实现软件升级更新。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厂家配备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90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音响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雅马哈(DBR10)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1、扬声器类型：两分频双功放有源全频扬声器，低音反射式（倒相式）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2、频率响应(-10dB)：55Hz – 20kHz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3、涵盖角：H ：90° ； V：60°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4、单元部分 LF：直径：10“锥形单元，音圈：2”：铁氧体磁铁；HF：膜片：1“，类型：1”压缩驱动单元，磁铁：铁氧体磁铁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5、分频器：2.1kHz: FIR-X tuning™ (线性相位FIR滤波器)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6、额定功率 动态:700 W (LF: 500 W, HF: 200 W) / 持续: 325 W (LF: 260 W, HF: 65 W)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7、实测大声压级（峰值）IEC标准粉噪1米处 129dB SPL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8、I/O 接口：INPUT1: Combo x1, INPUT2: Combo x 1 + RCA pin x 2 (非平衡), OUTPUT: XLR3-32 x 1 (CH1平行通过或CH1+CH2 混合)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9、DSP预设：D-CONTOUR: FOH/MAIN, MONITOR, OFF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10、散热：风扇散热，4速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11、电源要求：100 V, 100-120V, 220-240 V, 110/127/220V (巴西), 50/60Hz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12、功耗：60W（1/8功耗），18W（待机）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13、箱体材料塑料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14、涂装：黑色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15、把手：顶部 x 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16、吊装孔：底部 x 2 (适合 M8 x 15 mm 吊环螺栓)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17、支架插孔：35mm (底部 x 1)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18、外观尺寸：W：308mm (12.1")；   H：493mm (19.4")；D：289mm (11.4")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19、净重：10.5 kg (23.2 lbs)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DBR10有源便携式音箱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9" w:type="dxa"/>
          <w:trHeight w:val="1248" w:hRule="atLeast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话筒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迪华澳</w:t>
            </w:r>
            <w:r>
              <w:rPr>
                <w:rFonts w:hint="eastAsia" w:ascii="新宋体" w:hAnsi="新宋体" w:eastAsia="新宋体" w:cs="宋体"/>
                <w:color w:val="666666"/>
                <w:kern w:val="0"/>
                <w:sz w:val="24"/>
                <w:szCs w:val="24"/>
              </w:rPr>
              <w:t>A-9090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1、防止串音，每个信道有唯一ID码，可防止任意干扰源进入接收机干扰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2、适合舞台演出使用，数字导频技术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3、具有世界先进的ACT(自动频道锁定)功能，能快速精确的自动锁定接收机的工作频率；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4、外壳采用铝合金材料，具有耐摔不故障专业品质；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5、采用高传真，宽音域，高动态范围，高质清晰亮丽的超心型指向性的咪芯；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6、CPU控制；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7、锁相环频率合成技术；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8、分集双接收技术；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9、大屏幕动态液晶显示，可动态显示AF，RF电平及讯道转换；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10、200讯道可调,可多套同时使用不受干扰；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11、面板可设定工作距离，显示方式，面板锁功能。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12、综合特性· 射频范围: 640.000-689.750 MHz· 通道数目：200信道· 频道宽度：250 KHz· 调制方式：FM· 信噪比S/N：≥100 dBA· 失真: ≤1%· 频率响应:60-17,000 Hz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13、手持发射机· 射频范围:640.000-689.750 MHz· RF功率输出:26 mW· 振荡方式: VCO· 发射频率稳定度:≤±15 ppm· 频率响应: 60-17,000 Hz· 最大输入声压: 45 dB· 话筒拾音头:动圈式心型指向· 电池:2节“1.5V AA”型碱性或1.2V可充电电池· 功率消耗：260 mW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14、接收机· 射频范围: 640.000-689.750 MHz· 接收方式: FM· 振荡方式: VCO· 灵敏度: 7 dBμV· 频率响应: 85-17,000 Hz· 供电电压：12 VDC</w:t>
            </w:r>
          </w:p>
        </w:tc>
        <w:tc>
          <w:tcPr>
            <w:tcW w:w="10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666666"/>
                <w:kern w:val="0"/>
                <w:sz w:val="24"/>
                <w:szCs w:val="24"/>
              </w:rPr>
              <w:t>迪华澳 A-9090无线话筒一拖二教学主持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小蜜蜂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迪华澳</w:t>
            </w:r>
            <w:r>
              <w:rPr>
                <w:rFonts w:hint="eastAsia" w:ascii="新宋体" w:hAnsi="新宋体" w:eastAsia="新宋体" w:cs="宋体"/>
                <w:color w:val="666666"/>
                <w:kern w:val="0"/>
                <w:sz w:val="24"/>
                <w:szCs w:val="24"/>
              </w:rPr>
              <w:t>A-7070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1、防止串音，每个信道有唯一ID码，可防止任意干扰源进入接收机干扰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2、适合舞台演出使用，数字导频技术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3、具有世界先进的ACT(自动频道锁定)功能，能快速精确的自动锁定接收机的工作频率；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4、外壳采用铝合金材料，具有耐摔不故障专业品质；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5、采用高传真，宽音域，高动态范围，高质清晰亮丽的超心型指向性的咪芯；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6、CPU控制；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7、锁相环频率合成技术；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8、分集双接收技术；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9、大屏幕动态液晶显示，可动态显示AF，RF电平及讯道转换；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10、200讯道可调,可多套同时使用不受干扰；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11、面板可设定工作距离，显示方式，面板锁功能。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12、综合特性· 射频范围: 640.000-689.750 MHz· 通道数目：200信道· 频道宽度：250 KHz· 调制方式：FM· 信噪比S/N：≥100 dBA· 失真: ≤1%· 频率响应:60-17,000 Hz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13、手持发射机· 射频范围:640.000-689.750 MHz· RF功率输出:26 mW· 振荡方式: VCO· 发射频率稳定度:≤±15 ppm· 频率响应: 60-17,000 Hz· 最大输入声压: 45 dB· 话筒拾音头:动圈式心型指向· 电池:2节“1.5V AA”型碱性或1.2V可充电电池· 功率消耗：260 mW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14、接收机· 射频范围: 640.000-689.750 MHz· 接收方式: FM· 振荡方式: VCO· 灵敏度: 7 dBμV· 频率响应: 85-17,000 Hz· 供电电压：12 VDC"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15、频率降噪。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666666"/>
                <w:kern w:val="0"/>
                <w:sz w:val="24"/>
                <w:szCs w:val="24"/>
              </w:rPr>
              <w:t>A-7070无线一拖二领夹话筒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桌麦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迪华澳</w:t>
            </w:r>
            <w:r>
              <w:rPr>
                <w:rFonts w:hint="eastAsia" w:ascii="新宋体" w:hAnsi="新宋体" w:eastAsia="新宋体" w:cs="宋体"/>
                <w:color w:val="666666"/>
                <w:kern w:val="0"/>
                <w:sz w:val="24"/>
                <w:szCs w:val="24"/>
              </w:rPr>
              <w:t>A-988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接收频率Frequency Ranges：UHF500~960MHz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频率稳定度Frequency Stability：±0.002%(使用优于15ppm石英晶体锁定)±0.002% quartz oscillating locked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灵敏度Sensitivity(peak deviation)：10μV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邻频干扰比F/N Ratio：&gt;80dB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镜像干扰比P/N Ratio：&gt;80dB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信噪比S/N Ratio：&gt;90dB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扩展比Dilation Ratio：1: 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音频输出AF Output Voltage(at peak deviation 1kHz AF out)：可调0~300mV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接收频道Channels：4路4 Channels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输出接口Output jack：6.3不平衡混合口Unbalanced 6.3 jack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电源电压Power Supply：220V(50Hz)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功耗Power Consumption：6W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天线Antenna：外置天线Exterior Antenna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动态范围Dynamic frequency range：&gt;100dB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综合失真T.H.D.：&lt;1%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工作温度Temperature Range：-10℃~50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会议发射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发射频率Frequency Ranges：UHF500~960MHz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频率稳定度Frequency Stability：0.002%(用优于15ppm石英晶体锁定)±0.002% quartz oscillating locked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发射功率RF Output Power：30mW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电流耗损Current Consumption：&lt;25mA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副谐波Harmonic radiation：&lt;主波40dB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制式Modulation Mode：调频FM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调偏度Deviation Range：±20KHz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压缩比Compress Ratio：2: 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拾音器Microphone Head：超心型电容式Condenser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电池Battery Type：1.5V AA碱性电池，可连续使用5小时one 9V battery Battery Life: 5 Hours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天线Anternna：外置式Exterior Antenna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频率响应Frequency Response：50Hz~15KHz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有效距离Receiver distance：30米(理想环境下) 30 meters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迪华澳 </w:t>
            </w:r>
            <w:r>
              <w:rPr>
                <w:rFonts w:hint="eastAsia" w:ascii="新宋体" w:hAnsi="新宋体" w:eastAsia="新宋体" w:cs="宋体"/>
                <w:color w:val="666666"/>
                <w:kern w:val="0"/>
                <w:sz w:val="24"/>
                <w:szCs w:val="24"/>
              </w:rPr>
              <w:t>A-988无线一拖四鹅颈会议话筒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雅马哈MGP12X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1、12通道调音台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2、6个话筒 / 12个线路输入 (4个单声道 + 4个立体声)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3、2编组母线 + 1立体声母线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4、2 AUX (包括FX)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5、“D-PRE”话放，带有倒向晶体管电路。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6、单旋钮压缩器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7、效果器：SPX，含24组预置效果器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8、单声道输入通道上的PAD开关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9、+48V幻象供电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10、XLR平衡输出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11、世界通用的内部全局供电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12、可选购安装套件 RK-MG12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13、金属机身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14、外观尺寸(W×H×D)： 308 mm x 118 mm x 422 mm (12.1" x4.6" x16.6")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15、净重： 4.2 kg (9.3 lbs.)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雅马哈MGP12X调音台，会议演出12路。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高清摄像机（NX200）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索尼HXR-NX200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产品类型：4K摄像机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产品定位：专业摄像机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光学变焦：12倍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可更换镜头：支持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存储介质：闪存式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传感器类型：CMOS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最大像素：2000万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有效像素：1420万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实际焦距：f=9.3-111.6mm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最大光圈：F/2.8-F/11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滤镜直径：62mm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可更换镜头：支持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液晶屏尺寸 ：2.5英寸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液晶屏像素 ：4K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取景器描述 ：彩色取景器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对焦范围：自动/手动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其它功能：WIFI，取景器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HDMI接口：支持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其它接口：BNC (×1)，复合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电池类型：锂电池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两种供电方式：原装锂电池和电源供电，无需为拍摄时间长而担心机器断电。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拍摄像素可调、分辨率可调、超长焦虑可调、录制格式可调等功能。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主要用于主席台领导、主持人等特写镜头或全景拍摄录制。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用于教师录课、特写镜头机位使用。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可以搭载录播提词器适用。</w:t>
            </w:r>
          </w:p>
        </w:tc>
        <w:tc>
          <w:tcPr>
            <w:tcW w:w="10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HXR-NX200专业摄像机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摄像机移动支架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科漫KX3838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材质：铝合金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2、调节节数：4节，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3、最低高度：580mm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4、最高高度为1440-1840mm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5、自重：2.5kg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6、横旋转角度：360度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7、俯仰范围：+90度—— -70度（160度可调）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8、手柄：固定长度手柄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9、反折叠：180度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10、可以安装滑轮底座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科漫KX3838，摄像机三脚架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摄像机专业内存卡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索尼128G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SF－G1UY3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1、128G；SF－G1UY3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2、支持UHS-II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3、高速读取277MB/S，写入150M/S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4、支持4K录制、2K录制、1080P录制、720P录制、480P录制。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5、产品类型：SDHC卡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6、产品容量；128G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7、读取速度：70-90MB/s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8、速度等级：class10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9、UHS速度等级：Class1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10:工作环境温度：-25-85℃</w:t>
            </w:r>
          </w:p>
        </w:tc>
        <w:tc>
          <w:tcPr>
            <w:tcW w:w="10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SF－G1UY3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录课补光灯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摄影怪兵器Hakutatz led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1、耐高温等灯座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2、高反光纹理材料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3、155W LED灯泡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4、支持录课面部补光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5、3200-5500k暖白光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6、95+高显指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7、补光均匀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8、工作高度：80--200cm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9、支持：一键开关、升降旋钮开关、三角支撑、标准接口。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Hakutatz led摄影灯补光灯。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戴尔灵越3910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1、显示器：23.8寸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2、cpu：12代i5-12400F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3、内存：16g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4、显卡：rtx系，显存2G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5、硬盘：固态256G+机械1T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6、电源：600W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7、包含风冷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8、包含主板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9、包含配线、鼠标键盘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戴尔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P2722H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屏幕尺寸：27英寸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屏幕比例：16:9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屏幕刷新率：60Hz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分辨率：1920*1080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色数：16.7M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点距：0.311mm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亮度：300cd/㎡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产品净重（kg）：9.31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壁挂规格：100x100mm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支架底座：旋转升降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是否支持壁挂：支持壁挂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产品尺寸：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长380mm；宽194mm；高609mm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接口：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支持HDMI接口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支持VGA接口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支持USB扩展/充电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支持DP接口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显示器支架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AOC AM400B/93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类别：显示器支架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商品毛重：2.6kg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安装方式：桌夹式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适配类型：有孔显示器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支架屏数：单屏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特征：曲面适配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工作原理：机械式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升降台档位调节：无极调节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适用vesa孔距：75x75mm；100x100mm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适用桌面厚度：50mm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升降范围：249mm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适配尺寸：17-34英寸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适用17-34英寸/2-9kg/机械弹簧/褐色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直播录播专业提词器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天影视通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双屏民用级TS－2000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1、双屏提词器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2、玻璃透光率≥97%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3、分光 比2:8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4、支持txt、rtf、word、ppt、图片、视频等格式。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5、无线控制、脚踏控制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6、双屏，支持观看实时状态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双屏民用级TS－2000演播室提词器，20寸。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直播软件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弘成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1) 教师支持电脑客户端及网页端进行直播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实现自由创建直播间，支持随时开启直播，可多次使用。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实现直播中断续播，直播过程若出现断网、断电情况，教师重新登录即可继续直播。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实现设置直播教学录制与回放，直播过程中可进行云录制，直播结束后生成回放，学生可查看回放内容。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2) 开展直播教学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实现开启直播前对硬件设备的自动监测检测，设备检测项包括系统检测、摄像头检测、扬声器、麦克风检测等。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实现教师教学画面共享，支持桌面共享、应用共享、区域共享；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实现学生视音频连线，包括视频连线、语音连线；支持教师邀请学生连线、学生向教师申请连线；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实现学生举手功能，便于老师挑选学员参与教学活动；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实现师生互动聊天，师生聊天支持文字、表情、图片、@其他成员等，教师端还可以控制禁言；学生端还支持送花、能够只看老师聊天等。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3) 直播教学数据统计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模块提供相应的数据统计分析，主要包括访客数据和直播间互动数据。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实现直播访客数据统计，包括直播、回放等。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4）含一年4次的直播流量并发及所需空间存储。 每节直播课堂在120分钟内；√ 视频质量标准：标清，码率600kbps；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√ 一路视频推流（一位主讲教师），学生可音频连麦；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√ 支持回放看课回放；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5） 免费与弘成成教管理平台、弘成非学历综合培训平台对接，实现面向成人学历学生、社会培训学员的直播活动；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）学生可使用APP、H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页面、电脑WEB、电脑客户端等方式参与在线直播。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智课工具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弘成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套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1）支持Window版的客户端，集课件录制+课件剪辑+课件设计+课程分享等核心功能为一体　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支持录屏（全屏录制、区域录制、应用模式录制）、摄像头+PPT模式。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2）支持视频剪辑、字幕、编辑、合成、水印等操作。可批量处理第三方视频转码。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）完整的目录结构设计课程，并支持多类型的资源活动。支持web、H5预览。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）支持scrom课程，支持普通课程（html），课程资源模式多等导出。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可本地分享及上传云端浏览学习。</w:t>
            </w:r>
          </w:p>
          <w:p>
            <w:pPr>
              <w:rPr>
                <w:rFonts w:ascii="新宋体" w:hAnsi="新宋体" w:eastAsia="新宋体"/>
                <w:color w:val="000000"/>
                <w:sz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</w:rPr>
              <w:t>5）需对接学校弘成成教、非学历等业务平台，业务平台账号登录后，可直接上传视频课程至线上课程库，方便使用及分享。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/>
    <w:p/>
    <w:p>
      <w:pPr>
        <w:rPr>
          <w:rFonts w:ascii="微软雅黑 Light" w:hAnsi="微软雅黑 Light" w:eastAsia="微软雅黑 Light"/>
        </w:rPr>
      </w:pPr>
    </w:p>
    <w:p>
      <w:pPr>
        <w:ind w:firstLine="420" w:firstLineChars="200"/>
      </w:pPr>
      <w:r>
        <w:rPr>
          <w:rFonts w:hint="eastAsia" w:ascii="微软雅黑 Light" w:hAnsi="微软雅黑 Light" w:eastAsia="微软雅黑 Light"/>
        </w:rPr>
        <w:t>资信及商务要求</w:t>
      </w:r>
    </w:p>
    <w:tbl>
      <w:tblPr>
        <w:tblStyle w:val="5"/>
        <w:tblpPr w:leftFromText="180" w:rightFromText="180" w:vertAnchor="text" w:horzAnchor="page" w:tblpX="1155" w:tblpY="10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质保期和售后服务保障要求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质保期：</w:t>
            </w:r>
          </w:p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提供三年免费质保，针对平台，合作期内如有版本更新，需提供平台免费更新升级，bug免费修复。</w:t>
            </w:r>
          </w:p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售后服务保障要求：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供应商承诺签订合同后，设立固定服务团队，能对项目要求积极反应。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提供远程技术服务以电话、QQ、微信、Email等方式提供7*24小时响应。</w:t>
            </w:r>
          </w:p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cs="Calibri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）</w:t>
            </w:r>
            <w:r>
              <w:rPr>
                <w:rFonts w:cs="Calibri" w:asciiTheme="majorEastAsia" w:hAnsiTheme="majorEastAsia" w:eastAsiaTheme="majorEastAsia"/>
                <w:szCs w:val="21"/>
              </w:rPr>
              <w:t>所有设备在质量保证期内免费维修，维护，软件提供免费升级；免费提供人员技术培训和提供软件文档，资料。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质保</w:t>
            </w:r>
            <w:r>
              <w:rPr>
                <w:rFonts w:cs="Calibri" w:asciiTheme="majorEastAsia" w:hAnsiTheme="majorEastAsia" w:eastAsiaTheme="majorEastAsia"/>
                <w:szCs w:val="21"/>
              </w:rPr>
              <w:t>期外发生的损坏，负责设备的终身维修，修理和换件应按成本费收取，不再收取其它费用。</w:t>
            </w:r>
          </w:p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cs="Calibri"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）投标人应保证所提供货物是全新的、未使用过的，并完全符合合同规定的质量、规格和性能的要求。</w:t>
            </w:r>
          </w:p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cs="Calibri" w:asciiTheme="majorEastAsia" w:hAnsiTheme="majorEastAsia" w:eastAsiaTheme="majorEastAsia"/>
                <w:szCs w:val="21"/>
              </w:rPr>
              <w:t>5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）</w:t>
            </w:r>
            <w:r>
              <w:rPr>
                <w:rFonts w:cs="Calibri" w:asciiTheme="majorEastAsia" w:hAnsiTheme="majorEastAsia" w:eastAsiaTheme="majorEastAsia"/>
                <w:szCs w:val="21"/>
              </w:rPr>
              <w:t>中标方应保证上述各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投标产品</w:t>
            </w:r>
            <w:r>
              <w:rPr>
                <w:rFonts w:cs="Calibri" w:asciiTheme="majorEastAsia" w:hAnsiTheme="majorEastAsia" w:eastAsiaTheme="majorEastAsia"/>
                <w:szCs w:val="21"/>
              </w:rPr>
              <w:t>从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交付</w:t>
            </w:r>
            <w:r>
              <w:rPr>
                <w:rFonts w:cs="Calibri" w:asciiTheme="majorEastAsia" w:hAnsiTheme="majorEastAsia" w:eastAsiaTheme="majorEastAsia"/>
                <w:szCs w:val="21"/>
              </w:rPr>
              <w:t>验收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合格</w:t>
            </w:r>
            <w:r>
              <w:rPr>
                <w:rFonts w:cs="Calibri" w:asciiTheme="majorEastAsia" w:hAnsiTheme="majorEastAsia" w:eastAsiaTheme="majorEastAsia"/>
                <w:szCs w:val="21"/>
              </w:rPr>
              <w:t>之日起(原厂质保)保修</w:t>
            </w:r>
            <w:r>
              <w:rPr>
                <w:rFonts w:hint="eastAsia" w:cs="Arial" w:asciiTheme="majorEastAsia" w:hAnsiTheme="majorEastAsia" w:eastAsiaTheme="majorEastAsia"/>
                <w:szCs w:val="21"/>
              </w:rPr>
              <w:t>3</w:t>
            </w:r>
            <w:r>
              <w:rPr>
                <w:rFonts w:cs="Calibri"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（招标需求中另有说明的除外）</w:t>
            </w:r>
            <w:r>
              <w:rPr>
                <w:rFonts w:cs="Calibri" w:asciiTheme="majorEastAsia" w:hAnsiTheme="majorEastAsia" w:eastAsiaTheme="majorEastAsia"/>
                <w:szCs w:val="21"/>
              </w:rPr>
              <w:t>。在保修期内如发现货物有其它潜在缺陷及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用户</w:t>
            </w:r>
            <w:r>
              <w:rPr>
                <w:rFonts w:cs="Calibri" w:asciiTheme="majorEastAsia" w:hAnsiTheme="majorEastAsia" w:eastAsiaTheme="majorEastAsia"/>
                <w:szCs w:val="21"/>
              </w:rPr>
              <w:t>使用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后发现存在</w:t>
            </w:r>
            <w:r>
              <w:rPr>
                <w:rFonts w:cs="Calibri" w:asciiTheme="majorEastAsia" w:hAnsiTheme="majorEastAsia" w:eastAsiaTheme="majorEastAsia"/>
                <w:szCs w:val="21"/>
              </w:rPr>
              <w:t>不符合投标书承诺的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标准的</w:t>
            </w:r>
            <w:r>
              <w:rPr>
                <w:rFonts w:cs="Calibri" w:asciiTheme="majorEastAsia" w:hAnsiTheme="majorEastAsia" w:eastAsiaTheme="majorEastAsia"/>
                <w:szCs w:val="21"/>
              </w:rPr>
              <w:t>，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用户</w:t>
            </w:r>
            <w:r>
              <w:rPr>
                <w:rFonts w:cs="Calibri" w:asciiTheme="majorEastAsia" w:hAnsiTheme="majorEastAsia" w:eastAsiaTheme="majorEastAsia"/>
                <w:szCs w:val="21"/>
              </w:rPr>
              <w:t>有权退货或向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中标方</w:t>
            </w:r>
            <w:r>
              <w:rPr>
                <w:rFonts w:cs="Calibri" w:asciiTheme="majorEastAsia" w:hAnsiTheme="majorEastAsia" w:eastAsiaTheme="majorEastAsia"/>
                <w:szCs w:val="21"/>
              </w:rPr>
              <w:t>索赔。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备品备件及耗材等要求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投标时标明常用备品备件及耗材的投标价。供应商还应具有4小时内在本地提供备品备件的服务能力。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实施要求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项目安装调试完成后，运行没有任何问题后方可进行验收；凭【验收单】明细项验收，没有用户同意不许临时变更。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交货时间及地点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交货时间：合同签订后</w:t>
            </w:r>
            <w:r>
              <w:rPr>
                <w:rFonts w:cs="Calibri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cs="Calibri" w:asciiTheme="majorEastAsia" w:hAnsiTheme="majorEastAsia" w:eastAsiaTheme="majorEastAsia"/>
                <w:szCs w:val="21"/>
              </w:rPr>
              <w:t>个工作日。</w:t>
            </w:r>
          </w:p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交货地点：招标人指定地点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59"/>
              <w:outlineLvl w:val="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培训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Calibri"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提供免费培训：一次现场培训、一次远程培训，每次不少于8小时。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szCs w:val="21"/>
              </w:rPr>
              <w:t>免费提供完整的平台配套的产品资料，如管理人员使用手册、教师使用手册和学生使用手册等，同时提供电子文档、使用视频教程。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59"/>
              <w:outlineLvl w:val="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付款条件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59"/>
              <w:outlineLvl w:val="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本项目不设预付款，经用户系统验收合格并交付正常使用无问题后，支付全部货款。</w:t>
            </w:r>
          </w:p>
          <w:p>
            <w:pPr>
              <w:autoSpaceDE w:val="0"/>
              <w:autoSpaceDN w:val="0"/>
              <w:adjustRightInd w:val="0"/>
              <w:snapToGrid w:val="0"/>
              <w:ind w:left="59"/>
              <w:outlineLvl w:val="1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合同总价的</w:t>
            </w: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％作为履约保证金，签订合同前由中标单位交入学校指定帐户，货物交付验收合格后</w:t>
            </w:r>
            <w:r>
              <w:rPr>
                <w:rFonts w:asciiTheme="majorEastAsia" w:hAnsiTheme="majorEastAsia" w:eastAsiaTheme="majorEastAsia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个人工作日内，经用户单位确认，无息退回中标单位。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F11B"/>
    <w:multiLevelType w:val="singleLevel"/>
    <w:tmpl w:val="E5FFF1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019E72"/>
    <w:multiLevelType w:val="singleLevel"/>
    <w:tmpl w:val="7C019E7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jNzMwNGE1OGIxODNiMzY3NWNiODRmNmM3ZWYxNmYifQ=="/>
  </w:docVars>
  <w:rsids>
    <w:rsidRoot w:val="00310438"/>
    <w:rsid w:val="000E2FC3"/>
    <w:rsid w:val="001538F2"/>
    <w:rsid w:val="00185988"/>
    <w:rsid w:val="00274F5E"/>
    <w:rsid w:val="00310438"/>
    <w:rsid w:val="003B4282"/>
    <w:rsid w:val="005468C2"/>
    <w:rsid w:val="00723954"/>
    <w:rsid w:val="007A7EB5"/>
    <w:rsid w:val="0081515B"/>
    <w:rsid w:val="00821923"/>
    <w:rsid w:val="00AC12D7"/>
    <w:rsid w:val="00D45C46"/>
    <w:rsid w:val="00DA13CA"/>
    <w:rsid w:val="00DF1A6F"/>
    <w:rsid w:val="06C93A6F"/>
    <w:rsid w:val="12797943"/>
    <w:rsid w:val="16D5509D"/>
    <w:rsid w:val="1FF453E7"/>
    <w:rsid w:val="2EEF70A0"/>
    <w:rsid w:val="394A3959"/>
    <w:rsid w:val="4802260C"/>
    <w:rsid w:val="48DD3E5A"/>
    <w:rsid w:val="5EEB4063"/>
    <w:rsid w:val="6A8D419B"/>
    <w:rsid w:val="73FA4EC3"/>
    <w:rsid w:val="7C9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7529</Words>
  <Characters>9719</Characters>
  <Lines>75</Lines>
  <Paragraphs>21</Paragraphs>
  <TotalTime>89</TotalTime>
  <ScaleCrop>false</ScaleCrop>
  <LinksUpToDate>false</LinksUpToDate>
  <CharactersWithSpaces>10035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2022-09-01T17:17:00Z</dcterms:created>
  <dc:creator>夏小龙</dc:creator>
  <cp:lastModifiedBy>王洵</cp:lastModifiedBy>
  <dcterms:modified xsi:type="dcterms:W3CDTF">2022-09-20T08:04:17Z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DB7E3DBD24E94CEDAD85701ADFAFFCE8</vt:lpwstr>
  </property>
</Properties>
</file>