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1470" w:firstLine="0" w:firstLineChars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</w:t>
      </w:r>
      <w:bookmarkStart w:id="0" w:name="_GoBack"/>
      <w:r>
        <w:rPr>
          <w:rFonts w:hint="eastAsia"/>
          <w:sz w:val="36"/>
          <w:szCs w:val="36"/>
        </w:rPr>
        <w:t>普陀区东港中学第二期无线网络</w:t>
      </w:r>
      <w:r>
        <w:rPr>
          <w:rFonts w:hint="eastAsia"/>
          <w:sz w:val="36"/>
          <w:szCs w:val="36"/>
          <w:lang w:eastAsia="zh-CN"/>
        </w:rPr>
        <w:t>设备项目</w:t>
      </w:r>
    </w:p>
    <w:p>
      <w:pPr>
        <w:pStyle w:val="2"/>
        <w:ind w:left="0" w:leftChars="0" w:right="1470" w:firstLine="0" w:firstLineChars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反向竞价清单</w:t>
      </w:r>
      <w:bookmarkEnd w:id="0"/>
    </w:p>
    <w:tbl>
      <w:tblPr>
        <w:tblW w:w="9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193"/>
        <w:gridCol w:w="3325"/>
        <w:gridCol w:w="695"/>
        <w:gridCol w:w="724"/>
        <w:gridCol w:w="764"/>
        <w:gridCol w:w="87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采购商品</w:t>
            </w:r>
          </w:p>
        </w:tc>
        <w:tc>
          <w:tcPr>
            <w:tcW w:w="3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品牌型号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上网行为管理网关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RG-EG3000SE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34800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管理软件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RG-SNC-Pro-License-15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口汇聚交换机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RG-S5310-48SFP4XS-E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22680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口汇聚交换机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RG-S5310-24SFP4XS-E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6718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口接入交换机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RG-SF2900-8GT2SFP-P-S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12070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高密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AP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RG-AP850-AR(V2)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17640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光面板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AP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RG-MAP852-SF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114460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DC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电源适配器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RG-DC4805-BA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千兆单芯光模块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GE-SFP-LX03-SM1310-BIDI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22407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万兆多模光模块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XG-SFP-SR-MM850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万兆单模光模块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XG-SFP-LR-SM1310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千兆单模光模块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锐捷 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MINI-GBIC-LX-SM1310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光纤、网线及安装附件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299000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right="1470" w:firstLine="1260" w:firstLineChars="450"/>
        <w:jc w:val="left"/>
        <w:rPr>
          <w:rFonts w:hint="eastAsia"/>
          <w:sz w:val="28"/>
          <w:szCs w:val="28"/>
        </w:rPr>
      </w:pPr>
    </w:p>
    <w:p>
      <w:pPr>
        <w:pStyle w:val="2"/>
        <w:ind w:left="0" w:leftChars="0" w:right="1470" w:firstLine="1260" w:firstLineChars="450"/>
        <w:jc w:val="left"/>
        <w:rPr>
          <w:rFonts w:hint="eastAsia"/>
          <w:sz w:val="28"/>
          <w:szCs w:val="28"/>
        </w:rPr>
      </w:pPr>
    </w:p>
    <w:p>
      <w:pPr>
        <w:pStyle w:val="2"/>
        <w:ind w:left="0" w:leftChars="0" w:right="1470" w:firstLine="1260" w:firstLineChars="450"/>
        <w:jc w:val="left"/>
        <w:rPr>
          <w:rFonts w:hint="eastAsia"/>
          <w:sz w:val="28"/>
          <w:szCs w:val="28"/>
        </w:rPr>
      </w:pPr>
    </w:p>
    <w:p>
      <w:pPr>
        <w:pStyle w:val="2"/>
        <w:ind w:left="0" w:leftChars="0" w:right="1470" w:firstLine="1260" w:firstLineChars="450"/>
        <w:jc w:val="left"/>
        <w:rPr>
          <w:rFonts w:hint="eastAsia"/>
          <w:sz w:val="28"/>
          <w:szCs w:val="28"/>
        </w:rPr>
      </w:pPr>
    </w:p>
    <w:p>
      <w:pPr>
        <w:pStyle w:val="2"/>
        <w:ind w:left="0" w:leftChars="0" w:right="1470" w:firstLine="1260" w:firstLineChars="450"/>
        <w:jc w:val="left"/>
        <w:rPr>
          <w:rFonts w:hint="eastAsia"/>
          <w:sz w:val="28"/>
          <w:szCs w:val="28"/>
        </w:rPr>
      </w:pPr>
    </w:p>
    <w:p>
      <w:pPr>
        <w:pStyle w:val="2"/>
        <w:ind w:left="0" w:leftChars="0" w:right="1470" w:firstLine="1260" w:firstLineChars="450"/>
        <w:jc w:val="left"/>
        <w:rPr>
          <w:rFonts w:hint="eastAsia"/>
          <w:sz w:val="28"/>
          <w:szCs w:val="28"/>
        </w:rPr>
      </w:pPr>
    </w:p>
    <w:p>
      <w:pPr>
        <w:pStyle w:val="2"/>
        <w:ind w:left="0" w:leftChars="0" w:right="1470" w:firstLine="1260" w:firstLineChars="450"/>
        <w:jc w:val="left"/>
        <w:rPr>
          <w:rFonts w:hint="eastAsia"/>
          <w:sz w:val="28"/>
          <w:szCs w:val="28"/>
        </w:rPr>
      </w:pPr>
    </w:p>
    <w:p>
      <w:pPr>
        <w:pStyle w:val="2"/>
        <w:ind w:left="0" w:leftChars="0" w:right="1470" w:firstLine="0" w:firstLineChars="0"/>
        <w:jc w:val="left"/>
        <w:rPr>
          <w:rFonts w:hint="eastAsia"/>
          <w:sz w:val="28"/>
          <w:szCs w:val="28"/>
        </w:rPr>
      </w:pPr>
    </w:p>
    <w:p>
      <w:pPr>
        <w:rPr>
          <w:rFonts w:hint="eastAsia"/>
        </w:rPr>
        <w:sectPr>
          <w:pgSz w:w="11906" w:h="16838"/>
          <w:pgMar w:top="1440" w:right="1009" w:bottom="1440" w:left="1009" w:header="851" w:footer="992" w:gutter="0"/>
          <w:paperSrc/>
          <w:cols w:space="0" w:num="1"/>
          <w:rtlGutter w:val="0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135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17"/>
        <w:gridCol w:w="1560"/>
        <w:gridCol w:w="7842"/>
        <w:gridCol w:w="705"/>
        <w:gridCol w:w="645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采购项目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品牌型号</w:t>
            </w:r>
          </w:p>
        </w:tc>
        <w:tc>
          <w:tcPr>
            <w:tcW w:w="7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技术参数要求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上网行为管理网关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RG-EG3000SE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1、固化4个独立千兆电口，</w:t>
            </w:r>
          </w:p>
          <w:p>
            <w:r>
              <w:rPr>
                <w:rFonts w:hint="eastAsia"/>
              </w:rPr>
              <w:t>2、固化4个千兆combo口（光电复用），</w:t>
            </w:r>
          </w:p>
          <w:p>
            <w:r>
              <w:rPr>
                <w:rFonts w:hint="eastAsia"/>
              </w:rPr>
              <w:t>3、内置1T硬盘，两个硬盘插槽，8G内存，并发在线用户数2000，两个接口扩展槽，双电源插槽，标配单电源，内置风扇；</w:t>
            </w:r>
          </w:p>
          <w:p>
            <w:r>
              <w:rPr>
                <w:rFonts w:hint="eastAsia"/>
              </w:rPr>
              <w:t>★4、本次配置1块扩展EGM3000-8GE2XS万兆卡单卡(8个千兆电口，2个万兆光口)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管理软件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RG-SNC-Pro-License-15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SNC 软件License，每个License可增加15个设备节点授权许可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  <w:r>
              <w:t>8</w:t>
            </w:r>
            <w:r>
              <w:rPr>
                <w:rFonts w:hint="eastAsia"/>
              </w:rPr>
              <w:t>口汇聚交换机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RG-S5310-48SFP4XS-E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 xml:space="preserve">★1、交换容量≥670Gbps ，转发性能≥190Mpps(若官网存在双指标，以最小值为准)； </w:t>
            </w:r>
          </w:p>
          <w:p>
            <w:r>
              <w:rPr>
                <w:rFonts w:hint="eastAsia"/>
              </w:rPr>
              <w:t>2、固化100/1000M SFP光接口≥48，10G/1G SFP+光接口≥4个</w:t>
            </w:r>
          </w:p>
          <w:p>
            <w:r>
              <w:rPr>
                <w:rFonts w:hint="eastAsia"/>
              </w:rPr>
              <w:t>3、支持可拔插双模块化电源；</w:t>
            </w:r>
          </w:p>
          <w:p>
            <w:r>
              <w:rPr>
                <w:rFonts w:hint="eastAsia"/>
              </w:rPr>
              <w:t>★4、要求所投产品端口浪涌抗扰度≥10KV，要求投标时提供具有 CMA或CAL或 CNAS认证章的测试报告复印件；</w:t>
            </w:r>
          </w:p>
          <w:p>
            <w:r>
              <w:rPr>
                <w:rFonts w:hint="eastAsia"/>
              </w:rPr>
              <w:t>5、支持静态路由、RIP/RIPng、OSPFv2/OSPFv3等三层路由协议；</w:t>
            </w:r>
          </w:p>
          <w:p>
            <w:r>
              <w:rPr>
                <w:rFonts w:hint="eastAsia"/>
              </w:rPr>
              <w:t>6、支持SAVI功能，可防止地址解析欺骗；</w:t>
            </w:r>
          </w:p>
          <w:p>
            <w:r>
              <w:rPr>
                <w:rFonts w:hint="eastAsia"/>
              </w:rPr>
              <w:t>7、支持CPU保护功能，能限制非法报文对CPU的攻击，保护交换机在各种环境下稳定工作；</w:t>
            </w:r>
          </w:p>
          <w:p>
            <w:r>
              <w:rPr>
                <w:rFonts w:hint="eastAsia"/>
              </w:rPr>
              <w:t>8、支持SNMP、CLI(Telnet/Console)、RMON、SSH、Syslog、NTP/SNTP、FTP、TFTP、Web ；</w:t>
            </w:r>
          </w:p>
          <w:p>
            <w:r>
              <w:rPr>
                <w:rFonts w:hint="eastAsia"/>
              </w:rPr>
              <w:t>★9、提供工信部三层交换机进网许可证复印件；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口汇聚交换机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RG-S5310-24SFP4XS-E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★1、交换容量≥670Gbps ，转发性能≥150Mpps(若官网存在双指标，以最小值为准)；</w:t>
            </w:r>
          </w:p>
          <w:p>
            <w:r>
              <w:rPr>
                <w:rFonts w:hint="eastAsia"/>
              </w:rPr>
              <w:t>2、固化100/1000M SFP光接口≥24，10G/1G SFP+光接口≥4个</w:t>
            </w:r>
          </w:p>
          <w:p>
            <w:r>
              <w:rPr>
                <w:rFonts w:hint="eastAsia"/>
              </w:rPr>
              <w:t>3、支持可拔插双模块化电源；</w:t>
            </w:r>
          </w:p>
          <w:p>
            <w:r>
              <w:rPr>
                <w:rFonts w:hint="eastAsia"/>
              </w:rPr>
              <w:t>★4、要求所投产品端口浪涌抗扰度≥10KV，要求投标时提供具有 CMA或CAL或 CNAS认证章的测试报告复印件；</w:t>
            </w:r>
          </w:p>
          <w:p>
            <w:r>
              <w:rPr>
                <w:rFonts w:hint="eastAsia"/>
              </w:rPr>
              <w:t>5、支持静态路由、RIP/RIPng、OSPFv2/OSPFv3等三层路由协议；</w:t>
            </w:r>
          </w:p>
          <w:p>
            <w:r>
              <w:rPr>
                <w:rFonts w:hint="eastAsia"/>
              </w:rPr>
              <w:t>6、支持SAVI功能，可防止地址解析欺骗；</w:t>
            </w:r>
          </w:p>
          <w:p>
            <w:r>
              <w:rPr>
                <w:rFonts w:hint="eastAsia"/>
              </w:rPr>
              <w:t>7、支持CPU保护功能，能限制非法报文对CPU的攻击，保护交换机在各种环境下稳定工作；</w:t>
            </w:r>
          </w:p>
          <w:p>
            <w:r>
              <w:rPr>
                <w:rFonts w:hint="eastAsia"/>
              </w:rPr>
              <w:t>8、支持SNMP、CLI(Telnet/Console)、RMON、SSH、Syslog、NTP/SNTP、FTP、TFTP、Web ；</w:t>
            </w:r>
          </w:p>
          <w:p>
            <w:r>
              <w:rPr>
                <w:rFonts w:hint="eastAsia"/>
              </w:rPr>
              <w:t>★9、提供工信部三层交换机进网许可证复印件；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8口接入交换机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RG-SF2900-8GT2SFP-P-S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1、固化10/100/1000M以太网电口≥8个，100/1000M SFP千兆光接口≥2个；</w:t>
            </w:r>
          </w:p>
          <w:p>
            <w:r>
              <w:rPr>
                <w:rFonts w:hint="eastAsia"/>
              </w:rPr>
              <w:t>2、交换容量≥256Gbps，包转发率≥30Mpps；</w:t>
            </w:r>
          </w:p>
          <w:p>
            <w:r>
              <w:rPr>
                <w:rFonts w:hint="eastAsia"/>
              </w:rPr>
              <w:t>★3、要求所投产品支持POE和POE+远程供电，POE供电功率为125W；</w:t>
            </w:r>
          </w:p>
          <w:p>
            <w:r>
              <w:rPr>
                <w:rFonts w:hint="eastAsia"/>
              </w:rPr>
              <w:t>★4、为避免设备运行时产生噪声污染，要求设备采用静音设计，噪声指标＜35dB，提供国家认可的检测机构出具的噪声检测报告复印件；</w:t>
            </w:r>
          </w:p>
          <w:p>
            <w:r>
              <w:rPr>
                <w:rFonts w:hint="eastAsia"/>
              </w:rPr>
              <w:t>5、采用金属外壳和金属网口设计；</w:t>
            </w:r>
          </w:p>
          <w:p>
            <w:r>
              <w:rPr>
                <w:rFonts w:hint="eastAsia"/>
              </w:rPr>
              <w:t>6、支持端口浪涌抗扰度≥8KV（即具备8KV的防雷能力）；</w:t>
            </w:r>
          </w:p>
          <w:p>
            <w:r>
              <w:rPr>
                <w:rFonts w:hint="eastAsia"/>
              </w:rPr>
              <w:t>★7、支持并配置零配置上线，零配置替换、智能替换自适应不同型号间的设备替换功能，保留测试权利；</w:t>
            </w:r>
          </w:p>
          <w:p>
            <w:r>
              <w:rPr>
                <w:rFonts w:hint="eastAsia"/>
              </w:rPr>
              <w:t>★8、支持与核心交换机、管理软件联动，实现光模块与光链路运维检测与故障告警，并可在拓扑中呈现并查看详细信息，包括提供告警原因分析与处理建议，投标时提供具有CMA或CAL或CNAS认证章的第三方权威机构检验报告复印件证明；</w:t>
            </w:r>
          </w:p>
          <w:p>
            <w:r>
              <w:rPr>
                <w:rFonts w:hint="eastAsia"/>
              </w:rPr>
              <w:t>9、支持SNMP、CLI(Telnet/Console)、Syslog、NTP、TFTP、Web；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高密AP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RG-AP850-AR(V2)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★1、支持802.11ax标准，采用硬件独立的四射频设计，支持三张射频卡同时工作在5G频段，提供相关证明材料；</w:t>
            </w:r>
          </w:p>
          <w:p>
            <w:r>
              <w:rPr>
                <w:rFonts w:hint="eastAsia"/>
              </w:rPr>
              <w:t>2、整机支持8条空间流；整机最大无线速率≥4Gbps；</w:t>
            </w:r>
          </w:p>
          <w:p>
            <w:r>
              <w:rPr>
                <w:rFonts w:hint="eastAsia"/>
              </w:rPr>
              <w:t>★3、至少支持1个2.5G以太网端口，1个SFP光口，提供相关证明材料；</w:t>
            </w:r>
          </w:p>
          <w:p>
            <w:r>
              <w:rPr>
                <w:rFonts w:hint="eastAsia"/>
              </w:rPr>
              <w:t>4、支持1个10/100/1000M以太网端口对外供电；</w:t>
            </w:r>
          </w:p>
          <w:p>
            <w:r>
              <w:rPr>
                <w:rFonts w:hint="eastAsia"/>
              </w:rPr>
              <w:t>5、支持内置蓝牙5.0；</w:t>
            </w:r>
          </w:p>
          <w:p>
            <w:r>
              <w:rPr>
                <w:rFonts w:hint="eastAsia"/>
              </w:rPr>
              <w:t>6、防护等级IP41；</w:t>
            </w:r>
          </w:p>
          <w:p>
            <w:r>
              <w:rPr>
                <w:rFonts w:hint="eastAsia"/>
              </w:rPr>
              <w:t>★7、提供投标设备无线核准证复印件。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光面板AP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RG-MAP852-SF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1、</w:t>
            </w:r>
            <w:r>
              <w:t>支持802.11ax标准</w:t>
            </w:r>
            <w:r>
              <w:rPr>
                <w:rFonts w:hint="eastAsia"/>
              </w:rPr>
              <w:t>，</w:t>
            </w:r>
            <w:r>
              <w:t>采用双路双频设计</w:t>
            </w:r>
            <w:r>
              <w:rPr>
                <w:rFonts w:hint="eastAsia"/>
              </w:rPr>
              <w:t>，</w:t>
            </w:r>
            <w:r>
              <w:t>支持多种形态安装，可壁挂或适配面板安装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2、</w:t>
            </w:r>
            <w:r>
              <w:t>整机4条空间流，整机最大接入速率≥1.77Gbps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★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支持1个SFP光口上联，支持4个1G以太网口下联，提供官网截图和链接证明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4、</w:t>
            </w:r>
            <w:r>
              <w:t>支持内置蓝牙5.0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5、</w:t>
            </w:r>
            <w:r>
              <w:t>支持即插即用，更换光入室AP后，无需做任何配置，即可替换使用</w:t>
            </w:r>
            <w:r>
              <w:rPr>
                <w:rFonts w:hint="eastAsia"/>
              </w:rPr>
              <w:t>；</w:t>
            </w:r>
          </w:p>
          <w:p>
            <w:r>
              <w:t>6</w:t>
            </w:r>
            <w:r>
              <w:rPr>
                <w:rFonts w:hint="eastAsia"/>
              </w:rPr>
              <w:t>、</w:t>
            </w:r>
            <w:r>
              <w:t>光入室AP具备防环功能，当下联的端口存在环路时，系统会自动检测到环路并且关闭产生环路的端口，且能在环路消除后，自动重新打开端口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★7、提供投标设备无线核准证复印件；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DC电源适配器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RG-DC4805-BA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DC电源适配器（48V/0.5A），凤凰头，适用于RG-MAP852-SF本地供电场景。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97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千兆单芯光模块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GE-SFP-LX03-SM1310-BIDI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光模块-SFP千兆BIDI光模块-TX1310/RX1550，3km，LC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万兆多模光模块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XG-SFP-SR-MM850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万兆LC接口模块（62.5/125μm：33米；50/125μm：66米；模态带宽为2000MHz•km时传输300米），适用于SFP+接口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万兆单模光模块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XG-SFP-LR-SM1310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万兆单模LC接口模块，适用于SFP+接口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千兆单模光模块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锐捷 </w:t>
            </w:r>
            <w:r>
              <w:t>MINI-GBIC-LX-SM1310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1000BASE-LX mini GBIC转换模块（1310nm），10km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光纤、网线及安装附件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所有设备安装到位，光纤、网线布置，光纤熔接、包括光纤配线架、光纤尾纤等设备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</w:tbl>
    <w:p>
      <w:r>
        <w:rPr>
          <w:rFonts w:hint="eastAsia"/>
        </w:rPr>
        <w:t>二、商务要求</w:t>
      </w:r>
    </w:p>
    <w:p>
      <w:r>
        <w:rPr>
          <w:rFonts w:hint="eastAsia"/>
        </w:rPr>
        <w:t>1、预中标供应商在预中标后三个工作内提供中标产品明细清单、详细参数、偏离表、明细价格表及竞价文件要求提供的证明材料并加盖</w:t>
      </w:r>
      <w:r>
        <w:rPr>
          <w:rFonts w:hint="eastAsia"/>
          <w:lang w:eastAsia="zh-CN"/>
        </w:rPr>
        <w:t>原厂</w:t>
      </w:r>
      <w:r>
        <w:rPr>
          <w:rFonts w:hint="eastAsia"/>
        </w:rPr>
        <w:t>公章，预中标后3个工作日内不能提供的预中标供应商视为放弃成交资格。</w:t>
      </w:r>
    </w:p>
    <w:p>
      <w:r>
        <w:rPr>
          <w:rFonts w:hint="eastAsia"/>
        </w:rPr>
        <w:t>2、</w:t>
      </w:r>
      <w:r>
        <w:t>采购文件</w:t>
      </w:r>
      <w:r>
        <w:rPr>
          <w:rFonts w:hint="eastAsia"/>
        </w:rPr>
        <w:t>（附件）</w:t>
      </w:r>
      <w:r>
        <w:t>中标</w:t>
      </w:r>
      <w:r>
        <w:rPr>
          <w:rFonts w:hint="eastAsia"/>
        </w:rPr>
        <w:t>有</w:t>
      </w:r>
      <w:r>
        <w:t>“</w:t>
      </w:r>
      <w:r>
        <w:rPr>
          <w:rFonts w:hint="eastAsia"/>
        </w:rPr>
        <w:t>★</w:t>
      </w:r>
      <w:r>
        <w:t>”的技术指标</w:t>
      </w:r>
      <w:r>
        <w:rPr>
          <w:rFonts w:hint="eastAsia"/>
        </w:rPr>
        <w:t>不容许</w:t>
      </w:r>
      <w:r>
        <w:t>发生偏离的</w:t>
      </w:r>
      <w:r>
        <w:rPr>
          <w:rFonts w:hint="eastAsia"/>
        </w:rPr>
        <w:t>，如发生偏离或其他技术指标如有</w:t>
      </w:r>
      <w:r>
        <w:t>明显不符合采购文件</w:t>
      </w:r>
      <w:r>
        <w:rPr>
          <w:rFonts w:hint="eastAsia"/>
        </w:rPr>
        <w:t>（附件）参数</w:t>
      </w:r>
      <w:r>
        <w:t>标明的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条以上），采购单位有权取消其中标资格，验收时发现产品不符合采购文件（附件）参数要求或中标单位提供的中标产品详细参数则不予验收通过；</w:t>
      </w:r>
    </w:p>
    <w:p>
      <w:r>
        <w:t>5</w:t>
      </w:r>
      <w:r>
        <w:rPr>
          <w:rFonts w:hint="eastAsia"/>
        </w:rPr>
        <w:t>、投标人所交付的产品应是交付前最新生产且未被使用过的全新产品，同时必须具有在中国境内的合法使用权，并提供随机配件。</w:t>
      </w:r>
    </w:p>
    <w:p>
      <w:r>
        <w:t>6</w:t>
      </w:r>
      <w:r>
        <w:rPr>
          <w:rFonts w:hint="eastAsia"/>
        </w:rPr>
        <w:t>、成交供应商必须在2022年8月</w:t>
      </w:r>
      <w:r>
        <w:t xml:space="preserve"> </w:t>
      </w:r>
      <w:r>
        <w:rPr>
          <w:rFonts w:hint="eastAsia"/>
        </w:rPr>
        <w:t>15</w:t>
      </w:r>
      <w:r>
        <w:t xml:space="preserve"> </w:t>
      </w:r>
      <w:r>
        <w:rPr>
          <w:rFonts w:hint="eastAsia"/>
        </w:rPr>
        <w:t>日之前把所有设备运抵甲方指定地点并安装完成。</w:t>
      </w:r>
    </w:p>
    <w:p>
      <w:r>
        <w:t>7</w:t>
      </w:r>
      <w:r>
        <w:rPr>
          <w:rFonts w:hint="eastAsia"/>
        </w:rPr>
        <w:t>、所有硬件设备在</w:t>
      </w:r>
      <w:r>
        <w:t>7</w:t>
      </w:r>
      <w:r>
        <w:rPr>
          <w:rFonts w:hint="eastAsia"/>
        </w:rPr>
        <w:t>天内发现有质量问题，中标人负责更换整机，在保修期内发现有质量问题，中标人负责免费更换有质量问题的设备。</w:t>
      </w:r>
    </w:p>
    <w:p>
      <w:r>
        <w:t>8</w:t>
      </w:r>
      <w:r>
        <w:rPr>
          <w:rFonts w:hint="eastAsia"/>
        </w:rPr>
        <w:t>、质保期：所有设备免费保修三年，原厂保修服务内容必须是其标准的产品服务和投标承诺的服务。</w:t>
      </w:r>
    </w:p>
    <w:p>
      <w:r>
        <w:t>9</w:t>
      </w:r>
      <w:r>
        <w:rPr>
          <w:rFonts w:hint="eastAsia"/>
        </w:rPr>
        <w:t>、售中、售后服务要求：安装、调试时中标人必须指派专业技术人员现场参加，直至验收合格。接到用户报修电话，1小时内响应，2小时内赶到现场。相关产品的原厂工程师必须在规定的时间内赶赴现场，提供不间断服务直至排除故障（不可抗拒因素及因合理理由同业主沟通并得到采购人同意的除外）。</w:t>
      </w:r>
    </w:p>
    <w:p>
      <w:r>
        <w:t>10</w:t>
      </w:r>
      <w:r>
        <w:rPr>
          <w:rFonts w:hint="eastAsia"/>
        </w:rPr>
        <w:t>、项目实施完成后，应向采购单位项目负责人提供详尽的文档资料（包括配置文档、使用手册、测试文档等），并负责免费培训。</w:t>
      </w:r>
    </w:p>
    <w:p>
      <w:r>
        <w:t>11</w:t>
      </w:r>
      <w:r>
        <w:rPr>
          <w:rFonts w:hint="eastAsia"/>
        </w:rPr>
        <w:t>、提供切实可行的售后应急方案，包括对现场故障诊断，应急解决方案，确保用户正常工作。</w:t>
      </w:r>
    </w:p>
    <w:p>
      <w:r>
        <w:t>12</w:t>
      </w:r>
      <w:r>
        <w:rPr>
          <w:rFonts w:hint="eastAsia"/>
        </w:rPr>
        <w:t>、质保期满后，必须配合采购单位做好后续衔接工作。</w:t>
      </w:r>
    </w:p>
    <w:p>
      <w:pPr>
        <w:rPr>
          <w:rFonts w:hint="eastAsia"/>
          <w:lang w:eastAsia="zh-CN"/>
        </w:rPr>
      </w:pPr>
      <w:r>
        <w:t>1</w:t>
      </w:r>
      <w:r>
        <w:rPr>
          <w:rFonts w:hint="eastAsia"/>
        </w:rPr>
        <w:t>3、本项目付款方式为全部货物验收合格后，一次性支付全部货款。</w:t>
      </w:r>
    </w:p>
    <w:p>
      <w:pPr>
        <w:pStyle w:val="2"/>
        <w:ind w:left="0" w:leftChars="0" w:right="1470" w:firstLine="0" w:firstLineChars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普陀区东港中学</w:t>
      </w:r>
    </w:p>
    <w:p>
      <w:pPr>
        <w:pStyle w:val="2"/>
        <w:ind w:left="0" w:leftChars="0" w:right="147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2022年8月2日</w:t>
      </w:r>
    </w:p>
    <w:sectPr>
      <w:pgSz w:w="16838" w:h="11906" w:orient="landscape"/>
      <w:pgMar w:top="1633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945B0"/>
    <w:rsid w:val="000050F4"/>
    <w:rsid w:val="00013E3E"/>
    <w:rsid w:val="00117744"/>
    <w:rsid w:val="001227D3"/>
    <w:rsid w:val="00262847"/>
    <w:rsid w:val="002911E2"/>
    <w:rsid w:val="002945B0"/>
    <w:rsid w:val="002D4054"/>
    <w:rsid w:val="003076DF"/>
    <w:rsid w:val="003F560C"/>
    <w:rsid w:val="0049397F"/>
    <w:rsid w:val="00584D2F"/>
    <w:rsid w:val="005D09A0"/>
    <w:rsid w:val="007127E2"/>
    <w:rsid w:val="007727E1"/>
    <w:rsid w:val="0082135F"/>
    <w:rsid w:val="008D17D1"/>
    <w:rsid w:val="009B57FA"/>
    <w:rsid w:val="00BC2A6E"/>
    <w:rsid w:val="00E4169B"/>
    <w:rsid w:val="00E67114"/>
    <w:rsid w:val="00E70AEC"/>
    <w:rsid w:val="6C4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516</Words>
  <Characters>2947</Characters>
  <Lines>24</Lines>
  <Paragraphs>6</Paragraphs>
  <TotalTime>32</TotalTime>
  <ScaleCrop>false</ScaleCrop>
  <LinksUpToDate>false</LinksUpToDate>
  <CharactersWithSpaces>3457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2022-07-14T08:00:00Z</dcterms:created>
  <dc:creator>Windows 用户</dc:creator>
  <cp:lastModifiedBy>Administrator</cp:lastModifiedBy>
  <dcterms:modified xsi:type="dcterms:W3CDTF">2022-08-02T02:56:04Z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8745BF33B6D5474D8F83C8878140C023</vt:lpwstr>
  </property>
</Properties>
</file>