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b/>
          <w:bCs/>
          <w:sz w:val="32"/>
          <w:szCs w:val="32"/>
        </w:rPr>
      </w:pPr>
      <w:r>
        <w:rPr>
          <w:rFonts w:hint="eastAsia" w:ascii="宋体" w:hAnsi="宋体"/>
          <w:b/>
          <w:bCs/>
          <w:sz w:val="32"/>
          <w:szCs w:val="32"/>
          <w:lang w:val="en-US" w:eastAsia="zh-CN"/>
        </w:rPr>
        <w:t>实验室废弃物暂存柜系统采购清单</w:t>
      </w:r>
    </w:p>
    <w:tbl>
      <w:tblPr>
        <w:tblStyle w:val="5"/>
        <w:tblW w:w="14261" w:type="dxa"/>
        <w:tblInd w:w="98" w:type="dxa"/>
        <w:tblLayout w:type="fixed"/>
        <w:tblCellMar>
          <w:top w:w="0" w:type="dxa"/>
          <w:left w:w="10" w:type="dxa"/>
          <w:bottom w:w="0" w:type="dxa"/>
          <w:right w:w="10" w:type="dxa"/>
        </w:tblCellMar>
      </w:tblPr>
      <w:tblGrid>
        <w:gridCol w:w="416"/>
        <w:gridCol w:w="1088"/>
        <w:gridCol w:w="9247"/>
        <w:gridCol w:w="705"/>
        <w:gridCol w:w="630"/>
        <w:gridCol w:w="1050"/>
        <w:gridCol w:w="1125"/>
      </w:tblGrid>
      <w:tr>
        <w:tblPrEx>
          <w:tblCellMar>
            <w:top w:w="0" w:type="dxa"/>
            <w:left w:w="10" w:type="dxa"/>
            <w:bottom w:w="0" w:type="dxa"/>
            <w:right w:w="10" w:type="dxa"/>
          </w:tblCellMar>
        </w:tblPrEx>
        <w:trPr>
          <w:trHeight w:val="90" w:hRule="atLeast"/>
        </w:trPr>
        <w:tc>
          <w:tcPr>
            <w:tcW w:w="416" w:type="dxa"/>
            <w:tcBorders>
              <w:top w:val="single" w:color="auto" w:sz="6" w:space="0"/>
              <w:left w:val="single" w:color="auto" w:sz="6" w:space="0"/>
              <w:bottom w:val="single" w:color="auto" w:sz="6" w:space="0"/>
              <w:right w:val="single" w:color="auto" w:sz="6" w:space="0"/>
            </w:tcBorders>
            <w:vAlign w:val="center"/>
          </w:tcPr>
          <w:p>
            <w:pPr>
              <w:jc w:val="center"/>
              <w:rPr>
                <w:b/>
              </w:rPr>
            </w:pPr>
            <w:r>
              <w:rPr>
                <w:rFonts w:ascii="宋体" w:hAnsi="宋体"/>
                <w:b/>
              </w:rPr>
              <w:t>序号</w:t>
            </w:r>
          </w:p>
        </w:tc>
        <w:tc>
          <w:tcPr>
            <w:tcW w:w="1088" w:type="dxa"/>
            <w:tcBorders>
              <w:top w:val="single" w:color="auto" w:sz="6" w:space="0"/>
              <w:left w:val="nil"/>
              <w:bottom w:val="single" w:color="auto" w:sz="6" w:space="0"/>
              <w:right w:val="single" w:color="auto" w:sz="6" w:space="0"/>
            </w:tcBorders>
            <w:vAlign w:val="center"/>
          </w:tcPr>
          <w:p>
            <w:pPr>
              <w:jc w:val="center"/>
              <w:rPr>
                <w:b/>
              </w:rPr>
            </w:pPr>
            <w:r>
              <w:rPr>
                <w:rFonts w:hint="eastAsia" w:ascii="宋体" w:hAnsi="宋体"/>
                <w:b/>
              </w:rPr>
              <w:t>产品</w:t>
            </w:r>
            <w:r>
              <w:rPr>
                <w:rFonts w:ascii="宋体" w:hAnsi="宋体"/>
                <w:b/>
              </w:rPr>
              <w:t>名称</w:t>
            </w:r>
            <w:r>
              <w:rPr>
                <w:rFonts w:hint="eastAsia"/>
                <w:b/>
              </w:rPr>
              <w:t>/</w:t>
            </w:r>
            <w:r>
              <w:rPr>
                <w:rFonts w:hint="eastAsia" w:ascii="宋体" w:hAnsi="宋体"/>
                <w:b/>
              </w:rPr>
              <w:t>服务项目</w:t>
            </w:r>
          </w:p>
        </w:tc>
        <w:tc>
          <w:tcPr>
            <w:tcW w:w="9247" w:type="dxa"/>
            <w:tcBorders>
              <w:top w:val="single" w:color="auto" w:sz="6" w:space="0"/>
              <w:left w:val="nil"/>
              <w:bottom w:val="single" w:color="auto" w:sz="6" w:space="0"/>
              <w:right w:val="single" w:color="auto" w:sz="4" w:space="0"/>
            </w:tcBorders>
            <w:vAlign w:val="center"/>
          </w:tcPr>
          <w:p>
            <w:pPr>
              <w:jc w:val="center"/>
              <w:rPr>
                <w:b/>
              </w:rPr>
            </w:pPr>
            <w:r>
              <w:rPr>
                <w:rFonts w:hint="eastAsia" w:ascii="宋体" w:hAnsi="宋体"/>
                <w:b/>
              </w:rPr>
              <w:t>产品技术指标</w:t>
            </w:r>
            <w:r>
              <w:rPr>
                <w:rFonts w:hint="eastAsia"/>
                <w:b/>
              </w:rPr>
              <w:t>/</w:t>
            </w:r>
            <w:r>
              <w:rPr>
                <w:rFonts w:hint="eastAsia" w:ascii="宋体" w:hAnsi="宋体"/>
                <w:b/>
              </w:rPr>
              <w:t>服务内容及工作要求</w:t>
            </w:r>
          </w:p>
        </w:tc>
        <w:tc>
          <w:tcPr>
            <w:tcW w:w="705" w:type="dxa"/>
            <w:tcBorders>
              <w:top w:val="single" w:color="auto" w:sz="6" w:space="0"/>
              <w:left w:val="nil"/>
              <w:bottom w:val="single" w:color="auto" w:sz="6" w:space="0"/>
              <w:right w:val="single" w:color="auto" w:sz="6" w:space="0"/>
            </w:tcBorders>
            <w:vAlign w:val="center"/>
          </w:tcPr>
          <w:p>
            <w:pPr>
              <w:jc w:val="center"/>
              <w:rPr>
                <w:rFonts w:hint="eastAsia" w:ascii="宋体" w:hAnsi="宋体"/>
                <w:b/>
                <w:lang w:val="en-US" w:eastAsia="zh-CN"/>
              </w:rPr>
            </w:pPr>
            <w:r>
              <w:rPr>
                <w:rFonts w:hint="eastAsia" w:ascii="宋体" w:hAnsi="宋体"/>
                <w:b/>
                <w:lang w:val="en-US" w:eastAsia="zh-CN"/>
              </w:rPr>
              <w:t>数量</w:t>
            </w:r>
          </w:p>
        </w:tc>
        <w:tc>
          <w:tcPr>
            <w:tcW w:w="630" w:type="dxa"/>
            <w:tcBorders>
              <w:top w:val="single" w:color="auto" w:sz="6" w:space="0"/>
              <w:left w:val="nil"/>
              <w:bottom w:val="single" w:color="auto" w:sz="6" w:space="0"/>
              <w:right w:val="single" w:color="auto" w:sz="6" w:space="0"/>
            </w:tcBorders>
            <w:vAlign w:val="center"/>
          </w:tcPr>
          <w:p>
            <w:pPr>
              <w:jc w:val="center"/>
              <w:rPr>
                <w:rFonts w:hint="eastAsia" w:ascii="宋体" w:hAnsi="宋体"/>
                <w:b/>
                <w:lang w:val="en-US" w:eastAsia="zh-CN"/>
              </w:rPr>
            </w:pPr>
            <w:r>
              <w:rPr>
                <w:rFonts w:hint="eastAsia" w:ascii="宋体" w:hAnsi="宋体"/>
                <w:b/>
                <w:lang w:val="en-US" w:eastAsia="zh-CN"/>
              </w:rPr>
              <w:t>品牌</w:t>
            </w:r>
          </w:p>
        </w:tc>
        <w:tc>
          <w:tcPr>
            <w:tcW w:w="1050" w:type="dxa"/>
            <w:tcBorders>
              <w:top w:val="single" w:color="auto" w:sz="6" w:space="0"/>
              <w:left w:val="nil"/>
              <w:bottom w:val="single" w:color="auto" w:sz="6" w:space="0"/>
              <w:right w:val="single" w:color="auto" w:sz="6" w:space="0"/>
            </w:tcBorders>
            <w:vAlign w:val="center"/>
          </w:tcPr>
          <w:p>
            <w:pPr>
              <w:jc w:val="center"/>
              <w:rPr>
                <w:rFonts w:hint="eastAsia" w:ascii="宋体" w:hAnsi="宋体"/>
                <w:b/>
                <w:lang w:val="en-US" w:eastAsia="zh-CN"/>
              </w:rPr>
            </w:pPr>
            <w:r>
              <w:rPr>
                <w:rFonts w:hint="eastAsia" w:ascii="宋体" w:hAnsi="宋体"/>
                <w:b/>
                <w:lang w:val="en-US" w:eastAsia="zh-CN"/>
              </w:rPr>
              <w:t>单价（元）</w:t>
            </w:r>
          </w:p>
        </w:tc>
        <w:tc>
          <w:tcPr>
            <w:tcW w:w="1125" w:type="dxa"/>
            <w:tcBorders>
              <w:top w:val="single" w:color="auto" w:sz="6" w:space="0"/>
              <w:left w:val="nil"/>
              <w:bottom w:val="single" w:color="auto" w:sz="6" w:space="0"/>
              <w:right w:val="single" w:color="auto" w:sz="6" w:space="0"/>
            </w:tcBorders>
            <w:vAlign w:val="center"/>
          </w:tcPr>
          <w:p>
            <w:pPr>
              <w:jc w:val="center"/>
              <w:rPr>
                <w:rFonts w:hint="eastAsia" w:ascii="宋体" w:hAnsi="宋体"/>
                <w:b/>
                <w:lang w:val="en-US" w:eastAsia="zh-CN"/>
              </w:rPr>
            </w:pPr>
            <w:r>
              <w:rPr>
                <w:rFonts w:hint="eastAsia" w:ascii="宋体" w:hAnsi="宋体"/>
                <w:b/>
                <w:lang w:val="en-US" w:eastAsia="zh-CN"/>
              </w:rPr>
              <w:t>小计（元）</w:t>
            </w:r>
          </w:p>
        </w:tc>
      </w:tr>
      <w:tr>
        <w:tblPrEx>
          <w:tblCellMar>
            <w:top w:w="0" w:type="dxa"/>
            <w:left w:w="10" w:type="dxa"/>
            <w:bottom w:w="0" w:type="dxa"/>
            <w:right w:w="10" w:type="dxa"/>
          </w:tblCellMar>
        </w:tblPrEx>
        <w:trPr>
          <w:trHeight w:val="2841" w:hRule="atLeast"/>
        </w:trPr>
        <w:tc>
          <w:tcPr>
            <w:tcW w:w="41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w:t>
            </w:r>
          </w:p>
        </w:tc>
        <w:tc>
          <w:tcPr>
            <w:tcW w:w="1088" w:type="dxa"/>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Times New Roman"/>
                <w:szCs w:val="21"/>
                <w:lang w:val="en-US" w:eastAsia="zh-CN"/>
              </w:rPr>
              <w:t>实验室废弃物暂存柜系统</w:t>
            </w:r>
          </w:p>
        </w:tc>
        <w:tc>
          <w:tcPr>
            <w:tcW w:w="9247" w:type="dxa"/>
            <w:tcBorders>
              <w:top w:val="single" w:color="auto" w:sz="6" w:space="0"/>
              <w:left w:val="nil"/>
              <w:bottom w:val="single" w:color="auto" w:sz="6" w:space="0"/>
              <w:right w:val="single" w:color="auto" w:sz="4" w:space="0"/>
            </w:tcBorders>
            <w:vAlign w:val="top"/>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jc w:val="left"/>
              <w:textAlignment w:val="auto"/>
              <w:rPr>
                <w:rFonts w:hint="eastAsia"/>
                <w:b/>
                <w:bCs/>
                <w:sz w:val="22"/>
                <w:szCs w:val="28"/>
                <w:lang w:eastAsia="zh-CN"/>
              </w:rPr>
            </w:pPr>
            <w:r>
              <w:rPr>
                <w:rFonts w:hint="eastAsia"/>
                <w:b/>
                <w:bCs/>
                <w:sz w:val="22"/>
                <w:szCs w:val="28"/>
                <w:lang w:val="en-US" w:eastAsia="zh-CN"/>
              </w:rPr>
              <w:t>一、</w:t>
            </w:r>
            <w:r>
              <w:rPr>
                <w:rFonts w:hint="eastAsia"/>
                <w:b/>
                <w:bCs/>
                <w:sz w:val="22"/>
                <w:szCs w:val="28"/>
                <w:lang w:eastAsia="zh-CN"/>
              </w:rPr>
              <w:t>主柜体</w:t>
            </w:r>
            <w:r>
              <w:rPr>
                <w:rFonts w:hint="eastAsia"/>
                <w:b/>
                <w:bCs/>
                <w:sz w:val="22"/>
                <w:szCs w:val="28"/>
              </w:rPr>
              <w:t>系统</w:t>
            </w:r>
            <w:r>
              <w:rPr>
                <w:rFonts w:hint="eastAsia"/>
                <w:b/>
                <w:bCs/>
                <w:sz w:val="22"/>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b/>
                <w:bCs/>
                <w:lang w:eastAsia="zh-CN"/>
              </w:rPr>
              <w:t>（</w:t>
            </w:r>
            <w:r>
              <w:rPr>
                <w:rFonts w:hint="eastAsia"/>
                <w:b/>
                <w:bCs/>
                <w:lang w:val="en-US" w:eastAsia="zh-CN"/>
              </w:rPr>
              <w:t>一</w:t>
            </w:r>
            <w:r>
              <w:rPr>
                <w:rFonts w:hint="eastAsia"/>
                <w:b/>
                <w:bCs/>
                <w:lang w:eastAsia="zh-CN"/>
              </w:rPr>
              <w:t>）</w:t>
            </w:r>
            <w:r>
              <w:rPr>
                <w:rFonts w:hint="eastAsia"/>
                <w:b/>
                <w:bCs/>
              </w:rPr>
              <w:t>主柜体</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1.规格要求（长x宽x高）：≥8000mm*2500mm*2900mm±5%，外形尺寸为标准集装箱尺寸。</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2.柜体框架主要为corten A钢板，具有防腐功能。外柜体由钢质的框架、垂直波纹的侧板和端面、全部横向的垂直波纹的顶板组成，材质为3mm-6mm经过预处理的热轧板，除型材外全部为3mm冷轧钢板压制而成。箱体8个角采用标准ISO角件。防火门上加装通风百叶窗，柜体外部整体喷涂防锈油漆，内墙壁涂覆防腐油漆，全柜整体具有防腐能力。</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3.柜体设有可从内部打开的钢制防火防盗门，分别为正面出入防盗门和背面应急防盗门。</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4.柜体两侧各开三个通风百叶窗，百叶窗内部增加防虫鼠网，</w:t>
            </w:r>
            <w:r>
              <w:rPr>
                <w:rFonts w:hint="eastAsia" w:ascii="Times New Roman" w:hAnsi="Times New Roman" w:eastAsia="宋体" w:cs="Times New Roman"/>
                <w:color w:val="auto"/>
                <w:kern w:val="2"/>
                <w:sz w:val="21"/>
                <w:szCs w:val="24"/>
                <w:highlight w:val="none"/>
                <w:lang w:val="en-US" w:eastAsia="zh-CN" w:bidi="ar-SA"/>
              </w:rPr>
              <w:t>通风装置的材料为不可燃或阻燃材质。</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5.柜体为双层保温结构，柜体内壁使用A级防火隔热材料，隔热层为厚度≥50mm，密度不低于128kg/m³的保温阻燃陶瓷纤维。</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6.柜体内部地板采用整体式防腐地胶板。</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7.柜体具有泄压设施或泄压点，泄压面积应≥0.110 ㎡/m³。</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8.柜体所有门窗开合部分采取有效措施排除因开关时摩擦碰撞可能产生的火花。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ascii="Times New Roman" w:hAnsi="Times New Roman" w:eastAsia="宋体" w:cs="Times New Roman"/>
                <w:b/>
                <w:bCs/>
                <w:lang w:val="en-US" w:eastAsia="zh-CN"/>
              </w:rPr>
              <w:t>（二）分类储存功能</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1.开放式货架（8组）：货架规格(长x宽x高)1500mm×600mm×1650mm，组合式安装。</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2.货架分为三层，每层承重≥300Kg，每层有可拆卸防倒护栏；货架喷涂挂件工艺采用环保塑粉工艺，塑粉材料—酚醛树脂，具有良好的耐酸性能、力学性能、耐热性能；金属部件连接处经过静电处理。</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3.耐腐蚀全PP储存柜（2组）：尺寸为(长x宽x高)950mm x 450mmx1511mm；PP储存柜主体材料为白色PP防火板折弯或焊接而成，单层承重不低于80Kg；PP储存柜顶部设有排风口，底部设有进风口；PP防火板具有热变形温度、维卡软化温度检测报告。</w:t>
            </w:r>
          </w:p>
          <w:p>
            <w:pPr>
              <w:pStyle w:val="2"/>
              <w:spacing w:line="240" w:lineRule="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kern w:val="2"/>
                <w:sz w:val="21"/>
                <w:szCs w:val="24"/>
                <w:lang w:val="en-US" w:eastAsia="zh-CN" w:bidi="ar-SA"/>
              </w:rPr>
              <w:t>*PP板材通过CMA及CNAS认证实验室出具的PP材质SGS认证，检测报告具有CAM及CNAS章，其中负荷变形温度不低于</w:t>
            </w:r>
            <w:r>
              <w:rPr>
                <w:rFonts w:hint="eastAsia" w:ascii="Times New Roman" w:hAnsi="Times New Roman" w:eastAsia="宋体" w:cs="Times New Roman"/>
                <w:color w:val="auto"/>
                <w:kern w:val="2"/>
                <w:sz w:val="21"/>
                <w:szCs w:val="24"/>
                <w:lang w:val="en-US" w:eastAsia="zh-CN" w:bidi="ar-SA"/>
              </w:rPr>
              <w:t>160℃（ISO 75-1：2013 &amp; ISO75-2:2013 方法B），维卡软化温度不低于160℃（ISO 306：2013 方法 B50），提供证书复印件加盖供应商公章并作为响应附件上传，竞价结束后现场查验原件。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ascii="Times New Roman" w:hAnsi="Times New Roman" w:eastAsia="宋体" w:cs="Times New Roman"/>
                <w:b/>
                <w:bCs/>
                <w:lang w:val="en-US" w:eastAsia="zh-CN"/>
              </w:rPr>
              <w:t>（三）智能控制系统</w:t>
            </w:r>
          </w:p>
          <w:p>
            <w:pPr>
              <w:pStyle w:val="2"/>
              <w:spacing w:line="240" w:lineRule="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kern w:val="2"/>
                <w:sz w:val="21"/>
                <w:szCs w:val="24"/>
                <w:lang w:val="en-US" w:eastAsia="zh-CN" w:bidi="ar-SA"/>
              </w:rPr>
              <w:t>1.控制系统采用编程逻辑控制器(PLC)+10.2寸人机界面触摸屏+远程监控及操控+软件管理系统完成</w:t>
            </w:r>
            <w:r>
              <w:rPr>
                <w:rFonts w:hint="eastAsia" w:ascii="Times New Roman" w:hAnsi="Times New Roman" w:eastAsia="宋体" w:cs="Times New Roman"/>
                <w:color w:val="auto"/>
                <w:kern w:val="2"/>
                <w:sz w:val="21"/>
                <w:szCs w:val="24"/>
                <w:lang w:val="en-US" w:eastAsia="zh-CN" w:bidi="ar-SA"/>
              </w:rPr>
              <w:t>电气和仪表部分的自动控制与监控管理。</w:t>
            </w:r>
          </w:p>
          <w:p>
            <w:pPr>
              <w:pStyle w:val="2"/>
              <w:spacing w:line="240" w:lineRule="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*提供实验室废弃物暂存柜管理系统软件著作权登记证书复印件加盖供应商公章，作为响应附件上传，竞价结束后现场查验原件。</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2.智能控制系统具有云端后台管理功能，随时监测、控制暂存柜的废气处理、喷淋降温、照明、预警报警、温度控制等功能。</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暂存柜软件集中控制系统由10.2寸人机界面液晶中文显示，可设置进入密码；具有人机对话功能，自动实时检测各传感器参数，实时显示室内温度、可燃气体浓度、相对湿度、空调状态、喷淋状态、排风速率、废气系统运行状态、警报状态、门禁照明等各项参数，以上参数均须在10.2寸人机界面触摸屏上显示，不允许通过分体显示仪显示。</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4.当柜内气体浓度接近安全临界值20%-30%时，控制系统将智能执行各类处置措施；当气体浓度接近安全临界值10%-20%时或在可能发生危险的情况下控制系统会启动声光报</w:t>
            </w:r>
            <w:r>
              <w:rPr>
                <w:rFonts w:hint="eastAsia" w:ascii="Times New Roman" w:hAnsi="Times New Roman" w:eastAsia="宋体" w:cs="Times New Roman"/>
                <w:color w:val="auto"/>
                <w:kern w:val="2"/>
                <w:sz w:val="21"/>
                <w:szCs w:val="24"/>
                <w:lang w:val="en-US" w:eastAsia="zh-CN" w:bidi="ar-SA"/>
              </w:rPr>
              <w:t>警，报警音在85分贝以上，能提供远距离预警，同时通过云控制平台给用户发警示短信或者打警示电话；当柜内温度超过或低于设定的安全温度值（3-28℃）时防爆空调将自动开启，超过28℃时，系统将自动启动声光报警灯，同时通</w:t>
            </w:r>
            <w:r>
              <w:rPr>
                <w:rFonts w:hint="eastAsia" w:ascii="Times New Roman" w:hAnsi="Times New Roman" w:eastAsia="宋体" w:cs="Times New Roman"/>
                <w:kern w:val="2"/>
                <w:sz w:val="21"/>
                <w:szCs w:val="24"/>
                <w:lang w:val="en-US" w:eastAsia="zh-CN" w:bidi="ar-SA"/>
              </w:rPr>
              <w:t>过云控制平台给用户发警示短信或者打警示电话，用户可选择手动开启喷淋降温系统；若遇极端状态下（温度超过58℃）时，系统将自动开启喷淋降温系统。</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5.控制系统在应急情况下可使用实体键进入应急模式，控制照明、排风、废气净化、喷淋、空调等基本功能。</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6.智能控制系统具有云端后台管理功能，</w:t>
            </w:r>
            <w:r>
              <w:rPr>
                <w:rFonts w:hint="eastAsia" w:ascii="Times New Roman" w:hAnsi="Times New Roman" w:eastAsia="宋体" w:cs="Times New Roman"/>
                <w:color w:val="auto"/>
                <w:kern w:val="2"/>
                <w:sz w:val="21"/>
                <w:szCs w:val="24"/>
                <w:lang w:val="en-US" w:eastAsia="zh-CN" w:bidi="ar-SA"/>
              </w:rPr>
              <w:t>可连接生产厂家云端后</w:t>
            </w:r>
            <w:r>
              <w:rPr>
                <w:rFonts w:hint="eastAsia" w:ascii="Times New Roman" w:hAnsi="Times New Roman" w:eastAsia="宋体" w:cs="Times New Roman"/>
                <w:kern w:val="2"/>
                <w:sz w:val="21"/>
                <w:szCs w:val="24"/>
                <w:lang w:val="en-US" w:eastAsia="zh-CN" w:bidi="ar-SA"/>
              </w:rPr>
              <w:t>台管理系统，使用单位和售后服务人员均可通过云端后台管理系统随时监测、控制暂存柜系统的废气处理、喷淋降温、照明、预警报警、温度控制等功能。</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7.正门采用危化品云管控智能门禁系统：采用RFID智能卡技术，生物活体指纹开锁、密码开锁、刷卡开锁，并可通过人机操作界面进行开锁。</w:t>
            </w:r>
          </w:p>
          <w:p>
            <w:pPr>
              <w:numPr>
                <w:ilvl w:val="0"/>
                <w:numId w:val="0"/>
              </w:numPr>
              <w:rPr>
                <w:rFonts w:hint="eastAsia"/>
                <w:lang w:val="en-US" w:eastAsia="zh-CN"/>
              </w:rPr>
            </w:pPr>
            <w:r>
              <w:rPr>
                <w:rFonts w:hint="eastAsia" w:ascii="Times New Roman" w:hAnsi="Times New Roman" w:eastAsia="宋体" w:cs="Times New Roman"/>
                <w:b/>
                <w:bCs/>
                <w:lang w:val="en-US" w:eastAsia="zh-CN"/>
              </w:rPr>
              <w:t>（四）通风排气系统</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1.柜内顶部安装通风管，管路上采用防火止回阀，柜体两侧设置通风百叶窗，每个百叶窗均可从柜体外部拆卸用于清洗空气净化装置，内部设有防虫鼠、防沙尘网，通风装置的材料为不可燃或阻燃材质。</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2.顶部设置2个无动力风机，用于自动微排风。无动力风机在停电环境下可保持通风。</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3.配置强制排风系统，强制排风系统使用防腐离心风机，使用环境温度：-15℃—45℃，机壳采用优质PP板材制作，电机功率2.2KW，噪音≤85dB。</w:t>
            </w:r>
          </w:p>
          <w:p>
            <w:pPr>
              <w:pStyle w:val="2"/>
              <w:spacing w:line="240" w:lineRule="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4.当柜内浓度高于15ppm时，智能安全系统将自动启动强制排风系统。当柜内浓度高于18ppm时，智能安全系统将启动声光报警灯，同时通过云控制平台给用户发警示短信或者打警示电话。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ascii="Times New Roman" w:hAnsi="Times New Roman" w:eastAsia="宋体" w:cs="Times New Roman"/>
                <w:b/>
                <w:bCs/>
                <w:lang w:val="en-US" w:eastAsia="zh-CN"/>
              </w:rPr>
              <w:t>（五）废气净化系统</w:t>
            </w:r>
          </w:p>
          <w:p>
            <w:pPr>
              <w:pStyle w:val="2"/>
              <w:spacing w:line="240" w:lineRule="auto"/>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kern w:val="2"/>
                <w:sz w:val="21"/>
                <w:szCs w:val="24"/>
                <w:lang w:val="en-US" w:eastAsia="zh-CN" w:bidi="ar-SA"/>
              </w:rPr>
              <w:t>1.废气处理系统安装于柜体外箱顶部，与内箱空间完全隔离，净化系统采用光催化氧化技术及复合式吸附模块多级结合处理，更加有效地处理可挥发酸性废气、碱性废气以及有机有毒废气，净化效率≥98%，无需换耗材，废气净化可长久使用，无使用成本，总处理能力大于5000m³/h。</w:t>
            </w:r>
            <w:r>
              <w:rPr>
                <w:rFonts w:hint="eastAsia" w:ascii="Times New Roman" w:hAnsi="Times New Roman" w:eastAsia="宋体" w:cs="Times New Roman"/>
                <w:color w:val="auto"/>
                <w:kern w:val="2"/>
                <w:sz w:val="21"/>
                <w:szCs w:val="24"/>
                <w:lang w:val="en-US" w:eastAsia="zh-CN" w:bidi="ar-SA"/>
              </w:rPr>
              <w:t>生产厂家具有国家认可的实验室综合废气处理光催化氧化技术证明文件且受国家知识产权保护（提供相应复印件加盖供应商公章并</w:t>
            </w:r>
            <w:r>
              <w:rPr>
                <w:rFonts w:hint="eastAsia" w:ascii="Times New Roman" w:hAnsi="Times New Roman" w:eastAsia="宋体" w:cs="Times New Roman"/>
                <w:kern w:val="2"/>
                <w:sz w:val="21"/>
                <w:szCs w:val="24"/>
                <w:lang w:val="en-US" w:eastAsia="zh-CN" w:bidi="ar-SA"/>
              </w:rPr>
              <w:t>作为响应附件上传，竞价结束后</w:t>
            </w:r>
            <w:r>
              <w:rPr>
                <w:rFonts w:hint="eastAsia" w:ascii="Times New Roman" w:hAnsi="Times New Roman" w:eastAsia="宋体" w:cs="Times New Roman"/>
                <w:color w:val="auto"/>
                <w:kern w:val="2"/>
                <w:sz w:val="21"/>
                <w:szCs w:val="24"/>
                <w:lang w:val="en-US" w:eastAsia="zh-CN" w:bidi="ar-SA"/>
              </w:rPr>
              <w:t>现场查验原件）</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2.当柜内浓度高于15ppm时，智能安全系统将自动启动废气处理系统，废气净化系统开启后废气排放符合《GB16297大气污染物综合排放标准》要求的相关排放标准。</w:t>
            </w:r>
          </w:p>
          <w:p>
            <w:pPr>
              <w:pStyle w:val="2"/>
              <w:spacing w:line="240" w:lineRule="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kern w:val="2"/>
                <w:sz w:val="21"/>
                <w:szCs w:val="24"/>
                <w:lang w:val="en-US" w:eastAsia="zh-CN" w:bidi="ar-SA"/>
              </w:rPr>
              <w:t>3.提供</w:t>
            </w:r>
            <w:r>
              <w:rPr>
                <w:rFonts w:hint="eastAsia" w:ascii="Times New Roman" w:hAnsi="Times New Roman" w:eastAsia="宋体" w:cs="Times New Roman"/>
                <w:color w:val="auto"/>
                <w:kern w:val="2"/>
                <w:sz w:val="21"/>
                <w:szCs w:val="24"/>
                <w:lang w:val="en-US" w:eastAsia="zh-CN" w:bidi="ar-SA"/>
              </w:rPr>
              <w:t>第三方检测机构的总有机挥发物浓度检测报告（提供相应复印件加盖供应商公章并作为响应附件上传，竞价结束后现场查验原件）。</w:t>
            </w:r>
          </w:p>
          <w:p>
            <w:pPr>
              <w:pStyle w:val="2"/>
              <w:spacing w:line="240" w:lineRule="auto"/>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*竞价结</w:t>
            </w:r>
            <w:r>
              <w:rPr>
                <w:rFonts w:hint="eastAsia" w:ascii="Times New Roman" w:hAnsi="Times New Roman" w:eastAsia="宋体" w:cs="Times New Roman"/>
                <w:kern w:val="2"/>
                <w:sz w:val="21"/>
                <w:szCs w:val="24"/>
                <w:lang w:val="en-US" w:eastAsia="zh-CN" w:bidi="ar-SA"/>
              </w:rPr>
              <w:t>束后，供应商现场提供光催化氧化反应处理装置及二氧化钛催化剂的附着反应管样品，并演示介绍相关技术的原理证明技术可靠性。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ascii="Times New Roman" w:hAnsi="Times New Roman" w:eastAsia="宋体" w:cs="Times New Roman"/>
                <w:b/>
                <w:bCs/>
                <w:lang w:val="en-US" w:eastAsia="zh-CN"/>
              </w:rPr>
              <w:t>（六）温度控制系统</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1.柜体内壁设置≥50mm厚的A级防火隔热保温层，防止阳光照射时内部温度过热，低温天气起到保温作用。</w:t>
            </w:r>
          </w:p>
          <w:p>
            <w:pPr>
              <w:pStyle w:val="2"/>
              <w:spacing w:line="240" w:lineRule="auto"/>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kern w:val="2"/>
                <w:sz w:val="21"/>
                <w:szCs w:val="24"/>
                <w:lang w:val="en-US" w:eastAsia="zh-CN" w:bidi="ar-SA"/>
              </w:rPr>
              <w:t>2.柜体</w:t>
            </w:r>
            <w:r>
              <w:rPr>
                <w:rFonts w:hint="eastAsia" w:ascii="Times New Roman" w:hAnsi="Times New Roman" w:eastAsia="宋体" w:cs="Times New Roman"/>
                <w:color w:val="auto"/>
                <w:kern w:val="2"/>
                <w:sz w:val="21"/>
                <w:szCs w:val="24"/>
                <w:lang w:val="en-US" w:eastAsia="zh-CN" w:bidi="ar-SA"/>
              </w:rPr>
              <w:t>内设有防爆空调，当室温度超过或低于设定的安全温度值（3-28℃）时将自动开启，自动有效保证柜内的安全温度，防爆空调功率: 2P, 制冷量5000W；制热量6000 W。提供防爆合格证及检测报告复印件加盖供应商公章并作为响应附件上</w:t>
            </w:r>
            <w:r>
              <w:rPr>
                <w:rFonts w:hint="eastAsia" w:ascii="Times New Roman" w:hAnsi="Times New Roman" w:eastAsia="宋体" w:cs="Times New Roman"/>
                <w:strike w:val="0"/>
                <w:dstrike w:val="0"/>
                <w:color w:val="auto"/>
                <w:kern w:val="2"/>
                <w:sz w:val="21"/>
                <w:szCs w:val="24"/>
                <w:lang w:val="en-US" w:eastAsia="zh-CN" w:bidi="ar-SA"/>
              </w:rPr>
              <w:t>传，竞价结束后现场查验原件。</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柜体上部配有喷淋降温系统，当柜内温度超过安全范围时，系统将自动启动声光报警灯，同时通过云控制平台给用户发警示短信，用户可选择手动开启喷淋降温系统；若遇极端状态下（温度超过58℃），控制系统可以通过电动球阀自动控制柜体顶部的喷淋装置，起降温灭火作用。</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4.喷淋降温装置配有手动球阀，停电或电路故障时，可以手动打开阀门启动喷淋降温。</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5.配有石墨烯保温系统，用于冬季防寒。</w:t>
            </w:r>
          </w:p>
          <w:p>
            <w:pPr>
              <w:numPr>
                <w:ilvl w:val="0"/>
                <w:numId w:val="0"/>
              </w:numPr>
              <w:rPr>
                <w:rFonts w:hint="eastAsia"/>
                <w:lang w:val="en-US" w:eastAsia="zh-CN"/>
              </w:rPr>
            </w:pPr>
            <w:r>
              <w:rPr>
                <w:rFonts w:hint="eastAsia" w:ascii="Times New Roman" w:hAnsi="Times New Roman" w:eastAsia="宋体" w:cs="Times New Roman"/>
                <w:b/>
                <w:bCs/>
                <w:lang w:val="en-US" w:eastAsia="zh-CN"/>
              </w:rPr>
              <w:t>（七）传感监测系统</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1.柜内设置湿度指示装置、温湿度传感装置和可燃气体监测传感装置，带LED现场数据显示功能，用于柜体内部环境监测；</w:t>
            </w:r>
          </w:p>
          <w:p>
            <w:pPr>
              <w:pStyle w:val="2"/>
              <w:spacing w:line="240" w:lineRule="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2.各传感装置能24小时实时监测柜体内部，当指标达到设定安全值20%-30%（可调）时，通过控制系统自动发出警报，同时智能执行各类处置措施。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ascii="Times New Roman" w:hAnsi="Times New Roman" w:eastAsia="宋体" w:cs="Times New Roman"/>
                <w:b/>
                <w:bCs/>
                <w:lang w:val="en-US" w:eastAsia="zh-CN"/>
              </w:rPr>
              <w:t>（八）防爆供电系统</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1.防爆配电箱防爆等级达到ExdII BT6，外壳材料由铝合金铸压成型，由环氧树脂涂装。</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2.内部照明采用防爆日光灯，出口处设置防爆应急灯。</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3.内部温度传感器使用防爆设计，内部空调使用防爆设计，内部可燃气体传感器使用防爆设计；</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4.柜内电路敷设按照防爆要求设置，柜内的防爆电器设备的安装、维护、检测等满足《防爆电器设计、安装、维护、检测与安全技术标准规范实用手册》的要求。</w:t>
            </w:r>
          </w:p>
          <w:p>
            <w:pPr>
              <w:pStyle w:val="2"/>
              <w:spacing w:line="240" w:lineRule="auto"/>
              <w:rPr>
                <w:rFonts w:hint="eastAsia" w:ascii="Times New Roman" w:hAnsi="Times New Roman" w:eastAsia="宋体" w:cs="Times New Roman"/>
                <w:strike w:val="0"/>
                <w:dstrike w:val="0"/>
                <w:color w:val="auto"/>
                <w:kern w:val="2"/>
                <w:sz w:val="21"/>
                <w:szCs w:val="24"/>
                <w:lang w:val="en-US" w:eastAsia="zh-CN" w:bidi="ar-SA"/>
              </w:rPr>
            </w:pPr>
            <w:r>
              <w:rPr>
                <w:rFonts w:hint="eastAsia" w:ascii="Times New Roman" w:hAnsi="Times New Roman" w:eastAsia="宋体" w:cs="Times New Roman"/>
                <w:kern w:val="2"/>
                <w:sz w:val="21"/>
                <w:szCs w:val="24"/>
                <w:lang w:val="en-US" w:eastAsia="zh-CN" w:bidi="ar-SA"/>
              </w:rPr>
              <w:t>5.内部主要电气配件具有国家防爆电气检验部门出具的防爆合格证及检测报</w:t>
            </w:r>
            <w:r>
              <w:rPr>
                <w:rFonts w:hint="eastAsia" w:ascii="Times New Roman" w:hAnsi="Times New Roman" w:eastAsia="宋体" w:cs="Times New Roman"/>
                <w:strike w:val="0"/>
                <w:dstrike w:val="0"/>
                <w:color w:val="auto"/>
                <w:kern w:val="2"/>
                <w:sz w:val="21"/>
                <w:szCs w:val="24"/>
                <w:lang w:val="en-US" w:eastAsia="zh-CN" w:bidi="ar-SA"/>
              </w:rPr>
              <w:t>告，提供相应报告复印件加盖供应商公章作为响应附件上传，竞价结束后现场查验原件。</w:t>
            </w:r>
          </w:p>
          <w:p>
            <w:pPr>
              <w:numPr>
                <w:ilvl w:val="0"/>
                <w:numId w:val="0"/>
              </w:numPr>
              <w:rPr>
                <w:rFonts w:hint="eastAsia"/>
                <w:lang w:val="en-US" w:eastAsia="zh-CN"/>
              </w:rPr>
            </w:pPr>
            <w:r>
              <w:rPr>
                <w:rFonts w:hint="eastAsia" w:ascii="Times New Roman" w:hAnsi="Times New Roman" w:eastAsia="宋体" w:cs="Times New Roman"/>
                <w:b/>
                <w:bCs/>
                <w:lang w:val="en-US" w:eastAsia="zh-CN"/>
              </w:rPr>
              <w:t>（九）漏液回收系统</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设有废水（液）收集池，可收集洗眼器使用后产生的废水及柜内的漏液；柜内地板中心设有集液槽，集液槽采用不锈钢格栅，漏液可沿格栅流进集液槽，再由PP漏液管流到废水（液）收集池，进行废水（液）收集、处理。</w:t>
            </w:r>
          </w:p>
          <w:p>
            <w:pPr>
              <w:pStyle w:val="2"/>
              <w:spacing w:line="240" w:lineRule="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废水（液）收集池设有废水预处理单元，可保证废水（液）在收集时安全，减少对环境的影响，竞价结束后现场查验两级一体化注塑成型耐酸碱白色PP材质的废水废液预处理器样品（样品高：310mm，宽：165mm，其中柱子直径为80mm，缝隙预留20mm，样品连接管接口直径为15m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color w:val="auto"/>
                <w:lang w:val="en-US" w:eastAsia="zh-CN"/>
              </w:rPr>
            </w:pPr>
            <w:r>
              <w:rPr>
                <w:rFonts w:hint="eastAsia" w:ascii="Times New Roman" w:hAnsi="Times New Roman" w:eastAsia="宋体" w:cs="Times New Roman"/>
                <w:b/>
                <w:bCs/>
                <w:color w:val="auto"/>
                <w:lang w:val="en-US" w:eastAsia="zh-CN"/>
              </w:rPr>
              <w:t>（十）自动消防灭火系统</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柜体内顶部配有自动灭火装置4套，手投式灭火装置2套，覆盖整个柜体内部，当室内温度达到68℃时（响应温度可修改为90℃），感温元件自动爆破，自动灭火装置可自动喷出灭火药剂，灭火药剂自动喷放到防护区实施灭火，灭火范围覆盖整个柜体内部；在紧急情况下也可以人工投入灭火。</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2.柜体设有可从内部打开的紧急逃生门，并设有一键逃生功能，装有应急照明灯和安全出口指示灯。</w:t>
            </w:r>
          </w:p>
          <w:p>
            <w:pPr>
              <w:pStyle w:val="2"/>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3.柜体外侧消防柜内配有干粉灭火器2个。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ascii="Times New Roman" w:hAnsi="Times New Roman" w:eastAsia="宋体" w:cs="Times New Roman"/>
                <w:b/>
                <w:bCs/>
                <w:lang w:val="en-US" w:eastAsia="zh-CN"/>
              </w:rPr>
              <w:t>（十一）个人安全防护设施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5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柜体外侧配备内嵌式个人防护箱，箱内配备特种防护服、特种防护面具、防护手套、防护眼镜等个人防护用品，每种防护用品2套。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ascii="Times New Roman" w:hAnsi="Times New Roman" w:eastAsia="宋体" w:cs="Times New Roman"/>
                <w:b/>
                <w:bCs/>
                <w:lang w:val="en-US" w:eastAsia="zh-CN"/>
              </w:rPr>
              <w:t>（十二）静电防护系统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5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柜体门口设置有防爆人体静电释放柱，与柜体主体连接，用于工作人员在进入前触摸，泄去其身体上所携带的静电荷；主电源接入处安装有独立的防雷击浪涌保护器，用于防范静电危害。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ascii="Times New Roman" w:hAnsi="Times New Roman" w:eastAsia="宋体" w:cs="Times New Roman"/>
                <w:b/>
                <w:bCs/>
                <w:lang w:val="en-US" w:eastAsia="zh-CN"/>
              </w:rPr>
              <w:t>（十三）视频监控系统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5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1.柜内配置2个防爆视频监控摄像头，可无死角全覆盖进行监控；摄像头带有夜间红外监控功能，分辨率不小于960P。</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5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2.柜外安装2只枪机摄像头，带有夜间红外监控功能，分辨率不小于960P。</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5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3.柜内外摄像头组成视频监控网络，采用POE组网。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5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4.监控留有网络端口，可与校内的总监控系统对接。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5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5.视频监控系统带存储记忆功能，可记录一个月以上监控数据，可以在手机、电脑上随时查看。</w:t>
            </w:r>
          </w:p>
          <w:p>
            <w:pPr>
              <w:numPr>
                <w:ilvl w:val="0"/>
                <w:numId w:val="0"/>
              </w:numPr>
              <w:rPr>
                <w:rFonts w:hint="eastAsia"/>
                <w:lang w:val="en-US" w:eastAsia="zh-CN"/>
              </w:rPr>
            </w:pPr>
            <w:r>
              <w:rPr>
                <w:rFonts w:hint="eastAsia" w:ascii="Times New Roman" w:hAnsi="Times New Roman" w:eastAsia="宋体" w:cs="Times New Roman"/>
                <w:b/>
                <w:bCs/>
                <w:lang w:val="en-US" w:eastAsia="zh-CN"/>
              </w:rPr>
              <w:t>（十四）避雷措施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5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1.主电源接入处安装有独立的防雷击浪涌保护器。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5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2.柜体外装设独立避雷针，使柜体和突出物体均处于接闪器的保护范围内，或通过合理方式达到整体避雷效果。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ascii="Times New Roman" w:hAnsi="Times New Roman" w:eastAsia="宋体" w:cs="Times New Roman"/>
                <w:b/>
                <w:bCs/>
                <w:lang w:val="en-US" w:eastAsia="zh-CN"/>
              </w:rPr>
              <w:t>（十五）安全标识、标牌与说明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5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在明显位置张贴有安全警示标识，安全标识符合GHS《全球化学品统一分类和标签制度》规定（标识采用耐腐蚀材质）；柜内配备可以挂置各种用户自备铭牌的装置；设备具有使用说明书，其内容包括：控制系统使用说明，灭火器使用说明，储存柜架使用说明，逃生门使用说明，个人防护用品使用说明等。</w:t>
            </w:r>
          </w:p>
          <w:p>
            <w:pPr>
              <w:keepNext w:val="0"/>
              <w:keepLines w:val="0"/>
              <w:pageBreakBefore w:val="0"/>
              <w:widowControl w:val="0"/>
              <w:kinsoku/>
              <w:wordWrap/>
              <w:overflowPunct/>
              <w:topLinePunct w:val="0"/>
              <w:autoSpaceDE/>
              <w:autoSpaceDN/>
              <w:bidi w:val="0"/>
              <w:adjustRightInd/>
              <w:snapToGrid/>
              <w:spacing w:line="240" w:lineRule="auto"/>
              <w:ind w:left="105" w:leftChars="50"/>
              <w:jc w:val="left"/>
              <w:textAlignment w:val="auto"/>
              <w:rPr>
                <w:rFonts w:hint="eastAsia" w:ascii="Times New Roman" w:hAnsi="Times New Roman" w:eastAsia="宋体" w:cs="Times New Roman"/>
                <w:b/>
                <w:bCs/>
                <w:sz w:val="22"/>
                <w:szCs w:val="28"/>
                <w:lang w:val="en-US" w:eastAsia="zh-CN"/>
              </w:rPr>
            </w:pPr>
            <w:r>
              <w:rPr>
                <w:rFonts w:hint="eastAsia" w:ascii="Times New Roman" w:hAnsi="Times New Roman" w:eastAsia="宋体" w:cs="Times New Roman"/>
                <w:b/>
                <w:bCs/>
                <w:sz w:val="22"/>
                <w:szCs w:val="28"/>
                <w:lang w:val="en-US" w:eastAsia="zh-CN"/>
              </w:rPr>
              <w:t>二、物联网管控系统：</w:t>
            </w:r>
          </w:p>
          <w:p>
            <w:pPr>
              <w:rPr>
                <w:rFonts w:hint="eastAsia"/>
                <w:lang w:val="en-US" w:eastAsia="zh-CN"/>
              </w:rPr>
            </w:pPr>
            <w:r>
              <w:rPr>
                <w:rFonts w:hint="eastAsia"/>
                <w:b/>
                <w:bCs/>
                <w:lang w:val="en-US" w:eastAsia="zh-CN"/>
              </w:rPr>
              <w:t>（一）远程在线实时监控系统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5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1.主板上配置850/900/1800/1900MHz四频数据通信模块。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5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提供远程云监测服务，开通云监测服务后，数据通信模块将暂存柜系统的各项参数发送到专有云服务平台，云监测系统24小时远程监测暂存柜系统的各项参数指标，当达到设定值时，云监测系统会自动发送短信通知提醒客户注意，更当温度或者可燃气体浓度超过设定安全值时，控制系统还会通过语音电话等方式向用户发送警报通知。</w:t>
            </w:r>
          </w:p>
          <w:p>
            <w:pPr>
              <w:numPr>
                <w:ilvl w:val="0"/>
                <w:numId w:val="0"/>
              </w:numPr>
              <w:rPr>
                <w:rFonts w:hint="eastAsia"/>
                <w:lang w:val="en-US" w:eastAsia="zh-CN"/>
              </w:rPr>
            </w:pPr>
            <w:r>
              <w:rPr>
                <w:rFonts w:hint="eastAsia"/>
                <w:b/>
                <w:bCs/>
                <w:lang w:eastAsia="zh-CN"/>
              </w:rPr>
              <w:t>（</w:t>
            </w:r>
            <w:r>
              <w:rPr>
                <w:rFonts w:hint="eastAsia"/>
                <w:b/>
                <w:bCs/>
                <w:lang w:val="en-US" w:eastAsia="zh-CN"/>
              </w:rPr>
              <w:t>二</w:t>
            </w:r>
            <w:r>
              <w:rPr>
                <w:rFonts w:hint="eastAsia"/>
                <w:b/>
                <w:bCs/>
                <w:lang w:eastAsia="zh-CN"/>
              </w:rPr>
              <w:t>）</w:t>
            </w:r>
            <w:r>
              <w:rPr>
                <w:rFonts w:hint="eastAsia"/>
                <w:b/>
                <w:bCs/>
              </w:rPr>
              <w:t>云端后台管理系统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5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1.用户可通过PC或移动设备登陆云端后台管理系统，对柜内各电气设备进行远程设置（开启或关闭）、运行操作（各电器设备阈值设置）和远程管理等。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50" w:firstLine="420" w:firstLineChars="200"/>
              <w:jc w:val="left"/>
              <w:textAlignment w:val="auto"/>
              <w:rPr>
                <w:rFonts w:hint="eastAsia"/>
              </w:rPr>
            </w:pPr>
            <w:r>
              <w:rPr>
                <w:rFonts w:hint="eastAsia" w:ascii="Times New Roman" w:hAnsi="Times New Roman" w:eastAsia="宋体" w:cs="Times New Roman"/>
                <w:color w:val="auto"/>
                <w:kern w:val="2"/>
                <w:sz w:val="21"/>
                <w:szCs w:val="24"/>
                <w:lang w:val="en-US" w:eastAsia="zh-CN" w:bidi="ar-SA"/>
              </w:rPr>
              <w:t>2.生产厂家可通</w:t>
            </w:r>
            <w:r>
              <w:rPr>
                <w:rFonts w:hint="eastAsia" w:ascii="Times New Roman" w:hAnsi="Times New Roman" w:eastAsia="宋体" w:cs="Times New Roman"/>
                <w:kern w:val="2"/>
                <w:sz w:val="21"/>
                <w:szCs w:val="24"/>
                <w:lang w:val="en-US" w:eastAsia="zh-CN" w:bidi="ar-SA"/>
              </w:rPr>
              <w:t>过云端后台管理系统，对出厂的每套设备提供远程在线维护及售后检修。实现产品“控制管理”和“企业管理”的技术效果。</w:t>
            </w:r>
          </w:p>
          <w:p>
            <w:pPr>
              <w:keepNext w:val="0"/>
              <w:keepLines w:val="0"/>
              <w:pageBreakBefore w:val="0"/>
              <w:widowControl w:val="0"/>
              <w:kinsoku/>
              <w:wordWrap/>
              <w:overflowPunct/>
              <w:topLinePunct w:val="0"/>
              <w:autoSpaceDE/>
              <w:autoSpaceDN/>
              <w:bidi w:val="0"/>
              <w:adjustRightInd/>
              <w:snapToGrid/>
              <w:spacing w:line="240" w:lineRule="auto"/>
              <w:ind w:left="105" w:leftChars="50"/>
              <w:jc w:val="left"/>
              <w:textAlignment w:val="auto"/>
              <w:rPr>
                <w:rFonts w:hint="eastAsia"/>
                <w:b/>
                <w:bCs/>
                <w:sz w:val="22"/>
                <w:szCs w:val="28"/>
                <w:lang w:eastAsia="zh-CN"/>
              </w:rPr>
            </w:pPr>
            <w:r>
              <w:rPr>
                <w:rFonts w:hint="eastAsia"/>
                <w:b/>
                <w:bCs/>
                <w:sz w:val="22"/>
                <w:szCs w:val="28"/>
              </w:rPr>
              <w:t>三、基础设施</w:t>
            </w:r>
            <w:r>
              <w:rPr>
                <w:rFonts w:hint="eastAsia"/>
                <w:b/>
                <w:bCs/>
                <w:sz w:val="22"/>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105" w:leftChars="50"/>
              <w:jc w:val="left"/>
              <w:textAlignment w:val="auto"/>
              <w:rPr>
                <w:rFonts w:hint="eastAsia"/>
                <w:lang w:val="en-US" w:eastAsia="zh-CN"/>
              </w:rPr>
            </w:pPr>
            <w:r>
              <w:rPr>
                <w:rFonts w:hint="eastAsia"/>
                <w:b/>
                <w:bCs/>
                <w:lang w:eastAsia="zh-CN"/>
              </w:rPr>
              <w:t>（</w:t>
            </w:r>
            <w:r>
              <w:rPr>
                <w:rFonts w:hint="eastAsia"/>
                <w:b/>
                <w:bCs/>
                <w:lang w:val="en-US" w:eastAsia="zh-CN"/>
              </w:rPr>
              <w:t>一</w:t>
            </w:r>
            <w:r>
              <w:rPr>
                <w:rFonts w:hint="eastAsia"/>
                <w:b/>
                <w:bCs/>
                <w:lang w:eastAsia="zh-CN"/>
              </w:rPr>
              <w:t>）</w:t>
            </w:r>
            <w:r>
              <w:rPr>
                <w:rFonts w:hint="eastAsia"/>
                <w:b/>
                <w:bCs/>
              </w:rPr>
              <w:t>基座建设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5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采用钢筋混凝土抬高20CM，基础长为12米，宽为4.5米，地下预埋6分上水管及10KW以上、线径6平方电缆线，备留1个废液坑，用于存放1个耐酸碱腐蚀PP材质废液收集桶；提供地坪等配套基础设施建设图纸、方案、相关必要配件和技术指导，保证地坪建设符合暂存柜稳固、供水供电、导流、储存漏液、接地等要求。使用单位在设备安装位置10米范围内提供运行所需的水、电、网络接口。</w:t>
            </w:r>
          </w:p>
          <w:p>
            <w:pPr>
              <w:pStyle w:val="2"/>
              <w:spacing w:line="240" w:lineRule="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kern w:val="2"/>
                <w:sz w:val="21"/>
                <w:szCs w:val="24"/>
                <w:lang w:val="en-US" w:eastAsia="zh-CN" w:bidi="ar-SA"/>
              </w:rPr>
              <w:t>*设计人员具备环境工程设计资质（提供</w:t>
            </w:r>
            <w:r>
              <w:rPr>
                <w:rFonts w:hint="eastAsia" w:ascii="Times New Roman" w:hAnsi="Times New Roman" w:eastAsia="宋体" w:cs="Times New Roman"/>
                <w:color w:val="auto"/>
                <w:kern w:val="2"/>
                <w:sz w:val="21"/>
                <w:szCs w:val="24"/>
                <w:lang w:val="en-US" w:eastAsia="zh-CN" w:bidi="ar-SA"/>
              </w:rPr>
              <w:t>环境工程设计证书复印件，资格证书均需提供认证官网截图，截图中体现网址、姓名、身份证号、证书号等关键信息），提供相应证书复印件加盖供应商公章作为响应附件上传，竞价结束后现场查验原件。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lang w:val="en-US" w:eastAsia="zh-CN"/>
              </w:rPr>
            </w:pPr>
            <w:r>
              <w:rPr>
                <w:rFonts w:hint="eastAsia" w:ascii="Times New Roman" w:hAnsi="Times New Roman" w:eastAsia="宋体" w:cs="Times New Roman"/>
                <w:b/>
                <w:bCs/>
                <w:lang w:eastAsia="zh-CN"/>
              </w:rPr>
              <w:t>（</w:t>
            </w:r>
            <w:r>
              <w:rPr>
                <w:rFonts w:hint="eastAsia" w:ascii="Times New Roman" w:hAnsi="Times New Roman" w:eastAsia="宋体" w:cs="Times New Roman"/>
                <w:b/>
                <w:bCs/>
                <w:lang w:val="en-US" w:eastAsia="zh-CN"/>
              </w:rPr>
              <w:t>二</w:t>
            </w:r>
            <w:r>
              <w:rPr>
                <w:rFonts w:hint="eastAsia" w:ascii="Times New Roman" w:hAnsi="Times New Roman" w:eastAsia="宋体" w:cs="Times New Roman"/>
                <w:b/>
                <w:bCs/>
                <w:lang w:eastAsia="zh-CN"/>
              </w:rPr>
              <w:t>）</w:t>
            </w:r>
            <w:r>
              <w:rPr>
                <w:rFonts w:hint="eastAsia" w:ascii="Times New Roman" w:hAnsi="Times New Roman" w:eastAsia="宋体" w:cs="Times New Roman"/>
                <w:b/>
                <w:bCs/>
              </w:rPr>
              <w:t>顶棚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采用镀锌立柱，离地高度&gt;4m,棚顶为彩钢板双向斜面设计，便于排水；其投影与基座一致。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kern w:val="2"/>
                <w:sz w:val="21"/>
                <w:szCs w:val="24"/>
                <w:lang w:val="en-US" w:eastAsia="zh-CN" w:bidi="ar-SA"/>
              </w:rPr>
            </w:pPr>
            <w:r>
              <w:rPr>
                <w:rFonts w:hint="eastAsia"/>
                <w:b/>
                <w:bCs/>
                <w:lang w:eastAsia="zh-CN"/>
              </w:rPr>
              <w:t>（</w:t>
            </w:r>
            <w:r>
              <w:rPr>
                <w:rFonts w:hint="eastAsia"/>
                <w:b/>
                <w:bCs/>
                <w:lang w:val="en-US" w:eastAsia="zh-CN"/>
              </w:rPr>
              <w:t>三</w:t>
            </w:r>
            <w:r>
              <w:rPr>
                <w:rFonts w:hint="eastAsia"/>
                <w:b/>
                <w:bCs/>
                <w:lang w:eastAsia="zh-CN"/>
              </w:rPr>
              <w:t>）</w:t>
            </w:r>
            <w:r>
              <w:rPr>
                <w:rFonts w:hint="eastAsia"/>
                <w:b/>
                <w:bCs/>
              </w:rPr>
              <w:t>围栏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采用镀锌围栏，围栏高≥1.8米。立柱采用40*60*2mm镀锌方钢焊接于预埋铁之上，上下横梁采用40*60*2mm镀锌方钢管焊接于立柱之上，镀锌网焊接于立柱、横梁外侧，立柱侧面打斜撑用于加固围栏。</w:t>
            </w:r>
          </w:p>
          <w:p>
            <w:pPr>
              <w:pStyle w:val="2"/>
              <w:ind w:left="0" w:leftChars="0" w:firstLine="0" w:firstLineChars="0"/>
              <w:rPr>
                <w:rFonts w:ascii="宋体" w:hAnsi="宋体" w:eastAsia="宋体" w:cs="Times New Roman"/>
                <w:kern w:val="2"/>
                <w:sz w:val="21"/>
                <w:szCs w:val="21"/>
                <w:lang w:val="en-US" w:eastAsia="zh-CN" w:bidi="ar-SA"/>
              </w:rPr>
            </w:pPr>
          </w:p>
        </w:tc>
        <w:tc>
          <w:tcPr>
            <w:tcW w:w="705" w:type="dxa"/>
            <w:tcBorders>
              <w:top w:val="single" w:color="auto" w:sz="6" w:space="0"/>
              <w:left w:val="nil"/>
              <w:bottom w:val="single" w:color="auto" w:sz="6" w:space="0"/>
              <w:right w:val="single" w:color="auto" w:sz="6"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lang w:val="en-US" w:eastAsia="zh-CN"/>
              </w:rPr>
              <w:t>1套</w:t>
            </w:r>
          </w:p>
        </w:tc>
        <w:tc>
          <w:tcPr>
            <w:tcW w:w="630" w:type="dxa"/>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p>
        </w:tc>
        <w:tc>
          <w:tcPr>
            <w:tcW w:w="1050" w:type="dxa"/>
            <w:tcBorders>
              <w:top w:val="single" w:color="auto" w:sz="6" w:space="0"/>
              <w:left w:val="nil"/>
              <w:bottom w:val="single" w:color="auto" w:sz="6" w:space="0"/>
              <w:right w:val="single" w:color="auto" w:sz="6" w:space="0"/>
            </w:tcBorders>
            <w:vAlign w:val="center"/>
          </w:tcPr>
          <w:p>
            <w:pPr>
              <w:jc w:val="center"/>
              <w:rPr>
                <w:rFonts w:hint="eastAsia" w:eastAsia="宋体"/>
                <w:lang w:eastAsia="zh-CN"/>
              </w:rPr>
            </w:pPr>
          </w:p>
        </w:tc>
        <w:tc>
          <w:tcPr>
            <w:tcW w:w="1125" w:type="dxa"/>
            <w:tcBorders>
              <w:top w:val="single" w:color="auto" w:sz="6" w:space="0"/>
              <w:left w:val="nil"/>
              <w:bottom w:val="single" w:color="auto" w:sz="6" w:space="0"/>
              <w:right w:val="single" w:color="auto" w:sz="6" w:space="0"/>
            </w:tcBorders>
            <w:vAlign w:val="center"/>
          </w:tcPr>
          <w:p>
            <w:pPr>
              <w:jc w:val="center"/>
              <w:rPr>
                <w:rFonts w:hint="eastAsia" w:eastAsia="宋体"/>
                <w:lang w:eastAsia="zh-CN"/>
              </w:rPr>
            </w:pPr>
          </w:p>
        </w:tc>
      </w:tr>
      <w:tr>
        <w:tblPrEx>
          <w:tblCellMar>
            <w:top w:w="0" w:type="dxa"/>
            <w:left w:w="10" w:type="dxa"/>
            <w:bottom w:w="0" w:type="dxa"/>
            <w:right w:w="10" w:type="dxa"/>
          </w:tblCellMar>
        </w:tblPrEx>
        <w:trPr>
          <w:trHeight w:val="519" w:hRule="atLeast"/>
        </w:trPr>
        <w:tc>
          <w:tcPr>
            <w:tcW w:w="10751" w:type="dxa"/>
            <w:gridSpan w:val="3"/>
            <w:tcBorders>
              <w:top w:val="single" w:color="auto" w:sz="6" w:space="0"/>
              <w:left w:val="single" w:color="auto" w:sz="6" w:space="0"/>
              <w:bottom w:val="single" w:color="auto" w:sz="6" w:space="0"/>
              <w:right w:val="single" w:color="auto" w:sz="4" w:space="0"/>
            </w:tcBorders>
            <w:vAlign w:val="center"/>
          </w:tcPr>
          <w:p>
            <w:pPr>
              <w:jc w:val="center"/>
              <w:rPr>
                <w:rFonts w:hint="eastAsia"/>
                <w:b/>
                <w:bCs/>
                <w:lang w:val="en-US" w:eastAsia="zh-CN"/>
              </w:rPr>
            </w:pPr>
            <w:r>
              <w:rPr>
                <w:rFonts w:hint="eastAsia" w:ascii="Times New Roman" w:hAnsi="Times New Roman" w:cs="Times New Roman"/>
                <w:b/>
                <w:bCs/>
                <w:kern w:val="2"/>
                <w:sz w:val="21"/>
                <w:szCs w:val="24"/>
                <w:lang w:val="en-US" w:eastAsia="zh-CN" w:bidi="ar-SA"/>
              </w:rPr>
              <w:t>报价合计（元）</w:t>
            </w:r>
          </w:p>
        </w:tc>
        <w:tc>
          <w:tcPr>
            <w:tcW w:w="3510" w:type="dxa"/>
            <w:gridSpan w:val="4"/>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lang w:eastAsia="zh-CN"/>
              </w:rPr>
            </w:pPr>
            <w:r>
              <w:rPr>
                <w:rFonts w:hint="eastAsia" w:ascii="Times New Roman" w:hAnsi="Times New Roman" w:eastAsia="宋体" w:cs="Times New Roman"/>
                <w:b w:val="0"/>
                <w:bCs w:val="0"/>
                <w:kern w:val="2"/>
                <w:sz w:val="21"/>
                <w:szCs w:val="24"/>
                <w:lang w:val="en-US" w:eastAsia="zh-CN" w:bidi="ar-SA"/>
              </w:rPr>
              <w:t>元</w:t>
            </w:r>
          </w:p>
        </w:tc>
      </w:tr>
    </w:tbl>
    <w:p>
      <w:pPr>
        <w:widowControl w:val="0"/>
        <w:spacing w:line="360" w:lineRule="auto"/>
        <w:ind w:firstLine="0" w:firstLineChars="0"/>
        <w:jc w:val="both"/>
        <w:rPr>
          <w:rFonts w:hint="eastAsia" w:ascii="宋体" w:hAnsi="宋体" w:eastAsia="宋体" w:cs="Times New Roman"/>
          <w:b/>
          <w:kern w:val="0"/>
          <w:sz w:val="24"/>
          <w:szCs w:val="21"/>
          <w:lang w:val="en-US" w:eastAsia="zh-CN" w:bidi="ar-SA"/>
        </w:rPr>
      </w:pPr>
      <w:r>
        <w:rPr>
          <w:rFonts w:hint="eastAsia" w:ascii="宋体" w:hAnsi="Courier New" w:eastAsia="宋体" w:cs="Times New Roman"/>
          <w:b/>
          <w:bCs/>
          <w:kern w:val="0"/>
          <w:sz w:val="24"/>
          <w:szCs w:val="20"/>
          <w:lang w:val="en-US" w:eastAsia="zh-CN" w:bidi="ar-SA"/>
        </w:rPr>
        <w:t>注：</w:t>
      </w:r>
      <w:r>
        <w:rPr>
          <w:rFonts w:hint="eastAsia" w:ascii="宋体" w:hAnsi="Courier New" w:cs="Times New Roman"/>
          <w:b/>
          <w:bCs/>
          <w:kern w:val="0"/>
          <w:sz w:val="24"/>
          <w:szCs w:val="20"/>
          <w:lang w:val="en-US" w:eastAsia="zh-CN" w:bidi="ar-SA"/>
        </w:rPr>
        <w:t>1.</w:t>
      </w:r>
      <w:r>
        <w:rPr>
          <w:rFonts w:hint="eastAsia" w:ascii="宋体" w:hAnsi="Courier New" w:eastAsia="宋体" w:cs="Times New Roman"/>
          <w:b/>
          <w:bCs/>
          <w:kern w:val="0"/>
          <w:sz w:val="24"/>
          <w:szCs w:val="20"/>
          <w:lang w:val="en-US" w:eastAsia="zh-CN" w:bidi="ar-SA"/>
        </w:rPr>
        <w:t>此表中的</w:t>
      </w:r>
      <w:r>
        <w:rPr>
          <w:rFonts w:hint="eastAsia" w:ascii="宋体" w:hAnsi="宋体" w:eastAsia="宋体" w:cs="Times New Roman"/>
          <w:b/>
          <w:kern w:val="0"/>
          <w:sz w:val="24"/>
          <w:szCs w:val="21"/>
          <w:lang w:val="en-US" w:eastAsia="zh-CN" w:bidi="ar-SA"/>
        </w:rPr>
        <w:t>产品技术指标及要求、数量不得负偏离。</w:t>
      </w:r>
    </w:p>
    <w:p>
      <w:pPr>
        <w:pStyle w:val="2"/>
        <w:rPr>
          <w:rFonts w:hint="default"/>
          <w:lang w:val="en-US"/>
        </w:rPr>
      </w:pPr>
      <w:r>
        <w:rPr>
          <w:rFonts w:hint="eastAsia" w:hAnsi="宋体" w:cs="Times New Roman"/>
          <w:b/>
          <w:kern w:val="0"/>
          <w:sz w:val="24"/>
          <w:szCs w:val="21"/>
          <w:lang w:val="en-US" w:eastAsia="zh-CN" w:bidi="ar-SA"/>
        </w:rPr>
        <w:t>2.此表中要求提供的相关证书</w:t>
      </w:r>
      <w:bookmarkStart w:id="0" w:name="_GoBack"/>
      <w:bookmarkEnd w:id="0"/>
      <w:r>
        <w:rPr>
          <w:rFonts w:hint="eastAsia" w:hAnsi="宋体" w:cs="Times New Roman"/>
          <w:b/>
          <w:kern w:val="0"/>
          <w:sz w:val="24"/>
          <w:szCs w:val="21"/>
          <w:lang w:val="en-US" w:eastAsia="zh-CN" w:bidi="ar-SA"/>
        </w:rPr>
        <w:t>复印件与报价单一并作为响应附件上传，未按要求上传报价无效。</w:t>
      </w:r>
    </w:p>
    <w:sectPr>
      <w:pgSz w:w="16838" w:h="11906" w:orient="landscape"/>
      <w:pgMar w:top="1134" w:right="986" w:bottom="1134" w:left="87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MzFmYjRkZTM1NjhlZGM0OWM0OTEzNzE0ZmEyOWIifQ=="/>
  </w:docVars>
  <w:rsids>
    <w:rsidRoot w:val="001F2B2D"/>
    <w:rsid w:val="000058B5"/>
    <w:rsid w:val="00024631"/>
    <w:rsid w:val="00025B00"/>
    <w:rsid w:val="0005111D"/>
    <w:rsid w:val="00053DBA"/>
    <w:rsid w:val="0006120D"/>
    <w:rsid w:val="0008375B"/>
    <w:rsid w:val="0008675E"/>
    <w:rsid w:val="00096652"/>
    <w:rsid w:val="000A2E6E"/>
    <w:rsid w:val="000A40DF"/>
    <w:rsid w:val="000A7FD6"/>
    <w:rsid w:val="000C17D3"/>
    <w:rsid w:val="000F3067"/>
    <w:rsid w:val="000F47F5"/>
    <w:rsid w:val="00107CB6"/>
    <w:rsid w:val="00110C26"/>
    <w:rsid w:val="00114499"/>
    <w:rsid w:val="00124B72"/>
    <w:rsid w:val="00125E9D"/>
    <w:rsid w:val="00141066"/>
    <w:rsid w:val="00143C16"/>
    <w:rsid w:val="00153E2F"/>
    <w:rsid w:val="00163141"/>
    <w:rsid w:val="00171174"/>
    <w:rsid w:val="00172177"/>
    <w:rsid w:val="00173DE7"/>
    <w:rsid w:val="00175BC0"/>
    <w:rsid w:val="001766EB"/>
    <w:rsid w:val="00177B5D"/>
    <w:rsid w:val="0018762A"/>
    <w:rsid w:val="00193A7F"/>
    <w:rsid w:val="001A2903"/>
    <w:rsid w:val="001B1DE5"/>
    <w:rsid w:val="001B78A6"/>
    <w:rsid w:val="001D1297"/>
    <w:rsid w:val="001D2E99"/>
    <w:rsid w:val="001E3D8E"/>
    <w:rsid w:val="001F2B2D"/>
    <w:rsid w:val="001F381D"/>
    <w:rsid w:val="00206CA2"/>
    <w:rsid w:val="00213A8F"/>
    <w:rsid w:val="00235E47"/>
    <w:rsid w:val="00264BA9"/>
    <w:rsid w:val="00266095"/>
    <w:rsid w:val="00271769"/>
    <w:rsid w:val="00273660"/>
    <w:rsid w:val="002756B3"/>
    <w:rsid w:val="002952C5"/>
    <w:rsid w:val="00295F90"/>
    <w:rsid w:val="002A0DFB"/>
    <w:rsid w:val="002A12A2"/>
    <w:rsid w:val="002A3FB4"/>
    <w:rsid w:val="002B43BD"/>
    <w:rsid w:val="002C0A34"/>
    <w:rsid w:val="002C0C9C"/>
    <w:rsid w:val="002C63C9"/>
    <w:rsid w:val="002D250A"/>
    <w:rsid w:val="002D6AEB"/>
    <w:rsid w:val="002E1F9B"/>
    <w:rsid w:val="002E25C1"/>
    <w:rsid w:val="002E4900"/>
    <w:rsid w:val="0030082F"/>
    <w:rsid w:val="00307440"/>
    <w:rsid w:val="0031154E"/>
    <w:rsid w:val="00314AF7"/>
    <w:rsid w:val="00321AD6"/>
    <w:rsid w:val="003279B6"/>
    <w:rsid w:val="00330BF8"/>
    <w:rsid w:val="00330CE2"/>
    <w:rsid w:val="00331A09"/>
    <w:rsid w:val="0033351B"/>
    <w:rsid w:val="00335F72"/>
    <w:rsid w:val="00336E24"/>
    <w:rsid w:val="003458CA"/>
    <w:rsid w:val="0034764B"/>
    <w:rsid w:val="0035596D"/>
    <w:rsid w:val="0036704B"/>
    <w:rsid w:val="00370032"/>
    <w:rsid w:val="003739C9"/>
    <w:rsid w:val="003801B7"/>
    <w:rsid w:val="0038290E"/>
    <w:rsid w:val="003A6DB4"/>
    <w:rsid w:val="003B7A38"/>
    <w:rsid w:val="003C4361"/>
    <w:rsid w:val="003C500A"/>
    <w:rsid w:val="003C759A"/>
    <w:rsid w:val="003D08B4"/>
    <w:rsid w:val="003D6594"/>
    <w:rsid w:val="003E03F8"/>
    <w:rsid w:val="00401A63"/>
    <w:rsid w:val="00410AAB"/>
    <w:rsid w:val="00423180"/>
    <w:rsid w:val="00425F60"/>
    <w:rsid w:val="00433742"/>
    <w:rsid w:val="00434F66"/>
    <w:rsid w:val="00436005"/>
    <w:rsid w:val="00446B73"/>
    <w:rsid w:val="004507D9"/>
    <w:rsid w:val="0046543E"/>
    <w:rsid w:val="00466327"/>
    <w:rsid w:val="004673B4"/>
    <w:rsid w:val="00476B8D"/>
    <w:rsid w:val="00494CA5"/>
    <w:rsid w:val="004A3493"/>
    <w:rsid w:val="004B0AF0"/>
    <w:rsid w:val="004B5BA2"/>
    <w:rsid w:val="004C2242"/>
    <w:rsid w:val="004D2363"/>
    <w:rsid w:val="004E2037"/>
    <w:rsid w:val="004F5FB5"/>
    <w:rsid w:val="00503A0C"/>
    <w:rsid w:val="00503D74"/>
    <w:rsid w:val="005128C7"/>
    <w:rsid w:val="00516693"/>
    <w:rsid w:val="0053507A"/>
    <w:rsid w:val="005357E9"/>
    <w:rsid w:val="005373E7"/>
    <w:rsid w:val="005468F5"/>
    <w:rsid w:val="00553420"/>
    <w:rsid w:val="0055614D"/>
    <w:rsid w:val="00575415"/>
    <w:rsid w:val="00575453"/>
    <w:rsid w:val="00575811"/>
    <w:rsid w:val="005803AF"/>
    <w:rsid w:val="00590078"/>
    <w:rsid w:val="00593AD8"/>
    <w:rsid w:val="00597ACB"/>
    <w:rsid w:val="005A0D24"/>
    <w:rsid w:val="005B4421"/>
    <w:rsid w:val="005C4C23"/>
    <w:rsid w:val="005D6981"/>
    <w:rsid w:val="005E3D57"/>
    <w:rsid w:val="005E5E50"/>
    <w:rsid w:val="005E6B41"/>
    <w:rsid w:val="00616FAC"/>
    <w:rsid w:val="006320D3"/>
    <w:rsid w:val="00644C4F"/>
    <w:rsid w:val="006571DD"/>
    <w:rsid w:val="00662A33"/>
    <w:rsid w:val="00664919"/>
    <w:rsid w:val="0066612E"/>
    <w:rsid w:val="00673293"/>
    <w:rsid w:val="00684735"/>
    <w:rsid w:val="0068743A"/>
    <w:rsid w:val="00694342"/>
    <w:rsid w:val="00694428"/>
    <w:rsid w:val="006944D1"/>
    <w:rsid w:val="00697C17"/>
    <w:rsid w:val="006A169A"/>
    <w:rsid w:val="006B3176"/>
    <w:rsid w:val="006D3BD7"/>
    <w:rsid w:val="006D4B98"/>
    <w:rsid w:val="006E3FAF"/>
    <w:rsid w:val="007051C9"/>
    <w:rsid w:val="00710D9C"/>
    <w:rsid w:val="007204BD"/>
    <w:rsid w:val="00730628"/>
    <w:rsid w:val="00736937"/>
    <w:rsid w:val="0074075D"/>
    <w:rsid w:val="00746F01"/>
    <w:rsid w:val="0075445A"/>
    <w:rsid w:val="0075466D"/>
    <w:rsid w:val="00755658"/>
    <w:rsid w:val="007657A5"/>
    <w:rsid w:val="00781E63"/>
    <w:rsid w:val="00793F77"/>
    <w:rsid w:val="00794AEB"/>
    <w:rsid w:val="007A419B"/>
    <w:rsid w:val="007A4C70"/>
    <w:rsid w:val="007B0084"/>
    <w:rsid w:val="007B3D75"/>
    <w:rsid w:val="007C0FDD"/>
    <w:rsid w:val="007C2E70"/>
    <w:rsid w:val="007C63EE"/>
    <w:rsid w:val="007D401C"/>
    <w:rsid w:val="007D4F66"/>
    <w:rsid w:val="007E401E"/>
    <w:rsid w:val="007E4136"/>
    <w:rsid w:val="007F2878"/>
    <w:rsid w:val="007F34A4"/>
    <w:rsid w:val="00840BFC"/>
    <w:rsid w:val="008534B2"/>
    <w:rsid w:val="00853F2C"/>
    <w:rsid w:val="00856019"/>
    <w:rsid w:val="00866E8D"/>
    <w:rsid w:val="00870AC3"/>
    <w:rsid w:val="00881734"/>
    <w:rsid w:val="00893260"/>
    <w:rsid w:val="008B29A9"/>
    <w:rsid w:val="008B39EE"/>
    <w:rsid w:val="008B3F4B"/>
    <w:rsid w:val="008D2F27"/>
    <w:rsid w:val="008E3E7E"/>
    <w:rsid w:val="008E6AB5"/>
    <w:rsid w:val="008E7E03"/>
    <w:rsid w:val="00906783"/>
    <w:rsid w:val="00906C6E"/>
    <w:rsid w:val="00912106"/>
    <w:rsid w:val="009146E7"/>
    <w:rsid w:val="00917B9F"/>
    <w:rsid w:val="00917F61"/>
    <w:rsid w:val="0092275C"/>
    <w:rsid w:val="009376DF"/>
    <w:rsid w:val="00954DCA"/>
    <w:rsid w:val="00957015"/>
    <w:rsid w:val="00957C75"/>
    <w:rsid w:val="009734BF"/>
    <w:rsid w:val="009876E8"/>
    <w:rsid w:val="009A280E"/>
    <w:rsid w:val="009A3481"/>
    <w:rsid w:val="009B52BE"/>
    <w:rsid w:val="009C26B1"/>
    <w:rsid w:val="009C4D88"/>
    <w:rsid w:val="009D3BD9"/>
    <w:rsid w:val="009D3CE4"/>
    <w:rsid w:val="009E2AFE"/>
    <w:rsid w:val="009E5F24"/>
    <w:rsid w:val="00A053A1"/>
    <w:rsid w:val="00A127D7"/>
    <w:rsid w:val="00A2106B"/>
    <w:rsid w:val="00A24F41"/>
    <w:rsid w:val="00A313DF"/>
    <w:rsid w:val="00A32454"/>
    <w:rsid w:val="00A33BCC"/>
    <w:rsid w:val="00A3456D"/>
    <w:rsid w:val="00A365C7"/>
    <w:rsid w:val="00A36E63"/>
    <w:rsid w:val="00A4064B"/>
    <w:rsid w:val="00A4359A"/>
    <w:rsid w:val="00A73301"/>
    <w:rsid w:val="00A816D4"/>
    <w:rsid w:val="00A83AD3"/>
    <w:rsid w:val="00A91DD5"/>
    <w:rsid w:val="00A93F5A"/>
    <w:rsid w:val="00A96FA1"/>
    <w:rsid w:val="00AB19A0"/>
    <w:rsid w:val="00AB5583"/>
    <w:rsid w:val="00AC58A0"/>
    <w:rsid w:val="00AC736D"/>
    <w:rsid w:val="00AE2386"/>
    <w:rsid w:val="00AF08AE"/>
    <w:rsid w:val="00AF0F1E"/>
    <w:rsid w:val="00B06585"/>
    <w:rsid w:val="00B11396"/>
    <w:rsid w:val="00B21AE6"/>
    <w:rsid w:val="00B2233D"/>
    <w:rsid w:val="00B24D1F"/>
    <w:rsid w:val="00B26131"/>
    <w:rsid w:val="00B31D8C"/>
    <w:rsid w:val="00B35D97"/>
    <w:rsid w:val="00B36FE4"/>
    <w:rsid w:val="00B56455"/>
    <w:rsid w:val="00B567BB"/>
    <w:rsid w:val="00B572BA"/>
    <w:rsid w:val="00B63874"/>
    <w:rsid w:val="00B654BF"/>
    <w:rsid w:val="00B73EF3"/>
    <w:rsid w:val="00B824FF"/>
    <w:rsid w:val="00B902CA"/>
    <w:rsid w:val="00B959E8"/>
    <w:rsid w:val="00BA0BB2"/>
    <w:rsid w:val="00BA102B"/>
    <w:rsid w:val="00BA14D2"/>
    <w:rsid w:val="00BA226F"/>
    <w:rsid w:val="00BB1863"/>
    <w:rsid w:val="00BC62EC"/>
    <w:rsid w:val="00BF6F04"/>
    <w:rsid w:val="00BF7AC7"/>
    <w:rsid w:val="00C034CB"/>
    <w:rsid w:val="00C21CF7"/>
    <w:rsid w:val="00C241D3"/>
    <w:rsid w:val="00C26E07"/>
    <w:rsid w:val="00C36180"/>
    <w:rsid w:val="00C408CE"/>
    <w:rsid w:val="00C46B94"/>
    <w:rsid w:val="00C55521"/>
    <w:rsid w:val="00C645D8"/>
    <w:rsid w:val="00C71065"/>
    <w:rsid w:val="00C72C26"/>
    <w:rsid w:val="00C72F4B"/>
    <w:rsid w:val="00C85532"/>
    <w:rsid w:val="00CA621C"/>
    <w:rsid w:val="00CA78B4"/>
    <w:rsid w:val="00CA7EA1"/>
    <w:rsid w:val="00CB4668"/>
    <w:rsid w:val="00CB4F93"/>
    <w:rsid w:val="00CC4B99"/>
    <w:rsid w:val="00CC655D"/>
    <w:rsid w:val="00CE2F93"/>
    <w:rsid w:val="00CE58D0"/>
    <w:rsid w:val="00CE6D26"/>
    <w:rsid w:val="00CF52DC"/>
    <w:rsid w:val="00D22849"/>
    <w:rsid w:val="00D340B4"/>
    <w:rsid w:val="00D51208"/>
    <w:rsid w:val="00D64CC2"/>
    <w:rsid w:val="00D71DC7"/>
    <w:rsid w:val="00D74022"/>
    <w:rsid w:val="00D765AD"/>
    <w:rsid w:val="00D84986"/>
    <w:rsid w:val="00D84F61"/>
    <w:rsid w:val="00D85D2F"/>
    <w:rsid w:val="00D97285"/>
    <w:rsid w:val="00DC07C3"/>
    <w:rsid w:val="00DC7F7F"/>
    <w:rsid w:val="00DF5414"/>
    <w:rsid w:val="00E03B46"/>
    <w:rsid w:val="00E06EAE"/>
    <w:rsid w:val="00E079FF"/>
    <w:rsid w:val="00E13A75"/>
    <w:rsid w:val="00E242E8"/>
    <w:rsid w:val="00E2484A"/>
    <w:rsid w:val="00E27146"/>
    <w:rsid w:val="00E37922"/>
    <w:rsid w:val="00E5034C"/>
    <w:rsid w:val="00E60D74"/>
    <w:rsid w:val="00E66730"/>
    <w:rsid w:val="00E758DF"/>
    <w:rsid w:val="00E81353"/>
    <w:rsid w:val="00E85573"/>
    <w:rsid w:val="00E91DD3"/>
    <w:rsid w:val="00E94921"/>
    <w:rsid w:val="00E96762"/>
    <w:rsid w:val="00E978DE"/>
    <w:rsid w:val="00E97BA4"/>
    <w:rsid w:val="00EA23F5"/>
    <w:rsid w:val="00EB6B4D"/>
    <w:rsid w:val="00EB7B3A"/>
    <w:rsid w:val="00EE55B6"/>
    <w:rsid w:val="00EF26F0"/>
    <w:rsid w:val="00EF7819"/>
    <w:rsid w:val="00F16B89"/>
    <w:rsid w:val="00F273C2"/>
    <w:rsid w:val="00F3281E"/>
    <w:rsid w:val="00F41138"/>
    <w:rsid w:val="00F466D4"/>
    <w:rsid w:val="00F62AB5"/>
    <w:rsid w:val="00F75C7E"/>
    <w:rsid w:val="00F909FB"/>
    <w:rsid w:val="00F93AC4"/>
    <w:rsid w:val="00FA3F69"/>
    <w:rsid w:val="00FB0904"/>
    <w:rsid w:val="00FC27C6"/>
    <w:rsid w:val="00FE1236"/>
    <w:rsid w:val="00FE17FF"/>
    <w:rsid w:val="00FE2947"/>
    <w:rsid w:val="00FE428C"/>
    <w:rsid w:val="00FE4B22"/>
    <w:rsid w:val="00FF16D0"/>
    <w:rsid w:val="010D0BBA"/>
    <w:rsid w:val="09EE1D3F"/>
    <w:rsid w:val="2AC343A2"/>
    <w:rsid w:val="2D2766AC"/>
    <w:rsid w:val="2EEA7A8E"/>
    <w:rsid w:val="2F3C4299"/>
    <w:rsid w:val="3DC13EED"/>
    <w:rsid w:val="65F917BD"/>
    <w:rsid w:val="67F75630"/>
    <w:rsid w:val="7D7D5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nhideWhenUsed/>
    <w:qFormat/>
    <w:uiPriority w:val="99"/>
    <w:pPr>
      <w:spacing w:line="360" w:lineRule="auto"/>
      <w:ind w:firstLine="640" w:firstLineChars="200"/>
    </w:pPr>
    <w:rPr>
      <w:rFonts w:ascii="宋体" w:hAnsi="Courier New" w:cs="宋体"/>
      <w:kern w:val="0"/>
      <w:sz w:val="24"/>
      <w:szCs w:val="24"/>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Char"/>
    <w:basedOn w:val="7"/>
    <w:link w:val="2"/>
    <w:qFormat/>
    <w:uiPriority w:val="99"/>
    <w:rPr>
      <w:rFonts w:ascii="宋体" w:hAnsi="Courier New" w:eastAsia="宋体" w:cs="宋体"/>
      <w:kern w:val="0"/>
      <w:sz w:val="24"/>
      <w:szCs w:val="24"/>
    </w:rPr>
  </w:style>
  <w:style w:type="paragraph" w:customStyle="1" w:styleId="9">
    <w:name w:val="列出段落1"/>
    <w:basedOn w:val="1"/>
    <w:uiPriority w:val="0"/>
    <w:pPr>
      <w:ind w:firstLine="420" w:firstLineChars="200"/>
    </w:pPr>
    <w:rPr>
      <w:rFonts w:ascii="Calibri" w:hAnsi="Calibri" w:cs="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6</Pages>
  <Words>4774</Words>
  <Characters>5155</Characters>
  <Lines>5</Lines>
  <Paragraphs>1</Paragraphs>
  <TotalTime>15</TotalTime>
  <ScaleCrop>false</ScaleCrop>
  <LinksUpToDate>false</LinksUpToDate>
  <CharactersWithSpaces>5176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2022-08-11T02:12:00Z</dcterms:created>
  <dc:creator>李彦文</dc:creator>
  <cp:lastModifiedBy>异雨星空</cp:lastModifiedBy>
  <dcterms:modified xsi:type="dcterms:W3CDTF">2022-11-04T08:54:00Z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3F531A4F0793499F93BCB5CD2899258B</vt:lpwstr>
  </property>
</Properties>
</file>