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312" w:beforeLines="100" w:beforeAutospacing="0" w:after="0" w:afterAutospacing="0" w:line="360" w:lineRule="auto"/>
        <w:ind w:left="0" w:right="-108"/>
        <w:jc w:val="center"/>
        <w:rPr>
          <w:rFonts w:hint="eastAsia" w:ascii="宋体" w:hAnsi="宋体" w:eastAsia="宋体" w:cs="宋体"/>
          <w:sz w:val="36"/>
          <w:szCs w:val="36"/>
          <w:lang w:val="en-US"/>
        </w:rPr>
      </w:pPr>
      <w:bookmarkStart w:id="0" w:name="PO_15528_PM002_1"/>
      <w:r>
        <w:rPr>
          <w:rFonts w:hint="eastAsia" w:ascii="宋体" w:hAnsi="宋体" w:eastAsia="宋体" w:cs="宋体"/>
          <w:b/>
          <w:kern w:val="2"/>
          <w:sz w:val="44"/>
          <w:szCs w:val="44"/>
          <w:lang w:val="en-US" w:eastAsia="zh-CN" w:bidi="ar"/>
        </w:rPr>
        <w:t>浙江工业大学新文科综合实验室建设采购项目</w:t>
      </w:r>
      <w:bookmarkEnd w:id="0"/>
    </w:p>
    <w:p>
      <w:pPr>
        <w:keepNext w:val="0"/>
        <w:keepLines w:val="0"/>
        <w:widowControl w:val="0"/>
        <w:suppressLineNumbers w:val="0"/>
        <w:spacing w:before="312" w:beforeLines="100" w:beforeAutospacing="0" w:after="0" w:afterAutospacing="0" w:line="360" w:lineRule="auto"/>
        <w:ind w:left="0" w:right="-108"/>
        <w:jc w:val="center"/>
        <w:rPr>
          <w:rFonts w:hint="eastAsia" w:ascii="宋体" w:hAnsi="宋体" w:eastAsia="宋体" w:cs="宋体"/>
          <w:b/>
          <w:spacing w:val="40"/>
          <w:sz w:val="84"/>
          <w:szCs w:val="84"/>
          <w:lang w:val="en-US"/>
        </w:rPr>
      </w:pPr>
      <w:r>
        <w:rPr>
          <w:rFonts w:hint="eastAsia" w:ascii="宋体" w:hAnsi="宋体" w:eastAsia="宋体" w:cs="宋体"/>
          <w:kern w:val="2"/>
          <w:sz w:val="36"/>
          <w:szCs w:val="36"/>
          <w:lang w:val="en-US" w:eastAsia="zh-CN" w:bidi="ar"/>
        </w:rPr>
        <w:t>项目编号：</w:t>
      </w:r>
      <w:bookmarkStart w:id="1" w:name="PO_15528_PM001"/>
      <w:bookmarkEnd w:id="1"/>
      <w:r>
        <w:rPr>
          <w:rFonts w:hint="eastAsia" w:ascii="宋体" w:hAnsi="宋体" w:eastAsia="宋体" w:cs="宋体"/>
          <w:kern w:val="2"/>
          <w:sz w:val="36"/>
          <w:szCs w:val="36"/>
          <w:lang w:val="en-US" w:eastAsia="zh-CN" w:bidi="ar"/>
        </w:rPr>
        <w:t>ZZCG2022F-GK-170</w:t>
      </w:r>
    </w:p>
    <w:p>
      <w:pPr>
        <w:keepNext w:val="0"/>
        <w:keepLines w:val="0"/>
        <w:widowControl w:val="0"/>
        <w:suppressLineNumbers w:val="0"/>
        <w:spacing w:before="312" w:beforeLines="10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采购单位：浙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址：杭州市环城北路305号耀江发展中心</w:t>
      </w:r>
    </w:p>
    <w:p>
      <w:pPr>
        <w:keepNext w:val="0"/>
        <w:keepLines w:val="0"/>
        <w:widowControl w:val="0"/>
        <w:suppressLineNumbers w:val="0"/>
        <w:spacing w:before="0" w:beforeAutospacing="0" w:after="0" w:afterAutospacing="0" w:line="500" w:lineRule="exact"/>
        <w:ind w:left="0" w:right="-108" w:firstLine="3755" w:firstLineChars="850"/>
        <w:jc w:val="both"/>
        <w:rPr>
          <w:rFonts w:hAnsi="宋体"/>
          <w:b/>
          <w:sz w:val="36"/>
          <w:szCs w:val="36"/>
          <w:lang w:val="en-US"/>
        </w:rPr>
      </w:pPr>
      <w:r>
        <w:rPr>
          <w:rFonts w:hint="default" w:ascii="Calibri" w:hAnsi="宋体" w:eastAsia="宋体" w:cs="Times New Roman"/>
          <w:b/>
          <w:sz w:val="44"/>
          <w:szCs w:val="44"/>
          <w:lang w:val="en-US" w:eastAsia="zh-CN" w:bidi="ar"/>
        </w:rPr>
        <w:br w:type="page"/>
      </w:r>
      <w:r>
        <w:rPr>
          <w:rFonts w:hint="eastAsia" w:ascii="宋体" w:hAnsi="宋体" w:eastAsia="宋体" w:cs="宋体"/>
          <w:b/>
          <w:kern w:val="2"/>
          <w:sz w:val="36"/>
          <w:szCs w:val="36"/>
          <w:lang w:val="en-US" w:eastAsia="zh-CN" w:bidi="ar"/>
        </w:rPr>
        <w:t>目录</w:t>
      </w:r>
    </w:p>
    <w:p>
      <w:pPr>
        <w:pStyle w:val="53"/>
        <w:keepNext w:val="0"/>
        <w:keepLines w:val="0"/>
        <w:widowControl w:val="0"/>
        <w:suppressLineNumbers w:val="0"/>
        <w:spacing w:before="156" w:beforeLines="50" w:beforeAutospacing="0" w:after="0" w:afterAutospacing="0" w:line="360" w:lineRule="auto"/>
        <w:ind w:left="0" w:right="0"/>
        <w:jc w:val="center"/>
        <w:rPr>
          <w:rFonts w:hAnsi="宋体" w:eastAsia="仿宋_GB2312"/>
          <w:sz w:val="32"/>
          <w:szCs w:val="32"/>
          <w:lang w:val="en-US"/>
        </w:rPr>
      </w:pPr>
      <w:r>
        <w:rPr>
          <w:rFonts w:hint="eastAsia" w:ascii="宋体" w:hAnsi="宋体" w:eastAsia="仿宋_GB2312" w:cs="Times New Roman"/>
          <w:kern w:val="2"/>
          <w:sz w:val="32"/>
          <w:szCs w:val="32"/>
          <w:lang w:val="en-US" w:eastAsia="zh-CN" w:bidi="ar"/>
        </w:rPr>
        <w:t xml:space="preserve"> </w:t>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"file:///F:\\pooh\\E盘\\2022F\\浙江工业大学ZZCG2022F-GK-170\\浙江工业大学新文科综合实验室建设采购项目830.docx" \l "_Toc496796635"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_Toc496796635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"file:///F:\\pooh\\E盘\\2022F\\浙江工业大学ZZCG2022F-GK-170\\浙江工业大学新文科综合实验室建设采购项目830.docx" \l "_Toc496796636"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第二章投标人须知</w:t>
      </w:r>
      <w:r>
        <w:rPr>
          <w:rStyle w:val="69"/>
          <w:u w:val="single"/>
          <w:lang w:val="en-US"/>
        </w:rPr>
        <w:tab/>
      </w:r>
      <w:r>
        <w:rPr>
          <w:rStyle w:val="69"/>
          <w:u w:val="single"/>
          <w:lang w:val="en-US"/>
        </w:rPr>
        <w:t>6</w:t>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"file:///F:\\pooh\\E盘\\2022F\\浙江工业大学ZZCG2022F-GK-170\\浙江工业大学新文科综合实验室建设采购项目830.docx" \l "_Toc496796637"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_Toc496796637 \h </w:instrText>
      </w:r>
      <w:r>
        <w:rPr>
          <w:rStyle w:val="69"/>
          <w:u w:val="single"/>
          <w:lang w:val="en-US"/>
        </w:rPr>
        <w:fldChar w:fldCharType="separate"/>
      </w:r>
      <w:r>
        <w:rPr>
          <w:rStyle w:val="69"/>
          <w:u w:val="single"/>
          <w:lang w:val="en-US"/>
        </w:rPr>
        <w:t>23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"file:///F:\\pooh\\E盘\\2022F\\浙江工业大学ZZCG2022F-GK-170\\浙江工业大学新文科综合实验室建设采购项目830.docx" \l "_Toc496796638"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_Toc496796638 \h </w:instrText>
      </w:r>
      <w:r>
        <w:rPr>
          <w:rStyle w:val="69"/>
          <w:u w:val="single"/>
          <w:lang w:val="en-US"/>
        </w:rPr>
        <w:fldChar w:fldCharType="separate"/>
      </w:r>
      <w:r>
        <w:rPr>
          <w:rStyle w:val="69"/>
          <w:u w:val="single"/>
          <w:lang w:val="en-US"/>
        </w:rPr>
        <w:t>24</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"file:///F:\\pooh\\E盘\\2022F\\浙江工业大学ZZCG2022F-GK-170\\浙江工业大学新文科综合实验室建设采购项目830.docx" \l "_Toc496796639"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_Toc496796639 \h </w:instrText>
      </w:r>
      <w:r>
        <w:rPr>
          <w:rStyle w:val="69"/>
          <w:u w:val="single"/>
          <w:lang w:val="en-US"/>
        </w:rPr>
        <w:fldChar w:fldCharType="separate"/>
      </w:r>
      <w:r>
        <w:rPr>
          <w:rStyle w:val="69"/>
          <w:u w:val="single"/>
          <w:lang w:val="en-US"/>
        </w:rPr>
        <w:t>25</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"file:///F:\\pooh\\E盘\\2022F\\浙江工业大学ZZCG2022F-GK-170\\浙江工业大学新文科综合实验室建设采购项目830.docx" \l "_Toc496796640"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_Toc496796640 \h </w:instrText>
      </w:r>
      <w:r>
        <w:rPr>
          <w:rStyle w:val="69"/>
          <w:u w:val="single"/>
          <w:lang w:val="en-US"/>
        </w:rPr>
        <w:fldChar w:fldCharType="separate"/>
      </w:r>
      <w:r>
        <w:rPr>
          <w:rStyle w:val="69"/>
          <w:u w:val="single"/>
          <w:lang w:val="en-US"/>
        </w:rPr>
        <w:t>32</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keepNext w:val="0"/>
        <w:keepLines w:val="0"/>
        <w:widowControl w:val="0"/>
        <w:suppressLineNumbers w:val="0"/>
        <w:spacing w:before="156" w:beforeLines="50" w:beforeAutospacing="0" w:after="0" w:afterAutospacing="0" w:line="480" w:lineRule="exact"/>
        <w:ind w:left="165" w:right="0"/>
        <w:jc w:val="both"/>
        <w:rPr>
          <w:rFonts w:hint="eastAsia" w:ascii="宋体" w:hAnsi="宋体" w:eastAsia="仿宋_GB2312" w:cs="宋体"/>
          <w:sz w:val="30"/>
          <w:szCs w:val="30"/>
          <w:lang w:val="en-US"/>
        </w:rPr>
      </w:pPr>
      <w:r>
        <w:rPr>
          <w:rFonts w:hint="eastAsia" w:ascii="宋体" w:hAnsi="宋体" w:eastAsia="仿宋_GB2312" w:cs="宋体"/>
          <w:kern w:val="2"/>
          <w:sz w:val="30"/>
          <w:szCs w:val="30"/>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firstLine="640"/>
        <w:jc w:val="center"/>
        <w:outlineLvl w:val="0"/>
        <w:rPr>
          <w:rFonts w:hAnsi="宋体"/>
          <w:b/>
          <w:sz w:val="36"/>
          <w:szCs w:val="36"/>
          <w:lang w:val="en-US"/>
        </w:rPr>
      </w:pPr>
      <w:r>
        <w:rPr>
          <w:rFonts w:hint="eastAsia" w:ascii="宋体" w:hAnsi="宋体" w:eastAsia="仿宋_GB2312" w:cs="Times New Roman"/>
          <w:sz w:val="32"/>
          <w:szCs w:val="32"/>
          <w:lang w:val="en-US" w:eastAsia="zh-CN" w:bidi="ar"/>
        </w:rPr>
        <w:br w:type="page"/>
      </w:r>
      <w:bookmarkStart w:id="2" w:name="_Toc496796635"/>
      <w:bookmarkEnd w:id="2"/>
      <w:r>
        <w:rPr>
          <w:rFonts w:hint="eastAsia" w:ascii="宋体" w:hAnsi="宋体" w:eastAsia="宋体" w:cs="Times New Roman"/>
          <w:b/>
          <w:kern w:val="2"/>
          <w:sz w:val="36"/>
          <w:szCs w:val="36"/>
          <w:lang w:val="en-US" w:eastAsia="zh-CN" w:bidi="ar"/>
        </w:rPr>
        <w:t>第一章  公开招标采购公告</w:t>
      </w:r>
    </w:p>
    <w:p>
      <w:pPr>
        <w:pStyle w:val="53"/>
        <w:keepNext w:val="0"/>
        <w:keepLines w:val="0"/>
        <w:widowControl w:val="0"/>
        <w:suppressLineNumbers w:val="0"/>
        <w:snapToGrid w:val="0"/>
        <w:spacing w:before="0" w:beforeAutospacing="1" w:after="0" w:afterAutospacing="0" w:line="46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一、</w:t>
      </w:r>
      <w:r>
        <w:rPr>
          <w:rFonts w:hint="eastAsia" w:ascii="仿宋" w:hAnsi="仿宋" w:eastAsia="仿宋" w:cs="Arial"/>
          <w:b/>
          <w:kern w:val="2"/>
          <w:sz w:val="30"/>
          <w:szCs w:val="30"/>
          <w:lang w:val="en-US" w:eastAsia="zh-CN" w:bidi="ar"/>
        </w:rPr>
        <w:t>项目编号：</w:t>
      </w:r>
      <w:bookmarkStart w:id="3" w:name="PO_15528_PM001_1"/>
      <w:bookmarkEnd w:id="3"/>
      <w:r>
        <w:rPr>
          <w:rFonts w:hint="eastAsia" w:ascii="仿宋" w:hAnsi="仿宋" w:eastAsia="仿宋" w:cs="Arial"/>
          <w:b/>
          <w:kern w:val="2"/>
          <w:sz w:val="30"/>
          <w:szCs w:val="30"/>
          <w:lang w:val="en-US" w:eastAsia="zh-CN" w:bidi="ar"/>
        </w:rPr>
        <w:t>ZZCG2022F-GK-170</w:t>
      </w:r>
    </w:p>
    <w:p>
      <w:pPr>
        <w:keepNext w:val="0"/>
        <w:keepLines w:val="0"/>
        <w:widowControl w:val="0"/>
        <w:suppressLineNumbers w:val="0"/>
        <w:snapToGrid w:val="0"/>
        <w:spacing w:before="0" w:beforeAutospacing="0" w:after="156" w:afterLines="5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二、</w:t>
      </w:r>
      <w:r>
        <w:rPr>
          <w:rFonts w:hint="eastAsia" w:ascii="仿宋" w:hAnsi="仿宋" w:eastAsia="仿宋" w:cs="Arial"/>
          <w:b/>
          <w:kern w:val="2"/>
          <w:sz w:val="28"/>
          <w:szCs w:val="28"/>
          <w:lang w:val="en-US" w:eastAsia="zh-CN" w:bidi="ar"/>
        </w:rPr>
        <w:t>公告期限：5个工作日</w:t>
      </w:r>
    </w:p>
    <w:p>
      <w:pPr>
        <w:keepNext w:val="0"/>
        <w:keepLines w:val="0"/>
        <w:widowControl w:val="0"/>
        <w:suppressLineNumbers w:val="0"/>
        <w:snapToGrid w:val="0"/>
        <w:spacing w:before="0" w:beforeAutospacing="0" w:after="156" w:afterLines="50" w:afterAutospacing="0" w:line="460" w:lineRule="exact"/>
        <w:ind w:left="0" w:right="0" w:firstLine="602" w:firstLineChars="200"/>
        <w:jc w:val="both"/>
        <w:rPr>
          <w:rFonts w:hint="eastAsia" w:ascii="仿宋" w:hAnsi="仿宋" w:eastAsia="仿宋" w:cs="Arial"/>
          <w:b/>
          <w:sz w:val="28"/>
          <w:szCs w:val="28"/>
          <w:lang w:val="en-US"/>
        </w:rPr>
      </w:pPr>
      <w:r>
        <w:rPr>
          <w:rFonts w:hint="eastAsia" w:ascii="仿宋" w:hAnsi="仿宋" w:eastAsia="仿宋" w:cs="Arial"/>
          <w:b/>
          <w:kern w:val="2"/>
          <w:sz w:val="30"/>
          <w:szCs w:val="30"/>
          <w:lang w:val="en-US" w:eastAsia="zh-CN" w:bidi="ar"/>
        </w:rPr>
        <w:t>三、</w:t>
      </w:r>
      <w:r>
        <w:rPr>
          <w:rFonts w:hint="eastAsia" w:ascii="仿宋" w:hAnsi="仿宋" w:eastAsia="仿宋" w:cs="Arial"/>
          <w:b/>
          <w:kern w:val="2"/>
          <w:sz w:val="28"/>
          <w:szCs w:val="28"/>
          <w:lang w:val="en-US" w:eastAsia="zh-CN" w:bidi="ar"/>
        </w:rPr>
        <w:t>采购项目内容、数量及预算</w:t>
      </w:r>
      <w:bookmarkStart w:id="4" w:name="PO_15528_PM004"/>
      <w:bookmarkEnd w:id="4"/>
      <w:r>
        <w:rPr>
          <w:rFonts w:hint="eastAsia" w:ascii="仿宋" w:hAnsi="仿宋" w:eastAsia="仿宋" w:cs="Arial"/>
          <w:b/>
          <w:kern w:val="2"/>
          <w:sz w:val="28"/>
          <w:szCs w:val="28"/>
          <w:lang w:val="en-US" w:eastAsia="zh-CN" w:bidi="ar"/>
        </w:rPr>
        <w:t xml:space="preserve"> </w:t>
      </w:r>
    </w:p>
    <w:tbl>
      <w:tblPr>
        <w:tblStyle w:val="59"/>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1593"/>
        <w:gridCol w:w="849"/>
        <w:gridCol w:w="992"/>
        <w:gridCol w:w="1134"/>
        <w:gridCol w:w="1134"/>
        <w:gridCol w:w="1416"/>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w:t>
            </w:r>
          </w:p>
        </w:tc>
        <w:tc>
          <w:tcPr>
            <w:tcW w:w="15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标项名称</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数量</w:t>
            </w:r>
          </w:p>
        </w:tc>
        <w:tc>
          <w:tcPr>
            <w:tcW w:w="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单位</w:t>
            </w: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预算(万元)</w:t>
            </w: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简要规格描述或标项基本概况介绍</w:t>
            </w:r>
          </w:p>
        </w:tc>
        <w:tc>
          <w:tcPr>
            <w:tcW w:w="141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最高限价(万元)</w:t>
            </w: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5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浙江工业大学新文科综合实验室建设采购项目</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项</w:t>
            </w: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500</w:t>
            </w: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41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p>
        </w:tc>
        <w:tc>
          <w:tcPr>
            <w:tcW w:w="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Autospacing="0" w:line="460" w:lineRule="exact"/>
              <w:ind w:left="0" w:right="0"/>
              <w:jc w:val="both"/>
              <w:rPr>
                <w:rFonts w:hint="eastAsia" w:ascii="仿宋" w:hAnsi="仿宋" w:eastAsia="仿宋" w:cs="Arial"/>
                <w:b/>
                <w:sz w:val="28"/>
                <w:szCs w:val="28"/>
                <w:lang w:val="en-US"/>
              </w:rPr>
            </w:pPr>
          </w:p>
        </w:tc>
      </w:tr>
    </w:tbl>
    <w:p>
      <w:pPr>
        <w:keepNext w:val="0"/>
        <w:keepLines w:val="0"/>
        <w:widowControl w:val="0"/>
        <w:suppressLineNumbers w:val="0"/>
        <w:snapToGrid w:val="0"/>
        <w:spacing w:before="0" w:beforeAutospacing="0" w:after="156" w:afterLines="50" w:afterAutospacing="0" w:line="460" w:lineRule="exact"/>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符合《中华人民共和国政府采购法》第二十二条规定,且未被</w:t>
      </w:r>
      <w:r>
        <w:rPr>
          <w:rFonts w:hint="eastAsia" w:ascii="仿宋" w:hAnsi="仿宋" w:eastAsia="仿宋" w:cs="仿宋"/>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bookmarkStart w:id="5" w:name="PO_416_PM006"/>
      <w:bookmarkEnd w:id="5"/>
      <w:r>
        <w:rPr>
          <w:rFonts w:hint="eastAsia" w:ascii="仿宋" w:hAnsi="仿宋" w:eastAsia="仿宋" w:cs="Arial"/>
          <w:b/>
          <w:kern w:val="2"/>
          <w:sz w:val="30"/>
          <w:szCs w:val="30"/>
          <w:lang w:val="en-US" w:eastAsia="zh-CN" w:bidi="ar"/>
        </w:rPr>
        <w:t xml:space="preserve"> 投标人的特定条件：无</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bookmarkStart w:id="6" w:name="PO_15528_PM007"/>
      <w:bookmarkEnd w:id="6"/>
      <w:r>
        <w:rPr>
          <w:rFonts w:hint="eastAsia" w:ascii="宋体" w:hAnsi="宋体" w:eastAsia="宋体" w:cs="仿宋"/>
          <w:b/>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1.获取时间：</w:t>
      </w:r>
      <w:r>
        <w:rPr>
          <w:rFonts w:hint="eastAsia" w:ascii="仿宋" w:hAnsi="仿宋" w:eastAsia="仿宋" w:cs="仿宋"/>
          <w:kern w:val="0"/>
          <w:sz w:val="30"/>
          <w:szCs w:val="30"/>
          <w:lang w:val="en-US" w:eastAsia="zh-CN" w:bidi="ar"/>
        </w:rPr>
        <w:t xml:space="preserve"> 至 </w:t>
      </w:r>
      <w:bookmarkStart w:id="7" w:name="PO_15528_PM009"/>
      <w:r>
        <w:rPr>
          <w:rFonts w:hint="eastAsia" w:ascii="仿宋" w:hAnsi="仿宋" w:eastAsia="仿宋" w:cs="仿宋"/>
          <w:kern w:val="0"/>
          <w:sz w:val="30"/>
          <w:szCs w:val="30"/>
          <w:lang w:val="en-US" w:eastAsia="zh-CN" w:bidi="ar"/>
        </w:rPr>
        <w:t>2022-09-22 09:00:00</w:t>
      </w:r>
      <w:bookmarkEnd w:id="7"/>
      <w:r>
        <w:rPr>
          <w:rFonts w:hint="eastAsia" w:ascii="仿宋" w:hAnsi="仿宋" w:eastAsia="仿宋" w:cs="仿宋"/>
          <w:kern w:val="0"/>
          <w:sz w:val="30"/>
          <w:szCs w:val="30"/>
          <w:lang w:val="en-US" w:eastAsia="zh-CN" w:bidi="ar"/>
        </w:rPr>
        <w:t xml:space="preserve"> </w:t>
      </w:r>
      <w:r>
        <w:rPr>
          <w:rFonts w:hint="eastAsia" w:ascii="宋体" w:hAnsi="宋体" w:eastAsia="宋体" w:cs="宋体"/>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宋体" w:hAnsi="宋体" w:eastAsia="宋体" w:cs="仿宋"/>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kern w:val="0"/>
          <w:sz w:val="28"/>
          <w:szCs w:val="28"/>
          <w:lang w:val="en-US"/>
        </w:rPr>
      </w:pPr>
      <w:r>
        <w:rPr>
          <w:rFonts w:hint="eastAsia" w:ascii="宋体" w:hAnsi="宋体" w:eastAsia="宋体" w:cs="Arial"/>
          <w:b/>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2" w:firstLineChars="200"/>
        <w:jc w:val="both"/>
        <w:rPr>
          <w:rFonts w:hAnsi="宋体"/>
          <w:kern w:val="0"/>
          <w:sz w:val="28"/>
          <w:szCs w:val="28"/>
          <w:lang w:val="en-US"/>
        </w:rPr>
      </w:pPr>
      <w:r>
        <w:rPr>
          <w:rFonts w:hint="eastAsia" w:ascii="宋体" w:hAnsi="宋体" w:eastAsia="宋体" w:cs="Times New Roman"/>
          <w:b/>
          <w:kern w:val="0"/>
          <w:sz w:val="28"/>
          <w:szCs w:val="28"/>
          <w:lang w:val="en-US" w:eastAsia="zh-CN" w:bidi="ar"/>
        </w:rPr>
        <w:t>投标截止时间：</w:t>
      </w:r>
      <w:bookmarkStart w:id="8" w:name="PO_15528_PM015"/>
      <w:r>
        <w:rPr>
          <w:rFonts w:hint="eastAsia" w:cs="Times New Roman"/>
          <w:b/>
          <w:kern w:val="0"/>
          <w:sz w:val="28"/>
          <w:szCs w:val="28"/>
          <w:lang w:val="en-US" w:eastAsia="zh-CN" w:bidi="ar"/>
        </w:rPr>
        <w:t>2022-09-22 09:00:00</w:t>
      </w:r>
      <w:bookmarkEnd w:id="8"/>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kern w:val="0"/>
          <w:sz w:val="28"/>
          <w:szCs w:val="28"/>
          <w:lang w:val="en-US" w:eastAsia="zh-CN" w:bidi="ar"/>
        </w:rPr>
        <w:t>。</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0" w:firstLineChars="200"/>
        <w:jc w:val="both"/>
        <w:rPr>
          <w:rFonts w:hAnsi="宋体"/>
          <w:b/>
          <w:kern w:val="0"/>
          <w:sz w:val="28"/>
          <w:szCs w:val="28"/>
          <w:lang w:val="en-US"/>
        </w:rPr>
      </w:pPr>
      <w:r>
        <w:rPr>
          <w:rFonts w:hint="eastAsia" w:ascii="宋体" w:hAnsi="宋体" w:eastAsia="宋体" w:cs="宋体"/>
          <w:kern w:val="0"/>
          <w:sz w:val="28"/>
          <w:szCs w:val="28"/>
          <w:lang w:val="en-US" w:eastAsia="zh-CN" w:bidi="ar"/>
        </w:rPr>
        <w:t>投标文件收件人：陶老师，联系方式：0571-88901836，收件地址：杭州市环城北路305号耀江发展中心三楼302会议室，收件时间：上午08：30-11:30，下午14:30-17:30（疫情期间仅接收邮寄方式递交的投标文件,因本大楼疫情管控，推荐使用中国邮政速递和顺丰快递）。</w:t>
      </w:r>
      <w:r>
        <w:rPr>
          <w:rFonts w:hint="eastAsia" w:ascii="宋体" w:hAnsi="宋体" w:eastAsia="宋体" w:cs="宋体"/>
          <w:b/>
          <w:bCs w:val="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本次招标将于</w:t>
      </w:r>
      <w:bookmarkStart w:id="9" w:name="PO_15528_PM015_1"/>
      <w:r>
        <w:rPr>
          <w:rFonts w:hint="eastAsia" w:ascii="宋体" w:hAnsi="宋体" w:cs="Arial"/>
          <w:b/>
          <w:kern w:val="2"/>
          <w:sz w:val="28"/>
          <w:szCs w:val="28"/>
          <w:lang w:val="en-US" w:eastAsia="zh-CN" w:bidi="ar"/>
        </w:rPr>
        <w:t>2022-09-22 09:00:00</w:t>
      </w:r>
      <w:bookmarkEnd w:id="9"/>
      <w:r>
        <w:rPr>
          <w:rFonts w:hint="eastAsia" w:ascii="宋体" w:hAnsi="宋体" w:eastAsia="宋体" w:cs="Arial"/>
          <w:b/>
          <w:kern w:val="2"/>
          <w:sz w:val="28"/>
          <w:szCs w:val="28"/>
          <w:lang w:val="en-US" w:eastAsia="zh-CN" w:bidi="ar"/>
        </w:rPr>
        <w:t xml:space="preserve"> 时整在</w:t>
      </w:r>
      <w:bookmarkStart w:id="10" w:name="PO_15528_PM016_1"/>
      <w:r>
        <w:rPr>
          <w:rFonts w:hint="eastAsia" w:ascii="宋体" w:hAnsi="宋体" w:cs="Arial"/>
          <w:b/>
          <w:kern w:val="2"/>
          <w:sz w:val="28"/>
          <w:szCs w:val="28"/>
          <w:lang w:val="en-US" w:eastAsia="zh-CN" w:bidi="ar"/>
        </w:rPr>
        <w:t>拱墅区杭州市环城北路305号耀江发展中心 202评标室（小）</w:t>
      </w:r>
      <w:bookmarkEnd w:id="10"/>
      <w:r>
        <w:rPr>
          <w:rFonts w:hint="eastAsia" w:ascii="宋体" w:hAnsi="宋体" w:eastAsia="宋体" w:cs="Arial"/>
          <w:b/>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本项目实行“不见面开评标”，投标人无须派人员到现场出席开标会议。</w:t>
      </w:r>
    </w:p>
    <w:tbl>
      <w:tblPr>
        <w:tblStyle w:val="59"/>
        <w:tblW w:w="8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441"/>
        <w:gridCol w:w="3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开标现场咨询电话</w:t>
            </w: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201开标室（大）：0571-88907719</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202评标室（小）：0571-88907720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3A（四楼）05评标室：0571-88907792</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adjustRightInd w:val="0"/>
              <w:snapToGri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3A（四楼）06开标室：0571-88907791</w:t>
            </w: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sz w:val="28"/>
          <w:szCs w:val="28"/>
          <w:lang w:val="en-US"/>
        </w:rPr>
      </w:pPr>
      <w:r>
        <w:rPr>
          <w:rFonts w:hint="eastAsia" w:ascii="宋体" w:hAnsi="宋体" w:eastAsia="宋体" w:cs="Arial"/>
          <w:b/>
          <w:kern w:val="2"/>
          <w:sz w:val="28"/>
          <w:szCs w:val="28"/>
          <w:lang w:val="en-US" w:eastAsia="zh-CN" w:bidi="ar"/>
        </w:rPr>
        <w:t>（一）网络地址：</w:t>
      </w:r>
      <w:r>
        <w:rPr>
          <w:rFonts w:hint="eastAsia" w:ascii="宋体" w:hAnsi="宋体" w:eastAsia="宋体" w:cs="仿宋"/>
          <w:kern w:val="2"/>
          <w:sz w:val="28"/>
          <w:szCs w:val="28"/>
          <w:lang w:val="en-US" w:eastAsia="zh-CN" w:bidi="ar"/>
        </w:rPr>
        <w:t xml:space="preserve">浙江政府采购网 </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（二）登录方法：</w:t>
      </w:r>
      <w:r>
        <w:rPr>
          <w:rFonts w:hint="eastAsia" w:ascii="宋体" w:hAnsi="宋体" w:eastAsia="宋体" w:cs="Arial"/>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宋体" w:hAnsi="宋体" w:eastAsia="宋体" w:cs="Arial"/>
          <w:b/>
          <w:kern w:val="2"/>
          <w:sz w:val="28"/>
          <w:szCs w:val="28"/>
          <w:lang w:val="en-US" w:eastAsia="zh-CN" w:bidi="ar"/>
        </w:rPr>
        <w:t>（https://edu.zcygov.cn/live?utm=a0018.2ef5001f.0.0.1939d340e5db11ea867fb57c149ddb61）自行提前学习</w:t>
      </w:r>
      <w:r>
        <w:rPr>
          <w:rFonts w:hint="eastAsia" w:ascii="宋体" w:hAnsi="宋体" w:eastAsia="宋体" w:cs="Arial"/>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2"/>
            <w:r>
              <w:rPr>
                <w:rFonts w:hint="eastAsia" w:ascii="仿宋" w:hAnsi="仿宋" w:eastAsia="仿宋" w:cs="仿宋"/>
                <w:kern w:val="2"/>
                <w:sz w:val="28"/>
                <w:szCs w:val="28"/>
                <w:lang w:val="en-US" w:eastAsia="zh-CN" w:bidi="ar"/>
              </w:rPr>
              <w:t>冯妙吉</w:t>
            </w:r>
            <w:bookmarkEnd w:id="11"/>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3"/>
            <w:r>
              <w:rPr>
                <w:rFonts w:hint="eastAsia" w:ascii="仿宋" w:hAnsi="仿宋" w:eastAsia="仿宋" w:cs="仿宋"/>
                <w:kern w:val="2"/>
                <w:sz w:val="28"/>
                <w:szCs w:val="28"/>
                <w:lang w:val="en-US" w:eastAsia="zh-CN" w:bidi="ar"/>
              </w:rPr>
              <w:t>0571-88907710</w:t>
            </w:r>
            <w:bookmarkEnd w:id="12"/>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3" w:name="PO_15528_PM034"/>
            <w:r>
              <w:rPr>
                <w:rFonts w:hint="eastAsia" w:ascii="仿宋" w:hAnsi="仿宋" w:eastAsia="仿宋" w:cs="仿宋"/>
                <w:kern w:val="2"/>
                <w:sz w:val="28"/>
                <w:szCs w:val="28"/>
                <w:lang w:val="en-US" w:eastAsia="zh-CN" w:bidi="ar"/>
              </w:rPr>
              <w:t>0571-88907783</w:t>
            </w:r>
            <w:bookmarkEnd w:id="13"/>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邵玲芳</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高媛沁</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项目保证金</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  幸</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0571-88907705</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0571-88907704</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吴女士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_GB2312" w:hAnsi="仿宋" w:eastAsia="仿宋_GB2312" w:cs="仿宋_GB2312"/>
          <w:sz w:val="30"/>
          <w:szCs w:val="30"/>
          <w:lang w:val="en-US"/>
        </w:rPr>
      </w:pPr>
      <w:bookmarkStart w:id="14" w:name="PO_15528_PM001384_1"/>
      <w:bookmarkEnd w:id="14"/>
      <w:r>
        <w:rPr>
          <w:rFonts w:hint="eastAsia" w:ascii="仿宋_GB2312" w:hAnsi="仿宋" w:eastAsia="仿宋_GB2312" w:cs="仿宋_GB2312"/>
          <w:kern w:val="2"/>
          <w:sz w:val="30"/>
          <w:szCs w:val="30"/>
          <w:lang w:val="en-US" w:eastAsia="zh-CN" w:bidi="ar"/>
        </w:rPr>
        <w:t xml:space="preserve"> </w:t>
      </w:r>
      <w:bookmarkStart w:id="15" w:name="PO_TDCUS_ITEM_PRC_TABLE_1_1_2"/>
      <w:bookmarkEnd w:id="15"/>
      <w:bookmarkStart w:id="16" w:name="PO_TDCUS_ITEM_PRC_TITLE_1_2"/>
      <w:bookmarkEnd w:id="16"/>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采购单位</w:t>
            </w:r>
          </w:p>
        </w:tc>
        <w:tc>
          <w:tcPr>
            <w:tcW w:w="755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浙江工业大学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地 址</w:t>
            </w:r>
          </w:p>
        </w:tc>
        <w:tc>
          <w:tcPr>
            <w:tcW w:w="7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杭州市拱墅区潮王路18号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咨询事项</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联系人</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联系方式</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传真</w:t>
            </w:r>
          </w:p>
        </w:tc>
        <w:tc>
          <w:tcPr>
            <w:tcW w:w="17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采购需求等</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刘文捷</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13738110975</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p>
        </w:tc>
        <w:tc>
          <w:tcPr>
            <w:tcW w:w="17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p>
        </w:tc>
      </w:tr>
    </w:tbl>
    <w:p>
      <w:pPr>
        <w:keepNext w:val="0"/>
        <w:keepLines w:val="0"/>
        <w:widowControl w:val="0"/>
        <w:suppressLineNumbers w:val="0"/>
        <w:snapToGrid w:val="0"/>
        <w:spacing w:before="0" w:beforeAutospacing="0" w:after="0" w:afterAutospacing="0" w:line="440" w:lineRule="exact"/>
        <w:ind w:left="0" w:right="0" w:firstLine="600" w:firstLineChars="200"/>
        <w:jc w:val="left"/>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40" w:lineRule="exact"/>
        <w:ind w:left="0" w:right="0" w:firstLine="602" w:firstLineChars="200"/>
        <w:jc w:val="left"/>
        <w:rPr>
          <w:rFonts w:hint="eastAsia" w:ascii="仿宋" w:hAnsi="仿宋" w:eastAsia="仿宋" w:cs="Arial"/>
          <w:b/>
          <w:sz w:val="30"/>
          <w:szCs w:val="30"/>
          <w:lang w:val="en-US"/>
        </w:rPr>
      </w:pPr>
      <w:bookmarkStart w:id="17" w:name="PO_TDCUS_ITEM_PRC_TITLE_1"/>
      <w:bookmarkEnd w:id="17"/>
    </w:p>
    <w:p>
      <w:pPr>
        <w:pStyle w:val="53"/>
        <w:keepNext w:val="0"/>
        <w:keepLines w:val="0"/>
        <w:widowControl w:val="0"/>
        <w:suppressLineNumbers w:val="0"/>
        <w:spacing w:before="156" w:beforeLines="50" w:beforeAutospacing="0" w:after="0" w:afterAutospacing="0" w:line="360" w:lineRule="auto"/>
        <w:ind w:left="0" w:right="0"/>
        <w:jc w:val="center"/>
        <w:outlineLvl w:val="0"/>
        <w:rPr>
          <w:rFonts w:hAnsi="宋体"/>
          <w:b/>
          <w:sz w:val="36"/>
          <w:szCs w:val="36"/>
          <w:lang w:val="en-US"/>
        </w:rPr>
      </w:pPr>
      <w:r>
        <w:rPr>
          <w:rFonts w:hint="eastAsia" w:ascii="仿宋" w:hAnsi="仿宋" w:eastAsia="仿宋" w:cs="Times New Roman"/>
          <w:b/>
          <w:sz w:val="36"/>
          <w:szCs w:val="36"/>
          <w:lang w:val="en-US" w:eastAsia="zh-CN" w:bidi="ar"/>
        </w:rPr>
        <w:br w:type="page"/>
      </w:r>
      <w:bookmarkStart w:id="18" w:name="PO_TDCUS_ITEM_PRC_TABLE_1_1"/>
      <w:bookmarkEnd w:id="18"/>
      <w:bookmarkStart w:id="19" w:name="_Toc496796636"/>
      <w:bookmarkEnd w:id="19"/>
      <w:r>
        <w:rPr>
          <w:rFonts w:hint="eastAsia" w:ascii="仿宋" w:hAnsi="仿宋" w:eastAsia="仿宋" w:cs="仿宋"/>
          <w:b/>
          <w:kern w:val="2"/>
          <w:sz w:val="36"/>
          <w:szCs w:val="36"/>
          <w:lang w:val="en-US" w:eastAsia="zh-CN" w:bidi="ar"/>
        </w:rPr>
        <w:t>第二章  投标人须知</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1558"/>
        <w:gridCol w:w="73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内  容</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中小企业预留份额情况</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根据《政府采购促进中小企业发展管理办法》财库〔2020〕46号文件的规定，本项目</w:t>
            </w:r>
            <w:r>
              <w:rPr>
                <w:rFonts w:hint="eastAsia" w:ascii="仿宋" w:hAnsi="仿宋" w:eastAsia="仿宋" w:cs="仿宋"/>
                <w:b/>
                <w:kern w:val="2"/>
                <w:sz w:val="24"/>
                <w:szCs w:val="24"/>
                <w:u w:val="single"/>
                <w:lang w:val="en-US" w:eastAsia="zh-CN" w:bidi="ar"/>
              </w:rPr>
              <w:t>不</w:t>
            </w:r>
            <w:r>
              <w:rPr>
                <w:rFonts w:hint="eastAsia" w:ascii="仿宋" w:hAnsi="仿宋" w:eastAsia="仿宋" w:cs="仿宋"/>
                <w:b/>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中小企业优惠措施</w:t>
            </w:r>
          </w:p>
        </w:tc>
        <w:tc>
          <w:tcPr>
            <w:tcW w:w="7373"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numPr>
                <w:ilvl w:val="0"/>
                <w:numId w:val="30"/>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lang w:val="en-US" w:eastAsia="zh-CN" w:bidi="ar"/>
              </w:rPr>
              <w:t>项目属性：（货物类）</w:t>
            </w:r>
          </w:p>
          <w:p>
            <w:pPr>
              <w:pStyle w:val="53"/>
              <w:keepNext w:val="0"/>
              <w:keepLines w:val="0"/>
              <w:widowControl w:val="0"/>
              <w:numPr>
                <w:ilvl w:val="0"/>
                <w:numId w:val="30"/>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bCs w:val="0"/>
                <w:sz w:val="24"/>
                <w:szCs w:val="21"/>
                <w:lang w:val="en-US"/>
              </w:rPr>
            </w:pPr>
            <w:r>
              <w:rPr>
                <w:rFonts w:hint="eastAsia" w:ascii="仿宋" w:hAnsi="仿宋" w:eastAsia="仿宋" w:cs="仿宋"/>
                <w:b/>
                <w:bCs w:val="0"/>
                <w:kern w:val="2"/>
                <w:sz w:val="24"/>
                <w:szCs w:val="24"/>
                <w:lang w:val="en-US" w:eastAsia="zh-CN" w:bidi="ar"/>
              </w:rPr>
              <w:t>采购标的：新文科综合实验室建设采购项目 ，</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bCs w:val="0"/>
                <w:sz w:val="24"/>
                <w:szCs w:val="21"/>
                <w:lang w:val="en-US"/>
              </w:rPr>
            </w:pPr>
            <w:r>
              <w:rPr>
                <w:rFonts w:hint="eastAsia" w:ascii="仿宋" w:hAnsi="仿宋" w:eastAsia="仿宋" w:cs="仿宋"/>
                <w:b/>
                <w:bCs w:val="0"/>
                <w:kern w:val="2"/>
                <w:sz w:val="24"/>
                <w:szCs w:val="24"/>
                <w:lang w:val="en-US" w:eastAsia="zh-CN" w:bidi="ar"/>
              </w:rPr>
              <w:t>所属行业：工业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sz w:val="24"/>
                <w:szCs w:val="24"/>
                <w:lang w:val="en-US"/>
              </w:rPr>
            </w:pPr>
            <w:r>
              <w:rPr>
                <w:rFonts w:hint="eastAsia" w:ascii="仿宋" w:hAnsi="仿宋" w:eastAsia="仿宋" w:cs="仿宋"/>
                <w:b/>
                <w:kern w:val="2"/>
                <w:sz w:val="24"/>
                <w:szCs w:val="24"/>
                <w:lang w:val="en-US" w:eastAsia="zh-CN" w:bidi="ar"/>
              </w:rPr>
              <w:t>3.根据财库〔2020〕46号的相关规定，在评审时对符合本办法规定的小微企业报价给予</w:t>
            </w:r>
            <w:r>
              <w:rPr>
                <w:rFonts w:hint="eastAsia" w:ascii="宋体" w:hAnsi="宋体" w:eastAsia="宋体" w:cs="宋体"/>
                <w:b/>
                <w:kern w:val="2"/>
                <w:sz w:val="24"/>
                <w:szCs w:val="24"/>
                <w:u w:val="single"/>
                <w:lang w:val="en-US" w:eastAsia="zh-CN" w:bidi="ar"/>
              </w:rPr>
              <w:t> 20%</w:t>
            </w:r>
            <w:r>
              <w:rPr>
                <w:rFonts w:hint="eastAsia" w:ascii="仿宋" w:hAnsi="仿宋" w:eastAsia="仿宋" w:cs="仿宋"/>
                <w:b/>
                <w:kern w:val="2"/>
                <w:sz w:val="24"/>
                <w:szCs w:val="24"/>
                <w:u w:val="single"/>
                <w:lang w:val="en-US" w:eastAsia="zh-CN" w:bidi="ar"/>
              </w:rPr>
              <w:t xml:space="preserve">   </w:t>
            </w:r>
            <w:r>
              <w:rPr>
                <w:rFonts w:hint="eastAsia" w:ascii="仿宋" w:hAnsi="仿宋" w:eastAsia="仿宋" w:cs="仿宋"/>
                <w:b/>
                <w:kern w:val="2"/>
                <w:sz w:val="24"/>
                <w:szCs w:val="24"/>
                <w:lang w:val="en-US" w:eastAsia="zh-CN" w:bidi="ar"/>
              </w:rPr>
              <w:t>（10%-20%）的扣除，取扣除后的价格作为最终投标报价（此最终投标报价仅作为价格分计算）。中小企业参加政府采购活动，应当出具本办法规定的《中小企业声明函》，否则不得享受相关中小企业扶持政策。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sz w:val="24"/>
                <w:szCs w:val="24"/>
                <w:lang w:val="en-US"/>
              </w:rPr>
            </w:pPr>
            <w:r>
              <w:rPr>
                <w:rFonts w:hint="eastAsia" w:ascii="仿宋" w:hAnsi="仿宋" w:eastAsia="仿宋" w:cs="仿宋"/>
                <w:b/>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kern w:val="2"/>
                <w:sz w:val="24"/>
                <w:szCs w:val="24"/>
                <w:u w:val="single"/>
                <w:lang w:val="en-US" w:eastAsia="zh-CN" w:bidi="ar"/>
              </w:rPr>
              <w:t xml:space="preserve">  6%  </w:t>
            </w:r>
            <w:r>
              <w:rPr>
                <w:rFonts w:hint="eastAsia" w:ascii="仿宋" w:hAnsi="仿宋" w:eastAsia="仿宋" w:cs="仿宋"/>
                <w:b/>
                <w:kern w:val="2"/>
                <w:sz w:val="24"/>
                <w:szCs w:val="24"/>
                <w:lang w:val="en-US" w:eastAsia="zh-CN" w:bidi="ar"/>
              </w:rPr>
              <w:t>(4%-6%)的扣除，用扣除后的价格参加评审。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政府采购节能环保产品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认为采购文件使自己的权益受到损害的，可以自获取采购文件之日或者采购公告期限届满之日（公告期限届满后获取采购文件的，以公告期限届满之日为准）起7个工作日内，对采购文件的评标内容及标准和需求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是否允许采购进口产品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0" w:name="PO_15528_PM042"/>
            <w:r>
              <w:rPr>
                <w:rFonts w:hint="eastAsia" w:ascii="仿宋" w:hAnsi="仿宋" w:eastAsia="仿宋" w:cs="仿宋"/>
                <w:kern w:val="2"/>
                <w:sz w:val="24"/>
                <w:szCs w:val="24"/>
                <w:lang w:val="en-US" w:eastAsia="zh-CN" w:bidi="ar"/>
              </w:rPr>
              <w:t>不允许进口产品</w:t>
            </w:r>
            <w:bookmarkEnd w:id="20"/>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是否允许转包与分包</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转包：否</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w:t>
            </w:r>
            <w:bookmarkStart w:id="21" w:name="PO_15528_PM044"/>
            <w:r>
              <w:rPr>
                <w:rFonts w:hint="eastAsia" w:ascii="仿宋" w:hAnsi="仿宋" w:eastAsia="仿宋" w:cs="仿宋"/>
                <w:kern w:val="2"/>
                <w:sz w:val="24"/>
                <w:szCs w:val="24"/>
                <w:lang w:val="en-US" w:eastAsia="zh-CN" w:bidi="ar"/>
              </w:rPr>
              <w:t>允许分包</w:t>
            </w:r>
            <w:bookmarkEnd w:id="21"/>
            <w:r>
              <w:rPr>
                <w:rFonts w:hint="eastAsia" w:ascii="仿宋" w:hAnsi="仿宋" w:eastAsia="仿宋" w:cs="仿宋"/>
                <w:kern w:val="2"/>
                <w:sz w:val="24"/>
                <w:szCs w:val="24"/>
                <w:lang w:val="en-US" w:eastAsia="zh-CN" w:bidi="ar"/>
              </w:rPr>
              <w:t>；非主体、非关键性工作允许分包。</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分包内容为：智能化实验管理平台。</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联合体投标</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2" w:name="PO_15528_PM007_1"/>
            <w:r>
              <w:rPr>
                <w:rFonts w:hint="eastAsia" w:ascii="仿宋" w:hAnsi="仿宋" w:eastAsia="仿宋" w:cs="仿宋"/>
                <w:kern w:val="2"/>
                <w:sz w:val="24"/>
                <w:szCs w:val="24"/>
                <w:lang w:val="en-US" w:eastAsia="zh-CN" w:bidi="ar"/>
              </w:rPr>
              <w:t>标项1:允许联合体投标</w:t>
            </w:r>
            <w:bookmarkEnd w:id="22"/>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是否现场踏勘</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采购人不统一组织现场勘探。</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投标人如需现场勘探可与刘老师联系，联系电话13738110975。</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入校勘探人员需遵守浙江工业大学的防疫规定，按照学校规定提供必要的信息，入校后需遵守学校的管理规章。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是否提供演示</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3" w:name="PO_1000000445_PM041"/>
            <w:r>
              <w:rPr>
                <w:rFonts w:hint="eastAsia" w:ascii="仿宋" w:hAnsi="仿宋" w:eastAsia="仿宋" w:cs="仿宋"/>
                <w:kern w:val="2"/>
                <w:sz w:val="24"/>
                <w:szCs w:val="24"/>
                <w:lang w:val="en-US" w:eastAsia="zh-CN" w:bidi="ar"/>
              </w:rPr>
              <w:t>不进行演示</w:t>
            </w:r>
            <w:bookmarkEnd w:id="23"/>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是否提供样品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24" w:name="PO_1000000445_PM043"/>
            <w:r>
              <w:rPr>
                <w:rFonts w:hint="eastAsia" w:ascii="仿宋" w:hAnsi="仿宋" w:eastAsia="仿宋" w:cs="仿宋"/>
                <w:color w:val="000000"/>
                <w:kern w:val="2"/>
                <w:sz w:val="24"/>
                <w:szCs w:val="24"/>
                <w:lang w:val="en-US" w:eastAsia="zh-CN" w:bidi="ar"/>
              </w:rPr>
              <w:t>不要求提供样品</w:t>
            </w:r>
            <w:bookmarkEnd w:id="24"/>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投标文件组成</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投标文件均由资质文件、技术商务文件、报价文件组成。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电子交易平台登录方法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投标人应在投标前注册成为浙江政府采购网的正式供应商（注册网址：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"https://middle.zcygov.cn/v-settle-front/registry"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"http://zfcg.czt.zj.gov.cn/bidClientTemplate/2019-09-24/12975.html"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详见浙江省“电子交易/不见面开评标”学习专题（网址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"https://edu.zcygov.cn/luban/e-biding"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投标文件的递交与接收</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中标结果公告</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中标供应商确定之日起2个工作日内，将在</w:t>
            </w:r>
            <w:r>
              <w:rPr>
                <w:rFonts w:hint="eastAsia" w:ascii="仿宋" w:hAnsi="仿宋" w:eastAsia="仿宋" w:cs="Arial"/>
                <w:kern w:val="2"/>
                <w:sz w:val="24"/>
                <w:szCs w:val="24"/>
                <w:lang w:val="en-US" w:eastAsia="zh-CN" w:bidi="ar"/>
              </w:rPr>
              <w:t>浙江省政府采购网(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"http://www.zjzfcg.gov.cn/new"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1"/>
                <w:lang w:val="en-US" w:eastAsia="zh-CN" w:bidi="ar"/>
              </w:rPr>
              <w:fldChar w:fldCharType="end"/>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发布</w:t>
            </w:r>
            <w:r>
              <w:rPr>
                <w:rFonts w:hint="eastAsia" w:ascii="仿宋" w:hAnsi="仿宋" w:eastAsia="仿宋" w:cs="仿宋"/>
                <w:kern w:val="2"/>
                <w:sz w:val="24"/>
                <w:szCs w:val="24"/>
                <w:lang w:val="en-US" w:eastAsia="zh-CN" w:bidi="ar"/>
              </w:rPr>
              <w:t>中标公告</w:t>
            </w:r>
            <w:r>
              <w:rPr>
                <w:rFonts w:hint="eastAsia" w:ascii="仿宋" w:hAnsi="仿宋" w:eastAsia="仿宋" w:cs="仿宋"/>
                <w:b/>
                <w:kern w:val="2"/>
                <w:sz w:val="24"/>
                <w:szCs w:val="24"/>
                <w:lang w:val="en-US" w:eastAsia="zh-CN" w:bidi="ar"/>
              </w:rPr>
              <w:t>（中标人为中小企业的，其声明函将随中标结果同时公告）</w:t>
            </w:r>
            <w:r>
              <w:rPr>
                <w:rFonts w:hint="eastAsia" w:ascii="仿宋" w:hAnsi="仿宋" w:eastAsia="仿宋" w:cs="仿宋"/>
                <w:kern w:val="2"/>
                <w:sz w:val="24"/>
                <w:szCs w:val="24"/>
                <w:lang w:val="en-US" w:eastAsia="zh-CN" w:bidi="ar"/>
              </w:rPr>
              <w:t>，公告期限为1个工作日</w:t>
            </w:r>
            <w:r>
              <w:rPr>
                <w:rFonts w:hint="eastAsia" w:ascii="仿宋" w:hAnsi="仿宋" w:eastAsia="仿宋"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履约保证金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付款方式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_GB2312" w:hAnsi="仿宋" w:eastAsia="仿宋_GB2312" w:cs="仿宋_GB2312"/>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投标文件有效期</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Arial"/>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合同签订时间</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_GB2312" w:hAnsi="仿宋" w:eastAsia="仿宋_GB2312" w:cs="仿宋_GB2312"/>
                <w:kern w:val="2"/>
                <w:sz w:val="24"/>
                <w:szCs w:val="24"/>
                <w:lang w:val="en-US" w:eastAsia="zh-CN" w:bidi="ar"/>
              </w:rPr>
              <w:t>招标方代理费用</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解释权</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_GB2312" w:cs="Times New Roman"/>
          <w:sz w:val="30"/>
          <w:szCs w:val="30"/>
          <w:lang w:val="en-US" w:eastAsia="zh-CN" w:bidi="ar"/>
        </w:rPr>
        <w:br w:type="page"/>
      </w:r>
      <w:r>
        <w:rPr>
          <w:rFonts w:hint="eastAsia" w:ascii="仿宋" w:hAnsi="仿宋" w:eastAsia="仿宋" w:cs="仿宋"/>
          <w:b/>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56" w:beforeLines="50" w:beforeAutospacing="0" w:after="0" w:afterAutospacing="0" w:line="460" w:lineRule="exact"/>
        <w:ind w:left="0" w:right="0" w:firstLine="408" w:firstLineChars="146"/>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1.如授权代表不是法定代表人，须有法定代表人出具的授权委托书</w:t>
      </w:r>
      <w:r>
        <w:rPr>
          <w:rFonts w:hint="eastAsia" w:ascii="仿宋" w:hAnsi="仿宋" w:eastAsia="仿宋" w:cs="仿宋"/>
          <w:b/>
          <w:kern w:val="2"/>
          <w:sz w:val="28"/>
          <w:szCs w:val="28"/>
          <w:lang w:val="en-US" w:eastAsia="zh-CN" w:bidi="ar"/>
        </w:rPr>
        <w:t>（格式见附件）。</w:t>
      </w:r>
    </w:p>
    <w:p>
      <w:pPr>
        <w:pStyle w:val="53"/>
        <w:keepNext w:val="0"/>
        <w:keepLines w:val="0"/>
        <w:widowControl w:val="0"/>
        <w:suppressLineNumbers w:val="0"/>
        <w:snapToGrid w:val="0"/>
        <w:spacing w:before="0" w:beforeLines="50" w:beforeAutospacing="0" w:after="156"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56"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（五）质疑</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1.投标人认为招标过程或中标结果使自己的合法权益受到损害的，可以在中标结果公告期限届满之日起七个工作日内，以书面形式向招标方提出质疑。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2.质疑应当以书面形式提出，格式见《政府采购质疑和投诉办法》（财政部令第94号）附件范本，下载网址：浙江政府采购网(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（六）招标文件的澄清与修改 </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b/>
          <w:sz w:val="28"/>
          <w:szCs w:val="28"/>
          <w:lang w:val="en-US"/>
        </w:rPr>
      </w:pPr>
      <w:r>
        <w:rPr>
          <w:rFonts w:hint="eastAsia" w:ascii="仿宋" w:hAnsi="仿宋" w:eastAsia="仿宋" w:cs="仿宋"/>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kern w:val="2"/>
          <w:sz w:val="28"/>
          <w:szCs w:val="28"/>
          <w:lang w:val="en-US" w:eastAsia="zh-CN" w:bidi="ar"/>
        </w:rPr>
        <w:t>逾期提出招标方将不予受理。</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（一）投标文件编制工具</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电子投标文件每个标项由资质文件、技术商务文件、投标报价文件三部份组成，具体详见“第六章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val="0"/>
        <w:numPr>
          <w:ilvl w:val="0"/>
          <w:numId w:val="31"/>
        </w:numPr>
        <w:suppressLineNumbers w:val="0"/>
        <w:snapToGrid w:val="0"/>
        <w:spacing w:before="156" w:beforeLines="50" w:beforeAutospacing="0" w:after="156"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（五）投标文件的有效期</w:t>
      </w:r>
    </w:p>
    <w:p>
      <w:pPr>
        <w:pStyle w:val="53"/>
        <w:keepNext w:val="0"/>
        <w:keepLines w:val="0"/>
        <w:widowControl w:val="0"/>
        <w:numPr>
          <w:ilvl w:val="0"/>
          <w:numId w:val="31"/>
        </w:numPr>
        <w:suppressLineNumbers w:val="0"/>
        <w:snapToGrid w:val="0"/>
        <w:spacing w:before="156" w:beforeLines="50" w:beforeAutospacing="0" w:after="156"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1.自投标截止日起90天内投标文件应保持有效。有效期不足的投标文件将作无效标处理。</w:t>
      </w:r>
    </w:p>
    <w:p>
      <w:pPr>
        <w:pStyle w:val="53"/>
        <w:keepNext w:val="0"/>
        <w:keepLines w:val="0"/>
        <w:widowControl w:val="0"/>
        <w:numPr>
          <w:ilvl w:val="0"/>
          <w:numId w:val="31"/>
        </w:numPr>
        <w:suppressLineNumbers w:val="0"/>
        <w:snapToGrid w:val="0"/>
        <w:spacing w:before="156" w:beforeLines="50" w:beforeAutospacing="0" w:after="156"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56" w:beforeLines="50" w:beforeAutospacing="0" w:after="0" w:afterAutospacing="0" w:line="460" w:lineRule="exact"/>
        <w:ind w:left="0" w:right="0" w:firstLine="420" w:firstLineChars="15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54" w:firstLineChars="197"/>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1.投标文件只允许有一个报价，投标报价应按招标文件中相关附表格式填报，该投标报价应与明细报价汇总相等，且不允许出现报价优惠等字样（明细出现“0”元，视同赠送，按无效标处理）。</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3.投标报价金额到元为止，如投标报价总价出现角、分，将被抹除。</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4.资质文件、技术商务文件中不得出现投标报价信息，否则按无效标处理。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1.不同投标人的投标文件由同一单位或者个人编制；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13.未按本章“二、投标文件的编制”第七点投标报价要求报价的；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14.投标文件含有采购人不能接受的附加条件的；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16.不符合法律、法规和本招标文件规定的其他实质性要求的。</w:t>
      </w:r>
    </w:p>
    <w:p>
      <w:pPr>
        <w:pStyle w:val="53"/>
        <w:keepNext w:val="0"/>
        <w:keepLines w:val="0"/>
        <w:widowControl w:val="0"/>
        <w:suppressLineNumbers w:val="0"/>
        <w:snapToGrid w:val="0"/>
        <w:spacing w:before="0" w:beforeLines="50" w:beforeAutospacing="0" w:after="156" w:afterAutospacing="0" w:line="460" w:lineRule="exact"/>
        <w:ind w:left="757" w:leftChars="227" w:right="0" w:hanging="280" w:hangingChars="1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三、开、评标程序及评标委员会的评审程序</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（一）组织开标</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kern w:val="2"/>
          <w:sz w:val="28"/>
          <w:szCs w:val="28"/>
          <w:lang w:val="en-US" w:eastAsia="zh-CN" w:bidi="ar"/>
        </w:rPr>
        <w:t>均应当准时在线参加</w:t>
      </w:r>
      <w:r>
        <w:rPr>
          <w:rFonts w:hint="eastAsia" w:ascii="仿宋" w:hAnsi="仿宋" w:eastAsia="仿宋" w:cs="仿宋"/>
          <w:kern w:val="2"/>
          <w:sz w:val="28"/>
          <w:szCs w:val="28"/>
          <w:lang w:val="en-US" w:eastAsia="zh-CN" w:bidi="ar"/>
        </w:rPr>
        <w:t>，无关人员不得进入开标现场。</w:t>
      </w:r>
      <w:r>
        <w:rPr>
          <w:rFonts w:hint="eastAsia" w:ascii="仿宋" w:hAnsi="仿宋" w:eastAsia="仿宋" w:cs="仿宋"/>
          <w:b/>
          <w:kern w:val="2"/>
          <w:sz w:val="28"/>
          <w:szCs w:val="28"/>
          <w:lang w:val="en-US" w:eastAsia="zh-CN" w:bidi="ar"/>
        </w:rPr>
        <w:t>投标人如未准时在线参加的</w:t>
      </w:r>
      <w:r>
        <w:rPr>
          <w:rFonts w:hint="eastAsia" w:ascii="仿宋" w:hAnsi="仿宋" w:eastAsia="仿宋" w:cs="仿宋"/>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落实工作场地、设施，检查录音录像采集设备运行情况，验证电子交易平台是否能正常登录。</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 开标由招标方主持，主持人介绍开标现场的人员情况，宣读递交投标文件的投标人名单、开标纪律、应当回避的情形等注意事项。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解密时限内未完成解密且按规定提供了备份投标文件的，招标方将拆封其备份投标文件，并导入电子交易平台。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（二）组织评标程序</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kern w:val="2"/>
          <w:sz w:val="28"/>
          <w:szCs w:val="28"/>
          <w:lang w:val="en-US" w:eastAsia="zh-CN" w:bidi="ar"/>
        </w:rPr>
        <w:t xml:space="preserve"> </w:t>
      </w:r>
      <w:r>
        <w:rPr>
          <w:rFonts w:hint="eastAsia" w:ascii="仿宋" w:hAnsi="仿宋" w:eastAsia="仿宋" w:cs="仿宋"/>
          <w:b/>
          <w:kern w:val="2"/>
          <w:sz w:val="28"/>
          <w:szCs w:val="28"/>
          <w:lang w:val="en-US" w:eastAsia="zh-CN" w:bidi="ar"/>
        </w:rPr>
        <w:tab/>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（三）评审程序</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1、在评审专家中推选评标委员会组长。</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四、评审原则</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五、确定中标供应商的原则</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val="en-US" w:eastAsia="zh-CN" w:bidi="ar"/>
        </w:rPr>
        <w:t>。</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（二）履约保证金</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56" w:beforeLines="50" w:beforeAutospacing="0" w:after="0" w:afterAutospacing="0" w:line="460" w:lineRule="exact"/>
        <w:ind w:left="0" w:right="0" w:firstLine="551" w:firstLineChars="197"/>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2.按合同约定办理履约保证金退还手续。</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七、货款的结算</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56" w:beforeLines="50" w:beforeAutospacing="0" w:after="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pStyle w:val="53"/>
        <w:keepNext w:val="0"/>
        <w:keepLines w:val="0"/>
        <w:widowControl w:val="0"/>
        <w:suppressLineNumbers w:val="0"/>
        <w:snapToGrid w:val="0"/>
        <w:spacing w:before="156" w:beforeLines="50" w:beforeAutospacing="0" w:after="0" w:afterAutospacing="0" w:line="4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sz w:val="36"/>
          <w:szCs w:val="36"/>
          <w:lang w:val="en-US" w:eastAsia="zh-CN" w:bidi="ar"/>
        </w:rPr>
        <w:br w:type="page"/>
      </w:r>
      <w:bookmarkStart w:id="25" w:name="_Toc496796637"/>
      <w:bookmarkEnd w:id="25"/>
      <w:r>
        <w:rPr>
          <w:rFonts w:hint="eastAsia" w:ascii="宋体" w:hAnsi="宋体" w:eastAsia="宋体" w:cs="Times New Roman"/>
          <w:b/>
          <w:kern w:val="2"/>
          <w:sz w:val="36"/>
          <w:szCs w:val="36"/>
          <w:lang w:val="en-US" w:eastAsia="zh-CN" w:bidi="ar"/>
        </w:rPr>
        <w:t>第三章  评标办法及评分标准</w:t>
      </w:r>
    </w:p>
    <w:p>
      <w:pPr>
        <w:keepNext w:val="0"/>
        <w:keepLines w:val="0"/>
        <w:widowControl w:val="0"/>
        <w:suppressLineNumbers w:val="0"/>
        <w:spacing w:before="156" w:beforeLines="50" w:beforeAutospacing="0" w:after="156" w:afterLines="5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56" w:beforeLines="50" w:beforeAutospacing="0" w:after="156"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一、总则</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keepNext w:val="0"/>
        <w:keepLines w:val="0"/>
        <w:widowControl w:val="0"/>
        <w:suppressLineNumbers w:val="0"/>
        <w:spacing w:before="156" w:beforeLines="50" w:beforeAutospacing="0" w:after="156"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二、分值的计算</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56" w:beforeLines="50" w:beforeAutospacing="0" w:after="156" w:afterLines="50" w:afterAutospacing="0" w:line="460" w:lineRule="exact"/>
        <w:ind w:left="0" w:right="0" w:firstLine="4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投标人评标综合得分=价格分+(技术分+资信商务及其他分)</w:t>
      </w:r>
    </w:p>
    <w:p>
      <w:pPr>
        <w:keepNext w:val="0"/>
        <w:keepLines w:val="0"/>
        <w:widowControl w:val="0"/>
        <w:suppressLineNumbers w:val="0"/>
        <w:spacing w:before="156" w:beforeLines="50" w:beforeAutospacing="0" w:after="156" w:afterLines="5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156" w:beforeLines="50" w:beforeAutospacing="0" w:after="156" w:afterLines="50" w:afterAutospacing="0" w:line="4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特别提醒：</w:t>
      </w:r>
      <w:r>
        <w:rPr>
          <w:rFonts w:hint="eastAsia" w:ascii="仿宋" w:hAnsi="仿宋" w:eastAsia="仿宋" w:cs="仿宋"/>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56" w:beforeLines="50" w:beforeAutospacing="0" w:after="156" w:afterLines="50" w:afterAutospacing="0" w:line="460" w:lineRule="exact"/>
        <w:ind w:left="0" w:right="0"/>
        <w:jc w:val="both"/>
        <w:rPr>
          <w:rFonts w:hint="eastAsia" w:ascii="仿宋" w:hAnsi="仿宋" w:eastAsia="宋体" w:cs="仿宋"/>
          <w:sz w:val="30"/>
          <w:szCs w:val="30"/>
          <w:lang w:val="en-US"/>
        </w:rPr>
      </w:pPr>
      <w:r>
        <w:rPr>
          <w:rFonts w:hint="eastAsia" w:ascii="仿宋" w:hAnsi="仿宋" w:eastAsia="宋体" w:cs="仿宋"/>
          <w:kern w:val="2"/>
          <w:sz w:val="30"/>
          <w:szCs w:val="30"/>
          <w:lang w:val="en-US" w:eastAsia="zh-CN" w:bidi="ar"/>
        </w:rPr>
        <w:t xml:space="preserve"> </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仿宋" w:hAnsi="仿宋" w:eastAsia="仿宋_GB2312" w:cs="仿宋"/>
          <w:b/>
          <w:sz w:val="30"/>
          <w:szCs w:val="30"/>
          <w:lang w:val="en-US"/>
        </w:rPr>
      </w:pPr>
      <w:r>
        <w:rPr>
          <w:rFonts w:hint="eastAsia" w:ascii="仿宋" w:hAnsi="仿宋" w:eastAsia="仿宋_GB2312" w:cs="Times New Roman"/>
          <w:sz w:val="30"/>
          <w:szCs w:val="30"/>
          <w:lang w:val="en-US" w:eastAsia="zh-CN" w:bidi="ar"/>
        </w:rPr>
        <w:br w:type="page"/>
      </w:r>
      <w:r>
        <w:rPr>
          <w:rFonts w:hint="eastAsia" w:ascii="仿宋_GB2312" w:hAnsi="仿宋" w:eastAsia="仿宋_GB2312" w:cs="仿宋_GB2312"/>
          <w:b/>
          <w:kern w:val="2"/>
          <w:sz w:val="32"/>
          <w:szCs w:val="32"/>
          <w:lang w:val="en-US" w:eastAsia="zh-CN" w:bidi="ar"/>
        </w:rPr>
        <w:t>三、评标内容及标</w:t>
      </w:r>
      <w:r>
        <w:rPr>
          <w:rFonts w:hint="eastAsia" w:ascii="仿宋_GB2312" w:hAnsi="仿宋" w:eastAsia="仿宋_GB2312" w:cs="仿宋_GB2312"/>
          <w:b/>
          <w:kern w:val="2"/>
          <w:sz w:val="30"/>
          <w:szCs w:val="30"/>
          <w:lang w:val="en-US" w:eastAsia="zh-CN" w:bidi="ar"/>
        </w:rPr>
        <w:t>准</w:t>
      </w:r>
      <w:bookmarkStart w:id="26" w:name="_Toc496796638"/>
      <w:bookmarkEnd w:id="26"/>
    </w:p>
    <w:p>
      <w:pPr>
        <w:keepNext w:val="0"/>
        <w:keepLines w:val="0"/>
        <w:widowControl w:val="0"/>
        <w:suppressLineNumbers w:val="0"/>
        <w:spacing w:before="156" w:beforeLines="50" w:beforeAutospacing="0" w:after="156" w:afterLines="50" w:afterAutospacing="0" w:line="32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tbl>
      <w:tblPr>
        <w:tblStyle w:val="59"/>
        <w:tblW w:w="8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1"/>
        <w:gridCol w:w="1788"/>
        <w:gridCol w:w="3846"/>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序号</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评分类型</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评分标准</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报价</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(最低报价/投标报价)*最大分值</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技术</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符合明确指标参数得10分。对非关键的性能指标及技术参数属负偏离或缺漏项的每项扣2分，负偏离达到5项及以上属于重大偏离，按废标处理。</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技术</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对性能指标、技术参数属正偏或高配的、有先进程度的正偏离每项加1分（最高分为2分），无实质性意义的正偏离不加分。</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技术</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0.5分,</w:t>
            </w:r>
            <w:r>
              <w:rPr>
                <w:rFonts w:hint="eastAsia" w:ascii="仿宋_GB2312" w:hAnsi="宋体" w:eastAsia="仿宋_GB2312" w:cs="宋体"/>
                <w:bCs/>
                <w:kern w:val="2"/>
                <w:sz w:val="28"/>
                <w:szCs w:val="28"/>
                <w:lang w:val="en-US" w:eastAsia="zh-CN" w:bidi="ar"/>
              </w:rPr>
              <w:t> </w:t>
            </w:r>
            <w:r>
              <w:rPr>
                <w:rFonts w:hint="eastAsia" w:ascii="仿宋_GB2312" w:hAnsi="宋体" w:eastAsia="仿宋_GB2312" w:cs="仿宋_GB2312"/>
                <w:bCs/>
                <w:kern w:val="2"/>
                <w:sz w:val="28"/>
                <w:szCs w:val="28"/>
                <w:lang w:val="en-US" w:eastAsia="zh-CN" w:bidi="ar"/>
              </w:rPr>
              <w:t>节能产品认证证书或者证书的查询网址及截图的，得0.5分。</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技术</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智能化实验管理平台的成熟性、功能全面性、与原系统兼容性，具体要求详见需求。</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技术</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系统集成方案及选型方案的针对性、科学性及专业性，具体要求详见需求。</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技术</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技术解决方案的科学性、成熟性及保障程度，具体要求详见需求。</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商务资信</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项目维护计划（驻点人员安排，定期巡检，备品备件等情况）的有效性等。</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商务资信</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售后服务的响应情况（对用户故障响应、处理等）。</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商务资信</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培训方案、计划的可行性及合理性。</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商务资信</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公司技术力量情况</w:t>
            </w:r>
            <w:r>
              <w:rPr>
                <w:rFonts w:hint="eastAsia" w:ascii="仿宋_GB2312" w:hAnsi="宋体" w:eastAsia="仿宋_GB2312" w:cs="仿宋_GB2312"/>
                <w:bCs/>
                <w:kern w:val="2"/>
                <w:sz w:val="28"/>
                <w:szCs w:val="28"/>
                <w:lang w:val="en-US" w:eastAsia="zh-CN" w:bidi="ar"/>
              </w:rPr>
              <w:t>（详见商务要求表）</w:t>
            </w:r>
            <w:r>
              <w:rPr>
                <w:rFonts w:hint="eastAsia" w:ascii="仿宋_GB2312" w:hAnsi="宋体" w:eastAsia="仿宋_GB2312" w:cs="仿宋_GB2312"/>
                <w:bCs/>
                <w:kern w:val="2"/>
                <w:sz w:val="28"/>
                <w:szCs w:val="28"/>
                <w:lang w:val="en-US" w:eastAsia="zh-CN" w:bidi="ar"/>
              </w:rPr>
              <w:t>。</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13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商务资信</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经验及业绩（详见商务要求表）。</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Autospacing="0" w:line="340" w:lineRule="exact"/>
              <w:ind w:left="0" w:right="0"/>
              <w:jc w:val="both"/>
              <w:rPr>
                <w:rFonts w:hint="eastAsia" w:ascii="仿宋_GB2312" w:hAnsi="宋体" w:eastAsia="仿宋_GB2312" w:cs="仿宋_GB2312"/>
                <w:bCs/>
                <w:sz w:val="28"/>
                <w:szCs w:val="28"/>
                <w:lang w:val="en-US"/>
              </w:rPr>
            </w:pPr>
            <w:r>
              <w:rPr>
                <w:rFonts w:hint="eastAsia" w:ascii="仿宋_GB2312" w:hAnsi="宋体" w:eastAsia="仿宋_GB2312" w:cs="仿宋_GB2312"/>
                <w:bCs/>
                <w:kern w:val="2"/>
                <w:sz w:val="28"/>
                <w:szCs w:val="28"/>
                <w:lang w:val="en-US" w:eastAsia="zh-CN" w:bidi="ar"/>
              </w:rPr>
              <w:t>2</w:t>
            </w:r>
          </w:p>
        </w:tc>
      </w:tr>
    </w:tbl>
    <w:p>
      <w:pPr>
        <w:keepNext w:val="0"/>
        <w:keepLines w:val="0"/>
        <w:widowControl w:val="0"/>
        <w:suppressLineNumbers w:val="0"/>
        <w:spacing w:before="156" w:beforeLines="50" w:beforeAutospacing="0" w:after="156" w:afterLines="50" w:afterAutospacing="0" w:line="320" w:lineRule="exact"/>
        <w:ind w:left="0" w:right="0"/>
        <w:jc w:val="both"/>
        <w:rPr>
          <w:rFonts w:hAnsi="宋体"/>
          <w:b/>
          <w:sz w:val="36"/>
          <w:szCs w:val="36"/>
          <w:lang w:val="en-US"/>
        </w:rPr>
      </w:pP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sz w:val="32"/>
          <w:szCs w:val="32"/>
          <w:lang w:val="en-US"/>
        </w:rPr>
      </w:pPr>
      <w:bookmarkStart w:id="27" w:name="PO_15528_PM051"/>
      <w:bookmarkEnd w:id="27"/>
      <w:r>
        <w:rPr>
          <w:rFonts w:hint="eastAsia" w:ascii="仿宋_GB2312" w:hAnsi="宋体" w:eastAsia="仿宋_GB2312" w:cs="仿宋_GB2312"/>
          <w:b/>
          <w:kern w:val="2"/>
          <w:sz w:val="32"/>
          <w:szCs w:val="32"/>
          <w:lang w:val="en-US" w:eastAsia="zh-CN" w:bidi="ar"/>
        </w:rPr>
        <w:t xml:space="preserve"> </w:t>
      </w:r>
      <w:bookmarkStart w:id="28" w:name="PO_TDCUS_ITEM_SM_TITLE_1_1"/>
      <w:bookmarkEnd w:id="28"/>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sz w:val="36"/>
          <w:szCs w:val="36"/>
          <w:lang w:val="en-US"/>
        </w:rPr>
      </w:pPr>
      <w:r>
        <w:rPr>
          <w:rFonts w:hint="eastAsia" w:ascii="宋体" w:hAnsi="宋体" w:eastAsia="宋体" w:cs="宋体"/>
          <w:b/>
          <w:kern w:val="2"/>
          <w:sz w:val="36"/>
          <w:szCs w:val="36"/>
          <w:lang w:val="en-US" w:eastAsia="zh-CN" w:bidi="ar"/>
        </w:rPr>
        <w:t>第四章招标需求</w:t>
      </w:r>
    </w:p>
    <w:p>
      <w:pPr>
        <w:keepNext w:val="0"/>
        <w:keepLines w:val="0"/>
        <w:widowControl w:val="0"/>
        <w:suppressLineNumbers w:val="0"/>
        <w:snapToGrid w:val="0"/>
        <w:spacing w:before="156" w:beforeLines="50" w:beforeAutospacing="0" w:after="156" w:afterLines="50" w:afterAutospacing="0"/>
        <w:ind w:left="0" w:right="0"/>
        <w:jc w:val="both"/>
        <w:rPr>
          <w:rFonts w:hint="eastAsia" w:ascii="宋体" w:hAnsi="宋体" w:eastAsia="宋体" w:cs="宋体"/>
          <w:b/>
          <w:spacing w:val="40"/>
          <w:kern w:val="0"/>
          <w:sz w:val="36"/>
          <w:szCs w:val="36"/>
          <w:lang w:val="en-US"/>
        </w:rPr>
      </w:pPr>
      <w:r>
        <w:rPr>
          <w:rFonts w:hint="eastAsia" w:ascii="宋体" w:hAnsi="宋体" w:eastAsia="宋体" w:cs="宋体"/>
          <w:b/>
          <w:spacing w:val="40"/>
          <w:kern w:val="0"/>
          <w:sz w:val="36"/>
          <w:szCs w:val="36"/>
          <w:lang w:val="en-US" w:eastAsia="zh-CN" w:bidi="ar"/>
        </w:rPr>
        <w:t xml:space="preserve"> </w:t>
      </w:r>
    </w:p>
    <w:p>
      <w:pPr>
        <w:keepNext w:val="0"/>
        <w:keepLines w:val="0"/>
        <w:widowControl w:val="0"/>
        <w:suppressLineNumbers w:val="0"/>
        <w:snapToGrid w:val="0"/>
        <w:spacing w:before="156" w:beforeLines="50" w:beforeAutospacing="0" w:after="156" w:afterLines="50" w:afterAutospacing="0"/>
        <w:ind w:left="0" w:right="0"/>
        <w:jc w:val="both"/>
        <w:rPr>
          <w:rFonts w:hint="eastAsia" w:ascii="仿宋" w:hAnsi="仿宋" w:eastAsia="仿宋" w:cs="仿宋"/>
          <w:b/>
          <w:spacing w:val="40"/>
          <w:kern w:val="0"/>
          <w:sz w:val="28"/>
          <w:szCs w:val="28"/>
          <w:lang w:val="en-US"/>
        </w:rPr>
      </w:pPr>
      <w:r>
        <w:rPr>
          <w:rFonts w:hint="eastAsia" w:ascii="仿宋" w:hAnsi="仿宋" w:eastAsia="仿宋" w:cs="仿宋"/>
          <w:b/>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sz w:val="30"/>
          <w:szCs w:val="30"/>
          <w:lang w:val="en-US"/>
        </w:rPr>
      </w:pPr>
      <w:r>
        <w:rPr>
          <w:rFonts w:hint="eastAsia" w:ascii="仿宋" w:hAnsi="仿宋" w:eastAsia="仿宋" w:cs="仿宋"/>
          <w:b/>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kern w:val="2"/>
          <w:sz w:val="30"/>
          <w:szCs w:val="30"/>
          <w:lang w:val="en-US" w:eastAsia="zh-CN" w:bidi="ar"/>
        </w:rPr>
        <w:t>。</w:t>
      </w:r>
    </w:p>
    <w:p>
      <w:pPr>
        <w:pStyle w:val="53"/>
        <w:widowControl/>
        <w:shd w:val="clear" w:fill="FDFAF5"/>
        <w:spacing w:before="0" w:beforeAutospacing="0" w:after="0" w:afterAutospacing="0" w:line="520" w:lineRule="atLeast"/>
        <w:ind w:left="0" w:right="0" w:firstLine="562" w:firstLineChars="200"/>
        <w:rPr>
          <w:rFonts w:hint="eastAsia" w:ascii="仿宋" w:hAnsi="仿宋" w:eastAsia="仿宋" w:cs="Times New Roman"/>
          <w:b/>
          <w:sz w:val="28"/>
          <w:szCs w:val="28"/>
          <w:shd w:val="clear" w:fill="FDFAF5"/>
          <w:lang w:val="en-US"/>
        </w:rPr>
      </w:pPr>
      <w:r>
        <w:rPr>
          <w:rFonts w:hint="eastAsia" w:ascii="仿宋" w:hAnsi="仿宋" w:eastAsia="仿宋" w:cs="Times New Roman"/>
          <w:b/>
          <w:sz w:val="28"/>
          <w:szCs w:val="28"/>
          <w:shd w:val="clear" w:fill="FDFAF5"/>
          <w:lang w:val="en-US"/>
        </w:rPr>
        <w:t>4.</w:t>
      </w:r>
      <w:r>
        <w:rPr>
          <w:rFonts w:hint="eastAsia" w:ascii="仿宋" w:hAnsi="仿宋" w:eastAsia="仿宋" w:cs="Times New Roman"/>
          <w:b/>
          <w:sz w:val="28"/>
          <w:szCs w:val="28"/>
          <w:shd w:val="clear" w:fill="FDFAF5"/>
          <w:lang w:eastAsia="zh-CN"/>
        </w:rPr>
        <w:t>采购人拟采购的产品属于政府强制采购节能品目的，（详见《关于印发节能产品政府采购品目清单的通知》财库〔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19</w:t>
      </w:r>
      <w:r>
        <w:rPr>
          <w:rFonts w:hint="eastAsia" w:ascii="仿宋" w:hAnsi="仿宋" w:eastAsia="仿宋" w:cs="Times New Roman"/>
          <w:b/>
          <w:sz w:val="28"/>
          <w:szCs w:val="28"/>
          <w:shd w:val="clear" w:fill="FDFAF5"/>
          <w:lang w:eastAsia="zh-CN"/>
        </w:rPr>
        <w:t>号），需按《财政部 发展改革委 生态环境部 市场监管总局 关于调整优化节能产品、环境标志产品政府采购执行机制的通知》财库〔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9</w:t>
      </w:r>
      <w:r>
        <w:rPr>
          <w:rFonts w:hint="eastAsia" w:ascii="仿宋" w:hAnsi="仿宋" w:eastAsia="仿宋" w:cs="Times New Roman"/>
          <w:b/>
          <w:sz w:val="28"/>
          <w:szCs w:val="28"/>
          <w:shd w:val="clear" w:fill="FDFAF5"/>
          <w:lang w:eastAsia="zh-CN"/>
        </w:rPr>
        <w:t>号要求执行，但无对应细化分类或节能清单中的产品无法满足工作需要的，采购人应当在详细需求中标明并说明理由，否则按照前附表第三点要求执行。</w:t>
      </w:r>
    </w:p>
    <w:p>
      <w:pPr>
        <w:pStyle w:val="53"/>
        <w:keepNext w:val="0"/>
        <w:keepLines w:val="0"/>
        <w:widowControl w:val="0"/>
        <w:suppressLineNumbers w:val="0"/>
        <w:spacing w:before="156" w:beforeLines="50" w:beforeAutospacing="0" w:after="0" w:afterAutospacing="0" w:line="360" w:lineRule="auto"/>
        <w:ind w:left="0" w:right="0"/>
        <w:jc w:val="both"/>
        <w:rPr>
          <w:rFonts w:hint="eastAsia" w:ascii="仿宋" w:hAnsi="仿宋" w:eastAsia="仿宋" w:cs="Arial"/>
          <w:b/>
          <w:sz w:val="28"/>
          <w:szCs w:val="28"/>
          <w:lang w:val="en-US"/>
        </w:rPr>
      </w:pPr>
      <w:bookmarkStart w:id="29" w:name="_Toc496796639"/>
      <w:bookmarkEnd w:id="29"/>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pacing w:before="312" w:beforeLines="100" w:beforeAutospacing="0" w:after="0" w:afterAutospacing="0" w:line="360" w:lineRule="auto"/>
        <w:ind w:left="0" w:right="-108"/>
        <w:jc w:val="left"/>
        <w:rPr>
          <w:rFonts w:hint="eastAsia" w:ascii="宋体" w:hAnsi="宋体" w:eastAsia="宋体" w:cs="宋体"/>
          <w:sz w:val="30"/>
          <w:szCs w:val="30"/>
          <w:lang w:val="en-US"/>
        </w:rPr>
      </w:pPr>
      <w:bookmarkStart w:id="30" w:name="PO_416_PM050"/>
      <w:bookmarkEnd w:id="30"/>
      <w:bookmarkStart w:id="31" w:name="PO_TDCUS_ITEM_PB_REQ_TITLE_1"/>
      <w:r>
        <w:rPr>
          <w:rFonts w:hint="eastAsia" w:ascii="宋体" w:hAnsi="宋体" w:eastAsia="宋体" w:cs="宋体"/>
          <w:b/>
          <w:bCs w:val="0"/>
          <w:kern w:val="2"/>
          <w:sz w:val="30"/>
          <w:szCs w:val="30"/>
          <w:lang w:val="en-US" w:eastAsia="zh-CN" w:bidi="ar"/>
        </w:rPr>
        <w:t>标项1:</w:t>
      </w:r>
      <w:bookmarkEnd w:id="31"/>
      <w:bookmarkStart w:id="32" w:name="PO_TDCUS_ITEM_PB_REQ_FILE_1_1"/>
      <w:r>
        <w:rPr>
          <w:rFonts w:hint="eastAsia" w:ascii="宋体" w:hAnsi="宋体" w:eastAsia="宋体" w:cs="宋体"/>
          <w:b/>
          <w:kern w:val="2"/>
          <w:sz w:val="30"/>
          <w:szCs w:val="30"/>
          <w:lang w:val="en-US" w:eastAsia="zh-CN" w:bidi="ar"/>
        </w:rPr>
        <w:t>浙江工业大学新文科综合实验室建设采购项目</w:t>
      </w:r>
    </w:p>
    <w:p>
      <w:pPr>
        <w:keepNext w:val="0"/>
        <w:keepLines w:val="0"/>
        <w:widowControl w:val="0"/>
        <w:suppressLineNumbers w:val="0"/>
        <w:spacing w:before="0" w:beforeAutospacing="0" w:after="0" w:afterAutospacing="0"/>
        <w:ind w:left="0" w:right="0"/>
        <w:jc w:val="both"/>
        <w:rPr>
          <w:lang w:val="en-US"/>
        </w:rPr>
      </w:pPr>
    </w:p>
    <w:bookmarkEnd w:id="32"/>
    <w:p>
      <w:pPr>
        <w:keepNext w:val="0"/>
        <w:keepLines w:val="0"/>
        <w:widowControl w:val="0"/>
        <w:suppressLineNumbers w:val="0"/>
        <w:adjustRightInd w:val="0"/>
        <w:snapToGrid w:val="0"/>
        <w:spacing w:before="0" w:beforeAutospacing="0" w:after="0" w:afterAutospacing="0" w:line="288" w:lineRule="auto"/>
        <w:ind w:left="0" w:right="0"/>
        <w:jc w:val="both"/>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服务要求（技术要求里另有注明的以技术要求为准）</w:t>
      </w:r>
    </w:p>
    <w:tbl>
      <w:tblPr>
        <w:tblStyle w:val="59"/>
        <w:tblW w:w="963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477"/>
        <w:gridCol w:w="715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151" w:hRule="atLeast"/>
          <w:jc w:val="center"/>
        </w:trPr>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服务标准、期限、效率</w:t>
            </w:r>
          </w:p>
        </w:tc>
        <w:tc>
          <w:tcPr>
            <w:tcW w:w="7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1.质量保证：最新生产的符合国家相关技术标准和质量要求的出厂原装合格产品；</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2.安装调试（若需要安装调试）</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2.1 如中标人委托国内代理（或其他机构）负责安装或配合安装应在签约时指明，但中标人仍要对合同货物及其安装质量负全部责任；</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2.2 安装标准：符合我国国家有关技术规范要求和技术标准，所有的软件和硬件必须保证同时安装到位；</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2.3中标人提供合同货物的安装服务；（费用含在总价内）</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2.4 投标人在投标文件中应提供安装调试计划、对安装场地和环境的要求。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其他技术、服务要求</w:t>
            </w:r>
          </w:p>
        </w:tc>
        <w:tc>
          <w:tcPr>
            <w:tcW w:w="7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1.技术支持：中标人应及时提供合同货物软件的升级，免费提供合同货物新功能和应用的资料；（费用含在总价内）</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2.投标人应提供质保期满后主要零部件报价单、质保期满后维护费、软件升级及其相关服务内容；</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3.供货时提供有关的全套技术文件（如产品说明书、质量保证书、保修证明、相关配套使用手册等）；</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4.保证所提供的货物或其任何一部分均不会侵犯任何第三方的知识产权；</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5.合同期内或合同终止后，未征得有关方同意，不得泄漏与项目、合同有关的技术、资料等，不得以任何形式侵害采购人的知识产权；</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过程中所产生的技术成果（包括项目实施文档、软件、技术诀窍、秘密信息、技术资料等）的知识产权包括相关权益归采购人所有，未经同意，不得将涉及知识产权的技术秘密透露给第三方。中标人有不可争议的义务确保采购人依据本次采购所获得的知识产权不存在任何瑕疵且可以不受限制地行使相关权利，包括各项延伸权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验收标准</w:t>
            </w:r>
          </w:p>
        </w:tc>
        <w:tc>
          <w:tcPr>
            <w:tcW w:w="7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1.验收由采购人负责实施；</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2.验收依据</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2.1 合同、招标文件、投标文件；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2.2 中标人提供的技术规格、经采购人认可的合同货物的有效检验文件；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2.3 中标人投标文件中提供的经采购人认可的合同货物的验收标准（符合中国有关的国家、地方、行业标准）和检测办法及相应检测手段。</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4.验收合格的条件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4.1 所供货物符合产品标准和招标文件及合同的要求；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4.2 在进行测试和验收过程中发现的问题已被解决并得到采购人的认可；</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4.3 合同中规定的所有货物和材料均已交付；</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4.4 所供货物已通过使用单位组织的验收；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4.5 所有相关的技术文件及资料均已提交并得到接受。</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5.在正式验收前中标人须按采购人要求完成实施、部署、培训等工作，委托第三方检测机构进行测试并提交测试报告，以招标文件为测试依据，测评费用包含在合同总价中；</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验收时中标人应向采购人移交项目成果，成果包含相关软硬件、应用系统软件、数据库及库表结构文件、详细设计文件、软件和硬件的测试报告、操作手册、安装手册及使用说明、项目总结报告、备品备件及其他材料和文档。</w:t>
            </w:r>
          </w:p>
        </w:tc>
      </w:tr>
    </w:tbl>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仿宋" w:hAnsi="仿宋" w:eastAsia="仿宋" w:cs="仿宋"/>
          <w:b/>
          <w:bCs w:val="0"/>
          <w:lang w:val="en-US"/>
        </w:rPr>
      </w:pPr>
    </w:p>
    <w:p>
      <w:pPr>
        <w:keepNext w:val="0"/>
        <w:keepLines w:val="0"/>
        <w:widowControl w:val="0"/>
        <w:suppressLineNumbers w:val="0"/>
        <w:adjustRightInd w:val="0"/>
        <w:snapToGrid w:val="0"/>
        <w:spacing w:before="0" w:beforeAutospacing="0" w:after="0" w:afterAutospacing="0" w:line="288" w:lineRule="auto"/>
        <w:ind w:left="0" w:right="0"/>
        <w:jc w:val="both"/>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四、技术要求</w:t>
      </w:r>
    </w:p>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仿宋" w:hAnsi="仿宋" w:eastAsia="仿宋" w:cs="仿宋"/>
          <w:sz w:val="30"/>
          <w:szCs w:val="30"/>
          <w:lang w:val="en-US"/>
        </w:rPr>
      </w:pPr>
      <w:bookmarkStart w:id="33" w:name="_Hlk92271413"/>
      <w:r>
        <w:rPr>
          <w:rFonts w:hint="eastAsia" w:ascii="仿宋" w:hAnsi="仿宋" w:eastAsia="仿宋" w:cs="仿宋"/>
          <w:b/>
          <w:kern w:val="2"/>
          <w:sz w:val="30"/>
          <w:szCs w:val="30"/>
          <w:lang w:val="en-US" w:eastAsia="zh-CN" w:bidi="ar"/>
        </w:rPr>
        <w:t>1.需执行的国家相关标准、行业标准、地方标准或者其他标准、规范：</w:t>
      </w:r>
      <w:r>
        <w:rPr>
          <w:rFonts w:hint="eastAsia" w:ascii="仿宋" w:hAnsi="仿宋" w:eastAsia="仿宋" w:cs="仿宋"/>
          <w:kern w:val="2"/>
          <w:sz w:val="30"/>
          <w:szCs w:val="30"/>
          <w:lang w:val="en-US" w:eastAsia="zh-CN" w:bidi="ar"/>
        </w:rPr>
        <w:t>有强制性标准的执行国家强制性标准，没有的统一执行最新相关标准、规范；</w:t>
      </w:r>
    </w:p>
    <w:bookmarkEnd w:id="33"/>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2.需实现的功能或者目标：</w:t>
      </w:r>
      <w:r>
        <w:rPr>
          <w:rFonts w:hint="eastAsia" w:ascii="仿宋" w:hAnsi="仿宋" w:eastAsia="仿宋" w:cs="仿宋"/>
          <w:kern w:val="2"/>
          <w:sz w:val="30"/>
          <w:szCs w:val="30"/>
          <w:lang w:val="en-US" w:eastAsia="zh-CN" w:bidi="ar"/>
        </w:rPr>
        <w:t>含软硬件设计、供货、安装、施工（包括线路、地面、墙面等相关环境建设），实现交钥匙工程，项目实施符合质量管理体系、信息技术服务管理体系认证的要求，系统集成满足国家标准。</w:t>
      </w:r>
    </w:p>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仿宋" w:hAnsi="仿宋" w:eastAsia="仿宋" w:cs="仿宋"/>
          <w:b/>
          <w:spacing w:val="-4"/>
          <w:sz w:val="30"/>
          <w:szCs w:val="30"/>
          <w:lang w:val="en-US"/>
        </w:rPr>
      </w:pPr>
      <w:r>
        <w:rPr>
          <w:rFonts w:hint="eastAsia" w:ascii="仿宋" w:hAnsi="仿宋" w:eastAsia="仿宋" w:cs="仿宋"/>
          <w:b/>
          <w:spacing w:val="-4"/>
          <w:kern w:val="2"/>
          <w:sz w:val="30"/>
          <w:szCs w:val="30"/>
          <w:lang w:val="en-US" w:eastAsia="zh-CN" w:bidi="ar"/>
        </w:rPr>
        <w:t>3.需满足的质量、安全、技术规格、物理特性等要求：</w:t>
      </w:r>
    </w:p>
    <w:p>
      <w:pPr>
        <w:keepNext w:val="0"/>
        <w:keepLines w:val="0"/>
        <w:widowControl w:val="0"/>
        <w:suppressLineNumbers w:val="0"/>
        <w:spacing w:before="0" w:beforeAutospacing="0" w:after="0" w:afterAutospacing="0" w:line="288" w:lineRule="auto"/>
        <w:ind w:left="0" w:right="0"/>
        <w:jc w:val="both"/>
        <w:outlineLvl w:val="2"/>
        <w:rPr>
          <w:sz w:val="30"/>
          <w:szCs w:val="30"/>
          <w:lang w:val="en-US"/>
        </w:rPr>
      </w:pPr>
      <w:r>
        <w:rPr>
          <w:rFonts w:hint="eastAsia" w:ascii="仿宋" w:hAnsi="仿宋" w:eastAsia="仿宋" w:cs="仿宋"/>
          <w:b/>
          <w:kern w:val="2"/>
          <w:sz w:val="30"/>
          <w:szCs w:val="30"/>
          <w:lang w:val="en-US" w:eastAsia="zh-CN" w:bidi="ar"/>
        </w:rPr>
        <w:t>3.1 基础教学实验室、语音教学实验室、数字媒体实验室</w:t>
      </w:r>
    </w:p>
    <w:tbl>
      <w:tblPr>
        <w:tblStyle w:val="59"/>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0"/>
        <w:gridCol w:w="2129"/>
        <w:gridCol w:w="857"/>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序号</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名称</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数量</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宋体"/>
                <w:kern w:val="0"/>
                <w:sz w:val="21"/>
                <w:szCs w:val="21"/>
                <w:lang w:val="en-US" w:eastAsia="zh-CN" w:bidi="ar"/>
              </w:rPr>
              <w:t>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投影机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1.分辨率：≥1920*1680；</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2.亮度：≥5000流明@ANSI标准、≥5500流明@ISO21118标准；</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3.对比度：≥22000:1；</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4.内置接口：HDMI 1.4a（输入）*2/RGB输入：Db-15*1、RGB输出：Db-15*1/音源输入：3.5mm*1、音源输出：3.5mm*1/USB-A（5V/1.5A）*1/RS232控制口：DB-9*1、RJ45输入*1/USB mini B：售后使用*1。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黑板</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1.2000*1200mm搪瓷绿板，环保材质，含板擦；</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2.面板：绿板，厚度＞0.4mm，涂膜硬度＞8H；</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3.底板：优质钢板，厚度≥0.2mm，防锈；</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4.中间层：高强度聚酯泡沫，厚度≥15mm；</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5.边框：高强度工业用铝合金，表面电泳处理，厚度＞1.2mm，内加助筋；</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6.包角：抗疲劳ABS工程塑料，色泽接近铝框色，模具成型。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幕布</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1.120寸宽屏灰玻纤电动遥控；</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2.升降速度均匀、噪音小；</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3.表面平整，涂层均匀光质好，无卷边、褶皱及色斑。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有线话筒</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1.频率响应：约50Hz~16kHz;</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2.有效拾音距离：约5~60cm；</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3.电容式；</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4.灵敏度：≥-47dB±3dB（F=1kHz，S.P.L=1Pa，0dB=1V/Pa）；</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5.话筒ON/OFF超长寿命，高抗静噪带LED轻触开关；</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6.换能方式：直径9.7mm电容式咪芯；</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7.最大承受声压：≥105dB（F=1kHz，THD＜5%）；</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8.不失真最大输出：250mV 1.35mA（-68±2dBm）；</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9.供电电压：DC 3V/幻像48V；</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10.电池连续使用时间：＞20小时（7号电池）。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多功能一体功放机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1.工作电源：AC220V±10% 50/60Hz；</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2.四路平衡话筒输入可选48V供电模式；</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3.话筒输入均通过DSP处理；</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4.高性能数字处理模块，优化DSP数字运算处理；</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5.1路双声道音源输入、1路双声道线路输出；</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6.带MP3与USB播放口及FM调谐器；</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7.A/B两组接线柱，输出功率2*200W/8Ω、2*300W/4Ω；</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8.输入灵敏度：线路200Mv±10Mv，话筒20Mv±2Mv；</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9.频率响应：20Hz~20kHz±1.5dB；</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10.信噪比：≥90dB；</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11.阻尼系数：＞400；</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12.失真度：≤0.1%；</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13.本地扩音和远程互动能同时进行且相互不影响效果，本地扩音清晰响亮、无啸叫且混响时间＜1秒，远程互动声音清晰、无噪声和回声，双端同时讲话无卡音、丢字、声音变小和失真。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音箱</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1.喇叭尺寸：6"低音+1"高音，吊装、悬挂多点式；</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2.额定功率：80W；</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3.峰值功率：160W；</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4.灵敏度：90dB（1M/1W）；</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5.频响范围：约70~20kHz；</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6.最大声压级：109dB；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7.峰值声压级：112dB；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8.额定阻抗：8Ω；</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9.辐射角度：H80°*V50°。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机柜</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1.22U，前后网孔门；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2.通风率≥75%；</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3.SPCC冷轧钢材；</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4.重型脚轮，负载≥600kg；</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5.内部铝锌板；</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6.8位10A插排。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52口交换机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22台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1.48个千兆以太网端口+4个1000Base-X SFP千兆以太网端口；</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2.交换容量：≥192Gbps；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3.包转发率率：≥80Mpps；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4.MAC地址表：8K；</w:t>
            </w:r>
          </w:p>
          <w:p>
            <w:pPr>
              <w:keepNext w:val="0"/>
              <w:keepLines w:val="0"/>
              <w:widowControl/>
              <w:suppressLineNumbers w:val="0"/>
              <w:spacing w:before="0" w:beforeAutospacing="0" w:after="0" w:afterAutospacing="0"/>
              <w:ind w:left="0" w:right="0"/>
              <w:jc w:val="left"/>
              <w:rPr>
                <w:rFonts w:hint="eastAsia" w:ascii="等线" w:hAnsi="等线" w:eastAsia="等线" w:cs="等线"/>
                <w:lang w:val="en-US"/>
              </w:rPr>
            </w:pPr>
            <w:r>
              <w:rPr>
                <w:rFonts w:hint="eastAsia" w:ascii="仿宋" w:hAnsi="仿宋" w:eastAsia="仿宋" w:cs="仿宋"/>
                <w:kern w:val="0"/>
                <w:sz w:val="21"/>
                <w:szCs w:val="21"/>
                <w:lang w:val="en-US" w:eastAsia="zh-CN" w:bidi="ar"/>
              </w:rPr>
              <w:t>5.作接入交换机，通过光纤连接到主机房，配置相应模块和接入装置。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台式计算机</w:t>
            </w:r>
          </w:p>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（强制节能）</w:t>
            </w:r>
          </w:p>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核心产品</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380台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 xml:space="preserve">1.CPU： 不低于英特尔i7-12700 2.1G 12C处理器； </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2.主板：Intel 600系列及以上芯片组；</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3.内存：≥8G DDR4 2666MHz，双内存槽位；</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4.硬盘：M.2 512G SSD固态硬盘；</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5.液晶显示器：≥23.8寸，全局低蓝光、高清液晶显示器；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6.集成显卡；集成声卡，支持5.1声道；集成10/100/1000M以太网卡；</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 原厂防水键盘、抗菌鼠标；</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 10个USB接口、VGA+HDMI接口、2个PS2接口，1个串口；</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 标准MATX立式机箱，蜂窝结构，强力散热风扇，顶置提手和顶置电源开关键；</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等线" w:hAnsi="等线" w:eastAsia="等线" w:cs="等线"/>
                <w:kern w:val="2"/>
                <w:sz w:val="21"/>
                <w:szCs w:val="21"/>
                <w:lang w:val="en-US" w:eastAsia="zh-CN" w:bidi="ar"/>
              </w:rPr>
              <w:t>10</w:t>
            </w:r>
            <w:r>
              <w:rPr>
                <w:rFonts w:hint="eastAsia" w:ascii="仿宋" w:hAnsi="仿宋" w:eastAsia="仿宋" w:cs="仿宋"/>
                <w:kern w:val="0"/>
                <w:sz w:val="21"/>
                <w:szCs w:val="21"/>
                <w:lang w:val="en-US" w:eastAsia="zh-CN" w:bidi="ar"/>
              </w:rPr>
              <w:t>. 扩展槽 ≥1个PCI-E*16，≥1个PCI-E*1，≥1个PCI槽位；</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 提供与硬件兼容的正版windows操作系统，支持多操作系统管理；</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提供硬保护卡（含安装、培训、维护）：支持Windows系统各版本，网络克隆支持增量克隆、参数拷贝、完整拷贝，速度可达到4~6G/分钟,操作均在Windows上层完成，支持双硬盘保护和同传，跨硬盘可安装多操作系统,网络IP直接绑定在保护卡上,禁止一般使用者修改系统时间,支持删除、添加分区及修改分区属性，支持数据即时压缩克隆、网络克隆故障定位，可监控客户端的网卡发包率、硬盘读写速度，共享分区可指定系统分配和设定清除计划，支持树状多点还原，可分时设定还原计划，新增硬件、病毒库升级时硬保护卡自动更新不还原；</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kern w:val="2"/>
                <w:sz w:val="21"/>
                <w:szCs w:val="21"/>
                <w:lang w:val="en-US" w:eastAsia="zh-CN" w:bidi="ar"/>
              </w:rPr>
              <w:t>学生桌子（带隔断）</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100张</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1.规格：双人带三面屏风隔断（高1050mm），1500*700*780mm；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2.钢木结构，钢管壁厚＞1.5mm，酸洗、磷化、喷塑，E0级国际环保标准，25mm厚桌面、18mm厚其它拉板；</w:t>
            </w:r>
          </w:p>
          <w:p>
            <w:pPr>
              <w:keepNext w:val="0"/>
              <w:keepLines w:val="0"/>
              <w:widowControl w:val="0"/>
              <w:suppressLineNumbers w:val="0"/>
              <w:spacing w:before="0" w:beforeAutospacing="0" w:after="0" w:afterAutospacing="0"/>
              <w:ind w:left="0" w:right="0"/>
              <w:jc w:val="both"/>
              <w:rPr>
                <w:rFonts w:hint="eastAsia" w:ascii="等线" w:hAnsi="等线" w:eastAsia="等线" w:cs="等线"/>
                <w:lang w:val="en-US"/>
              </w:rPr>
            </w:pPr>
            <w:r>
              <w:rPr>
                <w:rFonts w:hint="eastAsia" w:ascii="仿宋" w:hAnsi="仿宋" w:eastAsia="仿宋" w:cs="仿宋"/>
                <w:kern w:val="2"/>
                <w:sz w:val="21"/>
                <w:szCs w:val="21"/>
                <w:lang w:val="en-US" w:eastAsia="zh-CN" w:bidi="ar"/>
              </w:rPr>
              <w:t>3.主机托架：三边挡板，承重＞50公斤，1.5寸以上万向轮带刹车；</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4.样式同序号11学生桌子（仅桌面增加隔断）。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学生桌子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110张</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1.规格：双人，1500*650*780mm；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2.钢木结构，钢管壁厚＞1.5mm，酸洗、磷化、喷塑，E0级国际环保标准，25mm厚桌面、18mm厚其它拉板；</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3.主机托架：三边挡板，承重＞50公斤，1.5寸以上万向轮带刹车。</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参考图片</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drawing>
                <wp:inline distT="0" distB="0" distL="114300" distR="114300">
                  <wp:extent cx="1876425" cy="97155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876425" cy="9715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教师讲台</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6张</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1.规格：单人，1600*750*780mm；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2.钢木结构，钢管壁厚＞1.5mm，酸洗、磷化、喷塑，E0级国际环保标准，25mm厚桌面、18mm厚其它拉板；</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3.主机托架：三边挡板，承重＞50公斤，1.5寸以上万向轮带刹车；</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4.样式风格同序号11学生桌子，具体形制需定制。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学生椅子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420把</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1.规格：420*450*460mm；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2.椅架：椅脚和靠背管、座脚连接杆采用40*20*1.2mm椭圆钢管，座框采用30*15*1.5mm椭圆钢管；</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3.座板：PP塑料一次吹塑成型，表面有防滑结构，造型符合人体工程学；</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4.背板：PP塑料一次吹塑成型，靠背上沿宽度40mm，向内折20mm 边，折边光滑圆润，表面有防滑结构，弧形结构符合人体工程学，背板上方有仿手型拉手口。</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参考图片</w:t>
            </w:r>
          </w:p>
          <w:p>
            <w:pPr>
              <w:keepNext w:val="0"/>
              <w:keepLines w:val="0"/>
              <w:widowControl w:val="0"/>
              <w:suppressLineNumbers w:val="0"/>
              <w:spacing w:before="0" w:beforeAutospacing="0" w:after="0" w:afterAutospacing="0"/>
              <w:ind w:left="0" w:right="0"/>
              <w:jc w:val="both"/>
              <w:rPr>
                <w:rFonts w:hint="eastAsia" w:ascii="宋体" w:hAnsi="宋体" w:eastAsia="等线" w:cs="宋体"/>
                <w:kern w:val="0"/>
                <w:sz w:val="22"/>
                <w:szCs w:val="21"/>
                <w:lang w:val="en-US"/>
              </w:rPr>
            </w:pPr>
            <w:r>
              <w:rPr>
                <w:rFonts w:hint="eastAsia" w:ascii="等线" w:hAnsi="等线" w:eastAsia="等线" w:cs="等线"/>
                <w:kern w:val="2"/>
                <w:sz w:val="21"/>
                <w:szCs w:val="21"/>
                <w:lang w:val="en-US" w:eastAsia="zh-CN" w:bidi="ar"/>
              </w:rPr>
              <w:drawing>
                <wp:inline distT="0" distB="0" distL="114300" distR="114300">
                  <wp:extent cx="1257300" cy="14382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257300" cy="14382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教师椅子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10把</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1.旋转办公椅；</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2.承重300公斤以上。</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参考图片</w:t>
            </w:r>
          </w:p>
          <w:p>
            <w:pPr>
              <w:keepNext w:val="0"/>
              <w:keepLines w:val="0"/>
              <w:widowControl w:val="0"/>
              <w:suppressLineNumbers w:val="0"/>
              <w:spacing w:before="0" w:beforeAutospacing="0" w:after="0" w:afterAutospacing="0"/>
              <w:ind w:left="0" w:right="0"/>
              <w:jc w:val="both"/>
              <w:rPr>
                <w:rFonts w:hint="eastAsia" w:ascii="等线" w:hAnsi="等线" w:eastAsia="等线" w:cs="等线"/>
                <w:lang w:val="en-US"/>
              </w:rPr>
            </w:pPr>
            <w:r>
              <w:rPr>
                <w:rFonts w:hint="eastAsia" w:ascii="等线" w:hAnsi="等线" w:eastAsia="等线" w:cs="等线"/>
                <w:kern w:val="2"/>
                <w:sz w:val="21"/>
                <w:szCs w:val="21"/>
                <w:lang w:val="en-US" w:eastAsia="zh-CN" w:bidi="ar"/>
              </w:rPr>
              <w:drawing>
                <wp:inline distT="0" distB="0" distL="114300" distR="114300">
                  <wp:extent cx="1409700" cy="14097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1"/>
                          <a:stretch>
                            <a:fillRect/>
                          </a:stretch>
                        </pic:blipFill>
                        <pic:spPr>
                          <a:xfrm>
                            <a:off x="0" y="0"/>
                            <a:ext cx="1409700" cy="1409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网络节点</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600套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1.弱电：六类非屏蔽双绞线、理线器及六类水晶头，前后端预留长度≥2米，网线具有十字骨架，23线规；</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2.强电：按组独立分配电路，每路负载不超过10台电脑，使用单芯国标≥2.5平方电源线，连接点端配10A三三插面板并带接地线，讲台和网络机柜独立一路电源；</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3.布线：通过地板下走线，弱电使用PVC线槽、强电线路套管，强弱电走向分离，间隔≥15cm，交叉区域不得大于2个节点；</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4.布线整洁规范，机打标签清晰可靠，地板开孔合理、美观、安全。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静电地板</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1430平方</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1.规格：标准；</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2.全钢外壳，表面选用SPCC硬质钢材，底面采用ST14拉伸板；</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3.支架使用钢板压成型，丝杆高度可任意调节，横梁选用方管制作，支架和横梁整体镀锌；</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4.地板下钢板厚度≥0.6mm、上钢板厚度≥0.7mm，横梁钢板厚度≥1.0mm，支架上钢板厚度≥3.0mm，支架下基座厚度≥2.5mm，采用M16螺杆；</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5.组装：四周支承式，螺钉把横梁和可调节自身高度的支座连接成稳固的下部支撑系统，面板位于横梁围成的方框内，地板与地面的净空间≥150mm；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6.含相应开孔、组装、拆旧和清运。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教师主机</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18台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 xml:space="preserve">1.CPU： 不低于英特尔i7-12700 2.1G 12C处理器； </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2.主板：Intel 600系列及以上芯片组；</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3.内存：≥16G DDR4 2666MHz，双内存槽位；</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4.硬盘：M.2 512G SSD固态硬盘+1T机械硬盘；</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5.独立显卡；</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6.集成声卡，支持5.1声道；集成10/100/1000M以太网卡；</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 原厂防水键盘、抗菌鼠标；</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 10个USB接口、VGA+HDMI接口、2个PS2接口，1个串口；</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 标准MATX立式机箱，蜂窝结构，强力散热风扇，顶置提手和顶置电源开关键；</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等线" w:hAnsi="等线" w:eastAsia="等线" w:cs="等线"/>
                <w:kern w:val="2"/>
                <w:sz w:val="21"/>
                <w:szCs w:val="21"/>
                <w:lang w:val="en-US" w:eastAsia="zh-CN" w:bidi="ar"/>
              </w:rPr>
              <w:t>10</w:t>
            </w:r>
            <w:r>
              <w:rPr>
                <w:rFonts w:hint="eastAsia" w:ascii="仿宋" w:hAnsi="仿宋" w:eastAsia="仿宋" w:cs="仿宋"/>
                <w:kern w:val="0"/>
                <w:sz w:val="21"/>
                <w:szCs w:val="21"/>
                <w:lang w:val="en-US" w:eastAsia="zh-CN" w:bidi="ar"/>
              </w:rPr>
              <w:t>. 扩展槽 ≥1个PCI-E*16，≥1个PCI-E*1，≥1个PCI槽位；</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 提供与硬件兼容的正版windows操作系统，支持多操作系统管理；</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提供硬保护卡（含安装、培训、维护）：支持Windows系统各版本，网络克隆支持增量克隆、参数拷贝、完整拷贝，速度可达到4~6G/分钟,操作均在Windows上层完成，支持双硬盘保护和同传，跨硬盘可安装多操作系统,网络IP直接绑定在保护卡上,禁止一般使用者修改系统时间,支持删除、添加分区及修改分区属性，支持数据即时压缩克隆、网络克隆故障定位，可监控客户端的网卡发包率、硬盘读写速度，共享分区可指定系统分配和设定清除计划，支持树状多点还原，可分时设定还原计划，新增硬件、病毒库升级时硬保护卡自动更新不还原；</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显示器1</w:t>
            </w:r>
          </w:p>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13台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2"/>
                <w:sz w:val="21"/>
                <w:szCs w:val="21"/>
                <w:lang w:val="en-US" w:eastAsia="zh-CN" w:bidi="ar"/>
              </w:rPr>
              <w:t>≥23.5寸液晶，高清2K，护眼不闪屏，</w:t>
            </w:r>
            <w:r>
              <w:rPr>
                <w:rFonts w:hint="eastAsia" w:ascii="仿宋" w:hAnsi="仿宋" w:eastAsia="仿宋" w:cs="仿宋"/>
                <w:kern w:val="0"/>
                <w:sz w:val="21"/>
                <w:szCs w:val="21"/>
                <w:lang w:val="en-US" w:eastAsia="zh-CN" w:bidi="ar"/>
              </w:rPr>
              <w:t>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显示器2</w:t>
            </w:r>
          </w:p>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8台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2"/>
                <w:sz w:val="21"/>
                <w:szCs w:val="21"/>
                <w:lang w:val="en-US" w:eastAsia="zh-CN" w:bidi="ar"/>
              </w:rPr>
              <w:t>≥32寸IPS液晶，高清4K，物理防蓝光，刷新率≥60Hz，对比度≥1000:1，</w:t>
            </w:r>
            <w:r>
              <w:rPr>
                <w:rFonts w:hint="eastAsia" w:ascii="仿宋" w:hAnsi="仿宋" w:eastAsia="仿宋" w:cs="仿宋"/>
                <w:kern w:val="0"/>
                <w:sz w:val="21"/>
                <w:szCs w:val="21"/>
                <w:lang w:val="en-US" w:eastAsia="zh-CN" w:bidi="ar"/>
              </w:rPr>
              <w:t>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kern w:val="2"/>
                <w:sz w:val="21"/>
                <w:szCs w:val="21"/>
                <w:lang w:val="en-US" w:eastAsia="zh-CN" w:bidi="ar"/>
              </w:rPr>
              <w:t>智能语音交换器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1.双声道立体声，采样率达44kHz，采样精度达16位，信躁比≥60dB，语音延迟在100ms内，语音失真度≤0.5%，频率响应125Hz~10kHz（±3db），硬件降噪的麦克风输入，可负载100台以上终端；</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2.同步传输，语音系统广播延迟≤100ms，对话延时≤100ms，信躁比≥68dB；</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3.端口带POE，完成音频/文本/控制命令/同步信息等信号的传输。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专用语音耳机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206套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1.英语考试专用；</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2.3.5mm接口、USB接口各1个；</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3.阻抗32Ω，灵敏度90dB以上；</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4.头戴式耳机麦克风。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数字媒体台式机</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1.CPU：不低于</w:t>
            </w:r>
            <w:r>
              <w:rPr>
                <w:rFonts w:hint="eastAsia" w:ascii="仿宋" w:hAnsi="仿宋" w:eastAsia="仿宋" w:cs="仿宋"/>
                <w:kern w:val="0"/>
                <w:sz w:val="21"/>
                <w:szCs w:val="21"/>
                <w:lang w:val="en-US" w:eastAsia="zh-CN" w:bidi="ar"/>
              </w:rPr>
              <w:t>Intel Core i7-12700</w:t>
            </w:r>
            <w:r>
              <w:rPr>
                <w:rFonts w:hint="eastAsia" w:ascii="仿宋" w:hAnsi="仿宋" w:eastAsia="仿宋" w:cs="仿宋"/>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2"/>
                <w:sz w:val="21"/>
                <w:szCs w:val="21"/>
                <w:lang w:val="en-US" w:eastAsia="zh-CN" w:bidi="ar"/>
              </w:rPr>
              <w:t>2.内存：≥32GB DDR4，</w:t>
            </w:r>
            <w:r>
              <w:rPr>
                <w:rFonts w:hint="eastAsia" w:ascii="仿宋" w:hAnsi="仿宋" w:eastAsia="仿宋" w:cs="仿宋"/>
                <w:kern w:val="0"/>
                <w:sz w:val="21"/>
                <w:szCs w:val="21"/>
                <w:lang w:val="en-US" w:eastAsia="zh-CN" w:bidi="ar"/>
              </w:rPr>
              <w:t>双内存槽位；</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2"/>
                <w:sz w:val="21"/>
                <w:szCs w:val="21"/>
                <w:lang w:val="en-US" w:eastAsia="zh-CN" w:bidi="ar"/>
              </w:rPr>
              <w:t>3.</w:t>
            </w:r>
            <w:r>
              <w:rPr>
                <w:rFonts w:hint="eastAsia" w:ascii="仿宋" w:hAnsi="仿宋" w:eastAsia="仿宋" w:cs="仿宋"/>
                <w:kern w:val="0"/>
                <w:sz w:val="21"/>
                <w:szCs w:val="21"/>
                <w:lang w:val="en-US" w:eastAsia="zh-CN" w:bidi="ar"/>
              </w:rPr>
              <w:t xml:space="preserve"> Intel 600系列及以上芯片组；</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4.硬盘：512GB SSD+1TB HD 7200RPM 3.5寸；</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5.显示器：≥23.8寸液晶，分辨率1920*1080；</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6.显卡：GEFORCE RTX2060 12GB 3DP+HDMI及以上；</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2"/>
                <w:sz w:val="21"/>
                <w:szCs w:val="21"/>
                <w:lang w:val="en-US" w:eastAsia="zh-CN" w:bidi="ar"/>
              </w:rPr>
              <w:t>7.</w:t>
            </w:r>
            <w:r>
              <w:rPr>
                <w:rFonts w:hint="eastAsia" w:ascii="仿宋" w:hAnsi="仿宋" w:eastAsia="仿宋" w:cs="仿宋"/>
                <w:kern w:val="0"/>
                <w:sz w:val="21"/>
                <w:szCs w:val="21"/>
                <w:lang w:val="en-US" w:eastAsia="zh-CN" w:bidi="ar"/>
              </w:rPr>
              <w:t xml:space="preserve"> 集成声卡，支持5.1声道；集成10/100/1000M以太网卡；</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 原厂防水键盘、抗菌鼠标；</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 10个USB接口、VGA+HDMI接口、2个PS2接口，1个串口；</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 标准MATX立式机箱，蜂窝结构，强力散热风扇，顶置提手和顶置电源开关键；</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等线" w:hAnsi="等线" w:eastAsia="等线" w:cs="等线"/>
                <w:kern w:val="2"/>
                <w:sz w:val="21"/>
                <w:szCs w:val="21"/>
                <w:lang w:val="en-US" w:eastAsia="zh-CN" w:bidi="ar"/>
              </w:rPr>
              <w:t>11</w:t>
            </w:r>
            <w:r>
              <w:rPr>
                <w:rFonts w:hint="eastAsia" w:ascii="仿宋" w:hAnsi="仿宋" w:eastAsia="仿宋" w:cs="仿宋"/>
                <w:kern w:val="0"/>
                <w:sz w:val="21"/>
                <w:szCs w:val="21"/>
                <w:lang w:val="en-US" w:eastAsia="zh-CN" w:bidi="ar"/>
              </w:rPr>
              <w:t>. 扩展槽 ≥1个PCI-E*16，≥1个PCI-E*1，≥1个PCI槽位；</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 提供与硬件兼容的正版windows操作系统，支持多操作系统管理；</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2"/>
                <w:sz w:val="21"/>
                <w:szCs w:val="21"/>
                <w:lang w:val="en-US" w:eastAsia="zh-CN" w:bidi="ar"/>
              </w:rPr>
              <w:t>13.</w:t>
            </w:r>
            <w:r>
              <w:rPr>
                <w:rFonts w:hint="eastAsia" w:ascii="仿宋" w:hAnsi="仿宋" w:eastAsia="仿宋" w:cs="仿宋"/>
                <w:kern w:val="0"/>
                <w:sz w:val="21"/>
                <w:szCs w:val="21"/>
                <w:lang w:val="en-US" w:eastAsia="zh-CN" w:bidi="ar"/>
              </w:rPr>
              <w:t>提供硬保护卡（含安装、培训、维护）：支持Windows系统各版本，网络克隆支持增量克隆、参数拷贝、完整拷贝，速度可达到4~6G/分钟,操作均在Windows上层完成，支持双硬盘保护和同传，跨硬盘可安装多操作系统,网络IP直接绑定在保护卡上,禁止一般使用者修改系统时间,支持删除、添加分区及修改分区属性，支持数据即时压缩克隆、网络克隆故障定位，可监控客户端的网卡发包率、硬盘读写速度，共享分区可指定系统分配和设定清除计划，支持树状多点还原，可分时设定还原计划，新增硬件、病毒库升级时硬保护卡自动更新不还原；</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kern w:val="2"/>
                <w:sz w:val="21"/>
                <w:szCs w:val="21"/>
                <w:lang w:val="en-US" w:eastAsia="zh-CN" w:bidi="ar"/>
              </w:rPr>
              <w:t>电子白板</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1.红外触摸，手指或其他材料在电子白板上可直接书写；</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2.投影尺寸：≥1878mm*1202mm；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3.板体尺寸比例：16:10；</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4.分辨率：32768*32768；</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5.响应时间≤8ms，采样率120帧／s，触摸精度6mm；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6.支持≥10点触控；</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7.供电方式：USB供电；</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8.支持一键开启/关闭白板触摸功能；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9.书写板夹心材料：≥15mm厚高强度铝蜂窝板材，单位面积抗压0.8MPa；</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10.板面材料：0.4mm投影专用搪瓷白板；</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11.耐擦拭性：一般水性白板笔均可用干布擦拭，油性白板笔书写可用对应的清洁剂擦拭，板面不会被腐蚀，留痕；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12.板面经过特殊工艺处理，减少反射影像的光线扭曲，没有明显的光斑；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13.板面硬度：莫式硬度≥5，4H铅笔书写无划痕；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14.抗腐蚀性：甲苯、丁酮、酒精、油脂、石油、乙酸乙酯、二甲苯等几种常见腐蚀剂浸泡1小时无变化；</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15.耐用寿命10年，10年内反复擦拭无明显留痕。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激光多功能打印机</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1.功能：打印、复印、扫描；</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2.打印负荷：80000页；</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3.打印、复印速度：35份/分钟及以上；</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4.复印、扫描类型：平板式/馈纸式；</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5.复印比例：25%~400%；</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6.支持纸张尺寸：A4、A5、A6、B5；</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7.内存：512MB DDR、512MB闪存；</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8.分辨率：1200*1200 dpi；</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9.扫描速度：21份/分钟及以上。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kern w:val="2"/>
                <w:sz w:val="21"/>
                <w:szCs w:val="21"/>
                <w:lang w:val="en-US" w:eastAsia="zh-CN" w:bidi="ar"/>
              </w:rPr>
              <w:t>高清录播一体机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1.内置Linux操作系统，支持文件上传至指定平台，支持7*24小时稳定工作；</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2.规格≤1U；</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3.接口：HDMI输入接口≥1路、HDMI输出接口≥1路、音频输入≥1路、音频输出≥1路、USB接口≥1路、网口≥1路千兆网口，支持POE供电；</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4.支持USB2.0 Type-A等720P60-1920*1080@60P视频输出；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5.音频输入：1路LINE IN（3.5mm）、1路凤凰端子带12v供电，音频输出：1路LINE OUT（3.5mm）；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6.网络输出：支持≥2路RTSP流输出、≥2路RTMP流输出，码流500KBps~10MB可调，分辨率：D1~1080P可调；</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7.系统软件嵌入图像信号采集、视频输出、多通道切换、推流直播、IP搜索等功能；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8.支持同一网络环境下主机IP地址跨网段搜索；</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9.控制界面：画面预监≥6路，主录通道预监≥1路，支持分辨率、码流、录制帧率、主机IP等信息显示；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10.支持跟踪灵敏度调节；</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11.可自动完成≥4机位镜头录制，支持教师全景、教师特写、学生全景、学生特写与电脑屏幕5景别拍摄；</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12.无需额外的辅助分析摄像机和硬件设备（跟踪主机）即可实现直播、跟踪、定位、智能分析等；</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13.无风扇散热；</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14.能在高/低温环境工作；</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15.含智慧云录播主机系统软件；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16.系统终身免费升级。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4K智能摄像机系统1</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1.857万像素1/2.5英寸4K CMOS传感器，镜头7.9mm；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2.支持POE供电，功率≤7W；</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3.具有温湿度检测、PM2.5检测、活动物体跟踪、跟踪拍摄等功能；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4.单镜头可输出全景和特写两个景别，支持老师跟踪定位，可实现全景景别和跟踪特写景别拍摄；</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5.内置温湿度和PM2.5传感器，支持时间、温湿度和PM2.5数字显示，PM2.5测量范围0~999ug/m</w:t>
            </w:r>
            <w:r>
              <w:rPr>
                <w:rFonts w:hint="eastAsia" w:ascii="仿宋" w:hAnsi="仿宋" w:eastAsia="仿宋" w:cs="仿宋"/>
                <w:kern w:val="2"/>
                <w:sz w:val="21"/>
                <w:szCs w:val="21"/>
                <w:vertAlign w:val="superscript"/>
                <w:lang w:val="en-US" w:eastAsia="zh-CN" w:bidi="ar"/>
              </w:rPr>
              <w:t>3</w:t>
            </w:r>
            <w:r>
              <w:rPr>
                <w:rFonts w:hint="eastAsia" w:ascii="仿宋" w:hAnsi="仿宋" w:eastAsia="仿宋" w:cs="仿宋"/>
                <w:kern w:val="2"/>
                <w:sz w:val="21"/>
                <w:szCs w:val="21"/>
                <w:lang w:val="en-US" w:eastAsia="zh-CN" w:bidi="ar"/>
              </w:rPr>
              <w:t>，温度测量范围-20~60℃，湿度测量范围10~95%;</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6.水平视场角：水平43°、垂直24°；</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7.最高支持双路1080P30网络H265/H264视频输出；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8.跟踪完成后输出1路视频流；</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9.支持多速度等级的电子云台控制；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10.增益：自动/手动，曝光模式：自动/手动，白平衡：自动/手动/一键触发；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11.支持数字变焦、网络视频输出中英文菜单、正倒装；</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12.最低照度：10Lux，信噪比：＞50dB，快门速度：1/50秒~1/1000秒；</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13.视频压缩：H.265/H.264，网络协议：HTTP、TCP、UDP、RTSP、RTMP、ONVIF；</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14.含环境监测教师摄像机软件；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15.提供与序号25兼容性解决方案。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4K智能摄像机系统2</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1.857万像素1/2.5英寸4K CMOS传感器，镜头3.4mm；</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2.支持POE供电，功率≤5W；</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3.具有学生起立检测、景位切换等功能；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4.单镜头可输出全景和特写两个景别，内置跟踪分析功能，无需辅助跟踪摄像头即可完成学生行为捕捉；</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5.水平视场角：水平82°、垂直52°；</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6.最高支持双路1080P30网络H265/H264视频输出；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7.跟踪完成后输出1路视频流；</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8.支持多速度等级的电子云台控制；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9.增益：自动/手动，曝光模式：自动/手动，白平衡：自动/手动/一键触发；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10.支持数字变焦、网络视频输出中英文菜单、正倒装；</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11.最低照度：10Lux，信噪比：＞50dB，快门速度：1/50秒~1/1000秒；</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12.视频压缩：H.265/H.264，网络协议：HTTP、TCP、UDP、RTSP、RTMP、ONVIF；</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13.含环境监测学生摄像机软件；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14.提供与序号25兼容性解决方案。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降噪拾音器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1.指向性：全指向；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2.拾音距离：最大拾音距离可达5~8米；</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3.频率响应：100Hz~16kHz；</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4.灵敏度：-38dBFS；</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5.信噪比：95dB；</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6.输出阻抗：200Ω平衡输出；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7.最大声压级：120dB@1kHz；</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8.动态范围：105dB@1kHz于最高声压;</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9.噪声抑制量：＞15dB;</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10.自动增益控制：±6dB；</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11.采样率：32kHz；</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12.工作电压：DC 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视频资源管理系统</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1.总体功能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1.1 基于数据存储、资源管理、资源学习及评价系统的资源管理平台；</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 前端应用层具备名师优课资源列表、公开课列表、个人空间等功能模块；</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 前端管理层具备录课管理、在线巡查监控、平台公告等功能模块，后台管理层具备平台设置、设备管理、用户管理、角色管理、数据管理运营中心及日志管理等功能模块；</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1.4 平台架构基于Linux操作系统的跨平台框架，实现负载均衡，集群、HA服务器部署方案。</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2.校级视频资源管理系统</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2.1 首页展示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1）可实时显示本校视频数量、用户数量、直播数量及点播数量等信息，视频以缩略图形式呈现；</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2）动态界面，能够按照点击数量等信息实时更新首页界面，无需人工维护；</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3）实时显示平台最新视频，视频可根据上传时间进行排名显示；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4）可显示平台轮播图画面，点击即可进入该轮播图链接地址；</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5）可按照课程名称、教师名字、直播名称等信息检索到相关视频资源；</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6）可对平台点击次数最高的视频进行排序；</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7）可显示教师课程录制信息和公告栏；</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8）可根据需求筛选学段、科目、年级的公开视频。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2.2 优课视频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1）全校所有优质资源平台系统的媒资中心，可按照年级段、学科等信息检索相关视频；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2）每个视频显示包含视频名称、学校名称、主讲老师、点播次数、上传时间等信息；</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3）可按照播放相关视频资源推荐教师的相关视频资源；</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4）可将教师的授课资料与课程同步展示，如图片、PPT、word等；</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5）可准确记录在线点播学习情况，具有某个课程的点播次数、点播时长记录。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2.3 直播课</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1）显示即将开始、已经开始及已经结束课堂，即将开始的课堂以时间轴形式呈现，已经结束课堂可以点播回放、查看教案等操作；</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2）直播同时可查看在线教案，可进行在线文字互动交流、对此课程进行点评；</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3）若有多个课堂同时进行可自行选择课堂进行观看；</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4）可自定义编辑直播课介绍并在前台展示；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5）可对直播课课题编辑；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6）可对直播课加密，只有输入正确密码的教师可以观摩；</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7）可开展直播课教研、选择课型等操作；</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8）支持内/外网直播，直播界面可查询目前所有已开课的直播课堂，课堂信息包括录播教室名称、直播课程内容、直播时间等。</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3.录播管理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3.1 支持远程在线预约录播教室，可实现点击节次表预约，可直接导入节次表实现预约录课，在设定的时间内，录播主机自动开始录制/停止录制，自动完成课程的录制并按照学科进行自动归档；</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3.2 移动端录制管理，可通过手机对某个教室进行扫二维码录制.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4.课程编辑管理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4.1 教师可对视频进行增删查改的操作；</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4.2 教师所录制的视频可进行在线预览、在线制作编辑管理；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4.3 在不影响原视频的基础上能够将视频进行名称修改、剪辑、合并、添加片头等；</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4.4 能够将一个视频按照知识点等信息进行切片分割并对视频分割信息进行管理；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4.5 具备添加字幕功能，能够同时添加中文字幕和英文字幕；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4.6 能够将多个视频进行合并管理，一个视频文件能够剪辑若干视频片段并能够将若干片段进行自由合并；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4.7 移动终端可进行视频剪辑管理，实现对一节课程的多个片段编辑管理；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4.8 编辑视频时可上传教师上课课件等资料；</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4.9 编辑完的视频可进行平台共享、定向推送及互联网分享，如通过微信、微博、QQ等分享。</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5.后台管理层</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5.1 智能数据统计分析，可按照资源数量、评价体系、点播数量等信息进行分析；</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5.2 具有权限管理功能，能够按照不同身份预设人员管理权限；</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5.3 可按照管理员、教师、学生等不同角色预设不同的功能；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5.4 可自定义公开课直播时间长度；</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5.5 可对教师视频资源进行管理，可显示教师录制次数等信息；</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5.6 有日志功能，记录平台操作内容；</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5.7 可对多个录播教室进行在线巡查管理，在同一页面下至少实现4个教室的巡查管理并可进行录制；</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5.8 可对平台显示进行修改，控制前台显示栏目及内容；</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5.9 可自定义添加前台显示页面，可开启或禁用栏目；</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5.10 可一键删除栏目信息并删除栏目数据；</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5.11 可对教师平台存储空间扩展。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6.视频回放</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6.1 支持远程连接录制主机，同时预览主机画面；</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6.2 支持自定义字幕叠加,可自定义字幕内容、颜色、大小；</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6.3 支持视频实时回放,实现直播的同时能够回放视频；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6.4 支持自定义回放时间；</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6.5 支持回放列表，能管理回放视频内容。</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7.系统运维平台</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7.1 整个应用系统所采用服务器操作系统为Linux；</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7.2 系统中重要业务模块（数据库、流媒体服务器、区级平台等）采用双机热备，单点故障情况下实现热备冗余实时切换；</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7.3 在有请求数据量大的节点采用负载均衡；</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7.4 流媒体服务器采用独立、可靠冗余、高性能的流媒体集群部署，支持视频直播、点播，支持协议为RTMP\HLS\m3u8，支持多码率输出，支持动态扩容；</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7.5 独立监控系统，实时监控整个系统（含录播主机及平台服务器）运行状态（如CPU负荷、内存使用、磁盘使用、网络状况、端口监视、日志监视），通过Web页面以图表形式进行展示，对硬件过载、服务异常通过E-Mail、微信多种途径通知管理人员；</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7.6 支持SNMP协议、数据库监控、IPMI代理、SSH协议、telnet协议、JMX协议采集数据；</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7.7 可添加系统拓扑图，系统状态异常在拓扑图中实时显示；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7.8 自动生成资产记录且支持编辑；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7.9 系统运行信息可自定义保存时间；</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7.10 具有负载均衡高可用解决方案。</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8.10年内免费升级。</w:t>
            </w: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b/>
          <w:lang w:val="en-US"/>
        </w:rPr>
      </w:pPr>
    </w:p>
    <w:p>
      <w:pPr>
        <w:keepNext w:val="0"/>
        <w:keepLines w:val="0"/>
        <w:widowControl w:val="0"/>
        <w:suppressLineNumbers w:val="0"/>
        <w:spacing w:before="0" w:beforeAutospacing="0" w:after="0" w:afterAutospacing="0" w:line="288" w:lineRule="auto"/>
        <w:ind w:left="0" w:right="0"/>
        <w:jc w:val="left"/>
        <w:outlineLvl w:val="2"/>
        <w:rPr>
          <w:rFonts w:hint="eastAsia" w:ascii="仿宋" w:hAnsi="仿宋" w:eastAsia="仿宋" w:cs="仿宋"/>
          <w:b/>
          <w:bCs w:val="0"/>
          <w:sz w:val="32"/>
          <w:szCs w:val="32"/>
          <w:lang w:val="en-US"/>
        </w:rPr>
      </w:pPr>
      <w:r>
        <w:rPr>
          <w:rFonts w:hint="eastAsia" w:ascii="仿宋" w:hAnsi="仿宋" w:eastAsia="仿宋" w:cs="仿宋"/>
          <w:b/>
          <w:kern w:val="2"/>
          <w:sz w:val="21"/>
          <w:szCs w:val="21"/>
          <w:lang w:val="en-US" w:eastAsia="zh-CN" w:bidi="ar"/>
        </w:rPr>
        <w:t>4.2 标准化考场</w:t>
      </w:r>
    </w:p>
    <w:tbl>
      <w:tblPr>
        <w:tblStyle w:val="59"/>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0"/>
        <w:gridCol w:w="2129"/>
        <w:gridCol w:w="857"/>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显示系统</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1.对比度：5000:1；</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2.屏幕尺寸：120英寸；</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3.屏幕分辨率：≥超高清4K；</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4.屏幕比例：16:9；</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5.支持HDR显示；</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6.亮度：500~800nit；</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7.刷屏率：60Hz；</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8.响应时间：4ms；</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9.背光方式：直下式/DLED；</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10.CPU：四核A35；</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11.运行内存：2GB，存储内存：32G；</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12.音频</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12.1 音响功率：1W；</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12.2 声道：环绕声。</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13.功耗</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13.1 电源功率：400W；</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13.2 待机功率：0.5W。</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14.前维护液压支架，包括相关线缆；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15.原厂质保6年。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台式电脑-控制</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1.CPU：不低于Intel Core i7-12700；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2.内存：≥8G；</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3.硬盘：≥1TB；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4.操作系统：Win 10；</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5.显示屏：≥23.8寸IPS液晶；</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SIP服务器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1.符合《国家教育考试网上巡查系统视频标准技术规范（2017版）》；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2.符合《GB/T28181-2016〈公共安全视频监控联网系统信息传输、交换、控制技术要求〉》；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3.符合GB35114-2017《公共安全视频监控联网信息安全技术要求》；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4.与国家教育部考试中心网上巡查平台互联互通；</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5.支持标准SIP2.0，具有SIP地址解息、信令转发、流媒体的NAT穿越，支持SIP URI统一命名规则、分级命名、联合定位，具有实现SIP URI组/用户/树形列表管理、SIP终端的接入认证、SIP终端访问呼叫过程控制功能，能对SIP终端远程访问权限控制，具有建立SIP路由器间的信任关系、多级注册、媒体流的汇聚功能；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6.具有≥1000M以太网接口。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媒体分发服务器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1.符合《国家教育考试网上巡查系统视频标准技术规范（2017版）》；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2.符合《GB/T28181-2016〈公共安全视频监控联网系统信息传输、交换、控制技术要求〉》；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3.符合GB35114-2017《公共安全视频监控联网信息安全技术要求》；</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21"/>
                <w:szCs w:val="21"/>
                <w:lang w:val="en-US" w:eastAsia="zh-CN" w:bidi="ar"/>
              </w:rPr>
              <w:t>4.符合技术规范规定的H.264、H.265视频编码标准，图像分辨率支持720P和1080P并可选，能根据需要扩展支持G.711和AAC音频编码标准，支持Program Stream系统流和Transition Stream传输流的封装，H.264符合ISO/IEC 14496-10高级视频编码AVC标准，H.265符合ITU－T制定的视频编码HEVC标准，G.711符合ITU-T G.711标准，AAC符合ISO 14496-3 Audio标准，Program Stream系统流和Transition Stream传输流的封装标准遵照ISO/IEC-13818-1（2000版本）的具体规定，兼容符合2007规范规定的MPEG4视频编码格式（Advanced Simple Profile不带B帧、GMC）、MPEG Layer II音频编码标准；</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21"/>
                <w:szCs w:val="21"/>
                <w:lang w:val="en-US" w:eastAsia="zh-CN" w:bidi="ar"/>
              </w:rPr>
              <w:t>5.支持TCP/IP协议、动态和静态IP模式、动态主机分配协议（DHCP）和以太网点对点通信协议（PPPOE），扩展支持SIP、RTP、RTCP等网络协议；</w:t>
            </w:r>
          </w:p>
          <w:p>
            <w:pPr>
              <w:keepNext w:val="0"/>
              <w:keepLines w:val="0"/>
              <w:widowControl w:val="0"/>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2"/>
                <w:sz w:val="21"/>
                <w:szCs w:val="21"/>
                <w:lang w:val="en-US" w:eastAsia="zh-CN" w:bidi="ar"/>
              </w:rPr>
              <w:t>6.具有媒体流的分发功能，支持点播、组播及广播，同一时间分发路数</w:t>
            </w:r>
            <w:r>
              <w:rPr>
                <w:rFonts w:hint="eastAsia" w:ascii="仿宋" w:hAnsi="仿宋" w:eastAsia="仿宋" w:cs="仿宋"/>
                <w:kern w:val="0"/>
                <w:sz w:val="21"/>
                <w:szCs w:val="21"/>
                <w:lang w:val="en-US" w:eastAsia="zh-CN" w:bidi="ar"/>
              </w:rPr>
              <w:t>≥80路并可扩展；</w:t>
            </w:r>
          </w:p>
          <w:p>
            <w:pPr>
              <w:keepNext w:val="0"/>
              <w:keepLines w:val="0"/>
              <w:widowControl w:val="0"/>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2"/>
                <w:sz w:val="21"/>
                <w:szCs w:val="21"/>
                <w:lang w:val="en-US" w:eastAsia="zh-CN" w:bidi="ar"/>
              </w:rPr>
              <w:t>7.</w:t>
            </w:r>
            <w:r>
              <w:rPr>
                <w:rFonts w:hint="eastAsia" w:ascii="仿宋" w:hAnsi="仿宋" w:eastAsia="仿宋" w:cs="仿宋"/>
                <w:kern w:val="0"/>
                <w:sz w:val="21"/>
                <w:szCs w:val="21"/>
                <w:lang w:val="en-US" w:eastAsia="zh-CN" w:bidi="ar"/>
              </w:rPr>
              <w:t>具有≥1000M以太网接口。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4路网络音频视频</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解码器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1.符合《国家教育考试网上巡查系统视频标准技术规范（2017版）》；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2.符合《GB/T28181-2016〈公共安全视频监控联网系统信息传输、交换、控制技术要求〉》；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3.符合GB35114-2017《公共安全视频监控联网信息安全技术要求》；</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21"/>
                <w:szCs w:val="21"/>
                <w:lang w:val="en-US" w:eastAsia="zh-CN" w:bidi="ar"/>
              </w:rPr>
              <w:t>4.支持H.264、H.265视频编码标准，图像分辨率支持主码流1080P、子码流支持720P，支持G.711、AAC音频编码标准，支持Program Stream系统流和Transition Stream传输流的封装，H.264符合ISO/IEC 14496-10高级视频编码AVC标准，H.265符合ITU－T制定的视频编码HEVC标准，G.711符合ITU-T G.711标准，AAC符合ISO 14496-3 Audio标准，Program Stream系统流和Transition Stream传输流的封装标准遵照ISO/IEC-13818-1（2000版本）的具体规定，兼容符合2007规范规定的MPEG4视频编码格式（Advanced Simple Profile不带B帧、GMC）、MPEG Layer II音频编码标准，可对原有标清系统编码进行视频解码；</w:t>
            </w:r>
          </w:p>
          <w:p>
            <w:pPr>
              <w:keepNext w:val="0"/>
              <w:keepLines w:val="0"/>
              <w:widowControl w:val="0"/>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2"/>
                <w:sz w:val="21"/>
                <w:szCs w:val="21"/>
                <w:lang w:val="en-US" w:eastAsia="zh-CN" w:bidi="ar"/>
              </w:rPr>
              <w:t>5.解码通道可单路或多路，视频输出符合DVI、HDMI等高清接口，支持</w:t>
            </w:r>
            <w:r>
              <w:rPr>
                <w:rFonts w:hint="eastAsia" w:ascii="仿宋" w:hAnsi="仿宋" w:eastAsia="仿宋" w:cs="仿宋"/>
                <w:kern w:val="0"/>
                <w:sz w:val="21"/>
                <w:szCs w:val="21"/>
                <w:lang w:val="en-US" w:eastAsia="zh-CN" w:bidi="ar"/>
              </w:rPr>
              <w:t>≥12路HDMI或DVI接口，输入接口2路，HDMI或DVI接口，标配转接头支持VGA，支持1080P、720P、UXGA、SXGA+、SXGA、XGA、SVGA、VGA分辨率；</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21"/>
                <w:szCs w:val="21"/>
                <w:lang w:val="en-US" w:eastAsia="zh-CN" w:bidi="ar"/>
              </w:rPr>
              <w:t>6.10M/100M/1000M自适应以太网口，支持UDP单播，支持TCP/IP、IPv4、IPv6、HTTP、UPnP、NTP、SNMP、PPPoE、DNS、FTP、ONVIF、SIP、RTP、RTCP、GB28181、GB35114等网络协议；</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21"/>
                <w:szCs w:val="21"/>
                <w:lang w:val="en-US" w:eastAsia="zh-CN" w:bidi="ar"/>
              </w:rPr>
              <w:t>7.具有报警联动，报警时能自动切换到对应的视频通道。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网上巡查管理软件</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1.符合《国家教育考试网上巡查系统视频标准技术规范（2017版）》；</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具有监控点音视频点播、历史音视频流的检索与回放、对考生的人脸识别、对考场内异常轨迹的检测并发出警告、存储和备份、报警联动、切换、轮巡、设备控制等功能，对网上巡查系统的用户、权限、设备、安全等进行管理，管理SIP域、形成URI树、配置SIP注册服务器并提供音视频存储、转发、Web等服务；</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3.提供二次开发接口，特别是与综合管理平台的接口以进行数据交互，允许第三方软件对其进行链接启动、嵌入管理。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32路NVR存储设备</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1.符合《国家教育考试网上巡查系统视频标准技术规范（2017版）》；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2.符合《GB/T28181-2016〈公共安全视频监控联网系统信息传输、交换、控制技术要求〉》；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3.符合GB35114-2017《公共安全视频监控联网信息安全技术要求》；</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支持网络32路1080P视频输入及IPC复合音频输入，支持扩展≥8个SATA接口（可热插拔），支持Raid0、Raid1、Raid5、Raid6、Raid10、JBOD等多种数据模，支持USB本地备份、USBDVD刻录机备份、eSata接口同步备份、Web端网络下载备份，支持＞8块8T容量的SATA硬盘，可用于录像和备份，可支持扩展≥4个RJ45 10/100/1000Mbps自适应以太网口，支持负载均衡和四网分离，支持容错模式，可将4个网络接口绑定为1个IP地址．当其中1个网络接口损坏时仍能正常工作，支持≥2个千兆光口，具有RS232、RS485、USB、SATA、以太网、报警输入输出、音频输入输出、HDMI接口，可扩展支持VGA、BNC及eSATA接口；</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5.具有数字时钟显示功能；</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录像功能包括手动、定时、报警触发录像，支持时间同步、网络时间协议，具有日志功能并提供日志启用／关闭／控制接口，日志可存储在本地设备及中心日志服务器上，日志内容包括模块名称、时间、描述信息@日志存储在本地，加上详细的位置信息@存储到中心；</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7.支持IP单播；</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8.具有可设定的点对点、点对多点传输能力，多通道支持多点对一点或多点对多点的切换控制；</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9.具有视频移动侦测能力，可根据设置策略实现相应的编码、传输、存储或视频报警；</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10.在重要场所或特殊应用时，具有认证、防篡改功能及加密传输能力。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硬盘</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16块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6T，64M缓存，3.5英寸，SATA3。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高清筒型网络摄像机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8台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1.符合《国家教育考试网上巡查系统视频标准技术规范（2017版）》；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2.符合《GB/T28181-2016〈公共安全视频监控联网系统信息传输、交换、控制技术要求〉》；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3.符合GB35114-2017《公共安全视频监控联网信息安全技术要求》；</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4.图像传感器：1/2.7英寸CMOS；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5.水平分辨率：≥1920*1080；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6.水平视角：33°~102°；</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7.镜头：手动变焦2.7~12mm；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8.支持H.264、H.265视频编码标准，图像分辨率支持主码流1080P、子码流支持720P，支持G.711、AAC音频编码标准，支持Program Stream系统流和Transition Stream传输流的封装；</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9.自带温湿度显示，能够实时显示环境温度湿度；</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10.内置麦克风；</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11.红外照射距离可达50米；</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12.支持走廊模式、宽动态、3D降噪、背光补偿、日夜转换；</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13.视频输出：10M/100M网口，支持三码流同时输出；</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14.电源：DC 12V，支持POE供电；</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15.外壳防暴力破坏；</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数字定焦广角摄像机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47台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1.符合《国家教育考试网上巡查系统视频标准技术规范（2017版）》；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2.符合《GB/T28181-2016〈公共安全视频监控联网系统信息传输、交换、控制技术要求〉》；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3.符合GB35114-2017《公共安全视频监控联网信息安全技术要求》；</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4.图像传感器：1/2.7英寸CMOS；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5.水平分辨率：≥1920*1080；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6.视角：水平视视场角≥100°；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7.最低照度：0.01Lux（F1.2）；</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8.支持H.264、H.265视频编码标准，图像分辨率支持主码流1080P、子码流支持720P，支持G.711、AAC音频编码标准，支持Program Stream系统流和Transition Stream传输流的封装，H.264符合ISO/IEC 14496-10高级视频编码AVC标准，H.265符合ITU－T制定的视频编码HEVC标准，G.711符合ITU-T G.711标准，AAC符合ISO 14496-3 Audio标准，Program Stream系统流和Transition Stream传输流的封装标准遵照ISO/IEC-13818-1（2000版本）的具体规定；</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9.镜头：2.8mm定焦；</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10.红外照射距离可达10~30米；</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11.支持自动背光补偿、自动跟踪白平衡、日夜转换；</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12.视频输出：100/1000M以太网接口（RJ45接口），可通过三个IE浏览器分别同时浏览主码1920*1080（25fps）、子码流704*576（25fps）、第三码流1920*1080（25fps）的视频图像；</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13.电源：DC 12V，支持POE供电；</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14.外壳防暴力破坏；</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15.内置拾音器；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台式电脑-管理</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1.CPU：不低于Intel Core i7-12700；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2.内存：≥8G；</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3.硬盘：≥1TB；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4.操作系统：Win 10或其他兼容性优良的版本；</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5.显示屏：≥23.8寸IPS液晶，2G独显；</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lang w:val="en-US"/>
              </w:rPr>
            </w:pPr>
            <w:r>
              <w:rPr>
                <w:rFonts w:hint="eastAsia" w:ascii="仿宋" w:hAnsi="仿宋" w:eastAsia="仿宋" w:cs="仿宋"/>
                <w:kern w:val="2"/>
                <w:sz w:val="21"/>
                <w:szCs w:val="21"/>
                <w:lang w:val="en-US" w:eastAsia="zh-CN" w:bidi="ar"/>
              </w:rPr>
              <w:t>屏蔽阻断器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15台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1.有网络接口，与安装的屏蔽侦测系统配套；</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可屏蔽教室内（-50dBm、室内通透环境下，视周边基站远近）全频段信号，支持对40MHz~3000MHz任意频段信号全屏蔽，公众通信频段全频阻断，包括电信/移动/联通等运营商2G/3G/4G频段，Wi-Fi（2.4G/5.8G）/蓝牙频段、5G信号（暂按3300MHz~3600MHz、4800MHz~5000MHz处理，支持扩展）、其它频段（如公众对讲频段、对讲机V段、对讲机U段等）采用侦测引导式阻断；</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3.电磁辐射符合《电磁环境控制限值(GB8702-2014)》不超过0.4W/m</w:t>
            </w:r>
            <w:r>
              <w:rPr>
                <w:rFonts w:hint="eastAsia" w:ascii="仿宋" w:hAnsi="仿宋" w:eastAsia="仿宋" w:cs="仿宋"/>
                <w:kern w:val="0"/>
                <w:sz w:val="21"/>
                <w:szCs w:val="21"/>
                <w:vertAlign w:val="superscript"/>
                <w:lang w:val="en-US" w:eastAsia="zh-CN" w:bidi="ar"/>
              </w:rPr>
              <w:t>2</w:t>
            </w:r>
            <w:r>
              <w:rPr>
                <w:rFonts w:hint="eastAsia" w:ascii="仿宋" w:hAnsi="仿宋" w:eastAsia="仿宋" w:cs="仿宋"/>
                <w:kern w:val="0"/>
                <w:sz w:val="21"/>
                <w:szCs w:val="21"/>
                <w:lang w:val="en-US" w:eastAsia="zh-CN" w:bidi="ar"/>
              </w:rPr>
              <w:t>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4.无风扇，符合《声环境质量标准(GB3096-2008)》中0类环境要求；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5.一体化，天线内置。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作弊防控平台</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1.支持对系统设备进行查询、增加、删除、远程开关、固件升级等操作，可按照实际考场管理方式对设备进行远程管理；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2.支持设备信息实时显示,可直接预览查看屏蔽设备各通道运行状态、侦测服务器在线运行情况；</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3.可自动呈现所有作弊信号特征，包括信号类型（语音或数传)、出现时间、考试场次、出现时的频点等；</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4.支持已还原的语音和数传类作弊器材发射信号内容的回放、查看、记录、查询、下载、统计；</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5.不影响屏蔽效果的情况下对作弊语音信号监听内容进行保存取证；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6.支持智能化、自动化考试模式管理，可根据考试计划实现无人值守式管理，支持人工操作模式；</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7.黑白名单库支持手工编辑、上级平台下发，实现资源共享，可预留考务通信频点。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电子时钟</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15台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网络电子时钟，GPS校时。</w:t>
            </w:r>
          </w:p>
        </w:tc>
      </w:tr>
    </w:tbl>
    <w:p>
      <w:pPr>
        <w:keepNext w:val="0"/>
        <w:keepLines w:val="0"/>
        <w:widowControl w:val="0"/>
        <w:suppressLineNumbers w:val="0"/>
        <w:spacing w:before="0" w:beforeAutospacing="0" w:after="0" w:afterAutospacing="0" w:line="288" w:lineRule="auto"/>
        <w:ind w:left="0" w:right="0" w:firstLine="422" w:firstLineChars="200"/>
        <w:jc w:val="both"/>
        <w:rPr>
          <w:rFonts w:hint="eastAsia" w:ascii="仿宋" w:hAnsi="仿宋" w:eastAsia="仿宋" w:cs="仿宋"/>
          <w:b/>
          <w:kern w:val="0"/>
          <w:lang w:val="en-US"/>
        </w:rPr>
      </w:pPr>
    </w:p>
    <w:p>
      <w:pPr>
        <w:keepNext w:val="0"/>
        <w:keepLines w:val="0"/>
        <w:widowControl w:val="0"/>
        <w:suppressLineNumbers w:val="0"/>
        <w:spacing w:before="0" w:beforeAutospacing="0" w:after="0" w:afterAutospacing="0" w:line="288" w:lineRule="auto"/>
        <w:ind w:left="0" w:right="0"/>
        <w:jc w:val="left"/>
        <w:outlineLvl w:val="2"/>
        <w:rPr>
          <w:rFonts w:hint="eastAsia" w:ascii="仿宋" w:hAnsi="仿宋" w:eastAsia="仿宋" w:cs="仿宋"/>
          <w:b/>
          <w:lang w:val="en-US"/>
        </w:rPr>
      </w:pPr>
      <w:r>
        <w:rPr>
          <w:rFonts w:hint="eastAsia" w:ascii="仿宋" w:hAnsi="仿宋" w:eastAsia="仿宋" w:cs="仿宋"/>
          <w:b/>
          <w:kern w:val="2"/>
          <w:sz w:val="21"/>
          <w:szCs w:val="21"/>
          <w:lang w:val="en-US" w:eastAsia="zh-CN" w:bidi="ar"/>
        </w:rPr>
        <w:t>3.3 中心机房</w:t>
      </w:r>
    </w:p>
    <w:tbl>
      <w:tblPr>
        <w:tblStyle w:val="59"/>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0"/>
        <w:gridCol w:w="2129"/>
        <w:gridCol w:w="857"/>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服务器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6台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1.2U机架式；</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2.CPU：*2，主频≥2.1GHz；</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3.主板：集成双SD冗余虚拟化卡，64G/SD卡，可安装虚拟化软件，支持≥2个250w GPU；</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4.内存：≥128GB，插槽≥24个；</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5.硬盘：≥480G服务器级SSD，≥10TSAS硬盘或相应性能;</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6.Raid卡：2GB缓存，支持RAID 0、1、5、6、60；</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7.HBA卡：不低于QLogic QLE2562双端口FC光纤通道；</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8.网卡：≥4端口千兆以太网端口；</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9.≥8个PCI-E 3.0插槽；</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10.支持故障切换和负载均衡；</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11.DVDRW光驱；</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12.滑动导轨；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13.前面板上有液晶屏可显示默认或定制信息，包括IP地址、服务器名称、支持服务编号等，如果发生故障则显示关于故障的具体信息；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远程管理卡：具有单独的管理网口，可实现不依赖主机操作系统进行远程操作(包括开/关机、鼠标键盘操作)；带免费管理软件，使用统一的管理界面，支持IPv6，允许独立于操作系统状态外（免代理安装方式）远程访问、监控、维修、修复和升级服务器，支持16GB Vflash介质；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17.支持红外或蓝牙协议面板；</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18.配套正版管理软件：提供服务器配置管理功能，可自动执行一对多裸机服务器和操作系统部署、快速一致的配置复制，自动化偏移检测确保符合预定义基准；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19.冗余电源：1+1，750W；</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20.防病毒功能授权+补丁管理功能授权（Windows服务器）8年,针对Windwos Server操作系统进行病毒查杀，提供主动防御系统防护、补丁管理功能，支持对全网终端系统漏洞发现、补丁智能修复、强制修复、蓝屏修复、补丁分发流量控制、客户端P2P补丁分发加速等功能；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21.支持Win2003/Win2008/Win2012及其他最新硬件兼容版本；</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22.原厂质保8年。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存储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1.双控Active-Active架构，SAN采用SAN统一集成的控制器架构，统一管理，具备FC/IP SAN融合组网能力；</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2.配置控制器数量≥2，支持在线更换控制器，在线升级存储系统无须停机；</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3.具备控制器故障自动切换和自动重建功能；</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4.支持三种2U12/2U25/3U48控制柜，控制柜内支持2.5寸、3.5寸硬盘混插；</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5.内置SSD盘作为存储系统盘，机械硬盘做RAID模式，系统盘可做cache数据掉电保护；</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6.双控配置高速缓存≥32GB，可扩展到64GB缓存，集群最大可支持256GB高速缓存；</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7.两个虚拟化控制器间通过PCI-E 3.0内部总线连接通讯和缓存数据镜像（非外部交换设备连接）；</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8.支持8/16Gb FC、1/10Gb iSCSI、10Gb等多协议主机接口；</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9.双控制器配置≥8个16Gb FC接口，最大支持16*8Gb FC、16*16Gb FC、24*1Gb、16*10Gb光口、4*10Gb电口；</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10.提供4个12Gb SAS 3.0后端接口用于连接扩展柜，共提供192Gbps磁盘通道带宽；</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11.支持缓存保护并配置BBU电池保护模组，掉电时Cache数据可安全写入Flash或硬盘永久保存；</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12.实际配置≥40T裸容量，5块8T SAS硬盘；</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13.支持RAID 0、1、5、6、10、分布式RAID等；</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14.支持全局热备盘和热备空间两种模式；</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15.未来磁盘阵列扩充容量不额外收取许可费用；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16.硬盘类型同时支持SAS、NL-SAS、SSD；</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17.支持不同容量和转速的同类型磁盘的混插扩容；</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18.配套基于存储阵列的安全控制管理软件保证在SAN环境下不同主机系统对存储阵列访问的安全性，配置无限制分区数，不额外收取许可费用；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19.配套路径冗余管理软件实现主机的多通道访问及对应用透明的自动故障通道切换，在通道发生故障的情况下仍可连续访问信息，未来增加主机数量不额外收取许可费用；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20.支持数据快照，支持快照数≥4096，支持对卷进行快照和克隆，支持将生产数据通过克隆后用于测试和开发；</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21.性能自动优化，可按业务的重要性分配存储的性能资源；</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22.支持基于控制器的远程磁盘镜像，存储远程镜像软件具备与主机平台无关性、应用透明性，支持今后主机平台、应用、数据库的更换；</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23.镜像方式支持同步和异步两种，支持以上两种模式间的在线转换；</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24.支持自动精简配置，瘦供给的磁盘分配方式，可灵活分配存储空间，精简粒度32K、64K、128K、256K可调节；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25.支持SSD、3D NAND SSD、SAS、NL-SAS四层分层架构，通过存储系统内部监测和统计功能动态的将热点数据自动迁移到高速的SSD硬盘上；</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26.支持卷级别的IOPS或Mbps限制；</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27.支持同步、异步、异步周期三种远程复制，同步复制可达到RPO=0、异步复制可达到RPO≈0，可采用FC、IP等复制链路，IP链路复制效率能够达到理论带宽值；</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28.支持存储虚拟化，可整合异构的FC存储阵列，通过虚拟化功能将存储资源统一管理和分配，支持业界主流厂商的FC阵列；</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29.支持第三方存储数据在线无缝迁移到AS2200G2存储上，提供安全高效的数据迁移服务；</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30.支持云备份接口，支持存储数据直接备份到公有云和私有云（无须备份软件支持）；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31.可通过GUI或CLI设置阵列；</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32.可提供集中化的事件日志记录和报警、实时的Email事件通告，允许监控存储系统；</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33.支持VMware等集群软件，支持虚拟存储阵列API接口，虚拟机的部分操作能通过存储控制器来完成，支持VAAI和VASA；</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34.支持Windows VSS等插件；</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35.支持SMI-S接口标准及CIM等通用信息模块接口；</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36.标配：本地复制（快照、卷镜像、卷克隆、Lun拷贝、卷备份、迁移）、自精简、QoS、DRAID；</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37.支持存储虚拟化、自动分层、远程复制；</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38.电源、散热模块、控制器的部件冗余且可热插拔；</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39.操作系统支持Windows、Linux、VMware、Unix（HP-UX、AIX、Solaris、K-UX等）；</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40.支持在线的系统软硬件升级，升级过程不中断系统运行;</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41.原厂质保8年。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显示器</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≥23.8寸液晶，高清2K，原厂质保6年。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光纤交换机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1.24端口交换机，24端口激活；</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 ≥8Gb速率端口，带有SPF光纤插拔模块；</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3.含16个8Gb/s短波SFP，含Web tools、Zoning、EGM软件授权；</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4.不支持级联，可购买E-Port组件激活级联功能；</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5.可按需扩展到16或24个通讯端口，单电源（固定），配机架套件；</w:t>
            </w:r>
          </w:p>
          <w:p>
            <w:pPr>
              <w:keepNext w:val="0"/>
              <w:keepLines w:val="0"/>
              <w:widowControl w:val="0"/>
              <w:suppressLineNumbers w:val="0"/>
              <w:spacing w:before="0" w:beforeAutospacing="0" w:after="0" w:afterAutospacing="0"/>
              <w:ind w:left="0" w:right="0"/>
              <w:jc w:val="both"/>
              <w:rPr>
                <w:rFonts w:hint="default"/>
              </w:rPr>
            </w:pPr>
            <w:r>
              <w:rPr>
                <w:rFonts w:hint="eastAsia" w:ascii="仿宋" w:hAnsi="仿宋" w:eastAsia="仿宋" w:cs="仿宋"/>
                <w:kern w:val="0"/>
                <w:sz w:val="21"/>
                <w:szCs w:val="21"/>
                <w:lang w:val="en-US" w:eastAsia="zh-CN" w:bidi="ar"/>
              </w:rPr>
              <w:t>6.原厂质保3年。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8口LED KVM切换器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1.≥17寸LCD TFT液晶显示屏，分辨率1280*1024；</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2.1U高度，适应于19寸标准机柜安装，金属结构；</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3.超薄键盘99键，带数字小键盘；</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4.触摸板鼠标;</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5.可直接连接8台电脑并实现切换操作；</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6.警音提示切换完成；</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7.无需安装附加软件，通过OSD菜单\热键\面板按键操作，可在多台电脑间切换；</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8.切换电脑时自动记录并存储键盘、鼠标原有的工作状态；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9.自动扫描模式下鼠标可正常使用；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10.所有通道都能识别DDC，每台服务器的视讯设定会自动调整至屏幕显示的最佳状态；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11.支持热插拔（直接增加或移除主机而无需关闭KVM电源）；</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12.高强度钣金、导轨带自动锁止装置；</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13.自带USB和PS2接口，配置键鼠。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核心交换机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1.业务插槽数≥3，总槽位数≥3；</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2.交换容量：≥23Tbps/64Tbps（若存在双参数，以官网较小参数为准）；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3.IPv4包转发率：≥2880Mpps/22500Mpps（若存在双参数，以官网较小参数为准）；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4.实配主控引擎、电源模块冗余；</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5.双主控，千兆电口≥24、千兆光口≥24，万兆光口≥8；；</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6.主控交换卡、电源、接口模块、风扇、网板等关键部件可热插拔；</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7.板卡</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7.1 单槽位线速万兆端口密度≥16；</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7.2 单槽位能够同时提供千兆光口、千兆电口、万兆光口且实际可用端口总数≥48。</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8.支持安全业务插卡、防火墙插卡、流量分析模块、应用控制网关、入侵防御模块、应用交付引擎、下一代防火墙模块等；</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9.链路聚合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9.1 聚合组数≥128组，每组成员≥8个；</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9.2 支持跨设备链路聚合；</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9.3 支持对广播、组播、单播报文的均匀分担；</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9.4 支持链路聚合+ECMP情况下对报文均匀分担。</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10.ACL</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10.1 支持双向ACL，ACL≥4K；</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10.2 支持端口ACL；</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10.3 支持VLAN ACL。</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11.QOS</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11.1 每端口支持8个优先级队列、3个丢弃优先级，支持SP、WRR、WFQ三种队列调度算法；</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11.2 支持精细化的流量监管，粒度可达8K；</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11.3 支持流量整形Shapping；</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11.4 支持WRED拥塞避免。</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12.可靠性</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12.1 双引擎快速倒换，主备切换时板内转发无丢包；</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12.2 支持热补丁，可在线进行补丁升级；</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12.3 支持BFD、BFD for VRRP/BGP/IS-IS/OSPF/RSVP/LDP/RIP/静态路由，BFD收敛时间＜100ms；</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12.4 支持IP FRR，网络收敛＜50ms。</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13.MAC表≥64K；</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14.路由表≥8K；</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15.ARP表≥16K；</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16.虚拟化</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16.1 多虚一（N:1）；</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16.2 一虚多（1:N）；</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16.3 支持多虚一和一虚多配合使用。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17.支持随板AC、无线业务板卡、有线无线一体化的终端准入认证；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18.MPLS</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18.1 支持L3 VPN；</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18.2 支持VLL；</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18.3 支持VLPS。</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19.SDN/OPENFLOW</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19.1 支持OPENFLOW 1.3；</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19.2 支持普通模式和OPENFLOW模式切换；</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19.3 支持多控制器（EQUAL模式、主备模式）；</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19.4 支持多表流水线；</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19.5 支持Group table；</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19.6 支持Meter。</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20.安全特性</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20.1 支持IPv4 uRPF；</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20.2 支持DHCP Snooping；</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20.3 支持ARP防攻击；</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20.4 支持IP Source Guard；</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20.5 支持广播风暴抑制；</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20.6 支持EAD；</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20.7 支持端口隔离；</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20.8 支持IP+MAC+VLAN+PORT的绑定；</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20.9 支持报文过滤、黑洞路由、黑洞MAC；</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20.10 支持IEEE 802.1ae介质访问控制安全。</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21.管理特性</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21.1 支持Console/AUX/Telnet/SSH2.0；</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21.2 支持风扇管理；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21.3 支持电源管理；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21.4 支持在线诊断；</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21.5 支持SNMPv1/v2；</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21.6 支持 SNMPv3；</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21.7 支持RMON（RFC2819）；</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21.8 支持端口镜像；</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21.9 支持VLAN镜像；</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21.10 支持RSPAN；</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21.11 支持流镜像。</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22.NAS</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22.1 支持802.1x；</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22.2 支持mac认证；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22.3 支持Portal；</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22.4 支持本地认证；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22.5 支持Radius认证；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22.6 支持Tacacs+认证。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机柜</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1.42U，前后网孔门；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2.通风率≥75%；</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3.SPCC冷轧钢材；</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4.重型脚轮，负载≥800kg；</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5.内部铝锌板；</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6.8位10A插排。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UPS电源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1.10kVA/9kW，380V输入、380V输出，支持50Hz/60Hz电网体系，适合于各种负载并有高过载能力，超宽输入电压抗扰范围，智能化电池管理，双变换在线式，UPS输出为频率跟踪、锁相稳压、滤除杂讯、不受电网波动干扰的纯净正弦波电源，输出零转换；</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2.输出功率因数达到0.9，具有更高实际带载能力；</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3.中/文大屏幕LCD显示面板显示UPS工作状况和工作数据；</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4.通过RS232/RS485接口配合UPS智能监控软件可与电脑进行通讯，具有远程网络管理功能，提供即时的UPS资料和电源信息，通过各种网络管理系统进行通讯和管理；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5.蓄电池</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5.1 胶体12V 120AH，当运行环境温度在-10℃~+45℃条件下性能指标满足正常使用要求；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5.2 每节内阻＜4mΩ；</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5.3 正常使用条件下使用寿命≥5年；</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5.4 除安全阀外能承受50kpa的正压或负压而不破裂、不开胶，压力释放后壳体无残余变形，在-30℃~+65℃温度范围内封口剂无裂纹及溢流；</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5.5 电池箱定制，整机经磷化处理、耐磨防腐，每只电池箱配1只直流空开，16平方电池与电池间连接线。</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6.其他</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6.1 必需的线槽、电力线绝缘护套；</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6.2 提供UPS电源系统和机房强弱电改造解决方案。</w:t>
            </w:r>
          </w:p>
          <w:p>
            <w:pPr>
              <w:keepNext w:val="0"/>
              <w:keepLines w:val="0"/>
              <w:widowControl w:val="0"/>
              <w:suppressLineNumbers w:val="0"/>
              <w:spacing w:before="0" w:beforeAutospacing="0" w:after="0" w:afterAutospacing="0"/>
              <w:ind w:left="0" w:right="0"/>
              <w:jc w:val="both"/>
              <w:rPr>
                <w:rFonts w:hint="default"/>
              </w:rPr>
            </w:pPr>
            <w:r>
              <w:rPr>
                <w:rFonts w:hint="eastAsia" w:ascii="仿宋" w:hAnsi="仿宋" w:eastAsia="仿宋" w:cs="仿宋"/>
                <w:kern w:val="0"/>
                <w:sz w:val="21"/>
                <w:szCs w:val="21"/>
                <w:lang w:val="en-US" w:eastAsia="zh-CN" w:bidi="ar"/>
              </w:rPr>
              <w:t>6.3中心机房铺设光纤线路、光模块、光纤盒、光纤熔接盒跳线等。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lang w:val="en-US"/>
              </w:rPr>
            </w:pPr>
            <w:r>
              <w:rPr>
                <w:rFonts w:hint="eastAsia" w:ascii="仿宋" w:hAnsi="仿宋" w:eastAsia="仿宋" w:cs="仿宋"/>
                <w:kern w:val="0"/>
                <w:sz w:val="21"/>
                <w:szCs w:val="21"/>
                <w:lang w:val="en-US" w:eastAsia="zh-CN" w:bidi="ar"/>
              </w:rPr>
              <w:t>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便携式计算机</w:t>
            </w:r>
          </w:p>
          <w:p>
            <w:pPr>
              <w:keepNext w:val="0"/>
              <w:keepLines w:val="0"/>
              <w:widowControl/>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b/>
                <w:kern w:val="2"/>
                <w:sz w:val="21"/>
                <w:szCs w:val="21"/>
                <w:lang w:val="en-US" w:eastAsia="zh-CN" w:bidi="ar"/>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lang w:val="en-US"/>
              </w:rPr>
            </w:pPr>
            <w:r>
              <w:rPr>
                <w:rFonts w:hint="eastAsia" w:ascii="仿宋" w:hAnsi="仿宋" w:eastAsia="仿宋" w:cs="宋体"/>
                <w:kern w:val="0"/>
                <w:sz w:val="21"/>
                <w:szCs w:val="21"/>
                <w:lang w:val="en-US" w:eastAsia="zh-CN" w:bidi="ar"/>
              </w:rPr>
              <w:t>2台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1.CPU：不低于I7-1195G7；</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2.内存：16G；</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3.硬盘：1T SSD固态硬盘+1T机械硬盘；</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4.显示屏：14英寸，3K以上超清触摸屏，物理防蓝光，独立显卡；</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5.快充电池57wh以上；</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6. 接口：2 USB3.2 Gen1，2Type-C（含1个USB3.2 Gen2全功能+1个雷电4)，HDMI接口、RJ45接口、电脑锁孔、读卡器，耳机接口；</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7.高清摄像头支持物理防窥；</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lang w:val="en-US"/>
              </w:rPr>
            </w:pPr>
            <w:r>
              <w:rPr>
                <w:rFonts w:hint="eastAsia" w:ascii="仿宋" w:hAnsi="仿宋" w:eastAsia="仿宋" w:cs="仿宋"/>
                <w:kern w:val="0"/>
                <w:sz w:val="21"/>
                <w:szCs w:val="21"/>
                <w:lang w:val="en-US" w:eastAsia="zh-CN" w:bidi="ar"/>
              </w:rPr>
              <w:t>8.指纹识别器；</w:t>
            </w:r>
          </w:p>
          <w:p>
            <w:pPr>
              <w:keepNext w:val="0"/>
              <w:keepLines w:val="0"/>
              <w:widowControl w:val="0"/>
              <w:suppressLineNumbers w:val="0"/>
              <w:spacing w:before="0" w:beforeAutospacing="0" w:after="0" w:afterAutospacing="0"/>
              <w:ind w:left="0" w:right="0"/>
              <w:jc w:val="both"/>
              <w:rPr>
                <w:rFonts w:hint="default"/>
              </w:rPr>
            </w:pPr>
            <w:r>
              <w:rPr>
                <w:rFonts w:hint="eastAsia" w:ascii="仿宋" w:hAnsi="仿宋" w:eastAsia="仿宋" w:cs="仿宋"/>
                <w:kern w:val="0"/>
                <w:sz w:val="21"/>
                <w:szCs w:val="21"/>
                <w:lang w:val="en-US" w:eastAsia="zh-CN" w:bidi="ar"/>
              </w:rPr>
              <w:t>9.原厂6年质保。</w:t>
            </w:r>
          </w:p>
        </w:tc>
      </w:tr>
    </w:tbl>
    <w:p>
      <w:pPr>
        <w:pStyle w:val="53"/>
        <w:keepNext w:val="0"/>
        <w:keepLines w:val="0"/>
        <w:widowControl/>
        <w:suppressLineNumbers w:val="0"/>
        <w:adjustRightInd w:val="0"/>
        <w:spacing w:before="0" w:beforeAutospacing="0" w:after="0" w:afterAutospacing="0" w:line="288" w:lineRule="auto"/>
        <w:ind w:left="0" w:right="0" w:firstLine="482" w:firstLineChars="200"/>
        <w:jc w:val="left"/>
        <w:rPr>
          <w:rFonts w:hint="eastAsia" w:ascii="仿宋" w:hAnsi="仿宋" w:eastAsia="仿宋" w:cs="仿宋"/>
          <w:b/>
          <w:lang w:val="en-US"/>
        </w:rPr>
      </w:pPr>
    </w:p>
    <w:p>
      <w:pPr>
        <w:keepNext w:val="0"/>
        <w:keepLines w:val="0"/>
        <w:widowControl w:val="0"/>
        <w:suppressLineNumbers w:val="0"/>
        <w:spacing w:before="0" w:beforeAutospacing="0" w:after="0" w:afterAutospacing="0" w:line="288" w:lineRule="auto"/>
        <w:ind w:left="0" w:right="0"/>
        <w:jc w:val="both"/>
        <w:outlineLvl w:val="2"/>
        <w:rPr>
          <w:rFonts w:hint="eastAsia" w:ascii="仿宋" w:hAnsi="仿宋" w:eastAsia="仿宋" w:cs="仿宋"/>
          <w:b/>
          <w:lang w:val="en-US"/>
        </w:rPr>
      </w:pPr>
      <w:r>
        <w:rPr>
          <w:rFonts w:hint="eastAsia" w:ascii="仿宋" w:hAnsi="仿宋" w:eastAsia="仿宋" w:cs="仿宋"/>
          <w:b/>
          <w:kern w:val="2"/>
          <w:sz w:val="21"/>
          <w:szCs w:val="21"/>
          <w:lang w:val="en-US" w:eastAsia="zh-CN" w:bidi="ar"/>
        </w:rPr>
        <w:t>3.4 智能化实验管理平台</w:t>
      </w:r>
    </w:p>
    <w:p>
      <w:pPr>
        <w:keepNext w:val="0"/>
        <w:keepLines w:val="0"/>
        <w:widowControl/>
        <w:suppressLineNumbers w:val="0"/>
        <w:adjustRightInd w:val="0"/>
        <w:snapToGrid w:val="0"/>
        <w:spacing w:before="0" w:beforeAutospacing="0" w:after="0" w:afterAutospacing="0" w:line="288" w:lineRule="auto"/>
        <w:ind w:left="0" w:right="0" w:firstLine="420" w:firstLineChars="200"/>
        <w:jc w:val="left"/>
        <w:rPr>
          <w:rFonts w:hint="eastAsia" w:ascii="仿宋" w:hAnsi="仿宋" w:eastAsia="仿宋" w:cs="仿宋"/>
          <w:bCs/>
          <w:lang w:val="en-US"/>
        </w:rPr>
      </w:pPr>
      <w:r>
        <w:rPr>
          <w:rFonts w:hint="eastAsia" w:ascii="仿宋" w:hAnsi="仿宋" w:eastAsia="仿宋" w:cs="仿宋"/>
          <w:bCs/>
          <w:kern w:val="2"/>
          <w:sz w:val="21"/>
          <w:szCs w:val="21"/>
          <w:lang w:val="en-US" w:eastAsia="zh-CN" w:bidi="ar"/>
        </w:rPr>
        <w:t>▲（1）B/S结构，无需另行安装插件就可支持IE9及以上、safari、Firefox、chrome等浏览器；</w:t>
      </w:r>
    </w:p>
    <w:p>
      <w:pPr>
        <w:keepNext w:val="0"/>
        <w:keepLines w:val="0"/>
        <w:widowControl/>
        <w:suppressLineNumbers w:val="0"/>
        <w:adjustRightInd w:val="0"/>
        <w:snapToGrid w:val="0"/>
        <w:spacing w:before="0" w:beforeAutospacing="0" w:after="0" w:afterAutospacing="0" w:line="288" w:lineRule="auto"/>
        <w:ind w:left="0" w:right="0" w:firstLine="420" w:firstLineChars="200"/>
        <w:jc w:val="left"/>
        <w:rPr>
          <w:rFonts w:hint="eastAsia" w:ascii="仿宋" w:hAnsi="仿宋" w:eastAsia="仿宋" w:cs="仿宋"/>
          <w:bCs/>
          <w:lang w:val="en-US"/>
        </w:rPr>
      </w:pPr>
      <w:r>
        <w:rPr>
          <w:rFonts w:hint="eastAsia" w:ascii="仿宋" w:hAnsi="仿宋" w:eastAsia="仿宋" w:cs="仿宋"/>
          <w:bCs/>
          <w:kern w:val="2"/>
          <w:sz w:val="21"/>
          <w:szCs w:val="21"/>
          <w:lang w:val="en-US" w:eastAsia="zh-CN" w:bidi="ar"/>
        </w:rPr>
        <w:t>（2）符合信息系统安全等级保护基本要求</w:t>
      </w:r>
    </w:p>
    <w:p>
      <w:pPr>
        <w:pStyle w:val="53"/>
        <w:keepNext w:val="0"/>
        <w:keepLines w:val="0"/>
        <w:widowControl/>
        <w:suppressLineNumbers w:val="0"/>
        <w:adjustRightInd w:val="0"/>
        <w:spacing w:before="0" w:beforeAutospacing="0" w:after="0" w:afterAutospacing="0" w:line="288" w:lineRule="auto"/>
        <w:ind w:left="0" w:right="0" w:firstLine="344" w:firstLineChars="200"/>
        <w:jc w:val="left"/>
        <w:rPr>
          <w:rFonts w:hint="eastAsia" w:ascii="仿宋" w:hAnsi="仿宋" w:eastAsia="仿宋" w:cs="仿宋"/>
          <w:szCs w:val="21"/>
          <w:lang w:val="en-US"/>
        </w:rPr>
      </w:pPr>
      <w:r>
        <w:rPr>
          <w:rFonts w:hint="eastAsia" w:ascii="仿宋" w:hAnsi="仿宋" w:eastAsia="仿宋" w:cs="仿宋"/>
          <w:spacing w:val="-4"/>
          <w:kern w:val="2"/>
          <w:sz w:val="18"/>
          <w:szCs w:val="21"/>
          <w:lang w:val="en-US" w:eastAsia="zh-CN" w:bidi="ar"/>
        </w:rPr>
        <w:t>1）可靠、稳定、界面友好：提供事务监控手段，提供有效系统运行日志管理功能，提供可靠的数据自动、远程备份功能，具有良好的运行保障体系，提供完整存储、备份手段，提供故障恢复手段，操作流程清晰简洁，用户界面美观大方；</w:t>
      </w:r>
    </w:p>
    <w:p>
      <w:pPr>
        <w:pStyle w:val="53"/>
        <w:keepNext w:val="0"/>
        <w:keepLines w:val="0"/>
        <w:widowControl/>
        <w:suppressLineNumbers w:val="0"/>
        <w:adjustRightInd w:val="0"/>
        <w:spacing w:before="0" w:beforeAutospacing="0" w:after="0" w:afterAutospacing="0" w:line="288" w:lineRule="auto"/>
        <w:ind w:left="0" w:right="0" w:firstLine="344" w:firstLineChars="200"/>
        <w:jc w:val="left"/>
        <w:rPr>
          <w:rFonts w:hint="eastAsia" w:ascii="仿宋" w:hAnsi="仿宋" w:eastAsia="仿宋" w:cs="仿宋"/>
          <w:szCs w:val="21"/>
          <w:lang w:val="en-US"/>
        </w:rPr>
      </w:pPr>
      <w:r>
        <w:rPr>
          <w:rFonts w:hint="eastAsia" w:ascii="仿宋" w:hAnsi="仿宋" w:eastAsia="仿宋" w:cs="仿宋"/>
          <w:spacing w:val="-4"/>
          <w:kern w:val="2"/>
          <w:sz w:val="18"/>
          <w:szCs w:val="21"/>
          <w:lang w:val="en-US" w:eastAsia="zh-CN" w:bidi="ar"/>
        </w:rPr>
        <w:t>2）安全、保密：从数据访问操作、用户认证、数据加密、系统安全等多个方面对体系进行安全性设计，实现信息资源的充分共享并注意信息的保护和隔离，分别针对不同的应用和环境采取不同的措施，包括系统安全机制、数据存取权限控制和数据存储加密机制；</w:t>
      </w:r>
    </w:p>
    <w:p>
      <w:pPr>
        <w:pStyle w:val="53"/>
        <w:keepNext w:val="0"/>
        <w:keepLines w:val="0"/>
        <w:widowControl/>
        <w:suppressLineNumbers w:val="0"/>
        <w:adjustRightInd w:val="0"/>
        <w:spacing w:before="0" w:beforeAutospacing="0" w:after="0" w:afterAutospacing="0" w:line="288" w:lineRule="auto"/>
        <w:ind w:left="0" w:right="0" w:firstLine="344" w:firstLineChars="200"/>
        <w:jc w:val="left"/>
        <w:rPr>
          <w:rFonts w:hint="eastAsia" w:ascii="仿宋" w:hAnsi="仿宋" w:eastAsia="仿宋" w:cs="仿宋"/>
          <w:szCs w:val="21"/>
          <w:lang w:val="en-US"/>
        </w:rPr>
      </w:pPr>
      <w:r>
        <w:rPr>
          <w:rFonts w:hint="eastAsia" w:ascii="仿宋" w:hAnsi="仿宋" w:eastAsia="仿宋" w:cs="仿宋"/>
          <w:spacing w:val="-4"/>
          <w:kern w:val="2"/>
          <w:sz w:val="18"/>
          <w:szCs w:val="21"/>
          <w:lang w:val="en-US" w:eastAsia="zh-CN" w:bidi="ar"/>
        </w:rPr>
        <w:t>3）可管理性：可监测系统的运行状况；</w:t>
      </w:r>
    </w:p>
    <w:p>
      <w:pPr>
        <w:pStyle w:val="53"/>
        <w:keepNext w:val="0"/>
        <w:keepLines w:val="0"/>
        <w:widowControl/>
        <w:suppressLineNumbers w:val="0"/>
        <w:adjustRightInd w:val="0"/>
        <w:spacing w:before="0" w:beforeAutospacing="0" w:after="0" w:afterAutospacing="0" w:line="288" w:lineRule="auto"/>
        <w:ind w:left="0" w:right="0" w:firstLine="344" w:firstLineChars="200"/>
        <w:jc w:val="left"/>
        <w:rPr>
          <w:rFonts w:hint="eastAsia" w:ascii="仿宋" w:hAnsi="仿宋" w:eastAsia="仿宋" w:cs="仿宋"/>
          <w:szCs w:val="21"/>
          <w:lang w:val="en-US"/>
        </w:rPr>
      </w:pPr>
      <w:r>
        <w:rPr>
          <w:rFonts w:hint="eastAsia" w:ascii="仿宋" w:hAnsi="仿宋" w:eastAsia="仿宋" w:cs="仿宋"/>
          <w:spacing w:val="-4"/>
          <w:kern w:val="2"/>
          <w:sz w:val="18"/>
          <w:szCs w:val="21"/>
          <w:lang w:val="en-US" w:eastAsia="zh-CN" w:bidi="ar"/>
        </w:rPr>
        <w:t>4）服务器端性能指标</w:t>
      </w:r>
    </w:p>
    <w:tbl>
      <w:tblPr>
        <w:tblStyle w:val="5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7"/>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0"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在线人数</w:t>
            </w:r>
          </w:p>
        </w:tc>
        <w:tc>
          <w:tcPr>
            <w:tcW w:w="6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支持2000人以上同时在线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业务办理</w:t>
            </w:r>
          </w:p>
        </w:tc>
        <w:tc>
          <w:tcPr>
            <w:tcW w:w="6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对当前用户请求响应时间≤8秒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业务并发</w:t>
            </w:r>
          </w:p>
        </w:tc>
        <w:tc>
          <w:tcPr>
            <w:tcW w:w="6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至少支持峰值1800次/分钟的实时查询或处理业务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查询</w:t>
            </w:r>
          </w:p>
        </w:tc>
        <w:tc>
          <w:tcPr>
            <w:tcW w:w="6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kern w:val="2"/>
                <w:sz w:val="21"/>
                <w:szCs w:val="21"/>
                <w:lang w:val="en-US" w:eastAsia="zh-CN" w:bidi="ar"/>
              </w:rPr>
              <w:t>服务器简单统计报表查询响应时间≤3秒</w:t>
            </w:r>
          </w:p>
        </w:tc>
      </w:tr>
    </w:tbl>
    <w:p>
      <w:pPr>
        <w:keepNext w:val="0"/>
        <w:keepLines w:val="0"/>
        <w:widowControl w:val="0"/>
        <w:suppressLineNumbers w:val="0"/>
        <w:spacing w:before="0" w:beforeAutospacing="0" w:after="0" w:afterAutospacing="0" w:line="288" w:lineRule="auto"/>
        <w:ind w:left="0" w:right="0" w:firstLine="420" w:firstLineChars="200"/>
        <w:jc w:val="both"/>
        <w:rPr>
          <w:rFonts w:hint="eastAsia" w:ascii="仿宋" w:hAnsi="仿宋" w:eastAsia="仿宋" w:cs="仿宋"/>
          <w:lang w:val="en-US"/>
        </w:rPr>
      </w:pPr>
    </w:p>
    <w:p>
      <w:pPr>
        <w:keepNext w:val="0"/>
        <w:keepLines w:val="0"/>
        <w:widowControl w:val="0"/>
        <w:suppressLineNumbers w:val="0"/>
        <w:spacing w:before="0" w:beforeAutospacing="0" w:after="0" w:afterAutospacing="0" w:line="288"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与浙江工业大学教务系统的教学、学籍无缝对接，与采购人教务系统供应商联系，完成接口对接和调试运行，提供与校园网统一认证平台和统一数据中心接口，实现与校园网统一认证平台和统一数据中心的对接；</w:t>
      </w:r>
    </w:p>
    <w:p>
      <w:pPr>
        <w:keepNext w:val="0"/>
        <w:keepLines w:val="0"/>
        <w:widowControl w:val="0"/>
        <w:suppressLineNumbers w:val="0"/>
        <w:spacing w:before="0" w:beforeAutospacing="0" w:after="0" w:afterAutospacing="0" w:line="288" w:lineRule="auto"/>
        <w:ind w:left="0" w:right="0" w:firstLine="560" w:firstLineChars="200"/>
        <w:jc w:val="both"/>
        <w:rPr>
          <w:rFonts w:hint="eastAsia" w:ascii="仿宋" w:hAnsi="仿宋" w:eastAsia="仿宋" w:cs="仿宋"/>
          <w:sz w:val="28"/>
          <w:szCs w:val="28"/>
          <w:lang w:val="en-US"/>
        </w:rPr>
      </w:pPr>
    </w:p>
    <w:p>
      <w:pPr>
        <w:keepNext w:val="0"/>
        <w:keepLines w:val="0"/>
        <w:widowControl w:val="0"/>
        <w:numPr>
          <w:ilvl w:val="0"/>
          <w:numId w:val="32"/>
        </w:numPr>
        <w:suppressLineNumbers w:val="0"/>
        <w:spacing w:before="0" w:beforeAutospacing="0" w:after="0" w:afterAutospacing="0" w:line="288"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网络架构：分布式系统，应用程序服务器架设在学校的网络中心，实现朝晖、屏峰和莫干山三个校区的24小时信息服务，网络架构如图所示。</w:t>
      </w:r>
    </w:p>
    <w:p>
      <w:pPr>
        <w:keepNext w:val="0"/>
        <w:keepLines w:val="0"/>
        <w:widowControl w:val="0"/>
        <w:suppressLineNumbers w:val="0"/>
        <w:spacing w:before="0" w:beforeAutospacing="0" w:after="0" w:afterAutospacing="0" w:line="288"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288"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288"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288" w:lineRule="auto"/>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288"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drawing>
          <wp:inline distT="0" distB="0" distL="114300" distR="114300">
            <wp:extent cx="4286250" cy="222885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4286250" cy="2228850"/>
                    </a:xfrm>
                    <a:prstGeom prst="rect">
                      <a:avLst/>
                    </a:prstGeom>
                    <a:noFill/>
                    <a:ln>
                      <a:noFill/>
                    </a:ln>
                  </pic:spPr>
                </pic:pic>
              </a:graphicData>
            </a:graphic>
          </wp:inline>
        </w:drawing>
      </w:r>
    </w:p>
    <w:p>
      <w:pPr>
        <w:pStyle w:val="53"/>
        <w:keepNext w:val="0"/>
        <w:keepLines w:val="0"/>
        <w:widowControl/>
        <w:suppressLineNumbers w:val="0"/>
        <w:spacing w:before="0" w:beforeAutospacing="1" w:after="120" w:afterAutospacing="0"/>
        <w:ind w:left="420" w:leftChars="200" w:right="0" w:firstLine="560" w:firstLineChars="200"/>
        <w:jc w:val="center"/>
        <w:rPr>
          <w:rFonts w:hint="eastAsia" w:ascii="仿宋" w:hAnsi="仿宋" w:eastAsia="仿宋" w:cs="仿宋"/>
          <w:sz w:val="28"/>
          <w:szCs w:val="28"/>
          <w:lang w:val="en-US"/>
        </w:rPr>
      </w:pPr>
    </w:p>
    <w:p>
      <w:pPr>
        <w:pStyle w:val="53"/>
        <w:keepNext w:val="0"/>
        <w:keepLines w:val="0"/>
        <w:widowControl/>
        <w:suppressLineNumbers w:val="0"/>
        <w:spacing w:before="0" w:beforeAutospacing="1" w:after="120" w:afterAutospacing="0"/>
        <w:ind w:left="0" w:leftChars="0" w:right="0" w:firstLine="0" w:firstLineChars="0"/>
        <w:jc w:val="both"/>
        <w:rPr>
          <w:rFonts w:hint="eastAsia" w:ascii="仿宋" w:hAnsi="仿宋" w:eastAsia="仿宋" w:cs="仿宋"/>
          <w:sz w:val="28"/>
          <w:szCs w:val="28"/>
          <w:lang w:val="en-US"/>
        </w:rPr>
      </w:pPr>
    </w:p>
    <w:p>
      <w:pPr>
        <w:keepNext w:val="0"/>
        <w:keepLines w:val="0"/>
        <w:widowControl/>
        <w:suppressLineNumbers w:val="0"/>
        <w:adjustRightInd w:val="0"/>
        <w:snapToGrid w:val="0"/>
        <w:spacing w:before="0" w:beforeAutospacing="0" w:after="0" w:afterAutospacing="0" w:line="288" w:lineRule="auto"/>
        <w:ind w:left="0" w:right="0" w:firstLine="420" w:firstLineChars="200"/>
        <w:jc w:val="center"/>
        <w:rPr>
          <w:rFonts w:hint="eastAsia" w:ascii="仿宋" w:hAnsi="仿宋" w:eastAsia="仿宋" w:cs="仿宋"/>
          <w:bCs/>
          <w:color w:val="FF0000"/>
          <w:lang w:val="en-US"/>
        </w:rPr>
      </w:pPr>
      <w:r>
        <w:rPr>
          <w:rFonts w:hint="eastAsia" w:ascii="仿宋" w:hAnsi="仿宋" w:eastAsia="仿宋" w:cs="仿宋"/>
          <w:bCs/>
          <w:color w:val="FF0000"/>
          <w:kern w:val="2"/>
          <w:sz w:val="21"/>
          <w:szCs w:val="21"/>
          <w:lang w:val="en-US" w:eastAsia="zh-CN" w:bidi="ar"/>
        </w:rPr>
        <w:t>图1 网络架构</w:t>
      </w:r>
    </w:p>
    <w:p>
      <w:pPr>
        <w:keepNext w:val="0"/>
        <w:keepLines w:val="0"/>
        <w:widowControl w:val="0"/>
        <w:suppressLineNumbers w:val="0"/>
        <w:spacing w:before="0" w:beforeAutospacing="0" w:after="0" w:afterAutospacing="0" w:line="288"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架设在校网络中心的应用服务器是主服务器，是平台运行的核心服务器，包括应用服务器和数据库服务器各1台，备份服务器分布在3个校区的中心机房，其软件功能和数据都与主服务器同步，支持定时备份（可设置备份周期）和人工备份两种方式。</w:t>
      </w:r>
    </w:p>
    <w:p>
      <w:pPr>
        <w:keepNext w:val="0"/>
        <w:keepLines w:val="0"/>
        <w:widowControl w:val="0"/>
        <w:suppressLineNumbers w:val="0"/>
        <w:spacing w:before="0" w:beforeAutospacing="0" w:after="0" w:afterAutospacing="0" w:line="288" w:lineRule="auto"/>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kern w:val="2"/>
          <w:sz w:val="28"/>
          <w:szCs w:val="28"/>
          <w:lang w:val="en-US" w:eastAsia="zh-CN" w:bidi="ar"/>
        </w:rPr>
        <w:t>（5）</w:t>
      </w:r>
      <w:r>
        <w:rPr>
          <w:rFonts w:hint="eastAsia" w:ascii="仿宋" w:hAnsi="仿宋" w:eastAsia="仿宋" w:cs="仿宋"/>
          <w:bCs/>
          <w:kern w:val="2"/>
          <w:sz w:val="28"/>
          <w:szCs w:val="28"/>
          <w:lang w:val="en-US" w:eastAsia="zh-CN" w:bidi="ar"/>
        </w:rPr>
        <w:t>功能</w:t>
      </w:r>
    </w:p>
    <w:p>
      <w:pPr>
        <w:keepNext w:val="0"/>
        <w:keepLines w:val="0"/>
        <w:widowControl w:val="0"/>
        <w:suppressLineNumbers w:val="0"/>
        <w:spacing w:before="0" w:beforeAutospacing="0" w:after="0" w:afterAutospacing="0" w:line="288" w:lineRule="auto"/>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表4.4智能化实验管理平台功能</w:t>
      </w:r>
    </w:p>
    <w:tbl>
      <w:tblPr>
        <w:tblStyle w:val="59"/>
        <w:tblW w:w="836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30" w:type="dxa"/>
          <w:bottom w:w="0" w:type="dxa"/>
          <w:right w:w="30" w:type="dxa"/>
        </w:tblCellMar>
      </w:tblPr>
      <w:tblGrid>
        <w:gridCol w:w="472"/>
        <w:gridCol w:w="1378"/>
        <w:gridCol w:w="5293"/>
        <w:gridCol w:w="651"/>
        <w:gridCol w:w="5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4"/>
                <w:szCs w:val="21"/>
                <w:lang w:val="en-US"/>
              </w:rPr>
            </w:pPr>
            <w:r>
              <w:rPr>
                <w:rFonts w:hint="eastAsia" w:ascii="仿宋" w:hAnsi="仿宋" w:eastAsia="仿宋" w:cs="仿宋"/>
                <w:b/>
                <w:kern w:val="2"/>
                <w:sz w:val="24"/>
                <w:szCs w:val="24"/>
                <w:lang w:val="en-US" w:eastAsia="zh-CN" w:bidi="ar"/>
              </w:rPr>
              <w:t>序号</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4"/>
                <w:szCs w:val="21"/>
                <w:lang w:val="en-US"/>
              </w:rPr>
            </w:pPr>
            <w:r>
              <w:rPr>
                <w:rFonts w:hint="eastAsia" w:ascii="仿宋" w:hAnsi="仿宋" w:eastAsia="仿宋" w:cs="仿宋"/>
                <w:b/>
                <w:kern w:val="2"/>
                <w:sz w:val="24"/>
                <w:szCs w:val="24"/>
                <w:lang w:val="en-US" w:eastAsia="zh-CN" w:bidi="ar"/>
              </w:rPr>
              <w:t>名称</w:t>
            </w:r>
          </w:p>
        </w:tc>
        <w:tc>
          <w:tcPr>
            <w:tcW w:w="52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4"/>
                <w:szCs w:val="21"/>
                <w:lang w:val="en-US"/>
              </w:rPr>
            </w:pPr>
            <w:r>
              <w:rPr>
                <w:rFonts w:hint="eastAsia" w:ascii="仿宋" w:hAnsi="仿宋" w:eastAsia="仿宋" w:cs="仿宋"/>
                <w:b/>
                <w:kern w:val="2"/>
                <w:sz w:val="24"/>
                <w:szCs w:val="24"/>
                <w:lang w:val="en-US" w:eastAsia="zh-CN" w:bidi="ar"/>
              </w:rPr>
              <w:t>功能说明</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4"/>
                <w:szCs w:val="21"/>
                <w:lang w:val="en-US"/>
              </w:rPr>
            </w:pPr>
            <w:r>
              <w:rPr>
                <w:rFonts w:hint="eastAsia" w:ascii="仿宋" w:hAnsi="仿宋" w:eastAsia="仿宋" w:cs="仿宋"/>
                <w:b/>
                <w:kern w:val="2"/>
                <w:sz w:val="24"/>
                <w:szCs w:val="24"/>
                <w:lang w:val="en-US" w:eastAsia="zh-CN" w:bidi="ar"/>
              </w:rPr>
              <w:t>单位</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sz w:val="24"/>
                <w:szCs w:val="21"/>
                <w:lang w:val="en-US"/>
              </w:rPr>
            </w:pPr>
            <w:r>
              <w:rPr>
                <w:rFonts w:hint="eastAsia" w:ascii="仿宋" w:hAnsi="仿宋" w:eastAsia="仿宋" w:cs="仿宋"/>
                <w:b/>
                <w:kern w:val="2"/>
                <w:sz w:val="24"/>
                <w:szCs w:val="24"/>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实验室管理系统</w:t>
            </w:r>
          </w:p>
        </w:tc>
        <w:tc>
          <w:tcPr>
            <w:tcW w:w="52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包括实验教学信息管理、实验教学排课、实验教学质量管理等，涵盖实验教学管理的各个环节。</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1.实验课程管理：提供实验课程名称、编号、开课院系、面向专业、总学时、课程介绍等基础信息的维护和管理；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2.实验项目管理：提供包括实验编号、对应课程、面向专业、所属实验室、实验类别、组数、每组人数、实验时数、实验类型等信息的维护和管理；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3.实验排课管理：支持多种排课模式，解决实验室资源短缺和学生空闲时间不确定的矛盾，合理安排、充分利用现有实验室资源；</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4.课程班管理：对具有相同课程的不同班级进行合班，按合班后的总学生数进行分次分批，按照批次安排不同教师、实验室及时间，选择合适的上课时间批次，解决基础实验设备不足与大量上课学生所引起的资源分配冲突问题；</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5.管理员直接排课：管理员直接录入上课时间、实验地点、教师等排课信息，实现对无教学任务或教师临时借用实验室的排课；</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6.教师预约排课：支持管理员设置实验教学可安排资源（包括实验室和时间），由实验指导教师通过网上实验资源预约平台，预约上课时间和实验地点，管理员进行审核；</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7.实验课表管理：排课完成需自动生成面向实验中心、实验分室、实验教师、学生的各类实验教学课表；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8.实验质量管理：可对实验教学的各个环节进行管控，让教师对每个学生实验技能掌握情况一目了然，精确汇总学生实验成绩；</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9.考勤管理：根据排课及学生刷卡记录自动生成考勤结果，通过数据采集系统的“智慧电子门牌/智能数据采集终端”刷卡即时的采集数据信息，实现数据采集、门禁考勤一体化。</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2</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作业管理系统</w:t>
            </w:r>
          </w:p>
        </w:tc>
        <w:tc>
          <w:tcPr>
            <w:tcW w:w="52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1.实验作业管理：教师针对实验项目可上传实验作业模块，学生可在平台上传作业，教师可对实验作业进行打分统计，形成学生实验成绩；</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2.实验室开放管理与物联网智能管控相结合，通过软硬件一体化的解决方案，实现实验室从时间到空间的全方位开放；</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3.将实验室考试与平台进行对接，只有通过考试的才可以进行特殊实验室设备的使用；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4.实验室开放管理：实现实验室预约、预约审核及预约审核管理，可根据设置策略进行预约时段控制、审核控制与准入控制，自动和排课安排进行冲突检测，实验室预约主要针对开放实验预约，实验室预约会与实验教学排课、设备预约进行判冲，其优先级低于教学排课；</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5.灵活自由的预约开放设置管理：实验室管理员可设置实验室的开放时间段、排除时间段、开放用户范围、提前预约时间、审核方式、容纳人数等开放参数；</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6.用户预约：实验用户自主网上查看实验中心信息与开放资源，可在线预约实验室或设备。</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3</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账户管理系统</w:t>
            </w:r>
          </w:p>
        </w:tc>
        <w:tc>
          <w:tcPr>
            <w:tcW w:w="52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与数字化校园、一卡通平台、教务系统、统一身份认证平台等系统进行无缝对接集成，实时数据交互共享，设置建立管理人员、实验室、实验设备、实验计划、实验课程、实验项目、教师、课程班、学生等系统基础数据库。</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1.与校园统一身份认证平台对接，实现全校各种应用系统统一身份登录；</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2.与校园一卡通基本信息对接，共享全校师生数据信息，对持有的校园卡信息在智能门禁刷卡中实时与校园一卡通系统交互；</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3.与教务管理系统对接，从教务系统及时获取全校的实验课程的教学计划、选课、指导教师、实验课程等信息，保障教学信息、课程信息、人员信息变动能及时同步；</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4.角色管理：多级角色，不同角色赋予不同管理权限，相同角色可按职责进行权限细化设置；</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5.实验室数据管理：可自行新建添加实验室建制、校区管理、实验分室、实验用房、实验室队伍、仪器设备等基础数据。</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4</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多校区管理系统</w:t>
            </w:r>
          </w:p>
        </w:tc>
        <w:tc>
          <w:tcPr>
            <w:tcW w:w="52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为管理员按校区划分实验室管理权限、创建具体操作内容、统一汇总数据，对实验室运行情况、运行数据进行有效分析与监控，通过系统实时查看了解当前各个校区实验室在用情况、实验教学情况、实验开放情况等，具备实时状态数据采集、实时状态查看、实时状态数据存储及数据统计与实时分析等功能，可通过LED大屏实时输出显示当天实验教学、实验开放情况。</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1.校区管理：按校区对实验进行划分，为校区管理员配置相关管理权限；</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2.实验室分布情况：可显示实验室数量统计图、实验室校区分布情况、楼层分布情况，可看整个实验室的分布情况，可显示实验的具体信息及是否在用状态；</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3.实验室使用情况：可图表显示当前在用实验室数量、实验室名称，按学年统计参加实验的人次数、实验室使用率，分析近年实验室使用率变化趋势，可统计分析每个学院实验室周课时安排情况；</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4.实验课程项目统计：可显示本学期每个学院实验室课程数、项目数、学校按学期或学年的实验项目总数，按照实验项目类别分类统计，可显示各类实验项目的比例，能够基于实验内容进行统计；</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5.课表信息查询：可按照学院、教师、实验室名称查询课表信息；</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6.师资队伍情况：可按照学院查询某学期（年度）参与教学的教师信息；</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7.开放实验室使用情况：可按学院统计汇总所有开放实验室预约情况，标注出当前可预约的实验室并直接点击实验室名称实现预约；</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8.设备使用率分析：图表统计院系设备数、人时数、台时数，分析设备三年使用变化趋势及设备使用率列表；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9.实验室进入人员统计：统计分析使用人数和使用人次等；</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10.按照管理员指定的信息进行多角度、多维度的统计。</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5</w:t>
            </w:r>
          </w:p>
        </w:tc>
        <w:tc>
          <w:tcPr>
            <w:tcW w:w="13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机房管理客户端</w:t>
            </w:r>
          </w:p>
        </w:tc>
        <w:tc>
          <w:tcPr>
            <w:tcW w:w="52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1.客户端管理：通过客户端工作站实现登录、查询及修改密码等，客户端软件支持Win 7和Win 10操作系统；</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2.机器管理：可对机器实行开机、关机、重启、禁用、解禁、锁定、解锁、设置属性、发送消息、机房设置等；</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3.附设管理：禁用或解禁光躯、USB盘，能自动获取每个学生端机器的CPU、内存、磁盘分区信息、显卡、网卡信息，可查询学生机硬件的变更信息、查看学生机屏幕；</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4.远程管理：可进行远程系统维护、删除、升级管理；</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5.行为准则：可根据要求在登陆时弹出行为准则消息窗口；</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6.消息管理：向客户端发送及回复消息；</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7.课程管理：根据要求设置上课时间、地点、节次并可添加、修改及删除上机课程、预约排课；</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8.限时管理：每天进行限时上机管理，当机位全满时，超时并使用时间最长者提醒后自动下机；</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9.程序控制模块：可帮助老师在不同的时间对不同的机器做出不同的控制，能控制玩游戏，可随时查看正在运行的程序，对一些非法程序可做到及时发现、及时控制，可保存程序运行的记录；</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10.上网监控模块：可在不同的时间对不同的机器控制其上非法网站或只允许浏览上课所需要的网站，对上网记录予以保存。</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点</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421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8369"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备注：1.不符合实验管理流程的需根据采购人要求进行定制开发，实验教学授课计划、预约排课和统计分析必须根据采购人要求进行定制开发。</w:t>
            </w:r>
          </w:p>
          <w:p>
            <w:pPr>
              <w:keepNext w:val="0"/>
              <w:keepLines w:val="0"/>
              <w:widowControl w:val="0"/>
              <w:suppressLineNumbers w:val="0"/>
              <w:spacing w:before="0" w:beforeAutospacing="0" w:after="0" w:afterAutospacing="0"/>
              <w:ind w:left="0" w:right="0" w:firstLine="720" w:firstLineChars="300"/>
              <w:jc w:val="both"/>
              <w:rPr>
                <w:rFonts w:hint="eastAsia" w:ascii="仿宋" w:hAnsi="仿宋" w:eastAsia="仿宋" w:cs="仿宋"/>
                <w:sz w:val="24"/>
                <w:szCs w:val="21"/>
                <w:lang w:val="en-US"/>
              </w:rPr>
            </w:pPr>
            <w:r>
              <w:rPr>
                <w:rFonts w:hint="eastAsia" w:ascii="仿宋" w:hAnsi="仿宋" w:eastAsia="仿宋" w:cs="仿宋"/>
                <w:kern w:val="2"/>
                <w:sz w:val="24"/>
                <w:szCs w:val="24"/>
                <w:lang w:val="en-US" w:eastAsia="zh-CN" w:bidi="ar"/>
              </w:rPr>
              <w:t>2.管理平台应与原有机房管理系统实现无缝对接、数据兼容。</w:t>
            </w:r>
          </w:p>
        </w:tc>
      </w:tr>
    </w:tbl>
    <w:p>
      <w:pPr>
        <w:keepNext w:val="0"/>
        <w:keepLines w:val="0"/>
        <w:widowControl w:val="0"/>
        <w:suppressLineNumbers w:val="0"/>
        <w:spacing w:before="156" w:beforeLines="50" w:beforeAutospacing="0" w:after="156" w:afterLines="50" w:afterAutospacing="0" w:line="340" w:lineRule="exact"/>
        <w:ind w:left="0" w:right="0"/>
        <w:jc w:val="both"/>
        <w:rPr>
          <w:color w:val="FF0000"/>
          <w:lang w:val="en-US"/>
        </w:rPr>
      </w:pPr>
    </w:p>
    <w:p>
      <w:pPr>
        <w:keepNext w:val="0"/>
        <w:keepLines w:val="0"/>
        <w:widowControl w:val="0"/>
        <w:suppressLineNumbers w:val="0"/>
        <w:spacing w:before="156" w:beforeLines="50" w:beforeAutospacing="0" w:after="156" w:afterLines="50" w:afterAutospacing="0" w:line="340" w:lineRule="exact"/>
        <w:ind w:left="0" w:right="0"/>
        <w:jc w:val="both"/>
        <w:rPr>
          <w:color w:val="FF0000"/>
          <w:lang w:val="en-US"/>
        </w:rPr>
      </w:pP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b/>
          <w:kern w:val="0"/>
          <w:sz w:val="28"/>
          <w:szCs w:val="28"/>
          <w:lang w:val="en-US"/>
        </w:rPr>
      </w:pPr>
      <w:r>
        <w:rPr>
          <w:rFonts w:hint="eastAsia" w:ascii="仿宋" w:hAnsi="仿宋" w:eastAsia="仿宋" w:cs="仿宋"/>
          <w:b/>
          <w:kern w:val="0"/>
          <w:sz w:val="28"/>
          <w:szCs w:val="28"/>
          <w:lang w:val="en-US" w:eastAsia="zh-CN" w:bidi="ar"/>
        </w:rPr>
        <w:t>智能化实验管理平台的成熟性、功能全面性、与原系统兼容性，具体要求详见需求（共15分）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Cs/>
          <w:kern w:val="0"/>
          <w:sz w:val="28"/>
          <w:szCs w:val="28"/>
          <w:lang w:val="en-US"/>
        </w:rPr>
      </w:pPr>
      <w:r>
        <w:rPr>
          <w:rFonts w:hint="eastAsia" w:ascii="仿宋" w:hAnsi="仿宋" w:eastAsia="仿宋" w:cs="仿宋"/>
          <w:kern w:val="0"/>
          <w:sz w:val="28"/>
          <w:szCs w:val="28"/>
          <w:lang w:val="en-US" w:eastAsia="zh-CN" w:bidi="ar"/>
        </w:rPr>
        <w:t>实验室管理系统、作业管理系统、账户管理系统、多校区管理系统、机房管理客户端共5项的成熟性、功能全面性、业务需求符合程度（提供功能截图、计算机软件著作权登记证书等相关证明材料）、与原机房管理系统的数据兼容性：每项最高得3分（未提供相关内容不得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b/>
          <w:kern w:val="0"/>
          <w:sz w:val="28"/>
          <w:szCs w:val="28"/>
          <w:lang w:val="en-US"/>
        </w:rPr>
      </w:pPr>
      <w:r>
        <w:rPr>
          <w:rFonts w:hint="eastAsia" w:ascii="仿宋_GB2312" w:hAnsi="宋体" w:eastAsia="仿宋_GB2312" w:cs="仿宋_GB2312"/>
          <w:b/>
          <w:bCs w:val="0"/>
          <w:kern w:val="0"/>
          <w:sz w:val="28"/>
          <w:szCs w:val="28"/>
          <w:lang w:val="en-US" w:eastAsia="zh-CN" w:bidi="ar"/>
        </w:rPr>
        <w:t>系统集成方案及选型方案的针对性、科学性及专业性，具体要求详见需求。</w:t>
      </w:r>
      <w:r>
        <w:rPr>
          <w:rFonts w:hint="eastAsia" w:ascii="仿宋" w:hAnsi="仿宋" w:eastAsia="仿宋" w:cs="仿宋"/>
          <w:b/>
          <w:kern w:val="0"/>
          <w:sz w:val="28"/>
          <w:szCs w:val="28"/>
          <w:lang w:val="en-US" w:eastAsia="zh-CN" w:bidi="ar"/>
        </w:rPr>
        <w:t>（共18分）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1：基础教学实验室、语音教学实验室、数字媒体实验室硬件产品选型的针对性（提供相关证明材料） 3分: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系统集成方案的科学性及专业性 3分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2：标准化考场硬件产品选型的针对性（提供相关证明材料）3分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系统集成方案的科学性及专业性3分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 xml:space="preserve">3：中心机房硬件产品选型的针对性（提供相关证明材料）3分 </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系统集成方案的科学性及专业性3分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b/>
          <w:kern w:val="0"/>
          <w:sz w:val="28"/>
          <w:szCs w:val="28"/>
          <w:lang w:val="en-US"/>
        </w:rPr>
      </w:pPr>
      <w:r>
        <w:rPr>
          <w:rFonts w:hint="eastAsia" w:ascii="仿宋_GB2312" w:hAnsi="宋体" w:eastAsia="仿宋_GB2312" w:cs="仿宋_GB2312"/>
          <w:b/>
          <w:bCs w:val="0"/>
          <w:kern w:val="0"/>
          <w:sz w:val="28"/>
          <w:szCs w:val="28"/>
          <w:lang w:val="en-US" w:eastAsia="zh-CN" w:bidi="ar"/>
        </w:rPr>
        <w:t>技术解决方案的科学性、成熟性及保障程度，具体要求详见需求。</w:t>
      </w:r>
      <w:r>
        <w:rPr>
          <w:rFonts w:hint="eastAsia" w:ascii="仿宋" w:hAnsi="仿宋" w:eastAsia="仿宋" w:cs="仿宋"/>
          <w:b/>
          <w:kern w:val="0"/>
          <w:sz w:val="28"/>
          <w:szCs w:val="28"/>
          <w:lang w:val="en-US" w:eastAsia="zh-CN" w:bidi="ar"/>
        </w:rPr>
        <w:t>（共9分）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基础教学实验室、语音教学实验室、数字媒体实验室中台式机启动时间的及时性及技术解决方案的科学性、成熟性、保障程度 2.5分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基础教学实验室、语音教学实验室、数字媒体实验室中高清录播一体机与4K智能摄像机系统兼容性技术解决方案的科学性、成熟性2.5分</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bidi="ar"/>
        </w:rPr>
        <w:t>视频资源管理系统（含监控系统）的成熟性、功能全面性、业务需求符合程度及负载均衡高可用解决方案的科学性、成熟性（提供功能截图、计算机软件著作权登记证书、检测报告等相关证明材料）4分</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8"/>
          <w:szCs w:val="28"/>
          <w:lang w:val="en-US"/>
        </w:rPr>
      </w:pPr>
    </w:p>
    <w:p>
      <w:pPr>
        <w:rPr>
          <w:rFonts w:hint="eastAsia" w:ascii="仿宋" w:hAnsi="仿宋" w:eastAsia="仿宋" w:cs="仿宋"/>
          <w:kern w:val="0"/>
          <w:sz w:val="28"/>
          <w:szCs w:val="28"/>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type="lines" w:linePitch="312" w:charSpace="0"/>
        </w:sect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仿宋" w:hAnsi="仿宋" w:eastAsia="仿宋" w:cs="仿宋"/>
          <w:b/>
          <w:bCs w:val="0"/>
          <w:sz w:val="18"/>
          <w:szCs w:val="18"/>
          <w:lang w:val="en-US"/>
        </w:rPr>
      </w:pPr>
    </w:p>
    <w:p>
      <w:pPr>
        <w:keepNext w:val="0"/>
        <w:keepLines w:val="0"/>
        <w:widowControl/>
        <w:suppressLineNumbers w:val="0"/>
        <w:spacing w:before="0" w:beforeAutospacing="0" w:after="0" w:afterAutospacing="0" w:line="360" w:lineRule="exact"/>
        <w:ind w:left="0" w:right="-514"/>
        <w:jc w:val="both"/>
        <w:rPr>
          <w:sz w:val="24"/>
          <w:szCs w:val="21"/>
          <w:lang w:val="en-US"/>
        </w:rPr>
      </w:pPr>
    </w:p>
    <w:p>
      <w:pPr>
        <w:keepNext w:val="0"/>
        <w:keepLines w:val="0"/>
        <w:widowControl/>
        <w:suppressLineNumbers w:val="0"/>
        <w:spacing w:before="0" w:beforeAutospacing="0" w:after="0" w:afterAutospacing="0" w:line="360" w:lineRule="exact"/>
        <w:ind w:left="0" w:right="-514"/>
        <w:jc w:val="both"/>
        <w:rPr>
          <w:sz w:val="24"/>
          <w:szCs w:val="21"/>
          <w:lang w:val="en-US"/>
        </w:rPr>
      </w:pPr>
    </w:p>
    <w:p>
      <w:pPr>
        <w:keepNext w:val="0"/>
        <w:keepLines w:val="0"/>
        <w:widowControl/>
        <w:suppressLineNumbers w:val="0"/>
        <w:spacing w:before="0" w:beforeAutospacing="0" w:after="0" w:afterAutospacing="0" w:line="360" w:lineRule="exact"/>
        <w:ind w:left="0" w:right="-514"/>
        <w:jc w:val="both"/>
        <w:rPr>
          <w:sz w:val="24"/>
          <w:szCs w:val="21"/>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▲项目工期（交货期）及地点</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自合同签订生效之日起30日内交付，采购人指定地点</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安装地点：采购人指定地点；</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安装完成时间：接到采购人通知后在规定时间内完成安装和调试，如在规定的时间内由于中标人的原因不能完成安装和调试，中标人应承担由此给采购人造成的损失；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▲付款条件（明确是否需要履约保证金）</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合同生效以及具备实施条件后7个工作日内，采购人向中标人支付合同总价的40%作为预付款，合同货物送达采购人指定地点，安装调试成功并经校级验收合格，中标人提交浙江工业大学校级验收报告、履约保证金缴纳凭证、增值税发票后，采购人于7个工作日内向中标人支付剩余合同价款。</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备注：在签订合同时，中标人明确表示无需预付款或者主动要求降低预付款比例的，可降低预付款比例。</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履约保证金为1%</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1.比例：合同金额的1%；</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2.提交方式：支票、汇票、本票或者金融机构、担保机构出具的保函等非现金形式；</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3.提交时间：收到采购人发出的签订合同要约后7天内；</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4.退还时间及条件：合同履约期间无违约情形的，项目经校级验收合格后浙江工业大学财务部门及时无息退还，办理退还手续须提交以下票据等材料：</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履约保证金缴纳凭证：提交履约保证金的凭证（浙江工业大学财务部门提供）或中标人出具的财税部门统一监制章的往来款收据（开给浙江工业大学，背面注明：项目名称、项目编号、取款人姓名和时间）；</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（2）质量确认单（表格请到浙江工业大学采购中心主页自行下载）；</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（3）浙江工业大学大型精密仪器设备验收报告扫描件。</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28"/>
                <w:szCs w:val="28"/>
                <w:lang w:val="en-US"/>
              </w:rPr>
            </w:pPr>
            <w:r>
              <w:rPr>
                <w:rFonts w:hint="eastAsia" w:ascii="宋体" w:hAnsi="宋体" w:eastAsia="宋体" w:cs="宋体"/>
                <w:kern w:val="2"/>
                <w:sz w:val="28"/>
                <w:szCs w:val="28"/>
                <w:lang w:val="en-US" w:eastAsia="zh-CN" w:bidi="ar"/>
              </w:rPr>
              <w:t>备齐上述资料并经浙江工业大学采购中心核实与签署意见办完相关手续后到浙江工业大学财务部门退款。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违约责任及争议解决方式</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无特别说明，按“第五章浙江省政府采购合同主要条款指引”相关违约责任及争议解决方式内容。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售</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后</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服务</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项目维护计划</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质保期为货物经甲方校级验收合格后不少于3</w:t>
            </w:r>
            <w:r>
              <w:rPr>
                <w:rFonts w:hint="eastAsia" w:ascii="宋体" w:hAnsi="宋体" w:eastAsia="宋体" w:cs="宋体"/>
                <w:b/>
                <w:bCs w:val="0"/>
                <w:kern w:val="2"/>
                <w:sz w:val="28"/>
                <w:szCs w:val="28"/>
                <w:lang w:val="en-AU" w:eastAsia="zh-CN" w:bidi="ar"/>
              </w:rPr>
              <w:t>年</w:t>
            </w:r>
            <w:r>
              <w:rPr>
                <w:rFonts w:hint="eastAsia" w:ascii="宋体" w:hAnsi="宋体" w:eastAsia="宋体" w:cs="宋体"/>
                <w:b/>
                <w:bCs w:val="0"/>
                <w:kern w:val="2"/>
                <w:sz w:val="28"/>
                <w:szCs w:val="28"/>
                <w:lang w:val="en-US" w:eastAsia="zh-CN" w:bidi="ar"/>
              </w:rPr>
              <w:t>（采购需求中有特殊要求的按采购需求执行），</w:t>
            </w:r>
            <w:r>
              <w:rPr>
                <w:rFonts w:hint="eastAsia" w:ascii="宋体" w:hAnsi="宋体" w:eastAsia="宋体" w:cs="宋体"/>
                <w:kern w:val="2"/>
                <w:sz w:val="28"/>
                <w:szCs w:val="28"/>
                <w:lang w:val="en-US" w:eastAsia="zh-CN" w:bidi="ar"/>
              </w:rPr>
              <w:t>质保期内：因不能排除的故障而影响工作的情况每发生一次，其质保期相应延长90天，因货物本身缺陷造成各种故障应由中标人免费予以更换，提供免费应用软件上门维护与升级服务，提供免费7*24在线技术服务及系统数据恢复上门现场服务，否则采购人有权按照“违约责任”条款的约定要求中标人承担相应违约责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质保期外：实行有偿服务，仅收取成本费（按一定折扣的优惠价格），免人工费、差旅费，所涉及软件终身免费升级。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响应情况</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1）维修响应时间：接到采购人通知1小时内；</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2）解决问题时间：不超过2个工作日（特殊情况另行协商）；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技术培训</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中标人应对采购人的操作人员、维修人员免费进行培训；</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中标人应提供相应的培训计划；</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投标人应对上述内容的实现方式、地点、人数、时间在投标文件中详细说明。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履约能力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投标人技术力量情况</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投标人具有有效的质量管理体系认证、信息技术服务体系认证及信息安全管理体系认证且具有证明材料，每提供1项得1分（最高得3分）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经验或业绩要求</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投标人自2019年1月1日以来（以合同签订时间为准）类似合同业绩：每提供1份业绩证明材料得1分（最高得2分）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备注：业绩证明材料为合同及对应验收报告扫描件</w:t>
            </w:r>
          </w:p>
        </w:tc>
      </w:tr>
    </w:tbl>
    <w:p>
      <w:pPr>
        <w:pStyle w:val="53"/>
        <w:keepNext w:val="0"/>
        <w:keepLines w:val="0"/>
        <w:widowControl w:val="0"/>
        <w:suppressLineNumbers w:val="0"/>
        <w:spacing w:before="0" w:beforeAutospacing="1" w:after="0" w:afterAutospacing="0"/>
        <w:ind w:left="0" w:right="0"/>
        <w:jc w:val="left"/>
        <w:rPr>
          <w:rFonts w:hint="eastAsia" w:ascii="仿宋" w:hAnsi="仿宋" w:eastAsia="仿宋" w:cs="仿宋"/>
          <w:b/>
          <w:spacing w:val="30"/>
          <w:sz w:val="28"/>
          <w:szCs w:val="28"/>
          <w:lang w:val="en-US"/>
        </w:rPr>
      </w:pPr>
      <w:bookmarkStart w:id="34" w:name="PO_TDCUS_ITEM_PB_REQ_TITLE_1_0"/>
      <w:bookmarkEnd w:id="34"/>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t>第五章  浙江省政府采购合同主要条款指引</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甲方</w:t>
      </w:r>
      <w:r>
        <w:rPr>
          <w:rFonts w:hint="eastAsia" w:ascii="仿宋" w:hAnsi="仿宋" w:eastAsia="仿宋" w:cs="仿宋"/>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乙方</w:t>
      </w:r>
      <w:r>
        <w:rPr>
          <w:rFonts w:hint="eastAsia" w:ascii="仿宋" w:hAnsi="仿宋" w:eastAsia="仿宋" w:cs="仿宋"/>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59"/>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项目名称</w:t>
            </w:r>
          </w:p>
        </w:tc>
        <w:tc>
          <w:tcPr>
            <w:tcW w:w="324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57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z w:val="30"/>
          <w:szCs w:val="30"/>
          <w:u w:val="single"/>
          <w:lang w:val="en-US"/>
        </w:rPr>
      </w:pPr>
      <w:r>
        <w:rPr>
          <w:rFonts w:hint="eastAsia" w:ascii="仿宋" w:hAnsi="仿宋" w:eastAsia="仿宋" w:cs="仿宋"/>
          <w:b/>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八、货款支付</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left"/>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付款方式：</w:t>
      </w:r>
      <w:r>
        <w:rPr>
          <w:rFonts w:hint="eastAsia" w:ascii="仿宋" w:hAnsi="仿宋" w:eastAsia="仿宋" w:cs="仿宋"/>
          <w:kern w:val="0"/>
          <w:sz w:val="30"/>
          <w:szCs w:val="30"/>
          <w:lang w:val="en-US" w:eastAsia="zh-CN" w:bidi="ar"/>
        </w:rPr>
        <w:t>合同生效以及具备实施条件后7个工作日内，采购人向中标人支付合同总价的40%作为预付款，合同货物送达采购人指定地点，安装调试成功并经校级验收合格，中标人提交浙江工业大学校级验收报告、履约保证金缴纳凭证、增值税发票后，采购人于7个工作日内向中标人支付剩余合同价款。</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备注：在签订合同时，中标人明确表示无需预付款或者主动要求降低预付款比例的，可降低预付款比例。</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履约保证金为1%</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kern w:val="0"/>
          <w:sz w:val="30"/>
          <w:szCs w:val="30"/>
          <w:lang w:val="en-US"/>
        </w:rPr>
      </w:pPr>
      <w:r>
        <w:rPr>
          <w:rFonts w:hint="eastAsia" w:ascii="仿宋" w:hAnsi="仿宋" w:eastAsia="仿宋" w:cs="仿宋"/>
          <w:b/>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2. </w:t>
      </w:r>
      <w:r>
        <w:rPr>
          <w:rFonts w:hint="eastAsia" w:ascii="仿宋" w:hAnsi="仿宋" w:eastAsia="仿宋" w:cs="仿宋"/>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sz w:val="30"/>
          <w:szCs w:val="30"/>
          <w:lang w:val="en-US"/>
        </w:rPr>
      </w:pPr>
      <w:r>
        <w:rPr>
          <w:rFonts w:hint="eastAsia" w:ascii="仿宋" w:hAnsi="仿宋" w:eastAsia="仿宋" w:cs="仿宋"/>
          <w:b/>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0" w:afterAutospacing="0" w:line="460" w:lineRule="exact"/>
        <w:ind w:left="2" w:leftChars="1"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_GB2312" w:hAnsi="Courier New" w:eastAsia="仿宋_GB2312" w:cs="Times New Roman"/>
          <w:kern w:val="0"/>
          <w:sz w:val="30"/>
          <w:szCs w:val="30"/>
          <w:lang w:val="en-US" w:eastAsia="zh-CN" w:bidi="ar"/>
        </w:rPr>
        <w:br w:type="page"/>
      </w:r>
      <w:bookmarkStart w:id="35" w:name="_Toc496796640"/>
      <w:bookmarkEnd w:id="35"/>
      <w:r>
        <w:rPr>
          <w:rFonts w:hint="eastAsia" w:ascii="宋体" w:hAnsi="宋体" w:eastAsia="宋体" w:cs="Times New Roman"/>
          <w:b/>
          <w:kern w:val="2"/>
          <w:sz w:val="36"/>
          <w:szCs w:val="36"/>
          <w:lang w:val="en-US" w:eastAsia="zh-CN" w:bidi="ar"/>
        </w:rPr>
        <w:t>第六章  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ind w:left="0" w:right="15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36" w:name="PO_1000000445_PM002_2"/>
      <w:bookmarkEnd w:id="36"/>
      <w:r>
        <w:rPr>
          <w:rFonts w:hint="eastAsia" w:ascii="仿宋" w:hAnsi="仿宋" w:eastAsia="仿宋" w:cs="仿宋"/>
          <w:b/>
          <w:color w:val="000000"/>
          <w:spacing w:val="40"/>
          <w:kern w:val="2"/>
          <w:sz w:val="52"/>
          <w:szCs w:val="52"/>
          <w:lang w:val="en-US" w:eastAsia="zh-CN" w:bidi="ar"/>
        </w:rPr>
        <w:t>浙江工业大学新文科综合实验室建设采购项目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7" w:name="PO_15528_PM001_2"/>
      <w:bookmarkEnd w:id="37"/>
      <w:r>
        <w:rPr>
          <w:rFonts w:hint="eastAsia" w:ascii="仿宋" w:hAnsi="仿宋" w:eastAsia="仿宋" w:cs="仿宋"/>
          <w:kern w:val="2"/>
          <w:sz w:val="36"/>
          <w:szCs w:val="36"/>
          <w:lang w:val="en-US" w:eastAsia="zh-CN" w:bidi="ar"/>
        </w:rPr>
        <w:t>ZZCG2022F-GK-170（标项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质</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r>
        <w:rPr>
          <w:rFonts w:hint="eastAsia" w:ascii="仿宋" w:hAnsi="仿宋" w:eastAsia="仿宋" w:cs="仿宋"/>
          <w:b/>
          <w:kern w:val="2"/>
          <w:sz w:val="36"/>
          <w:szCs w:val="36"/>
          <w:lang w:val="en-US" w:eastAsia="zh-CN" w:bidi="ar"/>
        </w:rPr>
        <w:t>1、资质文件目录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（1）投标声明书 (格式见附件2，含重大违法记录声明)；</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（2）法定代表人授权委托书(格式见附件3)；</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（4）联合投标协议书（若需要，格式见附件4）;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（5）联合投标授权委托书（若需要，格式见附件5）;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（6）分包意向协议（若需要，格式见附件6）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1" w:after="0" w:afterAutospacing="1"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系中华人民共和国合法企业，经营地址</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的法定代表人，我方愿意参加贵方组织的</w:t>
      </w:r>
      <w:r>
        <w:rPr>
          <w:rFonts w:hint="eastAsia" w:ascii="仿宋" w:hAnsi="仿宋" w:eastAsia="仿宋" w:cs="仿宋"/>
          <w:kern w:val="2"/>
          <w:sz w:val="30"/>
          <w:szCs w:val="30"/>
          <w:u w:val="single"/>
          <w:lang w:val="en-US" w:eastAsia="zh-CN" w:bidi="ar"/>
        </w:rPr>
        <w:t>（招标项目名称）（编号为</w:t>
      </w:r>
      <w:bookmarkStart w:id="38" w:name="PO_15528_PM001_3"/>
      <w:bookmarkEnd w:id="38"/>
      <w:r>
        <w:rPr>
          <w:rFonts w:hint="eastAsia" w:ascii="仿宋" w:hAnsi="仿宋" w:eastAsia="仿宋" w:cs="仿宋"/>
          <w:kern w:val="2"/>
          <w:sz w:val="30"/>
          <w:szCs w:val="30"/>
          <w:u w:val="single"/>
          <w:lang w:val="en-US" w:eastAsia="zh-CN" w:bidi="ar"/>
        </w:rPr>
        <w:t>ZZCG2022F-GK-170）</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1.我方已详细审查全部招标文件，同意招标文件的各项要求，包括疫情期间采取的各项应急开标措施。</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6.我方承诺已经具备参与政府采购活动的资格条件并且没有税收缴纳、社会保障等方面的失信记录。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line="360" w:lineRule="auto"/>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 组织实施的编号为号的招标活动联合进行投标之事宜，达成如下协议：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为主办人进行投标，并按照招标文件的规定分别提交资格文件。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与签订的《联合投标协议书》的内容，主办人的法定代表人现授权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为联合投标代理人，代理人在投标、开标、评标、合同谈判过程中所签署的一切文件和处理与这有关的一切事务， 联合投标各方均予以认可并遵守。</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授权人（签名）：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420" w:leftChars="20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1" w:after="120" w:afterAutospacing="0" w:line="400" w:lineRule="exact"/>
        <w:ind w:left="420" w:leftChars="200" w:right="0" w:firstLine="420" w:firstLineChars="200"/>
        <w:jc w:val="both"/>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附件7</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9" w:name="PO_1000000445_PM002"/>
      <w:bookmarkEnd w:id="39"/>
      <w:r>
        <w:rPr>
          <w:rFonts w:hint="eastAsia" w:ascii="仿宋" w:hAnsi="仿宋" w:eastAsia="仿宋" w:cs="仿宋"/>
          <w:b/>
          <w:color w:val="000000"/>
          <w:spacing w:val="40"/>
          <w:kern w:val="2"/>
          <w:sz w:val="52"/>
          <w:szCs w:val="52"/>
          <w:lang w:val="en-US" w:eastAsia="zh-CN" w:bidi="ar"/>
        </w:rPr>
        <w:t>浙江工业大学新文科综合实验室建设采购项目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40" w:name="PO_15528_PM001_4"/>
      <w:bookmarkEnd w:id="40"/>
      <w:r>
        <w:rPr>
          <w:rFonts w:hint="eastAsia" w:ascii="仿宋" w:hAnsi="仿宋" w:eastAsia="仿宋" w:cs="仿宋"/>
          <w:kern w:val="2"/>
          <w:sz w:val="36"/>
          <w:szCs w:val="36"/>
          <w:lang w:val="en-US" w:eastAsia="zh-CN" w:bidi="ar"/>
        </w:rPr>
        <w:t>ZZCG2022F-GK-170（标项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2、</w:t>
      </w:r>
      <w:r>
        <w:rPr>
          <w:rFonts w:hint="eastAsia" w:ascii="仿宋" w:hAnsi="仿宋" w:eastAsia="仿宋" w:cs="仿宋"/>
          <w:b/>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3"/>
        <w:gridCol w:w="1679"/>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59"/>
        <w:tblW w:w="904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2"/>
        <w:gridCol w:w="2197"/>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21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kern w:val="0"/>
          <w:sz w:val="30"/>
          <w:szCs w:val="30"/>
          <w:lang w:val="en-US"/>
        </w:rPr>
      </w:pPr>
      <w:r>
        <w:rPr>
          <w:rFonts w:hint="eastAsia" w:ascii="仿宋" w:hAnsi="仿宋" w:eastAsia="仿宋" w:cs="仿宋"/>
          <w:b/>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kern w:val="0"/>
          <w:sz w:val="36"/>
          <w:szCs w:val="36"/>
          <w:lang w:val="en-US"/>
        </w:rPr>
      </w:pPr>
      <w:r>
        <w:rPr>
          <w:rFonts w:hint="eastAsia" w:ascii="仿宋" w:hAnsi="仿宋" w:eastAsia="仿宋" w:cs="仿宋"/>
          <w:b/>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50" w:afterAutospacing="0" w:line="460" w:lineRule="exact"/>
              <w:ind w:left="5250" w:leftChars="250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7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8"/>
        <w:gridCol w:w="1259"/>
        <w:gridCol w:w="30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公司技术力量情况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sz w:val="30"/>
          <w:szCs w:val="30"/>
          <w:lang w:val="en-US" w:eastAsia="zh-CN" w:bidi="ar"/>
        </w:rPr>
        <w:sectPr>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p>
    <w:tbl>
      <w:tblPr>
        <w:tblStyle w:val="59"/>
        <w:tblW w:w="139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6"/>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时  间：</w:t>
      </w:r>
    </w:p>
    <w:p>
      <w:pPr>
        <w:rPr>
          <w:rFonts w:hint="eastAsia" w:ascii="仿宋" w:hAnsi="仿宋" w:eastAsia="仿宋" w:cs="Times New Roman"/>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附件14</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FF0000"/>
          <w:spacing w:val="40"/>
          <w:sz w:val="52"/>
          <w:szCs w:val="52"/>
          <w:lang w:val="en-US"/>
        </w:rPr>
      </w:pPr>
      <w:bookmarkStart w:id="41" w:name="PO_1000000445_PM002_1"/>
      <w:bookmarkEnd w:id="41"/>
      <w:r>
        <w:rPr>
          <w:rFonts w:hint="eastAsia" w:ascii="仿宋" w:hAnsi="仿宋" w:eastAsia="仿宋" w:cs="仿宋"/>
          <w:b/>
          <w:color w:val="000000"/>
          <w:spacing w:val="40"/>
          <w:kern w:val="2"/>
          <w:sz w:val="52"/>
          <w:szCs w:val="52"/>
          <w:lang w:val="en-US" w:eastAsia="zh-CN" w:bidi="ar"/>
        </w:rPr>
        <w:t>浙江工业大学新文科综合实验室建设采购项目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42" w:name="PO_1000000445_PM001"/>
      <w:bookmarkEnd w:id="42"/>
      <w:r>
        <w:rPr>
          <w:rFonts w:hint="eastAsia" w:ascii="仿宋" w:hAnsi="仿宋" w:eastAsia="仿宋" w:cs="仿宋"/>
          <w:b/>
          <w:color w:val="000000"/>
          <w:kern w:val="2"/>
          <w:sz w:val="36"/>
          <w:szCs w:val="36"/>
          <w:lang w:val="en-US" w:eastAsia="zh-CN" w:bidi="ar"/>
        </w:rPr>
        <w:t>ZZCG2022F-GK-170</w:t>
      </w:r>
      <w:r>
        <w:rPr>
          <w:rFonts w:hint="eastAsia" w:ascii="仿宋" w:hAnsi="仿宋" w:eastAsia="仿宋" w:cs="仿宋"/>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0" w:beforeAutospacing="1" w:after="0" w:afterAutospacing="1"/>
        <w:ind w:left="0" w:leftChars="0" w:right="0"/>
        <w:jc w:val="both"/>
        <w:rPr>
          <w:rFonts w:hint="eastAsia" w:ascii="仿宋" w:hAnsi="仿宋" w:eastAsia="仿宋" w:cs="仿宋"/>
          <w:b/>
          <w:sz w:val="36"/>
          <w:szCs w:val="36"/>
          <w:lang w:val="en-US"/>
        </w:rPr>
      </w:pPr>
      <w:r>
        <w:rPr>
          <w:rFonts w:hint="eastAsia" w:ascii="仿宋" w:hAnsi="仿宋" w:eastAsia="仿宋" w:cs="Times New Roman"/>
          <w:kern w:val="0"/>
          <w:sz w:val="36"/>
          <w:szCs w:val="36"/>
          <w:lang w:val="en-US" w:eastAsia="zh-CN" w:bidi="ar"/>
        </w:rPr>
        <w:br w:type="page"/>
      </w:r>
      <w:r>
        <w:rPr>
          <w:rFonts w:hint="eastAsia" w:ascii="仿宋" w:hAnsi="仿宋" w:eastAsia="仿宋" w:cs="仿宋"/>
          <w:kern w:val="2"/>
          <w:sz w:val="36"/>
          <w:szCs w:val="36"/>
          <w:lang w:val="en-US" w:eastAsia="zh-CN" w:bidi="ar"/>
        </w:rPr>
        <w:t>3、</w:t>
      </w:r>
      <w:r>
        <w:rPr>
          <w:rFonts w:hint="eastAsia" w:ascii="仿宋" w:hAnsi="仿宋" w:eastAsia="仿宋" w:cs="仿宋"/>
          <w:b/>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pStyle w:val="53"/>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（1）开标一览表（见附件15）；</w:t>
      </w:r>
    </w:p>
    <w:p>
      <w:pPr>
        <w:pStyle w:val="53"/>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sz w:val="36"/>
          <w:szCs w:val="36"/>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附件15：</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1"/>
                <w:szCs w:val="21"/>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r>
              <w:rPr>
                <w:rFonts w:hint="eastAsia" w:ascii="仿宋" w:hAnsi="仿宋" w:eastAsia="仿宋" w:cs="仿宋"/>
                <w:b/>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13"/>
                <w:szCs w:val="13"/>
                <w:lang w:val="en-US"/>
              </w:rPr>
            </w:pPr>
            <w:r>
              <w:rPr>
                <w:rFonts w:hint="eastAsia" w:ascii="仿宋" w:hAnsi="仿宋" w:eastAsia="仿宋" w:cs="仿宋"/>
                <w:b/>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04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宋体" w:hAnsi="宋体" w:eastAsia="宋体" w:cs="宋体"/>
                <w:kern w:val="0"/>
                <w:sz w:val="24"/>
                <w:szCs w:val="24"/>
                <w:lang w:val="en-US" w:eastAsia="zh-CN" w:bidi="ar"/>
              </w:rPr>
              <w:t>工程项目名称</w:t>
            </w:r>
          </w:p>
        </w:tc>
        <w:tc>
          <w:tcPr>
            <w:tcW w:w="99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施工工期</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85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512"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w:t>
            </w:r>
            <w:r>
              <w:rPr>
                <w:rFonts w:hint="eastAsia" w:ascii="仿宋" w:hAnsi="仿宋" w:eastAsia="仿宋" w:cs="仿宋"/>
                <w:kern w:val="2"/>
                <w:sz w:val="24"/>
                <w:szCs w:val="24"/>
                <w:lang w:val="en-US" w:eastAsia="zh-CN" w:bidi="ar"/>
              </w:rPr>
              <w:t>开标时，现场工作人员当众拆封，并宣布投标人名称、投标总价合计金额。</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kern w:val="0"/>
          <w:sz w:val="18"/>
          <w:szCs w:val="18"/>
          <w:lang w:val="en-US"/>
        </w:rPr>
      </w:pPr>
      <w:r>
        <w:rPr>
          <w:rFonts w:hint="eastAsia" w:ascii="宋体" w:hAnsi="Calibri" w:eastAsia="宋体" w:cs="Arial"/>
          <w:kern w:val="0"/>
          <w:sz w:val="18"/>
          <w:szCs w:val="18"/>
          <w:lang w:val="en-US" w:eastAsia="zh-CN" w:bidi="ar"/>
        </w:rPr>
        <w:t xml:space="preserve"> </w:t>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pPr>
      <w:r>
        <w:rPr>
          <w:rFonts w:hint="eastAsia" w:ascii="Calibri" w:hAnsi="Calibri" w:eastAsia="宋体" w:cs="宋体"/>
          <w:kern w:val="2"/>
          <w:sz w:val="21"/>
          <w:szCs w:val="21"/>
          <w:lang w:val="en-US" w:eastAsia="zh-CN" w:bidi="ar"/>
        </w:rPr>
        <w:t>注：</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left"/>
        <w:rPr>
          <w:rFonts w:hint="eastAsia" w:ascii="仿宋" w:hAnsi="仿宋" w:eastAsia="仿宋" w:cs="仿宋"/>
          <w:sz w:val="28"/>
          <w:szCs w:val="28"/>
          <w:lang w:val="en-US"/>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、未按采购文件要求填写的中小企业声明函，不享受价格扣除优惠政策</w:t>
      </w: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w:t>
      </w:r>
      <w:bookmarkStart w:id="43" w:name="_GoBack"/>
      <w:bookmarkEnd w:id="43"/>
      <w:r>
        <w:rPr>
          <w:rFonts w:hint="eastAsia" w:ascii="仿宋" w:hAnsi="仿宋" w:eastAsia="仿宋" w:cs="仿宋"/>
          <w:kern w:val="2"/>
          <w:sz w:val="28"/>
          <w:szCs w:val="28"/>
          <w:lang w:val="en-US" w:eastAsia="zh-CN" w:bidi="ar"/>
        </w:rPr>
        <w:t>（承接）企业为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57</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3211F"/>
    <w:multiLevelType w:val="multilevel"/>
    <w:tmpl w:val="BCD3211F"/>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677C958"/>
    <w:multiLevelType w:val="multilevel"/>
    <w:tmpl w:val="C677C958"/>
    <w:lvl w:ilvl="0" w:tentative="0">
      <w:start w:val="1"/>
      <w:numFmt w:val="decimal"/>
      <w:lvlText w:val="%1."/>
      <w:lvlJc w:val="left"/>
      <w:pPr>
        <w:tabs>
          <w:tab w:val="left" w:pos="360"/>
        </w:tabs>
        <w:ind w:left="360" w:hanging="360" w:hangingChars="2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388134"/>
    <w:multiLevelType w:val="multilevel"/>
    <w:tmpl w:val="20388134"/>
    <w:lvl w:ilvl="0" w:tentative="0">
      <w:start w:val="1"/>
      <w:numFmt w:val="decimal"/>
      <w:lvlText w:val="%1."/>
      <w:lvlJc w:val="left"/>
      <w:pPr>
        <w:ind w:left="960" w:hanging="36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9">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4"/>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1"/>
  </w:num>
  <w:num w:numId="8">
    <w:abstractNumId w:val="24"/>
  </w:num>
  <w:num w:numId="9">
    <w:abstractNumId w:val="29"/>
    <w:lvlOverride w:ilvl="0">
      <w:startOverride w:val="1"/>
    </w:lvlOverride>
  </w:num>
  <w:num w:numId="10">
    <w:abstractNumId w:val="10"/>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27"/>
  </w:num>
  <w:num w:numId="15">
    <w:abstractNumId w:val="21"/>
  </w:num>
  <w:num w:numId="16">
    <w:abstractNumId w:val="18"/>
  </w:num>
  <w:num w:numId="17">
    <w:abstractNumId w:val="6"/>
  </w:num>
  <w:num w:numId="18">
    <w:abstractNumId w:val="25"/>
  </w:num>
  <w:num w:numId="19">
    <w:abstractNumId w:val="8"/>
  </w:num>
  <w:num w:numId="20">
    <w:abstractNumId w:val="16"/>
  </w:num>
  <w:num w:numId="21">
    <w:abstractNumId w:val="14"/>
  </w:num>
  <w:num w:numId="22">
    <w:abstractNumId w:val="22"/>
  </w:num>
  <w:num w:numId="23">
    <w:abstractNumId w:val="9"/>
  </w:num>
  <w:num w:numId="24">
    <w:abstractNumId w:val="30"/>
  </w:num>
  <w:num w:numId="25">
    <w:abstractNumId w:val="5"/>
  </w:num>
  <w:num w:numId="26">
    <w:abstractNumId w:val="28"/>
  </w:num>
  <w:num w:numId="27">
    <w:abstractNumId w:val="23"/>
  </w:num>
  <w:num w:numId="28">
    <w:abstractNumId w:val="12"/>
  </w:num>
  <w:num w:numId="29">
    <w:abstractNumId w:val="26"/>
  </w:num>
  <w:num w:numId="30">
    <w:abstractNumId w:val="1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20EF4A8A"/>
    <w:rsid w:val="462C512F"/>
    <w:rsid w:val="491E5B8D"/>
    <w:rsid w:val="4A5629B1"/>
    <w:rsid w:val="4D661DA4"/>
    <w:rsid w:val="7D91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0"/>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995"/>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8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001"/>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2"/>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03"/>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04"/>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05"/>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06"/>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pPr>
    <w:rPr>
      <w:rFonts w:ascii="Times New Roman" w:hAnsi="Times New Roman"/>
      <w:szCs w:val="20"/>
    </w:rPr>
  </w:style>
  <w:style w:type="paragraph" w:styleId="12">
    <w:name w:val="toc 7"/>
    <w:basedOn w:val="1"/>
    <w:next w:val="1"/>
    <w:semiHidden/>
    <w:unhideWhenUsed/>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uiPriority w:val="99"/>
    <w:pPr>
      <w:numPr>
        <w:ilvl w:val="0"/>
        <w:numId w:val="2"/>
      </w:numPr>
    </w:pPr>
    <w:rPr>
      <w:rFonts w:ascii="Times New Roman" w:hAnsi="Times New Roman"/>
      <w:szCs w:val="24"/>
    </w:rPr>
  </w:style>
  <w:style w:type="paragraph" w:styleId="16">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08"/>
    <w:semiHidden/>
    <w:unhideWhenUsed/>
    <w:uiPriority w:val="99"/>
    <w:pPr>
      <w:ind w:firstLine="420"/>
    </w:pPr>
    <w:rPr>
      <w:szCs w:val="20"/>
    </w:rPr>
  </w:style>
  <w:style w:type="paragraph" w:styleId="18">
    <w:name w:val="caption"/>
    <w:basedOn w:val="1"/>
    <w:next w:val="1"/>
    <w:link w:val="1011"/>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9"/>
    <w:semiHidden/>
    <w:unhideWhenUsed/>
    <w:uiPriority w:val="99"/>
    <w:rPr>
      <w:rFonts w:ascii="宋体"/>
      <w:sz w:val="18"/>
      <w:szCs w:val="18"/>
    </w:rPr>
  </w:style>
  <w:style w:type="paragraph" w:styleId="21">
    <w:name w:val="annotation text"/>
    <w:basedOn w:val="1"/>
    <w:link w:val="990"/>
    <w:semiHidden/>
    <w:unhideWhenUsed/>
    <w:uiPriority w:val="99"/>
    <w:pPr>
      <w:jc w:val="left"/>
    </w:pPr>
  </w:style>
  <w:style w:type="paragraph" w:styleId="22">
    <w:name w:val="Salutation"/>
    <w:basedOn w:val="1"/>
    <w:next w:val="1"/>
    <w:link w:val="997"/>
    <w:semiHidden/>
    <w:unhideWhenUsed/>
    <w:uiPriority w:val="99"/>
    <w:rPr>
      <w:rFonts w:ascii="宋体" w:hAnsi="Times New Roman"/>
      <w:b/>
      <w:sz w:val="28"/>
      <w:szCs w:val="20"/>
    </w:rPr>
  </w:style>
  <w:style w:type="paragraph" w:styleId="23">
    <w:name w:val="Body Text 3"/>
    <w:basedOn w:val="1"/>
    <w:link w:val="1010"/>
    <w:semiHidden/>
    <w:unhideWhenUsed/>
    <w:uiPriority w:val="99"/>
    <w:pPr>
      <w:snapToGrid w:val="0"/>
      <w:spacing w:before="50" w:after="50"/>
    </w:pPr>
    <w:rPr>
      <w:rFonts w:ascii="Times New Roman" w:hAnsi="宋体" w:eastAsia="仿宋_GB2312"/>
      <w:b/>
      <w:bCs/>
      <w:sz w:val="24"/>
      <w:szCs w:val="20"/>
    </w:rPr>
  </w:style>
  <w:style w:type="paragraph" w:styleId="24">
    <w:name w:val="Body Text"/>
    <w:basedOn w:val="1"/>
    <w:link w:val="992"/>
    <w:semiHidden/>
    <w:unhideWhenUsed/>
    <w:uiPriority w:val="99"/>
    <w:pPr>
      <w:spacing w:after="120"/>
    </w:pPr>
    <w:rPr>
      <w:sz w:val="28"/>
      <w:szCs w:val="24"/>
    </w:rPr>
  </w:style>
  <w:style w:type="paragraph" w:styleId="25">
    <w:name w:val="Body Text Indent"/>
    <w:basedOn w:val="1"/>
    <w:link w:val="104"/>
    <w:semiHidden/>
    <w:unhideWhenUsed/>
    <w:qFormat/>
    <w:uiPriority w:val="0"/>
    <w:pPr>
      <w:spacing w:line="200" w:lineRule="exact"/>
      <w:ind w:firstLine="301"/>
    </w:pPr>
    <w:rPr>
      <w:rFonts w:ascii="宋体" w:hAnsi="Courier New"/>
      <w:spacing w:val="-4"/>
      <w:sz w:val="18"/>
      <w:szCs w:val="20"/>
    </w:rPr>
  </w:style>
  <w:style w:type="paragraph" w:styleId="26">
    <w:name w:val="List Number 3"/>
    <w:basedOn w:val="1"/>
    <w:semiHidden/>
    <w:unhideWhenUsed/>
    <w:uiPriority w:val="99"/>
    <w:pPr>
      <w:numPr>
        <w:ilvl w:val="0"/>
        <w:numId w:val="3"/>
      </w:numPr>
    </w:pPr>
    <w:rPr>
      <w:rFonts w:ascii="Times New Roman" w:hAnsi="Times New Roman"/>
      <w:szCs w:val="24"/>
    </w:rPr>
  </w:style>
  <w:style w:type="paragraph" w:styleId="27">
    <w:name w:val="List 2"/>
    <w:basedOn w:val="1"/>
    <w:semiHidden/>
    <w:unhideWhenUsed/>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uiPriority w:val="39"/>
    <w:pPr>
      <w:ind w:left="840" w:leftChars="400"/>
    </w:pPr>
  </w:style>
  <w:style w:type="paragraph" w:styleId="31">
    <w:name w:val="Plain Text"/>
    <w:basedOn w:val="1"/>
    <w:link w:val="986"/>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uiPriority w:val="99"/>
    <w:pPr>
      <w:numPr>
        <w:ilvl w:val="0"/>
        <w:numId w:val="4"/>
      </w:numPr>
    </w:pPr>
    <w:rPr>
      <w:rFonts w:ascii="Times New Roman" w:hAnsi="Times New Roman"/>
      <w:szCs w:val="24"/>
    </w:rPr>
  </w:style>
  <w:style w:type="paragraph" w:styleId="33">
    <w:name w:val="toc 8"/>
    <w:basedOn w:val="1"/>
    <w:next w:val="1"/>
    <w:semiHidden/>
    <w:unhideWhenUsed/>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987"/>
    <w:semiHidden/>
    <w:unhideWhenUsed/>
    <w:uiPriority w:val="99"/>
    <w:pPr>
      <w:ind w:left="2500" w:leftChars="2500"/>
    </w:pPr>
    <w:rPr>
      <w:rFonts w:eastAsia="楷体_GB2312"/>
      <w:sz w:val="32"/>
      <w:szCs w:val="20"/>
    </w:rPr>
  </w:style>
  <w:style w:type="paragraph" w:styleId="35">
    <w:name w:val="Body Text Indent 2"/>
    <w:basedOn w:val="1"/>
    <w:link w:val="1014"/>
    <w:semiHidden/>
    <w:unhideWhenUsed/>
    <w:uiPriority w:val="99"/>
    <w:pPr>
      <w:snapToGrid w:val="0"/>
      <w:ind w:firstLine="542" w:firstLineChars="225"/>
    </w:pPr>
    <w:rPr>
      <w:rFonts w:ascii="仿宋_GB2312" w:hAnsi="宋体"/>
      <w:b/>
      <w:bCs/>
      <w:color w:val="000000"/>
      <w:sz w:val="24"/>
      <w:szCs w:val="24"/>
    </w:rPr>
  </w:style>
  <w:style w:type="paragraph" w:styleId="36">
    <w:name w:val="endnote text"/>
    <w:basedOn w:val="1"/>
    <w:link w:val="1009"/>
    <w:semiHidden/>
    <w:unhideWhenUsed/>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84"/>
    <w:semiHidden/>
    <w:unhideWhenUsed/>
    <w:uiPriority w:val="99"/>
    <w:rPr>
      <w:sz w:val="18"/>
      <w:szCs w:val="18"/>
    </w:rPr>
  </w:style>
  <w:style w:type="paragraph" w:styleId="38">
    <w:name w:val="footer"/>
    <w:basedOn w:val="1"/>
    <w:link w:val="246"/>
    <w:semiHidden/>
    <w:unhideWhenUsed/>
    <w:qFormat/>
    <w:uiPriority w:val="0"/>
    <w:pPr>
      <w:tabs>
        <w:tab w:val="center" w:pos="4153"/>
        <w:tab w:val="right" w:pos="8306"/>
      </w:tabs>
      <w:snapToGrid w:val="0"/>
      <w:jc w:val="left"/>
    </w:pPr>
    <w:rPr>
      <w:sz w:val="18"/>
      <w:szCs w:val="18"/>
    </w:rPr>
  </w:style>
  <w:style w:type="paragraph" w:styleId="39">
    <w:name w:val="header"/>
    <w:basedOn w:val="1"/>
    <w:link w:val="996"/>
    <w:semiHidden/>
    <w:unhideWhenUsed/>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uiPriority w:val="39"/>
    <w:pPr>
      <w:spacing w:before="240" w:after="240"/>
    </w:pPr>
    <w:rPr>
      <w:rFonts w:ascii="Times New Roman" w:hAnsi="Times New Roman" w:eastAsia="仿宋"/>
      <w:sz w:val="36"/>
      <w:szCs w:val="24"/>
    </w:rPr>
  </w:style>
  <w:style w:type="paragraph" w:styleId="41">
    <w:name w:val="toc 4"/>
    <w:basedOn w:val="1"/>
    <w:next w:val="1"/>
    <w:semiHidden/>
    <w:unhideWhenUsed/>
    <w:uiPriority w:val="39"/>
    <w:pPr>
      <w:ind w:left="1260" w:leftChars="600"/>
    </w:pPr>
  </w:style>
  <w:style w:type="paragraph" w:styleId="42">
    <w:name w:val="Subtitle"/>
    <w:basedOn w:val="1"/>
    <w:next w:val="1"/>
    <w:link w:val="982"/>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uiPriority w:val="99"/>
    <w:pPr>
      <w:ind w:left="200" w:hanging="200" w:hangingChars="200"/>
    </w:pPr>
    <w:rPr>
      <w:rFonts w:ascii="Times New Roman" w:hAnsi="Times New Roman"/>
      <w:sz w:val="28"/>
      <w:szCs w:val="24"/>
    </w:rPr>
  </w:style>
  <w:style w:type="paragraph" w:styleId="44">
    <w:name w:val="footnote text"/>
    <w:basedOn w:val="1"/>
    <w:link w:val="1015"/>
    <w:semiHidden/>
    <w:unhideWhenUsed/>
    <w:uiPriority w:val="99"/>
    <w:pPr>
      <w:snapToGrid w:val="0"/>
      <w:jc w:val="left"/>
    </w:pPr>
    <w:rPr>
      <w:sz w:val="18"/>
      <w:szCs w:val="18"/>
    </w:rPr>
  </w:style>
  <w:style w:type="paragraph" w:styleId="45">
    <w:name w:val="toc 6"/>
    <w:basedOn w:val="1"/>
    <w:next w:val="1"/>
    <w:semiHidden/>
    <w:unhideWhenUsed/>
    <w:uiPriority w:val="39"/>
    <w:pPr>
      <w:ind w:left="1050"/>
      <w:jc w:val="left"/>
    </w:pPr>
    <w:rPr>
      <w:rFonts w:ascii="Times New Roman" w:hAnsi="Times New Roman"/>
      <w:sz w:val="18"/>
      <w:szCs w:val="18"/>
    </w:rPr>
  </w:style>
  <w:style w:type="paragraph" w:styleId="46">
    <w:name w:val="Body Text Indent 3"/>
    <w:basedOn w:val="1"/>
    <w:link w:val="994"/>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uiPriority w:val="39"/>
    <w:pPr>
      <w:ind w:left="1680"/>
      <w:jc w:val="left"/>
    </w:pPr>
    <w:rPr>
      <w:rFonts w:ascii="Times New Roman" w:hAnsi="Times New Roman"/>
      <w:sz w:val="18"/>
      <w:szCs w:val="18"/>
    </w:rPr>
  </w:style>
  <w:style w:type="paragraph" w:styleId="50">
    <w:name w:val="Body Text 2"/>
    <w:basedOn w:val="1"/>
    <w:link w:val="1007"/>
    <w:semiHidden/>
    <w:unhideWhenUsed/>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9"/>
    <w:semiHidden/>
    <w:unhideWhenUsed/>
    <w:uiPriority w:val="99"/>
    <w:rPr>
      <w:rFonts w:ascii="Courier New" w:hAnsi="Courier New"/>
      <w:sz w:val="20"/>
      <w:szCs w:val="20"/>
    </w:rPr>
  </w:style>
  <w:style w:type="paragraph" w:styleId="5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uiPriority w:val="99"/>
    <w:rPr>
      <w:rFonts w:ascii="Times New Roman" w:hAnsi="Times New Roman"/>
      <w:szCs w:val="20"/>
    </w:rPr>
  </w:style>
  <w:style w:type="paragraph" w:styleId="55">
    <w:name w:val="Title"/>
    <w:basedOn w:val="1"/>
    <w:next w:val="1"/>
    <w:link w:val="985"/>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93"/>
    <w:semiHidden/>
    <w:unhideWhenUsed/>
    <w:uiPriority w:val="99"/>
    <w:rPr>
      <w:b/>
      <w:bCs/>
    </w:rPr>
  </w:style>
  <w:style w:type="paragraph" w:styleId="57">
    <w:name w:val="Body Text First Indent"/>
    <w:basedOn w:val="24"/>
    <w:link w:val="991"/>
    <w:semiHidden/>
    <w:unhideWhenUsed/>
    <w:uiPriority w:val="99"/>
    <w:pPr>
      <w:ind w:firstLine="420" w:firstLineChars="100"/>
    </w:pPr>
    <w:rPr>
      <w:sz w:val="21"/>
      <w:szCs w:val="22"/>
    </w:rPr>
  </w:style>
  <w:style w:type="paragraph" w:styleId="58">
    <w:name w:val="Body Text First Indent 2"/>
    <w:basedOn w:val="25"/>
    <w:next w:val="1"/>
    <w:link w:val="965"/>
    <w:semiHidden/>
    <w:unhideWhenUsed/>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0"/>
  </w:style>
  <w:style w:type="character" w:styleId="67">
    <w:name w:val="FollowedHyperlink"/>
    <w:semiHidden/>
    <w:unhideWhenUsed/>
    <w:uiPriority w:val="99"/>
    <w:rPr>
      <w:color w:val="800080"/>
      <w:u w:val="single"/>
    </w:rPr>
  </w:style>
  <w:style w:type="character" w:styleId="68">
    <w:name w:val="Emphasis"/>
    <w:qFormat/>
    <w:uiPriority w:val="20"/>
    <w:rPr>
      <w:color w:val="CC0033"/>
    </w:rPr>
  </w:style>
  <w:style w:type="character" w:styleId="69">
    <w:name w:val="Hyperlink"/>
    <w:semiHidden/>
    <w:unhideWhenUsed/>
    <w:uiPriority w:val="99"/>
    <w:rPr>
      <w:color w:val="0000FF"/>
      <w:u w:val="single"/>
    </w:rPr>
  </w:style>
  <w:style w:type="character" w:styleId="70">
    <w:name w:val="annotation reference"/>
    <w:semiHidden/>
    <w:unhideWhenUsed/>
    <w:uiPriority w:val="99"/>
    <w:rPr>
      <w:sz w:val="21"/>
      <w:szCs w:val="21"/>
    </w:rPr>
  </w:style>
  <w:style w:type="character" w:styleId="71">
    <w:name w:val="footnote reference"/>
    <w:semiHidden/>
    <w:unhideWhenUsed/>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link w:val="3"/>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0"/>
    <w:rPr>
      <w:rFonts w:ascii="Calibri" w:hAnsi="Calibri" w:eastAsia="宋体" w:cs="Times New Roman"/>
      <w:b/>
      <w:bCs/>
      <w:sz w:val="24"/>
      <w:szCs w:val="24"/>
    </w:rPr>
  </w:style>
  <w:style w:type="character" w:customStyle="1" w:styleId="79">
    <w:name w:val="标题 8 字符"/>
    <w:basedOn w:val="64"/>
    <w:link w:val="9"/>
    <w:qFormat/>
    <w:uiPriority w:val="0"/>
    <w:rPr>
      <w:rFonts w:ascii="Cambria" w:hAnsi="Cambria" w:eastAsia="宋体" w:cs="Times New Roman"/>
      <w:sz w:val="24"/>
      <w:szCs w:val="24"/>
    </w:rPr>
  </w:style>
  <w:style w:type="character" w:customStyle="1" w:styleId="80">
    <w:name w:val="标题 9 字符"/>
    <w:basedOn w:val="64"/>
    <w:link w:val="10"/>
    <w:qFormat/>
    <w:uiPriority w:val="0"/>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0"/>
    <w:rPr>
      <w:rFonts w:ascii="宋体" w:hAnsi="Times New Roman" w:eastAsia="宋体" w:cs="Times New Roman"/>
      <w:b/>
      <w:sz w:val="28"/>
      <w:szCs w:val="20"/>
    </w:rPr>
  </w:style>
  <w:style w:type="character" w:customStyle="1" w:styleId="84">
    <w:name w:val="正文文本 3 字符"/>
    <w:basedOn w:val="64"/>
    <w:link w:val="23"/>
    <w:qFormat/>
    <w:uiPriority w:val="0"/>
    <w:rPr>
      <w:rFonts w:ascii="Times New Roman" w:hAnsi="宋体" w:eastAsia="仿宋_GB2312" w:cs="Times New Roman"/>
      <w:b/>
      <w:bCs/>
      <w:sz w:val="24"/>
      <w:szCs w:val="20"/>
    </w:rPr>
  </w:style>
  <w:style w:type="character" w:customStyle="1" w:styleId="85">
    <w:name w:val="正文文本 字符1"/>
    <w:basedOn w:val="64"/>
    <w:link w:val="24"/>
    <w:qFormat/>
    <w:uiPriority w:val="0"/>
    <w:rPr>
      <w:rFonts w:ascii="Calibri" w:hAnsi="Calibri" w:eastAsia="宋体" w:cs="Times New Roman"/>
      <w:sz w:val="28"/>
      <w:szCs w:val="24"/>
    </w:rPr>
  </w:style>
  <w:style w:type="character" w:customStyle="1" w:styleId="86">
    <w:name w:val="正文文本缩进 字符1"/>
    <w:basedOn w:val="64"/>
    <w:link w:val="25"/>
    <w:qFormat/>
    <w:uiPriority w:val="0"/>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0">
    <w:name w:val="尾注文本 字符"/>
    <w:basedOn w:val="64"/>
    <w:link w:val="36"/>
    <w:qFormat/>
    <w:uiPriority w:val="0"/>
    <w:rPr>
      <w:rFonts w:ascii="宋体" w:hAnsi="Calibri" w:eastAsia="宋体" w:cs="Times New Roman"/>
      <w:snapToGrid w:val="0"/>
      <w:kern w:val="0"/>
      <w:szCs w:val="20"/>
    </w:rPr>
  </w:style>
  <w:style w:type="character" w:customStyle="1" w:styleId="91">
    <w:name w:val="批注框文本 字符"/>
    <w:basedOn w:val="64"/>
    <w:link w:val="37"/>
    <w:qFormat/>
    <w:uiPriority w:val="0"/>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0"/>
    <w:rPr>
      <w:rFonts w:ascii="Calibri" w:hAnsi="Calibri" w:eastAsia="宋体" w:cs="Times New Roman"/>
      <w:sz w:val="28"/>
      <w:szCs w:val="24"/>
    </w:rPr>
  </w:style>
  <w:style w:type="character" w:customStyle="1" w:styleId="103">
    <w:name w:val="正文首行缩进 2 Char"/>
    <w:basedOn w:val="104"/>
    <w:link w:val="105"/>
    <w:qFormat/>
    <w:uiPriority w:val="0"/>
    <w:rPr>
      <w:rFonts w:ascii="宋体" w:hAnsi="Courier New" w:eastAsia="宋体" w:cs="Times New Roman"/>
      <w:spacing w:val="-4"/>
      <w:sz w:val="18"/>
      <w:szCs w:val="20"/>
    </w:rPr>
  </w:style>
  <w:style w:type="character" w:customStyle="1" w:styleId="104">
    <w:name w:val="正文文本缩进 Char"/>
    <w:basedOn w:val="64"/>
    <w:link w:val="25"/>
    <w:semiHidden/>
    <w:qFormat/>
    <w:uiPriority w:val="0"/>
    <w:rPr>
      <w:rFonts w:ascii="Times New Roman" w:hAnsi="Times New Roman" w:eastAsia="宋体" w:cs="Times New Roman"/>
      <w:kern w:val="2"/>
      <w:sz w:val="21"/>
      <w:szCs w:val="24"/>
      <w:lang w:val="en-US" w:eastAsia="zh-CN" w:bidi="ar-SA"/>
    </w:rPr>
  </w:style>
  <w:style w:type="paragraph" w:customStyle="1" w:styleId="105">
    <w:name w:val="正文首行缩进 22"/>
    <w:basedOn w:val="106"/>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5"/>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18"/>
    <w:qFormat/>
    <w:uiPriority w:val="0"/>
    <w:pPr>
      <w:spacing w:beforeLines="50" w:afterLines="50"/>
      <w:jc w:val="center"/>
    </w:pPr>
    <w:rPr>
      <w:rFonts w:ascii="Times New Roman" w:hAnsi="Times New Roman"/>
      <w:kern w:val="0"/>
      <w:sz w:val="24"/>
      <w:szCs w:val="24"/>
    </w:rPr>
  </w:style>
  <w:style w:type="paragraph" w:styleId="4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6"/>
    <w:qFormat/>
    <w:uiPriority w:val="0"/>
    <w:pPr>
      <w:numPr>
        <w:ilvl w:val="1"/>
        <w:numId w:val="5"/>
      </w:numPr>
      <w:tabs>
        <w:tab w:val="left" w:pos="2040"/>
      </w:tabs>
      <w:spacing w:after="120"/>
      <w:ind w:left="0" w:firstLine="0"/>
    </w:pPr>
  </w:style>
  <w:style w:type="paragraph" w:customStyle="1" w:styleId="437">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3"/>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3"/>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5"/>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3"/>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link w:val="3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uiPriority w:val="0"/>
    <w:rPr>
      <w:rFonts w:ascii="Arial" w:hAnsi="Arial" w:cs="Arial"/>
      <w:vanish/>
      <w:sz w:val="16"/>
      <w:szCs w:val="16"/>
    </w:rPr>
  </w:style>
  <w:style w:type="paragraph" w:customStyle="1" w:styleId="896">
    <w:name w:val="HTML Bottom of Form"/>
    <w:basedOn w:val="1"/>
    <w:next w:val="1"/>
    <w:link w:val="895"/>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uiPriority w:val="0"/>
    <w:rPr>
      <w:rFonts w:ascii="Arial" w:hAnsi="Arial" w:cs="Arial"/>
      <w:vanish/>
      <w:sz w:val="16"/>
      <w:szCs w:val="16"/>
    </w:rPr>
  </w:style>
  <w:style w:type="paragraph" w:customStyle="1" w:styleId="899">
    <w:name w:val="HTML Top of Form"/>
    <w:basedOn w:val="1"/>
    <w:next w:val="1"/>
    <w:link w:val="898"/>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uiPriority w:val="99"/>
    <w:rPr>
      <w:rFonts w:ascii="Arial" w:hAnsi="Arial" w:eastAsia="宋体" w:cs="Arial"/>
      <w:vanish/>
      <w:sz w:val="16"/>
      <w:szCs w:val="16"/>
    </w:rPr>
  </w:style>
  <w:style w:type="character" w:customStyle="1" w:styleId="903">
    <w:name w:val="z-窗体顶端 Char1"/>
    <w:basedOn w:val="64"/>
    <w:semiHidden/>
    <w:uiPriority w:val="99"/>
    <w:rPr>
      <w:rFonts w:ascii="Arial" w:hAnsi="Arial" w:eastAsia="宋体" w:cs="Arial"/>
      <w:vanish/>
      <w:sz w:val="16"/>
      <w:szCs w:val="16"/>
    </w:rPr>
  </w:style>
  <w:style w:type="paragraph" w:customStyle="1" w:styleId="904">
    <w:name w:val="Revision"/>
    <w:semiHidden/>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6"/>
    <w:qFormat/>
    <w:uiPriority w:val="99"/>
    <w:rPr>
      <w:rFonts w:ascii="Calibri" w:hAnsi="Calibri" w:eastAsia="宋体" w:cs="Times New Roman"/>
      <w:b/>
      <w:bCs/>
    </w:rPr>
  </w:style>
  <w:style w:type="character" w:customStyle="1" w:styleId="965">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0"/>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0"/>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uiPriority w:val="0"/>
  </w:style>
  <w:style w:type="character" w:customStyle="1" w:styleId="982">
    <w:name w:val="副标题 Char"/>
    <w:basedOn w:val="64"/>
    <w:link w:val="42"/>
    <w:qFormat/>
    <w:uiPriority w:val="11"/>
    <w:rPr>
      <w:rFonts w:ascii="Cambria" w:hAnsi="Cambria" w:eastAsia="宋体" w:cs="Times New Roman"/>
      <w:b/>
      <w:bCs/>
      <w:kern w:val="28"/>
      <w:sz w:val="32"/>
      <w:szCs w:val="32"/>
      <w:lang w:val="en-US" w:eastAsia="zh-CN" w:bidi="ar-SA"/>
    </w:rPr>
  </w:style>
  <w:style w:type="character" w:customStyle="1" w:styleId="983">
    <w:name w:val="txt2"/>
    <w:basedOn w:val="64"/>
    <w:uiPriority w:val="0"/>
    <w:rPr>
      <w:rFonts w:ascii="Times New Roman" w:hAnsi="Times New Roman" w:eastAsia="宋体" w:cs="Times New Roman"/>
      <w:lang w:val="en-US" w:eastAsia="zh-CN" w:bidi="ar-SA"/>
    </w:rPr>
  </w:style>
  <w:style w:type="character" w:customStyle="1" w:styleId="984">
    <w:name w:val="批注框文本 Char"/>
    <w:basedOn w:val="64"/>
    <w:link w:val="37"/>
    <w:semiHidden/>
    <w:uiPriority w:val="99"/>
    <w:rPr>
      <w:rFonts w:ascii="Times New Roman" w:hAnsi="Times New Roman" w:eastAsia="宋体" w:cs="Times New Roman"/>
      <w:kern w:val="2"/>
      <w:sz w:val="18"/>
      <w:szCs w:val="18"/>
      <w:lang w:val="en-US" w:eastAsia="zh-CN" w:bidi="ar-SA"/>
    </w:rPr>
  </w:style>
  <w:style w:type="character" w:customStyle="1" w:styleId="985">
    <w:name w:val="标题 Char"/>
    <w:basedOn w:val="64"/>
    <w:link w:val="55"/>
    <w:uiPriority w:val="10"/>
    <w:rPr>
      <w:rFonts w:eastAsia="宋体" w:asciiTheme="majorHAnsi" w:hAnsiTheme="majorHAnsi" w:cstheme="majorBidi"/>
      <w:b/>
      <w:bCs/>
      <w:kern w:val="2"/>
      <w:sz w:val="32"/>
      <w:szCs w:val="32"/>
      <w:lang w:val="en-US" w:eastAsia="zh-CN" w:bidi="ar-SA"/>
    </w:rPr>
  </w:style>
  <w:style w:type="character" w:customStyle="1" w:styleId="986">
    <w:name w:val="纯文本 Char"/>
    <w:basedOn w:val="64"/>
    <w:link w:val="31"/>
    <w:semiHidden/>
    <w:uiPriority w:val="99"/>
    <w:rPr>
      <w:rFonts w:ascii="宋体" w:hAnsi="Courier New" w:eastAsia="宋体" w:cs="Courier New"/>
      <w:kern w:val="2"/>
      <w:sz w:val="21"/>
      <w:szCs w:val="21"/>
      <w:lang w:val="en-US" w:eastAsia="zh-CN" w:bidi="ar-SA"/>
    </w:rPr>
  </w:style>
  <w:style w:type="character" w:customStyle="1" w:styleId="987">
    <w:name w:val="日期 Char"/>
    <w:basedOn w:val="64"/>
    <w:link w:val="34"/>
    <w:uiPriority w:val="0"/>
    <w:rPr>
      <w:rFonts w:hint="default" w:ascii="Calibri" w:hAnsi="Calibri" w:eastAsia="楷体_GB2312" w:cs="Times New Roman"/>
      <w:sz w:val="32"/>
      <w:szCs w:val="32"/>
    </w:rPr>
  </w:style>
  <w:style w:type="character" w:customStyle="1" w:styleId="988">
    <w:name w:val="标题 3 Char"/>
    <w:basedOn w:val="64"/>
    <w:link w:val="4"/>
    <w:uiPriority w:val="0"/>
    <w:rPr>
      <w:rFonts w:hint="default" w:ascii="Calibri" w:hAnsi="Calibri" w:eastAsia="宋体" w:cs="Times New Roman"/>
      <w:b/>
      <w:sz w:val="32"/>
      <w:szCs w:val="32"/>
    </w:rPr>
  </w:style>
  <w:style w:type="character" w:customStyle="1" w:styleId="989">
    <w:name w:val="HTML 预设格式 Char"/>
    <w:basedOn w:val="64"/>
    <w:link w:val="52"/>
    <w:uiPriority w:val="0"/>
    <w:rPr>
      <w:rFonts w:hint="default" w:ascii="Courier New" w:hAnsi="Courier New" w:eastAsia="宋体" w:cs="Times New Roman"/>
      <w:sz w:val="20"/>
      <w:szCs w:val="20"/>
    </w:rPr>
  </w:style>
  <w:style w:type="character" w:customStyle="1" w:styleId="990">
    <w:name w:val="批注文字 Char"/>
    <w:basedOn w:val="64"/>
    <w:link w:val="21"/>
    <w:uiPriority w:val="0"/>
    <w:rPr>
      <w:rFonts w:hint="default" w:ascii="Calibri" w:hAnsi="Calibri" w:eastAsia="宋体" w:cs="Times New Roman"/>
    </w:rPr>
  </w:style>
  <w:style w:type="character" w:customStyle="1" w:styleId="991">
    <w:name w:val="正文首行缩进 Char"/>
    <w:basedOn w:val="992"/>
    <w:link w:val="57"/>
    <w:uiPriority w:val="0"/>
    <w:rPr>
      <w:rFonts w:hint="default" w:ascii="Calibri" w:hAnsi="Calibri" w:eastAsia="宋体" w:cs="Times New Roman"/>
      <w:sz w:val="28"/>
      <w:szCs w:val="24"/>
    </w:rPr>
  </w:style>
  <w:style w:type="character" w:customStyle="1" w:styleId="992">
    <w:name w:val="正文文本 Char"/>
    <w:basedOn w:val="64"/>
    <w:link w:val="24"/>
    <w:uiPriority w:val="0"/>
    <w:rPr>
      <w:rFonts w:hint="default" w:ascii="Calibri" w:hAnsi="Calibri" w:eastAsia="宋体" w:cs="Times New Roman"/>
      <w:sz w:val="28"/>
      <w:szCs w:val="24"/>
    </w:rPr>
  </w:style>
  <w:style w:type="character" w:customStyle="1" w:styleId="993">
    <w:name w:val="批注主题 Char1"/>
    <w:basedOn w:val="990"/>
    <w:link w:val="56"/>
    <w:uiPriority w:val="0"/>
    <w:rPr>
      <w:rFonts w:hint="default" w:ascii="Calibri" w:hAnsi="Calibri" w:eastAsia="宋体" w:cs="Times New Roman"/>
      <w:b/>
    </w:rPr>
  </w:style>
  <w:style w:type="character" w:customStyle="1" w:styleId="994">
    <w:name w:val="正文文本缩进 3 Char"/>
    <w:basedOn w:val="64"/>
    <w:link w:val="46"/>
    <w:uiPriority w:val="0"/>
    <w:rPr>
      <w:rFonts w:hint="eastAsia" w:ascii="仿宋_GB2312" w:hAnsi="宋体" w:eastAsia="仿宋_GB2312" w:cs="Times New Roman"/>
      <w:color w:val="000000"/>
      <w:sz w:val="24"/>
      <w:szCs w:val="24"/>
    </w:rPr>
  </w:style>
  <w:style w:type="character" w:customStyle="1" w:styleId="995">
    <w:name w:val="标题 2 Char1"/>
    <w:basedOn w:val="64"/>
    <w:link w:val="3"/>
    <w:uiPriority w:val="0"/>
    <w:rPr>
      <w:rFonts w:hint="default" w:ascii="Arial" w:hAnsi="Arial" w:eastAsia="黑体" w:cs="Times New Roman"/>
      <w:b/>
      <w:sz w:val="32"/>
      <w:szCs w:val="32"/>
    </w:rPr>
  </w:style>
  <w:style w:type="character" w:customStyle="1" w:styleId="996">
    <w:name w:val="页眉 Char1"/>
    <w:basedOn w:val="64"/>
    <w:link w:val="39"/>
    <w:uiPriority w:val="0"/>
    <w:rPr>
      <w:rFonts w:hint="default" w:ascii="Calibri" w:hAnsi="Calibri" w:eastAsia="宋体" w:cs="Times New Roman"/>
      <w:sz w:val="18"/>
      <w:szCs w:val="18"/>
    </w:rPr>
  </w:style>
  <w:style w:type="character" w:customStyle="1" w:styleId="997">
    <w:name w:val="称呼 Char"/>
    <w:basedOn w:val="64"/>
    <w:link w:val="22"/>
    <w:uiPriority w:val="0"/>
    <w:rPr>
      <w:rFonts w:hint="eastAsia" w:ascii="宋体" w:hAnsi="Times New Roman" w:eastAsia="宋体" w:cs="Times New Roman"/>
      <w:b/>
      <w:sz w:val="28"/>
      <w:szCs w:val="20"/>
    </w:rPr>
  </w:style>
  <w:style w:type="character" w:customStyle="1" w:styleId="998">
    <w:name w:val="msoplaceholdertext"/>
    <w:basedOn w:val="64"/>
    <w:uiPriority w:val="0"/>
    <w:rPr>
      <w:color w:val="808080"/>
    </w:rPr>
  </w:style>
  <w:style w:type="character" w:customStyle="1" w:styleId="999">
    <w:name w:val="文档结构图 Char"/>
    <w:basedOn w:val="64"/>
    <w:link w:val="20"/>
    <w:uiPriority w:val="0"/>
    <w:rPr>
      <w:rFonts w:hint="eastAsia" w:ascii="宋体" w:hAnsi="Calibri" w:eastAsia="宋体" w:cs="Times New Roman"/>
      <w:sz w:val="18"/>
      <w:szCs w:val="18"/>
    </w:rPr>
  </w:style>
  <w:style w:type="character" w:customStyle="1" w:styleId="1000">
    <w:name w:val="标题 1 Char"/>
    <w:basedOn w:val="64"/>
    <w:link w:val="2"/>
    <w:uiPriority w:val="0"/>
    <w:rPr>
      <w:rFonts w:hint="default" w:ascii="Calibri" w:hAnsi="Calibri" w:eastAsia="隶书" w:cs="Times New Roman"/>
      <w:b/>
      <w:kern w:val="0"/>
      <w:sz w:val="36"/>
      <w:szCs w:val="36"/>
    </w:rPr>
  </w:style>
  <w:style w:type="character" w:customStyle="1" w:styleId="1001">
    <w:name w:val="标题 4 Char"/>
    <w:basedOn w:val="64"/>
    <w:link w:val="5"/>
    <w:uiPriority w:val="0"/>
    <w:rPr>
      <w:rFonts w:hint="default" w:ascii="Arial" w:hAnsi="Arial" w:eastAsia="黑体" w:cs="Times New Roman"/>
      <w:b/>
      <w:sz w:val="28"/>
      <w:szCs w:val="28"/>
    </w:rPr>
  </w:style>
  <w:style w:type="character" w:customStyle="1" w:styleId="1002">
    <w:name w:val="标题 5 Char"/>
    <w:basedOn w:val="64"/>
    <w:link w:val="6"/>
    <w:uiPriority w:val="0"/>
    <w:rPr>
      <w:rFonts w:hint="default" w:ascii="Calibri" w:hAnsi="Calibri" w:eastAsia="宋体" w:cs="Times New Roman"/>
      <w:b/>
      <w:sz w:val="28"/>
      <w:szCs w:val="28"/>
    </w:rPr>
  </w:style>
  <w:style w:type="character" w:customStyle="1" w:styleId="1003">
    <w:name w:val="标题 6 Char"/>
    <w:basedOn w:val="64"/>
    <w:link w:val="7"/>
    <w:uiPriority w:val="0"/>
    <w:rPr>
      <w:rFonts w:hint="default" w:ascii="Arial" w:hAnsi="Arial" w:eastAsia="黑体" w:cs="Times New Roman"/>
      <w:b/>
      <w:sz w:val="24"/>
      <w:szCs w:val="24"/>
    </w:rPr>
  </w:style>
  <w:style w:type="character" w:customStyle="1" w:styleId="1004">
    <w:name w:val="标题 7 Char"/>
    <w:basedOn w:val="64"/>
    <w:link w:val="8"/>
    <w:uiPriority w:val="0"/>
    <w:rPr>
      <w:rFonts w:hint="default" w:ascii="Calibri" w:hAnsi="Calibri" w:eastAsia="宋体" w:cs="Times New Roman"/>
      <w:b/>
      <w:sz w:val="24"/>
      <w:szCs w:val="24"/>
    </w:rPr>
  </w:style>
  <w:style w:type="character" w:customStyle="1" w:styleId="1005">
    <w:name w:val="标题 8 Char"/>
    <w:basedOn w:val="64"/>
    <w:link w:val="9"/>
    <w:uiPriority w:val="0"/>
    <w:rPr>
      <w:rFonts w:hint="default" w:ascii="Cambria" w:hAnsi="Cambria" w:eastAsia="宋体" w:cs="Times New Roman"/>
      <w:sz w:val="24"/>
      <w:szCs w:val="24"/>
    </w:rPr>
  </w:style>
  <w:style w:type="character" w:customStyle="1" w:styleId="1006">
    <w:name w:val="标题 9 Char"/>
    <w:basedOn w:val="64"/>
    <w:link w:val="10"/>
    <w:uiPriority w:val="0"/>
    <w:rPr>
      <w:rFonts w:hint="default" w:ascii="Cambria" w:hAnsi="Cambria" w:eastAsia="宋体" w:cs="Times New Roman"/>
      <w:szCs w:val="21"/>
    </w:rPr>
  </w:style>
  <w:style w:type="character" w:customStyle="1" w:styleId="1007">
    <w:name w:val="正文文本 2 Char"/>
    <w:basedOn w:val="64"/>
    <w:link w:val="50"/>
    <w:uiPriority w:val="0"/>
    <w:rPr>
      <w:rFonts w:hint="eastAsia" w:ascii="宋体" w:hAnsi="宋体" w:eastAsia="宋体" w:cs="Times New Roman"/>
      <w:color w:val="000000"/>
      <w:sz w:val="24"/>
      <w:szCs w:val="24"/>
    </w:rPr>
  </w:style>
  <w:style w:type="character" w:customStyle="1" w:styleId="1008">
    <w:name w:val="正文缩进 Char"/>
    <w:basedOn w:val="64"/>
    <w:link w:val="17"/>
    <w:uiPriority w:val="0"/>
    <w:rPr>
      <w:rFonts w:hint="default" w:ascii="Calibri" w:hAnsi="Calibri" w:eastAsia="宋体" w:cs="Times New Roman"/>
      <w:szCs w:val="21"/>
    </w:rPr>
  </w:style>
  <w:style w:type="character" w:customStyle="1" w:styleId="1009">
    <w:name w:val="尾注文本 Char"/>
    <w:basedOn w:val="64"/>
    <w:link w:val="36"/>
    <w:uiPriority w:val="0"/>
    <w:rPr>
      <w:rFonts w:hint="eastAsia" w:ascii="宋体" w:hAnsi="Calibri" w:eastAsia="宋体" w:cs="Times New Roman"/>
      <w:snapToGrid w:val="0"/>
      <w:kern w:val="0"/>
      <w:szCs w:val="20"/>
    </w:rPr>
  </w:style>
  <w:style w:type="character" w:customStyle="1" w:styleId="1010">
    <w:name w:val="正文文本 3 Char"/>
    <w:basedOn w:val="64"/>
    <w:link w:val="23"/>
    <w:uiPriority w:val="0"/>
    <w:rPr>
      <w:rFonts w:hint="default" w:ascii="Times New Roman" w:hAnsi="宋体" w:eastAsia="仿宋_GB2312" w:cs="Times New Roman"/>
      <w:b/>
      <w:sz w:val="24"/>
      <w:szCs w:val="24"/>
    </w:rPr>
  </w:style>
  <w:style w:type="character" w:customStyle="1" w:styleId="1011">
    <w:name w:val="题注 Char"/>
    <w:basedOn w:val="64"/>
    <w:link w:val="18"/>
    <w:uiPriority w:val="0"/>
    <w:rPr>
      <w:rFonts w:hint="default" w:ascii="Arial" w:hAnsi="Arial" w:eastAsia="黑体" w:cs="Times New Roman"/>
      <w:sz w:val="20"/>
      <w:szCs w:val="20"/>
    </w:rPr>
  </w:style>
  <w:style w:type="character" w:customStyle="1" w:styleId="1012">
    <w:name w:val="10"/>
    <w:basedOn w:val="64"/>
    <w:uiPriority w:val="0"/>
    <w:rPr>
      <w:rFonts w:hint="default" w:ascii="Calibri" w:hAnsi="Calibri" w:cs="Calibri"/>
    </w:rPr>
  </w:style>
  <w:style w:type="character" w:customStyle="1" w:styleId="1013">
    <w:name w:val="16"/>
    <w:basedOn w:val="64"/>
    <w:uiPriority w:val="0"/>
    <w:rPr>
      <w:rFonts w:hint="default" w:ascii="Calibri" w:hAnsi="Calibri" w:cs="Calibri"/>
    </w:rPr>
  </w:style>
  <w:style w:type="character" w:customStyle="1" w:styleId="1014">
    <w:name w:val="正文文本缩进 2 Char"/>
    <w:basedOn w:val="64"/>
    <w:link w:val="35"/>
    <w:uiPriority w:val="0"/>
    <w:rPr>
      <w:rFonts w:hint="eastAsia" w:ascii="仿宋_GB2312" w:hAnsi="宋体" w:eastAsia="宋体" w:cs="Times New Roman"/>
      <w:b/>
      <w:color w:val="000000"/>
      <w:sz w:val="24"/>
      <w:szCs w:val="24"/>
    </w:rPr>
  </w:style>
  <w:style w:type="character" w:customStyle="1" w:styleId="1015">
    <w:name w:val="脚注文本 Char"/>
    <w:basedOn w:val="64"/>
    <w:link w:val="44"/>
    <w:uiPriority w:val="0"/>
    <w:rPr>
      <w:rFonts w:hint="default" w:ascii="Calibri" w:hAnsi="Calibri" w:eastAsia="宋体" w:cs="Times New Roman"/>
      <w:sz w:val="18"/>
      <w:szCs w:val="18"/>
    </w:rPr>
  </w:style>
  <w:style w:type="character" w:customStyle="1" w:styleId="1016">
    <w:name w:val="列出段落 Char"/>
    <w:basedOn w:val="64"/>
    <w:uiPriority w:val="0"/>
  </w:style>
  <w:style w:type="character" w:customStyle="1" w:styleId="1017">
    <w:name w:val="页脚 Char1"/>
    <w:basedOn w:val="64"/>
    <w:uiPriority w:val="0"/>
    <w:rPr>
      <w:rFonts w:hint="default" w:ascii="Calibri" w:hAnsi="Calibri" w:eastAsia="宋体" w:cs="Times New Roman"/>
      <w:sz w:val="18"/>
      <w:szCs w:val="18"/>
    </w:rPr>
  </w:style>
  <w:style w:type="character" w:customStyle="1" w:styleId="1018">
    <w:name w:val="msosubtlereference"/>
    <w:basedOn w:val="64"/>
    <w:uiPriority w:val="0"/>
    <w:rPr>
      <w:smallCaps/>
      <w:color w:val="C0504D"/>
      <w:u w:val="single"/>
    </w:rPr>
  </w:style>
  <w:style w:type="character" w:customStyle="1" w:styleId="1019">
    <w:name w:val="z-窗体底端 Char"/>
    <w:basedOn w:val="64"/>
    <w:uiPriority w:val="0"/>
    <w:rPr>
      <w:rFonts w:hint="default" w:ascii="Arial" w:hAnsi="Arial" w:cs="Arial"/>
      <w:vanish/>
      <w:sz w:val="16"/>
      <w:szCs w:val="16"/>
    </w:rPr>
  </w:style>
  <w:style w:type="character" w:customStyle="1" w:styleId="1020">
    <w:name w:val="z-窗体顶端 Char"/>
    <w:basedOn w:val="64"/>
    <w:uiPriority w:val="0"/>
    <w:rPr>
      <w:rFonts w:hint="default" w:ascii="Arial" w:hAnsi="Arial" w:cs="Arial"/>
      <w:vanish/>
      <w:sz w:val="16"/>
      <w:szCs w:val="16"/>
    </w:rPr>
  </w:style>
  <w:style w:type="character" w:customStyle="1" w:styleId="1021">
    <w:name w:val="书籍标题2"/>
    <w:basedOn w:val="64"/>
    <w:uiPriority w:val="0"/>
    <w:rPr>
      <w:b/>
      <w:smallCaps/>
      <w:spacing w:val="5"/>
    </w:rPr>
  </w:style>
  <w:style w:type="character" w:customStyle="1" w:styleId="1022">
    <w:name w:val="明显参考2"/>
    <w:basedOn w:val="64"/>
    <w:uiPriority w:val="0"/>
    <w:rPr>
      <w:b/>
      <w:sz w:val="24"/>
      <w:u w:val="single"/>
    </w:rPr>
  </w:style>
  <w:style w:type="character" w:customStyle="1" w:styleId="1023">
    <w:name w:val="不明显参考2"/>
    <w:basedOn w:val="64"/>
    <w:uiPriority w:val="0"/>
    <w:rPr>
      <w:smallCaps/>
      <w:color w:val="C0504D"/>
      <w:u w:val="single"/>
    </w:rPr>
  </w:style>
  <w:style w:type="character" w:customStyle="1" w:styleId="1024">
    <w:name w:val="正文首行缩进 2 Char1"/>
    <w:uiPriority w:val="0"/>
    <w:rPr>
      <w:rFonts w:hint="default" w:ascii="Times New Roman" w:hAnsi="Times New Roman" w:eastAsia="宋体" w:cs="Times New Roman"/>
      <w:spacing w:val="-4"/>
      <w:sz w:val="18"/>
      <w:szCs w:val="20"/>
    </w:rPr>
  </w:style>
  <w:style w:type="character" w:customStyle="1" w:styleId="1025">
    <w:name w:val="msobooktitle"/>
    <w:basedOn w:val="64"/>
    <w:uiPriority w:val="0"/>
    <w:rPr>
      <w:b/>
      <w:smallCaps/>
      <w:spacing w:val="5"/>
    </w:rPr>
  </w:style>
  <w:style w:type="character" w:customStyle="1" w:styleId="1026">
    <w:name w:val="msoplaceholdertext1"/>
    <w:basedOn w:val="64"/>
    <w:uiPriority w:val="0"/>
    <w:rPr>
      <w:color w:val="808080"/>
    </w:rPr>
  </w:style>
  <w:style w:type="character" w:customStyle="1" w:styleId="1027">
    <w:name w:val="msointensereference"/>
    <w:basedOn w:val="64"/>
    <w:uiPriority w:val="0"/>
    <w:rPr>
      <w:b/>
      <w:sz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42832</Words>
  <Characters>48971</Characters>
  <Lines>232</Lines>
  <Paragraphs>65</Paragraphs>
  <TotalTime>2</TotalTime>
  <ScaleCrop>false</ScaleCrop>
  <LinksUpToDate>false</LinksUpToDate>
  <CharactersWithSpaces>51502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2022-06-02T07:24:00Z</dcterms:created>
  <dc:creator>william</dc:creator>
  <cp:lastModifiedBy>Administrator</cp:lastModifiedBy>
  <cp:lastPrinted>2022-06-02T06:32:00Z</cp:lastPrinted>
  <dcterms:modified xsi:type="dcterms:W3CDTF">2022-08-31T07:47:34Z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