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ascii="宋体" w:hAnsi="宋体"/>
          <w:sz w:val="36"/>
          <w:szCs w:val="36"/>
        </w:rPr>
      </w:pPr>
      <w:r>
        <w:t>浙江药科职业大学物业管理服务项目</w:t>
      </w:r>
    </w:p>
    <w:p>
      <w:pPr>
        <w:spacing w:before="240" w:beforeLines="100" w:line="360" w:lineRule="auto"/>
        <w:ind w:right="-108"/>
        <w:jc w:val="center"/>
        <w:rPr>
          <w:rFonts w:ascii="宋体" w:hAnsi="宋体"/>
          <w:b/>
          <w:spacing w:val="40"/>
          <w:sz w:val="84"/>
          <w:szCs w:val="84"/>
        </w:rPr>
      </w:pPr>
      <w:r>
        <w:t>项目编号：ZZCG2022D-GK-130</w:t>
      </w:r>
    </w:p>
    <w:p>
      <w:pPr>
        <w:spacing w:before="240" w:beforeLines="100" w:after="100" w:afterAutospacing="1" w:line="800" w:lineRule="exact"/>
        <w:ind w:right="-108"/>
        <w:jc w:val="center"/>
        <w:rPr>
          <w:rFonts w:ascii="宋体" w:hAnsi="宋体"/>
          <w:b/>
          <w:spacing w:val="40"/>
          <w:sz w:val="84"/>
          <w:szCs w:val="84"/>
        </w:rPr>
      </w:pPr>
      <w:r>
        <w:t>公</w:t>
      </w:r>
    </w:p>
    <w:p>
      <w:pPr>
        <w:spacing w:after="100" w:afterAutospacing="1" w:line="800" w:lineRule="exact"/>
        <w:ind w:right="-108"/>
        <w:jc w:val="center"/>
        <w:rPr>
          <w:rFonts w:ascii="宋体" w:hAnsi="宋体"/>
          <w:b/>
          <w:spacing w:val="40"/>
          <w:sz w:val="84"/>
          <w:szCs w:val="84"/>
        </w:rPr>
      </w:pPr>
      <w:r>
        <w:t>开</w:t>
      </w:r>
    </w:p>
    <w:p>
      <w:pPr>
        <w:spacing w:after="100" w:afterAutospacing="1" w:line="800" w:lineRule="exact"/>
        <w:ind w:right="-108"/>
        <w:jc w:val="center"/>
        <w:rPr>
          <w:rFonts w:ascii="宋体" w:hAnsi="宋体"/>
          <w:b/>
          <w:spacing w:val="40"/>
          <w:sz w:val="84"/>
          <w:szCs w:val="84"/>
        </w:rPr>
      </w:pPr>
      <w:r>
        <w:t xml:space="preserve">招 </w:t>
      </w:r>
    </w:p>
    <w:p>
      <w:pPr>
        <w:spacing w:after="100" w:afterAutospacing="1" w:line="800" w:lineRule="exact"/>
        <w:ind w:right="-108"/>
        <w:jc w:val="center"/>
        <w:rPr>
          <w:rFonts w:ascii="宋体" w:hAnsi="宋体"/>
          <w:b/>
          <w:spacing w:val="40"/>
          <w:sz w:val="84"/>
          <w:szCs w:val="84"/>
        </w:rPr>
      </w:pPr>
      <w:r>
        <w:t>标</w:t>
      </w:r>
    </w:p>
    <w:p>
      <w:pPr>
        <w:spacing w:after="100" w:afterAutospacing="1" w:line="800" w:lineRule="exact"/>
        <w:ind w:right="-108"/>
        <w:jc w:val="center"/>
        <w:rPr>
          <w:rFonts w:ascii="宋体" w:hAnsi="宋体"/>
          <w:b/>
          <w:spacing w:val="40"/>
          <w:sz w:val="84"/>
          <w:szCs w:val="84"/>
        </w:rPr>
      </w:pPr>
      <w:r>
        <w:t>文</w:t>
      </w:r>
    </w:p>
    <w:p>
      <w:pPr>
        <w:spacing w:after="100" w:afterAutospacing="1" w:line="800" w:lineRule="exact"/>
        <w:ind w:right="-108"/>
        <w:jc w:val="center"/>
        <w:rPr>
          <w:rFonts w:ascii="宋体" w:hAnsi="宋体"/>
          <w:b/>
          <w:spacing w:val="40"/>
          <w:sz w:val="84"/>
          <w:szCs w:val="84"/>
        </w:rPr>
      </w:pPr>
      <w:r>
        <w:t>件</w:t>
      </w:r>
    </w:p>
    <w:p>
      <w:pPr>
        <w:ind w:right="-110"/>
        <w:rPr>
          <w:rFonts w:ascii="宋体" w:hAnsi="宋体"/>
          <w:sz w:val="32"/>
          <w:szCs w:val="32"/>
        </w:rPr>
      </w:pPr>
      <w:r/>
    </w:p>
    <w:p>
      <w:pPr>
        <w:ind w:right="-110"/>
        <w:rPr>
          <w:rFonts w:ascii="宋体" w:hAnsi="宋体"/>
          <w:sz w:val="32"/>
          <w:szCs w:val="32"/>
        </w:rPr>
      </w:pPr>
      <w:r/>
    </w:p>
    <w:p>
      <w:pPr>
        <w:spacing w:line="500" w:lineRule="exact"/>
        <w:ind w:right="532" w:firstLine="540" w:firstLineChars="150"/>
        <w:rPr>
          <w:rFonts w:ascii="宋体" w:hAnsi="宋体"/>
          <w:sz w:val="36"/>
          <w:szCs w:val="36"/>
        </w:rPr>
      </w:pPr>
      <w:r>
        <w:t>采购单位：浙 江 省 政 府 采 购 中 心</w:t>
      </w:r>
    </w:p>
    <w:p>
      <w:pPr>
        <w:spacing w:line="500" w:lineRule="exact"/>
        <w:ind w:right="532"/>
        <w:rPr>
          <w:rFonts w:ascii="宋体" w:hAnsi="宋体"/>
          <w:sz w:val="36"/>
          <w:szCs w:val="36"/>
        </w:rPr>
      </w:pPr>
      <w:r/>
    </w:p>
    <w:p>
      <w:pPr>
        <w:wordWrap w:val="0"/>
        <w:spacing w:line="500" w:lineRule="exact"/>
        <w:ind w:right="-108" w:firstLine="540" w:firstLineChars="150"/>
        <w:rPr>
          <w:rFonts w:ascii="宋体" w:hAnsi="宋体"/>
          <w:sz w:val="36"/>
          <w:szCs w:val="36"/>
        </w:rPr>
      </w:pPr>
      <w:r>
        <w:t>地    址：杭州市环城北路305号耀江发展中心</w:t>
      </w:r>
    </w:p>
    <w:p>
      <w:pPr>
        <w:spacing w:line="500" w:lineRule="exact"/>
        <w:ind w:right="-108" w:firstLine="3755" w:firstLineChars="850"/>
        <w:rPr>
          <w:rFonts w:hAnsi="宋体"/>
          <w:b/>
          <w:sz w:val="36"/>
          <w:szCs w:val="36"/>
        </w:rPr>
      </w:pPr>
      <w:r>
        <w:t>目录</w:t>
      </w:r>
    </w:p>
    <w:p>
      <w:pPr>
        <w:pStyle w:val="31"/>
        <w:spacing w:before="120" w:after="120" w:line="360" w:lineRule="auto"/>
        <w:jc w:val="center"/>
        <w:rPr>
          <w:rFonts w:hAnsi="宋体" w:eastAsia="仿宋_GB2312"/>
          <w:sz w:val="32"/>
          <w:szCs w:val="32"/>
        </w:rPr>
      </w:pPr>
      <w:r/>
    </w:p>
    <w:p>
      <w:pPr>
        <w:pStyle w:val="40"/>
        <w:tabs>
          <w:tab w:val="right" w:leader="dot" w:pos="8834"/>
        </w:tabs>
        <w:rPr>
          <w:rFonts w:ascii="Calibri" w:hAnsi="Calibri" w:eastAsia="宋体"/>
          <w:sz w:val="21"/>
          <w:szCs w:val="22"/>
        </w:rPr>
      </w:pPr>
      <w:r>
        <w:t>第一章公开招标采购公告</w:t>
        <w:tab/>
        <w:t>3</w:t>
      </w:r>
    </w:p>
    <w:p>
      <w:pPr>
        <w:pStyle w:val="40"/>
        <w:tabs>
          <w:tab w:val="right" w:leader="dot" w:pos="8834"/>
        </w:tabs>
        <w:rPr>
          <w:rFonts w:ascii="Calibri" w:hAnsi="Calibri" w:eastAsia="宋体"/>
          <w:sz w:val="21"/>
          <w:szCs w:val="22"/>
        </w:rPr>
      </w:pPr>
      <w:r>
        <w:t>第二章投标人须知</w:t>
        <w:tab/>
        <w:t>6</w:t>
      </w:r>
    </w:p>
    <w:p>
      <w:pPr>
        <w:pStyle w:val="40"/>
        <w:tabs>
          <w:tab w:val="right" w:leader="dot" w:pos="8834"/>
        </w:tabs>
        <w:rPr>
          <w:rFonts w:ascii="Calibri" w:hAnsi="Calibri" w:eastAsia="宋体"/>
          <w:sz w:val="21"/>
          <w:szCs w:val="22"/>
        </w:rPr>
      </w:pPr>
      <w:r>
        <w:t>第三章评标办法及评分标准</w:t>
        <w:tab/>
        <w:t>23</w:t>
      </w:r>
    </w:p>
    <w:p>
      <w:pPr>
        <w:pStyle w:val="40"/>
        <w:tabs>
          <w:tab w:val="right" w:leader="dot" w:pos="8834"/>
        </w:tabs>
        <w:rPr>
          <w:rFonts w:ascii="Calibri" w:hAnsi="Calibri" w:eastAsia="宋体"/>
          <w:sz w:val="21"/>
          <w:szCs w:val="22"/>
        </w:rPr>
      </w:pPr>
      <w:r>
        <w:t>第四章招标需求</w:t>
        <w:tab/>
        <w:t>24</w:t>
      </w:r>
    </w:p>
    <w:p>
      <w:pPr>
        <w:pStyle w:val="40"/>
        <w:tabs>
          <w:tab w:val="right" w:leader="dot" w:pos="8834"/>
        </w:tabs>
        <w:rPr>
          <w:rFonts w:ascii="Calibri" w:hAnsi="Calibri" w:eastAsia="宋体"/>
          <w:sz w:val="21"/>
          <w:szCs w:val="22"/>
        </w:rPr>
      </w:pPr>
      <w:r>
        <w:t>第五章浙江省政府采购合同主要条款指引</w:t>
        <w:tab/>
        <w:t>25</w:t>
      </w:r>
    </w:p>
    <w:p>
      <w:pPr>
        <w:pStyle w:val="40"/>
        <w:tabs>
          <w:tab w:val="right" w:leader="dot" w:pos="8834"/>
        </w:tabs>
        <w:rPr>
          <w:rFonts w:ascii="Calibri" w:hAnsi="Calibri" w:eastAsia="宋体"/>
          <w:sz w:val="21"/>
          <w:szCs w:val="22"/>
        </w:rPr>
      </w:pPr>
      <w:r>
        <w:t>第六章投标文件格式附件</w:t>
        <w:tab/>
        <w:t>32</w:t>
      </w:r>
    </w:p>
    <w:p>
      <w:pPr>
        <w:spacing w:before="120" w:beforeLines="50" w:line="480" w:lineRule="exact"/>
        <w:ind w:left="165"/>
        <w:rPr>
          <w:rFonts w:ascii="宋体" w:hAnsi="宋体" w:eastAsia="仿宋_GB2312"/>
          <w:sz w:val="30"/>
          <w:szCs w:val="30"/>
        </w:rPr>
      </w:pPr>
      <w:r/>
    </w:p>
    <w:p>
      <w:pPr>
        <w:pStyle w:val="31"/>
        <w:spacing w:before="120" w:after="120" w:line="360" w:lineRule="auto"/>
        <w:ind w:firstLine="640"/>
        <w:jc w:val="center"/>
        <w:outlineLvl w:val="0"/>
        <w:rPr>
          <w:rFonts w:hAnsi="宋体"/>
          <w:b/>
          <w:sz w:val="36"/>
          <w:szCs w:val="36"/>
        </w:rPr>
      </w:pPr>
      <w:r>
        <w:t>第一章  公开招标采购公告</w:t>
      </w:r>
    </w:p>
    <w:p>
      <w:pPr>
        <w:pStyle w:val="397"/>
        <w:widowControl w:val="0"/>
        <w:spacing w:afterLines="0" w:line="460" w:lineRule="exact"/>
        <w:ind w:firstLine="560"/>
        <w:rPr>
          <w:rFonts w:ascii="仿宋" w:hAnsi="仿宋" w:eastAsia="仿宋"/>
          <w:sz w:val="30"/>
          <w:szCs w:val="30"/>
        </w:rPr>
      </w:pPr>
      <w:r>
        <w:t>根据《中华人民共和国政府采购法》《中华人民共和国政府采购法实施条例》《政府采购货物和服务招标投标管理办法》等规定，现就下列项目进行公开招标采购，欢迎提供本国货物、服务的单位或个人前来投标：</w:t>
      </w:r>
    </w:p>
    <w:p>
      <w:pPr>
        <w:snapToGrid w:val="0"/>
        <w:spacing w:line="460" w:lineRule="exact"/>
        <w:ind w:firstLine="600" w:firstLineChars="200"/>
        <w:rPr>
          <w:rFonts w:ascii="仿宋" w:hAnsi="仿宋" w:eastAsia="仿宋" w:cs="Arial"/>
          <w:sz w:val="30"/>
          <w:szCs w:val="30"/>
        </w:rPr>
      </w:pPr>
      <w:r>
        <w:t>一、项目编号：ZZCG2022D-GK-130</w:t>
      </w:r>
    </w:p>
    <w:p>
      <w:pPr>
        <w:snapToGrid w:val="0"/>
        <w:spacing w:after="120" w:afterLines="50" w:line="460" w:lineRule="exact"/>
        <w:ind w:firstLine="602" w:firstLineChars="200"/>
        <w:rPr>
          <w:rFonts w:ascii="仿宋" w:hAnsi="仿宋" w:eastAsia="仿宋" w:cs="Arial"/>
          <w:b/>
          <w:bCs/>
          <w:sz w:val="30"/>
          <w:szCs w:val="30"/>
        </w:rPr>
      </w:pPr>
      <w:r>
        <w:t>二、公告期限：5个工作日</w:t>
      </w:r>
    </w:p>
    <w:p>
      <w:pPr>
        <w:snapToGrid w:val="0"/>
        <w:spacing w:after="120" w:afterLines="50" w:line="460" w:lineRule="exact"/>
        <w:ind w:firstLine="602" w:firstLineChars="200"/>
        <w:rPr>
          <w:rFonts w:ascii="仿宋" w:hAnsi="仿宋" w:eastAsia="仿宋" w:cs="Arial"/>
          <w:b/>
          <w:sz w:val="28"/>
          <w:szCs w:val="28"/>
        </w:rPr>
      </w:pPr>
      <w:r>
        <w:t xml:space="preserve">三、采购项目内容、数量及预算 </w:t>
      </w:r>
    </w:p>
    <w:tbl>
      <w:tblPr>
        <w:tblStyle w:val="60"/>
        <w:tblW w:w="55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7"/>
        <w:gridCol w:w="1897"/>
        <w:gridCol w:w="1897"/>
        <w:gridCol w:w="189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000" w:type="pct"/>
          </w:tcPr>
          <w:p>
            <w:r>
              <w:t>标项序号</w:t>
            </w:r>
          </w:p>
        </w:tc>
        <w:tc>
          <w:tcPr>
            <w:tcW w:w="1000" w:type="pct"/>
          </w:tcPr>
          <w:p>
            <w:r>
              <w:t>标项名称</w:t>
            </w:r>
          </w:p>
        </w:tc>
        <w:tc>
          <w:tcPr>
            <w:tcW w:w="1000" w:type="pct"/>
          </w:tcPr>
          <w:p>
            <w:r>
              <w:t>数量</w:t>
            </w:r>
          </w:p>
        </w:tc>
        <w:tc>
          <w:tcPr>
            <w:tcW w:w="1000" w:type="pct"/>
          </w:tcPr>
          <w:p>
            <w:r>
              <w:t>单位</w:t>
            </w:r>
          </w:p>
        </w:tc>
        <w:tc>
          <w:tcPr>
            <w:tcW w:w="1000" w:type="pct"/>
          </w:tcPr>
          <w:p>
            <w: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1000" w:type="pct"/>
          </w:tcPr>
          <w:p>
            <w:r>
              <w:t>1</w:t>
            </w:r>
          </w:p>
        </w:tc>
        <w:tc>
          <w:tcPr>
            <w:tcW w:w="1000" w:type="pct"/>
          </w:tcPr>
          <w:p>
            <w:r>
              <w:t>浙江药科职业大学物业管理服务项目</w:t>
            </w:r>
          </w:p>
        </w:tc>
        <w:tc>
          <w:tcPr>
            <w:tcW w:w="1000" w:type="pct"/>
          </w:tcPr>
          <w:p>
            <w:r>
              <w:t>3</w:t>
            </w:r>
          </w:p>
        </w:tc>
        <w:tc>
          <w:tcPr>
            <w:tcW w:w="1000" w:type="pct"/>
          </w:tcPr>
          <w:p>
            <w:r>
              <w:t>年</w:t>
            </w:r>
          </w:p>
        </w:tc>
        <w:tc>
          <w:tcPr>
            <w:tcW w:w="1000" w:type="pct"/>
          </w:tcPr>
          <w:p>
            <w:r>
              <w:t>4683</w:t>
            </w:r>
          </w:p>
        </w:tc>
      </w:tr>
    </w:tbl>
    <w:p>
      <w:pPr>
        <w:snapToGrid w:val="0"/>
        <w:spacing w:after="120" w:afterLines="50" w:line="460" w:lineRule="exact"/>
        <w:ind w:firstLine="562" w:firstLineChars="200"/>
        <w:rPr>
          <w:rFonts w:ascii="仿宋" w:hAnsi="仿宋" w:eastAsia="仿宋" w:cs="Arial"/>
          <w:b/>
          <w:sz w:val="28"/>
          <w:szCs w:val="28"/>
        </w:rPr>
      </w:pPr>
      <w:r>
        <w:t xml:space="preserve"> </w:t>
      </w:r>
    </w:p>
    <w:p>
      <w:pPr>
        <w:snapToGrid w:val="0"/>
        <w:spacing w:line="460" w:lineRule="exact"/>
        <w:ind w:firstLine="602" w:firstLineChars="200"/>
        <w:rPr>
          <w:rFonts w:ascii="仿宋" w:hAnsi="仿宋" w:eastAsia="仿宋" w:cs="Arial"/>
          <w:b/>
          <w:bCs/>
          <w:sz w:val="30"/>
          <w:szCs w:val="30"/>
        </w:rPr>
      </w:pPr>
      <w:r>
        <w:t>四、合格投标人的资格要求</w:t>
      </w:r>
    </w:p>
    <w:p>
      <w:pPr>
        <w:snapToGrid w:val="0"/>
        <w:spacing w:line="460" w:lineRule="exact"/>
        <w:ind w:firstLine="560" w:firstLineChars="200"/>
        <w:rPr>
          <w:rFonts w:ascii="仿宋" w:hAnsi="仿宋" w:eastAsia="仿宋" w:cs="Arial"/>
          <w:bCs/>
          <w:sz w:val="28"/>
          <w:szCs w:val="28"/>
        </w:rPr>
      </w:pPr>
      <w:r>
        <w:t>符合《中华人民共和国政府采购法》第二十二条规定,且未被“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sz w:val="30"/>
          <w:szCs w:val="30"/>
        </w:rPr>
      </w:pPr>
      <w:r>
        <w:t xml:space="preserve"> 投标人的特定条件：无</w:t>
      </w:r>
    </w:p>
    <w:p>
      <w:pPr>
        <w:snapToGrid w:val="0"/>
        <w:spacing w:line="500" w:lineRule="exact"/>
        <w:ind w:firstLine="602" w:firstLineChars="200"/>
        <w:rPr>
          <w:rFonts w:ascii="仿宋" w:hAnsi="仿宋" w:eastAsia="仿宋"/>
          <w:sz w:val="28"/>
          <w:szCs w:val="28"/>
        </w:rPr>
      </w:pPr>
      <w:r>
        <w:t>标项1:允许联合体投标</w:t>
      </w:r>
    </w:p>
    <w:p>
      <w:pPr>
        <w:snapToGrid w:val="0"/>
        <w:spacing w:line="500" w:lineRule="exact"/>
        <w:ind w:firstLine="562" w:firstLineChars="200"/>
        <w:rPr>
          <w:rFonts w:ascii="宋体" w:hAnsi="宋体" w:cs="Arial"/>
          <w:b/>
          <w:bCs/>
          <w:sz w:val="28"/>
          <w:szCs w:val="28"/>
        </w:rPr>
      </w:pPr>
      <w:r>
        <w:t>五、获取采购文件</w:t>
      </w:r>
    </w:p>
    <w:p>
      <w:pPr>
        <w:snapToGrid w:val="0"/>
        <w:spacing w:line="500" w:lineRule="exact"/>
        <w:ind w:firstLine="560" w:firstLineChars="200"/>
        <w:rPr>
          <w:rFonts w:ascii="宋体" w:hAnsi="宋体"/>
          <w:kern w:val="0"/>
          <w:sz w:val="28"/>
          <w:szCs w:val="28"/>
        </w:rPr>
      </w:pPr>
      <w:r>
        <w:t>1.获取时间：2022年6月24日至2022年7月15日。</w:t>
      </w:r>
    </w:p>
    <w:p>
      <w:pPr>
        <w:autoSpaceDE w:val="0"/>
        <w:autoSpaceDN w:val="0"/>
        <w:adjustRightInd w:val="0"/>
        <w:snapToGrid w:val="0"/>
        <w:spacing w:line="500" w:lineRule="exact"/>
        <w:ind w:firstLine="600"/>
        <w:rPr>
          <w:rFonts w:ascii="宋体" w:hAnsi="宋体" w:cs="仿宋"/>
          <w:kern w:val="0"/>
          <w:sz w:val="28"/>
          <w:szCs w:val="28"/>
          <w:lang w:val="zh-CN"/>
        </w:rPr>
      </w:pPr>
      <w:r>
        <w:t>2.获取方式：本项目招标文件实行网上获取。供应商登录浙江政府采购网（http://zfcg.czt.zj.gov.cn/）进入政采云系统“项目采购”模块“获取采购文件”菜单，进行网上获取招标文件。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t>3.招标文件免费获取。</w:t>
      </w:r>
    </w:p>
    <w:p>
      <w:pPr>
        <w:snapToGrid w:val="0"/>
        <w:spacing w:line="500" w:lineRule="exact"/>
        <w:ind w:firstLine="562" w:firstLineChars="200"/>
        <w:rPr>
          <w:rFonts w:ascii="宋体" w:hAnsi="宋体"/>
          <w:b/>
          <w:kern w:val="0"/>
          <w:sz w:val="28"/>
          <w:szCs w:val="28"/>
        </w:rPr>
      </w:pPr>
      <w:r>
        <w:t>六、投标截止时间、地点和形式</w:t>
      </w:r>
    </w:p>
    <w:p>
      <w:pPr>
        <w:pStyle w:val="31"/>
        <w:adjustRightInd w:val="0"/>
        <w:snapToGrid w:val="0"/>
        <w:spacing w:beforeLines="0" w:afterLines="0" w:line="500" w:lineRule="exact"/>
        <w:ind w:firstLine="565" w:firstLineChars="201"/>
        <w:rPr>
          <w:rFonts w:hAnsi="宋体"/>
          <w:kern w:val="0"/>
          <w:sz w:val="28"/>
          <w:szCs w:val="28"/>
        </w:rPr>
      </w:pPr>
      <w:r>
        <w:t>投标截止时间：2022年7月15日上午09:00。</w:t>
      </w:r>
    </w:p>
    <w:p>
      <w:pPr>
        <w:pStyle w:val="31"/>
        <w:adjustRightInd w:val="0"/>
        <w:snapToGrid w:val="0"/>
        <w:spacing w:beforeLines="0" w:afterLines="0" w:line="500" w:lineRule="exact"/>
        <w:ind w:firstLine="562" w:firstLineChars="201"/>
        <w:rPr>
          <w:rFonts w:hAnsi="宋体"/>
          <w:kern w:val="0"/>
          <w:sz w:val="28"/>
          <w:szCs w:val="28"/>
        </w:rPr>
      </w:pPr>
      <w: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Lines="0" w:afterLines="0" w:line="500" w:lineRule="exact"/>
        <w:ind w:firstLine="562" w:firstLineChars="201"/>
        <w:rPr>
          <w:rFonts w:hAnsi="宋体"/>
          <w:kern w:val="0"/>
          <w:sz w:val="28"/>
          <w:szCs w:val="28"/>
        </w:rPr>
      </w:pPr>
      <w: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Lines="0" w:afterLines="0" w:line="500" w:lineRule="exact"/>
        <w:ind w:firstLine="562" w:firstLineChars="201"/>
        <w:rPr>
          <w:rFonts w:hAnsi="宋体"/>
          <w:kern w:val="0"/>
          <w:sz w:val="28"/>
          <w:szCs w:val="28"/>
        </w:rPr>
      </w:pPr>
      <w:r>
        <w:t>投标文件收件人：杜鹃鸣 ，联系方式：0571-88901837，实际投标文件收件人：陶老师 ，联系方式：0571-88901836，收件地址：浙江省杭州市下城区环城北路305号耀江发展中心三楼浙江省政府采购中心302会议室上午08:30-12:00 下午14:00-17:30。（疫情期间仅接收邮寄方式递交的备份投标文件,因本大楼疫情管控，推荐使用中国邮政速递和顺丰快递。）</w:t>
      </w:r>
    </w:p>
    <w:p>
      <w:pPr>
        <w:pStyle w:val="31"/>
        <w:adjustRightInd w:val="0"/>
        <w:snapToGrid w:val="0"/>
        <w:spacing w:before="120" w:after="120" w:line="500" w:lineRule="exact"/>
        <w:ind w:firstLine="565" w:firstLineChars="201"/>
        <w:rPr>
          <w:rFonts w:hAnsi="宋体"/>
          <w:b/>
          <w:kern w:val="0"/>
          <w:sz w:val="28"/>
          <w:szCs w:val="28"/>
        </w:rPr>
      </w:pPr>
      <w:r>
        <w:t>本项目拒绝接受纸质投标文件。</w:t>
      </w:r>
    </w:p>
    <w:p>
      <w:pPr>
        <w:snapToGrid w:val="0"/>
        <w:spacing w:line="500" w:lineRule="exact"/>
        <w:ind w:firstLine="562" w:firstLineChars="200"/>
        <w:rPr>
          <w:rFonts w:ascii="宋体" w:hAnsi="宋体" w:cs="Arial"/>
          <w:b/>
          <w:bCs/>
          <w:sz w:val="28"/>
          <w:szCs w:val="28"/>
        </w:rPr>
      </w:pPr>
      <w:r>
        <w:t>七、开标时间及地点：</w:t>
      </w:r>
    </w:p>
    <w:p>
      <w:pPr>
        <w:snapToGrid w:val="0"/>
        <w:spacing w:line="500" w:lineRule="exact"/>
        <w:ind w:firstLine="562" w:firstLineChars="200"/>
        <w:rPr>
          <w:rFonts w:ascii="宋体" w:hAnsi="宋体" w:cs="Arial"/>
          <w:b/>
          <w:sz w:val="28"/>
          <w:szCs w:val="28"/>
        </w:rPr>
      </w:pPr>
      <w:r>
        <w:t>本次招标将于2022年7月15日上午09:00时整在杭州市环城北路305号耀江发展中心3A05评标室开标。</w:t>
      </w:r>
    </w:p>
    <w:p>
      <w:pPr>
        <w:snapToGrid w:val="0"/>
        <w:spacing w:line="500" w:lineRule="exact"/>
        <w:ind w:firstLine="562" w:firstLineChars="200"/>
        <w:rPr>
          <w:rFonts w:ascii="宋体" w:hAnsi="宋体" w:cs="Arial"/>
          <w:b/>
          <w:sz w:val="28"/>
          <w:szCs w:val="28"/>
        </w:rPr>
      </w:pPr>
      <w:r>
        <w:t>本项目实行“不见面开评标”，投标人无须派人员到现场出席开标会议。</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Pr>
          <w:p>
            <w:r>
              <w:t>开标现场咨询电话</w:t>
            </w:r>
          </w:p>
        </w:tc>
        <w:tc>
          <w:tcPr>
            <w:tcW w:w="3444" w:type="dxa"/>
          </w:tcPr>
          <w:p>
            <w:r>
              <w:t>201开标室（大）：0571-88907719</w:t>
            </w:r>
          </w:p>
        </w:tc>
        <w:tc>
          <w:tcPr>
            <w:tcW w:w="3445" w:type="dxa"/>
          </w:tcPr>
          <w:p>
            <w:r>
              <w:t>202评标室（小）：0571-88907720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pStyle w:val="31"/>
              <w:adjustRightInd w:val="0"/>
              <w:snapToGrid w:val="0"/>
              <w:spacing w:beforeLines="0" w:afterLines="0" w:line="500" w:lineRule="exact"/>
              <w:ind w:firstLine="562" w:firstLineChars="201"/>
              <w:rPr>
                <w:rFonts w:hAnsi="宋体"/>
                <w:kern w:val="0"/>
                <w:sz w:val="28"/>
                <w:szCs w:val="28"/>
              </w:rPr>
            </w:pPr>
          </w:p>
        </w:tc>
        <w:tc>
          <w:tcPr>
            <w:tcW w:w="3444" w:type="dxa"/>
          </w:tcPr>
          <w:p>
            <w:r>
              <w:t>3A（四楼）05评标室：0571-88907792</w:t>
            </w:r>
          </w:p>
        </w:tc>
        <w:tc>
          <w:tcPr>
            <w:tcW w:w="3445" w:type="dxa"/>
          </w:tcPr>
          <w:p>
            <w:r>
              <w:t>3A（四楼）06开标室：0571-88907791</w:t>
            </w:r>
          </w:p>
        </w:tc>
      </w:tr>
    </w:tbl>
    <w:p>
      <w:pPr>
        <w:snapToGrid w:val="0"/>
        <w:spacing w:line="500" w:lineRule="exact"/>
        <w:ind w:firstLine="562" w:firstLineChars="200"/>
        <w:rPr>
          <w:rFonts w:ascii="宋体" w:hAnsi="宋体" w:cs="Arial"/>
          <w:b/>
          <w:sz w:val="28"/>
          <w:szCs w:val="28"/>
        </w:rPr>
      </w:pPr>
      <w:r>
        <w:t>八、电子交易平台的网络地址和登录方法</w:t>
      </w:r>
    </w:p>
    <w:p>
      <w:pPr>
        <w:snapToGrid w:val="0"/>
        <w:spacing w:line="500" w:lineRule="exact"/>
        <w:ind w:firstLine="562" w:firstLineChars="200"/>
        <w:rPr>
          <w:sz w:val="28"/>
          <w:szCs w:val="28"/>
        </w:rPr>
      </w:pPr>
      <w:r>
        <w:t>（一）网络地址：浙江政府采购网 http://zfcg.czt.zj.gov.cn/</w:t>
      </w:r>
    </w:p>
    <w:p>
      <w:pPr>
        <w:snapToGrid w:val="0"/>
        <w:spacing w:line="500" w:lineRule="exact"/>
        <w:ind w:firstLine="562" w:firstLineChars="200"/>
        <w:rPr>
          <w:rFonts w:ascii="宋体" w:hAnsi="宋体" w:cs="Arial"/>
          <w:b/>
          <w:sz w:val="28"/>
          <w:szCs w:val="28"/>
        </w:rPr>
      </w:pPr>
      <w:r>
        <w:t>（二）登录方法：投标人须先完成供应商注册并申请CA，再下载客户端编制、加密电子投标文件，最后应在浙江政府采购网政采云用户登录窗口登录，完成电子投标文件传输递交（具体详见第二章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t>九、其他：</w:t>
      </w:r>
    </w:p>
    <w:p>
      <w:pPr>
        <w:snapToGrid w:val="0"/>
        <w:spacing w:line="440" w:lineRule="exact"/>
        <w:ind w:firstLine="562" w:firstLineChars="200"/>
        <w:rPr>
          <w:rFonts w:ascii="宋体" w:hAnsi="宋体" w:cs="Arial"/>
          <w:b/>
          <w:sz w:val="28"/>
          <w:szCs w:val="28"/>
        </w:rPr>
      </w:pPr>
      <w: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t>（https://edu.zcygov.cn/live?utm=a0018.2ef5001f.0.0.1939d340e5db11ea867fb57c149ddb61）自行提前学习。</w:t>
      </w:r>
    </w:p>
    <w:p>
      <w:pPr>
        <w:snapToGrid w:val="0"/>
        <w:spacing w:line="440" w:lineRule="exact"/>
        <w:ind w:firstLine="602" w:firstLineChars="200"/>
        <w:rPr>
          <w:rFonts w:ascii="仿宋" w:hAnsi="仿宋" w:eastAsia="仿宋" w:cs="Arial"/>
          <w:b/>
          <w:bCs/>
          <w:sz w:val="30"/>
          <w:szCs w:val="30"/>
        </w:rPr>
      </w:pPr>
      <w: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r>
              <w:t>机 构</w:t>
            </w:r>
          </w:p>
        </w:tc>
        <w:tc>
          <w:tcPr>
            <w:tcW w:w="8113" w:type="dxa"/>
            <w:gridSpan w:val="4"/>
            <w:tcBorders>
              <w:top w:val="single" w:color="auto" w:sz="4" w:space="0"/>
              <w:left w:val="single" w:color="auto" w:sz="4" w:space="0"/>
              <w:bottom w:val="single" w:color="auto" w:sz="4" w:space="0"/>
              <w:right w:val="single" w:color="auto" w:sz="4" w:space="0"/>
            </w:tcBorders>
          </w:tcPr>
          <w:p>
            <w: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r>
              <w:t>浙江政府采购网http://zfcg.czt.zj.gov.cn/（文件下载、公告查询）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r>
              <w:t>咨询事项</w:t>
            </w:r>
          </w:p>
        </w:tc>
        <w:tc>
          <w:tcPr>
            <w:tcW w:w="1314" w:type="dxa"/>
            <w:tcBorders>
              <w:top w:val="single" w:color="auto" w:sz="4" w:space="0"/>
              <w:left w:val="single" w:color="auto" w:sz="4" w:space="0"/>
              <w:bottom w:val="single" w:color="auto" w:sz="4" w:space="0"/>
              <w:right w:val="single" w:color="auto" w:sz="4" w:space="0"/>
            </w:tcBorders>
          </w:tcPr>
          <w:p>
            <w:r>
              <w:t>联系人</w:t>
            </w:r>
          </w:p>
        </w:tc>
        <w:tc>
          <w:tcPr>
            <w:tcW w:w="2089" w:type="dxa"/>
            <w:tcBorders>
              <w:top w:val="single" w:color="auto" w:sz="4" w:space="0"/>
              <w:left w:val="single" w:color="auto" w:sz="4" w:space="0"/>
              <w:bottom w:val="single" w:color="auto" w:sz="4" w:space="0"/>
              <w:right w:val="single" w:color="auto" w:sz="4" w:space="0"/>
            </w:tcBorders>
          </w:tcPr>
          <w:p>
            <w:r>
              <w:t>联系方式</w:t>
            </w:r>
          </w:p>
        </w:tc>
        <w:tc>
          <w:tcPr>
            <w:tcW w:w="2066" w:type="dxa"/>
            <w:tcBorders>
              <w:top w:val="single" w:color="auto" w:sz="4" w:space="0"/>
              <w:left w:val="single" w:color="auto" w:sz="4" w:space="0"/>
              <w:bottom w:val="single" w:color="auto" w:sz="4" w:space="0"/>
              <w:right w:val="single" w:color="auto" w:sz="4" w:space="0"/>
            </w:tcBorders>
          </w:tcPr>
          <w:p>
            <w:r>
              <w:t>传真</w:t>
            </w:r>
          </w:p>
        </w:tc>
        <w:tc>
          <w:tcPr>
            <w:tcW w:w="2644" w:type="dxa"/>
            <w:tcBorders>
              <w:top w:val="single" w:color="auto" w:sz="4" w:space="0"/>
              <w:left w:val="single" w:color="auto" w:sz="4" w:space="0"/>
              <w:bottom w:val="single" w:color="auto" w:sz="4" w:space="0"/>
              <w:right w:val="single" w:color="auto" w:sz="4" w:space="0"/>
            </w:tcBorders>
          </w:tcPr>
          <w:p>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r>
              <w:t>项目联系人</w:t>
              <w:br/>
              <w:t>（A岗）</w:t>
            </w:r>
          </w:p>
        </w:tc>
        <w:tc>
          <w:tcPr>
            <w:tcW w:w="1314" w:type="dxa"/>
            <w:tcBorders>
              <w:top w:val="single" w:color="auto" w:sz="4" w:space="0"/>
              <w:left w:val="single" w:color="auto" w:sz="4" w:space="0"/>
              <w:bottom w:val="single" w:color="auto" w:sz="4" w:space="0"/>
              <w:right w:val="single" w:color="auto" w:sz="4" w:space="0"/>
            </w:tcBorders>
            <w:vAlign w:val="center"/>
          </w:tcPr>
          <w:p>
            <w:r>
              <w:t>杜女士</w:t>
            </w:r>
          </w:p>
        </w:tc>
        <w:tc>
          <w:tcPr>
            <w:tcW w:w="2089" w:type="dxa"/>
            <w:tcBorders>
              <w:top w:val="single" w:color="auto" w:sz="4" w:space="0"/>
              <w:left w:val="single" w:color="auto" w:sz="4" w:space="0"/>
              <w:bottom w:val="single" w:color="auto" w:sz="4" w:space="0"/>
              <w:right w:val="single" w:color="auto" w:sz="4" w:space="0"/>
            </w:tcBorders>
            <w:vAlign w:val="center"/>
          </w:tcPr>
          <w:p>
            <w:r>
              <w:t>0571-88901837</w:t>
            </w:r>
          </w:p>
        </w:tc>
        <w:tc>
          <w:tcPr>
            <w:tcW w:w="2066" w:type="dxa"/>
            <w:tcBorders>
              <w:top w:val="single" w:color="auto" w:sz="4" w:space="0"/>
              <w:left w:val="single" w:color="auto" w:sz="4" w:space="0"/>
              <w:bottom w:val="single" w:color="auto" w:sz="4" w:space="0"/>
              <w:right w:val="single" w:color="auto" w:sz="4" w:space="0"/>
            </w:tcBorders>
            <w:vAlign w:val="center"/>
          </w:tcPr>
          <w:p>
            <w:r>
              <w:t>0571-88907783</w:t>
            </w:r>
          </w:p>
        </w:tc>
        <w:tc>
          <w:tcPr>
            <w:tcW w:w="2644" w:type="dxa"/>
            <w:vMerge w:val="restart"/>
            <w:tcBorders>
              <w:top w:val="single" w:color="auto" w:sz="4" w:space="0"/>
              <w:left w:val="single" w:color="auto" w:sz="4" w:space="0"/>
            </w:tcBorders>
          </w:tcPr>
          <w:p>
            <w:r>
              <w:t>三楼专业项目采购部]）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r>
              <w:t>项目协办人</w:t>
              <w:br/>
              <w:t>（B岗）</w:t>
            </w:r>
          </w:p>
        </w:tc>
        <w:tc>
          <w:tcPr>
            <w:tcW w:w="1314" w:type="dxa"/>
            <w:tcBorders>
              <w:top w:val="single" w:color="auto" w:sz="4" w:space="0"/>
              <w:left w:val="single" w:color="auto" w:sz="4" w:space="0"/>
              <w:bottom w:val="single" w:color="auto" w:sz="4" w:space="0"/>
              <w:right w:val="single" w:color="auto" w:sz="4" w:space="0"/>
            </w:tcBorders>
            <w:vAlign w:val="center"/>
          </w:tcPr>
          <w:p>
            <w:r>
              <w:t>高女士</w:t>
            </w:r>
          </w:p>
        </w:tc>
        <w:tc>
          <w:tcPr>
            <w:tcW w:w="2089" w:type="dxa"/>
            <w:tcBorders>
              <w:top w:val="single" w:color="auto" w:sz="4" w:space="0"/>
              <w:left w:val="single" w:color="auto" w:sz="4" w:space="0"/>
              <w:bottom w:val="single" w:color="auto" w:sz="4" w:space="0"/>
              <w:right w:val="single" w:color="auto" w:sz="4" w:space="0"/>
            </w:tcBorders>
            <w:vAlign w:val="center"/>
          </w:tcPr>
          <w:p>
            <w:r>
              <w:t>0571-88907717</w:t>
            </w:r>
          </w:p>
        </w:tc>
        <w:tc>
          <w:tcPr>
            <w:tcW w:w="2066" w:type="dxa"/>
            <w:tcBorders>
              <w:top w:val="single" w:color="auto" w:sz="4" w:space="0"/>
              <w:left w:val="single" w:color="auto" w:sz="4" w:space="0"/>
              <w:bottom w:val="single" w:color="auto" w:sz="4" w:space="0"/>
              <w:right w:val="single" w:color="auto" w:sz="4" w:space="0"/>
            </w:tcBorders>
            <w:vAlign w:val="center"/>
          </w:tcPr>
          <w:p>
            <w:r>
              <w:t>0571-88907783</w:t>
            </w: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r>
              <w:t>高女士</w:t>
            </w:r>
          </w:p>
        </w:tc>
        <w:tc>
          <w:tcPr>
            <w:tcW w:w="2089" w:type="dxa"/>
            <w:tcBorders>
              <w:top w:val="single" w:color="auto" w:sz="4" w:space="0"/>
              <w:left w:val="single" w:color="auto" w:sz="4" w:space="0"/>
              <w:bottom w:val="single" w:color="auto" w:sz="4" w:space="0"/>
              <w:right w:val="single" w:color="auto" w:sz="4" w:space="0"/>
            </w:tcBorders>
            <w:vAlign w:val="center"/>
          </w:tcPr>
          <w:p>
            <w:r>
              <w:t>0571-88907717</w:t>
            </w:r>
          </w:p>
        </w:tc>
        <w:tc>
          <w:tcPr>
            <w:tcW w:w="2066" w:type="dxa"/>
            <w:tcBorders>
              <w:top w:val="single" w:color="auto" w:sz="4" w:space="0"/>
              <w:left w:val="single" w:color="auto" w:sz="4" w:space="0"/>
              <w:bottom w:val="single" w:color="auto" w:sz="4" w:space="0"/>
              <w:right w:val="single" w:color="auto" w:sz="4" w:space="0"/>
            </w:tcBorders>
            <w:vAlign w:val="center"/>
          </w:tcPr>
          <w:p>
            <w:r>
              <w:t>0571-88907783</w:t>
            </w: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r>
              <w:t>项目监督</w:t>
            </w:r>
          </w:p>
        </w:tc>
        <w:tc>
          <w:tcPr>
            <w:tcW w:w="1314" w:type="dxa"/>
            <w:tcBorders>
              <w:top w:val="single" w:color="auto" w:sz="4" w:space="0"/>
              <w:left w:val="single" w:color="auto" w:sz="4" w:space="0"/>
              <w:bottom w:val="single" w:color="auto" w:sz="4" w:space="0"/>
              <w:right w:val="single" w:color="auto" w:sz="4" w:space="0"/>
            </w:tcBorders>
            <w:vAlign w:val="center"/>
          </w:tcPr>
          <w:p>
            <w:r>
              <w:t>吴女士</w:t>
            </w:r>
          </w:p>
        </w:tc>
        <w:tc>
          <w:tcPr>
            <w:tcW w:w="2089" w:type="dxa"/>
            <w:tcBorders>
              <w:top w:val="single" w:color="auto" w:sz="4" w:space="0"/>
              <w:left w:val="single" w:color="auto" w:sz="4" w:space="0"/>
              <w:bottom w:val="single" w:color="auto" w:sz="4" w:space="0"/>
              <w:right w:val="single" w:color="auto" w:sz="4" w:space="0"/>
            </w:tcBorders>
            <w:vAlign w:val="center"/>
          </w:tcPr>
          <w:p>
            <w:r>
              <w:t>0571-88900117</w:t>
            </w:r>
          </w:p>
        </w:tc>
        <w:tc>
          <w:tcPr>
            <w:tcW w:w="2066" w:type="dxa"/>
            <w:tcBorders>
              <w:top w:val="single" w:color="auto" w:sz="4" w:space="0"/>
              <w:left w:val="single" w:color="auto" w:sz="4" w:space="0"/>
              <w:bottom w:val="single" w:color="auto" w:sz="4" w:space="0"/>
              <w:right w:val="single" w:color="auto" w:sz="4" w:space="0"/>
            </w:tcBorders>
            <w:vAlign w:val="center"/>
          </w:tcPr>
          <w:p>
            <w:r>
              <w:t>0571-88907751</w:t>
            </w:r>
          </w:p>
        </w:tc>
        <w:tc>
          <w:tcPr>
            <w:tcW w:w="2644" w:type="dxa"/>
            <w:tcBorders>
              <w:top w:val="single" w:color="auto" w:sz="4" w:space="0"/>
              <w:left w:val="single" w:color="auto" w:sz="4" w:space="0"/>
              <w:bottom w:val="single" w:color="auto" w:sz="4" w:space="0"/>
              <w:right w:val="single" w:color="auto" w:sz="4" w:space="0"/>
            </w:tcBorders>
            <w:vAlign w:val="center"/>
          </w:tcPr>
          <w:p>
            <w: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r>
              <w:t>客  服</w:t>
            </w:r>
          </w:p>
        </w:tc>
        <w:tc>
          <w:tcPr>
            <w:tcW w:w="2089" w:type="dxa"/>
            <w:tcBorders>
              <w:top w:val="single" w:color="auto" w:sz="4" w:space="0"/>
              <w:left w:val="single" w:color="auto" w:sz="4" w:space="0"/>
              <w:bottom w:val="single" w:color="auto" w:sz="4" w:space="0"/>
              <w:right w:val="single" w:color="auto" w:sz="4" w:space="0"/>
            </w:tcBorders>
            <w:vAlign w:val="center"/>
          </w:tcPr>
          <w:p>
            <w:r>
              <w:t>4008817190</w:t>
            </w:r>
          </w:p>
        </w:tc>
        <w:tc>
          <w:tcPr>
            <w:tcW w:w="2066" w:type="dxa"/>
            <w:tcBorders>
              <w:top w:val="single" w:color="auto" w:sz="4" w:space="0"/>
              <w:left w:val="single" w:color="auto" w:sz="4" w:space="0"/>
              <w:bottom w:val="single" w:color="auto" w:sz="4" w:space="0"/>
              <w:right w:val="single" w:color="auto" w:sz="4" w:space="0"/>
            </w:tcBorders>
            <w:vAlign w:val="center"/>
          </w:tcPr>
          <w:p>
            <w:r>
              <w:t>/</w:t>
            </w:r>
          </w:p>
        </w:tc>
        <w:tc>
          <w:tcPr>
            <w:tcW w:w="2644" w:type="dxa"/>
            <w:tcBorders>
              <w:top w:val="single" w:color="auto" w:sz="4" w:space="0"/>
              <w:left w:val="single" w:color="auto" w:sz="4" w:space="0"/>
              <w:bottom w:val="single" w:color="auto" w:sz="4" w:space="0"/>
              <w:right w:val="single" w:color="auto" w:sz="4" w:space="0"/>
            </w:tcBorders>
            <w:vAlign w:val="center"/>
          </w:tcPr>
          <w:p>
            <w: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p>
        </w:tc>
      </w:tr>
    </w:tbl>
    <w:p>
      <w:pPr>
        <w:snapToGrid w:val="0"/>
        <w:spacing w:line="440" w:lineRule="exact"/>
        <w:ind w:firstLine="602" w:firstLineChars="200"/>
        <w:rPr>
          <w:rFonts w:ascii="仿宋" w:hAnsi="仿宋" w:eastAsia="仿宋" w:cs="Arial"/>
          <w:b/>
          <w:bCs/>
          <w:sz w:val="30"/>
          <w:szCs w:val="30"/>
        </w:rPr>
      </w:pPr>
      <w:r>
        <w:t>十一、采购需求咨询</w:t>
      </w:r>
    </w:p>
    <w:p>
      <w:pPr>
        <w:pStyle w:val="806"/>
        <w:spacing w:before="120" w:after="120"/>
        <w:jc w:val="both"/>
        <w:rPr>
          <w:rFonts w:ascii="仿宋_GB2312" w:hAnsi="仿宋" w:eastAsia="仿宋_GB2312"/>
          <w:sz w:val="30"/>
          <w:szCs w:val="30"/>
        </w:rPr>
      </w:pPr>
      <w:r>
        <w:t>标项1：</w:t>
      </w:r>
    </w:p>
    <w:tbl>
      <w:tblPr>
        <w:tblStyle w:val="5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99"/>
        <w:gridCol w:w="2267"/>
        <w:gridCol w:w="199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t>采购单位</w:t>
            </w:r>
          </w:p>
        </w:tc>
        <w:tc>
          <w:tcPr>
            <w:tcW w:w="7557" w:type="dxa"/>
            <w:gridSpan w:val="4"/>
            <w:tcBorders>
              <w:top w:val="single" w:color="auto" w:sz="4" w:space="0"/>
              <w:left w:val="single" w:color="auto" w:sz="4" w:space="0"/>
              <w:bottom w:val="single" w:color="auto" w:sz="4" w:space="0"/>
              <w:right w:val="single" w:color="auto" w:sz="4" w:space="0"/>
            </w:tcBorders>
          </w:tcPr>
          <w:p>
            <w:r>
              <w:t>浙江药科职业大学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t>地 址</w:t>
            </w:r>
          </w:p>
        </w:tc>
        <w:tc>
          <w:tcPr>
            <w:tcW w:w="7557" w:type="dxa"/>
            <w:gridSpan w:val="4"/>
            <w:tcBorders>
              <w:top w:val="single" w:color="auto" w:sz="4" w:space="0"/>
              <w:left w:val="single" w:color="auto" w:sz="4" w:space="0"/>
              <w:bottom w:val="single" w:color="auto" w:sz="4" w:space="0"/>
              <w:right w:val="single" w:color="auto" w:sz="4" w:space="0"/>
            </w:tcBorders>
            <w:vAlign w:val="center"/>
          </w:tcPr>
          <w:p>
            <w:r>
              <w:t>宁波市奉化区四明路666号浙江药科职业大学（奉化校区）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t>咨询事项</w:t>
            </w:r>
          </w:p>
        </w:tc>
        <w:tc>
          <w:tcPr>
            <w:tcW w:w="1499" w:type="dxa"/>
            <w:tcBorders>
              <w:top w:val="single" w:color="auto" w:sz="4" w:space="0"/>
              <w:left w:val="single" w:color="auto" w:sz="4" w:space="0"/>
              <w:bottom w:val="single" w:color="auto" w:sz="4" w:space="0"/>
              <w:right w:val="single" w:color="auto" w:sz="4" w:space="0"/>
            </w:tcBorders>
          </w:tcPr>
          <w:p>
            <w:r>
              <w:t>联系人</w:t>
            </w:r>
          </w:p>
        </w:tc>
        <w:tc>
          <w:tcPr>
            <w:tcW w:w="2267" w:type="dxa"/>
            <w:tcBorders>
              <w:top w:val="single" w:color="auto" w:sz="4" w:space="0"/>
              <w:left w:val="single" w:color="auto" w:sz="4" w:space="0"/>
              <w:bottom w:val="single" w:color="auto" w:sz="4" w:space="0"/>
              <w:right w:val="single" w:color="auto" w:sz="4" w:space="0"/>
            </w:tcBorders>
          </w:tcPr>
          <w:p>
            <w:r>
              <w:t>联系方式</w:t>
            </w:r>
          </w:p>
        </w:tc>
        <w:tc>
          <w:tcPr>
            <w:tcW w:w="1992" w:type="dxa"/>
            <w:tcBorders>
              <w:top w:val="single" w:color="auto" w:sz="4" w:space="0"/>
              <w:left w:val="single" w:color="auto" w:sz="4" w:space="0"/>
              <w:bottom w:val="single" w:color="auto" w:sz="4" w:space="0"/>
              <w:right w:val="single" w:color="auto" w:sz="4" w:space="0"/>
            </w:tcBorders>
          </w:tcPr>
          <w:p>
            <w:r>
              <w:t>传真</w:t>
            </w:r>
          </w:p>
        </w:tc>
        <w:tc>
          <w:tcPr>
            <w:tcW w:w="1799" w:type="dxa"/>
            <w:tcBorders>
              <w:top w:val="single" w:color="auto" w:sz="4" w:space="0"/>
              <w:left w:val="single" w:color="auto" w:sz="4" w:space="0"/>
              <w:bottom w:val="single" w:color="auto" w:sz="4" w:space="0"/>
              <w:right w:val="single" w:color="auto" w:sz="4" w:space="0"/>
            </w:tcBorders>
          </w:tcPr>
          <w:p>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r>
              <w:t>采购需求等</w:t>
            </w:r>
          </w:p>
        </w:tc>
        <w:tc>
          <w:tcPr>
            <w:tcW w:w="1499" w:type="dxa"/>
            <w:tcBorders>
              <w:top w:val="single" w:color="auto" w:sz="4" w:space="0"/>
              <w:left w:val="single" w:color="auto" w:sz="4" w:space="0"/>
              <w:bottom w:val="single" w:color="auto" w:sz="4" w:space="0"/>
              <w:right w:val="single" w:color="auto" w:sz="4" w:space="0"/>
            </w:tcBorders>
          </w:tcPr>
          <w:p>
            <w:r>
              <w:t>陶勇</w:t>
            </w:r>
          </w:p>
        </w:tc>
        <w:tc>
          <w:tcPr>
            <w:tcW w:w="2267" w:type="dxa"/>
            <w:tcBorders>
              <w:top w:val="single" w:color="auto" w:sz="4" w:space="0"/>
              <w:left w:val="single" w:color="auto" w:sz="4" w:space="0"/>
              <w:bottom w:val="single" w:color="auto" w:sz="4" w:space="0"/>
              <w:right w:val="single" w:color="auto" w:sz="4" w:space="0"/>
            </w:tcBorders>
          </w:tcPr>
          <w:p>
            <w:r>
              <w:t>0574-88839089</w:t>
            </w:r>
          </w:p>
        </w:tc>
        <w:tc>
          <w:tcPr>
            <w:tcW w:w="199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highlight w:val="yellow"/>
              </w:rPr>
            </w:pPr>
          </w:p>
        </w:tc>
        <w:tc>
          <w:tcPr>
            <w:tcW w:w="1799"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r>
              <w:t>项目监督</w:t>
            </w:r>
          </w:p>
        </w:tc>
        <w:tc>
          <w:tcPr>
            <w:tcW w:w="1499" w:type="dxa"/>
            <w:tcBorders>
              <w:top w:val="single" w:color="auto" w:sz="4" w:space="0"/>
              <w:left w:val="single" w:color="auto" w:sz="4" w:space="0"/>
              <w:bottom w:val="single" w:color="auto" w:sz="4" w:space="0"/>
              <w:right w:val="single" w:color="auto" w:sz="4" w:space="0"/>
            </w:tcBorders>
          </w:tcPr>
          <w:p>
            <w:r>
              <w:t>葛勤峰</w:t>
            </w:r>
          </w:p>
        </w:tc>
        <w:tc>
          <w:tcPr>
            <w:tcW w:w="2267" w:type="dxa"/>
            <w:tcBorders>
              <w:top w:val="single" w:color="auto" w:sz="4" w:space="0"/>
              <w:left w:val="single" w:color="auto" w:sz="4" w:space="0"/>
              <w:bottom w:val="single" w:color="auto" w:sz="4" w:space="0"/>
              <w:right w:val="single" w:color="auto" w:sz="4" w:space="0"/>
            </w:tcBorders>
          </w:tcPr>
          <w:p>
            <w:r>
              <w:t>0574-88839057</w:t>
            </w:r>
          </w:p>
        </w:tc>
        <w:tc>
          <w:tcPr>
            <w:tcW w:w="199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p>
        </w:tc>
        <w:tc>
          <w:tcPr>
            <w:tcW w:w="1799"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sz w:val="24"/>
                <w:szCs w:val="24"/>
              </w:rPr>
            </w:pPr>
          </w:p>
        </w:tc>
      </w:tr>
    </w:tbl>
    <w:p>
      <w:pPr>
        <w:pStyle w:val="31"/>
        <w:spacing w:before="120" w:after="120" w:line="360" w:lineRule="auto"/>
        <w:jc w:val="center"/>
        <w:outlineLvl w:val="0"/>
        <w:rPr>
          <w:rFonts w:hAnsi="宋体"/>
          <w:b/>
          <w:sz w:val="36"/>
          <w:szCs w:val="36"/>
        </w:rPr>
      </w:pPr>
      <w:r>
        <w:t>第二章  投标人须知</w:t>
      </w:r>
    </w:p>
    <w:p>
      <w:pPr>
        <w:snapToGrid w:val="0"/>
        <w:rPr>
          <w:rFonts w:ascii="宋体" w:hAnsi="宋体"/>
          <w:sz w:val="28"/>
          <w:szCs w:val="28"/>
        </w:rPr>
      </w:pPr>
      <w: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r>
              <w:t>序号</w:t>
            </w:r>
          </w:p>
        </w:tc>
        <w:tc>
          <w:tcPr>
            <w:tcW w:w="1559" w:type="dxa"/>
            <w:tcBorders>
              <w:top w:val="single" w:color="auto" w:sz="4" w:space="0"/>
              <w:left w:val="single" w:color="auto" w:sz="4" w:space="0"/>
              <w:bottom w:val="single" w:color="auto" w:sz="4" w:space="0"/>
              <w:right w:val="single" w:color="auto" w:sz="4" w:space="0"/>
            </w:tcBorders>
            <w:vAlign w:val="center"/>
          </w:tcPr>
          <w:p>
            <w:r>
              <w:t>内  容</w:t>
            </w:r>
          </w:p>
        </w:tc>
        <w:tc>
          <w:tcPr>
            <w:tcW w:w="7371" w:type="dxa"/>
            <w:tcBorders>
              <w:top w:val="single" w:color="auto" w:sz="4" w:space="0"/>
              <w:left w:val="single" w:color="auto" w:sz="4" w:space="0"/>
              <w:bottom w:val="single" w:color="auto" w:sz="4" w:space="0"/>
              <w:right w:val="single" w:color="auto" w:sz="4" w:space="0"/>
            </w:tcBorders>
            <w:vAlign w:val="center"/>
          </w:tcPr>
          <w:p>
            <w: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1</w:t>
            </w:r>
          </w:p>
        </w:tc>
        <w:tc>
          <w:tcPr>
            <w:tcW w:w="1559" w:type="dxa"/>
            <w:tcBorders>
              <w:top w:val="single" w:color="auto" w:sz="4" w:space="0"/>
              <w:left w:val="single" w:color="auto" w:sz="4" w:space="0"/>
              <w:bottom w:val="single" w:color="auto" w:sz="4" w:space="0"/>
              <w:right w:val="single" w:color="auto" w:sz="4" w:space="0"/>
            </w:tcBorders>
            <w:vAlign w:val="center"/>
          </w:tcPr>
          <w:p>
            <w: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2</w:t>
            </w:r>
          </w:p>
        </w:tc>
        <w:tc>
          <w:tcPr>
            <w:tcW w:w="1559" w:type="dxa"/>
            <w:tcBorders>
              <w:top w:val="single" w:color="auto" w:sz="4" w:space="0"/>
              <w:left w:val="single" w:color="auto" w:sz="4" w:space="0"/>
              <w:bottom w:val="single" w:color="auto" w:sz="4" w:space="0"/>
              <w:right w:val="single" w:color="auto" w:sz="4" w:space="0"/>
            </w:tcBorders>
            <w:vAlign w:val="center"/>
          </w:tcPr>
          <w:p>
            <w:r>
              <w:t>信用记录</w:t>
            </w:r>
          </w:p>
        </w:tc>
        <w:tc>
          <w:tcPr>
            <w:tcW w:w="7371" w:type="dxa"/>
            <w:tcBorders>
              <w:top w:val="single" w:color="auto" w:sz="4" w:space="0"/>
              <w:left w:val="single" w:color="auto" w:sz="4" w:space="0"/>
              <w:bottom w:val="single" w:color="auto" w:sz="4" w:space="0"/>
              <w:right w:val="single" w:color="auto" w:sz="4" w:space="0"/>
            </w:tcBorders>
            <w:vAlign w:val="center"/>
          </w:tcPr>
          <w:p>
            <w: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3</w:t>
            </w:r>
          </w:p>
        </w:tc>
        <w:tc>
          <w:tcPr>
            <w:tcW w:w="1559" w:type="dxa"/>
            <w:tcBorders>
              <w:top w:val="single" w:color="auto" w:sz="4" w:space="0"/>
              <w:left w:val="single" w:color="auto" w:sz="4" w:space="0"/>
              <w:bottom w:val="single" w:color="auto" w:sz="4" w:space="0"/>
              <w:right w:val="single" w:color="auto" w:sz="4" w:space="0"/>
            </w:tcBorders>
            <w:vAlign w:val="center"/>
          </w:tcPr>
          <w:p>
            <w: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r>
              <w:t>根据《政府采购促进中小企业发展管理办法》财库〔2020〕46号文件的规定，本项目否属于预留份额专门面向中小企业采购的项目。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4</w:t>
            </w:r>
          </w:p>
        </w:tc>
        <w:tc>
          <w:tcPr>
            <w:tcW w:w="1559" w:type="dxa"/>
            <w:tcBorders>
              <w:top w:val="single" w:color="auto" w:sz="4" w:space="0"/>
              <w:left w:val="single" w:color="auto" w:sz="4" w:space="0"/>
              <w:bottom w:val="single" w:color="auto" w:sz="4" w:space="0"/>
              <w:right w:val="single" w:color="auto" w:sz="4" w:space="0"/>
            </w:tcBorders>
            <w:vAlign w:val="center"/>
          </w:tcPr>
          <w:p>
            <w: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r>
              <w:t>项目属性（服务类）</w:t>
              <w:br/>
              <w:t>中小企业划分标准所属行业（具体根据《中小企业划型标准规定》执行）</w:t>
              <w:br/>
              <w:t>采购标的：物业服务，所属行业：物业管理</w:t>
              <w:br/>
              <w:t>3.根据财库〔2020〕46号的相关规定，在评审时对符合本办法规定的小微企业报价给予（10%）的扣除，取扣除后的价格作为最终投标报价（此最终投标报价仅作为价格分计算）。中小企业参加政府采购活动，应当出具本办法规定的《中小企业声明函》，否则不得享受相关中小企业扶持政策。</w:t>
              <w:b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w:t>
              <w:br/>
              <w:t>组成联合体或者接受分包 的小微企业与联合体内其他企业、分包企业之间存在直接控 股、管理关系的，不享受价格扣除优惠政策。</w:t>
              <w:b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b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b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5</w:t>
            </w:r>
          </w:p>
        </w:tc>
        <w:tc>
          <w:tcPr>
            <w:tcW w:w="1559" w:type="dxa"/>
            <w:tcBorders>
              <w:top w:val="single" w:color="auto" w:sz="4" w:space="0"/>
              <w:left w:val="single" w:color="auto" w:sz="4" w:space="0"/>
              <w:bottom w:val="single" w:color="auto" w:sz="4" w:space="0"/>
              <w:right w:val="single" w:color="auto" w:sz="4" w:space="0"/>
            </w:tcBorders>
            <w:vAlign w:val="center"/>
          </w:tcPr>
          <w:p>
            <w: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br/>
              <w:t>产品属于政府强制采购节能品目的（详见《关于印发节能产品政府采购品目清单的通知》财库〔2019〕19号），投标人须按上款要求提供节能产品认证证书或规定网站证书查询截图。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6</w:t>
            </w:r>
          </w:p>
        </w:tc>
        <w:tc>
          <w:tcPr>
            <w:tcW w:w="1559" w:type="dxa"/>
            <w:tcBorders>
              <w:top w:val="single" w:color="auto" w:sz="4" w:space="0"/>
              <w:left w:val="single" w:color="auto" w:sz="4" w:space="0"/>
              <w:bottom w:val="single" w:color="auto" w:sz="4" w:space="0"/>
              <w:right w:val="single" w:color="auto" w:sz="4" w:space="0"/>
            </w:tcBorders>
            <w:vAlign w:val="center"/>
          </w:tcPr>
          <w:p>
            <w:r>
              <w:t>质疑</w:t>
            </w:r>
          </w:p>
        </w:tc>
        <w:tc>
          <w:tcPr>
            <w:tcW w:w="7371" w:type="dxa"/>
            <w:tcBorders>
              <w:top w:val="single" w:color="auto" w:sz="4" w:space="0"/>
              <w:left w:val="single" w:color="auto" w:sz="4" w:space="0"/>
              <w:bottom w:val="single" w:color="auto" w:sz="4" w:space="0"/>
              <w:right w:val="single" w:color="auto" w:sz="4" w:space="0"/>
            </w:tcBorders>
            <w:vAlign w:val="center"/>
          </w:tcPr>
          <w:p>
            <w:r>
              <w:t>投标人认为采购文件使自己的权益受到损害的，可以自获取采购文件之日或者采购公告期限届满之日（公告期限届满后获取采购文件的，以公告期限届满之日为准）起7个工作日内，对评分标准及采购文件需求的以书面形式向采购人提出质疑，对其他内容的以书面形式向采购人和招标方提出质疑，格式及内容要求详见总则（五）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7</w:t>
            </w:r>
          </w:p>
        </w:tc>
        <w:tc>
          <w:tcPr>
            <w:tcW w:w="1559" w:type="dxa"/>
            <w:tcBorders>
              <w:top w:val="single" w:color="auto" w:sz="4" w:space="0"/>
              <w:left w:val="single" w:color="auto" w:sz="4" w:space="0"/>
              <w:bottom w:val="single" w:color="auto" w:sz="4" w:space="0"/>
              <w:right w:val="single" w:color="auto" w:sz="4" w:space="0"/>
            </w:tcBorders>
            <w:vAlign w:val="center"/>
          </w:tcPr>
          <w:p>
            <w: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r>
              <w:t>不允许进口产品。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8</w:t>
            </w:r>
          </w:p>
        </w:tc>
        <w:tc>
          <w:tcPr>
            <w:tcW w:w="1559" w:type="dxa"/>
            <w:tcBorders>
              <w:top w:val="single" w:color="auto" w:sz="4" w:space="0"/>
              <w:left w:val="single" w:color="auto" w:sz="4" w:space="0"/>
              <w:bottom w:val="single" w:color="auto" w:sz="4" w:space="0"/>
              <w:right w:val="single" w:color="auto" w:sz="4" w:space="0"/>
            </w:tcBorders>
            <w:vAlign w:val="center"/>
          </w:tcPr>
          <w:p>
            <w: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r>
              <w:t>转包：否</w:t>
              <w:br/>
              <w:t>分包：专项服务部分允许分包。当分包份额占到合同总金额100%时，视为转包。此情况根据《中华人民共和国政府采购法实施条例》（国务院令第658号）文件第七十二条规定，将依照政府采购法第七十七条第一款的规定追究相应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9</w:t>
            </w:r>
          </w:p>
        </w:tc>
        <w:tc>
          <w:tcPr>
            <w:tcW w:w="1559" w:type="dxa"/>
            <w:tcBorders>
              <w:top w:val="single" w:color="auto" w:sz="4" w:space="0"/>
              <w:left w:val="single" w:color="auto" w:sz="4" w:space="0"/>
              <w:bottom w:val="single" w:color="auto" w:sz="4" w:space="0"/>
              <w:right w:val="single" w:color="auto" w:sz="4" w:space="0"/>
            </w:tcBorders>
            <w:vAlign w:val="center"/>
          </w:tcPr>
          <w:p>
            <w: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r>
              <w:t>标项1:允许联合体投标。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r>
              <w:t>10</w:t>
            </w:r>
          </w:p>
        </w:tc>
        <w:tc>
          <w:tcPr>
            <w:tcW w:w="1559" w:type="dxa"/>
            <w:tcBorders>
              <w:top w:val="single" w:color="auto" w:sz="4" w:space="0"/>
              <w:left w:val="single" w:color="auto" w:sz="4" w:space="0"/>
              <w:bottom w:val="single" w:color="auto" w:sz="4" w:space="0"/>
              <w:right w:val="single" w:color="auto" w:sz="4" w:space="0"/>
            </w:tcBorders>
            <w:vAlign w:val="center"/>
          </w:tcPr>
          <w:p>
            <w: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r>
              <w:t>现场踏勘。为确保投标方对学校基本情况能做到充分了解，学校同意投标人来校现场踏勘，投标人应提前一天联系校方负责人，提供进校所需资料并按时入校踏勘。联系人：陶勇  电话：0574-88839089 15057432993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r>
              <w:t>11</w:t>
            </w:r>
          </w:p>
        </w:tc>
        <w:tc>
          <w:tcPr>
            <w:tcW w:w="1559" w:type="dxa"/>
            <w:tcBorders>
              <w:top w:val="single" w:color="auto" w:sz="4" w:space="0"/>
              <w:left w:val="single" w:color="auto" w:sz="4" w:space="0"/>
              <w:bottom w:val="single" w:color="auto" w:sz="4" w:space="0"/>
              <w:right w:val="single" w:color="auto" w:sz="4" w:space="0"/>
            </w:tcBorders>
            <w:vAlign w:val="center"/>
          </w:tcPr>
          <w:p>
            <w: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r>
              <w:t>不进行演示。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r>
              <w:t>12</w:t>
            </w:r>
          </w:p>
        </w:tc>
        <w:tc>
          <w:tcPr>
            <w:tcW w:w="1559" w:type="dxa"/>
            <w:tcBorders>
              <w:top w:val="single" w:color="auto" w:sz="4" w:space="0"/>
              <w:left w:val="single" w:color="auto" w:sz="4" w:space="0"/>
              <w:bottom w:val="single" w:color="auto" w:sz="4" w:space="0"/>
              <w:right w:val="single" w:color="auto" w:sz="4" w:space="0"/>
            </w:tcBorders>
            <w:vAlign w:val="center"/>
          </w:tcPr>
          <w:p>
            <w: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r>
              <w:t>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r>
              <w:t>13</w:t>
            </w:r>
          </w:p>
        </w:tc>
        <w:tc>
          <w:tcPr>
            <w:tcW w:w="1559" w:type="dxa"/>
            <w:tcBorders>
              <w:top w:val="single" w:color="auto" w:sz="4" w:space="0"/>
              <w:left w:val="single" w:color="auto" w:sz="4" w:space="0"/>
              <w:bottom w:val="single" w:color="auto" w:sz="4" w:space="0"/>
              <w:right w:val="single" w:color="auto" w:sz="4" w:space="0"/>
            </w:tcBorders>
            <w:vAlign w:val="center"/>
          </w:tcPr>
          <w:p>
            <w: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r>
              <w:t>投标文件均由资质文件、技术商务文件、报价文件组成。</w:t>
              <w:b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r>
              <w:t>14</w:t>
            </w:r>
          </w:p>
        </w:tc>
        <w:tc>
          <w:tcPr>
            <w:tcW w:w="1559" w:type="dxa"/>
            <w:tcBorders>
              <w:top w:val="single" w:color="auto" w:sz="4" w:space="0"/>
              <w:left w:val="single" w:color="auto" w:sz="4" w:space="0"/>
              <w:bottom w:val="single" w:color="auto" w:sz="4" w:space="0"/>
              <w:right w:val="single" w:color="auto" w:sz="4" w:space="0"/>
            </w:tcBorders>
            <w:vAlign w:val="center"/>
          </w:tcPr>
          <w:p>
            <w: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r>
              <w:t>第一步：供应商注册</w:t>
              <w:br/>
              <w:t>投标人应在投标前注册成为浙江政府采购网的正式供应商（注册网址：https://middle.zcygov.cn/v-settle-front/registry）；</w:t>
              <w:br/>
              <w:t>第二步：申请CA</w:t>
              <w:br/>
              <w:t>投标人应在投标前完成CA数字证书办理（办理流程详见http://zfcg.czt.zj.gov.cn/bidClientTemplate/2019-05-27/12945.html）。完成CA数字证书办理预计一周左右，建议各投标人抓紧时间办理；</w:t>
              <w:br/>
              <w:t>第三步：下载客户端</w:t>
              <w:br/>
              <w:t>投标人通过政采云电子交易客户端制作投标文件，请自行前往浙江政府采购网下载并安装（下载网址：http://zfcg.czt.zj.gov.cn/bidClientTemplate/2019-09-24/12975.html）；</w:t>
              <w:br/>
              <w:t>第四步：具体流程</w:t>
              <w:br/>
              <w:t>详见浙江省“电子交易/不见面开评标”学习专题（网址https://edu.zcygov.cn/luban/e-biding）</w:t>
              <w:b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r>
              <w:t>15</w:t>
            </w:r>
          </w:p>
        </w:tc>
        <w:tc>
          <w:tcPr>
            <w:tcW w:w="1559" w:type="dxa"/>
            <w:tcBorders>
              <w:top w:val="single" w:color="auto" w:sz="4" w:space="0"/>
              <w:left w:val="single" w:color="auto" w:sz="4" w:space="0"/>
              <w:bottom w:val="single" w:color="auto" w:sz="4" w:space="0"/>
              <w:right w:val="single" w:color="auto" w:sz="4" w:space="0"/>
            </w:tcBorders>
            <w:vAlign w:val="center"/>
          </w:tcPr>
          <w:p>
            <w: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br/>
              <w:t>投标文件的接收以本项目公告要求的时间、地点和“第二章”的“投标文件的编制”等要求为准。</w:t>
              <w:br/>
              <w:t>投标人递交备份投标文件，出现下列情况之一的，将被拒收：</w:t>
              <w:br/>
              <w:t>1、未按规定密封或标记的；</w:t>
              <w:br/>
              <w:t>2、由于包装不妥，在送交途中严重破损或失散的；</w:t>
              <w:b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r>
              <w:t>16</w:t>
            </w:r>
          </w:p>
        </w:tc>
        <w:tc>
          <w:tcPr>
            <w:tcW w:w="1559" w:type="dxa"/>
            <w:tcBorders>
              <w:top w:val="single" w:color="auto" w:sz="4" w:space="0"/>
              <w:left w:val="single" w:color="auto" w:sz="4" w:space="0"/>
              <w:bottom w:val="single" w:color="auto" w:sz="4" w:space="0"/>
              <w:right w:val="single" w:color="auto" w:sz="4" w:space="0"/>
            </w:tcBorders>
            <w:vAlign w:val="center"/>
          </w:tcPr>
          <w:p>
            <w: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r>
              <w:t>中标供应商确定之日起2个工作日内，将在浙江省政府采购网(http://www.zjzfcg.gov.cn)发布中标公告（中标人为中小企业的，其声明函将随中标结果同时公告），公告期限为1个工作日。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r>
              <w:t>17</w:t>
            </w:r>
          </w:p>
        </w:tc>
        <w:tc>
          <w:tcPr>
            <w:tcW w:w="1559" w:type="dxa"/>
            <w:tcBorders>
              <w:top w:val="single" w:color="auto" w:sz="4" w:space="0"/>
              <w:left w:val="single" w:color="auto" w:sz="4" w:space="0"/>
              <w:bottom w:val="single" w:color="auto" w:sz="4" w:space="0"/>
              <w:right w:val="single" w:color="auto" w:sz="4" w:space="0"/>
            </w:tcBorders>
            <w:vAlign w:val="center"/>
          </w:tcPr>
          <w:p>
            <w: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r>
              <w:t>合同签订时，采购人按《中华人民共和国政府采购法实施条例》、《浙江省财政厅关于进一步发挥政府采购政策功能全力推进经济稳进提质的通知》、《浙江省人民政府关于印发浙江省贯彻落实国务院扎实稳住经济一揽子政策措施实施方案的通知》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r>
              <w:t>18</w:t>
            </w:r>
          </w:p>
        </w:tc>
        <w:tc>
          <w:tcPr>
            <w:tcW w:w="1559" w:type="dxa"/>
            <w:tcBorders>
              <w:top w:val="single" w:color="auto" w:sz="4" w:space="0"/>
              <w:left w:val="single" w:color="auto" w:sz="4" w:space="0"/>
              <w:bottom w:val="single" w:color="auto" w:sz="4" w:space="0"/>
              <w:right w:val="single" w:color="auto" w:sz="4" w:space="0"/>
            </w:tcBorders>
            <w:vAlign w:val="center"/>
          </w:tcPr>
          <w:p>
            <w:r>
              <w:t>付款方式</w:t>
            </w:r>
          </w:p>
        </w:tc>
        <w:tc>
          <w:tcPr>
            <w:tcW w:w="7371" w:type="dxa"/>
            <w:tcBorders>
              <w:top w:val="single" w:color="auto" w:sz="4" w:space="0"/>
              <w:left w:val="single" w:color="auto" w:sz="4" w:space="0"/>
              <w:bottom w:val="single" w:color="auto" w:sz="4" w:space="0"/>
              <w:right w:val="single" w:color="auto" w:sz="4" w:space="0"/>
            </w:tcBorders>
            <w:vAlign w:val="center"/>
          </w:tcPr>
          <w:p>
            <w:r>
              <w:t>国库集中支付（采购人自行支付）详见各标项的商务要求表。</w:t>
              <w:b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br/>
              <w:t>备注：在签订合同时，供应商明确表示无需预付款或者主动要求降低预付款比例的，采购单位可不适用前述预付款比例的规定。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r>
              <w:t>19</w:t>
            </w:r>
          </w:p>
        </w:tc>
        <w:tc>
          <w:tcPr>
            <w:tcW w:w="1559" w:type="dxa"/>
            <w:tcBorders>
              <w:top w:val="single" w:color="auto" w:sz="4" w:space="0"/>
              <w:left w:val="single" w:color="auto" w:sz="4" w:space="0"/>
              <w:bottom w:val="single" w:color="auto" w:sz="4" w:space="0"/>
              <w:right w:val="single" w:color="auto" w:sz="4" w:space="0"/>
            </w:tcBorders>
            <w:vAlign w:val="center"/>
          </w:tcPr>
          <w:p>
            <w: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r>
              <w:t>20</w:t>
            </w:r>
          </w:p>
        </w:tc>
        <w:tc>
          <w:tcPr>
            <w:tcW w:w="1559" w:type="dxa"/>
            <w:tcBorders>
              <w:top w:val="single" w:color="auto" w:sz="4" w:space="0"/>
              <w:left w:val="single" w:color="auto" w:sz="4" w:space="0"/>
              <w:bottom w:val="single" w:color="auto" w:sz="4" w:space="0"/>
              <w:right w:val="single" w:color="auto" w:sz="4" w:space="0"/>
            </w:tcBorders>
            <w:vAlign w:val="center"/>
          </w:tcPr>
          <w:p>
            <w: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r>
              <w:t>21</w:t>
            </w:r>
          </w:p>
        </w:tc>
        <w:tc>
          <w:tcPr>
            <w:tcW w:w="1559" w:type="dxa"/>
            <w:tcBorders>
              <w:top w:val="single" w:color="auto" w:sz="4" w:space="0"/>
              <w:left w:val="single" w:color="auto" w:sz="4" w:space="0"/>
              <w:bottom w:val="single" w:color="auto" w:sz="4" w:space="0"/>
              <w:right w:val="single" w:color="auto" w:sz="4" w:space="0"/>
            </w:tcBorders>
            <w:vAlign w:val="center"/>
          </w:tcPr>
          <w:p>
            <w: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r>
              <w:t>22</w:t>
            </w:r>
          </w:p>
        </w:tc>
        <w:tc>
          <w:tcPr>
            <w:tcW w:w="1559" w:type="dxa"/>
            <w:tcBorders>
              <w:top w:val="single" w:color="auto" w:sz="4" w:space="0"/>
              <w:left w:val="single" w:color="auto" w:sz="4" w:space="0"/>
              <w:bottom w:val="single" w:color="auto" w:sz="4" w:space="0"/>
              <w:right w:val="single" w:color="auto" w:sz="4" w:space="0"/>
            </w:tcBorders>
            <w:vAlign w:val="center"/>
          </w:tcPr>
          <w:p>
            <w:r>
              <w:t>解释权</w:t>
            </w:r>
          </w:p>
        </w:tc>
        <w:tc>
          <w:tcPr>
            <w:tcW w:w="7371" w:type="dxa"/>
            <w:tcBorders>
              <w:top w:val="single" w:color="auto" w:sz="4" w:space="0"/>
              <w:left w:val="single" w:color="auto" w:sz="4" w:space="0"/>
              <w:bottom w:val="single" w:color="auto" w:sz="4" w:space="0"/>
              <w:right w:val="single" w:color="auto" w:sz="4" w:space="0"/>
            </w:tcBorders>
            <w:vAlign w:val="center"/>
          </w:tcPr>
          <w:p>
            <w:r>
              <w:t>本招标文件的解释权属于浙江省政府采购中心。</w:t>
            </w:r>
          </w:p>
        </w:tc>
      </w:tr>
    </w:tbl>
    <w:p>
      <w:pPr>
        <w:pStyle w:val="31"/>
        <w:snapToGrid w:val="0"/>
        <w:spacing w:before="240" w:beforeLines="100" w:after="240" w:afterLines="100" w:line="360" w:lineRule="auto"/>
        <w:jc w:val="center"/>
        <w:rPr>
          <w:rFonts w:ascii="仿宋" w:hAnsi="仿宋" w:eastAsia="仿宋"/>
          <w:b/>
          <w:bCs/>
          <w:sz w:val="28"/>
          <w:szCs w:val="28"/>
        </w:rPr>
      </w:pPr>
      <w:r>
        <w:t>一、总  则</w:t>
      </w:r>
    </w:p>
    <w:p>
      <w:pPr>
        <w:snapToGrid w:val="0"/>
        <w:spacing w:line="460" w:lineRule="exact"/>
        <w:ind w:firstLine="414" w:firstLineChars="148"/>
        <w:jc w:val="left"/>
        <w:outlineLvl w:val="1"/>
        <w:rPr>
          <w:rFonts w:ascii="仿宋" w:hAnsi="仿宋" w:eastAsia="仿宋"/>
          <w:bCs/>
          <w:sz w:val="28"/>
          <w:szCs w:val="28"/>
        </w:rPr>
      </w:pPr>
      <w:r>
        <w:t>（一）适用范围</w:t>
      </w:r>
    </w:p>
    <w:p>
      <w:pPr>
        <w:snapToGrid w:val="0"/>
        <w:spacing w:line="460" w:lineRule="exact"/>
        <w:ind w:firstLine="560" w:firstLineChars="200"/>
        <w:rPr>
          <w:rFonts w:ascii="仿宋" w:hAnsi="仿宋" w:eastAsia="仿宋"/>
          <w:bCs/>
          <w:sz w:val="28"/>
          <w:szCs w:val="28"/>
        </w:rPr>
      </w:pPr>
      <w: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t xml:space="preserve">（二）定义 </w:t>
      </w:r>
    </w:p>
    <w:p>
      <w:pPr>
        <w:snapToGrid w:val="0"/>
        <w:spacing w:line="460" w:lineRule="exact"/>
        <w:ind w:firstLine="560" w:firstLineChars="200"/>
        <w:rPr>
          <w:rFonts w:ascii="仿宋" w:hAnsi="仿宋" w:eastAsia="仿宋"/>
          <w:bCs/>
          <w:sz w:val="28"/>
          <w:szCs w:val="28"/>
        </w:rPr>
      </w:pPr>
      <w:r>
        <w:t>1.招标方：指组织本项目采购的浙江省政府采购中心。</w:t>
      </w:r>
    </w:p>
    <w:p>
      <w:pPr>
        <w:snapToGrid w:val="0"/>
        <w:spacing w:line="460" w:lineRule="exact"/>
        <w:ind w:firstLine="560" w:firstLineChars="200"/>
        <w:rPr>
          <w:rFonts w:ascii="仿宋" w:hAnsi="仿宋" w:eastAsia="仿宋"/>
          <w:bCs/>
          <w:sz w:val="28"/>
          <w:szCs w:val="28"/>
        </w:rPr>
      </w:pPr>
      <w:r>
        <w:t>2.投标人：指响应招标、参加投标竞争的法人、其他组织或者自然人。</w:t>
      </w:r>
    </w:p>
    <w:p>
      <w:pPr>
        <w:snapToGrid w:val="0"/>
        <w:spacing w:line="460" w:lineRule="exact"/>
        <w:ind w:firstLine="560" w:firstLineChars="200"/>
        <w:rPr>
          <w:rFonts w:ascii="仿宋" w:hAnsi="仿宋" w:eastAsia="仿宋"/>
          <w:bCs/>
          <w:sz w:val="28"/>
          <w:szCs w:val="28"/>
        </w:rPr>
      </w:pPr>
      <w: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t>7.电子交易平台:指政府采购项目电子交易平台，即政采云平台。</w:t>
      </w:r>
    </w:p>
    <w:p>
      <w:pPr>
        <w:spacing w:line="360" w:lineRule="auto"/>
        <w:ind w:firstLine="562" w:firstLineChars="200"/>
        <w:rPr>
          <w:rFonts w:ascii="仿宋" w:hAnsi="仿宋" w:eastAsia="仿宋" w:cs="Arial"/>
          <w:b/>
          <w:sz w:val="28"/>
          <w:szCs w:val="28"/>
        </w:rPr>
      </w:pPr>
      <w: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sz w:val="28"/>
          <w:szCs w:val="28"/>
        </w:rPr>
      </w:pPr>
      <w:r>
        <w:t>（三）投标人及委托有关说明</w:t>
      </w:r>
    </w:p>
    <w:p>
      <w:pPr>
        <w:snapToGrid w:val="0"/>
        <w:spacing w:line="460" w:lineRule="exact"/>
        <w:ind w:firstLine="560" w:firstLineChars="200"/>
        <w:rPr>
          <w:rFonts w:ascii="仿宋" w:hAnsi="仿宋" w:eastAsia="仿宋"/>
          <w:bCs/>
          <w:sz w:val="28"/>
          <w:szCs w:val="28"/>
        </w:rPr>
      </w:pPr>
      <w:r>
        <w:t>1.如授权代表不是法定代表人，须有法定代表人出具的授权委托书（格式见附件）。</w:t>
      </w:r>
    </w:p>
    <w:p>
      <w:pPr>
        <w:pStyle w:val="31"/>
        <w:snapToGrid w:val="0"/>
        <w:spacing w:beforeLines="0" w:after="120" w:line="460" w:lineRule="exact"/>
        <w:ind w:left="2" w:leftChars="1" w:firstLine="560" w:firstLineChars="200"/>
        <w:rPr>
          <w:rFonts w:ascii="仿宋" w:hAnsi="仿宋" w:eastAsia="仿宋"/>
          <w:bCs/>
          <w:sz w:val="28"/>
          <w:szCs w:val="28"/>
        </w:rPr>
      </w:pPr>
      <w: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sz w:val="28"/>
          <w:szCs w:val="28"/>
        </w:rPr>
      </w:pPr>
      <w: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t>（四）投标费用</w:t>
      </w:r>
    </w:p>
    <w:p>
      <w:pPr>
        <w:snapToGrid w:val="0"/>
        <w:spacing w:line="460" w:lineRule="exact"/>
        <w:ind w:firstLine="560" w:firstLineChars="200"/>
        <w:rPr>
          <w:rFonts w:ascii="仿宋" w:hAnsi="仿宋" w:eastAsia="仿宋"/>
          <w:bCs/>
          <w:sz w:val="28"/>
          <w:szCs w:val="28"/>
        </w:rPr>
      </w:pPr>
      <w: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t>（五）质疑</w:t>
      </w:r>
    </w:p>
    <w:p>
      <w:pPr>
        <w:widowControl/>
        <w:spacing w:line="460" w:lineRule="exact"/>
        <w:ind w:firstLine="560" w:firstLineChars="200"/>
        <w:jc w:val="left"/>
        <w:rPr>
          <w:rFonts w:ascii="仿宋" w:hAnsi="仿宋" w:eastAsia="仿宋"/>
          <w:bCs/>
          <w:sz w:val="28"/>
          <w:szCs w:val="28"/>
        </w:rPr>
      </w:pPr>
      <w: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t xml:space="preserve"> 2.质疑应当以书面形式提出，格式见《政府采购质疑和投诉办法》（财政部令第94号）附件范本，下载网址：浙江政府采购网(http://zfcg.czt.zj.gov.cn/)，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t>质疑函应当包括下列内容：</w:t>
      </w:r>
    </w:p>
    <w:p>
      <w:pPr>
        <w:snapToGrid w:val="0"/>
        <w:spacing w:line="460" w:lineRule="exact"/>
        <w:ind w:firstLine="414" w:firstLineChars="148"/>
        <w:jc w:val="left"/>
        <w:outlineLvl w:val="1"/>
        <w:rPr>
          <w:rFonts w:ascii="仿宋" w:hAnsi="仿宋" w:eastAsia="仿宋"/>
          <w:bCs/>
          <w:sz w:val="28"/>
          <w:szCs w:val="28"/>
        </w:rPr>
      </w:pPr>
      <w: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t>b.质疑项目的名称、编号；</w:t>
      </w:r>
    </w:p>
    <w:p>
      <w:pPr>
        <w:snapToGrid w:val="0"/>
        <w:spacing w:line="460" w:lineRule="exact"/>
        <w:ind w:firstLine="414" w:firstLineChars="148"/>
        <w:jc w:val="left"/>
        <w:outlineLvl w:val="1"/>
        <w:rPr>
          <w:rFonts w:ascii="仿宋" w:hAnsi="仿宋" w:eastAsia="仿宋"/>
          <w:bCs/>
          <w:sz w:val="28"/>
          <w:szCs w:val="28"/>
        </w:rPr>
      </w:pPr>
      <w: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t>d.事实依据；</w:t>
      </w:r>
    </w:p>
    <w:p>
      <w:pPr>
        <w:snapToGrid w:val="0"/>
        <w:spacing w:line="460" w:lineRule="exact"/>
        <w:ind w:firstLine="414" w:firstLineChars="148"/>
        <w:jc w:val="left"/>
        <w:outlineLvl w:val="1"/>
        <w:rPr>
          <w:rFonts w:ascii="仿宋" w:hAnsi="仿宋" w:eastAsia="仿宋"/>
          <w:bCs/>
          <w:sz w:val="28"/>
          <w:szCs w:val="28"/>
        </w:rPr>
      </w:pPr>
      <w:r>
        <w:t>e.必要的法律依据；</w:t>
      </w:r>
    </w:p>
    <w:p>
      <w:pPr>
        <w:snapToGrid w:val="0"/>
        <w:spacing w:line="460" w:lineRule="exact"/>
        <w:ind w:firstLine="414" w:firstLineChars="148"/>
        <w:jc w:val="left"/>
        <w:outlineLvl w:val="1"/>
        <w:rPr>
          <w:rFonts w:ascii="仿宋" w:hAnsi="仿宋" w:eastAsia="仿宋"/>
          <w:bCs/>
          <w:sz w:val="28"/>
          <w:szCs w:val="28"/>
        </w:rPr>
      </w:pPr>
      <w:r>
        <w:t>f.提出质疑的日期。</w:t>
      </w:r>
    </w:p>
    <w:p>
      <w:pPr>
        <w:snapToGrid w:val="0"/>
        <w:spacing w:line="460" w:lineRule="exact"/>
        <w:ind w:firstLine="414" w:firstLineChars="148"/>
        <w:jc w:val="left"/>
        <w:outlineLvl w:val="1"/>
        <w:rPr>
          <w:rFonts w:ascii="仿宋" w:hAnsi="仿宋" w:eastAsia="仿宋"/>
          <w:bCs/>
          <w:sz w:val="28"/>
          <w:szCs w:val="28"/>
        </w:rPr>
      </w:pPr>
      <w: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t xml:space="preserve">（六）招标文件的澄清与修改 </w:t>
      </w:r>
    </w:p>
    <w:p>
      <w:pPr>
        <w:pStyle w:val="31"/>
        <w:snapToGrid w:val="0"/>
        <w:spacing w:before="120" w:after="120" w:line="460" w:lineRule="exact"/>
        <w:ind w:firstLine="560" w:firstLineChars="200"/>
        <w:rPr>
          <w:rFonts w:ascii="仿宋" w:hAnsi="仿宋" w:eastAsia="仿宋"/>
          <w:b/>
          <w:bCs/>
          <w:sz w:val="28"/>
          <w:szCs w:val="28"/>
        </w:rPr>
      </w:pPr>
      <w: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逾期提出招标方将不予受理。</w:t>
      </w:r>
    </w:p>
    <w:p>
      <w:pPr>
        <w:pStyle w:val="31"/>
        <w:snapToGrid w:val="0"/>
        <w:spacing w:before="120" w:after="120" w:line="460" w:lineRule="exact"/>
        <w:ind w:firstLine="560" w:firstLineChars="200"/>
        <w:rPr>
          <w:rFonts w:ascii="仿宋" w:hAnsi="仿宋" w:eastAsia="仿宋"/>
          <w:bCs/>
          <w:sz w:val="28"/>
          <w:szCs w:val="28"/>
        </w:rPr>
      </w:pPr>
      <w: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sz w:val="28"/>
          <w:szCs w:val="28"/>
        </w:rPr>
      </w:pPr>
      <w: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240" w:beforeLines="100" w:after="240" w:afterLines="100" w:line="360" w:lineRule="auto"/>
        <w:jc w:val="center"/>
        <w:rPr>
          <w:rFonts w:ascii="仿宋" w:hAnsi="仿宋" w:eastAsia="仿宋"/>
          <w:bCs/>
          <w:sz w:val="28"/>
          <w:szCs w:val="28"/>
        </w:rPr>
      </w:pPr>
      <w:r>
        <w:t>二、投标文件的编制</w:t>
      </w:r>
    </w:p>
    <w:p>
      <w:pPr>
        <w:snapToGrid w:val="0"/>
        <w:spacing w:line="460" w:lineRule="exact"/>
        <w:ind w:firstLine="548" w:firstLineChars="196"/>
        <w:jc w:val="left"/>
        <w:rPr>
          <w:rFonts w:ascii="仿宋" w:hAnsi="仿宋" w:eastAsia="仿宋"/>
          <w:bCs/>
          <w:sz w:val="28"/>
          <w:szCs w:val="28"/>
        </w:rPr>
      </w:pPr>
      <w:r>
        <w:t>（一）投标文件编制工具</w:t>
      </w:r>
    </w:p>
    <w:p>
      <w:pPr>
        <w:pStyle w:val="31"/>
        <w:adjustRightInd w:val="0"/>
        <w:snapToGrid w:val="0"/>
        <w:spacing w:before="120" w:after="120" w:line="500" w:lineRule="exact"/>
        <w:ind w:firstLine="565" w:firstLineChars="201"/>
        <w:rPr>
          <w:rFonts w:ascii="仿宋" w:hAnsi="仿宋" w:eastAsia="仿宋"/>
          <w:b/>
          <w:bCs/>
          <w:sz w:val="28"/>
          <w:szCs w:val="28"/>
        </w:rPr>
      </w:pPr>
      <w:r>
        <w:t>投标文件编制工具为政采云电子交易客户端，下载网址：http://zfcg.czt.zj.gov.cn/bidClientTemplate/2019-09-24/12975.html，请自行下载并安装。</w:t>
      </w:r>
    </w:p>
    <w:p>
      <w:pPr>
        <w:snapToGrid w:val="0"/>
        <w:spacing w:line="460" w:lineRule="exact"/>
        <w:ind w:firstLine="548" w:firstLineChars="196"/>
        <w:jc w:val="left"/>
        <w:rPr>
          <w:rFonts w:ascii="仿宋" w:hAnsi="仿宋" w:eastAsia="仿宋"/>
          <w:bCs/>
          <w:sz w:val="28"/>
          <w:szCs w:val="28"/>
        </w:rPr>
      </w:pPr>
      <w:r>
        <w:t>（二）投标文件的组成</w:t>
      </w:r>
    </w:p>
    <w:p>
      <w:pPr>
        <w:adjustRightInd w:val="0"/>
        <w:snapToGrid w:val="0"/>
        <w:spacing w:line="460" w:lineRule="exact"/>
        <w:ind w:firstLine="562" w:firstLineChars="200"/>
        <w:rPr>
          <w:rFonts w:ascii="仿宋" w:hAnsi="仿宋" w:eastAsia="仿宋"/>
          <w:b/>
          <w:bCs/>
          <w:sz w:val="28"/>
          <w:szCs w:val="28"/>
        </w:rPr>
      </w:pPr>
      <w: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t>电子投标文件每个标项由资质文件、技术商务文件、投标报价文件三部份组成，具体详见“第六章  投标文件格式附件”。备份投标文件的组成和内容等同电子投标文件。</w:t>
      </w:r>
    </w:p>
    <w:p>
      <w:pPr>
        <w:pStyle w:val="50"/>
        <w:widowControl w:val="0"/>
        <w:spacing w:after="120" w:line="460" w:lineRule="exact"/>
        <w:ind w:firstLine="562" w:firstLineChars="200"/>
        <w:jc w:val="both"/>
        <w:rPr>
          <w:rFonts w:ascii="仿宋" w:hAnsi="仿宋" w:eastAsia="仿宋"/>
          <w:bCs/>
          <w:color w:val="auto"/>
          <w:sz w:val="28"/>
          <w:szCs w:val="28"/>
        </w:rPr>
      </w:pPr>
      <w: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t>（三）投标文件的效力</w:t>
      </w:r>
    </w:p>
    <w:p>
      <w:pPr>
        <w:adjustRightInd w:val="0"/>
        <w:snapToGrid w:val="0"/>
        <w:spacing w:line="460" w:lineRule="exact"/>
        <w:ind w:firstLine="560" w:firstLineChars="200"/>
        <w:rPr>
          <w:rFonts w:ascii="仿宋" w:hAnsi="仿宋" w:eastAsia="仿宋"/>
          <w:bCs/>
          <w:sz w:val="28"/>
          <w:szCs w:val="28"/>
        </w:rPr>
      </w:pPr>
      <w: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t>（四）投标文件的语言及计量</w:t>
      </w:r>
    </w:p>
    <w:p>
      <w:pPr>
        <w:snapToGrid w:val="0"/>
        <w:spacing w:line="460" w:lineRule="exact"/>
        <w:ind w:firstLine="560" w:firstLineChars="200"/>
        <w:jc w:val="left"/>
        <w:rPr>
          <w:rFonts w:ascii="仿宋" w:hAnsi="仿宋" w:eastAsia="仿宋"/>
          <w:bCs/>
          <w:sz w:val="28"/>
          <w:szCs w:val="28"/>
        </w:rPr>
      </w:pPr>
      <w: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t>2.投标计量单位，招标文件已有明确规定的，使用招标文件规定的计量单位；招标文件没有规定的，应采用中华人民共和国法定计量单位（货币单位：人民币元），否则将作无效标处理。</w:t>
      </w:r>
    </w:p>
    <w:p>
      <w:pPr>
        <w:pStyle w:val="16"/>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t>（五）投标文件的有效期</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t>1.自投标截止日起90天内投标文件应保持有效。有效期不足的投标文件将作无效标处理。</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t>（六）投标文件的签署和包装</w:t>
      </w:r>
    </w:p>
    <w:p>
      <w:pPr>
        <w:spacing w:line="460" w:lineRule="exact"/>
        <w:ind w:firstLine="562" w:firstLineChars="200"/>
        <w:rPr>
          <w:rFonts w:ascii="仿宋" w:hAnsi="仿宋" w:eastAsia="仿宋"/>
          <w:b/>
          <w:bCs/>
          <w:sz w:val="28"/>
          <w:szCs w:val="28"/>
        </w:rPr>
      </w:pPr>
      <w:r>
        <w:t xml:space="preserve">1.电子投标文件部分： </w:t>
      </w:r>
    </w:p>
    <w:p>
      <w:pPr>
        <w:snapToGrid w:val="0"/>
        <w:spacing w:line="460" w:lineRule="exact"/>
        <w:ind w:firstLine="562" w:firstLineChars="200"/>
        <w:jc w:val="left"/>
        <w:rPr>
          <w:rFonts w:ascii="仿宋" w:hAnsi="仿宋" w:eastAsia="仿宋"/>
          <w:b/>
          <w:bCs/>
          <w:sz w:val="28"/>
          <w:szCs w:val="28"/>
        </w:rPr>
      </w:pPr>
      <w: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sz w:val="28"/>
          <w:szCs w:val="28"/>
        </w:rPr>
      </w:pPr>
      <w:r>
        <w:t xml:space="preserve">（1）储存形式：U盘、DVD </w:t>
      </w:r>
    </w:p>
    <w:p>
      <w:pPr>
        <w:pStyle w:val="31"/>
        <w:adjustRightInd w:val="0"/>
        <w:snapToGrid w:val="0"/>
        <w:spacing w:before="120" w:after="120" w:line="500" w:lineRule="exact"/>
        <w:ind w:firstLine="557" w:firstLineChars="198"/>
        <w:rPr>
          <w:rFonts w:ascii="仿宋" w:hAnsi="仿宋" w:eastAsia="仿宋"/>
          <w:bCs/>
          <w:sz w:val="28"/>
          <w:szCs w:val="28"/>
        </w:rPr>
      </w:pPr>
      <w: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t>（七）投标报价</w:t>
      </w:r>
    </w:p>
    <w:p>
      <w:pPr>
        <w:tabs>
          <w:tab w:val="left" w:pos="525"/>
        </w:tabs>
        <w:snapToGrid w:val="0"/>
        <w:spacing w:line="460" w:lineRule="exact"/>
        <w:ind w:firstLine="560" w:firstLineChars="200"/>
        <w:jc w:val="left"/>
        <w:rPr>
          <w:rFonts w:ascii="仿宋" w:hAnsi="仿宋" w:eastAsia="仿宋"/>
          <w:bCs/>
          <w:sz w:val="28"/>
          <w:szCs w:val="28"/>
        </w:rPr>
      </w:pPr>
      <w:r>
        <w:t>1.投标文件只允许有一个报价，投标报价应按招标文件中相关附表格式填报，该投标报价应与明细报价汇总相等，且不允许出现报价优惠等字样（明细出现“0”元，视同赠送，按无效标处理）。</w:t>
      </w:r>
    </w:p>
    <w:p>
      <w:pPr>
        <w:pStyle w:val="31"/>
        <w:snapToGrid w:val="0"/>
        <w:spacing w:before="120" w:after="120" w:line="460" w:lineRule="exact"/>
        <w:ind w:firstLine="560" w:firstLineChars="200"/>
        <w:jc w:val="left"/>
        <w:rPr>
          <w:rFonts w:ascii="仿宋" w:hAnsi="仿宋" w:eastAsia="仿宋"/>
          <w:bCs/>
          <w:sz w:val="28"/>
          <w:szCs w:val="28"/>
        </w:rPr>
      </w:pPr>
      <w: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1"/>
        <w:snapToGrid w:val="0"/>
        <w:spacing w:before="120" w:after="120" w:line="460" w:lineRule="exact"/>
        <w:ind w:firstLine="560" w:firstLineChars="200"/>
        <w:jc w:val="left"/>
        <w:rPr>
          <w:rFonts w:ascii="仿宋" w:hAnsi="仿宋" w:eastAsia="仿宋"/>
          <w:bCs/>
          <w:sz w:val="28"/>
          <w:szCs w:val="28"/>
        </w:rPr>
      </w:pPr>
      <w: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t>（八）串通投标认定</w:t>
      </w:r>
    </w:p>
    <w:p>
      <w:pPr>
        <w:snapToGrid w:val="0"/>
        <w:spacing w:line="460" w:lineRule="exact"/>
        <w:ind w:firstLine="560" w:firstLineChars="200"/>
        <w:rPr>
          <w:rFonts w:ascii="仿宋" w:hAnsi="仿宋" w:eastAsia="仿宋"/>
          <w:bCs/>
          <w:sz w:val="28"/>
          <w:szCs w:val="28"/>
        </w:rPr>
      </w:pPr>
      <w:r>
        <w:t>有下列情形之一的，视为投标人串通投标，其投标无效：</w:t>
      </w:r>
    </w:p>
    <w:p>
      <w:pPr>
        <w:snapToGrid w:val="0"/>
        <w:spacing w:line="460" w:lineRule="exact"/>
        <w:ind w:firstLine="560" w:firstLineChars="200"/>
        <w:rPr>
          <w:rFonts w:ascii="仿宋" w:hAnsi="仿宋" w:eastAsia="仿宋"/>
          <w:bCs/>
          <w:sz w:val="28"/>
          <w:szCs w:val="28"/>
        </w:rPr>
      </w:pPr>
      <w:r>
        <w:t>1.不同投标人的投标文件由同一单位或者个人编制；</w:t>
      </w:r>
    </w:p>
    <w:p>
      <w:pPr>
        <w:snapToGrid w:val="0"/>
        <w:spacing w:line="460" w:lineRule="exact"/>
        <w:ind w:firstLine="560" w:firstLineChars="200"/>
        <w:rPr>
          <w:rFonts w:ascii="仿宋" w:hAnsi="仿宋" w:eastAsia="仿宋"/>
          <w:bCs/>
          <w:sz w:val="28"/>
          <w:szCs w:val="28"/>
        </w:rPr>
      </w:pPr>
      <w:r>
        <w:t>2.不同投标人委托同一单位或者个人办理投标事宜；</w:t>
      </w:r>
    </w:p>
    <w:p>
      <w:pPr>
        <w:snapToGrid w:val="0"/>
        <w:spacing w:line="460" w:lineRule="exact"/>
        <w:ind w:firstLine="560" w:firstLineChars="200"/>
        <w:rPr>
          <w:rFonts w:ascii="仿宋" w:hAnsi="仿宋" w:eastAsia="仿宋"/>
          <w:bCs/>
          <w:sz w:val="28"/>
          <w:szCs w:val="28"/>
        </w:rPr>
      </w:pPr>
      <w: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t>（九）投标无效的情形</w:t>
      </w:r>
    </w:p>
    <w:p>
      <w:pPr>
        <w:snapToGrid w:val="0"/>
        <w:spacing w:line="460" w:lineRule="exact"/>
        <w:ind w:firstLine="560" w:firstLineChars="200"/>
        <w:rPr>
          <w:rFonts w:ascii="仿宋" w:hAnsi="仿宋" w:eastAsia="仿宋"/>
          <w:bCs/>
          <w:sz w:val="28"/>
          <w:szCs w:val="28"/>
        </w:rPr>
      </w:pPr>
      <w: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t>1.投标人未能提供合格的资格文件、投标有效期不足的；</w:t>
      </w:r>
    </w:p>
    <w:p>
      <w:pPr>
        <w:snapToGrid w:val="0"/>
        <w:spacing w:line="460" w:lineRule="exact"/>
        <w:ind w:firstLine="560" w:firstLineChars="200"/>
        <w:rPr>
          <w:rFonts w:ascii="仿宋" w:hAnsi="仿宋" w:eastAsia="仿宋"/>
          <w:bCs/>
          <w:sz w:val="28"/>
          <w:szCs w:val="28"/>
        </w:rPr>
      </w:pPr>
      <w: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t>3.仅提供备份投标文件的；</w:t>
      </w:r>
    </w:p>
    <w:p>
      <w:pPr>
        <w:spacing w:line="440" w:lineRule="exact"/>
        <w:ind w:firstLine="562" w:firstLineChars="200"/>
        <w:rPr>
          <w:rFonts w:ascii="仿宋" w:hAnsi="仿宋" w:eastAsia="仿宋"/>
          <w:b/>
          <w:bCs/>
          <w:sz w:val="28"/>
          <w:szCs w:val="28"/>
        </w:rPr>
      </w:pPr>
      <w:r>
        <w:t>4.电子投标文件解密失败，且未在规定时间内提交备份投标文件的；</w:t>
      </w:r>
    </w:p>
    <w:p>
      <w:pPr>
        <w:spacing w:line="440" w:lineRule="exact"/>
        <w:ind w:firstLine="562" w:firstLineChars="200"/>
        <w:rPr>
          <w:rFonts w:ascii="仿宋" w:hAnsi="仿宋" w:eastAsia="仿宋"/>
          <w:b/>
          <w:bCs/>
          <w:sz w:val="28"/>
          <w:szCs w:val="28"/>
        </w:rPr>
      </w:pPr>
      <w: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t>6.投标文件未按招标文件要求签署、盖章的；</w:t>
      </w:r>
    </w:p>
    <w:p>
      <w:pPr>
        <w:snapToGrid w:val="0"/>
        <w:spacing w:line="460" w:lineRule="exact"/>
        <w:ind w:firstLine="560" w:firstLineChars="200"/>
        <w:rPr>
          <w:rFonts w:ascii="仿宋" w:hAnsi="仿宋" w:eastAsia="仿宋"/>
          <w:bCs/>
          <w:sz w:val="28"/>
          <w:szCs w:val="28"/>
        </w:rPr>
      </w:pPr>
      <w: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t>12.投标人不接受报价文件中修正后的报价的；</w:t>
      </w:r>
    </w:p>
    <w:p>
      <w:pPr>
        <w:snapToGrid w:val="0"/>
        <w:spacing w:line="460" w:lineRule="exact"/>
        <w:ind w:firstLine="560" w:firstLineChars="200"/>
        <w:rPr>
          <w:rFonts w:ascii="仿宋" w:hAnsi="仿宋" w:eastAsia="仿宋"/>
          <w:bCs/>
          <w:sz w:val="28"/>
          <w:szCs w:val="28"/>
        </w:rPr>
      </w:pPr>
      <w: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t>14.投标文件含有采购人不能接受的附加条件的；</w:t>
      </w:r>
    </w:p>
    <w:p>
      <w:pPr>
        <w:snapToGrid w:val="0"/>
        <w:spacing w:line="460" w:lineRule="exact"/>
        <w:ind w:firstLine="560" w:firstLineChars="200"/>
        <w:rPr>
          <w:rFonts w:ascii="仿宋" w:hAnsi="仿宋" w:eastAsia="仿宋"/>
          <w:bCs/>
          <w:sz w:val="28"/>
          <w:szCs w:val="28"/>
        </w:rPr>
      </w:pPr>
      <w:r>
        <w:t>15.投标人被视为串通投标的；</w:t>
      </w:r>
    </w:p>
    <w:p>
      <w:pPr>
        <w:snapToGrid w:val="0"/>
        <w:spacing w:line="460" w:lineRule="exact"/>
        <w:ind w:firstLine="560" w:firstLineChars="200"/>
        <w:rPr>
          <w:rFonts w:ascii="仿宋" w:hAnsi="仿宋" w:eastAsia="仿宋"/>
          <w:bCs/>
          <w:sz w:val="28"/>
          <w:szCs w:val="28"/>
        </w:rPr>
      </w:pPr>
      <w:r>
        <w:t>16.不符合法律、法规和本招标文件规定的其他实质性要求的。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sz w:val="28"/>
          <w:szCs w:val="28"/>
        </w:rPr>
      </w:pPr>
      <w:r>
        <w:t>（十）错误修正</w:t>
      </w:r>
    </w:p>
    <w:p>
      <w:pPr>
        <w:snapToGrid w:val="0"/>
        <w:spacing w:line="460" w:lineRule="exact"/>
        <w:ind w:firstLine="562" w:firstLineChars="200"/>
        <w:rPr>
          <w:rFonts w:ascii="仿宋" w:hAnsi="仿宋" w:eastAsia="仿宋"/>
          <w:b/>
          <w:bCs/>
          <w:sz w:val="28"/>
          <w:szCs w:val="28"/>
        </w:rPr>
      </w:pPr>
      <w: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t>2.大写金额和小写金额不一致的，以大写金额为准；</w:t>
      </w:r>
    </w:p>
    <w:p>
      <w:pPr>
        <w:snapToGrid w:val="0"/>
        <w:spacing w:line="460" w:lineRule="exact"/>
        <w:ind w:firstLine="562" w:firstLineChars="200"/>
        <w:rPr>
          <w:rFonts w:ascii="仿宋" w:hAnsi="仿宋" w:eastAsia="仿宋"/>
          <w:b/>
          <w:bCs/>
          <w:sz w:val="28"/>
          <w:szCs w:val="28"/>
        </w:rPr>
      </w:pPr>
      <w: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sz w:val="28"/>
          <w:szCs w:val="28"/>
        </w:rPr>
      </w:pPr>
      <w: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t>1.电子交易平台发生故障而无法登录访问的；</w:t>
      </w:r>
    </w:p>
    <w:p>
      <w:pPr>
        <w:spacing w:line="440" w:lineRule="exact"/>
        <w:ind w:firstLine="562" w:firstLineChars="200"/>
        <w:rPr>
          <w:rFonts w:ascii="仿宋" w:hAnsi="仿宋" w:eastAsia="仿宋"/>
          <w:b/>
          <w:bCs/>
          <w:sz w:val="28"/>
          <w:szCs w:val="28"/>
        </w:rPr>
      </w:pPr>
      <w:r>
        <w:t>2.电子交易平台应用或数据库出现错误，不能进行正常操作的；</w:t>
      </w:r>
    </w:p>
    <w:p>
      <w:pPr>
        <w:spacing w:line="440" w:lineRule="exact"/>
        <w:ind w:firstLine="562" w:firstLineChars="200"/>
        <w:rPr>
          <w:rFonts w:ascii="仿宋" w:hAnsi="仿宋" w:eastAsia="仿宋"/>
          <w:b/>
          <w:bCs/>
          <w:sz w:val="28"/>
          <w:szCs w:val="28"/>
        </w:rPr>
      </w:pPr>
      <w:r>
        <w:t>3.电子交易平台发现严重安全漏洞，有潜在泄密危险的；</w:t>
      </w:r>
    </w:p>
    <w:p>
      <w:pPr>
        <w:spacing w:line="440" w:lineRule="exact"/>
        <w:ind w:firstLine="562" w:firstLineChars="200"/>
        <w:rPr>
          <w:rFonts w:ascii="仿宋" w:hAnsi="仿宋" w:eastAsia="仿宋"/>
          <w:b/>
          <w:bCs/>
          <w:sz w:val="28"/>
          <w:szCs w:val="28"/>
        </w:rPr>
      </w:pPr>
      <w:r>
        <w:t>4.病毒发作导致不能进行正常操作的；</w:t>
      </w:r>
    </w:p>
    <w:p>
      <w:pPr>
        <w:spacing w:line="440" w:lineRule="exact"/>
        <w:ind w:firstLine="562" w:firstLineChars="200"/>
        <w:rPr>
          <w:rFonts w:ascii="仿宋" w:hAnsi="仿宋" w:eastAsia="仿宋"/>
          <w:b/>
          <w:bCs/>
          <w:sz w:val="28"/>
          <w:szCs w:val="28"/>
        </w:rPr>
      </w:pPr>
      <w:r>
        <w:t>5.其他无法保证电子交易的公平、公正和安全的情况。</w:t>
      </w:r>
    </w:p>
    <w:p>
      <w:pPr>
        <w:spacing w:line="440" w:lineRule="exact"/>
        <w:ind w:firstLine="562" w:firstLineChars="200"/>
        <w:rPr>
          <w:rFonts w:ascii="仿宋" w:hAnsi="仿宋" w:eastAsia="仿宋"/>
          <w:bCs/>
          <w:sz w:val="28"/>
          <w:szCs w:val="28"/>
        </w:rPr>
      </w:pPr>
      <w: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240" w:beforeLines="100" w:after="240" w:afterLines="100" w:line="360" w:lineRule="auto"/>
        <w:jc w:val="center"/>
        <w:rPr>
          <w:rFonts w:ascii="仿宋" w:hAnsi="仿宋" w:eastAsia="仿宋"/>
          <w:b/>
          <w:sz w:val="30"/>
          <w:szCs w:val="30"/>
        </w:rPr>
      </w:pPr>
      <w:r>
        <w:t>三、开、评标程序及评标委员会的评审程序</w:t>
      </w:r>
    </w:p>
    <w:p>
      <w:pPr>
        <w:pStyle w:val="31"/>
        <w:snapToGrid w:val="0"/>
        <w:spacing w:before="120" w:after="120" w:line="460" w:lineRule="exact"/>
        <w:ind w:firstLine="551" w:firstLineChars="196"/>
        <w:rPr>
          <w:rFonts w:ascii="仿宋" w:hAnsi="仿宋" w:eastAsia="仿宋"/>
          <w:b/>
          <w:sz w:val="28"/>
          <w:szCs w:val="28"/>
        </w:rPr>
      </w:pPr>
      <w:r>
        <w:t>（一）组织开标</w:t>
      </w:r>
    </w:p>
    <w:p>
      <w:pPr>
        <w:pStyle w:val="31"/>
        <w:snapToGrid w:val="0"/>
        <w:spacing w:before="120" w:after="120" w:line="460" w:lineRule="exact"/>
        <w:ind w:firstLine="560" w:firstLineChars="200"/>
        <w:rPr>
          <w:rFonts w:ascii="仿宋" w:hAnsi="仿宋" w:eastAsia="仿宋"/>
          <w:bCs/>
          <w:sz w:val="28"/>
          <w:szCs w:val="28"/>
        </w:rPr>
      </w:pPr>
      <w:r>
        <w:t>招标方将按照招标文件规定的时间、地点和程序组织开标，各投标人授权代表及相关人员均应当准时在线参加，无关人员不得进入开标现场。投标人如未准时在线参加的，事后不得对采购相关人员、开标过程和开标结果提出异议。</w:t>
      </w:r>
    </w:p>
    <w:p>
      <w:pPr>
        <w:pStyle w:val="31"/>
        <w:snapToGrid w:val="0"/>
        <w:spacing w:before="120" w:after="120" w:line="460" w:lineRule="exact"/>
        <w:ind w:firstLine="562" w:firstLineChars="200"/>
        <w:rPr>
          <w:rFonts w:ascii="仿宋" w:hAnsi="仿宋" w:eastAsia="仿宋"/>
          <w:b/>
          <w:bCs/>
          <w:sz w:val="28"/>
          <w:szCs w:val="28"/>
        </w:rPr>
      </w:pPr>
      <w:r>
        <w:t>1. 落实工作场地、设施，检查录音录像采集设备运行情况，验证电子交易平台是否能正常登录。</w:t>
      </w:r>
    </w:p>
    <w:p>
      <w:pPr>
        <w:pStyle w:val="31"/>
        <w:snapToGrid w:val="0"/>
        <w:spacing w:before="120" w:after="120" w:line="460" w:lineRule="exact"/>
        <w:ind w:firstLine="562" w:firstLineChars="200"/>
        <w:rPr>
          <w:rFonts w:ascii="仿宋" w:hAnsi="仿宋" w:eastAsia="仿宋"/>
          <w:b/>
          <w:bCs/>
          <w:sz w:val="28"/>
          <w:szCs w:val="28"/>
        </w:rPr>
      </w:pPr>
      <w: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rPr>
      </w:pPr>
      <w: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rPr>
      </w:pPr>
      <w: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ascii="仿宋" w:hAnsi="仿宋" w:eastAsia="仿宋"/>
          <w:b/>
          <w:bCs/>
          <w:sz w:val="28"/>
          <w:szCs w:val="28"/>
        </w:rPr>
      </w:pPr>
      <w: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rPr>
      </w:pPr>
      <w:r>
        <w:t>8.在电子交易平台上公布评审结果。</w:t>
      </w:r>
    </w:p>
    <w:p>
      <w:pPr>
        <w:spacing w:line="440" w:lineRule="exact"/>
        <w:ind w:firstLine="562" w:firstLineChars="200"/>
        <w:rPr>
          <w:rFonts w:ascii="仿宋" w:hAnsi="仿宋" w:eastAsia="仿宋"/>
          <w:b/>
          <w:bCs/>
          <w:sz w:val="28"/>
          <w:szCs w:val="28"/>
        </w:rPr>
      </w:pPr>
      <w: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sz w:val="28"/>
          <w:szCs w:val="28"/>
        </w:rPr>
      </w:pPr>
      <w:r>
        <w:t>（二）组织评标程序</w:t>
      </w:r>
    </w:p>
    <w:p>
      <w:pPr>
        <w:pStyle w:val="31"/>
        <w:snapToGrid w:val="0"/>
        <w:spacing w:before="120" w:after="120" w:line="460" w:lineRule="exact"/>
        <w:ind w:firstLine="548" w:firstLineChars="196"/>
        <w:rPr>
          <w:rFonts w:ascii="仿宋" w:hAnsi="仿宋" w:eastAsia="仿宋"/>
          <w:bCs/>
          <w:sz w:val="28"/>
          <w:szCs w:val="28"/>
        </w:rPr>
      </w:pPr>
      <w: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sz w:val="28"/>
          <w:szCs w:val="28"/>
        </w:rPr>
      </w:pPr>
      <w:r>
        <w:t>1、开启开标场地录音录像采集设备，并确保正常运行。</w:t>
      </w:r>
    </w:p>
    <w:p>
      <w:pPr>
        <w:pStyle w:val="31"/>
        <w:snapToGrid w:val="0"/>
        <w:spacing w:before="120" w:after="120" w:line="460" w:lineRule="exact"/>
        <w:ind w:firstLine="548" w:firstLineChars="196"/>
        <w:rPr>
          <w:rFonts w:ascii="仿宋" w:hAnsi="仿宋" w:eastAsia="仿宋"/>
          <w:bCs/>
          <w:sz w:val="28"/>
          <w:szCs w:val="28"/>
        </w:rPr>
      </w:pPr>
      <w:r>
        <w:t>2、按规定统一收缴、保存评标现场相关人员通讯工具。</w:t>
      </w:r>
    </w:p>
    <w:p>
      <w:pPr>
        <w:pStyle w:val="31"/>
        <w:snapToGrid w:val="0"/>
        <w:spacing w:before="120" w:after="120" w:line="460" w:lineRule="exact"/>
        <w:ind w:firstLine="548" w:firstLineChars="196"/>
        <w:rPr>
          <w:rFonts w:ascii="仿宋" w:hAnsi="仿宋" w:eastAsia="仿宋"/>
          <w:bCs/>
          <w:sz w:val="28"/>
          <w:szCs w:val="28"/>
        </w:rPr>
      </w:pPr>
      <w: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sz w:val="28"/>
          <w:szCs w:val="28"/>
        </w:rPr>
      </w:pPr>
      <w: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sz w:val="28"/>
          <w:szCs w:val="28"/>
        </w:rPr>
      </w:pPr>
      <w: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sz w:val="28"/>
          <w:szCs w:val="28"/>
        </w:rPr>
      </w:pPr>
      <w: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sz w:val="28"/>
          <w:szCs w:val="28"/>
        </w:rPr>
      </w:pPr>
      <w: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sz w:val="28"/>
          <w:szCs w:val="28"/>
        </w:rPr>
      </w:pPr>
      <w: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sz w:val="28"/>
          <w:szCs w:val="28"/>
        </w:rPr>
      </w:pPr>
      <w: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sz w:val="28"/>
          <w:szCs w:val="28"/>
        </w:rPr>
      </w:pPr>
      <w: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Cs/>
          <w:sz w:val="28"/>
          <w:szCs w:val="28"/>
        </w:rPr>
      </w:pPr>
      <w:r>
        <w:t xml:space="preserve">11、招标方将在《中标公告》中，公开评标委员会对每个投标人的《评分明细》以及《得分汇总表》情况。 </w:t>
        <w:tab/>
      </w:r>
    </w:p>
    <w:p>
      <w:pPr>
        <w:pStyle w:val="31"/>
        <w:snapToGrid w:val="0"/>
        <w:spacing w:before="120" w:after="120" w:line="460" w:lineRule="exact"/>
        <w:ind w:firstLine="562" w:firstLineChars="200"/>
        <w:rPr>
          <w:rFonts w:ascii="仿宋" w:hAnsi="仿宋" w:eastAsia="仿宋"/>
          <w:b/>
          <w:sz w:val="28"/>
          <w:szCs w:val="28"/>
        </w:rPr>
      </w:pPr>
      <w:r>
        <w:t>（三）评审程序</w:t>
      </w:r>
    </w:p>
    <w:p>
      <w:pPr>
        <w:pStyle w:val="31"/>
        <w:snapToGrid w:val="0"/>
        <w:spacing w:before="120" w:after="120" w:line="460" w:lineRule="exact"/>
        <w:ind w:firstLine="548" w:firstLineChars="196"/>
        <w:rPr>
          <w:rFonts w:ascii="仿宋" w:hAnsi="仿宋" w:eastAsia="仿宋"/>
          <w:bCs/>
          <w:sz w:val="28"/>
          <w:szCs w:val="28"/>
        </w:rPr>
      </w:pPr>
      <w:r>
        <w:t>1、在评审专家中推选评标委员会组长。</w:t>
      </w:r>
    </w:p>
    <w:p>
      <w:pPr>
        <w:pStyle w:val="31"/>
        <w:snapToGrid w:val="0"/>
        <w:spacing w:before="120" w:after="120" w:line="460" w:lineRule="exact"/>
        <w:ind w:firstLine="548" w:firstLineChars="196"/>
        <w:rPr>
          <w:rFonts w:ascii="仿宋" w:hAnsi="仿宋" w:eastAsia="仿宋"/>
          <w:bCs/>
          <w:sz w:val="28"/>
          <w:szCs w:val="28"/>
        </w:rPr>
      </w:pPr>
      <w: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sz w:val="28"/>
          <w:szCs w:val="28"/>
        </w:rPr>
      </w:pPr>
      <w: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sz w:val="28"/>
          <w:szCs w:val="28"/>
        </w:rPr>
      </w:pPr>
      <w: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sz w:val="28"/>
          <w:szCs w:val="28"/>
        </w:rPr>
      </w:pPr>
      <w: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sz w:val="28"/>
          <w:szCs w:val="28"/>
        </w:rPr>
      </w:pPr>
      <w: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sz w:val="28"/>
          <w:szCs w:val="28"/>
        </w:rPr>
      </w:pPr>
      <w: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sz w:val="28"/>
          <w:szCs w:val="28"/>
        </w:rPr>
      </w:pPr>
      <w:r>
        <w:t>8、起草评审报告，所有评审人员须在评审报告上签字确认。</w:t>
      </w:r>
    </w:p>
    <w:p>
      <w:pPr>
        <w:pStyle w:val="31"/>
        <w:snapToGrid w:val="0"/>
        <w:spacing w:before="240" w:beforeLines="100" w:after="240" w:afterLines="100" w:line="360" w:lineRule="auto"/>
        <w:jc w:val="center"/>
        <w:rPr>
          <w:rFonts w:ascii="仿宋" w:hAnsi="仿宋" w:eastAsia="仿宋"/>
          <w:b/>
          <w:bCs/>
          <w:sz w:val="28"/>
          <w:szCs w:val="28"/>
        </w:rPr>
      </w:pPr>
      <w:r>
        <w:t>四、评审原则</w:t>
      </w:r>
    </w:p>
    <w:p>
      <w:pPr>
        <w:pStyle w:val="31"/>
        <w:snapToGrid w:val="0"/>
        <w:spacing w:before="120" w:after="120" w:line="460" w:lineRule="exact"/>
        <w:ind w:firstLine="562" w:firstLineChars="200"/>
        <w:rPr>
          <w:rFonts w:ascii="仿宋" w:hAnsi="仿宋" w:eastAsia="仿宋"/>
          <w:b/>
          <w:bCs/>
          <w:sz w:val="28"/>
          <w:szCs w:val="28"/>
        </w:rPr>
      </w:pPr>
      <w: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sz w:val="28"/>
          <w:szCs w:val="28"/>
        </w:rPr>
      </w:pPr>
      <w: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sz w:val="28"/>
          <w:szCs w:val="28"/>
        </w:rPr>
      </w:pPr>
      <w: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sz w:val="28"/>
          <w:szCs w:val="28"/>
        </w:rPr>
      </w:pPr>
      <w: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sz w:val="28"/>
          <w:szCs w:val="28"/>
        </w:rPr>
      </w:pPr>
      <w: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20" w:after="120" w:line="460" w:lineRule="exact"/>
        <w:ind w:firstLine="551" w:firstLineChars="196"/>
        <w:rPr>
          <w:rFonts w:ascii="仿宋" w:hAnsi="仿宋" w:eastAsia="仿宋"/>
          <w:b/>
          <w:bCs/>
          <w:sz w:val="28"/>
          <w:szCs w:val="28"/>
        </w:rPr>
      </w:pPr>
      <w: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240" w:beforeLines="100" w:after="240" w:afterLines="100" w:line="360" w:lineRule="auto"/>
        <w:jc w:val="center"/>
        <w:rPr>
          <w:rFonts w:ascii="仿宋" w:hAnsi="仿宋" w:eastAsia="仿宋"/>
          <w:b/>
          <w:sz w:val="30"/>
          <w:szCs w:val="30"/>
        </w:rPr>
      </w:pPr>
      <w:r>
        <w:t>五、确定中标供应商的原则</w:t>
      </w:r>
    </w:p>
    <w:p>
      <w:pPr>
        <w:pStyle w:val="31"/>
        <w:snapToGrid w:val="0"/>
        <w:spacing w:before="120" w:after="120" w:line="460" w:lineRule="exact"/>
        <w:ind w:firstLine="560" w:firstLineChars="200"/>
        <w:rPr>
          <w:rFonts w:ascii="仿宋" w:hAnsi="仿宋" w:eastAsia="仿宋"/>
          <w:sz w:val="28"/>
          <w:szCs w:val="28"/>
        </w:rPr>
      </w:pPr>
      <w: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sz w:val="28"/>
          <w:szCs w:val="28"/>
        </w:rPr>
      </w:pPr>
      <w: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ascii="仿宋" w:hAnsi="仿宋" w:eastAsia="仿宋"/>
          <w:sz w:val="28"/>
          <w:szCs w:val="28"/>
        </w:rPr>
      </w:pPr>
      <w:r>
        <w:t xml:space="preserve"> 3.采购结果经采购人确认后，招标方将于2个工作日内在浙江省政府采购网上发布中标公告，通过电子交易平台统一签发《中标通知书》。</w:t>
      </w:r>
    </w:p>
    <w:p>
      <w:pPr>
        <w:pStyle w:val="31"/>
        <w:snapToGrid w:val="0"/>
        <w:spacing w:before="240" w:beforeLines="100" w:after="240" w:afterLines="100" w:line="360" w:lineRule="auto"/>
        <w:jc w:val="center"/>
        <w:rPr>
          <w:rFonts w:ascii="仿宋" w:hAnsi="仿宋" w:eastAsia="仿宋"/>
          <w:b/>
          <w:sz w:val="30"/>
          <w:szCs w:val="30"/>
        </w:rPr>
      </w:pPr>
      <w:r>
        <w:t>六、合同授予</w:t>
      </w:r>
    </w:p>
    <w:p>
      <w:pPr>
        <w:snapToGrid w:val="0"/>
        <w:spacing w:line="460" w:lineRule="exact"/>
        <w:ind w:firstLine="551" w:firstLineChars="196"/>
        <w:rPr>
          <w:rFonts w:ascii="仿宋" w:hAnsi="仿宋" w:eastAsia="仿宋"/>
          <w:b/>
          <w:bCs/>
          <w:sz w:val="28"/>
          <w:szCs w:val="28"/>
        </w:rPr>
      </w:pPr>
      <w:r>
        <w:t>（一）签订合同</w:t>
      </w:r>
    </w:p>
    <w:p>
      <w:pPr>
        <w:snapToGrid w:val="0"/>
        <w:spacing w:line="460" w:lineRule="exact"/>
        <w:ind w:firstLine="562" w:firstLineChars="200"/>
        <w:rPr>
          <w:rFonts w:ascii="仿宋" w:hAnsi="仿宋" w:eastAsia="仿宋"/>
          <w:b/>
          <w:sz w:val="28"/>
          <w:szCs w:val="28"/>
        </w:rPr>
      </w:pPr>
      <w: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t>2.中标人拖延、拒签合同的,将被取消中标资格。</w:t>
      </w:r>
    </w:p>
    <w:p>
      <w:pPr>
        <w:snapToGrid w:val="0"/>
        <w:spacing w:line="460" w:lineRule="exact"/>
        <w:ind w:firstLine="562" w:firstLineChars="200"/>
        <w:rPr>
          <w:rFonts w:ascii="仿宋" w:hAnsi="仿宋" w:eastAsia="仿宋"/>
          <w:b/>
          <w:sz w:val="28"/>
          <w:szCs w:val="28"/>
        </w:rPr>
      </w:pPr>
      <w: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sz w:val="28"/>
          <w:szCs w:val="28"/>
        </w:rPr>
      </w:pPr>
      <w:r>
        <w:t>（二）履约保证金</w:t>
      </w:r>
    </w:p>
    <w:p>
      <w:pPr>
        <w:snapToGrid w:val="0"/>
        <w:spacing w:line="460" w:lineRule="exact"/>
        <w:ind w:firstLine="560" w:firstLineChars="200"/>
        <w:rPr>
          <w:rFonts w:ascii="仿宋" w:hAnsi="仿宋" w:eastAsia="仿宋"/>
          <w:sz w:val="28"/>
          <w:szCs w:val="28"/>
        </w:rPr>
      </w:pPr>
      <w:r>
        <w:t>1.合同签订时，采购人按《中华人民共和国政府采购法实施条例》、《浙江省财政厅关于进一步发挥政府采购政策功能全力推进经济稳进提质的通知》、《浙江省人民政府关于印发浙江省贯彻落实国务院扎实稳住经济一揽子政策措施实施方案的通知》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20" w:after="120" w:line="460" w:lineRule="exact"/>
        <w:ind w:firstLine="554" w:firstLineChars="198"/>
        <w:rPr>
          <w:rFonts w:ascii="仿宋" w:hAnsi="仿宋" w:eastAsia="仿宋"/>
          <w:sz w:val="28"/>
          <w:szCs w:val="28"/>
        </w:rPr>
      </w:pPr>
      <w:r>
        <w:t>2.按合同约定办理履约保证金退还手续。</w:t>
      </w:r>
    </w:p>
    <w:p>
      <w:pPr>
        <w:pStyle w:val="31"/>
        <w:snapToGrid w:val="0"/>
        <w:spacing w:before="240" w:beforeLines="100" w:after="240" w:afterLines="100" w:line="360" w:lineRule="auto"/>
        <w:jc w:val="center"/>
        <w:rPr>
          <w:rFonts w:ascii="仿宋" w:hAnsi="仿宋" w:eastAsia="仿宋"/>
          <w:b/>
          <w:sz w:val="30"/>
          <w:szCs w:val="30"/>
        </w:rPr>
      </w:pPr>
      <w:r>
        <w:t>七、货款的结算</w:t>
      </w:r>
    </w:p>
    <w:p>
      <w:pPr>
        <w:spacing w:line="460" w:lineRule="exact"/>
        <w:ind w:firstLine="537" w:firstLineChars="192"/>
        <w:rPr>
          <w:rFonts w:ascii="仿宋" w:hAnsi="仿宋" w:eastAsia="仿宋"/>
          <w:sz w:val="28"/>
          <w:szCs w:val="28"/>
        </w:rPr>
      </w:pPr>
      <w:r>
        <w:t>货款由采购人按招标文件规定的付款方式自行支付。若资金在采购人处的，由采购人直接支付；若资金在核算中心的，由采购人向核算中心发起支付令，由核算中心把货款打入中标商帐户。</w:t>
      </w:r>
    </w:p>
    <w:p>
      <w:pPr>
        <w:spacing w:line="460" w:lineRule="exact"/>
        <w:ind w:firstLine="537" w:firstLineChars="192"/>
        <w:rPr>
          <w:rFonts w:ascii="仿宋" w:hAnsi="仿宋" w:eastAsia="仿宋"/>
          <w:sz w:val="28"/>
          <w:szCs w:val="28"/>
        </w:rPr>
      </w:pPr>
      <w:r>
        <w:t>资金支付进度：采购人对于满足合同约定支付条件的，自收到发票后7个工作日内将资金支付到合同约定的供应商账户。迟延支付中小企业款项的，供应商可要求采购人支付逾期利息。</w:t>
      </w:r>
    </w:p>
    <w:p>
      <w:pPr>
        <w:spacing w:line="460" w:lineRule="exact"/>
        <w:ind w:firstLine="540" w:firstLineChars="192"/>
        <w:rPr>
          <w:rFonts w:ascii="仿宋" w:hAnsi="仿宋" w:eastAsia="仿宋"/>
          <w:sz w:val="28"/>
          <w:szCs w:val="28"/>
        </w:rPr>
      </w:pPr>
      <w: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spacing w:line="460" w:lineRule="exact"/>
        <w:ind w:firstLine="537" w:firstLineChars="192"/>
        <w:rPr>
          <w:rFonts w:ascii="仿宋" w:hAnsi="仿宋" w:eastAsia="仿宋"/>
          <w:sz w:val="28"/>
          <w:szCs w:val="28"/>
        </w:rPr>
      </w:pPr>
      <w:r>
        <w:t>1.对中小企业合同预付款比例原则上不低于合同金额的40％，不高于合同金额的70%；</w:t>
      </w:r>
    </w:p>
    <w:p>
      <w:pPr>
        <w:spacing w:line="460" w:lineRule="exact"/>
        <w:ind w:firstLine="537" w:firstLineChars="192"/>
        <w:rPr>
          <w:rFonts w:ascii="仿宋" w:hAnsi="仿宋" w:eastAsia="仿宋"/>
          <w:sz w:val="28"/>
          <w:szCs w:val="28"/>
        </w:rPr>
      </w:pPr>
      <w:r>
        <w:t>2.项目分年安排预算的，每年预付款比例不低于项目年度计划支付资金额的40％，不高于年度计划支付资金额的70%；</w:t>
      </w:r>
    </w:p>
    <w:p>
      <w:pPr>
        <w:spacing w:line="460" w:lineRule="exact"/>
        <w:ind w:firstLine="537" w:firstLineChars="192"/>
        <w:rPr>
          <w:rFonts w:ascii="仿宋" w:hAnsi="仿宋" w:eastAsia="仿宋"/>
          <w:sz w:val="28"/>
          <w:szCs w:val="28"/>
        </w:rPr>
      </w:pPr>
      <w:r>
        <w:t>3.采购项目实施以人工投入为主的，可适当降低预付款比例，但不得低于20%。</w:t>
      </w:r>
    </w:p>
    <w:p>
      <w:pPr>
        <w:spacing w:line="460" w:lineRule="exact"/>
        <w:ind w:firstLine="537" w:firstLineChars="192"/>
        <w:rPr>
          <w:rFonts w:ascii="仿宋" w:hAnsi="仿宋" w:eastAsia="仿宋"/>
          <w:sz w:val="28"/>
          <w:szCs w:val="28"/>
        </w:rPr>
      </w:pPr>
      <w:r>
        <w:t>4.对供应商为大型企业的项目或者以人工投入为主且实行按月定期结算支付款项的项目，预付款可低于上述比例或者不约定预付款。</w:t>
      </w:r>
    </w:p>
    <w:p>
      <w:pPr>
        <w:pStyle w:val="58"/>
        <w:ind w:left="0" w:leftChars="0" w:firstLine="562"/>
        <w:rPr>
          <w:rFonts w:ascii="仿宋" w:hAnsi="仿宋" w:eastAsia="仿宋"/>
          <w:b/>
          <w:bCs/>
          <w:sz w:val="28"/>
          <w:szCs w:val="28"/>
        </w:rPr>
      </w:pPr>
      <w:r/>
    </w:p>
    <w:p>
      <w:pPr>
        <w:spacing w:line="460" w:lineRule="exact"/>
        <w:ind w:firstLine="540" w:firstLineChars="192"/>
        <w:rPr>
          <w:rFonts w:ascii="仿宋" w:hAnsi="仿宋" w:eastAsia="仿宋"/>
          <w:b/>
          <w:sz w:val="28"/>
          <w:szCs w:val="28"/>
        </w:rPr>
      </w:pPr>
      <w:r>
        <w:t>备注：在签订合同时，供应商明确表示无需预付款或者主动要求降低预付款比例的，采购单位可不适用前述预付款比例的规定。</w:t>
      </w:r>
    </w:p>
    <w:p>
      <w:pPr>
        <w:pStyle w:val="31"/>
        <w:spacing w:before="120" w:after="120" w:line="360" w:lineRule="auto"/>
        <w:jc w:val="center"/>
        <w:rPr>
          <w:rFonts w:ascii="仿宋" w:hAnsi="仿宋" w:eastAsia="仿宋"/>
          <w:b/>
          <w:sz w:val="28"/>
          <w:szCs w:val="28"/>
        </w:rPr>
      </w:pPr>
      <w:r/>
    </w:p>
    <w:p>
      <w:pPr>
        <w:pStyle w:val="31"/>
        <w:snapToGrid w:val="0"/>
        <w:spacing w:before="120" w:after="120" w:line="240" w:lineRule="auto"/>
        <w:ind w:firstLine="600" w:firstLineChars="200"/>
        <w:rPr>
          <w:rFonts w:ascii="仿宋_GB2312" w:hAnsi="仿宋" w:eastAsia="仿宋_GB2312"/>
          <w:sz w:val="30"/>
          <w:szCs w:val="30"/>
        </w:rPr>
      </w:pPr>
      <w:r/>
    </w:p>
    <w:p>
      <w:pPr>
        <w:pStyle w:val="31"/>
        <w:spacing w:before="120" w:after="120" w:line="360" w:lineRule="auto"/>
        <w:jc w:val="center"/>
        <w:outlineLvl w:val="0"/>
        <w:rPr>
          <w:rFonts w:hAnsi="宋体"/>
          <w:b/>
          <w:sz w:val="36"/>
          <w:szCs w:val="36"/>
        </w:rPr>
      </w:pPr>
      <w:r>
        <w:t>第三章  评标办法及评分标准</w:t>
      </w:r>
    </w:p>
    <w:p>
      <w:pPr>
        <w:spacing w:before="120" w:beforeLines="50" w:after="120" w:afterLines="50" w:line="460" w:lineRule="exact"/>
        <w:ind w:firstLine="420"/>
        <w:rPr>
          <w:rFonts w:ascii="仿宋" w:hAnsi="仿宋" w:eastAsia="仿宋"/>
          <w:sz w:val="30"/>
          <w:szCs w:val="30"/>
        </w:rPr>
      </w:pPr>
      <w: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t>一、总则</w:t>
      </w:r>
    </w:p>
    <w:p>
      <w:pPr>
        <w:spacing w:before="120" w:beforeLines="50" w:after="120" w:afterLines="50" w:line="460" w:lineRule="exact"/>
        <w:ind w:firstLine="600" w:firstLineChars="200"/>
        <w:rPr>
          <w:rFonts w:ascii="仿宋" w:hAnsi="仿宋" w:eastAsia="仿宋"/>
          <w:bCs/>
          <w:sz w:val="30"/>
          <w:szCs w:val="30"/>
        </w:rPr>
      </w:pPr>
      <w: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t>二、分值的计算</w:t>
      </w:r>
    </w:p>
    <w:p>
      <w:pPr>
        <w:spacing w:before="120" w:beforeLines="50" w:after="120" w:afterLines="50" w:line="460" w:lineRule="exact"/>
        <w:ind w:firstLine="600" w:firstLineChars="200"/>
        <w:rPr>
          <w:rFonts w:ascii="仿宋" w:hAnsi="仿宋" w:eastAsia="仿宋"/>
          <w:sz w:val="30"/>
          <w:szCs w:val="30"/>
        </w:rPr>
      </w:pPr>
      <w: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t>投标人评标综合得分=价格分+(技术分+资信商务及其他分)</w:t>
      </w:r>
    </w:p>
    <w:p>
      <w:pPr>
        <w:spacing w:before="120" w:beforeLines="50" w:after="120" w:afterLines="50" w:line="460" w:lineRule="exact"/>
        <w:ind w:firstLine="602" w:firstLineChars="200"/>
        <w:rPr>
          <w:rFonts w:ascii="仿宋" w:hAnsi="仿宋" w:eastAsia="仿宋"/>
          <w:b/>
          <w:bCs/>
          <w:sz w:val="30"/>
          <w:szCs w:val="30"/>
        </w:rPr>
      </w:pPr>
      <w:r/>
    </w:p>
    <w:p>
      <w:pPr>
        <w:spacing w:before="120" w:beforeLines="50" w:after="120" w:afterLines="50" w:line="460" w:lineRule="exact"/>
        <w:ind w:firstLine="602" w:firstLineChars="200"/>
        <w:rPr>
          <w:rFonts w:ascii="仿宋" w:hAnsi="仿宋" w:eastAsia="仿宋"/>
          <w:bCs/>
          <w:sz w:val="30"/>
          <w:szCs w:val="30"/>
        </w:rPr>
      </w:pPr>
      <w:r>
        <w:t>特别提醒：评标委员会对每个投标人的评分明细以及得分汇总表情况在中标公告中公布。</w:t>
      </w:r>
    </w:p>
    <w:p>
      <w:pPr>
        <w:spacing w:before="120" w:beforeLines="50" w:after="120" w:afterLines="50" w:line="460" w:lineRule="exact"/>
        <w:rPr>
          <w:rFonts w:ascii="仿宋" w:hAnsi="仿宋" w:eastAsiaTheme="minorEastAsia"/>
          <w:bCs/>
          <w:sz w:val="30"/>
          <w:szCs w:val="30"/>
        </w:rPr>
      </w:pPr>
      <w:r/>
    </w:p>
    <w:p>
      <w:pPr>
        <w:spacing w:before="120" w:beforeLines="50" w:after="120" w:afterLines="50" w:line="320" w:lineRule="exact"/>
        <w:rPr>
          <w:rFonts w:ascii="仿宋" w:hAnsi="仿宋" w:eastAsia="仿宋_GB2312"/>
          <w:b/>
          <w:sz w:val="30"/>
          <w:szCs w:val="30"/>
        </w:rPr>
      </w:pPr>
      <w:r>
        <w:t>三、评标内容及标准</w:t>
      </w:r>
    </w:p>
    <w:p>
      <w:pPr>
        <w:spacing w:before="120" w:beforeLines="50" w:after="120" w:afterLines="50" w:line="340" w:lineRule="exact"/>
        <w:rPr>
          <w:rFonts w:ascii="仿宋_GB2312" w:hAnsi="宋体" w:eastAsia="仿宋_GB2312"/>
          <w:b/>
          <w:sz w:val="32"/>
          <w:szCs w:val="32"/>
        </w:rPr>
      </w:pPr>
      <w:r>
        <w:t>标项1的评分方法</w:t>
      </w:r>
    </w:p>
    <w:tbl>
      <w:tblPr>
        <w:tblStyle w:val="60"/>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537"/>
        <w:gridCol w:w="637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序号</w:t>
            </w:r>
          </w:p>
        </w:tc>
        <w:tc>
          <w:tcPr>
            <w:tcW w:w="1537" w:type="dxa"/>
            <w:vAlign w:val="center"/>
          </w:tcPr>
          <w:p>
            <w:r>
              <w:t>评分类型</w:t>
            </w:r>
          </w:p>
        </w:tc>
        <w:tc>
          <w:tcPr>
            <w:tcW w:w="6379" w:type="dxa"/>
          </w:tcPr>
          <w:p>
            <w:r>
              <w:t>评分标准</w:t>
            </w:r>
          </w:p>
        </w:tc>
        <w:tc>
          <w:tcPr>
            <w:tcW w:w="873" w:type="dxa"/>
            <w:vAlign w:val="center"/>
          </w:tcPr>
          <w:p>
            <w: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1</w:t>
            </w:r>
          </w:p>
        </w:tc>
        <w:tc>
          <w:tcPr>
            <w:tcW w:w="1537" w:type="dxa"/>
            <w:vAlign w:val="center"/>
          </w:tcPr>
          <w:p>
            <w:r>
              <w:t>报价</w:t>
            </w:r>
          </w:p>
        </w:tc>
        <w:tc>
          <w:tcPr>
            <w:tcW w:w="6379" w:type="dxa"/>
          </w:tcPr>
          <w:p>
            <w:r>
              <w:t>(最低报价/投标报价)*最大分值</w:t>
            </w:r>
          </w:p>
        </w:tc>
        <w:tc>
          <w:tcPr>
            <w:tcW w:w="873" w:type="dxa"/>
            <w:vAlign w:val="center"/>
          </w:tcPr>
          <w:p>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806" w:type="dxa"/>
            <w:vAlign w:val="center"/>
          </w:tcPr>
          <w:p>
            <w:r>
              <w:t>2</w:t>
            </w:r>
          </w:p>
        </w:tc>
        <w:tc>
          <w:tcPr>
            <w:tcW w:w="1537" w:type="dxa"/>
            <w:vAlign w:val="center"/>
          </w:tcPr>
          <w:p>
            <w:r>
              <w:t>技术</w:t>
            </w:r>
          </w:p>
        </w:tc>
        <w:tc>
          <w:tcPr>
            <w:tcW w:w="6379" w:type="dxa"/>
          </w:tcPr>
          <w:p>
            <w:r>
              <w:t>投标的整体方案与采购需求的吻合程度，应答是否详尽、明晰，是否满足招标文件要求；内容是否完整齐全、表述准确、条理清晰，内容无前后矛盾，符合招标文件要求。</w:t>
            </w:r>
          </w:p>
        </w:tc>
        <w:tc>
          <w:tcPr>
            <w:tcW w:w="873" w:type="dxa"/>
            <w:vAlign w:val="center"/>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3</w:t>
            </w:r>
          </w:p>
        </w:tc>
        <w:tc>
          <w:tcPr>
            <w:tcW w:w="1537" w:type="dxa"/>
            <w:vAlign w:val="center"/>
          </w:tcPr>
          <w:p>
            <w:r>
              <w:t>技术</w:t>
            </w:r>
          </w:p>
        </w:tc>
        <w:tc>
          <w:tcPr>
            <w:tcW w:w="6379" w:type="dxa"/>
          </w:tcPr>
          <w:p>
            <w:r>
              <w:t>结合招标需求分析本项目的特点提出针对性方案。包括如下方面：</w:t>
              <w:br/>
              <w:t>1）公寓管理与保洁服务项目:根据招标需求，按方案是否合理、可行；是否有创新；是否详尽、明晰；工作范围是否齐全；岗位配置是否充分；服务标准设计及配套服务是否合理等进行评议。(4分)</w:t>
              <w:br/>
              <w:t>2）绿化项目：根据招标需求，按方案是否合理、可行；是否详尽、明晰；工作范围是否齐全；岗位配置是否充分；是否具备绿化美化、设计、改造工程能力；是否有较强的绿化支撑保障能力；日常养护是否合理等进行评议。(3分)</w:t>
              <w:br/>
              <w:t>3)水电维修项目：根据招标需求，按日常管理制度是否完整；人员配备是否符合要求、是否有独立完成基本故障处置能力；日常维护保养方案是否完整；水泵、高低配维护管理工作、空调与电梯等专业设备管理工作机制是否完整等进行评议。(2分)</w:t>
              <w:br/>
              <w:t>4)保安项目：根据招标需求，按团队配备是否合理、充分；各类资质证书是否齐全、有效；日常管理方案是否合理、可行；是否有创新；是否详尽、明晰；工作范围是否齐全；服务标准设计是否合理等进行评议。(3分)</w:t>
              <w:br/>
              <w:t>5)专项人力服务项目：根据招标需求，人员配备是否符合要求；各岗位服务标准提供是否合理等进行评议。(2分)</w:t>
              <w:br/>
              <w:t>6)突发事件处理方案：依据学校需求制订各类应急预案和防恐预案的数量和质量优劣进行评议。（3分）</w:t>
              <w:br/>
              <w:t>7)其他内容：对招标需求中提出的其他服务事项规划是否详细；服务标准设计是否合理、完整；同时根据投标人对于本案地理位置的熟悉程度综合分析、对就近应急的速度以及可投入的人力、物力是否合理、可行、有效进行评议。（3分）</w:t>
            </w:r>
          </w:p>
        </w:tc>
        <w:tc>
          <w:tcPr>
            <w:tcW w:w="873" w:type="dxa"/>
            <w:vAlign w:val="center"/>
          </w:tcPr>
          <w:p>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4</w:t>
            </w:r>
          </w:p>
        </w:tc>
        <w:tc>
          <w:tcPr>
            <w:tcW w:w="1537" w:type="dxa"/>
            <w:vAlign w:val="center"/>
          </w:tcPr>
          <w:p>
            <w:r>
              <w:t>技术</w:t>
            </w:r>
          </w:p>
        </w:tc>
        <w:tc>
          <w:tcPr>
            <w:tcW w:w="6379" w:type="dxa"/>
          </w:tcPr>
          <w:p>
            <w:r>
              <w:t>综合管理方案：结合上级对高校各类建设的文件精神（如文明校园），参照招标需求，从企业自身对高校物业的理解出发，拟定各类校园“品牌”创建的建议、方案。每个方案1分，最高可得4分。</w:t>
            </w:r>
          </w:p>
        </w:tc>
        <w:tc>
          <w:tcPr>
            <w:tcW w:w="873" w:type="dxa"/>
            <w:vAlign w:val="center"/>
          </w:tcPr>
          <w:p>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5</w:t>
            </w:r>
          </w:p>
        </w:tc>
        <w:tc>
          <w:tcPr>
            <w:tcW w:w="1537" w:type="dxa"/>
            <w:vAlign w:val="center"/>
          </w:tcPr>
          <w:p>
            <w:r>
              <w:t>技术</w:t>
            </w:r>
          </w:p>
        </w:tc>
        <w:tc>
          <w:tcPr>
            <w:tcW w:w="6379" w:type="dxa"/>
          </w:tcPr>
          <w:p>
            <w:r>
              <w:t>专项实施项目方案：</w:t>
              <w:br/>
              <w:t>1、公寓文化建设：根据公寓文化建设的针对性，特色及可行性、实施计划、经费安排等对建设方案进行评议。（3分）。</w:t>
              <w:br/>
              <w:t>2、绿化改造建设：针对目前学校校园绿化上存在问题，有针对性的提出改造方案，根据实施计划、经费安排与建设方案的可行性、合理性与科学性，依据招标文件及甲方需求酌情打分。（2分）</w:t>
            </w:r>
          </w:p>
        </w:tc>
        <w:tc>
          <w:tcPr>
            <w:tcW w:w="873" w:type="dxa"/>
            <w:vAlign w:val="center"/>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6</w:t>
            </w:r>
          </w:p>
        </w:tc>
        <w:tc>
          <w:tcPr>
            <w:tcW w:w="1537" w:type="dxa"/>
            <w:vAlign w:val="center"/>
          </w:tcPr>
          <w:p>
            <w:r>
              <w:t>技术</w:t>
            </w:r>
          </w:p>
        </w:tc>
        <w:tc>
          <w:tcPr>
            <w:tcW w:w="6379" w:type="dxa"/>
          </w:tcPr>
          <w:p>
            <w:r>
              <w:t>投标人的管理目标、指标及方式。质量管理目标的定位准确性和针对性，以及管理方式的科学性、合理性和先进性。依据招标文件及甲方需求酌情打分。（3分）</w:t>
            </w:r>
          </w:p>
        </w:tc>
        <w:tc>
          <w:tcPr>
            <w:tcW w:w="873" w:type="dxa"/>
            <w:vAlign w:val="center"/>
          </w:tcPr>
          <w:p>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7</w:t>
            </w:r>
          </w:p>
        </w:tc>
        <w:tc>
          <w:tcPr>
            <w:tcW w:w="1537" w:type="dxa"/>
            <w:vAlign w:val="center"/>
          </w:tcPr>
          <w:p>
            <w:r>
              <w:t>技术</w:t>
            </w:r>
          </w:p>
        </w:tc>
        <w:tc>
          <w:tcPr>
            <w:tcW w:w="6379" w:type="dxa"/>
          </w:tcPr>
          <w:p>
            <w:r>
              <w:t>投标人为本项目所安排直接从业人员的素质、能力、资格、经验和人数，人员是否具有相关服务资格等评分。</w:t>
              <w:br/>
              <w:t>1、明确此项目直接负责人及团队管理人员构成，且其服务素质、能力、资格、经验等符合招标文件人员要求情况。其中：</w:t>
              <w:br/>
              <w:t>1）项目经理：年龄45周岁及以下，具有本科及以上学历；具有人社部门颁发的高级职称；具有全国物业管理企业经理证；具有3年及以上学校综合项目经理物业管理服务的工作经验。（每满足一项得0.5分，总分2分）</w:t>
              <w:br/>
              <w:t>2）保洁主管：年龄45周岁及以下，具有大专及以上学历；具有高级保洁员证书；具有3年及以上学校项目保洁管理服务的工作经验。（每满足一项得0.5分，总分1.5分）</w:t>
              <w:br/>
              <w:t>3）保安队长：年龄50周岁及以下，具有高中（中专）及以上学历；具有主管部门颁发的保安员证；具有3年及以上学校项目保安管理服务的工作经验。（每满足一项得0.5分，总分1.5分）</w:t>
              <w:br/>
              <w:t>4）公寓主管：年龄45岁以下，具有大专以上学历；具有全国物业企业经理证；具有3年及以上学校项目保洁管理服务的工作经验。（每满足一项得0.5分，总分1.5分）</w:t>
              <w:br/>
              <w:t>2、团队专业证书拥有情况评议：对人员专业证书拥有情况进行评议（如电梯管理证、高低配电工证、建筑物消防员证、保安证、弱电维修等级证、绿化养护职称证、绿化设计、绿化预算等职称证）（每提供一项得0.5分，最高3.5分）</w:t>
            </w:r>
          </w:p>
        </w:tc>
        <w:tc>
          <w:tcPr>
            <w:tcW w:w="873" w:type="dxa"/>
            <w:vAlign w:val="center"/>
          </w:tcPr>
          <w:p>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8</w:t>
            </w:r>
          </w:p>
        </w:tc>
        <w:tc>
          <w:tcPr>
            <w:tcW w:w="1537" w:type="dxa"/>
            <w:vAlign w:val="center"/>
          </w:tcPr>
          <w:p>
            <w:r>
              <w:t>技术</w:t>
            </w:r>
          </w:p>
        </w:tc>
        <w:tc>
          <w:tcPr>
            <w:tcW w:w="6379" w:type="dxa"/>
          </w:tcPr>
          <w:p>
            <w:r>
              <w:t>对工作交接方案、员工岗位培训计划的详细程度及培训方案的全面性、针对性及可行性进行综合评分。人员录用与考核有标准，有奖惩淘汰机制。依据招标文件及甲方需求酌情打分。</w:t>
            </w:r>
          </w:p>
        </w:tc>
        <w:tc>
          <w:tcPr>
            <w:tcW w:w="873" w:type="dxa"/>
            <w:vAlign w:val="center"/>
          </w:tcPr>
          <w:p>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9</w:t>
            </w:r>
          </w:p>
        </w:tc>
        <w:tc>
          <w:tcPr>
            <w:tcW w:w="1537" w:type="dxa"/>
            <w:vAlign w:val="center"/>
          </w:tcPr>
          <w:p>
            <w:r>
              <w:t>技术</w:t>
            </w:r>
          </w:p>
        </w:tc>
        <w:tc>
          <w:tcPr>
            <w:tcW w:w="6379" w:type="dxa"/>
          </w:tcPr>
          <w:p>
            <w:r>
              <w:t>投标人为本项目所能提供的相关机械设备、器材、物资配备情况。依据招标文件及甲方需求酌情打分。（5分）</w:t>
            </w:r>
          </w:p>
        </w:tc>
        <w:tc>
          <w:tcPr>
            <w:tcW w:w="873" w:type="dxa"/>
            <w:vAlign w:val="center"/>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10</w:t>
            </w:r>
          </w:p>
        </w:tc>
        <w:tc>
          <w:tcPr>
            <w:tcW w:w="1537" w:type="dxa"/>
            <w:vAlign w:val="center"/>
          </w:tcPr>
          <w:p>
            <w:r>
              <w:t>技术</w:t>
            </w:r>
          </w:p>
        </w:tc>
        <w:tc>
          <w:tcPr>
            <w:tcW w:w="6379" w:type="dxa"/>
          </w:tcPr>
          <w:p>
            <w:r>
              <w:t>投标人的内部管理情况：包括运作流程图、激励机制、监督机制、自我约束机制、信息反馈渠道及处理机制，管理指标达到物业管理标准</w:t>
              <w:br/>
              <w:t>1）内部管理制度和质量控制标准情况，是否具有完善规章制度和保障措施（4分）。依据招标文件及甲方需求酌情打分。</w:t>
              <w:br/>
              <w:t>2）企业内部管理实行信息化运行情况，如人员管理、物资管理、报修管理、生活垃圾监管与回收等信息化手段。（每提供一项得1分，最高4分）</w:t>
              <w:br/>
              <w:t>（提供相关证明材料）</w:t>
            </w:r>
          </w:p>
        </w:tc>
        <w:tc>
          <w:tcPr>
            <w:tcW w:w="873" w:type="dxa"/>
            <w:vAlign w:val="center"/>
          </w:tcPr>
          <w:p>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11</w:t>
            </w:r>
          </w:p>
        </w:tc>
        <w:tc>
          <w:tcPr>
            <w:tcW w:w="1537" w:type="dxa"/>
            <w:vAlign w:val="center"/>
          </w:tcPr>
          <w:p>
            <w:r>
              <w:t>技术</w:t>
            </w:r>
          </w:p>
        </w:tc>
        <w:tc>
          <w:tcPr>
            <w:tcW w:w="6379" w:type="dxa"/>
          </w:tcPr>
          <w:p>
            <w:r>
              <w:t>投标人提供的服务承诺和优惠措施：项目管理、质量保证和其他方面等所做的承诺及保证措施等。依据招标文件及甲方需求酌情打分。（5分）</w:t>
            </w:r>
          </w:p>
        </w:tc>
        <w:tc>
          <w:tcPr>
            <w:tcW w:w="873" w:type="dxa"/>
            <w:vAlign w:val="center"/>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12</w:t>
            </w:r>
          </w:p>
        </w:tc>
        <w:tc>
          <w:tcPr>
            <w:tcW w:w="1537" w:type="dxa"/>
            <w:vAlign w:val="center"/>
          </w:tcPr>
          <w:p>
            <w:r>
              <w:t>商务资信</w:t>
            </w:r>
          </w:p>
        </w:tc>
        <w:tc>
          <w:tcPr>
            <w:tcW w:w="6379" w:type="dxa"/>
          </w:tcPr>
          <w:p>
            <w:r>
              <w:t>公司整体经营状况、技术力量及提供的相关证明材料等情况。（4分）</w:t>
            </w:r>
          </w:p>
        </w:tc>
        <w:tc>
          <w:tcPr>
            <w:tcW w:w="873" w:type="dxa"/>
            <w:vAlign w:val="center"/>
          </w:tcPr>
          <w:p>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13</w:t>
            </w:r>
          </w:p>
        </w:tc>
        <w:tc>
          <w:tcPr>
            <w:tcW w:w="1537" w:type="dxa"/>
            <w:vAlign w:val="center"/>
          </w:tcPr>
          <w:p>
            <w:r>
              <w:t>商务资信</w:t>
            </w:r>
          </w:p>
        </w:tc>
        <w:tc>
          <w:tcPr>
            <w:tcW w:w="6379" w:type="dxa"/>
          </w:tcPr>
          <w:p>
            <w:r>
              <w:t>投标人获得的相关证书情况：具有有效的质量管理认证体系、环境管理体系认证体系、职业健康安全管理认证体系、安保服务认证体系，每提供一个得0.5分，最高得2分。（提供项目公告前认证有效证书原件扫描件，全国认证认可信息公共服务平台可查，提供相关证明材料）</w:t>
            </w:r>
          </w:p>
        </w:tc>
        <w:tc>
          <w:tcPr>
            <w:tcW w:w="873" w:type="dxa"/>
            <w:vAlign w:val="center"/>
          </w:tcPr>
          <w:p>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14</w:t>
            </w:r>
          </w:p>
        </w:tc>
        <w:tc>
          <w:tcPr>
            <w:tcW w:w="1537" w:type="dxa"/>
            <w:vAlign w:val="center"/>
          </w:tcPr>
          <w:p>
            <w:r>
              <w:t>商务资信</w:t>
            </w:r>
          </w:p>
        </w:tc>
        <w:tc>
          <w:tcPr>
            <w:tcW w:w="6379" w:type="dxa"/>
          </w:tcPr>
          <w:p>
            <w:r>
              <w:t>自2019年1月1日以来，投标人所管理的物业项目（非住宅）获得行业行政主管部门颁发的荣誉，每1个得1分，最高得2分。</w:t>
            </w:r>
          </w:p>
        </w:tc>
        <w:tc>
          <w:tcPr>
            <w:tcW w:w="873" w:type="dxa"/>
            <w:vAlign w:val="center"/>
          </w:tcPr>
          <w:p>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15</w:t>
            </w:r>
          </w:p>
        </w:tc>
        <w:tc>
          <w:tcPr>
            <w:tcW w:w="1537" w:type="dxa"/>
            <w:vAlign w:val="center"/>
          </w:tcPr>
          <w:p>
            <w:r>
              <w:t>商务资信</w:t>
            </w:r>
          </w:p>
        </w:tc>
        <w:tc>
          <w:tcPr>
            <w:tcW w:w="6379" w:type="dxa"/>
          </w:tcPr>
          <w:p>
            <w:r>
              <w:t>2019年1月1日以来，投标人获得过政府颁发的生活垃圾分类示范小区或与垃圾分类有关的市级及以上类似荣誉的，得1分，最多得1分。</w:t>
            </w:r>
          </w:p>
        </w:tc>
        <w:tc>
          <w:tcPr>
            <w:tcW w:w="873" w:type="dxa"/>
            <w:vAlign w:val="center"/>
          </w:tcPr>
          <w:p>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r>
              <w:t>16</w:t>
            </w:r>
          </w:p>
        </w:tc>
        <w:tc>
          <w:tcPr>
            <w:tcW w:w="1537" w:type="dxa"/>
            <w:vAlign w:val="center"/>
          </w:tcPr>
          <w:p>
            <w:r>
              <w:t>商务资信</w:t>
            </w:r>
          </w:p>
        </w:tc>
        <w:tc>
          <w:tcPr>
            <w:tcW w:w="6379" w:type="dxa"/>
          </w:tcPr>
          <w:p>
            <w:r>
              <w:t>类似项目（非住宅）成功经验。评委依据项目特征、服务内容对投标人提供的成功案例进行综合评议。</w:t>
              <w:br/>
              <w:t>注：同一个项目不同年份按一个计算。在投标文件中提供合同的原件彩色扫描件，否则不得分。需提供2019年6月1日（含）以来类似项目成功案例合同复印件，一个项目得0.5分，最高得2分，以合同签订时间为准。</w:t>
            </w:r>
          </w:p>
        </w:tc>
        <w:tc>
          <w:tcPr>
            <w:tcW w:w="873" w:type="dxa"/>
            <w:vAlign w:val="center"/>
          </w:tcPr>
          <w:p>
            <w:r>
              <w:t>2</w:t>
            </w:r>
          </w:p>
        </w:tc>
      </w:tr>
    </w:tbl>
    <w:p>
      <w:pPr>
        <w:spacing w:before="120" w:beforeLines="50" w:after="120" w:afterLines="50" w:line="340" w:lineRule="exact"/>
        <w:rPr>
          <w:rFonts w:ascii="仿宋_GB2312" w:hAnsi="宋体" w:eastAsia="仿宋_GB2312"/>
          <w:b/>
          <w:sz w:val="32"/>
          <w:szCs w:val="32"/>
        </w:rPr>
      </w:pPr>
      <w:r>
        <w:t xml:space="preserve"> </w:t>
      </w:r>
    </w:p>
    <w:p>
      <w:pPr>
        <w:spacing w:after="240" w:afterLines="100" w:line="340" w:lineRule="exact"/>
        <w:jc w:val="center"/>
        <w:outlineLvl w:val="0"/>
        <w:rPr>
          <w:rFonts w:hAnsi="宋体"/>
          <w:b/>
          <w:sz w:val="36"/>
          <w:szCs w:val="36"/>
        </w:rPr>
      </w:pPr>
      <w:r/>
    </w:p>
    <w:p>
      <w:pPr>
        <w:spacing w:after="240" w:afterLines="100" w:line="340" w:lineRule="exact"/>
        <w:jc w:val="center"/>
        <w:outlineLvl w:val="0"/>
        <w:rPr>
          <w:rFonts w:hAnsi="宋体"/>
          <w:b/>
          <w:sz w:val="36"/>
          <w:szCs w:val="36"/>
        </w:rPr>
      </w:pPr>
      <w:r/>
    </w:p>
    <w:p>
      <w:pPr>
        <w:spacing w:after="240" w:afterLines="100" w:line="340" w:lineRule="exact"/>
        <w:jc w:val="center"/>
        <w:outlineLvl w:val="0"/>
        <w:rPr>
          <w:rFonts w:hAnsi="宋体"/>
          <w:b/>
          <w:sz w:val="36"/>
          <w:szCs w:val="36"/>
        </w:rPr>
      </w:pPr>
      <w:r/>
    </w:p>
    <w:p>
      <w:pPr>
        <w:spacing w:after="240" w:afterLines="100" w:line="340" w:lineRule="exact"/>
        <w:jc w:val="center"/>
        <w:outlineLvl w:val="0"/>
        <w:rPr>
          <w:rFonts w:hAnsi="宋体"/>
          <w:b/>
          <w:sz w:val="36"/>
          <w:szCs w:val="36"/>
        </w:rPr>
      </w:pPr>
      <w:r/>
    </w:p>
    <w:p>
      <w:pPr>
        <w:spacing w:after="240" w:afterLines="100" w:line="340" w:lineRule="exact"/>
        <w:jc w:val="center"/>
        <w:outlineLvl w:val="0"/>
        <w:rPr>
          <w:rFonts w:hAnsi="宋体"/>
          <w:b/>
          <w:sz w:val="36"/>
          <w:szCs w:val="36"/>
        </w:rPr>
      </w:pPr>
      <w:r/>
    </w:p>
    <w:p>
      <w:pPr>
        <w:spacing w:after="240" w:afterLines="100" w:line="340" w:lineRule="exact"/>
        <w:jc w:val="center"/>
        <w:outlineLvl w:val="0"/>
        <w:rPr>
          <w:rFonts w:hAnsi="宋体"/>
          <w:b/>
          <w:sz w:val="36"/>
          <w:szCs w:val="36"/>
        </w:rPr>
      </w:pPr>
      <w:r/>
    </w:p>
    <w:p>
      <w:pPr>
        <w:spacing w:after="240" w:afterLines="100" w:line="340" w:lineRule="exact"/>
        <w:outlineLvl w:val="0"/>
        <w:rPr>
          <w:rFonts w:hAnsi="宋体"/>
          <w:b/>
          <w:sz w:val="36"/>
          <w:szCs w:val="36"/>
        </w:rPr>
      </w:pPr>
      <w:r/>
    </w:p>
    <w:p>
      <w:pPr>
        <w:spacing w:after="240" w:afterLines="100" w:line="340" w:lineRule="exact"/>
        <w:outlineLvl w:val="0"/>
        <w:rPr>
          <w:rFonts w:hAnsi="宋体"/>
          <w:b/>
          <w:sz w:val="36"/>
          <w:szCs w:val="36"/>
        </w:rPr>
      </w:pPr>
      <w:r/>
    </w:p>
    <w:p>
      <w:pPr>
        <w:spacing w:after="240" w:afterLines="100" w:line="340" w:lineRule="exact"/>
        <w:outlineLvl w:val="0"/>
        <w:rPr>
          <w:rFonts w:hAnsi="宋体"/>
          <w:b/>
          <w:sz w:val="36"/>
          <w:szCs w:val="36"/>
        </w:rPr>
      </w:pPr>
      <w:r/>
    </w:p>
    <w:p>
      <w:pPr>
        <w:spacing w:after="240" w:afterLines="100" w:line="340" w:lineRule="exact"/>
        <w:outlineLvl w:val="0"/>
        <w:rPr>
          <w:rFonts w:hAnsi="宋体"/>
          <w:b/>
          <w:sz w:val="36"/>
          <w:szCs w:val="36"/>
        </w:rPr>
      </w:pPr>
      <w:r/>
    </w:p>
    <w:p>
      <w:pPr>
        <w:spacing w:after="240" w:afterLines="100" w:line="340" w:lineRule="exact"/>
        <w:outlineLvl w:val="0"/>
        <w:rPr>
          <w:rFonts w:hAnsi="宋体"/>
          <w:b/>
          <w:sz w:val="36"/>
          <w:szCs w:val="36"/>
        </w:rPr>
      </w:pPr>
      <w:r/>
    </w:p>
    <w:p>
      <w:pPr>
        <w:spacing w:after="240" w:afterLines="100" w:line="340" w:lineRule="exact"/>
        <w:outlineLvl w:val="0"/>
        <w:rPr>
          <w:rFonts w:hAnsi="宋体"/>
          <w:b/>
          <w:sz w:val="36"/>
          <w:szCs w:val="36"/>
        </w:rPr>
      </w:pPr>
      <w:r/>
    </w:p>
    <w:p>
      <w:pPr>
        <w:spacing w:after="240" w:afterLines="100" w:line="340" w:lineRule="exact"/>
        <w:outlineLvl w:val="0"/>
        <w:rPr>
          <w:rFonts w:hAnsi="宋体"/>
          <w:b/>
          <w:sz w:val="36"/>
          <w:szCs w:val="36"/>
        </w:rPr>
      </w:pPr>
      <w:r/>
    </w:p>
    <w:p>
      <w:pPr>
        <w:spacing w:after="240" w:afterLines="100" w:line="340" w:lineRule="exact"/>
        <w:outlineLvl w:val="0"/>
        <w:rPr>
          <w:rFonts w:hAnsi="宋体"/>
          <w:b/>
          <w:sz w:val="36"/>
          <w:szCs w:val="36"/>
        </w:rPr>
      </w:pPr>
      <w:r/>
    </w:p>
    <w:p>
      <w:pPr>
        <w:spacing w:after="240" w:afterLines="100" w:line="340" w:lineRule="exact"/>
        <w:jc w:val="center"/>
        <w:outlineLvl w:val="0"/>
        <w:rPr>
          <w:rFonts w:hAnsi="宋体"/>
          <w:b/>
          <w:sz w:val="36"/>
          <w:szCs w:val="36"/>
        </w:rPr>
      </w:pPr>
      <w:r>
        <w:t>第四章招标需求</w:t>
      </w:r>
    </w:p>
    <w:p>
      <w:pPr>
        <w:snapToGrid w:val="0"/>
        <w:spacing w:before="120" w:beforeLines="50" w:after="120" w:afterLines="50"/>
        <w:rPr>
          <w:rFonts w:ascii="宋体" w:hAnsi="宋体" w:eastAsiaTheme="minorEastAsia"/>
          <w:b/>
          <w:spacing w:val="40"/>
          <w:kern w:val="0"/>
          <w:sz w:val="36"/>
          <w:szCs w:val="36"/>
        </w:rPr>
      </w:pPr>
      <w:r/>
    </w:p>
    <w:p>
      <w:pPr>
        <w:snapToGrid w:val="0"/>
        <w:spacing w:before="120" w:beforeLines="50" w:after="120" w:afterLines="50"/>
        <w:rPr>
          <w:rFonts w:ascii="仿宋" w:hAnsi="仿宋" w:eastAsia="仿宋"/>
          <w:b/>
          <w:spacing w:val="40"/>
          <w:kern w:val="0"/>
          <w:sz w:val="28"/>
          <w:szCs w:val="28"/>
        </w:rPr>
      </w:pPr>
      <w:r>
        <w:t>特别说明：</w:t>
      </w:r>
    </w:p>
    <w:p>
      <w:pPr>
        <w:spacing w:line="360" w:lineRule="auto"/>
        <w:ind w:firstLine="562" w:firstLineChars="200"/>
        <w:rPr>
          <w:rFonts w:ascii="仿宋" w:hAnsi="仿宋" w:eastAsia="仿宋"/>
          <w:b/>
          <w:sz w:val="28"/>
          <w:szCs w:val="28"/>
        </w:rPr>
      </w:pPr>
      <w: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t>3.核心产品在各标项内容中明确，如出现同品牌情况的，评标委员会根据评审原则第4条规定执行。</w:t>
      </w:r>
    </w:p>
    <w:p>
      <w:pPr>
        <w:pStyle w:val="53"/>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1"/>
        <w:spacing w:before="120" w:after="120" w:line="360" w:lineRule="auto"/>
        <w:rPr>
          <w:rFonts w:ascii="仿宋" w:hAnsi="仿宋" w:eastAsia="仿宋" w:cs="Arial"/>
          <w:b/>
          <w:sz w:val="28"/>
          <w:szCs w:val="28"/>
        </w:rPr>
      </w:pPr>
      <w:r/>
    </w:p>
    <w:p>
      <w:pPr>
        <w:tabs>
          <w:tab w:val="left" w:pos="8161"/>
        </w:tabs>
        <w:spacing w:line="360" w:lineRule="auto"/>
        <w:jc w:val="center"/>
        <w:outlineLvl w:val="1"/>
        <w:rPr>
          <w:rFonts w:ascii="方正粗黑宋简体" w:hAnsi="方正粗黑宋简体" w:eastAsia="方正粗黑宋简体"/>
          <w:b/>
          <w:sz w:val="44"/>
          <w:szCs w:val="44"/>
        </w:rPr>
      </w:pPr>
      <w:r>
        <w:t>标项1:浙江药科职业大学物业管理服务项目</w:t>
      </w:r>
    </w:p>
    <w:p>
      <w:pPr>
        <w:pStyle w:val="24"/>
      </w:pPr>
      <w:r/>
    </w:p>
    <w:p>
      <w:pPr>
        <w:pStyle w:val="182"/>
        <w:spacing w:line="360" w:lineRule="auto"/>
        <w:ind w:firstLine="565" w:firstLineChars="201"/>
        <w:rPr>
          <w:rFonts w:ascii="黑体" w:hAnsi="黑体" w:eastAsia="黑体" w:cs="宋体"/>
          <w:b/>
          <w:sz w:val="28"/>
          <w:szCs w:val="28"/>
        </w:rPr>
      </w:pPr>
      <w:r>
        <w:t>一、项目名称：浙江药科职业大学物业管理服务</w:t>
      </w:r>
    </w:p>
    <w:p>
      <w:pPr>
        <w:spacing w:line="360" w:lineRule="auto"/>
        <w:ind w:firstLine="565" w:firstLineChars="201"/>
        <w:rPr>
          <w:rFonts w:ascii="黑体" w:hAnsi="黑体" w:eastAsia="黑体" w:cs="宋体"/>
          <w:b/>
          <w:sz w:val="28"/>
          <w:szCs w:val="28"/>
        </w:rPr>
      </w:pPr>
      <w:r>
        <w:t>二、采购人：浙江药科职业大学</w:t>
      </w:r>
    </w:p>
    <w:p>
      <w:pPr>
        <w:spacing w:line="360" w:lineRule="auto"/>
        <w:ind w:left="2347" w:leftChars="251" w:hanging="1820" w:hangingChars="650"/>
        <w:rPr>
          <w:rFonts w:ascii="宋体" w:hAnsi="宋体" w:cs="宋体"/>
          <w:sz w:val="28"/>
          <w:szCs w:val="28"/>
        </w:rPr>
      </w:pPr>
      <w:r>
        <w:t>服务地址：1、奉化校区：浙江省宁波市奉化区萧王庙街道四明中路666号</w:t>
      </w:r>
    </w:p>
    <w:p>
      <w:pPr>
        <w:spacing w:line="360" w:lineRule="auto"/>
        <w:ind w:firstLine="1962" w:firstLineChars="701"/>
        <w:rPr>
          <w:rFonts w:ascii="黑体" w:hAnsi="黑体" w:eastAsia="黑体" w:cs="宋体"/>
          <w:b/>
          <w:sz w:val="28"/>
          <w:szCs w:val="28"/>
        </w:rPr>
      </w:pPr>
      <w:r>
        <w:t>2、鄞州校区：浙江省宁波市鄞州区鄞县大道东段888号</w:t>
      </w:r>
    </w:p>
    <w:p>
      <w:pPr>
        <w:pStyle w:val="182"/>
        <w:spacing w:line="360" w:lineRule="auto"/>
        <w:ind w:firstLine="565" w:firstLineChars="201"/>
        <w:rPr>
          <w:rFonts w:ascii="黑体" w:hAnsi="黑体" w:eastAsia="黑体" w:cs="宋体"/>
          <w:b/>
          <w:sz w:val="28"/>
          <w:szCs w:val="28"/>
        </w:rPr>
      </w:pPr>
      <w:r>
        <w:t>三、采购人物业情况</w:t>
      </w:r>
    </w:p>
    <w:p>
      <w:pPr>
        <w:spacing w:line="360" w:lineRule="auto"/>
        <w:ind w:firstLine="562" w:firstLineChars="201"/>
        <w:rPr>
          <w:rFonts w:ascii="宋体" w:hAnsi="宋体" w:cs="宋体"/>
          <w:sz w:val="28"/>
          <w:szCs w:val="28"/>
        </w:rPr>
      </w:pPr>
      <w:r>
        <w:t>浙江药科职业大学隶属浙江省药品监督管理局，教育业务管理隶属浙江省教育厅。学校由两校区组成，其中奉化校区占地600亩，建筑总面积约15万平方米，含运动场房3.4万平方米，教学用房1.7万平方米，学生公寓楼5.1万平方米，床位5148张，绿地面积13万平方米；鄞州校区占地233亩，建筑总面积约15.6万平方米，含运动场房2.4万平方米，教学用房9万平方米，学生公寓楼5.5万平方米，床位4768张，绿地面积6万平方米。</w:t>
      </w:r>
    </w:p>
    <w:p>
      <w:pPr>
        <w:spacing w:line="360" w:lineRule="auto"/>
        <w:ind w:firstLine="565" w:firstLineChars="201"/>
        <w:rPr>
          <w:rFonts w:ascii="宋体" w:hAnsi="宋体" w:cs="宋体"/>
          <w:sz w:val="28"/>
          <w:szCs w:val="28"/>
        </w:rPr>
      </w:pPr>
      <w:r>
        <w:t>四、采购服务范围与内容</w:t>
      </w:r>
    </w:p>
    <w:p>
      <w:pPr>
        <w:spacing w:line="360" w:lineRule="auto"/>
        <w:ind w:firstLine="562" w:firstLineChars="201"/>
        <w:rPr>
          <w:rFonts w:ascii="宋体" w:hAnsi="宋体" w:cs="宋体"/>
          <w:sz w:val="28"/>
          <w:szCs w:val="28"/>
        </w:rPr>
      </w:pPr>
      <w:r>
        <w:t>采购内容为两校区校内物业管理服务，主要包括以下内容：</w:t>
      </w:r>
    </w:p>
    <w:p>
      <w:pPr>
        <w:spacing w:line="360" w:lineRule="auto"/>
        <w:ind w:firstLine="562" w:firstLineChars="201"/>
        <w:rPr>
          <w:rFonts w:ascii="宋体" w:hAnsi="宋体" w:cs="宋体"/>
          <w:sz w:val="28"/>
          <w:szCs w:val="28"/>
        </w:rPr>
      </w:pPr>
      <w:r>
        <w:t>(一)校内基础物业服务：含学生公寓楼管理、校园清卫保洁、绿化养护、水电管理与维修、教室管理等；</w:t>
      </w:r>
    </w:p>
    <w:p>
      <w:pPr>
        <w:spacing w:line="360" w:lineRule="auto"/>
        <w:ind w:firstLine="562" w:firstLineChars="201"/>
        <w:rPr>
          <w:rFonts w:ascii="宋体" w:hAnsi="宋体" w:cs="宋体"/>
          <w:sz w:val="28"/>
          <w:szCs w:val="28"/>
        </w:rPr>
      </w:pPr>
      <w:r>
        <w:t>(二)校园安全保卫服务；</w:t>
      </w:r>
    </w:p>
    <w:p>
      <w:pPr>
        <w:spacing w:line="360" w:lineRule="auto"/>
        <w:ind w:firstLine="562" w:firstLineChars="201"/>
        <w:rPr>
          <w:rFonts w:ascii="宋体" w:hAnsi="宋体" w:cs="宋体"/>
          <w:sz w:val="28"/>
          <w:szCs w:val="28"/>
        </w:rPr>
      </w:pPr>
      <w:r>
        <w:t>(三)其他专项服务。</w:t>
      </w:r>
    </w:p>
    <w:p>
      <w:pPr>
        <w:pStyle w:val="24"/>
        <w:spacing w:line="360" w:lineRule="auto"/>
        <w:ind w:firstLine="565" w:firstLineChars="201"/>
        <w:rPr>
          <w:rFonts w:ascii="黑体" w:hAnsi="黑体" w:eastAsia="黑体" w:cs="宋体"/>
          <w:b/>
          <w:bCs/>
          <w:szCs w:val="28"/>
        </w:rPr>
      </w:pPr>
      <w:r>
        <w:t>五、采购方式与采购期限</w:t>
      </w:r>
    </w:p>
    <w:p>
      <w:pPr>
        <w:pStyle w:val="24"/>
        <w:spacing w:line="360" w:lineRule="auto"/>
        <w:ind w:firstLine="562" w:firstLineChars="201"/>
        <w:rPr>
          <w:rFonts w:ascii="宋体" w:hAnsi="宋体" w:cs="宋体"/>
          <w:bCs/>
          <w:szCs w:val="28"/>
        </w:rPr>
      </w:pPr>
      <w:r>
        <w:t>(一)政府集中采购；</w:t>
      </w:r>
    </w:p>
    <w:p>
      <w:pPr>
        <w:pStyle w:val="24"/>
        <w:spacing w:line="360" w:lineRule="auto"/>
        <w:ind w:firstLine="562" w:firstLineChars="201"/>
        <w:rPr>
          <w:rFonts w:ascii="宋体" w:hAnsi="宋体" w:cs="宋体"/>
          <w:b/>
          <w:szCs w:val="28"/>
        </w:rPr>
      </w:pPr>
      <w:r>
        <w:t>(二)采购一家服务供应商负责学校两校区物业管理服务工作；</w:t>
      </w:r>
    </w:p>
    <w:p>
      <w:pPr>
        <w:spacing w:line="360" w:lineRule="auto"/>
        <w:ind w:firstLine="562" w:firstLineChars="201"/>
        <w:rPr>
          <w:rFonts w:ascii="宋体" w:hAnsi="宋体" w:cs="宋体"/>
          <w:sz w:val="28"/>
          <w:szCs w:val="28"/>
        </w:rPr>
      </w:pPr>
      <w:r>
        <w:t>(三)采购服务期限限为36月（既2022年7月25日至2025年7月24日）</w:t>
      </w:r>
    </w:p>
    <w:p>
      <w:pPr>
        <w:pStyle w:val="24"/>
        <w:widowControl/>
        <w:numPr>
          <w:ilvl w:val="0"/>
          <w:numId w:val="31"/>
        </w:numPr>
        <w:spacing w:before="240" w:beforeLines="100" w:after="0" w:line="360" w:lineRule="auto"/>
        <w:ind w:firstLine="565" w:firstLineChars="201"/>
        <w:rPr>
          <w:rFonts w:ascii="黑体" w:hAnsi="黑体" w:eastAsia="黑体" w:cs="宋体"/>
          <w:b/>
          <w:bCs/>
          <w:szCs w:val="28"/>
        </w:rPr>
      </w:pPr>
      <w:r>
        <w:t>现场踏勘。意向投标人可联系采购方到校踏勘。</w:t>
      </w:r>
    </w:p>
    <w:p>
      <w:pPr>
        <w:pStyle w:val="24"/>
        <w:widowControl/>
        <w:numPr>
          <w:ilvl w:val="0"/>
          <w:numId w:val="31"/>
        </w:numPr>
        <w:spacing w:before="240" w:beforeLines="100" w:after="0" w:line="360" w:lineRule="auto"/>
        <w:ind w:firstLine="565" w:firstLineChars="201"/>
        <w:rPr>
          <w:rFonts w:ascii="黑体" w:hAnsi="黑体" w:eastAsia="黑体" w:cs="宋体"/>
          <w:b/>
          <w:bCs/>
          <w:szCs w:val="28"/>
        </w:rPr>
      </w:pPr>
      <w:r>
        <w:t>采购控制价</w:t>
      </w:r>
    </w:p>
    <w:p>
      <w:pPr>
        <w:pStyle w:val="24"/>
        <w:spacing w:before="240" w:beforeLines="100" w:line="276" w:lineRule="auto"/>
        <w:ind w:firstLine="562" w:firstLineChars="201"/>
        <w:rPr>
          <w:rFonts w:ascii="黑体" w:hAnsi="黑体" w:cs="宋体" w:eastAsiaTheme="minorEastAsia"/>
          <w:b/>
          <w:bCs/>
          <w:szCs w:val="28"/>
        </w:rPr>
      </w:pPr>
      <w:r>
        <w:t>采购预算共计4683万元（1561万元/年*3年）。</w:t>
      </w:r>
    </w:p>
    <w:p>
      <w:pPr>
        <w:pStyle w:val="24"/>
        <w:widowControl/>
        <w:numPr>
          <w:ilvl w:val="0"/>
          <w:numId w:val="31"/>
        </w:numPr>
        <w:spacing w:before="240" w:beforeLines="100" w:after="0" w:line="360" w:lineRule="auto"/>
        <w:ind w:firstLine="565" w:firstLineChars="201"/>
        <w:rPr>
          <w:rFonts w:ascii="黑体" w:hAnsi="黑体" w:eastAsia="黑体" w:cs="宋体"/>
          <w:b/>
          <w:bCs/>
          <w:szCs w:val="28"/>
        </w:rPr>
      </w:pPr>
      <w:r>
        <w:t>投标报价形式：采用总价包干，分大项报价。</w:t>
      </w:r>
    </w:p>
    <w:p>
      <w:pPr>
        <w:pStyle w:val="24"/>
        <w:spacing w:before="240" w:beforeLines="100" w:line="360" w:lineRule="auto"/>
        <w:ind w:firstLine="560" w:firstLineChars="200"/>
        <w:rPr>
          <w:rFonts w:asciiTheme="minorEastAsia" w:hAnsiTheme="minorEastAsia" w:eastAsiaTheme="minorEastAsia" w:cstheme="minorEastAsia"/>
          <w:szCs w:val="28"/>
        </w:rPr>
      </w:pPr>
      <w:r>
        <w:t>总价万元；其中：物业服务万元；安保服务万元；专项服务万元。</w:t>
      </w:r>
    </w:p>
    <w:p>
      <w:pPr>
        <w:pStyle w:val="24"/>
        <w:spacing w:before="240" w:beforeLines="100" w:line="360" w:lineRule="auto"/>
        <w:ind w:firstLine="562" w:firstLineChars="200"/>
        <w:rPr>
          <w:rFonts w:ascii="黑体" w:hAnsi="黑体" w:eastAsia="黑体"/>
          <w:b/>
          <w:bCs/>
          <w:szCs w:val="28"/>
        </w:rPr>
      </w:pPr>
      <w:r>
        <w:t>九、投标人基本要求</w:t>
      </w:r>
    </w:p>
    <w:p>
      <w:pPr>
        <w:spacing w:line="360" w:lineRule="auto"/>
        <w:ind w:firstLine="425" w:firstLineChars="152"/>
        <w:rPr>
          <w:rFonts w:asciiTheme="minorEastAsia" w:hAnsiTheme="minorEastAsia" w:eastAsiaTheme="minorEastAsia" w:cstheme="minorEastAsia"/>
          <w:sz w:val="28"/>
          <w:szCs w:val="28"/>
        </w:rPr>
      </w:pPr>
      <w:r>
        <w:t>（一）拥有较强的综合实力、具备物业管理的资质与能力。制度健全，机械装备与工具、器具齐全。拥有良好社会责任感，管理体制机制顺畅，生态环保与安全意识较强的企业。（拥有质量管理体系认证、环境管理体系认证、能源管理体系认证、信息安全管理体系认证优先）；</w:t>
      </w:r>
    </w:p>
    <w:p>
      <w:pPr>
        <w:spacing w:line="360" w:lineRule="auto"/>
        <w:ind w:firstLine="565" w:firstLineChars="202"/>
        <w:rPr>
          <w:rFonts w:asciiTheme="minorEastAsia" w:hAnsiTheme="minorEastAsia" w:eastAsiaTheme="minorEastAsia" w:cstheme="minorEastAsia"/>
          <w:sz w:val="28"/>
          <w:szCs w:val="28"/>
        </w:rPr>
      </w:pPr>
      <w:r>
        <w:t>（二）拥有较丰富的物业管理经验，业绩、荣誉取得明显。（有高校等大型物业服务经验优先）；</w:t>
      </w:r>
    </w:p>
    <w:p>
      <w:pPr>
        <w:spacing w:line="360" w:lineRule="auto"/>
        <w:ind w:firstLine="565" w:firstLineChars="202"/>
        <w:rPr>
          <w:rFonts w:asciiTheme="minorEastAsia" w:hAnsiTheme="minorEastAsia" w:eastAsiaTheme="minorEastAsia" w:cstheme="minorEastAsia"/>
          <w:sz w:val="28"/>
          <w:szCs w:val="28"/>
        </w:rPr>
      </w:pPr>
      <w:r>
        <w:t>（三）驻场项目经理人要求:负责两校区物业管理。要求大学本科（含）以上学历，拥有高校物业服务经验3年以上。分校区项目班长要求大学专科（含）以上学历，拥有学校物业管理经验2年以上。保安队长要求高中以上学历，身体健康；</w:t>
      </w:r>
    </w:p>
    <w:p>
      <w:pPr>
        <w:spacing w:line="360" w:lineRule="auto"/>
        <w:ind w:firstLine="565" w:firstLineChars="202"/>
        <w:rPr>
          <w:rFonts w:asciiTheme="minorEastAsia" w:hAnsiTheme="minorEastAsia" w:eastAsiaTheme="minorEastAsia" w:cstheme="minorEastAsia"/>
          <w:sz w:val="28"/>
          <w:szCs w:val="28"/>
        </w:rPr>
      </w:pPr>
      <w:r>
        <w:t>（四）项目团队要求：制度健全，分工明确，组织有序，身体健康，男女搭配，投标人数不得少于采购人基本需求人数，专项服务人员满足特殊岗位条件要求，人员平均年龄以控制在45周岁以下为宜。（有相应专业上岗证书的优先）；</w:t>
      </w:r>
    </w:p>
    <w:p>
      <w:pPr>
        <w:spacing w:line="360" w:lineRule="auto"/>
        <w:ind w:firstLine="565" w:firstLineChars="202"/>
        <w:rPr>
          <w:rFonts w:asciiTheme="minorEastAsia" w:hAnsiTheme="minorEastAsia" w:eastAsiaTheme="minorEastAsia" w:cstheme="minorEastAsia"/>
          <w:sz w:val="28"/>
          <w:szCs w:val="28"/>
        </w:rPr>
      </w:pPr>
      <w:r>
        <w:t>（五）对高校校园物业文化建设有一定理解，能针对校区实际提出物业文化建设预案（含绿化美化方案、公寓文化、教室文化布置方案等）</w:t>
      </w:r>
    </w:p>
    <w:p>
      <w:pPr>
        <w:spacing w:line="360" w:lineRule="auto"/>
        <w:ind w:firstLine="565" w:firstLineChars="202"/>
        <w:rPr>
          <w:rFonts w:ascii="宋体" w:hAnsi="宋体"/>
          <w:sz w:val="28"/>
          <w:szCs w:val="28"/>
        </w:rPr>
      </w:pPr>
      <w:r>
        <w:t>（六）投标单位可提供包含且不限于以下应急预案：</w:t>
      </w:r>
    </w:p>
    <w:p>
      <w:pPr>
        <w:spacing w:line="360" w:lineRule="auto"/>
        <w:ind w:firstLine="565" w:firstLineChars="202"/>
        <w:rPr>
          <w:rFonts w:ascii="宋体" w:hAnsi="宋体"/>
          <w:sz w:val="28"/>
          <w:szCs w:val="28"/>
        </w:rPr>
      </w:pPr>
      <w:r>
        <w:t>1、高空作业（幕墙和外墙玻璃清洗）方案；</w:t>
      </w:r>
    </w:p>
    <w:p>
      <w:pPr>
        <w:spacing w:line="360" w:lineRule="auto"/>
        <w:ind w:firstLine="565" w:firstLineChars="202"/>
        <w:rPr>
          <w:rFonts w:ascii="宋体" w:hAnsi="宋体"/>
          <w:sz w:val="28"/>
          <w:szCs w:val="28"/>
        </w:rPr>
      </w:pPr>
      <w:r>
        <w:t>2、电梯困人紧急预案 ；</w:t>
      </w:r>
    </w:p>
    <w:p>
      <w:pPr>
        <w:spacing w:line="360" w:lineRule="auto"/>
        <w:ind w:firstLine="565" w:firstLineChars="202"/>
        <w:rPr>
          <w:rFonts w:ascii="宋体" w:hAnsi="宋体"/>
          <w:sz w:val="28"/>
          <w:szCs w:val="28"/>
        </w:rPr>
      </w:pPr>
      <w:r>
        <w:t>3、火灾应急预案；</w:t>
      </w:r>
    </w:p>
    <w:p>
      <w:pPr>
        <w:spacing w:line="360" w:lineRule="auto"/>
        <w:ind w:firstLine="565" w:firstLineChars="202"/>
        <w:rPr>
          <w:rFonts w:ascii="宋体" w:hAnsi="宋体"/>
          <w:sz w:val="28"/>
          <w:szCs w:val="28"/>
        </w:rPr>
      </w:pPr>
      <w:r>
        <w:t>4、安全事故处理预案 ；</w:t>
      </w:r>
    </w:p>
    <w:p>
      <w:pPr>
        <w:spacing w:line="360" w:lineRule="auto"/>
        <w:ind w:firstLine="565" w:firstLineChars="202"/>
        <w:rPr>
          <w:rFonts w:ascii="宋体" w:hAnsi="宋体"/>
          <w:sz w:val="28"/>
          <w:szCs w:val="28"/>
        </w:rPr>
      </w:pPr>
      <w:r>
        <w:t>5、重伤事故及死亡事故处理程序；</w:t>
      </w:r>
    </w:p>
    <w:p>
      <w:pPr>
        <w:spacing w:line="360" w:lineRule="auto"/>
        <w:ind w:firstLine="565" w:firstLineChars="202"/>
        <w:rPr>
          <w:rFonts w:ascii="宋体" w:hAnsi="宋体"/>
          <w:sz w:val="28"/>
          <w:szCs w:val="28"/>
        </w:rPr>
      </w:pPr>
      <w:r>
        <w:t>6、校园文明建设垃圾分类与环保保持方案；</w:t>
      </w:r>
    </w:p>
    <w:p>
      <w:pPr>
        <w:spacing w:line="360" w:lineRule="auto"/>
        <w:ind w:firstLine="565" w:firstLineChars="202"/>
        <w:jc w:val="left"/>
        <w:rPr>
          <w:rFonts w:asciiTheme="minorEastAsia" w:hAnsiTheme="minorEastAsia" w:eastAsiaTheme="minorEastAsia" w:cstheme="minorEastAsia"/>
          <w:sz w:val="28"/>
          <w:szCs w:val="28"/>
        </w:rPr>
      </w:pPr>
      <w:r>
        <w:t>7、防台抗台应急保障预案。</w:t>
      </w:r>
    </w:p>
    <w:p>
      <w:pPr>
        <w:pStyle w:val="24"/>
        <w:spacing w:before="240" w:beforeLines="100" w:line="360" w:lineRule="auto"/>
        <w:ind w:left="565"/>
        <w:rPr>
          <w:rFonts w:ascii="黑体" w:hAnsi="黑体" w:eastAsia="黑体" w:cs="宋体"/>
          <w:b/>
          <w:bCs/>
          <w:szCs w:val="28"/>
        </w:rPr>
      </w:pPr>
      <w:r>
        <w:t>十、两校区物业管理人员配备与基本需求</w:t>
      </w:r>
    </w:p>
    <w:p>
      <w:pPr>
        <w:pStyle w:val="182"/>
        <w:spacing w:line="360" w:lineRule="auto"/>
        <w:ind w:firstLine="565" w:firstLineChars="201"/>
        <w:rPr>
          <w:rFonts w:asciiTheme="minorEastAsia" w:hAnsiTheme="minorEastAsia"/>
          <w:sz w:val="28"/>
          <w:szCs w:val="28"/>
        </w:rPr>
      </w:pPr>
      <w:r>
        <w:t>(一)中标方设项目经理一人，负责本项目的管理运营及与校方的日常对接，该经理同时兼奉化校区校区主管。</w:t>
      </w:r>
    </w:p>
    <w:p>
      <w:pPr>
        <w:pStyle w:val="24"/>
        <w:spacing w:line="360" w:lineRule="auto"/>
        <w:ind w:firstLine="568" w:firstLineChars="202"/>
        <w:jc w:val="left"/>
        <w:rPr>
          <w:rFonts w:asciiTheme="minorEastAsia" w:hAnsiTheme="minorEastAsia" w:eastAsiaTheme="minorEastAsia"/>
          <w:b/>
          <w:szCs w:val="28"/>
        </w:rPr>
      </w:pPr>
      <w:r>
        <w:t>(二)奉化校区人员配备</w:t>
      </w:r>
    </w:p>
    <w:p>
      <w:pPr>
        <w:pStyle w:val="424"/>
        <w:spacing w:line="360" w:lineRule="auto"/>
        <w:ind w:firstLine="565" w:firstLineChars="201"/>
        <w:rPr>
          <w:rFonts w:asciiTheme="minorEastAsia" w:hAnsiTheme="minorEastAsia" w:eastAsiaTheme="minorEastAsia"/>
          <w:b/>
          <w:sz w:val="28"/>
          <w:szCs w:val="28"/>
        </w:rPr>
      </w:pPr>
      <w:r>
        <w:t>1、学生公寓楼物业管理</w:t>
      </w:r>
    </w:p>
    <w:tbl>
      <w:tblPr>
        <w:tblStyle w:val="59"/>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971"/>
        <w:gridCol w:w="992"/>
        <w:gridCol w:w="992"/>
        <w:gridCol w:w="2268"/>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508" w:type="dxa"/>
            <w:shd w:val="clear" w:color="auto" w:fill="auto"/>
            <w:vAlign w:val="center"/>
          </w:tcPr>
          <w:p>
            <w:r>
              <w:t>序号</w:t>
            </w:r>
          </w:p>
        </w:tc>
        <w:tc>
          <w:tcPr>
            <w:tcW w:w="971" w:type="dxa"/>
            <w:shd w:val="clear" w:color="auto" w:fill="auto"/>
            <w:vAlign w:val="center"/>
          </w:tcPr>
          <w:p>
            <w:r>
              <w:t>管理</w:t>
              <w:br/>
              <w:t>范围</w:t>
            </w:r>
          </w:p>
        </w:tc>
        <w:tc>
          <w:tcPr>
            <w:tcW w:w="992" w:type="dxa"/>
            <w:shd w:val="clear" w:color="auto" w:fill="auto"/>
            <w:vAlign w:val="center"/>
          </w:tcPr>
          <w:p>
            <w:r>
              <w:t>数量</w:t>
            </w:r>
          </w:p>
        </w:tc>
        <w:tc>
          <w:tcPr>
            <w:tcW w:w="992" w:type="dxa"/>
            <w:shd w:val="clear" w:color="auto" w:fill="auto"/>
            <w:vAlign w:val="center"/>
          </w:tcPr>
          <w:p>
            <w:r>
              <w:t>面积</w:t>
            </w:r>
          </w:p>
        </w:tc>
        <w:tc>
          <w:tcPr>
            <w:tcW w:w="2268" w:type="dxa"/>
            <w:shd w:val="clear" w:color="auto" w:fill="auto"/>
            <w:vAlign w:val="center"/>
          </w:tcPr>
          <w:p>
            <w:r>
              <w:t>内容</w:t>
            </w:r>
          </w:p>
        </w:tc>
        <w:tc>
          <w:tcPr>
            <w:tcW w:w="3124" w:type="dxa"/>
            <w:vAlign w:val="center"/>
          </w:tcPr>
          <w:p>
            <w: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08" w:type="dxa"/>
            <w:vMerge w:val="restart"/>
            <w:shd w:val="clear" w:color="auto" w:fill="auto"/>
            <w:vAlign w:val="center"/>
          </w:tcPr>
          <w:p>
            <w:r>
              <w:t>1</w:t>
            </w:r>
          </w:p>
        </w:tc>
        <w:tc>
          <w:tcPr>
            <w:tcW w:w="971" w:type="dxa"/>
            <w:vMerge w:val="restart"/>
            <w:shd w:val="clear" w:color="auto" w:fill="auto"/>
            <w:vAlign w:val="center"/>
          </w:tcPr>
          <w:p>
            <w:r>
              <w:t>11-14#学生公寓楼</w:t>
            </w:r>
          </w:p>
        </w:tc>
        <w:tc>
          <w:tcPr>
            <w:tcW w:w="992" w:type="dxa"/>
            <w:vMerge w:val="restart"/>
            <w:shd w:val="clear" w:color="auto" w:fill="auto"/>
            <w:vAlign w:val="center"/>
          </w:tcPr>
          <w:p>
            <w:r>
              <w:t>4幢(各5层)</w:t>
            </w:r>
          </w:p>
        </w:tc>
        <w:tc>
          <w:tcPr>
            <w:tcW w:w="992" w:type="dxa"/>
            <w:vMerge w:val="restart"/>
            <w:shd w:val="clear" w:color="auto" w:fill="auto"/>
            <w:vAlign w:val="center"/>
          </w:tcPr>
          <w:p>
            <w:r>
              <w:t>建筑面积约5.1056万平方米，床位约5200个</w:t>
            </w:r>
          </w:p>
        </w:tc>
        <w:tc>
          <w:tcPr>
            <w:tcW w:w="2268" w:type="dxa"/>
            <w:vMerge w:val="restart"/>
            <w:shd w:val="clear" w:color="auto" w:fill="auto"/>
            <w:vAlign w:val="center"/>
          </w:tcPr>
          <w:p>
            <w:r>
              <w:t>管理(含人员管理、各类设备设施、共用区域管理)、零星维修(含设备设施联系报修)、保洁等</w:t>
            </w:r>
          </w:p>
        </w:tc>
        <w:tc>
          <w:tcPr>
            <w:tcW w:w="3124" w:type="dxa"/>
            <w:vAlign w:val="center"/>
          </w:tcPr>
          <w:p>
            <w:r>
              <w:t>保洁员3人/幢，值班员3人/幢，合计24人。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08" w:type="dxa"/>
            <w:vMerge w:val="continue"/>
            <w:shd w:val="clear" w:color="auto" w:fill="auto"/>
            <w:vAlign w:val="center"/>
          </w:tcPr>
          <w:p>
            <w:pPr>
              <w:pStyle w:val="424"/>
              <w:spacing w:line="360" w:lineRule="auto"/>
              <w:ind w:firstLine="241"/>
              <w:jc w:val="center"/>
              <w:rPr>
                <w:rFonts w:asciiTheme="minorEastAsia" w:hAnsiTheme="minorEastAsia" w:eastAsiaTheme="minorEastAsia"/>
                <w:b/>
                <w:sz w:val="24"/>
              </w:rPr>
            </w:pPr>
          </w:p>
        </w:tc>
        <w:tc>
          <w:tcPr>
            <w:tcW w:w="971" w:type="dxa"/>
            <w:vMerge w:val="continue"/>
            <w:shd w:val="clear" w:color="auto" w:fill="auto"/>
            <w:vAlign w:val="center"/>
          </w:tcPr>
          <w:p>
            <w:pPr>
              <w:pStyle w:val="424"/>
              <w:spacing w:line="360" w:lineRule="auto"/>
              <w:ind w:firstLine="240"/>
              <w:rPr>
                <w:rFonts w:asciiTheme="minorEastAsia" w:hAnsiTheme="minorEastAsia" w:eastAsiaTheme="minorEastAsia"/>
                <w:sz w:val="24"/>
              </w:rPr>
            </w:pPr>
          </w:p>
        </w:tc>
        <w:tc>
          <w:tcPr>
            <w:tcW w:w="992" w:type="dxa"/>
            <w:vMerge w:val="continue"/>
            <w:shd w:val="clear" w:color="auto" w:fill="auto"/>
            <w:vAlign w:val="center"/>
          </w:tcPr>
          <w:p>
            <w:pPr>
              <w:pStyle w:val="424"/>
              <w:spacing w:line="360" w:lineRule="auto"/>
              <w:ind w:firstLine="240"/>
              <w:rPr>
                <w:rFonts w:asciiTheme="minorEastAsia" w:hAnsiTheme="minorEastAsia" w:eastAsiaTheme="minorEastAsia"/>
                <w:sz w:val="24"/>
              </w:rPr>
            </w:pPr>
          </w:p>
        </w:tc>
        <w:tc>
          <w:tcPr>
            <w:tcW w:w="992" w:type="dxa"/>
            <w:vMerge w:val="continue"/>
            <w:shd w:val="clear" w:color="auto" w:fill="auto"/>
            <w:vAlign w:val="center"/>
          </w:tcPr>
          <w:p>
            <w:pPr>
              <w:pStyle w:val="424"/>
              <w:spacing w:line="360" w:lineRule="auto"/>
              <w:ind w:firstLine="240"/>
              <w:rPr>
                <w:rFonts w:asciiTheme="minorEastAsia" w:hAnsiTheme="minorEastAsia" w:eastAsiaTheme="minorEastAsia"/>
                <w:sz w:val="24"/>
              </w:rPr>
            </w:pPr>
          </w:p>
        </w:tc>
        <w:tc>
          <w:tcPr>
            <w:tcW w:w="2268" w:type="dxa"/>
            <w:vMerge w:val="continue"/>
            <w:shd w:val="clear" w:color="auto" w:fill="auto"/>
            <w:vAlign w:val="center"/>
          </w:tcPr>
          <w:p>
            <w:pPr>
              <w:pStyle w:val="424"/>
              <w:spacing w:line="360" w:lineRule="auto"/>
              <w:ind w:firstLine="240"/>
              <w:rPr>
                <w:rFonts w:asciiTheme="minorEastAsia" w:hAnsiTheme="minorEastAsia" w:eastAsiaTheme="minorEastAsia"/>
                <w:sz w:val="24"/>
              </w:rPr>
            </w:pPr>
          </w:p>
        </w:tc>
        <w:tc>
          <w:tcPr>
            <w:tcW w:w="3124" w:type="dxa"/>
            <w:vAlign w:val="center"/>
          </w:tcPr>
          <w:p>
            <w:r>
              <w:t>综合维修工2人，负责学生公寓日常水电、门窗、零星维修。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08" w:type="dxa"/>
            <w:vMerge w:val="continue"/>
            <w:shd w:val="clear" w:color="auto" w:fill="auto"/>
            <w:vAlign w:val="center"/>
          </w:tcPr>
          <w:p>
            <w:pPr>
              <w:pStyle w:val="424"/>
              <w:spacing w:line="360" w:lineRule="auto"/>
              <w:ind w:firstLine="241"/>
              <w:jc w:val="center"/>
              <w:rPr>
                <w:rFonts w:asciiTheme="minorEastAsia" w:hAnsiTheme="minorEastAsia" w:eastAsiaTheme="minorEastAsia"/>
                <w:b/>
                <w:sz w:val="24"/>
              </w:rPr>
            </w:pPr>
          </w:p>
        </w:tc>
        <w:tc>
          <w:tcPr>
            <w:tcW w:w="971" w:type="dxa"/>
            <w:vMerge w:val="continue"/>
            <w:shd w:val="clear" w:color="auto" w:fill="auto"/>
            <w:vAlign w:val="center"/>
          </w:tcPr>
          <w:p>
            <w:pPr>
              <w:pStyle w:val="424"/>
              <w:spacing w:line="360" w:lineRule="auto"/>
              <w:ind w:firstLine="240"/>
              <w:rPr>
                <w:rFonts w:asciiTheme="minorEastAsia" w:hAnsiTheme="minorEastAsia" w:eastAsiaTheme="minorEastAsia"/>
                <w:sz w:val="24"/>
              </w:rPr>
            </w:pPr>
          </w:p>
        </w:tc>
        <w:tc>
          <w:tcPr>
            <w:tcW w:w="992" w:type="dxa"/>
            <w:vMerge w:val="continue"/>
            <w:shd w:val="clear" w:color="auto" w:fill="FFFFFF" w:themeFill="background1"/>
            <w:vAlign w:val="center"/>
          </w:tcPr>
          <w:p>
            <w:pPr>
              <w:pStyle w:val="424"/>
              <w:spacing w:line="360" w:lineRule="auto"/>
              <w:ind w:firstLine="240"/>
              <w:rPr>
                <w:rFonts w:asciiTheme="minorEastAsia" w:hAnsiTheme="minorEastAsia" w:eastAsiaTheme="minorEastAsia"/>
                <w:sz w:val="24"/>
              </w:rPr>
            </w:pPr>
          </w:p>
        </w:tc>
        <w:tc>
          <w:tcPr>
            <w:tcW w:w="992" w:type="dxa"/>
            <w:vMerge w:val="continue"/>
            <w:shd w:val="clear" w:color="auto" w:fill="auto"/>
            <w:vAlign w:val="center"/>
          </w:tcPr>
          <w:p>
            <w:pPr>
              <w:pStyle w:val="424"/>
              <w:spacing w:line="360" w:lineRule="auto"/>
              <w:ind w:firstLine="240"/>
              <w:rPr>
                <w:rFonts w:asciiTheme="minorEastAsia" w:hAnsiTheme="minorEastAsia" w:eastAsiaTheme="minorEastAsia"/>
                <w:sz w:val="24"/>
              </w:rPr>
            </w:pPr>
          </w:p>
        </w:tc>
        <w:tc>
          <w:tcPr>
            <w:tcW w:w="2268" w:type="dxa"/>
            <w:vMerge w:val="continue"/>
            <w:shd w:val="clear" w:color="auto" w:fill="auto"/>
            <w:vAlign w:val="center"/>
          </w:tcPr>
          <w:p>
            <w:pPr>
              <w:pStyle w:val="424"/>
              <w:spacing w:line="360" w:lineRule="auto"/>
              <w:ind w:firstLine="240"/>
              <w:rPr>
                <w:rFonts w:asciiTheme="minorEastAsia" w:hAnsiTheme="minorEastAsia" w:eastAsiaTheme="minorEastAsia"/>
                <w:sz w:val="24"/>
              </w:rPr>
            </w:pPr>
          </w:p>
        </w:tc>
        <w:tc>
          <w:tcPr>
            <w:tcW w:w="3124" w:type="dxa"/>
          </w:tcPr>
          <w:p>
            <w:r>
              <w:t>公寓管理主管1人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479" w:type="dxa"/>
            <w:gridSpan w:val="2"/>
            <w:shd w:val="clear" w:color="auto" w:fill="auto"/>
            <w:vAlign w:val="center"/>
          </w:tcPr>
          <w:p>
            <w:r>
              <w:t>合计</w:t>
            </w:r>
          </w:p>
        </w:tc>
        <w:tc>
          <w:tcPr>
            <w:tcW w:w="992" w:type="dxa"/>
            <w:shd w:val="clear" w:color="auto" w:fill="FFFFFF" w:themeFill="background1"/>
            <w:vAlign w:val="center"/>
          </w:tcPr>
          <w:p>
            <w:pPr>
              <w:pStyle w:val="424"/>
              <w:spacing w:line="360" w:lineRule="auto"/>
              <w:ind w:firstLine="241"/>
              <w:rPr>
                <w:rFonts w:asciiTheme="minorEastAsia" w:hAnsiTheme="minorEastAsia" w:eastAsiaTheme="minorEastAsia"/>
                <w:b/>
                <w:sz w:val="24"/>
              </w:rPr>
            </w:pPr>
          </w:p>
        </w:tc>
        <w:tc>
          <w:tcPr>
            <w:tcW w:w="992" w:type="dxa"/>
            <w:shd w:val="clear" w:color="auto" w:fill="auto"/>
            <w:vAlign w:val="center"/>
          </w:tcPr>
          <w:p>
            <w:pPr>
              <w:pStyle w:val="424"/>
              <w:spacing w:line="360" w:lineRule="auto"/>
              <w:ind w:firstLine="241"/>
              <w:rPr>
                <w:rFonts w:asciiTheme="minorEastAsia" w:hAnsiTheme="minorEastAsia" w:eastAsiaTheme="minorEastAsia"/>
                <w:b/>
                <w:sz w:val="24"/>
              </w:rPr>
            </w:pPr>
          </w:p>
        </w:tc>
        <w:tc>
          <w:tcPr>
            <w:tcW w:w="2268" w:type="dxa"/>
            <w:shd w:val="clear" w:color="auto" w:fill="auto"/>
            <w:vAlign w:val="center"/>
          </w:tcPr>
          <w:p>
            <w:pPr>
              <w:pStyle w:val="424"/>
              <w:spacing w:line="360" w:lineRule="auto"/>
              <w:ind w:firstLine="241"/>
              <w:rPr>
                <w:rFonts w:asciiTheme="minorEastAsia" w:hAnsiTheme="minorEastAsia" w:eastAsiaTheme="minorEastAsia"/>
                <w:b/>
                <w:sz w:val="24"/>
              </w:rPr>
            </w:pPr>
          </w:p>
        </w:tc>
        <w:tc>
          <w:tcPr>
            <w:tcW w:w="3124" w:type="dxa"/>
            <w:vAlign w:val="center"/>
          </w:tcPr>
          <w:p>
            <w:r>
              <w:t>27人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08" w:type="dxa"/>
            <w:shd w:val="clear" w:color="auto" w:fill="auto"/>
            <w:vAlign w:val="center"/>
          </w:tcPr>
          <w:p>
            <w:pPr>
              <w:pStyle w:val="424"/>
              <w:spacing w:line="360" w:lineRule="auto"/>
              <w:ind w:firstLine="241"/>
              <w:jc w:val="center"/>
              <w:rPr>
                <w:rFonts w:asciiTheme="minorEastAsia" w:hAnsiTheme="minorEastAsia" w:eastAsiaTheme="minorEastAsia"/>
                <w:b/>
                <w:sz w:val="24"/>
              </w:rPr>
            </w:pPr>
          </w:p>
        </w:tc>
        <w:tc>
          <w:tcPr>
            <w:tcW w:w="971" w:type="dxa"/>
            <w:shd w:val="clear" w:color="auto" w:fill="auto"/>
            <w:vAlign w:val="center"/>
          </w:tcPr>
          <w:p>
            <w:r>
              <w:t>备注</w:t>
            </w:r>
          </w:p>
        </w:tc>
        <w:tc>
          <w:tcPr>
            <w:tcW w:w="7376" w:type="dxa"/>
            <w:gridSpan w:val="4"/>
            <w:shd w:val="clear" w:color="auto" w:fill="FFFFFF" w:themeFill="background1"/>
            <w:vAlign w:val="center"/>
          </w:tcPr>
          <w:p>
            <w:r>
              <w:t>学生公寓区域内发生的单项价格300元以下维修耗材承包经费之内，由承包单位负责</w:t>
            </w:r>
          </w:p>
        </w:tc>
      </w:tr>
    </w:tbl>
    <w:p>
      <w:pPr>
        <w:pStyle w:val="424"/>
        <w:spacing w:line="360" w:lineRule="auto"/>
        <w:ind w:firstLine="495" w:firstLineChars="176"/>
        <w:rPr>
          <w:rFonts w:asciiTheme="minorEastAsia" w:hAnsiTheme="minorEastAsia" w:eastAsiaTheme="minorEastAsia"/>
          <w:b/>
          <w:sz w:val="28"/>
          <w:szCs w:val="28"/>
        </w:rPr>
      </w:pPr>
      <w:r>
        <w:t>2、校园清卫保洁管理</w:t>
      </w:r>
    </w:p>
    <w:tbl>
      <w:tblPr>
        <w:tblStyle w:val="59"/>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200"/>
        <w:gridCol w:w="695"/>
        <w:gridCol w:w="1296"/>
        <w:gridCol w:w="3285"/>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492" w:type="dxa"/>
            <w:shd w:val="clear" w:color="auto" w:fill="auto"/>
            <w:vAlign w:val="center"/>
          </w:tcPr>
          <w:p>
            <w:r>
              <w:t>序号</w:t>
            </w:r>
          </w:p>
        </w:tc>
        <w:tc>
          <w:tcPr>
            <w:tcW w:w="1200" w:type="dxa"/>
            <w:shd w:val="clear" w:color="auto" w:fill="auto"/>
            <w:vAlign w:val="center"/>
          </w:tcPr>
          <w:p>
            <w:r>
              <w:t>管理范围</w:t>
            </w:r>
          </w:p>
        </w:tc>
        <w:tc>
          <w:tcPr>
            <w:tcW w:w="695" w:type="dxa"/>
            <w:shd w:val="clear" w:color="auto" w:fill="auto"/>
            <w:vAlign w:val="center"/>
          </w:tcPr>
          <w:p>
            <w:r>
              <w:t>层数</w:t>
            </w:r>
          </w:p>
        </w:tc>
        <w:tc>
          <w:tcPr>
            <w:tcW w:w="1296" w:type="dxa"/>
            <w:shd w:val="clear" w:color="auto" w:fill="auto"/>
            <w:vAlign w:val="center"/>
          </w:tcPr>
          <w:p>
            <w:r>
              <w:t>面积</w:t>
              <w:br/>
              <w:t>(㎡)</w:t>
            </w:r>
          </w:p>
        </w:tc>
        <w:tc>
          <w:tcPr>
            <w:tcW w:w="3285" w:type="dxa"/>
            <w:shd w:val="clear" w:color="auto" w:fill="auto"/>
            <w:vAlign w:val="center"/>
          </w:tcPr>
          <w:p>
            <w:r>
              <w:t>内  容</w:t>
            </w:r>
          </w:p>
        </w:tc>
        <w:tc>
          <w:tcPr>
            <w:tcW w:w="1809" w:type="dxa"/>
            <w:vAlign w:val="center"/>
          </w:tcPr>
          <w:p>
            <w: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492" w:type="dxa"/>
            <w:shd w:val="clear" w:color="auto" w:fill="auto"/>
            <w:vAlign w:val="center"/>
          </w:tcPr>
          <w:p>
            <w:r>
              <w:t>1</w:t>
            </w:r>
          </w:p>
        </w:tc>
        <w:tc>
          <w:tcPr>
            <w:tcW w:w="1200" w:type="dxa"/>
            <w:shd w:val="clear" w:color="auto" w:fill="auto"/>
            <w:vAlign w:val="center"/>
          </w:tcPr>
          <w:p>
            <w:r>
              <w:t>创业创新中心</w:t>
            </w:r>
          </w:p>
        </w:tc>
        <w:tc>
          <w:tcPr>
            <w:tcW w:w="695" w:type="dxa"/>
            <w:shd w:val="clear" w:color="auto" w:fill="auto"/>
            <w:vAlign w:val="center"/>
          </w:tcPr>
          <w:p>
            <w:r>
              <w:t>5</w:t>
            </w:r>
          </w:p>
        </w:tc>
        <w:tc>
          <w:tcPr>
            <w:tcW w:w="1296" w:type="dxa"/>
            <w:shd w:val="clear" w:color="auto" w:fill="auto"/>
            <w:vAlign w:val="center"/>
          </w:tcPr>
          <w:p>
            <w:r>
              <w:t>6257</w:t>
            </w:r>
          </w:p>
        </w:tc>
        <w:tc>
          <w:tcPr>
            <w:tcW w:w="3285" w:type="dxa"/>
            <w:shd w:val="clear" w:color="auto" w:fill="auto"/>
            <w:vAlign w:val="center"/>
          </w:tcPr>
          <w:p>
            <w:r>
              <w:t>走廊、楼梯、扶手、洗手间、公共区设施、楼内应急处理</w:t>
            </w:r>
          </w:p>
        </w:tc>
        <w:tc>
          <w:tcPr>
            <w:tcW w:w="1809" w:type="dxa"/>
            <w:vAlign w:val="center"/>
          </w:tcPr>
          <w:p>
            <w:r>
              <w:t>保洁员2人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492" w:type="dxa"/>
            <w:shd w:val="clear" w:color="auto" w:fill="auto"/>
            <w:vAlign w:val="center"/>
          </w:tcPr>
          <w:p>
            <w:r>
              <w:t>2</w:t>
            </w:r>
          </w:p>
        </w:tc>
        <w:tc>
          <w:tcPr>
            <w:tcW w:w="1200" w:type="dxa"/>
            <w:shd w:val="clear" w:color="auto" w:fill="auto"/>
            <w:vAlign w:val="center"/>
          </w:tcPr>
          <w:p>
            <w:r>
              <w:t>教学楼</w:t>
            </w:r>
          </w:p>
        </w:tc>
        <w:tc>
          <w:tcPr>
            <w:tcW w:w="695" w:type="dxa"/>
            <w:shd w:val="clear" w:color="auto" w:fill="auto"/>
            <w:vAlign w:val="center"/>
          </w:tcPr>
          <w:p>
            <w:r>
              <w:t>5</w:t>
            </w:r>
          </w:p>
        </w:tc>
        <w:tc>
          <w:tcPr>
            <w:tcW w:w="1296" w:type="dxa"/>
            <w:shd w:val="clear" w:color="auto" w:fill="auto"/>
            <w:vAlign w:val="center"/>
          </w:tcPr>
          <w:p>
            <w:r>
              <w:t>17140</w:t>
            </w:r>
          </w:p>
        </w:tc>
        <w:tc>
          <w:tcPr>
            <w:tcW w:w="3285" w:type="dxa"/>
            <w:shd w:val="clear" w:color="auto" w:fill="auto"/>
            <w:vAlign w:val="center"/>
          </w:tcPr>
          <w:p>
            <w:r>
              <w:t>整幢(各类教室内、走廊、楼梯、扶手、洗手间、公共区设施)等范围内的清卫保洁)</w:t>
            </w:r>
          </w:p>
        </w:tc>
        <w:tc>
          <w:tcPr>
            <w:tcW w:w="1809" w:type="dxa"/>
            <w:vAlign w:val="center"/>
          </w:tcPr>
          <w:p>
            <w:r>
              <w:t>保洁员6人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492" w:type="dxa"/>
            <w:shd w:val="clear" w:color="auto" w:fill="auto"/>
            <w:vAlign w:val="center"/>
          </w:tcPr>
          <w:p>
            <w:r>
              <w:t>3</w:t>
            </w:r>
          </w:p>
        </w:tc>
        <w:tc>
          <w:tcPr>
            <w:tcW w:w="1200" w:type="dxa"/>
            <w:shd w:val="clear" w:color="auto" w:fill="auto"/>
            <w:vAlign w:val="center"/>
          </w:tcPr>
          <w:p>
            <w:r>
              <w:t>校行政服务综合楼</w:t>
            </w:r>
          </w:p>
        </w:tc>
        <w:tc>
          <w:tcPr>
            <w:tcW w:w="695" w:type="dxa"/>
            <w:shd w:val="clear" w:color="auto" w:fill="auto"/>
            <w:vAlign w:val="center"/>
          </w:tcPr>
          <w:p>
            <w:r>
              <w:t>5</w:t>
            </w:r>
          </w:p>
        </w:tc>
        <w:tc>
          <w:tcPr>
            <w:tcW w:w="1296" w:type="dxa"/>
            <w:shd w:val="clear" w:color="auto" w:fill="auto"/>
            <w:vAlign w:val="center"/>
          </w:tcPr>
          <w:p>
            <w:r>
              <w:t>5434</w:t>
            </w:r>
          </w:p>
        </w:tc>
        <w:tc>
          <w:tcPr>
            <w:tcW w:w="3285" w:type="dxa"/>
            <w:shd w:val="clear" w:color="auto" w:fill="auto"/>
            <w:vAlign w:val="center"/>
          </w:tcPr>
          <w:p>
            <w:r>
              <w:t>校办指定办公室、会议室、贵宾室、会议应急、走廊、楼梯扶手、洗手间、电梯、垃圾桶清理、值班室、配电室、教工之家、机房</w:t>
            </w:r>
          </w:p>
        </w:tc>
        <w:tc>
          <w:tcPr>
            <w:tcW w:w="1809" w:type="dxa"/>
            <w:vAlign w:val="center"/>
          </w:tcPr>
          <w:p>
            <w:r>
              <w:t>保洁员4人（办公室室内专职1人）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492" w:type="dxa"/>
            <w:shd w:val="clear" w:color="auto" w:fill="auto"/>
            <w:vAlign w:val="center"/>
          </w:tcPr>
          <w:p>
            <w:r>
              <w:t>4</w:t>
            </w:r>
          </w:p>
        </w:tc>
        <w:tc>
          <w:tcPr>
            <w:tcW w:w="1200" w:type="dxa"/>
            <w:shd w:val="clear" w:color="auto" w:fill="auto"/>
            <w:vAlign w:val="center"/>
          </w:tcPr>
          <w:p>
            <w:r>
              <w:t>体艺中心+体育看台</w:t>
            </w:r>
          </w:p>
        </w:tc>
        <w:tc>
          <w:tcPr>
            <w:tcW w:w="695" w:type="dxa"/>
            <w:shd w:val="clear" w:color="auto" w:fill="auto"/>
            <w:vAlign w:val="center"/>
          </w:tcPr>
          <w:p>
            <w:r>
              <w:t>3+2</w:t>
            </w:r>
          </w:p>
        </w:tc>
        <w:tc>
          <w:tcPr>
            <w:tcW w:w="1296" w:type="dxa"/>
            <w:shd w:val="clear" w:color="auto" w:fill="auto"/>
            <w:vAlign w:val="center"/>
          </w:tcPr>
          <w:p>
            <w:r>
              <w:t>4230+1480</w:t>
            </w:r>
          </w:p>
        </w:tc>
        <w:tc>
          <w:tcPr>
            <w:tcW w:w="3285" w:type="dxa"/>
            <w:shd w:val="clear" w:color="auto" w:fill="auto"/>
            <w:vAlign w:val="center"/>
          </w:tcPr>
          <w:p>
            <w:r>
              <w:t>健身房、乒乓球室、室内篮球室、内外洗手间、公共区设施、办公室应急、体育场、篮球场、操场看台等全体范围</w:t>
            </w:r>
          </w:p>
        </w:tc>
        <w:tc>
          <w:tcPr>
            <w:tcW w:w="1809" w:type="dxa"/>
            <w:vAlign w:val="center"/>
          </w:tcPr>
          <w:p>
            <w:r>
              <w:t>保洁员1人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492" w:type="dxa"/>
            <w:shd w:val="clear" w:color="auto" w:fill="auto"/>
            <w:vAlign w:val="center"/>
          </w:tcPr>
          <w:p>
            <w:r>
              <w:t>5</w:t>
            </w:r>
          </w:p>
        </w:tc>
        <w:tc>
          <w:tcPr>
            <w:tcW w:w="1200" w:type="dxa"/>
            <w:shd w:val="clear" w:color="auto" w:fill="auto"/>
            <w:vAlign w:val="center"/>
          </w:tcPr>
          <w:p>
            <w:r>
              <w:t>实验楼</w:t>
            </w:r>
          </w:p>
        </w:tc>
        <w:tc>
          <w:tcPr>
            <w:tcW w:w="695" w:type="dxa"/>
            <w:shd w:val="clear" w:color="auto" w:fill="auto"/>
            <w:vAlign w:val="center"/>
          </w:tcPr>
          <w:p>
            <w:r>
              <w:t>5</w:t>
            </w:r>
          </w:p>
        </w:tc>
        <w:tc>
          <w:tcPr>
            <w:tcW w:w="1296" w:type="dxa"/>
            <w:shd w:val="clear" w:color="auto" w:fill="auto"/>
            <w:vAlign w:val="center"/>
          </w:tcPr>
          <w:p>
            <w:r>
              <w:t>20884</w:t>
            </w:r>
          </w:p>
        </w:tc>
        <w:tc>
          <w:tcPr>
            <w:tcW w:w="3285" w:type="dxa"/>
            <w:shd w:val="clear" w:color="auto" w:fill="auto"/>
            <w:vAlign w:val="center"/>
          </w:tcPr>
          <w:p>
            <w:r>
              <w:t>走廊、楼梯、扶手、洗手间、公共区设施、电梯、垃圾桶清理、楼内应急处理</w:t>
            </w:r>
          </w:p>
        </w:tc>
        <w:tc>
          <w:tcPr>
            <w:tcW w:w="1809" w:type="dxa"/>
            <w:vAlign w:val="center"/>
          </w:tcPr>
          <w:p>
            <w:r>
              <w:t>保洁员4人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492" w:type="dxa"/>
            <w:shd w:val="clear" w:color="auto" w:fill="auto"/>
            <w:vAlign w:val="center"/>
          </w:tcPr>
          <w:p>
            <w:r>
              <w:t>6</w:t>
            </w:r>
          </w:p>
        </w:tc>
        <w:tc>
          <w:tcPr>
            <w:tcW w:w="1200" w:type="dxa"/>
            <w:shd w:val="clear" w:color="auto" w:fill="auto"/>
            <w:vAlign w:val="center"/>
          </w:tcPr>
          <w:p>
            <w:r>
              <w:t>图书文献与信息中心</w:t>
            </w:r>
          </w:p>
        </w:tc>
        <w:tc>
          <w:tcPr>
            <w:tcW w:w="695" w:type="dxa"/>
            <w:shd w:val="clear" w:color="auto" w:fill="auto"/>
            <w:vAlign w:val="center"/>
          </w:tcPr>
          <w:p>
            <w:r>
              <w:t>5</w:t>
            </w:r>
          </w:p>
        </w:tc>
        <w:tc>
          <w:tcPr>
            <w:tcW w:w="1296" w:type="dxa"/>
            <w:shd w:val="clear" w:color="auto" w:fill="auto"/>
            <w:vAlign w:val="center"/>
          </w:tcPr>
          <w:p>
            <w:r>
              <w:t>16111</w:t>
            </w:r>
          </w:p>
        </w:tc>
        <w:tc>
          <w:tcPr>
            <w:tcW w:w="3285" w:type="dxa"/>
            <w:shd w:val="clear" w:color="auto" w:fill="auto"/>
            <w:vAlign w:val="center"/>
          </w:tcPr>
          <w:p>
            <w:r>
              <w:t>整幢(电梯、垃圾桶清理电脑室、阅览室、书库、书架、桌椅、扶手、洗手间、走廊、公共区设施等)</w:t>
            </w:r>
          </w:p>
        </w:tc>
        <w:tc>
          <w:tcPr>
            <w:tcW w:w="1809" w:type="dxa"/>
            <w:vAlign w:val="center"/>
          </w:tcPr>
          <w:p>
            <w:r>
              <w:t>保洁员3人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492" w:type="dxa"/>
            <w:shd w:val="clear" w:color="auto" w:fill="auto"/>
            <w:vAlign w:val="center"/>
          </w:tcPr>
          <w:p>
            <w:r>
              <w:t>7</w:t>
            </w:r>
          </w:p>
        </w:tc>
        <w:tc>
          <w:tcPr>
            <w:tcW w:w="1200" w:type="dxa"/>
            <w:shd w:val="clear" w:color="auto" w:fill="auto"/>
            <w:vAlign w:val="center"/>
          </w:tcPr>
          <w:p>
            <w:r>
              <w:t>校文化中心</w:t>
            </w:r>
          </w:p>
        </w:tc>
        <w:tc>
          <w:tcPr>
            <w:tcW w:w="695" w:type="dxa"/>
            <w:shd w:val="clear" w:color="auto" w:fill="auto"/>
            <w:vAlign w:val="center"/>
          </w:tcPr>
          <w:p>
            <w:r>
              <w:t>3</w:t>
            </w:r>
          </w:p>
        </w:tc>
        <w:tc>
          <w:tcPr>
            <w:tcW w:w="1296" w:type="dxa"/>
            <w:shd w:val="clear" w:color="auto" w:fill="auto"/>
            <w:vAlign w:val="center"/>
          </w:tcPr>
          <w:p>
            <w:r>
              <w:t>4120</w:t>
            </w:r>
          </w:p>
        </w:tc>
        <w:tc>
          <w:tcPr>
            <w:tcW w:w="3285" w:type="dxa"/>
            <w:shd w:val="clear" w:color="auto" w:fill="auto"/>
            <w:vAlign w:val="center"/>
          </w:tcPr>
          <w:p>
            <w:r>
              <w:t>报告厅、影视厅等公共活动场所、楼梯、扶手、洗手间、走廊、公共区设施</w:t>
            </w:r>
          </w:p>
        </w:tc>
        <w:tc>
          <w:tcPr>
            <w:tcW w:w="1809" w:type="dxa"/>
            <w:vAlign w:val="center"/>
          </w:tcPr>
          <w:p>
            <w:r>
              <w:t>保洁员1人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492" w:type="dxa"/>
            <w:shd w:val="clear" w:color="auto" w:fill="auto"/>
            <w:vAlign w:val="center"/>
          </w:tcPr>
          <w:p>
            <w:r>
              <w:t>8</w:t>
            </w:r>
          </w:p>
        </w:tc>
        <w:tc>
          <w:tcPr>
            <w:tcW w:w="1200" w:type="dxa"/>
            <w:shd w:val="clear" w:color="auto" w:fill="auto"/>
            <w:vAlign w:val="center"/>
          </w:tcPr>
          <w:p>
            <w:r>
              <w:t>学院综合楼</w:t>
            </w:r>
          </w:p>
        </w:tc>
        <w:tc>
          <w:tcPr>
            <w:tcW w:w="695" w:type="dxa"/>
            <w:shd w:val="clear" w:color="auto" w:fill="auto"/>
            <w:vAlign w:val="center"/>
          </w:tcPr>
          <w:p>
            <w:r>
              <w:t>5</w:t>
            </w:r>
          </w:p>
        </w:tc>
        <w:tc>
          <w:tcPr>
            <w:tcW w:w="1296" w:type="dxa"/>
            <w:shd w:val="clear" w:color="auto" w:fill="auto"/>
            <w:vAlign w:val="center"/>
          </w:tcPr>
          <w:p>
            <w:r>
              <w:t>10355</w:t>
            </w:r>
          </w:p>
        </w:tc>
        <w:tc>
          <w:tcPr>
            <w:tcW w:w="3285" w:type="dxa"/>
            <w:shd w:val="clear" w:color="auto" w:fill="auto"/>
            <w:vAlign w:val="center"/>
          </w:tcPr>
          <w:p>
            <w:r>
              <w:t>走廊、楼梯、扶手、洗手间、公共区设施、电梯、垃圾桶清理、楼内应急处理</w:t>
            </w:r>
          </w:p>
        </w:tc>
        <w:tc>
          <w:tcPr>
            <w:tcW w:w="1809" w:type="dxa"/>
            <w:vAlign w:val="center"/>
          </w:tcPr>
          <w:p>
            <w:r>
              <w:t>保洁员4人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492" w:type="dxa"/>
            <w:shd w:val="clear" w:color="auto" w:fill="auto"/>
            <w:vAlign w:val="center"/>
          </w:tcPr>
          <w:p>
            <w:r>
              <w:t>9</w:t>
            </w:r>
          </w:p>
        </w:tc>
        <w:tc>
          <w:tcPr>
            <w:tcW w:w="1200" w:type="dxa"/>
            <w:shd w:val="clear" w:color="auto" w:fill="auto"/>
            <w:vAlign w:val="center"/>
          </w:tcPr>
          <w:p>
            <w:r>
              <w:t>产学研综合楼</w:t>
            </w:r>
          </w:p>
        </w:tc>
        <w:tc>
          <w:tcPr>
            <w:tcW w:w="695" w:type="dxa"/>
            <w:shd w:val="clear" w:color="auto" w:fill="auto"/>
            <w:vAlign w:val="center"/>
          </w:tcPr>
          <w:p>
            <w:r>
              <w:t>4</w:t>
            </w:r>
          </w:p>
        </w:tc>
        <w:tc>
          <w:tcPr>
            <w:tcW w:w="1296" w:type="dxa"/>
            <w:shd w:val="clear" w:color="auto" w:fill="auto"/>
            <w:vAlign w:val="center"/>
          </w:tcPr>
          <w:p>
            <w:r>
              <w:t>4491</w:t>
            </w:r>
          </w:p>
        </w:tc>
        <w:tc>
          <w:tcPr>
            <w:tcW w:w="3285" w:type="dxa"/>
            <w:shd w:val="clear" w:color="auto" w:fill="auto"/>
            <w:vAlign w:val="center"/>
          </w:tcPr>
          <w:p>
            <w:r>
              <w:t>整幢(各房间卫生、走廊、楼梯、扶手、洗手间、公共区设施、电梯、垃圾桶清理、楼内应急处理)</w:t>
              <w:br/>
              <w:t>按24小时制进行值班、清洁、被褥床单更换清洗等。</w:t>
            </w:r>
          </w:p>
        </w:tc>
        <w:tc>
          <w:tcPr>
            <w:tcW w:w="1809" w:type="dxa"/>
            <w:vAlign w:val="center"/>
          </w:tcPr>
          <w:p>
            <w:r>
              <w:t>保洁员4人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492" w:type="dxa"/>
            <w:shd w:val="clear" w:color="auto" w:fill="auto"/>
            <w:vAlign w:val="center"/>
          </w:tcPr>
          <w:p>
            <w:r>
              <w:t>10</w:t>
            </w:r>
          </w:p>
        </w:tc>
        <w:tc>
          <w:tcPr>
            <w:tcW w:w="1200" w:type="dxa"/>
            <w:shd w:val="clear" w:color="auto" w:fill="auto"/>
            <w:vAlign w:val="center"/>
          </w:tcPr>
          <w:p>
            <w:r>
              <w:t>食堂</w:t>
            </w:r>
          </w:p>
        </w:tc>
        <w:tc>
          <w:tcPr>
            <w:tcW w:w="695" w:type="dxa"/>
            <w:shd w:val="clear" w:color="auto" w:fill="auto"/>
            <w:vAlign w:val="center"/>
          </w:tcPr>
          <w:p>
            <w:r>
              <w:t>3</w:t>
            </w:r>
          </w:p>
        </w:tc>
        <w:tc>
          <w:tcPr>
            <w:tcW w:w="1296" w:type="dxa"/>
            <w:shd w:val="clear" w:color="auto" w:fill="auto"/>
            <w:vAlign w:val="center"/>
          </w:tcPr>
          <w:p>
            <w:pPr>
              <w:pStyle w:val="424"/>
              <w:spacing w:line="360" w:lineRule="auto"/>
              <w:ind w:firstLine="240"/>
              <w:rPr>
                <w:rFonts w:asciiTheme="minorEastAsia" w:hAnsiTheme="minorEastAsia" w:eastAsiaTheme="minorEastAsia"/>
                <w:sz w:val="24"/>
              </w:rPr>
            </w:pPr>
          </w:p>
        </w:tc>
        <w:tc>
          <w:tcPr>
            <w:tcW w:w="3285" w:type="dxa"/>
            <w:shd w:val="clear" w:color="auto" w:fill="auto"/>
            <w:vAlign w:val="center"/>
          </w:tcPr>
          <w:p>
            <w:r>
              <w:t>西北侧楼梯间卫生间(3间)</w:t>
            </w:r>
          </w:p>
        </w:tc>
        <w:tc>
          <w:tcPr>
            <w:tcW w:w="1809" w:type="dxa"/>
            <w:vMerge w:val="restart"/>
            <w:vAlign w:val="center"/>
          </w:tcPr>
          <w:p>
            <w:r>
              <w:t>保洁员1人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492" w:type="dxa"/>
            <w:shd w:val="clear" w:color="auto" w:fill="auto"/>
            <w:vAlign w:val="center"/>
          </w:tcPr>
          <w:p>
            <w:r>
              <w:t>11</w:t>
            </w:r>
          </w:p>
        </w:tc>
        <w:tc>
          <w:tcPr>
            <w:tcW w:w="1200" w:type="dxa"/>
            <w:shd w:val="clear" w:color="auto" w:fill="auto"/>
            <w:vAlign w:val="center"/>
          </w:tcPr>
          <w:p>
            <w:r>
              <w:t>展示馆</w:t>
            </w:r>
          </w:p>
        </w:tc>
        <w:tc>
          <w:tcPr>
            <w:tcW w:w="695" w:type="dxa"/>
            <w:shd w:val="clear" w:color="auto" w:fill="auto"/>
            <w:vAlign w:val="center"/>
          </w:tcPr>
          <w:p>
            <w:r>
              <w:t>1</w:t>
            </w:r>
          </w:p>
        </w:tc>
        <w:tc>
          <w:tcPr>
            <w:tcW w:w="1296" w:type="dxa"/>
            <w:shd w:val="clear" w:color="auto" w:fill="auto"/>
            <w:vAlign w:val="center"/>
          </w:tcPr>
          <w:p>
            <w:r>
              <w:t>398</w:t>
            </w:r>
          </w:p>
        </w:tc>
        <w:tc>
          <w:tcPr>
            <w:tcW w:w="3285" w:type="dxa"/>
            <w:shd w:val="clear" w:color="auto" w:fill="auto"/>
            <w:vAlign w:val="center"/>
          </w:tcPr>
          <w:p>
            <w:r>
              <w:t>整幢(卫生清理)</w:t>
            </w:r>
          </w:p>
        </w:tc>
        <w:tc>
          <w:tcPr>
            <w:tcW w:w="1809" w:type="dxa"/>
            <w:vMerge w:val="continue"/>
            <w:vAlign w:val="center"/>
          </w:tcPr>
          <w:p>
            <w:pPr>
              <w:pStyle w:val="424"/>
              <w:spacing w:line="360" w:lineRule="auto"/>
              <w:ind w:firstLine="24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492" w:type="dxa"/>
            <w:shd w:val="clear" w:color="auto" w:fill="auto"/>
            <w:vAlign w:val="center"/>
          </w:tcPr>
          <w:p>
            <w:r>
              <w:t>12</w:t>
            </w:r>
          </w:p>
        </w:tc>
        <w:tc>
          <w:tcPr>
            <w:tcW w:w="1200" w:type="dxa"/>
            <w:shd w:val="clear" w:color="auto" w:fill="auto"/>
            <w:vAlign w:val="center"/>
          </w:tcPr>
          <w:p>
            <w:r>
              <w:t>观光塔</w:t>
            </w:r>
          </w:p>
        </w:tc>
        <w:tc>
          <w:tcPr>
            <w:tcW w:w="695" w:type="dxa"/>
            <w:shd w:val="clear" w:color="auto" w:fill="auto"/>
            <w:vAlign w:val="center"/>
          </w:tcPr>
          <w:p>
            <w:r>
              <w:t>5</w:t>
            </w:r>
          </w:p>
        </w:tc>
        <w:tc>
          <w:tcPr>
            <w:tcW w:w="1296" w:type="dxa"/>
            <w:shd w:val="clear" w:color="auto" w:fill="auto"/>
            <w:vAlign w:val="center"/>
          </w:tcPr>
          <w:p>
            <w:r>
              <w:t>205</w:t>
            </w:r>
          </w:p>
        </w:tc>
        <w:tc>
          <w:tcPr>
            <w:tcW w:w="3285" w:type="dxa"/>
            <w:shd w:val="clear" w:color="auto" w:fill="auto"/>
            <w:vAlign w:val="center"/>
          </w:tcPr>
          <w:p>
            <w:r>
              <w:t>整幢(卫生清理)</w:t>
            </w:r>
          </w:p>
        </w:tc>
        <w:tc>
          <w:tcPr>
            <w:tcW w:w="1809" w:type="dxa"/>
            <w:vMerge w:val="continue"/>
            <w:vAlign w:val="center"/>
          </w:tcPr>
          <w:p>
            <w:pPr>
              <w:pStyle w:val="424"/>
              <w:spacing w:line="360" w:lineRule="auto"/>
              <w:ind w:firstLine="24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492" w:type="dxa"/>
            <w:shd w:val="clear" w:color="auto" w:fill="auto"/>
            <w:vAlign w:val="center"/>
          </w:tcPr>
          <w:p>
            <w:r>
              <w:t>13</w:t>
            </w:r>
          </w:p>
        </w:tc>
        <w:tc>
          <w:tcPr>
            <w:tcW w:w="1200" w:type="dxa"/>
            <w:shd w:val="clear" w:color="auto" w:fill="auto"/>
            <w:vAlign w:val="center"/>
          </w:tcPr>
          <w:p>
            <w:r>
              <w:t>室外及专项保洁</w:t>
            </w:r>
          </w:p>
        </w:tc>
        <w:tc>
          <w:tcPr>
            <w:tcW w:w="695" w:type="dxa"/>
            <w:shd w:val="clear" w:color="auto" w:fill="auto"/>
            <w:vAlign w:val="center"/>
          </w:tcPr>
          <w:p>
            <w:pPr>
              <w:pStyle w:val="424"/>
              <w:spacing w:line="360" w:lineRule="auto"/>
              <w:ind w:firstLine="240"/>
              <w:rPr>
                <w:rFonts w:asciiTheme="minorEastAsia" w:hAnsiTheme="minorEastAsia" w:eastAsiaTheme="minorEastAsia"/>
                <w:sz w:val="24"/>
              </w:rPr>
            </w:pPr>
          </w:p>
        </w:tc>
        <w:tc>
          <w:tcPr>
            <w:tcW w:w="1296" w:type="dxa"/>
            <w:shd w:val="clear" w:color="auto" w:fill="auto"/>
            <w:vAlign w:val="center"/>
          </w:tcPr>
          <w:p>
            <w:pPr>
              <w:pStyle w:val="424"/>
              <w:spacing w:line="360" w:lineRule="auto"/>
              <w:ind w:firstLine="240"/>
              <w:rPr>
                <w:rFonts w:asciiTheme="minorEastAsia" w:hAnsiTheme="minorEastAsia" w:eastAsiaTheme="minorEastAsia"/>
                <w:sz w:val="24"/>
              </w:rPr>
            </w:pPr>
          </w:p>
        </w:tc>
        <w:tc>
          <w:tcPr>
            <w:tcW w:w="3285" w:type="dxa"/>
            <w:shd w:val="clear" w:color="auto" w:fill="auto"/>
            <w:vAlign w:val="center"/>
          </w:tcPr>
          <w:p>
            <w:r>
              <w:t xml:space="preserve">校园内道路、广场、绿化带、果壳箱、垃圾箱(场)、公共厕所、大门外安全线以内、各类宣传栏橱窗、指示牌、路灯柱、电线杆、水面清理、校园玻璃、不锈钢保养、电梯保洁、宣传栏、标志牌、地毯、地毯清洗、水池清洗、雨篷清洗、根据学校防疫要求完成公共区域的消毒、消杀、除“四害”工作及其他校内未涉及范围等 </w:t>
            </w:r>
          </w:p>
        </w:tc>
        <w:tc>
          <w:tcPr>
            <w:tcW w:w="1809" w:type="dxa"/>
            <w:vAlign w:val="center"/>
          </w:tcPr>
          <w:p>
            <w:r>
              <w:t>保洁员10人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492" w:type="dxa"/>
            <w:shd w:val="clear" w:color="auto" w:fill="auto"/>
            <w:vAlign w:val="center"/>
          </w:tcPr>
          <w:p>
            <w:r>
              <w:t>16</w:t>
            </w:r>
          </w:p>
        </w:tc>
        <w:tc>
          <w:tcPr>
            <w:tcW w:w="1200" w:type="dxa"/>
            <w:shd w:val="clear" w:color="auto" w:fill="auto"/>
            <w:vAlign w:val="center"/>
          </w:tcPr>
          <w:p>
            <w:r>
              <w:t>垃圾分类分拣</w:t>
            </w:r>
          </w:p>
        </w:tc>
        <w:tc>
          <w:tcPr>
            <w:tcW w:w="695" w:type="dxa"/>
            <w:shd w:val="clear" w:color="auto" w:fill="auto"/>
            <w:vAlign w:val="center"/>
          </w:tcPr>
          <w:p>
            <w:pPr>
              <w:pStyle w:val="424"/>
              <w:spacing w:line="360" w:lineRule="auto"/>
              <w:ind w:firstLine="240"/>
              <w:rPr>
                <w:rFonts w:asciiTheme="minorEastAsia" w:hAnsiTheme="minorEastAsia" w:eastAsiaTheme="minorEastAsia"/>
                <w:sz w:val="24"/>
              </w:rPr>
            </w:pPr>
          </w:p>
        </w:tc>
        <w:tc>
          <w:tcPr>
            <w:tcW w:w="1296" w:type="dxa"/>
            <w:shd w:val="clear" w:color="auto" w:fill="auto"/>
            <w:vAlign w:val="center"/>
          </w:tcPr>
          <w:p>
            <w:pPr>
              <w:pStyle w:val="424"/>
              <w:spacing w:line="360" w:lineRule="auto"/>
              <w:ind w:firstLine="240"/>
              <w:rPr>
                <w:rFonts w:asciiTheme="minorEastAsia" w:hAnsiTheme="minorEastAsia" w:eastAsiaTheme="minorEastAsia"/>
                <w:sz w:val="24"/>
              </w:rPr>
            </w:pPr>
          </w:p>
        </w:tc>
        <w:tc>
          <w:tcPr>
            <w:tcW w:w="3285" w:type="dxa"/>
            <w:shd w:val="clear" w:color="auto" w:fill="auto"/>
            <w:vAlign w:val="center"/>
          </w:tcPr>
          <w:p>
            <w:r>
              <w:t>根据宁波市关于垃圾分类文件要求，做好校区内各类垃圾的检查、分类、投放等工作(其中11-12#公寓1人、13-14#公寓1人、行政楼与学院楼1人)</w:t>
            </w:r>
          </w:p>
        </w:tc>
        <w:tc>
          <w:tcPr>
            <w:tcW w:w="1809" w:type="dxa"/>
            <w:vAlign w:val="center"/>
          </w:tcPr>
          <w:p>
            <w:r>
              <w:t>垃圾分类专员3人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492" w:type="dxa"/>
            <w:shd w:val="clear" w:color="auto" w:fill="auto"/>
            <w:vAlign w:val="center"/>
          </w:tcPr>
          <w:p>
            <w:r>
              <w:t>17</w:t>
            </w:r>
          </w:p>
        </w:tc>
        <w:tc>
          <w:tcPr>
            <w:tcW w:w="1200" w:type="dxa"/>
            <w:shd w:val="clear" w:color="auto" w:fill="auto"/>
            <w:vAlign w:val="center"/>
          </w:tcPr>
          <w:p>
            <w:r>
              <w:t>业务主管</w:t>
            </w:r>
          </w:p>
        </w:tc>
        <w:tc>
          <w:tcPr>
            <w:tcW w:w="695" w:type="dxa"/>
            <w:shd w:val="clear" w:color="auto" w:fill="auto"/>
            <w:vAlign w:val="center"/>
          </w:tcPr>
          <w:p>
            <w:pPr>
              <w:pStyle w:val="424"/>
              <w:spacing w:line="360" w:lineRule="auto"/>
              <w:ind w:firstLine="240"/>
              <w:rPr>
                <w:rFonts w:asciiTheme="minorEastAsia" w:hAnsiTheme="minorEastAsia" w:eastAsiaTheme="minorEastAsia"/>
                <w:sz w:val="24"/>
              </w:rPr>
            </w:pPr>
          </w:p>
        </w:tc>
        <w:tc>
          <w:tcPr>
            <w:tcW w:w="1296" w:type="dxa"/>
            <w:shd w:val="clear" w:color="auto" w:fill="auto"/>
            <w:vAlign w:val="center"/>
          </w:tcPr>
          <w:p>
            <w:pPr>
              <w:pStyle w:val="424"/>
              <w:spacing w:line="360" w:lineRule="auto"/>
              <w:ind w:firstLine="240"/>
              <w:rPr>
                <w:rFonts w:asciiTheme="minorEastAsia" w:hAnsiTheme="minorEastAsia" w:eastAsiaTheme="minorEastAsia"/>
                <w:sz w:val="24"/>
              </w:rPr>
            </w:pPr>
          </w:p>
        </w:tc>
        <w:tc>
          <w:tcPr>
            <w:tcW w:w="3285" w:type="dxa"/>
            <w:shd w:val="clear" w:color="auto" w:fill="auto"/>
            <w:vAlign w:val="center"/>
          </w:tcPr>
          <w:p>
            <w:pPr>
              <w:pStyle w:val="424"/>
              <w:spacing w:line="360" w:lineRule="auto"/>
              <w:ind w:firstLine="240"/>
              <w:rPr>
                <w:rFonts w:asciiTheme="minorEastAsia" w:hAnsiTheme="minorEastAsia" w:eastAsiaTheme="minorEastAsia"/>
                <w:sz w:val="24"/>
              </w:rPr>
            </w:pPr>
          </w:p>
        </w:tc>
        <w:tc>
          <w:tcPr>
            <w:tcW w:w="1809"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692" w:type="dxa"/>
            <w:gridSpan w:val="2"/>
            <w:shd w:val="clear" w:color="auto" w:fill="auto"/>
            <w:vAlign w:val="center"/>
          </w:tcPr>
          <w:p>
            <w:r>
              <w:t>合计</w:t>
            </w:r>
          </w:p>
        </w:tc>
        <w:tc>
          <w:tcPr>
            <w:tcW w:w="695" w:type="dxa"/>
            <w:shd w:val="clear" w:color="auto" w:fill="auto"/>
            <w:vAlign w:val="center"/>
          </w:tcPr>
          <w:p>
            <w:pPr>
              <w:pStyle w:val="424"/>
              <w:spacing w:line="360" w:lineRule="auto"/>
              <w:ind w:firstLine="241"/>
              <w:rPr>
                <w:rFonts w:asciiTheme="minorEastAsia" w:hAnsiTheme="minorEastAsia" w:eastAsiaTheme="minorEastAsia"/>
                <w:b/>
                <w:sz w:val="24"/>
              </w:rPr>
            </w:pPr>
          </w:p>
        </w:tc>
        <w:tc>
          <w:tcPr>
            <w:tcW w:w="1296" w:type="dxa"/>
            <w:shd w:val="clear" w:color="auto" w:fill="auto"/>
            <w:vAlign w:val="center"/>
          </w:tcPr>
          <w:p>
            <w:pPr>
              <w:pStyle w:val="424"/>
              <w:spacing w:line="360" w:lineRule="auto"/>
              <w:ind w:firstLine="241"/>
              <w:rPr>
                <w:rFonts w:asciiTheme="minorEastAsia" w:hAnsiTheme="minorEastAsia" w:eastAsiaTheme="minorEastAsia"/>
                <w:b/>
                <w:sz w:val="24"/>
              </w:rPr>
            </w:pPr>
          </w:p>
        </w:tc>
        <w:tc>
          <w:tcPr>
            <w:tcW w:w="3285" w:type="dxa"/>
            <w:shd w:val="clear" w:color="auto" w:fill="auto"/>
            <w:vAlign w:val="center"/>
          </w:tcPr>
          <w:p>
            <w:pPr>
              <w:pStyle w:val="424"/>
              <w:spacing w:line="360" w:lineRule="auto"/>
              <w:ind w:firstLine="241"/>
              <w:rPr>
                <w:rFonts w:asciiTheme="minorEastAsia" w:hAnsiTheme="minorEastAsia" w:eastAsiaTheme="minorEastAsia"/>
                <w:b/>
                <w:sz w:val="24"/>
              </w:rPr>
            </w:pPr>
          </w:p>
        </w:tc>
        <w:tc>
          <w:tcPr>
            <w:tcW w:w="1809" w:type="dxa"/>
            <w:vAlign w:val="center"/>
          </w:tcPr>
          <w:p>
            <w:r>
              <w:t>44人</w:t>
            </w:r>
          </w:p>
        </w:tc>
      </w:tr>
    </w:tbl>
    <w:p>
      <w:pPr>
        <w:spacing w:line="360" w:lineRule="auto"/>
        <w:ind w:firstLine="424" w:firstLineChars="151"/>
        <w:rPr>
          <w:rFonts w:asciiTheme="minorEastAsia" w:hAnsiTheme="minorEastAsia" w:eastAsiaTheme="minorEastAsia"/>
          <w:b/>
          <w:sz w:val="28"/>
          <w:szCs w:val="28"/>
        </w:rPr>
      </w:pPr>
      <w:r>
        <w:t>3、绿化养护管理</w:t>
      </w:r>
    </w:p>
    <w:tbl>
      <w:tblPr>
        <w:tblStyle w:val="59"/>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143"/>
        <w:gridCol w:w="1209"/>
        <w:gridCol w:w="349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12" w:type="dxa"/>
            <w:vAlign w:val="center"/>
          </w:tcPr>
          <w:p>
            <w:r>
              <w:t>序号</w:t>
            </w:r>
          </w:p>
        </w:tc>
        <w:tc>
          <w:tcPr>
            <w:tcW w:w="1143" w:type="dxa"/>
            <w:vAlign w:val="center"/>
          </w:tcPr>
          <w:p>
            <w:r>
              <w:t>管理</w:t>
              <w:br/>
              <w:t>范围</w:t>
            </w:r>
          </w:p>
        </w:tc>
        <w:tc>
          <w:tcPr>
            <w:tcW w:w="1209" w:type="dxa"/>
            <w:vAlign w:val="center"/>
          </w:tcPr>
          <w:p>
            <w:r>
              <w:t>面积(㎡)</w:t>
            </w:r>
          </w:p>
        </w:tc>
        <w:tc>
          <w:tcPr>
            <w:tcW w:w="3496" w:type="dxa"/>
            <w:vAlign w:val="center"/>
          </w:tcPr>
          <w:p>
            <w:r>
              <w:t>基本内容</w:t>
            </w:r>
          </w:p>
        </w:tc>
        <w:tc>
          <w:tcPr>
            <w:tcW w:w="2175" w:type="dxa"/>
            <w:vAlign w:val="center"/>
          </w:tcPr>
          <w:p>
            <w: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2" w:type="dxa"/>
            <w:vAlign w:val="center"/>
          </w:tcPr>
          <w:p>
            <w:r>
              <w:t>1</w:t>
            </w:r>
          </w:p>
        </w:tc>
        <w:tc>
          <w:tcPr>
            <w:tcW w:w="1143" w:type="dxa"/>
            <w:vAlign w:val="center"/>
          </w:tcPr>
          <w:p>
            <w:r>
              <w:t>校内绿化植被</w:t>
            </w:r>
          </w:p>
        </w:tc>
        <w:tc>
          <w:tcPr>
            <w:tcW w:w="1209" w:type="dxa"/>
            <w:vAlign w:val="center"/>
          </w:tcPr>
          <w:p>
            <w:r>
              <w:t>约13万</w:t>
            </w:r>
          </w:p>
        </w:tc>
        <w:tc>
          <w:tcPr>
            <w:tcW w:w="3496" w:type="dxa"/>
            <w:vAlign w:val="center"/>
          </w:tcPr>
          <w:p>
            <w:r>
              <w:t>浇灌排水、施肥、除虫、修剪造型、中耕除草、植物补植、树木扶正、租借盆花(全年约150盆左右)及养护调换、台风抢险、绿化设施维护(喷灌设施)及绿地保洁、突击性任务、树木植物垃圾清运、山坡原貌植被清理等</w:t>
            </w:r>
          </w:p>
        </w:tc>
        <w:tc>
          <w:tcPr>
            <w:tcW w:w="2175" w:type="dxa"/>
            <w:vAlign w:val="center"/>
          </w:tcPr>
          <w:p>
            <w:r>
              <w:t>1、技术员1名，必须有中级绿化养护资格证书</w:t>
              <w:br/>
              <w:t>2、绿化工7名。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955" w:type="dxa"/>
            <w:gridSpan w:val="2"/>
            <w:vAlign w:val="center"/>
          </w:tcPr>
          <w:p>
            <w:r>
              <w:t>合计</w:t>
            </w:r>
          </w:p>
        </w:tc>
        <w:tc>
          <w:tcPr>
            <w:tcW w:w="1209" w:type="dxa"/>
            <w:vAlign w:val="center"/>
          </w:tcPr>
          <w:p>
            <w:pPr>
              <w:pStyle w:val="424"/>
              <w:spacing w:line="360" w:lineRule="auto"/>
              <w:ind w:firstLine="240"/>
              <w:rPr>
                <w:rFonts w:asciiTheme="minorEastAsia" w:hAnsiTheme="minorEastAsia" w:eastAsiaTheme="minorEastAsia"/>
                <w:sz w:val="24"/>
              </w:rPr>
            </w:pPr>
          </w:p>
        </w:tc>
        <w:tc>
          <w:tcPr>
            <w:tcW w:w="3496" w:type="dxa"/>
            <w:vAlign w:val="center"/>
          </w:tcPr>
          <w:p>
            <w:pPr>
              <w:spacing w:line="360" w:lineRule="auto"/>
              <w:rPr>
                <w:rFonts w:ascii="宋体" w:hAnsi="宋体" w:cs="宋体"/>
                <w:sz w:val="24"/>
                <w:szCs w:val="24"/>
              </w:rPr>
            </w:pPr>
          </w:p>
        </w:tc>
        <w:tc>
          <w:tcPr>
            <w:tcW w:w="2175" w:type="dxa"/>
            <w:vAlign w:val="center"/>
          </w:tcPr>
          <w:p>
            <w:r>
              <w:t>8人</w:t>
            </w:r>
          </w:p>
        </w:tc>
      </w:tr>
    </w:tbl>
    <w:p>
      <w:pPr>
        <w:pStyle w:val="424"/>
        <w:spacing w:line="360" w:lineRule="auto"/>
        <w:ind w:firstLine="495" w:firstLineChars="176"/>
        <w:rPr>
          <w:rFonts w:asciiTheme="minorEastAsia" w:hAnsiTheme="minorEastAsia" w:eastAsiaTheme="minorEastAsia"/>
          <w:b/>
          <w:sz w:val="28"/>
          <w:szCs w:val="28"/>
        </w:rPr>
      </w:pPr>
      <w:r>
        <w:t>4、水电管理与维修</w:t>
      </w:r>
    </w:p>
    <w:tbl>
      <w:tblPr>
        <w:tblStyle w:val="59"/>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304"/>
        <w:gridCol w:w="1232"/>
        <w:gridCol w:w="495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75" w:type="dxa"/>
            <w:vAlign w:val="center"/>
          </w:tcPr>
          <w:p>
            <w:r>
              <w:t>序号</w:t>
            </w:r>
          </w:p>
        </w:tc>
        <w:tc>
          <w:tcPr>
            <w:tcW w:w="1304" w:type="dxa"/>
            <w:vAlign w:val="center"/>
          </w:tcPr>
          <w:p>
            <w:r>
              <w:t>管理范围</w:t>
            </w:r>
          </w:p>
        </w:tc>
        <w:tc>
          <w:tcPr>
            <w:tcW w:w="1232" w:type="dxa"/>
            <w:vAlign w:val="center"/>
          </w:tcPr>
          <w:p>
            <w:r>
              <w:t>面积(㎡)</w:t>
            </w:r>
          </w:p>
        </w:tc>
        <w:tc>
          <w:tcPr>
            <w:tcW w:w="4955" w:type="dxa"/>
            <w:vAlign w:val="center"/>
          </w:tcPr>
          <w:p>
            <w:r>
              <w:t>基本内容</w:t>
            </w:r>
          </w:p>
        </w:tc>
        <w:tc>
          <w:tcPr>
            <w:tcW w:w="835" w:type="dxa"/>
            <w:vAlign w:val="center"/>
          </w:tcPr>
          <w:p>
            <w: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75" w:type="dxa"/>
            <w:vAlign w:val="center"/>
          </w:tcPr>
          <w:p>
            <w:r>
              <w:t>1</w:t>
            </w:r>
          </w:p>
        </w:tc>
        <w:tc>
          <w:tcPr>
            <w:tcW w:w="1304" w:type="dxa"/>
            <w:vAlign w:val="center"/>
          </w:tcPr>
          <w:p>
            <w:r>
              <w:t>水电管理与维修</w:t>
            </w:r>
          </w:p>
        </w:tc>
        <w:tc>
          <w:tcPr>
            <w:tcW w:w="1232" w:type="dxa"/>
            <w:vMerge w:val="restart"/>
            <w:vAlign w:val="center"/>
          </w:tcPr>
          <w:p>
            <w:r>
              <w:t>全校(除学生公寓楼外)</w:t>
            </w:r>
          </w:p>
        </w:tc>
        <w:tc>
          <w:tcPr>
            <w:tcW w:w="4955" w:type="dxa"/>
            <w:vAlign w:val="center"/>
          </w:tcPr>
          <w:p>
            <w:r>
              <w:t>1、上下水、电线路及设施的巡查维修：</w:t>
              <w:br/>
              <w:t>强电、电气线路、高压线路等日常巡查监管。</w:t>
              <w:br/>
              <w:t>2、根据学校安排进行零星维修；</w:t>
              <w:br/>
              <w:t>3、特种设施设备管理：空调机组、电梯等专项设施、设备的日常管理（不含维护）。</w:t>
            </w:r>
          </w:p>
        </w:tc>
        <w:tc>
          <w:tcPr>
            <w:tcW w:w="835" w:type="dxa"/>
            <w:vAlign w:val="center"/>
          </w:tcPr>
          <w:p>
            <w: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75" w:type="dxa"/>
            <w:vAlign w:val="center"/>
          </w:tcPr>
          <w:p>
            <w:r>
              <w:t>2</w:t>
            </w:r>
          </w:p>
        </w:tc>
        <w:tc>
          <w:tcPr>
            <w:tcW w:w="1304" w:type="dxa"/>
            <w:vAlign w:val="center"/>
          </w:tcPr>
          <w:p>
            <w:r>
              <w:t>高、低压配电间</w:t>
            </w:r>
          </w:p>
        </w:tc>
        <w:tc>
          <w:tcPr>
            <w:tcW w:w="1232" w:type="dxa"/>
            <w:vMerge w:val="continue"/>
            <w:vAlign w:val="center"/>
          </w:tcPr>
          <w:p>
            <w:pPr>
              <w:pStyle w:val="424"/>
              <w:spacing w:line="360" w:lineRule="auto"/>
              <w:ind w:firstLine="240"/>
              <w:rPr>
                <w:rFonts w:asciiTheme="minorEastAsia" w:hAnsiTheme="minorEastAsia" w:eastAsiaTheme="minorEastAsia"/>
                <w:sz w:val="24"/>
              </w:rPr>
            </w:pPr>
          </w:p>
        </w:tc>
        <w:tc>
          <w:tcPr>
            <w:tcW w:w="4955" w:type="dxa"/>
            <w:vAlign w:val="center"/>
          </w:tcPr>
          <w:p>
            <w:r>
              <w:t>值班、管理及维修(护)、校内配电房巡查</w:t>
            </w:r>
          </w:p>
        </w:tc>
        <w:tc>
          <w:tcPr>
            <w:tcW w:w="835" w:type="dxa"/>
            <w:vMerge w:val="restart"/>
            <w:vAlign w:val="center"/>
          </w:tcPr>
          <w:p>
            <w: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75" w:type="dxa"/>
            <w:vAlign w:val="center"/>
          </w:tcPr>
          <w:p>
            <w:r>
              <w:t>3</w:t>
            </w:r>
          </w:p>
        </w:tc>
        <w:tc>
          <w:tcPr>
            <w:tcW w:w="1304" w:type="dxa"/>
            <w:vAlign w:val="center"/>
          </w:tcPr>
          <w:p>
            <w:r>
              <w:t>水泵房(含生活蓄水池)</w:t>
              <w:br/>
              <w:t>学生公寓供水系统</w:t>
            </w:r>
          </w:p>
        </w:tc>
        <w:tc>
          <w:tcPr>
            <w:tcW w:w="1232" w:type="dxa"/>
            <w:vMerge w:val="continue"/>
            <w:vAlign w:val="center"/>
          </w:tcPr>
          <w:p>
            <w:pPr>
              <w:pStyle w:val="424"/>
              <w:spacing w:line="360" w:lineRule="auto"/>
              <w:ind w:firstLine="240"/>
              <w:rPr>
                <w:rFonts w:asciiTheme="minorEastAsia" w:hAnsiTheme="minorEastAsia" w:eastAsiaTheme="minorEastAsia"/>
                <w:sz w:val="24"/>
              </w:rPr>
            </w:pPr>
          </w:p>
        </w:tc>
        <w:tc>
          <w:tcPr>
            <w:tcW w:w="4955" w:type="dxa"/>
            <w:vAlign w:val="center"/>
          </w:tcPr>
          <w:p>
            <w:r>
              <w:t>管理、维修(护)、水池清洗、消毒，给排水系统等</w:t>
            </w:r>
          </w:p>
        </w:tc>
        <w:tc>
          <w:tcPr>
            <w:tcW w:w="835" w:type="dxa"/>
            <w:vMerge w:val="continue"/>
          </w:tcPr>
          <w:p>
            <w:pPr>
              <w:pStyle w:val="424"/>
              <w:spacing w:line="360" w:lineRule="auto"/>
              <w:ind w:firstLine="240"/>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75" w:type="dxa"/>
            <w:vAlign w:val="center"/>
          </w:tcPr>
          <w:p>
            <w:r>
              <w:t>4</w:t>
            </w:r>
          </w:p>
        </w:tc>
        <w:tc>
          <w:tcPr>
            <w:tcW w:w="1304" w:type="dxa"/>
            <w:vAlign w:val="center"/>
          </w:tcPr>
          <w:p>
            <w:r>
              <w:t>木工（勤杂工）</w:t>
            </w:r>
          </w:p>
        </w:tc>
        <w:tc>
          <w:tcPr>
            <w:tcW w:w="1232" w:type="dxa"/>
            <w:vMerge w:val="continue"/>
            <w:vAlign w:val="center"/>
          </w:tcPr>
          <w:p>
            <w:pPr>
              <w:pStyle w:val="424"/>
              <w:spacing w:line="360" w:lineRule="auto"/>
              <w:ind w:firstLine="240"/>
              <w:rPr>
                <w:rFonts w:asciiTheme="minorEastAsia" w:hAnsiTheme="minorEastAsia" w:eastAsiaTheme="minorEastAsia"/>
                <w:sz w:val="24"/>
              </w:rPr>
            </w:pPr>
          </w:p>
        </w:tc>
        <w:tc>
          <w:tcPr>
            <w:tcW w:w="4955" w:type="dxa"/>
            <w:vAlign w:val="center"/>
          </w:tcPr>
          <w:p>
            <w:r>
              <w:t>1、门窗、锁具、玻璃等维护维修；</w:t>
              <w:br/>
              <w:t>2、零星搬运及各类活动保障。</w:t>
            </w:r>
          </w:p>
        </w:tc>
        <w:tc>
          <w:tcPr>
            <w:tcW w:w="835"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79" w:type="dxa"/>
            <w:gridSpan w:val="2"/>
            <w:vAlign w:val="center"/>
          </w:tcPr>
          <w:p>
            <w:r>
              <w:t>合计</w:t>
            </w:r>
          </w:p>
        </w:tc>
        <w:tc>
          <w:tcPr>
            <w:tcW w:w="6187" w:type="dxa"/>
            <w:gridSpan w:val="2"/>
            <w:vAlign w:val="center"/>
          </w:tcPr>
          <w:p>
            <w:pPr>
              <w:pStyle w:val="424"/>
              <w:spacing w:line="360" w:lineRule="auto"/>
              <w:ind w:firstLine="240"/>
              <w:rPr>
                <w:rFonts w:asciiTheme="minorEastAsia" w:hAnsiTheme="minorEastAsia" w:eastAsiaTheme="minorEastAsia"/>
                <w:sz w:val="24"/>
              </w:rPr>
            </w:pPr>
          </w:p>
        </w:tc>
        <w:tc>
          <w:tcPr>
            <w:tcW w:w="835" w:type="dxa"/>
            <w:vAlign w:val="center"/>
          </w:tcPr>
          <w:p>
            <w: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79" w:type="dxa"/>
            <w:gridSpan w:val="2"/>
            <w:vAlign w:val="center"/>
          </w:tcPr>
          <w:p>
            <w:r>
              <w:t>备注</w:t>
            </w:r>
          </w:p>
        </w:tc>
        <w:tc>
          <w:tcPr>
            <w:tcW w:w="7022" w:type="dxa"/>
            <w:gridSpan w:val="3"/>
            <w:vAlign w:val="center"/>
          </w:tcPr>
          <w:p>
            <w:r>
              <w:t>1、行政教学区域内发生的单项价格300元以下维修耗材承包经费之内，由承包单位负责；</w:t>
              <w:br/>
              <w:t>2、特种设施设备管理：配备学校做好空调机组、电梯等专项设施、设备的日常管理（不含维护）。</w:t>
              <w:br/>
              <w:t>3、中标单位在中标后2个月内内必须有一人持有宁波市特检局发放的电梯管理证书（证书总务处电梯管理人员处备案）。</w:t>
              <w:br/>
              <w:t>4、高配工需持高配上岗证，24小时值班制。负责对全校高低配室及水泵房进行巡检。</w:t>
            </w:r>
          </w:p>
        </w:tc>
      </w:tr>
    </w:tbl>
    <w:p>
      <w:pPr>
        <w:pStyle w:val="424"/>
        <w:spacing w:line="360" w:lineRule="auto"/>
        <w:ind w:firstLine="424" w:firstLineChars="151"/>
        <w:jc w:val="left"/>
        <w:rPr>
          <w:rFonts w:asciiTheme="minorEastAsia" w:hAnsiTheme="minorEastAsia" w:eastAsiaTheme="minorEastAsia"/>
          <w:b/>
          <w:sz w:val="28"/>
          <w:szCs w:val="28"/>
        </w:rPr>
      </w:pPr>
      <w:r>
        <w:t>5、教室管理</w:t>
      </w:r>
    </w:p>
    <w:tbl>
      <w:tblPr>
        <w:tblStyle w:val="59"/>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825"/>
        <w:gridCol w:w="904"/>
        <w:gridCol w:w="4883"/>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89" w:type="dxa"/>
            <w:vAlign w:val="center"/>
          </w:tcPr>
          <w:p>
            <w:r>
              <w:t>序号</w:t>
            </w:r>
          </w:p>
        </w:tc>
        <w:tc>
          <w:tcPr>
            <w:tcW w:w="825" w:type="dxa"/>
            <w:vAlign w:val="center"/>
          </w:tcPr>
          <w:p>
            <w:r>
              <w:t>管理范围</w:t>
            </w:r>
          </w:p>
        </w:tc>
        <w:tc>
          <w:tcPr>
            <w:tcW w:w="904" w:type="dxa"/>
            <w:vAlign w:val="center"/>
          </w:tcPr>
          <w:p>
            <w:r>
              <w:t>面积(㎡)</w:t>
            </w:r>
          </w:p>
        </w:tc>
        <w:tc>
          <w:tcPr>
            <w:tcW w:w="4883" w:type="dxa"/>
            <w:vAlign w:val="center"/>
          </w:tcPr>
          <w:p>
            <w:r>
              <w:t>基本内容</w:t>
            </w:r>
          </w:p>
        </w:tc>
        <w:tc>
          <w:tcPr>
            <w:tcW w:w="1548" w:type="dxa"/>
            <w:vAlign w:val="center"/>
          </w:tcPr>
          <w:p>
            <w: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789" w:type="dxa"/>
            <w:vAlign w:val="center"/>
          </w:tcPr>
          <w:p>
            <w:r>
              <w:t>1</w:t>
            </w:r>
          </w:p>
        </w:tc>
        <w:tc>
          <w:tcPr>
            <w:tcW w:w="825" w:type="dxa"/>
            <w:vAlign w:val="center"/>
          </w:tcPr>
          <w:p>
            <w:r>
              <w:t>教学楼(A、B、C三幢)</w:t>
            </w:r>
          </w:p>
        </w:tc>
        <w:tc>
          <w:tcPr>
            <w:tcW w:w="904" w:type="dxa"/>
            <w:vAlign w:val="center"/>
          </w:tcPr>
          <w:p>
            <w:r>
              <w:t>17140</w:t>
            </w:r>
          </w:p>
        </w:tc>
        <w:tc>
          <w:tcPr>
            <w:tcW w:w="4883" w:type="dxa"/>
            <w:vAlign w:val="center"/>
          </w:tcPr>
          <w:p>
            <w:r>
              <w:t>1、负责教室的开关门管理；</w:t>
              <w:br/>
              <w:t>2、负责电教器材的管理；</w:t>
              <w:br/>
              <w:t>3、负责教室门窗、电源、火源的检查；</w:t>
              <w:br/>
              <w:t>4、负责督促相关人员完成教室的清卫保洁工作；</w:t>
              <w:br/>
              <w:t>5、完成上级赋予的其他任务。</w:t>
            </w:r>
          </w:p>
        </w:tc>
        <w:tc>
          <w:tcPr>
            <w:tcW w:w="1548" w:type="dxa"/>
            <w:vAlign w:val="center"/>
          </w:tcPr>
          <w:p>
            <w: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14" w:type="dxa"/>
            <w:gridSpan w:val="2"/>
            <w:vAlign w:val="center"/>
          </w:tcPr>
          <w:p>
            <w:r>
              <w:t>合计</w:t>
            </w:r>
          </w:p>
        </w:tc>
        <w:tc>
          <w:tcPr>
            <w:tcW w:w="904" w:type="dxa"/>
            <w:vAlign w:val="center"/>
          </w:tcPr>
          <w:p>
            <w:pPr>
              <w:pStyle w:val="424"/>
              <w:spacing w:line="360" w:lineRule="auto"/>
              <w:ind w:firstLine="240"/>
              <w:rPr>
                <w:rFonts w:asciiTheme="minorEastAsia" w:hAnsiTheme="minorEastAsia" w:eastAsiaTheme="minorEastAsia"/>
                <w:sz w:val="24"/>
              </w:rPr>
            </w:pPr>
          </w:p>
        </w:tc>
        <w:tc>
          <w:tcPr>
            <w:tcW w:w="4883" w:type="dxa"/>
            <w:vAlign w:val="center"/>
          </w:tcPr>
          <w:p>
            <w:pPr>
              <w:widowControl/>
              <w:spacing w:line="360" w:lineRule="auto"/>
              <w:jc w:val="left"/>
              <w:rPr>
                <w:sz w:val="24"/>
                <w:szCs w:val="24"/>
              </w:rPr>
            </w:pPr>
          </w:p>
        </w:tc>
        <w:tc>
          <w:tcPr>
            <w:tcW w:w="1548" w:type="dxa"/>
            <w:vAlign w:val="center"/>
          </w:tcPr>
          <w:p>
            <w: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614" w:type="dxa"/>
            <w:gridSpan w:val="2"/>
            <w:vAlign w:val="center"/>
          </w:tcPr>
          <w:p>
            <w:r>
              <w:t>备注</w:t>
            </w:r>
          </w:p>
        </w:tc>
        <w:tc>
          <w:tcPr>
            <w:tcW w:w="7335" w:type="dxa"/>
            <w:gridSpan w:val="3"/>
            <w:vAlign w:val="center"/>
          </w:tcPr>
          <w:p>
            <w:r>
              <w:t>牢固树立为教学服务、为师生服务的观念，做到准时到岗，确实保证教室教学设备的正常运行</w:t>
              <w:br/>
              <w:t>2、严格值班制度，确保人员在位；</w:t>
            </w:r>
          </w:p>
        </w:tc>
      </w:tr>
    </w:tbl>
    <w:p>
      <w:pPr>
        <w:spacing w:line="360" w:lineRule="auto"/>
        <w:ind w:firstLine="424" w:firstLineChars="151"/>
        <w:rPr>
          <w:rFonts w:asciiTheme="minorEastAsia" w:hAnsiTheme="minorEastAsia" w:eastAsiaTheme="minorEastAsia"/>
          <w:b/>
          <w:sz w:val="28"/>
          <w:szCs w:val="28"/>
        </w:rPr>
      </w:pPr>
      <w:r>
        <w:t>6、安保服务范围</w:t>
      </w:r>
    </w:p>
    <w:tbl>
      <w:tblPr>
        <w:tblStyle w:val="5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12"/>
        <w:gridCol w:w="1065"/>
        <w:gridCol w:w="1039"/>
        <w:gridCol w:w="1208"/>
        <w:gridCol w:w="1166"/>
        <w:gridCol w:w="1044"/>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1380" w:type="dxa"/>
            <w:vMerge w:val="restart"/>
            <w:vAlign w:val="center"/>
          </w:tcPr>
          <w:p>
            <w:r>
              <w:t>序号</w:t>
            </w:r>
          </w:p>
        </w:tc>
        <w:tc>
          <w:tcPr>
            <w:tcW w:w="2196" w:type="dxa"/>
            <w:gridSpan w:val="2"/>
            <w:vMerge w:val="restart"/>
            <w:vAlign w:val="center"/>
          </w:tcPr>
          <w:p>
            <w:r>
              <w:t>岗位</w:t>
            </w:r>
          </w:p>
        </w:tc>
        <w:tc>
          <w:tcPr>
            <w:tcW w:w="3573" w:type="dxa"/>
            <w:gridSpan w:val="3"/>
            <w:vAlign w:val="center"/>
          </w:tcPr>
          <w:p>
            <w:r>
              <w:t>人员配置</w:t>
            </w:r>
          </w:p>
        </w:tc>
        <w:tc>
          <w:tcPr>
            <w:tcW w:w="1788" w:type="dxa"/>
            <w:vMerge w:val="restart"/>
            <w:vAlign w:val="center"/>
          </w:tcPr>
          <w:p>
            <w: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1380" w:type="dxa"/>
            <w:vMerge w:val="continue"/>
            <w:vAlign w:val="center"/>
          </w:tcPr>
          <w:p>
            <w:pPr>
              <w:widowControl/>
              <w:spacing w:line="360" w:lineRule="auto"/>
              <w:jc w:val="center"/>
              <w:rPr>
                <w:rFonts w:ascii="宋体" w:hAnsi="宋体"/>
                <w:bCs/>
                <w:sz w:val="24"/>
                <w:szCs w:val="24"/>
              </w:rPr>
            </w:pPr>
          </w:p>
        </w:tc>
        <w:tc>
          <w:tcPr>
            <w:tcW w:w="2196" w:type="dxa"/>
            <w:gridSpan w:val="2"/>
            <w:vMerge w:val="continue"/>
            <w:vAlign w:val="center"/>
          </w:tcPr>
          <w:p>
            <w:pPr>
              <w:widowControl/>
              <w:spacing w:line="360" w:lineRule="auto"/>
              <w:jc w:val="center"/>
              <w:rPr>
                <w:rFonts w:ascii="宋体" w:hAnsi="宋体"/>
                <w:bCs/>
                <w:sz w:val="24"/>
                <w:szCs w:val="24"/>
              </w:rPr>
            </w:pPr>
          </w:p>
        </w:tc>
        <w:tc>
          <w:tcPr>
            <w:tcW w:w="1265" w:type="dxa"/>
            <w:vAlign w:val="center"/>
          </w:tcPr>
          <w:p>
            <w:r>
              <w:t>白班</w:t>
            </w:r>
          </w:p>
        </w:tc>
        <w:tc>
          <w:tcPr>
            <w:tcW w:w="1220" w:type="dxa"/>
            <w:vAlign w:val="center"/>
          </w:tcPr>
          <w:p>
            <w:r>
              <w:t>中班</w:t>
            </w:r>
          </w:p>
        </w:tc>
        <w:tc>
          <w:tcPr>
            <w:tcW w:w="1088" w:type="dxa"/>
            <w:vAlign w:val="center"/>
          </w:tcPr>
          <w:p>
            <w:r>
              <w:t>夜班</w:t>
            </w:r>
          </w:p>
        </w:tc>
        <w:tc>
          <w:tcPr>
            <w:tcW w:w="1788" w:type="dxa"/>
            <w:vMerge w:val="continue"/>
          </w:tcPr>
          <w:p>
            <w:pPr>
              <w:spacing w:line="360" w:lineRule="auto"/>
              <w:rPr>
                <w:rFonts w:ascii="宋体" w:hAnsi="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1380" w:type="dxa"/>
            <w:vAlign w:val="center"/>
          </w:tcPr>
          <w:p>
            <w:r>
              <w:t>1</w:t>
            </w:r>
          </w:p>
        </w:tc>
        <w:tc>
          <w:tcPr>
            <w:tcW w:w="2196" w:type="dxa"/>
            <w:gridSpan w:val="2"/>
            <w:vAlign w:val="center"/>
          </w:tcPr>
          <w:p>
            <w:r>
              <w:t>保安队长</w:t>
            </w:r>
          </w:p>
        </w:tc>
        <w:tc>
          <w:tcPr>
            <w:tcW w:w="1265" w:type="dxa"/>
            <w:vAlign w:val="center"/>
          </w:tcPr>
          <w:p>
            <w:pPr>
              <w:widowControl/>
              <w:spacing w:line="360" w:lineRule="auto"/>
              <w:jc w:val="center"/>
              <w:rPr>
                <w:rFonts w:ascii="宋体" w:hAnsi="宋体"/>
                <w:bCs/>
                <w:sz w:val="24"/>
                <w:szCs w:val="24"/>
              </w:rPr>
            </w:pPr>
          </w:p>
        </w:tc>
        <w:tc>
          <w:tcPr>
            <w:tcW w:w="1220" w:type="dxa"/>
            <w:tcBorders>
              <w:right w:val="single" w:color="auto" w:sz="4" w:space="0"/>
            </w:tcBorders>
            <w:vAlign w:val="center"/>
          </w:tcPr>
          <w:p>
            <w:pPr>
              <w:widowControl/>
              <w:spacing w:line="360" w:lineRule="auto"/>
              <w:jc w:val="center"/>
              <w:rPr>
                <w:rFonts w:ascii="宋体" w:hAnsi="宋体"/>
                <w:bCs/>
                <w:sz w:val="24"/>
                <w:szCs w:val="24"/>
              </w:rPr>
            </w:pPr>
          </w:p>
        </w:tc>
        <w:tc>
          <w:tcPr>
            <w:tcW w:w="1088" w:type="dxa"/>
            <w:tcBorders>
              <w:left w:val="single" w:color="auto" w:sz="4" w:space="0"/>
            </w:tcBorders>
            <w:vAlign w:val="center"/>
          </w:tcPr>
          <w:p>
            <w:pPr>
              <w:widowControl/>
              <w:spacing w:line="360" w:lineRule="auto"/>
              <w:jc w:val="center"/>
              <w:rPr>
                <w:rFonts w:ascii="宋体" w:hAnsi="宋体"/>
                <w:bCs/>
                <w:sz w:val="24"/>
                <w:szCs w:val="24"/>
              </w:rPr>
            </w:pPr>
          </w:p>
        </w:tc>
        <w:tc>
          <w:tcPr>
            <w:tcW w:w="1788" w:type="dxa"/>
            <w:vAlign w:val="center"/>
          </w:tcPr>
          <w:p>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1380" w:type="dxa"/>
            <w:vMerge w:val="restart"/>
            <w:vAlign w:val="center"/>
          </w:tcPr>
          <w:p>
            <w:r>
              <w:t>2</w:t>
            </w:r>
          </w:p>
        </w:tc>
        <w:tc>
          <w:tcPr>
            <w:tcW w:w="1112" w:type="dxa"/>
            <w:vMerge w:val="restart"/>
            <w:tcBorders>
              <w:right w:val="single" w:color="auto" w:sz="4" w:space="0"/>
            </w:tcBorders>
            <w:vAlign w:val="center"/>
          </w:tcPr>
          <w:p>
            <w:r>
              <w:t>门岗</w:t>
            </w:r>
          </w:p>
        </w:tc>
        <w:tc>
          <w:tcPr>
            <w:tcW w:w="1084" w:type="dxa"/>
            <w:tcBorders>
              <w:left w:val="single" w:color="auto" w:sz="4" w:space="0"/>
            </w:tcBorders>
            <w:vAlign w:val="center"/>
          </w:tcPr>
          <w:p>
            <w:r>
              <w:t>东门</w:t>
            </w:r>
          </w:p>
        </w:tc>
        <w:tc>
          <w:tcPr>
            <w:tcW w:w="1265" w:type="dxa"/>
            <w:vAlign w:val="center"/>
          </w:tcPr>
          <w:p>
            <w:r>
              <w:t>3</w:t>
            </w:r>
          </w:p>
        </w:tc>
        <w:tc>
          <w:tcPr>
            <w:tcW w:w="1220" w:type="dxa"/>
            <w:tcBorders>
              <w:right w:val="single" w:color="auto" w:sz="4" w:space="0"/>
            </w:tcBorders>
            <w:vAlign w:val="center"/>
          </w:tcPr>
          <w:p>
            <w:r>
              <w:t>3</w:t>
            </w:r>
          </w:p>
        </w:tc>
        <w:tc>
          <w:tcPr>
            <w:tcW w:w="1088" w:type="dxa"/>
            <w:tcBorders>
              <w:left w:val="single" w:color="auto" w:sz="4" w:space="0"/>
            </w:tcBorders>
            <w:vAlign w:val="center"/>
          </w:tcPr>
          <w:p>
            <w:r>
              <w:t>2</w:t>
            </w:r>
          </w:p>
        </w:tc>
        <w:tc>
          <w:tcPr>
            <w:tcW w:w="1788" w:type="dxa"/>
            <w:vAlign w:val="center"/>
          </w:tcPr>
          <w:p>
            <w: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 w:hRule="atLeast"/>
          <w:jc w:val="center"/>
        </w:trPr>
        <w:tc>
          <w:tcPr>
            <w:tcW w:w="1380" w:type="dxa"/>
            <w:vMerge w:val="continue"/>
            <w:vAlign w:val="center"/>
          </w:tcPr>
          <w:p>
            <w:pPr>
              <w:spacing w:line="360" w:lineRule="auto"/>
              <w:rPr>
                <w:rFonts w:ascii="宋体" w:hAnsi="宋体"/>
                <w:bCs/>
                <w:sz w:val="24"/>
                <w:szCs w:val="24"/>
              </w:rPr>
            </w:pPr>
          </w:p>
        </w:tc>
        <w:tc>
          <w:tcPr>
            <w:tcW w:w="1112" w:type="dxa"/>
            <w:vMerge w:val="continue"/>
            <w:tcBorders>
              <w:right w:val="single" w:color="auto" w:sz="4" w:space="0"/>
            </w:tcBorders>
            <w:vAlign w:val="center"/>
          </w:tcPr>
          <w:p>
            <w:pPr>
              <w:spacing w:line="360" w:lineRule="auto"/>
              <w:rPr>
                <w:rFonts w:ascii="宋体" w:hAnsi="宋体"/>
                <w:bCs/>
                <w:sz w:val="24"/>
                <w:szCs w:val="24"/>
              </w:rPr>
            </w:pPr>
          </w:p>
        </w:tc>
        <w:tc>
          <w:tcPr>
            <w:tcW w:w="1084" w:type="dxa"/>
            <w:tcBorders>
              <w:left w:val="single" w:color="auto" w:sz="4" w:space="0"/>
            </w:tcBorders>
            <w:vAlign w:val="center"/>
          </w:tcPr>
          <w:p>
            <w:r>
              <w:t>西门</w:t>
            </w:r>
          </w:p>
        </w:tc>
        <w:tc>
          <w:tcPr>
            <w:tcW w:w="1265" w:type="dxa"/>
            <w:vAlign w:val="center"/>
          </w:tcPr>
          <w:p>
            <w:r>
              <w:t>2</w:t>
            </w:r>
          </w:p>
        </w:tc>
        <w:tc>
          <w:tcPr>
            <w:tcW w:w="1220" w:type="dxa"/>
            <w:tcBorders>
              <w:right w:val="single" w:color="auto" w:sz="4" w:space="0"/>
            </w:tcBorders>
            <w:vAlign w:val="center"/>
          </w:tcPr>
          <w:p>
            <w:r>
              <w:t>2</w:t>
            </w:r>
          </w:p>
        </w:tc>
        <w:tc>
          <w:tcPr>
            <w:tcW w:w="1088" w:type="dxa"/>
            <w:tcBorders>
              <w:left w:val="single" w:color="auto" w:sz="4" w:space="0"/>
            </w:tcBorders>
            <w:vAlign w:val="center"/>
          </w:tcPr>
          <w:p>
            <w:r>
              <w:t>1</w:t>
            </w:r>
          </w:p>
        </w:tc>
        <w:tc>
          <w:tcPr>
            <w:tcW w:w="1788" w:type="dxa"/>
            <w:vAlign w:val="center"/>
          </w:tcPr>
          <w:p>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 w:hRule="atLeast"/>
          <w:jc w:val="center"/>
        </w:trPr>
        <w:tc>
          <w:tcPr>
            <w:tcW w:w="1380" w:type="dxa"/>
            <w:vMerge w:val="continue"/>
            <w:vAlign w:val="center"/>
          </w:tcPr>
          <w:p>
            <w:pPr>
              <w:spacing w:line="360" w:lineRule="auto"/>
              <w:rPr>
                <w:rFonts w:ascii="宋体" w:hAnsi="宋体"/>
                <w:bCs/>
                <w:sz w:val="24"/>
                <w:szCs w:val="24"/>
              </w:rPr>
            </w:pPr>
          </w:p>
        </w:tc>
        <w:tc>
          <w:tcPr>
            <w:tcW w:w="1112" w:type="dxa"/>
            <w:vMerge w:val="continue"/>
            <w:tcBorders>
              <w:right w:val="single" w:color="auto" w:sz="4" w:space="0"/>
            </w:tcBorders>
            <w:vAlign w:val="center"/>
          </w:tcPr>
          <w:p>
            <w:pPr>
              <w:spacing w:line="360" w:lineRule="auto"/>
              <w:rPr>
                <w:rFonts w:ascii="宋体" w:hAnsi="宋体"/>
                <w:bCs/>
                <w:sz w:val="24"/>
                <w:szCs w:val="24"/>
              </w:rPr>
            </w:pPr>
          </w:p>
        </w:tc>
        <w:tc>
          <w:tcPr>
            <w:tcW w:w="1084" w:type="dxa"/>
            <w:tcBorders>
              <w:left w:val="single" w:color="auto" w:sz="4" w:space="0"/>
            </w:tcBorders>
            <w:vAlign w:val="center"/>
          </w:tcPr>
          <w:p>
            <w:r>
              <w:t>北门</w:t>
            </w:r>
          </w:p>
        </w:tc>
        <w:tc>
          <w:tcPr>
            <w:tcW w:w="1265" w:type="dxa"/>
            <w:vAlign w:val="center"/>
          </w:tcPr>
          <w:p>
            <w:r>
              <w:t>2</w:t>
            </w:r>
          </w:p>
        </w:tc>
        <w:tc>
          <w:tcPr>
            <w:tcW w:w="1220" w:type="dxa"/>
            <w:tcBorders>
              <w:right w:val="single" w:color="auto" w:sz="4" w:space="0"/>
            </w:tcBorders>
            <w:vAlign w:val="center"/>
          </w:tcPr>
          <w:p>
            <w:r>
              <w:t>2</w:t>
            </w:r>
          </w:p>
        </w:tc>
        <w:tc>
          <w:tcPr>
            <w:tcW w:w="1088" w:type="dxa"/>
            <w:tcBorders>
              <w:left w:val="single" w:color="auto" w:sz="4" w:space="0"/>
            </w:tcBorders>
            <w:vAlign w:val="center"/>
          </w:tcPr>
          <w:p>
            <w:r>
              <w:t>2</w:t>
            </w:r>
          </w:p>
        </w:tc>
        <w:tc>
          <w:tcPr>
            <w:tcW w:w="1788" w:type="dxa"/>
            <w:vAlign w:val="center"/>
          </w:tcPr>
          <w:p>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1380" w:type="dxa"/>
            <w:vAlign w:val="center"/>
          </w:tcPr>
          <w:p>
            <w:r>
              <w:t>3</w:t>
            </w:r>
          </w:p>
        </w:tc>
        <w:tc>
          <w:tcPr>
            <w:tcW w:w="2196" w:type="dxa"/>
            <w:gridSpan w:val="2"/>
            <w:vAlign w:val="center"/>
          </w:tcPr>
          <w:p>
            <w:r>
              <w:t>监控室</w:t>
            </w:r>
          </w:p>
        </w:tc>
        <w:tc>
          <w:tcPr>
            <w:tcW w:w="1265" w:type="dxa"/>
            <w:vAlign w:val="center"/>
          </w:tcPr>
          <w:p>
            <w:r>
              <w:t>2</w:t>
            </w:r>
          </w:p>
        </w:tc>
        <w:tc>
          <w:tcPr>
            <w:tcW w:w="1220" w:type="dxa"/>
            <w:tcBorders>
              <w:right w:val="single" w:color="auto" w:sz="4" w:space="0"/>
            </w:tcBorders>
            <w:vAlign w:val="center"/>
          </w:tcPr>
          <w:p>
            <w:r>
              <w:t>2</w:t>
            </w:r>
          </w:p>
        </w:tc>
        <w:tc>
          <w:tcPr>
            <w:tcW w:w="1088" w:type="dxa"/>
            <w:tcBorders>
              <w:left w:val="single" w:color="auto" w:sz="4" w:space="0"/>
            </w:tcBorders>
            <w:vAlign w:val="center"/>
          </w:tcPr>
          <w:p>
            <w:r>
              <w:t>2</w:t>
            </w:r>
          </w:p>
        </w:tc>
        <w:tc>
          <w:tcPr>
            <w:tcW w:w="1788" w:type="dxa"/>
            <w:vAlign w:val="center"/>
          </w:tcPr>
          <w:p>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1380" w:type="dxa"/>
            <w:vAlign w:val="center"/>
          </w:tcPr>
          <w:p>
            <w:r>
              <w:t>4</w:t>
            </w:r>
          </w:p>
        </w:tc>
        <w:tc>
          <w:tcPr>
            <w:tcW w:w="2196" w:type="dxa"/>
            <w:gridSpan w:val="2"/>
            <w:vAlign w:val="center"/>
          </w:tcPr>
          <w:p>
            <w:r>
              <w:t>巡逻岗</w:t>
            </w:r>
          </w:p>
        </w:tc>
        <w:tc>
          <w:tcPr>
            <w:tcW w:w="1265" w:type="dxa"/>
            <w:vAlign w:val="center"/>
          </w:tcPr>
          <w:p>
            <w:r>
              <w:t>2</w:t>
            </w:r>
          </w:p>
        </w:tc>
        <w:tc>
          <w:tcPr>
            <w:tcW w:w="1220" w:type="dxa"/>
            <w:tcBorders>
              <w:right w:val="single" w:color="auto" w:sz="4" w:space="0"/>
            </w:tcBorders>
            <w:vAlign w:val="center"/>
          </w:tcPr>
          <w:p>
            <w:r>
              <w:t>2</w:t>
            </w:r>
          </w:p>
        </w:tc>
        <w:tc>
          <w:tcPr>
            <w:tcW w:w="1088" w:type="dxa"/>
            <w:tcBorders>
              <w:left w:val="single" w:color="auto" w:sz="4" w:space="0"/>
            </w:tcBorders>
            <w:vAlign w:val="center"/>
          </w:tcPr>
          <w:p>
            <w:r>
              <w:t>2</w:t>
            </w:r>
          </w:p>
        </w:tc>
        <w:tc>
          <w:tcPr>
            <w:tcW w:w="1788" w:type="dxa"/>
            <w:vAlign w:val="center"/>
          </w:tcPr>
          <w:p>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1380" w:type="dxa"/>
            <w:vAlign w:val="center"/>
          </w:tcPr>
          <w:p>
            <w:r>
              <w:t>5</w:t>
            </w:r>
          </w:p>
        </w:tc>
        <w:tc>
          <w:tcPr>
            <w:tcW w:w="2196" w:type="dxa"/>
            <w:gridSpan w:val="2"/>
            <w:vAlign w:val="center"/>
          </w:tcPr>
          <w:p>
            <w:r>
              <w:t>图书馆岗</w:t>
            </w:r>
          </w:p>
        </w:tc>
        <w:tc>
          <w:tcPr>
            <w:tcW w:w="5361" w:type="dxa"/>
            <w:gridSpan w:val="4"/>
            <w:vAlign w:val="center"/>
          </w:tcPr>
          <w:p>
            <w:r>
              <w:t>2名（7:20-21:30）做1休1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1380" w:type="dxa"/>
            <w:vAlign w:val="center"/>
          </w:tcPr>
          <w:p>
            <w:r>
              <w:t>6</w:t>
            </w:r>
          </w:p>
        </w:tc>
        <w:tc>
          <w:tcPr>
            <w:tcW w:w="2196" w:type="dxa"/>
            <w:gridSpan w:val="2"/>
            <w:vAlign w:val="center"/>
          </w:tcPr>
          <w:p>
            <w:r>
              <w:t>总计配置人数</w:t>
            </w:r>
          </w:p>
        </w:tc>
        <w:tc>
          <w:tcPr>
            <w:tcW w:w="5361" w:type="dxa"/>
            <w:gridSpan w:val="4"/>
          </w:tcPr>
          <w:p>
            <w:r>
              <w:t>34人(保证2-3名女安保队员)</w:t>
            </w:r>
          </w:p>
        </w:tc>
      </w:tr>
    </w:tbl>
    <w:p>
      <w:pPr>
        <w:spacing w:line="360" w:lineRule="auto"/>
        <w:ind w:firstLine="424" w:firstLineChars="151"/>
        <w:jc w:val="left"/>
        <w:rPr>
          <w:rFonts w:asciiTheme="minorEastAsia" w:hAnsiTheme="minorEastAsia" w:eastAsiaTheme="minorEastAsia"/>
          <w:b/>
          <w:bCs/>
          <w:sz w:val="28"/>
          <w:szCs w:val="28"/>
        </w:rPr>
      </w:pPr>
      <w:r>
        <w:t>7、专项服务</w:t>
      </w:r>
    </w:p>
    <w:tbl>
      <w:tblPr>
        <w:tblStyle w:val="60"/>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815"/>
        <w:gridCol w:w="1169"/>
        <w:gridCol w:w="1190"/>
        <w:gridCol w:w="2091"/>
        <w:gridCol w:w="2639"/>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439" w:type="dxa"/>
            <w:vAlign w:val="center"/>
          </w:tcPr>
          <w:p>
            <w:r>
              <w:t>序号</w:t>
            </w:r>
          </w:p>
        </w:tc>
        <w:tc>
          <w:tcPr>
            <w:tcW w:w="815" w:type="dxa"/>
            <w:vAlign w:val="center"/>
          </w:tcPr>
          <w:p>
            <w:r>
              <w:t>用工单位</w:t>
            </w:r>
          </w:p>
        </w:tc>
        <w:tc>
          <w:tcPr>
            <w:tcW w:w="1169" w:type="dxa"/>
            <w:vAlign w:val="center"/>
          </w:tcPr>
          <w:p>
            <w:r>
              <w:t>岗位</w:t>
            </w:r>
          </w:p>
        </w:tc>
        <w:tc>
          <w:tcPr>
            <w:tcW w:w="1190" w:type="dxa"/>
            <w:vAlign w:val="center"/>
          </w:tcPr>
          <w:p>
            <w:r>
              <w:t>专业要求</w:t>
            </w:r>
          </w:p>
        </w:tc>
        <w:tc>
          <w:tcPr>
            <w:tcW w:w="4730" w:type="dxa"/>
            <w:gridSpan w:val="2"/>
            <w:vAlign w:val="center"/>
          </w:tcPr>
          <w:p>
            <w:r>
              <w:t>学历(学位)及其他资格条件</w:t>
            </w:r>
          </w:p>
        </w:tc>
        <w:tc>
          <w:tcPr>
            <w:tcW w:w="700" w:type="dxa"/>
            <w:vAlign w:val="center"/>
          </w:tcPr>
          <w:p>
            <w: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39" w:type="dxa"/>
            <w:vAlign w:val="center"/>
          </w:tcPr>
          <w:p>
            <w:r>
              <w:t>1</w:t>
            </w:r>
          </w:p>
        </w:tc>
        <w:tc>
          <w:tcPr>
            <w:tcW w:w="815" w:type="dxa"/>
            <w:vAlign w:val="center"/>
          </w:tcPr>
          <w:p>
            <w:r>
              <w:t>总务</w:t>
            </w:r>
          </w:p>
        </w:tc>
        <w:tc>
          <w:tcPr>
            <w:tcW w:w="1169" w:type="dxa"/>
            <w:vAlign w:val="center"/>
          </w:tcPr>
          <w:p>
            <w:r>
              <w:t>文印与收发管理</w:t>
            </w:r>
          </w:p>
        </w:tc>
        <w:tc>
          <w:tcPr>
            <w:tcW w:w="1190" w:type="dxa"/>
            <w:vAlign w:val="center"/>
          </w:tcPr>
          <w:p>
            <w:r>
              <w:t>专业不限</w:t>
            </w:r>
          </w:p>
        </w:tc>
        <w:tc>
          <w:tcPr>
            <w:tcW w:w="4730" w:type="dxa"/>
            <w:gridSpan w:val="2"/>
            <w:vAlign w:val="center"/>
          </w:tcPr>
          <w:p>
            <w:r>
              <w:t>大学专科（高职）及以上，45周岁及以下</w:t>
            </w:r>
          </w:p>
        </w:tc>
        <w:tc>
          <w:tcPr>
            <w:tcW w:w="700"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439" w:type="dxa"/>
            <w:vAlign w:val="center"/>
          </w:tcPr>
          <w:p>
            <w:r>
              <w:t>2</w:t>
            </w:r>
          </w:p>
        </w:tc>
        <w:tc>
          <w:tcPr>
            <w:tcW w:w="815" w:type="dxa"/>
            <w:vAlign w:val="center"/>
          </w:tcPr>
          <w:p>
            <w:r>
              <w:t>计财</w:t>
            </w:r>
          </w:p>
        </w:tc>
        <w:tc>
          <w:tcPr>
            <w:tcW w:w="1169" w:type="dxa"/>
            <w:vAlign w:val="center"/>
          </w:tcPr>
          <w:p>
            <w:r>
              <w:t>食堂</w:t>
              <w:br/>
              <w:t>充值</w:t>
            </w:r>
          </w:p>
        </w:tc>
        <w:tc>
          <w:tcPr>
            <w:tcW w:w="1190" w:type="dxa"/>
            <w:vAlign w:val="center"/>
          </w:tcPr>
          <w:p>
            <w:r>
              <w:t>财务相关专业</w:t>
            </w:r>
          </w:p>
        </w:tc>
        <w:tc>
          <w:tcPr>
            <w:tcW w:w="4730" w:type="dxa"/>
            <w:gridSpan w:val="2"/>
            <w:vAlign w:val="center"/>
          </w:tcPr>
          <w:p>
            <w:r>
              <w:t>中专或职高及以上，具有财会相关专业背景，能熟练使用计算机和办公软件</w:t>
            </w:r>
          </w:p>
        </w:tc>
        <w:tc>
          <w:tcPr>
            <w:tcW w:w="700"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439" w:type="dxa"/>
            <w:vAlign w:val="center"/>
          </w:tcPr>
          <w:p>
            <w:r>
              <w:t>3</w:t>
            </w:r>
          </w:p>
        </w:tc>
        <w:tc>
          <w:tcPr>
            <w:tcW w:w="815" w:type="dxa"/>
            <w:vAlign w:val="center"/>
          </w:tcPr>
          <w:p>
            <w:r>
              <w:t>教务</w:t>
            </w:r>
          </w:p>
        </w:tc>
        <w:tc>
          <w:tcPr>
            <w:tcW w:w="1169" w:type="dxa"/>
            <w:vAlign w:val="center"/>
          </w:tcPr>
          <w:p>
            <w:r>
              <w:t>智慧教室管理</w:t>
            </w:r>
          </w:p>
        </w:tc>
        <w:tc>
          <w:tcPr>
            <w:tcW w:w="1190" w:type="dxa"/>
            <w:vAlign w:val="center"/>
          </w:tcPr>
          <w:p>
            <w:r>
              <w:t>计算机及相关专业</w:t>
            </w:r>
          </w:p>
        </w:tc>
        <w:tc>
          <w:tcPr>
            <w:tcW w:w="4730" w:type="dxa"/>
            <w:gridSpan w:val="2"/>
            <w:vAlign w:val="center"/>
          </w:tcPr>
          <w:p>
            <w:r>
              <w:t>大学专科（高职）及以上、年龄45周岁及以下</w:t>
            </w:r>
          </w:p>
        </w:tc>
        <w:tc>
          <w:tcPr>
            <w:tcW w:w="700"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9" w:type="dxa"/>
            <w:vMerge w:val="restart"/>
            <w:vAlign w:val="center"/>
          </w:tcPr>
          <w:p>
            <w:r>
              <w:t>4</w:t>
            </w:r>
          </w:p>
        </w:tc>
        <w:tc>
          <w:tcPr>
            <w:tcW w:w="815" w:type="dxa"/>
            <w:vMerge w:val="restart"/>
            <w:vAlign w:val="center"/>
          </w:tcPr>
          <w:p>
            <w:r>
              <w:t>图书信息中心</w:t>
            </w:r>
          </w:p>
        </w:tc>
        <w:tc>
          <w:tcPr>
            <w:tcW w:w="1169" w:type="dxa"/>
            <w:vAlign w:val="center"/>
          </w:tcPr>
          <w:p>
            <w:r>
              <w:t>流通管理</w:t>
            </w:r>
          </w:p>
        </w:tc>
        <w:tc>
          <w:tcPr>
            <w:tcW w:w="1190" w:type="dxa"/>
            <w:vAlign w:val="center"/>
          </w:tcPr>
          <w:p>
            <w:r>
              <w:t>专业不限</w:t>
            </w:r>
          </w:p>
        </w:tc>
        <w:tc>
          <w:tcPr>
            <w:tcW w:w="4730" w:type="dxa"/>
            <w:gridSpan w:val="2"/>
            <w:vAlign w:val="center"/>
          </w:tcPr>
          <w:p>
            <w:r>
              <w:t>高中及以上学历，年龄45周岁及以下</w:t>
            </w:r>
          </w:p>
        </w:tc>
        <w:tc>
          <w:tcPr>
            <w:tcW w:w="700"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39" w:type="dxa"/>
            <w:vMerge w:val="continue"/>
            <w:vAlign w:val="center"/>
          </w:tcPr>
          <w:p>
            <w:pPr>
              <w:pStyle w:val="24"/>
              <w:spacing w:line="360" w:lineRule="auto"/>
              <w:rPr>
                <w:rFonts w:asciiTheme="minorEastAsia" w:hAnsiTheme="minorEastAsia" w:eastAsiaTheme="minorEastAsia"/>
                <w:kern w:val="0"/>
                <w:sz w:val="24"/>
              </w:rPr>
            </w:pPr>
          </w:p>
        </w:tc>
        <w:tc>
          <w:tcPr>
            <w:tcW w:w="815" w:type="dxa"/>
            <w:vMerge w:val="continue"/>
            <w:vAlign w:val="center"/>
          </w:tcPr>
          <w:p>
            <w:pPr>
              <w:pStyle w:val="24"/>
              <w:spacing w:line="360" w:lineRule="auto"/>
              <w:rPr>
                <w:rFonts w:asciiTheme="minorEastAsia" w:hAnsiTheme="minorEastAsia" w:eastAsiaTheme="minorEastAsia"/>
                <w:kern w:val="0"/>
                <w:sz w:val="24"/>
              </w:rPr>
            </w:pPr>
          </w:p>
        </w:tc>
        <w:tc>
          <w:tcPr>
            <w:tcW w:w="1169" w:type="dxa"/>
            <w:vAlign w:val="center"/>
          </w:tcPr>
          <w:p>
            <w:r>
              <w:t>机房运维</w:t>
            </w:r>
          </w:p>
        </w:tc>
        <w:tc>
          <w:tcPr>
            <w:tcW w:w="1190" w:type="dxa"/>
            <w:vAlign w:val="center"/>
          </w:tcPr>
          <w:p>
            <w:r>
              <w:t>计算机及相关专业</w:t>
            </w:r>
          </w:p>
        </w:tc>
        <w:tc>
          <w:tcPr>
            <w:tcW w:w="4730" w:type="dxa"/>
            <w:gridSpan w:val="2"/>
            <w:vAlign w:val="center"/>
          </w:tcPr>
          <w:p>
            <w:r>
              <w:t>大学专科（高职）及以上，35周岁及以下，具有1年以上工作经验</w:t>
            </w:r>
          </w:p>
        </w:tc>
        <w:tc>
          <w:tcPr>
            <w:tcW w:w="700"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39" w:type="dxa"/>
            <w:vMerge w:val="continue"/>
            <w:vAlign w:val="center"/>
          </w:tcPr>
          <w:p>
            <w:pPr>
              <w:pStyle w:val="24"/>
              <w:spacing w:line="360" w:lineRule="auto"/>
              <w:rPr>
                <w:rFonts w:asciiTheme="minorEastAsia" w:hAnsiTheme="minorEastAsia" w:eastAsiaTheme="minorEastAsia"/>
                <w:kern w:val="0"/>
                <w:sz w:val="24"/>
              </w:rPr>
            </w:pPr>
          </w:p>
        </w:tc>
        <w:tc>
          <w:tcPr>
            <w:tcW w:w="815" w:type="dxa"/>
            <w:vMerge w:val="continue"/>
            <w:vAlign w:val="center"/>
          </w:tcPr>
          <w:p>
            <w:pPr>
              <w:pStyle w:val="24"/>
              <w:spacing w:line="360" w:lineRule="auto"/>
              <w:rPr>
                <w:rFonts w:asciiTheme="minorEastAsia" w:hAnsiTheme="minorEastAsia" w:eastAsiaTheme="minorEastAsia"/>
                <w:kern w:val="0"/>
                <w:sz w:val="24"/>
              </w:rPr>
            </w:pPr>
          </w:p>
        </w:tc>
        <w:tc>
          <w:tcPr>
            <w:tcW w:w="1169" w:type="dxa"/>
            <w:vAlign w:val="center"/>
          </w:tcPr>
          <w:p>
            <w:r>
              <w:t>弱电维修</w:t>
            </w:r>
          </w:p>
        </w:tc>
        <w:tc>
          <w:tcPr>
            <w:tcW w:w="1190" w:type="dxa"/>
            <w:vAlign w:val="center"/>
          </w:tcPr>
          <w:p>
            <w:r>
              <w:t>计算机及相关专业</w:t>
            </w:r>
          </w:p>
        </w:tc>
        <w:tc>
          <w:tcPr>
            <w:tcW w:w="4730" w:type="dxa"/>
            <w:gridSpan w:val="2"/>
            <w:vAlign w:val="center"/>
          </w:tcPr>
          <w:p>
            <w:r>
              <w:t>大学专科（高职）及以上，45周岁及以下</w:t>
            </w:r>
          </w:p>
        </w:tc>
        <w:tc>
          <w:tcPr>
            <w:tcW w:w="700" w:type="dxa"/>
            <w:vAlign w:val="center"/>
          </w:tcPr>
          <w:p>
            <w: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39" w:type="dxa"/>
            <w:vAlign w:val="center"/>
          </w:tcPr>
          <w:p>
            <w:r>
              <w:t>5</w:t>
            </w:r>
          </w:p>
        </w:tc>
        <w:tc>
          <w:tcPr>
            <w:tcW w:w="815" w:type="dxa"/>
            <w:vAlign w:val="center"/>
          </w:tcPr>
          <w:p>
            <w:r>
              <w:t>基础学院</w:t>
            </w:r>
          </w:p>
        </w:tc>
        <w:tc>
          <w:tcPr>
            <w:tcW w:w="1169" w:type="dxa"/>
            <w:vAlign w:val="center"/>
          </w:tcPr>
          <w:p>
            <w:r>
              <w:t>器材室管理员</w:t>
            </w:r>
          </w:p>
        </w:tc>
        <w:tc>
          <w:tcPr>
            <w:tcW w:w="1190" w:type="dxa"/>
            <w:vAlign w:val="center"/>
          </w:tcPr>
          <w:p>
            <w:r>
              <w:t>专业不限</w:t>
            </w:r>
          </w:p>
        </w:tc>
        <w:tc>
          <w:tcPr>
            <w:tcW w:w="4730" w:type="dxa"/>
            <w:gridSpan w:val="2"/>
            <w:vAlign w:val="center"/>
          </w:tcPr>
          <w:p>
            <w:r>
              <w:t>高中及以上学历，45周岁及以下</w:t>
            </w:r>
          </w:p>
        </w:tc>
        <w:tc>
          <w:tcPr>
            <w:tcW w:w="700"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704" w:type="dxa"/>
            <w:gridSpan w:val="5"/>
            <w:vAlign w:val="center"/>
          </w:tcPr>
          <w:p>
            <w:r>
              <w:t>合计</w:t>
            </w:r>
          </w:p>
        </w:tc>
        <w:tc>
          <w:tcPr>
            <w:tcW w:w="3339" w:type="dxa"/>
            <w:gridSpan w:val="2"/>
            <w:vAlign w:val="center"/>
          </w:tcPr>
          <w:p>
            <w:r>
              <w:t>9人</w:t>
            </w:r>
          </w:p>
        </w:tc>
      </w:tr>
    </w:tbl>
    <w:p>
      <w:pPr>
        <w:spacing w:line="360" w:lineRule="auto"/>
        <w:ind w:firstLine="495" w:firstLineChars="176"/>
        <w:jc w:val="left"/>
        <w:rPr>
          <w:rFonts w:asciiTheme="minorEastAsia" w:hAnsiTheme="minorEastAsia" w:eastAsiaTheme="minorEastAsia"/>
          <w:b/>
          <w:sz w:val="28"/>
          <w:szCs w:val="28"/>
        </w:rPr>
      </w:pPr>
      <w:r>
        <w:t>8、合计人员计划</w:t>
      </w:r>
    </w:p>
    <w:tbl>
      <w:tblPr>
        <w:tblStyle w:val="59"/>
        <w:tblW w:w="9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532"/>
        <w:gridCol w:w="770"/>
        <w:gridCol w:w="770"/>
        <w:gridCol w:w="772"/>
        <w:gridCol w:w="771"/>
        <w:gridCol w:w="771"/>
        <w:gridCol w:w="772"/>
        <w:gridCol w:w="771"/>
        <w:gridCol w:w="771"/>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29" w:type="dxa"/>
            <w:vMerge w:val="restart"/>
            <w:tcBorders>
              <w:top w:val="single" w:color="auto" w:sz="4" w:space="0"/>
            </w:tcBorders>
            <w:vAlign w:val="center"/>
          </w:tcPr>
          <w:p>
            <w:r>
              <w:t>序号</w:t>
            </w:r>
          </w:p>
        </w:tc>
        <w:tc>
          <w:tcPr>
            <w:tcW w:w="1534" w:type="dxa"/>
            <w:vMerge w:val="restart"/>
            <w:tcBorders>
              <w:top w:val="single" w:color="auto" w:sz="4" w:space="0"/>
            </w:tcBorders>
            <w:vAlign w:val="center"/>
          </w:tcPr>
          <w:p>
            <w:r>
              <w:t>服务范围</w:t>
            </w:r>
          </w:p>
        </w:tc>
        <w:tc>
          <w:tcPr>
            <w:tcW w:w="6944" w:type="dxa"/>
            <w:gridSpan w:val="9"/>
            <w:tcBorders>
              <w:top w:val="single" w:color="auto" w:sz="4" w:space="0"/>
            </w:tcBorders>
            <w:vAlign w:val="center"/>
          </w:tcPr>
          <w:p>
            <w:r>
              <w:t>人员配备数量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9" w:type="dxa"/>
            <w:vMerge w:val="continue"/>
            <w:vAlign w:val="center"/>
          </w:tcPr>
          <w:p>
            <w:pPr>
              <w:pStyle w:val="424"/>
              <w:spacing w:line="360" w:lineRule="auto"/>
              <w:ind w:firstLine="241"/>
              <w:jc w:val="center"/>
              <w:rPr>
                <w:rFonts w:asciiTheme="minorEastAsia" w:hAnsiTheme="minorEastAsia" w:eastAsiaTheme="minorEastAsia"/>
                <w:b/>
                <w:sz w:val="24"/>
              </w:rPr>
            </w:pPr>
          </w:p>
        </w:tc>
        <w:tc>
          <w:tcPr>
            <w:tcW w:w="1534" w:type="dxa"/>
            <w:vMerge w:val="continue"/>
            <w:vAlign w:val="center"/>
          </w:tcPr>
          <w:p>
            <w:pPr>
              <w:pStyle w:val="424"/>
              <w:spacing w:line="360" w:lineRule="auto"/>
              <w:ind w:firstLine="241"/>
              <w:jc w:val="center"/>
              <w:rPr>
                <w:rFonts w:asciiTheme="minorEastAsia" w:hAnsiTheme="minorEastAsia" w:eastAsiaTheme="minorEastAsia"/>
                <w:b/>
                <w:sz w:val="24"/>
              </w:rPr>
            </w:pPr>
          </w:p>
        </w:tc>
        <w:tc>
          <w:tcPr>
            <w:tcW w:w="771" w:type="dxa"/>
            <w:tcBorders>
              <w:right w:val="single" w:color="auto" w:sz="4" w:space="0"/>
            </w:tcBorders>
            <w:vAlign w:val="center"/>
          </w:tcPr>
          <w:p>
            <w:r>
              <w:t>保洁员</w:t>
            </w:r>
          </w:p>
        </w:tc>
        <w:tc>
          <w:tcPr>
            <w:tcW w:w="771" w:type="dxa"/>
            <w:tcBorders>
              <w:right w:val="single" w:color="auto" w:sz="4" w:space="0"/>
            </w:tcBorders>
            <w:vAlign w:val="center"/>
          </w:tcPr>
          <w:p>
            <w:r>
              <w:t>值班员</w:t>
            </w:r>
          </w:p>
        </w:tc>
        <w:tc>
          <w:tcPr>
            <w:tcW w:w="772" w:type="dxa"/>
            <w:tcBorders>
              <w:right w:val="single" w:color="auto" w:sz="4" w:space="0"/>
            </w:tcBorders>
            <w:vAlign w:val="center"/>
          </w:tcPr>
          <w:p>
            <w:r>
              <w:t>高配工</w:t>
            </w:r>
          </w:p>
        </w:tc>
        <w:tc>
          <w:tcPr>
            <w:tcW w:w="771" w:type="dxa"/>
            <w:tcBorders>
              <w:left w:val="single" w:color="auto" w:sz="4" w:space="0"/>
              <w:right w:val="single" w:color="auto" w:sz="4" w:space="0"/>
            </w:tcBorders>
            <w:vAlign w:val="center"/>
          </w:tcPr>
          <w:p>
            <w:r>
              <w:t>水电工</w:t>
            </w:r>
          </w:p>
        </w:tc>
        <w:tc>
          <w:tcPr>
            <w:tcW w:w="771" w:type="dxa"/>
            <w:tcBorders>
              <w:left w:val="single" w:color="auto" w:sz="4" w:space="0"/>
              <w:right w:val="single" w:color="auto" w:sz="4" w:space="0"/>
            </w:tcBorders>
            <w:vAlign w:val="center"/>
          </w:tcPr>
          <w:p>
            <w:r>
              <w:t>教室管理</w:t>
            </w:r>
          </w:p>
        </w:tc>
        <w:tc>
          <w:tcPr>
            <w:tcW w:w="772" w:type="dxa"/>
            <w:tcBorders>
              <w:left w:val="single" w:color="auto" w:sz="4" w:space="0"/>
              <w:right w:val="single" w:color="auto" w:sz="4" w:space="0"/>
            </w:tcBorders>
            <w:vAlign w:val="center"/>
          </w:tcPr>
          <w:p>
            <w:r>
              <w:t>绿化工</w:t>
            </w:r>
          </w:p>
        </w:tc>
        <w:tc>
          <w:tcPr>
            <w:tcW w:w="771" w:type="dxa"/>
            <w:tcBorders>
              <w:left w:val="single" w:color="auto" w:sz="4" w:space="0"/>
              <w:right w:val="single" w:color="auto" w:sz="4" w:space="0"/>
            </w:tcBorders>
            <w:vAlign w:val="center"/>
          </w:tcPr>
          <w:p>
            <w:r>
              <w:t>安保</w:t>
            </w:r>
          </w:p>
        </w:tc>
        <w:tc>
          <w:tcPr>
            <w:tcW w:w="771" w:type="dxa"/>
            <w:tcBorders>
              <w:left w:val="single" w:color="auto" w:sz="4" w:space="0"/>
            </w:tcBorders>
            <w:vAlign w:val="center"/>
          </w:tcPr>
          <w:p>
            <w:r>
              <w:t>分管</w:t>
            </w:r>
          </w:p>
        </w:tc>
        <w:tc>
          <w:tcPr>
            <w:tcW w:w="774" w:type="dxa"/>
            <w:tcBorders>
              <w:left w:val="single" w:color="auto" w:sz="4" w:space="0"/>
            </w:tcBorders>
            <w:vAlign w:val="center"/>
          </w:tcPr>
          <w:p>
            <w: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9" w:type="dxa"/>
            <w:vAlign w:val="center"/>
          </w:tcPr>
          <w:p>
            <w:r>
              <w:t>1</w:t>
            </w:r>
          </w:p>
        </w:tc>
        <w:tc>
          <w:tcPr>
            <w:tcW w:w="1534" w:type="dxa"/>
            <w:vAlign w:val="center"/>
          </w:tcPr>
          <w:p>
            <w:r>
              <w:t>学生公寓楼</w:t>
            </w:r>
          </w:p>
        </w:tc>
        <w:tc>
          <w:tcPr>
            <w:tcW w:w="771" w:type="dxa"/>
            <w:tcBorders>
              <w:right w:val="single" w:color="auto" w:sz="4" w:space="0"/>
            </w:tcBorders>
            <w:vAlign w:val="center"/>
          </w:tcPr>
          <w:p>
            <w:r>
              <w:t>12</w:t>
            </w:r>
          </w:p>
        </w:tc>
        <w:tc>
          <w:tcPr>
            <w:tcW w:w="771" w:type="dxa"/>
            <w:tcBorders>
              <w:right w:val="single" w:color="auto" w:sz="4" w:space="0"/>
            </w:tcBorders>
            <w:vAlign w:val="center"/>
          </w:tcPr>
          <w:p>
            <w:r>
              <w:t>12</w:t>
            </w:r>
          </w:p>
        </w:tc>
        <w:tc>
          <w:tcPr>
            <w:tcW w:w="772"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tcBorders>
              <w:left w:val="single" w:color="auto" w:sz="4" w:space="0"/>
            </w:tcBorders>
            <w:vAlign w:val="center"/>
          </w:tcPr>
          <w:p>
            <w:r>
              <w:t>2</w:t>
            </w: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2" w:type="dxa"/>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r>
              <w:t>1</w:t>
            </w:r>
          </w:p>
        </w:tc>
        <w:tc>
          <w:tcPr>
            <w:tcW w:w="774" w:type="dxa"/>
            <w:vAlign w:val="center"/>
          </w:tcPr>
          <w:p>
            <w: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629" w:type="dxa"/>
            <w:vAlign w:val="center"/>
          </w:tcPr>
          <w:p>
            <w:r>
              <w:t>2</w:t>
            </w:r>
          </w:p>
        </w:tc>
        <w:tc>
          <w:tcPr>
            <w:tcW w:w="1534" w:type="dxa"/>
            <w:vAlign w:val="center"/>
          </w:tcPr>
          <w:p>
            <w:r>
              <w:t>清卫保洁</w:t>
            </w:r>
          </w:p>
        </w:tc>
        <w:tc>
          <w:tcPr>
            <w:tcW w:w="771" w:type="dxa"/>
            <w:tcBorders>
              <w:right w:val="single" w:color="auto" w:sz="4" w:space="0"/>
            </w:tcBorders>
            <w:vAlign w:val="center"/>
          </w:tcPr>
          <w:p>
            <w:r>
              <w:t>43</w:t>
            </w:r>
          </w:p>
        </w:tc>
        <w:tc>
          <w:tcPr>
            <w:tcW w:w="771"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2"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tcBorders>
              <w:lef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2" w:type="dxa"/>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r>
              <w:t>1</w:t>
            </w:r>
          </w:p>
        </w:tc>
        <w:tc>
          <w:tcPr>
            <w:tcW w:w="774" w:type="dxa"/>
            <w:vAlign w:val="center"/>
          </w:tcPr>
          <w:p>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29" w:type="dxa"/>
            <w:vAlign w:val="center"/>
          </w:tcPr>
          <w:p>
            <w:r>
              <w:t>3</w:t>
            </w:r>
          </w:p>
        </w:tc>
        <w:tc>
          <w:tcPr>
            <w:tcW w:w="1534" w:type="dxa"/>
            <w:vAlign w:val="center"/>
          </w:tcPr>
          <w:p>
            <w:r>
              <w:t>教室管理</w:t>
            </w:r>
          </w:p>
        </w:tc>
        <w:tc>
          <w:tcPr>
            <w:tcW w:w="771"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2"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tcBorders>
              <w:lef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r>
              <w:t>2</w:t>
            </w:r>
          </w:p>
        </w:tc>
        <w:tc>
          <w:tcPr>
            <w:tcW w:w="772" w:type="dxa"/>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4" w:type="dxa"/>
            <w:vAlign w:val="center"/>
          </w:tcPr>
          <w:p>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29" w:type="dxa"/>
            <w:vAlign w:val="center"/>
          </w:tcPr>
          <w:p>
            <w:r>
              <w:t>4</w:t>
            </w:r>
          </w:p>
        </w:tc>
        <w:tc>
          <w:tcPr>
            <w:tcW w:w="1534" w:type="dxa"/>
            <w:vAlign w:val="center"/>
          </w:tcPr>
          <w:p>
            <w:r>
              <w:t>水电维修</w:t>
            </w:r>
          </w:p>
        </w:tc>
        <w:tc>
          <w:tcPr>
            <w:tcW w:w="771"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2" w:type="dxa"/>
            <w:tcBorders>
              <w:right w:val="single" w:color="auto" w:sz="4" w:space="0"/>
            </w:tcBorders>
            <w:vAlign w:val="center"/>
          </w:tcPr>
          <w:p>
            <w:r>
              <w:t>4</w:t>
            </w:r>
          </w:p>
        </w:tc>
        <w:tc>
          <w:tcPr>
            <w:tcW w:w="771" w:type="dxa"/>
            <w:tcBorders>
              <w:left w:val="single" w:color="auto" w:sz="4" w:space="0"/>
            </w:tcBorders>
            <w:vAlign w:val="center"/>
          </w:tcPr>
          <w:p>
            <w:r>
              <w:t>3</w:t>
            </w: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2" w:type="dxa"/>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r>
              <w:t>1</w:t>
            </w:r>
          </w:p>
        </w:tc>
        <w:tc>
          <w:tcPr>
            <w:tcW w:w="774" w:type="dxa"/>
            <w:vAlign w:val="center"/>
          </w:tcPr>
          <w:p>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29" w:type="dxa"/>
            <w:vAlign w:val="center"/>
          </w:tcPr>
          <w:p>
            <w:r>
              <w:t>5</w:t>
            </w:r>
          </w:p>
        </w:tc>
        <w:tc>
          <w:tcPr>
            <w:tcW w:w="1534" w:type="dxa"/>
            <w:vAlign w:val="center"/>
          </w:tcPr>
          <w:p>
            <w:r>
              <w:t>绿化养护</w:t>
            </w:r>
          </w:p>
        </w:tc>
        <w:tc>
          <w:tcPr>
            <w:tcW w:w="771"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2"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tcBorders>
              <w:lef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2" w:type="dxa"/>
            <w:vAlign w:val="center"/>
          </w:tcPr>
          <w:p>
            <w:r>
              <w:t>7</w:t>
            </w: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r>
              <w:t>1</w:t>
            </w:r>
          </w:p>
        </w:tc>
        <w:tc>
          <w:tcPr>
            <w:tcW w:w="774" w:type="dxa"/>
            <w:vAlign w:val="center"/>
          </w:tcPr>
          <w:p>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29" w:type="dxa"/>
            <w:vAlign w:val="center"/>
          </w:tcPr>
          <w:p>
            <w:r>
              <w:t>6</w:t>
            </w:r>
          </w:p>
        </w:tc>
        <w:tc>
          <w:tcPr>
            <w:tcW w:w="1534" w:type="dxa"/>
            <w:vAlign w:val="center"/>
          </w:tcPr>
          <w:p>
            <w:r>
              <w:t>校内安保</w:t>
            </w:r>
          </w:p>
        </w:tc>
        <w:tc>
          <w:tcPr>
            <w:tcW w:w="771"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2"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tcBorders>
              <w:lef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2" w:type="dxa"/>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r>
              <w:t>33</w:t>
            </w:r>
          </w:p>
        </w:tc>
        <w:tc>
          <w:tcPr>
            <w:tcW w:w="771" w:type="dxa"/>
            <w:vAlign w:val="center"/>
          </w:tcPr>
          <w:p>
            <w:r>
              <w:t>1</w:t>
            </w:r>
          </w:p>
        </w:tc>
        <w:tc>
          <w:tcPr>
            <w:tcW w:w="774" w:type="dxa"/>
            <w:vAlign w:val="center"/>
          </w:tcPr>
          <w:p>
            <w: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29" w:type="dxa"/>
            <w:vAlign w:val="center"/>
          </w:tcPr>
          <w:p>
            <w:r>
              <w:t>7</w:t>
            </w:r>
          </w:p>
        </w:tc>
        <w:tc>
          <w:tcPr>
            <w:tcW w:w="1534" w:type="dxa"/>
            <w:vAlign w:val="center"/>
          </w:tcPr>
          <w:p>
            <w:r>
              <w:t>专项服务</w:t>
            </w:r>
          </w:p>
        </w:tc>
        <w:tc>
          <w:tcPr>
            <w:tcW w:w="771"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2"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tcBorders>
              <w:lef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2" w:type="dxa"/>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1" w:type="dxa"/>
            <w:vAlign w:val="center"/>
          </w:tcPr>
          <w:p>
            <w:pPr>
              <w:pStyle w:val="424"/>
              <w:spacing w:line="360" w:lineRule="auto"/>
              <w:ind w:firstLine="240"/>
              <w:jc w:val="center"/>
              <w:rPr>
                <w:rFonts w:asciiTheme="minorEastAsia" w:hAnsiTheme="minorEastAsia" w:eastAsiaTheme="minorEastAsia"/>
                <w:sz w:val="24"/>
              </w:rPr>
            </w:pPr>
          </w:p>
        </w:tc>
        <w:tc>
          <w:tcPr>
            <w:tcW w:w="774" w:type="dxa"/>
            <w:vAlign w:val="center"/>
          </w:tcPr>
          <w:p>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29" w:type="dxa"/>
            <w:vAlign w:val="center"/>
          </w:tcPr>
          <w:p>
            <w:r>
              <w:t>8</w:t>
            </w:r>
          </w:p>
        </w:tc>
        <w:tc>
          <w:tcPr>
            <w:tcW w:w="1534" w:type="dxa"/>
            <w:vAlign w:val="center"/>
          </w:tcPr>
          <w:p>
            <w:r>
              <w:t>校区主管</w:t>
            </w:r>
          </w:p>
        </w:tc>
        <w:tc>
          <w:tcPr>
            <w:tcW w:w="6165" w:type="dxa"/>
            <w:gridSpan w:val="8"/>
            <w:vAlign w:val="center"/>
          </w:tcPr>
          <w:p>
            <w:r>
              <w:t>项目经理兼任</w:t>
            </w:r>
          </w:p>
        </w:tc>
        <w:tc>
          <w:tcPr>
            <w:tcW w:w="779" w:type="dxa"/>
            <w:vAlign w:val="center"/>
          </w:tcPr>
          <w:p>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163" w:type="dxa"/>
            <w:gridSpan w:val="2"/>
            <w:vAlign w:val="center"/>
          </w:tcPr>
          <w:p>
            <w:r>
              <w:t>合计</w:t>
            </w:r>
          </w:p>
        </w:tc>
        <w:tc>
          <w:tcPr>
            <w:tcW w:w="6944" w:type="dxa"/>
            <w:gridSpan w:val="9"/>
            <w:vAlign w:val="center"/>
          </w:tcPr>
          <w:p>
            <w:r>
              <w:t>133人</w:t>
            </w:r>
          </w:p>
        </w:tc>
      </w:tr>
    </w:tbl>
    <w:p>
      <w:pPr>
        <w:spacing w:line="360" w:lineRule="auto"/>
        <w:ind w:firstLine="562" w:firstLineChars="200"/>
        <w:rPr>
          <w:rFonts w:cs="宋体" w:asciiTheme="minorEastAsia" w:hAnsiTheme="minorEastAsia" w:eastAsiaTheme="minorEastAsia"/>
          <w:b/>
          <w:sz w:val="28"/>
          <w:szCs w:val="28"/>
        </w:rPr>
      </w:pPr>
      <w:r>
        <w:t>(三)鄞州校区人员配备</w:t>
      </w:r>
    </w:p>
    <w:p>
      <w:pPr>
        <w:spacing w:line="360" w:lineRule="auto"/>
        <w:ind w:firstLine="540" w:firstLineChars="192"/>
        <w:rPr>
          <w:rFonts w:cs="宋体" w:asciiTheme="minorEastAsia" w:hAnsiTheme="minorEastAsia" w:eastAsiaTheme="minorEastAsia"/>
          <w:b/>
          <w:sz w:val="28"/>
          <w:szCs w:val="28"/>
        </w:rPr>
      </w:pPr>
      <w:r>
        <w:t>1、学生公寓楼物业范围：</w:t>
      </w:r>
    </w:p>
    <w:tbl>
      <w:tblPr>
        <w:tblStyle w:val="59"/>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434"/>
        <w:gridCol w:w="1134"/>
        <w:gridCol w:w="1418"/>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88" w:type="dxa"/>
            <w:vAlign w:val="center"/>
          </w:tcPr>
          <w:p>
            <w:r>
              <w:t>序号</w:t>
            </w:r>
          </w:p>
        </w:tc>
        <w:tc>
          <w:tcPr>
            <w:tcW w:w="1434" w:type="dxa"/>
            <w:vAlign w:val="center"/>
          </w:tcPr>
          <w:p>
            <w:r>
              <w:t>管理范围</w:t>
            </w:r>
          </w:p>
        </w:tc>
        <w:tc>
          <w:tcPr>
            <w:tcW w:w="1134" w:type="dxa"/>
            <w:vAlign w:val="center"/>
          </w:tcPr>
          <w:p>
            <w:r>
              <w:t>数量</w:t>
            </w:r>
          </w:p>
        </w:tc>
        <w:tc>
          <w:tcPr>
            <w:tcW w:w="1418" w:type="dxa"/>
            <w:vAlign w:val="center"/>
          </w:tcPr>
          <w:p>
            <w:r>
              <w:t>面积</w:t>
            </w:r>
          </w:p>
        </w:tc>
        <w:tc>
          <w:tcPr>
            <w:tcW w:w="1984" w:type="dxa"/>
            <w:vAlign w:val="center"/>
          </w:tcPr>
          <w:p>
            <w:r>
              <w:t>内容</w:t>
            </w:r>
          </w:p>
        </w:tc>
        <w:tc>
          <w:tcPr>
            <w:tcW w:w="1984" w:type="dxa"/>
          </w:tcPr>
          <w:p>
            <w: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vMerge w:val="restart"/>
            <w:vAlign w:val="center"/>
          </w:tcPr>
          <w:p>
            <w:r>
              <w:t>1</w:t>
            </w:r>
          </w:p>
        </w:tc>
        <w:tc>
          <w:tcPr>
            <w:tcW w:w="1434" w:type="dxa"/>
            <w:vMerge w:val="restart"/>
            <w:vAlign w:val="center"/>
          </w:tcPr>
          <w:p>
            <w:r>
              <w:t>学生公寓楼</w:t>
            </w:r>
          </w:p>
        </w:tc>
        <w:tc>
          <w:tcPr>
            <w:tcW w:w="1134" w:type="dxa"/>
            <w:vMerge w:val="restart"/>
            <w:vAlign w:val="center"/>
          </w:tcPr>
          <w:p>
            <w:r>
              <w:t>6幢</w:t>
            </w:r>
          </w:p>
        </w:tc>
        <w:tc>
          <w:tcPr>
            <w:tcW w:w="1418" w:type="dxa"/>
            <w:vMerge w:val="restart"/>
            <w:vAlign w:val="center"/>
          </w:tcPr>
          <w:p>
            <w:r>
              <w:t>建筑面积约5.6万平方米，床位约6000个</w:t>
            </w:r>
          </w:p>
        </w:tc>
        <w:tc>
          <w:tcPr>
            <w:tcW w:w="1984" w:type="dxa"/>
            <w:vMerge w:val="restart"/>
            <w:vAlign w:val="center"/>
          </w:tcPr>
          <w:p>
            <w:r>
              <w:t>管理(含人员管理、各类设备设施、共用区域管理)、零星维修(含设备设施联系报修)、保洁等</w:t>
            </w:r>
          </w:p>
        </w:tc>
        <w:tc>
          <w:tcPr>
            <w:tcW w:w="1984" w:type="dxa"/>
            <w:vAlign w:val="center"/>
          </w:tcPr>
          <w:p>
            <w:r>
              <w:t>保洁员2人/幢，值班员3人/幢，合计30人。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vMerge w:val="continue"/>
            <w:vAlign w:val="center"/>
          </w:tcPr>
          <w:p>
            <w:pPr>
              <w:spacing w:line="360" w:lineRule="auto"/>
              <w:jc w:val="center"/>
              <w:rPr>
                <w:rFonts w:ascii="宋体" w:hAnsi="宋体" w:cs="宋体"/>
                <w:b/>
                <w:sz w:val="24"/>
                <w:szCs w:val="24"/>
              </w:rPr>
            </w:pPr>
          </w:p>
        </w:tc>
        <w:tc>
          <w:tcPr>
            <w:tcW w:w="1434" w:type="dxa"/>
            <w:vMerge w:val="continue"/>
            <w:vAlign w:val="center"/>
          </w:tcPr>
          <w:p>
            <w:pPr>
              <w:spacing w:line="360" w:lineRule="auto"/>
              <w:rPr>
                <w:rFonts w:ascii="宋体" w:hAnsi="宋体" w:cs="宋体"/>
                <w:sz w:val="24"/>
                <w:szCs w:val="24"/>
              </w:rPr>
            </w:pPr>
          </w:p>
        </w:tc>
        <w:tc>
          <w:tcPr>
            <w:tcW w:w="1134" w:type="dxa"/>
            <w:vMerge w:val="continue"/>
            <w:vAlign w:val="center"/>
          </w:tcPr>
          <w:p>
            <w:pPr>
              <w:spacing w:line="360" w:lineRule="auto"/>
              <w:jc w:val="center"/>
              <w:rPr>
                <w:rFonts w:ascii="宋体" w:hAnsi="宋体" w:cs="宋体"/>
                <w:sz w:val="24"/>
                <w:szCs w:val="24"/>
              </w:rPr>
            </w:pPr>
          </w:p>
        </w:tc>
        <w:tc>
          <w:tcPr>
            <w:tcW w:w="1418" w:type="dxa"/>
            <w:vMerge w:val="continue"/>
            <w:vAlign w:val="center"/>
          </w:tcPr>
          <w:p>
            <w:pPr>
              <w:spacing w:line="360" w:lineRule="auto"/>
              <w:jc w:val="center"/>
              <w:rPr>
                <w:rFonts w:ascii="宋体" w:hAnsi="宋体" w:cs="宋体"/>
                <w:sz w:val="24"/>
                <w:szCs w:val="24"/>
              </w:rPr>
            </w:pPr>
          </w:p>
        </w:tc>
        <w:tc>
          <w:tcPr>
            <w:tcW w:w="1984" w:type="dxa"/>
            <w:vMerge w:val="continue"/>
            <w:vAlign w:val="center"/>
          </w:tcPr>
          <w:p>
            <w:pPr>
              <w:spacing w:line="360" w:lineRule="auto"/>
              <w:rPr>
                <w:rFonts w:ascii="宋体" w:hAnsi="宋体" w:cs="宋体"/>
                <w:sz w:val="24"/>
                <w:szCs w:val="24"/>
              </w:rPr>
            </w:pPr>
          </w:p>
        </w:tc>
        <w:tc>
          <w:tcPr>
            <w:tcW w:w="1984" w:type="dxa"/>
            <w:vAlign w:val="center"/>
          </w:tcPr>
          <w:p>
            <w:r>
              <w:t>综合维修工2人，负责学生寓室日常水电门窗零星维修。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vMerge w:val="continue"/>
            <w:vAlign w:val="center"/>
          </w:tcPr>
          <w:p>
            <w:pPr>
              <w:spacing w:line="360" w:lineRule="auto"/>
              <w:jc w:val="center"/>
              <w:rPr>
                <w:rFonts w:ascii="宋体" w:hAnsi="宋体" w:cs="宋体"/>
                <w:b/>
                <w:sz w:val="24"/>
                <w:szCs w:val="24"/>
              </w:rPr>
            </w:pPr>
          </w:p>
        </w:tc>
        <w:tc>
          <w:tcPr>
            <w:tcW w:w="1434" w:type="dxa"/>
            <w:vMerge w:val="continue"/>
            <w:vAlign w:val="center"/>
          </w:tcPr>
          <w:p>
            <w:pPr>
              <w:spacing w:line="360" w:lineRule="auto"/>
              <w:rPr>
                <w:rFonts w:ascii="宋体" w:hAnsi="宋体" w:cs="宋体"/>
                <w:sz w:val="24"/>
                <w:szCs w:val="24"/>
              </w:rPr>
            </w:pPr>
          </w:p>
        </w:tc>
        <w:tc>
          <w:tcPr>
            <w:tcW w:w="1134" w:type="dxa"/>
            <w:vMerge w:val="continue"/>
            <w:vAlign w:val="center"/>
          </w:tcPr>
          <w:p>
            <w:pPr>
              <w:spacing w:line="360" w:lineRule="auto"/>
              <w:jc w:val="center"/>
              <w:rPr>
                <w:rFonts w:ascii="宋体" w:hAnsi="宋体" w:cs="宋体"/>
                <w:sz w:val="24"/>
                <w:szCs w:val="24"/>
              </w:rPr>
            </w:pPr>
          </w:p>
        </w:tc>
        <w:tc>
          <w:tcPr>
            <w:tcW w:w="1418" w:type="dxa"/>
            <w:vMerge w:val="continue"/>
            <w:vAlign w:val="center"/>
          </w:tcPr>
          <w:p>
            <w:pPr>
              <w:spacing w:line="360" w:lineRule="auto"/>
              <w:jc w:val="center"/>
              <w:rPr>
                <w:rFonts w:ascii="宋体" w:hAnsi="宋体" w:cs="宋体"/>
                <w:sz w:val="24"/>
                <w:szCs w:val="24"/>
              </w:rPr>
            </w:pPr>
          </w:p>
        </w:tc>
        <w:tc>
          <w:tcPr>
            <w:tcW w:w="1984" w:type="dxa"/>
            <w:vMerge w:val="continue"/>
            <w:vAlign w:val="center"/>
          </w:tcPr>
          <w:p>
            <w:pPr>
              <w:spacing w:line="360" w:lineRule="auto"/>
              <w:rPr>
                <w:rFonts w:ascii="宋体" w:hAnsi="宋体" w:cs="宋体"/>
                <w:sz w:val="24"/>
                <w:szCs w:val="24"/>
              </w:rPr>
            </w:pPr>
          </w:p>
        </w:tc>
        <w:tc>
          <w:tcPr>
            <w:tcW w:w="1984" w:type="dxa"/>
          </w:tcPr>
          <w:p>
            <w:r>
              <w:t>公寓管理主管1人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88" w:type="dxa"/>
            <w:vAlign w:val="center"/>
          </w:tcPr>
          <w:p>
            <w:r>
              <w:t>合计</w:t>
            </w:r>
          </w:p>
        </w:tc>
        <w:tc>
          <w:tcPr>
            <w:tcW w:w="5970" w:type="dxa"/>
            <w:gridSpan w:val="4"/>
            <w:vAlign w:val="center"/>
          </w:tcPr>
          <w:p>
            <w:pPr>
              <w:spacing w:line="360" w:lineRule="auto"/>
              <w:rPr>
                <w:rFonts w:ascii="宋体" w:hAnsi="宋体" w:cs="宋体"/>
                <w:sz w:val="24"/>
                <w:szCs w:val="24"/>
              </w:rPr>
            </w:pPr>
          </w:p>
        </w:tc>
        <w:tc>
          <w:tcPr>
            <w:tcW w:w="1984" w:type="dxa"/>
            <w:vAlign w:val="center"/>
          </w:tcPr>
          <w:p>
            <w:r>
              <w:t>33人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88" w:type="dxa"/>
            <w:vAlign w:val="center"/>
          </w:tcPr>
          <w:p>
            <w:r>
              <w:t>备注</w:t>
            </w:r>
          </w:p>
        </w:tc>
        <w:tc>
          <w:tcPr>
            <w:tcW w:w="7954" w:type="dxa"/>
            <w:gridSpan w:val="5"/>
            <w:vAlign w:val="center"/>
          </w:tcPr>
          <w:p>
            <w:r>
              <w:t>学生公寓区域内发生的单项价格300元以下维修耗材承包经费之内，由承包单位负责</w:t>
            </w:r>
          </w:p>
        </w:tc>
      </w:tr>
    </w:tbl>
    <w:p>
      <w:pPr>
        <w:spacing w:line="360" w:lineRule="auto"/>
        <w:ind w:firstLine="540" w:firstLineChars="192"/>
        <w:rPr>
          <w:rFonts w:ascii="宋体" w:hAnsi="宋体" w:cs="宋体"/>
          <w:b/>
          <w:sz w:val="28"/>
          <w:szCs w:val="28"/>
        </w:rPr>
      </w:pPr>
      <w:r>
        <w:t>2、清卫保洁范围</w:t>
      </w:r>
    </w:p>
    <w:tbl>
      <w:tblPr>
        <w:tblStyle w:val="59"/>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276"/>
        <w:gridCol w:w="673"/>
        <w:gridCol w:w="744"/>
        <w:gridCol w:w="3969"/>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2" w:type="dxa"/>
            <w:vAlign w:val="center"/>
          </w:tcPr>
          <w:p>
            <w:r>
              <w:t>序号</w:t>
            </w:r>
          </w:p>
        </w:tc>
        <w:tc>
          <w:tcPr>
            <w:tcW w:w="1276" w:type="dxa"/>
            <w:vAlign w:val="center"/>
          </w:tcPr>
          <w:p>
            <w:r>
              <w:t>管理范围</w:t>
            </w:r>
          </w:p>
        </w:tc>
        <w:tc>
          <w:tcPr>
            <w:tcW w:w="673" w:type="dxa"/>
            <w:vAlign w:val="center"/>
          </w:tcPr>
          <w:p>
            <w:r>
              <w:t>层数</w:t>
            </w:r>
          </w:p>
        </w:tc>
        <w:tc>
          <w:tcPr>
            <w:tcW w:w="744" w:type="dxa"/>
            <w:vAlign w:val="center"/>
          </w:tcPr>
          <w:p>
            <w:r>
              <w:t>面积</w:t>
              <w:br/>
              <w:t>(㎡)</w:t>
            </w:r>
          </w:p>
        </w:tc>
        <w:tc>
          <w:tcPr>
            <w:tcW w:w="3969" w:type="dxa"/>
            <w:vAlign w:val="center"/>
          </w:tcPr>
          <w:p>
            <w:r>
              <w:t>内  容</w:t>
            </w:r>
          </w:p>
        </w:tc>
        <w:tc>
          <w:tcPr>
            <w:tcW w:w="1331" w:type="dxa"/>
            <w:vAlign w:val="center"/>
          </w:tcPr>
          <w:p>
            <w: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62" w:type="dxa"/>
            <w:vMerge w:val="restart"/>
            <w:vAlign w:val="center"/>
          </w:tcPr>
          <w:p>
            <w:r>
              <w:t>1</w:t>
            </w:r>
          </w:p>
        </w:tc>
        <w:tc>
          <w:tcPr>
            <w:tcW w:w="1276" w:type="dxa"/>
            <w:vAlign w:val="center"/>
          </w:tcPr>
          <w:p>
            <w:r>
              <w:t>1#教学楼</w:t>
            </w:r>
          </w:p>
        </w:tc>
        <w:tc>
          <w:tcPr>
            <w:tcW w:w="673" w:type="dxa"/>
            <w:vAlign w:val="center"/>
          </w:tcPr>
          <w:p>
            <w:r>
              <w:t>5</w:t>
            </w:r>
          </w:p>
        </w:tc>
        <w:tc>
          <w:tcPr>
            <w:tcW w:w="744" w:type="dxa"/>
            <w:vMerge w:val="restart"/>
            <w:vAlign w:val="center"/>
          </w:tcPr>
          <w:p>
            <w:r>
              <w:t>13600</w:t>
            </w:r>
          </w:p>
        </w:tc>
        <w:tc>
          <w:tcPr>
            <w:tcW w:w="3969" w:type="dxa"/>
            <w:vMerge w:val="restart"/>
            <w:vAlign w:val="center"/>
          </w:tcPr>
          <w:p>
            <w:r>
              <w:t>大小报告厅、阶梯教室、走廊、楼梯、扶手、洗手间、公共区设施、电脑教室、教室（整幢）</w:t>
            </w:r>
          </w:p>
        </w:tc>
        <w:tc>
          <w:tcPr>
            <w:tcW w:w="1331" w:type="dxa"/>
            <w:vMerge w:val="restart"/>
            <w:vAlign w:val="center"/>
          </w:tcPr>
          <w:p>
            <w:r>
              <w:t>保洁员2人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62" w:type="dxa"/>
            <w:vMerge w:val="continue"/>
            <w:vAlign w:val="center"/>
          </w:tcPr>
          <w:p>
            <w:pPr>
              <w:spacing w:line="360" w:lineRule="auto"/>
              <w:jc w:val="center"/>
              <w:rPr>
                <w:rFonts w:ascii="宋体" w:hAnsi="宋体" w:cs="宋体"/>
                <w:b/>
                <w:sz w:val="24"/>
                <w:szCs w:val="24"/>
              </w:rPr>
            </w:pPr>
          </w:p>
        </w:tc>
        <w:tc>
          <w:tcPr>
            <w:tcW w:w="1276" w:type="dxa"/>
            <w:vAlign w:val="center"/>
          </w:tcPr>
          <w:p>
            <w:r>
              <w:t>2#实训楼</w:t>
            </w:r>
          </w:p>
        </w:tc>
        <w:tc>
          <w:tcPr>
            <w:tcW w:w="673" w:type="dxa"/>
            <w:vAlign w:val="center"/>
          </w:tcPr>
          <w:p>
            <w:r>
              <w:t>3</w:t>
            </w:r>
          </w:p>
        </w:tc>
        <w:tc>
          <w:tcPr>
            <w:tcW w:w="744" w:type="dxa"/>
            <w:vMerge w:val="continue"/>
            <w:vAlign w:val="center"/>
          </w:tcPr>
          <w:p>
            <w:pPr>
              <w:spacing w:line="360" w:lineRule="auto"/>
              <w:jc w:val="center"/>
              <w:rPr>
                <w:rFonts w:ascii="宋体" w:hAnsi="宋体" w:cs="宋体"/>
                <w:sz w:val="24"/>
                <w:szCs w:val="24"/>
              </w:rPr>
            </w:pPr>
          </w:p>
        </w:tc>
        <w:tc>
          <w:tcPr>
            <w:tcW w:w="3969" w:type="dxa"/>
            <w:vMerge w:val="continue"/>
            <w:vAlign w:val="center"/>
          </w:tcPr>
          <w:p>
            <w:pPr>
              <w:spacing w:line="360" w:lineRule="auto"/>
              <w:rPr>
                <w:rFonts w:ascii="宋体" w:hAnsi="宋体" w:cs="宋体"/>
                <w:sz w:val="24"/>
                <w:szCs w:val="24"/>
              </w:rPr>
            </w:pPr>
          </w:p>
        </w:tc>
        <w:tc>
          <w:tcPr>
            <w:tcW w:w="1331" w:type="dxa"/>
            <w:vMerge w:val="continue"/>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62" w:type="dxa"/>
            <w:vAlign w:val="center"/>
          </w:tcPr>
          <w:p>
            <w:r>
              <w:t>2</w:t>
            </w:r>
          </w:p>
        </w:tc>
        <w:tc>
          <w:tcPr>
            <w:tcW w:w="1276" w:type="dxa"/>
            <w:vAlign w:val="center"/>
          </w:tcPr>
          <w:p>
            <w:r>
              <w:t>2#教学楼</w:t>
            </w:r>
          </w:p>
        </w:tc>
        <w:tc>
          <w:tcPr>
            <w:tcW w:w="673" w:type="dxa"/>
            <w:vAlign w:val="center"/>
          </w:tcPr>
          <w:p>
            <w:r>
              <w:t>2</w:t>
            </w:r>
          </w:p>
        </w:tc>
        <w:tc>
          <w:tcPr>
            <w:tcW w:w="744" w:type="dxa"/>
            <w:vAlign w:val="center"/>
          </w:tcPr>
          <w:p>
            <w:r>
              <w:t>2480</w:t>
            </w:r>
          </w:p>
        </w:tc>
        <w:tc>
          <w:tcPr>
            <w:tcW w:w="3969" w:type="dxa"/>
            <w:vAlign w:val="center"/>
          </w:tcPr>
          <w:p>
            <w:r>
              <w:t>阶梯教室、走廊、楼梯、扶手、洗手间、公共区设施（整幢）</w:t>
            </w:r>
          </w:p>
        </w:tc>
        <w:tc>
          <w:tcPr>
            <w:tcW w:w="1331" w:type="dxa"/>
            <w:vAlign w:val="center"/>
          </w:tcPr>
          <w:p>
            <w:r>
              <w:t>保洁员1人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62" w:type="dxa"/>
            <w:vAlign w:val="center"/>
          </w:tcPr>
          <w:p>
            <w:r>
              <w:t>3</w:t>
            </w:r>
          </w:p>
        </w:tc>
        <w:tc>
          <w:tcPr>
            <w:tcW w:w="1276" w:type="dxa"/>
            <w:vAlign w:val="center"/>
          </w:tcPr>
          <w:p>
            <w:r>
              <w:t>3#教学楼</w:t>
            </w:r>
          </w:p>
        </w:tc>
        <w:tc>
          <w:tcPr>
            <w:tcW w:w="673" w:type="dxa"/>
            <w:vAlign w:val="center"/>
          </w:tcPr>
          <w:p>
            <w:r>
              <w:t>6</w:t>
            </w:r>
          </w:p>
        </w:tc>
        <w:tc>
          <w:tcPr>
            <w:tcW w:w="744" w:type="dxa"/>
            <w:vAlign w:val="center"/>
          </w:tcPr>
          <w:p>
            <w:r>
              <w:t>9000</w:t>
            </w:r>
          </w:p>
        </w:tc>
        <w:tc>
          <w:tcPr>
            <w:tcW w:w="3969" w:type="dxa"/>
            <w:vAlign w:val="center"/>
          </w:tcPr>
          <w:p>
            <w:r>
              <w:t>电脑教室、教室、阶梯教室、走廊、楼梯、扶手、洗手间、教室课间休息室、公共区设施（整幢）</w:t>
            </w:r>
          </w:p>
        </w:tc>
        <w:tc>
          <w:tcPr>
            <w:tcW w:w="1331" w:type="dxa"/>
            <w:vAlign w:val="center"/>
          </w:tcPr>
          <w:p>
            <w:r>
              <w:t>保洁员3人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62" w:type="dxa"/>
            <w:vMerge w:val="restart"/>
            <w:vAlign w:val="center"/>
          </w:tcPr>
          <w:p>
            <w:r>
              <w:t>4</w:t>
            </w:r>
          </w:p>
        </w:tc>
        <w:tc>
          <w:tcPr>
            <w:tcW w:w="1276" w:type="dxa"/>
            <w:vAlign w:val="center"/>
          </w:tcPr>
          <w:p>
            <w:r>
              <w:t>1#实训楼</w:t>
              <w:br/>
              <w:t>1#实验楼</w:t>
            </w:r>
          </w:p>
        </w:tc>
        <w:tc>
          <w:tcPr>
            <w:tcW w:w="673" w:type="dxa"/>
            <w:vAlign w:val="center"/>
          </w:tcPr>
          <w:p>
            <w:r>
              <w:t>4</w:t>
            </w:r>
          </w:p>
        </w:tc>
        <w:tc>
          <w:tcPr>
            <w:tcW w:w="744" w:type="dxa"/>
            <w:vMerge w:val="restart"/>
            <w:vAlign w:val="center"/>
          </w:tcPr>
          <w:p>
            <w:r>
              <w:t>16000</w:t>
            </w:r>
          </w:p>
        </w:tc>
        <w:tc>
          <w:tcPr>
            <w:tcW w:w="3969" w:type="dxa"/>
            <w:vMerge w:val="restart"/>
            <w:vAlign w:val="center"/>
          </w:tcPr>
          <w:p>
            <w:r>
              <w:t>走廊、楼梯、扶手、洗手间、公共区设施、内应急处理</w:t>
            </w:r>
          </w:p>
        </w:tc>
        <w:tc>
          <w:tcPr>
            <w:tcW w:w="1331" w:type="dxa"/>
            <w:vMerge w:val="restart"/>
            <w:vAlign w:val="center"/>
          </w:tcPr>
          <w:p>
            <w:r>
              <w:t>保洁员2人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62" w:type="dxa"/>
            <w:vMerge w:val="continue"/>
            <w:vAlign w:val="center"/>
          </w:tcPr>
          <w:p>
            <w:pPr>
              <w:spacing w:line="360" w:lineRule="auto"/>
              <w:jc w:val="center"/>
              <w:rPr>
                <w:rFonts w:ascii="宋体" w:hAnsi="宋体" w:cs="宋体"/>
                <w:b/>
                <w:sz w:val="24"/>
                <w:szCs w:val="24"/>
              </w:rPr>
            </w:pPr>
          </w:p>
        </w:tc>
        <w:tc>
          <w:tcPr>
            <w:tcW w:w="1276" w:type="dxa"/>
            <w:vAlign w:val="center"/>
          </w:tcPr>
          <w:p>
            <w:r>
              <w:t>2#实验楼</w:t>
            </w:r>
          </w:p>
        </w:tc>
        <w:tc>
          <w:tcPr>
            <w:tcW w:w="673" w:type="dxa"/>
            <w:vAlign w:val="center"/>
          </w:tcPr>
          <w:p>
            <w:r>
              <w:t>6</w:t>
            </w:r>
          </w:p>
        </w:tc>
        <w:tc>
          <w:tcPr>
            <w:tcW w:w="744" w:type="dxa"/>
            <w:vMerge w:val="continue"/>
            <w:vAlign w:val="center"/>
          </w:tcPr>
          <w:p>
            <w:pPr>
              <w:spacing w:line="360" w:lineRule="auto"/>
              <w:jc w:val="center"/>
              <w:rPr>
                <w:rFonts w:ascii="宋体" w:hAnsi="宋体" w:cs="宋体"/>
                <w:sz w:val="24"/>
                <w:szCs w:val="24"/>
              </w:rPr>
            </w:pPr>
          </w:p>
        </w:tc>
        <w:tc>
          <w:tcPr>
            <w:tcW w:w="3969" w:type="dxa"/>
            <w:vMerge w:val="continue"/>
            <w:vAlign w:val="center"/>
          </w:tcPr>
          <w:p>
            <w:pPr>
              <w:spacing w:line="360" w:lineRule="auto"/>
              <w:rPr>
                <w:rFonts w:ascii="宋体" w:hAnsi="宋体" w:cs="宋体"/>
                <w:sz w:val="24"/>
                <w:szCs w:val="24"/>
              </w:rPr>
            </w:pPr>
          </w:p>
        </w:tc>
        <w:tc>
          <w:tcPr>
            <w:tcW w:w="1331" w:type="dxa"/>
            <w:vMerge w:val="continue"/>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Merge w:val="restart"/>
            <w:vAlign w:val="center"/>
          </w:tcPr>
          <w:p>
            <w:r>
              <w:t>5</w:t>
            </w:r>
          </w:p>
        </w:tc>
        <w:tc>
          <w:tcPr>
            <w:tcW w:w="1276" w:type="dxa"/>
            <w:vAlign w:val="center"/>
          </w:tcPr>
          <w:p>
            <w:r>
              <w:t>体育馆</w:t>
            </w:r>
          </w:p>
        </w:tc>
        <w:tc>
          <w:tcPr>
            <w:tcW w:w="673" w:type="dxa"/>
            <w:vAlign w:val="center"/>
          </w:tcPr>
          <w:p>
            <w:r>
              <w:t>3</w:t>
            </w:r>
          </w:p>
        </w:tc>
        <w:tc>
          <w:tcPr>
            <w:tcW w:w="744" w:type="dxa"/>
            <w:vMerge w:val="restart"/>
            <w:vAlign w:val="center"/>
          </w:tcPr>
          <w:p>
            <w:r>
              <w:t>24500</w:t>
            </w:r>
          </w:p>
        </w:tc>
        <w:tc>
          <w:tcPr>
            <w:tcW w:w="3969" w:type="dxa"/>
            <w:vMerge w:val="restart"/>
            <w:vAlign w:val="center"/>
          </w:tcPr>
          <w:p>
            <w:r>
              <w:t>健身房、乒乓球室、室内篮球室、内外洗手间、公共区设施、办公室应急、体育场、篮球场整体范围</w:t>
            </w:r>
          </w:p>
        </w:tc>
        <w:tc>
          <w:tcPr>
            <w:tcW w:w="1331" w:type="dxa"/>
            <w:vMerge w:val="restart"/>
            <w:vAlign w:val="center"/>
          </w:tcPr>
          <w:p>
            <w:r>
              <w:t>保洁员1人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62" w:type="dxa"/>
            <w:vMerge w:val="continue"/>
            <w:vAlign w:val="center"/>
          </w:tcPr>
          <w:p>
            <w:pPr>
              <w:spacing w:line="360" w:lineRule="auto"/>
              <w:jc w:val="center"/>
              <w:rPr>
                <w:rFonts w:ascii="宋体" w:hAnsi="宋体" w:cs="宋体"/>
                <w:b/>
                <w:sz w:val="24"/>
                <w:szCs w:val="24"/>
              </w:rPr>
            </w:pPr>
          </w:p>
        </w:tc>
        <w:tc>
          <w:tcPr>
            <w:tcW w:w="1276" w:type="dxa"/>
            <w:vAlign w:val="center"/>
          </w:tcPr>
          <w:p>
            <w:r>
              <w:t>篮球场</w:t>
            </w:r>
          </w:p>
        </w:tc>
        <w:tc>
          <w:tcPr>
            <w:tcW w:w="673" w:type="dxa"/>
            <w:vAlign w:val="center"/>
          </w:tcPr>
          <w:p>
            <w:pPr>
              <w:spacing w:line="360" w:lineRule="auto"/>
              <w:jc w:val="center"/>
              <w:rPr>
                <w:rFonts w:ascii="宋体" w:hAnsi="宋体" w:cs="宋体"/>
                <w:sz w:val="24"/>
                <w:szCs w:val="24"/>
              </w:rPr>
            </w:pPr>
          </w:p>
        </w:tc>
        <w:tc>
          <w:tcPr>
            <w:tcW w:w="744" w:type="dxa"/>
            <w:vMerge w:val="continue"/>
            <w:vAlign w:val="center"/>
          </w:tcPr>
          <w:p>
            <w:pPr>
              <w:spacing w:line="360" w:lineRule="auto"/>
              <w:jc w:val="center"/>
              <w:rPr>
                <w:rFonts w:ascii="宋体" w:hAnsi="宋体" w:cs="宋体"/>
                <w:sz w:val="24"/>
                <w:szCs w:val="24"/>
              </w:rPr>
            </w:pPr>
          </w:p>
        </w:tc>
        <w:tc>
          <w:tcPr>
            <w:tcW w:w="3969" w:type="dxa"/>
            <w:vMerge w:val="continue"/>
            <w:vAlign w:val="center"/>
          </w:tcPr>
          <w:p>
            <w:pPr>
              <w:spacing w:line="360" w:lineRule="auto"/>
              <w:rPr>
                <w:rFonts w:ascii="宋体" w:hAnsi="宋体" w:cs="宋体"/>
                <w:sz w:val="24"/>
                <w:szCs w:val="24"/>
              </w:rPr>
            </w:pPr>
          </w:p>
        </w:tc>
        <w:tc>
          <w:tcPr>
            <w:tcW w:w="1331" w:type="dxa"/>
            <w:vMerge w:val="continue"/>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62" w:type="dxa"/>
            <w:vMerge w:val="continue"/>
            <w:vAlign w:val="center"/>
          </w:tcPr>
          <w:p>
            <w:pPr>
              <w:spacing w:line="360" w:lineRule="auto"/>
              <w:jc w:val="center"/>
              <w:rPr>
                <w:rFonts w:ascii="宋体" w:hAnsi="宋体" w:cs="宋体"/>
                <w:b/>
                <w:sz w:val="24"/>
                <w:szCs w:val="24"/>
              </w:rPr>
            </w:pPr>
          </w:p>
        </w:tc>
        <w:tc>
          <w:tcPr>
            <w:tcW w:w="1276" w:type="dxa"/>
            <w:vAlign w:val="center"/>
          </w:tcPr>
          <w:p>
            <w:r>
              <w:t>体育场</w:t>
            </w:r>
          </w:p>
        </w:tc>
        <w:tc>
          <w:tcPr>
            <w:tcW w:w="673" w:type="dxa"/>
            <w:vAlign w:val="center"/>
          </w:tcPr>
          <w:p>
            <w:pPr>
              <w:spacing w:line="360" w:lineRule="auto"/>
              <w:jc w:val="center"/>
              <w:rPr>
                <w:rFonts w:ascii="宋体" w:hAnsi="宋体" w:cs="宋体"/>
                <w:sz w:val="24"/>
                <w:szCs w:val="24"/>
              </w:rPr>
            </w:pPr>
          </w:p>
        </w:tc>
        <w:tc>
          <w:tcPr>
            <w:tcW w:w="744" w:type="dxa"/>
            <w:vMerge w:val="continue"/>
            <w:vAlign w:val="center"/>
          </w:tcPr>
          <w:p>
            <w:pPr>
              <w:spacing w:line="360" w:lineRule="auto"/>
              <w:jc w:val="center"/>
              <w:rPr>
                <w:rFonts w:ascii="宋体" w:hAnsi="宋体" w:cs="宋体"/>
                <w:sz w:val="24"/>
                <w:szCs w:val="24"/>
              </w:rPr>
            </w:pPr>
          </w:p>
        </w:tc>
        <w:tc>
          <w:tcPr>
            <w:tcW w:w="3969" w:type="dxa"/>
            <w:vMerge w:val="continue"/>
            <w:vAlign w:val="center"/>
          </w:tcPr>
          <w:p>
            <w:pPr>
              <w:spacing w:line="360" w:lineRule="auto"/>
              <w:rPr>
                <w:rFonts w:ascii="宋体" w:hAnsi="宋体" w:cs="宋体"/>
                <w:sz w:val="24"/>
                <w:szCs w:val="24"/>
              </w:rPr>
            </w:pPr>
          </w:p>
        </w:tc>
        <w:tc>
          <w:tcPr>
            <w:tcW w:w="1331" w:type="dxa"/>
            <w:vMerge w:val="continue"/>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962" w:type="dxa"/>
            <w:vAlign w:val="center"/>
          </w:tcPr>
          <w:p>
            <w:r>
              <w:t>6</w:t>
            </w:r>
          </w:p>
        </w:tc>
        <w:tc>
          <w:tcPr>
            <w:tcW w:w="1276" w:type="dxa"/>
            <w:vAlign w:val="center"/>
          </w:tcPr>
          <w:p>
            <w:r>
              <w:t>图书馆</w:t>
            </w:r>
          </w:p>
        </w:tc>
        <w:tc>
          <w:tcPr>
            <w:tcW w:w="673" w:type="dxa"/>
            <w:vAlign w:val="center"/>
          </w:tcPr>
          <w:p>
            <w:r>
              <w:t>5</w:t>
            </w:r>
          </w:p>
        </w:tc>
        <w:tc>
          <w:tcPr>
            <w:tcW w:w="744" w:type="dxa"/>
            <w:vAlign w:val="center"/>
          </w:tcPr>
          <w:p>
            <w:r>
              <w:t>10000</w:t>
            </w:r>
          </w:p>
        </w:tc>
        <w:tc>
          <w:tcPr>
            <w:tcW w:w="3969" w:type="dxa"/>
            <w:vAlign w:val="center"/>
          </w:tcPr>
          <w:p>
            <w:r>
              <w:t>电脑室、阅览室、书库、书架、桌椅、扶手、洗手间、走廊、公共区设施（整幢）</w:t>
            </w:r>
          </w:p>
        </w:tc>
        <w:tc>
          <w:tcPr>
            <w:tcW w:w="1331" w:type="dxa"/>
            <w:vAlign w:val="center"/>
          </w:tcPr>
          <w:p>
            <w:r>
              <w:t>保洁员2人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962" w:type="dxa"/>
            <w:vAlign w:val="center"/>
          </w:tcPr>
          <w:p>
            <w:r>
              <w:t>7</w:t>
            </w:r>
          </w:p>
        </w:tc>
        <w:tc>
          <w:tcPr>
            <w:tcW w:w="1276" w:type="dxa"/>
            <w:vAlign w:val="center"/>
          </w:tcPr>
          <w:p>
            <w:r>
              <w:t>活动中心</w:t>
            </w:r>
          </w:p>
        </w:tc>
        <w:tc>
          <w:tcPr>
            <w:tcW w:w="673" w:type="dxa"/>
            <w:vAlign w:val="center"/>
          </w:tcPr>
          <w:p>
            <w:r>
              <w:t>5</w:t>
            </w:r>
          </w:p>
        </w:tc>
        <w:tc>
          <w:tcPr>
            <w:tcW w:w="744" w:type="dxa"/>
            <w:vAlign w:val="center"/>
          </w:tcPr>
          <w:p>
            <w:r>
              <w:t>7464</w:t>
            </w:r>
          </w:p>
        </w:tc>
        <w:tc>
          <w:tcPr>
            <w:tcW w:w="3969" w:type="dxa"/>
            <w:vAlign w:val="center"/>
          </w:tcPr>
          <w:p>
            <w:r>
              <w:t>报告厅、影视厅、党员之家、楼梯、扶手、洗手间、走廊、公共区设施</w:t>
            </w:r>
          </w:p>
        </w:tc>
        <w:tc>
          <w:tcPr>
            <w:tcW w:w="1331" w:type="dxa"/>
            <w:vAlign w:val="center"/>
          </w:tcPr>
          <w:p>
            <w:r>
              <w:t>保洁员1人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r>
              <w:t>8</w:t>
            </w:r>
          </w:p>
        </w:tc>
        <w:tc>
          <w:tcPr>
            <w:tcW w:w="1276" w:type="dxa"/>
            <w:vAlign w:val="center"/>
          </w:tcPr>
          <w:p>
            <w:r>
              <w:t>专家楼</w:t>
            </w:r>
          </w:p>
        </w:tc>
        <w:tc>
          <w:tcPr>
            <w:tcW w:w="673" w:type="dxa"/>
            <w:vAlign w:val="center"/>
          </w:tcPr>
          <w:p>
            <w:r>
              <w:t>4</w:t>
            </w:r>
          </w:p>
        </w:tc>
        <w:tc>
          <w:tcPr>
            <w:tcW w:w="744" w:type="dxa"/>
            <w:vAlign w:val="center"/>
          </w:tcPr>
          <w:p>
            <w:r>
              <w:t>1960</w:t>
            </w:r>
          </w:p>
        </w:tc>
        <w:tc>
          <w:tcPr>
            <w:tcW w:w="3969" w:type="dxa"/>
            <w:vAlign w:val="center"/>
          </w:tcPr>
          <w:p>
            <w:r>
              <w:t>专家楼楼梯、扶手、公共区设施</w:t>
            </w:r>
          </w:p>
        </w:tc>
        <w:tc>
          <w:tcPr>
            <w:tcW w:w="1331" w:type="dxa"/>
            <w:vMerge w:val="restart"/>
            <w:vAlign w:val="center"/>
          </w:tcPr>
          <w:p>
            <w:r>
              <w:t>保洁员1人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r>
              <w:t>9</w:t>
            </w:r>
          </w:p>
        </w:tc>
        <w:tc>
          <w:tcPr>
            <w:tcW w:w="1276" w:type="dxa"/>
            <w:vAlign w:val="center"/>
          </w:tcPr>
          <w:p>
            <w:r>
              <w:t>门面房</w:t>
            </w:r>
          </w:p>
        </w:tc>
        <w:tc>
          <w:tcPr>
            <w:tcW w:w="673" w:type="dxa"/>
            <w:vAlign w:val="center"/>
          </w:tcPr>
          <w:p>
            <w:r>
              <w:t>2</w:t>
            </w:r>
          </w:p>
        </w:tc>
        <w:tc>
          <w:tcPr>
            <w:tcW w:w="744" w:type="dxa"/>
            <w:vAlign w:val="center"/>
          </w:tcPr>
          <w:p>
            <w:r>
              <w:t>2431</w:t>
            </w:r>
          </w:p>
        </w:tc>
        <w:tc>
          <w:tcPr>
            <w:tcW w:w="3969" w:type="dxa"/>
            <w:vAlign w:val="center"/>
          </w:tcPr>
          <w:p>
            <w:r>
              <w:t>洗手间、垃圾桶清理、公共区设施等</w:t>
            </w:r>
          </w:p>
        </w:tc>
        <w:tc>
          <w:tcPr>
            <w:tcW w:w="1331" w:type="dxa"/>
            <w:vMerge w:val="continue"/>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r>
              <w:t>10</w:t>
            </w:r>
          </w:p>
        </w:tc>
        <w:tc>
          <w:tcPr>
            <w:tcW w:w="1276" w:type="dxa"/>
            <w:vAlign w:val="center"/>
          </w:tcPr>
          <w:p>
            <w:r>
              <w:t>行政楼</w:t>
            </w:r>
          </w:p>
        </w:tc>
        <w:tc>
          <w:tcPr>
            <w:tcW w:w="673" w:type="dxa"/>
            <w:vAlign w:val="center"/>
          </w:tcPr>
          <w:p>
            <w:r>
              <w:t>13</w:t>
            </w:r>
          </w:p>
        </w:tc>
        <w:tc>
          <w:tcPr>
            <w:tcW w:w="744" w:type="dxa"/>
            <w:vAlign w:val="center"/>
          </w:tcPr>
          <w:p>
            <w:r>
              <w:t>23581</w:t>
            </w:r>
          </w:p>
        </w:tc>
        <w:tc>
          <w:tcPr>
            <w:tcW w:w="3969" w:type="dxa"/>
            <w:vAlign w:val="center"/>
          </w:tcPr>
          <w:p>
            <w:r>
              <w:t>校办指定办公室、会议室、贵宾室、会议应急、走廊、楼梯扶手、洗手间、地下通道、电梯口垃圾桶清理、值班室、配电室、教工之家、机房</w:t>
            </w:r>
          </w:p>
        </w:tc>
        <w:tc>
          <w:tcPr>
            <w:tcW w:w="1331" w:type="dxa"/>
            <w:vAlign w:val="center"/>
          </w:tcPr>
          <w:p>
            <w:r>
              <w:t>保洁员4人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r>
              <w:t>11</w:t>
            </w:r>
          </w:p>
        </w:tc>
        <w:tc>
          <w:tcPr>
            <w:tcW w:w="1276" w:type="dxa"/>
            <w:vAlign w:val="center"/>
          </w:tcPr>
          <w:p>
            <w:r>
              <w:t>专项与外围</w:t>
            </w:r>
          </w:p>
        </w:tc>
        <w:tc>
          <w:tcPr>
            <w:tcW w:w="673" w:type="dxa"/>
            <w:vAlign w:val="center"/>
          </w:tcPr>
          <w:p>
            <w:pPr>
              <w:spacing w:line="360" w:lineRule="auto"/>
              <w:jc w:val="center"/>
              <w:rPr>
                <w:rFonts w:ascii="宋体" w:hAnsi="宋体" w:cs="宋体"/>
                <w:sz w:val="24"/>
                <w:szCs w:val="24"/>
              </w:rPr>
            </w:pPr>
          </w:p>
        </w:tc>
        <w:tc>
          <w:tcPr>
            <w:tcW w:w="744" w:type="dxa"/>
            <w:vAlign w:val="center"/>
          </w:tcPr>
          <w:p>
            <w:pPr>
              <w:spacing w:line="360" w:lineRule="auto"/>
              <w:jc w:val="center"/>
              <w:rPr>
                <w:rFonts w:ascii="宋体" w:hAnsi="宋体" w:cs="宋体"/>
                <w:sz w:val="24"/>
                <w:szCs w:val="24"/>
              </w:rPr>
            </w:pPr>
          </w:p>
        </w:tc>
        <w:tc>
          <w:tcPr>
            <w:tcW w:w="3969" w:type="dxa"/>
            <w:vAlign w:val="center"/>
          </w:tcPr>
          <w:p>
            <w:r>
              <w:t>校园内道路、广场、绿化带、果壳箱、垃圾箱(场)、公共厕所、大门外安全线以内、各类宣传栏橱窗、指示牌、路灯柱、电线杆、校园玻璃、不锈钢保养、电梯保洁、宣传栏、标志牌、地毯、地毯清洗、水池清洗、雨篷清洗、6米以下应急、根据学校防疫要求完成公共区域的消毒、消杀、除“四害”工作及其他校内建筑外未涉及范围</w:t>
            </w:r>
          </w:p>
        </w:tc>
        <w:tc>
          <w:tcPr>
            <w:tcW w:w="1331" w:type="dxa"/>
            <w:vAlign w:val="center"/>
          </w:tcPr>
          <w:p>
            <w:r>
              <w:t>保洁员6人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r>
              <w:t>12</w:t>
            </w:r>
          </w:p>
        </w:tc>
        <w:tc>
          <w:tcPr>
            <w:tcW w:w="1276" w:type="dxa"/>
            <w:vAlign w:val="center"/>
          </w:tcPr>
          <w:p>
            <w:r>
              <w:t>垃圾分类专员</w:t>
            </w:r>
          </w:p>
        </w:tc>
        <w:tc>
          <w:tcPr>
            <w:tcW w:w="673" w:type="dxa"/>
            <w:vAlign w:val="center"/>
          </w:tcPr>
          <w:p>
            <w:pPr>
              <w:spacing w:line="360" w:lineRule="auto"/>
              <w:jc w:val="center"/>
              <w:rPr>
                <w:rFonts w:ascii="宋体" w:hAnsi="宋体" w:cs="宋体"/>
                <w:sz w:val="24"/>
                <w:szCs w:val="24"/>
              </w:rPr>
            </w:pPr>
          </w:p>
        </w:tc>
        <w:tc>
          <w:tcPr>
            <w:tcW w:w="744" w:type="dxa"/>
            <w:vAlign w:val="center"/>
          </w:tcPr>
          <w:p>
            <w:pPr>
              <w:spacing w:line="360" w:lineRule="auto"/>
              <w:jc w:val="center"/>
              <w:rPr>
                <w:rFonts w:ascii="宋体" w:hAnsi="宋体" w:cs="宋体"/>
                <w:sz w:val="24"/>
                <w:szCs w:val="24"/>
              </w:rPr>
            </w:pPr>
          </w:p>
        </w:tc>
        <w:tc>
          <w:tcPr>
            <w:tcW w:w="3969" w:type="dxa"/>
            <w:vAlign w:val="center"/>
          </w:tcPr>
          <w:p>
            <w:r>
              <w:t>根据宁波市关于垃圾分类文件要求，做好校区内各类垃圾的检查、分类、投放等工作(其中1-3#公寓1人、4-6#公寓1人、行政楼+教学区1人)</w:t>
            </w:r>
          </w:p>
        </w:tc>
        <w:tc>
          <w:tcPr>
            <w:tcW w:w="1331" w:type="dxa"/>
            <w:vAlign w:val="center"/>
          </w:tcPr>
          <w:p>
            <w:r>
              <w:t>保洁员3人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62" w:type="dxa"/>
            <w:vAlign w:val="center"/>
          </w:tcPr>
          <w:p>
            <w:r>
              <w:t>14</w:t>
            </w:r>
          </w:p>
        </w:tc>
        <w:tc>
          <w:tcPr>
            <w:tcW w:w="1276" w:type="dxa"/>
            <w:vAlign w:val="center"/>
          </w:tcPr>
          <w:p>
            <w:r>
              <w:t>业务主管</w:t>
            </w:r>
          </w:p>
        </w:tc>
        <w:tc>
          <w:tcPr>
            <w:tcW w:w="673" w:type="dxa"/>
            <w:vAlign w:val="center"/>
          </w:tcPr>
          <w:p>
            <w:pPr>
              <w:spacing w:line="360" w:lineRule="auto"/>
              <w:jc w:val="center"/>
              <w:rPr>
                <w:rFonts w:ascii="宋体" w:hAnsi="宋体" w:cs="宋体"/>
                <w:sz w:val="24"/>
                <w:szCs w:val="24"/>
              </w:rPr>
            </w:pPr>
          </w:p>
        </w:tc>
        <w:tc>
          <w:tcPr>
            <w:tcW w:w="744" w:type="dxa"/>
            <w:vAlign w:val="center"/>
          </w:tcPr>
          <w:p>
            <w:pPr>
              <w:spacing w:line="360" w:lineRule="auto"/>
              <w:jc w:val="center"/>
              <w:rPr>
                <w:rFonts w:ascii="宋体" w:hAnsi="宋体" w:cs="宋体"/>
                <w:sz w:val="24"/>
                <w:szCs w:val="24"/>
              </w:rPr>
            </w:pPr>
          </w:p>
        </w:tc>
        <w:tc>
          <w:tcPr>
            <w:tcW w:w="3969" w:type="dxa"/>
            <w:vAlign w:val="center"/>
          </w:tcPr>
          <w:p>
            <w:pPr>
              <w:spacing w:line="360" w:lineRule="auto"/>
              <w:rPr>
                <w:rFonts w:ascii="宋体" w:hAnsi="宋体" w:cs="宋体"/>
                <w:sz w:val="24"/>
                <w:szCs w:val="24"/>
              </w:rPr>
            </w:pPr>
          </w:p>
        </w:tc>
        <w:tc>
          <w:tcPr>
            <w:tcW w:w="1331"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238" w:type="dxa"/>
            <w:gridSpan w:val="2"/>
            <w:vAlign w:val="center"/>
          </w:tcPr>
          <w:p>
            <w:r>
              <w:t>合计</w:t>
            </w:r>
          </w:p>
        </w:tc>
        <w:tc>
          <w:tcPr>
            <w:tcW w:w="673" w:type="dxa"/>
            <w:vAlign w:val="center"/>
          </w:tcPr>
          <w:p>
            <w:pPr>
              <w:spacing w:line="360" w:lineRule="auto"/>
              <w:jc w:val="center"/>
              <w:rPr>
                <w:rFonts w:ascii="宋体" w:hAnsi="宋体" w:cs="宋体"/>
                <w:b/>
                <w:sz w:val="24"/>
                <w:szCs w:val="24"/>
              </w:rPr>
            </w:pPr>
          </w:p>
        </w:tc>
        <w:tc>
          <w:tcPr>
            <w:tcW w:w="744" w:type="dxa"/>
            <w:vAlign w:val="center"/>
          </w:tcPr>
          <w:p>
            <w:pPr>
              <w:spacing w:line="360" w:lineRule="auto"/>
              <w:jc w:val="center"/>
              <w:rPr>
                <w:rFonts w:ascii="宋体" w:hAnsi="宋体" w:cs="宋体"/>
                <w:b/>
                <w:sz w:val="24"/>
                <w:szCs w:val="24"/>
              </w:rPr>
            </w:pPr>
          </w:p>
        </w:tc>
        <w:tc>
          <w:tcPr>
            <w:tcW w:w="3969" w:type="dxa"/>
            <w:vAlign w:val="center"/>
          </w:tcPr>
          <w:p>
            <w:pPr>
              <w:spacing w:line="360" w:lineRule="auto"/>
              <w:rPr>
                <w:rFonts w:ascii="宋体" w:hAnsi="宋体" w:cs="宋体"/>
                <w:b/>
                <w:sz w:val="24"/>
                <w:szCs w:val="24"/>
              </w:rPr>
            </w:pPr>
          </w:p>
        </w:tc>
        <w:tc>
          <w:tcPr>
            <w:tcW w:w="1331" w:type="dxa"/>
            <w:vAlign w:val="center"/>
          </w:tcPr>
          <w:p>
            <w:r>
              <w:t>27人</w:t>
            </w:r>
          </w:p>
        </w:tc>
      </w:tr>
    </w:tbl>
    <w:p>
      <w:pPr>
        <w:spacing w:line="360" w:lineRule="auto"/>
        <w:ind w:firstLine="540" w:firstLineChars="192"/>
        <w:rPr>
          <w:rFonts w:ascii="宋体" w:hAnsi="宋体" w:cs="宋体"/>
          <w:b/>
          <w:sz w:val="28"/>
          <w:szCs w:val="28"/>
        </w:rPr>
      </w:pPr>
      <w:r>
        <w:t>3、绿化养护范围</w:t>
      </w:r>
    </w:p>
    <w:tbl>
      <w:tblPr>
        <w:tblStyle w:val="59"/>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276"/>
        <w:gridCol w:w="3970"/>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75" w:type="dxa"/>
            <w:vAlign w:val="center"/>
          </w:tcPr>
          <w:p>
            <w:r>
              <w:t>序号</w:t>
            </w:r>
          </w:p>
        </w:tc>
        <w:tc>
          <w:tcPr>
            <w:tcW w:w="1276" w:type="dxa"/>
            <w:vAlign w:val="center"/>
          </w:tcPr>
          <w:p>
            <w:r>
              <w:t>管理</w:t>
              <w:br/>
              <w:t>范围</w:t>
            </w:r>
          </w:p>
        </w:tc>
        <w:tc>
          <w:tcPr>
            <w:tcW w:w="1276" w:type="dxa"/>
            <w:vAlign w:val="center"/>
          </w:tcPr>
          <w:p>
            <w:r>
              <w:t>面积</w:t>
              <w:br/>
              <w:t>(㎡)</w:t>
            </w:r>
          </w:p>
        </w:tc>
        <w:tc>
          <w:tcPr>
            <w:tcW w:w="3970" w:type="dxa"/>
            <w:vAlign w:val="center"/>
          </w:tcPr>
          <w:p>
            <w:r>
              <w:t>基本内容</w:t>
            </w:r>
          </w:p>
        </w:tc>
        <w:tc>
          <w:tcPr>
            <w:tcW w:w="1752" w:type="dxa"/>
            <w:vAlign w:val="center"/>
          </w:tcPr>
          <w:p>
            <w: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675" w:type="dxa"/>
            <w:vAlign w:val="center"/>
          </w:tcPr>
          <w:p>
            <w:r>
              <w:t>1</w:t>
            </w:r>
          </w:p>
        </w:tc>
        <w:tc>
          <w:tcPr>
            <w:tcW w:w="1276" w:type="dxa"/>
            <w:vAlign w:val="center"/>
          </w:tcPr>
          <w:p>
            <w:r>
              <w:t>绿化养护</w:t>
            </w:r>
          </w:p>
        </w:tc>
        <w:tc>
          <w:tcPr>
            <w:tcW w:w="1276" w:type="dxa"/>
            <w:vAlign w:val="center"/>
          </w:tcPr>
          <w:p>
            <w:r>
              <w:t>约6万</w:t>
            </w:r>
          </w:p>
        </w:tc>
        <w:tc>
          <w:tcPr>
            <w:tcW w:w="3970" w:type="dxa"/>
            <w:vAlign w:val="center"/>
          </w:tcPr>
          <w:p>
            <w:r>
              <w:t>1、浇灌排水、施肥、除虫、修剪造型、中耕除草、植物补植、树木扶正、租借盆花(全年约100盆左右)及养护调换、台风抢险、绿化设施维护(喷灌设施)及绿地保洁、突击性任务、树木植物垃圾清运等；</w:t>
              <w:br/>
              <w:t>2、在承包期限内，完成对鄞州校区树木修剪，主树干修剪至4-5米，景观树修剪成型。</w:t>
            </w:r>
          </w:p>
        </w:tc>
        <w:tc>
          <w:tcPr>
            <w:tcW w:w="1752" w:type="dxa"/>
            <w:vAlign w:val="center"/>
          </w:tcPr>
          <w:p>
            <w:r>
              <w:t>1、技术员1名，必须有中级绿化养护资格证书</w:t>
              <w:br/>
              <w:t>2、绿化工3名。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51" w:type="dxa"/>
            <w:gridSpan w:val="2"/>
            <w:vAlign w:val="center"/>
          </w:tcPr>
          <w:p>
            <w:r>
              <w:t>合计</w:t>
            </w:r>
          </w:p>
        </w:tc>
        <w:tc>
          <w:tcPr>
            <w:tcW w:w="1276" w:type="dxa"/>
            <w:vAlign w:val="center"/>
          </w:tcPr>
          <w:p>
            <w:pPr>
              <w:spacing w:line="360" w:lineRule="auto"/>
              <w:jc w:val="center"/>
              <w:rPr>
                <w:rFonts w:ascii="宋体" w:hAnsi="宋体" w:cs="宋体"/>
                <w:b/>
                <w:sz w:val="24"/>
                <w:szCs w:val="24"/>
              </w:rPr>
            </w:pPr>
          </w:p>
        </w:tc>
        <w:tc>
          <w:tcPr>
            <w:tcW w:w="3970" w:type="dxa"/>
            <w:vAlign w:val="center"/>
          </w:tcPr>
          <w:p>
            <w:pPr>
              <w:spacing w:line="360" w:lineRule="auto"/>
              <w:rPr>
                <w:rFonts w:ascii="宋体" w:hAnsi="宋体" w:cs="宋体"/>
                <w:b/>
                <w:sz w:val="24"/>
                <w:szCs w:val="24"/>
              </w:rPr>
            </w:pPr>
          </w:p>
        </w:tc>
        <w:tc>
          <w:tcPr>
            <w:tcW w:w="1752" w:type="dxa"/>
            <w:vAlign w:val="center"/>
          </w:tcPr>
          <w:p>
            <w:r>
              <w:t>4人</w:t>
            </w:r>
          </w:p>
        </w:tc>
      </w:tr>
    </w:tbl>
    <w:p>
      <w:pPr>
        <w:spacing w:line="360" w:lineRule="auto"/>
        <w:ind w:firstLine="540" w:firstLineChars="192"/>
        <w:rPr>
          <w:sz w:val="28"/>
          <w:szCs w:val="28"/>
        </w:rPr>
      </w:pPr>
      <w:r>
        <w:t>4、水电管理与维修</w:t>
      </w:r>
    </w:p>
    <w:tbl>
      <w:tblPr>
        <w:tblStyle w:val="59"/>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447"/>
        <w:gridCol w:w="938"/>
        <w:gridCol w:w="470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592" w:type="dxa"/>
            <w:vAlign w:val="center"/>
          </w:tcPr>
          <w:p>
            <w:r>
              <w:t>序号</w:t>
            </w:r>
          </w:p>
        </w:tc>
        <w:tc>
          <w:tcPr>
            <w:tcW w:w="1447" w:type="dxa"/>
            <w:vAlign w:val="center"/>
          </w:tcPr>
          <w:p>
            <w:r>
              <w:t>管理</w:t>
              <w:br/>
              <w:t>范围</w:t>
            </w:r>
          </w:p>
        </w:tc>
        <w:tc>
          <w:tcPr>
            <w:tcW w:w="938" w:type="dxa"/>
            <w:vAlign w:val="center"/>
          </w:tcPr>
          <w:p>
            <w:r>
              <w:t>面积(㎡)</w:t>
            </w:r>
          </w:p>
        </w:tc>
        <w:tc>
          <w:tcPr>
            <w:tcW w:w="4704" w:type="dxa"/>
            <w:vAlign w:val="center"/>
          </w:tcPr>
          <w:p>
            <w:r>
              <w:t>基本内容</w:t>
            </w:r>
          </w:p>
        </w:tc>
        <w:tc>
          <w:tcPr>
            <w:tcW w:w="1258" w:type="dxa"/>
            <w:vAlign w:val="center"/>
          </w:tcPr>
          <w:p>
            <w: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592" w:type="dxa"/>
            <w:vAlign w:val="center"/>
          </w:tcPr>
          <w:p>
            <w:r>
              <w:t>1</w:t>
            </w:r>
          </w:p>
        </w:tc>
        <w:tc>
          <w:tcPr>
            <w:tcW w:w="1447" w:type="dxa"/>
            <w:vAlign w:val="center"/>
          </w:tcPr>
          <w:p>
            <w:r>
              <w:t>水电维修</w:t>
            </w:r>
          </w:p>
        </w:tc>
        <w:tc>
          <w:tcPr>
            <w:tcW w:w="938" w:type="dxa"/>
            <w:vMerge w:val="restart"/>
            <w:vAlign w:val="center"/>
          </w:tcPr>
          <w:p>
            <w:r>
              <w:t>全校(除学生公寓楼外)</w:t>
            </w:r>
          </w:p>
        </w:tc>
        <w:tc>
          <w:tcPr>
            <w:tcW w:w="4704" w:type="dxa"/>
            <w:vAlign w:val="center"/>
          </w:tcPr>
          <w:p>
            <w:r>
              <w:t>1、上下水、电线路及设施的巡查维修</w:t>
              <w:br/>
              <w:t>强电、电气线路、高压及电梯的日常管理</w:t>
              <w:br/>
              <w:t>2、根据学校安排进行零星维修；</w:t>
              <w:br/>
              <w:t>3、特种设施设备管理：空调机组、电梯等专项设施、设备的日常管理（不含维护）。</w:t>
            </w:r>
          </w:p>
        </w:tc>
        <w:tc>
          <w:tcPr>
            <w:tcW w:w="1258" w:type="dxa"/>
            <w:vAlign w:val="center"/>
          </w:tcPr>
          <w:p>
            <w:r>
              <w:b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592" w:type="dxa"/>
            <w:vAlign w:val="center"/>
          </w:tcPr>
          <w:p>
            <w:r>
              <w:t>2</w:t>
            </w:r>
          </w:p>
        </w:tc>
        <w:tc>
          <w:tcPr>
            <w:tcW w:w="1447" w:type="dxa"/>
            <w:vAlign w:val="center"/>
          </w:tcPr>
          <w:p>
            <w:r>
              <w:t>高、低压配电间</w:t>
            </w:r>
          </w:p>
        </w:tc>
        <w:tc>
          <w:tcPr>
            <w:tcW w:w="938" w:type="dxa"/>
            <w:vMerge w:val="continue"/>
            <w:vAlign w:val="center"/>
          </w:tcPr>
          <w:p>
            <w:pPr>
              <w:pStyle w:val="424"/>
              <w:spacing w:line="360" w:lineRule="auto"/>
              <w:ind w:firstLine="240"/>
              <w:rPr>
                <w:rFonts w:asciiTheme="minorEastAsia" w:hAnsiTheme="minorEastAsia" w:eastAsiaTheme="minorEastAsia"/>
                <w:sz w:val="24"/>
              </w:rPr>
            </w:pPr>
          </w:p>
        </w:tc>
        <w:tc>
          <w:tcPr>
            <w:tcW w:w="4704" w:type="dxa"/>
            <w:vAlign w:val="center"/>
          </w:tcPr>
          <w:p>
            <w:r>
              <w:t>管理及维修(护)、校内配电房巡查</w:t>
            </w:r>
          </w:p>
        </w:tc>
        <w:tc>
          <w:tcPr>
            <w:tcW w:w="1258" w:type="dxa"/>
            <w:vMerge w:val="restart"/>
            <w:vAlign w:val="center"/>
          </w:tcPr>
          <w:p>
            <w:r>
              <w:t>高配工3人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592" w:type="dxa"/>
            <w:vAlign w:val="center"/>
          </w:tcPr>
          <w:p>
            <w:r>
              <w:t>3</w:t>
            </w:r>
          </w:p>
        </w:tc>
        <w:tc>
          <w:tcPr>
            <w:tcW w:w="1447" w:type="dxa"/>
            <w:vAlign w:val="center"/>
          </w:tcPr>
          <w:p>
            <w:r>
              <w:t>水泵房(含生活蓄水池)</w:t>
              <w:br/>
              <w:t>学生公寓供水系统</w:t>
            </w:r>
          </w:p>
        </w:tc>
        <w:tc>
          <w:tcPr>
            <w:tcW w:w="938" w:type="dxa"/>
            <w:vMerge w:val="continue"/>
            <w:vAlign w:val="center"/>
          </w:tcPr>
          <w:p>
            <w:pPr>
              <w:pStyle w:val="424"/>
              <w:spacing w:line="360" w:lineRule="auto"/>
              <w:ind w:firstLine="240"/>
              <w:rPr>
                <w:rFonts w:asciiTheme="minorEastAsia" w:hAnsiTheme="minorEastAsia" w:eastAsiaTheme="minorEastAsia"/>
                <w:sz w:val="24"/>
              </w:rPr>
            </w:pPr>
          </w:p>
        </w:tc>
        <w:tc>
          <w:tcPr>
            <w:tcW w:w="4704" w:type="dxa"/>
            <w:vAlign w:val="center"/>
          </w:tcPr>
          <w:p>
            <w:r>
              <w:t>管理、维修(护)、清洗、消毒，给排水系统检查</w:t>
            </w:r>
          </w:p>
        </w:tc>
        <w:tc>
          <w:tcPr>
            <w:tcW w:w="1258" w:type="dxa"/>
            <w:vMerge w:val="continue"/>
          </w:tcPr>
          <w:p>
            <w:pPr>
              <w:pStyle w:val="424"/>
              <w:spacing w:line="360" w:lineRule="auto"/>
              <w:ind w:firstLine="240"/>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592" w:type="dxa"/>
            <w:vAlign w:val="center"/>
          </w:tcPr>
          <w:p>
            <w:r>
              <w:t>4</w:t>
            </w:r>
          </w:p>
        </w:tc>
        <w:tc>
          <w:tcPr>
            <w:tcW w:w="1447" w:type="dxa"/>
            <w:vAlign w:val="center"/>
          </w:tcPr>
          <w:p>
            <w:r>
              <w:t>木工（勤杂工）</w:t>
            </w:r>
          </w:p>
        </w:tc>
        <w:tc>
          <w:tcPr>
            <w:tcW w:w="938" w:type="dxa"/>
            <w:vAlign w:val="center"/>
          </w:tcPr>
          <w:p>
            <w:pPr>
              <w:pStyle w:val="424"/>
              <w:spacing w:line="360" w:lineRule="auto"/>
              <w:ind w:firstLine="240"/>
              <w:rPr>
                <w:rFonts w:asciiTheme="minorEastAsia" w:hAnsiTheme="minorEastAsia" w:eastAsiaTheme="minorEastAsia"/>
                <w:sz w:val="24"/>
              </w:rPr>
            </w:pPr>
          </w:p>
        </w:tc>
        <w:tc>
          <w:tcPr>
            <w:tcW w:w="4704" w:type="dxa"/>
            <w:vAlign w:val="center"/>
          </w:tcPr>
          <w:p>
            <w:r>
              <w:t>1、门窗、锁具、玻璃等维护维修；</w:t>
              <w:br/>
              <w:t>2、零星搬运及各省活动保障。</w:t>
            </w:r>
          </w:p>
        </w:tc>
        <w:tc>
          <w:tcPr>
            <w:tcW w:w="1258"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39" w:type="dxa"/>
            <w:gridSpan w:val="2"/>
            <w:vAlign w:val="center"/>
          </w:tcPr>
          <w:p>
            <w:r>
              <w:t>合计</w:t>
            </w:r>
          </w:p>
        </w:tc>
        <w:tc>
          <w:tcPr>
            <w:tcW w:w="5642" w:type="dxa"/>
            <w:gridSpan w:val="2"/>
            <w:vAlign w:val="center"/>
          </w:tcPr>
          <w:p>
            <w:pPr>
              <w:pStyle w:val="424"/>
              <w:spacing w:line="360" w:lineRule="auto"/>
              <w:ind w:firstLine="240"/>
              <w:rPr>
                <w:rFonts w:asciiTheme="minorEastAsia" w:hAnsiTheme="minorEastAsia" w:eastAsiaTheme="minorEastAsia"/>
                <w:sz w:val="24"/>
              </w:rPr>
            </w:pPr>
          </w:p>
        </w:tc>
        <w:tc>
          <w:tcPr>
            <w:tcW w:w="1258" w:type="dxa"/>
            <w:vAlign w:val="center"/>
          </w:tcPr>
          <w:p>
            <w: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39" w:type="dxa"/>
            <w:gridSpan w:val="2"/>
            <w:vAlign w:val="center"/>
          </w:tcPr>
          <w:p>
            <w:r>
              <w:t>备注</w:t>
            </w:r>
          </w:p>
        </w:tc>
        <w:tc>
          <w:tcPr>
            <w:tcW w:w="6900" w:type="dxa"/>
            <w:gridSpan w:val="3"/>
            <w:vAlign w:val="center"/>
          </w:tcPr>
          <w:p>
            <w:r>
              <w:t>1、行政教学区域内发生的单项价格300元以下维修耗材承包经费之内，由承包单位负责；</w:t>
              <w:br/>
              <w:t>2、特种设施设备管理：配备学校做好空调机组、电梯等专项设施、设备的日常管理（不含维护）。</w:t>
              <w:br/>
              <w:t>3、中标单位在中标后2个月内内必须有一人持有宁波市特检局发放的电梯管理证书（证书总务处电梯管理人员处备案）。</w:t>
              <w:br/>
              <w:t>4、高配工需持高配上岗证，24小时值班制。负责对全校高低配室及水泵房进行巡检。</w:t>
            </w:r>
          </w:p>
        </w:tc>
      </w:tr>
    </w:tbl>
    <w:p>
      <w:pPr>
        <w:spacing w:line="360" w:lineRule="auto"/>
        <w:ind w:firstLine="540" w:firstLineChars="192"/>
        <w:rPr>
          <w:rFonts w:ascii="宋体" w:hAnsi="宋体" w:cs="宋体"/>
          <w:b/>
          <w:sz w:val="28"/>
          <w:szCs w:val="28"/>
        </w:rPr>
      </w:pPr>
      <w:r>
        <w:t>5、教室管理范围</w:t>
      </w:r>
    </w:p>
    <w:tbl>
      <w:tblPr>
        <w:tblStyle w:val="59"/>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24"/>
        <w:gridCol w:w="1336"/>
        <w:gridCol w:w="4050"/>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40" w:type="dxa"/>
            <w:vAlign w:val="center"/>
          </w:tcPr>
          <w:p>
            <w:r>
              <w:t>序号</w:t>
            </w:r>
          </w:p>
        </w:tc>
        <w:tc>
          <w:tcPr>
            <w:tcW w:w="1224" w:type="dxa"/>
            <w:vAlign w:val="center"/>
          </w:tcPr>
          <w:p>
            <w:r>
              <w:t>管理</w:t>
              <w:br/>
              <w:t>范围</w:t>
            </w:r>
          </w:p>
        </w:tc>
        <w:tc>
          <w:tcPr>
            <w:tcW w:w="1336" w:type="dxa"/>
            <w:vAlign w:val="center"/>
          </w:tcPr>
          <w:p>
            <w:r>
              <w:t>面积</w:t>
              <w:br/>
              <w:t>(㎡)</w:t>
            </w:r>
          </w:p>
        </w:tc>
        <w:tc>
          <w:tcPr>
            <w:tcW w:w="4050" w:type="dxa"/>
            <w:vAlign w:val="center"/>
          </w:tcPr>
          <w:p>
            <w:r>
              <w:t>基本内容</w:t>
            </w:r>
          </w:p>
        </w:tc>
        <w:tc>
          <w:tcPr>
            <w:tcW w:w="1441" w:type="dxa"/>
            <w:vAlign w:val="center"/>
          </w:tcPr>
          <w:p>
            <w: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840" w:type="dxa"/>
            <w:vAlign w:val="center"/>
          </w:tcPr>
          <w:p>
            <w:r>
              <w:t>1</w:t>
            </w:r>
          </w:p>
        </w:tc>
        <w:tc>
          <w:tcPr>
            <w:tcW w:w="1224" w:type="dxa"/>
            <w:vAlign w:val="center"/>
          </w:tcPr>
          <w:p>
            <w:r>
              <w:t>1、2、3号教室</w:t>
            </w:r>
          </w:p>
        </w:tc>
        <w:tc>
          <w:tcPr>
            <w:tcW w:w="1336" w:type="dxa"/>
            <w:vAlign w:val="center"/>
          </w:tcPr>
          <w:p>
            <w:pPr>
              <w:spacing w:line="360" w:lineRule="auto"/>
              <w:jc w:val="center"/>
              <w:rPr>
                <w:rFonts w:ascii="宋体" w:hAnsi="宋体" w:cs="宋体"/>
                <w:sz w:val="24"/>
                <w:szCs w:val="24"/>
              </w:rPr>
            </w:pPr>
          </w:p>
        </w:tc>
        <w:tc>
          <w:tcPr>
            <w:tcW w:w="4050" w:type="dxa"/>
            <w:vAlign w:val="center"/>
          </w:tcPr>
          <w:p>
            <w:r>
              <w:t>1、负责教室的开关门管理；</w:t>
              <w:br/>
              <w:t>2、负责电教器材的管理；</w:t>
              <w:br/>
              <w:t>3、负责教室门窗、电源、火源的检查；</w:t>
              <w:br/>
              <w:t>4、负责督促相关人员完成教室的清卫保洁工作；</w:t>
              <w:br/>
              <w:t>5、完成上级赋予的其他任务。</w:t>
            </w:r>
          </w:p>
        </w:tc>
        <w:tc>
          <w:tcPr>
            <w:tcW w:w="1441" w:type="dxa"/>
            <w:vAlign w:val="center"/>
          </w:tcPr>
          <w:p>
            <w: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2064" w:type="dxa"/>
            <w:gridSpan w:val="2"/>
            <w:vAlign w:val="center"/>
          </w:tcPr>
          <w:p>
            <w:r>
              <w:t>备注</w:t>
            </w:r>
          </w:p>
        </w:tc>
        <w:tc>
          <w:tcPr>
            <w:tcW w:w="6827" w:type="dxa"/>
            <w:gridSpan w:val="3"/>
            <w:vAlign w:val="center"/>
          </w:tcPr>
          <w:p>
            <w:r>
              <w:t>1、牢固树立为教学服务、为师生服务的观念，做到准时到岗，确实保证教室教学设备的正常运行</w:t>
              <w:br/>
              <w:t>2、严格值班制度，确保人员在位；</w:t>
            </w:r>
          </w:p>
        </w:tc>
      </w:tr>
    </w:tbl>
    <w:p>
      <w:pPr>
        <w:spacing w:line="360" w:lineRule="auto"/>
        <w:ind w:firstLine="540" w:firstLineChars="192"/>
        <w:rPr>
          <w:rFonts w:ascii="宋体" w:hAnsi="宋体" w:cs="宋体"/>
          <w:b/>
          <w:sz w:val="28"/>
          <w:szCs w:val="28"/>
        </w:rPr>
      </w:pPr>
      <w:r>
        <w:t>6、安保服务范围</w:t>
      </w:r>
    </w:p>
    <w:tbl>
      <w:tblPr>
        <w:tblStyle w:val="59"/>
        <w:tblW w:w="9006" w:type="dxa"/>
        <w:jc w:val="center"/>
        <w:tblLayout w:type="fixed"/>
        <w:tblCellMar>
          <w:top w:w="0" w:type="dxa"/>
          <w:left w:w="108" w:type="dxa"/>
          <w:bottom w:w="0" w:type="dxa"/>
          <w:right w:w="108" w:type="dxa"/>
        </w:tblCellMar>
      </w:tblPr>
      <w:tblGrid>
        <w:gridCol w:w="906"/>
        <w:gridCol w:w="1395"/>
        <w:gridCol w:w="1394"/>
        <w:gridCol w:w="1378"/>
        <w:gridCol w:w="1379"/>
        <w:gridCol w:w="1379"/>
        <w:gridCol w:w="1175"/>
      </w:tblGrid>
      <w:tr>
        <w:tblPrEx>
          <w:tblCellMar>
            <w:top w:w="0" w:type="dxa"/>
            <w:left w:w="108" w:type="dxa"/>
            <w:bottom w:w="0" w:type="dxa"/>
            <w:right w:w="108" w:type="dxa"/>
          </w:tblCellMar>
        </w:tblPrEx>
        <w:trPr>
          <w:trHeight w:val="269" w:hRule="atLeast"/>
          <w:jc w:val="center"/>
        </w:trPr>
        <w:tc>
          <w:tcPr>
            <w:tcW w:w="90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
              <w:t>序号</w:t>
            </w:r>
          </w:p>
        </w:tc>
        <w:tc>
          <w:tcPr>
            <w:tcW w:w="2788"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
              <w:t>岗位</w:t>
            </w:r>
          </w:p>
        </w:tc>
        <w:tc>
          <w:tcPr>
            <w:tcW w:w="4136" w:type="dxa"/>
            <w:gridSpan w:val="3"/>
            <w:tcBorders>
              <w:top w:val="single" w:color="auto" w:sz="4" w:space="0"/>
              <w:left w:val="nil"/>
              <w:bottom w:val="single" w:color="auto" w:sz="4" w:space="0"/>
              <w:right w:val="single" w:color="auto" w:sz="4" w:space="0"/>
            </w:tcBorders>
            <w:shd w:val="clear" w:color="auto" w:fill="FFFFFF" w:themeFill="background1"/>
            <w:vAlign w:val="center"/>
          </w:tcPr>
          <w:p>
            <w:r>
              <w:t>人员配置</w:t>
            </w:r>
          </w:p>
        </w:tc>
        <w:tc>
          <w:tcPr>
            <w:tcW w:w="117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
              <w:t>合计</w:t>
            </w:r>
          </w:p>
        </w:tc>
      </w:tr>
      <w:tr>
        <w:tblPrEx>
          <w:tblCellMar>
            <w:top w:w="0" w:type="dxa"/>
            <w:left w:w="108" w:type="dxa"/>
            <w:bottom w:w="0" w:type="dxa"/>
            <w:right w:w="108" w:type="dxa"/>
          </w:tblCellMar>
        </w:tblPrEx>
        <w:trPr>
          <w:trHeight w:val="363" w:hRule="atLeast"/>
          <w:jc w:val="center"/>
        </w:trPr>
        <w:tc>
          <w:tcPr>
            <w:tcW w:w="9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szCs w:val="24"/>
              </w:rPr>
            </w:pPr>
          </w:p>
        </w:tc>
        <w:tc>
          <w:tcPr>
            <w:tcW w:w="278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szCs w:val="24"/>
              </w:rPr>
            </w:pPr>
          </w:p>
        </w:tc>
        <w:tc>
          <w:tcPr>
            <w:tcW w:w="1378" w:type="dxa"/>
            <w:tcBorders>
              <w:top w:val="single" w:color="auto" w:sz="4" w:space="0"/>
              <w:left w:val="nil"/>
              <w:bottom w:val="single" w:color="auto" w:sz="4" w:space="0"/>
              <w:right w:val="single" w:color="auto" w:sz="4" w:space="0"/>
            </w:tcBorders>
            <w:shd w:val="clear" w:color="auto" w:fill="auto"/>
            <w:vAlign w:val="center"/>
          </w:tcPr>
          <w:p>
            <w:r>
              <w:t>白班</w:t>
            </w:r>
          </w:p>
        </w:tc>
        <w:tc>
          <w:tcPr>
            <w:tcW w:w="1379" w:type="dxa"/>
            <w:tcBorders>
              <w:top w:val="single" w:color="auto" w:sz="4" w:space="0"/>
              <w:left w:val="nil"/>
              <w:bottom w:val="single" w:color="auto" w:sz="4" w:space="0"/>
              <w:right w:val="single" w:color="auto" w:sz="4" w:space="0"/>
            </w:tcBorders>
            <w:shd w:val="clear" w:color="auto" w:fill="auto"/>
            <w:vAlign w:val="center"/>
          </w:tcPr>
          <w:p>
            <w:r>
              <w:t>中班</w:t>
            </w:r>
          </w:p>
        </w:tc>
        <w:tc>
          <w:tcPr>
            <w:tcW w:w="1379" w:type="dxa"/>
            <w:tcBorders>
              <w:top w:val="single" w:color="auto" w:sz="4" w:space="0"/>
              <w:left w:val="nil"/>
              <w:bottom w:val="single" w:color="auto" w:sz="4" w:space="0"/>
              <w:right w:val="single" w:color="auto" w:sz="4" w:space="0"/>
            </w:tcBorders>
            <w:shd w:val="clear" w:color="auto" w:fill="auto"/>
            <w:vAlign w:val="center"/>
          </w:tcPr>
          <w:p>
            <w:r>
              <w:t>夜班</w:t>
            </w:r>
          </w:p>
        </w:tc>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CellMar>
            <w:top w:w="0" w:type="dxa"/>
            <w:left w:w="108" w:type="dxa"/>
            <w:bottom w:w="0" w:type="dxa"/>
            <w:right w:w="108" w:type="dxa"/>
          </w:tblCellMar>
        </w:tblPrEx>
        <w:trPr>
          <w:trHeight w:val="414" w:hRule="atLeast"/>
          <w:jc w:val="center"/>
        </w:trPr>
        <w:tc>
          <w:tcPr>
            <w:tcW w:w="906" w:type="dxa"/>
            <w:tcBorders>
              <w:top w:val="nil"/>
              <w:left w:val="single" w:color="auto" w:sz="4" w:space="0"/>
              <w:bottom w:val="single" w:color="auto" w:sz="4" w:space="0"/>
              <w:right w:val="single" w:color="auto" w:sz="4" w:space="0"/>
            </w:tcBorders>
            <w:vAlign w:val="center"/>
          </w:tcPr>
          <w:p>
            <w:r>
              <w:t>1</w:t>
            </w:r>
          </w:p>
        </w:tc>
        <w:tc>
          <w:tcPr>
            <w:tcW w:w="2788" w:type="dxa"/>
            <w:gridSpan w:val="2"/>
            <w:tcBorders>
              <w:top w:val="single" w:color="auto" w:sz="4" w:space="0"/>
              <w:left w:val="nil"/>
              <w:bottom w:val="single" w:color="auto" w:sz="4" w:space="0"/>
              <w:right w:val="single" w:color="auto" w:sz="4" w:space="0"/>
            </w:tcBorders>
            <w:vAlign w:val="center"/>
          </w:tcPr>
          <w:p>
            <w:r>
              <w:t>保安队长</w:t>
            </w:r>
          </w:p>
        </w:tc>
        <w:tc>
          <w:tcPr>
            <w:tcW w:w="137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p>
        </w:tc>
        <w:tc>
          <w:tcPr>
            <w:tcW w:w="137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p>
        </w:tc>
        <w:tc>
          <w:tcPr>
            <w:tcW w:w="137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p>
        </w:tc>
        <w:tc>
          <w:tcPr>
            <w:tcW w:w="1175" w:type="dxa"/>
            <w:tcBorders>
              <w:top w:val="nil"/>
              <w:left w:val="nil"/>
              <w:bottom w:val="single" w:color="auto" w:sz="4" w:space="0"/>
              <w:right w:val="single" w:color="auto" w:sz="4" w:space="0"/>
            </w:tcBorders>
            <w:vAlign w:val="center"/>
          </w:tcPr>
          <w:p>
            <w:r>
              <w:t>兼</w:t>
            </w:r>
          </w:p>
        </w:tc>
      </w:tr>
      <w:tr>
        <w:tblPrEx>
          <w:tblCellMar>
            <w:top w:w="0" w:type="dxa"/>
            <w:left w:w="108" w:type="dxa"/>
            <w:bottom w:w="0" w:type="dxa"/>
            <w:right w:w="108" w:type="dxa"/>
          </w:tblCellMar>
        </w:tblPrEx>
        <w:trPr>
          <w:trHeight w:val="414" w:hRule="atLeast"/>
          <w:jc w:val="center"/>
        </w:trPr>
        <w:tc>
          <w:tcPr>
            <w:tcW w:w="906" w:type="dxa"/>
            <w:vMerge w:val="restart"/>
            <w:tcBorders>
              <w:top w:val="nil"/>
              <w:left w:val="single" w:color="auto" w:sz="4" w:space="0"/>
              <w:bottom w:val="single" w:color="auto" w:sz="4" w:space="0"/>
              <w:right w:val="single" w:color="auto" w:sz="4" w:space="0"/>
            </w:tcBorders>
            <w:vAlign w:val="center"/>
          </w:tcPr>
          <w:p>
            <w:r>
              <w:t>2</w:t>
            </w:r>
          </w:p>
        </w:tc>
        <w:tc>
          <w:tcPr>
            <w:tcW w:w="1395" w:type="dxa"/>
            <w:vMerge w:val="restart"/>
            <w:tcBorders>
              <w:top w:val="nil"/>
              <w:left w:val="single" w:color="auto" w:sz="4" w:space="0"/>
              <w:bottom w:val="single" w:color="auto" w:sz="4" w:space="0"/>
              <w:right w:val="single" w:color="auto" w:sz="4" w:space="0"/>
            </w:tcBorders>
            <w:vAlign w:val="center"/>
          </w:tcPr>
          <w:p>
            <w:r>
              <w:t>门岗</w:t>
            </w:r>
          </w:p>
        </w:tc>
        <w:tc>
          <w:tcPr>
            <w:tcW w:w="1394" w:type="dxa"/>
            <w:tcBorders>
              <w:top w:val="nil"/>
              <w:left w:val="nil"/>
              <w:bottom w:val="single" w:color="auto" w:sz="4" w:space="0"/>
              <w:right w:val="single" w:color="auto" w:sz="4" w:space="0"/>
            </w:tcBorders>
            <w:vAlign w:val="center"/>
          </w:tcPr>
          <w:p>
            <w:r>
              <w:t>南门</w:t>
            </w:r>
          </w:p>
        </w:tc>
        <w:tc>
          <w:tcPr>
            <w:tcW w:w="1378" w:type="dxa"/>
            <w:tcBorders>
              <w:top w:val="nil"/>
              <w:left w:val="nil"/>
              <w:bottom w:val="single" w:color="auto" w:sz="4" w:space="0"/>
              <w:right w:val="single" w:color="auto" w:sz="4" w:space="0"/>
            </w:tcBorders>
            <w:vAlign w:val="center"/>
          </w:tcPr>
          <w:p>
            <w:r>
              <w:t>2</w:t>
            </w:r>
          </w:p>
        </w:tc>
        <w:tc>
          <w:tcPr>
            <w:tcW w:w="1379" w:type="dxa"/>
            <w:tcBorders>
              <w:top w:val="nil"/>
              <w:left w:val="nil"/>
              <w:bottom w:val="single" w:color="auto" w:sz="4" w:space="0"/>
              <w:right w:val="single" w:color="auto" w:sz="4" w:space="0"/>
            </w:tcBorders>
            <w:vAlign w:val="center"/>
          </w:tcPr>
          <w:p>
            <w:r>
              <w:t>2</w:t>
            </w:r>
          </w:p>
        </w:tc>
        <w:tc>
          <w:tcPr>
            <w:tcW w:w="1379" w:type="dxa"/>
            <w:tcBorders>
              <w:top w:val="nil"/>
              <w:left w:val="nil"/>
              <w:bottom w:val="single" w:color="auto" w:sz="4" w:space="0"/>
              <w:right w:val="single" w:color="auto" w:sz="4" w:space="0"/>
            </w:tcBorders>
            <w:vAlign w:val="center"/>
          </w:tcPr>
          <w:p>
            <w:r>
              <w:t>2</w:t>
            </w:r>
          </w:p>
        </w:tc>
        <w:tc>
          <w:tcPr>
            <w:tcW w:w="1175" w:type="dxa"/>
            <w:tcBorders>
              <w:top w:val="nil"/>
              <w:left w:val="nil"/>
              <w:bottom w:val="single" w:color="auto" w:sz="4" w:space="0"/>
              <w:right w:val="single" w:color="auto" w:sz="4" w:space="0"/>
            </w:tcBorders>
            <w:vAlign w:val="center"/>
          </w:tcPr>
          <w:p>
            <w:r>
              <w:t>6</w:t>
            </w:r>
          </w:p>
        </w:tc>
      </w:tr>
      <w:tr>
        <w:tblPrEx>
          <w:tblCellMar>
            <w:top w:w="0" w:type="dxa"/>
            <w:left w:w="108" w:type="dxa"/>
            <w:bottom w:w="0" w:type="dxa"/>
            <w:right w:w="108" w:type="dxa"/>
          </w:tblCellMar>
        </w:tblPrEx>
        <w:trPr>
          <w:trHeight w:val="414" w:hRule="atLeast"/>
          <w:jc w:val="center"/>
        </w:trPr>
        <w:tc>
          <w:tcPr>
            <w:tcW w:w="90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p>
        </w:tc>
        <w:tc>
          <w:tcPr>
            <w:tcW w:w="139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p>
        </w:tc>
        <w:tc>
          <w:tcPr>
            <w:tcW w:w="1394" w:type="dxa"/>
            <w:tcBorders>
              <w:top w:val="nil"/>
              <w:left w:val="nil"/>
              <w:bottom w:val="single" w:color="auto" w:sz="4" w:space="0"/>
              <w:right w:val="single" w:color="auto" w:sz="4" w:space="0"/>
            </w:tcBorders>
            <w:vAlign w:val="center"/>
          </w:tcPr>
          <w:p>
            <w:r>
              <w:t>北门</w:t>
            </w:r>
          </w:p>
        </w:tc>
        <w:tc>
          <w:tcPr>
            <w:tcW w:w="1378" w:type="dxa"/>
            <w:tcBorders>
              <w:top w:val="nil"/>
              <w:left w:val="nil"/>
              <w:bottom w:val="single" w:color="auto" w:sz="4" w:space="0"/>
              <w:right w:val="single" w:color="auto" w:sz="4" w:space="0"/>
            </w:tcBorders>
            <w:vAlign w:val="center"/>
          </w:tcPr>
          <w:p>
            <w:r>
              <w:t>3</w:t>
            </w:r>
          </w:p>
        </w:tc>
        <w:tc>
          <w:tcPr>
            <w:tcW w:w="1379" w:type="dxa"/>
            <w:tcBorders>
              <w:top w:val="nil"/>
              <w:left w:val="nil"/>
              <w:bottom w:val="single" w:color="auto" w:sz="4" w:space="0"/>
              <w:right w:val="single" w:color="auto" w:sz="4" w:space="0"/>
            </w:tcBorders>
            <w:vAlign w:val="center"/>
          </w:tcPr>
          <w:p>
            <w:r>
              <w:t>3</w:t>
            </w:r>
          </w:p>
        </w:tc>
        <w:tc>
          <w:tcPr>
            <w:tcW w:w="1379" w:type="dxa"/>
            <w:tcBorders>
              <w:top w:val="nil"/>
              <w:left w:val="nil"/>
              <w:bottom w:val="single" w:color="auto" w:sz="4" w:space="0"/>
              <w:right w:val="single" w:color="auto" w:sz="4" w:space="0"/>
            </w:tcBorders>
            <w:vAlign w:val="center"/>
          </w:tcPr>
          <w:p>
            <w:r>
              <w:t>2</w:t>
            </w:r>
          </w:p>
        </w:tc>
        <w:tc>
          <w:tcPr>
            <w:tcW w:w="1175" w:type="dxa"/>
            <w:tcBorders>
              <w:top w:val="nil"/>
              <w:left w:val="nil"/>
              <w:bottom w:val="single" w:color="auto" w:sz="4" w:space="0"/>
              <w:right w:val="single" w:color="auto" w:sz="4" w:space="0"/>
            </w:tcBorders>
            <w:vAlign w:val="center"/>
          </w:tcPr>
          <w:p>
            <w:r>
              <w:t>8</w:t>
            </w:r>
          </w:p>
        </w:tc>
      </w:tr>
      <w:tr>
        <w:tblPrEx>
          <w:tblCellMar>
            <w:top w:w="0" w:type="dxa"/>
            <w:left w:w="108" w:type="dxa"/>
            <w:bottom w:w="0" w:type="dxa"/>
            <w:right w:w="108" w:type="dxa"/>
          </w:tblCellMar>
        </w:tblPrEx>
        <w:trPr>
          <w:trHeight w:val="414" w:hRule="atLeast"/>
          <w:jc w:val="center"/>
        </w:trPr>
        <w:tc>
          <w:tcPr>
            <w:tcW w:w="906" w:type="dxa"/>
            <w:tcBorders>
              <w:top w:val="nil"/>
              <w:left w:val="single" w:color="auto" w:sz="4" w:space="0"/>
              <w:bottom w:val="single" w:color="auto" w:sz="4" w:space="0"/>
              <w:right w:val="single" w:color="auto" w:sz="4" w:space="0"/>
            </w:tcBorders>
            <w:vAlign w:val="center"/>
          </w:tcPr>
          <w:p>
            <w:r>
              <w:t>3</w:t>
            </w:r>
          </w:p>
        </w:tc>
        <w:tc>
          <w:tcPr>
            <w:tcW w:w="2788" w:type="dxa"/>
            <w:gridSpan w:val="2"/>
            <w:tcBorders>
              <w:top w:val="single" w:color="auto" w:sz="4" w:space="0"/>
              <w:left w:val="nil"/>
              <w:bottom w:val="single" w:color="auto" w:sz="4" w:space="0"/>
              <w:right w:val="single" w:color="auto" w:sz="4" w:space="0"/>
            </w:tcBorders>
            <w:vAlign w:val="center"/>
          </w:tcPr>
          <w:p>
            <w:r>
              <w:t>监控室</w:t>
            </w:r>
          </w:p>
        </w:tc>
        <w:tc>
          <w:tcPr>
            <w:tcW w:w="1378" w:type="dxa"/>
            <w:tcBorders>
              <w:top w:val="nil"/>
              <w:left w:val="nil"/>
              <w:bottom w:val="single" w:color="auto" w:sz="4" w:space="0"/>
              <w:right w:val="single" w:color="auto" w:sz="4" w:space="0"/>
            </w:tcBorders>
            <w:vAlign w:val="center"/>
          </w:tcPr>
          <w:p>
            <w:r>
              <w:t>2</w:t>
            </w:r>
          </w:p>
        </w:tc>
        <w:tc>
          <w:tcPr>
            <w:tcW w:w="1379" w:type="dxa"/>
            <w:tcBorders>
              <w:top w:val="nil"/>
              <w:left w:val="nil"/>
              <w:bottom w:val="single" w:color="auto" w:sz="4" w:space="0"/>
              <w:right w:val="single" w:color="auto" w:sz="4" w:space="0"/>
            </w:tcBorders>
            <w:vAlign w:val="center"/>
          </w:tcPr>
          <w:p>
            <w:r>
              <w:t>2</w:t>
            </w:r>
          </w:p>
        </w:tc>
        <w:tc>
          <w:tcPr>
            <w:tcW w:w="1379" w:type="dxa"/>
            <w:tcBorders>
              <w:top w:val="nil"/>
              <w:left w:val="nil"/>
              <w:bottom w:val="single" w:color="auto" w:sz="4" w:space="0"/>
              <w:right w:val="single" w:color="auto" w:sz="4" w:space="0"/>
            </w:tcBorders>
            <w:vAlign w:val="center"/>
          </w:tcPr>
          <w:p>
            <w:r>
              <w:t>2</w:t>
            </w:r>
          </w:p>
        </w:tc>
        <w:tc>
          <w:tcPr>
            <w:tcW w:w="1175" w:type="dxa"/>
            <w:tcBorders>
              <w:top w:val="nil"/>
              <w:left w:val="nil"/>
              <w:bottom w:val="single" w:color="auto" w:sz="4" w:space="0"/>
              <w:right w:val="single" w:color="auto" w:sz="4" w:space="0"/>
            </w:tcBorders>
            <w:vAlign w:val="center"/>
          </w:tcPr>
          <w:p>
            <w:r>
              <w:t>6</w:t>
            </w:r>
          </w:p>
        </w:tc>
      </w:tr>
      <w:tr>
        <w:tblPrEx>
          <w:tblCellMar>
            <w:top w:w="0" w:type="dxa"/>
            <w:left w:w="108" w:type="dxa"/>
            <w:bottom w:w="0" w:type="dxa"/>
            <w:right w:w="108" w:type="dxa"/>
          </w:tblCellMar>
        </w:tblPrEx>
        <w:trPr>
          <w:trHeight w:val="414" w:hRule="atLeast"/>
          <w:jc w:val="center"/>
        </w:trPr>
        <w:tc>
          <w:tcPr>
            <w:tcW w:w="906" w:type="dxa"/>
            <w:tcBorders>
              <w:top w:val="nil"/>
              <w:left w:val="single" w:color="auto" w:sz="4" w:space="0"/>
              <w:bottom w:val="single" w:color="auto" w:sz="4" w:space="0"/>
              <w:right w:val="single" w:color="auto" w:sz="4" w:space="0"/>
            </w:tcBorders>
            <w:vAlign w:val="center"/>
          </w:tcPr>
          <w:p>
            <w:r>
              <w:t xml:space="preserve"> 4</w:t>
            </w:r>
          </w:p>
        </w:tc>
        <w:tc>
          <w:tcPr>
            <w:tcW w:w="2788" w:type="dxa"/>
            <w:gridSpan w:val="2"/>
            <w:tcBorders>
              <w:top w:val="single" w:color="auto" w:sz="4" w:space="0"/>
              <w:left w:val="nil"/>
              <w:bottom w:val="single" w:color="auto" w:sz="4" w:space="0"/>
              <w:right w:val="single" w:color="auto" w:sz="4" w:space="0"/>
            </w:tcBorders>
            <w:vAlign w:val="center"/>
          </w:tcPr>
          <w:p>
            <w:r>
              <w:t>巡逻岗</w:t>
            </w:r>
          </w:p>
        </w:tc>
        <w:tc>
          <w:tcPr>
            <w:tcW w:w="1378" w:type="dxa"/>
            <w:tcBorders>
              <w:top w:val="nil"/>
              <w:left w:val="nil"/>
              <w:bottom w:val="single" w:color="auto" w:sz="4" w:space="0"/>
              <w:right w:val="single" w:color="auto" w:sz="4" w:space="0"/>
            </w:tcBorders>
            <w:vAlign w:val="center"/>
          </w:tcPr>
          <w:p>
            <w:r>
              <w:t>2</w:t>
            </w:r>
          </w:p>
        </w:tc>
        <w:tc>
          <w:tcPr>
            <w:tcW w:w="1379" w:type="dxa"/>
            <w:tcBorders>
              <w:top w:val="nil"/>
              <w:left w:val="nil"/>
              <w:bottom w:val="single" w:color="auto" w:sz="4" w:space="0"/>
              <w:right w:val="single" w:color="auto" w:sz="4" w:space="0"/>
            </w:tcBorders>
            <w:vAlign w:val="center"/>
          </w:tcPr>
          <w:p>
            <w:r>
              <w:t>2</w:t>
            </w:r>
          </w:p>
        </w:tc>
        <w:tc>
          <w:tcPr>
            <w:tcW w:w="1379" w:type="dxa"/>
            <w:tcBorders>
              <w:top w:val="nil"/>
              <w:left w:val="nil"/>
              <w:bottom w:val="single" w:color="auto" w:sz="4" w:space="0"/>
              <w:right w:val="single" w:color="auto" w:sz="4" w:space="0"/>
            </w:tcBorders>
            <w:vAlign w:val="center"/>
          </w:tcPr>
          <w:p>
            <w:r>
              <w:t>2</w:t>
            </w:r>
          </w:p>
        </w:tc>
        <w:tc>
          <w:tcPr>
            <w:tcW w:w="1175" w:type="dxa"/>
            <w:tcBorders>
              <w:top w:val="nil"/>
              <w:left w:val="nil"/>
              <w:bottom w:val="single" w:color="auto" w:sz="4" w:space="0"/>
              <w:right w:val="single" w:color="auto" w:sz="4" w:space="0"/>
            </w:tcBorders>
            <w:vAlign w:val="center"/>
          </w:tcPr>
          <w:p>
            <w:r>
              <w:t>6</w:t>
            </w:r>
          </w:p>
        </w:tc>
      </w:tr>
      <w:tr>
        <w:tblPrEx>
          <w:tblCellMar>
            <w:top w:w="0" w:type="dxa"/>
            <w:left w:w="108" w:type="dxa"/>
            <w:bottom w:w="0" w:type="dxa"/>
            <w:right w:w="108" w:type="dxa"/>
          </w:tblCellMar>
        </w:tblPrEx>
        <w:trPr>
          <w:trHeight w:val="414" w:hRule="atLeast"/>
          <w:jc w:val="center"/>
        </w:trPr>
        <w:tc>
          <w:tcPr>
            <w:tcW w:w="906" w:type="dxa"/>
            <w:tcBorders>
              <w:top w:val="nil"/>
              <w:left w:val="single" w:color="auto" w:sz="4" w:space="0"/>
              <w:bottom w:val="single" w:color="auto" w:sz="4" w:space="0"/>
              <w:right w:val="single" w:color="auto" w:sz="4" w:space="0"/>
            </w:tcBorders>
            <w:vAlign w:val="center"/>
          </w:tcPr>
          <w:p>
            <w:r>
              <w:t>5</w:t>
            </w:r>
          </w:p>
        </w:tc>
        <w:tc>
          <w:tcPr>
            <w:tcW w:w="2788" w:type="dxa"/>
            <w:gridSpan w:val="2"/>
            <w:tcBorders>
              <w:top w:val="single" w:color="auto" w:sz="4" w:space="0"/>
              <w:left w:val="nil"/>
              <w:bottom w:val="single" w:color="auto" w:sz="4" w:space="0"/>
              <w:right w:val="single" w:color="auto" w:sz="4" w:space="0"/>
            </w:tcBorders>
            <w:vAlign w:val="center"/>
          </w:tcPr>
          <w:p>
            <w:r>
              <w:t>图书馆岗</w:t>
            </w:r>
          </w:p>
        </w:tc>
        <w:tc>
          <w:tcPr>
            <w:tcW w:w="4136" w:type="dxa"/>
            <w:gridSpan w:val="3"/>
            <w:tcBorders>
              <w:top w:val="nil"/>
              <w:left w:val="nil"/>
              <w:bottom w:val="single" w:color="auto" w:sz="4" w:space="0"/>
              <w:right w:val="single" w:color="auto" w:sz="4" w:space="0"/>
            </w:tcBorders>
            <w:vAlign w:val="center"/>
          </w:tcPr>
          <w:p>
            <w:r>
              <w:t>2名（7:20-21:30）做1休1</w:t>
            </w:r>
          </w:p>
        </w:tc>
        <w:tc>
          <w:tcPr>
            <w:tcW w:w="1175" w:type="dxa"/>
            <w:tcBorders>
              <w:top w:val="nil"/>
              <w:left w:val="nil"/>
              <w:bottom w:val="single" w:color="auto" w:sz="4" w:space="0"/>
              <w:right w:val="single" w:color="auto" w:sz="4" w:space="0"/>
            </w:tcBorders>
            <w:vAlign w:val="center"/>
          </w:tcPr>
          <w:p>
            <w:r>
              <w:t>2</w:t>
            </w:r>
          </w:p>
        </w:tc>
      </w:tr>
      <w:tr>
        <w:tblPrEx>
          <w:tblCellMar>
            <w:top w:w="0" w:type="dxa"/>
            <w:left w:w="108" w:type="dxa"/>
            <w:bottom w:w="0" w:type="dxa"/>
            <w:right w:w="108" w:type="dxa"/>
          </w:tblCellMar>
        </w:tblPrEx>
        <w:trPr>
          <w:trHeight w:val="414" w:hRule="atLeast"/>
          <w:jc w:val="center"/>
        </w:trPr>
        <w:tc>
          <w:tcPr>
            <w:tcW w:w="906" w:type="dxa"/>
            <w:tcBorders>
              <w:top w:val="nil"/>
              <w:left w:val="single" w:color="auto" w:sz="4" w:space="0"/>
              <w:bottom w:val="single" w:color="auto" w:sz="4" w:space="0"/>
              <w:right w:val="single" w:color="auto" w:sz="4" w:space="0"/>
            </w:tcBorders>
            <w:vAlign w:val="center"/>
          </w:tcPr>
          <w:p>
            <w:r>
              <w:t>6</w:t>
            </w:r>
          </w:p>
        </w:tc>
        <w:tc>
          <w:tcPr>
            <w:tcW w:w="2788" w:type="dxa"/>
            <w:gridSpan w:val="2"/>
            <w:tcBorders>
              <w:top w:val="single" w:color="auto" w:sz="4" w:space="0"/>
              <w:left w:val="nil"/>
              <w:bottom w:val="single" w:color="auto" w:sz="4" w:space="0"/>
              <w:right w:val="single" w:color="auto" w:sz="4" w:space="0"/>
            </w:tcBorders>
            <w:vAlign w:val="center"/>
          </w:tcPr>
          <w:p>
            <w:r>
              <w:t>总计配置人数</w:t>
            </w:r>
          </w:p>
        </w:tc>
        <w:tc>
          <w:tcPr>
            <w:tcW w:w="5311" w:type="dxa"/>
            <w:gridSpan w:val="4"/>
            <w:tcBorders>
              <w:top w:val="single" w:color="auto" w:sz="4" w:space="0"/>
              <w:left w:val="nil"/>
              <w:bottom w:val="single" w:color="auto" w:sz="4" w:space="0"/>
              <w:right w:val="single" w:color="auto" w:sz="4" w:space="0"/>
            </w:tcBorders>
            <w:vAlign w:val="center"/>
          </w:tcPr>
          <w:p>
            <w:r>
              <w:t>28人(含保安队长和2-3名女安保队员)</w:t>
            </w:r>
          </w:p>
        </w:tc>
      </w:tr>
    </w:tbl>
    <w:p>
      <w:pPr>
        <w:spacing w:line="360" w:lineRule="auto"/>
        <w:ind w:firstLine="540" w:firstLineChars="192"/>
        <w:rPr>
          <w:rFonts w:asciiTheme="minorEastAsia" w:hAnsiTheme="minorEastAsia" w:eastAsiaTheme="minorEastAsia"/>
          <w:b/>
          <w:bCs/>
          <w:sz w:val="28"/>
          <w:szCs w:val="28"/>
        </w:rPr>
      </w:pPr>
      <w:r>
        <w:t>7、专项服务</w:t>
      </w:r>
    </w:p>
    <w:tbl>
      <w:tblPr>
        <w:tblStyle w:val="60"/>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815"/>
        <w:gridCol w:w="1169"/>
        <w:gridCol w:w="1190"/>
        <w:gridCol w:w="2091"/>
        <w:gridCol w:w="2639"/>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439" w:type="dxa"/>
            <w:vAlign w:val="center"/>
          </w:tcPr>
          <w:p>
            <w:r>
              <w:t>序号</w:t>
            </w:r>
          </w:p>
        </w:tc>
        <w:tc>
          <w:tcPr>
            <w:tcW w:w="815" w:type="dxa"/>
            <w:vAlign w:val="center"/>
          </w:tcPr>
          <w:p>
            <w:r>
              <w:t>用工单位</w:t>
            </w:r>
          </w:p>
        </w:tc>
        <w:tc>
          <w:tcPr>
            <w:tcW w:w="1169" w:type="dxa"/>
            <w:vAlign w:val="center"/>
          </w:tcPr>
          <w:p>
            <w:r>
              <w:t>岗位</w:t>
            </w:r>
          </w:p>
        </w:tc>
        <w:tc>
          <w:tcPr>
            <w:tcW w:w="1190" w:type="dxa"/>
            <w:vAlign w:val="center"/>
          </w:tcPr>
          <w:p>
            <w:r>
              <w:t>专业要求</w:t>
            </w:r>
          </w:p>
        </w:tc>
        <w:tc>
          <w:tcPr>
            <w:tcW w:w="4730" w:type="dxa"/>
            <w:gridSpan w:val="2"/>
            <w:vAlign w:val="center"/>
          </w:tcPr>
          <w:p>
            <w:r>
              <w:t>学历(学位)及其他资格条件</w:t>
            </w:r>
          </w:p>
        </w:tc>
        <w:tc>
          <w:tcPr>
            <w:tcW w:w="700" w:type="dxa"/>
            <w:vAlign w:val="center"/>
          </w:tcPr>
          <w:p>
            <w: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39" w:type="dxa"/>
            <w:vAlign w:val="center"/>
          </w:tcPr>
          <w:p>
            <w:r>
              <w:t>1</w:t>
            </w:r>
          </w:p>
        </w:tc>
        <w:tc>
          <w:tcPr>
            <w:tcW w:w="815" w:type="dxa"/>
            <w:vAlign w:val="center"/>
          </w:tcPr>
          <w:p>
            <w:r>
              <w:t>总务</w:t>
            </w:r>
          </w:p>
        </w:tc>
        <w:tc>
          <w:tcPr>
            <w:tcW w:w="1169" w:type="dxa"/>
            <w:vAlign w:val="center"/>
          </w:tcPr>
          <w:p>
            <w:r>
              <w:t>文印与收发管理</w:t>
            </w:r>
          </w:p>
        </w:tc>
        <w:tc>
          <w:tcPr>
            <w:tcW w:w="1190" w:type="dxa"/>
            <w:vAlign w:val="center"/>
          </w:tcPr>
          <w:p>
            <w:r>
              <w:t>专业不限</w:t>
            </w:r>
          </w:p>
        </w:tc>
        <w:tc>
          <w:tcPr>
            <w:tcW w:w="4730" w:type="dxa"/>
            <w:gridSpan w:val="2"/>
            <w:vAlign w:val="center"/>
          </w:tcPr>
          <w:p>
            <w:r>
              <w:t>大学专科（高职）及以上，45周岁及以下</w:t>
            </w:r>
          </w:p>
        </w:tc>
        <w:tc>
          <w:tcPr>
            <w:tcW w:w="700"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9" w:type="dxa"/>
            <w:vMerge w:val="restart"/>
            <w:vAlign w:val="center"/>
          </w:tcPr>
          <w:p>
            <w:r>
              <w:t>2</w:t>
            </w:r>
          </w:p>
        </w:tc>
        <w:tc>
          <w:tcPr>
            <w:tcW w:w="815" w:type="dxa"/>
            <w:vMerge w:val="restart"/>
            <w:vAlign w:val="center"/>
          </w:tcPr>
          <w:p>
            <w:r>
              <w:t>图书信息中心</w:t>
            </w:r>
          </w:p>
        </w:tc>
        <w:tc>
          <w:tcPr>
            <w:tcW w:w="1169" w:type="dxa"/>
            <w:vAlign w:val="center"/>
          </w:tcPr>
          <w:p>
            <w:r>
              <w:t>流通管理</w:t>
            </w:r>
          </w:p>
        </w:tc>
        <w:tc>
          <w:tcPr>
            <w:tcW w:w="1190" w:type="dxa"/>
            <w:vAlign w:val="center"/>
          </w:tcPr>
          <w:p>
            <w:r>
              <w:t>专业不限</w:t>
            </w:r>
          </w:p>
        </w:tc>
        <w:tc>
          <w:tcPr>
            <w:tcW w:w="4730" w:type="dxa"/>
            <w:gridSpan w:val="2"/>
            <w:vAlign w:val="center"/>
          </w:tcPr>
          <w:p>
            <w:r>
              <w:t>高中及以上学历，年龄45周岁及以下</w:t>
            </w:r>
          </w:p>
        </w:tc>
        <w:tc>
          <w:tcPr>
            <w:tcW w:w="700"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39" w:type="dxa"/>
            <w:vMerge w:val="continue"/>
            <w:vAlign w:val="center"/>
          </w:tcPr>
          <w:p>
            <w:pPr>
              <w:pStyle w:val="24"/>
              <w:spacing w:line="360" w:lineRule="auto"/>
              <w:rPr>
                <w:rFonts w:asciiTheme="minorEastAsia" w:hAnsiTheme="minorEastAsia" w:eastAsiaTheme="minorEastAsia"/>
                <w:kern w:val="0"/>
                <w:sz w:val="24"/>
              </w:rPr>
            </w:pPr>
          </w:p>
        </w:tc>
        <w:tc>
          <w:tcPr>
            <w:tcW w:w="815" w:type="dxa"/>
            <w:vMerge w:val="continue"/>
            <w:vAlign w:val="center"/>
          </w:tcPr>
          <w:p>
            <w:pPr>
              <w:pStyle w:val="24"/>
              <w:spacing w:line="360" w:lineRule="auto"/>
              <w:rPr>
                <w:rFonts w:asciiTheme="minorEastAsia" w:hAnsiTheme="minorEastAsia" w:eastAsiaTheme="minorEastAsia"/>
                <w:kern w:val="0"/>
                <w:sz w:val="24"/>
              </w:rPr>
            </w:pPr>
          </w:p>
        </w:tc>
        <w:tc>
          <w:tcPr>
            <w:tcW w:w="1169" w:type="dxa"/>
            <w:vAlign w:val="center"/>
          </w:tcPr>
          <w:p>
            <w:r>
              <w:t>机房运维</w:t>
            </w:r>
          </w:p>
        </w:tc>
        <w:tc>
          <w:tcPr>
            <w:tcW w:w="1190" w:type="dxa"/>
            <w:vAlign w:val="center"/>
          </w:tcPr>
          <w:p>
            <w:r>
              <w:t>计算机及相关专业</w:t>
            </w:r>
          </w:p>
        </w:tc>
        <w:tc>
          <w:tcPr>
            <w:tcW w:w="4730" w:type="dxa"/>
            <w:gridSpan w:val="2"/>
            <w:vAlign w:val="center"/>
          </w:tcPr>
          <w:p>
            <w:r>
              <w:t>大学专科（高职）及以上，35周岁及以下，具有1年以上工作经验</w:t>
            </w:r>
          </w:p>
        </w:tc>
        <w:tc>
          <w:tcPr>
            <w:tcW w:w="700"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39" w:type="dxa"/>
            <w:vMerge w:val="restart"/>
            <w:vAlign w:val="center"/>
          </w:tcPr>
          <w:p>
            <w:r>
              <w:t>3</w:t>
            </w:r>
          </w:p>
        </w:tc>
        <w:tc>
          <w:tcPr>
            <w:tcW w:w="815" w:type="dxa"/>
            <w:vMerge w:val="restart"/>
            <w:vAlign w:val="center"/>
          </w:tcPr>
          <w:p>
            <w:r>
              <w:t>基础学院</w:t>
            </w:r>
          </w:p>
        </w:tc>
        <w:tc>
          <w:tcPr>
            <w:tcW w:w="1169" w:type="dxa"/>
            <w:vAlign w:val="center"/>
          </w:tcPr>
          <w:p>
            <w:r>
              <w:t>器材室管理员</w:t>
            </w:r>
          </w:p>
        </w:tc>
        <w:tc>
          <w:tcPr>
            <w:tcW w:w="1190" w:type="dxa"/>
            <w:vAlign w:val="center"/>
          </w:tcPr>
          <w:p>
            <w:r>
              <w:t>专业不限</w:t>
            </w:r>
          </w:p>
        </w:tc>
        <w:tc>
          <w:tcPr>
            <w:tcW w:w="4730" w:type="dxa"/>
            <w:gridSpan w:val="2"/>
            <w:vAlign w:val="center"/>
          </w:tcPr>
          <w:p>
            <w:r>
              <w:t>高中及以上学历，45周岁及以下</w:t>
            </w:r>
          </w:p>
        </w:tc>
        <w:tc>
          <w:tcPr>
            <w:tcW w:w="700"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39" w:type="dxa"/>
            <w:vMerge w:val="continue"/>
            <w:vAlign w:val="center"/>
          </w:tcPr>
          <w:p>
            <w:pPr>
              <w:pStyle w:val="24"/>
              <w:spacing w:line="360" w:lineRule="auto"/>
              <w:rPr>
                <w:rFonts w:asciiTheme="minorEastAsia" w:hAnsiTheme="minorEastAsia" w:eastAsiaTheme="minorEastAsia"/>
                <w:kern w:val="0"/>
                <w:sz w:val="24"/>
              </w:rPr>
            </w:pPr>
          </w:p>
        </w:tc>
        <w:tc>
          <w:tcPr>
            <w:tcW w:w="815" w:type="dxa"/>
            <w:vMerge w:val="continue"/>
            <w:vAlign w:val="center"/>
          </w:tcPr>
          <w:p>
            <w:pPr>
              <w:pStyle w:val="24"/>
              <w:spacing w:line="360" w:lineRule="auto"/>
              <w:rPr>
                <w:rFonts w:asciiTheme="minorEastAsia" w:hAnsiTheme="minorEastAsia" w:eastAsiaTheme="minorEastAsia"/>
                <w:kern w:val="0"/>
                <w:sz w:val="24"/>
              </w:rPr>
            </w:pPr>
          </w:p>
        </w:tc>
        <w:tc>
          <w:tcPr>
            <w:tcW w:w="1169" w:type="dxa"/>
            <w:vAlign w:val="center"/>
          </w:tcPr>
          <w:p>
            <w:r>
              <w:t>语音室管理员</w:t>
            </w:r>
          </w:p>
        </w:tc>
        <w:tc>
          <w:tcPr>
            <w:tcW w:w="1190" w:type="dxa"/>
            <w:vAlign w:val="center"/>
          </w:tcPr>
          <w:p>
            <w:r>
              <w:t>计算机及相关专业</w:t>
            </w:r>
          </w:p>
        </w:tc>
        <w:tc>
          <w:tcPr>
            <w:tcW w:w="4730" w:type="dxa"/>
            <w:gridSpan w:val="2"/>
            <w:vAlign w:val="center"/>
          </w:tcPr>
          <w:p>
            <w:r>
              <w:t>大学专科（高职）及以上</w:t>
            </w:r>
          </w:p>
        </w:tc>
        <w:tc>
          <w:tcPr>
            <w:tcW w:w="700" w:type="dxa"/>
            <w:vAlign w:val="center"/>
          </w:tcPr>
          <w:p>
            <w: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704" w:type="dxa"/>
            <w:gridSpan w:val="5"/>
            <w:vAlign w:val="center"/>
          </w:tcPr>
          <w:p>
            <w:r>
              <w:t>合计</w:t>
            </w:r>
          </w:p>
        </w:tc>
        <w:tc>
          <w:tcPr>
            <w:tcW w:w="3339" w:type="dxa"/>
            <w:gridSpan w:val="2"/>
            <w:vAlign w:val="center"/>
          </w:tcPr>
          <w:p>
            <w:r>
              <w:t>5人</w:t>
            </w:r>
          </w:p>
        </w:tc>
      </w:tr>
    </w:tbl>
    <w:p>
      <w:pPr>
        <w:spacing w:line="360" w:lineRule="auto"/>
        <w:ind w:firstLine="424" w:firstLineChars="151"/>
        <w:jc w:val="left"/>
        <w:rPr>
          <w:rFonts w:asciiTheme="minorEastAsia" w:hAnsiTheme="minorEastAsia" w:eastAsiaTheme="minorEastAsia"/>
          <w:b/>
          <w:sz w:val="28"/>
          <w:szCs w:val="28"/>
        </w:rPr>
      </w:pPr>
      <w:r>
        <w:t>8、合计人员计划</w:t>
      </w:r>
    </w:p>
    <w:tbl>
      <w:tblPr>
        <w:tblStyle w:val="59"/>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457"/>
        <w:gridCol w:w="733"/>
        <w:gridCol w:w="733"/>
        <w:gridCol w:w="735"/>
        <w:gridCol w:w="734"/>
        <w:gridCol w:w="735"/>
        <w:gridCol w:w="734"/>
        <w:gridCol w:w="735"/>
        <w:gridCol w:w="73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84" w:type="dxa"/>
            <w:vMerge w:val="restart"/>
            <w:tcBorders>
              <w:top w:val="single" w:color="auto" w:sz="4" w:space="0"/>
            </w:tcBorders>
            <w:vAlign w:val="center"/>
          </w:tcPr>
          <w:p>
            <w:r>
              <w:t>序号</w:t>
            </w:r>
          </w:p>
        </w:tc>
        <w:tc>
          <w:tcPr>
            <w:tcW w:w="1459" w:type="dxa"/>
            <w:vMerge w:val="restart"/>
            <w:tcBorders>
              <w:top w:val="single" w:color="auto" w:sz="4" w:space="0"/>
            </w:tcBorders>
            <w:vAlign w:val="center"/>
          </w:tcPr>
          <w:p>
            <w:r>
              <w:t>服务范围</w:t>
            </w:r>
          </w:p>
        </w:tc>
        <w:tc>
          <w:tcPr>
            <w:tcW w:w="6619" w:type="dxa"/>
            <w:gridSpan w:val="9"/>
            <w:tcBorders>
              <w:top w:val="single" w:color="auto" w:sz="4" w:space="0"/>
            </w:tcBorders>
            <w:vAlign w:val="center"/>
          </w:tcPr>
          <w:p>
            <w:r>
              <w:t>人员配备数量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84" w:type="dxa"/>
            <w:vMerge w:val="continue"/>
            <w:vAlign w:val="center"/>
          </w:tcPr>
          <w:p>
            <w:pPr>
              <w:pStyle w:val="424"/>
              <w:spacing w:line="360" w:lineRule="auto"/>
              <w:ind w:firstLine="241"/>
              <w:jc w:val="center"/>
              <w:rPr>
                <w:rFonts w:asciiTheme="minorEastAsia" w:hAnsiTheme="minorEastAsia" w:eastAsiaTheme="minorEastAsia"/>
                <w:b/>
                <w:sz w:val="24"/>
              </w:rPr>
            </w:pPr>
          </w:p>
        </w:tc>
        <w:tc>
          <w:tcPr>
            <w:tcW w:w="1459" w:type="dxa"/>
            <w:vMerge w:val="continue"/>
            <w:vAlign w:val="center"/>
          </w:tcPr>
          <w:p>
            <w:pPr>
              <w:pStyle w:val="424"/>
              <w:spacing w:line="360" w:lineRule="auto"/>
              <w:ind w:firstLine="241"/>
              <w:jc w:val="center"/>
              <w:rPr>
                <w:rFonts w:asciiTheme="minorEastAsia" w:hAnsiTheme="minorEastAsia" w:eastAsiaTheme="minorEastAsia"/>
                <w:b/>
                <w:sz w:val="24"/>
              </w:rPr>
            </w:pPr>
          </w:p>
        </w:tc>
        <w:tc>
          <w:tcPr>
            <w:tcW w:w="734" w:type="dxa"/>
            <w:tcBorders>
              <w:right w:val="single" w:color="auto" w:sz="4" w:space="0"/>
            </w:tcBorders>
            <w:vAlign w:val="center"/>
          </w:tcPr>
          <w:p>
            <w:r>
              <w:t>保洁员</w:t>
            </w:r>
          </w:p>
        </w:tc>
        <w:tc>
          <w:tcPr>
            <w:tcW w:w="734" w:type="dxa"/>
            <w:tcBorders>
              <w:right w:val="single" w:color="auto" w:sz="4" w:space="0"/>
            </w:tcBorders>
            <w:vAlign w:val="center"/>
          </w:tcPr>
          <w:p>
            <w:r>
              <w:t>值班员</w:t>
            </w:r>
          </w:p>
        </w:tc>
        <w:tc>
          <w:tcPr>
            <w:tcW w:w="735" w:type="dxa"/>
            <w:tcBorders>
              <w:right w:val="single" w:color="auto" w:sz="4" w:space="0"/>
            </w:tcBorders>
            <w:vAlign w:val="center"/>
          </w:tcPr>
          <w:p>
            <w:r>
              <w:t>高配工</w:t>
            </w:r>
          </w:p>
        </w:tc>
        <w:tc>
          <w:tcPr>
            <w:tcW w:w="734" w:type="dxa"/>
            <w:tcBorders>
              <w:left w:val="single" w:color="auto" w:sz="4" w:space="0"/>
              <w:right w:val="single" w:color="auto" w:sz="4" w:space="0"/>
            </w:tcBorders>
            <w:vAlign w:val="center"/>
          </w:tcPr>
          <w:p>
            <w:r>
              <w:t>水电工</w:t>
            </w:r>
          </w:p>
        </w:tc>
        <w:tc>
          <w:tcPr>
            <w:tcW w:w="735" w:type="dxa"/>
            <w:tcBorders>
              <w:left w:val="single" w:color="auto" w:sz="4" w:space="0"/>
              <w:right w:val="single" w:color="auto" w:sz="4" w:space="0"/>
            </w:tcBorders>
            <w:vAlign w:val="center"/>
          </w:tcPr>
          <w:p>
            <w:r>
              <w:t>教室管理</w:t>
            </w:r>
          </w:p>
        </w:tc>
        <w:tc>
          <w:tcPr>
            <w:tcW w:w="734" w:type="dxa"/>
            <w:tcBorders>
              <w:left w:val="single" w:color="auto" w:sz="4" w:space="0"/>
              <w:right w:val="single" w:color="auto" w:sz="4" w:space="0"/>
            </w:tcBorders>
            <w:vAlign w:val="center"/>
          </w:tcPr>
          <w:p>
            <w:r>
              <w:t>绿化工</w:t>
            </w:r>
          </w:p>
        </w:tc>
        <w:tc>
          <w:tcPr>
            <w:tcW w:w="735" w:type="dxa"/>
            <w:tcBorders>
              <w:left w:val="single" w:color="auto" w:sz="4" w:space="0"/>
              <w:right w:val="single" w:color="auto" w:sz="4" w:space="0"/>
            </w:tcBorders>
            <w:vAlign w:val="center"/>
          </w:tcPr>
          <w:p>
            <w:r>
              <w:t>安保</w:t>
            </w:r>
          </w:p>
        </w:tc>
        <w:tc>
          <w:tcPr>
            <w:tcW w:w="734" w:type="dxa"/>
            <w:tcBorders>
              <w:left w:val="single" w:color="auto" w:sz="4" w:space="0"/>
            </w:tcBorders>
            <w:vAlign w:val="center"/>
          </w:tcPr>
          <w:p>
            <w:r>
              <w:t>分管</w:t>
            </w:r>
          </w:p>
        </w:tc>
        <w:tc>
          <w:tcPr>
            <w:tcW w:w="744" w:type="dxa"/>
            <w:tcBorders>
              <w:left w:val="single" w:color="auto" w:sz="4" w:space="0"/>
            </w:tcBorders>
            <w:vAlign w:val="center"/>
          </w:tcPr>
          <w:p>
            <w: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584" w:type="dxa"/>
            <w:vAlign w:val="center"/>
          </w:tcPr>
          <w:p>
            <w:r>
              <w:t>1</w:t>
            </w:r>
          </w:p>
        </w:tc>
        <w:tc>
          <w:tcPr>
            <w:tcW w:w="1459" w:type="dxa"/>
            <w:vAlign w:val="center"/>
          </w:tcPr>
          <w:p>
            <w:r>
              <w:t>学生公寓楼</w:t>
            </w:r>
          </w:p>
        </w:tc>
        <w:tc>
          <w:tcPr>
            <w:tcW w:w="734" w:type="dxa"/>
            <w:tcBorders>
              <w:right w:val="single" w:color="auto" w:sz="4" w:space="0"/>
            </w:tcBorders>
            <w:vAlign w:val="center"/>
          </w:tcPr>
          <w:p>
            <w:r>
              <w:t>12</w:t>
            </w:r>
          </w:p>
        </w:tc>
        <w:tc>
          <w:tcPr>
            <w:tcW w:w="734" w:type="dxa"/>
            <w:tcBorders>
              <w:right w:val="single" w:color="auto" w:sz="4" w:space="0"/>
            </w:tcBorders>
            <w:vAlign w:val="center"/>
          </w:tcPr>
          <w:p>
            <w:r>
              <w:t>18</w:t>
            </w:r>
          </w:p>
        </w:tc>
        <w:tc>
          <w:tcPr>
            <w:tcW w:w="735"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4" w:type="dxa"/>
            <w:tcBorders>
              <w:left w:val="single" w:color="auto" w:sz="4" w:space="0"/>
            </w:tcBorders>
            <w:vAlign w:val="center"/>
          </w:tcPr>
          <w:p>
            <w:r>
              <w:t>2</w:t>
            </w:r>
          </w:p>
        </w:tc>
        <w:tc>
          <w:tcPr>
            <w:tcW w:w="735" w:type="dxa"/>
            <w:vAlign w:val="center"/>
          </w:tcPr>
          <w:p>
            <w:pPr>
              <w:pStyle w:val="424"/>
              <w:spacing w:line="360" w:lineRule="auto"/>
              <w:ind w:firstLine="240"/>
              <w:jc w:val="center"/>
              <w:rPr>
                <w:rFonts w:asciiTheme="minorEastAsia" w:hAnsiTheme="minorEastAsia" w:eastAsiaTheme="minorEastAsia"/>
                <w:sz w:val="24"/>
              </w:rPr>
            </w:pPr>
          </w:p>
        </w:tc>
        <w:tc>
          <w:tcPr>
            <w:tcW w:w="734" w:type="dxa"/>
            <w:vAlign w:val="center"/>
          </w:tcPr>
          <w:p>
            <w:pPr>
              <w:pStyle w:val="424"/>
              <w:spacing w:line="360" w:lineRule="auto"/>
              <w:ind w:firstLine="240"/>
              <w:jc w:val="center"/>
              <w:rPr>
                <w:rFonts w:asciiTheme="minorEastAsia" w:hAnsiTheme="minorEastAsia" w:eastAsiaTheme="minorEastAsia"/>
                <w:sz w:val="24"/>
              </w:rPr>
            </w:pPr>
          </w:p>
        </w:tc>
        <w:tc>
          <w:tcPr>
            <w:tcW w:w="735" w:type="dxa"/>
            <w:vAlign w:val="center"/>
          </w:tcPr>
          <w:p>
            <w:pPr>
              <w:pStyle w:val="424"/>
              <w:spacing w:line="360" w:lineRule="auto"/>
              <w:ind w:firstLine="240"/>
              <w:jc w:val="center"/>
              <w:rPr>
                <w:rFonts w:asciiTheme="minorEastAsia" w:hAnsiTheme="minorEastAsia" w:eastAsiaTheme="minorEastAsia"/>
                <w:sz w:val="24"/>
              </w:rPr>
            </w:pPr>
          </w:p>
        </w:tc>
        <w:tc>
          <w:tcPr>
            <w:tcW w:w="734" w:type="dxa"/>
            <w:vAlign w:val="center"/>
          </w:tcPr>
          <w:p>
            <w:r>
              <w:t>1</w:t>
            </w:r>
          </w:p>
        </w:tc>
        <w:tc>
          <w:tcPr>
            <w:tcW w:w="744" w:type="dxa"/>
            <w:vAlign w:val="center"/>
          </w:tcPr>
          <w:p>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84" w:type="dxa"/>
            <w:vAlign w:val="center"/>
          </w:tcPr>
          <w:p>
            <w:r>
              <w:t>2</w:t>
            </w:r>
          </w:p>
        </w:tc>
        <w:tc>
          <w:tcPr>
            <w:tcW w:w="1459" w:type="dxa"/>
            <w:vAlign w:val="center"/>
          </w:tcPr>
          <w:p>
            <w:r>
              <w:t>清卫保洁</w:t>
            </w:r>
          </w:p>
        </w:tc>
        <w:tc>
          <w:tcPr>
            <w:tcW w:w="734" w:type="dxa"/>
            <w:tcBorders>
              <w:right w:val="single" w:color="auto" w:sz="4" w:space="0"/>
            </w:tcBorders>
            <w:vAlign w:val="center"/>
          </w:tcPr>
          <w:p>
            <w:r>
              <w:t>26</w:t>
            </w:r>
          </w:p>
        </w:tc>
        <w:tc>
          <w:tcPr>
            <w:tcW w:w="734"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5"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4" w:type="dxa"/>
            <w:tcBorders>
              <w:lef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5" w:type="dxa"/>
            <w:vAlign w:val="center"/>
          </w:tcPr>
          <w:p>
            <w:pPr>
              <w:pStyle w:val="424"/>
              <w:spacing w:line="360" w:lineRule="auto"/>
              <w:ind w:firstLine="240"/>
              <w:jc w:val="center"/>
              <w:rPr>
                <w:rFonts w:asciiTheme="minorEastAsia" w:hAnsiTheme="minorEastAsia" w:eastAsiaTheme="minorEastAsia"/>
                <w:sz w:val="24"/>
              </w:rPr>
            </w:pPr>
          </w:p>
        </w:tc>
        <w:tc>
          <w:tcPr>
            <w:tcW w:w="734" w:type="dxa"/>
            <w:vAlign w:val="center"/>
          </w:tcPr>
          <w:p>
            <w:pPr>
              <w:pStyle w:val="424"/>
              <w:spacing w:line="360" w:lineRule="auto"/>
              <w:ind w:firstLine="240"/>
              <w:jc w:val="center"/>
              <w:rPr>
                <w:rFonts w:asciiTheme="minorEastAsia" w:hAnsiTheme="minorEastAsia" w:eastAsiaTheme="minorEastAsia"/>
                <w:sz w:val="24"/>
              </w:rPr>
            </w:pPr>
          </w:p>
        </w:tc>
        <w:tc>
          <w:tcPr>
            <w:tcW w:w="735" w:type="dxa"/>
            <w:vAlign w:val="center"/>
          </w:tcPr>
          <w:p>
            <w:pPr>
              <w:pStyle w:val="424"/>
              <w:spacing w:line="360" w:lineRule="auto"/>
              <w:ind w:firstLine="240"/>
              <w:jc w:val="center"/>
              <w:rPr>
                <w:rFonts w:asciiTheme="minorEastAsia" w:hAnsiTheme="minorEastAsia" w:eastAsiaTheme="minorEastAsia"/>
                <w:sz w:val="24"/>
              </w:rPr>
            </w:pPr>
          </w:p>
        </w:tc>
        <w:tc>
          <w:tcPr>
            <w:tcW w:w="734" w:type="dxa"/>
            <w:vAlign w:val="center"/>
          </w:tcPr>
          <w:p>
            <w:r>
              <w:t>1</w:t>
            </w:r>
          </w:p>
        </w:tc>
        <w:tc>
          <w:tcPr>
            <w:tcW w:w="744" w:type="dxa"/>
            <w:vAlign w:val="center"/>
          </w:tcPr>
          <w:p>
            <w: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84" w:type="dxa"/>
            <w:vAlign w:val="center"/>
          </w:tcPr>
          <w:p>
            <w:r>
              <w:t>3</w:t>
            </w:r>
          </w:p>
        </w:tc>
        <w:tc>
          <w:tcPr>
            <w:tcW w:w="1459" w:type="dxa"/>
            <w:vAlign w:val="center"/>
          </w:tcPr>
          <w:p>
            <w:r>
              <w:t>教室管理</w:t>
            </w:r>
          </w:p>
        </w:tc>
        <w:tc>
          <w:tcPr>
            <w:tcW w:w="734"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4"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5"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4" w:type="dxa"/>
            <w:tcBorders>
              <w:lef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5" w:type="dxa"/>
            <w:vAlign w:val="center"/>
          </w:tcPr>
          <w:p>
            <w:r>
              <w:t>2</w:t>
            </w:r>
          </w:p>
        </w:tc>
        <w:tc>
          <w:tcPr>
            <w:tcW w:w="734" w:type="dxa"/>
            <w:vAlign w:val="center"/>
          </w:tcPr>
          <w:p>
            <w:pPr>
              <w:pStyle w:val="424"/>
              <w:spacing w:line="360" w:lineRule="auto"/>
              <w:ind w:firstLine="240"/>
              <w:jc w:val="center"/>
              <w:rPr>
                <w:rFonts w:asciiTheme="minorEastAsia" w:hAnsiTheme="minorEastAsia" w:eastAsiaTheme="minorEastAsia"/>
                <w:sz w:val="24"/>
              </w:rPr>
            </w:pPr>
          </w:p>
        </w:tc>
        <w:tc>
          <w:tcPr>
            <w:tcW w:w="735" w:type="dxa"/>
            <w:vAlign w:val="center"/>
          </w:tcPr>
          <w:p>
            <w:pPr>
              <w:pStyle w:val="424"/>
              <w:spacing w:line="360" w:lineRule="auto"/>
              <w:ind w:firstLine="240"/>
              <w:jc w:val="center"/>
              <w:rPr>
                <w:rFonts w:asciiTheme="minorEastAsia" w:hAnsiTheme="minorEastAsia" w:eastAsiaTheme="minorEastAsia"/>
                <w:sz w:val="24"/>
              </w:rPr>
            </w:pPr>
          </w:p>
        </w:tc>
        <w:tc>
          <w:tcPr>
            <w:tcW w:w="734" w:type="dxa"/>
            <w:vAlign w:val="center"/>
          </w:tcPr>
          <w:p>
            <w:pPr>
              <w:pStyle w:val="424"/>
              <w:spacing w:line="360" w:lineRule="auto"/>
              <w:ind w:firstLine="240"/>
              <w:jc w:val="center"/>
              <w:rPr>
                <w:rFonts w:asciiTheme="minorEastAsia" w:hAnsiTheme="minorEastAsia" w:eastAsiaTheme="minorEastAsia"/>
                <w:sz w:val="24"/>
              </w:rPr>
            </w:pPr>
          </w:p>
        </w:tc>
        <w:tc>
          <w:tcPr>
            <w:tcW w:w="744" w:type="dxa"/>
            <w:vAlign w:val="center"/>
          </w:tcPr>
          <w:p>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84" w:type="dxa"/>
            <w:vAlign w:val="center"/>
          </w:tcPr>
          <w:p>
            <w:r>
              <w:t>4</w:t>
            </w:r>
          </w:p>
        </w:tc>
        <w:tc>
          <w:tcPr>
            <w:tcW w:w="1459" w:type="dxa"/>
            <w:vAlign w:val="center"/>
          </w:tcPr>
          <w:p>
            <w:r>
              <w:t>水电维修</w:t>
            </w:r>
          </w:p>
        </w:tc>
        <w:tc>
          <w:tcPr>
            <w:tcW w:w="734"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4"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5" w:type="dxa"/>
            <w:tcBorders>
              <w:right w:val="single" w:color="auto" w:sz="4" w:space="0"/>
            </w:tcBorders>
            <w:vAlign w:val="center"/>
          </w:tcPr>
          <w:p>
            <w:r>
              <w:t>2</w:t>
            </w:r>
          </w:p>
        </w:tc>
        <w:tc>
          <w:tcPr>
            <w:tcW w:w="734" w:type="dxa"/>
            <w:tcBorders>
              <w:left w:val="single" w:color="auto" w:sz="4" w:space="0"/>
            </w:tcBorders>
            <w:vAlign w:val="center"/>
          </w:tcPr>
          <w:p>
            <w:r>
              <w:t>2</w:t>
            </w:r>
          </w:p>
        </w:tc>
        <w:tc>
          <w:tcPr>
            <w:tcW w:w="735" w:type="dxa"/>
            <w:vAlign w:val="center"/>
          </w:tcPr>
          <w:p>
            <w:pPr>
              <w:pStyle w:val="424"/>
              <w:spacing w:line="360" w:lineRule="auto"/>
              <w:ind w:firstLine="240"/>
              <w:jc w:val="center"/>
              <w:rPr>
                <w:rFonts w:asciiTheme="minorEastAsia" w:hAnsiTheme="minorEastAsia" w:eastAsiaTheme="minorEastAsia"/>
                <w:sz w:val="24"/>
              </w:rPr>
            </w:pPr>
          </w:p>
        </w:tc>
        <w:tc>
          <w:tcPr>
            <w:tcW w:w="734" w:type="dxa"/>
            <w:vAlign w:val="center"/>
          </w:tcPr>
          <w:p>
            <w:pPr>
              <w:pStyle w:val="424"/>
              <w:spacing w:line="360" w:lineRule="auto"/>
              <w:ind w:firstLine="240"/>
              <w:jc w:val="center"/>
              <w:rPr>
                <w:rFonts w:asciiTheme="minorEastAsia" w:hAnsiTheme="minorEastAsia" w:eastAsiaTheme="minorEastAsia"/>
                <w:sz w:val="24"/>
              </w:rPr>
            </w:pPr>
          </w:p>
        </w:tc>
        <w:tc>
          <w:tcPr>
            <w:tcW w:w="735" w:type="dxa"/>
            <w:vAlign w:val="center"/>
          </w:tcPr>
          <w:p>
            <w:pPr>
              <w:pStyle w:val="424"/>
              <w:spacing w:line="360" w:lineRule="auto"/>
              <w:ind w:firstLine="240"/>
              <w:jc w:val="center"/>
              <w:rPr>
                <w:rFonts w:asciiTheme="minorEastAsia" w:hAnsiTheme="minorEastAsia" w:eastAsiaTheme="minorEastAsia"/>
                <w:sz w:val="24"/>
              </w:rPr>
            </w:pPr>
          </w:p>
        </w:tc>
        <w:tc>
          <w:tcPr>
            <w:tcW w:w="734" w:type="dxa"/>
            <w:vAlign w:val="center"/>
          </w:tcPr>
          <w:p>
            <w:r>
              <w:t>1</w:t>
            </w:r>
          </w:p>
        </w:tc>
        <w:tc>
          <w:tcPr>
            <w:tcW w:w="744" w:type="dxa"/>
            <w:vAlign w:val="center"/>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84" w:type="dxa"/>
            <w:vAlign w:val="center"/>
          </w:tcPr>
          <w:p>
            <w:r>
              <w:t>5</w:t>
            </w:r>
          </w:p>
        </w:tc>
        <w:tc>
          <w:tcPr>
            <w:tcW w:w="1459" w:type="dxa"/>
            <w:vAlign w:val="center"/>
          </w:tcPr>
          <w:p>
            <w:r>
              <w:t>绿化养护</w:t>
            </w:r>
          </w:p>
        </w:tc>
        <w:tc>
          <w:tcPr>
            <w:tcW w:w="734"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4"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5"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4" w:type="dxa"/>
            <w:tcBorders>
              <w:lef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5" w:type="dxa"/>
            <w:vAlign w:val="center"/>
          </w:tcPr>
          <w:p>
            <w:pPr>
              <w:pStyle w:val="424"/>
              <w:spacing w:line="360" w:lineRule="auto"/>
              <w:ind w:firstLine="240"/>
              <w:jc w:val="center"/>
              <w:rPr>
                <w:rFonts w:asciiTheme="minorEastAsia" w:hAnsiTheme="minorEastAsia" w:eastAsiaTheme="minorEastAsia"/>
                <w:sz w:val="24"/>
              </w:rPr>
            </w:pPr>
          </w:p>
        </w:tc>
        <w:tc>
          <w:tcPr>
            <w:tcW w:w="734" w:type="dxa"/>
            <w:vAlign w:val="center"/>
          </w:tcPr>
          <w:p>
            <w:r>
              <w:t>3</w:t>
            </w:r>
          </w:p>
        </w:tc>
        <w:tc>
          <w:tcPr>
            <w:tcW w:w="735" w:type="dxa"/>
            <w:vAlign w:val="center"/>
          </w:tcPr>
          <w:p>
            <w:pPr>
              <w:pStyle w:val="424"/>
              <w:spacing w:line="360" w:lineRule="auto"/>
              <w:ind w:firstLine="240"/>
              <w:jc w:val="center"/>
              <w:rPr>
                <w:rFonts w:asciiTheme="minorEastAsia" w:hAnsiTheme="minorEastAsia" w:eastAsiaTheme="minorEastAsia"/>
                <w:sz w:val="24"/>
              </w:rPr>
            </w:pPr>
          </w:p>
        </w:tc>
        <w:tc>
          <w:tcPr>
            <w:tcW w:w="734" w:type="dxa"/>
            <w:vAlign w:val="center"/>
          </w:tcPr>
          <w:p>
            <w:r>
              <w:t>1</w:t>
            </w:r>
          </w:p>
        </w:tc>
        <w:tc>
          <w:tcPr>
            <w:tcW w:w="744" w:type="dxa"/>
            <w:vAlign w:val="center"/>
          </w:tcPr>
          <w:p>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84" w:type="dxa"/>
            <w:vAlign w:val="center"/>
          </w:tcPr>
          <w:p>
            <w:r>
              <w:t>6</w:t>
            </w:r>
          </w:p>
        </w:tc>
        <w:tc>
          <w:tcPr>
            <w:tcW w:w="1459" w:type="dxa"/>
            <w:vAlign w:val="center"/>
          </w:tcPr>
          <w:p>
            <w:r>
              <w:t>校内安保</w:t>
            </w:r>
          </w:p>
        </w:tc>
        <w:tc>
          <w:tcPr>
            <w:tcW w:w="734"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4"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5"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4" w:type="dxa"/>
            <w:tcBorders>
              <w:lef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5" w:type="dxa"/>
            <w:vAlign w:val="center"/>
          </w:tcPr>
          <w:p>
            <w:pPr>
              <w:pStyle w:val="424"/>
              <w:spacing w:line="360" w:lineRule="auto"/>
              <w:ind w:firstLine="240"/>
              <w:jc w:val="center"/>
              <w:rPr>
                <w:rFonts w:asciiTheme="minorEastAsia" w:hAnsiTheme="minorEastAsia" w:eastAsiaTheme="minorEastAsia"/>
                <w:sz w:val="24"/>
              </w:rPr>
            </w:pPr>
          </w:p>
        </w:tc>
        <w:tc>
          <w:tcPr>
            <w:tcW w:w="734" w:type="dxa"/>
            <w:vAlign w:val="center"/>
          </w:tcPr>
          <w:p>
            <w:pPr>
              <w:pStyle w:val="424"/>
              <w:spacing w:line="360" w:lineRule="auto"/>
              <w:ind w:firstLine="240"/>
              <w:jc w:val="center"/>
              <w:rPr>
                <w:rFonts w:asciiTheme="minorEastAsia" w:hAnsiTheme="minorEastAsia" w:eastAsiaTheme="minorEastAsia"/>
                <w:sz w:val="24"/>
              </w:rPr>
            </w:pPr>
          </w:p>
        </w:tc>
        <w:tc>
          <w:tcPr>
            <w:tcW w:w="735" w:type="dxa"/>
            <w:vAlign w:val="center"/>
          </w:tcPr>
          <w:p>
            <w:r>
              <w:t>27</w:t>
            </w:r>
          </w:p>
        </w:tc>
        <w:tc>
          <w:tcPr>
            <w:tcW w:w="734" w:type="dxa"/>
            <w:vAlign w:val="center"/>
          </w:tcPr>
          <w:p>
            <w:r>
              <w:t>1</w:t>
            </w:r>
          </w:p>
        </w:tc>
        <w:tc>
          <w:tcPr>
            <w:tcW w:w="744" w:type="dxa"/>
            <w:vAlign w:val="center"/>
          </w:tcPr>
          <w:p>
            <w: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84" w:type="dxa"/>
            <w:vAlign w:val="center"/>
          </w:tcPr>
          <w:p>
            <w:r>
              <w:t>7</w:t>
            </w:r>
          </w:p>
        </w:tc>
        <w:tc>
          <w:tcPr>
            <w:tcW w:w="1459" w:type="dxa"/>
            <w:vAlign w:val="center"/>
          </w:tcPr>
          <w:p>
            <w:r>
              <w:t>专项服务</w:t>
            </w:r>
          </w:p>
        </w:tc>
        <w:tc>
          <w:tcPr>
            <w:tcW w:w="734"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4"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5" w:type="dxa"/>
            <w:tcBorders>
              <w:righ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4" w:type="dxa"/>
            <w:tcBorders>
              <w:left w:val="single" w:color="auto" w:sz="4" w:space="0"/>
            </w:tcBorders>
            <w:vAlign w:val="center"/>
          </w:tcPr>
          <w:p>
            <w:pPr>
              <w:pStyle w:val="424"/>
              <w:spacing w:line="360" w:lineRule="auto"/>
              <w:ind w:firstLine="240"/>
              <w:jc w:val="center"/>
              <w:rPr>
                <w:rFonts w:asciiTheme="minorEastAsia" w:hAnsiTheme="minorEastAsia" w:eastAsiaTheme="minorEastAsia"/>
                <w:sz w:val="24"/>
              </w:rPr>
            </w:pPr>
          </w:p>
        </w:tc>
        <w:tc>
          <w:tcPr>
            <w:tcW w:w="735" w:type="dxa"/>
            <w:vAlign w:val="center"/>
          </w:tcPr>
          <w:p>
            <w:pPr>
              <w:pStyle w:val="424"/>
              <w:spacing w:line="360" w:lineRule="auto"/>
              <w:ind w:firstLine="240"/>
              <w:jc w:val="center"/>
              <w:rPr>
                <w:rFonts w:asciiTheme="minorEastAsia" w:hAnsiTheme="minorEastAsia" w:eastAsiaTheme="minorEastAsia"/>
                <w:sz w:val="24"/>
              </w:rPr>
            </w:pPr>
          </w:p>
        </w:tc>
        <w:tc>
          <w:tcPr>
            <w:tcW w:w="734" w:type="dxa"/>
            <w:vAlign w:val="center"/>
          </w:tcPr>
          <w:p>
            <w:pPr>
              <w:pStyle w:val="424"/>
              <w:spacing w:line="360" w:lineRule="auto"/>
              <w:ind w:firstLine="240"/>
              <w:jc w:val="center"/>
              <w:rPr>
                <w:rFonts w:asciiTheme="minorEastAsia" w:hAnsiTheme="minorEastAsia" w:eastAsiaTheme="minorEastAsia"/>
                <w:sz w:val="24"/>
              </w:rPr>
            </w:pPr>
          </w:p>
        </w:tc>
        <w:tc>
          <w:tcPr>
            <w:tcW w:w="735" w:type="dxa"/>
            <w:vAlign w:val="center"/>
          </w:tcPr>
          <w:p>
            <w:pPr>
              <w:pStyle w:val="424"/>
              <w:spacing w:line="360" w:lineRule="auto"/>
              <w:ind w:firstLine="240"/>
              <w:jc w:val="center"/>
              <w:rPr>
                <w:rFonts w:asciiTheme="minorEastAsia" w:hAnsiTheme="minorEastAsia" w:eastAsiaTheme="minorEastAsia"/>
                <w:sz w:val="24"/>
              </w:rPr>
            </w:pPr>
          </w:p>
        </w:tc>
        <w:tc>
          <w:tcPr>
            <w:tcW w:w="734" w:type="dxa"/>
            <w:vAlign w:val="center"/>
          </w:tcPr>
          <w:p>
            <w:pPr>
              <w:pStyle w:val="424"/>
              <w:spacing w:line="360" w:lineRule="auto"/>
              <w:ind w:firstLine="240"/>
              <w:jc w:val="center"/>
              <w:rPr>
                <w:rFonts w:asciiTheme="minorEastAsia" w:hAnsiTheme="minorEastAsia" w:eastAsiaTheme="minorEastAsia"/>
                <w:sz w:val="24"/>
              </w:rPr>
            </w:pPr>
          </w:p>
        </w:tc>
        <w:tc>
          <w:tcPr>
            <w:tcW w:w="744" w:type="dxa"/>
            <w:vAlign w:val="center"/>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84" w:type="dxa"/>
            <w:vAlign w:val="center"/>
          </w:tcPr>
          <w:p>
            <w:r>
              <w:t>8</w:t>
            </w:r>
          </w:p>
        </w:tc>
        <w:tc>
          <w:tcPr>
            <w:tcW w:w="1459" w:type="dxa"/>
            <w:vAlign w:val="center"/>
          </w:tcPr>
          <w:p>
            <w:r>
              <w:t>校区主管</w:t>
            </w:r>
          </w:p>
        </w:tc>
        <w:tc>
          <w:tcPr>
            <w:tcW w:w="5880" w:type="dxa"/>
            <w:gridSpan w:val="8"/>
            <w:vAlign w:val="center"/>
          </w:tcPr>
          <w:p>
            <w:pPr>
              <w:pStyle w:val="424"/>
              <w:spacing w:line="360" w:lineRule="auto"/>
              <w:ind w:firstLine="240"/>
              <w:jc w:val="center"/>
              <w:rPr>
                <w:rFonts w:asciiTheme="minorEastAsia" w:hAnsiTheme="minorEastAsia" w:eastAsiaTheme="minorEastAsia"/>
                <w:sz w:val="24"/>
              </w:rPr>
            </w:pPr>
          </w:p>
        </w:tc>
        <w:tc>
          <w:tcPr>
            <w:tcW w:w="739" w:type="dxa"/>
            <w:vAlign w:val="center"/>
          </w:tcPr>
          <w:p>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043" w:type="dxa"/>
            <w:gridSpan w:val="2"/>
            <w:vAlign w:val="center"/>
          </w:tcPr>
          <w:p>
            <w:r>
              <w:t>合计</w:t>
            </w:r>
          </w:p>
        </w:tc>
        <w:tc>
          <w:tcPr>
            <w:tcW w:w="6619" w:type="dxa"/>
            <w:gridSpan w:val="9"/>
            <w:vAlign w:val="center"/>
          </w:tcPr>
          <w:p>
            <w:r>
              <w:t>105人</w:t>
            </w:r>
          </w:p>
        </w:tc>
      </w:tr>
    </w:tbl>
    <w:p>
      <w:pPr>
        <w:pStyle w:val="24"/>
        <w:spacing w:line="360" w:lineRule="auto"/>
        <w:ind w:firstLine="495" w:firstLineChars="176"/>
        <w:rPr>
          <w:b/>
          <w:szCs w:val="28"/>
        </w:rPr>
      </w:pPr>
      <w:r>
        <w:t>(四)两校区应完成的其他工作内容</w:t>
      </w:r>
    </w:p>
    <w:tbl>
      <w:tblPr>
        <w:tblStyle w:val="60"/>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jc w:val="center"/>
        </w:trPr>
        <w:tc>
          <w:tcPr>
            <w:tcW w:w="2061" w:type="dxa"/>
            <w:vAlign w:val="center"/>
          </w:tcPr>
          <w:p>
            <w:r>
              <w:t>其他工作</w:t>
            </w:r>
          </w:p>
        </w:tc>
        <w:tc>
          <w:tcPr>
            <w:tcW w:w="6948" w:type="dxa"/>
          </w:tcPr>
          <w:p>
            <w:r>
              <w:t>(1)做好校内化粪池日常疏通、清运工作；</w:t>
              <w:br/>
              <w:t>(2)负责校内饮用水开水器的日常保养维修工作；</w:t>
              <w:br/>
              <w:t>(3)负责做好校内消杀、除“四害”及卫生用品的供应保障工作；</w:t>
              <w:br/>
              <w:t>(4)负责做好每年2次的水质检测工作；</w:t>
              <w:br/>
              <w:t>(5)负责做好每年2次的水池（箱）清卫消毒工作；</w:t>
              <w:br/>
              <w:t>(6)负责做好学校生活垃圾清运工作。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061" w:type="dxa"/>
            <w:vAlign w:val="center"/>
          </w:tcPr>
          <w:p>
            <w:r>
              <w:t>备注</w:t>
            </w:r>
          </w:p>
        </w:tc>
        <w:tc>
          <w:tcPr>
            <w:tcW w:w="6948" w:type="dxa"/>
          </w:tcPr>
          <w:p>
            <w:r>
              <w:t>1、相关费用均在承包经费之内（评估中单列），由承包单位负责；</w:t>
              <w:br/>
              <w:t>2、以上工作由承包单位与第三方签订合约，至总务处备份存档。</w:t>
            </w:r>
          </w:p>
        </w:tc>
      </w:tr>
    </w:tbl>
    <w:p>
      <w:pPr>
        <w:spacing w:line="360" w:lineRule="auto"/>
        <w:ind w:firstLine="495" w:firstLineChars="176"/>
        <w:rPr>
          <w:rFonts w:ascii="黑体" w:hAnsi="黑体" w:eastAsia="黑体" w:cs="宋体"/>
          <w:b/>
          <w:sz w:val="28"/>
          <w:szCs w:val="28"/>
        </w:rPr>
      </w:pPr>
      <w:r>
        <w:t>(五)项目管理要求</w:t>
      </w:r>
    </w:p>
    <w:p>
      <w:pPr>
        <w:spacing w:line="360" w:lineRule="auto"/>
        <w:ind w:firstLine="492" w:firstLineChars="175"/>
        <w:rPr>
          <w:rFonts w:ascii="宋体" w:hAnsi="宋体" w:cs="宋体"/>
          <w:b/>
          <w:sz w:val="28"/>
          <w:szCs w:val="28"/>
          <w:u w:val="single"/>
        </w:rPr>
      </w:pPr>
      <w:r>
        <w:t>1、学生公寓楼物业管理内容</w:t>
      </w:r>
    </w:p>
    <w:p>
      <w:pPr>
        <w:pStyle w:val="24"/>
        <w:spacing w:line="360" w:lineRule="auto"/>
        <w:ind w:firstLine="490" w:firstLineChars="175"/>
        <w:jc w:val="left"/>
        <w:rPr>
          <w:szCs w:val="28"/>
        </w:rPr>
      </w:pPr>
      <w:r>
        <w:t>学生公寓楼物业管理由总务处与学生处共同管理，其中总务处负责生活区硬件建设及从业人员的管理，学生处负责学生的管理及日常考核，中标方每校区必须配备学生公寓主管一名，承担公寓楼管理全部事项并负责与学生处的业务对接。</w:t>
      </w:r>
    </w:p>
    <w:p>
      <w:pPr>
        <w:spacing w:line="360" w:lineRule="auto"/>
        <w:ind w:firstLine="492" w:firstLineChars="175"/>
        <w:jc w:val="left"/>
        <w:rPr>
          <w:rFonts w:ascii="宋体" w:hAnsi="宋体" w:cs="宋体"/>
          <w:b/>
          <w:sz w:val="28"/>
          <w:szCs w:val="28"/>
        </w:rPr>
      </w:pPr>
      <w:r>
        <w:t>1.1费用包括</w:t>
      </w:r>
    </w:p>
    <w:p>
      <w:pPr>
        <w:spacing w:line="360" w:lineRule="auto"/>
        <w:ind w:firstLine="492" w:firstLineChars="175"/>
        <w:jc w:val="left"/>
        <w:rPr>
          <w:rFonts w:ascii="宋体" w:hAnsi="宋体" w:cs="宋体"/>
          <w:sz w:val="28"/>
          <w:szCs w:val="28"/>
        </w:rPr>
      </w:pPr>
      <w:r>
        <w:t>1.1.1人工费、管理费、税金及国家规定的费用；</w:t>
      </w:r>
    </w:p>
    <w:p>
      <w:pPr>
        <w:spacing w:line="360" w:lineRule="auto"/>
        <w:ind w:firstLine="492" w:firstLineChars="175"/>
        <w:jc w:val="left"/>
        <w:rPr>
          <w:rFonts w:ascii="宋体" w:hAnsi="宋体" w:cs="宋体"/>
          <w:sz w:val="28"/>
          <w:szCs w:val="28"/>
        </w:rPr>
      </w:pPr>
      <w:r>
        <w:t>1.1.2管理过程中所需的所有物品及工具、耗材、新生寝室内卫生用品保障等费用；</w:t>
      </w:r>
    </w:p>
    <w:p>
      <w:pPr>
        <w:spacing w:line="360" w:lineRule="auto"/>
        <w:ind w:firstLine="492" w:firstLineChars="175"/>
        <w:jc w:val="left"/>
        <w:rPr>
          <w:rFonts w:ascii="宋体" w:hAnsi="宋体" w:cs="宋体"/>
          <w:sz w:val="28"/>
          <w:szCs w:val="28"/>
        </w:rPr>
      </w:pPr>
      <w:r>
        <w:t>1.1.3公寓文化建设(宣传栏窗、门厅、休闲区、便民服务、生活功能区等场所建设)费用。</w:t>
      </w:r>
    </w:p>
    <w:p>
      <w:pPr>
        <w:spacing w:line="360" w:lineRule="auto"/>
        <w:ind w:firstLine="492" w:firstLineChars="175"/>
        <w:jc w:val="left"/>
        <w:rPr>
          <w:rFonts w:ascii="宋体" w:hAnsi="宋体" w:cs="宋体"/>
          <w:b/>
          <w:sz w:val="28"/>
          <w:szCs w:val="28"/>
        </w:rPr>
      </w:pPr>
      <w:r>
        <w:t>1.2基础服务与管理</w:t>
      </w:r>
    </w:p>
    <w:p>
      <w:pPr>
        <w:spacing w:line="360" w:lineRule="auto"/>
        <w:ind w:firstLine="492" w:firstLineChars="175"/>
        <w:jc w:val="left"/>
        <w:rPr>
          <w:rFonts w:ascii="宋体" w:hAnsi="宋体" w:cs="宋体"/>
          <w:b/>
          <w:sz w:val="28"/>
          <w:szCs w:val="28"/>
        </w:rPr>
      </w:pPr>
      <w:r>
        <w:t>1.2.1学生公寓值班服务</w:t>
      </w:r>
    </w:p>
    <w:p>
      <w:pPr>
        <w:spacing w:line="360" w:lineRule="auto"/>
        <w:ind w:firstLine="490" w:firstLineChars="175"/>
        <w:jc w:val="left"/>
        <w:rPr>
          <w:rFonts w:ascii="宋体" w:hAnsi="宋体" w:cs="宋体"/>
          <w:sz w:val="28"/>
          <w:szCs w:val="28"/>
        </w:rPr>
      </w:pPr>
      <w:r>
        <w:t>1）门厅或值班室的时间安排</w:t>
      </w:r>
    </w:p>
    <w:p>
      <w:pPr>
        <w:spacing w:line="360" w:lineRule="auto"/>
        <w:ind w:firstLine="490" w:firstLineChars="175"/>
        <w:jc w:val="left"/>
        <w:rPr>
          <w:rFonts w:ascii="宋体" w:hAnsi="宋体" w:cs="宋体"/>
          <w:sz w:val="28"/>
          <w:szCs w:val="28"/>
        </w:rPr>
      </w:pPr>
      <w:r>
        <w:t>值班台在岗工作时间：24小时管理值班制；</w:t>
      </w:r>
    </w:p>
    <w:p>
      <w:pPr>
        <w:spacing w:line="360" w:lineRule="auto"/>
        <w:ind w:firstLine="490" w:firstLineChars="175"/>
        <w:jc w:val="left"/>
        <w:rPr>
          <w:rFonts w:ascii="宋体" w:hAnsi="宋体" w:cs="宋体"/>
          <w:sz w:val="28"/>
          <w:szCs w:val="28"/>
        </w:rPr>
      </w:pPr>
      <w:r>
        <w:t>2）门厅进出人员的管理与登统计，如非正常时间出入人员、非本楼宇人员进出等；</w:t>
      </w:r>
    </w:p>
    <w:p>
      <w:pPr>
        <w:spacing w:line="360" w:lineRule="auto"/>
        <w:ind w:firstLine="490" w:firstLineChars="175"/>
        <w:jc w:val="left"/>
        <w:rPr>
          <w:rFonts w:ascii="宋体" w:hAnsi="宋体" w:cs="宋体"/>
          <w:sz w:val="28"/>
          <w:szCs w:val="28"/>
        </w:rPr>
      </w:pPr>
      <w:r>
        <w:t>3）寝室钥匙的保管和借用服务，公共场所、通道门钥匙、门禁系统的管理；</w:t>
      </w:r>
    </w:p>
    <w:p>
      <w:pPr>
        <w:spacing w:line="360" w:lineRule="auto"/>
        <w:ind w:firstLine="490" w:firstLineChars="175"/>
        <w:jc w:val="left"/>
        <w:rPr>
          <w:rFonts w:ascii="宋体" w:hAnsi="宋体" w:cs="宋体"/>
          <w:sz w:val="28"/>
          <w:szCs w:val="28"/>
        </w:rPr>
      </w:pPr>
      <w:r>
        <w:t>4)学生公寓会客管理和服务；</w:t>
      </w:r>
    </w:p>
    <w:p>
      <w:pPr>
        <w:spacing w:line="360" w:lineRule="auto"/>
        <w:ind w:firstLine="490" w:firstLineChars="175"/>
        <w:jc w:val="left"/>
        <w:rPr>
          <w:rFonts w:ascii="宋体" w:hAnsi="宋体" w:cs="宋体"/>
          <w:sz w:val="28"/>
          <w:szCs w:val="28"/>
        </w:rPr>
      </w:pPr>
      <w:r>
        <w:t>5)开展便利服务工作（如工具借用等）；</w:t>
      </w:r>
    </w:p>
    <w:p>
      <w:pPr>
        <w:spacing w:line="360" w:lineRule="auto"/>
        <w:ind w:firstLine="490" w:firstLineChars="175"/>
        <w:jc w:val="left"/>
        <w:rPr>
          <w:rFonts w:ascii="宋体" w:hAnsi="宋体" w:cs="宋体"/>
          <w:sz w:val="28"/>
          <w:szCs w:val="28"/>
        </w:rPr>
      </w:pPr>
      <w:r>
        <w:t>6)大件物品进出公寓的识别和登记工作；</w:t>
      </w:r>
    </w:p>
    <w:p>
      <w:pPr>
        <w:spacing w:line="360" w:lineRule="auto"/>
        <w:ind w:firstLine="490" w:firstLineChars="175"/>
        <w:jc w:val="left"/>
        <w:rPr>
          <w:rFonts w:ascii="宋体" w:hAnsi="宋体" w:cs="宋体"/>
          <w:sz w:val="28"/>
          <w:szCs w:val="28"/>
        </w:rPr>
      </w:pPr>
      <w:r>
        <w:t>7)门厅秩序和保洁，门厅张贴物的管理。</w:t>
      </w:r>
    </w:p>
    <w:p>
      <w:pPr>
        <w:spacing w:line="360" w:lineRule="auto"/>
        <w:ind w:firstLine="492" w:firstLineChars="175"/>
        <w:jc w:val="left"/>
        <w:rPr>
          <w:rFonts w:ascii="宋体" w:hAnsi="宋体" w:cs="宋体"/>
          <w:b/>
          <w:sz w:val="28"/>
          <w:szCs w:val="28"/>
        </w:rPr>
      </w:pPr>
      <w:r>
        <w:t>1.2.2巡视及楼区公共场所管理</w:t>
      </w:r>
    </w:p>
    <w:p>
      <w:pPr>
        <w:spacing w:line="360" w:lineRule="auto"/>
        <w:ind w:firstLine="490" w:firstLineChars="175"/>
        <w:jc w:val="left"/>
        <w:rPr>
          <w:rFonts w:ascii="宋体" w:hAnsi="宋体" w:cs="宋体"/>
          <w:sz w:val="28"/>
          <w:szCs w:val="28"/>
        </w:rPr>
      </w:pPr>
      <w:r>
        <w:t>1)每天3次常规的楼区巡视工作；</w:t>
      </w:r>
    </w:p>
    <w:p>
      <w:pPr>
        <w:spacing w:line="360" w:lineRule="auto"/>
        <w:ind w:firstLine="490" w:firstLineChars="175"/>
        <w:jc w:val="left"/>
        <w:rPr>
          <w:rFonts w:ascii="宋体" w:hAnsi="宋体" w:cs="宋体"/>
          <w:sz w:val="28"/>
          <w:szCs w:val="28"/>
        </w:rPr>
      </w:pPr>
      <w:r>
        <w:t>2)灭火器（压力）和水枪、水带完整性检查（每月1次）和疏散通道（每天1次）的检查；</w:t>
      </w:r>
    </w:p>
    <w:p>
      <w:pPr>
        <w:spacing w:line="360" w:lineRule="auto"/>
        <w:ind w:firstLine="490" w:firstLineChars="175"/>
        <w:jc w:val="left"/>
        <w:rPr>
          <w:rFonts w:ascii="宋体" w:hAnsi="宋体" w:cs="宋体"/>
          <w:sz w:val="28"/>
          <w:szCs w:val="28"/>
        </w:rPr>
      </w:pPr>
      <w:r>
        <w:t>3）确保公共场所设施完好，出现故障24小时内上报招标方，做好维修工作；</w:t>
      </w:r>
    </w:p>
    <w:p>
      <w:pPr>
        <w:spacing w:line="360" w:lineRule="auto"/>
        <w:ind w:firstLine="490" w:firstLineChars="175"/>
        <w:jc w:val="left"/>
        <w:rPr>
          <w:rFonts w:ascii="宋体" w:hAnsi="宋体" w:cs="宋体"/>
          <w:sz w:val="28"/>
          <w:szCs w:val="28"/>
        </w:rPr>
      </w:pPr>
      <w:r>
        <w:t>4）检查学生是否有影响他人的或者不文明、违规违纪的行为，并给予及时处理；</w:t>
      </w:r>
    </w:p>
    <w:p>
      <w:pPr>
        <w:spacing w:line="360" w:lineRule="auto"/>
        <w:ind w:firstLine="490" w:firstLineChars="175"/>
        <w:jc w:val="left"/>
        <w:rPr>
          <w:rFonts w:ascii="宋体" w:hAnsi="宋体" w:cs="宋体"/>
          <w:sz w:val="28"/>
          <w:szCs w:val="28"/>
        </w:rPr>
      </w:pPr>
      <w:r>
        <w:t>5）楼区内及包干区域的保洁情况；</w:t>
      </w:r>
    </w:p>
    <w:p>
      <w:pPr>
        <w:spacing w:line="360" w:lineRule="auto"/>
        <w:ind w:firstLine="490" w:firstLineChars="175"/>
        <w:jc w:val="left"/>
        <w:rPr>
          <w:rFonts w:ascii="宋体" w:hAnsi="宋体" w:cs="宋体"/>
          <w:sz w:val="28"/>
          <w:szCs w:val="28"/>
        </w:rPr>
      </w:pPr>
      <w:r>
        <w:t>6）楼区内非机动车的停放管理；</w:t>
      </w:r>
    </w:p>
    <w:p>
      <w:pPr>
        <w:spacing w:line="360" w:lineRule="auto"/>
        <w:ind w:firstLine="490" w:firstLineChars="175"/>
        <w:jc w:val="left"/>
        <w:rPr>
          <w:rFonts w:ascii="宋体" w:hAnsi="宋体" w:cs="宋体"/>
          <w:sz w:val="28"/>
          <w:szCs w:val="28"/>
        </w:rPr>
      </w:pPr>
      <w:r>
        <w:t>7）公共区域张贴物管理，公寓内活动室的管理；</w:t>
      </w:r>
    </w:p>
    <w:p>
      <w:pPr>
        <w:spacing w:line="360" w:lineRule="auto"/>
        <w:ind w:firstLine="490" w:firstLineChars="175"/>
        <w:jc w:val="left"/>
        <w:rPr>
          <w:rFonts w:ascii="宋体" w:hAnsi="宋体" w:cs="宋体"/>
          <w:sz w:val="28"/>
          <w:szCs w:val="28"/>
        </w:rPr>
      </w:pPr>
      <w:r>
        <w:t>8）公共区域水、照明、公共设施的节能、损坏报修工作；</w:t>
      </w:r>
    </w:p>
    <w:p>
      <w:pPr>
        <w:spacing w:line="360" w:lineRule="auto"/>
        <w:ind w:firstLine="490" w:firstLineChars="175"/>
        <w:jc w:val="left"/>
        <w:rPr>
          <w:rFonts w:ascii="宋体" w:hAnsi="宋体" w:cs="宋体"/>
          <w:sz w:val="28"/>
          <w:szCs w:val="28"/>
        </w:rPr>
      </w:pPr>
      <w:r>
        <w:t>9）门禁系统、红外报警或监控设施的使用情况，出现故障及时报学校相关部门。</w:t>
      </w:r>
    </w:p>
    <w:p>
      <w:pPr>
        <w:spacing w:line="360" w:lineRule="auto"/>
        <w:ind w:firstLine="492" w:firstLineChars="175"/>
        <w:jc w:val="left"/>
        <w:rPr>
          <w:rFonts w:ascii="宋体" w:hAnsi="宋体" w:cs="宋体"/>
          <w:b/>
          <w:sz w:val="28"/>
          <w:szCs w:val="28"/>
        </w:rPr>
      </w:pPr>
      <w:r>
        <w:t>1.2.3学生公寓保洁服务</w:t>
      </w:r>
    </w:p>
    <w:p>
      <w:pPr>
        <w:spacing w:line="360" w:lineRule="auto"/>
        <w:ind w:firstLine="490" w:firstLineChars="175"/>
        <w:jc w:val="left"/>
        <w:rPr>
          <w:rFonts w:ascii="宋体" w:hAnsi="宋体" w:cs="宋体"/>
          <w:sz w:val="28"/>
          <w:szCs w:val="28"/>
        </w:rPr>
      </w:pPr>
      <w:r>
        <w:t>1）公共场所：门厅、走廊、楼梯道等公共区域至少每天保洁2次，并巡回保洁；楼梯扶手、窗台至少每天保洁1次；墙面、顶面掸尘、去蜘蛛网每周至少1次；窗玻璃保洁每月至少1次。地面无垃圾、积渍；墙面、玻璃门、窗干净，无污垢；无蜘蛛网、无积尘。保持公共场所的整洁；</w:t>
      </w:r>
    </w:p>
    <w:p>
      <w:pPr>
        <w:spacing w:line="360" w:lineRule="auto"/>
        <w:ind w:firstLine="490" w:firstLineChars="175"/>
        <w:jc w:val="left"/>
        <w:rPr>
          <w:rFonts w:ascii="宋体" w:hAnsi="宋体" w:cs="宋体"/>
          <w:sz w:val="28"/>
          <w:szCs w:val="28"/>
        </w:rPr>
      </w:pPr>
      <w:r>
        <w:t>2）公共卫生间、盥洗室等每天保洁2次。地面、墙面瓷砖无明显污垢、积水；台面、水槽（池）干净无积垢物，镜面无水渍；大小便池无异味和积垢脏迹，纸篓垃圾不外漏；</w:t>
      </w:r>
    </w:p>
    <w:p>
      <w:pPr>
        <w:spacing w:line="360" w:lineRule="auto"/>
        <w:ind w:firstLine="490" w:firstLineChars="175"/>
        <w:jc w:val="left"/>
        <w:rPr>
          <w:rFonts w:ascii="宋体" w:hAnsi="宋体" w:cs="宋体"/>
          <w:sz w:val="28"/>
          <w:szCs w:val="28"/>
        </w:rPr>
      </w:pPr>
      <w:r>
        <w:t>3）公寓内的活动室每天保洁至少2次。桌椅排放整齐有序、无积尘，地面无垃圾、积渍。天花板掸尘、去蜘蛛网；</w:t>
      </w:r>
    </w:p>
    <w:p>
      <w:pPr>
        <w:spacing w:line="360" w:lineRule="auto"/>
        <w:ind w:firstLine="490" w:firstLineChars="175"/>
        <w:jc w:val="left"/>
        <w:rPr>
          <w:rFonts w:ascii="宋体" w:hAnsi="宋体" w:cs="宋体"/>
          <w:sz w:val="28"/>
          <w:szCs w:val="28"/>
        </w:rPr>
      </w:pPr>
      <w:r>
        <w:t>4）及时清理保洁区域内的垃圾桶、果皮箱，桶(箱)表面无印痕，垃圾不外漏，保洁工具摆放整齐；</w:t>
      </w:r>
    </w:p>
    <w:p>
      <w:pPr>
        <w:spacing w:line="360" w:lineRule="auto"/>
        <w:ind w:firstLine="490" w:firstLineChars="175"/>
        <w:jc w:val="left"/>
        <w:rPr>
          <w:rFonts w:ascii="宋体" w:hAnsi="宋体" w:cs="宋体"/>
          <w:sz w:val="28"/>
          <w:szCs w:val="28"/>
        </w:rPr>
      </w:pPr>
      <w:r>
        <w:t>5）户外指定周边绿地等包干区范围保洁，并负责从学生公寓内到化粪池的废、污管路的疏通；</w:t>
      </w:r>
    </w:p>
    <w:p>
      <w:pPr>
        <w:spacing w:line="360" w:lineRule="auto"/>
        <w:ind w:firstLine="490" w:firstLineChars="175"/>
        <w:jc w:val="left"/>
        <w:rPr>
          <w:rFonts w:ascii="宋体" w:hAnsi="宋体" w:cs="宋体"/>
          <w:sz w:val="28"/>
          <w:szCs w:val="28"/>
        </w:rPr>
      </w:pPr>
      <w:r>
        <w:t>6）在特殊气象条件下（如雨雪天），责任范围内的特殊保洁措施；</w:t>
      </w:r>
    </w:p>
    <w:p>
      <w:pPr>
        <w:spacing w:line="360" w:lineRule="auto"/>
        <w:ind w:firstLine="490" w:firstLineChars="175"/>
        <w:jc w:val="left"/>
        <w:rPr>
          <w:rFonts w:ascii="宋体" w:hAnsi="宋体" w:cs="宋体"/>
          <w:sz w:val="28"/>
          <w:szCs w:val="28"/>
        </w:rPr>
      </w:pPr>
      <w:r>
        <w:t>7）每年免费为毕业生房间的窗帘清洗一次，每年在换季时免费擦拭一次房间内的电风扇、日光灯、寝室门窗；</w:t>
      </w:r>
    </w:p>
    <w:p>
      <w:pPr>
        <w:spacing w:line="360" w:lineRule="auto"/>
        <w:ind w:firstLine="490" w:firstLineChars="175"/>
        <w:jc w:val="left"/>
        <w:rPr>
          <w:rFonts w:ascii="宋体" w:hAnsi="宋体" w:cs="宋体"/>
          <w:sz w:val="28"/>
          <w:szCs w:val="28"/>
        </w:rPr>
      </w:pPr>
      <w:r>
        <w:t>8）做好学生宿舍楼范围内的卫生及灭“四害”等卫生防疫工作；</w:t>
      </w:r>
    </w:p>
    <w:p>
      <w:pPr>
        <w:pStyle w:val="424"/>
        <w:spacing w:line="360" w:lineRule="auto"/>
        <w:ind w:firstLine="490" w:firstLineChars="175"/>
        <w:jc w:val="left"/>
        <w:rPr>
          <w:rFonts w:ascii="宋体" w:hAnsi="宋体" w:cs="宋体"/>
          <w:sz w:val="28"/>
          <w:szCs w:val="28"/>
        </w:rPr>
      </w:pPr>
      <w:r>
        <w:t>9)配合好学校响应上级要求，积极做好垃圾分类宣传与组织工作。</w:t>
      </w:r>
    </w:p>
    <w:p>
      <w:pPr>
        <w:spacing w:line="360" w:lineRule="auto"/>
        <w:ind w:firstLine="492" w:firstLineChars="175"/>
        <w:jc w:val="left"/>
        <w:rPr>
          <w:rFonts w:ascii="宋体" w:hAnsi="宋体" w:cs="宋体"/>
          <w:b/>
          <w:sz w:val="28"/>
          <w:szCs w:val="28"/>
        </w:rPr>
      </w:pPr>
      <w:r>
        <w:t>1.2.4学生住宿管理和服务</w:t>
      </w:r>
    </w:p>
    <w:p>
      <w:pPr>
        <w:spacing w:line="360" w:lineRule="auto"/>
        <w:ind w:firstLine="490" w:firstLineChars="175"/>
        <w:jc w:val="left"/>
        <w:rPr>
          <w:rFonts w:ascii="宋体" w:hAnsi="宋体" w:cs="宋体"/>
          <w:sz w:val="28"/>
          <w:szCs w:val="28"/>
        </w:rPr>
      </w:pPr>
      <w:r>
        <w:t>1）配合核对、统计和管理学生公寓的住宿资源。按照住宿床位编号进行“一对一”管理；</w:t>
      </w:r>
    </w:p>
    <w:p>
      <w:pPr>
        <w:spacing w:line="360" w:lineRule="auto"/>
        <w:ind w:firstLine="490" w:firstLineChars="175"/>
        <w:jc w:val="left"/>
        <w:rPr>
          <w:rFonts w:ascii="宋体" w:hAnsi="宋体" w:cs="宋体"/>
          <w:sz w:val="28"/>
          <w:szCs w:val="28"/>
        </w:rPr>
      </w:pPr>
      <w:r>
        <w:t>2）根据校方要求，对学生住宿安排及调整进行日常管理；</w:t>
      </w:r>
    </w:p>
    <w:p>
      <w:pPr>
        <w:spacing w:line="360" w:lineRule="auto"/>
        <w:ind w:firstLine="490" w:firstLineChars="175"/>
        <w:jc w:val="left"/>
        <w:rPr>
          <w:rFonts w:ascii="宋体" w:hAnsi="宋体" w:cs="宋体"/>
          <w:sz w:val="28"/>
          <w:szCs w:val="28"/>
        </w:rPr>
      </w:pPr>
      <w:r>
        <w:t>3）配合学生入住、调整、离寝手续的办理；</w:t>
      </w:r>
    </w:p>
    <w:p>
      <w:pPr>
        <w:spacing w:line="360" w:lineRule="auto"/>
        <w:ind w:firstLine="490" w:firstLineChars="175"/>
        <w:jc w:val="left"/>
        <w:rPr>
          <w:rFonts w:ascii="宋体" w:hAnsi="宋体" w:cs="宋体"/>
          <w:sz w:val="28"/>
          <w:szCs w:val="28"/>
        </w:rPr>
      </w:pPr>
      <w:r>
        <w:t>4）配合做好新生住宿安排和接待方案并报学校审核，营造迎新氛围；</w:t>
      </w:r>
    </w:p>
    <w:p>
      <w:pPr>
        <w:widowControl/>
        <w:spacing w:line="360" w:lineRule="auto"/>
        <w:ind w:firstLine="490" w:firstLineChars="175"/>
        <w:jc w:val="left"/>
        <w:rPr>
          <w:rFonts w:ascii="宋体" w:hAnsi="宋体" w:cs="宋体"/>
          <w:sz w:val="28"/>
          <w:szCs w:val="28"/>
        </w:rPr>
      </w:pPr>
      <w:r>
        <w:t>5）负责毕业生离校与公寓管理有关的工作和方便服务的提供；</w:t>
      </w:r>
    </w:p>
    <w:p>
      <w:pPr>
        <w:spacing w:line="360" w:lineRule="auto"/>
        <w:ind w:firstLine="490" w:firstLineChars="175"/>
        <w:jc w:val="left"/>
        <w:rPr>
          <w:rFonts w:ascii="宋体" w:hAnsi="宋体" w:cs="宋体"/>
          <w:sz w:val="28"/>
          <w:szCs w:val="28"/>
        </w:rPr>
      </w:pPr>
      <w:r>
        <w:t>6）建立住宿学生数据库、住宿管理信息系统（HOTEL）并向甲方开放数据库；</w:t>
      </w:r>
    </w:p>
    <w:p>
      <w:pPr>
        <w:spacing w:line="360" w:lineRule="auto"/>
        <w:ind w:firstLine="490" w:firstLineChars="175"/>
        <w:jc w:val="left"/>
        <w:rPr>
          <w:rFonts w:ascii="宋体" w:hAnsi="宋体" w:cs="宋体"/>
          <w:sz w:val="28"/>
          <w:szCs w:val="28"/>
        </w:rPr>
      </w:pPr>
      <w:r>
        <w:t>7）配合校方与学生签订住宿协议；</w:t>
      </w:r>
    </w:p>
    <w:p>
      <w:pPr>
        <w:spacing w:line="360" w:lineRule="auto"/>
        <w:ind w:firstLine="490" w:firstLineChars="175"/>
        <w:jc w:val="left"/>
        <w:rPr>
          <w:rFonts w:ascii="宋体" w:hAnsi="宋体" w:cs="宋体"/>
          <w:sz w:val="28"/>
          <w:szCs w:val="28"/>
        </w:rPr>
      </w:pPr>
      <w:r>
        <w:t>8）配合校方组织新生卧具的采购，做好新生卧具的售、发工作，保障对有需要的学生提供质优价廉的卧具包；</w:t>
      </w:r>
    </w:p>
    <w:p>
      <w:pPr>
        <w:spacing w:line="360" w:lineRule="auto"/>
        <w:ind w:firstLine="490" w:firstLineChars="175"/>
        <w:jc w:val="left"/>
        <w:rPr>
          <w:rFonts w:ascii="宋体" w:hAnsi="宋体" w:cs="宋体"/>
          <w:sz w:val="28"/>
          <w:szCs w:val="28"/>
        </w:rPr>
      </w:pPr>
      <w:r>
        <w:t>9）对学生寝室进行日常卫生检查并做好登记与通报；</w:t>
      </w:r>
    </w:p>
    <w:p>
      <w:pPr>
        <w:spacing w:line="360" w:lineRule="auto"/>
        <w:ind w:firstLine="490" w:firstLineChars="175"/>
        <w:jc w:val="left"/>
        <w:rPr>
          <w:rFonts w:ascii="宋体" w:hAnsi="宋体" w:cs="宋体"/>
          <w:sz w:val="28"/>
          <w:szCs w:val="28"/>
        </w:rPr>
      </w:pPr>
      <w:r>
        <w:t>10)做好临时学生的住宿安排工作；</w:t>
      </w:r>
    </w:p>
    <w:p>
      <w:pPr>
        <w:spacing w:line="360" w:lineRule="auto"/>
        <w:ind w:firstLine="490" w:firstLineChars="175"/>
        <w:jc w:val="left"/>
        <w:rPr>
          <w:rFonts w:ascii="宋体" w:hAnsi="宋体" w:cs="宋体"/>
          <w:sz w:val="28"/>
          <w:szCs w:val="28"/>
        </w:rPr>
      </w:pPr>
      <w:r>
        <w:t>11)对有生活自理困难的学生针对其特点做好安排，并在日常生活中做好重点照料关心工作。</w:t>
      </w:r>
    </w:p>
    <w:p>
      <w:pPr>
        <w:spacing w:line="360" w:lineRule="auto"/>
        <w:ind w:firstLine="492" w:firstLineChars="175"/>
        <w:jc w:val="left"/>
        <w:rPr>
          <w:rFonts w:ascii="宋体" w:hAnsi="宋体" w:cs="宋体"/>
          <w:b/>
          <w:sz w:val="28"/>
          <w:szCs w:val="28"/>
        </w:rPr>
      </w:pPr>
      <w:r>
        <w:t>1.2.5空气源热水及空调租赁的管理</w:t>
      </w:r>
    </w:p>
    <w:p>
      <w:pPr>
        <w:spacing w:line="360" w:lineRule="auto"/>
        <w:ind w:firstLine="490" w:firstLineChars="175"/>
        <w:jc w:val="left"/>
        <w:rPr>
          <w:rFonts w:ascii="宋体" w:hAnsi="宋体" w:cs="宋体"/>
          <w:sz w:val="28"/>
          <w:szCs w:val="28"/>
        </w:rPr>
      </w:pPr>
      <w:r>
        <w:t>1)积极做好与空气源热水及空调租赁中标单位的沟通联系，督促负责单位做好相关维保工作，同时将常驻学校维保人员纳入物业管理体系内；</w:t>
      </w:r>
    </w:p>
    <w:p>
      <w:pPr>
        <w:spacing w:line="360" w:lineRule="auto"/>
        <w:ind w:firstLine="490" w:firstLineChars="175"/>
        <w:jc w:val="left"/>
        <w:rPr>
          <w:rFonts w:ascii="宋体" w:hAnsi="宋体" w:cs="宋体"/>
          <w:sz w:val="28"/>
          <w:szCs w:val="28"/>
        </w:rPr>
      </w:pPr>
      <w:r>
        <w:t>2)做好空气能热水器用水(电)的抄表工作，督促投资方及时向招标方上缴水电费；</w:t>
      </w:r>
    </w:p>
    <w:p>
      <w:pPr>
        <w:spacing w:line="360" w:lineRule="auto"/>
        <w:ind w:firstLine="490" w:firstLineChars="175"/>
        <w:jc w:val="left"/>
        <w:rPr>
          <w:rFonts w:ascii="宋体" w:hAnsi="宋体" w:cs="宋体"/>
          <w:sz w:val="28"/>
          <w:szCs w:val="28"/>
        </w:rPr>
      </w:pPr>
      <w:r>
        <w:t>3)做好空气能热水器及空调的日常报修及结果反馈工作；</w:t>
      </w:r>
    </w:p>
    <w:p>
      <w:pPr>
        <w:spacing w:line="360" w:lineRule="auto"/>
        <w:ind w:firstLine="490" w:firstLineChars="175"/>
        <w:jc w:val="left"/>
        <w:rPr>
          <w:rFonts w:ascii="宋体" w:hAnsi="宋体" w:cs="宋体"/>
          <w:sz w:val="28"/>
          <w:szCs w:val="28"/>
        </w:rPr>
      </w:pPr>
      <w:r>
        <w:t>4)做好对学生进行空气源热水及空调租赁使用的流程指导工作；</w:t>
      </w:r>
    </w:p>
    <w:p>
      <w:pPr>
        <w:spacing w:before="120" w:beforeLines="50" w:line="360" w:lineRule="auto"/>
        <w:ind w:firstLine="492" w:firstLineChars="175"/>
        <w:jc w:val="left"/>
        <w:rPr>
          <w:rFonts w:ascii="宋体" w:hAnsi="宋体" w:cs="宋体"/>
          <w:b/>
          <w:sz w:val="28"/>
          <w:szCs w:val="28"/>
        </w:rPr>
      </w:pPr>
      <w:r>
        <w:t>1.2.6学生公寓桶装饮用水服务</w:t>
      </w:r>
    </w:p>
    <w:p>
      <w:pPr>
        <w:spacing w:before="120" w:beforeLines="50" w:line="360" w:lineRule="auto"/>
        <w:ind w:firstLine="490" w:firstLineChars="175"/>
        <w:jc w:val="left"/>
        <w:rPr>
          <w:rFonts w:ascii="宋体" w:hAnsi="宋体" w:cs="宋体"/>
          <w:sz w:val="28"/>
          <w:szCs w:val="28"/>
        </w:rPr>
      </w:pPr>
      <w:r>
        <w:t>1）桶装饮用水规格及价格</w:t>
      </w:r>
    </w:p>
    <w:tbl>
      <w:tblPr>
        <w:tblStyle w:val="5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7"/>
        <w:gridCol w:w="3058"/>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057" w:type="dxa"/>
            <w:vAlign w:val="center"/>
          </w:tcPr>
          <w:p>
            <w:r>
              <w:t>品名型号</w:t>
            </w:r>
          </w:p>
        </w:tc>
        <w:tc>
          <w:tcPr>
            <w:tcW w:w="3058" w:type="dxa"/>
            <w:vAlign w:val="center"/>
          </w:tcPr>
          <w:p>
            <w:r>
              <w:t>数量</w:t>
            </w:r>
          </w:p>
        </w:tc>
        <w:tc>
          <w:tcPr>
            <w:tcW w:w="3059" w:type="dxa"/>
            <w:vAlign w:val="center"/>
          </w:tcPr>
          <w:p>
            <w:r>
              <w:t>单价人民币（元/桶）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3057" w:type="dxa"/>
            <w:vAlign w:val="center"/>
          </w:tcPr>
          <w:p>
            <w:r>
              <w:t>5加仑桶装水</w:t>
            </w:r>
          </w:p>
        </w:tc>
        <w:tc>
          <w:tcPr>
            <w:tcW w:w="3058" w:type="dxa"/>
            <w:vAlign w:val="center"/>
          </w:tcPr>
          <w:p>
            <w:r>
              <w:t>按实结算</w:t>
            </w:r>
          </w:p>
        </w:tc>
        <w:tc>
          <w:tcPr>
            <w:tcW w:w="3059" w:type="dxa"/>
            <w:vAlign w:val="center"/>
          </w:tcPr>
          <w:p>
            <w:r>
              <w:t xml:space="preserve">小写：　　　　　　　</w:t>
              <w:b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3057" w:type="dxa"/>
            <w:vAlign w:val="center"/>
          </w:tcPr>
          <w:p>
            <w:r>
              <w:t>3加仑桶装水</w:t>
            </w:r>
          </w:p>
        </w:tc>
        <w:tc>
          <w:tcPr>
            <w:tcW w:w="3058" w:type="dxa"/>
            <w:vAlign w:val="center"/>
          </w:tcPr>
          <w:p>
            <w:r>
              <w:t>按实结算</w:t>
            </w:r>
          </w:p>
        </w:tc>
        <w:tc>
          <w:tcPr>
            <w:tcW w:w="3059" w:type="dxa"/>
            <w:vAlign w:val="center"/>
          </w:tcPr>
          <w:p>
            <w:r>
              <w:t xml:space="preserve">小写：　　　　　　　</w:t>
              <w:b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3057" w:type="dxa"/>
            <w:vAlign w:val="center"/>
          </w:tcPr>
          <w:p>
            <w:r>
              <w:t>备注</w:t>
            </w:r>
          </w:p>
        </w:tc>
        <w:tc>
          <w:tcPr>
            <w:tcW w:w="6117" w:type="dxa"/>
            <w:gridSpan w:val="2"/>
            <w:vAlign w:val="center"/>
          </w:tcPr>
          <w:p>
            <w:r>
              <w:t>单桶水合同价包括运抵招标方的运费、保险费、安装费、税费及送水费等一切费用。</w:t>
            </w:r>
          </w:p>
        </w:tc>
      </w:tr>
    </w:tbl>
    <w:p>
      <w:pPr>
        <w:spacing w:before="120" w:beforeLines="50" w:line="360" w:lineRule="auto"/>
        <w:ind w:firstLine="490" w:firstLineChars="175"/>
        <w:jc w:val="left"/>
        <w:rPr>
          <w:rFonts w:ascii="宋体" w:hAnsi="宋体" w:cs="宋体"/>
          <w:sz w:val="28"/>
          <w:szCs w:val="28"/>
        </w:rPr>
      </w:pPr>
      <w:r>
        <w:t>2）中标方保证提供的桶装饮用水是符合国家技术规格和质量标准的合格产品，且必须是在生产日期之后的第3天至第10天之间的产品；同时中标方必须保存好厂家该批次水质检测报告以备学校检查，超出此时间范围的，校方有权对中标方给予处罚，由此产生的一切责任和后果由中标方自行承担；</w:t>
      </w:r>
    </w:p>
    <w:p>
      <w:pPr>
        <w:spacing w:before="120" w:beforeLines="50" w:line="360" w:lineRule="auto"/>
        <w:ind w:firstLine="490" w:firstLineChars="175"/>
        <w:jc w:val="left"/>
        <w:rPr>
          <w:rFonts w:ascii="宋体" w:hAnsi="宋体" w:cs="宋体"/>
          <w:sz w:val="28"/>
          <w:szCs w:val="28"/>
        </w:rPr>
      </w:pPr>
      <w:r>
        <w:t>3）中标方提供的饮用水必须是全新料PC桶，并符合国家食品级包装要求；</w:t>
      </w:r>
    </w:p>
    <w:p>
      <w:pPr>
        <w:spacing w:before="120" w:beforeLines="50" w:line="360" w:lineRule="auto"/>
        <w:ind w:firstLine="490" w:firstLineChars="175"/>
        <w:jc w:val="left"/>
        <w:rPr>
          <w:rFonts w:ascii="宋体" w:hAnsi="宋体" w:cs="宋体"/>
          <w:sz w:val="28"/>
          <w:szCs w:val="28"/>
        </w:rPr>
      </w:pPr>
      <w:r>
        <w:t>4）中标方提供饮用水配套设备（其中饮水机要求为立式饮水机），饮水机每学期必须全面清洗消毒一次，清洗工应当持证上岗，如饮水机出现故障，由中标方免费更换；</w:t>
      </w:r>
    </w:p>
    <w:p>
      <w:pPr>
        <w:spacing w:before="120" w:beforeLines="50" w:line="360" w:lineRule="auto"/>
        <w:ind w:firstLine="490" w:firstLineChars="175"/>
        <w:jc w:val="left"/>
        <w:rPr>
          <w:rFonts w:ascii="宋体" w:hAnsi="宋体" w:cs="宋体"/>
          <w:sz w:val="28"/>
          <w:szCs w:val="28"/>
        </w:rPr>
      </w:pPr>
      <w:r>
        <w:t>5）中标方提供的饮水机及饮用水因质量问题而引起的各种事故，中标方须全面承担经济赔偿和法律责任；</w:t>
      </w:r>
    </w:p>
    <w:p>
      <w:pPr>
        <w:spacing w:line="360" w:lineRule="auto"/>
        <w:ind w:firstLine="490" w:firstLineChars="175"/>
        <w:jc w:val="left"/>
        <w:rPr>
          <w:rFonts w:ascii="宋体" w:hAnsi="宋体" w:cs="宋体"/>
          <w:sz w:val="28"/>
          <w:szCs w:val="28"/>
        </w:rPr>
      </w:pPr>
      <w:r>
        <w:t>6）中标方按上述桶装饮用水价格，直接向学生收取，学校不承担任何服务费用。</w:t>
      </w:r>
    </w:p>
    <w:p>
      <w:pPr>
        <w:pStyle w:val="424"/>
        <w:spacing w:line="360" w:lineRule="auto"/>
        <w:ind w:firstLine="492" w:firstLineChars="175"/>
        <w:jc w:val="left"/>
        <w:rPr>
          <w:rFonts w:ascii="宋体" w:hAnsi="宋体" w:cs="宋体"/>
          <w:b/>
          <w:sz w:val="28"/>
          <w:szCs w:val="28"/>
        </w:rPr>
      </w:pPr>
      <w:r>
        <w:t>1.2.7教职工临时住宿管理安排</w:t>
      </w:r>
    </w:p>
    <w:p>
      <w:pPr>
        <w:pStyle w:val="424"/>
        <w:spacing w:line="360" w:lineRule="auto"/>
        <w:ind w:firstLine="490" w:firstLineChars="175"/>
        <w:jc w:val="left"/>
        <w:rPr>
          <w:rFonts w:ascii="宋体" w:hAnsi="宋体" w:cs="宋体"/>
          <w:sz w:val="28"/>
          <w:szCs w:val="28"/>
        </w:rPr>
      </w:pPr>
      <w:r>
        <w:t>1)根据总务处通知合理安排学校教职工零时住宿；</w:t>
      </w:r>
    </w:p>
    <w:p>
      <w:pPr>
        <w:pStyle w:val="424"/>
        <w:spacing w:line="360" w:lineRule="auto"/>
        <w:ind w:firstLine="490" w:firstLineChars="175"/>
        <w:jc w:val="left"/>
        <w:rPr>
          <w:rFonts w:ascii="宋体" w:hAnsi="宋体" w:cs="宋体"/>
          <w:sz w:val="28"/>
          <w:szCs w:val="28"/>
        </w:rPr>
      </w:pPr>
      <w:r>
        <w:t>2)负责教职工住宿人员的资料统计；</w:t>
      </w:r>
    </w:p>
    <w:p>
      <w:pPr>
        <w:pStyle w:val="424"/>
        <w:spacing w:line="360" w:lineRule="auto"/>
        <w:ind w:firstLine="490" w:firstLineChars="175"/>
        <w:jc w:val="left"/>
        <w:rPr>
          <w:rFonts w:ascii="宋体" w:hAnsi="宋体" w:cs="宋体"/>
          <w:sz w:val="28"/>
          <w:szCs w:val="28"/>
        </w:rPr>
      </w:pPr>
      <w:r>
        <w:t>3)遵守职业道德，杜绝违规操作。</w:t>
      </w:r>
    </w:p>
    <w:p>
      <w:pPr>
        <w:spacing w:before="120" w:beforeLines="50" w:line="360" w:lineRule="auto"/>
        <w:ind w:firstLine="492" w:firstLineChars="175"/>
        <w:jc w:val="left"/>
        <w:rPr>
          <w:rFonts w:ascii="宋体" w:hAnsi="宋体" w:cs="宋体"/>
          <w:b/>
          <w:sz w:val="28"/>
          <w:szCs w:val="28"/>
        </w:rPr>
      </w:pPr>
      <w:r>
        <w:t>1.2.8学生公寓用网的管理</w:t>
      </w:r>
    </w:p>
    <w:p>
      <w:pPr>
        <w:spacing w:before="120" w:beforeLines="50" w:line="360" w:lineRule="auto"/>
        <w:ind w:firstLine="490" w:firstLineChars="175"/>
        <w:jc w:val="left"/>
        <w:rPr>
          <w:rFonts w:ascii="宋体" w:hAnsi="宋体" w:cs="宋体"/>
          <w:sz w:val="28"/>
          <w:szCs w:val="28"/>
        </w:rPr>
      </w:pPr>
      <w:r>
        <w:t>1)代表校方与网络供应商沟通网络维护等相关工作；</w:t>
      </w:r>
    </w:p>
    <w:p>
      <w:pPr>
        <w:spacing w:before="120" w:beforeLines="50" w:line="360" w:lineRule="auto"/>
        <w:ind w:firstLine="490" w:firstLineChars="175"/>
        <w:jc w:val="left"/>
        <w:rPr>
          <w:rFonts w:ascii="宋体" w:hAnsi="宋体" w:cs="宋体"/>
          <w:sz w:val="28"/>
          <w:szCs w:val="28"/>
        </w:rPr>
      </w:pPr>
      <w:r>
        <w:t>2)对学生进行网络使用的指导。</w:t>
      </w:r>
    </w:p>
    <w:p>
      <w:pPr>
        <w:spacing w:before="120" w:beforeLines="50" w:line="360" w:lineRule="auto"/>
        <w:ind w:firstLine="492" w:firstLineChars="175"/>
        <w:jc w:val="left"/>
        <w:rPr>
          <w:rFonts w:ascii="宋体" w:hAnsi="宋体" w:cs="宋体"/>
          <w:b/>
          <w:sz w:val="28"/>
          <w:szCs w:val="28"/>
        </w:rPr>
      </w:pPr>
      <w:r>
        <w:t>1.2.9洗衣机的日常管理</w:t>
      </w:r>
    </w:p>
    <w:p>
      <w:pPr>
        <w:spacing w:line="360" w:lineRule="auto"/>
        <w:ind w:firstLine="490" w:firstLineChars="175"/>
        <w:jc w:val="left"/>
        <w:rPr>
          <w:rFonts w:ascii="宋体" w:hAnsi="宋体" w:cs="宋体"/>
          <w:sz w:val="28"/>
          <w:szCs w:val="28"/>
        </w:rPr>
      </w:pPr>
      <w:r>
        <w:t>1)配合学校做好洗衣机房的管理；</w:t>
      </w:r>
    </w:p>
    <w:p>
      <w:pPr>
        <w:spacing w:line="360" w:lineRule="auto"/>
        <w:ind w:firstLine="490" w:firstLineChars="175"/>
        <w:jc w:val="left"/>
        <w:rPr>
          <w:rFonts w:ascii="宋体" w:hAnsi="宋体" w:cs="宋体"/>
          <w:sz w:val="28"/>
          <w:szCs w:val="28"/>
        </w:rPr>
      </w:pPr>
      <w:r>
        <w:t>2)做好洗衣机外壳和周边环境的清洁工作；</w:t>
      </w:r>
    </w:p>
    <w:p>
      <w:pPr>
        <w:spacing w:line="360" w:lineRule="auto"/>
        <w:ind w:firstLine="490" w:firstLineChars="175"/>
        <w:jc w:val="left"/>
        <w:rPr>
          <w:rFonts w:ascii="宋体" w:hAnsi="宋体" w:cs="宋体"/>
          <w:sz w:val="28"/>
          <w:szCs w:val="28"/>
        </w:rPr>
      </w:pPr>
      <w:r>
        <w:t>3)对学生进行洗衣机使用的指导；</w:t>
      </w:r>
    </w:p>
    <w:p>
      <w:pPr>
        <w:spacing w:line="360" w:lineRule="auto"/>
        <w:ind w:firstLine="490" w:firstLineChars="175"/>
        <w:jc w:val="left"/>
        <w:rPr>
          <w:rFonts w:ascii="宋体" w:hAnsi="宋体" w:cs="宋体"/>
          <w:sz w:val="28"/>
          <w:szCs w:val="28"/>
        </w:rPr>
      </w:pPr>
      <w:r>
        <w:t>4)做好洗衣机的日常报修工作，代表招标方与设备厂家做好日常沟通维护的督促工作。</w:t>
      </w:r>
    </w:p>
    <w:p>
      <w:pPr>
        <w:spacing w:line="360" w:lineRule="auto"/>
        <w:ind w:firstLine="490" w:firstLineChars="175"/>
        <w:jc w:val="left"/>
        <w:rPr>
          <w:rFonts w:ascii="宋体" w:hAnsi="宋体" w:cs="宋体"/>
          <w:sz w:val="28"/>
          <w:szCs w:val="28"/>
        </w:rPr>
      </w:pPr>
      <w:r>
        <w:t>5)做好洗衣机用水(电)的抄表工作，督促洗衣机投资方及时向招标方上缴水电费。</w:t>
      </w:r>
    </w:p>
    <w:p>
      <w:pPr>
        <w:spacing w:before="120" w:beforeLines="50" w:line="360" w:lineRule="auto"/>
        <w:ind w:firstLine="492" w:firstLineChars="175"/>
        <w:jc w:val="left"/>
        <w:rPr>
          <w:rFonts w:ascii="宋体" w:hAnsi="宋体" w:cs="宋体"/>
          <w:b/>
          <w:sz w:val="28"/>
          <w:szCs w:val="28"/>
        </w:rPr>
      </w:pPr>
      <w:r>
        <w:t>1.2.10信息沟通</w:t>
      </w:r>
    </w:p>
    <w:p>
      <w:pPr>
        <w:spacing w:line="360" w:lineRule="auto"/>
        <w:ind w:firstLine="490" w:firstLineChars="175"/>
        <w:jc w:val="left"/>
        <w:rPr>
          <w:rFonts w:ascii="宋体" w:hAnsi="宋体" w:cs="宋体"/>
          <w:sz w:val="28"/>
          <w:szCs w:val="28"/>
        </w:rPr>
      </w:pPr>
      <w:r>
        <w:t>管理负责人要能倾听并接收学生的意见和建议，了解住宿学生的需求。同时对相关意见进行及时解答处理，对不能处理的需及时上报管理部门进行处理。</w:t>
      </w:r>
    </w:p>
    <w:p>
      <w:pPr>
        <w:pStyle w:val="24"/>
        <w:spacing w:line="360" w:lineRule="auto"/>
        <w:ind w:firstLine="495" w:firstLineChars="176"/>
        <w:jc w:val="left"/>
        <w:rPr>
          <w:rFonts w:ascii="宋体" w:hAnsi="宋体" w:cs="宋体"/>
          <w:b/>
          <w:szCs w:val="28"/>
        </w:rPr>
      </w:pPr>
      <w:r>
        <w:t>1.2.11学生寝室清卫用品保障</w:t>
      </w:r>
    </w:p>
    <w:p>
      <w:pPr>
        <w:pStyle w:val="24"/>
        <w:spacing w:line="360" w:lineRule="auto"/>
        <w:ind w:firstLine="492" w:firstLineChars="176"/>
        <w:jc w:val="left"/>
        <w:rPr>
          <w:szCs w:val="28"/>
        </w:rPr>
      </w:pPr>
      <w:r>
        <w:t>根据学校每学期新生人数及公寓楼寝室安排情况，做好各新生寝室内清卫用品的保障(包括拖把、抺布、扫把、晾衣叉、厕所纸瘘、分类垃圾桶等)；</w:t>
      </w:r>
    </w:p>
    <w:p>
      <w:pPr>
        <w:spacing w:before="120" w:beforeLines="50" w:line="360" w:lineRule="auto"/>
        <w:ind w:firstLine="492" w:firstLineChars="175"/>
        <w:jc w:val="left"/>
        <w:rPr>
          <w:rFonts w:ascii="宋体" w:hAnsi="宋体" w:cs="宋体"/>
          <w:b/>
          <w:sz w:val="28"/>
          <w:szCs w:val="28"/>
        </w:rPr>
      </w:pPr>
      <w:r>
        <w:t>1.3学生公寓安全管理</w:t>
      </w:r>
    </w:p>
    <w:p>
      <w:pPr>
        <w:spacing w:line="360" w:lineRule="auto"/>
        <w:ind w:firstLine="490" w:firstLineChars="175"/>
        <w:jc w:val="left"/>
        <w:rPr>
          <w:rFonts w:ascii="宋体" w:hAnsi="宋体" w:cs="宋体"/>
          <w:sz w:val="28"/>
          <w:szCs w:val="28"/>
        </w:rPr>
      </w:pPr>
      <w:r>
        <w:t>1）将安全管理作为日常工作的重要组成部分，建立完善的安全管理制度；</w:t>
      </w:r>
    </w:p>
    <w:p>
      <w:pPr>
        <w:spacing w:line="360" w:lineRule="auto"/>
        <w:ind w:firstLine="490" w:firstLineChars="175"/>
        <w:jc w:val="left"/>
        <w:rPr>
          <w:rFonts w:ascii="宋体" w:hAnsi="宋体" w:cs="宋体"/>
          <w:sz w:val="28"/>
          <w:szCs w:val="28"/>
        </w:rPr>
      </w:pPr>
      <w:r>
        <w:t>2）按照学生公寓安全管理的特点，对工作责任内存在的安全因素进行控制和管理；</w:t>
      </w:r>
    </w:p>
    <w:p>
      <w:pPr>
        <w:spacing w:line="360" w:lineRule="auto"/>
        <w:ind w:firstLine="490" w:firstLineChars="175"/>
        <w:jc w:val="left"/>
        <w:rPr>
          <w:rFonts w:ascii="宋体" w:hAnsi="宋体" w:cs="宋体"/>
          <w:sz w:val="28"/>
          <w:szCs w:val="28"/>
        </w:rPr>
      </w:pPr>
      <w:r>
        <w:t>3）有安全规定（或隐患）的场所，保持标识的完整性、正确性、清晰性，以保证人员能得到必要的安全警示和提示；</w:t>
      </w:r>
    </w:p>
    <w:p>
      <w:pPr>
        <w:spacing w:line="360" w:lineRule="auto"/>
        <w:ind w:firstLine="490" w:firstLineChars="175"/>
        <w:jc w:val="left"/>
        <w:rPr>
          <w:rFonts w:ascii="宋体" w:hAnsi="宋体" w:cs="宋体"/>
          <w:sz w:val="28"/>
          <w:szCs w:val="28"/>
        </w:rPr>
      </w:pPr>
      <w:r>
        <w:t>4）开展常规性和专题性宣传教育，特别是开展消防、防盗、安全用电等方面的指导，定期更新宣传内容；</w:t>
      </w:r>
    </w:p>
    <w:p>
      <w:pPr>
        <w:spacing w:line="360" w:lineRule="auto"/>
        <w:ind w:firstLine="490" w:firstLineChars="175"/>
        <w:jc w:val="left"/>
        <w:rPr>
          <w:rFonts w:ascii="宋体" w:hAnsi="宋体" w:cs="宋体"/>
          <w:sz w:val="28"/>
          <w:szCs w:val="28"/>
        </w:rPr>
      </w:pPr>
      <w:r>
        <w:t>5）定期进行学生寝室的安全检查，及时识别各项不安全因素（消防器材添置或更换由校方负责）；</w:t>
      </w:r>
    </w:p>
    <w:p>
      <w:pPr>
        <w:spacing w:line="360" w:lineRule="auto"/>
        <w:ind w:firstLine="490" w:firstLineChars="175"/>
        <w:jc w:val="left"/>
        <w:rPr>
          <w:rFonts w:ascii="宋体" w:hAnsi="宋体" w:cs="宋体"/>
          <w:sz w:val="28"/>
          <w:szCs w:val="28"/>
        </w:rPr>
      </w:pPr>
      <w:r>
        <w:t>6）经常与住楼学生所对应的院（系）学生辅导员联系，对有违纪行为的学生提出违纪处理意见；</w:t>
      </w:r>
    </w:p>
    <w:p>
      <w:pPr>
        <w:spacing w:line="360" w:lineRule="auto"/>
        <w:ind w:firstLine="490" w:firstLineChars="175"/>
        <w:jc w:val="left"/>
        <w:rPr>
          <w:rFonts w:ascii="宋体" w:hAnsi="宋体" w:cs="宋体"/>
          <w:sz w:val="28"/>
          <w:szCs w:val="28"/>
        </w:rPr>
      </w:pPr>
      <w:r>
        <w:t>7）落实工作人员的安全职责和考核制度；</w:t>
      </w:r>
    </w:p>
    <w:p>
      <w:pPr>
        <w:spacing w:line="360" w:lineRule="auto"/>
        <w:ind w:firstLine="490" w:firstLineChars="175"/>
        <w:jc w:val="left"/>
        <w:rPr>
          <w:rFonts w:ascii="宋体" w:hAnsi="宋体" w:cs="宋体"/>
          <w:sz w:val="28"/>
          <w:szCs w:val="28"/>
        </w:rPr>
      </w:pPr>
      <w:r>
        <w:t>8）建立各类应急预案，并交招标方审核。</w:t>
      </w:r>
    </w:p>
    <w:p>
      <w:pPr>
        <w:spacing w:line="360" w:lineRule="auto"/>
        <w:ind w:firstLine="492" w:firstLineChars="175"/>
        <w:jc w:val="left"/>
        <w:rPr>
          <w:rFonts w:ascii="宋体" w:hAnsi="宋体" w:cs="宋体"/>
          <w:b/>
          <w:sz w:val="28"/>
          <w:szCs w:val="28"/>
        </w:rPr>
      </w:pPr>
      <w:r>
        <w:t>1.4开展学生行为管理、引导和公寓文化建设</w:t>
      </w:r>
    </w:p>
    <w:p>
      <w:pPr>
        <w:spacing w:line="360" w:lineRule="auto"/>
        <w:ind w:firstLine="492" w:firstLineChars="175"/>
        <w:jc w:val="left"/>
        <w:rPr>
          <w:rFonts w:ascii="宋体" w:hAnsi="宋体" w:cs="宋体"/>
          <w:sz w:val="28"/>
          <w:szCs w:val="28"/>
        </w:rPr>
      </w:pPr>
      <w:r>
        <w:t>1.4.1学生行为管理和引导</w:t>
      </w:r>
    </w:p>
    <w:p>
      <w:pPr>
        <w:spacing w:line="360" w:lineRule="auto"/>
        <w:ind w:firstLine="490" w:firstLineChars="175"/>
        <w:jc w:val="left"/>
        <w:rPr>
          <w:rFonts w:ascii="宋体" w:hAnsi="宋体" w:cs="宋体"/>
          <w:sz w:val="28"/>
          <w:szCs w:val="28"/>
        </w:rPr>
      </w:pPr>
      <w:r>
        <w:t>1)贯彻高校“全员育人、全方位育人、全过程育人”的工作理念，对住宿学生开展文明、行为及安全方面的引导和宣传教育；</w:t>
      </w:r>
    </w:p>
    <w:p>
      <w:pPr>
        <w:spacing w:line="360" w:lineRule="auto"/>
        <w:ind w:firstLine="490" w:firstLineChars="175"/>
        <w:jc w:val="left"/>
        <w:rPr>
          <w:rFonts w:ascii="宋体" w:hAnsi="宋体" w:cs="宋体"/>
          <w:sz w:val="28"/>
          <w:szCs w:val="28"/>
        </w:rPr>
      </w:pPr>
      <w:r>
        <w:t>2)在校方授权下，开展对公寓里学生违纪进行检查和卫生检查(每个寝室每周不少于一次)，并向招标方学生工作主管部门反馈学生行为表现及动态。</w:t>
      </w:r>
    </w:p>
    <w:p>
      <w:pPr>
        <w:spacing w:line="360" w:lineRule="auto"/>
        <w:ind w:firstLine="492" w:firstLineChars="175"/>
        <w:jc w:val="left"/>
        <w:rPr>
          <w:rFonts w:ascii="宋体" w:hAnsi="宋体" w:cs="宋体"/>
          <w:sz w:val="28"/>
          <w:szCs w:val="28"/>
        </w:rPr>
      </w:pPr>
      <w:r>
        <w:t>1.4.2积极开展学生公寓硬件建设和公寓主题文化建设</w:t>
      </w:r>
    </w:p>
    <w:p>
      <w:pPr>
        <w:spacing w:line="360" w:lineRule="auto"/>
        <w:ind w:firstLine="490" w:firstLineChars="175"/>
        <w:jc w:val="left"/>
        <w:rPr>
          <w:rFonts w:ascii="宋体" w:hAnsi="宋体" w:cs="宋体"/>
          <w:sz w:val="28"/>
          <w:szCs w:val="28"/>
        </w:rPr>
      </w:pPr>
      <w:r>
        <w:t>1)中标方必须设立专项经费，对公寓区宣传栏窗、公寓楼门厅、楼内休闲区、生活功能区、便民服务等场所进行建设。中标方在合约签定后一个月内根据投标承诺制定相关方案提交学校总务处，经审批后实施；</w:t>
      </w:r>
    </w:p>
    <w:p>
      <w:pPr>
        <w:spacing w:line="360" w:lineRule="auto"/>
        <w:ind w:firstLine="490" w:firstLineChars="175"/>
        <w:jc w:val="left"/>
        <w:rPr>
          <w:rFonts w:ascii="宋体" w:hAnsi="宋体" w:cs="宋体"/>
          <w:sz w:val="28"/>
          <w:szCs w:val="28"/>
        </w:rPr>
      </w:pPr>
      <w:r>
        <w:t>2)协助学校学生工作主管部门开展公寓主题文化活动及宿舍文明建设；</w:t>
      </w:r>
    </w:p>
    <w:p>
      <w:pPr>
        <w:spacing w:line="360" w:lineRule="auto"/>
        <w:ind w:firstLine="490" w:firstLineChars="175"/>
        <w:jc w:val="left"/>
        <w:rPr>
          <w:rFonts w:ascii="宋体" w:hAnsi="宋体" w:cs="宋体"/>
          <w:sz w:val="28"/>
          <w:szCs w:val="28"/>
        </w:rPr>
      </w:pPr>
      <w:r>
        <w:t>3)接合各类传统节日以及学校大型活动，积极做好公寓气氛布置；</w:t>
      </w:r>
    </w:p>
    <w:p>
      <w:pPr>
        <w:spacing w:line="360" w:lineRule="auto"/>
        <w:ind w:firstLine="490" w:firstLineChars="175"/>
        <w:jc w:val="left"/>
        <w:rPr>
          <w:rFonts w:ascii="宋体" w:hAnsi="宋体" w:cs="宋体"/>
          <w:sz w:val="28"/>
          <w:szCs w:val="28"/>
        </w:rPr>
      </w:pPr>
      <w:r>
        <w:t>4)制作更新人文、安全、环保、节电、节水方面的引导牌、提示牌、警示牌。</w:t>
      </w:r>
    </w:p>
    <w:p>
      <w:pPr>
        <w:spacing w:line="360" w:lineRule="auto"/>
        <w:ind w:firstLine="492" w:firstLineChars="175"/>
        <w:jc w:val="left"/>
        <w:rPr>
          <w:rFonts w:ascii="宋体" w:hAnsi="宋体" w:cs="宋体"/>
          <w:b/>
          <w:sz w:val="28"/>
          <w:szCs w:val="28"/>
        </w:rPr>
      </w:pPr>
      <w:r>
        <w:t>1.4.3其它</w:t>
      </w:r>
    </w:p>
    <w:p>
      <w:pPr>
        <w:spacing w:line="360" w:lineRule="auto"/>
        <w:ind w:firstLine="490" w:firstLineChars="175"/>
        <w:jc w:val="left"/>
      </w:pPr>
      <w:r>
        <w:t>1)校方提供值班室、办公场所，中标方自行配备管理办公设备、耗材和家具；</w:t>
      </w:r>
    </w:p>
    <w:p>
      <w:pPr>
        <w:spacing w:line="360" w:lineRule="auto"/>
        <w:ind w:firstLine="490" w:firstLineChars="175"/>
        <w:jc w:val="left"/>
        <w:rPr>
          <w:rFonts w:ascii="宋体" w:hAnsi="宋体" w:cs="宋体"/>
          <w:sz w:val="28"/>
          <w:szCs w:val="28"/>
        </w:rPr>
      </w:pPr>
      <w:r>
        <w:t>2)校方根据需求，要求中标方提供合同外服务，具体费用另行协商。</w:t>
      </w:r>
    </w:p>
    <w:p>
      <w:pPr>
        <w:spacing w:line="360" w:lineRule="auto"/>
        <w:ind w:firstLine="492" w:firstLineChars="175"/>
        <w:jc w:val="left"/>
        <w:rPr>
          <w:rFonts w:ascii="宋体" w:hAnsi="宋体" w:cs="宋体"/>
          <w:sz w:val="28"/>
          <w:szCs w:val="28"/>
        </w:rPr>
      </w:pPr>
      <w:r>
        <w:t>1.5其他事项</w:t>
      </w:r>
    </w:p>
    <w:p>
      <w:pPr>
        <w:spacing w:line="360" w:lineRule="auto"/>
        <w:ind w:firstLine="492" w:firstLineChars="175"/>
        <w:jc w:val="left"/>
        <w:rPr>
          <w:rFonts w:ascii="宋体" w:hAnsi="宋体" w:cs="宋体"/>
          <w:sz w:val="28"/>
          <w:szCs w:val="28"/>
        </w:rPr>
      </w:pPr>
      <w:r>
        <w:t>1.5.1如学生有需要的前提下由中标方负责有偿提供桶装水供应、洗衣、网卡、电话卡、牛奶预订等服务，有关价格需报招标方审批；</w:t>
      </w:r>
    </w:p>
    <w:p>
      <w:pPr>
        <w:spacing w:line="360" w:lineRule="auto"/>
        <w:ind w:firstLine="492" w:firstLineChars="175"/>
        <w:jc w:val="left"/>
        <w:rPr>
          <w:rFonts w:ascii="宋体" w:hAnsi="宋体" w:cs="宋体"/>
          <w:sz w:val="28"/>
          <w:szCs w:val="28"/>
        </w:rPr>
      </w:pPr>
      <w:r>
        <w:t>1.5.2向学生有偿提供学生公寓室内卫生清洁、电风扇清洁保养等服务（价格报招标方审批）；</w:t>
      </w:r>
    </w:p>
    <w:p>
      <w:pPr>
        <w:spacing w:line="360" w:lineRule="auto"/>
        <w:ind w:firstLine="492" w:firstLineChars="175"/>
        <w:jc w:val="left"/>
        <w:rPr>
          <w:rFonts w:ascii="宋体" w:hAnsi="宋体" w:cs="宋体"/>
          <w:sz w:val="28"/>
          <w:szCs w:val="28"/>
        </w:rPr>
      </w:pPr>
      <w:r>
        <w:t>1.5.3中标方在保洁区域内的垃圾要求袋装并及时收集，按垃圾分类要求送至统一集中点存放，由市政环卫部门统一外运；</w:t>
      </w:r>
    </w:p>
    <w:p>
      <w:pPr>
        <w:spacing w:line="360" w:lineRule="auto"/>
        <w:ind w:firstLine="492" w:firstLineChars="175"/>
        <w:jc w:val="left"/>
        <w:rPr>
          <w:rFonts w:ascii="宋体" w:hAnsi="宋体" w:cs="宋体"/>
          <w:sz w:val="28"/>
          <w:szCs w:val="28"/>
        </w:rPr>
      </w:pPr>
      <w:r>
        <w:t>1.5.4遇突发性雨雪灾害天气，中标方应及时组织员工采取有效措施清除杂物、积水或积雪，确保道路畅通，维持学校的正常秩序；</w:t>
      </w:r>
    </w:p>
    <w:p>
      <w:pPr>
        <w:spacing w:line="360" w:lineRule="auto"/>
        <w:ind w:firstLine="492" w:firstLineChars="175"/>
        <w:jc w:val="left"/>
        <w:rPr>
          <w:rFonts w:ascii="宋体" w:hAnsi="宋体" w:cs="宋体"/>
          <w:sz w:val="28"/>
          <w:szCs w:val="28"/>
        </w:rPr>
      </w:pPr>
      <w:r>
        <w:t>1.5.5中标方协助做好学校与学生公寓生活有关大型活动的场地布置等相关工作，做到及时安全，活动结束后及时清理保洁；</w:t>
      </w:r>
    </w:p>
    <w:p>
      <w:pPr>
        <w:spacing w:line="360" w:lineRule="auto"/>
        <w:ind w:firstLine="492" w:firstLineChars="175"/>
        <w:jc w:val="left"/>
        <w:rPr>
          <w:rFonts w:ascii="宋体" w:hAnsi="宋体" w:cs="宋体"/>
          <w:sz w:val="28"/>
          <w:szCs w:val="28"/>
        </w:rPr>
      </w:pPr>
      <w:r>
        <w:t>1.5.6中标方在寒暑假根据需要安排好相关的值班、保洁工作，并做好成教学生和培训生、留校学生的住宿安排工作；</w:t>
      </w:r>
    </w:p>
    <w:p>
      <w:pPr>
        <w:spacing w:line="360" w:lineRule="auto"/>
        <w:ind w:firstLine="492" w:firstLineChars="175"/>
        <w:jc w:val="left"/>
        <w:rPr>
          <w:rFonts w:ascii="宋体" w:hAnsi="宋体" w:cs="宋体"/>
          <w:sz w:val="28"/>
          <w:szCs w:val="28"/>
        </w:rPr>
      </w:pPr>
      <w:r>
        <w:t>1.5.7做好学生寝室水表抄报工作，督促用水超标准学生及时上缴超支水费；</w:t>
      </w:r>
    </w:p>
    <w:p>
      <w:pPr>
        <w:spacing w:line="360" w:lineRule="auto"/>
        <w:ind w:firstLine="492" w:firstLineChars="175"/>
        <w:jc w:val="left"/>
        <w:rPr>
          <w:rFonts w:ascii="宋体" w:hAnsi="宋体" w:cs="宋体"/>
          <w:sz w:val="28"/>
          <w:szCs w:val="28"/>
        </w:rPr>
      </w:pPr>
      <w:r>
        <w:t>1.5.8楼长、值班员、管理员1月内应熟悉本楼宇学生，熟悉率达90%。</w:t>
      </w:r>
    </w:p>
    <w:p>
      <w:pPr>
        <w:spacing w:line="360" w:lineRule="auto"/>
        <w:ind w:firstLine="492" w:firstLineChars="175"/>
        <w:jc w:val="left"/>
        <w:rPr>
          <w:rFonts w:ascii="宋体" w:hAnsi="宋体" w:cs="宋体"/>
          <w:b/>
          <w:sz w:val="28"/>
          <w:szCs w:val="28"/>
        </w:rPr>
      </w:pPr>
      <w:r>
        <w:t>1.6零星维修</w:t>
      </w:r>
    </w:p>
    <w:p>
      <w:pPr>
        <w:spacing w:line="360" w:lineRule="auto"/>
        <w:ind w:firstLine="492" w:firstLineChars="175"/>
        <w:jc w:val="left"/>
        <w:rPr>
          <w:rFonts w:ascii="宋体" w:hAnsi="宋体" w:cs="宋体"/>
          <w:sz w:val="28"/>
          <w:szCs w:val="28"/>
        </w:rPr>
      </w:pPr>
      <w:r>
        <w:t>1.6.1零星维修范围:</w:t>
      </w:r>
    </w:p>
    <w:p>
      <w:pPr>
        <w:spacing w:line="360" w:lineRule="auto"/>
        <w:ind w:firstLine="490" w:firstLineChars="175"/>
        <w:jc w:val="left"/>
        <w:rPr>
          <w:rFonts w:ascii="宋体" w:hAnsi="宋体" w:cs="宋体"/>
          <w:sz w:val="28"/>
          <w:szCs w:val="28"/>
        </w:rPr>
      </w:pPr>
      <w:r>
        <w:t>1)中标方负责学生公寓内所有公共设施、设备的管理及零星维修(含材料)。零星维修服务指不包括人工费在内的单项300元（含）以下的维修，主要有：室内、通道及公共场所的日光灯、吸顶灯、灯泡、灯座、日光灯架、电子镇流器、镇流器、空气开关、照明开关、漏电开关、插座、开关盒、电风扇、宿舍防盗门、门锁、卫生间门、窗户、防盗网、室内门窗玻璃、沙窗门；学生书桌、电脑柜、床架、椅子等；盥洗池水龙头、卫生间水龙头、淋喷头、淋浴闸阀，大便器闸阀、洗手池软管、地漏、宿舍内的毛巾杆、晾衣杆；公共过道窗户玻璃、窗叶的维护、下水道堵塞等等(此范围不累计，不得将多处问题集中计算，不含必须由特定专业公司进行的维修或处于保修期内的设施，如电话机、刷卡系统等，）。在零星维修范围内的直接安排维修；超出零星维修范围的，24小时内报告校方；</w:t>
      </w:r>
    </w:p>
    <w:p>
      <w:pPr>
        <w:spacing w:line="360" w:lineRule="auto"/>
        <w:ind w:firstLine="490" w:firstLineChars="175"/>
        <w:jc w:val="left"/>
        <w:rPr>
          <w:rFonts w:ascii="宋体" w:hAnsi="宋体" w:cs="宋体"/>
          <w:sz w:val="28"/>
          <w:szCs w:val="28"/>
        </w:rPr>
      </w:pPr>
      <w:r>
        <w:t>2)如有属于建筑物内的维修，中标方应负责向校方报修并做好陪修服务。</w:t>
      </w:r>
    </w:p>
    <w:p>
      <w:pPr>
        <w:spacing w:line="360" w:lineRule="auto"/>
        <w:ind w:firstLine="490" w:firstLineChars="175"/>
        <w:jc w:val="left"/>
        <w:rPr>
          <w:rFonts w:ascii="宋体" w:hAnsi="宋体" w:cs="宋体"/>
          <w:sz w:val="28"/>
          <w:szCs w:val="28"/>
        </w:rPr>
      </w:pPr>
      <w:r>
        <w:t>3)学生公寓室内非正常损耗（人为损坏）物品的维修，实行按成本收费（价格报校方审批后公示）。</w:t>
      </w:r>
    </w:p>
    <w:p>
      <w:pPr>
        <w:spacing w:line="360" w:lineRule="auto"/>
        <w:ind w:firstLine="492" w:firstLineChars="175"/>
        <w:jc w:val="left"/>
        <w:rPr>
          <w:rFonts w:ascii="宋体" w:hAnsi="宋体" w:cs="宋体"/>
          <w:b/>
          <w:sz w:val="28"/>
          <w:szCs w:val="28"/>
        </w:rPr>
      </w:pPr>
      <w:r>
        <w:t>1.6.2零星维修服务，实行“水电和门锁维修不超过24小时”的维修承诺。合同期满后，若发现有设施、设备损坏或丢失(自然损坏除外)，乙方应予以全价赔偿。</w:t>
      </w:r>
    </w:p>
    <w:p>
      <w:pPr>
        <w:spacing w:line="360" w:lineRule="auto"/>
        <w:ind w:firstLine="492" w:firstLineChars="175"/>
        <w:jc w:val="left"/>
        <w:rPr>
          <w:rFonts w:ascii="宋体" w:hAnsi="宋体" w:cs="宋体"/>
          <w:sz w:val="28"/>
          <w:szCs w:val="28"/>
        </w:rPr>
      </w:pPr>
      <w:r>
        <w:t>1.6.3中标方应建立零星报修、维修服务台账以备校方随时抽查。</w:t>
      </w:r>
    </w:p>
    <w:p>
      <w:pPr>
        <w:spacing w:line="360" w:lineRule="auto"/>
        <w:ind w:firstLine="492" w:firstLineChars="175"/>
        <w:jc w:val="left"/>
        <w:rPr>
          <w:rFonts w:ascii="宋体" w:hAnsi="宋体" w:cs="宋体"/>
          <w:b/>
          <w:sz w:val="28"/>
          <w:szCs w:val="28"/>
          <w:u w:val="single"/>
        </w:rPr>
      </w:pPr>
      <w:r>
        <w:t>2、学校清卫保洁内容</w:t>
      </w:r>
    </w:p>
    <w:p>
      <w:pPr>
        <w:pStyle w:val="24"/>
        <w:spacing w:line="360" w:lineRule="auto"/>
        <w:ind w:firstLine="490" w:firstLineChars="175"/>
        <w:jc w:val="left"/>
        <w:rPr>
          <w:szCs w:val="28"/>
        </w:rPr>
      </w:pPr>
      <w:r>
        <w:t>学校清卫保洁工作在总务处管理下开展工作，相关业务对接与日常考核由总务处负责。</w:t>
      </w:r>
    </w:p>
    <w:p>
      <w:pPr>
        <w:spacing w:line="360" w:lineRule="auto"/>
        <w:ind w:firstLine="492" w:firstLineChars="175"/>
        <w:jc w:val="left"/>
        <w:rPr>
          <w:rFonts w:ascii="宋体" w:hAnsi="宋体" w:cs="宋体"/>
          <w:b/>
          <w:sz w:val="28"/>
          <w:szCs w:val="28"/>
        </w:rPr>
      </w:pPr>
      <w:r>
        <w:t>2.1费用包括</w:t>
      </w:r>
    </w:p>
    <w:p>
      <w:pPr>
        <w:spacing w:line="360" w:lineRule="auto"/>
        <w:ind w:firstLine="492" w:firstLineChars="175"/>
        <w:jc w:val="left"/>
        <w:rPr>
          <w:rFonts w:ascii="宋体" w:hAnsi="宋体" w:cs="宋体"/>
          <w:sz w:val="28"/>
          <w:szCs w:val="28"/>
        </w:rPr>
      </w:pPr>
      <w:r>
        <w:t>2.1.1人工费、管理费、税金及国家规定的费用；</w:t>
      </w:r>
    </w:p>
    <w:p>
      <w:pPr>
        <w:spacing w:line="360" w:lineRule="auto"/>
        <w:ind w:firstLine="492" w:firstLineChars="175"/>
        <w:jc w:val="left"/>
        <w:rPr>
          <w:rFonts w:ascii="宋体" w:hAnsi="宋体" w:cs="宋体"/>
          <w:sz w:val="28"/>
          <w:szCs w:val="28"/>
        </w:rPr>
      </w:pPr>
      <w:r>
        <w:t>2.1.2服务过程中的工具、清洁剂、除臭用品、垃圾袋、各型号分类集运垃圾桶及应急服务用品等费用；</w:t>
      </w:r>
    </w:p>
    <w:p>
      <w:pPr>
        <w:pStyle w:val="24"/>
        <w:ind w:firstLine="424" w:firstLineChars="151"/>
        <w:jc w:val="left"/>
      </w:pPr>
      <w:r>
        <w:t>2.1.3垃圾分类所用的物品采购、日常宣传等费用。</w:t>
      </w:r>
    </w:p>
    <w:p>
      <w:pPr>
        <w:spacing w:line="360" w:lineRule="auto"/>
        <w:ind w:firstLine="492" w:firstLineChars="175"/>
        <w:jc w:val="left"/>
        <w:rPr>
          <w:rFonts w:ascii="宋体" w:hAnsi="宋体" w:cs="宋体"/>
          <w:b/>
          <w:sz w:val="28"/>
          <w:szCs w:val="28"/>
        </w:rPr>
      </w:pPr>
      <w:r>
        <w:t>2.2清卫保洁管理工作要求</w:t>
      </w:r>
    </w:p>
    <w:p>
      <w:pPr>
        <w:spacing w:line="360" w:lineRule="auto"/>
        <w:ind w:firstLine="492" w:firstLineChars="175"/>
        <w:jc w:val="left"/>
        <w:rPr>
          <w:rFonts w:ascii="宋体" w:hAnsi="宋体" w:cs="宋体"/>
          <w:b/>
          <w:sz w:val="28"/>
          <w:szCs w:val="28"/>
        </w:rPr>
      </w:pPr>
      <w:r>
        <w:t>2.2.1行政楼、活动中心保洁要求</w:t>
      </w:r>
    </w:p>
    <w:p>
      <w:pPr>
        <w:spacing w:line="360" w:lineRule="auto"/>
        <w:ind w:firstLine="490" w:firstLineChars="175"/>
        <w:jc w:val="left"/>
        <w:rPr>
          <w:rFonts w:ascii="宋体" w:hAnsi="宋体" w:cs="宋体"/>
          <w:sz w:val="28"/>
          <w:szCs w:val="28"/>
        </w:rPr>
      </w:pPr>
      <w:r>
        <w:t>1)保洁范围：如上述表格要求。</w:t>
      </w:r>
    </w:p>
    <w:p>
      <w:pPr>
        <w:spacing w:line="360" w:lineRule="auto"/>
        <w:ind w:firstLine="490" w:firstLineChars="175"/>
        <w:jc w:val="left"/>
        <w:rPr>
          <w:rFonts w:ascii="宋体" w:hAnsi="宋体" w:cs="宋体"/>
          <w:sz w:val="28"/>
          <w:szCs w:val="28"/>
        </w:rPr>
      </w:pPr>
      <w:r>
        <w:t>2)保洁时间：6：30-21：30。</w:t>
      </w:r>
    </w:p>
    <w:p>
      <w:pPr>
        <w:spacing w:line="360" w:lineRule="auto"/>
        <w:ind w:firstLine="490" w:firstLineChars="175"/>
        <w:jc w:val="left"/>
        <w:rPr>
          <w:rFonts w:ascii="宋体" w:hAnsi="宋体" w:cs="宋体"/>
          <w:sz w:val="28"/>
          <w:szCs w:val="28"/>
        </w:rPr>
      </w:pPr>
      <w:r>
        <w:t>3)保洁作业要求：</w:t>
      </w:r>
    </w:p>
    <w:p>
      <w:pPr>
        <w:spacing w:line="360" w:lineRule="auto"/>
        <w:ind w:firstLine="490" w:firstLineChars="175"/>
        <w:jc w:val="left"/>
        <w:rPr>
          <w:rFonts w:ascii="宋体" w:hAnsi="宋体" w:cs="宋体"/>
          <w:sz w:val="28"/>
          <w:szCs w:val="28"/>
        </w:rPr>
      </w:pPr>
      <w:r>
        <w:t>①每天早晨8：00前完成对大厅、电梯、洗手间、楼道(楼梯、栏杆、扶手等)、果壳箱、垃圾桶等的第一次保洁；</w:t>
      </w:r>
    </w:p>
    <w:p>
      <w:pPr>
        <w:spacing w:line="360" w:lineRule="auto"/>
        <w:ind w:firstLine="490" w:firstLineChars="175"/>
        <w:jc w:val="left"/>
        <w:rPr>
          <w:rFonts w:ascii="宋体" w:hAnsi="宋体" w:cs="宋体"/>
          <w:sz w:val="28"/>
          <w:szCs w:val="28"/>
        </w:rPr>
      </w:pPr>
      <w:r>
        <w:t>②校办指定办公室、行政部门值班室、会议室、接待室、休息室、的卫生需要专人负责，要求每日清拖一遍，室内家具每日擦拭一遍，茶具及时清洗与消毒并摆放整齐；</w:t>
      </w:r>
    </w:p>
    <w:p>
      <w:pPr>
        <w:spacing w:line="360" w:lineRule="auto"/>
        <w:ind w:firstLine="490" w:firstLineChars="175"/>
        <w:jc w:val="left"/>
        <w:rPr>
          <w:rFonts w:ascii="宋体" w:hAnsi="宋体" w:cs="宋体"/>
          <w:sz w:val="28"/>
          <w:szCs w:val="28"/>
        </w:rPr>
      </w:pPr>
      <w:r>
        <w:t>③电梯轿厢每天擦拭一遍，电梯要保持整洁，地毯每日清洁一遍，保持干净；</w:t>
      </w:r>
    </w:p>
    <w:p>
      <w:pPr>
        <w:spacing w:line="360" w:lineRule="auto"/>
        <w:ind w:firstLine="490" w:firstLineChars="175"/>
        <w:jc w:val="left"/>
        <w:rPr>
          <w:rFonts w:ascii="宋体" w:hAnsi="宋体" w:cs="宋体"/>
          <w:sz w:val="28"/>
          <w:szCs w:val="28"/>
        </w:rPr>
      </w:pPr>
      <w:r>
        <w:t>④每周墙面(角)、顶面掸灰一遍。楼梯扶手、门、窗台、走廊过道及公共设施每天擦拭一遍，平常保洁；</w:t>
      </w:r>
    </w:p>
    <w:p>
      <w:pPr>
        <w:spacing w:line="360" w:lineRule="auto"/>
        <w:ind w:firstLine="490" w:firstLineChars="175"/>
        <w:jc w:val="left"/>
        <w:rPr>
          <w:rFonts w:ascii="宋体" w:hAnsi="宋体" w:cs="宋体"/>
          <w:sz w:val="28"/>
          <w:szCs w:val="28"/>
        </w:rPr>
      </w:pPr>
      <w:r>
        <w:t>⑤楼内所有地面每日清拖，发现有废弃物品及时清理，随时保洁；</w:t>
      </w:r>
    </w:p>
    <w:p>
      <w:pPr>
        <w:spacing w:line="360" w:lineRule="auto"/>
        <w:ind w:firstLine="490" w:firstLineChars="175"/>
        <w:jc w:val="left"/>
        <w:rPr>
          <w:rFonts w:ascii="宋体" w:hAnsi="宋体" w:cs="宋体"/>
          <w:sz w:val="28"/>
          <w:szCs w:val="28"/>
        </w:rPr>
      </w:pPr>
      <w:r>
        <w:t>⑥卫生间每日至少清拖两遍，巡回保洁。有重大会议、活动时专人随时保洁；</w:t>
      </w:r>
    </w:p>
    <w:p>
      <w:pPr>
        <w:spacing w:line="360" w:lineRule="auto"/>
        <w:ind w:firstLine="490" w:firstLineChars="175"/>
        <w:jc w:val="left"/>
        <w:rPr>
          <w:rFonts w:ascii="宋体" w:hAnsi="宋体" w:cs="宋体"/>
          <w:sz w:val="28"/>
          <w:szCs w:val="28"/>
        </w:rPr>
      </w:pPr>
      <w:r>
        <w:t>⑦卫生间小便池需放香球，室内需点檀香，做到无异味。洗手池需放洗手液；</w:t>
      </w:r>
    </w:p>
    <w:p>
      <w:pPr>
        <w:spacing w:line="360" w:lineRule="auto"/>
        <w:ind w:firstLine="490" w:firstLineChars="175"/>
        <w:jc w:val="left"/>
        <w:rPr>
          <w:rFonts w:ascii="宋体" w:hAnsi="宋体" w:cs="宋体"/>
          <w:sz w:val="28"/>
          <w:szCs w:val="28"/>
        </w:rPr>
      </w:pPr>
      <w:r>
        <w:t>⑧值班室的房间需要每天清理、打扫、保持清洁，被套每天换洗；</w:t>
      </w:r>
    </w:p>
    <w:p>
      <w:pPr>
        <w:spacing w:line="360" w:lineRule="auto"/>
        <w:ind w:firstLine="490" w:firstLineChars="175"/>
        <w:jc w:val="left"/>
        <w:rPr>
          <w:rFonts w:ascii="宋体" w:hAnsi="宋体" w:cs="宋体"/>
          <w:sz w:val="28"/>
          <w:szCs w:val="28"/>
        </w:rPr>
      </w:pPr>
      <w:r>
        <w:t>⑨行政办公室窗户玻璃每学期至少擦拭一遍，保持明亮；</w:t>
      </w:r>
    </w:p>
    <w:p>
      <w:pPr>
        <w:spacing w:line="360" w:lineRule="auto"/>
        <w:ind w:firstLine="490" w:firstLineChars="175"/>
        <w:jc w:val="left"/>
        <w:rPr>
          <w:rFonts w:ascii="宋体" w:hAnsi="宋体" w:cs="宋体"/>
          <w:sz w:val="28"/>
          <w:szCs w:val="28"/>
        </w:rPr>
      </w:pPr>
      <w:r>
        <w:t>⑩玻璃门厅、雨棚等每学期须擦拭两至三次，确保干净整洁；</w:t>
      </w:r>
    </w:p>
    <w:p>
      <w:pPr>
        <w:spacing w:line="360" w:lineRule="auto"/>
        <w:ind w:firstLine="490" w:firstLineChars="175"/>
        <w:jc w:val="left"/>
        <w:rPr>
          <w:rFonts w:ascii="宋体" w:hAnsi="宋体" w:cs="宋体"/>
          <w:sz w:val="28"/>
          <w:szCs w:val="28"/>
        </w:rPr>
      </w:pPr>
      <w:r>
        <w:t>发现公共设施损坏应在24小时内及时报修。</w:t>
      </w:r>
    </w:p>
    <w:p>
      <w:pPr>
        <w:spacing w:line="360" w:lineRule="auto"/>
        <w:ind w:firstLine="490" w:firstLineChars="175"/>
        <w:jc w:val="left"/>
        <w:rPr>
          <w:rFonts w:ascii="宋体" w:hAnsi="宋体" w:cs="宋体"/>
          <w:sz w:val="28"/>
          <w:szCs w:val="28"/>
        </w:rPr>
      </w:pPr>
      <w:r>
        <w:t>4)保洁标准：</w:t>
      </w:r>
    </w:p>
    <w:p>
      <w:pPr>
        <w:spacing w:line="360" w:lineRule="auto"/>
        <w:ind w:firstLine="490" w:firstLineChars="175"/>
        <w:jc w:val="left"/>
        <w:rPr>
          <w:rFonts w:ascii="宋体" w:hAnsi="宋体" w:cs="宋体"/>
          <w:sz w:val="28"/>
          <w:szCs w:val="28"/>
        </w:rPr>
      </w:pPr>
      <w:r>
        <w:t>①大厅、走廊、楼梯、电梯、楼台地面无垃圾，无积渍、痰迹、拖痕。保证墙面、玻璃门、窗干净，无污垢；</w:t>
      </w:r>
    </w:p>
    <w:p>
      <w:pPr>
        <w:spacing w:line="360" w:lineRule="auto"/>
        <w:ind w:firstLine="490" w:firstLineChars="175"/>
        <w:jc w:val="left"/>
        <w:rPr>
          <w:rFonts w:ascii="宋体" w:hAnsi="宋体" w:cs="宋体"/>
          <w:sz w:val="28"/>
          <w:szCs w:val="28"/>
        </w:rPr>
      </w:pPr>
      <w:r>
        <w:t>②卫生间(漱洗室)地面、墙面瓷砖无明显污垢、积水，洗手盆台面、水槽(拖把池)干净无污垢，镜面无水渍，小便池、大便池无异味和积垢脏迹，纸篓垃圾不外漏；</w:t>
      </w:r>
    </w:p>
    <w:p>
      <w:pPr>
        <w:spacing w:line="360" w:lineRule="auto"/>
        <w:ind w:firstLine="490" w:firstLineChars="175"/>
        <w:jc w:val="left"/>
        <w:rPr>
          <w:rFonts w:ascii="宋体" w:hAnsi="宋体" w:cs="宋体"/>
          <w:sz w:val="28"/>
          <w:szCs w:val="28"/>
        </w:rPr>
      </w:pPr>
      <w:r>
        <w:t>③楼内所有窗台、栏杆、踢脚线无明显积尘，室内天花板四壁无积尘蛛网；</w:t>
      </w:r>
    </w:p>
    <w:p>
      <w:pPr>
        <w:spacing w:line="360" w:lineRule="auto"/>
        <w:ind w:firstLine="490" w:firstLineChars="175"/>
        <w:jc w:val="left"/>
        <w:rPr>
          <w:rFonts w:ascii="宋体" w:hAnsi="宋体" w:cs="宋体"/>
          <w:sz w:val="28"/>
          <w:szCs w:val="28"/>
        </w:rPr>
      </w:pPr>
      <w:r>
        <w:t>④及时清理保洁区域内的垃圾桶、果皮箱，并及时更换垃圾袋，垃圾桶、果皮箱表面无印痕，垃圾不外漏；</w:t>
      </w:r>
    </w:p>
    <w:p>
      <w:pPr>
        <w:spacing w:line="360" w:lineRule="auto"/>
        <w:ind w:firstLine="490" w:firstLineChars="175"/>
        <w:jc w:val="left"/>
        <w:rPr>
          <w:rFonts w:ascii="宋体" w:hAnsi="宋体" w:cs="宋体"/>
          <w:sz w:val="28"/>
          <w:szCs w:val="28"/>
        </w:rPr>
      </w:pPr>
      <w:r>
        <w:t>⑤保洁工具摆放整齐，垃圾按要求堆放在指定场所；</w:t>
      </w:r>
    </w:p>
    <w:p>
      <w:pPr>
        <w:spacing w:line="360" w:lineRule="auto"/>
        <w:ind w:firstLine="490" w:firstLineChars="175"/>
        <w:jc w:val="left"/>
        <w:rPr>
          <w:rFonts w:ascii="宋体" w:hAnsi="宋体" w:cs="宋体"/>
          <w:sz w:val="28"/>
          <w:szCs w:val="28"/>
        </w:rPr>
      </w:pPr>
      <w:r>
        <w:t>⑥会议室、接待室、休息室(值班室)的室内家具桌面无灰尘，地毯表面无污垢，茶具干净，果皮箱表面无印痕，垃圾不外漏。</w:t>
      </w:r>
    </w:p>
    <w:p>
      <w:pPr>
        <w:spacing w:line="360" w:lineRule="auto"/>
        <w:ind w:firstLine="492" w:firstLineChars="175"/>
        <w:jc w:val="left"/>
        <w:rPr>
          <w:rFonts w:ascii="宋体" w:hAnsi="宋体" w:cs="宋体"/>
          <w:b/>
          <w:sz w:val="28"/>
          <w:szCs w:val="28"/>
        </w:rPr>
      </w:pPr>
      <w:r>
        <w:t>2.2.2教学楼、图书馆、实验实训楼等保洁要求</w:t>
      </w:r>
    </w:p>
    <w:p>
      <w:pPr>
        <w:spacing w:line="360" w:lineRule="auto"/>
        <w:ind w:firstLine="490" w:firstLineChars="175"/>
        <w:jc w:val="left"/>
        <w:rPr>
          <w:rFonts w:ascii="宋体" w:hAnsi="宋体" w:cs="宋体"/>
          <w:sz w:val="28"/>
          <w:szCs w:val="28"/>
        </w:rPr>
      </w:pPr>
      <w:r>
        <w:t>1)保洁范围：如上述表格要求。(所有办公室、实验室、实训室、各种机房、设备间等不包括在本次服务项目招标范围之内)。</w:t>
      </w:r>
    </w:p>
    <w:p>
      <w:pPr>
        <w:spacing w:line="360" w:lineRule="auto"/>
        <w:ind w:firstLine="490" w:firstLineChars="175"/>
        <w:jc w:val="left"/>
        <w:rPr>
          <w:rFonts w:ascii="宋体" w:hAnsi="宋体" w:cs="宋体"/>
          <w:sz w:val="28"/>
          <w:szCs w:val="28"/>
        </w:rPr>
      </w:pPr>
      <w:r>
        <w:t>2)保洁时间：6：30-21：30</w:t>
      </w:r>
    </w:p>
    <w:p>
      <w:pPr>
        <w:spacing w:line="360" w:lineRule="auto"/>
        <w:ind w:firstLine="490" w:firstLineChars="175"/>
        <w:jc w:val="left"/>
        <w:rPr>
          <w:rFonts w:ascii="宋体" w:hAnsi="宋体" w:cs="宋体"/>
          <w:sz w:val="28"/>
          <w:szCs w:val="28"/>
        </w:rPr>
      </w:pPr>
      <w:r>
        <w:t>3)保洁作业要求：</w:t>
      </w:r>
    </w:p>
    <w:p>
      <w:pPr>
        <w:spacing w:line="360" w:lineRule="auto"/>
        <w:ind w:firstLine="490" w:firstLineChars="175"/>
        <w:jc w:val="left"/>
        <w:rPr>
          <w:rFonts w:ascii="宋体" w:hAnsi="宋体" w:cs="宋体"/>
          <w:sz w:val="28"/>
          <w:szCs w:val="28"/>
        </w:rPr>
      </w:pPr>
      <w:r>
        <w:t>①楼内所有公共部位每日至少清扫一遍，大厅、走廊清拖一遍，桌面清抹一遍，楼梯扶手、大门玻璃、教室门每天擦拭一遍，平常保洁；</w:t>
      </w:r>
    </w:p>
    <w:p>
      <w:pPr>
        <w:spacing w:line="360" w:lineRule="auto"/>
        <w:ind w:firstLine="490" w:firstLineChars="175"/>
        <w:jc w:val="left"/>
        <w:rPr>
          <w:rFonts w:ascii="宋体" w:hAnsi="宋体" w:cs="宋体"/>
          <w:sz w:val="28"/>
          <w:szCs w:val="28"/>
        </w:rPr>
      </w:pPr>
      <w:r>
        <w:t>②根据教学规律，教室保洁时间为：第一次：上早课前；第二次：上午每四节课后到下午第一节课前；第三次：下午上完课后到晚上上课前。每次保洁包括清理室内和课桌内杂物、擦黑白板。地面至少清拖一遍，黑板水洗至少一次；</w:t>
      </w:r>
    </w:p>
    <w:p>
      <w:pPr>
        <w:spacing w:line="360" w:lineRule="auto"/>
        <w:ind w:firstLine="490" w:firstLineChars="175"/>
        <w:jc w:val="left"/>
        <w:rPr>
          <w:rFonts w:ascii="宋体" w:hAnsi="宋体" w:cs="宋体"/>
          <w:sz w:val="28"/>
          <w:szCs w:val="28"/>
        </w:rPr>
      </w:pPr>
      <w:r>
        <w:t>③大厅、走廊、楼梯、扶手、栏杆、楼台、垃圾桶等公共部位和公共设施须巡回保洁；</w:t>
      </w:r>
    </w:p>
    <w:p>
      <w:pPr>
        <w:spacing w:line="360" w:lineRule="auto"/>
        <w:ind w:firstLine="490" w:firstLineChars="175"/>
        <w:jc w:val="left"/>
        <w:rPr>
          <w:rFonts w:ascii="宋体" w:hAnsi="宋体" w:cs="宋体"/>
          <w:sz w:val="28"/>
          <w:szCs w:val="28"/>
        </w:rPr>
      </w:pPr>
      <w:r>
        <w:t>④卫生间每日至少清拖两遍，随时保洁；</w:t>
      </w:r>
    </w:p>
    <w:p>
      <w:pPr>
        <w:spacing w:line="360" w:lineRule="auto"/>
        <w:ind w:firstLine="490" w:firstLineChars="175"/>
        <w:jc w:val="left"/>
        <w:rPr>
          <w:rFonts w:ascii="宋体" w:hAnsi="宋体" w:cs="宋体"/>
          <w:sz w:val="28"/>
          <w:szCs w:val="28"/>
        </w:rPr>
      </w:pPr>
      <w:r>
        <w:t>⑤电梯要每天擦拭一遍，保持整洁、干净；</w:t>
      </w:r>
    </w:p>
    <w:p>
      <w:pPr>
        <w:spacing w:line="360" w:lineRule="auto"/>
        <w:ind w:firstLine="490" w:firstLineChars="175"/>
        <w:jc w:val="left"/>
        <w:rPr>
          <w:rFonts w:ascii="宋体" w:hAnsi="宋体" w:cs="宋体"/>
          <w:sz w:val="28"/>
          <w:szCs w:val="28"/>
        </w:rPr>
      </w:pPr>
      <w:r>
        <w:t>⑥教室内电风扇、日光灯、多媒体投影仪等设施表面每学期至少擦拭一遍；</w:t>
      </w:r>
    </w:p>
    <w:p>
      <w:pPr>
        <w:spacing w:line="360" w:lineRule="auto"/>
        <w:ind w:firstLine="490" w:firstLineChars="175"/>
        <w:jc w:val="left"/>
        <w:rPr>
          <w:rFonts w:ascii="宋体" w:hAnsi="宋体" w:cs="宋体"/>
          <w:sz w:val="28"/>
          <w:szCs w:val="28"/>
        </w:rPr>
      </w:pPr>
      <w:r>
        <w:t>⑦教室门窗玻璃一学期至少擦拭两遍，一般为开学前和五一、十一；</w:t>
      </w:r>
    </w:p>
    <w:p>
      <w:pPr>
        <w:spacing w:line="360" w:lineRule="auto"/>
        <w:ind w:firstLine="490" w:firstLineChars="175"/>
        <w:jc w:val="left"/>
        <w:rPr>
          <w:rFonts w:ascii="宋体" w:hAnsi="宋体" w:cs="宋体"/>
          <w:sz w:val="28"/>
          <w:szCs w:val="28"/>
        </w:rPr>
      </w:pPr>
      <w:r>
        <w:t>⑧每周墙面、顶面掸尘一次；</w:t>
      </w:r>
    </w:p>
    <w:p>
      <w:pPr>
        <w:spacing w:line="360" w:lineRule="auto"/>
        <w:ind w:firstLine="490" w:firstLineChars="175"/>
        <w:jc w:val="left"/>
        <w:rPr>
          <w:rFonts w:ascii="宋体" w:hAnsi="宋体" w:cs="宋体"/>
          <w:sz w:val="28"/>
          <w:szCs w:val="28"/>
        </w:rPr>
      </w:pPr>
      <w:r>
        <w:t>⑨考试结束后，及时清理课桌上粘贴的考号纸；</w:t>
      </w:r>
    </w:p>
    <w:p>
      <w:pPr>
        <w:spacing w:line="360" w:lineRule="auto"/>
        <w:ind w:firstLine="490" w:firstLineChars="175"/>
        <w:jc w:val="left"/>
        <w:rPr>
          <w:rFonts w:ascii="宋体" w:hAnsi="宋体" w:cs="宋体"/>
          <w:sz w:val="28"/>
          <w:szCs w:val="28"/>
        </w:rPr>
      </w:pPr>
      <w:r>
        <w:t>⑩时常关注桌面、卫生间及四周公共区域，及时清除各类不法广告及桌面小抄；</w:t>
      </w:r>
    </w:p>
    <w:p>
      <w:pPr>
        <w:spacing w:line="360" w:lineRule="auto"/>
        <w:ind w:firstLine="490" w:firstLineChars="175"/>
        <w:jc w:val="left"/>
        <w:rPr>
          <w:rFonts w:ascii="宋体" w:hAnsi="宋体" w:cs="宋体"/>
          <w:sz w:val="28"/>
          <w:szCs w:val="28"/>
        </w:rPr>
      </w:pPr>
      <w:r>
        <w:t>做好节水节电工作，及时关灯、关水龙头、电扇、空调；</w:t>
      </w:r>
    </w:p>
    <w:p>
      <w:pPr>
        <w:spacing w:line="360" w:lineRule="auto"/>
        <w:ind w:firstLine="490" w:firstLineChars="175"/>
        <w:jc w:val="left"/>
        <w:rPr>
          <w:rFonts w:ascii="宋体" w:hAnsi="宋体" w:cs="宋体"/>
          <w:sz w:val="28"/>
          <w:szCs w:val="28"/>
        </w:rPr>
      </w:pPr>
      <w:r>
        <w:t>公共设施保持干净整洁，发现公共设施损坏应及时报修；</w:t>
      </w:r>
    </w:p>
    <w:p>
      <w:pPr>
        <w:spacing w:line="360" w:lineRule="auto"/>
        <w:ind w:firstLine="490" w:firstLineChars="175"/>
        <w:jc w:val="left"/>
        <w:rPr>
          <w:rFonts w:ascii="宋体" w:hAnsi="宋体" w:cs="宋体"/>
          <w:sz w:val="28"/>
          <w:szCs w:val="28"/>
        </w:rPr>
      </w:pPr>
      <w:r>
        <w:t>服从教室管理员的安排，对教室管理员指出的不足及时改正。</w:t>
      </w:r>
    </w:p>
    <w:p>
      <w:pPr>
        <w:spacing w:line="360" w:lineRule="auto"/>
        <w:ind w:firstLine="490" w:firstLineChars="175"/>
        <w:jc w:val="left"/>
        <w:rPr>
          <w:rFonts w:ascii="宋体" w:hAnsi="宋体" w:cs="宋体"/>
          <w:sz w:val="28"/>
          <w:szCs w:val="28"/>
        </w:rPr>
      </w:pPr>
      <w:r>
        <w:t>4)保洁标准：</w:t>
      </w:r>
    </w:p>
    <w:p>
      <w:pPr>
        <w:spacing w:line="360" w:lineRule="auto"/>
        <w:ind w:firstLine="490" w:firstLineChars="175"/>
        <w:jc w:val="left"/>
        <w:rPr>
          <w:rFonts w:ascii="宋体" w:hAnsi="宋体" w:cs="宋体"/>
          <w:sz w:val="28"/>
          <w:szCs w:val="28"/>
        </w:rPr>
      </w:pPr>
      <w:r>
        <w:t>①大厅、走廊、楼梯、电梯、楼台地面无垃圾，无积渍、痰迹、拖痕。保证墙面、玻璃门、窗干净，无污垢；</w:t>
      </w:r>
    </w:p>
    <w:p>
      <w:pPr>
        <w:spacing w:line="360" w:lineRule="auto"/>
        <w:ind w:firstLine="490" w:firstLineChars="175"/>
        <w:jc w:val="left"/>
        <w:rPr>
          <w:rFonts w:ascii="宋体" w:hAnsi="宋体" w:cs="宋体"/>
          <w:sz w:val="28"/>
          <w:szCs w:val="28"/>
        </w:rPr>
      </w:pPr>
      <w:r>
        <w:t>②教室内课桌椅排放整齐，黑板粉笔槽没有粉笔灰，讲台及电脑屏幕上无灰尘，课桌上和课桌内、地面、纸篓内无垃圾；</w:t>
      </w:r>
    </w:p>
    <w:p>
      <w:pPr>
        <w:spacing w:line="360" w:lineRule="auto"/>
        <w:ind w:firstLine="490" w:firstLineChars="175"/>
        <w:jc w:val="left"/>
        <w:rPr>
          <w:rFonts w:ascii="宋体" w:hAnsi="宋体" w:cs="宋体"/>
          <w:sz w:val="28"/>
          <w:szCs w:val="28"/>
        </w:rPr>
      </w:pPr>
      <w:r>
        <w:t>③卫生间(漱洗室)地面、墙面瓷砖无明显污垢、积水，洗手盆台面、水槽(拖把池)干净无污垢，镜面无水渍，小便池、大便池无异味和积垢脏迹，纸篓垃圾不外漏；</w:t>
      </w:r>
    </w:p>
    <w:p>
      <w:pPr>
        <w:spacing w:line="360" w:lineRule="auto"/>
        <w:ind w:firstLine="490" w:firstLineChars="175"/>
        <w:jc w:val="left"/>
        <w:rPr>
          <w:rFonts w:ascii="宋体" w:hAnsi="宋体" w:cs="宋体"/>
          <w:sz w:val="28"/>
          <w:szCs w:val="28"/>
        </w:rPr>
      </w:pPr>
      <w:r>
        <w:t>④楼内所有窗台、栏杆、踢脚线无明显积尘，室内天花板四壁无积尘蛛网；</w:t>
      </w:r>
    </w:p>
    <w:p>
      <w:pPr>
        <w:spacing w:line="360" w:lineRule="auto"/>
        <w:ind w:firstLine="490" w:firstLineChars="175"/>
        <w:jc w:val="left"/>
        <w:rPr>
          <w:rFonts w:ascii="宋体" w:hAnsi="宋体" w:cs="宋体"/>
          <w:sz w:val="28"/>
          <w:szCs w:val="28"/>
        </w:rPr>
      </w:pPr>
      <w:r>
        <w:t>⑤及时清理保洁区域内的垃圾桶、果皮箱，并及时更换垃圾袋，垃圾桶、果皮箱表面无印痕，垃圾不外漏；</w:t>
      </w:r>
    </w:p>
    <w:p>
      <w:pPr>
        <w:spacing w:line="360" w:lineRule="auto"/>
        <w:ind w:firstLine="490" w:firstLineChars="175"/>
        <w:jc w:val="left"/>
        <w:rPr>
          <w:rFonts w:ascii="宋体" w:hAnsi="宋体" w:cs="宋体"/>
          <w:sz w:val="28"/>
          <w:szCs w:val="28"/>
        </w:rPr>
      </w:pPr>
      <w:r>
        <w:t>⑥保洁工具摆放整齐，垃圾按要求堆放在指定场所。</w:t>
      </w:r>
    </w:p>
    <w:p>
      <w:pPr>
        <w:spacing w:line="360" w:lineRule="auto"/>
        <w:ind w:firstLine="492" w:firstLineChars="175"/>
        <w:jc w:val="left"/>
        <w:rPr>
          <w:rFonts w:ascii="宋体" w:hAnsi="宋体" w:cs="宋体"/>
          <w:b/>
          <w:sz w:val="28"/>
          <w:szCs w:val="28"/>
        </w:rPr>
      </w:pPr>
      <w:r>
        <w:t>2.2.3室外保洁的保洁要求</w:t>
      </w:r>
    </w:p>
    <w:p>
      <w:pPr>
        <w:spacing w:line="360" w:lineRule="auto"/>
        <w:ind w:firstLine="490" w:firstLineChars="175"/>
        <w:jc w:val="left"/>
        <w:rPr>
          <w:rFonts w:ascii="宋体" w:hAnsi="宋体" w:cs="宋体"/>
          <w:sz w:val="28"/>
          <w:szCs w:val="28"/>
        </w:rPr>
      </w:pPr>
      <w:r>
        <w:t>1)保洁范围：校园内道路、广场、绿化带、果壳箱、垃圾箱(场)、公共厕所、大门外安全线以内、各类宣传栏橱窗、指示牌、路灯柱、电线杆、篮球场、体育场等室外运动场所及其他校内建筑外未涉及范围。</w:t>
      </w:r>
    </w:p>
    <w:p>
      <w:pPr>
        <w:spacing w:line="360" w:lineRule="auto"/>
        <w:ind w:firstLine="490" w:firstLineChars="175"/>
        <w:jc w:val="left"/>
        <w:rPr>
          <w:rFonts w:ascii="宋体" w:hAnsi="宋体" w:cs="宋体"/>
          <w:sz w:val="28"/>
          <w:szCs w:val="28"/>
        </w:rPr>
      </w:pPr>
      <w:r>
        <w:t>2)保洁时间：6：30-17：00</w:t>
      </w:r>
    </w:p>
    <w:p>
      <w:pPr>
        <w:spacing w:line="360" w:lineRule="auto"/>
        <w:ind w:firstLine="490" w:firstLineChars="175"/>
        <w:jc w:val="left"/>
        <w:rPr>
          <w:rFonts w:ascii="宋体" w:hAnsi="宋体" w:cs="宋体"/>
          <w:sz w:val="28"/>
          <w:szCs w:val="28"/>
        </w:rPr>
      </w:pPr>
      <w:r>
        <w:t>3)保洁要求：</w:t>
      </w:r>
    </w:p>
    <w:p>
      <w:pPr>
        <w:spacing w:line="360" w:lineRule="auto"/>
        <w:ind w:firstLine="490" w:firstLineChars="175"/>
        <w:jc w:val="left"/>
        <w:rPr>
          <w:rFonts w:ascii="宋体" w:hAnsi="宋体" w:cs="宋体"/>
          <w:sz w:val="28"/>
          <w:szCs w:val="28"/>
        </w:rPr>
      </w:pPr>
      <w:r>
        <w:t>①上午8：00前主要道路清扫完毕，全天巡回保洁到下午17：00；</w:t>
      </w:r>
    </w:p>
    <w:p>
      <w:pPr>
        <w:spacing w:line="360" w:lineRule="auto"/>
        <w:ind w:firstLine="490" w:firstLineChars="175"/>
        <w:jc w:val="left"/>
        <w:rPr>
          <w:rFonts w:ascii="宋体" w:hAnsi="宋体" w:cs="宋体"/>
          <w:sz w:val="28"/>
          <w:szCs w:val="28"/>
        </w:rPr>
      </w:pPr>
      <w:r>
        <w:t>②路灯柱、电线杆、公共区域果壳箱、各类宣传栏橱窗及指示牌每天擦洗一遍；</w:t>
      </w:r>
    </w:p>
    <w:p>
      <w:pPr>
        <w:spacing w:line="360" w:lineRule="auto"/>
        <w:ind w:firstLine="490" w:firstLineChars="175"/>
        <w:jc w:val="left"/>
        <w:rPr>
          <w:rFonts w:ascii="宋体" w:hAnsi="宋体" w:cs="宋体"/>
          <w:sz w:val="28"/>
          <w:szCs w:val="28"/>
        </w:rPr>
      </w:pPr>
      <w:r>
        <w:t>③路面(人行道)干净、整洁、无异物、无杂草、勤打扫，路面垃圾停留不超过半小时，垃圾筒保持干净、整洁，按时收集垃圾，保证垃圾不外溢，保持整装干净；</w:t>
      </w:r>
    </w:p>
    <w:p>
      <w:pPr>
        <w:spacing w:line="360" w:lineRule="auto"/>
        <w:ind w:firstLine="490" w:firstLineChars="175"/>
        <w:jc w:val="left"/>
        <w:rPr>
          <w:rFonts w:ascii="宋体" w:hAnsi="宋体" w:cs="宋体"/>
          <w:sz w:val="28"/>
          <w:szCs w:val="28"/>
        </w:rPr>
      </w:pPr>
      <w:r>
        <w:t>④垃圾按类倒入指定的区域；</w:t>
      </w:r>
    </w:p>
    <w:p>
      <w:pPr>
        <w:spacing w:line="360" w:lineRule="auto"/>
        <w:ind w:firstLine="490" w:firstLineChars="175"/>
        <w:jc w:val="left"/>
        <w:rPr>
          <w:rFonts w:ascii="宋体" w:hAnsi="宋体" w:cs="宋体"/>
          <w:sz w:val="28"/>
          <w:szCs w:val="28"/>
        </w:rPr>
      </w:pPr>
      <w:r>
        <w:t>⑤树木上无绑缚物，无乱晾物品；</w:t>
      </w:r>
    </w:p>
    <w:p>
      <w:pPr>
        <w:spacing w:line="360" w:lineRule="auto"/>
        <w:ind w:firstLine="490" w:firstLineChars="175"/>
        <w:jc w:val="left"/>
        <w:rPr>
          <w:rFonts w:ascii="宋体" w:hAnsi="宋体" w:cs="宋体"/>
          <w:sz w:val="28"/>
          <w:szCs w:val="28"/>
        </w:rPr>
      </w:pPr>
      <w:r>
        <w:t>⑥不得使用消防、绿化水阀清洗保洁物品；</w:t>
      </w:r>
    </w:p>
    <w:p>
      <w:pPr>
        <w:spacing w:line="360" w:lineRule="auto"/>
        <w:ind w:firstLine="490" w:firstLineChars="175"/>
        <w:jc w:val="left"/>
        <w:rPr>
          <w:rFonts w:ascii="宋体" w:hAnsi="宋体" w:cs="宋体"/>
          <w:sz w:val="28"/>
          <w:szCs w:val="28"/>
        </w:rPr>
      </w:pPr>
      <w:r>
        <w:t>⑦发现保洁范围内公共设施如：下水道、灯具、门窗、消防设施、垃圾筒、自来水阀、广场砖及宣传栏窗、指示牌等有损坏的及时报修(不超过24小时)；</w:t>
      </w:r>
    </w:p>
    <w:p>
      <w:pPr>
        <w:spacing w:line="360" w:lineRule="auto"/>
        <w:ind w:firstLine="490" w:firstLineChars="175"/>
        <w:jc w:val="left"/>
        <w:rPr>
          <w:rFonts w:ascii="宋体" w:hAnsi="宋体" w:cs="宋体"/>
          <w:sz w:val="28"/>
          <w:szCs w:val="28"/>
        </w:rPr>
      </w:pPr>
      <w:r>
        <w:t>⑧校内保洁范围内的楼宇屋顶无杂物堆放，下水管道无杂物堵塞，经常清扫；</w:t>
      </w:r>
    </w:p>
    <w:p>
      <w:pPr>
        <w:spacing w:line="360" w:lineRule="auto"/>
        <w:ind w:firstLine="490" w:firstLineChars="175"/>
        <w:jc w:val="left"/>
        <w:rPr>
          <w:rFonts w:ascii="宋体" w:hAnsi="宋体" w:cs="宋体"/>
          <w:sz w:val="28"/>
          <w:szCs w:val="28"/>
        </w:rPr>
      </w:pPr>
      <w:r>
        <w:t>校园内的绿化地(台)内的生活垃圾及时拾捡，随时保洁。</w:t>
      </w:r>
    </w:p>
    <w:p>
      <w:pPr>
        <w:spacing w:line="360" w:lineRule="auto"/>
        <w:ind w:firstLine="490" w:firstLineChars="175"/>
        <w:jc w:val="left"/>
        <w:rPr>
          <w:rFonts w:ascii="宋体" w:hAnsi="宋体" w:cs="宋体"/>
          <w:sz w:val="28"/>
          <w:szCs w:val="28"/>
        </w:rPr>
      </w:pPr>
      <w:r>
        <w:t>4)保洁标准：</w:t>
      </w:r>
    </w:p>
    <w:p>
      <w:pPr>
        <w:spacing w:line="360" w:lineRule="auto"/>
        <w:ind w:firstLine="490" w:firstLineChars="175"/>
        <w:jc w:val="left"/>
        <w:rPr>
          <w:rFonts w:ascii="宋体" w:hAnsi="宋体" w:cs="宋体"/>
          <w:sz w:val="28"/>
          <w:szCs w:val="28"/>
        </w:rPr>
      </w:pPr>
      <w:r>
        <w:t>要求保洁区域内整洁、无积水、杂物、废纸、烟蒂、果皮纸屑等遗弃物，无卫生死角，绿化带地面无枯枝残叶，及时清理保洁区域的垃圾桶、果皮箱，并及时更换垃圾袋，垃圾堆放在指定场所。无残枝、积尘、积垢，校内保洁范围内的屋顶无杂物堆放，保证雨水管道的通畅。清卫工具不随意晾晒。</w:t>
      </w:r>
    </w:p>
    <w:p>
      <w:pPr>
        <w:spacing w:line="360" w:lineRule="auto"/>
        <w:ind w:firstLine="490" w:firstLineChars="175"/>
        <w:jc w:val="left"/>
        <w:rPr>
          <w:rFonts w:ascii="宋体" w:hAnsi="宋体" w:cs="宋体"/>
          <w:sz w:val="28"/>
          <w:szCs w:val="28"/>
        </w:rPr>
      </w:pPr>
      <w:r>
        <w:t>5)配合学校做好垃圾场的整洁工作，严禁出现非生活垃圾随意倾倒现象，如出现垃圾场乱倒现象，由中标方负责清理。</w:t>
      </w:r>
    </w:p>
    <w:p>
      <w:pPr>
        <w:spacing w:line="360" w:lineRule="auto"/>
        <w:ind w:firstLine="492" w:firstLineChars="175"/>
        <w:jc w:val="left"/>
        <w:rPr>
          <w:rFonts w:ascii="宋体" w:hAnsi="宋体" w:cs="宋体"/>
          <w:b/>
          <w:sz w:val="28"/>
          <w:szCs w:val="28"/>
        </w:rPr>
      </w:pPr>
      <w:r>
        <w:t>2.3其它事项</w:t>
      </w:r>
    </w:p>
    <w:p>
      <w:pPr>
        <w:pStyle w:val="424"/>
        <w:spacing w:line="360" w:lineRule="auto"/>
        <w:ind w:firstLine="495" w:firstLineChars="176"/>
        <w:rPr>
          <w:rFonts w:ascii="宋体" w:hAnsi="宋体" w:cs="宋体"/>
          <w:sz w:val="28"/>
          <w:szCs w:val="28"/>
        </w:rPr>
      </w:pPr>
      <w:r>
        <w:t>2.3.1奉化校区中标方负责学校奉化校区产学研楼的日常服务工作，鄞州校区中标方负责位于鄞州校区教师公寓内行政值班室的日常服务工作，其中包括(但不限于)：</w:t>
      </w:r>
    </w:p>
    <w:p>
      <w:pPr>
        <w:pStyle w:val="424"/>
        <w:spacing w:line="360" w:lineRule="auto"/>
        <w:ind w:firstLine="492" w:firstLineChars="176"/>
        <w:rPr>
          <w:rFonts w:asciiTheme="minorEastAsia" w:hAnsiTheme="minorEastAsia" w:eastAsiaTheme="minorEastAsia"/>
          <w:sz w:val="28"/>
          <w:szCs w:val="28"/>
        </w:rPr>
      </w:pPr>
      <w:r>
        <w:t>1)在总务处的管理下，采用24小时值班制度，负责学校值班及临时住宿人员的安排管理；</w:t>
      </w:r>
    </w:p>
    <w:p>
      <w:pPr>
        <w:spacing w:line="360" w:lineRule="auto"/>
        <w:ind w:firstLine="490" w:firstLineChars="175"/>
        <w:jc w:val="left"/>
        <w:rPr>
          <w:rFonts w:asciiTheme="minorEastAsia" w:hAnsiTheme="minorEastAsia" w:eastAsiaTheme="minorEastAsia"/>
          <w:sz w:val="28"/>
          <w:szCs w:val="28"/>
        </w:rPr>
      </w:pPr>
      <w:r>
        <w:t>2)按标准进行整幢楼宇的值班、清洁、被褥床单更换清洗等；</w:t>
      </w:r>
    </w:p>
    <w:p>
      <w:pPr>
        <w:pStyle w:val="24"/>
        <w:spacing w:line="360" w:lineRule="auto"/>
        <w:ind w:firstLine="495" w:firstLineChars="177"/>
        <w:jc w:val="left"/>
        <w:rPr>
          <w:rFonts w:asciiTheme="minorEastAsia" w:hAnsiTheme="minorEastAsia" w:eastAsiaTheme="minorEastAsia"/>
          <w:szCs w:val="28"/>
        </w:rPr>
      </w:pPr>
      <w:r>
        <w:t>3)负责房间内卫生用品(如牙膏、牙刷、淋浴露、洗发水、厕纸等)的保障。</w:t>
      </w:r>
    </w:p>
    <w:p>
      <w:pPr>
        <w:spacing w:line="360" w:lineRule="auto"/>
        <w:ind w:firstLine="492" w:firstLineChars="175"/>
        <w:jc w:val="left"/>
        <w:rPr>
          <w:rFonts w:ascii="宋体" w:hAnsi="宋体" w:cs="宋体"/>
          <w:sz w:val="28"/>
          <w:szCs w:val="28"/>
        </w:rPr>
      </w:pPr>
      <w:r>
        <w:t>2.3.2中标方注意节约用电、用水，对楼道、教室等场所按关灯、电扇及空调等，不用的水龙头及时关闭，确保无长明灯、长流水；</w:t>
      </w:r>
    </w:p>
    <w:p>
      <w:pPr>
        <w:spacing w:line="360" w:lineRule="auto"/>
        <w:ind w:firstLine="492" w:firstLineChars="175"/>
        <w:jc w:val="left"/>
        <w:rPr>
          <w:rFonts w:ascii="宋体" w:hAnsi="宋体" w:cs="宋体"/>
          <w:sz w:val="28"/>
          <w:szCs w:val="28"/>
        </w:rPr>
      </w:pPr>
      <w:r>
        <w:t>2.3.3中标方负责保洁范围内所有的下水道的窨井口、明沟树叶、垃圾的清理；</w:t>
      </w:r>
    </w:p>
    <w:p>
      <w:pPr>
        <w:spacing w:line="360" w:lineRule="auto"/>
        <w:ind w:firstLine="492" w:firstLineChars="175"/>
        <w:jc w:val="left"/>
        <w:rPr>
          <w:rFonts w:ascii="宋体" w:hAnsi="宋体" w:cs="宋体"/>
          <w:sz w:val="28"/>
          <w:szCs w:val="28"/>
        </w:rPr>
      </w:pPr>
      <w:r>
        <w:t>2.3.4中标方负责保洁范围内消防栓、箱的检查与报修，确保无破损、无漏水；</w:t>
      </w:r>
    </w:p>
    <w:p>
      <w:pPr>
        <w:spacing w:line="360" w:lineRule="auto"/>
        <w:ind w:firstLine="492" w:firstLineChars="175"/>
        <w:jc w:val="left"/>
        <w:rPr>
          <w:rFonts w:ascii="宋体" w:hAnsi="宋体" w:cs="宋体"/>
          <w:sz w:val="28"/>
          <w:szCs w:val="28"/>
        </w:rPr>
      </w:pPr>
      <w:r>
        <w:t>2.3.5遇突发性雨雪灾害天气，中标方应及时组织员工采取有效措施清除杂物、积水或积雪，确保道路畅通，维持学校的正常秩序；</w:t>
      </w:r>
    </w:p>
    <w:p>
      <w:pPr>
        <w:spacing w:line="360" w:lineRule="auto"/>
        <w:ind w:firstLine="492" w:firstLineChars="175"/>
        <w:jc w:val="left"/>
        <w:rPr>
          <w:rFonts w:ascii="宋体" w:hAnsi="宋体" w:cs="宋体"/>
          <w:sz w:val="28"/>
          <w:szCs w:val="28"/>
        </w:rPr>
      </w:pPr>
      <w:r>
        <w:t>2.3.6协助做好学校各类大型活动的场地布置等相关工作及其他临时杂活，做到及时安全，活动结束后及时清理保洁；</w:t>
      </w:r>
    </w:p>
    <w:p>
      <w:pPr>
        <w:spacing w:line="360" w:lineRule="auto"/>
        <w:ind w:firstLine="492" w:firstLineChars="175"/>
        <w:jc w:val="left"/>
        <w:rPr>
          <w:rFonts w:ascii="宋体" w:hAnsi="宋体" w:cs="宋体"/>
          <w:sz w:val="28"/>
          <w:szCs w:val="28"/>
        </w:rPr>
      </w:pPr>
      <w:r>
        <w:t>2.3.7寒暑假根据需要安排好相关的值班保洁工作；</w:t>
      </w:r>
    </w:p>
    <w:p>
      <w:pPr>
        <w:spacing w:line="360" w:lineRule="auto"/>
        <w:ind w:firstLine="492" w:firstLineChars="175"/>
        <w:jc w:val="left"/>
        <w:rPr>
          <w:rFonts w:ascii="宋体" w:hAnsi="宋体" w:cs="宋体"/>
          <w:sz w:val="28"/>
          <w:szCs w:val="28"/>
        </w:rPr>
      </w:pPr>
      <w:r>
        <w:t>2.3.8根据市垃圾分类规章制度，严格按照相关要求做好校内垃圾的检查、分类、投放(垃圾桶按分类要求自行配备)，并配合学校做好各级垃圾分类工作检查，确保相关政策落实到位。</w:t>
      </w:r>
    </w:p>
    <w:p>
      <w:pPr>
        <w:spacing w:line="360" w:lineRule="auto"/>
        <w:ind w:firstLine="492" w:firstLineChars="175"/>
        <w:jc w:val="left"/>
        <w:rPr>
          <w:rFonts w:ascii="宋体" w:hAnsi="宋体" w:cs="宋体"/>
          <w:sz w:val="28"/>
          <w:szCs w:val="28"/>
        </w:rPr>
      </w:pPr>
      <w:r>
        <w:t>2.3.9保洁区域的垃圾要求袋装并及时收集，按规定送至统一集中点存放，由环卫处统一外运。</w:t>
      </w:r>
    </w:p>
    <w:p>
      <w:pPr>
        <w:spacing w:line="360" w:lineRule="auto"/>
        <w:ind w:firstLine="492" w:firstLineChars="175"/>
        <w:jc w:val="left"/>
        <w:rPr>
          <w:rFonts w:ascii="宋体" w:hAnsi="宋体" w:cs="宋体"/>
          <w:sz w:val="28"/>
          <w:szCs w:val="28"/>
        </w:rPr>
      </w:pPr>
      <w:r>
        <w:t>2.3.10做好相关的安全管理教育，确保全年不出安全责任事故，如发生安全责任事故，所有经济损失和法律责任由中标方承担；</w:t>
      </w:r>
    </w:p>
    <w:p>
      <w:pPr>
        <w:pStyle w:val="24"/>
        <w:spacing w:line="360" w:lineRule="auto"/>
        <w:ind w:firstLine="492" w:firstLineChars="175"/>
        <w:jc w:val="left"/>
        <w:rPr>
          <w:rFonts w:ascii="宋体" w:hAnsi="宋体" w:cs="宋体"/>
          <w:szCs w:val="28"/>
        </w:rPr>
      </w:pPr>
      <w:r>
        <w:t>2.3.11中标方应加大在学校内机械设备的投入。</w:t>
      </w:r>
    </w:p>
    <w:p>
      <w:pPr>
        <w:spacing w:line="360" w:lineRule="auto"/>
        <w:ind w:firstLine="492" w:firstLineChars="175"/>
        <w:jc w:val="left"/>
        <w:rPr>
          <w:rFonts w:ascii="宋体" w:hAnsi="宋体" w:cs="宋体"/>
          <w:b/>
          <w:sz w:val="28"/>
          <w:szCs w:val="28"/>
          <w:u w:val="single"/>
        </w:rPr>
      </w:pPr>
      <w:r>
        <w:t>3、学校绿化养护内容</w:t>
      </w:r>
    </w:p>
    <w:p>
      <w:pPr>
        <w:pStyle w:val="24"/>
        <w:spacing w:line="360" w:lineRule="auto"/>
        <w:ind w:firstLine="490" w:firstLineChars="175"/>
        <w:jc w:val="left"/>
        <w:rPr>
          <w:szCs w:val="28"/>
        </w:rPr>
      </w:pPr>
      <w:r>
        <w:t>学校绿化养护工作在总务处管理下开展工作，相关业务对接与日常考核由总务处负责。</w:t>
      </w:r>
    </w:p>
    <w:p>
      <w:pPr>
        <w:spacing w:line="360" w:lineRule="auto"/>
        <w:ind w:firstLine="492" w:firstLineChars="175"/>
        <w:jc w:val="left"/>
        <w:rPr>
          <w:rFonts w:ascii="宋体" w:hAnsi="宋体" w:cs="宋体"/>
          <w:sz w:val="28"/>
          <w:szCs w:val="28"/>
        </w:rPr>
      </w:pPr>
      <w:r>
        <w:t>3.1费用包括</w:t>
      </w:r>
    </w:p>
    <w:p>
      <w:pPr>
        <w:spacing w:line="360" w:lineRule="auto"/>
        <w:ind w:firstLine="492" w:firstLineChars="175"/>
        <w:jc w:val="left"/>
        <w:rPr>
          <w:rFonts w:ascii="宋体" w:hAnsi="宋体" w:cs="宋体"/>
          <w:sz w:val="28"/>
          <w:szCs w:val="28"/>
        </w:rPr>
      </w:pPr>
      <w:r>
        <w:t>3.1.1人工费、管理费、税金及国家规定的费用。</w:t>
      </w:r>
    </w:p>
    <w:p>
      <w:pPr>
        <w:spacing w:line="360" w:lineRule="auto"/>
        <w:ind w:firstLine="492" w:firstLineChars="175"/>
        <w:jc w:val="left"/>
        <w:rPr>
          <w:rFonts w:ascii="宋体" w:hAnsi="宋体" w:cs="宋体"/>
          <w:sz w:val="28"/>
          <w:szCs w:val="28"/>
        </w:rPr>
      </w:pPr>
      <w:r>
        <w:t>3.1.2两校区盆栽摆放及养护调换费用(其中奉化校区不少于150盆，鄞州校区不少于100盆)；</w:t>
      </w:r>
    </w:p>
    <w:p>
      <w:pPr>
        <w:spacing w:line="360" w:lineRule="auto"/>
        <w:ind w:firstLine="492" w:firstLineChars="175"/>
        <w:jc w:val="left"/>
        <w:rPr>
          <w:rFonts w:ascii="宋体" w:hAnsi="宋体" w:cs="宋体"/>
          <w:bCs/>
          <w:sz w:val="28"/>
          <w:szCs w:val="28"/>
        </w:rPr>
      </w:pPr>
      <w:r>
        <w:t>3.1.3预算中单列的绿化景观优化费用（其中鄞州校区包括对树木的全面修剪费用）；</w:t>
      </w:r>
    </w:p>
    <w:p>
      <w:pPr>
        <w:spacing w:line="360" w:lineRule="auto"/>
        <w:ind w:firstLine="492" w:firstLineChars="175"/>
        <w:jc w:val="left"/>
        <w:rPr>
          <w:rFonts w:ascii="宋体" w:hAnsi="宋体" w:cs="宋体"/>
          <w:sz w:val="28"/>
          <w:szCs w:val="28"/>
        </w:rPr>
      </w:pPr>
      <w:r>
        <w:t>3.1.4养护管理所需的一切劳动力、材料、设备、绿化垃圾清运和服务(不包括水、电)等均由中标方自行组织，由此产生的一切费用由中标方承担。</w:t>
      </w:r>
    </w:p>
    <w:p>
      <w:pPr>
        <w:spacing w:line="360" w:lineRule="auto"/>
        <w:ind w:firstLine="492" w:firstLineChars="175"/>
        <w:jc w:val="left"/>
        <w:rPr>
          <w:rFonts w:ascii="宋体" w:hAnsi="宋体" w:cs="宋体"/>
          <w:b/>
          <w:sz w:val="28"/>
          <w:szCs w:val="28"/>
        </w:rPr>
      </w:pPr>
      <w:r>
        <w:t>3.2绿化养护范围</w:t>
      </w:r>
    </w:p>
    <w:p>
      <w:pPr>
        <w:spacing w:line="360" w:lineRule="auto"/>
        <w:ind w:firstLine="490" w:firstLineChars="175"/>
        <w:jc w:val="left"/>
        <w:rPr>
          <w:rFonts w:ascii="宋体" w:hAnsi="宋体" w:cs="宋体"/>
          <w:sz w:val="28"/>
          <w:szCs w:val="28"/>
        </w:rPr>
      </w:pPr>
      <w:r>
        <w:t>负责两校区的全部绿化(含足球场)的浇灌排水、施肥、除虫、修剪造型、杈枝修剪、中耕除草、植物补植、绿化景观优化、树木扶正、租借盆花(按学校要求标准在公共区域摆放盆花)及养护调换、台风抢险、绿化设施维护(喷灌设施)及绿地保洁、突击性任务、树木植物垃圾清运等。</w:t>
      </w:r>
    </w:p>
    <w:p>
      <w:pPr>
        <w:spacing w:line="360" w:lineRule="auto"/>
        <w:ind w:firstLine="492" w:firstLineChars="175"/>
        <w:jc w:val="left"/>
        <w:rPr>
          <w:rFonts w:ascii="宋体" w:hAnsi="宋体" w:cs="宋体"/>
          <w:b/>
          <w:sz w:val="28"/>
          <w:szCs w:val="28"/>
        </w:rPr>
      </w:pPr>
      <w:r>
        <w:t>3.3绿化养护要求</w:t>
      </w:r>
    </w:p>
    <w:p>
      <w:pPr>
        <w:spacing w:line="360" w:lineRule="auto"/>
        <w:ind w:firstLine="492" w:firstLineChars="175"/>
        <w:jc w:val="left"/>
        <w:rPr>
          <w:rFonts w:ascii="宋体" w:hAnsi="宋体" w:cs="宋体"/>
          <w:sz w:val="28"/>
          <w:szCs w:val="28"/>
        </w:rPr>
      </w:pPr>
      <w:r>
        <w:t>3.3.1校园绿化养护工作由学校总务处负责，中标方应按照园林绿化养护操作规程及园林绿化养护质量标准，合理组织，精心养护，保质、保量完成养护管理任务；</w:t>
      </w:r>
    </w:p>
    <w:p>
      <w:pPr>
        <w:spacing w:line="360" w:lineRule="auto"/>
        <w:ind w:firstLine="492" w:firstLineChars="175"/>
        <w:jc w:val="left"/>
        <w:rPr>
          <w:rFonts w:ascii="宋体" w:hAnsi="宋体" w:cs="宋体"/>
          <w:sz w:val="28"/>
          <w:szCs w:val="28"/>
        </w:rPr>
      </w:pPr>
      <w:r>
        <w:t>3.3.2中标方应定期向校方提供养护管理计划及有关措施，以便招标方进行监督考核。</w:t>
      </w:r>
    </w:p>
    <w:p>
      <w:pPr>
        <w:spacing w:line="360" w:lineRule="auto"/>
        <w:ind w:firstLine="492" w:firstLineChars="175"/>
        <w:jc w:val="left"/>
        <w:rPr>
          <w:rFonts w:ascii="宋体" w:hAnsi="宋体" w:cs="宋体"/>
          <w:sz w:val="28"/>
          <w:szCs w:val="28"/>
        </w:rPr>
      </w:pPr>
      <w:r>
        <w:t>3.3.4割草要求</w:t>
      </w:r>
    </w:p>
    <w:p>
      <w:pPr>
        <w:spacing w:line="360" w:lineRule="auto"/>
        <w:ind w:firstLine="490" w:firstLineChars="175"/>
        <w:jc w:val="left"/>
        <w:rPr>
          <w:rFonts w:ascii="宋体" w:hAnsi="宋体" w:cs="宋体"/>
          <w:sz w:val="28"/>
          <w:szCs w:val="28"/>
        </w:rPr>
      </w:pPr>
      <w:r>
        <w:t>1)控制草坪高度，使用割草机割草；</w:t>
      </w:r>
    </w:p>
    <w:p>
      <w:pPr>
        <w:spacing w:line="360" w:lineRule="auto"/>
        <w:ind w:firstLine="490" w:firstLineChars="175"/>
        <w:jc w:val="left"/>
        <w:rPr>
          <w:rFonts w:ascii="宋体" w:hAnsi="宋体" w:cs="宋体"/>
          <w:sz w:val="28"/>
          <w:szCs w:val="28"/>
        </w:rPr>
      </w:pPr>
      <w:r>
        <w:t>2)合理安排割草时间，确保作业噪音不影响师生正常的教学与生活(尽量在周末或休息时间内完成)；</w:t>
      </w:r>
    </w:p>
    <w:p>
      <w:pPr>
        <w:spacing w:line="360" w:lineRule="auto"/>
        <w:ind w:firstLine="490" w:firstLineChars="175"/>
        <w:jc w:val="left"/>
        <w:rPr>
          <w:rFonts w:ascii="宋体" w:hAnsi="宋体" w:cs="宋体"/>
          <w:sz w:val="28"/>
          <w:szCs w:val="28"/>
        </w:rPr>
      </w:pPr>
      <w:r>
        <w:t>3)清除杂草。根据实际情况，采取人工或药物等方式及时安排除草，保证草坪内无明显杂草；</w:t>
      </w:r>
    </w:p>
    <w:p>
      <w:pPr>
        <w:spacing w:line="360" w:lineRule="auto"/>
        <w:ind w:firstLine="490" w:firstLineChars="175"/>
        <w:jc w:val="left"/>
        <w:rPr>
          <w:rFonts w:ascii="宋体" w:hAnsi="宋体" w:cs="宋体"/>
          <w:sz w:val="28"/>
          <w:szCs w:val="28"/>
        </w:rPr>
      </w:pPr>
      <w:r>
        <w:t>4)及时处理割草及除草作业后产生的垃圾，不得在校内堆放；</w:t>
      </w:r>
    </w:p>
    <w:p>
      <w:pPr>
        <w:spacing w:line="360" w:lineRule="auto"/>
        <w:ind w:firstLine="490" w:firstLineChars="175"/>
        <w:jc w:val="left"/>
        <w:rPr>
          <w:rFonts w:ascii="宋体" w:hAnsi="宋体" w:cs="宋体"/>
          <w:sz w:val="28"/>
          <w:szCs w:val="28"/>
        </w:rPr>
      </w:pPr>
      <w:r>
        <w:t>5)因养护不到位而造成的草皮缺损、黄土裸露等情况，应由养护单位及时进行翻种或补种。</w:t>
      </w:r>
    </w:p>
    <w:p>
      <w:pPr>
        <w:spacing w:line="360" w:lineRule="auto"/>
        <w:ind w:firstLine="492" w:firstLineChars="175"/>
        <w:jc w:val="left"/>
        <w:rPr>
          <w:rFonts w:ascii="宋体" w:hAnsi="宋体" w:cs="宋体"/>
          <w:b/>
          <w:sz w:val="28"/>
          <w:szCs w:val="28"/>
        </w:rPr>
      </w:pPr>
      <w:r>
        <w:t>3.3.5修剪要求</w:t>
      </w:r>
    </w:p>
    <w:p>
      <w:pPr>
        <w:spacing w:line="360" w:lineRule="auto"/>
        <w:ind w:firstLine="490" w:firstLineChars="175"/>
        <w:jc w:val="left"/>
        <w:rPr>
          <w:rFonts w:ascii="宋体" w:hAnsi="宋体" w:cs="宋体"/>
          <w:sz w:val="28"/>
          <w:szCs w:val="28"/>
        </w:rPr>
      </w:pPr>
      <w:r>
        <w:t>1)行道树修剪，视生长情况一年至少一次。通过修剪保证树木良好的生长态势与外形，主要安排在冬季进行；</w:t>
      </w:r>
    </w:p>
    <w:p>
      <w:pPr>
        <w:spacing w:line="360" w:lineRule="auto"/>
        <w:ind w:firstLine="490" w:firstLineChars="175"/>
        <w:jc w:val="left"/>
        <w:rPr>
          <w:rFonts w:ascii="宋体" w:hAnsi="宋体" w:cs="宋体"/>
          <w:sz w:val="28"/>
          <w:szCs w:val="28"/>
        </w:rPr>
      </w:pPr>
      <w:r>
        <w:t>2)绿篱修剪，视生长情况一年至少5次。修剪必须精细，严格按照绿篱的几何形态进行修剪，保障篱面平整、有序有形，枝叶长短差不超过2-4厘米，剪除枯枝与杂枝并及时清理；</w:t>
      </w:r>
    </w:p>
    <w:p>
      <w:pPr>
        <w:spacing w:line="360" w:lineRule="auto"/>
        <w:ind w:firstLine="490" w:firstLineChars="175"/>
        <w:jc w:val="left"/>
        <w:rPr>
          <w:rFonts w:ascii="宋体" w:hAnsi="宋体" w:cs="宋体"/>
          <w:sz w:val="28"/>
          <w:szCs w:val="28"/>
        </w:rPr>
      </w:pPr>
      <w:r>
        <w:t>3)灌木修剪，一年一次。夏季开花的于冬季进行，春季开花的于花后进行；</w:t>
      </w:r>
    </w:p>
    <w:p>
      <w:pPr>
        <w:pStyle w:val="24"/>
        <w:spacing w:line="360" w:lineRule="auto"/>
        <w:ind w:firstLine="495" w:firstLineChars="177"/>
        <w:jc w:val="left"/>
        <w:rPr>
          <w:szCs w:val="28"/>
        </w:rPr>
      </w:pPr>
      <w:r>
        <w:t>4)鄞州校区要求在本合约期内完成校内全部树木的修剪工作，其中主要树木修剪至3-4米高，景观树完成造型修剪。</w:t>
      </w:r>
    </w:p>
    <w:p>
      <w:pPr>
        <w:spacing w:line="360" w:lineRule="auto"/>
        <w:ind w:firstLine="492" w:firstLineChars="175"/>
        <w:jc w:val="left"/>
        <w:rPr>
          <w:rFonts w:ascii="宋体" w:hAnsi="宋体" w:cs="宋体"/>
          <w:b/>
          <w:sz w:val="28"/>
          <w:szCs w:val="28"/>
        </w:rPr>
      </w:pPr>
      <w:r>
        <w:t>3.3.6病虫害防治</w:t>
      </w:r>
    </w:p>
    <w:p>
      <w:pPr>
        <w:spacing w:line="360" w:lineRule="auto"/>
        <w:ind w:firstLine="490" w:firstLineChars="175"/>
        <w:jc w:val="left"/>
        <w:rPr>
          <w:rFonts w:ascii="宋体" w:hAnsi="宋体" w:cs="宋体"/>
          <w:sz w:val="28"/>
          <w:szCs w:val="28"/>
        </w:rPr>
      </w:pPr>
      <w:r>
        <w:t>1)做好植物病虫害的预测、预报，及时防治、控制，用药配比正确，安全操作；</w:t>
      </w:r>
    </w:p>
    <w:p>
      <w:pPr>
        <w:spacing w:line="360" w:lineRule="auto"/>
        <w:ind w:firstLine="490" w:firstLineChars="175"/>
        <w:jc w:val="left"/>
        <w:rPr>
          <w:rFonts w:ascii="宋体" w:hAnsi="宋体" w:cs="宋体"/>
          <w:sz w:val="28"/>
          <w:szCs w:val="28"/>
        </w:rPr>
      </w:pPr>
      <w:r>
        <w:t>2)一般病虫害应在2天内治理完毕，白蚁虫害需请白蚁防治所专业人员进行彻底治理，病虫害控制在以不影响观赏效果的范围之内；</w:t>
      </w:r>
    </w:p>
    <w:p>
      <w:pPr>
        <w:spacing w:line="360" w:lineRule="auto"/>
        <w:ind w:firstLine="490" w:firstLineChars="175"/>
        <w:jc w:val="left"/>
        <w:rPr>
          <w:rFonts w:ascii="宋体" w:hAnsi="宋体" w:cs="宋体"/>
          <w:sz w:val="28"/>
          <w:szCs w:val="28"/>
        </w:rPr>
      </w:pPr>
      <w:r>
        <w:t>3)原则上不得出现苗木因害虫而死亡的情况，因防治不及时而死亡的苗木应由养护单位照原规格及时补种。</w:t>
      </w:r>
    </w:p>
    <w:p>
      <w:pPr>
        <w:spacing w:line="360" w:lineRule="auto"/>
        <w:ind w:firstLine="492" w:firstLineChars="175"/>
        <w:jc w:val="left"/>
        <w:rPr>
          <w:rFonts w:ascii="宋体" w:hAnsi="宋体" w:cs="宋体"/>
          <w:b/>
          <w:sz w:val="28"/>
          <w:szCs w:val="28"/>
        </w:rPr>
      </w:pPr>
      <w:r>
        <w:t>3.3.7防台抗旱</w:t>
      </w:r>
    </w:p>
    <w:p>
      <w:pPr>
        <w:spacing w:line="360" w:lineRule="auto"/>
        <w:ind w:firstLine="490" w:firstLineChars="175"/>
        <w:jc w:val="left"/>
        <w:rPr>
          <w:rFonts w:ascii="宋体" w:hAnsi="宋体" w:cs="宋体"/>
          <w:sz w:val="28"/>
          <w:szCs w:val="28"/>
        </w:rPr>
      </w:pPr>
      <w:r>
        <w:t>1)每年台风季节前及早对大型树木支架进行梳理和加固，并对大型树木进行适当修剪；</w:t>
      </w:r>
    </w:p>
    <w:p>
      <w:pPr>
        <w:spacing w:line="360" w:lineRule="auto"/>
        <w:ind w:firstLine="490" w:firstLineChars="175"/>
        <w:jc w:val="left"/>
        <w:rPr>
          <w:rFonts w:ascii="宋体" w:hAnsi="宋体" w:cs="宋体"/>
          <w:sz w:val="28"/>
          <w:szCs w:val="28"/>
        </w:rPr>
      </w:pPr>
      <w:r>
        <w:t>2)由于台风等原因造成行道树或其它乔木树干倾斜度超过10%以上的，必须及时予以扶正。确实难以扶正的要加以支撑防止倾斜加重；</w:t>
      </w:r>
    </w:p>
    <w:p>
      <w:pPr>
        <w:spacing w:line="360" w:lineRule="auto"/>
        <w:ind w:firstLine="490" w:firstLineChars="175"/>
        <w:jc w:val="left"/>
        <w:rPr>
          <w:rFonts w:ascii="宋体" w:hAnsi="宋体" w:cs="宋体"/>
          <w:sz w:val="28"/>
          <w:szCs w:val="28"/>
        </w:rPr>
      </w:pPr>
      <w:r>
        <w:t>3)根据树木草坪特点，应保证干旱时的浇水，浇水时间应优先选择在早晚温度较低的时间段；</w:t>
      </w:r>
    </w:p>
    <w:p>
      <w:pPr>
        <w:spacing w:line="360" w:lineRule="auto"/>
        <w:ind w:firstLine="490" w:firstLineChars="175"/>
        <w:jc w:val="left"/>
        <w:rPr>
          <w:rFonts w:ascii="宋体" w:hAnsi="宋体" w:cs="宋体"/>
          <w:sz w:val="28"/>
          <w:szCs w:val="28"/>
        </w:rPr>
      </w:pPr>
      <w:r>
        <w:t>4)节约用水，不得人为的浪费水资源。</w:t>
      </w:r>
    </w:p>
    <w:p>
      <w:pPr>
        <w:spacing w:line="360" w:lineRule="auto"/>
        <w:ind w:firstLine="492" w:firstLineChars="175"/>
        <w:jc w:val="left"/>
        <w:rPr>
          <w:rFonts w:ascii="宋体" w:hAnsi="宋体" w:cs="宋体"/>
          <w:b/>
          <w:sz w:val="28"/>
          <w:szCs w:val="28"/>
        </w:rPr>
      </w:pPr>
      <w:r>
        <w:t>3.3.8冬季保暖抗寒抗雪</w:t>
      </w:r>
    </w:p>
    <w:p>
      <w:pPr>
        <w:spacing w:line="360" w:lineRule="auto"/>
        <w:ind w:firstLine="490" w:firstLineChars="175"/>
        <w:jc w:val="left"/>
        <w:rPr>
          <w:rFonts w:ascii="宋体" w:hAnsi="宋体" w:cs="宋体"/>
          <w:sz w:val="28"/>
          <w:szCs w:val="28"/>
        </w:rPr>
      </w:pPr>
      <w:r>
        <w:t>1)每年11-12月，对全校道树进行石灰水涂抹，涂抹的高度要严格一致，完成后要及时清理地上残留的石灰；</w:t>
      </w:r>
    </w:p>
    <w:p>
      <w:pPr>
        <w:spacing w:line="360" w:lineRule="auto"/>
        <w:ind w:firstLine="490" w:firstLineChars="175"/>
        <w:jc w:val="left"/>
        <w:rPr>
          <w:rFonts w:ascii="宋体" w:hAnsi="宋体" w:cs="宋体"/>
          <w:sz w:val="28"/>
          <w:szCs w:val="28"/>
        </w:rPr>
      </w:pPr>
      <w:r>
        <w:t>2)关注气候变化，及早准备各类工具，在大雪天气安排专人24小时值班，及时打落树冠及灌木上的积雪。</w:t>
      </w:r>
    </w:p>
    <w:p>
      <w:pPr>
        <w:spacing w:line="360" w:lineRule="auto"/>
        <w:ind w:firstLine="492" w:firstLineChars="175"/>
        <w:jc w:val="left"/>
        <w:rPr>
          <w:rFonts w:ascii="宋体" w:hAnsi="宋体" w:cs="宋体"/>
          <w:b/>
          <w:sz w:val="28"/>
          <w:szCs w:val="28"/>
        </w:rPr>
      </w:pPr>
      <w:r>
        <w:t>3.3.9施肥</w:t>
      </w:r>
    </w:p>
    <w:p>
      <w:pPr>
        <w:spacing w:line="360" w:lineRule="auto"/>
        <w:ind w:firstLine="490" w:firstLineChars="175"/>
        <w:jc w:val="left"/>
        <w:rPr>
          <w:rFonts w:ascii="宋体" w:hAnsi="宋体" w:cs="宋体"/>
          <w:sz w:val="28"/>
          <w:szCs w:val="28"/>
        </w:rPr>
      </w:pPr>
      <w:r>
        <w:t>1)一般树木在冬季之前施肥一次，方法为开沟施肥后覆土；</w:t>
      </w:r>
    </w:p>
    <w:p>
      <w:pPr>
        <w:spacing w:line="360" w:lineRule="auto"/>
        <w:ind w:firstLine="490" w:firstLineChars="175"/>
        <w:jc w:val="left"/>
        <w:rPr>
          <w:rFonts w:ascii="宋体" w:hAnsi="宋体" w:cs="宋体"/>
          <w:sz w:val="28"/>
          <w:szCs w:val="28"/>
        </w:rPr>
      </w:pPr>
      <w:r>
        <w:t>2)低矮灌木花坛施肥：一年两次，分别在秋季修剪后一次、春季花前一次；</w:t>
      </w:r>
    </w:p>
    <w:p>
      <w:pPr>
        <w:spacing w:line="360" w:lineRule="auto"/>
        <w:ind w:firstLine="490" w:firstLineChars="175"/>
        <w:jc w:val="left"/>
        <w:rPr>
          <w:rFonts w:ascii="宋体" w:hAnsi="宋体" w:cs="宋体"/>
          <w:sz w:val="28"/>
          <w:szCs w:val="28"/>
        </w:rPr>
      </w:pPr>
      <w:r>
        <w:t>3)地被植物施肥：一年两次，草坪可在下雨前以化肥为主撒肥，时间在3、5与10月。天晴施肥必须随后喷水以及烧伤。</w:t>
      </w:r>
    </w:p>
    <w:p>
      <w:pPr>
        <w:spacing w:line="360" w:lineRule="auto"/>
        <w:ind w:firstLine="492" w:firstLineChars="175"/>
        <w:jc w:val="left"/>
        <w:rPr>
          <w:rFonts w:ascii="宋体" w:hAnsi="宋体" w:cs="宋体"/>
          <w:b/>
          <w:sz w:val="28"/>
          <w:szCs w:val="28"/>
        </w:rPr>
      </w:pPr>
      <w:r>
        <w:t>3.3.10绿地保洁</w:t>
      </w:r>
    </w:p>
    <w:p>
      <w:pPr>
        <w:spacing w:line="360" w:lineRule="auto"/>
        <w:ind w:firstLine="490" w:firstLineChars="175"/>
        <w:jc w:val="left"/>
        <w:rPr>
          <w:rFonts w:ascii="宋体" w:hAnsi="宋体" w:cs="宋体"/>
          <w:sz w:val="28"/>
          <w:szCs w:val="28"/>
        </w:rPr>
      </w:pPr>
      <w:r>
        <w:t>1)保持绿地整洁，及时清理草坪等绿地内的各种垃圾或石块；</w:t>
      </w:r>
    </w:p>
    <w:p>
      <w:pPr>
        <w:spacing w:line="360" w:lineRule="auto"/>
        <w:ind w:firstLine="490" w:firstLineChars="175"/>
        <w:jc w:val="left"/>
        <w:rPr>
          <w:rFonts w:ascii="宋体" w:hAnsi="宋体" w:cs="宋体"/>
          <w:sz w:val="28"/>
          <w:szCs w:val="28"/>
        </w:rPr>
      </w:pPr>
      <w:r>
        <w:t>2)养护过程中要及时清理树上枯枝、绳索、钉子、塑料袋、衣物等垃圾。</w:t>
      </w:r>
    </w:p>
    <w:p>
      <w:pPr>
        <w:spacing w:line="360" w:lineRule="auto"/>
        <w:ind w:firstLine="492" w:firstLineChars="175"/>
        <w:jc w:val="left"/>
        <w:rPr>
          <w:rFonts w:ascii="宋体" w:hAnsi="宋体" w:cs="宋体"/>
          <w:b/>
          <w:sz w:val="28"/>
          <w:szCs w:val="28"/>
        </w:rPr>
      </w:pPr>
      <w:r>
        <w:t>3.3.11盆花租借</w:t>
      </w:r>
    </w:p>
    <w:p>
      <w:pPr>
        <w:spacing w:line="360" w:lineRule="auto"/>
        <w:ind w:firstLine="490" w:firstLineChars="175"/>
        <w:jc w:val="left"/>
        <w:rPr>
          <w:rFonts w:ascii="宋体" w:hAnsi="宋体" w:cs="宋体"/>
          <w:sz w:val="28"/>
          <w:szCs w:val="28"/>
        </w:rPr>
      </w:pPr>
      <w:r>
        <w:t>1)按不低要求数量摆放绿色植物，相关规格标准以招标方要求为准。</w:t>
      </w:r>
    </w:p>
    <w:p>
      <w:pPr>
        <w:spacing w:line="360" w:lineRule="auto"/>
        <w:ind w:firstLine="490" w:firstLineChars="175"/>
        <w:jc w:val="left"/>
        <w:rPr>
          <w:rFonts w:ascii="宋体" w:hAnsi="宋体" w:cs="宋体"/>
          <w:sz w:val="28"/>
          <w:szCs w:val="28"/>
        </w:rPr>
      </w:pPr>
      <w:r>
        <w:t>2)中标方需根据招标方要求及时将盆花摆放到位，如因需求进行摆放位置调整时，中标方应在校方提出要求1小时内进行调整完毕；</w:t>
      </w:r>
    </w:p>
    <w:p>
      <w:pPr>
        <w:spacing w:line="360" w:lineRule="auto"/>
        <w:ind w:firstLine="490" w:firstLineChars="175"/>
        <w:jc w:val="left"/>
        <w:rPr>
          <w:rFonts w:ascii="宋体" w:hAnsi="宋体" w:cs="宋体"/>
          <w:sz w:val="28"/>
          <w:szCs w:val="28"/>
        </w:rPr>
      </w:pPr>
      <w:r>
        <w:t>3)每日对盆花进行逐一巡查养护，做到无死亡、无枯叶、焦叶、卷叶等现象出现，对不符合要求的盆花需在24小时内进行调换完毕；</w:t>
      </w:r>
    </w:p>
    <w:p>
      <w:pPr>
        <w:spacing w:line="360" w:lineRule="auto"/>
        <w:ind w:firstLine="490" w:firstLineChars="175"/>
        <w:jc w:val="left"/>
        <w:rPr>
          <w:rFonts w:ascii="宋体" w:hAnsi="宋体" w:cs="宋体"/>
          <w:sz w:val="28"/>
          <w:szCs w:val="28"/>
        </w:rPr>
      </w:pPr>
      <w:r>
        <w:t>4)根据学校要求，在寒暑假放假前2天内，中标方将所有盆花收回进行养护，在开学前1天内摆放到位。</w:t>
      </w:r>
    </w:p>
    <w:p>
      <w:pPr>
        <w:spacing w:line="360" w:lineRule="auto"/>
        <w:ind w:firstLine="492" w:firstLineChars="175"/>
        <w:jc w:val="left"/>
        <w:rPr>
          <w:rFonts w:ascii="宋体" w:hAnsi="宋体" w:cs="宋体"/>
          <w:b/>
          <w:sz w:val="28"/>
          <w:szCs w:val="28"/>
        </w:rPr>
      </w:pPr>
      <w:r>
        <w:t>3.3.12体育场绿化养护要求</w:t>
      </w:r>
    </w:p>
    <w:p>
      <w:pPr>
        <w:spacing w:line="360" w:lineRule="auto"/>
        <w:ind w:firstLine="490" w:firstLineChars="175"/>
        <w:jc w:val="left"/>
        <w:rPr>
          <w:rFonts w:ascii="宋体" w:hAnsi="宋体" w:cs="宋体"/>
          <w:sz w:val="28"/>
          <w:szCs w:val="28"/>
        </w:rPr>
      </w:pPr>
      <w:r>
        <w:t>1)球场草坪按要求及时修剪，草坪高度30毫米，误差不超过5毫米；</w:t>
      </w:r>
    </w:p>
    <w:p>
      <w:pPr>
        <w:spacing w:line="360" w:lineRule="auto"/>
        <w:ind w:firstLine="490" w:firstLineChars="175"/>
        <w:jc w:val="left"/>
        <w:rPr>
          <w:rFonts w:ascii="宋体" w:hAnsi="宋体" w:cs="宋体"/>
          <w:sz w:val="28"/>
          <w:szCs w:val="28"/>
        </w:rPr>
      </w:pPr>
      <w:r>
        <w:t>2)保持场地场面平整，植被无缺损、无黄土裸露等情况，及时补植(种)。</w:t>
      </w:r>
    </w:p>
    <w:p>
      <w:pPr>
        <w:spacing w:line="360" w:lineRule="auto"/>
        <w:ind w:firstLine="490" w:firstLineChars="175"/>
        <w:jc w:val="left"/>
        <w:rPr>
          <w:rFonts w:ascii="宋体" w:hAnsi="宋体" w:cs="宋体"/>
          <w:sz w:val="28"/>
          <w:szCs w:val="28"/>
        </w:rPr>
      </w:pPr>
      <w:r>
        <w:t>3)场内其他绿化植物按以上同等要求实施。</w:t>
      </w:r>
    </w:p>
    <w:p>
      <w:pPr>
        <w:spacing w:line="360" w:lineRule="auto"/>
        <w:ind w:firstLine="492" w:firstLineChars="175"/>
        <w:jc w:val="left"/>
        <w:rPr>
          <w:rFonts w:ascii="宋体" w:hAnsi="宋体" w:cs="宋体"/>
          <w:b/>
          <w:sz w:val="28"/>
          <w:szCs w:val="28"/>
        </w:rPr>
      </w:pPr>
      <w:r>
        <w:t>3.3.13养护队伍自身建设</w:t>
      </w:r>
    </w:p>
    <w:p>
      <w:pPr>
        <w:spacing w:line="360" w:lineRule="auto"/>
        <w:ind w:firstLine="490" w:firstLineChars="175"/>
        <w:jc w:val="left"/>
        <w:rPr>
          <w:rFonts w:ascii="宋体" w:hAnsi="宋体" w:cs="宋体"/>
          <w:sz w:val="28"/>
          <w:szCs w:val="28"/>
        </w:rPr>
      </w:pPr>
      <w:r>
        <w:t>1)养护人员要适应高校校园的整体氛围。</w:t>
      </w:r>
    </w:p>
    <w:p>
      <w:pPr>
        <w:spacing w:line="360" w:lineRule="auto"/>
        <w:ind w:firstLine="490" w:firstLineChars="175"/>
        <w:jc w:val="left"/>
        <w:rPr>
          <w:rFonts w:ascii="宋体" w:hAnsi="宋体" w:cs="宋体"/>
          <w:sz w:val="28"/>
          <w:szCs w:val="28"/>
        </w:rPr>
      </w:pPr>
      <w:r>
        <w:t>2)养护队伍需规范管理，形成完善的操作章程，并形成完善的养护操作记录。</w:t>
      </w:r>
    </w:p>
    <w:p>
      <w:pPr>
        <w:spacing w:line="360" w:lineRule="auto"/>
        <w:ind w:firstLine="490" w:firstLineChars="175"/>
        <w:jc w:val="left"/>
        <w:rPr>
          <w:rFonts w:ascii="宋体" w:hAnsi="宋体" w:cs="宋体"/>
          <w:sz w:val="28"/>
          <w:szCs w:val="28"/>
        </w:rPr>
      </w:pPr>
      <w:r>
        <w:t>3)养护人员要穿着统一的工作服上岗，保持整洁的形象，保持文明的言行举止，安全作业，接受学校的监督管理，努力完成学校交办的其他任务。</w:t>
      </w:r>
    </w:p>
    <w:p>
      <w:pPr>
        <w:spacing w:line="360" w:lineRule="auto"/>
        <w:ind w:firstLine="492" w:firstLineChars="175"/>
        <w:jc w:val="left"/>
        <w:rPr>
          <w:rFonts w:ascii="宋体" w:hAnsi="宋体" w:cs="宋体"/>
          <w:b/>
          <w:sz w:val="28"/>
          <w:szCs w:val="28"/>
        </w:rPr>
      </w:pPr>
      <w:r>
        <w:t>3.3.14其他事项</w:t>
      </w:r>
    </w:p>
    <w:p>
      <w:pPr>
        <w:spacing w:line="360" w:lineRule="auto"/>
        <w:ind w:firstLine="490" w:firstLineChars="175"/>
        <w:jc w:val="left"/>
        <w:rPr>
          <w:rFonts w:ascii="宋体" w:hAnsi="宋体" w:cs="宋体"/>
          <w:sz w:val="28"/>
          <w:szCs w:val="28"/>
        </w:rPr>
      </w:pPr>
      <w:r>
        <w:t>1)在绿化养护过程中所产生的一切绿化垃圾，不得在学校内停留超过48小时，不得堆放至学校生活垃圾场，中标方应及时负责清运出学校，有关费用中标方自行承担；</w:t>
      </w:r>
    </w:p>
    <w:p>
      <w:pPr>
        <w:spacing w:line="360" w:lineRule="auto"/>
        <w:ind w:firstLine="490" w:firstLineChars="175"/>
        <w:jc w:val="left"/>
        <w:rPr>
          <w:rFonts w:ascii="宋体" w:hAnsi="宋体" w:cs="宋体"/>
          <w:sz w:val="28"/>
          <w:szCs w:val="28"/>
        </w:rPr>
      </w:pPr>
      <w:r>
        <w:t>2)管理期内，本招标项目中绿化(地)养护管理设施量发生减少及毁损的，中标方应予以及时补齐或修复，并自行承担所需费用。管理期满后，中标方应保证原绿化(地)养护管理设施量无减少、无毁损，否则无条件予以补齐或全额赔偿；</w:t>
      </w:r>
    </w:p>
    <w:p>
      <w:pPr>
        <w:spacing w:line="360" w:lineRule="auto"/>
        <w:ind w:firstLine="490" w:firstLineChars="175"/>
        <w:jc w:val="left"/>
        <w:rPr>
          <w:rFonts w:ascii="宋体" w:hAnsi="宋体" w:cs="宋体"/>
          <w:sz w:val="28"/>
          <w:szCs w:val="28"/>
        </w:rPr>
      </w:pPr>
      <w:r>
        <w:t>3)中标方在搞好日常养护工作的同时，必须配合招标方完成上级布置的各种节庆和重大活动的临时性绿化任务；</w:t>
      </w:r>
    </w:p>
    <w:p>
      <w:pPr>
        <w:spacing w:line="360" w:lineRule="auto"/>
        <w:ind w:firstLine="490" w:firstLineChars="175"/>
        <w:jc w:val="left"/>
        <w:rPr>
          <w:rFonts w:ascii="宋体" w:hAnsi="宋体" w:cs="宋体"/>
          <w:sz w:val="28"/>
          <w:szCs w:val="28"/>
        </w:rPr>
      </w:pPr>
      <w:r>
        <w:t>4)中标方必须重视安全工作，确保全年不出安全事故。如发生安全责任事故，由中标方承担一切经济损失和法律责任；</w:t>
      </w:r>
    </w:p>
    <w:p>
      <w:pPr>
        <w:spacing w:line="360" w:lineRule="auto"/>
        <w:ind w:firstLine="490" w:firstLineChars="175"/>
        <w:jc w:val="left"/>
        <w:rPr>
          <w:rFonts w:ascii="宋体" w:hAnsi="宋体" w:cs="宋体"/>
          <w:sz w:val="28"/>
          <w:szCs w:val="28"/>
        </w:rPr>
      </w:pPr>
      <w:r>
        <w:t>5)中标方应统筹两校区绿化，必要时按学校要求负责对校内树木进行移栽等；</w:t>
      </w:r>
    </w:p>
    <w:p>
      <w:pPr>
        <w:spacing w:line="360" w:lineRule="auto"/>
        <w:ind w:firstLine="490" w:firstLineChars="175"/>
        <w:jc w:val="left"/>
        <w:rPr>
          <w:rFonts w:ascii="宋体" w:hAnsi="宋体" w:cs="宋体"/>
          <w:sz w:val="28"/>
          <w:szCs w:val="28"/>
        </w:rPr>
      </w:pPr>
      <w:r>
        <w:t>6)中标方应积极开展学校绿化景观优化工作,根据校方要求及时提供优化方案，经批准后做好实施并确保整改效果；</w:t>
      </w:r>
    </w:p>
    <w:p>
      <w:pPr>
        <w:spacing w:line="360" w:lineRule="auto"/>
        <w:ind w:firstLine="490" w:firstLineChars="175"/>
        <w:jc w:val="left"/>
        <w:rPr>
          <w:rFonts w:ascii="宋体" w:hAnsi="宋体" w:cs="宋体"/>
          <w:sz w:val="28"/>
          <w:szCs w:val="28"/>
        </w:rPr>
      </w:pPr>
      <w:r>
        <w:t>6)预算中的两校区绿化专项费用为单列资金，中标方必须做到经费充足、专款专用，使用前应报由校方批准，使用后应将结算明细及时提交校方审核，每学年内如出现未投入或投入不足现象，校方有权在每年8月份结算时扣除当学年全额绿化专项费用。</w:t>
      </w:r>
    </w:p>
    <w:p>
      <w:pPr>
        <w:spacing w:line="360" w:lineRule="auto"/>
        <w:ind w:firstLine="492" w:firstLineChars="175"/>
        <w:jc w:val="left"/>
        <w:rPr>
          <w:rFonts w:ascii="宋体" w:hAnsi="宋体" w:cs="宋体"/>
          <w:sz w:val="28"/>
          <w:szCs w:val="28"/>
        </w:rPr>
      </w:pPr>
      <w:r>
        <w:t>3.4绿化养护的标准</w:t>
      </w:r>
    </w:p>
    <w:p>
      <w:pPr>
        <w:spacing w:line="360" w:lineRule="auto"/>
        <w:ind w:firstLine="492" w:firstLineChars="175"/>
        <w:jc w:val="left"/>
        <w:rPr>
          <w:rFonts w:ascii="宋体" w:hAnsi="宋体" w:cs="宋体"/>
          <w:sz w:val="28"/>
          <w:szCs w:val="28"/>
        </w:rPr>
      </w:pPr>
      <w:r>
        <w:t>3.4.1植物配置基本合理，乔灌花草齐全，绿化较充分，基本无裸露土地；</w:t>
      </w:r>
    </w:p>
    <w:p>
      <w:pPr>
        <w:spacing w:line="360" w:lineRule="auto"/>
        <w:ind w:firstLine="492" w:firstLineChars="175"/>
        <w:jc w:val="left"/>
        <w:rPr>
          <w:rFonts w:ascii="宋体" w:hAnsi="宋体" w:cs="宋体"/>
          <w:sz w:val="28"/>
          <w:szCs w:val="28"/>
        </w:rPr>
      </w:pPr>
      <w:r>
        <w:t>3.4.1树木生长正常，生长达到该树种该规格的平均生长量，树冠基本完整，内膛不乱，通风透光，修剪及时，无死树和明显枯枝死杈；在正常条件下，无明显黄叶、焦叶、卷叶、落叶；被啃咬的叶片最严重的每株10%以下；有蛀干害虫的株数在2%以下；树木缺株在4%以下；树木基本无钉栓、捆绑现象；</w:t>
      </w:r>
    </w:p>
    <w:p>
      <w:pPr>
        <w:spacing w:line="360" w:lineRule="auto"/>
        <w:ind w:firstLine="492" w:firstLineChars="175"/>
        <w:jc w:val="left"/>
        <w:rPr>
          <w:rFonts w:ascii="宋体" w:hAnsi="宋体" w:cs="宋体"/>
          <w:sz w:val="28"/>
          <w:szCs w:val="28"/>
        </w:rPr>
      </w:pPr>
      <w:r>
        <w:t>3.4.3绿篱生长造型正常，叶色正常，修剪及时，基本无死株和干死枝，有虫株率在10%以下；草坪覆盖率达到90%以上，修剪及时，叶色正常，无明显杂草；宿跟花卉管理及时，花期正常，缺株率在5%以下；</w:t>
      </w:r>
    </w:p>
    <w:p>
      <w:pPr>
        <w:spacing w:line="360" w:lineRule="auto"/>
        <w:ind w:firstLine="492" w:firstLineChars="175"/>
        <w:jc w:val="left"/>
        <w:rPr>
          <w:rFonts w:ascii="宋体" w:hAnsi="宋体" w:cs="宋体"/>
          <w:sz w:val="28"/>
          <w:szCs w:val="28"/>
        </w:rPr>
      </w:pPr>
      <w:r>
        <w:t>3.4.4绿地整洁，无杂树，无堆物堆料、搭棚、侵占等现象；设施基本完好，无明显人为损坏，对违法行为能及时发现和处理；绿化生产垃圾能及时清运出校；</w:t>
      </w:r>
    </w:p>
    <w:p>
      <w:pPr>
        <w:spacing w:line="360" w:lineRule="auto"/>
        <w:ind w:firstLine="492" w:firstLineChars="175"/>
        <w:jc w:val="left"/>
        <w:rPr>
          <w:rFonts w:ascii="宋体" w:hAnsi="宋体" w:cs="宋体"/>
          <w:sz w:val="28"/>
          <w:szCs w:val="28"/>
        </w:rPr>
      </w:pPr>
      <w:r>
        <w:t>3.4.5按二级养护技术措施要求认真进行养护。</w:t>
      </w:r>
    </w:p>
    <w:p>
      <w:pPr>
        <w:spacing w:line="360" w:lineRule="auto"/>
        <w:ind w:firstLine="492" w:firstLineChars="175"/>
        <w:jc w:val="left"/>
        <w:rPr>
          <w:rFonts w:ascii="宋体" w:hAnsi="宋体" w:cs="宋体"/>
          <w:b/>
          <w:sz w:val="28"/>
          <w:szCs w:val="28"/>
          <w:u w:val="single"/>
        </w:rPr>
      </w:pPr>
      <w:r>
        <w:t>4、学校水电维修内容</w:t>
      </w:r>
    </w:p>
    <w:p>
      <w:pPr>
        <w:pStyle w:val="24"/>
        <w:spacing w:line="360" w:lineRule="auto"/>
        <w:ind w:firstLine="490" w:firstLineChars="175"/>
        <w:jc w:val="left"/>
        <w:rPr>
          <w:szCs w:val="28"/>
        </w:rPr>
      </w:pPr>
      <w:r>
        <w:t>学校水电维修工作在总务处管理下开展工作，主要负责行政教学区域的水电日常管理维修，相关业务对接与日常考核由总务处负责。</w:t>
      </w:r>
    </w:p>
    <w:p>
      <w:pPr>
        <w:spacing w:line="360" w:lineRule="auto"/>
        <w:ind w:firstLine="492" w:firstLineChars="175"/>
        <w:jc w:val="left"/>
        <w:rPr>
          <w:rFonts w:ascii="宋体" w:hAnsi="宋体" w:cs="宋体"/>
          <w:sz w:val="28"/>
          <w:szCs w:val="28"/>
        </w:rPr>
      </w:pPr>
      <w:r>
        <w:t>4.1费用包括</w:t>
      </w:r>
    </w:p>
    <w:p>
      <w:pPr>
        <w:spacing w:line="360" w:lineRule="auto"/>
        <w:ind w:firstLine="492" w:firstLineChars="175"/>
        <w:jc w:val="left"/>
        <w:rPr>
          <w:rFonts w:ascii="宋体" w:hAnsi="宋体" w:cs="宋体"/>
          <w:sz w:val="28"/>
          <w:szCs w:val="28"/>
        </w:rPr>
      </w:pPr>
      <w:r>
        <w:t>4.1.1人工费、管理费、税金及国家规定的费用；</w:t>
      </w:r>
    </w:p>
    <w:p>
      <w:pPr>
        <w:spacing w:line="360" w:lineRule="auto"/>
        <w:ind w:firstLine="492" w:firstLineChars="175"/>
        <w:jc w:val="left"/>
        <w:rPr>
          <w:rFonts w:ascii="宋体" w:hAnsi="宋体" w:cs="宋体"/>
          <w:sz w:val="28"/>
          <w:szCs w:val="28"/>
        </w:rPr>
      </w:pPr>
      <w:r>
        <w:t>4.1.2日常维修工具、基本设备等；</w:t>
      </w:r>
    </w:p>
    <w:p>
      <w:pPr>
        <w:pStyle w:val="24"/>
        <w:spacing w:line="360" w:lineRule="auto"/>
        <w:ind w:firstLine="498" w:firstLineChars="177"/>
        <w:jc w:val="left"/>
        <w:rPr>
          <w:rFonts w:asciiTheme="minorEastAsia" w:hAnsiTheme="minorEastAsia" w:eastAsiaTheme="minorEastAsia"/>
          <w:szCs w:val="28"/>
        </w:rPr>
      </w:pPr>
      <w:r>
        <w:t>4.1.3零星维修中所需要的耗材、水泵与配电房年度检查保养等费用。</w:t>
      </w:r>
    </w:p>
    <w:p>
      <w:pPr>
        <w:spacing w:line="360" w:lineRule="auto"/>
        <w:ind w:firstLine="492" w:firstLineChars="175"/>
        <w:jc w:val="left"/>
        <w:rPr>
          <w:rFonts w:ascii="宋体" w:hAnsi="宋体" w:cs="宋体"/>
          <w:b/>
          <w:sz w:val="28"/>
          <w:szCs w:val="28"/>
        </w:rPr>
      </w:pPr>
      <w:r>
        <w:t>4.2水电维修范围</w:t>
      </w:r>
    </w:p>
    <w:p>
      <w:pPr>
        <w:spacing w:line="360" w:lineRule="auto"/>
        <w:ind w:firstLine="492" w:firstLineChars="175"/>
        <w:jc w:val="left"/>
        <w:rPr>
          <w:rFonts w:ascii="宋体" w:hAnsi="宋体" w:cs="宋体"/>
          <w:kern w:val="0"/>
          <w:sz w:val="28"/>
          <w:szCs w:val="28"/>
        </w:rPr>
      </w:pPr>
      <w:r>
        <w:t>4.2.1校园内高配、水泵、管网日常管理及维护、室内外照明、水龙头、下水管道、水电故障排除、电源开关、水电突发事件防控等；</w:t>
      </w:r>
    </w:p>
    <w:p>
      <w:pPr>
        <w:spacing w:line="360" w:lineRule="auto"/>
        <w:ind w:firstLine="492" w:firstLineChars="175"/>
        <w:jc w:val="left"/>
        <w:rPr>
          <w:rFonts w:ascii="宋体" w:hAnsi="宋体" w:cs="宋体"/>
          <w:kern w:val="0"/>
          <w:sz w:val="28"/>
          <w:szCs w:val="28"/>
        </w:rPr>
      </w:pPr>
      <w:r>
        <w:t>4.2.2急迫性小修项目包括：楼内厕浴间排污管道堵塞、管道堵塞、室内给水系统小修、换管、卫生设备、室内照明、线路故障等；</w:t>
      </w:r>
    </w:p>
    <w:p>
      <w:pPr>
        <w:spacing w:line="360" w:lineRule="auto"/>
        <w:ind w:firstLine="492" w:firstLineChars="175"/>
        <w:jc w:val="left"/>
        <w:rPr>
          <w:rFonts w:ascii="宋体" w:hAnsi="宋体" w:cs="宋体"/>
          <w:kern w:val="0"/>
          <w:sz w:val="28"/>
          <w:szCs w:val="28"/>
        </w:rPr>
      </w:pPr>
      <w:r>
        <w:t>4.2.3特种设施设备管理：空调机组、电梯等专项设施、设备的日常管理（不含维修、护）；</w:t>
      </w:r>
    </w:p>
    <w:p>
      <w:pPr>
        <w:spacing w:line="360" w:lineRule="auto"/>
        <w:ind w:firstLine="492" w:firstLineChars="175"/>
        <w:jc w:val="left"/>
        <w:rPr>
          <w:rFonts w:ascii="宋体" w:hAnsi="宋体" w:cs="宋体"/>
          <w:kern w:val="0"/>
          <w:sz w:val="28"/>
          <w:szCs w:val="28"/>
        </w:rPr>
      </w:pPr>
      <w:r>
        <w:t>4.2.4高低配、水泵房的日常值班与管理等。</w:t>
      </w:r>
    </w:p>
    <w:p>
      <w:pPr>
        <w:spacing w:line="360" w:lineRule="auto"/>
        <w:ind w:firstLine="492" w:firstLineChars="175"/>
        <w:jc w:val="left"/>
        <w:rPr>
          <w:rFonts w:ascii="宋体" w:hAnsi="宋体" w:cs="宋体"/>
          <w:b/>
          <w:kern w:val="0"/>
          <w:sz w:val="28"/>
          <w:szCs w:val="28"/>
        </w:rPr>
      </w:pPr>
      <w:r>
        <w:t>4.3水电维修标准及要求</w:t>
      </w:r>
    </w:p>
    <w:p>
      <w:pPr>
        <w:spacing w:line="360" w:lineRule="auto"/>
        <w:ind w:firstLine="492" w:firstLineChars="175"/>
        <w:jc w:val="left"/>
        <w:rPr>
          <w:rFonts w:ascii="宋体" w:hAnsi="宋体" w:cs="宋体"/>
          <w:kern w:val="0"/>
          <w:sz w:val="28"/>
          <w:szCs w:val="28"/>
        </w:rPr>
      </w:pPr>
      <w:r>
        <w:t>4.3.1时限要求：急近性小修自接到报修之时起30分钟到达现场，非急迫性小修且涉及到维修材料采购的维修申请，自接到报修之日起，两日之内处理或与报修部门预约修复日期。</w:t>
      </w:r>
    </w:p>
    <w:p>
      <w:pPr>
        <w:spacing w:line="360" w:lineRule="auto"/>
        <w:ind w:firstLine="492" w:firstLineChars="175"/>
        <w:jc w:val="left"/>
        <w:rPr>
          <w:rFonts w:ascii="宋体" w:hAnsi="宋体" w:cs="宋体"/>
          <w:kern w:val="0"/>
          <w:sz w:val="28"/>
          <w:szCs w:val="28"/>
        </w:rPr>
      </w:pPr>
      <w:r>
        <w:t>4.3.2上下水系统小修标准</w:t>
      </w:r>
    </w:p>
    <w:p>
      <w:pPr>
        <w:spacing w:line="360" w:lineRule="auto"/>
        <w:ind w:firstLine="490" w:firstLineChars="175"/>
        <w:jc w:val="left"/>
        <w:rPr>
          <w:rFonts w:ascii="宋体" w:hAnsi="宋体" w:cs="宋体"/>
          <w:kern w:val="0"/>
          <w:sz w:val="28"/>
          <w:szCs w:val="28"/>
        </w:rPr>
      </w:pPr>
      <w:r>
        <w:t xml:space="preserve">时限要求：自接到报修之时起30分钟到达现场。除急迫性小修之外的小修自接到报修之日起，两日之内处理或与使用部门预约修复日期。 </w:t>
      </w:r>
    </w:p>
    <w:p>
      <w:pPr>
        <w:spacing w:line="360" w:lineRule="auto"/>
        <w:ind w:firstLine="492" w:firstLineChars="175"/>
        <w:jc w:val="left"/>
        <w:rPr>
          <w:rFonts w:ascii="宋体" w:hAnsi="宋体" w:cs="宋体"/>
          <w:kern w:val="0"/>
          <w:sz w:val="28"/>
          <w:szCs w:val="28"/>
        </w:rPr>
      </w:pPr>
      <w:r>
        <w:t>4.3.3室内给水系统小修、局部换管</w:t>
      </w:r>
    </w:p>
    <w:p>
      <w:pPr>
        <w:spacing w:line="360" w:lineRule="auto"/>
        <w:ind w:firstLine="490" w:firstLineChars="175"/>
        <w:jc w:val="left"/>
        <w:rPr>
          <w:rFonts w:ascii="宋体" w:hAnsi="宋体" w:cs="宋体"/>
          <w:kern w:val="0"/>
          <w:sz w:val="28"/>
          <w:szCs w:val="28"/>
        </w:rPr>
      </w:pPr>
      <w:r>
        <w:t>小修内容：楼房户表以内管道锈蚀脱皮的，应清除干净后，做防锈处理，管道锈蚀严重的，应予以更换；给水系统漏水的，应进行修理，严重的，予以更换，零件残缺的应予以补齐；</w:t>
      </w:r>
    </w:p>
    <w:p>
      <w:pPr>
        <w:spacing w:line="360" w:lineRule="auto"/>
        <w:ind w:firstLine="490" w:firstLineChars="175"/>
        <w:jc w:val="left"/>
        <w:rPr>
          <w:rFonts w:ascii="宋体" w:hAnsi="宋体" w:cs="宋体"/>
          <w:kern w:val="0"/>
          <w:sz w:val="28"/>
          <w:szCs w:val="28"/>
        </w:rPr>
      </w:pPr>
      <w:r>
        <w:t>质量标准：经修缮的给水系统畅通，部件应配齐全，无跑、冒、滴、漏现象，能正常使用。</w:t>
      </w:r>
    </w:p>
    <w:p>
      <w:pPr>
        <w:spacing w:line="360" w:lineRule="auto"/>
        <w:ind w:firstLine="492" w:firstLineChars="175"/>
        <w:jc w:val="left"/>
        <w:rPr>
          <w:rFonts w:ascii="宋体" w:hAnsi="宋体" w:cs="宋体"/>
          <w:kern w:val="0"/>
          <w:sz w:val="28"/>
          <w:szCs w:val="28"/>
        </w:rPr>
      </w:pPr>
      <w:r>
        <w:t>4.3.4卫生设备</w:t>
      </w:r>
    </w:p>
    <w:p>
      <w:pPr>
        <w:spacing w:line="360" w:lineRule="auto"/>
        <w:ind w:firstLine="490" w:firstLineChars="175"/>
        <w:jc w:val="left"/>
        <w:rPr>
          <w:rFonts w:ascii="宋体" w:hAnsi="宋体" w:cs="宋体"/>
          <w:kern w:val="0"/>
          <w:sz w:val="28"/>
          <w:szCs w:val="28"/>
        </w:rPr>
      </w:pPr>
      <w:r>
        <w:t>小修内容：卫生设备及配件残缺的应配齐，破损的应维修；</w:t>
      </w:r>
    </w:p>
    <w:p>
      <w:pPr>
        <w:spacing w:line="360" w:lineRule="auto"/>
        <w:ind w:firstLine="490" w:firstLineChars="175"/>
        <w:jc w:val="left"/>
        <w:rPr>
          <w:rFonts w:ascii="宋体" w:hAnsi="宋体" w:cs="宋体"/>
          <w:kern w:val="0"/>
          <w:sz w:val="28"/>
          <w:szCs w:val="28"/>
        </w:rPr>
      </w:pPr>
      <w:r>
        <w:t>质量标准：修缮后应做到给排水畅通，各部位零件齐全、灵活、有效，无跑、冒、漏、滴现象，能正常使用。</w:t>
      </w:r>
    </w:p>
    <w:p>
      <w:pPr>
        <w:spacing w:line="360" w:lineRule="auto"/>
        <w:ind w:firstLine="492" w:firstLineChars="175"/>
        <w:jc w:val="left"/>
        <w:rPr>
          <w:rFonts w:ascii="宋体" w:hAnsi="宋体" w:cs="宋体"/>
          <w:kern w:val="0"/>
          <w:sz w:val="28"/>
          <w:szCs w:val="28"/>
        </w:rPr>
      </w:pPr>
      <w:r>
        <w:t>4.3.5供电设施设备小修标准</w:t>
      </w:r>
    </w:p>
    <w:p>
      <w:pPr>
        <w:spacing w:line="360" w:lineRule="auto"/>
        <w:ind w:firstLine="490" w:firstLineChars="175"/>
        <w:jc w:val="left"/>
        <w:rPr>
          <w:rFonts w:ascii="宋体" w:hAnsi="宋体" w:cs="宋体"/>
          <w:kern w:val="0"/>
          <w:sz w:val="28"/>
          <w:szCs w:val="28"/>
        </w:rPr>
      </w:pPr>
      <w:r>
        <w:t>1)配电设施</w:t>
      </w:r>
    </w:p>
    <w:p>
      <w:pPr>
        <w:spacing w:line="360" w:lineRule="auto"/>
        <w:ind w:firstLine="490" w:firstLineChars="175"/>
        <w:jc w:val="left"/>
        <w:rPr>
          <w:rFonts w:ascii="宋体" w:hAnsi="宋体" w:cs="宋体"/>
          <w:kern w:val="0"/>
          <w:sz w:val="28"/>
          <w:szCs w:val="28"/>
        </w:rPr>
      </w:pPr>
      <w:r>
        <w:t>小修内容：配电柜、配电箱、配电盘；</w:t>
      </w:r>
    </w:p>
    <w:p>
      <w:pPr>
        <w:spacing w:line="360" w:lineRule="auto"/>
        <w:ind w:firstLine="490" w:firstLineChars="175"/>
        <w:jc w:val="left"/>
        <w:rPr>
          <w:rFonts w:ascii="宋体" w:hAnsi="宋体" w:cs="宋体"/>
          <w:kern w:val="0"/>
          <w:sz w:val="28"/>
          <w:szCs w:val="28"/>
        </w:rPr>
      </w:pPr>
      <w:r>
        <w:t>质量标准：元器件齐全，显示正常动作可靠，接地良好；</w:t>
      </w:r>
    </w:p>
    <w:p>
      <w:pPr>
        <w:spacing w:line="360" w:lineRule="auto"/>
        <w:ind w:firstLine="490" w:firstLineChars="175"/>
        <w:jc w:val="left"/>
        <w:rPr>
          <w:rFonts w:ascii="宋体" w:hAnsi="宋体" w:cs="宋体"/>
          <w:kern w:val="0"/>
          <w:sz w:val="28"/>
          <w:szCs w:val="28"/>
        </w:rPr>
      </w:pPr>
      <w:r>
        <w:t>时限要求：出现故障30分钟到达现场处理。</w:t>
      </w:r>
    </w:p>
    <w:p>
      <w:pPr>
        <w:spacing w:line="360" w:lineRule="auto"/>
        <w:ind w:firstLine="490" w:firstLineChars="175"/>
        <w:jc w:val="left"/>
        <w:rPr>
          <w:rFonts w:ascii="宋体" w:hAnsi="宋体" w:cs="宋体"/>
          <w:kern w:val="0"/>
          <w:sz w:val="28"/>
          <w:szCs w:val="28"/>
        </w:rPr>
      </w:pPr>
      <w:r>
        <w:t>2)室内外设备</w:t>
      </w:r>
    </w:p>
    <w:p>
      <w:pPr>
        <w:spacing w:line="360" w:lineRule="auto"/>
        <w:ind w:firstLine="490" w:firstLineChars="175"/>
        <w:jc w:val="left"/>
        <w:rPr>
          <w:rFonts w:ascii="宋体" w:hAnsi="宋体" w:cs="宋体"/>
          <w:kern w:val="0"/>
          <w:sz w:val="28"/>
          <w:szCs w:val="28"/>
        </w:rPr>
      </w:pPr>
      <w:r>
        <w:t>小修内容：闸具、电源插座、开关、灯具等；</w:t>
      </w:r>
    </w:p>
    <w:p>
      <w:pPr>
        <w:spacing w:line="360" w:lineRule="auto"/>
        <w:ind w:firstLine="490" w:firstLineChars="175"/>
        <w:jc w:val="left"/>
        <w:rPr>
          <w:rFonts w:ascii="宋体" w:hAnsi="宋体" w:cs="宋体"/>
          <w:kern w:val="0"/>
          <w:sz w:val="28"/>
          <w:szCs w:val="28"/>
        </w:rPr>
      </w:pPr>
      <w:r>
        <w:t>质量标准：正常使用；</w:t>
      </w:r>
    </w:p>
    <w:p>
      <w:pPr>
        <w:spacing w:line="360" w:lineRule="auto"/>
        <w:ind w:firstLine="490" w:firstLineChars="175"/>
        <w:jc w:val="left"/>
        <w:rPr>
          <w:rFonts w:ascii="宋体" w:hAnsi="宋体" w:cs="宋体"/>
          <w:kern w:val="0"/>
          <w:sz w:val="28"/>
          <w:szCs w:val="28"/>
        </w:rPr>
      </w:pPr>
      <w:r>
        <w:t>时限要求：报修后30分钟到达现场处理。</w:t>
      </w:r>
    </w:p>
    <w:p>
      <w:pPr>
        <w:spacing w:line="360" w:lineRule="auto"/>
        <w:ind w:firstLine="490" w:firstLineChars="175"/>
        <w:jc w:val="left"/>
        <w:rPr>
          <w:rFonts w:ascii="宋体" w:hAnsi="宋体" w:cs="宋体"/>
          <w:kern w:val="0"/>
          <w:sz w:val="28"/>
          <w:szCs w:val="28"/>
        </w:rPr>
      </w:pPr>
      <w:r>
        <w:t>3)配电线路</w:t>
      </w:r>
    </w:p>
    <w:p>
      <w:pPr>
        <w:spacing w:line="360" w:lineRule="auto"/>
        <w:ind w:firstLine="490" w:firstLineChars="175"/>
        <w:jc w:val="left"/>
        <w:rPr>
          <w:rFonts w:ascii="宋体" w:hAnsi="宋体" w:cs="宋体"/>
          <w:kern w:val="0"/>
          <w:sz w:val="28"/>
          <w:szCs w:val="28"/>
        </w:rPr>
      </w:pPr>
      <w:r>
        <w:t>小修内容：导线、支持物等、质量标准：绝缘良好完整可靠；</w:t>
      </w:r>
    </w:p>
    <w:p>
      <w:pPr>
        <w:spacing w:line="360" w:lineRule="auto"/>
        <w:ind w:firstLine="490" w:firstLineChars="175"/>
        <w:jc w:val="left"/>
        <w:rPr>
          <w:rFonts w:ascii="宋体" w:hAnsi="宋体" w:cs="宋体"/>
          <w:kern w:val="0"/>
          <w:sz w:val="28"/>
          <w:szCs w:val="28"/>
        </w:rPr>
      </w:pPr>
      <w:r>
        <w:t>时限要求：出现故障30分钟到达现场处理。</w:t>
      </w:r>
    </w:p>
    <w:p>
      <w:pPr>
        <w:spacing w:line="360" w:lineRule="auto"/>
        <w:ind w:firstLine="492" w:firstLineChars="175"/>
        <w:jc w:val="left"/>
        <w:rPr>
          <w:rFonts w:ascii="宋体" w:hAnsi="宋体" w:cs="宋体"/>
          <w:b/>
          <w:sz w:val="28"/>
          <w:szCs w:val="28"/>
        </w:rPr>
      </w:pPr>
      <w:r>
        <w:t>4.3.6高低压配电房、给水系统的管理与维护</w:t>
      </w:r>
    </w:p>
    <w:p>
      <w:pPr>
        <w:spacing w:line="360" w:lineRule="auto"/>
        <w:ind w:firstLine="490" w:firstLineChars="175"/>
        <w:jc w:val="left"/>
        <w:rPr>
          <w:rFonts w:ascii="宋体" w:hAnsi="宋体" w:cs="宋体"/>
          <w:sz w:val="28"/>
          <w:szCs w:val="28"/>
        </w:rPr>
      </w:pPr>
      <w:r>
        <w:t>1)巡视所有设备，按时记录各种运行数据，发现问题及时处理并做好记录；每日抄读进水表数据，发现异常及时查明原因，向校方报告申请维修；</w:t>
      </w:r>
    </w:p>
    <w:p>
      <w:pPr>
        <w:spacing w:line="360" w:lineRule="auto"/>
        <w:ind w:firstLine="490" w:firstLineChars="175"/>
        <w:jc w:val="left"/>
        <w:rPr>
          <w:rFonts w:ascii="宋体" w:hAnsi="宋体" w:cs="宋体"/>
          <w:sz w:val="28"/>
          <w:szCs w:val="28"/>
        </w:rPr>
      </w:pPr>
      <w:r>
        <w:t>2)制订相应的应急预案，当设备发生意外情况时，进行紧急情况处理；</w:t>
      </w:r>
    </w:p>
    <w:p>
      <w:pPr>
        <w:spacing w:line="360" w:lineRule="auto"/>
        <w:ind w:firstLine="490" w:firstLineChars="175"/>
        <w:jc w:val="left"/>
        <w:rPr>
          <w:rFonts w:ascii="宋体" w:hAnsi="宋体" w:cs="宋体"/>
          <w:sz w:val="28"/>
          <w:szCs w:val="28"/>
        </w:rPr>
      </w:pPr>
      <w:r>
        <w:t>3)清扫设备及机房垃圾保持卫生清洁；</w:t>
      </w:r>
    </w:p>
    <w:p>
      <w:pPr>
        <w:spacing w:line="360" w:lineRule="auto"/>
        <w:ind w:firstLine="490" w:firstLineChars="175"/>
        <w:jc w:val="left"/>
        <w:rPr>
          <w:rFonts w:ascii="宋体" w:hAnsi="宋体" w:cs="宋体"/>
          <w:sz w:val="28"/>
          <w:szCs w:val="28"/>
        </w:rPr>
      </w:pPr>
      <w:r>
        <w:t>4)完善给水系统的管理制度，每学期全面检查一次水池，定期对水泵和变频设备进行维护保养；</w:t>
      </w:r>
    </w:p>
    <w:p>
      <w:pPr>
        <w:spacing w:line="360" w:lineRule="auto"/>
        <w:ind w:firstLine="490" w:firstLineChars="175"/>
        <w:jc w:val="left"/>
        <w:rPr>
          <w:rFonts w:ascii="宋体" w:hAnsi="宋体" w:cs="宋体"/>
          <w:sz w:val="28"/>
          <w:szCs w:val="28"/>
        </w:rPr>
      </w:pPr>
      <w:r>
        <w:t>5)每年请电力部门进行机电保护试验，配电设备的专业年检、保养、维护；</w:t>
      </w:r>
    </w:p>
    <w:p>
      <w:pPr>
        <w:pStyle w:val="24"/>
        <w:spacing w:line="360" w:lineRule="auto"/>
        <w:ind w:firstLine="425" w:firstLineChars="152"/>
        <w:jc w:val="left"/>
        <w:rPr>
          <w:rFonts w:asciiTheme="minorEastAsia" w:hAnsiTheme="minorEastAsia" w:eastAsiaTheme="minorEastAsia"/>
          <w:szCs w:val="28"/>
        </w:rPr>
      </w:pPr>
      <w:r>
        <w:t>6)如设备设施因年限问题需要进行更新更换，中标方向学校提出申请，校方统一安排更新更换。</w:t>
      </w:r>
    </w:p>
    <w:p>
      <w:pPr>
        <w:pStyle w:val="24"/>
        <w:spacing w:line="360" w:lineRule="auto"/>
        <w:ind w:firstLine="492" w:firstLineChars="175"/>
        <w:jc w:val="left"/>
        <w:rPr>
          <w:rFonts w:cs="宋体" w:asciiTheme="minorEastAsia" w:hAnsiTheme="minorEastAsia" w:eastAsiaTheme="minorEastAsia"/>
          <w:szCs w:val="28"/>
        </w:rPr>
      </w:pPr>
      <w:r>
        <w:t>4.4勤杂工</w:t>
      </w:r>
    </w:p>
    <w:p>
      <w:pPr>
        <w:pStyle w:val="24"/>
        <w:spacing w:line="360" w:lineRule="auto"/>
        <w:ind w:firstLine="490" w:firstLineChars="175"/>
        <w:jc w:val="left"/>
        <w:rPr>
          <w:rFonts w:asciiTheme="minorEastAsia" w:hAnsiTheme="minorEastAsia" w:eastAsiaTheme="minorEastAsia"/>
          <w:szCs w:val="28"/>
        </w:rPr>
      </w:pPr>
      <w:r>
        <w:t>1)负责全校各类锁具、门窗、玻璃等相关维修工作(费用中标方支出)；</w:t>
      </w:r>
    </w:p>
    <w:p>
      <w:pPr>
        <w:pStyle w:val="24"/>
        <w:spacing w:line="360" w:lineRule="auto"/>
        <w:ind w:firstLine="490" w:firstLineChars="175"/>
        <w:jc w:val="left"/>
        <w:rPr>
          <w:rFonts w:asciiTheme="minorEastAsia" w:hAnsiTheme="minorEastAsia" w:eastAsiaTheme="minorEastAsia"/>
          <w:szCs w:val="28"/>
        </w:rPr>
      </w:pPr>
      <w:r>
        <w:t>2)负责全校小型物资的搬运；</w:t>
      </w:r>
    </w:p>
    <w:p>
      <w:pPr>
        <w:pStyle w:val="24"/>
        <w:spacing w:line="360" w:lineRule="auto"/>
        <w:ind w:firstLine="490" w:firstLineChars="175"/>
        <w:jc w:val="left"/>
        <w:rPr>
          <w:rFonts w:asciiTheme="minorEastAsia" w:hAnsiTheme="minorEastAsia" w:eastAsiaTheme="minorEastAsia"/>
          <w:szCs w:val="28"/>
        </w:rPr>
      </w:pPr>
      <w:r>
        <w:t>3)负责学校各类活动的物资保障；</w:t>
      </w:r>
    </w:p>
    <w:p>
      <w:pPr>
        <w:pStyle w:val="24"/>
        <w:spacing w:line="360" w:lineRule="auto"/>
        <w:ind w:firstLine="490" w:firstLineChars="175"/>
        <w:jc w:val="left"/>
        <w:rPr>
          <w:rFonts w:ascii="宋体" w:hAnsi="宋体" w:cs="宋体"/>
          <w:b/>
          <w:szCs w:val="28"/>
        </w:rPr>
      </w:pPr>
      <w:r>
        <w:t>4)完成和落实上级交办的各项工作。</w:t>
      </w:r>
    </w:p>
    <w:p>
      <w:pPr>
        <w:spacing w:line="360" w:lineRule="auto"/>
        <w:ind w:firstLine="492" w:firstLineChars="175"/>
        <w:jc w:val="left"/>
        <w:rPr>
          <w:rFonts w:ascii="宋体" w:hAnsi="宋体" w:cs="宋体"/>
          <w:b/>
          <w:kern w:val="0"/>
          <w:sz w:val="28"/>
          <w:szCs w:val="28"/>
        </w:rPr>
      </w:pPr>
      <w:r>
        <w:t>4.5其他要求</w:t>
      </w:r>
    </w:p>
    <w:p>
      <w:pPr>
        <w:spacing w:line="360" w:lineRule="auto"/>
        <w:ind w:firstLine="492" w:firstLineChars="175"/>
        <w:jc w:val="left"/>
        <w:rPr>
          <w:rFonts w:ascii="宋体" w:hAnsi="宋体" w:cs="宋体"/>
          <w:kern w:val="0"/>
          <w:sz w:val="28"/>
          <w:szCs w:val="28"/>
        </w:rPr>
      </w:pPr>
      <w:r>
        <w:t>4.5.1积极响应招标方要求，对巡视中发现的问题及时上报并根据要求进行处理。</w:t>
      </w:r>
    </w:p>
    <w:p>
      <w:pPr>
        <w:spacing w:line="360" w:lineRule="auto"/>
        <w:ind w:firstLine="492" w:firstLineChars="175"/>
        <w:jc w:val="left"/>
        <w:rPr>
          <w:rFonts w:ascii="宋体" w:hAnsi="宋体" w:cs="宋体"/>
          <w:kern w:val="0"/>
          <w:sz w:val="28"/>
          <w:szCs w:val="28"/>
        </w:rPr>
      </w:pPr>
      <w:r>
        <w:t>4.5.2中标方应认真做好相关报修、维修登统计，并随机做好服务品质反馈调查。</w:t>
      </w:r>
    </w:p>
    <w:p>
      <w:pPr>
        <w:spacing w:line="360" w:lineRule="auto"/>
        <w:ind w:firstLine="492" w:firstLineChars="175"/>
        <w:jc w:val="left"/>
        <w:rPr>
          <w:rFonts w:ascii="宋体" w:hAnsi="宋体" w:cs="宋体"/>
          <w:b/>
          <w:sz w:val="28"/>
          <w:szCs w:val="28"/>
          <w:u w:val="single"/>
        </w:rPr>
      </w:pPr>
      <w:r>
        <w:t>5、学校教室管理内容</w:t>
      </w:r>
    </w:p>
    <w:p>
      <w:pPr>
        <w:pStyle w:val="24"/>
        <w:spacing w:line="360" w:lineRule="auto"/>
        <w:ind w:firstLine="490" w:firstLineChars="175"/>
        <w:jc w:val="left"/>
        <w:rPr>
          <w:szCs w:val="28"/>
        </w:rPr>
      </w:pPr>
      <w:r>
        <w:t>学校教室管理工作在教务处管理下开展工作，相关业务对接与日常考核由教务处负责。</w:t>
      </w:r>
    </w:p>
    <w:p>
      <w:pPr>
        <w:spacing w:line="360" w:lineRule="auto"/>
        <w:ind w:firstLine="492" w:firstLineChars="175"/>
        <w:jc w:val="left"/>
        <w:rPr>
          <w:rFonts w:ascii="宋体" w:hAnsi="宋体" w:cs="宋体"/>
          <w:sz w:val="28"/>
          <w:szCs w:val="28"/>
        </w:rPr>
      </w:pPr>
      <w:r>
        <w:t>5.1费用包括</w:t>
      </w:r>
    </w:p>
    <w:p>
      <w:pPr>
        <w:spacing w:line="360" w:lineRule="auto"/>
        <w:ind w:firstLine="490" w:firstLineChars="175"/>
        <w:jc w:val="left"/>
        <w:rPr>
          <w:rFonts w:ascii="宋体" w:hAnsi="宋体" w:cs="宋体"/>
          <w:sz w:val="28"/>
          <w:szCs w:val="28"/>
        </w:rPr>
      </w:pPr>
      <w:r>
        <w:t>人工费、管理费、税金及国家规定的费用。</w:t>
      </w:r>
    </w:p>
    <w:p>
      <w:pPr>
        <w:spacing w:line="360" w:lineRule="auto"/>
        <w:ind w:firstLine="492" w:firstLineChars="175"/>
        <w:jc w:val="left"/>
        <w:rPr>
          <w:rFonts w:ascii="宋体" w:hAnsi="宋体" w:cs="宋体"/>
          <w:sz w:val="28"/>
          <w:szCs w:val="28"/>
        </w:rPr>
      </w:pPr>
      <w:r>
        <w:t>5.2基础教室管理范围及要求</w:t>
      </w:r>
    </w:p>
    <w:p>
      <w:pPr>
        <w:spacing w:line="360" w:lineRule="auto"/>
        <w:ind w:firstLine="492" w:firstLineChars="175"/>
        <w:jc w:val="left"/>
        <w:rPr>
          <w:rFonts w:ascii="宋体" w:hAnsi="宋体" w:cs="宋体"/>
          <w:sz w:val="28"/>
          <w:szCs w:val="28"/>
        </w:rPr>
      </w:pPr>
      <w:r>
        <w:t>5.2.1工作时间，日常7：00-20：30，节假日根据课程及学校安排统一安排；</w:t>
      </w:r>
    </w:p>
    <w:p>
      <w:pPr>
        <w:spacing w:line="360" w:lineRule="auto"/>
        <w:ind w:firstLine="492" w:firstLineChars="175"/>
        <w:jc w:val="left"/>
        <w:rPr>
          <w:rFonts w:ascii="宋体" w:hAnsi="宋体" w:cs="宋体"/>
          <w:sz w:val="28"/>
          <w:szCs w:val="28"/>
        </w:rPr>
      </w:pPr>
      <w:r>
        <w:t>5.2.2牢固树立为教学服务、为师生服务的观念，做到准时到岗，确实保证教室教学设备的正常运行；</w:t>
      </w:r>
    </w:p>
    <w:p>
      <w:pPr>
        <w:spacing w:line="360" w:lineRule="auto"/>
        <w:ind w:firstLine="492" w:firstLineChars="175"/>
        <w:jc w:val="left"/>
        <w:rPr>
          <w:rFonts w:ascii="宋体" w:hAnsi="宋体" w:cs="宋体"/>
          <w:sz w:val="28"/>
          <w:szCs w:val="28"/>
        </w:rPr>
      </w:pPr>
      <w:r>
        <w:t>5.2.3严格遵守教学安排，凡教学外有关活动使用教室的需经相差部门批准，不得擅自安排教室；</w:t>
      </w:r>
    </w:p>
    <w:p>
      <w:pPr>
        <w:spacing w:line="360" w:lineRule="auto"/>
        <w:ind w:firstLine="492" w:firstLineChars="175"/>
        <w:jc w:val="left"/>
        <w:rPr>
          <w:rFonts w:ascii="宋体" w:hAnsi="宋体" w:cs="宋体"/>
          <w:sz w:val="28"/>
          <w:szCs w:val="28"/>
        </w:rPr>
      </w:pPr>
      <w:r>
        <w:t>5.2.4加强电教器材的管理，严格按照电教器材借用制度发放和回收设备；</w:t>
      </w:r>
    </w:p>
    <w:p>
      <w:pPr>
        <w:spacing w:line="360" w:lineRule="auto"/>
        <w:ind w:firstLine="492" w:firstLineChars="175"/>
        <w:jc w:val="left"/>
        <w:rPr>
          <w:rFonts w:ascii="宋体" w:hAnsi="宋体" w:cs="宋体"/>
          <w:sz w:val="28"/>
          <w:szCs w:val="28"/>
        </w:rPr>
      </w:pPr>
      <w:r>
        <w:t>5.2.5及时检查教室使用情况，做到每天检查教室门窗、电源、火源等情况，确保安全、杜绝事故，发现问题及时报告，妥善处理；</w:t>
      </w:r>
    </w:p>
    <w:p>
      <w:pPr>
        <w:spacing w:line="360" w:lineRule="auto"/>
        <w:ind w:firstLine="492" w:firstLineChars="175"/>
        <w:jc w:val="left"/>
        <w:rPr>
          <w:rFonts w:ascii="宋体" w:hAnsi="宋体" w:cs="宋体"/>
          <w:sz w:val="28"/>
          <w:szCs w:val="28"/>
        </w:rPr>
      </w:pPr>
      <w:r>
        <w:t>5.2.6督促保洁人员及时做好教室的清卫保洁工作；</w:t>
      </w:r>
    </w:p>
    <w:p>
      <w:pPr>
        <w:spacing w:line="360" w:lineRule="auto"/>
        <w:ind w:firstLine="492" w:firstLineChars="175"/>
        <w:jc w:val="left"/>
        <w:rPr>
          <w:rFonts w:ascii="宋体" w:hAnsi="宋体" w:cs="宋体"/>
          <w:sz w:val="28"/>
          <w:szCs w:val="28"/>
        </w:rPr>
      </w:pPr>
      <w:r>
        <w:t>5.2.7严格值班制度，确保人员在位；</w:t>
      </w:r>
    </w:p>
    <w:p>
      <w:pPr>
        <w:spacing w:line="360" w:lineRule="auto"/>
        <w:ind w:firstLine="492" w:firstLineChars="175"/>
        <w:jc w:val="left"/>
        <w:rPr>
          <w:rFonts w:ascii="宋体" w:hAnsi="宋体" w:cs="宋体"/>
          <w:b/>
          <w:sz w:val="28"/>
          <w:szCs w:val="28"/>
        </w:rPr>
      </w:pPr>
      <w:r>
        <w:t>5.2.8根据学校安排，做好节假日期间的教室开放要求；</w:t>
      </w:r>
    </w:p>
    <w:p>
      <w:pPr>
        <w:spacing w:line="360" w:lineRule="auto"/>
        <w:ind w:firstLine="492" w:firstLineChars="175"/>
        <w:jc w:val="left"/>
      </w:pPr>
      <w:r>
        <w:t>5.2.8加强对教学区域的巡视巡查，及时发现问题并上报学校以便及时进行维修。</w:t>
      </w:r>
    </w:p>
    <w:p>
      <w:pPr>
        <w:spacing w:line="360" w:lineRule="auto"/>
        <w:ind w:firstLine="492" w:firstLineChars="175"/>
        <w:jc w:val="left"/>
        <w:rPr>
          <w:rFonts w:ascii="宋体" w:hAnsi="宋体" w:cs="宋体"/>
          <w:b/>
          <w:sz w:val="28"/>
          <w:szCs w:val="28"/>
          <w:u w:val="single"/>
        </w:rPr>
      </w:pPr>
      <w:r>
        <w:t>6、校园安保管理内容</w:t>
      </w:r>
    </w:p>
    <w:p>
      <w:pPr>
        <w:pStyle w:val="24"/>
        <w:spacing w:line="360" w:lineRule="auto"/>
        <w:ind w:firstLine="490" w:firstLineChars="175"/>
        <w:jc w:val="left"/>
        <w:rPr>
          <w:szCs w:val="28"/>
        </w:rPr>
      </w:pPr>
      <w:r>
        <w:t>学校校园安保工作在校园安全管理处指导下开展工作，相关业务对接与日常考核由校园安全管理处负责。中标方每校区必须配备安保队长一名，承担校园安保的全部工作并负责与校园安全管理处的日常对接。</w:t>
      </w:r>
    </w:p>
    <w:p>
      <w:pPr>
        <w:spacing w:line="360" w:lineRule="auto"/>
        <w:ind w:firstLine="492" w:firstLineChars="175"/>
        <w:jc w:val="left"/>
        <w:rPr>
          <w:rFonts w:ascii="宋体" w:hAnsi="宋体" w:cs="宋体"/>
          <w:sz w:val="28"/>
          <w:szCs w:val="28"/>
        </w:rPr>
      </w:pPr>
      <w:r>
        <w:t>6.1费用包括</w:t>
      </w:r>
    </w:p>
    <w:p>
      <w:pPr>
        <w:spacing w:line="360" w:lineRule="auto"/>
        <w:ind w:firstLine="492" w:firstLineChars="175"/>
        <w:jc w:val="left"/>
        <w:rPr>
          <w:rFonts w:ascii="宋体" w:hAnsi="宋体" w:cs="宋体"/>
          <w:sz w:val="28"/>
          <w:szCs w:val="28"/>
        </w:rPr>
      </w:pPr>
      <w:r>
        <w:t>6.1.1人工费、管理费、税金及国家规定的费用。</w:t>
      </w:r>
    </w:p>
    <w:p>
      <w:pPr>
        <w:spacing w:line="360" w:lineRule="auto"/>
        <w:ind w:firstLine="492" w:firstLineChars="175"/>
        <w:jc w:val="left"/>
        <w:rPr>
          <w:rFonts w:ascii="宋体" w:hAnsi="宋体"/>
          <w:sz w:val="28"/>
          <w:szCs w:val="28"/>
        </w:rPr>
      </w:pPr>
      <w:r>
        <w:t>6.1.2安保管理区域秩序维护费用(含防恐、防暴器材采购费用和巡逻车辆维护、维修费用等)安保服务责任险费用，重大活动(含各类考试)或节假日应急保障费用。</w:t>
      </w:r>
    </w:p>
    <w:p>
      <w:pPr>
        <w:spacing w:line="360" w:lineRule="auto"/>
        <w:ind w:firstLine="492" w:firstLineChars="175"/>
        <w:jc w:val="left"/>
        <w:rPr>
          <w:rFonts w:ascii="宋体" w:hAnsi="宋体" w:cs="宋体"/>
          <w:bCs/>
          <w:sz w:val="28"/>
          <w:szCs w:val="28"/>
        </w:rPr>
      </w:pPr>
      <w:r>
        <w:t>6.2校内安保管理内容</w:t>
      </w:r>
    </w:p>
    <w:p>
      <w:pPr>
        <w:spacing w:line="360" w:lineRule="auto"/>
        <w:ind w:firstLine="492" w:firstLineChars="175"/>
        <w:jc w:val="left"/>
        <w:rPr>
          <w:rFonts w:ascii="宋体" w:hAnsi="宋体" w:cs="宋体"/>
          <w:b/>
          <w:bCs/>
          <w:sz w:val="28"/>
          <w:szCs w:val="28"/>
        </w:rPr>
      </w:pPr>
      <w:r>
        <w:t>6.2.1派遣人员的数量、工作时间及被派遣人员的素质要求</w:t>
      </w:r>
    </w:p>
    <w:p>
      <w:pPr>
        <w:spacing w:line="360" w:lineRule="auto"/>
        <w:ind w:firstLine="490" w:firstLineChars="175"/>
        <w:jc w:val="left"/>
        <w:rPr>
          <w:rFonts w:ascii="宋体" w:hAnsi="宋体" w:cs="宋体"/>
          <w:bCs/>
          <w:sz w:val="28"/>
          <w:szCs w:val="28"/>
        </w:rPr>
      </w:pPr>
      <w:r>
        <w:t>1)根据学校需求安排安保队员，为学校提供全天候24小时的安全服务；</w:t>
      </w:r>
    </w:p>
    <w:p>
      <w:pPr>
        <w:spacing w:line="360" w:lineRule="auto"/>
        <w:ind w:firstLine="490" w:firstLineChars="175"/>
        <w:jc w:val="left"/>
        <w:rPr>
          <w:rFonts w:ascii="宋体" w:hAnsi="宋体" w:cs="宋体"/>
          <w:bCs/>
          <w:sz w:val="28"/>
          <w:szCs w:val="28"/>
        </w:rPr>
      </w:pPr>
      <w:r>
        <w:t>2)派遣到学校服务的安保队员应具有初中及以上文化程度，年龄在18周岁以上50周岁及以下，个别岗位因特殊原因年龄可放宽至55岁以下，且50周岁至55周岁人员比例不得超过总人数的15﹪；根据学校情况应当配2至3名女安保队员，女安保队员年龄50周岁以下，体格健康；</w:t>
      </w:r>
    </w:p>
    <w:p>
      <w:pPr>
        <w:spacing w:line="360" w:lineRule="auto"/>
        <w:ind w:firstLine="490" w:firstLineChars="175"/>
        <w:jc w:val="left"/>
        <w:rPr>
          <w:rFonts w:ascii="宋体" w:hAnsi="宋体" w:cs="宋体"/>
          <w:bCs/>
          <w:sz w:val="28"/>
          <w:szCs w:val="28"/>
        </w:rPr>
      </w:pPr>
      <w:r>
        <w:t>3)安保队员要有国家、省、市相关部门颁发的安保人员从业证书或上岗证，具备与岗位职责相应的观察、发现、处置问题能力，具备使用消防设备、通讯器材、技术防范设施和相关防卫器械的基本技能；</w:t>
      </w:r>
    </w:p>
    <w:p>
      <w:pPr>
        <w:spacing w:line="360" w:lineRule="auto"/>
        <w:ind w:firstLine="490" w:firstLineChars="175"/>
        <w:jc w:val="left"/>
        <w:rPr>
          <w:rFonts w:ascii="宋体" w:hAnsi="宋体" w:cs="宋体"/>
          <w:bCs/>
          <w:sz w:val="28"/>
          <w:szCs w:val="28"/>
        </w:rPr>
      </w:pPr>
      <w:r>
        <w:t>4)安保队员遵守国家法律、法规，无犯罪记录，无劣迹。为人正派，具有正义感；</w:t>
      </w:r>
    </w:p>
    <w:p>
      <w:pPr>
        <w:spacing w:line="360" w:lineRule="auto"/>
        <w:ind w:firstLine="490" w:firstLineChars="175"/>
        <w:jc w:val="left"/>
        <w:rPr>
          <w:rFonts w:ascii="宋体" w:hAnsi="宋体" w:cs="宋体"/>
          <w:bCs/>
          <w:sz w:val="28"/>
          <w:szCs w:val="28"/>
        </w:rPr>
      </w:pPr>
      <w:r>
        <w:t>5)安保队员遵守学校的校纪校规，服从管理听指挥，具有良好素质；</w:t>
      </w:r>
    </w:p>
    <w:p>
      <w:pPr>
        <w:spacing w:line="360" w:lineRule="auto"/>
        <w:ind w:firstLine="490" w:firstLineChars="175"/>
        <w:jc w:val="left"/>
        <w:rPr>
          <w:rFonts w:ascii="宋体" w:hAnsi="宋体" w:cs="宋体"/>
          <w:bCs/>
          <w:sz w:val="28"/>
          <w:szCs w:val="28"/>
        </w:rPr>
      </w:pPr>
      <w:r>
        <w:t>6)安保队员热爱安保工作，工作勤恳，吃苦耐劳，有较强的责任心，依法办事、文明执勤，严格管理、热情服务，杜绝保安与师生发生纠纷和冲突；</w:t>
      </w:r>
    </w:p>
    <w:p>
      <w:pPr>
        <w:spacing w:line="360" w:lineRule="auto"/>
        <w:ind w:firstLine="490" w:firstLineChars="175"/>
        <w:jc w:val="left"/>
        <w:rPr>
          <w:rFonts w:ascii="宋体" w:hAnsi="宋体" w:cs="宋体"/>
          <w:bCs/>
          <w:sz w:val="28"/>
          <w:szCs w:val="28"/>
        </w:rPr>
      </w:pPr>
      <w:r>
        <w:t>7)安保队长等主要管理人员应具有安保管理经验、熟练办公软件、相关高校经验，最好为退伍军人，三年以上驾龄并能够负责学校应急驾驶任务；</w:t>
      </w:r>
    </w:p>
    <w:p>
      <w:pPr>
        <w:spacing w:line="360" w:lineRule="auto"/>
        <w:ind w:firstLine="490" w:firstLineChars="175"/>
        <w:jc w:val="left"/>
        <w:rPr>
          <w:rFonts w:ascii="宋体" w:hAnsi="宋体" w:cs="宋体"/>
          <w:bCs/>
          <w:sz w:val="28"/>
          <w:szCs w:val="28"/>
        </w:rPr>
      </w:pPr>
      <w:r>
        <w:t>8)供方在合同签订前根据岗位需求提供符合要求的保安员数量、无犯罪证明、身份证复印件、健康体检表、上岗资格证、保安员劳动合同及缴纳的社保凭证等资料给需方。</w:t>
      </w:r>
    </w:p>
    <w:p>
      <w:pPr>
        <w:spacing w:line="360" w:lineRule="auto"/>
        <w:ind w:firstLine="492" w:firstLineChars="175"/>
        <w:jc w:val="left"/>
        <w:rPr>
          <w:rFonts w:ascii="宋体" w:hAnsi="宋体" w:cs="宋体"/>
          <w:bCs/>
          <w:sz w:val="28"/>
          <w:szCs w:val="28"/>
        </w:rPr>
      </w:pPr>
      <w:r>
        <w:t>6.2.2执勤时间要求：每天24小时全天候不间断执勤，每班岗执勤时间应符合国家相关法律要求；</w:t>
      </w:r>
    </w:p>
    <w:p>
      <w:pPr>
        <w:spacing w:line="360" w:lineRule="auto"/>
        <w:ind w:firstLine="492" w:firstLineChars="175"/>
        <w:jc w:val="left"/>
        <w:rPr>
          <w:rFonts w:ascii="宋体" w:hAnsi="宋体" w:cs="宋体"/>
          <w:bCs/>
          <w:sz w:val="28"/>
          <w:szCs w:val="28"/>
        </w:rPr>
      </w:pPr>
      <w:r>
        <w:t>6.2.3岗位培训：投标人应对其安保队员进行包括但不仅限于安全、消防、行为规范、法律等知识的上岗培训，安保员均应经培训合格后持证上岗，消控值班室实行双人24小时值班制度，值班人员必须要有国家、省、市相关部门颁发的消防控制室值班人员从业证书或上岗证；</w:t>
      </w:r>
    </w:p>
    <w:p>
      <w:pPr>
        <w:autoSpaceDE w:val="0"/>
        <w:autoSpaceDN w:val="0"/>
        <w:adjustRightInd w:val="0"/>
        <w:snapToGrid w:val="0"/>
        <w:spacing w:line="360" w:lineRule="auto"/>
        <w:ind w:firstLine="492" w:firstLineChars="175"/>
        <w:jc w:val="left"/>
        <w:rPr>
          <w:rFonts w:ascii="宋体" w:hAnsi="宋体" w:cs="宋体"/>
          <w:bCs/>
          <w:sz w:val="28"/>
          <w:szCs w:val="28"/>
        </w:rPr>
      </w:pPr>
      <w:r>
        <w:t>6.2.4安保队员着装及执勤规范要求：安保队员执勤时应统一着装（安保队员服装由投标人制作，费用由投标人承担），佩带安保标志和值勤证件（安保标志和值勤证件由投标人提供并承担费用），做到仪表端正、着装整齐、不留长发和胡子；</w:t>
      </w:r>
    </w:p>
    <w:p>
      <w:pPr>
        <w:autoSpaceDE w:val="0"/>
        <w:autoSpaceDN w:val="0"/>
        <w:adjustRightInd w:val="0"/>
        <w:snapToGrid w:val="0"/>
        <w:spacing w:line="360" w:lineRule="auto"/>
        <w:ind w:firstLine="492" w:firstLineChars="175"/>
        <w:jc w:val="left"/>
        <w:rPr>
          <w:rFonts w:ascii="宋体" w:hAnsi="宋体" w:cs="宋体"/>
          <w:bCs/>
          <w:sz w:val="28"/>
          <w:szCs w:val="28"/>
        </w:rPr>
      </w:pPr>
      <w:r>
        <w:t>6.2.5安保服务内容：涉及治安安全、消防安全、交通安全、人身安全, 财产安全等一切安全保卫工作(按要求配置防恐、防暴器材，并做好执勤车辆的日常维护、维修，费用由中标方承担)；</w:t>
      </w:r>
    </w:p>
    <w:p>
      <w:pPr>
        <w:autoSpaceDE w:val="0"/>
        <w:autoSpaceDN w:val="0"/>
        <w:adjustRightInd w:val="0"/>
        <w:snapToGrid w:val="0"/>
        <w:spacing w:line="360" w:lineRule="auto"/>
        <w:ind w:firstLine="492" w:firstLineChars="175"/>
        <w:jc w:val="left"/>
        <w:rPr>
          <w:rFonts w:ascii="宋体" w:hAnsi="宋体" w:cs="宋体"/>
          <w:bCs/>
          <w:sz w:val="28"/>
          <w:szCs w:val="28"/>
        </w:rPr>
      </w:pPr>
      <w:r>
        <w:t>6.2.6一般执勤要求</w:t>
      </w:r>
    </w:p>
    <w:p>
      <w:pPr>
        <w:autoSpaceDE w:val="0"/>
        <w:autoSpaceDN w:val="0"/>
        <w:adjustRightInd w:val="0"/>
        <w:snapToGrid w:val="0"/>
        <w:spacing w:line="360" w:lineRule="auto"/>
        <w:ind w:firstLine="490" w:firstLineChars="175"/>
        <w:jc w:val="left"/>
        <w:rPr>
          <w:rFonts w:ascii="宋体" w:hAnsi="宋体" w:cs="宋体"/>
          <w:bCs/>
          <w:sz w:val="28"/>
          <w:szCs w:val="28"/>
        </w:rPr>
      </w:pPr>
      <w:r>
        <w:t>1)安保队员必须加强法制观念，自觉遵守国家的法律、法规和条例，遵守工作纪律、招标单位的各项规章制度和员工守则；</w:t>
      </w:r>
    </w:p>
    <w:p>
      <w:pPr>
        <w:autoSpaceDE w:val="0"/>
        <w:autoSpaceDN w:val="0"/>
        <w:adjustRightInd w:val="0"/>
        <w:snapToGrid w:val="0"/>
        <w:spacing w:line="360" w:lineRule="auto"/>
        <w:ind w:firstLine="490" w:firstLineChars="175"/>
        <w:jc w:val="left"/>
        <w:rPr>
          <w:rFonts w:ascii="宋体" w:hAnsi="宋体" w:cs="宋体"/>
          <w:bCs/>
          <w:sz w:val="28"/>
          <w:szCs w:val="28"/>
        </w:rPr>
      </w:pPr>
      <w:r>
        <w:t>2)投标人派送的安保队员执勤期间，应接受招标人的领导和监督；</w:t>
      </w:r>
    </w:p>
    <w:p>
      <w:pPr>
        <w:autoSpaceDE w:val="0"/>
        <w:autoSpaceDN w:val="0"/>
        <w:adjustRightInd w:val="0"/>
        <w:snapToGrid w:val="0"/>
        <w:spacing w:line="360" w:lineRule="auto"/>
        <w:ind w:firstLine="490" w:firstLineChars="175"/>
        <w:jc w:val="left"/>
        <w:rPr>
          <w:rFonts w:ascii="宋体" w:hAnsi="宋体" w:cs="宋体"/>
          <w:bCs/>
          <w:sz w:val="28"/>
          <w:szCs w:val="28"/>
        </w:rPr>
      </w:pPr>
      <w:r>
        <w:t>3、安保队员应根据本合同约定的要求依法执勤、文明执勤、规范执勤，对安保服务现场应进行不间断巡逻检查，及时防范和消除不安全隐患；</w:t>
      </w:r>
    </w:p>
    <w:p>
      <w:pPr>
        <w:autoSpaceDE w:val="0"/>
        <w:autoSpaceDN w:val="0"/>
        <w:adjustRightInd w:val="0"/>
        <w:snapToGrid w:val="0"/>
        <w:spacing w:line="360" w:lineRule="auto"/>
        <w:ind w:firstLine="490" w:firstLineChars="175"/>
        <w:jc w:val="left"/>
        <w:rPr>
          <w:rFonts w:ascii="宋体" w:hAnsi="宋体" w:cs="宋体"/>
          <w:bCs/>
          <w:sz w:val="28"/>
          <w:szCs w:val="28"/>
        </w:rPr>
      </w:pPr>
      <w:r>
        <w:t>4)安保队员执勤应恪尽职守，敢于同违法犯罪分子作斗争，维护单位的正常工作和教学秩序，对校内发生的案件或突发事件，要做到及时发现、迅速报告、妥善处置，视情启动相应的应急预案，协助有关部门调查取证；</w:t>
      </w:r>
    </w:p>
    <w:p>
      <w:pPr>
        <w:autoSpaceDE w:val="0"/>
        <w:autoSpaceDN w:val="0"/>
        <w:adjustRightInd w:val="0"/>
        <w:snapToGrid w:val="0"/>
        <w:spacing w:line="360" w:lineRule="auto"/>
        <w:ind w:firstLine="490" w:firstLineChars="175"/>
        <w:jc w:val="left"/>
        <w:rPr>
          <w:rFonts w:ascii="宋体" w:hAnsi="宋体" w:cs="宋体"/>
          <w:bCs/>
          <w:sz w:val="28"/>
          <w:szCs w:val="28"/>
        </w:rPr>
      </w:pPr>
      <w:r>
        <w:t>5)安保队员执勤时应振作精神，准时到岗，做到不迟到、不早退、不串岗、不脱岗、不漏更、不旷工，执勤场所要做到整洁、卫生、有序，负责门前“三包”：即包安全、包卫生、包秩序。当班期间不得睡觉、看书、看报，不得饮酒、吸烟，严禁赌博；</w:t>
      </w:r>
    </w:p>
    <w:p>
      <w:pPr>
        <w:pStyle w:val="24"/>
        <w:spacing w:line="360" w:lineRule="auto"/>
        <w:ind w:firstLine="396"/>
        <w:rPr>
          <w:rFonts w:ascii="宋体" w:hAnsi="宋体" w:cs="宋体"/>
          <w:bCs/>
          <w:szCs w:val="28"/>
        </w:rPr>
      </w:pPr>
      <w:r>
        <w:t>6) 各个岗位保安值班执勤表每月提前3天报送校园安全管理处，若有变动应随时报告，前、后两班交接时，安保队员应认真做好交接工作，交接事项应详尽、准确地进行记录；</w:t>
      </w:r>
    </w:p>
    <w:p>
      <w:pPr>
        <w:pStyle w:val="24"/>
        <w:spacing w:line="360" w:lineRule="auto"/>
        <w:ind w:firstLine="396"/>
        <w:rPr>
          <w:rFonts w:ascii="宋体" w:hAnsi="宋体" w:cs="宋体"/>
          <w:bCs/>
          <w:szCs w:val="28"/>
        </w:rPr>
      </w:pPr>
      <w:r>
        <w:t>7)疫情常态化防控期间，各个门岗严格落实疫情防控要求，指导进出门岗人员主动测量体温、科学佩戴口罩，落实每人次三码检查，三码：健康码;行程吗；密接码，其他防疫要求根据实际要求落实。</w:t>
      </w:r>
    </w:p>
    <w:p>
      <w:pPr>
        <w:spacing w:line="360" w:lineRule="auto"/>
        <w:ind w:firstLine="492" w:firstLineChars="175"/>
        <w:jc w:val="left"/>
        <w:rPr>
          <w:rFonts w:ascii="宋体" w:hAnsi="宋体" w:cs="宋体"/>
          <w:b/>
          <w:bCs/>
          <w:sz w:val="28"/>
          <w:szCs w:val="28"/>
        </w:rPr>
      </w:pPr>
      <w:r>
        <w:t>6.3校内安保管理具体服务要求</w:t>
      </w:r>
    </w:p>
    <w:p>
      <w:pPr>
        <w:autoSpaceDE w:val="0"/>
        <w:autoSpaceDN w:val="0"/>
        <w:adjustRightInd w:val="0"/>
        <w:snapToGrid w:val="0"/>
        <w:spacing w:line="360" w:lineRule="auto"/>
        <w:ind w:firstLine="492" w:firstLineChars="175"/>
        <w:jc w:val="left"/>
        <w:rPr>
          <w:rFonts w:ascii="宋体" w:hAnsi="宋体" w:cs="宋体"/>
          <w:b/>
          <w:bCs/>
          <w:sz w:val="28"/>
          <w:szCs w:val="28"/>
        </w:rPr>
      </w:pPr>
      <w:r>
        <w:t>6.3.1队长岗工作要求</w:t>
      </w:r>
    </w:p>
    <w:p>
      <w:pPr>
        <w:spacing w:line="360" w:lineRule="auto"/>
        <w:ind w:firstLine="490" w:firstLineChars="175"/>
        <w:jc w:val="left"/>
        <w:rPr>
          <w:rFonts w:ascii="宋体" w:hAnsi="宋体" w:cs="宋体"/>
          <w:bCs/>
          <w:sz w:val="28"/>
          <w:szCs w:val="28"/>
        </w:rPr>
      </w:pPr>
      <w:r>
        <w:t>1)根据行业服务标准与学校规定要求，落实校园安全保卫整体方案，建立健全突发事件、消防防火、**防爆等应急预案，并结合校园实际在实践中不断完善；</w:t>
      </w:r>
    </w:p>
    <w:p>
      <w:pPr>
        <w:spacing w:line="360" w:lineRule="auto"/>
        <w:ind w:firstLine="490" w:firstLineChars="175"/>
        <w:jc w:val="left"/>
        <w:rPr>
          <w:rFonts w:ascii="宋体" w:hAnsi="宋体" w:cs="宋体"/>
          <w:bCs/>
          <w:sz w:val="28"/>
          <w:szCs w:val="28"/>
        </w:rPr>
      </w:pPr>
      <w:r>
        <w:t>2)安保队长必须与学校校安处保持必要的工作交流，每星期一次向学校校安处汇报所承担的安保工作开展情况及信息反馈，重大情况须及时报告；</w:t>
      </w:r>
    </w:p>
    <w:p>
      <w:pPr>
        <w:spacing w:line="360" w:lineRule="auto"/>
        <w:ind w:firstLine="490" w:firstLineChars="175"/>
        <w:jc w:val="left"/>
        <w:rPr>
          <w:rFonts w:ascii="宋体" w:hAnsi="宋体" w:cs="宋体"/>
          <w:bCs/>
          <w:sz w:val="28"/>
          <w:szCs w:val="28"/>
        </w:rPr>
      </w:pPr>
      <w:r>
        <w:t>3)负责主持校安保队伍的工作。认真组织制订并督促落实安保队员各岗位工作职责，通过日常检查发现问题并及时处理；</w:t>
      </w:r>
    </w:p>
    <w:p>
      <w:pPr>
        <w:spacing w:line="360" w:lineRule="auto"/>
        <w:ind w:firstLine="490" w:firstLineChars="175"/>
        <w:jc w:val="left"/>
        <w:rPr>
          <w:rFonts w:ascii="宋体" w:hAnsi="宋体" w:cs="宋体"/>
          <w:bCs/>
          <w:sz w:val="28"/>
          <w:szCs w:val="28"/>
        </w:rPr>
      </w:pPr>
      <w:r>
        <w:t>4)负责安保队员业务训练。教育队员遵纪守法，依法办事，提高安保队员的综合素质，树立良好的外在形象；</w:t>
      </w:r>
    </w:p>
    <w:p>
      <w:pPr>
        <w:spacing w:line="360" w:lineRule="auto"/>
        <w:ind w:firstLine="490" w:firstLineChars="175"/>
        <w:jc w:val="left"/>
        <w:rPr>
          <w:rFonts w:ascii="宋体" w:hAnsi="宋体" w:cs="宋体"/>
          <w:bCs/>
          <w:sz w:val="28"/>
          <w:szCs w:val="28"/>
        </w:rPr>
      </w:pPr>
      <w:r>
        <w:t>5)负责校园突发事件的先期处置。校园内一旦发生火灾、交通事故、治安案件、自然灾害等各种类型突发事件时，队长要第一时间组织队员先期处置并及时上报，做好详细的执勤记录，原始台帐保存完好，以备学校核查；</w:t>
      </w:r>
    </w:p>
    <w:p>
      <w:pPr>
        <w:spacing w:line="360" w:lineRule="auto"/>
        <w:ind w:firstLine="490" w:firstLineChars="175"/>
        <w:jc w:val="left"/>
        <w:rPr>
          <w:rFonts w:ascii="宋体" w:hAnsi="宋体" w:cs="宋体"/>
          <w:bCs/>
          <w:sz w:val="28"/>
          <w:szCs w:val="28"/>
        </w:rPr>
      </w:pPr>
      <w:r>
        <w:t>6)协同学校治安协防组织，形成群防群治体系；</w:t>
      </w:r>
    </w:p>
    <w:p>
      <w:pPr>
        <w:spacing w:line="360" w:lineRule="auto"/>
        <w:ind w:firstLine="490" w:firstLineChars="175"/>
        <w:jc w:val="left"/>
        <w:rPr>
          <w:rFonts w:ascii="宋体" w:hAnsi="宋体" w:cs="宋体"/>
          <w:bCs/>
          <w:sz w:val="28"/>
          <w:szCs w:val="28"/>
        </w:rPr>
      </w:pPr>
      <w:r>
        <w:t>7)协同学校校安处加强与当地***、综治办合作与交流；</w:t>
      </w:r>
    </w:p>
    <w:p>
      <w:pPr>
        <w:spacing w:line="360" w:lineRule="auto"/>
        <w:ind w:firstLine="490" w:firstLineChars="175"/>
        <w:jc w:val="left"/>
        <w:rPr>
          <w:rFonts w:ascii="宋体" w:hAnsi="宋体" w:cs="宋体"/>
          <w:bCs/>
          <w:sz w:val="28"/>
          <w:szCs w:val="28"/>
        </w:rPr>
      </w:pPr>
      <w:r>
        <w:t>8)负责安保队伍年度工作计划、总结和队员的日常考勤、考核奖惩等工作；</w:t>
      </w:r>
    </w:p>
    <w:p>
      <w:pPr>
        <w:spacing w:line="360" w:lineRule="auto"/>
        <w:ind w:firstLine="490" w:firstLineChars="175"/>
        <w:jc w:val="left"/>
        <w:rPr>
          <w:rFonts w:ascii="宋体" w:hAnsi="宋体" w:cs="宋体"/>
          <w:bCs/>
          <w:sz w:val="28"/>
          <w:szCs w:val="28"/>
        </w:rPr>
      </w:pPr>
      <w:r>
        <w:t>9)做好学校校安处交办的其他工作任务。</w:t>
      </w:r>
    </w:p>
    <w:p>
      <w:pPr>
        <w:spacing w:line="360" w:lineRule="auto"/>
        <w:ind w:firstLine="492" w:firstLineChars="175"/>
        <w:jc w:val="left"/>
        <w:rPr>
          <w:rFonts w:ascii="宋体" w:hAnsi="宋体" w:cs="宋体"/>
          <w:b/>
          <w:bCs/>
          <w:sz w:val="28"/>
          <w:szCs w:val="28"/>
        </w:rPr>
      </w:pPr>
      <w:r>
        <w:t>6.3.2门岗工作要求</w:t>
      </w:r>
    </w:p>
    <w:p>
      <w:pPr>
        <w:spacing w:line="360" w:lineRule="auto"/>
        <w:ind w:firstLine="490" w:firstLineChars="175"/>
        <w:jc w:val="left"/>
        <w:rPr>
          <w:rFonts w:ascii="宋体" w:hAnsi="宋体" w:cs="宋体"/>
          <w:bCs/>
          <w:sz w:val="28"/>
          <w:szCs w:val="28"/>
        </w:rPr>
      </w:pPr>
      <w:r>
        <w:t>1)负责南、北大门每天24小时门卫值班管理工作。严格执行门卫管理制度和要求；对进出现场的人员、车辆进行盘查登记，严禁闲杂人员和车辆进入，未经审批严禁施工机械设备和建筑材料出场；</w:t>
      </w:r>
    </w:p>
    <w:p>
      <w:pPr>
        <w:spacing w:line="360" w:lineRule="auto"/>
        <w:ind w:firstLine="490" w:firstLineChars="175"/>
        <w:jc w:val="left"/>
        <w:rPr>
          <w:rFonts w:ascii="宋体" w:hAnsi="宋体" w:cs="宋体"/>
          <w:bCs/>
          <w:sz w:val="28"/>
          <w:szCs w:val="28"/>
        </w:rPr>
      </w:pPr>
      <w:r>
        <w:t>2)根据学校相关规定与《安保队伍守则》要求认真做好外来人员接待和身份核实工作。⑴、对来访人员的接待中要注意文明用语、礼节礼貌，要向被访人员核实情况，并向客人指明被访人员所在楼寓位置、停车地点等事项；⑵、定期抽查外来人员，对可疑人员要做好身份核实、登记有效证件等工作，严防闲杂人员、小商小贩、推销诈骗等人员进入校园；</w:t>
      </w:r>
    </w:p>
    <w:p>
      <w:pPr>
        <w:spacing w:line="360" w:lineRule="auto"/>
        <w:ind w:firstLine="490" w:firstLineChars="175"/>
        <w:jc w:val="left"/>
        <w:rPr>
          <w:rFonts w:ascii="宋体" w:hAnsi="宋体" w:cs="宋体"/>
          <w:bCs/>
          <w:sz w:val="28"/>
          <w:szCs w:val="28"/>
        </w:rPr>
      </w:pPr>
      <w:r>
        <w:t>3)严格控制外来车辆出入。⑴、严格禁止出租车及黄鱼车进入校园；⑵、工程车进入校园须凭基建处通知单放行，大件货物出门要凭相关部门通知单放行，防止车内携（夹）带物品离校；⑶、除了寒暑假前后或毕业生离校、新生入校等特殊时日，一般情况下学生接送车不得进入校园；</w:t>
      </w:r>
    </w:p>
    <w:p>
      <w:pPr>
        <w:spacing w:line="360" w:lineRule="auto"/>
        <w:ind w:firstLine="490" w:firstLineChars="175"/>
        <w:jc w:val="left"/>
        <w:rPr>
          <w:rFonts w:ascii="宋体" w:hAnsi="宋体" w:cs="宋体"/>
          <w:bCs/>
          <w:sz w:val="28"/>
          <w:szCs w:val="28"/>
        </w:rPr>
      </w:pPr>
      <w:r>
        <w:t>4)大门口其它管理。⑴、做好大门外禁停区域管理，严禁黄鱼车乱停乱放，时刻保持大门口交通顺畅；⑵、保持门岗周围和值班室内的清洁卫生；</w:t>
      </w:r>
    </w:p>
    <w:p>
      <w:pPr>
        <w:spacing w:line="360" w:lineRule="auto"/>
        <w:ind w:firstLine="490" w:firstLineChars="175"/>
        <w:jc w:val="left"/>
        <w:rPr>
          <w:rFonts w:ascii="宋体" w:hAnsi="宋体" w:cs="宋体"/>
          <w:bCs/>
          <w:sz w:val="28"/>
          <w:szCs w:val="28"/>
        </w:rPr>
      </w:pPr>
      <w:r>
        <w:t>5)维护责任区域秩序，与各岗位互通信息；值班室无闲杂人员滞留，保持内外环境整洁卫生和门前三包；</w:t>
      </w:r>
    </w:p>
    <w:p>
      <w:pPr>
        <w:spacing w:line="360" w:lineRule="auto"/>
        <w:ind w:firstLine="490" w:firstLineChars="175"/>
        <w:jc w:val="left"/>
        <w:rPr>
          <w:rFonts w:ascii="宋体" w:hAnsi="宋体" w:cs="宋体"/>
          <w:bCs/>
          <w:sz w:val="28"/>
          <w:szCs w:val="28"/>
        </w:rPr>
      </w:pPr>
      <w:r>
        <w:t>6)做好常规人员进出及外来车辆管理，特殊时期，按要求做好出入校学生登记管理，发现异常情况及时通知校园安全管理处。关注和询问校外人员进入、做好身份登记、限制除食堂车辆等机动车进入并告知学校的有关禁令；</w:t>
      </w:r>
    </w:p>
    <w:p>
      <w:pPr>
        <w:spacing w:line="360" w:lineRule="auto"/>
        <w:ind w:firstLine="490" w:firstLineChars="175"/>
        <w:jc w:val="left"/>
        <w:rPr>
          <w:rFonts w:ascii="宋体" w:hAnsi="宋体" w:cs="宋体"/>
          <w:bCs/>
          <w:sz w:val="28"/>
          <w:szCs w:val="28"/>
        </w:rPr>
      </w:pPr>
      <w:r>
        <w:t>7)认真做好书面交接班工作；</w:t>
      </w:r>
    </w:p>
    <w:p>
      <w:pPr>
        <w:spacing w:line="360" w:lineRule="auto"/>
        <w:ind w:firstLine="490" w:firstLineChars="175"/>
        <w:jc w:val="left"/>
        <w:rPr>
          <w:rFonts w:ascii="宋体" w:hAnsi="宋体" w:cs="宋体"/>
          <w:bCs/>
          <w:sz w:val="28"/>
          <w:szCs w:val="28"/>
        </w:rPr>
      </w:pPr>
      <w:r>
        <w:t>8)协助班长、队长完成好学校校安处交办的其他工作任务。</w:t>
      </w:r>
    </w:p>
    <w:p>
      <w:pPr>
        <w:spacing w:line="360" w:lineRule="auto"/>
        <w:ind w:firstLine="492" w:firstLineChars="175"/>
        <w:jc w:val="left"/>
        <w:rPr>
          <w:rFonts w:ascii="宋体" w:hAnsi="宋体" w:cs="宋体"/>
          <w:bCs/>
          <w:sz w:val="28"/>
          <w:szCs w:val="28"/>
        </w:rPr>
      </w:pPr>
      <w:r>
        <w:t>6.3.3图书馆岗工作要求（岗位时间7:20-21:30）</w:t>
      </w:r>
    </w:p>
    <w:p>
      <w:pPr>
        <w:spacing w:line="360" w:lineRule="auto"/>
        <w:ind w:firstLine="490" w:firstLineChars="175"/>
        <w:jc w:val="left"/>
        <w:rPr>
          <w:rFonts w:ascii="宋体" w:hAnsi="宋体" w:cs="宋体"/>
          <w:bCs/>
          <w:sz w:val="28"/>
          <w:szCs w:val="28"/>
        </w:rPr>
      </w:pPr>
      <w:r>
        <w:t>1)图书馆为学校非常重要的学习和办公场所，安保队员要求形象好，素质高，责任心强；</w:t>
      </w:r>
    </w:p>
    <w:p>
      <w:pPr>
        <w:spacing w:line="360" w:lineRule="auto"/>
        <w:ind w:firstLine="490" w:firstLineChars="175"/>
        <w:jc w:val="left"/>
        <w:rPr>
          <w:rFonts w:ascii="宋体" w:hAnsi="宋体" w:cs="宋体"/>
          <w:bCs/>
          <w:sz w:val="28"/>
          <w:szCs w:val="28"/>
        </w:rPr>
      </w:pPr>
      <w:r>
        <w:t>2)对进入图书馆的人员，必须严格管理，对闲游、收购拾物的小贩等人员，一律不准进入，疫情防控期间，督促出入图书馆人员做好疫情防控措施；</w:t>
      </w:r>
    </w:p>
    <w:p>
      <w:pPr>
        <w:spacing w:line="360" w:lineRule="auto"/>
        <w:ind w:firstLine="490" w:firstLineChars="175"/>
        <w:jc w:val="left"/>
        <w:rPr>
          <w:rFonts w:ascii="宋体" w:hAnsi="宋体" w:cs="宋体"/>
          <w:bCs/>
          <w:sz w:val="28"/>
          <w:szCs w:val="28"/>
        </w:rPr>
      </w:pPr>
      <w:r>
        <w:t>3)对进入图书馆的器材，要严格进行检查、登记后凭门禁卡方可进入，所有人员必须经所在处室、学院负责人签字后方可携带器材出楼；</w:t>
      </w:r>
    </w:p>
    <w:p>
      <w:pPr>
        <w:spacing w:line="360" w:lineRule="auto"/>
        <w:ind w:firstLine="490" w:firstLineChars="175"/>
        <w:jc w:val="left"/>
        <w:rPr>
          <w:rFonts w:ascii="宋体" w:hAnsi="宋体" w:cs="宋体"/>
          <w:bCs/>
          <w:sz w:val="28"/>
          <w:szCs w:val="28"/>
        </w:rPr>
      </w:pPr>
      <w:r>
        <w:t>4)图书馆安保队员必须认真落实消防安全检查制度，并做好每日的消防安全检查记录；</w:t>
      </w:r>
    </w:p>
    <w:p>
      <w:pPr>
        <w:spacing w:line="360" w:lineRule="auto"/>
        <w:ind w:firstLine="490" w:firstLineChars="175"/>
        <w:jc w:val="left"/>
        <w:rPr>
          <w:rFonts w:ascii="宋体" w:hAnsi="宋体" w:cs="宋体"/>
          <w:bCs/>
          <w:sz w:val="28"/>
          <w:szCs w:val="28"/>
        </w:rPr>
      </w:pPr>
      <w:r>
        <w:t>5)对检查中发现的治安、消防安全隐患，要及时上报并协助督促整改；</w:t>
      </w:r>
    </w:p>
    <w:p>
      <w:pPr>
        <w:spacing w:line="360" w:lineRule="auto"/>
        <w:ind w:firstLine="490" w:firstLineChars="175"/>
        <w:jc w:val="left"/>
        <w:rPr>
          <w:rFonts w:ascii="宋体" w:hAnsi="宋体" w:cs="宋体"/>
          <w:bCs/>
          <w:sz w:val="28"/>
          <w:szCs w:val="28"/>
          <w:lang w:val="en-GB"/>
        </w:rPr>
      </w:pPr>
      <w:r>
        <w:t>6)对图书馆的公共设施，发现损坏的应及时向图书馆相关人员反映；</w:t>
      </w:r>
    </w:p>
    <w:p>
      <w:pPr>
        <w:spacing w:line="360" w:lineRule="auto"/>
        <w:ind w:firstLine="490" w:firstLineChars="175"/>
        <w:jc w:val="left"/>
        <w:rPr>
          <w:rFonts w:ascii="宋体" w:hAnsi="宋体" w:cs="宋体"/>
          <w:bCs/>
          <w:sz w:val="28"/>
          <w:szCs w:val="28"/>
        </w:rPr>
      </w:pPr>
      <w:r>
        <w:t>7)严格管理进入图书馆的学生、教职员工，发现有损坏公物的人和事，应及时制止并上报相关部门给予处理；</w:t>
      </w:r>
    </w:p>
    <w:p>
      <w:pPr>
        <w:spacing w:line="360" w:lineRule="auto"/>
        <w:ind w:firstLine="490" w:firstLineChars="175"/>
        <w:jc w:val="left"/>
        <w:rPr>
          <w:rFonts w:ascii="宋体" w:hAnsi="宋体" w:cs="宋体"/>
          <w:bCs/>
          <w:sz w:val="28"/>
          <w:szCs w:val="28"/>
        </w:rPr>
      </w:pPr>
      <w:r>
        <w:t>8)维护图书馆的公共秩序，对扰乱公共秩序的人和事应及时制止，并上报相关部门处理；</w:t>
      </w:r>
    </w:p>
    <w:p>
      <w:pPr>
        <w:spacing w:line="360" w:lineRule="auto"/>
        <w:ind w:firstLine="490" w:firstLineChars="175"/>
        <w:jc w:val="left"/>
        <w:rPr>
          <w:rFonts w:ascii="宋体" w:hAnsi="宋体" w:cs="宋体"/>
          <w:bCs/>
          <w:sz w:val="28"/>
          <w:szCs w:val="28"/>
        </w:rPr>
      </w:pPr>
      <w:r>
        <w:t>9)严格落实值班、执勤制度；</w:t>
      </w:r>
    </w:p>
    <w:p>
      <w:pPr>
        <w:spacing w:line="360" w:lineRule="auto"/>
        <w:ind w:firstLine="490" w:firstLineChars="175"/>
        <w:jc w:val="left"/>
        <w:rPr>
          <w:rFonts w:ascii="宋体" w:hAnsi="宋体" w:cs="宋体"/>
          <w:bCs/>
          <w:sz w:val="28"/>
          <w:szCs w:val="28"/>
        </w:rPr>
      </w:pPr>
      <w:r>
        <w:t>10)图书馆发现可疑人员要认真盘查（查验有效证件、核实身份），对身份可疑人员应立即报学校校安处或***处理；</w:t>
      </w:r>
    </w:p>
    <w:p>
      <w:pPr>
        <w:spacing w:line="360" w:lineRule="auto"/>
        <w:ind w:firstLine="490" w:firstLineChars="175"/>
        <w:jc w:val="left"/>
        <w:rPr>
          <w:rFonts w:ascii="宋体" w:hAnsi="宋体" w:cs="宋体"/>
          <w:bCs/>
          <w:sz w:val="28"/>
          <w:szCs w:val="28"/>
        </w:rPr>
      </w:pPr>
      <w:r>
        <w:t>11)保持在岗在位，夜间需加班的教职员工应实行登记制度；</w:t>
      </w:r>
    </w:p>
    <w:p>
      <w:pPr>
        <w:spacing w:line="360" w:lineRule="auto"/>
        <w:ind w:firstLine="490" w:firstLineChars="175"/>
        <w:jc w:val="left"/>
        <w:rPr>
          <w:rFonts w:ascii="宋体" w:hAnsi="宋体" w:cs="宋体"/>
          <w:bCs/>
          <w:sz w:val="28"/>
          <w:szCs w:val="28"/>
        </w:rPr>
      </w:pPr>
      <w:r>
        <w:t>12)协助班长、队长完成好学校校安处交办的其他工作任务。</w:t>
      </w:r>
    </w:p>
    <w:p>
      <w:pPr>
        <w:spacing w:line="360" w:lineRule="auto"/>
        <w:ind w:firstLine="492" w:firstLineChars="175"/>
        <w:jc w:val="left"/>
        <w:rPr>
          <w:rFonts w:ascii="宋体" w:hAnsi="宋体" w:cs="宋体"/>
          <w:b/>
          <w:bCs/>
          <w:sz w:val="28"/>
          <w:szCs w:val="28"/>
        </w:rPr>
      </w:pPr>
      <w:r>
        <w:t>6.3.4巡逻岗工作要求</w:t>
      </w:r>
    </w:p>
    <w:p>
      <w:pPr>
        <w:spacing w:line="360" w:lineRule="auto"/>
        <w:ind w:firstLine="490" w:firstLineChars="175"/>
        <w:jc w:val="left"/>
        <w:rPr>
          <w:rFonts w:ascii="宋体" w:hAnsi="宋体" w:cs="宋体"/>
          <w:bCs/>
          <w:sz w:val="28"/>
          <w:szCs w:val="28"/>
        </w:rPr>
      </w:pPr>
      <w:r>
        <w:t>1)根据学校相关规定与《安保队伍守则》要求，负责校园治安巡查工作。⑴、对校园内可疑人员的身份核实，要注意每天不同时段的巡逻重点；⑵、对校园内违规设摊或违规张贴物（包括反动、不健康标语、可疑诈骗、节假日前违规包车等张贴物）的检查、清理工作；</w:t>
      </w:r>
    </w:p>
    <w:p>
      <w:pPr>
        <w:spacing w:line="360" w:lineRule="auto"/>
        <w:ind w:firstLine="490" w:firstLineChars="175"/>
        <w:jc w:val="left"/>
        <w:rPr>
          <w:rFonts w:ascii="宋体" w:hAnsi="宋体" w:cs="宋体"/>
          <w:bCs/>
          <w:sz w:val="28"/>
          <w:szCs w:val="28"/>
        </w:rPr>
      </w:pPr>
      <w:r>
        <w:t>2)负责校园防火安全检查。⑴、配合学生处对校园内违章用电、用火检查；⑵、对易燃、易爆品检查；⑶、消防设施完好性检查等；</w:t>
      </w:r>
    </w:p>
    <w:p>
      <w:pPr>
        <w:spacing w:line="360" w:lineRule="auto"/>
        <w:ind w:firstLine="490" w:firstLineChars="175"/>
        <w:jc w:val="left"/>
        <w:rPr>
          <w:rFonts w:ascii="宋体" w:hAnsi="宋体" w:cs="宋体"/>
          <w:bCs/>
          <w:sz w:val="28"/>
          <w:szCs w:val="28"/>
        </w:rPr>
      </w:pPr>
      <w:r>
        <w:t>3)负责校园交通秩序管理。⑴、对进入校园的机动车超速行驶的提醒和记录；⑵、对违章停车的记录和提醒；⑶、对地下车库区域的安全巡查。每天将违章记录单上交学校校安处；</w:t>
      </w:r>
    </w:p>
    <w:p>
      <w:pPr>
        <w:spacing w:line="360" w:lineRule="auto"/>
        <w:ind w:firstLine="490" w:firstLineChars="175"/>
        <w:jc w:val="left"/>
        <w:rPr>
          <w:rFonts w:ascii="宋体" w:hAnsi="宋体" w:cs="宋体"/>
          <w:bCs/>
          <w:sz w:val="28"/>
          <w:szCs w:val="28"/>
        </w:rPr>
      </w:pPr>
      <w:r>
        <w:t>4)必须熟悉责任区内各建筑物、设备、物品等的位置和数量，发现有损坏和位置发生移动变化等异常情况，要立即报告班长并作好情况记录，交接班时应将检查发现的情况向接班队员交接清楚；</w:t>
      </w:r>
    </w:p>
    <w:p>
      <w:pPr>
        <w:spacing w:line="360" w:lineRule="auto"/>
        <w:ind w:firstLine="490" w:firstLineChars="175"/>
        <w:jc w:val="left"/>
        <w:rPr>
          <w:rFonts w:ascii="宋体" w:hAnsi="宋体" w:cs="宋体"/>
          <w:bCs/>
          <w:sz w:val="28"/>
          <w:szCs w:val="28"/>
        </w:rPr>
      </w:pPr>
      <w:r>
        <w:t>5)夜班人员要以学生公寓防盗巡查为重点做好各项工作，巡逻的方式要灵活多变,采取固定巡逻路线与不固定巡逻路线相结合，潜伏与明巡相结合，决不能给不法分子可趁之机；</w:t>
      </w:r>
    </w:p>
    <w:p>
      <w:pPr>
        <w:spacing w:line="360" w:lineRule="auto"/>
        <w:ind w:firstLine="490" w:firstLineChars="175"/>
        <w:jc w:val="left"/>
        <w:rPr>
          <w:rFonts w:ascii="宋体" w:hAnsi="宋体" w:cs="宋体"/>
          <w:bCs/>
          <w:sz w:val="28"/>
          <w:szCs w:val="28"/>
        </w:rPr>
      </w:pPr>
      <w:r>
        <w:t>6)认真做好书面交接班工作；</w:t>
      </w:r>
    </w:p>
    <w:p>
      <w:pPr>
        <w:spacing w:line="360" w:lineRule="auto"/>
        <w:ind w:firstLine="490" w:firstLineChars="175"/>
        <w:jc w:val="left"/>
        <w:rPr>
          <w:rFonts w:ascii="宋体" w:hAnsi="宋体" w:cs="宋体"/>
          <w:bCs/>
          <w:sz w:val="28"/>
          <w:szCs w:val="28"/>
        </w:rPr>
      </w:pPr>
      <w:r>
        <w:t>7)协助班长、队长完成好学校校安处交办的其他工作任务。</w:t>
      </w:r>
    </w:p>
    <w:p>
      <w:pPr>
        <w:spacing w:line="360" w:lineRule="auto"/>
        <w:ind w:firstLine="492" w:firstLineChars="175"/>
        <w:jc w:val="left"/>
        <w:rPr>
          <w:rFonts w:ascii="宋体" w:hAnsi="宋体" w:cs="宋体"/>
          <w:b/>
          <w:bCs/>
          <w:sz w:val="28"/>
          <w:szCs w:val="28"/>
        </w:rPr>
      </w:pPr>
      <w:r>
        <w:t>6.3.5监控岗（校园110中心）工作要求</w:t>
      </w:r>
    </w:p>
    <w:p>
      <w:pPr>
        <w:spacing w:line="360" w:lineRule="auto"/>
        <w:ind w:firstLine="490" w:firstLineChars="175"/>
        <w:jc w:val="left"/>
        <w:rPr>
          <w:rFonts w:ascii="宋体" w:hAnsi="宋体" w:cs="宋体"/>
          <w:bCs/>
          <w:sz w:val="28"/>
          <w:szCs w:val="28"/>
        </w:rPr>
      </w:pPr>
      <w:r>
        <w:t>1)根据学校相关规定与《安保队伍守则》要求，认真安排落实24小时电视监控管理工作，及时发现和报告突发事件；</w:t>
      </w:r>
    </w:p>
    <w:p>
      <w:pPr>
        <w:spacing w:line="360" w:lineRule="auto"/>
        <w:ind w:left="223" w:leftChars="106" w:firstLine="490" w:firstLineChars="175"/>
        <w:jc w:val="left"/>
        <w:rPr>
          <w:rFonts w:ascii="宋体" w:hAnsi="宋体" w:cs="宋体"/>
          <w:bCs/>
          <w:sz w:val="28"/>
          <w:szCs w:val="28"/>
        </w:rPr>
      </w:pPr>
      <w:r>
        <w:t>2)做好机器设备维护保养工作，确保历史录像的保存和回放，以便配合案件查处等工作；</w:t>
      </w:r>
    </w:p>
    <w:p>
      <w:pPr>
        <w:spacing w:line="360" w:lineRule="auto"/>
        <w:ind w:left="223" w:leftChars="106" w:firstLine="490" w:firstLineChars="175"/>
        <w:jc w:val="left"/>
        <w:rPr>
          <w:rFonts w:ascii="宋体" w:hAnsi="宋体" w:cs="宋体"/>
          <w:bCs/>
          <w:sz w:val="28"/>
          <w:szCs w:val="28"/>
        </w:rPr>
      </w:pPr>
      <w:r>
        <w:t>3)做好接、报警工作。⑴、要会接警，接警后立即报告队长或领班处理；⑵、要掌握红外布防、撤防及报警处理方法等，发现故障及时报修，做好处理记录工作，对不能在24小时内维修的情况要采取相应措施；⑶、要熟记各种紧（应）急、报警求助电话；</w:t>
      </w:r>
    </w:p>
    <w:p>
      <w:pPr>
        <w:spacing w:line="360" w:lineRule="auto"/>
        <w:ind w:firstLine="490" w:firstLineChars="175"/>
        <w:jc w:val="left"/>
        <w:rPr>
          <w:rFonts w:ascii="宋体" w:hAnsi="宋体" w:cs="宋体"/>
          <w:bCs/>
          <w:sz w:val="28"/>
          <w:szCs w:val="28"/>
        </w:rPr>
      </w:pPr>
      <w:r>
        <w:t>4)做好保密工作，学生有调用监控需求时严格按程序操作，不泄露监控视频，不谈论录像内容，不得让无关人员轻易进入监控中心；</w:t>
      </w:r>
    </w:p>
    <w:p>
      <w:pPr>
        <w:spacing w:line="360" w:lineRule="auto"/>
        <w:ind w:firstLine="490" w:firstLineChars="175"/>
        <w:jc w:val="left"/>
        <w:rPr>
          <w:rFonts w:ascii="宋体" w:hAnsi="宋体" w:cs="宋体"/>
          <w:bCs/>
          <w:sz w:val="28"/>
          <w:szCs w:val="28"/>
        </w:rPr>
      </w:pPr>
      <w:r>
        <w:t>5)详细填写值班记录，严格执行交接班制度；</w:t>
      </w:r>
    </w:p>
    <w:p>
      <w:pPr>
        <w:spacing w:line="360" w:lineRule="auto"/>
        <w:ind w:firstLine="490" w:firstLineChars="175"/>
        <w:jc w:val="left"/>
        <w:rPr>
          <w:rFonts w:ascii="宋体" w:hAnsi="宋体" w:cs="宋体"/>
          <w:bCs/>
          <w:sz w:val="28"/>
          <w:szCs w:val="28"/>
        </w:rPr>
      </w:pPr>
      <w:r>
        <w:t>6)保持监控中心整洁卫生，注意防火安全；</w:t>
      </w:r>
    </w:p>
    <w:p>
      <w:pPr>
        <w:spacing w:line="360" w:lineRule="auto"/>
        <w:ind w:firstLine="490" w:firstLineChars="175"/>
        <w:jc w:val="left"/>
        <w:rPr>
          <w:rFonts w:ascii="宋体" w:hAnsi="宋体" w:cs="宋体"/>
          <w:bCs/>
          <w:sz w:val="28"/>
          <w:szCs w:val="28"/>
        </w:rPr>
      </w:pPr>
      <w:r>
        <w:t>7)协助班长、队长完成好学校校安处交办的其他工作任务。</w:t>
      </w:r>
    </w:p>
    <w:p>
      <w:pPr>
        <w:spacing w:line="360" w:lineRule="auto"/>
        <w:ind w:firstLine="492" w:firstLineChars="175"/>
        <w:jc w:val="left"/>
        <w:rPr>
          <w:rFonts w:ascii="宋体" w:hAnsi="宋体" w:cs="宋体"/>
          <w:b/>
          <w:bCs/>
          <w:sz w:val="28"/>
          <w:szCs w:val="28"/>
        </w:rPr>
      </w:pPr>
      <w:r>
        <w:t>6.3.6消控岗工作要求</w:t>
      </w:r>
    </w:p>
    <w:p>
      <w:pPr>
        <w:spacing w:line="360" w:lineRule="auto"/>
        <w:ind w:firstLine="490" w:firstLineChars="175"/>
        <w:jc w:val="left"/>
        <w:rPr>
          <w:rFonts w:ascii="宋体" w:hAnsi="宋体" w:cs="宋体"/>
          <w:bCs/>
          <w:sz w:val="28"/>
          <w:szCs w:val="28"/>
        </w:rPr>
      </w:pPr>
      <w:r>
        <w:t>1)根据《消防法》与学校相关规定认真学习并掌握消防自动报警系统及安防监控报警系统的基本知识和操作方法，努力提高工作水平和业务素质。消控岗值班人员必须具有省市相关部门颁发的消防控制室值班人员从业证书。因特殊原因（过期、疫情等原因）影响从业证书取得的，要出具书面说明，并说明取得证书的时间以及到期未取得证书的处理措施；</w:t>
      </w:r>
    </w:p>
    <w:p>
      <w:pPr>
        <w:spacing w:line="360" w:lineRule="auto"/>
        <w:ind w:firstLine="490" w:firstLineChars="175"/>
        <w:jc w:val="left"/>
        <w:rPr>
          <w:rFonts w:ascii="宋体" w:hAnsi="宋体" w:cs="宋体"/>
          <w:bCs/>
          <w:sz w:val="28"/>
          <w:szCs w:val="28"/>
        </w:rPr>
      </w:pPr>
      <w:r>
        <w:t>2)熟悉校园整体环境，掌握消防设施、安防设施的分布情况、基本性能及操作方法，严格按操作规程进行操作；</w:t>
      </w:r>
    </w:p>
    <w:p>
      <w:pPr>
        <w:spacing w:line="360" w:lineRule="auto"/>
        <w:ind w:firstLine="490" w:firstLineChars="175"/>
        <w:jc w:val="left"/>
        <w:rPr>
          <w:rFonts w:ascii="宋体" w:hAnsi="宋体" w:cs="宋体"/>
          <w:bCs/>
          <w:sz w:val="28"/>
          <w:szCs w:val="28"/>
        </w:rPr>
      </w:pPr>
      <w:r>
        <w:t>3)发生火警应立即通知巡逻人员核实情况，视情处置；</w:t>
      </w:r>
    </w:p>
    <w:p>
      <w:pPr>
        <w:spacing w:line="360" w:lineRule="auto"/>
        <w:ind w:firstLine="490" w:firstLineChars="175"/>
        <w:jc w:val="left"/>
        <w:rPr>
          <w:rFonts w:ascii="宋体" w:hAnsi="宋体" w:cs="宋体"/>
          <w:bCs/>
          <w:sz w:val="28"/>
          <w:szCs w:val="28"/>
        </w:rPr>
      </w:pPr>
      <w:r>
        <w:t>4)遇有设备或系统故障应及时报修并做好记录；</w:t>
      </w:r>
    </w:p>
    <w:p>
      <w:pPr>
        <w:spacing w:line="360" w:lineRule="auto"/>
        <w:ind w:firstLine="490" w:firstLineChars="175"/>
        <w:jc w:val="left"/>
        <w:rPr>
          <w:rFonts w:ascii="宋体" w:hAnsi="宋体" w:cs="宋体"/>
          <w:bCs/>
          <w:sz w:val="28"/>
          <w:szCs w:val="28"/>
        </w:rPr>
      </w:pPr>
      <w:r>
        <w:t>5)严格执行情况登记制度和交接班记录；</w:t>
      </w:r>
    </w:p>
    <w:p>
      <w:pPr>
        <w:spacing w:line="360" w:lineRule="auto"/>
        <w:ind w:firstLine="490" w:firstLineChars="175"/>
        <w:jc w:val="left"/>
        <w:rPr>
          <w:rFonts w:ascii="宋体" w:hAnsi="宋体" w:cs="宋体"/>
          <w:bCs/>
          <w:sz w:val="28"/>
          <w:szCs w:val="28"/>
        </w:rPr>
      </w:pPr>
      <w:r>
        <w:t>6)保持消控室整洁卫生；</w:t>
      </w:r>
    </w:p>
    <w:p>
      <w:pPr>
        <w:spacing w:line="360" w:lineRule="auto"/>
        <w:ind w:firstLine="490" w:firstLineChars="175"/>
        <w:jc w:val="left"/>
        <w:rPr>
          <w:rFonts w:ascii="宋体" w:hAnsi="宋体" w:cs="宋体"/>
          <w:bCs/>
          <w:sz w:val="28"/>
          <w:szCs w:val="28"/>
        </w:rPr>
      </w:pPr>
      <w:r>
        <w:t>7)协助班长、队长完成好学校校安处交办的其他工作任务。</w:t>
      </w:r>
    </w:p>
    <w:p>
      <w:pPr>
        <w:pStyle w:val="53"/>
        <w:spacing w:before="0" w:beforeAutospacing="0" w:after="0" w:afterAutospacing="0" w:line="360" w:lineRule="auto"/>
        <w:ind w:firstLine="495" w:firstLineChars="176"/>
        <w:rPr>
          <w:sz w:val="28"/>
          <w:szCs w:val="28"/>
        </w:rPr>
      </w:pPr>
      <w:r>
        <w:t>6.4为全方位保障学校安全，确保夜晚应对突发状况时校内有必要的安保力量，两校区每晚应当各安排10名安保人员在校内值班（含门岗值班人员，不含其他安保岗位值班人员），除门岗值班人员外，其他晚上备勤人员值班场所由学校提供。</w:t>
      </w:r>
    </w:p>
    <w:p>
      <w:pPr>
        <w:spacing w:line="360" w:lineRule="auto"/>
        <w:ind w:firstLine="492" w:firstLineChars="175"/>
        <w:jc w:val="left"/>
        <w:rPr>
          <w:rFonts w:ascii="宋体" w:hAnsi="宋体" w:cs="宋体"/>
          <w:bCs/>
          <w:sz w:val="28"/>
          <w:szCs w:val="28"/>
        </w:rPr>
      </w:pPr>
      <w:r>
        <w:t>6.5学校举办活动(含各类考试)或临时加班，按要求再投入相关人员（费用由乙方承担），确保活动安全有序；其它加班也由乙方负责。</w:t>
      </w:r>
    </w:p>
    <w:p>
      <w:pPr>
        <w:spacing w:line="360" w:lineRule="auto"/>
        <w:ind w:firstLine="492" w:firstLineChars="175"/>
        <w:jc w:val="left"/>
        <w:rPr>
          <w:rFonts w:ascii="宋体" w:hAnsi="宋体" w:cs="宋体"/>
          <w:bCs/>
          <w:sz w:val="28"/>
          <w:szCs w:val="28"/>
        </w:rPr>
      </w:pPr>
      <w:r>
        <w:t>6.6在合同期间，若服务质量很差，师生反映强烈的不满，采购人有权终止该安保合同。</w:t>
      </w:r>
    </w:p>
    <w:p>
      <w:pPr>
        <w:spacing w:line="360" w:lineRule="auto"/>
        <w:ind w:firstLine="492" w:firstLineChars="175"/>
        <w:jc w:val="left"/>
        <w:rPr>
          <w:rFonts w:ascii="宋体" w:hAnsi="宋体" w:cs="宋体"/>
          <w:b/>
          <w:bCs/>
          <w:sz w:val="28"/>
          <w:szCs w:val="28"/>
        </w:rPr>
      </w:pPr>
      <w:r>
        <w:t>6.7其他说明</w:t>
      </w:r>
    </w:p>
    <w:p>
      <w:pPr>
        <w:spacing w:line="360" w:lineRule="auto"/>
        <w:ind w:firstLine="492" w:firstLineChars="175"/>
        <w:jc w:val="left"/>
        <w:rPr>
          <w:rFonts w:ascii="宋体" w:hAnsi="宋体" w:cs="宋体"/>
          <w:bCs/>
          <w:sz w:val="28"/>
          <w:szCs w:val="28"/>
        </w:rPr>
      </w:pPr>
      <w:r>
        <w:t>6.7.1投标方在安保服务中违反国家相关法规或保安行业规范，发生自身的人身伤害、伤亡，均由投标方负责处理并承担全部经济和道义上的责任，学校不承担任何责任；</w:t>
      </w:r>
    </w:p>
    <w:p>
      <w:pPr>
        <w:spacing w:line="360" w:lineRule="auto"/>
        <w:ind w:firstLine="492" w:firstLineChars="175"/>
        <w:jc w:val="left"/>
        <w:rPr>
          <w:rFonts w:ascii="宋体" w:hAnsi="宋体" w:cs="宋体"/>
          <w:bCs/>
          <w:sz w:val="28"/>
          <w:szCs w:val="28"/>
        </w:rPr>
      </w:pPr>
      <w:r>
        <w:t>6.7.2投标方违反国家相关法规，与聘用人员发生纠纷，均由投标方负责调解与处理，学校不承担责任；</w:t>
      </w:r>
    </w:p>
    <w:p>
      <w:pPr>
        <w:spacing w:line="360" w:lineRule="auto"/>
        <w:ind w:firstLine="492" w:firstLineChars="175"/>
        <w:jc w:val="left"/>
        <w:rPr>
          <w:rFonts w:ascii="宋体" w:hAnsi="宋体" w:cs="宋体"/>
          <w:bCs/>
          <w:sz w:val="28"/>
          <w:szCs w:val="28"/>
        </w:rPr>
      </w:pPr>
      <w:r>
        <w:t>6.7.3在保安服务范围内，如因供方不履行职责或履行职责不到位等原因造成需方及人员财产损失、发生人员伤亡或等级安全事故，均由投标方负责处理并承担法律责任和道义责任，学校不承担任何责任；</w:t>
      </w:r>
    </w:p>
    <w:p>
      <w:pPr>
        <w:spacing w:line="360" w:lineRule="auto"/>
        <w:ind w:firstLine="492" w:firstLineChars="175"/>
        <w:jc w:val="left"/>
        <w:rPr>
          <w:rFonts w:ascii="宋体" w:hAnsi="宋体" w:cs="宋体"/>
          <w:bCs/>
          <w:sz w:val="28"/>
          <w:szCs w:val="28"/>
        </w:rPr>
      </w:pPr>
      <w:r>
        <w:t>6.7.4投标方采取切实有效措施保持队伍的稳定，严格控制人员轮换岗，合同期限内轮换岗人数原则上不得超过合同岗位总人数的30%。更换保安骨干，应提前1周通知需方，更换其他人员要提前三天告知甲方，严格管理，定人定岗，不得随意抽减人员，确保服务质量不因人员变动而受影响；</w:t>
      </w:r>
    </w:p>
    <w:p>
      <w:pPr>
        <w:spacing w:line="360" w:lineRule="auto"/>
        <w:ind w:firstLine="492" w:firstLineChars="175"/>
        <w:jc w:val="left"/>
        <w:rPr>
          <w:rFonts w:ascii="宋体" w:hAnsi="宋体" w:cs="宋体"/>
          <w:bCs/>
          <w:sz w:val="28"/>
          <w:szCs w:val="28"/>
        </w:rPr>
      </w:pPr>
      <w:r>
        <w:t>6.7.5安保队伍须认真履行本职工作，不得从事与安保无关的工作，学校由校安处负责与投标方的联络及对安保队伍进行监管；</w:t>
      </w:r>
    </w:p>
    <w:p>
      <w:pPr>
        <w:spacing w:line="360" w:lineRule="auto"/>
        <w:ind w:firstLine="492" w:firstLineChars="175"/>
        <w:jc w:val="left"/>
        <w:rPr>
          <w:rFonts w:ascii="宋体" w:hAnsi="宋体" w:cs="宋体"/>
          <w:bCs/>
          <w:sz w:val="28"/>
          <w:szCs w:val="28"/>
        </w:rPr>
      </w:pPr>
      <w:r>
        <w:t>6.7.6学校要求增加安保队员时，须提前3天告知中标方，费用由校方承担。</w:t>
      </w:r>
    </w:p>
    <w:p>
      <w:pPr>
        <w:spacing w:line="360" w:lineRule="auto"/>
        <w:ind w:firstLine="492" w:firstLineChars="175"/>
        <w:jc w:val="left"/>
        <w:rPr>
          <w:rFonts w:ascii="宋体" w:hAnsi="宋体" w:cs="宋体"/>
          <w:b/>
          <w:sz w:val="28"/>
          <w:szCs w:val="28"/>
          <w:u w:val="single"/>
        </w:rPr>
      </w:pPr>
      <w:r>
        <w:t>7、专项服务工作管理内容</w:t>
      </w:r>
    </w:p>
    <w:p>
      <w:pPr>
        <w:pStyle w:val="24"/>
        <w:spacing w:line="360" w:lineRule="auto"/>
        <w:ind w:firstLine="490" w:firstLineChars="175"/>
        <w:jc w:val="left"/>
        <w:rPr>
          <w:szCs w:val="28"/>
        </w:rPr>
      </w:pPr>
      <w:r>
        <w:t>专项服务工作在人事处管理下开展工作，相关业务对接与日常管理考核由人事处负责。</w:t>
      </w:r>
    </w:p>
    <w:p>
      <w:pPr>
        <w:spacing w:line="360" w:lineRule="auto"/>
        <w:ind w:firstLine="492" w:firstLineChars="175"/>
        <w:jc w:val="left"/>
        <w:rPr>
          <w:rFonts w:ascii="宋体" w:hAnsi="宋体" w:cs="宋体"/>
          <w:b/>
          <w:sz w:val="28"/>
          <w:szCs w:val="28"/>
        </w:rPr>
      </w:pPr>
      <w:r>
        <w:t>7.1费用包括</w:t>
      </w:r>
    </w:p>
    <w:p>
      <w:pPr>
        <w:spacing w:line="360" w:lineRule="auto"/>
        <w:ind w:firstLine="492" w:firstLineChars="175"/>
        <w:jc w:val="left"/>
        <w:rPr>
          <w:rFonts w:ascii="宋体" w:hAnsi="宋体" w:cs="宋体"/>
          <w:sz w:val="28"/>
          <w:szCs w:val="28"/>
        </w:rPr>
      </w:pPr>
      <w:r>
        <w:t>7.1.1人工费、管理费、税金及国家规定的费用；</w:t>
      </w:r>
    </w:p>
    <w:p>
      <w:pPr>
        <w:pStyle w:val="24"/>
        <w:spacing w:line="360" w:lineRule="auto"/>
        <w:ind w:firstLine="492" w:firstLineChars="175"/>
        <w:jc w:val="left"/>
        <w:rPr>
          <w:rFonts w:asciiTheme="minorEastAsia" w:hAnsiTheme="minorEastAsia" w:eastAsiaTheme="minorEastAsia"/>
          <w:szCs w:val="28"/>
        </w:rPr>
      </w:pPr>
      <w:r>
        <w:t>7.2服务人员职责要求</w:t>
      </w:r>
    </w:p>
    <w:p>
      <w:pPr>
        <w:pStyle w:val="24"/>
        <w:spacing w:line="360" w:lineRule="auto"/>
        <w:ind w:firstLine="492" w:firstLineChars="175"/>
        <w:jc w:val="left"/>
        <w:rPr>
          <w:rFonts w:asciiTheme="minorEastAsia" w:hAnsiTheme="minorEastAsia" w:eastAsiaTheme="minorEastAsia"/>
          <w:szCs w:val="28"/>
        </w:rPr>
      </w:pPr>
      <w:r>
        <w:t>7.2.1食堂充值人员</w:t>
      </w:r>
    </w:p>
    <w:p>
      <w:pPr>
        <w:spacing w:line="360" w:lineRule="auto"/>
        <w:ind w:firstLine="490" w:firstLineChars="175"/>
        <w:rPr>
          <w:rFonts w:asciiTheme="minorEastAsia" w:hAnsiTheme="minorEastAsia" w:eastAsiaTheme="minorEastAsia"/>
          <w:sz w:val="28"/>
          <w:szCs w:val="28"/>
        </w:rPr>
      </w:pPr>
      <w:r>
        <w:t>1)负责学生卡食堂饭菜票充值管理和服务工作；</w:t>
      </w:r>
    </w:p>
    <w:p>
      <w:pPr>
        <w:spacing w:line="360" w:lineRule="auto"/>
        <w:ind w:firstLine="490" w:firstLineChars="175"/>
        <w:rPr>
          <w:rFonts w:asciiTheme="minorEastAsia" w:hAnsiTheme="minorEastAsia" w:eastAsiaTheme="minorEastAsia"/>
          <w:sz w:val="28"/>
          <w:szCs w:val="28"/>
        </w:rPr>
      </w:pPr>
      <w:r>
        <w:t>2)负责学生伙食补助费的集中充值工作；</w:t>
      </w:r>
    </w:p>
    <w:p>
      <w:pPr>
        <w:spacing w:line="360" w:lineRule="auto"/>
        <w:ind w:firstLine="490" w:firstLineChars="175"/>
        <w:rPr>
          <w:rFonts w:asciiTheme="minorEastAsia" w:hAnsiTheme="minorEastAsia" w:eastAsiaTheme="minorEastAsia"/>
          <w:sz w:val="28"/>
          <w:szCs w:val="28"/>
        </w:rPr>
      </w:pPr>
      <w:r>
        <w:t>3)负责临时卡或教师卡的食堂饭菜票充值工作；</w:t>
      </w:r>
    </w:p>
    <w:p>
      <w:pPr>
        <w:spacing w:line="360" w:lineRule="auto"/>
        <w:ind w:firstLine="490" w:firstLineChars="175"/>
        <w:rPr>
          <w:rFonts w:asciiTheme="minorEastAsia" w:hAnsiTheme="minorEastAsia" w:eastAsiaTheme="minorEastAsia"/>
          <w:sz w:val="28"/>
          <w:szCs w:val="28"/>
        </w:rPr>
      </w:pPr>
      <w:r>
        <w:t>4)负责食堂账户的对账工作；</w:t>
      </w:r>
    </w:p>
    <w:p>
      <w:pPr>
        <w:spacing w:line="360" w:lineRule="auto"/>
        <w:ind w:firstLine="490" w:firstLineChars="175"/>
        <w:rPr>
          <w:rFonts w:asciiTheme="minorEastAsia" w:hAnsiTheme="minorEastAsia" w:eastAsiaTheme="minorEastAsia"/>
          <w:sz w:val="28"/>
          <w:szCs w:val="28"/>
        </w:rPr>
      </w:pPr>
      <w:r>
        <w:t>5)负责食堂相关的现金管理工作；</w:t>
      </w:r>
    </w:p>
    <w:p>
      <w:pPr>
        <w:pStyle w:val="24"/>
        <w:spacing w:line="360" w:lineRule="auto"/>
        <w:ind w:firstLine="490" w:firstLineChars="175"/>
        <w:jc w:val="left"/>
        <w:rPr>
          <w:rFonts w:asciiTheme="minorEastAsia" w:hAnsiTheme="minorEastAsia" w:eastAsiaTheme="minorEastAsia"/>
          <w:szCs w:val="28"/>
        </w:rPr>
      </w:pPr>
      <w:r>
        <w:t>6)完成领导交办的其他工作。</w:t>
      </w:r>
    </w:p>
    <w:p>
      <w:pPr>
        <w:spacing w:line="360" w:lineRule="auto"/>
        <w:ind w:firstLine="492" w:firstLineChars="175"/>
        <w:jc w:val="left"/>
        <w:rPr>
          <w:rFonts w:ascii="宋体" w:hAnsi="宋体" w:cs="宋体"/>
          <w:b/>
          <w:sz w:val="28"/>
          <w:szCs w:val="28"/>
        </w:rPr>
      </w:pPr>
      <w:r>
        <w:t>7.2.2智慧教室管理员</w:t>
      </w:r>
    </w:p>
    <w:p>
      <w:pPr>
        <w:spacing w:line="360" w:lineRule="auto"/>
        <w:ind w:firstLine="490" w:firstLineChars="175"/>
        <w:jc w:val="left"/>
        <w:rPr>
          <w:sz w:val="28"/>
          <w:szCs w:val="28"/>
        </w:rPr>
      </w:pPr>
      <w:r>
        <w:t>1)负责制定智慧教室、翻转教室的管理规定；</w:t>
      </w:r>
    </w:p>
    <w:p>
      <w:pPr>
        <w:spacing w:line="360" w:lineRule="auto"/>
        <w:ind w:firstLine="490" w:firstLineChars="175"/>
        <w:jc w:val="left"/>
        <w:rPr>
          <w:sz w:val="28"/>
          <w:szCs w:val="28"/>
        </w:rPr>
      </w:pPr>
      <w:r>
        <w:t>2)负责双校区15个翻转教室的投影机、中控、音响、计算机、多媒体讲台、银幕等设备的日常管理和维护工作；</w:t>
      </w:r>
    </w:p>
    <w:p>
      <w:pPr>
        <w:spacing w:line="360" w:lineRule="auto"/>
        <w:ind w:firstLine="490" w:firstLineChars="175"/>
        <w:jc w:val="left"/>
        <w:rPr>
          <w:sz w:val="28"/>
          <w:szCs w:val="28"/>
        </w:rPr>
      </w:pPr>
      <w:r>
        <w:t>3)负责奉化校区5个智慧录播教室多媒体设备的管理和维护及新型技术设备的功能测试和使用推广工作；</w:t>
      </w:r>
    </w:p>
    <w:p>
      <w:pPr>
        <w:spacing w:line="360" w:lineRule="auto"/>
        <w:ind w:firstLine="490" w:firstLineChars="175"/>
        <w:jc w:val="left"/>
        <w:rPr>
          <w:sz w:val="28"/>
          <w:szCs w:val="28"/>
        </w:rPr>
      </w:pPr>
      <w:r>
        <w:t>4)负责相关课程的教学视频录播和后期制作工作；</w:t>
      </w:r>
    </w:p>
    <w:p>
      <w:pPr>
        <w:spacing w:line="360" w:lineRule="auto"/>
        <w:ind w:firstLine="490" w:firstLineChars="175"/>
        <w:jc w:val="left"/>
        <w:rPr>
          <w:sz w:val="28"/>
          <w:szCs w:val="28"/>
        </w:rPr>
      </w:pPr>
      <w:r>
        <w:t>5)利用智慧教室（录播教室）对课程开展有计划的常态化录播；</w:t>
      </w:r>
    </w:p>
    <w:p>
      <w:pPr>
        <w:spacing w:line="360" w:lineRule="auto"/>
        <w:ind w:firstLine="490" w:firstLineChars="175"/>
        <w:jc w:val="left"/>
        <w:rPr>
          <w:sz w:val="28"/>
          <w:szCs w:val="28"/>
        </w:rPr>
      </w:pPr>
      <w:r>
        <w:t>6)负责为师生个性化教学提供技术支持服务；</w:t>
      </w:r>
    </w:p>
    <w:p>
      <w:pPr>
        <w:spacing w:line="360" w:lineRule="auto"/>
        <w:ind w:firstLine="490" w:firstLineChars="175"/>
        <w:jc w:val="left"/>
        <w:rPr>
          <w:sz w:val="28"/>
          <w:szCs w:val="28"/>
        </w:rPr>
      </w:pPr>
      <w:r>
        <w:t>7)负责标准化考场中控室的系统管理和技术支持；</w:t>
      </w:r>
    </w:p>
    <w:p>
      <w:pPr>
        <w:spacing w:line="360" w:lineRule="auto"/>
        <w:ind w:firstLine="490" w:firstLineChars="175"/>
        <w:jc w:val="left"/>
        <w:rPr>
          <w:rFonts w:asciiTheme="minorEastAsia" w:hAnsiTheme="minorEastAsia" w:eastAsiaTheme="minorEastAsia"/>
          <w:sz w:val="28"/>
          <w:szCs w:val="28"/>
        </w:rPr>
      </w:pPr>
      <w:r>
        <w:t>8)完成部门领导交办的其它工作。</w:t>
      </w:r>
    </w:p>
    <w:p>
      <w:pPr>
        <w:pStyle w:val="24"/>
        <w:spacing w:line="360" w:lineRule="auto"/>
        <w:ind w:firstLine="492" w:firstLineChars="175"/>
        <w:jc w:val="left"/>
        <w:rPr>
          <w:rFonts w:cs="宋体" w:asciiTheme="minorEastAsia" w:hAnsiTheme="minorEastAsia" w:eastAsiaTheme="minorEastAsia"/>
          <w:szCs w:val="28"/>
        </w:rPr>
      </w:pPr>
      <w:r>
        <w:t>7.2.3文印与收发管理员</w:t>
      </w:r>
    </w:p>
    <w:p>
      <w:pPr>
        <w:pStyle w:val="24"/>
        <w:spacing w:line="360" w:lineRule="auto"/>
        <w:ind w:firstLine="465"/>
        <w:jc w:val="left"/>
        <w:rPr>
          <w:rFonts w:asciiTheme="minorEastAsia" w:hAnsiTheme="minorEastAsia" w:eastAsiaTheme="minorEastAsia"/>
          <w:szCs w:val="28"/>
        </w:rPr>
      </w:pPr>
      <w:r>
        <w:t>1)负责文印室及收发室相关工作；</w:t>
      </w:r>
    </w:p>
    <w:p>
      <w:pPr>
        <w:pStyle w:val="24"/>
        <w:spacing w:line="360" w:lineRule="auto"/>
        <w:ind w:firstLine="465"/>
        <w:jc w:val="left"/>
        <w:rPr>
          <w:rFonts w:asciiTheme="minorEastAsia" w:hAnsiTheme="minorEastAsia" w:eastAsiaTheme="minorEastAsia"/>
          <w:szCs w:val="28"/>
        </w:rPr>
      </w:pPr>
      <w:r>
        <w:t>2)每日上午10：00前完成校内信件报刊杂志等收发工作；</w:t>
      </w:r>
    </w:p>
    <w:p>
      <w:pPr>
        <w:pStyle w:val="24"/>
        <w:spacing w:line="360" w:lineRule="auto"/>
        <w:ind w:firstLine="465"/>
        <w:jc w:val="left"/>
        <w:rPr>
          <w:rFonts w:asciiTheme="minorEastAsia" w:hAnsiTheme="minorEastAsia" w:eastAsiaTheme="minorEastAsia"/>
          <w:szCs w:val="28"/>
        </w:rPr>
      </w:pPr>
      <w:r>
        <w:t>3)负责全校办公用品的接货、保管、领用登记及帐目核对工作；</w:t>
      </w:r>
    </w:p>
    <w:p>
      <w:pPr>
        <w:pStyle w:val="24"/>
        <w:spacing w:line="360" w:lineRule="auto"/>
        <w:ind w:firstLine="465"/>
        <w:jc w:val="left"/>
        <w:rPr>
          <w:rFonts w:cs="宋体"/>
          <w:szCs w:val="28"/>
        </w:rPr>
      </w:pPr>
      <w:r>
        <w:t>4)负责文印室纸张进出登记工作和文印登记工作；</w:t>
      </w:r>
    </w:p>
    <w:p>
      <w:pPr>
        <w:pStyle w:val="24"/>
        <w:spacing w:line="360" w:lineRule="auto"/>
        <w:ind w:firstLine="465"/>
        <w:jc w:val="left"/>
        <w:rPr>
          <w:rFonts w:cs="宋体"/>
          <w:szCs w:val="28"/>
        </w:rPr>
      </w:pPr>
      <w:r>
        <w:t>5)负责学校教职员工日常办公类快递代寄，方式由办理人至文印室办理，管理员做好收发所涉经费的登记报销工作；</w:t>
      </w:r>
    </w:p>
    <w:p>
      <w:pPr>
        <w:pStyle w:val="24"/>
        <w:spacing w:line="360" w:lineRule="auto"/>
        <w:ind w:firstLine="465"/>
        <w:jc w:val="left"/>
        <w:rPr>
          <w:rFonts w:cs="宋体"/>
          <w:szCs w:val="28"/>
        </w:rPr>
      </w:pPr>
      <w:r>
        <w:t>6)完成和落实上级交办的各项工作。</w:t>
      </w:r>
    </w:p>
    <w:p>
      <w:pPr>
        <w:pStyle w:val="24"/>
        <w:spacing w:line="360" w:lineRule="auto"/>
        <w:ind w:firstLine="465"/>
        <w:jc w:val="left"/>
        <w:rPr>
          <w:rFonts w:cs="宋体"/>
          <w:szCs w:val="28"/>
        </w:rPr>
      </w:pPr>
      <w:r>
        <w:t>7.2.4图书信息中心流通管理员</w:t>
      </w:r>
    </w:p>
    <w:p>
      <w:pPr>
        <w:pStyle w:val="24"/>
        <w:spacing w:line="360" w:lineRule="auto"/>
        <w:ind w:firstLine="465"/>
        <w:jc w:val="left"/>
        <w:rPr>
          <w:rFonts w:cs="宋体" w:asciiTheme="minorEastAsia" w:hAnsiTheme="minorEastAsia" w:eastAsiaTheme="minorEastAsia"/>
          <w:szCs w:val="28"/>
        </w:rPr>
      </w:pPr>
      <w:r>
        <w:t>在图书馆开放期间，主要负责晚间和节假日馆内安全巡逻、纪律检查、书刊整理等开放管理工作，协助做好图书馆图书期刊管理的其他工作。</w:t>
      </w:r>
    </w:p>
    <w:p>
      <w:pPr>
        <w:pStyle w:val="24"/>
        <w:spacing w:line="360" w:lineRule="auto"/>
        <w:ind w:firstLine="465"/>
        <w:jc w:val="left"/>
        <w:rPr>
          <w:rFonts w:cs="宋体"/>
          <w:szCs w:val="28"/>
        </w:rPr>
      </w:pPr>
      <w:r>
        <w:t>7.2.5信息中心机房运维管理员</w:t>
      </w:r>
    </w:p>
    <w:p>
      <w:pPr>
        <w:pStyle w:val="24"/>
        <w:spacing w:line="360" w:lineRule="auto"/>
        <w:ind w:firstLine="465"/>
        <w:jc w:val="left"/>
        <w:rPr>
          <w:rFonts w:asciiTheme="minorEastAsia" w:hAnsiTheme="minorEastAsia" w:eastAsiaTheme="minorEastAsia"/>
          <w:b/>
          <w:szCs w:val="28"/>
        </w:rPr>
      </w:pPr>
      <w:r>
        <w:t>承担公共机房运维管理、信息安全等任务</w:t>
      </w:r>
    </w:p>
    <w:p>
      <w:pPr>
        <w:pStyle w:val="24"/>
        <w:spacing w:line="360" w:lineRule="auto"/>
        <w:ind w:firstLine="465"/>
        <w:jc w:val="left"/>
        <w:rPr>
          <w:rFonts w:cs="宋体"/>
          <w:szCs w:val="28"/>
        </w:rPr>
      </w:pPr>
      <w:r>
        <w:t>7.2.6信息中心弱电维修员</w:t>
      </w:r>
    </w:p>
    <w:p>
      <w:pPr>
        <w:pStyle w:val="24"/>
        <w:spacing w:line="360" w:lineRule="auto"/>
        <w:ind w:firstLine="465"/>
        <w:jc w:val="left"/>
        <w:rPr>
          <w:rFonts w:asciiTheme="minorEastAsia" w:hAnsiTheme="minorEastAsia" w:eastAsiaTheme="minorEastAsia"/>
          <w:b/>
          <w:szCs w:val="28"/>
        </w:rPr>
      </w:pPr>
      <w:r>
        <w:t>维护多媒体教学及办公设备</w:t>
      </w:r>
    </w:p>
    <w:p>
      <w:pPr>
        <w:pStyle w:val="24"/>
        <w:spacing w:line="360" w:lineRule="auto"/>
        <w:ind w:firstLine="465"/>
        <w:jc w:val="left"/>
        <w:rPr>
          <w:rFonts w:cs="宋体"/>
          <w:szCs w:val="28"/>
        </w:rPr>
      </w:pPr>
      <w:r>
        <w:t>7.2.7语音室管理员</w:t>
      </w:r>
    </w:p>
    <w:p>
      <w:pPr>
        <w:pStyle w:val="24"/>
        <w:spacing w:line="360" w:lineRule="auto"/>
        <w:ind w:firstLine="465"/>
        <w:jc w:val="left"/>
        <w:rPr>
          <w:rFonts w:asciiTheme="minorEastAsia" w:hAnsiTheme="minorEastAsia" w:eastAsiaTheme="minorEastAsia"/>
          <w:szCs w:val="28"/>
        </w:rPr>
      </w:pPr>
      <w:r>
        <w:t>1)上课前30分钟开启语音教室各项设备，确认各设备能良好运转；授课结束后，及时检查各软硬件状态，如发现问题及时修理维护；</w:t>
      </w:r>
    </w:p>
    <w:p>
      <w:pPr>
        <w:pStyle w:val="24"/>
        <w:spacing w:line="360" w:lineRule="auto"/>
        <w:ind w:firstLine="465"/>
        <w:jc w:val="left"/>
        <w:rPr>
          <w:rFonts w:asciiTheme="minorEastAsia" w:hAnsiTheme="minorEastAsia" w:eastAsiaTheme="minorEastAsia"/>
          <w:szCs w:val="28"/>
        </w:rPr>
      </w:pPr>
      <w:r>
        <w:t>2)熟悉语音室硬件设备和教学软件的各项功能和细节设计，及时解决教师在授课过程中遇到的各类软硬件操作技术问题、故障问题；</w:t>
      </w:r>
    </w:p>
    <w:p>
      <w:pPr>
        <w:pStyle w:val="24"/>
        <w:spacing w:line="360" w:lineRule="auto"/>
        <w:ind w:firstLine="465"/>
        <w:jc w:val="left"/>
        <w:rPr>
          <w:rFonts w:asciiTheme="minorEastAsia" w:hAnsiTheme="minorEastAsia" w:eastAsiaTheme="minorEastAsia"/>
          <w:szCs w:val="28"/>
        </w:rPr>
      </w:pPr>
      <w:r>
        <w:t>3)适时打扫和整理语音办公室，每天授课结束后，及时关闭办公室和语音教室电源，锁好门窗，确保语音室财产安全；</w:t>
      </w:r>
    </w:p>
    <w:p>
      <w:pPr>
        <w:pStyle w:val="24"/>
        <w:spacing w:line="360" w:lineRule="auto"/>
        <w:ind w:firstLine="465"/>
        <w:jc w:val="left"/>
        <w:rPr>
          <w:rFonts w:asciiTheme="minorEastAsia" w:hAnsiTheme="minorEastAsia" w:eastAsiaTheme="minorEastAsia"/>
          <w:szCs w:val="28"/>
        </w:rPr>
      </w:pPr>
      <w:r>
        <w:t>4)在遇到自身无法解决的技术问题时，及时联系语音室承建单位工程师，共同妥善解决问题；</w:t>
      </w:r>
    </w:p>
    <w:p>
      <w:pPr>
        <w:pStyle w:val="24"/>
        <w:spacing w:line="360" w:lineRule="auto"/>
        <w:ind w:firstLine="465"/>
        <w:jc w:val="left"/>
        <w:rPr>
          <w:rFonts w:asciiTheme="minorEastAsia" w:hAnsiTheme="minorEastAsia" w:eastAsiaTheme="minorEastAsia"/>
          <w:b/>
          <w:szCs w:val="28"/>
        </w:rPr>
      </w:pPr>
      <w:r>
        <w:t>5)完成学院和教研室交办的其他相关工作。</w:t>
      </w:r>
    </w:p>
    <w:p>
      <w:pPr>
        <w:pStyle w:val="24"/>
        <w:spacing w:line="360" w:lineRule="auto"/>
        <w:ind w:firstLine="465"/>
        <w:jc w:val="left"/>
        <w:rPr>
          <w:rFonts w:cs="宋体"/>
          <w:szCs w:val="28"/>
        </w:rPr>
      </w:pPr>
      <w:r>
        <w:t>7.2.8器材室管理员</w:t>
      </w:r>
    </w:p>
    <w:p>
      <w:pPr>
        <w:pStyle w:val="24"/>
        <w:spacing w:line="360" w:lineRule="auto"/>
        <w:ind w:firstLine="465"/>
        <w:jc w:val="left"/>
        <w:rPr>
          <w:szCs w:val="28"/>
        </w:rPr>
      </w:pPr>
      <w:r>
        <w:t>1)建立财产管理账目，有严格的借用手续和赔偿制度，并认真执行；</w:t>
      </w:r>
    </w:p>
    <w:p>
      <w:pPr>
        <w:pStyle w:val="24"/>
        <w:spacing w:line="360" w:lineRule="auto"/>
        <w:ind w:firstLine="465"/>
        <w:jc w:val="left"/>
        <w:rPr>
          <w:szCs w:val="28"/>
        </w:rPr>
      </w:pPr>
      <w:r>
        <w:t>2)熟悉各年级教学进度，根据教师上课需用器材，提前做好准备，保证上课使用。课结束后，要清点器材数量，发现短缺或损坏及时处理；</w:t>
      </w:r>
    </w:p>
    <w:p>
      <w:pPr>
        <w:pStyle w:val="24"/>
        <w:spacing w:line="360" w:lineRule="auto"/>
        <w:ind w:firstLine="465"/>
        <w:jc w:val="left"/>
        <w:rPr>
          <w:szCs w:val="28"/>
        </w:rPr>
      </w:pPr>
      <w:r>
        <w:t>3)经常打扫器材室，保持室内整洁。器材存放要得当、有序、搬运方便；</w:t>
      </w:r>
    </w:p>
    <w:p>
      <w:pPr>
        <w:pStyle w:val="24"/>
        <w:spacing w:line="360" w:lineRule="auto"/>
        <w:ind w:firstLine="465"/>
        <w:jc w:val="left"/>
        <w:rPr>
          <w:szCs w:val="28"/>
        </w:rPr>
      </w:pPr>
      <w:r>
        <w:t>4)经常检查固定器材，发现损坏要及时报修，防止伤害事故的发生；</w:t>
      </w:r>
    </w:p>
    <w:p>
      <w:pPr>
        <w:pStyle w:val="24"/>
        <w:spacing w:line="360" w:lineRule="auto"/>
        <w:ind w:firstLine="465"/>
        <w:jc w:val="left"/>
        <w:rPr>
          <w:szCs w:val="28"/>
        </w:rPr>
      </w:pPr>
      <w:r>
        <w:t>5)加强对海绵垫等器材的防腐安置，应经常检查或更换存入位置；</w:t>
      </w:r>
    </w:p>
    <w:p>
      <w:pPr>
        <w:pStyle w:val="24"/>
        <w:spacing w:line="360" w:lineRule="auto"/>
        <w:ind w:firstLine="465"/>
        <w:jc w:val="left"/>
        <w:rPr>
          <w:szCs w:val="28"/>
        </w:rPr>
      </w:pPr>
      <w:r>
        <w:t>6)定期清点器材，做到帐物相符，对损坏的器材填写单据，上报注销，根据器材的损坏程度提出维修和购置计划；</w:t>
      </w:r>
    </w:p>
    <w:p>
      <w:pPr>
        <w:pStyle w:val="24"/>
        <w:spacing w:line="360" w:lineRule="auto"/>
        <w:ind w:firstLine="465"/>
        <w:jc w:val="left"/>
        <w:rPr>
          <w:rFonts w:cs="宋体"/>
          <w:szCs w:val="28"/>
        </w:rPr>
      </w:pPr>
      <w:r>
        <w:t>7)完成领导交办的其他工作。</w:t>
      </w:r>
    </w:p>
    <w:p>
      <w:pPr>
        <w:spacing w:line="360" w:lineRule="auto"/>
        <w:ind w:firstLine="565" w:firstLineChars="201"/>
        <w:rPr>
          <w:rFonts w:asciiTheme="minorEastAsia" w:hAnsiTheme="minorEastAsia" w:eastAsiaTheme="minorEastAsia"/>
          <w:b/>
          <w:sz w:val="28"/>
          <w:szCs w:val="28"/>
        </w:rPr>
      </w:pPr>
      <w:r>
        <w:t>7.3人员管理具体要求</w:t>
      </w:r>
    </w:p>
    <w:p>
      <w:pPr>
        <w:spacing w:line="360" w:lineRule="auto"/>
        <w:ind w:firstLine="565" w:firstLineChars="201"/>
        <w:rPr>
          <w:rFonts w:asciiTheme="minorEastAsia" w:hAnsiTheme="minorEastAsia" w:eastAsiaTheme="minorEastAsia"/>
          <w:sz w:val="28"/>
          <w:szCs w:val="28"/>
        </w:rPr>
      </w:pPr>
      <w:r>
        <w:t>7.3.1相关务工人员应严格按要求配备且人员应相对固定，非因校方要求替换外包人员的， 中标方应确保外包人员须连续工作时间在一年以上；</w:t>
      </w:r>
    </w:p>
    <w:p>
      <w:pPr>
        <w:spacing w:line="360" w:lineRule="auto"/>
        <w:ind w:firstLine="565" w:firstLineChars="201"/>
        <w:rPr>
          <w:rFonts w:asciiTheme="minorEastAsia" w:hAnsiTheme="minorEastAsia" w:eastAsiaTheme="minorEastAsia"/>
          <w:sz w:val="28"/>
          <w:szCs w:val="28"/>
        </w:rPr>
      </w:pPr>
      <w:r>
        <w:t>7.3.2中标方应为人员购买人身意外伤害险（此费用包含在投标人报价的管理费中）；</w:t>
      </w:r>
    </w:p>
    <w:p>
      <w:pPr>
        <w:spacing w:line="360" w:lineRule="auto"/>
        <w:ind w:firstLine="565" w:firstLineChars="201"/>
        <w:rPr>
          <w:rFonts w:asciiTheme="minorEastAsia" w:hAnsiTheme="minorEastAsia" w:eastAsiaTheme="minorEastAsia"/>
          <w:sz w:val="28"/>
          <w:szCs w:val="28"/>
        </w:rPr>
      </w:pPr>
      <w:r>
        <w:t>7.3.3人员应持有相应的人员资格证书，并具备与证书相符合的任职技能；</w:t>
      </w:r>
    </w:p>
    <w:p>
      <w:pPr>
        <w:spacing w:line="360" w:lineRule="auto"/>
        <w:ind w:firstLine="565" w:firstLineChars="201"/>
        <w:rPr>
          <w:rFonts w:asciiTheme="minorEastAsia" w:hAnsiTheme="minorEastAsia" w:eastAsiaTheme="minorEastAsia"/>
          <w:sz w:val="28"/>
          <w:szCs w:val="28"/>
        </w:rPr>
      </w:pPr>
      <w:r>
        <w:t>7.3.4人员健康状况良好，无隐疾，无传染性疾病、精神性疾病和其他影响工作的伤、病；</w:t>
      </w:r>
    </w:p>
    <w:p>
      <w:pPr>
        <w:spacing w:line="360" w:lineRule="auto"/>
        <w:ind w:firstLine="565" w:firstLineChars="201"/>
        <w:rPr>
          <w:rFonts w:asciiTheme="minorEastAsia" w:hAnsiTheme="minorEastAsia" w:eastAsiaTheme="minorEastAsia"/>
          <w:sz w:val="28"/>
          <w:szCs w:val="28"/>
        </w:rPr>
      </w:pPr>
      <w:r>
        <w:t>7.3.5人员不能胜任岗位或有违纪违规情况的，经校方提供相应证据和提出更换要求，中标方须于10个工作日内更换人员。</w:t>
      </w:r>
    </w:p>
    <w:p>
      <w:pPr>
        <w:spacing w:line="360" w:lineRule="auto"/>
        <w:ind w:firstLine="565" w:firstLineChars="201"/>
        <w:rPr>
          <w:rFonts w:asciiTheme="minorEastAsia" w:hAnsiTheme="minorEastAsia" w:eastAsiaTheme="minorEastAsia"/>
          <w:b/>
          <w:sz w:val="28"/>
          <w:szCs w:val="28"/>
        </w:rPr>
      </w:pPr>
      <w:r>
        <w:t>7.4双方的权利和义务</w:t>
      </w:r>
    </w:p>
    <w:p>
      <w:pPr>
        <w:spacing w:line="360" w:lineRule="auto"/>
        <w:ind w:firstLine="565" w:firstLineChars="201"/>
        <w:rPr>
          <w:rFonts w:asciiTheme="minorEastAsia" w:hAnsiTheme="minorEastAsia" w:eastAsiaTheme="minorEastAsia"/>
          <w:sz w:val="28"/>
          <w:szCs w:val="28"/>
        </w:rPr>
      </w:pPr>
      <w:r>
        <w:t>7.4.1校方有权代表和维护产权人的合法权益；</w:t>
      </w:r>
    </w:p>
    <w:p>
      <w:pPr>
        <w:spacing w:line="360" w:lineRule="auto"/>
        <w:ind w:firstLine="565" w:firstLineChars="201"/>
        <w:rPr>
          <w:rFonts w:asciiTheme="minorEastAsia" w:hAnsiTheme="minorEastAsia" w:eastAsiaTheme="minorEastAsia"/>
          <w:sz w:val="28"/>
          <w:szCs w:val="28"/>
        </w:rPr>
      </w:pPr>
      <w:r>
        <w:t xml:space="preserve">7.4.2校方有权检查监督中标方管理服务工作的实施及制度的执行情况； </w:t>
      </w:r>
    </w:p>
    <w:p>
      <w:pPr>
        <w:spacing w:line="360" w:lineRule="auto"/>
        <w:ind w:firstLine="565" w:firstLineChars="201"/>
        <w:rPr>
          <w:rFonts w:asciiTheme="minorEastAsia" w:hAnsiTheme="minorEastAsia" w:eastAsiaTheme="minorEastAsia"/>
          <w:sz w:val="28"/>
          <w:szCs w:val="28"/>
        </w:rPr>
      </w:pPr>
      <w:r>
        <w:t>7.4.3校方有权对约定的工作要求进行检查，并督促中标方按要求实施，有权对中标方工作质量进行定期考核，具体考核方案与中标方协商议定；</w:t>
      </w:r>
    </w:p>
    <w:p>
      <w:pPr>
        <w:spacing w:line="360" w:lineRule="auto"/>
        <w:ind w:firstLine="565" w:firstLineChars="201"/>
        <w:rPr>
          <w:rFonts w:asciiTheme="minorEastAsia" w:hAnsiTheme="minorEastAsia" w:eastAsiaTheme="minorEastAsia"/>
          <w:sz w:val="28"/>
          <w:szCs w:val="28"/>
        </w:rPr>
      </w:pPr>
      <w:r>
        <w:t>7.4.4校方有权对中标方派驻员工发现有不符合上岗要求的提出更换建议；</w:t>
      </w:r>
    </w:p>
    <w:p>
      <w:pPr>
        <w:spacing w:before="120" w:beforeLines="50" w:line="360" w:lineRule="auto"/>
        <w:ind w:firstLine="492" w:firstLineChars="175"/>
        <w:jc w:val="left"/>
        <w:rPr>
          <w:rFonts w:ascii="宋体" w:hAnsi="宋体"/>
          <w:sz w:val="28"/>
          <w:szCs w:val="28"/>
        </w:rPr>
      </w:pPr>
      <w:r>
        <w:t>7.4.5校方支持中标方依本合同开展的各项工作，并向管理部门进行协调；</w:t>
      </w:r>
    </w:p>
    <w:p>
      <w:pPr>
        <w:tabs>
          <w:tab w:val="left" w:pos="45"/>
          <w:tab w:val="center" w:pos="4153"/>
        </w:tabs>
        <w:spacing w:line="360" w:lineRule="auto"/>
        <w:ind w:firstLine="492" w:firstLineChars="175"/>
        <w:jc w:val="left"/>
        <w:rPr>
          <w:rFonts w:ascii="宋体" w:hAnsi="宋体"/>
          <w:bCs/>
          <w:sz w:val="28"/>
          <w:szCs w:val="28"/>
        </w:rPr>
      </w:pPr>
      <w:r>
        <w:t>7.4.6中标方须严格按协议中的管理要求做好各项工作，确保外包人员在岗在位、各尽其职，确保服务质量；</w:t>
      </w:r>
    </w:p>
    <w:p>
      <w:pPr>
        <w:tabs>
          <w:tab w:val="left" w:pos="45"/>
          <w:tab w:val="center" w:pos="4153"/>
        </w:tabs>
        <w:spacing w:line="360" w:lineRule="auto"/>
        <w:ind w:firstLine="492" w:firstLineChars="175"/>
        <w:jc w:val="left"/>
        <w:rPr>
          <w:rFonts w:ascii="宋体" w:hAnsi="宋体"/>
          <w:bCs/>
          <w:sz w:val="28"/>
          <w:szCs w:val="28"/>
        </w:rPr>
      </w:pPr>
      <w:r>
        <w:t>7.4.7中标方必须配合校方对上岗人员按规定进行岗位培训，并对上岗人员定期进行职业道德及安全教育，端正服务态度，提高服务质量。督促外包人员遵守校方的各项规章制度及工作规范，维护校方形象，服从领导。对不遵守劳动纪律，工作作风拖拉等情况的员工，经查实后给予相应处罚，并且如校方要求中标方对外包人员进行更换的，中标方应当在校方给定时间内更换符合要求的外包人员，如中标方拒绝更改或更改后的员工仍达不到校方要求的，中标方承担相应违约责任。</w:t>
      </w:r>
    </w:p>
    <w:p>
      <w:pPr>
        <w:spacing w:line="360" w:lineRule="auto"/>
        <w:ind w:firstLine="492" w:firstLineChars="175"/>
        <w:jc w:val="left"/>
        <w:rPr>
          <w:rFonts w:ascii="宋体" w:hAnsi="宋体" w:cs="宋体"/>
          <w:b/>
          <w:sz w:val="28"/>
          <w:szCs w:val="28"/>
          <w:u w:val="single"/>
        </w:rPr>
      </w:pPr>
      <w:r>
        <w:t>8、其他相关工作内容</w:t>
      </w:r>
    </w:p>
    <w:p>
      <w:pPr>
        <w:pStyle w:val="24"/>
        <w:spacing w:line="360" w:lineRule="auto"/>
        <w:ind w:firstLine="425" w:firstLineChars="152"/>
        <w:jc w:val="left"/>
        <w:rPr>
          <w:szCs w:val="28"/>
        </w:rPr>
      </w:pPr>
      <w:r>
        <w:t>其他工作为单列费用，由校方根据列年支出情况评估后计入总费用，由中标方根据学校要求代表学校与第三方服务单位做好协商与服务工作。</w:t>
      </w:r>
    </w:p>
    <w:p>
      <w:pPr>
        <w:spacing w:line="360" w:lineRule="auto"/>
        <w:ind w:firstLine="492" w:firstLineChars="175"/>
        <w:jc w:val="left"/>
        <w:rPr>
          <w:rFonts w:ascii="宋体" w:hAnsi="宋体" w:cs="宋体"/>
          <w:sz w:val="28"/>
          <w:szCs w:val="28"/>
        </w:rPr>
      </w:pPr>
      <w:r>
        <w:t>8.1生活垃圾清运工作：积极与环卫部门做好沟通，代表学校签订相关生活垃圾及化粪池的清运合约，做好校内生活垃圾及化粪池的清运工作。</w:t>
      </w:r>
    </w:p>
    <w:p>
      <w:pPr>
        <w:spacing w:line="360" w:lineRule="auto"/>
        <w:ind w:firstLine="492" w:firstLineChars="175"/>
        <w:jc w:val="left"/>
        <w:rPr>
          <w:rFonts w:ascii="宋体" w:hAnsi="宋体" w:cs="宋体"/>
          <w:sz w:val="28"/>
          <w:szCs w:val="28"/>
        </w:rPr>
      </w:pPr>
      <w:r>
        <w:t>8.2饮用水开水器维保工作：根据学校提供厂家，与校内饮用水开水器服务商签订日常维护保养合约，确保机器良好运行，过滤滤芯更换及时。</w:t>
      </w:r>
    </w:p>
    <w:p>
      <w:pPr>
        <w:spacing w:line="360" w:lineRule="auto"/>
        <w:ind w:firstLine="492" w:firstLineChars="175"/>
        <w:jc w:val="left"/>
        <w:rPr>
          <w:rFonts w:ascii="宋体" w:hAnsi="宋体" w:cs="宋体"/>
          <w:sz w:val="28"/>
          <w:szCs w:val="28"/>
        </w:rPr>
      </w:pPr>
      <w:r>
        <w:t>8.3除“四害”消杀工作：根据学校要求，严格按照《宁波市除四害工作管理条例》做好每年2次的除“四害”消杀工作。</w:t>
      </w:r>
    </w:p>
    <w:p>
      <w:pPr>
        <w:pStyle w:val="24"/>
        <w:spacing w:line="360" w:lineRule="auto"/>
        <w:ind w:firstLine="498" w:firstLineChars="177"/>
        <w:jc w:val="left"/>
        <w:rPr>
          <w:rFonts w:ascii="宋体" w:hAnsi="宋体" w:cs="宋体"/>
          <w:szCs w:val="28"/>
        </w:rPr>
      </w:pPr>
      <w:r>
        <w:t>8.3.1中标方代表学校与具有专业服务资质的消杀防治单位签订合约；</w:t>
      </w:r>
    </w:p>
    <w:p>
      <w:pPr>
        <w:pStyle w:val="24"/>
        <w:spacing w:line="360" w:lineRule="auto"/>
        <w:ind w:firstLine="498" w:firstLineChars="177"/>
        <w:jc w:val="left"/>
        <w:rPr>
          <w:rFonts w:ascii="宋体" w:hAnsi="宋体" w:cs="宋体"/>
          <w:szCs w:val="28"/>
        </w:rPr>
      </w:pPr>
      <w:r>
        <w:t>8.3.2除四害工作原则每学期一次，具体时间根据季节、气温情况而定；</w:t>
      </w:r>
    </w:p>
    <w:p>
      <w:pPr>
        <w:pStyle w:val="24"/>
        <w:spacing w:line="360" w:lineRule="auto"/>
        <w:ind w:firstLine="498" w:firstLineChars="177"/>
        <w:jc w:val="left"/>
        <w:rPr>
          <w:rFonts w:ascii="宋体" w:hAnsi="宋体" w:cs="宋体"/>
          <w:szCs w:val="28"/>
        </w:rPr>
      </w:pPr>
      <w:r>
        <w:t>8.3.3重点加强如垃圾堆放点、隔排池、窨井等处的消杀；</w:t>
      </w:r>
    </w:p>
    <w:p>
      <w:pPr>
        <w:pStyle w:val="24"/>
        <w:spacing w:line="360" w:lineRule="auto"/>
        <w:ind w:firstLine="498" w:firstLineChars="177"/>
        <w:jc w:val="left"/>
        <w:rPr>
          <w:rFonts w:ascii="宋体" w:hAnsi="宋体" w:cs="宋体"/>
          <w:szCs w:val="28"/>
        </w:rPr>
      </w:pPr>
      <w:r>
        <w:t>8.3.4在使用、控制虫害药械时必须符合国家、爱卫办及有关部门的规定，确保对人的安全和控制虫害的药效效果；</w:t>
      </w:r>
    </w:p>
    <w:p>
      <w:pPr>
        <w:pStyle w:val="24"/>
        <w:spacing w:line="360" w:lineRule="auto"/>
        <w:ind w:firstLine="498" w:firstLineChars="177"/>
        <w:jc w:val="left"/>
        <w:rPr>
          <w:rFonts w:ascii="宋体" w:hAnsi="宋体" w:cs="宋体"/>
          <w:szCs w:val="28"/>
        </w:rPr>
      </w:pPr>
      <w:r>
        <w:t>8.3.5注意根据季节、气候、密度不同而随时调整药物种类和使用量，使虫害消杀措施达到国家标准；</w:t>
      </w:r>
    </w:p>
    <w:p>
      <w:pPr>
        <w:pStyle w:val="24"/>
        <w:spacing w:line="360" w:lineRule="auto"/>
        <w:ind w:firstLine="498" w:firstLineChars="177"/>
        <w:jc w:val="left"/>
        <w:rPr>
          <w:rFonts w:asciiTheme="minorEastAsia" w:hAnsiTheme="minorEastAsia" w:eastAsiaTheme="minorEastAsia"/>
          <w:szCs w:val="28"/>
        </w:rPr>
      </w:pPr>
      <w:r>
        <w:t>8.3.5试学校虫害情况，增加消杀次数。</w:t>
      </w:r>
    </w:p>
    <w:p>
      <w:pPr>
        <w:pStyle w:val="24"/>
        <w:spacing w:line="360" w:lineRule="auto"/>
        <w:ind w:firstLine="492" w:firstLineChars="175"/>
        <w:jc w:val="left"/>
        <w:rPr>
          <w:rFonts w:ascii="宋体" w:hAnsi="宋体" w:cs="宋体"/>
          <w:szCs w:val="28"/>
        </w:rPr>
      </w:pPr>
      <w:r>
        <w:t>8.4水质检测工作：根据学校要求，做好每年2次的水质检测工作。</w:t>
      </w:r>
    </w:p>
    <w:p>
      <w:pPr>
        <w:pStyle w:val="24"/>
        <w:spacing w:line="360" w:lineRule="auto"/>
        <w:ind w:firstLine="492" w:firstLineChars="175"/>
        <w:jc w:val="left"/>
        <w:rPr>
          <w:rFonts w:ascii="宋体" w:hAnsi="宋体" w:cs="宋体"/>
          <w:szCs w:val="28"/>
        </w:rPr>
      </w:pPr>
      <w:r>
        <w:t>8.4.1中标方代表学校与具有专业服务资质的水质检测部门签订合约；</w:t>
      </w:r>
    </w:p>
    <w:p>
      <w:pPr>
        <w:pStyle w:val="24"/>
        <w:spacing w:line="360" w:lineRule="auto"/>
        <w:ind w:firstLine="492" w:firstLineChars="175"/>
        <w:jc w:val="left"/>
        <w:rPr>
          <w:rFonts w:ascii="宋体" w:hAnsi="宋体" w:cs="宋体"/>
          <w:szCs w:val="28"/>
        </w:rPr>
      </w:pPr>
      <w:r>
        <w:t>8.4.2检测时间每学期开学前一周内；</w:t>
      </w:r>
    </w:p>
    <w:p>
      <w:pPr>
        <w:pStyle w:val="24"/>
        <w:spacing w:line="360" w:lineRule="auto"/>
        <w:ind w:firstLine="492" w:firstLineChars="175"/>
        <w:jc w:val="left"/>
        <w:rPr>
          <w:rFonts w:ascii="宋体" w:hAnsi="宋体" w:cs="宋体"/>
          <w:szCs w:val="28"/>
        </w:rPr>
      </w:pPr>
      <w:r>
        <w:t>8.4.3每次检测不少于10个点位；</w:t>
      </w:r>
    </w:p>
    <w:p>
      <w:pPr>
        <w:pStyle w:val="24"/>
        <w:spacing w:line="360" w:lineRule="auto"/>
        <w:ind w:firstLine="492" w:firstLineChars="175"/>
        <w:jc w:val="left"/>
        <w:rPr>
          <w:rFonts w:ascii="宋体" w:hAnsi="宋体" w:cs="宋体"/>
          <w:szCs w:val="28"/>
        </w:rPr>
      </w:pPr>
      <w:r>
        <w:t>8.4.4资质文件及检测报告存档备查。</w:t>
      </w:r>
    </w:p>
    <w:p>
      <w:pPr>
        <w:pStyle w:val="24"/>
        <w:spacing w:line="360" w:lineRule="auto"/>
        <w:ind w:firstLine="492" w:firstLineChars="175"/>
        <w:jc w:val="left"/>
        <w:rPr>
          <w:rFonts w:ascii="宋体" w:hAnsi="宋体" w:cs="宋体"/>
          <w:szCs w:val="28"/>
        </w:rPr>
      </w:pPr>
      <w:r>
        <w:t xml:space="preserve">8.5水池清洗消毒工作：根据学校要求，做好每年2次的饮用水水池清洗消毒工作。 </w:t>
      </w:r>
    </w:p>
    <w:p>
      <w:pPr>
        <w:pStyle w:val="24"/>
        <w:spacing w:line="360" w:lineRule="auto"/>
        <w:ind w:firstLine="492" w:firstLineChars="175"/>
        <w:jc w:val="left"/>
        <w:rPr>
          <w:rFonts w:ascii="宋体" w:hAnsi="宋体" w:cs="宋体"/>
          <w:b/>
          <w:szCs w:val="28"/>
        </w:rPr>
      </w:pPr>
      <w:r>
        <w:t>8.5.1中标方代表学校与具有相应服务资质的清洗消毒公司签订合约；</w:t>
      </w:r>
    </w:p>
    <w:p>
      <w:pPr>
        <w:pStyle w:val="24"/>
        <w:spacing w:line="360" w:lineRule="auto"/>
        <w:ind w:firstLine="492" w:firstLineChars="175"/>
        <w:jc w:val="left"/>
        <w:rPr>
          <w:rFonts w:ascii="宋体" w:hAnsi="宋体" w:cs="宋体"/>
          <w:szCs w:val="28"/>
        </w:rPr>
      </w:pPr>
      <w:r>
        <w:t>8.5.2服务范围包括鄞州校区三个水箱和一个水池、奉化校区三个水箱的清洗消毒；</w:t>
      </w:r>
    </w:p>
    <w:p>
      <w:pPr>
        <w:pStyle w:val="24"/>
        <w:spacing w:line="360" w:lineRule="auto"/>
        <w:ind w:firstLine="492" w:firstLineChars="175"/>
        <w:jc w:val="left"/>
        <w:rPr>
          <w:rFonts w:ascii="宋体" w:hAnsi="宋体" w:cs="宋体"/>
          <w:szCs w:val="28"/>
        </w:rPr>
      </w:pPr>
      <w:r>
        <w:t>8.5.3清洗消毒时间为每学期开学前一个月内；</w:t>
      </w:r>
    </w:p>
    <w:p>
      <w:pPr>
        <w:pStyle w:val="24"/>
        <w:spacing w:line="360" w:lineRule="auto"/>
        <w:ind w:firstLine="492" w:firstLineChars="175"/>
        <w:jc w:val="left"/>
        <w:rPr>
          <w:rFonts w:ascii="宋体" w:hAnsi="宋体" w:cs="宋体"/>
          <w:b/>
          <w:szCs w:val="28"/>
        </w:rPr>
      </w:pPr>
      <w:r>
        <w:t>8.5.4清洗后要确保水箱内部清洁、无污垢，水质符合国家饮用水标准；</w:t>
      </w:r>
    </w:p>
    <w:p>
      <w:pPr>
        <w:pStyle w:val="24"/>
        <w:spacing w:line="360" w:lineRule="auto"/>
        <w:ind w:firstLine="492" w:firstLineChars="175"/>
        <w:jc w:val="left"/>
        <w:rPr>
          <w:rFonts w:ascii="宋体" w:hAnsi="宋体" w:cs="宋体"/>
          <w:szCs w:val="28"/>
        </w:rPr>
      </w:pPr>
      <w:r>
        <w:t>8.5.5消毒公司相关资质必须符合居民用水清洗消毒要求，每次清洗消毒其使用的清洁剂、消毒剂等材料符合国家有关产品质量及环境的标准要求，消杀人员必须具备有效的健康证；</w:t>
      </w:r>
    </w:p>
    <w:p>
      <w:pPr>
        <w:pStyle w:val="24"/>
        <w:spacing w:line="360" w:lineRule="auto"/>
        <w:ind w:firstLine="492" w:firstLineChars="175"/>
        <w:jc w:val="left"/>
        <w:rPr>
          <w:rFonts w:ascii="宋体" w:hAnsi="宋体" w:cs="宋体"/>
          <w:szCs w:val="28"/>
        </w:rPr>
      </w:pPr>
      <w:r>
        <w:t>8.5.6营业执照、资质证书、消毒清池方案、从业人员健康证及药剂合格证书存档备查。</w:t>
      </w:r>
    </w:p>
    <w:p>
      <w:pPr>
        <w:pStyle w:val="24"/>
        <w:spacing w:line="360" w:lineRule="auto"/>
        <w:ind w:firstLine="492" w:firstLineChars="175"/>
        <w:jc w:val="left"/>
        <w:rPr>
          <w:rFonts w:cs="宋体" w:asciiTheme="minorEastAsia" w:hAnsiTheme="minorEastAsia" w:eastAsiaTheme="minorEastAsia"/>
          <w:szCs w:val="28"/>
        </w:rPr>
      </w:pPr>
      <w:r>
        <w:t>8.6生活垃圾分类工作：根据上级文件精神，做好校内垃圾分类的宣传、检查、投放工作，确保严格按规定落实垃圾分类工作。</w:t>
      </w:r>
    </w:p>
    <w:p>
      <w:pPr>
        <w:pStyle w:val="24"/>
        <w:spacing w:line="360" w:lineRule="auto"/>
        <w:ind w:firstLine="492" w:firstLineChars="175"/>
        <w:jc w:val="left"/>
        <w:rPr>
          <w:rFonts w:cs="宋体" w:asciiTheme="minorEastAsia" w:hAnsiTheme="minorEastAsia" w:eastAsiaTheme="minorEastAsia"/>
          <w:szCs w:val="28"/>
        </w:rPr>
      </w:pPr>
      <w:r>
        <w:t>8.7卫生用品保障工作：负责校内行政及学院楼等区域卫生间内卫生用品保障供应服务。</w:t>
      </w:r>
    </w:p>
    <w:p>
      <w:pPr>
        <w:pStyle w:val="24"/>
        <w:spacing w:line="360" w:lineRule="auto"/>
        <w:ind w:firstLine="492" w:firstLineChars="175"/>
        <w:jc w:val="left"/>
        <w:rPr>
          <w:rFonts w:ascii="宋体" w:hAnsi="宋体"/>
          <w:b/>
          <w:szCs w:val="28"/>
        </w:rPr>
      </w:pPr>
      <w:r>
        <w:t>8.8结合《学校安全文明施工管理办法》协助校方负责对进校施工、送货单位进行管理，对出现违规的现象按照规定进行处理。</w:t>
      </w:r>
    </w:p>
    <w:p>
      <w:pPr>
        <w:pStyle w:val="24"/>
        <w:spacing w:line="360" w:lineRule="auto"/>
        <w:ind w:firstLine="492" w:firstLineChars="175"/>
        <w:jc w:val="left"/>
        <w:rPr>
          <w:rFonts w:ascii="宋体" w:hAnsi="宋体"/>
          <w:szCs w:val="28"/>
        </w:rPr>
      </w:pPr>
      <w:r>
        <w:t>8.9以上服务凡涉及第三方服务商的，相关合约均应符合法律要求，相应工作完成后有关合约、资料等应及时在校方进行备案，同时接受校方的检查。</w:t>
      </w:r>
    </w:p>
    <w:p>
      <w:pPr>
        <w:spacing w:line="360" w:lineRule="auto"/>
        <w:ind w:firstLine="492" w:firstLineChars="175"/>
        <w:jc w:val="left"/>
        <w:rPr>
          <w:rFonts w:ascii="宋体" w:hAnsi="宋体" w:cs="宋体"/>
          <w:b/>
          <w:sz w:val="28"/>
          <w:szCs w:val="28"/>
        </w:rPr>
      </w:pPr>
      <w:r>
        <w:t>9、其他要求</w:t>
      </w:r>
    </w:p>
    <w:p>
      <w:pPr>
        <w:spacing w:line="360" w:lineRule="auto"/>
        <w:ind w:firstLine="492" w:firstLineChars="175"/>
        <w:jc w:val="left"/>
        <w:rPr>
          <w:rFonts w:ascii="宋体" w:hAnsi="宋体"/>
          <w:sz w:val="28"/>
          <w:szCs w:val="28"/>
        </w:rPr>
      </w:pPr>
      <w:r>
        <w:t>9.1投标方应针对学校的建设情况及本次招标基本需求，制定合理的服务方案；同时对履约过程中可能碰到的突发情况制订各类突发事件应急预案等；</w:t>
      </w:r>
    </w:p>
    <w:p>
      <w:pPr>
        <w:spacing w:line="360" w:lineRule="auto"/>
        <w:ind w:firstLine="492" w:firstLineChars="175"/>
        <w:jc w:val="left"/>
        <w:rPr>
          <w:rFonts w:ascii="宋体" w:hAnsi="宋体" w:cs="宋体"/>
          <w:b/>
          <w:sz w:val="28"/>
          <w:szCs w:val="28"/>
        </w:rPr>
      </w:pPr>
      <w:r>
        <w:t>9.2中标方自进驻学校始，应规范自身办公区域秩序，加强自身办公文化建设，各类职责明确到位，建立各级台帐；</w:t>
      </w:r>
    </w:p>
    <w:p>
      <w:pPr>
        <w:spacing w:line="360" w:lineRule="auto"/>
        <w:ind w:firstLine="492" w:firstLineChars="175"/>
        <w:jc w:val="left"/>
        <w:rPr>
          <w:rFonts w:ascii="宋体" w:hAnsi="宋体" w:cs="宋体"/>
          <w:sz w:val="28"/>
          <w:szCs w:val="28"/>
        </w:rPr>
      </w:pPr>
      <w:r>
        <w:t>9.3中标方进驻学校后应按照招标文书中的人员配备需求配备员工，并完善名册，在履约过程中如有人员变动需及时通报校方；</w:t>
      </w:r>
    </w:p>
    <w:p>
      <w:pPr>
        <w:spacing w:line="360" w:lineRule="auto"/>
        <w:ind w:firstLine="492" w:firstLineChars="175"/>
        <w:jc w:val="left"/>
        <w:rPr>
          <w:rFonts w:ascii="宋体" w:hAnsi="宋体" w:cs="宋体"/>
          <w:sz w:val="28"/>
          <w:szCs w:val="28"/>
        </w:rPr>
      </w:pPr>
      <w:r>
        <w:t>9.4中标方在进驻学校一个月内，应在总务指导下，完成岗位定岗定责，明确各级职责，公布人员基本情况、联系、投诉电话等；</w:t>
      </w:r>
    </w:p>
    <w:p>
      <w:pPr>
        <w:spacing w:line="360" w:lineRule="auto"/>
        <w:ind w:firstLine="492" w:firstLineChars="175"/>
        <w:jc w:val="left"/>
        <w:rPr>
          <w:rFonts w:ascii="宋体" w:hAnsi="宋体" w:cs="宋体"/>
          <w:sz w:val="28"/>
          <w:szCs w:val="28"/>
        </w:rPr>
      </w:pPr>
      <w:r>
        <w:t>9.5中标方从业人员均应统一着装，挂牌上岗，从业人员岗位责任明确，不得出现脱岗等现象；</w:t>
      </w:r>
    </w:p>
    <w:p>
      <w:pPr>
        <w:spacing w:line="360" w:lineRule="auto"/>
        <w:ind w:firstLine="492" w:firstLineChars="175"/>
        <w:jc w:val="left"/>
        <w:rPr>
          <w:rFonts w:ascii="宋体" w:hAnsi="宋体" w:cs="宋体"/>
          <w:sz w:val="28"/>
          <w:szCs w:val="28"/>
        </w:rPr>
      </w:pPr>
      <w:r>
        <w:t>9.6中标方从业人员均应服从校方管理及安排，不得私自占用招标方房间，在工作过程中不得乱拉乱接电线，不得使用大功率电器；</w:t>
      </w:r>
    </w:p>
    <w:p>
      <w:pPr>
        <w:spacing w:line="360" w:lineRule="auto"/>
        <w:ind w:firstLine="492" w:firstLineChars="175"/>
        <w:jc w:val="left"/>
        <w:rPr>
          <w:rFonts w:ascii="宋体" w:hAnsi="宋体"/>
          <w:b/>
          <w:sz w:val="28"/>
          <w:szCs w:val="28"/>
        </w:rPr>
      </w:pPr>
      <w:r>
        <w:t>9.7中标方就业人员要树立以校为家的思想，不得私拿、占、损坏招标方的财产设备设施；</w:t>
      </w:r>
    </w:p>
    <w:p>
      <w:pPr>
        <w:tabs>
          <w:tab w:val="left" w:pos="45"/>
          <w:tab w:val="center" w:pos="4153"/>
        </w:tabs>
        <w:spacing w:line="360" w:lineRule="auto"/>
        <w:ind w:firstLine="492" w:firstLineChars="175"/>
        <w:jc w:val="left"/>
        <w:rPr>
          <w:rFonts w:ascii="宋体" w:hAnsi="宋体"/>
          <w:bCs/>
          <w:sz w:val="28"/>
          <w:szCs w:val="28"/>
        </w:rPr>
      </w:pPr>
      <w:r>
        <w:t>9.8中标方应不定期派专职督导人员进行现场管理，落实好各项制度；</w:t>
      </w:r>
    </w:p>
    <w:p>
      <w:pPr>
        <w:widowControl/>
        <w:spacing w:line="360" w:lineRule="auto"/>
        <w:ind w:firstLine="492" w:firstLineChars="175"/>
        <w:jc w:val="left"/>
        <w:rPr>
          <w:sz w:val="28"/>
          <w:szCs w:val="28"/>
        </w:rPr>
      </w:pPr>
      <w:r>
        <w:t>9.9因中标方在管理中的过错或违反本合同的约定进行管理造成校方或第三方损失的，中标方应依法承担赔偿责任，如校方因此承担赔偿责任的，有权向中标方追偿；</w:t>
      </w:r>
    </w:p>
    <w:p>
      <w:pPr>
        <w:widowControl/>
        <w:spacing w:line="360" w:lineRule="auto"/>
        <w:ind w:firstLine="492" w:firstLineChars="175"/>
        <w:jc w:val="left"/>
        <w:rPr>
          <w:rFonts w:ascii="宋体" w:hAnsi="宋体" w:cs="宋体"/>
          <w:sz w:val="28"/>
          <w:szCs w:val="28"/>
        </w:rPr>
      </w:pPr>
      <w:r>
        <w:t>9.10中标方须应接受校方的监督、检查和考核，对校方提出的问题及时进行整改，并设专人负责管理落实；</w:t>
      </w:r>
    </w:p>
    <w:p>
      <w:pPr>
        <w:widowControl/>
        <w:spacing w:line="360" w:lineRule="auto"/>
        <w:ind w:firstLine="492" w:firstLineChars="175"/>
        <w:rPr>
          <w:rFonts w:ascii="宋体" w:hAnsi="宋体" w:cs="宋体"/>
          <w:sz w:val="28"/>
          <w:szCs w:val="28"/>
        </w:rPr>
      </w:pPr>
      <w:r>
        <w:t>9.11中标方应与在校服务的工作人员建立劳动关系，签订劳动合同，处理劳动纠纷。如出现劳动纠纷，校方可进行人道协助处理，但不承担任何责任；</w:t>
      </w:r>
    </w:p>
    <w:p>
      <w:pPr>
        <w:pStyle w:val="24"/>
        <w:spacing w:line="360" w:lineRule="auto"/>
        <w:ind w:firstLine="427" w:firstLineChars="152"/>
        <w:jc w:val="left"/>
        <w:rPr>
          <w:rFonts w:ascii="宋体" w:hAnsi="宋体"/>
          <w:b/>
          <w:szCs w:val="28"/>
        </w:rPr>
      </w:pPr>
      <w:r>
        <w:t>9.12中标方应积极加大校内机械设备(如扫地机、电动车、割草机等)的投入，特别是投标书中承诺的投入必须及时到位；</w:t>
      </w:r>
    </w:p>
    <w:p>
      <w:pPr>
        <w:pStyle w:val="24"/>
        <w:spacing w:line="360" w:lineRule="auto"/>
        <w:ind w:firstLine="427" w:firstLineChars="152"/>
        <w:jc w:val="left"/>
        <w:rPr>
          <w:rFonts w:asciiTheme="minorEastAsia" w:hAnsiTheme="minorEastAsia" w:eastAsiaTheme="minorEastAsia"/>
          <w:szCs w:val="28"/>
        </w:rPr>
      </w:pPr>
      <w:r>
        <w:t>9.13中标方应在校方的指导下认真做好新老服务公司的交接工作，清点相关物资，如发现问题应及时指出进行集中处理。如在交接完成后出现资产问题，由中标单位自行负责。</w:t>
      </w:r>
    </w:p>
    <w:p>
      <w:pPr>
        <w:spacing w:line="360" w:lineRule="auto"/>
        <w:ind w:firstLine="661" w:firstLineChars="235"/>
        <w:jc w:val="left"/>
        <w:rPr>
          <w:rFonts w:ascii="黑体" w:hAnsi="黑体" w:eastAsia="黑体"/>
          <w:b/>
          <w:sz w:val="28"/>
          <w:szCs w:val="28"/>
        </w:rPr>
      </w:pPr>
      <w:r>
        <w:t>十一、考核办法</w:t>
      </w:r>
    </w:p>
    <w:p>
      <w:pPr>
        <w:spacing w:line="360" w:lineRule="auto"/>
        <w:ind w:firstLine="495" w:firstLineChars="177"/>
        <w:jc w:val="left"/>
        <w:rPr>
          <w:rFonts w:asciiTheme="minorEastAsia" w:hAnsiTheme="minorEastAsia" w:eastAsiaTheme="minorEastAsia"/>
          <w:sz w:val="28"/>
          <w:szCs w:val="28"/>
        </w:rPr>
      </w:pPr>
      <w:r>
        <w:t>1、为保障招标方合法利益，推进项目顺利执行，校方有权制定服务管理考核与处罚办法，有权采取定期普查与随机抽查相结合的办法对中标方的服务质量进行检查与考核，对中标方在经营时所发生的安全、卫生、服务、管理等问题结合检查与考核情况予以处罚。如中标方在服务管理过程中出现严重服务质量问题或未通过校方考核的，校方可自行书面中止合同。</w:t>
      </w:r>
    </w:p>
    <w:p>
      <w:pPr>
        <w:pStyle w:val="24"/>
        <w:spacing w:line="360" w:lineRule="auto"/>
        <w:ind w:firstLine="596" w:firstLineChars="213"/>
        <w:jc w:val="left"/>
        <w:rPr>
          <w:rFonts w:asciiTheme="minorEastAsia" w:hAnsiTheme="minorEastAsia" w:eastAsiaTheme="minorEastAsia"/>
          <w:szCs w:val="28"/>
        </w:rPr>
      </w:pPr>
      <w:r>
        <w:t>2、原则上各用人单位自行制定考核办法及处罚机制，并按月对服务人员工作情况时行考核。</w:t>
      </w:r>
    </w:p>
    <w:p>
      <w:pPr>
        <w:spacing w:line="360" w:lineRule="auto"/>
        <w:ind w:firstLine="495" w:firstLineChars="176"/>
        <w:jc w:val="left"/>
        <w:rPr>
          <w:rFonts w:ascii="黑体" w:hAnsi="黑体" w:eastAsia="黑体"/>
          <w:b/>
          <w:sz w:val="28"/>
          <w:szCs w:val="28"/>
        </w:rPr>
      </w:pPr>
      <w:r>
        <w:t>十二、合同的签订</w:t>
      </w:r>
    </w:p>
    <w:p>
      <w:pPr>
        <w:pStyle w:val="24"/>
        <w:spacing w:line="360" w:lineRule="auto"/>
        <w:ind w:firstLine="596" w:firstLineChars="213"/>
        <w:jc w:val="left"/>
        <w:rPr>
          <w:rFonts w:asciiTheme="minorEastAsia" w:hAnsiTheme="minorEastAsia" w:eastAsiaTheme="minorEastAsia"/>
          <w:szCs w:val="28"/>
        </w:rPr>
      </w:pPr>
      <w:r>
        <w:t>中标单位在中标结果公示结束后，应在一周内与校方签订合同。履行合同义务，同时接受各部门的业务考核与监督管理。</w:t>
      </w:r>
    </w:p>
    <w:p>
      <w:pPr>
        <w:spacing w:line="360" w:lineRule="auto"/>
        <w:ind w:firstLine="495" w:firstLineChars="176"/>
        <w:jc w:val="left"/>
        <w:rPr>
          <w:rFonts w:ascii="黑体" w:hAnsi="黑体" w:eastAsia="黑体" w:cs="宋体"/>
          <w:b/>
          <w:sz w:val="28"/>
          <w:szCs w:val="28"/>
        </w:rPr>
      </w:pPr>
      <w:r>
        <w:t>十三、费用及结算方式</w:t>
      </w:r>
    </w:p>
    <w:p>
      <w:pPr>
        <w:pStyle w:val="182"/>
        <w:spacing w:line="360" w:lineRule="auto"/>
        <w:ind w:firstLine="565" w:firstLineChars="202"/>
        <w:jc w:val="left"/>
        <w:rPr>
          <w:rFonts w:ascii="宋体" w:hAnsi="宋体" w:cs="宋体"/>
          <w:bCs/>
          <w:sz w:val="28"/>
          <w:szCs w:val="28"/>
        </w:rPr>
      </w:pPr>
      <w:r>
        <w:t>1、投标人必须为每位符合国家规定社保（基本养老、基本医疗、工伤、生育、失业保险）条件的人员参加保险，并对所有符合参加人身意外伤害保险条件的人员统一进行参保（社会保险参保人员除外）。不符合社保条件的，由中标人按相关规定处理；</w:t>
      </w:r>
    </w:p>
    <w:p>
      <w:pPr>
        <w:pStyle w:val="182"/>
        <w:spacing w:line="360" w:lineRule="auto"/>
        <w:ind w:firstLine="565" w:firstLineChars="202"/>
        <w:jc w:val="left"/>
        <w:rPr>
          <w:rFonts w:ascii="宋体" w:hAnsi="宋体" w:cs="宋体"/>
          <w:bCs/>
          <w:sz w:val="28"/>
          <w:szCs w:val="28"/>
        </w:rPr>
      </w:pPr>
      <w:r>
        <w:t>2、项目经理必须常驻浙江药科职业大学，如因特殊情况需工作变动而更改项目负责人的，需上报学校批准后方能更换，否则学校有权作出相应处罚；</w:t>
      </w:r>
    </w:p>
    <w:p>
      <w:pPr>
        <w:spacing w:line="360" w:lineRule="auto"/>
        <w:ind w:firstLine="490" w:firstLineChars="175"/>
        <w:rPr>
          <w:rFonts w:ascii="宋体" w:hAnsi="宋体" w:cs="宋体"/>
          <w:bCs/>
          <w:sz w:val="28"/>
          <w:szCs w:val="28"/>
        </w:rPr>
      </w:pPr>
      <w:r>
        <w:t>3、合同履行期间，如发生政府关于最低工资标准、社保基数、社保系数等上调时，由中标方自行承担；</w:t>
      </w:r>
    </w:p>
    <w:p>
      <w:pPr>
        <w:spacing w:line="360" w:lineRule="auto"/>
        <w:ind w:firstLine="490" w:firstLineChars="175"/>
        <w:rPr>
          <w:rFonts w:ascii="宋体" w:hAnsi="宋体" w:cs="宋体"/>
          <w:bCs/>
          <w:sz w:val="28"/>
          <w:szCs w:val="28"/>
        </w:rPr>
      </w:pPr>
      <w:r>
        <w:t>4、履约过程中如发生需要增加合同外工作量的，按采购流程进行重新采购；</w:t>
      </w:r>
    </w:p>
    <w:p>
      <w:pPr>
        <w:spacing w:line="360" w:lineRule="auto"/>
        <w:ind w:firstLine="490" w:firstLineChars="175"/>
        <w:rPr>
          <w:rFonts w:ascii="宋体" w:hAnsi="宋体" w:cs="宋体"/>
          <w:bCs/>
          <w:sz w:val="28"/>
          <w:szCs w:val="28"/>
        </w:rPr>
      </w:pPr>
      <w:r>
        <w:t>5、履约过程中因校方原因(如相关楼宇停止使用等)减少工作量的，按实际情况减少相应费用。费用调整结算时按投标时相关人员单个日工资×进场人数×天数+相关法定税费计算。</w:t>
      </w:r>
    </w:p>
    <w:p>
      <w:pPr>
        <w:snapToGrid w:val="0"/>
        <w:spacing w:line="360" w:lineRule="auto"/>
        <w:ind w:firstLine="490" w:firstLineChars="175"/>
        <w:jc w:val="left"/>
        <w:rPr>
          <w:rFonts w:ascii="宋体" w:hAnsi="宋体" w:cs="宋体"/>
          <w:bCs/>
          <w:sz w:val="28"/>
          <w:szCs w:val="28"/>
        </w:rPr>
      </w:pPr>
      <w:r>
        <w:t>6、费用计算</w:t>
      </w:r>
    </w:p>
    <w:p>
      <w:pPr>
        <w:pStyle w:val="182"/>
        <w:snapToGrid w:val="0"/>
        <w:spacing w:line="360" w:lineRule="auto"/>
        <w:ind w:firstLine="565" w:firstLineChars="202"/>
        <w:jc w:val="left"/>
        <w:rPr>
          <w:rFonts w:ascii="宋体" w:hAnsi="宋体" w:cs="宋体"/>
          <w:bCs/>
          <w:sz w:val="28"/>
          <w:szCs w:val="28"/>
        </w:rPr>
      </w:pPr>
      <w:r>
        <w:t>投标方在投标过程中，应按照人员岗位及数量投报［即单个岗位单价含社保、管理费、其他等应需的所有费用(法定税费除外)］。</w:t>
      </w:r>
    </w:p>
    <w:p>
      <w:pPr>
        <w:pStyle w:val="182"/>
        <w:snapToGrid w:val="0"/>
        <w:spacing w:line="360" w:lineRule="auto"/>
        <w:ind w:firstLine="565" w:firstLineChars="202"/>
        <w:jc w:val="left"/>
        <w:rPr>
          <w:rFonts w:ascii="宋体" w:hAnsi="宋体" w:cs="宋体"/>
          <w:bCs/>
          <w:sz w:val="28"/>
          <w:szCs w:val="28"/>
        </w:rPr>
      </w:pPr>
      <w:r>
        <w:t>7、支付方式</w:t>
      </w:r>
    </w:p>
    <w:p>
      <w:pPr>
        <w:pStyle w:val="182"/>
        <w:snapToGrid w:val="0"/>
        <w:spacing w:line="360" w:lineRule="auto"/>
        <w:ind w:firstLine="565" w:firstLineChars="202"/>
        <w:jc w:val="left"/>
        <w:rPr>
          <w:rFonts w:ascii="宋体" w:hAnsi="宋体" w:cs="宋体"/>
          <w:sz w:val="28"/>
          <w:szCs w:val="28"/>
        </w:rPr>
      </w:pPr>
      <w:r>
        <w:t>付款方式实行先服务后付费，服务费用在每季度结束，根据职能部门考核后，按照实际考核及用工情况经中标人提出申请后支付给中标人。</w:t>
      </w:r>
    </w:p>
    <w:p>
      <w:pPr>
        <w:pStyle w:val="25"/>
        <w:spacing w:after="120" w:line="360" w:lineRule="auto"/>
        <w:ind w:firstLine="551" w:firstLineChars="188"/>
        <w:jc w:val="left"/>
        <w:rPr>
          <w:rFonts w:ascii="黑体" w:hAnsi="黑体" w:eastAsia="黑体"/>
          <w:b/>
          <w:sz w:val="30"/>
          <w:szCs w:val="30"/>
          <w:highlight w:val="yellow"/>
        </w:rPr>
      </w:pPr>
      <w:r>
        <w:t>十四、现场踏勘</w:t>
      </w:r>
    </w:p>
    <w:p>
      <w:pPr>
        <w:pStyle w:val="25"/>
        <w:spacing w:after="120" w:line="360" w:lineRule="auto"/>
        <w:ind w:firstLine="548" w:firstLineChars="188"/>
        <w:jc w:val="left"/>
        <w:rPr>
          <w:rFonts w:asciiTheme="minorEastAsia" w:hAnsiTheme="minorEastAsia" w:eastAsiaTheme="minorEastAsia"/>
          <w:b/>
          <w:sz w:val="30"/>
          <w:szCs w:val="30"/>
        </w:rPr>
      </w:pPr>
      <w:r>
        <w:t>为确保投标方对学校基本情况能做到充分了解，学校同意投标人来校现场踏勘，投标人应提前一天联系校方负责人，提供进校所需资料并按时入校踏勘。联系人：陶勇  电话：0574-88839089 15057432993</w:t>
      </w:r>
    </w:p>
    <w:p>
      <w:pPr>
        <w:pStyle w:val="25"/>
        <w:spacing w:after="120" w:line="360" w:lineRule="auto"/>
        <w:ind w:firstLine="0"/>
        <w:jc w:val="center"/>
        <w:rPr>
          <w:rFonts w:asciiTheme="minorEastAsia" w:hAnsiTheme="minorEastAsia" w:eastAsiaTheme="minorEastAsia"/>
          <w:b/>
          <w:sz w:val="30"/>
          <w:szCs w:val="30"/>
        </w:rPr>
      </w:pPr>
      <w:r>
        <w:t>投标价格明细表</w:t>
      </w:r>
    </w:p>
    <w:p>
      <w:pPr>
        <w:pStyle w:val="25"/>
        <w:spacing w:after="120" w:line="360" w:lineRule="auto"/>
        <w:ind w:firstLine="0"/>
        <w:jc w:val="center"/>
        <w:rPr>
          <w:b/>
          <w:szCs w:val="24"/>
        </w:rPr>
      </w:pPr>
      <w:r>
        <w:t>（投标文书中应提供费用明细，仅供参考）</w:t>
      </w:r>
    </w:p>
    <w:p>
      <w:pPr>
        <w:pStyle w:val="25"/>
        <w:spacing w:after="120" w:line="360" w:lineRule="auto"/>
        <w:ind w:firstLine="0"/>
        <w:jc w:val="left"/>
        <w:rPr>
          <w:szCs w:val="24"/>
          <w:u w:val="single"/>
        </w:rPr>
      </w:pPr>
      <w:r>
        <w:t>招标项目名称：招标编号：</w:t>
      </w:r>
    </w:p>
    <w:tbl>
      <w:tblPr>
        <w:tblStyle w:val="59"/>
        <w:tblW w:w="89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1"/>
        <w:gridCol w:w="1254"/>
        <w:gridCol w:w="1395"/>
        <w:gridCol w:w="1105"/>
        <w:gridCol w:w="229"/>
        <w:gridCol w:w="994"/>
        <w:gridCol w:w="161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661" w:type="dxa"/>
            <w:vAlign w:val="center"/>
          </w:tcPr>
          <w:p>
            <w:r>
              <w:t>序号</w:t>
            </w:r>
          </w:p>
        </w:tc>
        <w:tc>
          <w:tcPr>
            <w:tcW w:w="1254" w:type="dxa"/>
            <w:vAlign w:val="center"/>
          </w:tcPr>
          <w:p>
            <w:r>
              <w:t>职能</w:t>
            </w:r>
          </w:p>
        </w:tc>
        <w:tc>
          <w:tcPr>
            <w:tcW w:w="1395" w:type="dxa"/>
            <w:vAlign w:val="center"/>
          </w:tcPr>
          <w:p>
            <w:r>
              <w:t>岗位</w:t>
              <w:br/>
              <w:t>(按工作性质区分)</w:t>
            </w:r>
          </w:p>
        </w:tc>
        <w:tc>
          <w:tcPr>
            <w:tcW w:w="1334" w:type="dxa"/>
            <w:gridSpan w:val="2"/>
            <w:vAlign w:val="center"/>
          </w:tcPr>
          <w:p>
            <w:r>
              <w:t>数量</w:t>
            </w:r>
          </w:p>
        </w:tc>
        <w:tc>
          <w:tcPr>
            <w:tcW w:w="994" w:type="dxa"/>
            <w:vAlign w:val="center"/>
          </w:tcPr>
          <w:p>
            <w:r>
              <w:t>单位</w:t>
            </w:r>
          </w:p>
        </w:tc>
        <w:tc>
          <w:tcPr>
            <w:tcW w:w="1612" w:type="dxa"/>
            <w:vAlign w:val="center"/>
          </w:tcPr>
          <w:p>
            <w:r>
              <w:t>单价</w:t>
              <w:br/>
              <w:t>（元/人民币）</w:t>
            </w:r>
          </w:p>
        </w:tc>
        <w:tc>
          <w:tcPr>
            <w:tcW w:w="1701" w:type="dxa"/>
            <w:vAlign w:val="center"/>
          </w:tcPr>
          <w:p>
            <w:r>
              <w:t>小计</w:t>
              <w:br/>
              <w:t>（元/人民币）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661" w:type="dxa"/>
            <w:vMerge w:val="restart"/>
            <w:vAlign w:val="center"/>
          </w:tcPr>
          <w:p>
            <w:r>
              <w:t>1</w:t>
            </w:r>
          </w:p>
        </w:tc>
        <w:tc>
          <w:tcPr>
            <w:tcW w:w="1254" w:type="dxa"/>
            <w:vAlign w:val="center"/>
          </w:tcPr>
          <w:p>
            <w:r>
              <w:t>公寓管理</w:t>
            </w:r>
          </w:p>
        </w:tc>
        <w:tc>
          <w:tcPr>
            <w:tcW w:w="1395" w:type="dxa"/>
            <w:vAlign w:val="center"/>
          </w:tcPr>
          <w:p>
            <w:pPr>
              <w:spacing w:line="360" w:lineRule="auto"/>
              <w:rPr>
                <w:sz w:val="24"/>
                <w:szCs w:val="24"/>
              </w:rPr>
            </w:pPr>
          </w:p>
        </w:tc>
        <w:tc>
          <w:tcPr>
            <w:tcW w:w="1334" w:type="dxa"/>
            <w:gridSpan w:val="2"/>
            <w:vAlign w:val="center"/>
          </w:tcPr>
          <w:p>
            <w:pPr>
              <w:spacing w:line="360" w:lineRule="auto"/>
              <w:rPr>
                <w:sz w:val="24"/>
                <w:szCs w:val="24"/>
              </w:rPr>
            </w:pPr>
          </w:p>
        </w:tc>
        <w:tc>
          <w:tcPr>
            <w:tcW w:w="994" w:type="dxa"/>
            <w:vAlign w:val="center"/>
          </w:tcPr>
          <w:p>
            <w:pPr>
              <w:spacing w:line="360" w:lineRule="auto"/>
              <w:rPr>
                <w:sz w:val="24"/>
                <w:szCs w:val="24"/>
              </w:rPr>
            </w:pPr>
          </w:p>
        </w:tc>
        <w:tc>
          <w:tcPr>
            <w:tcW w:w="1612" w:type="dxa"/>
            <w:vAlign w:val="center"/>
          </w:tcPr>
          <w:p>
            <w:pPr>
              <w:spacing w:line="360" w:lineRule="auto"/>
              <w:jc w:val="center"/>
              <w:rPr>
                <w:sz w:val="24"/>
                <w:szCs w:val="24"/>
              </w:rPr>
            </w:pPr>
          </w:p>
        </w:tc>
        <w:tc>
          <w:tcPr>
            <w:tcW w:w="1701" w:type="dxa"/>
            <w:vMerge w:val="restart"/>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661" w:type="dxa"/>
            <w:vMerge w:val="continue"/>
            <w:vAlign w:val="center"/>
          </w:tcPr>
          <w:p>
            <w:pPr>
              <w:spacing w:line="360" w:lineRule="auto"/>
              <w:jc w:val="center"/>
              <w:rPr>
                <w:sz w:val="24"/>
                <w:szCs w:val="24"/>
              </w:rPr>
            </w:pPr>
          </w:p>
        </w:tc>
        <w:tc>
          <w:tcPr>
            <w:tcW w:w="1254" w:type="dxa"/>
            <w:vAlign w:val="center"/>
          </w:tcPr>
          <w:p>
            <w:r>
              <w:t>清卫保洁</w:t>
            </w:r>
          </w:p>
        </w:tc>
        <w:tc>
          <w:tcPr>
            <w:tcW w:w="1395" w:type="dxa"/>
            <w:vAlign w:val="center"/>
          </w:tcPr>
          <w:p>
            <w:pPr>
              <w:spacing w:line="360" w:lineRule="auto"/>
              <w:rPr>
                <w:sz w:val="24"/>
                <w:szCs w:val="24"/>
              </w:rPr>
            </w:pPr>
          </w:p>
        </w:tc>
        <w:tc>
          <w:tcPr>
            <w:tcW w:w="1334" w:type="dxa"/>
            <w:gridSpan w:val="2"/>
            <w:vAlign w:val="center"/>
          </w:tcPr>
          <w:p>
            <w:pPr>
              <w:spacing w:line="360" w:lineRule="auto"/>
              <w:rPr>
                <w:sz w:val="24"/>
                <w:szCs w:val="24"/>
              </w:rPr>
            </w:pPr>
          </w:p>
        </w:tc>
        <w:tc>
          <w:tcPr>
            <w:tcW w:w="994" w:type="dxa"/>
            <w:vAlign w:val="center"/>
          </w:tcPr>
          <w:p>
            <w:pPr>
              <w:spacing w:line="360" w:lineRule="auto"/>
              <w:rPr>
                <w:sz w:val="24"/>
                <w:szCs w:val="24"/>
              </w:rPr>
            </w:pPr>
          </w:p>
        </w:tc>
        <w:tc>
          <w:tcPr>
            <w:tcW w:w="1612" w:type="dxa"/>
            <w:vAlign w:val="center"/>
          </w:tcPr>
          <w:p>
            <w:pPr>
              <w:spacing w:line="360" w:lineRule="auto"/>
              <w:jc w:val="center"/>
              <w:rPr>
                <w:sz w:val="24"/>
                <w:szCs w:val="24"/>
              </w:rPr>
            </w:pPr>
          </w:p>
        </w:tc>
        <w:tc>
          <w:tcPr>
            <w:tcW w:w="1701" w:type="dxa"/>
            <w:vMerge w:val="continue"/>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661" w:type="dxa"/>
            <w:vMerge w:val="continue"/>
            <w:vAlign w:val="center"/>
          </w:tcPr>
          <w:p>
            <w:pPr>
              <w:spacing w:line="360" w:lineRule="auto"/>
              <w:jc w:val="center"/>
              <w:rPr>
                <w:sz w:val="24"/>
                <w:szCs w:val="24"/>
              </w:rPr>
            </w:pPr>
          </w:p>
        </w:tc>
        <w:tc>
          <w:tcPr>
            <w:tcW w:w="1254" w:type="dxa"/>
            <w:vAlign w:val="center"/>
          </w:tcPr>
          <w:p>
            <w:r>
              <w:t>教室管理</w:t>
            </w:r>
          </w:p>
        </w:tc>
        <w:tc>
          <w:tcPr>
            <w:tcW w:w="1395" w:type="dxa"/>
            <w:vAlign w:val="center"/>
          </w:tcPr>
          <w:p>
            <w:pPr>
              <w:spacing w:line="360" w:lineRule="auto"/>
              <w:rPr>
                <w:sz w:val="24"/>
                <w:szCs w:val="24"/>
              </w:rPr>
            </w:pPr>
          </w:p>
        </w:tc>
        <w:tc>
          <w:tcPr>
            <w:tcW w:w="1334" w:type="dxa"/>
            <w:gridSpan w:val="2"/>
            <w:vAlign w:val="center"/>
          </w:tcPr>
          <w:p>
            <w:pPr>
              <w:spacing w:line="360" w:lineRule="auto"/>
              <w:rPr>
                <w:sz w:val="24"/>
                <w:szCs w:val="24"/>
              </w:rPr>
            </w:pPr>
          </w:p>
        </w:tc>
        <w:tc>
          <w:tcPr>
            <w:tcW w:w="994" w:type="dxa"/>
            <w:vAlign w:val="center"/>
          </w:tcPr>
          <w:p>
            <w:pPr>
              <w:spacing w:line="360" w:lineRule="auto"/>
              <w:rPr>
                <w:sz w:val="24"/>
                <w:szCs w:val="24"/>
              </w:rPr>
            </w:pPr>
          </w:p>
        </w:tc>
        <w:tc>
          <w:tcPr>
            <w:tcW w:w="1612" w:type="dxa"/>
            <w:vAlign w:val="center"/>
          </w:tcPr>
          <w:p>
            <w:pPr>
              <w:spacing w:line="360" w:lineRule="auto"/>
              <w:jc w:val="center"/>
              <w:rPr>
                <w:sz w:val="24"/>
                <w:szCs w:val="24"/>
              </w:rPr>
            </w:pPr>
          </w:p>
        </w:tc>
        <w:tc>
          <w:tcPr>
            <w:tcW w:w="1701" w:type="dxa"/>
            <w:vMerge w:val="continue"/>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661" w:type="dxa"/>
            <w:vMerge w:val="continue"/>
            <w:vAlign w:val="center"/>
          </w:tcPr>
          <w:p>
            <w:pPr>
              <w:spacing w:line="360" w:lineRule="auto"/>
              <w:jc w:val="center"/>
              <w:rPr>
                <w:sz w:val="24"/>
                <w:szCs w:val="24"/>
              </w:rPr>
            </w:pPr>
          </w:p>
        </w:tc>
        <w:tc>
          <w:tcPr>
            <w:tcW w:w="1254" w:type="dxa"/>
            <w:vAlign w:val="center"/>
          </w:tcPr>
          <w:p>
            <w:r>
              <w:t>水电维修</w:t>
            </w:r>
          </w:p>
        </w:tc>
        <w:tc>
          <w:tcPr>
            <w:tcW w:w="1395" w:type="dxa"/>
            <w:vAlign w:val="center"/>
          </w:tcPr>
          <w:p>
            <w:pPr>
              <w:spacing w:line="360" w:lineRule="auto"/>
              <w:rPr>
                <w:sz w:val="24"/>
                <w:szCs w:val="24"/>
              </w:rPr>
            </w:pPr>
          </w:p>
        </w:tc>
        <w:tc>
          <w:tcPr>
            <w:tcW w:w="1334" w:type="dxa"/>
            <w:gridSpan w:val="2"/>
            <w:vAlign w:val="center"/>
          </w:tcPr>
          <w:p>
            <w:pPr>
              <w:spacing w:line="360" w:lineRule="auto"/>
              <w:rPr>
                <w:sz w:val="24"/>
                <w:szCs w:val="24"/>
              </w:rPr>
            </w:pPr>
          </w:p>
        </w:tc>
        <w:tc>
          <w:tcPr>
            <w:tcW w:w="994" w:type="dxa"/>
            <w:vAlign w:val="center"/>
          </w:tcPr>
          <w:p>
            <w:pPr>
              <w:spacing w:line="360" w:lineRule="auto"/>
              <w:rPr>
                <w:sz w:val="24"/>
                <w:szCs w:val="24"/>
              </w:rPr>
            </w:pPr>
          </w:p>
        </w:tc>
        <w:tc>
          <w:tcPr>
            <w:tcW w:w="1612" w:type="dxa"/>
            <w:vAlign w:val="center"/>
          </w:tcPr>
          <w:p>
            <w:pPr>
              <w:spacing w:line="360" w:lineRule="auto"/>
              <w:jc w:val="center"/>
              <w:rPr>
                <w:sz w:val="24"/>
                <w:szCs w:val="24"/>
              </w:rPr>
            </w:pPr>
          </w:p>
        </w:tc>
        <w:tc>
          <w:tcPr>
            <w:tcW w:w="1701" w:type="dxa"/>
            <w:vMerge w:val="continue"/>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661" w:type="dxa"/>
            <w:vMerge w:val="continue"/>
            <w:vAlign w:val="center"/>
          </w:tcPr>
          <w:p>
            <w:pPr>
              <w:spacing w:line="360" w:lineRule="auto"/>
              <w:jc w:val="center"/>
              <w:rPr>
                <w:sz w:val="24"/>
                <w:szCs w:val="24"/>
              </w:rPr>
            </w:pPr>
          </w:p>
        </w:tc>
        <w:tc>
          <w:tcPr>
            <w:tcW w:w="1254" w:type="dxa"/>
            <w:vAlign w:val="center"/>
          </w:tcPr>
          <w:p>
            <w:r>
              <w:t>绿化养护</w:t>
            </w:r>
          </w:p>
        </w:tc>
        <w:tc>
          <w:tcPr>
            <w:tcW w:w="1395" w:type="dxa"/>
            <w:vAlign w:val="center"/>
          </w:tcPr>
          <w:p>
            <w:pPr>
              <w:spacing w:line="360" w:lineRule="auto"/>
              <w:rPr>
                <w:sz w:val="24"/>
                <w:szCs w:val="24"/>
              </w:rPr>
            </w:pPr>
          </w:p>
        </w:tc>
        <w:tc>
          <w:tcPr>
            <w:tcW w:w="1334" w:type="dxa"/>
            <w:gridSpan w:val="2"/>
            <w:vAlign w:val="center"/>
          </w:tcPr>
          <w:p>
            <w:pPr>
              <w:spacing w:line="360" w:lineRule="auto"/>
              <w:rPr>
                <w:sz w:val="24"/>
                <w:szCs w:val="24"/>
              </w:rPr>
            </w:pPr>
          </w:p>
        </w:tc>
        <w:tc>
          <w:tcPr>
            <w:tcW w:w="994" w:type="dxa"/>
            <w:vAlign w:val="center"/>
          </w:tcPr>
          <w:p>
            <w:pPr>
              <w:spacing w:line="360" w:lineRule="auto"/>
              <w:rPr>
                <w:sz w:val="24"/>
                <w:szCs w:val="24"/>
              </w:rPr>
            </w:pPr>
          </w:p>
        </w:tc>
        <w:tc>
          <w:tcPr>
            <w:tcW w:w="1612" w:type="dxa"/>
            <w:vAlign w:val="center"/>
          </w:tcPr>
          <w:p>
            <w:pPr>
              <w:spacing w:line="360" w:lineRule="auto"/>
              <w:jc w:val="center"/>
              <w:rPr>
                <w:sz w:val="24"/>
                <w:szCs w:val="24"/>
              </w:rPr>
            </w:pPr>
          </w:p>
        </w:tc>
        <w:tc>
          <w:tcPr>
            <w:tcW w:w="1701" w:type="dxa"/>
            <w:vMerge w:val="continue"/>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661" w:type="dxa"/>
            <w:vMerge w:val="continue"/>
            <w:vAlign w:val="center"/>
          </w:tcPr>
          <w:p>
            <w:pPr>
              <w:spacing w:line="360" w:lineRule="auto"/>
              <w:jc w:val="center"/>
              <w:rPr>
                <w:sz w:val="24"/>
                <w:szCs w:val="24"/>
              </w:rPr>
            </w:pPr>
          </w:p>
        </w:tc>
        <w:tc>
          <w:tcPr>
            <w:tcW w:w="1254" w:type="dxa"/>
            <w:vAlign w:val="center"/>
          </w:tcPr>
          <w:p>
            <w:r>
              <w:t>其他</w:t>
            </w:r>
          </w:p>
        </w:tc>
        <w:tc>
          <w:tcPr>
            <w:tcW w:w="3723" w:type="dxa"/>
            <w:gridSpan w:val="4"/>
            <w:vAlign w:val="center"/>
          </w:tcPr>
          <w:p>
            <w:r>
              <w:t>生活垃圾清运、水质检测、水池清洗消毒、除“四害”、厕纸保障、饮用水开水器维护保养、化粪池疏通清运等</w:t>
            </w:r>
          </w:p>
        </w:tc>
        <w:tc>
          <w:tcPr>
            <w:tcW w:w="1612" w:type="dxa"/>
            <w:vAlign w:val="center"/>
          </w:tcPr>
          <w:p>
            <w:pPr>
              <w:pStyle w:val="24"/>
            </w:pPr>
          </w:p>
        </w:tc>
        <w:tc>
          <w:tcPr>
            <w:tcW w:w="1701" w:type="dxa"/>
            <w:vMerge w:val="continue"/>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661" w:type="dxa"/>
            <w:vMerge w:val="continue"/>
            <w:vAlign w:val="center"/>
          </w:tcPr>
          <w:p>
            <w:pPr>
              <w:spacing w:line="360" w:lineRule="auto"/>
              <w:jc w:val="center"/>
              <w:rPr>
                <w:sz w:val="24"/>
                <w:szCs w:val="24"/>
              </w:rPr>
            </w:pPr>
          </w:p>
        </w:tc>
        <w:tc>
          <w:tcPr>
            <w:tcW w:w="1254" w:type="dxa"/>
            <w:vAlign w:val="center"/>
          </w:tcPr>
          <w:p>
            <w:r>
              <w:t>法定税费</w:t>
            </w:r>
          </w:p>
        </w:tc>
        <w:tc>
          <w:tcPr>
            <w:tcW w:w="1395" w:type="dxa"/>
            <w:vAlign w:val="center"/>
          </w:tcPr>
          <w:p>
            <w:pPr>
              <w:spacing w:line="360" w:lineRule="auto"/>
              <w:rPr>
                <w:sz w:val="24"/>
                <w:szCs w:val="24"/>
              </w:rPr>
            </w:pPr>
          </w:p>
        </w:tc>
        <w:tc>
          <w:tcPr>
            <w:tcW w:w="1105" w:type="dxa"/>
            <w:vAlign w:val="center"/>
          </w:tcPr>
          <w:p>
            <w:pPr>
              <w:spacing w:line="360" w:lineRule="auto"/>
              <w:rPr>
                <w:sz w:val="24"/>
                <w:szCs w:val="24"/>
              </w:rPr>
            </w:pPr>
          </w:p>
        </w:tc>
        <w:tc>
          <w:tcPr>
            <w:tcW w:w="1223" w:type="dxa"/>
            <w:gridSpan w:val="2"/>
            <w:vAlign w:val="center"/>
          </w:tcPr>
          <w:p>
            <w:pPr>
              <w:spacing w:line="360" w:lineRule="auto"/>
              <w:rPr>
                <w:sz w:val="24"/>
                <w:szCs w:val="24"/>
              </w:rPr>
            </w:pPr>
          </w:p>
        </w:tc>
        <w:tc>
          <w:tcPr>
            <w:tcW w:w="1612" w:type="dxa"/>
          </w:tcPr>
          <w:p>
            <w:pPr>
              <w:spacing w:line="360" w:lineRule="auto"/>
              <w:rPr>
                <w:sz w:val="24"/>
                <w:szCs w:val="24"/>
              </w:rPr>
            </w:pPr>
          </w:p>
        </w:tc>
        <w:tc>
          <w:tcPr>
            <w:tcW w:w="1701" w:type="dxa"/>
            <w:vMerge w:val="continue"/>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661" w:type="dxa"/>
            <w:vMerge w:val="restart"/>
            <w:vAlign w:val="center"/>
          </w:tcPr>
          <w:p>
            <w:r>
              <w:t>2</w:t>
            </w:r>
          </w:p>
        </w:tc>
        <w:tc>
          <w:tcPr>
            <w:tcW w:w="1254" w:type="dxa"/>
            <w:vAlign w:val="center"/>
          </w:tcPr>
          <w:p>
            <w:r>
              <w:t>校内安保</w:t>
            </w:r>
          </w:p>
        </w:tc>
        <w:tc>
          <w:tcPr>
            <w:tcW w:w="1395" w:type="dxa"/>
            <w:vAlign w:val="center"/>
          </w:tcPr>
          <w:p>
            <w:pPr>
              <w:spacing w:line="360" w:lineRule="auto"/>
              <w:rPr>
                <w:sz w:val="24"/>
                <w:szCs w:val="24"/>
              </w:rPr>
            </w:pPr>
          </w:p>
        </w:tc>
        <w:tc>
          <w:tcPr>
            <w:tcW w:w="1105" w:type="dxa"/>
            <w:vAlign w:val="center"/>
          </w:tcPr>
          <w:p>
            <w:pPr>
              <w:spacing w:line="360" w:lineRule="auto"/>
              <w:rPr>
                <w:sz w:val="24"/>
                <w:szCs w:val="24"/>
              </w:rPr>
            </w:pPr>
          </w:p>
        </w:tc>
        <w:tc>
          <w:tcPr>
            <w:tcW w:w="1223" w:type="dxa"/>
            <w:gridSpan w:val="2"/>
            <w:vAlign w:val="center"/>
          </w:tcPr>
          <w:p>
            <w:pPr>
              <w:spacing w:line="360" w:lineRule="auto"/>
              <w:rPr>
                <w:sz w:val="24"/>
                <w:szCs w:val="24"/>
              </w:rPr>
            </w:pPr>
          </w:p>
        </w:tc>
        <w:tc>
          <w:tcPr>
            <w:tcW w:w="1612" w:type="dxa"/>
          </w:tcPr>
          <w:p>
            <w:pPr>
              <w:spacing w:line="360" w:lineRule="auto"/>
              <w:rPr>
                <w:sz w:val="24"/>
                <w:szCs w:val="24"/>
              </w:rPr>
            </w:pPr>
          </w:p>
        </w:tc>
        <w:tc>
          <w:tcPr>
            <w:tcW w:w="1701" w:type="dxa"/>
            <w:vMerge w:val="restart"/>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661" w:type="dxa"/>
            <w:vMerge w:val="continue"/>
            <w:vAlign w:val="center"/>
          </w:tcPr>
          <w:p>
            <w:pPr>
              <w:spacing w:line="360" w:lineRule="auto"/>
              <w:jc w:val="center"/>
              <w:rPr>
                <w:sz w:val="24"/>
                <w:szCs w:val="24"/>
              </w:rPr>
            </w:pPr>
          </w:p>
        </w:tc>
        <w:tc>
          <w:tcPr>
            <w:tcW w:w="1254" w:type="dxa"/>
            <w:vAlign w:val="center"/>
          </w:tcPr>
          <w:p>
            <w:r>
              <w:t>法定税费</w:t>
            </w:r>
          </w:p>
        </w:tc>
        <w:tc>
          <w:tcPr>
            <w:tcW w:w="1395" w:type="dxa"/>
            <w:vAlign w:val="center"/>
          </w:tcPr>
          <w:p>
            <w:pPr>
              <w:spacing w:line="360" w:lineRule="auto"/>
              <w:rPr>
                <w:sz w:val="24"/>
                <w:szCs w:val="24"/>
              </w:rPr>
            </w:pPr>
          </w:p>
        </w:tc>
        <w:tc>
          <w:tcPr>
            <w:tcW w:w="1105" w:type="dxa"/>
            <w:vAlign w:val="center"/>
          </w:tcPr>
          <w:p>
            <w:pPr>
              <w:spacing w:line="360" w:lineRule="auto"/>
              <w:rPr>
                <w:sz w:val="24"/>
                <w:szCs w:val="24"/>
              </w:rPr>
            </w:pPr>
          </w:p>
        </w:tc>
        <w:tc>
          <w:tcPr>
            <w:tcW w:w="1223" w:type="dxa"/>
            <w:gridSpan w:val="2"/>
            <w:vAlign w:val="center"/>
          </w:tcPr>
          <w:p>
            <w:pPr>
              <w:spacing w:line="360" w:lineRule="auto"/>
              <w:rPr>
                <w:sz w:val="24"/>
                <w:szCs w:val="24"/>
              </w:rPr>
            </w:pPr>
          </w:p>
        </w:tc>
        <w:tc>
          <w:tcPr>
            <w:tcW w:w="1612" w:type="dxa"/>
          </w:tcPr>
          <w:p>
            <w:pPr>
              <w:spacing w:line="360" w:lineRule="auto"/>
              <w:rPr>
                <w:sz w:val="24"/>
                <w:szCs w:val="24"/>
              </w:rPr>
            </w:pPr>
          </w:p>
        </w:tc>
        <w:tc>
          <w:tcPr>
            <w:tcW w:w="1701" w:type="dxa"/>
            <w:vMerge w:val="continue"/>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661" w:type="dxa"/>
            <w:vMerge w:val="restart"/>
            <w:vAlign w:val="center"/>
          </w:tcPr>
          <w:p>
            <w:r>
              <w:t>3</w:t>
            </w:r>
          </w:p>
        </w:tc>
        <w:tc>
          <w:tcPr>
            <w:tcW w:w="1254" w:type="dxa"/>
            <w:vAlign w:val="center"/>
          </w:tcPr>
          <w:p>
            <w:r>
              <w:t>专项服务</w:t>
            </w:r>
          </w:p>
        </w:tc>
        <w:tc>
          <w:tcPr>
            <w:tcW w:w="1395" w:type="dxa"/>
            <w:vAlign w:val="center"/>
          </w:tcPr>
          <w:p>
            <w:pPr>
              <w:spacing w:line="360" w:lineRule="auto"/>
              <w:rPr>
                <w:sz w:val="18"/>
                <w:szCs w:val="18"/>
              </w:rPr>
            </w:pPr>
          </w:p>
        </w:tc>
        <w:tc>
          <w:tcPr>
            <w:tcW w:w="1105" w:type="dxa"/>
            <w:vAlign w:val="center"/>
          </w:tcPr>
          <w:p>
            <w:pPr>
              <w:spacing w:line="360" w:lineRule="auto"/>
              <w:rPr>
                <w:sz w:val="24"/>
                <w:szCs w:val="24"/>
              </w:rPr>
            </w:pPr>
          </w:p>
        </w:tc>
        <w:tc>
          <w:tcPr>
            <w:tcW w:w="1223" w:type="dxa"/>
            <w:gridSpan w:val="2"/>
            <w:vAlign w:val="center"/>
          </w:tcPr>
          <w:p>
            <w:pPr>
              <w:spacing w:line="360" w:lineRule="auto"/>
              <w:rPr>
                <w:sz w:val="24"/>
                <w:szCs w:val="24"/>
              </w:rPr>
            </w:pPr>
          </w:p>
        </w:tc>
        <w:tc>
          <w:tcPr>
            <w:tcW w:w="1612" w:type="dxa"/>
          </w:tcPr>
          <w:p>
            <w:pPr>
              <w:spacing w:line="360" w:lineRule="auto"/>
              <w:rPr>
                <w:sz w:val="24"/>
                <w:szCs w:val="24"/>
              </w:rPr>
            </w:pPr>
          </w:p>
        </w:tc>
        <w:tc>
          <w:tcPr>
            <w:tcW w:w="1701" w:type="dxa"/>
            <w:vMerge w:val="restart"/>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661" w:type="dxa"/>
            <w:vMerge w:val="continue"/>
            <w:vAlign w:val="center"/>
          </w:tcPr>
          <w:p>
            <w:pPr>
              <w:spacing w:line="360" w:lineRule="auto"/>
              <w:jc w:val="center"/>
              <w:rPr>
                <w:sz w:val="24"/>
                <w:szCs w:val="24"/>
              </w:rPr>
            </w:pPr>
          </w:p>
        </w:tc>
        <w:tc>
          <w:tcPr>
            <w:tcW w:w="1254" w:type="dxa"/>
            <w:vAlign w:val="center"/>
          </w:tcPr>
          <w:p>
            <w:r>
              <w:t>法定税费</w:t>
            </w:r>
          </w:p>
        </w:tc>
        <w:tc>
          <w:tcPr>
            <w:tcW w:w="1395" w:type="dxa"/>
            <w:vAlign w:val="center"/>
          </w:tcPr>
          <w:p>
            <w:pPr>
              <w:spacing w:line="360" w:lineRule="auto"/>
              <w:rPr>
                <w:sz w:val="18"/>
                <w:szCs w:val="18"/>
              </w:rPr>
            </w:pPr>
          </w:p>
        </w:tc>
        <w:tc>
          <w:tcPr>
            <w:tcW w:w="1105" w:type="dxa"/>
            <w:vAlign w:val="center"/>
          </w:tcPr>
          <w:p>
            <w:pPr>
              <w:spacing w:line="360" w:lineRule="auto"/>
              <w:rPr>
                <w:sz w:val="24"/>
                <w:szCs w:val="24"/>
              </w:rPr>
            </w:pPr>
          </w:p>
        </w:tc>
        <w:tc>
          <w:tcPr>
            <w:tcW w:w="1223" w:type="dxa"/>
            <w:gridSpan w:val="2"/>
            <w:vAlign w:val="center"/>
          </w:tcPr>
          <w:p>
            <w:pPr>
              <w:spacing w:line="360" w:lineRule="auto"/>
              <w:rPr>
                <w:sz w:val="24"/>
                <w:szCs w:val="24"/>
              </w:rPr>
            </w:pPr>
          </w:p>
        </w:tc>
        <w:tc>
          <w:tcPr>
            <w:tcW w:w="1612" w:type="dxa"/>
          </w:tcPr>
          <w:p>
            <w:pPr>
              <w:spacing w:line="360" w:lineRule="auto"/>
              <w:rPr>
                <w:sz w:val="24"/>
                <w:szCs w:val="24"/>
              </w:rPr>
            </w:pPr>
          </w:p>
        </w:tc>
        <w:tc>
          <w:tcPr>
            <w:tcW w:w="1701" w:type="dxa"/>
            <w:vMerge w:val="continue"/>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4415" w:type="dxa"/>
            <w:gridSpan w:val="4"/>
            <w:tcBorders>
              <w:right w:val="single" w:color="auto" w:sz="4" w:space="0"/>
            </w:tcBorders>
            <w:vAlign w:val="center"/>
          </w:tcPr>
          <w:p>
            <w:r>
              <w:t>合计每年投标报价（人民币：元）</w:t>
            </w:r>
          </w:p>
        </w:tc>
        <w:tc>
          <w:tcPr>
            <w:tcW w:w="4536" w:type="dxa"/>
            <w:gridSpan w:val="4"/>
            <w:tcBorders>
              <w:left w:val="single" w:color="auto" w:sz="4" w:space="0"/>
            </w:tcBorders>
            <w:vAlign w:val="center"/>
          </w:tcPr>
          <w:p>
            <w:pPr>
              <w:spacing w:line="360" w:lineRule="auto"/>
              <w:rPr>
                <w:sz w:val="24"/>
                <w:szCs w:val="24"/>
              </w:rPr>
            </w:pPr>
          </w:p>
        </w:tc>
      </w:tr>
    </w:tbl>
    <w:p>
      <w:pPr>
        <w:pStyle w:val="25"/>
        <w:spacing w:after="120" w:line="360" w:lineRule="auto"/>
        <w:ind w:firstLine="0"/>
        <w:rPr>
          <w:szCs w:val="24"/>
        </w:rPr>
      </w:pPr>
      <w:r/>
    </w:p>
    <w:p>
      <w:pPr>
        <w:widowControl/>
        <w:spacing w:line="360" w:lineRule="auto"/>
        <w:ind w:firstLine="426" w:firstLineChars="177"/>
        <w:jc w:val="left"/>
        <w:rPr>
          <w:rFonts w:asciiTheme="minorEastAsia" w:hAnsiTheme="minorEastAsia" w:eastAsiaTheme="minorEastAsia"/>
          <w:bCs/>
          <w:sz w:val="24"/>
          <w:szCs w:val="24"/>
        </w:rPr>
      </w:pPr>
      <w:r>
        <w:t>备注：1、在不改变本表格基本内容的情况下，投标人可根据实际情况对本表格进行扩展。</w:t>
      </w:r>
    </w:p>
    <w:p>
      <w:pPr>
        <w:spacing w:line="360" w:lineRule="auto"/>
        <w:ind w:firstLine="424" w:firstLineChars="177"/>
        <w:rPr>
          <w:rFonts w:asciiTheme="minorEastAsia" w:hAnsiTheme="minorEastAsia" w:eastAsiaTheme="minorEastAsia"/>
          <w:sz w:val="24"/>
          <w:szCs w:val="24"/>
        </w:rPr>
      </w:pPr>
      <w:r>
        <w:t>2、投标人的投标报价应以人民币进行报价，包含了完成完整的一个年度物业管理服务所需的所有费用，其中包括：</w:t>
      </w:r>
    </w:p>
    <w:p>
      <w:pPr>
        <w:spacing w:line="360" w:lineRule="auto"/>
        <w:ind w:firstLine="424" w:firstLineChars="177"/>
        <w:rPr>
          <w:rFonts w:asciiTheme="minorEastAsia" w:hAnsiTheme="minorEastAsia" w:eastAsiaTheme="minorEastAsia"/>
          <w:sz w:val="24"/>
          <w:szCs w:val="24"/>
        </w:rPr>
      </w:pPr>
      <w:r>
        <w:t>（1）人员费用：所有人员的基本工资、社保（五险）、高温补贴、加班补贴及其它补贴（如有）、保险、人员各季节工作服、首次进场大扫除的费用等；</w:t>
      </w:r>
    </w:p>
    <w:p>
      <w:pPr>
        <w:spacing w:line="360" w:lineRule="auto"/>
        <w:ind w:firstLine="424" w:firstLineChars="177"/>
        <w:rPr>
          <w:rFonts w:asciiTheme="minorEastAsia" w:hAnsiTheme="minorEastAsia" w:eastAsiaTheme="minorEastAsia"/>
          <w:sz w:val="24"/>
          <w:szCs w:val="24"/>
        </w:rPr>
      </w:pPr>
      <w:r>
        <w:t>（2）物业管理区域清洁卫生费用（含日常卫生消耗品等物资采购费用）；</w:t>
      </w:r>
    </w:p>
    <w:p>
      <w:pPr>
        <w:spacing w:line="360" w:lineRule="auto"/>
        <w:ind w:firstLine="424" w:firstLineChars="177"/>
        <w:rPr>
          <w:rFonts w:asciiTheme="minorEastAsia" w:hAnsiTheme="minorEastAsia" w:eastAsiaTheme="minorEastAsia"/>
          <w:sz w:val="24"/>
          <w:szCs w:val="24"/>
        </w:rPr>
      </w:pPr>
      <w:r>
        <w:t>（3）物业管理区域秩序维护费用；</w:t>
      </w:r>
    </w:p>
    <w:p>
      <w:pPr>
        <w:spacing w:line="360" w:lineRule="auto"/>
        <w:ind w:firstLine="424" w:firstLineChars="177"/>
        <w:rPr>
          <w:rFonts w:asciiTheme="minorEastAsia" w:hAnsiTheme="minorEastAsia" w:eastAsiaTheme="minorEastAsia"/>
          <w:sz w:val="24"/>
          <w:szCs w:val="24"/>
        </w:rPr>
      </w:pPr>
      <w:r>
        <w:t>（4）投标人内部管理费用；</w:t>
      </w:r>
    </w:p>
    <w:p>
      <w:pPr>
        <w:spacing w:line="360" w:lineRule="auto"/>
        <w:ind w:firstLine="424" w:firstLineChars="177"/>
        <w:rPr>
          <w:rFonts w:asciiTheme="minorEastAsia" w:hAnsiTheme="minorEastAsia" w:eastAsiaTheme="minorEastAsia"/>
          <w:sz w:val="24"/>
          <w:szCs w:val="24"/>
        </w:rPr>
      </w:pPr>
      <w:r>
        <w:t>（5）物业管理责任险费用；</w:t>
      </w:r>
    </w:p>
    <w:p>
      <w:pPr>
        <w:spacing w:line="360" w:lineRule="auto"/>
        <w:ind w:firstLine="424" w:firstLineChars="177"/>
        <w:rPr>
          <w:rFonts w:asciiTheme="minorEastAsia" w:hAnsiTheme="minorEastAsia" w:eastAsiaTheme="minorEastAsia"/>
          <w:sz w:val="24"/>
          <w:szCs w:val="24"/>
        </w:rPr>
      </w:pPr>
      <w:r>
        <w:t>（6）重大活动或节假日应急保障费用；</w:t>
      </w:r>
    </w:p>
    <w:p>
      <w:pPr>
        <w:spacing w:line="360" w:lineRule="auto"/>
        <w:ind w:firstLine="424" w:firstLineChars="177"/>
        <w:rPr>
          <w:rFonts w:asciiTheme="minorEastAsia" w:hAnsiTheme="minorEastAsia" w:eastAsiaTheme="minorEastAsia"/>
          <w:sz w:val="24"/>
          <w:szCs w:val="24"/>
        </w:rPr>
      </w:pPr>
      <w:r>
        <w:t>（7）其他应由投标人承担的费用。</w:t>
      </w:r>
    </w:p>
    <w:p>
      <w:pPr>
        <w:spacing w:line="360" w:lineRule="auto"/>
        <w:ind w:firstLine="484" w:firstLineChars="202"/>
        <w:rPr>
          <w:rFonts w:asciiTheme="minorEastAsia" w:hAnsiTheme="minorEastAsia" w:eastAsiaTheme="minorEastAsia"/>
          <w:sz w:val="24"/>
          <w:szCs w:val="24"/>
        </w:rPr>
      </w:pPr>
      <w:r>
        <w:t>3、法定税费另计。</w:t>
      </w:r>
    </w:p>
    <w:p>
      <w:pPr>
        <w:spacing w:line="360" w:lineRule="auto"/>
        <w:ind w:firstLine="484" w:firstLineChars="202"/>
        <w:rPr>
          <w:rFonts w:asciiTheme="minorEastAsia" w:hAnsiTheme="minorEastAsia" w:eastAsiaTheme="minorEastAsia"/>
          <w:sz w:val="24"/>
          <w:szCs w:val="24"/>
          <w:u w:val="single"/>
        </w:rPr>
      </w:pPr>
      <w:r>
        <w:t>报价过程中，所有费用均计入相关岗位人员单价中(法定税费除外)</w:t>
      </w:r>
    </w:p>
    <w:p>
      <w:pPr>
        <w:spacing w:line="360" w:lineRule="auto"/>
        <w:ind w:firstLine="484" w:firstLineChars="202"/>
      </w:pPr>
      <w:r>
        <w:t>4、各岗位人员工资不得低于宁波市最低基本工资标准，投标人报价不得出现明显的畸高畸低的报价。</w:t>
      </w:r>
    </w:p>
    <w:p>
      <w:pPr>
        <w:spacing w:line="360" w:lineRule="auto"/>
        <w:rPr>
          <w:rFonts w:ascii="仿宋" w:hAnsi="仿宋" w:eastAsia="仿宋"/>
          <w:b/>
          <w:bCs/>
          <w:sz w:val="28"/>
          <w:szCs w:val="28"/>
        </w:rPr>
      </w:pPr>
      <w:r/>
    </w:p>
    <w:p>
      <w:pPr>
        <w:spacing w:line="360" w:lineRule="auto"/>
        <w:rPr>
          <w:rFonts w:ascii="仿宋" w:hAnsi="仿宋" w:eastAsia="仿宋"/>
          <w:b/>
          <w:bCs/>
          <w:sz w:val="28"/>
          <w:szCs w:val="28"/>
        </w:rPr>
      </w:pPr>
      <w:r>
        <w:t>商务要求表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r>
              <w:t>▲项目工期（交货期）及地点</w:t>
            </w:r>
          </w:p>
        </w:tc>
        <w:tc>
          <w:tcPr>
            <w:tcW w:w="6775" w:type="dxa"/>
            <w:vAlign w:val="center"/>
          </w:tcPr>
          <w:p>
            <w:r>
              <w:t>中标公示结束2天后内组织人员展开新老服务单位交接手续。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r>
              <w:t>▲付款条件（明确是否需要履约保证金）</w:t>
            </w:r>
          </w:p>
        </w:tc>
        <w:tc>
          <w:tcPr>
            <w:tcW w:w="6775" w:type="dxa"/>
            <w:vAlign w:val="center"/>
          </w:tcPr>
          <w:p>
            <w:r>
              <w:t>合同签订后7个工作日内中标方支付合同价的1%履约保证金；付款方式实行先服务后付费，服务费用在每季度结束，按照实际用工情况经中标人提出申请后支付给中标人。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r>
              <w:t>违约责任及争议解决方式</w:t>
            </w:r>
          </w:p>
        </w:tc>
        <w:tc>
          <w:tcPr>
            <w:tcW w:w="6775" w:type="dxa"/>
            <w:vAlign w:val="center"/>
          </w:tcPr>
          <w:p>
            <w: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r>
              <w:t>售</w:t>
              <w:br/>
              <w:t>后</w:t>
              <w:br/>
              <w:t>服务</w:t>
            </w:r>
          </w:p>
        </w:tc>
        <w:tc>
          <w:tcPr>
            <w:tcW w:w="1305" w:type="dxa"/>
            <w:vAlign w:val="center"/>
          </w:tcPr>
          <w:p>
            <w:r>
              <w:t>项目维护计划</w:t>
            </w:r>
          </w:p>
        </w:tc>
        <w:tc>
          <w:tcPr>
            <w:tcW w:w="6775" w:type="dxa"/>
            <w:vAlign w:val="center"/>
          </w:tcPr>
          <w:p>
            <w:r>
              <w:t>按招标需求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r>
              <w:t>响应情况</w:t>
            </w:r>
          </w:p>
        </w:tc>
        <w:tc>
          <w:tcPr>
            <w:tcW w:w="6775" w:type="dxa"/>
            <w:vAlign w:val="center"/>
          </w:tcPr>
          <w:p>
            <w:r>
              <w:t>按招标需求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r>
              <w:t>技术培训</w:t>
            </w:r>
          </w:p>
        </w:tc>
        <w:tc>
          <w:tcPr>
            <w:tcW w:w="6775" w:type="dxa"/>
            <w:vAlign w:val="center"/>
          </w:tcPr>
          <w:p>
            <w:r>
              <w:t>按招标需求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r>
              <w:t>履约能力</w:t>
            </w:r>
          </w:p>
        </w:tc>
        <w:tc>
          <w:tcPr>
            <w:tcW w:w="1305" w:type="dxa"/>
            <w:vAlign w:val="center"/>
          </w:tcPr>
          <w:p>
            <w:r>
              <w:t>投标人技术力量情况</w:t>
            </w:r>
          </w:p>
        </w:tc>
        <w:tc>
          <w:tcPr>
            <w:tcW w:w="6775" w:type="dxa"/>
            <w:vAlign w:val="center"/>
          </w:tcPr>
          <w:p>
            <w:r>
              <w:t>按招标需求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r>
              <w:t>经验或业绩要求</w:t>
            </w:r>
          </w:p>
        </w:tc>
        <w:tc>
          <w:tcPr>
            <w:tcW w:w="6775" w:type="dxa"/>
            <w:vAlign w:val="center"/>
          </w:tcPr>
          <w:p>
            <w:r>
              <w:t>类似项目（非住宅）成功经验。评委依据项目特征、服务内容对投标人提供的成功案例进行综合评议。</w:t>
              <w:br/>
              <w:t>注：同一个项目不同年份按一个计算。在投标文件中提供合同的原件彩色扫描件，否则不得分。需提供2019年6月1日（含）以来类似项目成功案例合同复印件，一个项目得0.5分，最高得2分，以合同签订时间为准。</w:t>
            </w:r>
          </w:p>
        </w:tc>
      </w:tr>
    </w:tbl>
    <w:p>
      <w:pPr>
        <w:spacing w:after="240" w:afterLines="100" w:line="340" w:lineRule="exact"/>
        <w:rPr>
          <w:rFonts w:hAnsi="宋体"/>
          <w:b/>
          <w:sz w:val="36"/>
          <w:szCs w:val="36"/>
        </w:rPr>
      </w:pPr>
      <w:r/>
    </w:p>
    <w:bookmarkEnd w:id="22"/>
    <w:p>
      <w:pPr>
        <w:pStyle w:val="31"/>
        <w:spacing w:before="120" w:after="120" w:line="360" w:lineRule="auto"/>
        <w:jc w:val="center"/>
        <w:outlineLvl w:val="0"/>
        <w:rPr>
          <w:rFonts w:hAnsi="宋体"/>
          <w:b/>
          <w:sz w:val="36"/>
          <w:szCs w:val="36"/>
        </w:rPr>
      </w:pPr>
      <w:r>
        <w:t>第五章  浙江省政府采购合同主要条款指引</w:t>
      </w:r>
    </w:p>
    <w:p>
      <w:r/>
    </w:p>
    <w:p>
      <w:pPr>
        <w:pStyle w:val="31"/>
        <w:snapToGrid w:val="0"/>
        <w:spacing w:before="120" w:after="120" w:line="360" w:lineRule="auto"/>
        <w:jc w:val="center"/>
        <w:rPr>
          <w:rFonts w:ascii="仿宋" w:hAnsi="仿宋" w:eastAsia="仿宋"/>
          <w:sz w:val="30"/>
          <w:szCs w:val="30"/>
        </w:rPr>
      </w:pPr>
      <w:r>
        <w:t xml:space="preserve">                       合同编号：        </w:t>
      </w:r>
    </w:p>
    <w:p>
      <w:pPr>
        <w:pStyle w:val="31"/>
        <w:snapToGrid w:val="0"/>
        <w:spacing w:before="120" w:after="120" w:line="360" w:lineRule="auto"/>
        <w:jc w:val="left"/>
        <w:rPr>
          <w:rFonts w:ascii="仿宋" w:hAnsi="仿宋" w:eastAsia="仿宋"/>
          <w:sz w:val="30"/>
          <w:szCs w:val="30"/>
        </w:rPr>
      </w:pPr>
      <w:r>
        <w:t xml:space="preserve">                                     确认书号：</w:t>
      </w:r>
    </w:p>
    <w:p>
      <w:pPr>
        <w:spacing w:line="520" w:lineRule="exact"/>
        <w:ind w:firstLine="301" w:firstLineChars="100"/>
        <w:rPr>
          <w:rFonts w:ascii="仿宋" w:hAnsi="仿宋" w:eastAsia="仿宋"/>
          <w:sz w:val="30"/>
          <w:szCs w:val="30"/>
        </w:rPr>
      </w:pPr>
      <w:r>
        <w:t xml:space="preserve">甲方（采购人）： </w:t>
      </w:r>
    </w:p>
    <w:p>
      <w:pPr>
        <w:spacing w:line="520" w:lineRule="exact"/>
        <w:ind w:firstLine="301" w:firstLineChars="100"/>
        <w:rPr>
          <w:rFonts w:ascii="仿宋" w:hAnsi="仿宋" w:eastAsia="仿宋"/>
          <w:sz w:val="30"/>
          <w:szCs w:val="30"/>
        </w:rPr>
      </w:pPr>
      <w:r>
        <w:t xml:space="preserve">乙方（供应商）： </w:t>
      </w:r>
    </w:p>
    <w:p>
      <w:pPr>
        <w:pStyle w:val="31"/>
        <w:adjustRightInd w:val="0"/>
        <w:snapToGrid w:val="0"/>
        <w:spacing w:before="120" w:after="120" w:line="460" w:lineRule="exact"/>
        <w:ind w:firstLine="594" w:firstLineChars="198"/>
        <w:rPr>
          <w:rFonts w:ascii="仿宋" w:hAnsi="仿宋" w:eastAsia="仿宋"/>
          <w:b/>
          <w:snapToGrid w:val="0"/>
          <w:sz w:val="30"/>
          <w:szCs w:val="30"/>
        </w:rPr>
      </w:pPr>
      <w:r>
        <w:t>甲、乙双方根据浙江省政府采购中心关于项目编号为      的（标项及名称）项目公开招标的结果，签署本合同。</w:t>
      </w:r>
    </w:p>
    <w:p>
      <w:pPr>
        <w:pStyle w:val="31"/>
        <w:adjustRightInd w:val="0"/>
        <w:snapToGrid w:val="0"/>
        <w:spacing w:before="120" w:after="120" w:line="460" w:lineRule="exact"/>
        <w:ind w:firstLine="641" w:firstLineChars="213"/>
        <w:rPr>
          <w:rFonts w:ascii="仿宋" w:hAnsi="仿宋" w:eastAsia="仿宋"/>
          <w:b/>
          <w:sz w:val="30"/>
          <w:szCs w:val="30"/>
        </w:rPr>
      </w:pPr>
      <w:r>
        <w:t>一、项目内容及合同价格</w:t>
      </w:r>
    </w:p>
    <w:p>
      <w:pPr>
        <w:pStyle w:val="31"/>
        <w:adjustRightInd w:val="0"/>
        <w:snapToGrid w:val="0"/>
        <w:spacing w:before="120" w:after="120" w:line="460" w:lineRule="exact"/>
        <w:ind w:firstLine="639" w:firstLineChars="213"/>
        <w:jc w:val="right"/>
        <w:rPr>
          <w:rFonts w:ascii="仿宋" w:hAnsi="仿宋" w:eastAsia="仿宋"/>
          <w:sz w:val="30"/>
          <w:szCs w:val="30"/>
        </w:rPr>
      </w:pPr>
      <w: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r>
              <w:t>项目名称</w:t>
            </w:r>
          </w:p>
        </w:tc>
        <w:tc>
          <w:tcPr>
            <w:tcW w:w="3240" w:type="dxa"/>
            <w:tcBorders>
              <w:top w:val="single" w:color="auto" w:sz="4" w:space="0"/>
              <w:left w:val="single" w:color="auto" w:sz="4" w:space="0"/>
              <w:bottom w:val="single" w:color="auto" w:sz="4" w:space="0"/>
              <w:right w:val="single" w:color="auto" w:sz="4" w:space="0"/>
            </w:tcBorders>
            <w:vAlign w:val="center"/>
          </w:tcPr>
          <w:p>
            <w:r>
              <w:t>技术需求</w:t>
            </w:r>
          </w:p>
        </w:tc>
        <w:tc>
          <w:tcPr>
            <w:tcW w:w="1080" w:type="dxa"/>
            <w:tcBorders>
              <w:top w:val="single" w:color="auto" w:sz="4" w:space="0"/>
              <w:left w:val="single" w:color="auto" w:sz="4" w:space="0"/>
              <w:bottom w:val="single" w:color="auto" w:sz="4" w:space="0"/>
              <w:right w:val="single" w:color="auto" w:sz="4" w:space="0"/>
            </w:tcBorders>
            <w:vAlign w:val="center"/>
          </w:tcPr>
          <w:p>
            <w:r>
              <w:t>数量</w:t>
            </w:r>
          </w:p>
        </w:tc>
        <w:tc>
          <w:tcPr>
            <w:tcW w:w="1260" w:type="dxa"/>
            <w:tcBorders>
              <w:top w:val="single" w:color="auto" w:sz="4" w:space="0"/>
              <w:left w:val="single" w:color="auto" w:sz="4" w:space="0"/>
              <w:bottom w:val="single" w:color="auto" w:sz="4" w:space="0"/>
              <w:right w:val="single" w:color="auto" w:sz="4" w:space="0"/>
            </w:tcBorders>
            <w:vAlign w:val="center"/>
          </w:tcPr>
          <w:p>
            <w:r>
              <w:t>单价</w:t>
            </w:r>
          </w:p>
        </w:tc>
        <w:tc>
          <w:tcPr>
            <w:tcW w:w="1212" w:type="dxa"/>
            <w:tcBorders>
              <w:top w:val="single" w:color="auto" w:sz="4" w:space="0"/>
              <w:left w:val="single" w:color="auto" w:sz="4" w:space="0"/>
              <w:bottom w:val="single" w:color="auto" w:sz="4" w:space="0"/>
              <w:right w:val="single" w:color="auto" w:sz="4" w:space="0"/>
            </w:tcBorders>
            <w:vAlign w:val="center"/>
          </w:tcPr>
          <w:p>
            <w: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r>
              <w:t>合同总价大写：                              小写：￥</w:t>
            </w:r>
          </w:p>
        </w:tc>
      </w:tr>
    </w:tbl>
    <w:p>
      <w:pPr>
        <w:pStyle w:val="31"/>
        <w:snapToGrid w:val="0"/>
        <w:spacing w:beforeLines="0" w:afterLines="0" w:line="460" w:lineRule="exact"/>
        <w:ind w:left="-178" w:leftChars="-85" w:firstLine="639" w:firstLineChars="213"/>
        <w:rPr>
          <w:rFonts w:ascii="仿宋" w:hAnsi="仿宋" w:eastAsia="仿宋"/>
          <w:kern w:val="0"/>
          <w:sz w:val="30"/>
          <w:szCs w:val="30"/>
        </w:rPr>
      </w:pPr>
      <w: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t xml:space="preserve">　2.以上合同总价包含项目达到预期使用效果所需的一切费用。</w:t>
      </w:r>
    </w:p>
    <w:p>
      <w:pPr>
        <w:pStyle w:val="31"/>
        <w:adjustRightInd w:val="0"/>
        <w:snapToGrid w:val="0"/>
        <w:spacing w:before="120" w:after="120" w:line="460" w:lineRule="exact"/>
        <w:ind w:firstLine="641" w:firstLineChars="213"/>
        <w:rPr>
          <w:rFonts w:ascii="仿宋" w:hAnsi="仿宋" w:eastAsia="仿宋"/>
          <w:b/>
          <w:snapToGrid w:val="0"/>
          <w:sz w:val="30"/>
          <w:szCs w:val="30"/>
        </w:rPr>
      </w:pPr>
      <w:r>
        <w:t>二、技术资料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t>1.乙方应按招标文件规定的时间向甲方提供使用项目的有关技术资料。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ascii="仿宋" w:hAnsi="仿宋" w:eastAsia="仿宋"/>
          <w:b/>
          <w:snapToGrid w:val="0"/>
          <w:sz w:val="30"/>
          <w:szCs w:val="30"/>
        </w:rPr>
      </w:pPr>
      <w:r>
        <w:t>三、知识产权</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t>乙方应保证所提供的货物或其任何一部分均不会侵犯任何第三方的知识产权。</w:t>
      </w:r>
    </w:p>
    <w:p>
      <w:pPr>
        <w:pStyle w:val="31"/>
        <w:adjustRightInd w:val="0"/>
        <w:snapToGrid w:val="0"/>
        <w:spacing w:before="120" w:after="120" w:line="460" w:lineRule="exact"/>
        <w:ind w:firstLine="596" w:firstLineChars="198"/>
        <w:rPr>
          <w:rFonts w:ascii="仿宋" w:hAnsi="仿宋" w:eastAsia="仿宋"/>
          <w:snapToGrid w:val="0"/>
          <w:sz w:val="30"/>
          <w:szCs w:val="30"/>
          <w:u w:val="single"/>
        </w:rPr>
      </w:pPr>
      <w:r>
        <w:t>四、产权担保</w:t>
      </w:r>
    </w:p>
    <w:p>
      <w:pPr>
        <w:pStyle w:val="31"/>
        <w:adjustRightInd w:val="0"/>
        <w:snapToGrid w:val="0"/>
        <w:spacing w:before="120" w:after="120" w:line="460" w:lineRule="exact"/>
        <w:ind w:firstLine="639" w:firstLineChars="213"/>
        <w:rPr>
          <w:rFonts w:ascii="仿宋" w:hAnsi="仿宋" w:eastAsia="仿宋"/>
          <w:snapToGrid w:val="0"/>
          <w:sz w:val="30"/>
          <w:szCs w:val="30"/>
          <w:u w:val="single"/>
        </w:rPr>
      </w:pPr>
      <w:r>
        <w:t>乙方保证所交付的货物的所有权完全属于乙方且无任何抵押、查封等产权瑕疵。</w:t>
      </w:r>
    </w:p>
    <w:p>
      <w:pPr>
        <w:pStyle w:val="31"/>
        <w:adjustRightInd w:val="0"/>
        <w:snapToGrid w:val="0"/>
        <w:spacing w:before="120" w:after="120" w:line="460" w:lineRule="exact"/>
        <w:ind w:firstLine="596" w:firstLineChars="198"/>
        <w:rPr>
          <w:rFonts w:ascii="仿宋" w:hAnsi="仿宋" w:eastAsia="仿宋"/>
          <w:b/>
          <w:snapToGrid w:val="0"/>
          <w:sz w:val="30"/>
          <w:szCs w:val="30"/>
        </w:rPr>
      </w:pPr>
      <w: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t>允许分包部分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t>如乙方将项目转包或将不允许分包部分就行了分包，甲方有权解除合同，没收履约保证金并追究乙方的违约责任。</w:t>
      </w:r>
    </w:p>
    <w:p>
      <w:pPr>
        <w:pStyle w:val="31"/>
        <w:adjustRightInd w:val="0"/>
        <w:snapToGrid w:val="0"/>
        <w:spacing w:before="120" w:after="120" w:line="460" w:lineRule="exact"/>
        <w:ind w:firstLine="641" w:firstLineChars="213"/>
        <w:rPr>
          <w:rFonts w:ascii="仿宋" w:hAnsi="仿宋" w:eastAsia="仿宋"/>
          <w:snapToGrid w:val="0"/>
          <w:color w:val="FF0000"/>
          <w:kern w:val="0"/>
          <w:sz w:val="30"/>
          <w:szCs w:val="30"/>
        </w:rPr>
      </w:pPr>
      <w:r>
        <w:t>六、履约保证金</w:t>
      </w:r>
    </w:p>
    <w:p>
      <w:pPr>
        <w:pStyle w:val="31"/>
        <w:adjustRightInd w:val="0"/>
        <w:snapToGrid w:val="0"/>
        <w:spacing w:before="120" w:after="120" w:line="460" w:lineRule="exact"/>
        <w:ind w:firstLine="600" w:firstLineChars="200"/>
        <w:jc w:val="left"/>
        <w:rPr>
          <w:rFonts w:ascii="仿宋" w:hAnsi="仿宋" w:eastAsia="仿宋"/>
          <w:snapToGrid w:val="0"/>
          <w:color w:val="FF0000"/>
          <w:sz w:val="30"/>
          <w:szCs w:val="30"/>
        </w:rPr>
      </w:pPr>
      <w:r>
        <w:t>1.履约保证金元。[履约保证金交至采购人处，在合同约定交货验收合格满（   ）个月之日起5个工作日内无息退还]</w:t>
      </w:r>
    </w:p>
    <w:p>
      <w:pPr>
        <w:pStyle w:val="31"/>
        <w:adjustRightInd w:val="0"/>
        <w:snapToGrid w:val="0"/>
        <w:spacing w:before="120" w:after="120" w:line="460" w:lineRule="exact"/>
        <w:ind w:firstLine="641" w:firstLineChars="213"/>
        <w:rPr>
          <w:rFonts w:ascii="仿宋" w:hAnsi="仿宋" w:eastAsia="仿宋"/>
          <w:b/>
          <w:snapToGrid w:val="0"/>
          <w:sz w:val="30"/>
          <w:szCs w:val="30"/>
        </w:rPr>
      </w:pPr>
      <w:r>
        <w:t>七、项目工期及实施地点</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t>1.交货期：</w:t>
      </w:r>
    </w:p>
    <w:p>
      <w:pPr>
        <w:pStyle w:val="31"/>
        <w:adjustRightInd w:val="0"/>
        <w:snapToGrid w:val="0"/>
        <w:spacing w:before="120" w:after="120" w:line="460" w:lineRule="exact"/>
        <w:ind w:firstLine="639" w:firstLineChars="213"/>
        <w:rPr>
          <w:rFonts w:ascii="仿宋" w:hAnsi="仿宋" w:eastAsia="仿宋"/>
          <w:b/>
          <w:snapToGrid w:val="0"/>
          <w:sz w:val="30"/>
          <w:szCs w:val="30"/>
        </w:rPr>
      </w:pPr>
      <w:r>
        <w:t>2.实施地点：</w:t>
      </w:r>
    </w:p>
    <w:p>
      <w:pPr>
        <w:pStyle w:val="31"/>
        <w:adjustRightInd w:val="0"/>
        <w:snapToGrid w:val="0"/>
        <w:spacing w:before="120" w:after="120" w:line="460" w:lineRule="exact"/>
        <w:ind w:firstLine="641" w:firstLineChars="213"/>
        <w:rPr>
          <w:rFonts w:ascii="仿宋" w:hAnsi="仿宋" w:eastAsia="仿宋"/>
          <w:b/>
          <w:snapToGrid w:val="0"/>
          <w:sz w:val="30"/>
          <w:szCs w:val="30"/>
        </w:rPr>
      </w:pPr>
      <w:r>
        <w:t>八、货款支付</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t>本合同执行中相关的一切税费均由乙方负担。</w:t>
      </w:r>
    </w:p>
    <w:p>
      <w:pPr>
        <w:pStyle w:val="31"/>
        <w:adjustRightInd w:val="0"/>
        <w:snapToGrid w:val="0"/>
        <w:spacing w:before="120" w:after="120" w:line="460" w:lineRule="exact"/>
        <w:ind w:firstLine="596" w:firstLineChars="198"/>
        <w:rPr>
          <w:rFonts w:ascii="仿宋" w:hAnsi="仿宋" w:eastAsia="仿宋"/>
          <w:snapToGrid w:val="0"/>
          <w:kern w:val="0"/>
          <w:sz w:val="30"/>
          <w:szCs w:val="30"/>
        </w:rPr>
      </w:pPr>
      <w:r>
        <w:t>十、质量保证及售后服务</w:t>
      </w:r>
    </w:p>
    <w:p>
      <w:pPr>
        <w:pStyle w:val="31"/>
        <w:adjustRightInd w:val="0"/>
        <w:snapToGrid w:val="0"/>
        <w:spacing w:before="120" w:after="120" w:line="460" w:lineRule="exact"/>
        <w:ind w:firstLine="639" w:firstLineChars="213"/>
        <w:rPr>
          <w:rFonts w:ascii="仿宋" w:hAnsi="仿宋" w:eastAsia="仿宋"/>
          <w:snapToGrid w:val="0"/>
          <w:sz w:val="30"/>
          <w:szCs w:val="30"/>
        </w:rPr>
      </w:pPr>
      <w:r>
        <w:t>详见招标文件。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t>十一、调试和验收</w:t>
      </w:r>
    </w:p>
    <w:p>
      <w:pPr>
        <w:pStyle w:val="31"/>
        <w:adjustRightInd w:val="0"/>
        <w:snapToGrid w:val="0"/>
        <w:spacing w:before="120" w:after="120" w:line="460" w:lineRule="exact"/>
        <w:ind w:firstLine="639" w:firstLineChars="213"/>
        <w:rPr>
          <w:rFonts w:ascii="仿宋" w:hAnsi="仿宋" w:eastAsia="仿宋"/>
          <w:snapToGrid w:val="0"/>
          <w:sz w:val="30"/>
          <w:szCs w:val="30"/>
        </w:rPr>
      </w:pPr>
      <w: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t>十二、货物包装</w:t>
      </w:r>
    </w:p>
    <w:p>
      <w:pPr>
        <w:pStyle w:val="31"/>
        <w:adjustRightInd w:val="0"/>
        <w:snapToGrid w:val="0"/>
        <w:spacing w:before="120" w:after="120" w:line="460" w:lineRule="exact"/>
        <w:ind w:firstLine="639" w:firstLineChars="213"/>
        <w:rPr>
          <w:rFonts w:ascii="仿宋" w:hAnsi="仿宋" w:eastAsia="仿宋"/>
          <w:snapToGrid w:val="0"/>
          <w:sz w:val="30"/>
          <w:szCs w:val="30"/>
        </w:rPr>
      </w:pPr>
      <w: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t>十三、违约责任</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t>1.甲方无正当理由拒收验收项目的，甲方向乙方偿付拒收合同总价的百分之五违约金。</w:t>
      </w:r>
    </w:p>
    <w:p>
      <w:pPr>
        <w:pStyle w:val="31"/>
        <w:adjustRightInd w:val="0"/>
        <w:snapToGrid w:val="0"/>
        <w:spacing w:before="120" w:after="120" w:line="460" w:lineRule="exact"/>
        <w:ind w:left="1" w:firstLine="641" w:firstLineChars="213"/>
        <w:rPr>
          <w:rFonts w:ascii="仿宋" w:hAnsi="仿宋" w:eastAsia="仿宋"/>
          <w:b/>
          <w:snapToGrid w:val="0"/>
          <w:sz w:val="30"/>
          <w:szCs w:val="30"/>
        </w:rPr>
      </w:pPr>
      <w:r>
        <w:t>2. 甲方收到乙方提供的发票，结合验收情况，验收合格的，在15日内将采购资金支付到乙方约定账户。</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t>甲方无故逾期验收和办理合同款项支付手续的,甲方应按逾期付款总额每日万分之五向乙方支付违约金。</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t>5.解除合同应按《浙江省政府采购合同暂行办法》向财政备案。</w:t>
      </w:r>
    </w:p>
    <w:p>
      <w:pPr>
        <w:pStyle w:val="31"/>
        <w:adjustRightInd w:val="0"/>
        <w:snapToGrid w:val="0"/>
        <w:spacing w:before="120" w:after="120" w:line="460" w:lineRule="exact"/>
        <w:ind w:firstLine="641" w:firstLineChars="213"/>
        <w:rPr>
          <w:rFonts w:ascii="仿宋" w:hAnsi="仿宋" w:eastAsia="仿宋"/>
          <w:b/>
          <w:snapToGrid w:val="0"/>
          <w:sz w:val="30"/>
          <w:szCs w:val="30"/>
        </w:rPr>
      </w:pPr>
      <w:r>
        <w:t>十四、不可抗力事件处理</w:t>
      </w:r>
    </w:p>
    <w:p>
      <w:pPr>
        <w:pStyle w:val="31"/>
        <w:adjustRightInd w:val="0"/>
        <w:snapToGrid w:val="0"/>
        <w:spacing w:before="120" w:after="120" w:line="460" w:lineRule="exact"/>
        <w:ind w:firstLine="639" w:firstLineChars="213"/>
        <w:rPr>
          <w:rFonts w:ascii="仿宋" w:hAnsi="仿宋" w:eastAsia="仿宋"/>
          <w:snapToGrid w:val="0"/>
          <w:sz w:val="30"/>
          <w:szCs w:val="30"/>
        </w:rPr>
      </w:pPr>
      <w:r>
        <w:t>1.在合同有效期内，任何一方因不可抗力事件导致不能履行合同，则合同履行期可延长，其延长期与不可抗力影响期相同。</w:t>
      </w:r>
    </w:p>
    <w:p>
      <w:pPr>
        <w:pStyle w:val="31"/>
        <w:adjustRightInd w:val="0"/>
        <w:snapToGrid w:val="0"/>
        <w:spacing w:before="120" w:after="120" w:line="460" w:lineRule="exact"/>
        <w:ind w:firstLine="639" w:firstLineChars="213"/>
        <w:rPr>
          <w:rFonts w:ascii="仿宋" w:hAnsi="仿宋" w:eastAsia="仿宋"/>
          <w:snapToGrid w:val="0"/>
          <w:sz w:val="30"/>
          <w:szCs w:val="30"/>
        </w:rPr>
      </w:pPr>
      <w:r>
        <w:t>2.不可抗力事件发生后，应立即通知对方，并寄送有关权威机构出具的证明。</w:t>
      </w:r>
    </w:p>
    <w:p>
      <w:pPr>
        <w:pStyle w:val="31"/>
        <w:adjustRightInd w:val="0"/>
        <w:snapToGrid w:val="0"/>
        <w:spacing w:before="120" w:after="120" w:line="460" w:lineRule="exact"/>
        <w:ind w:firstLine="639" w:firstLineChars="213"/>
        <w:rPr>
          <w:rFonts w:ascii="仿宋" w:hAnsi="仿宋" w:eastAsia="仿宋"/>
          <w:snapToGrid w:val="0"/>
          <w:sz w:val="30"/>
          <w:szCs w:val="30"/>
        </w:rPr>
      </w:pPr>
      <w:r>
        <w:t>3.不可抗力事件延续120天以上，双方应通过友好协商，确定是否继续履行合同。</w:t>
      </w:r>
    </w:p>
    <w:p>
      <w:pPr>
        <w:pStyle w:val="31"/>
        <w:adjustRightInd w:val="0"/>
        <w:snapToGrid w:val="0"/>
        <w:spacing w:before="120" w:after="120" w:line="460" w:lineRule="exact"/>
        <w:ind w:firstLine="641" w:firstLineChars="213"/>
        <w:rPr>
          <w:rFonts w:ascii="仿宋" w:hAnsi="仿宋" w:eastAsia="仿宋"/>
          <w:b/>
          <w:snapToGrid w:val="0"/>
          <w:sz w:val="30"/>
          <w:szCs w:val="30"/>
        </w:rPr>
      </w:pPr>
      <w:r>
        <w:t>十五、诉讼</w:t>
      </w:r>
    </w:p>
    <w:p>
      <w:pPr>
        <w:pStyle w:val="31"/>
        <w:adjustRightInd w:val="0"/>
        <w:snapToGrid w:val="0"/>
        <w:spacing w:before="120" w:after="120" w:line="460" w:lineRule="exact"/>
        <w:ind w:left="2" w:firstLine="639" w:firstLineChars="213"/>
        <w:rPr>
          <w:rFonts w:ascii="仿宋" w:hAnsi="仿宋" w:eastAsia="仿宋"/>
          <w:snapToGrid w:val="0"/>
          <w:sz w:val="30"/>
          <w:szCs w:val="30"/>
        </w:rPr>
      </w:pPr>
      <w: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ascii="仿宋" w:hAnsi="仿宋" w:eastAsia="仿宋"/>
          <w:b/>
          <w:snapToGrid w:val="0"/>
          <w:sz w:val="30"/>
          <w:szCs w:val="30"/>
        </w:rPr>
      </w:pPr>
      <w:r>
        <w:t>十六、合同生效及其它</w:t>
      </w:r>
    </w:p>
    <w:p>
      <w:pPr>
        <w:pStyle w:val="31"/>
        <w:adjustRightInd w:val="0"/>
        <w:snapToGrid w:val="0"/>
        <w:spacing w:before="120" w:after="120" w:line="460" w:lineRule="exact"/>
        <w:ind w:firstLine="639" w:firstLineChars="213"/>
        <w:rPr>
          <w:rFonts w:ascii="仿宋" w:hAnsi="仿宋" w:eastAsia="仿宋"/>
          <w:snapToGrid w:val="0"/>
          <w:sz w:val="30"/>
          <w:szCs w:val="30"/>
        </w:rPr>
      </w:pPr>
      <w:r>
        <w:t>1.合同经甲、乙两方签名并加盖单位公章后生效。</w:t>
      </w:r>
    </w:p>
    <w:p>
      <w:pPr>
        <w:pStyle w:val="31"/>
        <w:adjustRightInd w:val="0"/>
        <w:snapToGrid w:val="0"/>
        <w:spacing w:before="120" w:after="120" w:line="460" w:lineRule="exact"/>
        <w:ind w:firstLine="639" w:firstLineChars="213"/>
        <w:rPr>
          <w:rFonts w:ascii="仿宋" w:hAnsi="仿宋" w:eastAsia="仿宋"/>
          <w:snapToGrid w:val="0"/>
          <w:sz w:val="30"/>
          <w:szCs w:val="30"/>
        </w:rPr>
      </w:pPr>
      <w: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20" w:after="120" w:line="460" w:lineRule="exact"/>
        <w:ind w:firstLine="639" w:firstLineChars="213"/>
        <w:rPr>
          <w:rFonts w:ascii="仿宋" w:hAnsi="仿宋" w:eastAsia="仿宋"/>
          <w:snapToGrid w:val="0"/>
          <w:sz w:val="30"/>
          <w:szCs w:val="30"/>
        </w:rPr>
      </w:pPr>
      <w:r>
        <w:t>3.招标文件、投标文件与本合同具有同等法律效力。</w:t>
      </w:r>
    </w:p>
    <w:p>
      <w:pPr>
        <w:pStyle w:val="31"/>
        <w:adjustRightInd w:val="0"/>
        <w:snapToGrid w:val="0"/>
        <w:spacing w:before="120" w:after="120" w:line="460" w:lineRule="exact"/>
        <w:ind w:firstLine="599" w:firstLineChars="213"/>
        <w:rPr>
          <w:rFonts w:ascii="仿宋" w:hAnsi="仿宋" w:eastAsia="仿宋"/>
          <w:snapToGrid w:val="0"/>
          <w:sz w:val="30"/>
          <w:szCs w:val="30"/>
        </w:rPr>
      </w:pPr>
      <w: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20" w:after="120" w:line="460" w:lineRule="exact"/>
        <w:ind w:firstLine="600" w:firstLineChars="200"/>
        <w:rPr>
          <w:rFonts w:ascii="仿宋" w:hAnsi="仿宋" w:eastAsia="仿宋"/>
          <w:snapToGrid w:val="0"/>
          <w:sz w:val="30"/>
          <w:szCs w:val="30"/>
        </w:rPr>
      </w:pPr>
      <w:r>
        <w:t>5.本合同未尽事宜，遵照《中华人民共和国民法典》有关条文执行。</w:t>
      </w:r>
    </w:p>
    <w:p>
      <w:pPr>
        <w:pStyle w:val="31"/>
        <w:adjustRightInd w:val="0"/>
        <w:snapToGrid w:val="0"/>
        <w:spacing w:beforeLines="0" w:afterLines="0" w:line="460" w:lineRule="exact"/>
        <w:ind w:left="2" w:leftChars="1" w:firstLine="600" w:firstLineChars="200"/>
        <w:rPr>
          <w:rFonts w:ascii="仿宋" w:hAnsi="仿宋" w:eastAsia="仿宋"/>
          <w:snapToGrid w:val="0"/>
          <w:sz w:val="30"/>
          <w:szCs w:val="30"/>
        </w:rPr>
      </w:pPr>
      <w:r>
        <w:t>6.本合同一式四份，具有同等法律效力，甲、乙两方各执二份。</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t xml:space="preserve">甲方（盖章）：                                   </w:t>
      </w:r>
    </w:p>
    <w:p>
      <w:pPr>
        <w:pStyle w:val="31"/>
        <w:adjustRightInd w:val="0"/>
        <w:snapToGrid w:val="0"/>
        <w:spacing w:before="120" w:after="120" w:line="460" w:lineRule="exact"/>
        <w:ind w:firstLine="639" w:firstLineChars="213"/>
        <w:rPr>
          <w:rFonts w:ascii="仿宋" w:hAnsi="仿宋" w:eastAsia="仿宋"/>
          <w:snapToGrid w:val="0"/>
          <w:sz w:val="30"/>
          <w:szCs w:val="30"/>
        </w:rPr>
      </w:pPr>
      <w: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t xml:space="preserve">法定（授权）代表人：                   </w:t>
      </w:r>
    </w:p>
    <w:p>
      <w:pPr>
        <w:pStyle w:val="31"/>
        <w:adjustRightInd w:val="0"/>
        <w:snapToGrid w:val="0"/>
        <w:spacing w:before="120" w:after="120" w:line="460" w:lineRule="exact"/>
        <w:ind w:firstLine="639" w:firstLineChars="213"/>
        <w:rPr>
          <w:rFonts w:ascii="仿宋" w:hAnsi="仿宋" w:eastAsia="仿宋"/>
          <w:snapToGrid w:val="0"/>
          <w:sz w:val="30"/>
          <w:szCs w:val="30"/>
        </w:rPr>
      </w:pPr>
      <w:r>
        <w:t xml:space="preserve">签名日期：     年   月   日           </w:t>
      </w:r>
    </w:p>
    <w:p>
      <w:pPr>
        <w:pStyle w:val="31"/>
        <w:adjustRightInd w:val="0"/>
        <w:snapToGrid w:val="0"/>
        <w:spacing w:before="120" w:after="120" w:line="460" w:lineRule="exact"/>
        <w:ind w:firstLine="639" w:firstLineChars="213"/>
        <w:rPr>
          <w:rFonts w:ascii="仿宋" w:hAnsi="仿宋" w:eastAsia="仿宋"/>
          <w:snapToGrid w:val="0"/>
          <w:sz w:val="30"/>
          <w:szCs w:val="30"/>
        </w:rPr>
      </w:pPr>
      <w:r/>
    </w:p>
    <w:p>
      <w:pPr>
        <w:pStyle w:val="31"/>
        <w:adjustRightInd w:val="0"/>
        <w:snapToGrid w:val="0"/>
        <w:spacing w:before="120" w:after="120" w:line="460" w:lineRule="exact"/>
        <w:ind w:firstLine="639" w:firstLineChars="213"/>
        <w:rPr>
          <w:rFonts w:ascii="仿宋" w:hAnsi="仿宋" w:eastAsia="仿宋"/>
          <w:snapToGrid w:val="0"/>
          <w:sz w:val="30"/>
          <w:szCs w:val="30"/>
        </w:rPr>
      </w:pPr>
      <w:r>
        <w:t>乙方（盖章）：</w:t>
      </w:r>
    </w:p>
    <w:p>
      <w:pPr>
        <w:pStyle w:val="31"/>
        <w:adjustRightInd w:val="0"/>
        <w:snapToGrid w:val="0"/>
        <w:spacing w:before="120" w:after="120" w:line="460" w:lineRule="exact"/>
        <w:ind w:firstLine="639" w:firstLineChars="213"/>
        <w:rPr>
          <w:rFonts w:ascii="仿宋" w:hAnsi="仿宋" w:eastAsia="仿宋"/>
          <w:snapToGrid w:val="0"/>
          <w:sz w:val="30"/>
          <w:szCs w:val="30"/>
        </w:rPr>
      </w:pPr>
      <w: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t>开户行：</w:t>
      </w:r>
    </w:p>
    <w:p>
      <w:pPr>
        <w:pStyle w:val="31"/>
        <w:adjustRightInd w:val="0"/>
        <w:snapToGrid w:val="0"/>
        <w:spacing w:before="120" w:after="120" w:line="460" w:lineRule="exact"/>
        <w:ind w:firstLine="639" w:firstLineChars="213"/>
        <w:rPr>
          <w:rFonts w:ascii="仿宋" w:hAnsi="仿宋" w:eastAsia="仿宋"/>
          <w:snapToGrid w:val="0"/>
          <w:sz w:val="30"/>
          <w:szCs w:val="30"/>
        </w:rPr>
      </w:pPr>
      <w:r>
        <w:t>开户帐号：</w:t>
      </w:r>
    </w:p>
    <w:p>
      <w:pPr>
        <w:pStyle w:val="31"/>
        <w:adjustRightInd w:val="0"/>
        <w:snapToGrid w:val="0"/>
        <w:spacing w:before="120" w:after="120" w:line="460" w:lineRule="exact"/>
        <w:ind w:firstLine="639" w:firstLineChars="213"/>
        <w:rPr>
          <w:rFonts w:ascii="仿宋" w:hAnsi="仿宋" w:eastAsia="仿宋"/>
          <w:snapToGrid w:val="0"/>
          <w:sz w:val="30"/>
          <w:szCs w:val="30"/>
        </w:rPr>
      </w:pPr>
      <w:r>
        <w:t>法定（授权）代表人：</w:t>
      </w:r>
    </w:p>
    <w:p>
      <w:pPr>
        <w:pStyle w:val="31"/>
        <w:adjustRightInd w:val="0"/>
        <w:snapToGrid w:val="0"/>
        <w:spacing w:before="120" w:after="120" w:line="460" w:lineRule="exact"/>
        <w:ind w:firstLine="639" w:firstLineChars="213"/>
        <w:rPr>
          <w:rFonts w:ascii="仿宋" w:hAnsi="仿宋" w:eastAsia="仿宋"/>
          <w:snapToGrid w:val="0"/>
          <w:sz w:val="30"/>
          <w:szCs w:val="30"/>
        </w:rPr>
      </w:pPr>
      <w:r>
        <w:t>签名日期：      年   月   日</w:t>
      </w:r>
    </w:p>
    <w:p>
      <w:pPr>
        <w:pStyle w:val="31"/>
        <w:adjustRightInd w:val="0"/>
        <w:snapToGrid w:val="0"/>
        <w:spacing w:before="120" w:after="120" w:line="460" w:lineRule="exact"/>
        <w:ind w:firstLine="639" w:firstLineChars="213"/>
        <w:rPr>
          <w:rFonts w:ascii="仿宋" w:hAnsi="仿宋" w:eastAsia="仿宋"/>
          <w:snapToGrid w:val="0"/>
          <w:sz w:val="30"/>
          <w:szCs w:val="30"/>
        </w:rPr>
      </w:pPr>
      <w:r/>
    </w:p>
    <w:p>
      <w:pPr>
        <w:rPr>
          <w:szCs w:val="30"/>
        </w:rPr>
      </w:pPr>
      <w:r/>
    </w:p>
    <w:p>
      <w:pPr>
        <w:pStyle w:val="31"/>
        <w:spacing w:before="120" w:after="120" w:line="360" w:lineRule="auto"/>
        <w:jc w:val="center"/>
        <w:outlineLvl w:val="0"/>
        <w:rPr>
          <w:rFonts w:hAnsi="宋体"/>
          <w:b/>
          <w:sz w:val="36"/>
          <w:szCs w:val="36"/>
        </w:rPr>
      </w:pPr>
      <w:r>
        <w:t>第六章  投标文件格式附件</w:t>
      </w:r>
    </w:p>
    <w:p>
      <w:pPr>
        <w:pStyle w:val="31"/>
        <w:spacing w:before="120" w:after="120" w:line="360" w:lineRule="auto"/>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pStyle w:val="31"/>
        <w:adjustRightInd w:val="0"/>
        <w:snapToGrid w:val="0"/>
        <w:spacing w:before="120" w:after="120" w:line="460" w:lineRule="exact"/>
        <w:ind w:left="1" w:firstLine="770" w:firstLineChars="213"/>
        <w:jc w:val="center"/>
        <w:rPr>
          <w:rFonts w:hAnsi="宋体" w:eastAsia="仿宋_GB2312"/>
          <w:b/>
          <w:sz w:val="36"/>
          <w:szCs w:val="36"/>
        </w:rPr>
      </w:pPr>
      <w:r/>
    </w:p>
    <w:p>
      <w:pPr>
        <w:snapToGrid w:val="0"/>
        <w:spacing w:before="120" w:beforeLines="50" w:after="50"/>
        <w:rPr>
          <w:rFonts w:ascii="仿宋" w:hAnsi="仿宋" w:eastAsia="仿宋"/>
          <w:b/>
          <w:sz w:val="30"/>
          <w:szCs w:val="30"/>
        </w:rPr>
      </w:pPr>
      <w:r>
        <w:t xml:space="preserve">附件1：                                          </w:t>
      </w:r>
    </w:p>
    <w:p>
      <w:pPr>
        <w:snapToGrid w:val="0"/>
        <w:spacing w:before="120" w:beforeLines="50" w:after="50"/>
        <w:ind w:right="150"/>
        <w:jc w:val="right"/>
        <w:rPr>
          <w:rFonts w:ascii="仿宋" w:hAnsi="仿宋" w:eastAsia="仿宋"/>
          <w:bCs/>
          <w:sz w:val="30"/>
          <w:szCs w:val="30"/>
        </w:rPr>
      </w:pPr>
      <w:r/>
    </w:p>
    <w:p>
      <w:pPr>
        <w:spacing w:before="240" w:beforeLines="100" w:line="240" w:lineRule="atLeast"/>
        <w:jc w:val="center"/>
        <w:rPr>
          <w:rFonts w:ascii="仿宋" w:hAnsi="仿宋" w:eastAsia="仿宋"/>
          <w:sz w:val="36"/>
          <w:szCs w:val="36"/>
        </w:rPr>
      </w:pPr>
      <w:r>
        <w:t>浙江药科职业大学物业管理服务项目</w:t>
      </w:r>
    </w:p>
    <w:p>
      <w:pPr>
        <w:spacing w:before="240" w:beforeLines="100" w:line="240" w:lineRule="atLeast"/>
        <w:jc w:val="center"/>
        <w:rPr>
          <w:rFonts w:ascii="仿宋" w:hAnsi="仿宋" w:eastAsia="仿宋"/>
          <w:sz w:val="36"/>
          <w:szCs w:val="36"/>
        </w:rPr>
      </w:pPr>
      <w:r>
        <w:t>项目编号：ZZCG2022D-GK-130（标项  ）</w:t>
      </w:r>
    </w:p>
    <w:p>
      <w:pPr>
        <w:spacing w:after="100" w:afterAutospacing="1" w:line="800" w:lineRule="exact"/>
        <w:ind w:right="-108"/>
        <w:jc w:val="center"/>
        <w:rPr>
          <w:rFonts w:ascii="仿宋" w:hAnsi="仿宋" w:eastAsia="仿宋"/>
          <w:b/>
          <w:spacing w:val="40"/>
          <w:sz w:val="84"/>
          <w:szCs w:val="84"/>
        </w:rPr>
      </w:pPr>
      <w:r/>
    </w:p>
    <w:p>
      <w:pPr>
        <w:spacing w:after="100" w:afterAutospacing="1" w:line="800" w:lineRule="exact"/>
        <w:ind w:right="-108"/>
        <w:jc w:val="center"/>
        <w:rPr>
          <w:rFonts w:ascii="仿宋" w:hAnsi="仿宋" w:eastAsia="仿宋"/>
          <w:b/>
          <w:spacing w:val="40"/>
          <w:sz w:val="84"/>
          <w:szCs w:val="84"/>
        </w:rPr>
      </w:pPr>
      <w:r>
        <w:t>资</w:t>
      </w:r>
    </w:p>
    <w:p>
      <w:pPr>
        <w:spacing w:after="100" w:afterAutospacing="1" w:line="800" w:lineRule="exact"/>
        <w:ind w:right="-108"/>
        <w:jc w:val="center"/>
        <w:rPr>
          <w:rFonts w:ascii="仿宋" w:hAnsi="仿宋" w:eastAsia="仿宋"/>
          <w:b/>
          <w:spacing w:val="40"/>
          <w:sz w:val="84"/>
          <w:szCs w:val="84"/>
        </w:rPr>
      </w:pPr>
      <w:r/>
    </w:p>
    <w:p>
      <w:pPr>
        <w:spacing w:after="100" w:afterAutospacing="1" w:line="800" w:lineRule="exact"/>
        <w:ind w:right="-108"/>
        <w:jc w:val="center"/>
        <w:rPr>
          <w:rFonts w:ascii="仿宋" w:hAnsi="仿宋" w:eastAsia="仿宋"/>
          <w:b/>
          <w:spacing w:val="40"/>
          <w:sz w:val="84"/>
          <w:szCs w:val="84"/>
        </w:rPr>
      </w:pPr>
      <w:r>
        <w:t>质</w:t>
      </w:r>
    </w:p>
    <w:p>
      <w:pPr>
        <w:spacing w:after="100" w:afterAutospacing="1" w:line="800" w:lineRule="exact"/>
        <w:ind w:right="-108"/>
        <w:jc w:val="center"/>
        <w:rPr>
          <w:rFonts w:ascii="仿宋" w:hAnsi="仿宋" w:eastAsia="仿宋"/>
          <w:b/>
          <w:spacing w:val="40"/>
          <w:sz w:val="84"/>
          <w:szCs w:val="84"/>
        </w:rPr>
      </w:pPr>
      <w:r/>
    </w:p>
    <w:p>
      <w:pPr>
        <w:spacing w:after="100" w:afterAutospacing="1" w:line="800" w:lineRule="exact"/>
        <w:ind w:right="-108"/>
        <w:jc w:val="center"/>
        <w:rPr>
          <w:rFonts w:ascii="仿宋" w:hAnsi="仿宋" w:eastAsia="仿宋"/>
          <w:b/>
          <w:spacing w:val="40"/>
          <w:sz w:val="84"/>
          <w:szCs w:val="84"/>
        </w:rPr>
      </w:pPr>
      <w:r>
        <w:t>文</w:t>
      </w:r>
    </w:p>
    <w:p>
      <w:pPr>
        <w:spacing w:after="100" w:afterAutospacing="1" w:line="800" w:lineRule="exact"/>
        <w:ind w:right="-108"/>
        <w:jc w:val="center"/>
        <w:rPr>
          <w:rFonts w:ascii="仿宋" w:hAnsi="仿宋" w:eastAsia="仿宋"/>
          <w:b/>
          <w:spacing w:val="40"/>
          <w:sz w:val="84"/>
          <w:szCs w:val="84"/>
        </w:rPr>
      </w:pPr>
      <w:r/>
    </w:p>
    <w:p>
      <w:pPr>
        <w:spacing w:after="100" w:afterAutospacing="1" w:line="800" w:lineRule="exact"/>
        <w:ind w:right="-108"/>
        <w:jc w:val="center"/>
        <w:rPr>
          <w:rFonts w:ascii="仿宋" w:hAnsi="仿宋" w:eastAsia="仿宋"/>
          <w:b/>
          <w:spacing w:val="40"/>
          <w:sz w:val="84"/>
          <w:szCs w:val="84"/>
        </w:rPr>
      </w:pPr>
      <w:r>
        <w:t>件</w:t>
      </w:r>
    </w:p>
    <w:p>
      <w:pPr>
        <w:spacing w:line="500" w:lineRule="exact"/>
        <w:ind w:right="532"/>
        <w:rPr>
          <w:rFonts w:ascii="仿宋" w:hAnsi="仿宋" w:eastAsia="仿宋"/>
          <w:sz w:val="36"/>
          <w:szCs w:val="36"/>
        </w:rPr>
      </w:pPr>
      <w:r/>
    </w:p>
    <w:p>
      <w:pPr>
        <w:spacing w:line="600" w:lineRule="exact"/>
        <w:ind w:right="532" w:firstLine="720" w:firstLineChars="200"/>
        <w:rPr>
          <w:rFonts w:ascii="仿宋" w:hAnsi="仿宋" w:eastAsia="仿宋"/>
          <w:sz w:val="36"/>
          <w:szCs w:val="36"/>
        </w:rPr>
      </w:pPr>
      <w:r>
        <w:t>投标人全称：</w:t>
      </w:r>
    </w:p>
    <w:p>
      <w:pPr>
        <w:spacing w:line="600" w:lineRule="exact"/>
        <w:ind w:right="532" w:firstLine="720" w:firstLineChars="200"/>
        <w:rPr>
          <w:rFonts w:ascii="仿宋" w:hAnsi="仿宋" w:eastAsia="仿宋"/>
          <w:sz w:val="36"/>
          <w:szCs w:val="36"/>
        </w:rPr>
      </w:pPr>
      <w:r>
        <w:t>地    址：</w:t>
      </w:r>
    </w:p>
    <w:p>
      <w:pPr>
        <w:spacing w:line="600" w:lineRule="exact"/>
        <w:ind w:right="532" w:firstLine="720" w:firstLineChars="200"/>
        <w:rPr>
          <w:rFonts w:ascii="仿宋" w:hAnsi="仿宋" w:eastAsia="仿宋"/>
          <w:sz w:val="36"/>
          <w:szCs w:val="36"/>
        </w:rPr>
      </w:pPr>
      <w:r>
        <w:t>时    间：</w:t>
      </w:r>
    </w:p>
    <w:p>
      <w:pPr>
        <w:snapToGrid w:val="0"/>
        <w:spacing w:before="50" w:after="50"/>
        <w:rPr>
          <w:rFonts w:ascii="仿宋" w:hAnsi="仿宋" w:eastAsia="仿宋"/>
          <w:b/>
          <w:bCs/>
          <w:sz w:val="36"/>
          <w:szCs w:val="36"/>
        </w:rPr>
      </w:pPr>
      <w:r>
        <w:t>1、资质文件目录</w:t>
      </w:r>
    </w:p>
    <w:p>
      <w:pPr>
        <w:snapToGrid w:val="0"/>
        <w:spacing w:before="50" w:after="50"/>
        <w:rPr>
          <w:rFonts w:ascii="仿宋" w:hAnsi="仿宋" w:eastAsia="仿宋"/>
          <w:sz w:val="30"/>
          <w:szCs w:val="30"/>
        </w:rPr>
      </w:pPr>
      <w:r/>
    </w:p>
    <w:p>
      <w:pPr>
        <w:snapToGrid w:val="0"/>
        <w:spacing w:line="460" w:lineRule="exact"/>
        <w:ind w:firstLine="588" w:firstLineChars="196"/>
        <w:jc w:val="left"/>
        <w:rPr>
          <w:rFonts w:ascii="仿宋" w:hAnsi="仿宋" w:eastAsia="仿宋"/>
          <w:sz w:val="30"/>
          <w:szCs w:val="30"/>
        </w:rPr>
      </w:pPr>
      <w:r>
        <w:t>（1）投标声明书 (格式见附件2，含重大违法记录声明)；</w:t>
      </w:r>
    </w:p>
    <w:p>
      <w:pPr>
        <w:snapToGrid w:val="0"/>
        <w:spacing w:line="460" w:lineRule="exact"/>
        <w:ind w:firstLine="588" w:firstLineChars="196"/>
        <w:jc w:val="left"/>
        <w:rPr>
          <w:rFonts w:ascii="仿宋" w:hAnsi="仿宋" w:eastAsia="仿宋"/>
          <w:sz w:val="30"/>
          <w:szCs w:val="30"/>
        </w:rPr>
      </w:pPr>
      <w:r>
        <w:t>（2）法定代表人授权委托书(格式见附件3)；</w:t>
      </w:r>
    </w:p>
    <w:p>
      <w:pPr>
        <w:snapToGrid w:val="0"/>
        <w:spacing w:line="460" w:lineRule="exact"/>
        <w:ind w:firstLine="588" w:firstLineChars="196"/>
        <w:jc w:val="left"/>
        <w:rPr>
          <w:rFonts w:ascii="仿宋" w:hAnsi="仿宋" w:eastAsia="仿宋"/>
          <w:sz w:val="30"/>
          <w:szCs w:val="30"/>
        </w:rPr>
      </w:pPr>
      <w: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t>（4）联合投标协议书（若需要，格式见附件4）;</w:t>
      </w:r>
    </w:p>
    <w:p>
      <w:pPr>
        <w:snapToGrid w:val="0"/>
        <w:spacing w:line="460" w:lineRule="exact"/>
        <w:ind w:firstLine="588" w:firstLineChars="196"/>
        <w:jc w:val="left"/>
        <w:rPr>
          <w:rFonts w:ascii="仿宋" w:hAnsi="仿宋" w:eastAsia="仿宋"/>
          <w:sz w:val="30"/>
          <w:szCs w:val="30"/>
        </w:rPr>
      </w:pPr>
      <w:r>
        <w:t>（5）联合投标授权委托书（若需要，格式见附件5）;</w:t>
      </w:r>
    </w:p>
    <w:p>
      <w:pPr>
        <w:snapToGrid w:val="0"/>
        <w:spacing w:line="460" w:lineRule="exact"/>
        <w:ind w:firstLine="588" w:firstLineChars="196"/>
        <w:jc w:val="left"/>
        <w:rPr>
          <w:rFonts w:ascii="仿宋" w:hAnsi="仿宋" w:eastAsia="仿宋"/>
          <w:sz w:val="30"/>
          <w:szCs w:val="30"/>
        </w:rPr>
      </w:pPr>
      <w:r>
        <w:t>（6）分包意向协议（若需要，格式见附件6）</w:t>
      </w:r>
    </w:p>
    <w:p>
      <w:pPr>
        <w:snapToGrid w:val="0"/>
        <w:spacing w:line="460" w:lineRule="exact"/>
        <w:ind w:firstLine="588" w:firstLineChars="196"/>
        <w:jc w:val="left"/>
        <w:rPr>
          <w:rFonts w:ascii="仿宋" w:hAnsi="仿宋" w:eastAsia="仿宋"/>
        </w:rPr>
      </w:pPr>
      <w:r>
        <w:t>（7）中小企业声明函（若需要，格式见附件7）；</w:t>
      </w:r>
    </w:p>
    <w:p>
      <w:pPr>
        <w:snapToGrid w:val="0"/>
        <w:spacing w:line="460" w:lineRule="exact"/>
        <w:ind w:firstLine="588" w:firstLineChars="196"/>
        <w:jc w:val="left"/>
        <w:rPr>
          <w:rFonts w:ascii="仿宋" w:hAnsi="仿宋" w:eastAsia="仿宋"/>
          <w:sz w:val="30"/>
          <w:szCs w:val="30"/>
        </w:rPr>
      </w:pPr>
      <w:r>
        <w:t>（8）残疾人福利企业声明函（若需要，格式见附件8）；</w:t>
      </w:r>
    </w:p>
    <w:p>
      <w:pPr>
        <w:snapToGrid w:val="0"/>
        <w:spacing w:line="460" w:lineRule="exact"/>
        <w:ind w:firstLine="600" w:firstLineChars="200"/>
        <w:jc w:val="left"/>
        <w:rPr>
          <w:rFonts w:ascii="仿宋" w:hAnsi="仿宋" w:eastAsia="仿宋"/>
          <w:sz w:val="30"/>
          <w:szCs w:val="30"/>
        </w:rPr>
      </w:pPr>
      <w:r>
        <w:t>（9）提供采购公告中符合投标人特定条件要求的有效的其他资质复印件并加盖公司公章及需要说明的资料。</w:t>
      </w:r>
    </w:p>
    <w:p>
      <w:pPr>
        <w:pStyle w:val="34"/>
        <w:snapToGrid w:val="0"/>
        <w:spacing w:line="460" w:lineRule="exact"/>
        <w:ind w:left="5250" w:firstLine="600" w:firstLineChars="200"/>
        <w:rPr>
          <w:rFonts w:ascii="仿宋" w:hAnsi="仿宋" w:eastAsia="仿宋"/>
          <w:sz w:val="30"/>
          <w:szCs w:val="30"/>
        </w:rPr>
      </w:pPr>
      <w:r/>
    </w:p>
    <w:p>
      <w:pPr>
        <w:snapToGrid w:val="0"/>
        <w:spacing w:line="460" w:lineRule="exact"/>
        <w:ind w:firstLine="588" w:firstLineChars="196"/>
        <w:jc w:val="left"/>
        <w:rPr>
          <w:rFonts w:ascii="仿宋" w:hAnsi="仿宋" w:eastAsia="仿宋"/>
          <w:sz w:val="30"/>
          <w:szCs w:val="30"/>
        </w:rPr>
      </w:pPr>
      <w:r/>
    </w:p>
    <w:p>
      <w:pPr>
        <w:snapToGrid w:val="0"/>
        <w:spacing w:before="50" w:after="120" w:afterLines="50" w:line="460" w:lineRule="exact"/>
        <w:jc w:val="left"/>
        <w:rPr>
          <w:rFonts w:ascii="仿宋" w:hAnsi="仿宋" w:eastAsia="仿宋"/>
          <w:sz w:val="30"/>
          <w:szCs w:val="30"/>
        </w:rPr>
      </w:pPr>
      <w:r/>
    </w:p>
    <w:p>
      <w:pPr>
        <w:pStyle w:val="31"/>
        <w:snapToGrid w:val="0"/>
        <w:spacing w:before="120" w:after="120" w:line="240" w:lineRule="auto"/>
        <w:rPr>
          <w:rFonts w:ascii="仿宋" w:hAnsi="仿宋" w:eastAsia="仿宋"/>
          <w:sz w:val="30"/>
          <w:szCs w:val="30"/>
        </w:rPr>
      </w:pPr>
      <w:r/>
    </w:p>
    <w:p>
      <w:pPr>
        <w:pStyle w:val="31"/>
        <w:snapToGrid w:val="0"/>
        <w:spacing w:before="120" w:after="120" w:line="240" w:lineRule="auto"/>
        <w:rPr>
          <w:rFonts w:ascii="仿宋" w:hAnsi="仿宋" w:eastAsia="仿宋"/>
          <w:sz w:val="30"/>
          <w:szCs w:val="30"/>
        </w:rPr>
      </w:pPr>
      <w:r/>
    </w:p>
    <w:p>
      <w:pPr>
        <w:pStyle w:val="31"/>
        <w:snapToGrid w:val="0"/>
        <w:spacing w:before="120" w:after="120" w:line="240" w:lineRule="auto"/>
        <w:rPr>
          <w:rFonts w:ascii="仿宋" w:hAnsi="仿宋" w:eastAsia="仿宋"/>
          <w:sz w:val="30"/>
          <w:szCs w:val="30"/>
        </w:rPr>
      </w:pPr>
      <w:r/>
    </w:p>
    <w:p>
      <w:pPr>
        <w:pStyle w:val="31"/>
        <w:snapToGrid w:val="0"/>
        <w:spacing w:before="120" w:after="120" w:line="240" w:lineRule="auto"/>
        <w:rPr>
          <w:rFonts w:ascii="仿宋" w:hAnsi="仿宋" w:eastAsia="仿宋"/>
          <w:sz w:val="30"/>
          <w:szCs w:val="30"/>
        </w:rPr>
      </w:pPr>
      <w:r/>
    </w:p>
    <w:p>
      <w:pPr>
        <w:pStyle w:val="31"/>
        <w:snapToGrid w:val="0"/>
        <w:spacing w:before="120" w:after="120" w:line="240" w:lineRule="auto"/>
        <w:rPr>
          <w:rFonts w:ascii="仿宋" w:hAnsi="仿宋" w:eastAsia="仿宋"/>
          <w:sz w:val="30"/>
          <w:szCs w:val="30"/>
        </w:rPr>
      </w:pPr>
      <w:r/>
    </w:p>
    <w:p>
      <w:pPr>
        <w:snapToGrid w:val="0"/>
        <w:spacing w:before="50" w:after="120" w:afterLines="50"/>
        <w:jc w:val="left"/>
        <w:rPr>
          <w:rFonts w:ascii="仿宋" w:hAnsi="仿宋" w:eastAsia="仿宋"/>
          <w:sz w:val="30"/>
          <w:szCs w:val="30"/>
        </w:rPr>
      </w:pPr>
      <w:r>
        <w:t>附件2：</w:t>
      </w:r>
    </w:p>
    <w:p>
      <w:pPr>
        <w:snapToGrid w:val="0"/>
        <w:spacing w:before="50" w:after="50"/>
        <w:jc w:val="center"/>
        <w:rPr>
          <w:rFonts w:ascii="仿宋" w:hAnsi="仿宋" w:eastAsia="仿宋"/>
          <w:b/>
          <w:sz w:val="36"/>
          <w:szCs w:val="36"/>
        </w:rPr>
      </w:pPr>
      <w:r>
        <w:t>声 明 书</w:t>
      </w:r>
    </w:p>
    <w:p>
      <w:pPr>
        <w:snapToGrid w:val="0"/>
        <w:spacing w:before="120" w:beforeLines="50" w:after="50" w:line="460" w:lineRule="exact"/>
        <w:rPr>
          <w:rFonts w:ascii="仿宋" w:hAnsi="仿宋" w:eastAsia="仿宋"/>
          <w:sz w:val="30"/>
          <w:szCs w:val="30"/>
        </w:rPr>
      </w:pPr>
      <w:r>
        <w:t>致浙江省政府采购中心：</w:t>
      </w:r>
    </w:p>
    <w:p>
      <w:pPr>
        <w:snapToGrid w:val="0"/>
        <w:spacing w:before="120" w:beforeLines="50" w:after="50" w:line="460" w:lineRule="exact"/>
        <w:ind w:firstLine="600" w:firstLineChars="200"/>
        <w:rPr>
          <w:rFonts w:ascii="仿宋" w:hAnsi="仿宋" w:eastAsia="仿宋"/>
          <w:sz w:val="30"/>
          <w:szCs w:val="30"/>
        </w:rPr>
      </w:pPr>
      <w:r>
        <w:t>（投标人名称）系中华人民共和国合法企业，经营地址。</w:t>
      </w:r>
    </w:p>
    <w:p>
      <w:pPr>
        <w:snapToGrid w:val="0"/>
        <w:spacing w:before="120" w:beforeLines="50" w:after="50" w:line="460" w:lineRule="exact"/>
        <w:ind w:firstLine="600" w:firstLineChars="200"/>
        <w:rPr>
          <w:rFonts w:ascii="仿宋" w:hAnsi="仿宋" w:eastAsia="仿宋"/>
          <w:sz w:val="30"/>
          <w:szCs w:val="30"/>
        </w:rPr>
      </w:pPr>
      <w:r>
        <w:t>我（姓名）系（投标人名称）的法定代表人，我方愿意参加贵方组织的（招标项目名称）（编号为ZZCG2022D-GK-130）的投标，为此，我方就本次投标有关事项郑重声明如下：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t>5.投标文件自开标日起有效期为90天。</w:t>
      </w:r>
    </w:p>
    <w:p>
      <w:pPr>
        <w:snapToGrid w:val="0"/>
        <w:spacing w:line="460" w:lineRule="exact"/>
        <w:ind w:firstLine="590" w:firstLineChars="196"/>
        <w:jc w:val="left"/>
        <w:rPr>
          <w:rFonts w:ascii="仿宋" w:hAnsi="仿宋" w:eastAsia="仿宋"/>
          <w:b/>
          <w:sz w:val="30"/>
          <w:szCs w:val="30"/>
        </w:rPr>
      </w:pPr>
      <w: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t>法定代表人签名（或签名章）：日 期：</w:t>
      </w:r>
    </w:p>
    <w:p>
      <w:pPr>
        <w:snapToGrid w:val="0"/>
        <w:spacing w:before="120" w:beforeLines="50" w:after="50" w:line="460" w:lineRule="exact"/>
        <w:ind w:firstLine="150" w:firstLineChars="50"/>
        <w:rPr>
          <w:rFonts w:ascii="仿宋" w:hAnsi="仿宋" w:eastAsia="仿宋"/>
          <w:sz w:val="30"/>
          <w:szCs w:val="30"/>
        </w:rPr>
      </w:pPr>
      <w:r>
        <w:t>投标人全称（公章）：</w:t>
      </w:r>
    </w:p>
    <w:p>
      <w:pPr>
        <w:snapToGrid w:val="0"/>
        <w:spacing w:before="120" w:beforeLines="50" w:after="50" w:line="460" w:lineRule="exact"/>
        <w:rPr>
          <w:rFonts w:ascii="仿宋" w:hAnsi="仿宋" w:eastAsia="仿宋"/>
          <w:sz w:val="30"/>
          <w:szCs w:val="30"/>
        </w:rPr>
      </w:pPr>
      <w:r>
        <w:t>附件3：</w:t>
      </w:r>
    </w:p>
    <w:p>
      <w:pPr>
        <w:snapToGrid w:val="0"/>
        <w:spacing w:before="50" w:after="50"/>
        <w:jc w:val="center"/>
        <w:rPr>
          <w:rFonts w:ascii="仿宋" w:hAnsi="仿宋" w:eastAsia="仿宋"/>
          <w:b/>
          <w:sz w:val="36"/>
          <w:szCs w:val="36"/>
        </w:rPr>
      </w:pPr>
      <w:r>
        <w:t>法定代表人授权委托书</w:t>
      </w:r>
    </w:p>
    <w:p>
      <w:pPr>
        <w:snapToGrid w:val="0"/>
        <w:spacing w:before="120" w:beforeLines="50" w:after="50"/>
        <w:jc w:val="center"/>
        <w:rPr>
          <w:rFonts w:ascii="仿宋" w:hAnsi="仿宋" w:eastAsia="仿宋"/>
          <w:b/>
          <w:sz w:val="30"/>
          <w:szCs w:val="30"/>
        </w:rPr>
      </w:pPr>
      <w:r/>
    </w:p>
    <w:p>
      <w:pPr>
        <w:snapToGrid w:val="0"/>
        <w:spacing w:before="120" w:beforeLines="50" w:after="50" w:line="460" w:lineRule="exact"/>
        <w:rPr>
          <w:rFonts w:ascii="仿宋" w:hAnsi="仿宋" w:eastAsia="仿宋"/>
          <w:b/>
          <w:bCs/>
          <w:sz w:val="30"/>
          <w:szCs w:val="30"/>
        </w:rPr>
      </w:pPr>
      <w:r>
        <w:t>浙江省政府采购中心：</w:t>
      </w:r>
    </w:p>
    <w:p>
      <w:pPr>
        <w:snapToGrid w:val="0"/>
        <w:spacing w:before="120" w:beforeLines="50" w:after="50" w:line="460" w:lineRule="exact"/>
        <w:ind w:firstLine="900" w:firstLineChars="300"/>
        <w:rPr>
          <w:rFonts w:ascii="仿宋" w:hAnsi="仿宋" w:eastAsia="仿宋"/>
          <w:sz w:val="30"/>
          <w:szCs w:val="30"/>
        </w:rPr>
      </w:pPr>
      <w:r>
        <w:t>我（姓名）系（投标人名称）的法定代表人，现授权委托本单位在职职工 （姓名）为授权代表，以我方的名义参加项目编号：项目名称：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t>授权代表无转委托权，特此委托。</w:t>
      </w:r>
    </w:p>
    <w:p>
      <w:pPr>
        <w:snapToGrid w:val="0"/>
        <w:spacing w:before="120" w:beforeLines="50" w:after="50" w:line="460" w:lineRule="exact"/>
        <w:ind w:firstLine="480"/>
        <w:rPr>
          <w:rFonts w:ascii="仿宋" w:hAnsi="仿宋" w:eastAsia="仿宋"/>
          <w:sz w:val="30"/>
          <w:szCs w:val="30"/>
        </w:rPr>
      </w:pPr>
      <w:r/>
    </w:p>
    <w:p>
      <w:pPr>
        <w:snapToGrid w:val="0"/>
        <w:spacing w:before="120" w:beforeLines="50" w:after="50" w:line="460" w:lineRule="exact"/>
        <w:rPr>
          <w:rFonts w:ascii="仿宋" w:hAnsi="仿宋" w:eastAsia="仿宋"/>
          <w:sz w:val="30"/>
          <w:szCs w:val="30"/>
          <w:u w:val="single"/>
        </w:rPr>
      </w:pPr>
      <w:r>
        <w:t>授权代表签名：职务：联系方式：</w:t>
      </w:r>
    </w:p>
    <w:p>
      <w:pPr>
        <w:snapToGrid w:val="0"/>
        <w:spacing w:before="120" w:beforeLines="50" w:after="50" w:line="460" w:lineRule="exact"/>
        <w:rPr>
          <w:rFonts w:ascii="仿宋" w:hAnsi="仿宋" w:eastAsia="仿宋"/>
          <w:sz w:val="30"/>
          <w:szCs w:val="30"/>
          <w:u w:val="single"/>
        </w:rPr>
      </w:pPr>
      <w:r>
        <w:t>邮箱： 传真：</w:t>
      </w:r>
    </w:p>
    <w:p>
      <w:pPr>
        <w:snapToGrid w:val="0"/>
        <w:spacing w:before="120" w:beforeLines="50" w:after="50" w:line="460" w:lineRule="exact"/>
        <w:rPr>
          <w:rFonts w:ascii="仿宋" w:hAnsi="仿宋" w:eastAsia="仿宋"/>
          <w:sz w:val="30"/>
          <w:szCs w:val="30"/>
          <w:u w:val="single"/>
        </w:rPr>
      </w:pPr>
      <w:r>
        <w:t>授权代表身份证号码：</w:t>
      </w:r>
    </w:p>
    <w:p>
      <w:pPr>
        <w:snapToGrid w:val="0"/>
        <w:spacing w:before="120" w:beforeLines="50" w:after="50" w:line="460" w:lineRule="exact"/>
        <w:rPr>
          <w:rFonts w:ascii="仿宋" w:hAnsi="仿宋" w:eastAsia="仿宋"/>
          <w:sz w:val="30"/>
          <w:szCs w:val="30"/>
          <w:u w:val="single"/>
        </w:rPr>
      </w:pPr>
      <w:r>
        <w:t>法定代表人签名（或签名章）：职务：</w:t>
      </w:r>
    </w:p>
    <w:p>
      <w:pPr>
        <w:snapToGrid w:val="0"/>
        <w:spacing w:before="120" w:beforeLines="50" w:after="50" w:line="460" w:lineRule="exact"/>
        <w:rPr>
          <w:rFonts w:ascii="仿宋" w:hAnsi="仿宋" w:eastAsia="仿宋"/>
          <w:sz w:val="30"/>
          <w:szCs w:val="30"/>
          <w:u w:val="single"/>
        </w:rPr>
      </w:pPr>
      <w:r>
        <w:t>联系方式：</w:t>
      </w:r>
    </w:p>
    <w:p>
      <w:pPr>
        <w:snapToGrid w:val="0"/>
        <w:spacing w:before="120" w:beforeLines="50" w:after="50" w:line="460" w:lineRule="exact"/>
        <w:rPr>
          <w:rFonts w:ascii="仿宋" w:hAnsi="仿宋" w:eastAsia="仿宋"/>
          <w:sz w:val="30"/>
          <w:szCs w:val="30"/>
        </w:rPr>
      </w:pPr>
      <w:r/>
    </w:p>
    <w:p>
      <w:pPr>
        <w:snapToGrid w:val="0"/>
        <w:spacing w:before="120" w:beforeLines="50" w:after="50" w:line="460" w:lineRule="exact"/>
        <w:rPr>
          <w:rFonts w:ascii="仿宋" w:hAnsi="仿宋" w:eastAsia="仿宋"/>
          <w:sz w:val="30"/>
          <w:szCs w:val="30"/>
        </w:rPr>
      </w:pPr>
      <w:r/>
    </w:p>
    <w:p>
      <w:pPr>
        <w:snapToGrid w:val="0"/>
        <w:spacing w:before="120" w:beforeLines="50" w:after="50" w:line="460" w:lineRule="exact"/>
        <w:ind w:firstLine="6150" w:firstLineChars="2050"/>
        <w:rPr>
          <w:rFonts w:ascii="仿宋" w:hAnsi="仿宋" w:eastAsia="仿宋"/>
          <w:sz w:val="30"/>
          <w:szCs w:val="30"/>
        </w:rPr>
      </w:pPr>
      <w:r/>
    </w:p>
    <w:p>
      <w:pPr>
        <w:snapToGrid w:val="0"/>
        <w:spacing w:before="120" w:beforeLines="50" w:after="50" w:line="460" w:lineRule="exact"/>
        <w:rPr>
          <w:rFonts w:ascii="仿宋" w:hAnsi="仿宋" w:eastAsia="仿宋"/>
          <w:sz w:val="30"/>
          <w:szCs w:val="30"/>
          <w:u w:val="single"/>
        </w:rPr>
      </w:pPr>
      <w:r>
        <w:t>投标人全称（公章）：日  期：</w:t>
      </w:r>
    </w:p>
    <w:p>
      <w:pPr>
        <w:snapToGrid w:val="0"/>
        <w:spacing w:before="120" w:beforeLines="50" w:after="50" w:line="460" w:lineRule="exact"/>
        <w:rPr>
          <w:rFonts w:ascii="仿宋" w:hAnsi="仿宋" w:eastAsia="仿宋"/>
          <w:sz w:val="30"/>
          <w:szCs w:val="30"/>
        </w:rPr>
      </w:pPr>
      <w:r/>
    </w:p>
    <w:p>
      <w:pPr>
        <w:snapToGrid w:val="0"/>
        <w:spacing w:before="120" w:beforeLines="50" w:after="50" w:line="460" w:lineRule="exact"/>
        <w:rPr>
          <w:rFonts w:ascii="仿宋" w:hAnsi="仿宋" w:eastAsia="仿宋"/>
          <w:sz w:val="30"/>
          <w:szCs w:val="30"/>
        </w:rPr>
      </w:pPr>
      <w:r/>
    </w:p>
    <w:p>
      <w:pPr>
        <w:snapToGrid w:val="0"/>
        <w:spacing w:before="120" w:beforeLines="50" w:after="50" w:line="460" w:lineRule="exact"/>
        <w:rPr>
          <w:rFonts w:ascii="仿宋" w:hAnsi="仿宋" w:eastAsia="仿宋"/>
          <w:sz w:val="30"/>
          <w:szCs w:val="30"/>
        </w:rPr>
      </w:pPr>
      <w:r/>
    </w:p>
    <w:p>
      <w:pPr>
        <w:tabs>
          <w:tab w:val="left" w:pos="606"/>
        </w:tabs>
        <w:rPr>
          <w:rFonts w:ascii="仿宋" w:hAnsi="仿宋" w:eastAsia="仿宋"/>
          <w:spacing w:val="20"/>
          <w:sz w:val="30"/>
          <w:szCs w:val="30"/>
        </w:rPr>
      </w:pPr>
      <w:r>
        <w:t>附件4：</w:t>
      </w:r>
    </w:p>
    <w:p>
      <w:pPr>
        <w:pStyle w:val="17"/>
        <w:overflowPunct w:val="0"/>
        <w:spacing w:line="360" w:lineRule="auto"/>
        <w:ind w:firstLine="0"/>
        <w:jc w:val="center"/>
        <w:rPr>
          <w:rFonts w:ascii="仿宋" w:hAnsi="仿宋" w:eastAsia="仿宋"/>
          <w:b/>
          <w:spacing w:val="40"/>
          <w:kern w:val="0"/>
          <w:sz w:val="30"/>
          <w:szCs w:val="30"/>
        </w:rPr>
      </w:pPr>
      <w:r>
        <w:t>联合投标协议书</w:t>
      </w:r>
    </w:p>
    <w:p>
      <w:pPr>
        <w:pStyle w:val="17"/>
        <w:overflowPunct w:val="0"/>
        <w:spacing w:line="460" w:lineRule="exact"/>
        <w:ind w:firstLine="642" w:firstLineChars="214"/>
        <w:rPr>
          <w:rFonts w:ascii="仿宋" w:hAnsi="仿宋" w:eastAsia="仿宋"/>
          <w:sz w:val="30"/>
          <w:szCs w:val="30"/>
        </w:rPr>
      </w:pPr>
      <w:r>
        <w:t>甲方：</w:t>
      </w:r>
    </w:p>
    <w:p>
      <w:pPr>
        <w:pStyle w:val="17"/>
        <w:overflowPunct w:val="0"/>
        <w:spacing w:line="460" w:lineRule="exact"/>
        <w:ind w:firstLine="642" w:firstLineChars="214"/>
        <w:rPr>
          <w:rFonts w:ascii="仿宋" w:hAnsi="仿宋" w:eastAsia="仿宋"/>
          <w:sz w:val="30"/>
          <w:szCs w:val="30"/>
        </w:rPr>
      </w:pPr>
      <w:r>
        <w:t>乙方：</w:t>
      </w:r>
    </w:p>
    <w:p>
      <w:pPr>
        <w:pStyle w:val="17"/>
        <w:overflowPunct w:val="0"/>
        <w:spacing w:line="460" w:lineRule="exact"/>
        <w:ind w:firstLine="642" w:firstLineChars="214"/>
        <w:rPr>
          <w:rFonts w:ascii="仿宋" w:hAnsi="仿宋" w:eastAsia="仿宋"/>
          <w:sz w:val="30"/>
          <w:szCs w:val="30"/>
        </w:rPr>
      </w:pPr>
      <w:r>
        <w:t>（如果有的话，可按甲、乙、丙、丁…序列增加）</w:t>
      </w:r>
    </w:p>
    <w:p>
      <w:pPr>
        <w:pStyle w:val="17"/>
        <w:overflowPunct w:val="0"/>
        <w:spacing w:line="460" w:lineRule="exact"/>
        <w:ind w:firstLine="642" w:firstLineChars="214"/>
        <w:rPr>
          <w:rFonts w:ascii="仿宋" w:hAnsi="仿宋" w:eastAsia="仿宋"/>
          <w:sz w:val="30"/>
          <w:szCs w:val="30"/>
        </w:rPr>
      </w:pPr>
      <w: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rPr>
      </w:pPr>
      <w:r>
        <w:t>一、各方一致决定，以为主办人进行投标，并按照招标文件的规定分别提交资格文件。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rPr>
      </w:pPr>
      <w: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p>
    <w:p>
      <w:pPr>
        <w:pStyle w:val="17"/>
        <w:overflowPunct w:val="0"/>
        <w:spacing w:line="460" w:lineRule="exact"/>
        <w:ind w:firstLine="642" w:firstLineChars="214"/>
        <w:rPr>
          <w:rFonts w:ascii="仿宋" w:hAnsi="仿宋" w:eastAsia="仿宋"/>
          <w:sz w:val="30"/>
          <w:szCs w:val="30"/>
        </w:rPr>
      </w:pPr>
      <w:r>
        <w:t>乙方承担的工作和义务为：</w:t>
      </w:r>
    </w:p>
    <w:p>
      <w:pPr>
        <w:pStyle w:val="17"/>
        <w:overflowPunct w:val="0"/>
        <w:spacing w:line="460" w:lineRule="exact"/>
        <w:ind w:firstLine="642" w:firstLineChars="214"/>
        <w:rPr>
          <w:rFonts w:ascii="仿宋" w:hAnsi="仿宋" w:eastAsia="仿宋"/>
          <w:sz w:val="30"/>
          <w:szCs w:val="30"/>
          <w:u w:val="single"/>
        </w:rPr>
      </w:pPr>
      <w:r/>
    </w:p>
    <w:p>
      <w:pPr>
        <w:pStyle w:val="17"/>
        <w:overflowPunct w:val="0"/>
        <w:spacing w:line="460" w:lineRule="exact"/>
        <w:ind w:firstLine="642" w:firstLineChars="214"/>
        <w:rPr>
          <w:rFonts w:ascii="仿宋" w:hAnsi="仿宋" w:eastAsia="仿宋"/>
          <w:sz w:val="30"/>
          <w:szCs w:val="30"/>
          <w:u w:val="single"/>
        </w:rPr>
      </w:pPr>
      <w:r>
        <w:t>五、有关本次联合投标的其他事宜：</w:t>
      </w:r>
    </w:p>
    <w:p>
      <w:pPr>
        <w:pStyle w:val="17"/>
        <w:overflowPunct w:val="0"/>
        <w:spacing w:line="460" w:lineRule="exact"/>
        <w:ind w:firstLine="642" w:firstLineChars="214"/>
        <w:rPr>
          <w:rFonts w:ascii="仿宋" w:hAnsi="仿宋" w:eastAsia="仿宋"/>
          <w:sz w:val="30"/>
          <w:szCs w:val="30"/>
        </w:rPr>
      </w:pPr>
      <w: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r>
              <w:t>甲方单位：（公章）</w:t>
              <w:br/>
              <w:t>法定代表人：（签章）</w:t>
              <w:br/>
              <w:t>日  期：年月日</w:t>
            </w:r>
          </w:p>
        </w:tc>
        <w:tc>
          <w:tcPr>
            <w:tcW w:w="4264" w:type="dxa"/>
          </w:tcPr>
          <w:p>
            <w:r>
              <w:t>乙方单位：（公章）</w:t>
              <w:br/>
              <w:t>法定代表人：（签章）</w:t>
              <w:br/>
              <w:t>日  期：年月日</w:t>
            </w:r>
          </w:p>
        </w:tc>
      </w:tr>
    </w:tbl>
    <w:p>
      <w:pPr>
        <w:pStyle w:val="17"/>
        <w:overflowPunct w:val="0"/>
        <w:spacing w:line="460" w:lineRule="exact"/>
        <w:ind w:firstLine="0"/>
        <w:rPr>
          <w:rFonts w:ascii="仿宋" w:hAnsi="仿宋" w:eastAsia="仿宋"/>
          <w:sz w:val="30"/>
          <w:szCs w:val="30"/>
        </w:rPr>
      </w:pPr>
      <w:r>
        <w:t>附件5：</w:t>
      </w:r>
    </w:p>
    <w:p>
      <w:pPr>
        <w:pStyle w:val="17"/>
        <w:overflowPunct w:val="0"/>
        <w:spacing w:line="460" w:lineRule="exact"/>
        <w:jc w:val="center"/>
        <w:rPr>
          <w:rFonts w:ascii="仿宋" w:hAnsi="仿宋" w:eastAsia="仿宋"/>
          <w:b/>
          <w:sz w:val="30"/>
          <w:szCs w:val="30"/>
        </w:rPr>
      </w:pPr>
      <w:r>
        <w:t>联合投标授权委托书</w:t>
      </w:r>
    </w:p>
    <w:p>
      <w:pPr>
        <w:pStyle w:val="17"/>
        <w:overflowPunct w:val="0"/>
        <w:spacing w:line="460" w:lineRule="exact"/>
        <w:rPr>
          <w:rFonts w:ascii="仿宋" w:hAnsi="仿宋" w:eastAsia="仿宋"/>
          <w:sz w:val="30"/>
          <w:szCs w:val="30"/>
        </w:rPr>
      </w:pPr>
      <w:r/>
    </w:p>
    <w:p>
      <w:pPr>
        <w:pStyle w:val="17"/>
        <w:overflowPunct w:val="0"/>
        <w:spacing w:line="460" w:lineRule="exact"/>
        <w:rPr>
          <w:rFonts w:ascii="仿宋" w:hAnsi="仿宋" w:eastAsia="仿宋"/>
          <w:sz w:val="30"/>
          <w:szCs w:val="30"/>
        </w:rPr>
      </w:pPr>
      <w:r>
        <w:t xml:space="preserve"> 本授权委托书声明：根据与签订的《联合投标协议书》的内容，主办人的法定代表人现授权为联合投标代理人，代理人在投标、开标、评标、合同谈判过程中所签署的一切文件和处理与这有关的一切事务，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rPr>
      </w:pPr>
      <w:r>
        <w:t xml:space="preserve"> 特此委托。</w:t>
      </w:r>
    </w:p>
    <w:p>
      <w:pPr>
        <w:pStyle w:val="17"/>
        <w:overflowPunct w:val="0"/>
        <w:spacing w:line="460" w:lineRule="exact"/>
        <w:rPr>
          <w:rFonts w:ascii="仿宋" w:hAnsi="仿宋" w:eastAsia="仿宋"/>
          <w:sz w:val="30"/>
          <w:szCs w:val="30"/>
        </w:rPr>
      </w:pPr>
      <w:r/>
    </w:p>
    <w:p>
      <w:pPr>
        <w:pStyle w:val="17"/>
        <w:overflowPunct w:val="0"/>
        <w:spacing w:line="460" w:lineRule="exact"/>
        <w:ind w:firstLine="600" w:firstLineChars="200"/>
        <w:rPr>
          <w:rFonts w:ascii="仿宋" w:hAnsi="仿宋" w:eastAsia="仿宋"/>
          <w:sz w:val="30"/>
          <w:szCs w:val="30"/>
          <w:u w:val="single"/>
        </w:rPr>
      </w:pPr>
      <w:r>
        <w:t>授权人（签名）：</w:t>
      </w:r>
    </w:p>
    <w:p>
      <w:pPr>
        <w:pStyle w:val="17"/>
        <w:overflowPunct w:val="0"/>
        <w:spacing w:line="460" w:lineRule="exact"/>
        <w:ind w:firstLine="600" w:firstLineChars="200"/>
        <w:rPr>
          <w:rFonts w:ascii="仿宋" w:hAnsi="仿宋" w:eastAsia="仿宋"/>
          <w:sz w:val="30"/>
          <w:szCs w:val="30"/>
        </w:rPr>
      </w:pPr>
      <w:r/>
    </w:p>
    <w:p>
      <w:pPr>
        <w:pStyle w:val="17"/>
        <w:overflowPunct w:val="0"/>
        <w:spacing w:line="460" w:lineRule="exact"/>
        <w:ind w:left="420" w:leftChars="200" w:firstLine="150" w:firstLineChars="50"/>
        <w:rPr>
          <w:rFonts w:ascii="仿宋" w:hAnsi="仿宋" w:eastAsia="仿宋"/>
          <w:sz w:val="30"/>
          <w:szCs w:val="30"/>
        </w:rPr>
      </w:pPr>
      <w:r>
        <w:t>日期：年月日</w:t>
      </w:r>
    </w:p>
    <w:p>
      <w:pPr>
        <w:pStyle w:val="17"/>
        <w:overflowPunct w:val="0"/>
        <w:spacing w:line="460" w:lineRule="exact"/>
        <w:rPr>
          <w:rFonts w:ascii="仿宋" w:hAnsi="仿宋" w:eastAsia="仿宋"/>
          <w:sz w:val="30"/>
          <w:szCs w:val="30"/>
        </w:rPr>
      </w:pPr>
      <w:r/>
    </w:p>
    <w:p>
      <w:pPr>
        <w:pStyle w:val="17"/>
        <w:overflowPunct w:val="0"/>
        <w:spacing w:line="460" w:lineRule="exact"/>
        <w:ind w:firstLine="570" w:firstLineChars="190"/>
        <w:rPr>
          <w:rFonts w:ascii="仿宋" w:hAnsi="仿宋" w:eastAsia="仿宋"/>
          <w:sz w:val="30"/>
          <w:szCs w:val="30"/>
          <w:u w:val="single"/>
        </w:rPr>
      </w:pPr>
      <w:r>
        <w:t>授权代表（签名）；</w:t>
      </w:r>
    </w:p>
    <w:p>
      <w:pPr>
        <w:pStyle w:val="17"/>
        <w:overflowPunct w:val="0"/>
        <w:spacing w:line="460" w:lineRule="exact"/>
        <w:ind w:firstLine="570" w:firstLineChars="190"/>
        <w:rPr>
          <w:rFonts w:ascii="仿宋" w:hAnsi="仿宋" w:eastAsia="仿宋"/>
          <w:sz w:val="30"/>
          <w:szCs w:val="30"/>
        </w:rPr>
      </w:pPr>
      <w:r/>
    </w:p>
    <w:p>
      <w:pPr>
        <w:pStyle w:val="17"/>
        <w:overflowPunct w:val="0"/>
        <w:spacing w:line="460" w:lineRule="exact"/>
        <w:ind w:firstLine="570" w:firstLineChars="190"/>
        <w:rPr>
          <w:rFonts w:ascii="仿宋" w:hAnsi="仿宋" w:eastAsia="仿宋"/>
          <w:sz w:val="30"/>
          <w:szCs w:val="30"/>
        </w:rPr>
      </w:pPr>
      <w:r>
        <w:t>日期：年月日</w:t>
      </w:r>
    </w:p>
    <w:p>
      <w:pPr>
        <w:tabs>
          <w:tab w:val="left" w:pos="606"/>
        </w:tabs>
        <w:spacing w:line="460" w:lineRule="exact"/>
        <w:rPr>
          <w:rFonts w:ascii="仿宋" w:hAnsi="仿宋" w:eastAsia="仿宋"/>
          <w:spacing w:val="20"/>
          <w:sz w:val="30"/>
          <w:szCs w:val="30"/>
        </w:rPr>
      </w:pPr>
      <w:r/>
    </w:p>
    <w:p>
      <w:pPr>
        <w:tabs>
          <w:tab w:val="left" w:pos="606"/>
        </w:tabs>
        <w:spacing w:line="460" w:lineRule="exact"/>
        <w:rPr>
          <w:rFonts w:ascii="仿宋" w:hAnsi="仿宋" w:eastAsia="仿宋"/>
          <w:spacing w:val="20"/>
          <w:sz w:val="30"/>
          <w:szCs w:val="30"/>
        </w:rPr>
      </w:pPr>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r>
              <w:br/>
              <w:br/>
              <w:t>联合体甲方单位：（公章）</w:t>
              <w:br/>
              <w:br/>
              <w:br/>
              <w:t>法定代表人：（签章）</w:t>
              <w:br/>
              <w:br/>
              <w:br/>
              <w:t>日  期：年月日</w:t>
            </w:r>
          </w:p>
        </w:tc>
        <w:tc>
          <w:tcPr>
            <w:tcW w:w="4264" w:type="dxa"/>
          </w:tcPr>
          <w:p>
            <w:r>
              <w:br/>
              <w:br/>
              <w:t>联合体乙方单位：（公章）</w:t>
              <w:br/>
              <w:br/>
              <w:br/>
              <w:t>法定代表人：（签章）</w:t>
              <w:br/>
              <w:br/>
              <w:br/>
              <w:t>日  期：年月日</w:t>
            </w:r>
          </w:p>
        </w:tc>
      </w:tr>
    </w:tbl>
    <w:p>
      <w:pPr>
        <w:snapToGrid w:val="0"/>
        <w:spacing w:line="360" w:lineRule="auto"/>
        <w:rPr>
          <w:rFonts w:ascii="仿宋" w:hAnsi="仿宋" w:eastAsia="仿宋"/>
          <w:sz w:val="30"/>
          <w:szCs w:val="30"/>
        </w:rPr>
      </w:pPr>
      <w:r>
        <w:t>附件6：</w:t>
      </w:r>
    </w:p>
    <w:p>
      <w:pPr>
        <w:spacing w:line="588" w:lineRule="exact"/>
        <w:jc w:val="center"/>
        <w:rPr>
          <w:rFonts w:ascii="仿宋_GB2312" w:eastAsia="仿宋_GB2312"/>
          <w:b/>
          <w:spacing w:val="6"/>
          <w:sz w:val="32"/>
          <w:szCs w:val="32"/>
        </w:rPr>
      </w:pPr>
      <w:r>
        <w:t>分包意向协议</w:t>
      </w:r>
    </w:p>
    <w:p>
      <w:pPr>
        <w:pStyle w:val="58"/>
        <w:spacing w:line="400" w:lineRule="exact"/>
      </w:pPr>
      <w:r/>
    </w:p>
    <w:p>
      <w:pPr>
        <w:snapToGrid w:val="0"/>
        <w:spacing w:line="400" w:lineRule="exact"/>
        <w:ind w:firstLine="840" w:firstLineChars="300"/>
        <w:rPr>
          <w:rFonts w:ascii="仿宋" w:hAnsi="仿宋" w:eastAsia="仿宋"/>
          <w:sz w:val="28"/>
          <w:szCs w:val="28"/>
        </w:rPr>
      </w:pPr>
      <w:r>
        <w:t>（投标人名称    ）若成为（项目名称     ）【招标编号：    （采购编号        ）】的中标供应商，将依法采取分包方式履行合同。（投标人名称    ）与（所有分包供应商名称    ）达成分包意向协议。 （投标人名称    ）负责签署投标文件，（投标人名称     ）的所有承诺均认为代表了（所有分包供应商名称       ）意愿。</w:t>
      </w:r>
    </w:p>
    <w:p>
      <w:pPr>
        <w:numPr>
          <w:ilvl w:val="0"/>
          <w:numId w:val="32"/>
        </w:numPr>
        <w:snapToGrid w:val="0"/>
        <w:spacing w:line="400" w:lineRule="exact"/>
        <w:rPr>
          <w:rFonts w:ascii="仿宋" w:hAnsi="仿宋" w:eastAsia="仿宋"/>
          <w:sz w:val="28"/>
          <w:szCs w:val="28"/>
          <w:lang w:val="zh-CN"/>
        </w:rPr>
      </w:pPr>
      <w:r>
        <w:t>分包内容在采购文件分包要求的范围内，并符合相关法律规定等</w:t>
      </w:r>
    </w:p>
    <w:p>
      <w:pPr>
        <w:snapToGrid w:val="0"/>
        <w:spacing w:line="400" w:lineRule="exact"/>
        <w:ind w:firstLine="840" w:firstLineChars="300"/>
        <w:rPr>
          <w:rFonts w:ascii="仿宋" w:hAnsi="仿宋" w:eastAsia="仿宋"/>
          <w:sz w:val="28"/>
          <w:szCs w:val="28"/>
          <w:lang w:val="zh-CN"/>
        </w:rPr>
      </w:pPr>
      <w:r>
        <w:t>二、分包标的及数量</w:t>
      </w:r>
    </w:p>
    <w:p>
      <w:pPr>
        <w:snapToGrid w:val="0"/>
        <w:spacing w:line="400" w:lineRule="exact"/>
        <w:ind w:firstLine="840" w:firstLineChars="300"/>
        <w:rPr>
          <w:rFonts w:ascii="仿宋" w:hAnsi="仿宋" w:eastAsia="仿宋"/>
          <w:sz w:val="28"/>
          <w:szCs w:val="28"/>
          <w:lang w:val="zh-CN"/>
        </w:rPr>
      </w:pPr>
      <w:r>
        <w:t>（投标人名称     ）将   XX工作内容   分包给（某分包供应商名称      ），（某分包供应商名称       ），具备承担XX工作内容相应资质条件且不得再次分包；</w:t>
      </w:r>
    </w:p>
    <w:p>
      <w:pPr>
        <w:snapToGrid w:val="0"/>
        <w:spacing w:line="400" w:lineRule="exact"/>
        <w:ind w:firstLine="840" w:firstLineChars="300"/>
        <w:rPr>
          <w:rFonts w:ascii="仿宋" w:hAnsi="仿宋" w:eastAsia="仿宋"/>
          <w:sz w:val="28"/>
          <w:szCs w:val="28"/>
        </w:rPr>
      </w:pPr>
      <w:r>
        <w:t>……</w:t>
      </w:r>
    </w:p>
    <w:p>
      <w:pPr>
        <w:snapToGrid w:val="0"/>
        <w:spacing w:line="400" w:lineRule="exact"/>
        <w:ind w:left="840"/>
        <w:rPr>
          <w:rFonts w:ascii="仿宋" w:hAnsi="仿宋" w:eastAsia="仿宋"/>
          <w:sz w:val="28"/>
          <w:szCs w:val="28"/>
        </w:rPr>
      </w:pPr>
      <w:r>
        <w:t xml:space="preserve">三、分包工作履行期限、地点、方式 </w:t>
      </w:r>
    </w:p>
    <w:p>
      <w:pPr>
        <w:snapToGrid w:val="0"/>
        <w:spacing w:line="400" w:lineRule="exact"/>
        <w:rPr>
          <w:rFonts w:ascii="仿宋" w:hAnsi="仿宋" w:eastAsia="仿宋"/>
          <w:sz w:val="28"/>
          <w:szCs w:val="28"/>
        </w:rPr>
      </w:pPr>
      <w:r>
        <w:t xml:space="preserve">                                                                               </w:t>
      </w:r>
    </w:p>
    <w:p>
      <w:pPr>
        <w:numPr>
          <w:ilvl w:val="0"/>
          <w:numId w:val="33"/>
        </w:numPr>
        <w:snapToGrid w:val="0"/>
        <w:spacing w:line="400" w:lineRule="exact"/>
        <w:rPr>
          <w:rFonts w:ascii="仿宋" w:hAnsi="仿宋" w:eastAsia="仿宋"/>
          <w:sz w:val="28"/>
          <w:szCs w:val="28"/>
        </w:rPr>
      </w:pPr>
      <w:r>
        <w:t xml:space="preserve">质量 </w:t>
      </w:r>
    </w:p>
    <w:p>
      <w:pPr>
        <w:snapToGrid w:val="0"/>
        <w:spacing w:line="400" w:lineRule="exact"/>
        <w:ind w:left="630" w:leftChars="300"/>
        <w:rPr>
          <w:rFonts w:ascii="仿宋" w:hAnsi="仿宋" w:eastAsia="仿宋"/>
          <w:sz w:val="28"/>
          <w:szCs w:val="28"/>
          <w:lang w:val="zh-CN"/>
        </w:rPr>
      </w:pPr>
      <w:r>
        <w:t xml:space="preserve">                                                                                     </w:t>
      </w:r>
    </w:p>
    <w:p>
      <w:pPr>
        <w:snapToGrid w:val="0"/>
        <w:spacing w:line="400" w:lineRule="exact"/>
        <w:ind w:firstLine="840" w:firstLineChars="300"/>
        <w:rPr>
          <w:rFonts w:ascii="仿宋" w:hAnsi="仿宋" w:eastAsia="仿宋"/>
          <w:sz w:val="28"/>
          <w:szCs w:val="28"/>
          <w:lang w:val="zh-CN"/>
        </w:rPr>
      </w:pPr>
      <w:r>
        <w:t>五、价款或者报酬</w:t>
      </w:r>
    </w:p>
    <w:p>
      <w:pPr>
        <w:snapToGrid w:val="0"/>
        <w:spacing w:line="400" w:lineRule="exact"/>
        <w:ind w:firstLine="840" w:firstLineChars="300"/>
        <w:rPr>
          <w:rFonts w:ascii="仿宋" w:hAnsi="仿宋" w:eastAsia="仿宋"/>
          <w:sz w:val="28"/>
          <w:szCs w:val="28"/>
          <w:lang w:val="zh-CN"/>
        </w:rPr>
      </w:pPr>
      <w:r>
        <w:t xml:space="preserve">                                                                                     </w:t>
      </w:r>
    </w:p>
    <w:p>
      <w:pPr>
        <w:snapToGrid w:val="0"/>
        <w:spacing w:line="400" w:lineRule="exact"/>
        <w:ind w:firstLine="840" w:firstLineChars="300"/>
        <w:rPr>
          <w:rFonts w:ascii="仿宋" w:hAnsi="仿宋" w:eastAsia="仿宋"/>
          <w:sz w:val="28"/>
          <w:szCs w:val="28"/>
          <w:lang w:val="zh-CN"/>
        </w:rPr>
      </w:pPr>
      <w:r>
        <w:t>六、违约责任</w:t>
      </w:r>
    </w:p>
    <w:p>
      <w:pPr>
        <w:snapToGrid w:val="0"/>
        <w:spacing w:line="400" w:lineRule="exact"/>
        <w:ind w:firstLine="840" w:firstLineChars="300"/>
        <w:rPr>
          <w:rFonts w:ascii="仿宋" w:hAnsi="仿宋" w:eastAsia="仿宋"/>
          <w:sz w:val="28"/>
          <w:szCs w:val="28"/>
          <w:lang w:val="zh-CN"/>
        </w:rPr>
      </w:pPr>
      <w:r>
        <w:t xml:space="preserve">                                                                                     </w:t>
      </w:r>
    </w:p>
    <w:p>
      <w:pPr>
        <w:numPr>
          <w:ilvl w:val="0"/>
          <w:numId w:val="34"/>
        </w:numPr>
        <w:snapToGrid w:val="0"/>
        <w:spacing w:line="400" w:lineRule="exact"/>
        <w:rPr>
          <w:rFonts w:ascii="仿宋" w:hAnsi="仿宋" w:eastAsia="仿宋"/>
          <w:sz w:val="28"/>
          <w:szCs w:val="28"/>
        </w:rPr>
      </w:pPr>
      <w:r>
        <w:t xml:space="preserve">争议解决的办法 </w:t>
      </w:r>
    </w:p>
    <w:p>
      <w:pPr>
        <w:snapToGrid w:val="0"/>
        <w:spacing w:line="400" w:lineRule="exact"/>
        <w:rPr>
          <w:rFonts w:ascii="仿宋" w:hAnsi="仿宋" w:eastAsia="仿宋"/>
          <w:sz w:val="28"/>
          <w:szCs w:val="28"/>
          <w:lang w:val="zh-CN"/>
        </w:rPr>
      </w:pPr>
      <w:r>
        <w:t xml:space="preserve">                                                                               </w:t>
      </w:r>
    </w:p>
    <w:p>
      <w:pPr>
        <w:snapToGrid w:val="0"/>
        <w:spacing w:line="400" w:lineRule="exact"/>
        <w:ind w:firstLine="840" w:firstLineChars="300"/>
        <w:rPr>
          <w:rFonts w:ascii="仿宋" w:hAnsi="仿宋" w:eastAsia="仿宋"/>
          <w:sz w:val="28"/>
          <w:szCs w:val="28"/>
          <w:lang w:val="zh-CN"/>
        </w:rPr>
      </w:pPr>
      <w:r>
        <w:t>八、其他</w:t>
      </w:r>
    </w:p>
    <w:p>
      <w:pPr>
        <w:pStyle w:val="58"/>
        <w:ind w:firstLine="560"/>
        <w:rPr>
          <w:rFonts w:ascii="仿宋" w:hAnsi="仿宋" w:eastAsia="仿宋"/>
          <w:b/>
          <w:sz w:val="28"/>
          <w:szCs w:val="28"/>
        </w:rPr>
      </w:pPr>
      <w:r>
        <w:t>（分包供应商名称      ）的合同份额占到合同总金额     %以上。当分包份额占到合同总金额100%时，视为转包。此情况根据《中华人民共和国政府采购法实施条例》（国务院令第658号）文件第七十二条规定，将依照政府采购法第七十七条第一款的规定追究你公司法律责任。</w:t>
      </w:r>
    </w:p>
    <w:p>
      <w:pPr>
        <w:snapToGrid w:val="0"/>
        <w:spacing w:line="400" w:lineRule="exact"/>
        <w:ind w:firstLine="840" w:firstLineChars="300"/>
        <w:rPr>
          <w:rFonts w:ascii="仿宋" w:hAnsi="仿宋" w:eastAsia="仿宋"/>
          <w:sz w:val="28"/>
          <w:szCs w:val="28"/>
          <w:lang w:val="zh-CN"/>
        </w:rPr>
      </w:pPr>
      <w:r/>
    </w:p>
    <w:p>
      <w:pPr>
        <w:snapToGrid w:val="0"/>
        <w:spacing w:line="400" w:lineRule="exact"/>
        <w:ind w:firstLine="840" w:firstLineChars="300"/>
        <w:rPr>
          <w:rFonts w:ascii="仿宋" w:hAnsi="仿宋" w:eastAsia="仿宋"/>
          <w:sz w:val="28"/>
          <w:szCs w:val="28"/>
          <w:lang w:val="zh-CN"/>
        </w:rPr>
      </w:pPr>
      <w:r>
        <w:t xml:space="preserve">   </w:t>
      </w:r>
    </w:p>
    <w:p>
      <w:pPr>
        <w:snapToGrid w:val="0"/>
        <w:spacing w:line="400" w:lineRule="exact"/>
        <w:ind w:firstLine="840" w:firstLineChars="300"/>
        <w:rPr>
          <w:rFonts w:ascii="仿宋" w:hAnsi="仿宋" w:eastAsia="仿宋"/>
          <w:sz w:val="28"/>
          <w:szCs w:val="28"/>
          <w:lang w:val="zh-CN"/>
        </w:rPr>
      </w:pPr>
      <w:r>
        <w:t>投标人名称(盖公章)：</w:t>
      </w:r>
    </w:p>
    <w:p>
      <w:pPr>
        <w:snapToGrid w:val="0"/>
        <w:spacing w:line="400" w:lineRule="exact"/>
        <w:ind w:firstLine="840" w:firstLineChars="300"/>
        <w:rPr>
          <w:rFonts w:ascii="仿宋" w:hAnsi="仿宋" w:eastAsia="仿宋"/>
          <w:sz w:val="28"/>
          <w:szCs w:val="28"/>
          <w:lang w:val="zh-CN"/>
        </w:rPr>
      </w:pPr>
      <w:r/>
    </w:p>
    <w:p>
      <w:pPr>
        <w:snapToGrid w:val="0"/>
        <w:spacing w:line="400" w:lineRule="exact"/>
        <w:ind w:firstLine="840" w:firstLineChars="300"/>
        <w:rPr>
          <w:rFonts w:ascii="仿宋" w:hAnsi="仿宋" w:eastAsia="仿宋"/>
          <w:sz w:val="28"/>
          <w:szCs w:val="28"/>
          <w:lang w:val="zh-CN"/>
        </w:rPr>
      </w:pPr>
      <w:r>
        <w:t>分包供应商名称（盖公章）：</w:t>
      </w:r>
    </w:p>
    <w:p>
      <w:pPr>
        <w:snapToGrid w:val="0"/>
        <w:spacing w:line="400" w:lineRule="exact"/>
        <w:ind w:firstLine="840" w:firstLineChars="300"/>
        <w:rPr>
          <w:rFonts w:ascii="仿宋" w:hAnsi="仿宋" w:eastAsia="仿宋"/>
          <w:sz w:val="28"/>
          <w:szCs w:val="28"/>
        </w:rPr>
      </w:pPr>
      <w:r>
        <w:t>……</w:t>
      </w:r>
    </w:p>
    <w:p>
      <w:pPr>
        <w:snapToGrid w:val="0"/>
        <w:spacing w:line="400" w:lineRule="exact"/>
        <w:ind w:firstLine="840" w:firstLineChars="300"/>
      </w:pPr>
      <w:r>
        <w:t xml:space="preserve">                                 日期：  年  月   日</w:t>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left"/>
        <w:rPr>
          <w:rFonts w:ascii="仿宋" w:hAnsi="仿宋" w:eastAsia="仿宋"/>
          <w:sz w:val="30"/>
          <w:szCs w:val="30"/>
        </w:rPr>
      </w:pPr>
      <w:r>
        <w:t>附件7：</w:t>
      </w:r>
    </w:p>
    <w:p>
      <w:pPr>
        <w:snapToGrid w:val="0"/>
        <w:spacing w:before="50" w:after="50"/>
        <w:jc w:val="center"/>
        <w:rPr>
          <w:rFonts w:ascii="仿宋" w:hAnsi="仿宋" w:eastAsia="仿宋"/>
          <w:b/>
          <w:sz w:val="36"/>
          <w:szCs w:val="36"/>
        </w:rPr>
      </w:pPr>
      <w:r>
        <w:t>中小企业声明函（货物）</w:t>
      </w:r>
    </w:p>
    <w:p>
      <w:pPr>
        <w:snapToGrid w:val="0"/>
        <w:spacing w:line="360" w:lineRule="auto"/>
        <w:rPr>
          <w:rFonts w:ascii="仿宋" w:hAnsi="仿宋" w:eastAsia="仿宋"/>
          <w:sz w:val="28"/>
          <w:szCs w:val="28"/>
        </w:rPr>
      </w:pPr>
      <w:r/>
    </w:p>
    <w:p>
      <w:pPr>
        <w:snapToGrid w:val="0"/>
        <w:spacing w:line="360" w:lineRule="auto"/>
        <w:ind w:firstLine="560" w:firstLineChars="200"/>
        <w:jc w:val="left"/>
        <w:rPr>
          <w:rFonts w:ascii="仿宋" w:hAnsi="仿宋" w:eastAsia="仿宋"/>
          <w:sz w:val="28"/>
          <w:szCs w:val="28"/>
        </w:rPr>
      </w:pPr>
      <w:r>
        <w:t xml:space="preserve">本公司（联合体）郑重声明，根据《政府采购促进中小企业发展管理办法》（财库﹝2020﹞46 号）的规定，本公司（联合体）参加（单位名称）的（项目名称）采购活动，提供的货物全部由符合政策要求的中小企业制造。相关企业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t xml:space="preserve">1.（标的名称），属于（采购文件中明确的所属行业） 行业；制造商为（企业名称），从业人员人，营业收入为万元，资产总额为万元 1，属于（中型企业、小型企业、微型企业）； </w:t>
      </w:r>
    </w:p>
    <w:p>
      <w:pPr>
        <w:snapToGrid w:val="0"/>
        <w:spacing w:line="360" w:lineRule="auto"/>
        <w:ind w:firstLine="560" w:firstLineChars="200"/>
        <w:jc w:val="left"/>
        <w:rPr>
          <w:rFonts w:ascii="仿宋" w:hAnsi="仿宋" w:eastAsia="仿宋"/>
          <w:sz w:val="28"/>
          <w:szCs w:val="28"/>
        </w:rPr>
      </w:pPr>
      <w:r>
        <w:t>2. （标的名称） ，属于（采购文件中明确的所属行业） 行业；制造商为（企业名称），从业人员人，营业收入为万元，资产总额为万元，属于（中型企业、小型企业、微型企业）；</w:t>
      </w:r>
    </w:p>
    <w:p>
      <w:pPr>
        <w:snapToGrid w:val="0"/>
        <w:spacing w:line="360" w:lineRule="auto"/>
        <w:ind w:firstLine="560" w:firstLineChars="200"/>
        <w:jc w:val="left"/>
        <w:rPr>
          <w:rFonts w:ascii="仿宋" w:hAnsi="仿宋" w:eastAsia="仿宋"/>
          <w:sz w:val="28"/>
          <w:szCs w:val="28"/>
        </w:rPr>
      </w:pPr>
      <w:r>
        <w:t xml:space="preserve"> ……</w:t>
      </w:r>
    </w:p>
    <w:p>
      <w:pPr>
        <w:snapToGrid w:val="0"/>
        <w:spacing w:line="360" w:lineRule="auto"/>
        <w:ind w:firstLine="560" w:firstLineChars="200"/>
        <w:jc w:val="left"/>
        <w:rPr>
          <w:rFonts w:ascii="仿宋" w:hAnsi="仿宋" w:eastAsia="仿宋"/>
          <w:sz w:val="28"/>
          <w:szCs w:val="28"/>
        </w:rPr>
      </w:pPr>
      <w: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t>投标人名称（盖章）：</w:t>
      </w:r>
    </w:p>
    <w:p>
      <w:pPr>
        <w:wordWrap w:val="0"/>
        <w:snapToGrid w:val="0"/>
        <w:spacing w:line="360" w:lineRule="auto"/>
        <w:ind w:right="1120"/>
        <w:jc w:val="right"/>
        <w:rPr>
          <w:rFonts w:ascii="仿宋" w:hAnsi="仿宋" w:eastAsia="仿宋"/>
          <w:sz w:val="28"/>
          <w:szCs w:val="28"/>
          <w:u w:val="single"/>
        </w:rPr>
      </w:pPr>
      <w:r>
        <w:t>日  期：</w:t>
      </w:r>
    </w:p>
    <w:p>
      <w:pPr>
        <w:pStyle w:val="31"/>
        <w:spacing w:before="120" w:after="120" w:line="360" w:lineRule="auto"/>
        <w:rPr>
          <w:rFonts w:ascii="Times New Roman" w:hAnsi="Times New Roman"/>
          <w:b/>
        </w:rPr>
      </w:pPr>
      <w:r>
        <w:t>1从业人员、营业收入、资产总额填报上一年度数据，无上一年度数据的新成立企业可不填报。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r/>
    </w:p>
    <w:p>
      <w:pPr>
        <w:widowControl/>
        <w:jc w:val="left"/>
        <w:rPr>
          <w:rFonts w:ascii="仿宋" w:hAnsi="仿宋" w:eastAsia="仿宋"/>
          <w:b/>
          <w:sz w:val="36"/>
          <w:szCs w:val="36"/>
        </w:rPr>
      </w:pPr>
      <w:r/>
    </w:p>
    <w:p>
      <w:pPr>
        <w:snapToGrid w:val="0"/>
        <w:spacing w:before="50" w:after="50"/>
        <w:jc w:val="center"/>
        <w:rPr>
          <w:rFonts w:ascii="仿宋" w:hAnsi="仿宋" w:eastAsia="仿宋"/>
          <w:b/>
          <w:sz w:val="36"/>
          <w:szCs w:val="36"/>
        </w:rPr>
      </w:pPr>
      <w:r>
        <w:t>中小企业声明函（工程、服务）</w:t>
      </w:r>
    </w:p>
    <w:p>
      <w:pPr>
        <w:snapToGrid w:val="0"/>
        <w:spacing w:line="312" w:lineRule="auto"/>
        <w:ind w:firstLine="560" w:firstLineChars="200"/>
        <w:rPr>
          <w:rFonts w:ascii="仿宋" w:hAnsi="仿宋" w:eastAsia="仿宋"/>
          <w:sz w:val="28"/>
          <w:szCs w:val="28"/>
        </w:rPr>
      </w:pPr>
      <w:r/>
    </w:p>
    <w:p>
      <w:pPr>
        <w:snapToGrid w:val="0"/>
        <w:spacing w:line="360" w:lineRule="auto"/>
        <w:ind w:firstLine="560" w:firstLineChars="200"/>
        <w:jc w:val="left"/>
        <w:rPr>
          <w:rFonts w:ascii="仿宋" w:hAnsi="仿宋" w:eastAsia="仿宋"/>
          <w:sz w:val="28"/>
          <w:szCs w:val="28"/>
        </w:rPr>
      </w:pPr>
      <w:r>
        <w:t xml:space="preserve">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t xml:space="preserve">1.（标的名称），属于（采购文件中明确的所属行业）； 承建（承接）企业为（企业名称），从业人员人，营业收入为万元，资产总额为万元 1，属于（中型企业、小型企业、微型企业）； </w:t>
      </w:r>
    </w:p>
    <w:p>
      <w:pPr>
        <w:snapToGrid w:val="0"/>
        <w:spacing w:line="360" w:lineRule="auto"/>
        <w:ind w:firstLine="560" w:firstLineChars="200"/>
        <w:jc w:val="left"/>
        <w:rPr>
          <w:rFonts w:ascii="仿宋" w:hAnsi="仿宋" w:eastAsia="仿宋"/>
          <w:sz w:val="28"/>
          <w:szCs w:val="28"/>
        </w:rPr>
      </w:pPr>
      <w:r>
        <w:t xml:space="preserve">2. （标的名称） ，属于（采购文件中明确的所属行业）；承建（承接）企业为（企业名称），从业人员人，营业收入为万元，资产总额为万元，属于（中型企业、小型企业、微型企业）； </w:t>
      </w:r>
    </w:p>
    <w:p>
      <w:pPr>
        <w:snapToGrid w:val="0"/>
        <w:spacing w:line="312" w:lineRule="auto"/>
        <w:ind w:firstLine="700" w:firstLineChars="250"/>
        <w:rPr>
          <w:rFonts w:ascii="仿宋" w:hAnsi="仿宋" w:eastAsia="仿宋"/>
          <w:sz w:val="28"/>
          <w:szCs w:val="28"/>
        </w:rPr>
      </w:pPr>
      <w:r>
        <w:t xml:space="preserve">…… </w:t>
      </w:r>
    </w:p>
    <w:p>
      <w:pPr>
        <w:snapToGrid w:val="0"/>
        <w:spacing w:line="312" w:lineRule="auto"/>
        <w:ind w:firstLine="700" w:firstLineChars="250"/>
        <w:rPr>
          <w:rFonts w:ascii="仿宋" w:hAnsi="仿宋" w:eastAsia="仿宋"/>
          <w:sz w:val="28"/>
          <w:szCs w:val="28"/>
        </w:rPr>
      </w:pPr>
      <w: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t>投标人名称（盖章）：</w:t>
      </w:r>
    </w:p>
    <w:p>
      <w:pPr>
        <w:snapToGrid w:val="0"/>
        <w:spacing w:line="312" w:lineRule="auto"/>
        <w:ind w:firstLine="4620" w:firstLineChars="1650"/>
        <w:rPr>
          <w:rFonts w:ascii="仿宋" w:hAnsi="仿宋" w:eastAsia="仿宋"/>
          <w:sz w:val="28"/>
          <w:szCs w:val="28"/>
          <w:u w:val="single"/>
        </w:rPr>
      </w:pPr>
      <w:r>
        <w:t>日 期：</w:t>
      </w:r>
    </w:p>
    <w:p>
      <w:pPr>
        <w:pStyle w:val="31"/>
        <w:spacing w:before="120" w:after="120" w:line="360" w:lineRule="auto"/>
        <w:rPr>
          <w:rFonts w:ascii="Times New Roman" w:hAnsi="Times New Roman"/>
          <w:b/>
        </w:rPr>
      </w:pPr>
      <w:r>
        <w:t>1从业人员、营业收入、资产总额填报上一年度数据，无上一年度数据的新成立企业可不填报。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r/>
    </w:p>
    <w:p>
      <w:pPr>
        <w:snapToGrid w:val="0"/>
        <w:spacing w:line="312" w:lineRule="auto"/>
        <w:ind w:firstLine="753" w:firstLineChars="250"/>
        <w:jc w:val="center"/>
        <w:rPr>
          <w:rFonts w:ascii="仿宋" w:hAnsi="仿宋" w:eastAsia="仿宋"/>
          <w:b/>
          <w:sz w:val="30"/>
          <w:szCs w:val="30"/>
        </w:rPr>
      </w:pPr>
      <w:r/>
    </w:p>
    <w:p>
      <w:pPr>
        <w:jc w:val="left"/>
        <w:rPr>
          <w:rFonts w:ascii="仿宋" w:hAnsi="仿宋" w:eastAsia="仿宋"/>
        </w:rPr>
      </w:pPr>
      <w:r>
        <w:t>附件8：</w:t>
      </w:r>
    </w:p>
    <w:p>
      <w:pPr>
        <w:rPr>
          <w:rFonts w:ascii="仿宋" w:hAnsi="仿宋" w:eastAsia="仿宋"/>
        </w:rPr>
      </w:pPr>
      <w:r/>
    </w:p>
    <w:p>
      <w:pPr>
        <w:spacing w:line="588" w:lineRule="exact"/>
        <w:jc w:val="center"/>
        <w:rPr>
          <w:rFonts w:ascii="仿宋_GB2312" w:eastAsia="仿宋_GB2312"/>
          <w:b/>
          <w:spacing w:val="6"/>
          <w:sz w:val="32"/>
          <w:szCs w:val="32"/>
        </w:rPr>
      </w:pPr>
      <w:r>
        <w:t>残疾人福利性单位声明函</w:t>
      </w:r>
    </w:p>
    <w:p>
      <w:pPr>
        <w:spacing w:line="588" w:lineRule="exact"/>
        <w:rPr>
          <w:rFonts w:ascii="仿宋_GB2312" w:eastAsia="仿宋_GB2312"/>
          <w:b/>
          <w:spacing w:val="6"/>
          <w:sz w:val="30"/>
          <w:szCs w:val="30"/>
        </w:rPr>
      </w:pPr>
      <w:r/>
    </w:p>
    <w:p>
      <w:pPr>
        <w:snapToGrid w:val="0"/>
        <w:spacing w:line="360" w:lineRule="auto"/>
        <w:ind w:firstLine="840" w:firstLineChars="300"/>
        <w:rPr>
          <w:rFonts w:ascii="仿宋" w:hAnsi="仿宋" w:eastAsia="仿宋"/>
          <w:sz w:val="28"/>
          <w:szCs w:val="28"/>
        </w:rPr>
      </w:pPr>
      <w: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r/>
    </w:p>
    <w:p>
      <w:pPr>
        <w:spacing w:line="588" w:lineRule="exact"/>
        <w:ind w:firstLine="624" w:firstLineChars="200"/>
        <w:rPr>
          <w:rFonts w:ascii="仿宋_GB2312" w:eastAsia="仿宋_GB2312"/>
          <w:spacing w:val="6"/>
          <w:sz w:val="30"/>
          <w:szCs w:val="30"/>
        </w:rPr>
      </w:pPr>
      <w:r/>
    </w:p>
    <w:p>
      <w:pPr>
        <w:wordWrap w:val="0"/>
        <w:snapToGrid w:val="0"/>
        <w:spacing w:line="360" w:lineRule="auto"/>
        <w:ind w:firstLine="560" w:firstLineChars="200"/>
        <w:jc w:val="right"/>
        <w:rPr>
          <w:rFonts w:ascii="仿宋" w:hAnsi="仿宋" w:eastAsia="仿宋"/>
          <w:sz w:val="28"/>
          <w:szCs w:val="28"/>
          <w:u w:val="single"/>
        </w:rPr>
      </w:pPr>
      <w:r>
        <w:t xml:space="preserve">      投标人名称（盖章）：</w:t>
      </w:r>
    </w:p>
    <w:p>
      <w:pPr>
        <w:wordWrap w:val="0"/>
        <w:snapToGrid w:val="0"/>
        <w:spacing w:line="360" w:lineRule="auto"/>
        <w:ind w:firstLine="560" w:firstLineChars="200"/>
        <w:jc w:val="right"/>
        <w:rPr>
          <w:rFonts w:ascii="仿宋" w:hAnsi="仿宋" w:eastAsia="仿宋"/>
          <w:sz w:val="28"/>
          <w:szCs w:val="28"/>
          <w:u w:val="single"/>
        </w:rPr>
      </w:pPr>
      <w:r>
        <w:t xml:space="preserve">       日  期：</w:t>
      </w:r>
    </w:p>
    <w:p>
      <w:r/>
    </w:p>
    <w:p>
      <w:r/>
    </w:p>
    <w:p>
      <w:pPr>
        <w:widowControl/>
        <w:jc w:val="left"/>
        <w:rPr>
          <w:rFonts w:ascii="仿宋" w:hAnsi="仿宋" w:eastAsia="仿宋"/>
          <w:sz w:val="30"/>
          <w:szCs w:val="30"/>
        </w:rPr>
      </w:pPr>
      <w:r/>
    </w:p>
    <w:p>
      <w:pPr>
        <w:widowControl/>
        <w:jc w:val="left"/>
        <w:rPr>
          <w:rFonts w:ascii="仿宋" w:hAnsi="仿宋" w:eastAsia="仿宋"/>
          <w:sz w:val="30"/>
          <w:szCs w:val="30"/>
        </w:rPr>
      </w:pPr>
      <w:r/>
    </w:p>
    <w:p>
      <w:pPr>
        <w:snapToGrid w:val="0"/>
        <w:spacing w:before="120" w:beforeLines="50" w:after="50"/>
        <w:rPr>
          <w:rFonts w:ascii="仿宋" w:hAnsi="仿宋" w:eastAsia="仿宋"/>
          <w:b/>
          <w:sz w:val="30"/>
          <w:szCs w:val="30"/>
        </w:rPr>
      </w:pPr>
      <w:r>
        <w:t xml:space="preserve">附件9：                                     </w:t>
      </w:r>
    </w:p>
    <w:p>
      <w:pPr>
        <w:spacing w:before="240" w:beforeLines="100" w:line="240" w:lineRule="atLeast"/>
        <w:jc w:val="center"/>
        <w:rPr>
          <w:rFonts w:ascii="仿宋" w:hAnsi="仿宋" w:eastAsia="仿宋"/>
          <w:b/>
          <w:color w:val="000000" w:themeColor="text1"/>
          <w:spacing w:val="40"/>
          <w:sz w:val="52"/>
          <w:szCs w:val="52"/>
        </w:rPr>
      </w:pPr>
      <w:r>
        <w:t>浙江药科职业大学物业管理服务项目</w:t>
      </w:r>
    </w:p>
    <w:p>
      <w:pPr>
        <w:spacing w:before="240" w:beforeLines="100" w:line="240" w:lineRule="atLeast"/>
        <w:jc w:val="center"/>
        <w:rPr>
          <w:rFonts w:ascii="仿宋" w:hAnsi="仿宋" w:eastAsia="仿宋"/>
          <w:sz w:val="36"/>
          <w:szCs w:val="36"/>
        </w:rPr>
      </w:pPr>
      <w:r>
        <w:t>项目编号：ZZCG2022D-GK-130（标项  ）</w:t>
      </w:r>
    </w:p>
    <w:p>
      <w:pPr>
        <w:spacing w:line="1200" w:lineRule="exact"/>
        <w:ind w:right="-108"/>
        <w:jc w:val="center"/>
        <w:rPr>
          <w:rFonts w:ascii="仿宋" w:hAnsi="仿宋" w:eastAsia="仿宋"/>
          <w:b/>
          <w:spacing w:val="40"/>
          <w:sz w:val="84"/>
          <w:szCs w:val="84"/>
        </w:rPr>
      </w:pPr>
      <w:r>
        <w:t>技</w:t>
      </w:r>
    </w:p>
    <w:p>
      <w:pPr>
        <w:spacing w:line="1200" w:lineRule="exact"/>
        <w:ind w:right="-108"/>
        <w:jc w:val="center"/>
        <w:rPr>
          <w:rFonts w:ascii="仿宋" w:hAnsi="仿宋" w:eastAsia="仿宋"/>
          <w:b/>
          <w:spacing w:val="40"/>
          <w:sz w:val="84"/>
          <w:szCs w:val="84"/>
        </w:rPr>
      </w:pPr>
      <w:r>
        <w:t>术</w:t>
      </w:r>
    </w:p>
    <w:p>
      <w:pPr>
        <w:spacing w:line="1200" w:lineRule="exact"/>
        <w:ind w:right="-108"/>
        <w:jc w:val="center"/>
        <w:rPr>
          <w:rFonts w:ascii="仿宋" w:hAnsi="仿宋" w:eastAsia="仿宋"/>
          <w:b/>
          <w:spacing w:val="40"/>
          <w:sz w:val="84"/>
          <w:szCs w:val="84"/>
        </w:rPr>
      </w:pPr>
      <w:r>
        <w:t>及</w:t>
      </w:r>
    </w:p>
    <w:p>
      <w:pPr>
        <w:spacing w:line="1200" w:lineRule="exact"/>
        <w:ind w:right="-108"/>
        <w:jc w:val="center"/>
        <w:rPr>
          <w:rFonts w:ascii="仿宋" w:hAnsi="仿宋" w:eastAsia="仿宋"/>
          <w:b/>
          <w:spacing w:val="40"/>
          <w:sz w:val="84"/>
          <w:szCs w:val="84"/>
        </w:rPr>
      </w:pPr>
      <w:r>
        <w:t>商</w:t>
      </w:r>
    </w:p>
    <w:p>
      <w:pPr>
        <w:spacing w:line="1200" w:lineRule="exact"/>
        <w:ind w:right="-108"/>
        <w:jc w:val="center"/>
        <w:rPr>
          <w:rFonts w:ascii="仿宋" w:hAnsi="仿宋" w:eastAsia="仿宋"/>
          <w:b/>
          <w:spacing w:val="40"/>
          <w:sz w:val="84"/>
          <w:szCs w:val="84"/>
        </w:rPr>
      </w:pPr>
      <w:r>
        <w:t>务</w:t>
      </w:r>
    </w:p>
    <w:p>
      <w:pPr>
        <w:spacing w:line="1200" w:lineRule="exact"/>
        <w:ind w:right="-108"/>
        <w:jc w:val="center"/>
        <w:rPr>
          <w:rFonts w:ascii="仿宋" w:hAnsi="仿宋" w:eastAsia="仿宋"/>
          <w:b/>
          <w:spacing w:val="40"/>
          <w:sz w:val="84"/>
          <w:szCs w:val="84"/>
        </w:rPr>
      </w:pPr>
      <w:r>
        <w:t>文</w:t>
      </w:r>
    </w:p>
    <w:p>
      <w:pPr>
        <w:spacing w:line="1200" w:lineRule="exact"/>
        <w:ind w:right="-108"/>
        <w:jc w:val="center"/>
        <w:rPr>
          <w:rFonts w:ascii="仿宋" w:hAnsi="仿宋" w:eastAsia="仿宋"/>
          <w:b/>
          <w:spacing w:val="40"/>
          <w:sz w:val="84"/>
          <w:szCs w:val="84"/>
        </w:rPr>
      </w:pPr>
      <w:r>
        <w:t>件</w:t>
      </w:r>
    </w:p>
    <w:p>
      <w:pPr>
        <w:spacing w:line="600" w:lineRule="exact"/>
        <w:ind w:right="532" w:firstLine="720" w:firstLineChars="200"/>
        <w:rPr>
          <w:rFonts w:ascii="仿宋" w:hAnsi="仿宋" w:eastAsia="仿宋"/>
          <w:sz w:val="36"/>
          <w:szCs w:val="36"/>
        </w:rPr>
      </w:pPr>
      <w:r>
        <w:t>投标人全称：</w:t>
      </w:r>
    </w:p>
    <w:p>
      <w:pPr>
        <w:spacing w:line="600" w:lineRule="exact"/>
        <w:ind w:right="-108" w:firstLine="720" w:firstLineChars="200"/>
        <w:rPr>
          <w:rFonts w:ascii="仿宋" w:hAnsi="仿宋" w:eastAsia="仿宋"/>
          <w:sz w:val="36"/>
          <w:szCs w:val="36"/>
        </w:rPr>
      </w:pPr>
      <w:r>
        <w:t>地    址：</w:t>
      </w:r>
    </w:p>
    <w:p>
      <w:pPr>
        <w:spacing w:line="600" w:lineRule="exact"/>
        <w:ind w:right="-108" w:firstLine="720" w:firstLineChars="200"/>
        <w:rPr>
          <w:rFonts w:ascii="仿宋" w:hAnsi="仿宋" w:eastAsia="仿宋"/>
          <w:sz w:val="36"/>
          <w:szCs w:val="36"/>
        </w:rPr>
      </w:pPr>
      <w:r>
        <w:t>时    间：</w:t>
      </w:r>
    </w:p>
    <w:p>
      <w:pPr>
        <w:snapToGrid w:val="0"/>
        <w:spacing w:before="50" w:after="50"/>
        <w:rPr>
          <w:rFonts w:ascii="仿宋" w:hAnsi="仿宋" w:eastAsia="仿宋"/>
          <w:sz w:val="30"/>
          <w:szCs w:val="30"/>
        </w:rPr>
      </w:pPr>
      <w:r/>
    </w:p>
    <w:p>
      <w:pPr>
        <w:snapToGrid w:val="0"/>
        <w:spacing w:before="50" w:after="50"/>
        <w:rPr>
          <w:rFonts w:ascii="仿宋" w:hAnsi="仿宋" w:eastAsia="仿宋"/>
          <w:sz w:val="30"/>
          <w:szCs w:val="30"/>
        </w:rPr>
      </w:pPr>
      <w:r/>
    </w:p>
    <w:p>
      <w:pPr>
        <w:snapToGrid w:val="0"/>
        <w:spacing w:before="50" w:after="50"/>
        <w:rPr>
          <w:rFonts w:ascii="仿宋" w:hAnsi="仿宋" w:eastAsia="仿宋"/>
          <w:b/>
          <w:bCs/>
          <w:sz w:val="36"/>
          <w:szCs w:val="36"/>
        </w:rPr>
      </w:pPr>
      <w:r>
        <w:t>2、技术及商务文件目录</w:t>
      </w:r>
    </w:p>
    <w:p>
      <w:pPr>
        <w:snapToGrid w:val="0"/>
        <w:spacing w:line="460" w:lineRule="exact"/>
        <w:ind w:firstLine="600" w:firstLineChars="200"/>
        <w:jc w:val="left"/>
        <w:rPr>
          <w:rFonts w:ascii="仿宋" w:hAnsi="仿宋" w:eastAsia="仿宋"/>
          <w:sz w:val="30"/>
          <w:szCs w:val="30"/>
        </w:rPr>
      </w:pPr>
      <w: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t>（2）投标项目明细清单（含货物、服务等）；</w:t>
      </w:r>
    </w:p>
    <w:p>
      <w:pPr>
        <w:snapToGrid w:val="0"/>
        <w:spacing w:line="460" w:lineRule="exact"/>
        <w:ind w:firstLine="600" w:firstLineChars="200"/>
        <w:jc w:val="left"/>
        <w:rPr>
          <w:rFonts w:ascii="仿宋" w:hAnsi="仿宋" w:eastAsia="仿宋"/>
          <w:sz w:val="30"/>
          <w:szCs w:val="30"/>
        </w:rPr>
      </w:pPr>
      <w:r>
        <w:t>（3）技术响应表（格式见附件）；</w:t>
      </w:r>
    </w:p>
    <w:p>
      <w:pPr>
        <w:snapToGrid w:val="0"/>
        <w:spacing w:line="460" w:lineRule="exact"/>
        <w:ind w:firstLine="600" w:firstLineChars="200"/>
        <w:jc w:val="left"/>
        <w:rPr>
          <w:rFonts w:ascii="仿宋" w:hAnsi="仿宋" w:eastAsia="仿宋"/>
          <w:sz w:val="30"/>
          <w:szCs w:val="30"/>
        </w:rPr>
      </w:pPr>
      <w: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t>（6）列入政府采购节能环保清单的证明资料（若有）；</w:t>
      </w:r>
    </w:p>
    <w:p>
      <w:pPr>
        <w:snapToGrid w:val="0"/>
        <w:spacing w:line="460" w:lineRule="exact"/>
        <w:ind w:firstLine="600" w:firstLineChars="200"/>
        <w:jc w:val="left"/>
        <w:rPr>
          <w:rFonts w:ascii="仿宋" w:hAnsi="仿宋" w:eastAsia="仿宋"/>
          <w:sz w:val="30"/>
          <w:szCs w:val="30"/>
        </w:rPr>
      </w:pPr>
      <w:r>
        <w:t>（7）商务响应表（格式见附件）；</w:t>
      </w:r>
    </w:p>
    <w:p>
      <w:pPr>
        <w:snapToGrid w:val="0"/>
        <w:spacing w:line="460" w:lineRule="exact"/>
        <w:ind w:firstLine="600" w:firstLineChars="200"/>
        <w:jc w:val="left"/>
        <w:rPr>
          <w:rFonts w:ascii="仿宋" w:hAnsi="仿宋" w:eastAsia="仿宋"/>
          <w:sz w:val="30"/>
          <w:szCs w:val="30"/>
        </w:rPr>
      </w:pPr>
      <w: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t>（9）技术培训计划（若有）；</w:t>
      </w:r>
    </w:p>
    <w:p>
      <w:pPr>
        <w:snapToGrid w:val="0"/>
        <w:spacing w:line="460" w:lineRule="exact"/>
        <w:ind w:firstLine="600" w:firstLineChars="200"/>
        <w:jc w:val="left"/>
        <w:rPr>
          <w:rFonts w:ascii="仿宋" w:hAnsi="仿宋" w:eastAsia="仿宋"/>
          <w:sz w:val="30"/>
          <w:szCs w:val="30"/>
        </w:rPr>
      </w:pPr>
      <w: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t>（12）投标人认为需要的其他文件资料。</w:t>
      </w:r>
    </w:p>
    <w:p>
      <w:pPr>
        <w:snapToGrid w:val="0"/>
        <w:spacing w:before="50" w:after="120" w:afterLines="50"/>
        <w:jc w:val="left"/>
        <w:rPr>
          <w:rFonts w:ascii="仿宋" w:hAnsi="仿宋" w:eastAsia="仿宋"/>
          <w:sz w:val="30"/>
          <w:szCs w:val="30"/>
        </w:rPr>
      </w:pPr>
      <w:r/>
    </w:p>
    <w:p>
      <w:pPr>
        <w:snapToGrid w:val="0"/>
        <w:spacing w:before="50"/>
        <w:jc w:val="left"/>
        <w:rPr>
          <w:rFonts w:ascii="仿宋" w:hAnsi="仿宋" w:eastAsia="仿宋"/>
          <w:sz w:val="30"/>
          <w:szCs w:val="30"/>
        </w:rPr>
      </w:pPr>
      <w:r>
        <w:t>附件10：</w:t>
      </w:r>
    </w:p>
    <w:p>
      <w:pPr>
        <w:snapToGrid w:val="0"/>
        <w:spacing w:before="50" w:after="50"/>
        <w:jc w:val="center"/>
        <w:rPr>
          <w:rFonts w:ascii="仿宋" w:hAnsi="仿宋" w:eastAsia="仿宋"/>
          <w:b/>
          <w:sz w:val="36"/>
          <w:szCs w:val="36"/>
        </w:rPr>
      </w:pPr>
      <w:r>
        <w:t>评分对应表</w:t>
      </w:r>
    </w:p>
    <w:p>
      <w:pPr>
        <w:snapToGrid w:val="0"/>
        <w:spacing w:before="50"/>
        <w:jc w:val="center"/>
        <w:rPr>
          <w:rFonts w:ascii="仿宋" w:hAnsi="仿宋" w:eastAsia="仿宋"/>
          <w:b/>
          <w:sz w:val="32"/>
          <w:szCs w:val="32"/>
        </w:rPr>
      </w:pPr>
      <w:r/>
    </w:p>
    <w:p>
      <w:pPr>
        <w:pStyle w:val="18"/>
        <w:snapToGrid w:val="0"/>
        <w:rPr>
          <w:rFonts w:ascii="仿宋" w:hAnsi="仿宋" w:eastAsia="仿宋"/>
          <w:sz w:val="30"/>
          <w:szCs w:val="30"/>
          <w:u w:val="single"/>
        </w:rPr>
      </w:pPr>
      <w: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r>
              <w:t>评分项目</w:t>
            </w:r>
          </w:p>
        </w:tc>
        <w:tc>
          <w:tcPr>
            <w:tcW w:w="3060" w:type="dxa"/>
            <w:tcBorders>
              <w:top w:val="single" w:color="auto" w:sz="4" w:space="0"/>
              <w:left w:val="single" w:color="auto" w:sz="4" w:space="0"/>
              <w:bottom w:val="single" w:color="auto" w:sz="4" w:space="0"/>
              <w:right w:val="single" w:color="auto" w:sz="4" w:space="0"/>
            </w:tcBorders>
            <w:vAlign w:val="center"/>
          </w:tcPr>
          <w:p>
            <w: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t>授权代表签名：               日期：</w:t>
      </w:r>
    </w:p>
    <w:p>
      <w:pPr>
        <w:snapToGrid w:val="0"/>
        <w:spacing w:before="50" w:after="120" w:afterLines="50"/>
        <w:jc w:val="left"/>
        <w:rPr>
          <w:rFonts w:ascii="仿宋" w:hAnsi="仿宋" w:eastAsia="仿宋"/>
          <w:sz w:val="30"/>
          <w:szCs w:val="30"/>
        </w:rPr>
      </w:pPr>
      <w:r>
        <w:t>附件11：</w:t>
      </w:r>
    </w:p>
    <w:p>
      <w:pPr>
        <w:snapToGrid w:val="0"/>
        <w:spacing w:before="50" w:after="120" w:afterLines="50"/>
        <w:jc w:val="center"/>
        <w:rPr>
          <w:rFonts w:ascii="仿宋" w:hAnsi="仿宋" w:eastAsia="仿宋"/>
          <w:b/>
          <w:spacing w:val="40"/>
          <w:kern w:val="0"/>
          <w:sz w:val="36"/>
          <w:szCs w:val="36"/>
        </w:rPr>
      </w:pPr>
      <w:r>
        <w:t>投标项目明细清单</w:t>
      </w:r>
    </w:p>
    <w:p>
      <w:pPr>
        <w:snapToGrid w:val="0"/>
        <w:spacing w:before="50" w:after="120" w:afterLines="50"/>
        <w:rPr>
          <w:rFonts w:ascii="仿宋" w:hAnsi="仿宋" w:eastAsia="仿宋"/>
          <w:b/>
          <w:spacing w:val="40"/>
          <w:kern w:val="0"/>
          <w:sz w:val="36"/>
          <w:szCs w:val="36"/>
        </w:rPr>
      </w:pPr>
      <w:r/>
    </w:p>
    <w:p>
      <w:pPr>
        <w:pStyle w:val="18"/>
        <w:snapToGrid w:val="0"/>
        <w:rPr>
          <w:rFonts w:ascii="仿宋" w:hAnsi="仿宋" w:eastAsia="仿宋"/>
          <w:kern w:val="0"/>
          <w:sz w:val="30"/>
          <w:szCs w:val="30"/>
          <w:u w:val="single"/>
        </w:rPr>
      </w:pPr>
      <w:r>
        <w:t>投标人全称（公章）：                标项：</w:t>
      </w:r>
    </w:p>
    <w:p>
      <w:pPr>
        <w:pStyle w:val="18"/>
        <w:snapToGrid w:val="0"/>
        <w:rPr>
          <w:rFonts w:ascii="仿宋" w:hAnsi="仿宋" w:eastAsia="仿宋"/>
          <w:sz w:val="30"/>
          <w:szCs w:val="30"/>
        </w:rPr>
      </w:pPr>
      <w: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r>
              <w:t>序号</w:t>
            </w:r>
          </w:p>
        </w:tc>
        <w:tc>
          <w:tcPr>
            <w:tcW w:w="1681" w:type="dxa"/>
            <w:tcBorders>
              <w:top w:val="single" w:color="auto" w:sz="4" w:space="0"/>
              <w:left w:val="single" w:color="auto" w:sz="4" w:space="0"/>
              <w:bottom w:val="single" w:color="auto" w:sz="4" w:space="0"/>
              <w:right w:val="single" w:color="auto" w:sz="4" w:space="0"/>
            </w:tcBorders>
            <w:vAlign w:val="center"/>
          </w:tcPr>
          <w:p>
            <w:r>
              <w:t>货物名称</w:t>
            </w:r>
          </w:p>
        </w:tc>
        <w:tc>
          <w:tcPr>
            <w:tcW w:w="839" w:type="dxa"/>
            <w:tcBorders>
              <w:top w:val="single" w:color="auto" w:sz="4" w:space="0"/>
              <w:left w:val="single" w:color="auto" w:sz="4" w:space="0"/>
              <w:bottom w:val="single" w:color="auto" w:sz="4" w:space="0"/>
              <w:right w:val="single" w:color="auto" w:sz="4" w:space="0"/>
            </w:tcBorders>
            <w:vAlign w:val="center"/>
          </w:tcPr>
          <w:p>
            <w:r>
              <w:t>品牌</w:t>
            </w:r>
          </w:p>
        </w:tc>
        <w:tc>
          <w:tcPr>
            <w:tcW w:w="1281" w:type="dxa"/>
            <w:tcBorders>
              <w:top w:val="single" w:color="auto" w:sz="4" w:space="0"/>
              <w:left w:val="single" w:color="auto" w:sz="4" w:space="0"/>
              <w:bottom w:val="single" w:color="auto" w:sz="4" w:space="0"/>
              <w:right w:val="single" w:color="auto" w:sz="4" w:space="0"/>
            </w:tcBorders>
            <w:vAlign w:val="center"/>
          </w:tcPr>
          <w:p>
            <w:r>
              <w:t>规格</w:t>
              <w:br/>
              <w:t>型号</w:t>
            </w:r>
          </w:p>
        </w:tc>
        <w:tc>
          <w:tcPr>
            <w:tcW w:w="1419" w:type="dxa"/>
            <w:tcBorders>
              <w:top w:val="single" w:color="auto" w:sz="4" w:space="0"/>
              <w:left w:val="single" w:color="auto" w:sz="4" w:space="0"/>
              <w:bottom w:val="single" w:color="auto" w:sz="4" w:space="0"/>
              <w:right w:val="single" w:color="auto" w:sz="4" w:space="0"/>
            </w:tcBorders>
            <w:vAlign w:val="center"/>
          </w:tcPr>
          <w:p>
            <w:r>
              <w:t>单位及</w:t>
              <w:br/>
              <w:t>数量</w:t>
            </w:r>
          </w:p>
        </w:tc>
        <w:tc>
          <w:tcPr>
            <w:tcW w:w="2227" w:type="dxa"/>
            <w:tcBorders>
              <w:top w:val="single" w:color="auto" w:sz="4" w:space="0"/>
              <w:left w:val="single" w:color="auto" w:sz="4" w:space="0"/>
              <w:bottom w:val="single" w:color="auto" w:sz="4" w:space="0"/>
              <w:right w:val="single" w:color="auto" w:sz="4" w:space="0"/>
            </w:tcBorders>
            <w:vAlign w:val="center"/>
          </w:tcPr>
          <w:p>
            <w: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r>
              <w:t>序号</w:t>
            </w:r>
          </w:p>
        </w:tc>
        <w:tc>
          <w:tcPr>
            <w:tcW w:w="2829" w:type="dxa"/>
            <w:tcBorders>
              <w:top w:val="single" w:color="auto" w:sz="4" w:space="0"/>
              <w:left w:val="single" w:color="auto" w:sz="4" w:space="0"/>
              <w:bottom w:val="single" w:color="auto" w:sz="4" w:space="0"/>
              <w:right w:val="single" w:color="auto" w:sz="4" w:space="0"/>
            </w:tcBorders>
            <w:vAlign w:val="center"/>
          </w:tcPr>
          <w:p>
            <w:r>
              <w:t>服务内容</w:t>
            </w:r>
          </w:p>
        </w:tc>
        <w:tc>
          <w:tcPr>
            <w:tcW w:w="2829" w:type="dxa"/>
            <w:tcBorders>
              <w:top w:val="single" w:color="auto" w:sz="4" w:space="0"/>
              <w:left w:val="single" w:color="auto" w:sz="4" w:space="0"/>
              <w:bottom w:val="single" w:color="auto" w:sz="4" w:space="0"/>
              <w:right w:val="single" w:color="auto" w:sz="4" w:space="0"/>
            </w:tcBorders>
            <w:vAlign w:val="center"/>
          </w:tcPr>
          <w:p>
            <w: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r/>
    </w:p>
    <w:p>
      <w:pPr>
        <w:snapToGrid w:val="0"/>
        <w:spacing w:before="120" w:beforeLines="50"/>
        <w:rPr>
          <w:rFonts w:ascii="仿宋" w:hAnsi="仿宋" w:eastAsia="仿宋"/>
          <w:sz w:val="30"/>
          <w:szCs w:val="30"/>
          <w:u w:val="single"/>
        </w:rPr>
      </w:pPr>
      <w:r>
        <w:t>授权代表签名：               日期：</w:t>
      </w:r>
    </w:p>
    <w:p>
      <w:pPr>
        <w:snapToGrid w:val="0"/>
        <w:spacing w:before="50" w:after="50"/>
        <w:rPr>
          <w:rFonts w:ascii="仿宋" w:hAnsi="仿宋" w:eastAsia="仿宋"/>
          <w:spacing w:val="20"/>
          <w:sz w:val="30"/>
          <w:szCs w:val="30"/>
        </w:rPr>
      </w:pPr>
      <w:r/>
    </w:p>
    <w:p>
      <w:pPr>
        <w:snapToGrid w:val="0"/>
        <w:spacing w:before="50" w:after="50"/>
        <w:rPr>
          <w:rFonts w:ascii="仿宋" w:hAnsi="仿宋" w:eastAsia="仿宋"/>
          <w:sz w:val="30"/>
          <w:szCs w:val="30"/>
        </w:rPr>
      </w:pPr>
      <w:r>
        <w:t>附件12：</w:t>
      </w:r>
    </w:p>
    <w:p>
      <w:pPr>
        <w:snapToGrid w:val="0"/>
        <w:spacing w:before="50" w:after="120" w:afterLines="50"/>
        <w:jc w:val="center"/>
        <w:rPr>
          <w:rFonts w:ascii="仿宋" w:hAnsi="仿宋" w:eastAsia="仿宋"/>
          <w:b/>
          <w:spacing w:val="40"/>
          <w:kern w:val="0"/>
          <w:sz w:val="36"/>
          <w:szCs w:val="36"/>
        </w:rPr>
      </w:pPr>
      <w:r>
        <w:t>技 术 响 应 表</w:t>
      </w:r>
    </w:p>
    <w:p>
      <w:pPr>
        <w:snapToGrid w:val="0"/>
        <w:spacing w:before="50" w:after="120" w:afterLines="50"/>
        <w:rPr>
          <w:rFonts w:ascii="仿宋" w:hAnsi="仿宋" w:eastAsia="仿宋"/>
          <w:b/>
          <w:sz w:val="32"/>
          <w:szCs w:val="32"/>
        </w:rPr>
      </w:pPr>
      <w:r/>
    </w:p>
    <w:p>
      <w:pPr>
        <w:pStyle w:val="18"/>
        <w:snapToGrid w:val="0"/>
        <w:rPr>
          <w:rFonts w:ascii="仿宋" w:hAnsi="仿宋" w:eastAsia="仿宋"/>
          <w:sz w:val="30"/>
          <w:szCs w:val="30"/>
          <w:u w:val="single"/>
        </w:rPr>
      </w:pPr>
      <w: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r>
              <w:t>招标文件要求</w:t>
            </w:r>
          </w:p>
        </w:tc>
        <w:tc>
          <w:tcPr>
            <w:tcW w:w="2196" w:type="dxa"/>
            <w:tcBorders>
              <w:top w:val="single" w:color="auto" w:sz="4" w:space="0"/>
              <w:left w:val="single" w:color="auto" w:sz="4" w:space="0"/>
              <w:bottom w:val="single" w:color="auto" w:sz="4" w:space="0"/>
              <w:right w:val="single" w:color="auto" w:sz="4" w:space="0"/>
            </w:tcBorders>
          </w:tcPr>
          <w:p>
            <w:r>
              <w:t>投标文件响应</w:t>
            </w:r>
          </w:p>
        </w:tc>
        <w:tc>
          <w:tcPr>
            <w:tcW w:w="2423" w:type="dxa"/>
            <w:tcBorders>
              <w:top w:val="single" w:color="auto" w:sz="4" w:space="0"/>
              <w:left w:val="single" w:color="auto" w:sz="4" w:space="0"/>
              <w:bottom w:val="single" w:color="auto" w:sz="4" w:space="0"/>
              <w:right w:val="single" w:color="auto" w:sz="4" w:space="0"/>
            </w:tcBorders>
          </w:tcPr>
          <w:p>
            <w: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bl>
    <w:p>
      <w:pPr>
        <w:pStyle w:val="23"/>
        <w:rPr>
          <w:rFonts w:ascii="仿宋" w:hAnsi="仿宋" w:eastAsia="仿宋"/>
          <w:spacing w:val="20"/>
          <w:kern w:val="0"/>
          <w:sz w:val="30"/>
          <w:szCs w:val="30"/>
        </w:rPr>
      </w:pPr>
      <w: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r/>
    </w:p>
    <w:p>
      <w:pPr>
        <w:snapToGrid w:val="0"/>
        <w:spacing w:before="50" w:after="50"/>
        <w:rPr>
          <w:rFonts w:ascii="仿宋" w:hAnsi="仿宋" w:eastAsia="仿宋"/>
          <w:sz w:val="30"/>
          <w:szCs w:val="30"/>
        </w:rPr>
      </w:pPr>
      <w:r>
        <w:t>授权代表签名：          日 期：</w:t>
      </w:r>
    </w:p>
    <w:p>
      <w:pPr>
        <w:snapToGrid w:val="0"/>
        <w:spacing w:before="50" w:after="120" w:afterLines="50"/>
        <w:jc w:val="left"/>
        <w:rPr>
          <w:rFonts w:ascii="仿宋" w:hAnsi="仿宋" w:eastAsia="仿宋"/>
          <w:sz w:val="30"/>
          <w:szCs w:val="30"/>
        </w:rPr>
      </w:pPr>
      <w:r/>
    </w:p>
    <w:p>
      <w:pPr>
        <w:snapToGrid w:val="0"/>
        <w:spacing w:before="50" w:after="50"/>
        <w:rPr>
          <w:rFonts w:ascii="仿宋" w:hAnsi="仿宋" w:eastAsia="仿宋"/>
          <w:sz w:val="30"/>
          <w:szCs w:val="30"/>
        </w:rPr>
      </w:pPr>
      <w:r>
        <w:t>附件13：</w:t>
      </w:r>
    </w:p>
    <w:p>
      <w:pPr>
        <w:snapToGrid w:val="0"/>
        <w:spacing w:before="50" w:after="120" w:afterLines="50"/>
        <w:jc w:val="center"/>
        <w:rPr>
          <w:rFonts w:ascii="仿宋" w:hAnsi="仿宋" w:eastAsia="仿宋"/>
          <w:b/>
          <w:kern w:val="0"/>
          <w:sz w:val="36"/>
          <w:szCs w:val="36"/>
        </w:rPr>
      </w:pPr>
      <w:r>
        <w:t>项目组人员清单</w:t>
      </w:r>
    </w:p>
    <w:p>
      <w:pPr>
        <w:snapToGrid w:val="0"/>
        <w:spacing w:before="120" w:beforeLines="50" w:after="50"/>
        <w:rPr>
          <w:rFonts w:ascii="仿宋" w:hAnsi="仿宋" w:eastAsia="仿宋"/>
          <w:b/>
          <w:sz w:val="30"/>
          <w:szCs w:val="30"/>
        </w:rPr>
      </w:pPr>
      <w:r/>
    </w:p>
    <w:p>
      <w:pPr>
        <w:pStyle w:val="18"/>
        <w:snapToGrid w:val="0"/>
        <w:rPr>
          <w:rFonts w:ascii="仿宋" w:hAnsi="仿宋" w:eastAsia="仿宋"/>
          <w:sz w:val="30"/>
          <w:szCs w:val="30"/>
          <w:u w:val="single"/>
        </w:rPr>
      </w:pPr>
      <w: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r>
              <w:t>姓名</w:t>
            </w:r>
          </w:p>
        </w:tc>
        <w:tc>
          <w:tcPr>
            <w:tcW w:w="1004" w:type="dxa"/>
            <w:tcBorders>
              <w:top w:val="single" w:color="auto" w:sz="4" w:space="0"/>
              <w:left w:val="single" w:color="auto" w:sz="4" w:space="0"/>
              <w:bottom w:val="single" w:color="auto" w:sz="4" w:space="0"/>
              <w:right w:val="single" w:color="auto" w:sz="4" w:space="0"/>
            </w:tcBorders>
            <w:vAlign w:val="center"/>
          </w:tcPr>
          <w:p>
            <w:r>
              <w:t>职务</w:t>
            </w:r>
          </w:p>
        </w:tc>
        <w:tc>
          <w:tcPr>
            <w:tcW w:w="1663" w:type="dxa"/>
            <w:tcBorders>
              <w:top w:val="single" w:color="auto" w:sz="4" w:space="0"/>
              <w:left w:val="single" w:color="auto" w:sz="4" w:space="0"/>
              <w:bottom w:val="single" w:color="auto" w:sz="4" w:space="0"/>
              <w:right w:val="single" w:color="auto" w:sz="4" w:space="0"/>
            </w:tcBorders>
            <w:vAlign w:val="center"/>
          </w:tcPr>
          <w:p>
            <w:r>
              <w:t>专业技</w:t>
              <w:br/>
              <w:t>术资格</w:t>
            </w:r>
          </w:p>
        </w:tc>
        <w:tc>
          <w:tcPr>
            <w:tcW w:w="1260" w:type="dxa"/>
            <w:tcBorders>
              <w:top w:val="single" w:color="auto" w:sz="4" w:space="0"/>
              <w:left w:val="single" w:color="auto" w:sz="4" w:space="0"/>
              <w:bottom w:val="single" w:color="auto" w:sz="4" w:space="0"/>
              <w:right w:val="single" w:color="auto" w:sz="4" w:space="0"/>
            </w:tcBorders>
            <w:vAlign w:val="center"/>
          </w:tcPr>
          <w:p>
            <w:r>
              <w:t>证书</w:t>
              <w:br/>
              <w:t>编号</w:t>
            </w:r>
          </w:p>
        </w:tc>
        <w:tc>
          <w:tcPr>
            <w:tcW w:w="1800" w:type="dxa"/>
            <w:tcBorders>
              <w:top w:val="single" w:color="auto" w:sz="4" w:space="0"/>
              <w:left w:val="single" w:color="auto" w:sz="4" w:space="0"/>
              <w:bottom w:val="single" w:color="auto" w:sz="4" w:space="0"/>
              <w:right w:val="single" w:color="auto" w:sz="4" w:space="0"/>
            </w:tcBorders>
            <w:vAlign w:val="center"/>
          </w:tcPr>
          <w:p>
            <w: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r>
              <w:t>劳动合</w:t>
              <w:b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r/>
    </w:p>
    <w:p>
      <w:pPr>
        <w:snapToGrid w:val="0"/>
        <w:spacing w:before="50" w:after="50" w:line="460" w:lineRule="exact"/>
        <w:rPr>
          <w:rFonts w:ascii="仿宋" w:hAnsi="仿宋" w:eastAsia="仿宋"/>
          <w:spacing w:val="20"/>
          <w:sz w:val="30"/>
          <w:szCs w:val="30"/>
          <w:u w:val="single"/>
        </w:rPr>
      </w:pPr>
      <w:r>
        <w:t>授权代表签名： 日  期：</w:t>
      </w:r>
    </w:p>
    <w:p>
      <w:pPr>
        <w:snapToGrid w:val="0"/>
        <w:spacing w:before="50" w:after="120" w:afterLines="50" w:line="460" w:lineRule="exact"/>
        <w:jc w:val="left"/>
        <w:rPr>
          <w:rFonts w:ascii="仿宋" w:hAnsi="仿宋" w:eastAsia="仿宋"/>
          <w:sz w:val="30"/>
          <w:szCs w:val="30"/>
        </w:rPr>
      </w:pPr>
      <w:r/>
    </w:p>
    <w:p>
      <w:pPr>
        <w:pStyle w:val="31"/>
        <w:snapToGrid w:val="0"/>
        <w:spacing w:before="120" w:after="120" w:line="460" w:lineRule="exact"/>
        <w:rPr>
          <w:rFonts w:ascii="仿宋" w:hAnsi="仿宋" w:eastAsia="仿宋"/>
          <w:sz w:val="30"/>
          <w:szCs w:val="30"/>
        </w:rPr>
      </w:pPr>
      <w:r/>
    </w:p>
    <w:p>
      <w:pPr>
        <w:snapToGrid w:val="0"/>
        <w:spacing w:before="50"/>
        <w:jc w:val="left"/>
        <w:rPr>
          <w:rFonts w:ascii="仿宋" w:hAnsi="仿宋" w:eastAsia="仿宋"/>
          <w:sz w:val="30"/>
          <w:szCs w:val="30"/>
        </w:rPr>
      </w:pPr>
      <w:r>
        <w:t>附件14：</w:t>
      </w:r>
    </w:p>
    <w:p>
      <w:pPr>
        <w:snapToGrid w:val="0"/>
        <w:spacing w:before="50" w:after="50"/>
        <w:jc w:val="center"/>
        <w:rPr>
          <w:rFonts w:ascii="仿宋" w:hAnsi="仿宋" w:eastAsia="仿宋"/>
          <w:b/>
          <w:sz w:val="36"/>
          <w:szCs w:val="36"/>
        </w:rPr>
      </w:pPr>
      <w:r>
        <w:t>商务响应表</w:t>
      </w:r>
    </w:p>
    <w:p>
      <w:pPr>
        <w:snapToGrid w:val="0"/>
        <w:spacing w:before="50"/>
        <w:jc w:val="center"/>
        <w:rPr>
          <w:rFonts w:ascii="仿宋" w:hAnsi="仿宋" w:eastAsia="仿宋"/>
          <w:b/>
          <w:sz w:val="32"/>
          <w:szCs w:val="32"/>
        </w:rPr>
      </w:pPr>
      <w:r/>
    </w:p>
    <w:p>
      <w:pPr>
        <w:pStyle w:val="18"/>
        <w:snapToGrid w:val="0"/>
        <w:rPr>
          <w:rFonts w:ascii="仿宋" w:hAnsi="仿宋" w:eastAsia="仿宋"/>
          <w:sz w:val="30"/>
          <w:szCs w:val="30"/>
          <w:u w:val="single"/>
        </w:rPr>
      </w:pPr>
      <w:r>
        <w:t>投标人全称（公章）：              标项：</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r>
              <w:t>项目</w:t>
            </w:r>
          </w:p>
        </w:tc>
        <w:tc>
          <w:tcPr>
            <w:tcW w:w="2700" w:type="dxa"/>
            <w:tcBorders>
              <w:top w:val="single" w:color="auto" w:sz="4" w:space="0"/>
              <w:left w:val="single" w:color="auto" w:sz="4" w:space="0"/>
              <w:bottom w:val="single" w:color="auto" w:sz="4" w:space="0"/>
              <w:right w:val="single" w:color="auto" w:sz="4" w:space="0"/>
            </w:tcBorders>
            <w:vAlign w:val="center"/>
          </w:tcPr>
          <w:p>
            <w: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r>
              <w:t>是否</w:t>
              <w:br/>
              <w:t>响应</w:t>
            </w:r>
          </w:p>
        </w:tc>
        <w:tc>
          <w:tcPr>
            <w:tcW w:w="3020" w:type="dxa"/>
            <w:tcBorders>
              <w:top w:val="single" w:color="auto" w:sz="4" w:space="0"/>
              <w:left w:val="single" w:color="auto" w:sz="4" w:space="0"/>
              <w:bottom w:val="single" w:color="auto" w:sz="4" w:space="0"/>
              <w:right w:val="single" w:color="auto" w:sz="4" w:space="0"/>
            </w:tcBorders>
            <w:vAlign w:val="center"/>
          </w:tcPr>
          <w:p>
            <w: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t>授权代表签名：               日期：</w:t>
      </w:r>
    </w:p>
    <w:p>
      <w:pPr>
        <w:widowControl/>
        <w:jc w:val="left"/>
        <w:rPr>
          <w:rFonts w:ascii="仿宋" w:hAnsi="仿宋" w:eastAsia="仿宋"/>
          <w:sz w:val="30"/>
          <w:szCs w:val="30"/>
        </w:rPr>
        <w:sectPr>
          <w:footerReference r:id="rId3" w:type="default"/>
          <w:pgSz w:w="11906" w:h="16838"/>
          <w:pgMar w:top="1474" w:right="1797" w:bottom="1247" w:left="1797" w:header="851" w:footer="851" w:gutter="0"/>
          <w:cols w:space="720" w:num="1"/>
        </w:sectPr>
      </w:pPr>
      <w:r/>
    </w:p>
    <w:p>
      <w:pPr>
        <w:snapToGrid w:val="0"/>
        <w:spacing w:before="50" w:after="120" w:afterLines="50"/>
        <w:jc w:val="left"/>
        <w:rPr>
          <w:rFonts w:ascii="仿宋" w:hAnsi="仿宋" w:eastAsia="仿宋"/>
          <w:sz w:val="30"/>
          <w:szCs w:val="30"/>
        </w:rPr>
      </w:pPr>
      <w:r>
        <w:t>附件15：</w:t>
      </w:r>
    </w:p>
    <w:p>
      <w:pPr>
        <w:snapToGrid w:val="0"/>
        <w:spacing w:before="50" w:after="50"/>
        <w:jc w:val="center"/>
        <w:rPr>
          <w:rFonts w:ascii="仿宋" w:hAnsi="仿宋" w:eastAsia="仿宋"/>
          <w:b/>
          <w:sz w:val="36"/>
          <w:szCs w:val="36"/>
        </w:rPr>
      </w:pPr>
      <w:r>
        <w:t>投标人业绩情况一览表</w:t>
      </w:r>
    </w:p>
    <w:p>
      <w:pPr>
        <w:pStyle w:val="18"/>
        <w:snapToGrid w:val="0"/>
        <w:rPr>
          <w:rFonts w:ascii="仿宋" w:hAnsi="仿宋" w:eastAsia="仿宋"/>
          <w:sz w:val="30"/>
          <w:szCs w:val="30"/>
          <w:u w:val="single"/>
        </w:rPr>
      </w:pPr>
      <w:r>
        <w:t>投标人全称（公章）：</w:t>
      </w:r>
    </w:p>
    <w:tbl>
      <w:tblPr>
        <w:tblStyle w:val="59"/>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r>
              <w:t>采购</w:t>
              <w:b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r>
              <w:t>合同</w:t>
              <w:br/>
              <w:t>金额</w:t>
              <w:b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r>
              <w:t>采购单位联系人及</w:t>
              <w:b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r>
              <w:t>合</w:t>
              <w:br/>
              <w:t>同</w:t>
            </w:r>
          </w:p>
        </w:tc>
        <w:tc>
          <w:tcPr>
            <w:tcW w:w="1080" w:type="dxa"/>
            <w:tcBorders>
              <w:top w:val="single" w:color="auto" w:sz="4" w:space="0"/>
              <w:left w:val="single" w:color="auto" w:sz="4" w:space="0"/>
              <w:bottom w:val="single" w:color="auto" w:sz="4" w:space="0"/>
              <w:right w:val="single" w:color="auto" w:sz="4" w:space="0"/>
            </w:tcBorders>
            <w:vAlign w:val="center"/>
          </w:tcPr>
          <w:p>
            <w:r>
              <w:t>验收</w:t>
              <w:b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r>
              <w:t>备注</w:t>
            </w:r>
          </w:p>
        </w:tc>
        <w:tc>
          <w:tcPr>
            <w:tcW w:w="11340" w:type="dxa"/>
            <w:gridSpan w:val="7"/>
            <w:tcBorders>
              <w:top w:val="single" w:color="auto" w:sz="4" w:space="0"/>
              <w:left w:val="single" w:color="auto" w:sz="4" w:space="0"/>
              <w:bottom w:val="single" w:color="auto" w:sz="4" w:space="0"/>
              <w:right w:val="single" w:color="auto" w:sz="4" w:space="0"/>
            </w:tcBorders>
          </w:tcPr>
          <w:p>
            <w:r>
              <w:t>提供投标人同类项目合同复印件、用户验收报告（如有）。</w:t>
            </w:r>
          </w:p>
        </w:tc>
      </w:tr>
    </w:tbl>
    <w:p>
      <w:pPr>
        <w:pStyle w:val="18"/>
        <w:snapToGrid w:val="0"/>
        <w:spacing w:before="240"/>
        <w:rPr>
          <w:rFonts w:ascii="仿宋" w:hAnsi="仿宋" w:eastAsia="仿宋"/>
          <w:kern w:val="0"/>
          <w:sz w:val="30"/>
          <w:szCs w:val="30"/>
        </w:rPr>
      </w:pPr>
      <w:r>
        <w:t>授权代表签名：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r/>
    </w:p>
    <w:p>
      <w:pPr>
        <w:snapToGrid w:val="0"/>
        <w:spacing w:before="120" w:beforeLines="50" w:after="50"/>
        <w:rPr>
          <w:rFonts w:ascii="仿宋" w:hAnsi="仿宋" w:eastAsia="仿宋"/>
          <w:b/>
          <w:sz w:val="30"/>
          <w:szCs w:val="30"/>
        </w:rPr>
      </w:pPr>
      <w:r>
        <w:t xml:space="preserve">附件16：                                    </w:t>
      </w:r>
    </w:p>
    <w:p>
      <w:pPr>
        <w:spacing w:before="240" w:beforeLines="100" w:line="240" w:lineRule="atLeast"/>
        <w:jc w:val="center"/>
        <w:rPr>
          <w:rFonts w:ascii="仿宋" w:hAnsi="仿宋" w:eastAsia="仿宋"/>
          <w:b/>
          <w:color w:val="FF0000"/>
          <w:spacing w:val="40"/>
          <w:sz w:val="52"/>
          <w:szCs w:val="52"/>
        </w:rPr>
      </w:pPr>
      <w:r>
        <w:t>浙江药科职业大学物业管理服务项目</w:t>
      </w:r>
    </w:p>
    <w:p>
      <w:pPr>
        <w:spacing w:before="240" w:beforeLines="100" w:line="240" w:lineRule="atLeast"/>
        <w:jc w:val="center"/>
        <w:rPr>
          <w:rFonts w:ascii="仿宋" w:hAnsi="仿宋" w:eastAsia="仿宋"/>
          <w:sz w:val="36"/>
          <w:szCs w:val="36"/>
        </w:rPr>
      </w:pPr>
      <w:r>
        <w:t>项目编号：ZZCG2022D-GK-130（标项  ）</w:t>
      </w:r>
    </w:p>
    <w:p>
      <w:pPr>
        <w:spacing w:after="100" w:afterAutospacing="1" w:line="800" w:lineRule="exact"/>
        <w:ind w:right="-108"/>
        <w:jc w:val="center"/>
        <w:rPr>
          <w:rFonts w:ascii="仿宋" w:hAnsi="仿宋" w:eastAsia="仿宋"/>
          <w:b/>
          <w:spacing w:val="40"/>
          <w:sz w:val="84"/>
          <w:szCs w:val="84"/>
        </w:rPr>
      </w:pPr>
      <w:r/>
    </w:p>
    <w:p>
      <w:pPr>
        <w:spacing w:after="100" w:afterAutospacing="1"/>
        <w:ind w:right="-108"/>
        <w:jc w:val="center"/>
        <w:rPr>
          <w:rFonts w:ascii="仿宋" w:hAnsi="仿宋" w:eastAsia="仿宋"/>
          <w:b/>
          <w:spacing w:val="40"/>
          <w:sz w:val="84"/>
          <w:szCs w:val="84"/>
        </w:rPr>
      </w:pPr>
      <w:r>
        <w:t>报</w:t>
      </w:r>
    </w:p>
    <w:p>
      <w:pPr>
        <w:spacing w:after="100" w:afterAutospacing="1"/>
        <w:ind w:right="-108"/>
        <w:jc w:val="center"/>
        <w:rPr>
          <w:rFonts w:ascii="仿宋" w:hAnsi="仿宋" w:eastAsia="仿宋"/>
          <w:b/>
          <w:spacing w:val="40"/>
          <w:sz w:val="84"/>
          <w:szCs w:val="84"/>
        </w:rPr>
      </w:pPr>
      <w:r>
        <w:t>价</w:t>
      </w:r>
    </w:p>
    <w:p>
      <w:pPr>
        <w:spacing w:after="100" w:afterAutospacing="1"/>
        <w:ind w:right="-108"/>
        <w:jc w:val="center"/>
        <w:rPr>
          <w:rFonts w:ascii="仿宋" w:hAnsi="仿宋" w:eastAsia="仿宋"/>
          <w:b/>
          <w:spacing w:val="40"/>
          <w:sz w:val="84"/>
          <w:szCs w:val="84"/>
        </w:rPr>
      </w:pPr>
      <w:r>
        <w:t>文</w:t>
      </w:r>
    </w:p>
    <w:p>
      <w:pPr>
        <w:spacing w:after="100" w:afterAutospacing="1"/>
        <w:ind w:right="-108"/>
        <w:jc w:val="center"/>
        <w:rPr>
          <w:rFonts w:ascii="仿宋" w:hAnsi="仿宋" w:eastAsia="仿宋"/>
          <w:b/>
          <w:spacing w:val="40"/>
          <w:sz w:val="84"/>
          <w:szCs w:val="84"/>
        </w:rPr>
      </w:pPr>
      <w:r>
        <w:t>件</w:t>
      </w:r>
    </w:p>
    <w:p>
      <w:pPr>
        <w:spacing w:line="500" w:lineRule="exact"/>
        <w:ind w:right="532"/>
        <w:jc w:val="center"/>
        <w:rPr>
          <w:rFonts w:ascii="仿宋" w:hAnsi="仿宋" w:eastAsia="仿宋"/>
          <w:sz w:val="36"/>
          <w:szCs w:val="36"/>
        </w:rPr>
      </w:pPr>
      <w:r/>
    </w:p>
    <w:p>
      <w:pPr>
        <w:spacing w:line="500" w:lineRule="exact"/>
        <w:ind w:right="532" w:firstLine="720" w:firstLineChars="200"/>
        <w:rPr>
          <w:rFonts w:ascii="仿宋" w:hAnsi="仿宋" w:eastAsia="仿宋"/>
          <w:sz w:val="36"/>
          <w:szCs w:val="36"/>
        </w:rPr>
      </w:pPr>
      <w:r>
        <w:t>投标人全称：</w:t>
      </w:r>
    </w:p>
    <w:p>
      <w:pPr>
        <w:wordWrap w:val="0"/>
        <w:spacing w:line="500" w:lineRule="exact"/>
        <w:ind w:right="-108" w:firstLine="720" w:firstLineChars="200"/>
        <w:rPr>
          <w:rFonts w:ascii="仿宋" w:hAnsi="仿宋" w:eastAsia="仿宋"/>
          <w:sz w:val="36"/>
          <w:szCs w:val="36"/>
        </w:rPr>
      </w:pPr>
      <w:r>
        <w:t>地    址：</w:t>
      </w:r>
    </w:p>
    <w:p>
      <w:pPr>
        <w:wordWrap w:val="0"/>
        <w:spacing w:line="500" w:lineRule="exact"/>
        <w:ind w:right="-108" w:firstLine="720" w:firstLineChars="200"/>
        <w:rPr>
          <w:rFonts w:ascii="仿宋" w:hAnsi="仿宋" w:eastAsia="仿宋"/>
          <w:sz w:val="36"/>
          <w:szCs w:val="36"/>
        </w:rPr>
      </w:pPr>
      <w:r>
        <w:t>时    间：</w:t>
      </w:r>
    </w:p>
    <w:p>
      <w:pPr>
        <w:snapToGrid w:val="0"/>
        <w:spacing w:before="50" w:after="50"/>
        <w:rPr>
          <w:rFonts w:ascii="仿宋" w:hAnsi="仿宋" w:eastAsia="仿宋"/>
          <w:sz w:val="30"/>
          <w:szCs w:val="30"/>
        </w:rPr>
      </w:pPr>
      <w:r/>
    </w:p>
    <w:p>
      <w:pPr>
        <w:pStyle w:val="34"/>
        <w:snapToGrid w:val="0"/>
        <w:ind w:left="0" w:leftChars="0"/>
        <w:rPr>
          <w:rFonts w:ascii="仿宋" w:hAnsi="仿宋" w:eastAsia="仿宋"/>
          <w:b/>
          <w:sz w:val="36"/>
          <w:szCs w:val="36"/>
        </w:rPr>
      </w:pPr>
      <w:r>
        <w:t>3、报价文件目录</w:t>
      </w:r>
    </w:p>
    <w:p>
      <w:pPr>
        <w:rPr>
          <w:rFonts w:ascii="仿宋" w:hAnsi="仿宋" w:eastAsia="仿宋"/>
        </w:rPr>
      </w:pPr>
      <w:r/>
    </w:p>
    <w:p>
      <w:pPr>
        <w:pStyle w:val="34"/>
        <w:snapToGrid w:val="0"/>
        <w:spacing w:line="460" w:lineRule="exact"/>
        <w:ind w:left="0" w:leftChars="0"/>
        <w:rPr>
          <w:rFonts w:ascii="仿宋" w:hAnsi="仿宋" w:eastAsia="仿宋"/>
          <w:sz w:val="30"/>
          <w:szCs w:val="30"/>
        </w:rPr>
      </w:pPr>
      <w:r>
        <w:t>（1）开标一览表（见附件17）；</w:t>
      </w:r>
    </w:p>
    <w:p>
      <w:pPr>
        <w:pStyle w:val="34"/>
        <w:snapToGrid w:val="0"/>
        <w:spacing w:line="460" w:lineRule="exact"/>
        <w:ind w:left="0" w:leftChars="0"/>
        <w:rPr>
          <w:rFonts w:ascii="仿宋" w:hAnsi="仿宋" w:eastAsia="仿宋"/>
          <w:sz w:val="30"/>
          <w:szCs w:val="30"/>
        </w:rPr>
      </w:pPr>
      <w:r>
        <w:t>（2）投标人针对报价需要说明的其他文件和说明（格式自拟）；</w:t>
      </w:r>
    </w:p>
    <w:p>
      <w:pPr>
        <w:pStyle w:val="31"/>
        <w:snapToGrid w:val="0"/>
        <w:spacing w:before="120" w:after="120" w:line="240" w:lineRule="auto"/>
        <w:jc w:val="left"/>
        <w:rPr>
          <w:rFonts w:ascii="仿宋" w:hAnsi="仿宋" w:eastAsia="仿宋"/>
          <w:b/>
          <w:sz w:val="36"/>
          <w:szCs w:val="36"/>
        </w:rPr>
      </w:pPr>
      <w:r>
        <w:t>附件17：</w:t>
      </w:r>
    </w:p>
    <w:p>
      <w:pPr>
        <w:pStyle w:val="31"/>
        <w:snapToGrid w:val="0"/>
        <w:spacing w:before="120" w:after="120" w:line="240" w:lineRule="auto"/>
        <w:ind w:firstLine="1084" w:firstLineChars="300"/>
        <w:jc w:val="center"/>
        <w:rPr>
          <w:rFonts w:hAnsi="宋体"/>
          <w:b/>
          <w:sz w:val="36"/>
          <w:szCs w:val="36"/>
        </w:rPr>
      </w:pPr>
      <w:r>
        <w:t>开 标 一览 表</w:t>
      </w:r>
    </w:p>
    <w:p>
      <w:pPr>
        <w:pStyle w:val="31"/>
        <w:snapToGrid w:val="0"/>
        <w:spacing w:before="120" w:after="120" w:line="240" w:lineRule="auto"/>
        <w:ind w:firstLine="1084" w:firstLineChars="300"/>
        <w:jc w:val="center"/>
        <w:rPr>
          <w:rFonts w:ascii="仿宋" w:hAnsi="仿宋" w:eastAsia="仿宋"/>
          <w:b/>
          <w:sz w:val="36"/>
          <w:szCs w:val="36"/>
        </w:rPr>
      </w:pPr>
      <w:r/>
    </w:p>
    <w:p>
      <w:pPr>
        <w:snapToGrid w:val="0"/>
        <w:rPr>
          <w:rFonts w:ascii="仿宋" w:hAnsi="仿宋" w:eastAsia="仿宋"/>
          <w:sz w:val="28"/>
          <w:szCs w:val="28"/>
          <w:u w:val="single"/>
        </w:rPr>
      </w:pPr>
      <w:r>
        <w:t>投标人全称（公章）：</w:t>
      </w:r>
    </w:p>
    <w:p>
      <w:pPr>
        <w:snapToGrid w:val="0"/>
        <w:rPr>
          <w:rFonts w:ascii="仿宋" w:hAnsi="仿宋" w:eastAsia="仿宋"/>
          <w:sz w:val="28"/>
          <w:szCs w:val="28"/>
        </w:rPr>
      </w:pPr>
      <w:r/>
    </w:p>
    <w:p>
      <w:pPr>
        <w:snapToGrid w:val="0"/>
        <w:rPr>
          <w:rFonts w:ascii="仿宋" w:hAnsi="仿宋" w:eastAsia="仿宋"/>
          <w:b/>
          <w:sz w:val="28"/>
          <w:szCs w:val="28"/>
          <w:u w:val="single"/>
        </w:rPr>
      </w:pPr>
      <w:r>
        <w:t>招标编号及标项：</w:t>
      </w:r>
    </w:p>
    <w:p>
      <w:pPr>
        <w:snapToGrid w:val="0"/>
        <w:rPr>
          <w:rFonts w:ascii="仿宋" w:hAnsi="仿宋" w:eastAsia="仿宋"/>
          <w:b/>
          <w:sz w:val="24"/>
          <w:szCs w:val="24"/>
          <w:u w:val="single"/>
        </w:rPr>
      </w:pPr>
      <w: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r>
              <w:t>货物</w:t>
              <w:br/>
              <w:t>名称</w:t>
            </w:r>
          </w:p>
        </w:tc>
        <w:tc>
          <w:tcPr>
            <w:tcW w:w="672" w:type="dxa"/>
            <w:vMerge w:val="restart"/>
            <w:tcBorders>
              <w:top w:val="single" w:color="auto" w:sz="4" w:space="0"/>
              <w:left w:val="single" w:color="auto" w:sz="4" w:space="0"/>
              <w:bottom w:val="nil"/>
              <w:right w:val="single" w:color="auto" w:sz="4" w:space="0"/>
            </w:tcBorders>
            <w:vAlign w:val="center"/>
          </w:tcPr>
          <w:p>
            <w:r>
              <w:t>品牌</w:t>
            </w:r>
          </w:p>
        </w:tc>
        <w:tc>
          <w:tcPr>
            <w:tcW w:w="852" w:type="dxa"/>
            <w:vMerge w:val="restart"/>
            <w:tcBorders>
              <w:top w:val="single" w:color="auto" w:sz="4" w:space="0"/>
              <w:left w:val="single" w:color="auto" w:sz="4" w:space="0"/>
              <w:bottom w:val="nil"/>
              <w:right w:val="single" w:color="auto" w:sz="4" w:space="0"/>
            </w:tcBorders>
            <w:vAlign w:val="center"/>
          </w:tcPr>
          <w:p>
            <w:r>
              <w:t>产地</w:t>
            </w:r>
          </w:p>
        </w:tc>
        <w:tc>
          <w:tcPr>
            <w:tcW w:w="1029" w:type="dxa"/>
            <w:vMerge w:val="restart"/>
            <w:tcBorders>
              <w:top w:val="single" w:color="auto" w:sz="4" w:space="0"/>
              <w:left w:val="single" w:color="auto" w:sz="4" w:space="0"/>
              <w:bottom w:val="nil"/>
              <w:right w:val="single" w:color="auto" w:sz="4" w:space="0"/>
            </w:tcBorders>
            <w:vAlign w:val="center"/>
          </w:tcPr>
          <w:p>
            <w:r>
              <w:t>规格</w:t>
              <w:br/>
              <w:t>型号</w:t>
            </w:r>
          </w:p>
        </w:tc>
        <w:tc>
          <w:tcPr>
            <w:tcW w:w="957" w:type="dxa"/>
            <w:vMerge w:val="restart"/>
            <w:tcBorders>
              <w:top w:val="single" w:color="auto" w:sz="4" w:space="0"/>
              <w:left w:val="single" w:color="auto" w:sz="4" w:space="0"/>
              <w:bottom w:val="nil"/>
              <w:right w:val="single" w:color="auto" w:sz="4" w:space="0"/>
            </w:tcBorders>
            <w:vAlign w:val="center"/>
          </w:tcPr>
          <w:p>
            <w:r>
              <w:t>数量</w:t>
            </w:r>
          </w:p>
        </w:tc>
        <w:tc>
          <w:tcPr>
            <w:tcW w:w="852" w:type="dxa"/>
            <w:vMerge w:val="restart"/>
            <w:tcBorders>
              <w:top w:val="single" w:color="auto" w:sz="4" w:space="0"/>
              <w:left w:val="single" w:color="auto" w:sz="4" w:space="0"/>
              <w:bottom w:val="nil"/>
              <w:right w:val="single" w:color="auto" w:sz="4" w:space="0"/>
            </w:tcBorders>
            <w:vAlign w:val="center"/>
          </w:tcPr>
          <w:p>
            <w:r>
              <w:t>单价</w:t>
              <w:br/>
              <w:t>（元）</w:t>
            </w:r>
          </w:p>
        </w:tc>
        <w:tc>
          <w:tcPr>
            <w:tcW w:w="891" w:type="dxa"/>
            <w:vMerge w:val="restart"/>
            <w:tcBorders>
              <w:top w:val="single" w:color="auto" w:sz="4" w:space="0"/>
              <w:left w:val="single" w:color="auto" w:sz="4" w:space="0"/>
              <w:bottom w:val="nil"/>
              <w:right w:val="single" w:color="auto" w:sz="4" w:space="0"/>
            </w:tcBorders>
            <w:vAlign w:val="center"/>
          </w:tcPr>
          <w:p>
            <w: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r>
              <w:t>是否中小企业</w:t>
            </w:r>
          </w:p>
        </w:tc>
        <w:tc>
          <w:tcPr>
            <w:tcW w:w="708" w:type="dxa"/>
            <w:tcBorders>
              <w:top w:val="single" w:color="auto" w:sz="4" w:space="0"/>
              <w:left w:val="single" w:color="auto" w:sz="4" w:space="0"/>
              <w:bottom w:val="nil"/>
              <w:right w:val="single" w:color="auto" w:sz="4" w:space="0"/>
            </w:tcBorders>
            <w:vAlign w:val="center"/>
          </w:tcPr>
          <w:p>
            <w:r>
              <w:t>企业全称</w:t>
            </w:r>
          </w:p>
        </w:tc>
        <w:tc>
          <w:tcPr>
            <w:tcW w:w="1134" w:type="dxa"/>
            <w:tcBorders>
              <w:top w:val="single" w:color="auto" w:sz="4" w:space="0"/>
              <w:left w:val="single" w:color="auto" w:sz="4" w:space="0"/>
              <w:bottom w:val="nil"/>
              <w:right w:val="single" w:color="auto" w:sz="4" w:space="0"/>
            </w:tcBorders>
            <w:vAlign w:val="center"/>
          </w:tcPr>
          <w:p>
            <w: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r>
              <w:t>1.此表应按项目的明细情况列项填报,在填写时，如上表不适合本项目的实际情况，可在确保投标明细内容完整的情况下，根据上表格式自行划表填写。</w:t>
              <w:br/>
              <w:t>2.报价要求：项目费用包括项目实施所需的工程费、工时费、服务费、运输费、安装调试费、税费及其他一切费用。</w:t>
              <w:br/>
              <w:t>3.报价中不允许出现报价优惠等字样（明细出现“0”元，视同赠送）,投标总价合计金额应与明细报价汇总相等。</w:t>
              <w:br/>
              <w:t>4.开标时，招标方在电子交易平台公开投标人的报价信息，投标人对报价信息进行确认。投标人对报价信息不予确认的不影响后续评标过程。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r/>
    </w:p>
    <w:p>
      <w:pPr>
        <w:snapToGrid w:val="0"/>
        <w:spacing w:line="400" w:lineRule="exact"/>
        <w:jc w:val="left"/>
        <w:rPr>
          <w:rFonts w:ascii="仿宋" w:hAnsi="仿宋" w:eastAsia="仿宋"/>
          <w:sz w:val="28"/>
          <w:szCs w:val="28"/>
        </w:rPr>
      </w:pPr>
      <w:r>
        <w:t>授权代表签名：                  日期：</w:t>
      </w:r>
    </w:p>
    <w:p>
      <w:pPr>
        <w:snapToGrid w:val="0"/>
        <w:spacing w:line="360" w:lineRule="auto"/>
        <w:rPr>
          <w:rFonts w:ascii="仿宋" w:hAnsi="仿宋" w:eastAsia="仿宋"/>
          <w:sz w:val="30"/>
          <w:szCs w:val="30"/>
        </w:rPr>
      </w:pPr>
      <w:r/>
    </w:p>
    <w:p>
      <w:pPr>
        <w:pStyle w:val="31"/>
        <w:snapToGrid w:val="0"/>
        <w:spacing w:before="120" w:after="120" w:line="240" w:lineRule="auto"/>
        <w:ind w:firstLine="1084" w:firstLineChars="300"/>
        <w:jc w:val="center"/>
        <w:rPr>
          <w:rFonts w:hAnsi="宋体"/>
          <w:b/>
          <w:sz w:val="36"/>
          <w:szCs w:val="36"/>
        </w:rPr>
      </w:pPr>
      <w:r>
        <w:t>开 标 一览 表</w:t>
      </w:r>
    </w:p>
    <w:p>
      <w:pPr>
        <w:pStyle w:val="31"/>
        <w:snapToGrid w:val="0"/>
        <w:spacing w:before="120" w:after="120" w:line="240" w:lineRule="auto"/>
        <w:ind w:firstLine="1084" w:firstLineChars="300"/>
        <w:jc w:val="center"/>
        <w:rPr>
          <w:rFonts w:ascii="仿宋" w:hAnsi="仿宋" w:eastAsia="仿宋"/>
          <w:b/>
          <w:sz w:val="36"/>
          <w:szCs w:val="36"/>
        </w:rPr>
      </w:pPr>
      <w:r/>
    </w:p>
    <w:p>
      <w:pPr>
        <w:snapToGrid w:val="0"/>
        <w:rPr>
          <w:rFonts w:ascii="仿宋" w:hAnsi="仿宋" w:eastAsia="仿宋"/>
          <w:sz w:val="28"/>
          <w:szCs w:val="28"/>
          <w:u w:val="single"/>
        </w:rPr>
      </w:pPr>
      <w:r>
        <w:t>投标人全称（公章）：</w:t>
      </w:r>
    </w:p>
    <w:p>
      <w:pPr>
        <w:snapToGrid w:val="0"/>
        <w:rPr>
          <w:rFonts w:ascii="仿宋" w:hAnsi="仿宋" w:eastAsia="仿宋"/>
          <w:sz w:val="28"/>
          <w:szCs w:val="28"/>
        </w:rPr>
      </w:pPr>
      <w:r/>
    </w:p>
    <w:p>
      <w:pPr>
        <w:snapToGrid w:val="0"/>
        <w:rPr>
          <w:rFonts w:ascii="仿宋" w:hAnsi="仿宋" w:eastAsia="仿宋"/>
          <w:b/>
          <w:sz w:val="28"/>
          <w:szCs w:val="28"/>
          <w:u w:val="single"/>
        </w:rPr>
      </w:pPr>
      <w:r>
        <w:t>招标编号及标项：</w:t>
      </w:r>
    </w:p>
    <w:p>
      <w:pPr>
        <w:snapToGrid w:val="0"/>
        <w:spacing w:line="360" w:lineRule="auto"/>
        <w:rPr>
          <w:rFonts w:ascii="仿宋" w:hAnsi="仿宋" w:eastAsia="仿宋"/>
          <w:sz w:val="30"/>
          <w:szCs w:val="30"/>
        </w:rPr>
      </w:pPr>
      <w: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r>
              <w:t>服务内容</w:t>
            </w:r>
          </w:p>
        </w:tc>
        <w:tc>
          <w:tcPr>
            <w:tcW w:w="1845" w:type="dxa"/>
            <w:vMerge w:val="restart"/>
            <w:tcBorders>
              <w:top w:val="single" w:color="auto" w:sz="4" w:space="0"/>
              <w:left w:val="single" w:color="auto" w:sz="4" w:space="0"/>
              <w:bottom w:val="nil"/>
              <w:right w:val="single" w:color="auto" w:sz="4" w:space="0"/>
            </w:tcBorders>
            <w:vAlign w:val="center"/>
          </w:tcPr>
          <w:p>
            <w:r>
              <w:t>服务人员数量</w:t>
            </w:r>
          </w:p>
        </w:tc>
        <w:tc>
          <w:tcPr>
            <w:tcW w:w="957" w:type="dxa"/>
            <w:vMerge w:val="restart"/>
            <w:tcBorders>
              <w:top w:val="single" w:color="auto" w:sz="4" w:space="0"/>
              <w:left w:val="single" w:color="auto" w:sz="4" w:space="0"/>
              <w:bottom w:val="nil"/>
              <w:right w:val="single" w:color="auto" w:sz="4" w:space="0"/>
            </w:tcBorders>
            <w:vAlign w:val="center"/>
          </w:tcPr>
          <w:p>
            <w:r>
              <w:t>工作量</w:t>
            </w:r>
          </w:p>
        </w:tc>
        <w:tc>
          <w:tcPr>
            <w:tcW w:w="852" w:type="dxa"/>
            <w:vMerge w:val="restart"/>
            <w:tcBorders>
              <w:top w:val="single" w:color="auto" w:sz="4" w:space="0"/>
              <w:left w:val="single" w:color="auto" w:sz="4" w:space="0"/>
              <w:bottom w:val="nil"/>
              <w:right w:val="single" w:color="auto" w:sz="4" w:space="0"/>
            </w:tcBorders>
            <w:vAlign w:val="center"/>
          </w:tcPr>
          <w:p>
            <w:r>
              <w:t>单价</w:t>
            </w:r>
          </w:p>
        </w:tc>
        <w:tc>
          <w:tcPr>
            <w:tcW w:w="891" w:type="dxa"/>
            <w:vMerge w:val="restart"/>
            <w:tcBorders>
              <w:top w:val="single" w:color="auto" w:sz="4" w:space="0"/>
              <w:left w:val="single" w:color="auto" w:sz="4" w:space="0"/>
              <w:bottom w:val="nil"/>
              <w:right w:val="single" w:color="auto" w:sz="4" w:space="0"/>
            </w:tcBorders>
            <w:vAlign w:val="center"/>
          </w:tcPr>
          <w:p>
            <w:r>
              <w:t>总价</w:t>
            </w:r>
          </w:p>
        </w:tc>
        <w:tc>
          <w:tcPr>
            <w:tcW w:w="2831" w:type="dxa"/>
            <w:gridSpan w:val="3"/>
            <w:tcBorders>
              <w:top w:val="single" w:color="auto" w:sz="4" w:space="0"/>
              <w:left w:val="single" w:color="auto" w:sz="4" w:space="0"/>
              <w:bottom w:val="single" w:color="auto" w:sz="4" w:space="0"/>
              <w:right w:val="single" w:color="auto" w:sz="4" w:space="0"/>
            </w:tcBorders>
            <w:vAlign w:val="center"/>
          </w:tcPr>
          <w:p>
            <w: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r>
              <w:t>是否中小企业承接</w:t>
            </w:r>
          </w:p>
        </w:tc>
        <w:tc>
          <w:tcPr>
            <w:tcW w:w="708" w:type="dxa"/>
            <w:tcBorders>
              <w:top w:val="single" w:color="auto" w:sz="4" w:space="0"/>
              <w:left w:val="single" w:color="auto" w:sz="4" w:space="0"/>
              <w:bottom w:val="nil"/>
              <w:right w:val="single" w:color="auto" w:sz="4" w:space="0"/>
            </w:tcBorders>
            <w:vAlign w:val="center"/>
          </w:tcPr>
          <w:p>
            <w:r>
              <w:t>企业全称</w:t>
            </w:r>
          </w:p>
        </w:tc>
        <w:tc>
          <w:tcPr>
            <w:tcW w:w="1134" w:type="dxa"/>
            <w:tcBorders>
              <w:top w:val="single" w:color="auto" w:sz="4" w:space="0"/>
              <w:left w:val="single" w:color="auto" w:sz="4" w:space="0"/>
              <w:bottom w:val="nil"/>
              <w:right w:val="single" w:color="auto" w:sz="4" w:space="0"/>
            </w:tcBorders>
            <w:vAlign w:val="center"/>
          </w:tcPr>
          <w:p>
            <w: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r>
              <w:t>1.此表应按项目的明细情况列项填报,在填写时，如上表不适合本项目的实际情况，可在确保投标明细内容完整的情况下，根据上表格式自行划表填写。</w:t>
              <w:br/>
              <w:t>2.报价要求：项目费用包括项目实施所需的工程费、工时费、服务费、运输费、安装调试费、税费及其他一切费用。</w:t>
              <w:br/>
              <w:t>3.报价中不允许出现报价优惠等字样（明细出现“0”元，视同赠送）,投标总价合计金额应与明细报价汇总相等。</w:t>
              <w:br/>
              <w:t>4.开标时，招标方在电子交易平台公开投标人的报价信息，投标人对报价信息进行确认。投标人对报价信息不予确认的不影响后续评标过程。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r/>
    </w:p>
    <w:p>
      <w:pPr>
        <w:snapToGrid w:val="0"/>
        <w:spacing w:line="400" w:lineRule="exact"/>
        <w:jc w:val="left"/>
        <w:rPr>
          <w:rFonts w:ascii="仿宋" w:hAnsi="仿宋" w:eastAsia="仿宋"/>
          <w:sz w:val="28"/>
          <w:szCs w:val="28"/>
        </w:rPr>
      </w:pPr>
      <w:r>
        <w:t>授权代表签名：               日期：</w:t>
      </w:r>
    </w:p>
    <w:p>
      <w:pPr>
        <w:snapToGrid w:val="0"/>
        <w:spacing w:line="360" w:lineRule="auto"/>
        <w:rPr>
          <w:rFonts w:ascii="仿宋" w:hAnsi="仿宋" w:eastAsia="仿宋"/>
          <w:sz w:val="30"/>
          <w:szCs w:val="30"/>
        </w:rPr>
      </w:pPr>
      <w:r/>
    </w:p>
    <w:p>
      <w:pPr>
        <w:pStyle w:val="31"/>
        <w:snapToGrid w:val="0"/>
        <w:spacing w:before="120" w:after="120" w:line="240" w:lineRule="auto"/>
        <w:jc w:val="center"/>
        <w:rPr>
          <w:rFonts w:hAnsi="宋体"/>
          <w:b/>
          <w:sz w:val="36"/>
          <w:szCs w:val="36"/>
        </w:rPr>
      </w:pPr>
      <w:r>
        <w:t>开 标 一览表</w:t>
      </w:r>
    </w:p>
    <w:p>
      <w:pPr>
        <w:pStyle w:val="31"/>
        <w:snapToGrid w:val="0"/>
        <w:spacing w:before="120" w:after="120" w:line="240" w:lineRule="auto"/>
        <w:ind w:firstLine="1084" w:firstLineChars="300"/>
        <w:jc w:val="center"/>
        <w:rPr>
          <w:rFonts w:ascii="仿宋" w:hAnsi="仿宋" w:eastAsia="仿宋"/>
          <w:b/>
          <w:sz w:val="36"/>
          <w:szCs w:val="36"/>
        </w:rPr>
      </w:pPr>
      <w:r/>
    </w:p>
    <w:p>
      <w:pPr>
        <w:snapToGrid w:val="0"/>
        <w:rPr>
          <w:rFonts w:ascii="仿宋" w:hAnsi="仿宋" w:eastAsia="仿宋"/>
          <w:sz w:val="28"/>
          <w:szCs w:val="28"/>
          <w:u w:val="single"/>
        </w:rPr>
      </w:pPr>
      <w:r>
        <w:t>投标人全称（公章）：</w:t>
      </w:r>
    </w:p>
    <w:p>
      <w:pPr>
        <w:snapToGrid w:val="0"/>
        <w:rPr>
          <w:rFonts w:ascii="仿宋" w:hAnsi="仿宋" w:eastAsia="仿宋"/>
          <w:sz w:val="28"/>
          <w:szCs w:val="28"/>
        </w:rPr>
      </w:pPr>
      <w:r/>
    </w:p>
    <w:p>
      <w:pPr>
        <w:snapToGrid w:val="0"/>
        <w:rPr>
          <w:rFonts w:ascii="仿宋" w:hAnsi="仿宋" w:eastAsia="仿宋"/>
          <w:b/>
          <w:sz w:val="28"/>
          <w:szCs w:val="28"/>
          <w:u w:val="single"/>
        </w:rPr>
      </w:pPr>
      <w:r>
        <w:t>招标编号及标项：</w:t>
      </w:r>
    </w:p>
    <w:p>
      <w:pPr>
        <w:snapToGrid w:val="0"/>
        <w:rPr>
          <w:rFonts w:ascii="仿宋" w:hAnsi="仿宋" w:eastAsia="仿宋"/>
          <w:b/>
          <w:sz w:val="24"/>
          <w:szCs w:val="24"/>
          <w:u w:val="single"/>
        </w:rPr>
      </w:pPr>
      <w:r/>
    </w:p>
    <w:tbl>
      <w:tblPr>
        <w:tblStyle w:val="59"/>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bottom w:val="single" w:color="auto" w:sz="4" w:space="0"/>
            </w:tcBorders>
            <w:vAlign w:val="center"/>
          </w:tcPr>
          <w:p>
            <w: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bottom w:val="nil"/>
              <w:right w:val="single" w:color="auto" w:sz="4" w:space="0"/>
            </w:tcBorders>
            <w:vAlign w:val="center"/>
          </w:tcPr>
          <w:p>
            <w:r>
              <w:t>工程项目名称</w:t>
            </w:r>
          </w:p>
        </w:tc>
        <w:tc>
          <w:tcPr>
            <w:tcW w:w="997" w:type="dxa"/>
            <w:vMerge w:val="restart"/>
            <w:tcBorders>
              <w:top w:val="single" w:color="auto" w:sz="4" w:space="0"/>
              <w:left w:val="single" w:color="auto" w:sz="4" w:space="0"/>
              <w:right w:val="single" w:color="auto" w:sz="4" w:space="0"/>
            </w:tcBorders>
            <w:vAlign w:val="center"/>
          </w:tcPr>
          <w:p>
            <w:r>
              <w:t>施工范围</w:t>
            </w:r>
          </w:p>
        </w:tc>
        <w:tc>
          <w:tcPr>
            <w:tcW w:w="992" w:type="dxa"/>
            <w:vMerge w:val="restart"/>
            <w:tcBorders>
              <w:top w:val="single" w:color="auto" w:sz="4" w:space="0"/>
              <w:left w:val="single" w:color="auto" w:sz="4" w:space="0"/>
              <w:bottom w:val="nil"/>
              <w:right w:val="single" w:color="auto" w:sz="4" w:space="0"/>
            </w:tcBorders>
            <w:vAlign w:val="center"/>
          </w:tcPr>
          <w:p>
            <w:r>
              <w:t>具体内容</w:t>
            </w:r>
          </w:p>
        </w:tc>
        <w:tc>
          <w:tcPr>
            <w:tcW w:w="992" w:type="dxa"/>
            <w:vMerge w:val="restart"/>
            <w:tcBorders>
              <w:top w:val="single" w:color="auto" w:sz="4" w:space="0"/>
              <w:left w:val="single" w:color="auto" w:sz="4" w:space="0"/>
              <w:bottom w:val="nil"/>
              <w:right w:val="single" w:color="auto" w:sz="4" w:space="0"/>
            </w:tcBorders>
            <w:vAlign w:val="center"/>
          </w:tcPr>
          <w:p>
            <w:r>
              <w:t>施工工期</w:t>
            </w:r>
          </w:p>
        </w:tc>
        <w:tc>
          <w:tcPr>
            <w:tcW w:w="851" w:type="dxa"/>
            <w:vMerge w:val="restart"/>
            <w:tcBorders>
              <w:top w:val="single" w:color="auto" w:sz="4" w:space="0"/>
              <w:left w:val="single" w:color="auto" w:sz="4" w:space="0"/>
              <w:bottom w:val="nil"/>
              <w:right w:val="single" w:color="auto" w:sz="4" w:space="0"/>
            </w:tcBorders>
            <w:vAlign w:val="center"/>
          </w:tcPr>
          <w:p>
            <w:r>
              <w:t>单价（元）</w:t>
            </w:r>
          </w:p>
        </w:tc>
        <w:tc>
          <w:tcPr>
            <w:tcW w:w="1421" w:type="dxa"/>
            <w:vMerge w:val="restart"/>
            <w:tcBorders>
              <w:top w:val="single" w:color="auto" w:sz="4" w:space="0"/>
              <w:left w:val="single" w:color="auto" w:sz="4" w:space="0"/>
              <w:bottom w:val="nil"/>
              <w:right w:val="single" w:color="auto" w:sz="4" w:space="0"/>
            </w:tcBorders>
            <w:vAlign w:val="center"/>
          </w:tcPr>
          <w:p>
            <w:r>
              <w:t>总价（元）</w:t>
            </w:r>
          </w:p>
        </w:tc>
        <w:tc>
          <w:tcPr>
            <w:tcW w:w="2696" w:type="dxa"/>
            <w:gridSpan w:val="2"/>
            <w:tcBorders>
              <w:top w:val="single" w:color="auto" w:sz="4" w:space="0"/>
              <w:left w:val="single" w:color="auto" w:sz="4" w:space="0"/>
              <w:bottom w:val="single" w:color="auto" w:sz="4" w:space="0"/>
            </w:tcBorders>
            <w:vAlign w:val="center"/>
          </w:tcPr>
          <w:p>
            <w: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r>
              <w:t>是否中小企业</w:t>
            </w:r>
          </w:p>
        </w:tc>
        <w:tc>
          <w:tcPr>
            <w:tcW w:w="1419" w:type="dxa"/>
            <w:tcBorders>
              <w:top w:val="single" w:color="auto" w:sz="4" w:space="0"/>
              <w:left w:val="single" w:color="auto" w:sz="4" w:space="0"/>
              <w:bottom w:val="nil"/>
            </w:tcBorders>
            <w:vAlign w:val="center"/>
          </w:tcPr>
          <w:p>
            <w: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bottom w:val="single" w:color="auto" w:sz="4" w:space="0"/>
              <w:right w:val="single" w:color="auto" w:sz="4" w:space="0"/>
            </w:tcBorders>
            <w:vAlign w:val="center"/>
          </w:tcPr>
          <w:p>
            <w: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bottom w:val="single" w:color="auto" w:sz="4" w:space="0"/>
            </w:tcBorders>
            <w:vAlign w:val="center"/>
          </w:tcPr>
          <w:p>
            <w: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bottom w:val="single" w:color="auto" w:sz="4" w:space="0"/>
              <w:right w:val="single" w:color="auto" w:sz="4" w:space="0"/>
            </w:tcBorders>
            <w:vAlign w:val="center"/>
          </w:tcPr>
          <w:p>
            <w:r>
              <w:t>备注</w:t>
            </w:r>
          </w:p>
        </w:tc>
        <w:tc>
          <w:tcPr>
            <w:tcW w:w="8512" w:type="dxa"/>
            <w:gridSpan w:val="8"/>
            <w:tcBorders>
              <w:top w:val="single" w:color="auto" w:sz="4" w:space="0"/>
              <w:left w:val="single" w:color="auto" w:sz="4" w:space="0"/>
              <w:bottom w:val="single" w:color="auto" w:sz="4" w:space="0"/>
            </w:tcBorders>
            <w:vAlign w:val="center"/>
          </w:tcPr>
          <w:p>
            <w:r>
              <w:t>1.此表应按项目的明细情况列项填报,在填写时，如上表不适合本项目的实际情况，可在确保投标明细内容完整的情况下，根据上表格式自行划表填写。</w:t>
              <w:br/>
              <w:t>2.报价要求：项目费用包括项目实施所需的工程费、工时费、服务费、运输费、安装调试费、税费及其他一切费用。</w:t>
              <w:br/>
              <w:t>3.报价中不允许出现报价优惠等字样（明细出现“0”元，视同赠送）,投标总价合计金额应与明细报价汇总相等。</w:t>
              <w:br/>
              <w:t>4.开标时，现场工作人员当众拆封，并宣布投标人名称、投标总价合计金额。</w:t>
            </w:r>
          </w:p>
        </w:tc>
      </w:tr>
    </w:tbl>
    <w:p>
      <w:pPr>
        <w:snapToGrid w:val="0"/>
        <w:spacing w:line="400" w:lineRule="exact"/>
        <w:jc w:val="left"/>
        <w:rPr>
          <w:rFonts w:ascii="仿宋" w:hAnsi="仿宋" w:eastAsia="仿宋"/>
          <w:sz w:val="28"/>
          <w:szCs w:val="28"/>
        </w:rPr>
      </w:pPr>
      <w:r>
        <w:t>授权代表签名：      日期：</w:t>
      </w:r>
    </w:p>
    <w:p>
      <w:pPr>
        <w:widowControl/>
        <w:tabs>
          <w:tab w:val="center" w:pos="4755"/>
          <w:tab w:val="right" w:pos="9070"/>
        </w:tabs>
        <w:jc w:val="left"/>
        <w:rPr>
          <w:rFonts w:ascii="宋体" w:cs="Arial"/>
          <w:kern w:val="0"/>
          <w:sz w:val="18"/>
          <w:szCs w:val="18"/>
        </w:rPr>
      </w:pPr>
      <w:r/>
    </w:p>
    <w:p>
      <w:pPr>
        <w:pStyle w:val="40"/>
      </w:pPr>
      <w:r/>
    </w:p>
    <w:p>
      <w:r/>
    </w:p>
    <w:p>
      <w:pPr>
        <w:snapToGrid w:val="0"/>
        <w:spacing w:line="360" w:lineRule="auto"/>
        <w:rPr>
          <w:rFonts w:ascii="仿宋" w:hAnsi="仿宋" w:eastAsia="仿宋"/>
          <w:sz w:val="30"/>
          <w:szCs w:val="30"/>
        </w:rPr>
      </w:pPr>
      <w:r/>
    </w:p>
    <w:p>
      <w:pPr>
        <w:rPr>
          <w:rFonts w:hint="eastAsia"/>
        </w:rPr>
      </w:pPr>
      <w:r/>
    </w:p>
    <w:p>
      <w:r/>
    </w:p>
    <w:p>
      <w:r/>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Print"/>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 PAGE   \* MERGEFORMAT </w:instrText>
    </w:r>
    <w:r>
      <w:fldChar w:fldCharType="separate"/>
    </w:r>
    <w:r>
      <w:rPr>
        <w:lang w:val="zh-CN"/>
      </w:rPr>
      <w:t>113</w:t>
    </w:r>
    <w:r>
      <w:rPr>
        <w:lang w:val="zh-CN"/>
      </w:rP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118</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0517980"/>
    <w:multiLevelType w:val="multilevel"/>
    <w:tmpl w:val="50517980"/>
    <w:lvl w:ilvl="0" w:tentative="0">
      <w:start w:val="7"/>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3">
    <w:nsid w:val="53966095"/>
    <w:multiLevelType w:val="multilevel"/>
    <w:tmpl w:val="53966095"/>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4">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4945FB8"/>
    <w:multiLevelType w:val="multilevel"/>
    <w:tmpl w:val="64945FB8"/>
    <w:lvl w:ilvl="0" w:tentative="0">
      <w:start w:val="4"/>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8">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9">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1">
    <w:nsid w:val="74096FE9"/>
    <w:multiLevelType w:val="singleLevel"/>
    <w:tmpl w:val="74096FE9"/>
    <w:lvl w:ilvl="0" w:tentative="0">
      <w:start w:val="6"/>
      <w:numFmt w:val="chineseCounting"/>
      <w:suff w:val="nothing"/>
      <w:lvlText w:val="%1、"/>
      <w:lvlJc w:val="left"/>
      <w:rPr>
        <w:rFonts w:hint="eastAsia"/>
      </w:rPr>
    </w:lvl>
  </w:abstractNum>
  <w:abstractNum w:abstractNumId="32">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3"/>
  </w:num>
  <w:num w:numId="8">
    <w:abstractNumId w:val="21"/>
  </w:num>
  <w:num w:numId="9">
    <w:abstractNumId w:val="29"/>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6"/>
  </w:num>
  <w:num w:numId="15">
    <w:abstractNumId w:val="18"/>
  </w:num>
  <w:num w:numId="16">
    <w:abstractNumId w:val="15"/>
  </w:num>
  <w:num w:numId="17">
    <w:abstractNumId w:val="4"/>
  </w:num>
  <w:num w:numId="18">
    <w:abstractNumId w:val="24"/>
  </w:num>
  <w:num w:numId="19">
    <w:abstractNumId w:val="6"/>
  </w:num>
  <w:num w:numId="20">
    <w:abstractNumId w:val="13"/>
  </w:num>
  <w:num w:numId="21">
    <w:abstractNumId w:val="11"/>
  </w:num>
  <w:num w:numId="22">
    <w:abstractNumId w:val="19"/>
  </w:num>
  <w:num w:numId="23">
    <w:abstractNumId w:val="7"/>
  </w:num>
  <w:num w:numId="24">
    <w:abstractNumId w:val="32"/>
  </w:num>
  <w:num w:numId="25">
    <w:abstractNumId w:val="3"/>
  </w:num>
  <w:num w:numId="26">
    <w:abstractNumId w:val="28"/>
  </w:num>
  <w:num w:numId="27">
    <w:abstractNumId w:val="20"/>
  </w:num>
  <w:num w:numId="28">
    <w:abstractNumId w:val="10"/>
  </w:num>
  <w:num w:numId="29">
    <w:abstractNumId w:val="25"/>
  </w:num>
  <w:num w:numId="30">
    <w:abstractNumId w:val="30"/>
  </w:num>
  <w:num w:numId="31">
    <w:abstractNumId w:val="31"/>
  </w:num>
  <w:num w:numId="32">
    <w:abstractNumId w:val="23"/>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2NmMyNDcwOTVhYjAzMWU5OWVmZWY5YjU0ZmZkOGIifQ=="/>
  </w:docVars>
  <w:rsids>
    <w:rsidRoot w:val="007B39CD"/>
    <w:rsid w:val="000869A0"/>
    <w:rsid w:val="00097B32"/>
    <w:rsid w:val="000A0C44"/>
    <w:rsid w:val="000F7EE7"/>
    <w:rsid w:val="001011E9"/>
    <w:rsid w:val="0012017A"/>
    <w:rsid w:val="0012623F"/>
    <w:rsid w:val="00162FF4"/>
    <w:rsid w:val="00196ABC"/>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456F9"/>
    <w:rsid w:val="0079512C"/>
    <w:rsid w:val="007B33D8"/>
    <w:rsid w:val="007B39CD"/>
    <w:rsid w:val="008010EC"/>
    <w:rsid w:val="008139C8"/>
    <w:rsid w:val="0084546F"/>
    <w:rsid w:val="00935B2B"/>
    <w:rsid w:val="009A098E"/>
    <w:rsid w:val="009A1F91"/>
    <w:rsid w:val="009F00A7"/>
    <w:rsid w:val="00A45A96"/>
    <w:rsid w:val="00A9015D"/>
    <w:rsid w:val="00AB1CFA"/>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C90887"/>
    <w:rsid w:val="00D06379"/>
    <w:rsid w:val="00D34D4C"/>
    <w:rsid w:val="00D67996"/>
    <w:rsid w:val="00DB219B"/>
    <w:rsid w:val="00E05EDB"/>
    <w:rsid w:val="00E201D7"/>
    <w:rsid w:val="00EA67ED"/>
    <w:rsid w:val="00ED4653"/>
    <w:rsid w:val="00EF085D"/>
    <w:rsid w:val="00F65755"/>
    <w:rsid w:val="00FB187A"/>
    <w:rsid w:val="00FC29AB"/>
    <w:rsid w:val="3A7152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0" w:semiHidden="0" w:name="toc 2"/>
    <w:lsdException w:qFormat="1" w:uiPriority="0"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autoRedefine/>
    <w:qFormat/>
    <w:uiPriority w:val="9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autoRedefine/>
    <w:qFormat/>
    <w:uiPriority w:val="9"/>
    <w:pPr>
      <w:keepNext/>
      <w:keepLines/>
      <w:spacing w:before="260" w:after="260" w:line="416" w:lineRule="auto"/>
      <w:outlineLvl w:val="2"/>
    </w:pPr>
    <w:rPr>
      <w:b/>
      <w:bCs/>
      <w:sz w:val="32"/>
      <w:szCs w:val="32"/>
    </w:rPr>
  </w:style>
  <w:style w:type="paragraph" w:styleId="5">
    <w:name w:val="heading 4"/>
    <w:basedOn w:val="1"/>
    <w:next w:val="1"/>
    <w:link w:val="75"/>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autoRedefine/>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autoRedefine/>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autoRedefine/>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autoRedefine/>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autoRedefine/>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autoRedefine/>
    <w:semiHidden/>
    <w:unhideWhenUsed/>
    <w:qFormat/>
    <w:uiPriority w:val="1"/>
  </w:style>
  <w:style w:type="table" w:default="1" w:styleId="59">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autoRedefine/>
    <w:qFormat/>
    <w:uiPriority w:val="0"/>
    <w:pPr>
      <w:ind w:left="1260"/>
      <w:jc w:val="left"/>
    </w:pPr>
    <w:rPr>
      <w:rFonts w:ascii="Times New Roman" w:hAnsi="Times New Roman"/>
      <w:sz w:val="18"/>
      <w:szCs w:val="18"/>
    </w:rPr>
  </w:style>
  <w:style w:type="paragraph" w:styleId="13">
    <w:name w:val="List Number 2"/>
    <w:basedOn w:val="1"/>
    <w:autoRedefine/>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autoRedefine/>
    <w:qFormat/>
    <w:uiPriority w:val="0"/>
    <w:pPr>
      <w:numPr>
        <w:ilvl w:val="0"/>
        <w:numId w:val="1"/>
      </w:numPr>
      <w:ind w:left="200" w:leftChars="200"/>
    </w:pPr>
    <w:rPr>
      <w:rFonts w:ascii="Times New Roman" w:hAnsi="Times New Roman"/>
      <w:sz w:val="18"/>
      <w:szCs w:val="24"/>
    </w:rPr>
  </w:style>
  <w:style w:type="paragraph" w:styleId="15">
    <w:name w:val="List Bullet 4"/>
    <w:basedOn w:val="1"/>
    <w:autoRedefine/>
    <w:qFormat/>
    <w:uiPriority w:val="0"/>
    <w:pPr>
      <w:numPr>
        <w:ilvl w:val="0"/>
        <w:numId w:val="2"/>
      </w:numPr>
    </w:pPr>
    <w:rPr>
      <w:rFonts w:ascii="Times New Roman" w:hAnsi="Times New Roman"/>
      <w:szCs w:val="24"/>
    </w:rPr>
  </w:style>
  <w:style w:type="paragraph" w:styleId="16">
    <w:name w:val="List Number"/>
    <w:basedOn w:val="1"/>
    <w:autoRedefine/>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autoRedefine/>
    <w:qFormat/>
    <w:uiPriority w:val="99"/>
    <w:pPr>
      <w:ind w:firstLine="420"/>
    </w:pPr>
    <w:rPr>
      <w:szCs w:val="20"/>
    </w:rPr>
  </w:style>
  <w:style w:type="paragraph" w:styleId="18">
    <w:name w:val="caption"/>
    <w:basedOn w:val="1"/>
    <w:next w:val="1"/>
    <w:link w:val="107"/>
    <w:autoRedefine/>
    <w:qFormat/>
    <w:uiPriority w:val="0"/>
    <w:pPr>
      <w:spacing w:before="152" w:after="160"/>
    </w:pPr>
    <w:rPr>
      <w:rFonts w:ascii="Arial" w:hAnsi="Arial" w:eastAsia="黑体"/>
      <w:sz w:val="20"/>
      <w:szCs w:val="20"/>
    </w:rPr>
  </w:style>
  <w:style w:type="paragraph" w:styleId="19">
    <w:name w:val="List Bullet"/>
    <w:basedOn w:val="1"/>
    <w:autoRedefine/>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autoRedefine/>
    <w:qFormat/>
    <w:uiPriority w:val="99"/>
    <w:rPr>
      <w:rFonts w:ascii="宋体"/>
      <w:sz w:val="18"/>
      <w:szCs w:val="18"/>
    </w:rPr>
  </w:style>
  <w:style w:type="paragraph" w:styleId="21">
    <w:name w:val="annotation text"/>
    <w:basedOn w:val="1"/>
    <w:link w:val="82"/>
    <w:autoRedefine/>
    <w:qFormat/>
    <w:uiPriority w:val="99"/>
    <w:pPr>
      <w:jc w:val="left"/>
    </w:pPr>
  </w:style>
  <w:style w:type="paragraph" w:styleId="22">
    <w:name w:val="Salutation"/>
    <w:basedOn w:val="1"/>
    <w:next w:val="1"/>
    <w:link w:val="83"/>
    <w:autoRedefine/>
    <w:qFormat/>
    <w:uiPriority w:val="0"/>
    <w:rPr>
      <w:rFonts w:ascii="宋体" w:hAnsi="Times New Roman"/>
      <w:b/>
      <w:sz w:val="28"/>
      <w:szCs w:val="20"/>
    </w:rPr>
  </w:style>
  <w:style w:type="paragraph" w:styleId="23">
    <w:name w:val="Body Text 3"/>
    <w:basedOn w:val="1"/>
    <w:link w:val="84"/>
    <w:autoRedefine/>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qFormat/>
    <w:uiPriority w:val="99"/>
    <w:pPr>
      <w:spacing w:after="120"/>
    </w:pPr>
    <w:rPr>
      <w:sz w:val="28"/>
      <w:szCs w:val="24"/>
    </w:rPr>
  </w:style>
  <w:style w:type="paragraph" w:styleId="25">
    <w:name w:val="Body Text Indent"/>
    <w:basedOn w:val="1"/>
    <w:link w:val="86"/>
    <w:qFormat/>
    <w:uiPriority w:val="99"/>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0"/>
    <w:pPr>
      <w:ind w:left="840" w:leftChars="400"/>
    </w:pPr>
  </w:style>
  <w:style w:type="paragraph" w:styleId="31">
    <w:name w:val="Plain Text"/>
    <w:basedOn w:val="1"/>
    <w:link w:val="87"/>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99"/>
    <w:pPr>
      <w:ind w:left="2500" w:leftChars="2500"/>
    </w:pPr>
    <w:rPr>
      <w:rFonts w:eastAsia="楷体_GB2312"/>
      <w:sz w:val="32"/>
      <w:szCs w:val="20"/>
    </w:rPr>
  </w:style>
  <w:style w:type="paragraph" w:styleId="35">
    <w:name w:val="Body Text Indent 2"/>
    <w:basedOn w:val="1"/>
    <w:link w:val="89"/>
    <w:qFormat/>
    <w:uiPriority w:val="99"/>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qFormat/>
    <w:uiPriority w:val="99"/>
    <w:rPr>
      <w:sz w:val="18"/>
      <w:szCs w:val="18"/>
    </w:rPr>
  </w:style>
  <w:style w:type="paragraph" w:styleId="38">
    <w:name w:val="footer"/>
    <w:basedOn w:val="1"/>
    <w:link w:val="245"/>
    <w:unhideWhenUsed/>
    <w:qFormat/>
    <w:uiPriority w:val="99"/>
    <w:pPr>
      <w:tabs>
        <w:tab w:val="center" w:pos="4153"/>
        <w:tab w:val="right" w:pos="8306"/>
      </w:tabs>
      <w:snapToGrid w:val="0"/>
      <w:jc w:val="left"/>
    </w:pPr>
    <w:rPr>
      <w:sz w:val="18"/>
      <w:szCs w:val="18"/>
    </w:rPr>
  </w:style>
  <w:style w:type="paragraph" w:styleId="39">
    <w:name w:val="header"/>
    <w:basedOn w:val="1"/>
    <w:link w:val="379"/>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99"/>
    <w:pPr>
      <w:spacing w:before="240" w:after="240"/>
    </w:pPr>
    <w:rPr>
      <w:rFonts w:ascii="Times New Roman" w:hAnsi="Times New Roman" w:eastAsia="仿宋"/>
      <w:sz w:val="36"/>
      <w:szCs w:val="24"/>
    </w:rPr>
  </w:style>
  <w:style w:type="paragraph" w:styleId="41">
    <w:name w:val="toc 4"/>
    <w:basedOn w:val="1"/>
    <w:next w:val="1"/>
    <w:unhideWhenUsed/>
    <w:qFormat/>
    <w:uiPriority w:val="39"/>
    <w:pPr>
      <w:ind w:left="1260" w:leftChars="600"/>
    </w:pPr>
  </w:style>
  <w:style w:type="paragraph" w:styleId="42">
    <w:name w:val="Subtitle"/>
    <w:basedOn w:val="1"/>
    <w:link w:val="94"/>
    <w:qFormat/>
    <w:uiPriority w:val="11"/>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unhideWhenUsed/>
    <w:qFormat/>
    <w:uiPriority w:val="99"/>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7"/>
    <w:qFormat/>
    <w:uiPriority w:val="99"/>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99"/>
    <w:rPr>
      <w:rFonts w:ascii="Courier New" w:hAnsi="Courier New"/>
      <w:sz w:val="20"/>
      <w:szCs w:val="20"/>
    </w:rPr>
  </w:style>
  <w:style w:type="paragraph" w:styleId="5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qFormat/>
    <w:uiPriority w:val="99"/>
    <w:rPr>
      <w:b/>
      <w:bCs/>
    </w:rPr>
  </w:style>
  <w:style w:type="paragraph" w:styleId="57">
    <w:name w:val="Body Text First Indent"/>
    <w:basedOn w:val="24"/>
    <w:link w:val="102"/>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99"/>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qFormat/>
    <w:uiPriority w:val="99"/>
    <w:rPr>
      <w:sz w:val="21"/>
      <w:szCs w:val="21"/>
    </w:rPr>
  </w:style>
  <w:style w:type="character" w:styleId="71">
    <w:name w:val="footnote reference"/>
    <w:unhideWhenUsed/>
    <w:qFormat/>
    <w:uiPriority w:val="99"/>
    <w:rPr>
      <w:vertAlign w:val="superscript"/>
    </w:rPr>
  </w:style>
  <w:style w:type="character" w:customStyle="1" w:styleId="72">
    <w:name w:val="标题 1 Char"/>
    <w:basedOn w:val="64"/>
    <w:link w:val="2"/>
    <w:autoRedefine/>
    <w:qFormat/>
    <w:uiPriority w:val="99"/>
    <w:rPr>
      <w:rFonts w:ascii="Calibri" w:hAnsi="Calibri" w:eastAsia="隶书" w:cs="Times New Roman"/>
      <w:b/>
      <w:bCs/>
      <w:kern w:val="0"/>
      <w:sz w:val="36"/>
      <w:szCs w:val="36"/>
    </w:rPr>
  </w:style>
  <w:style w:type="character" w:customStyle="1" w:styleId="73">
    <w:name w:val="标题 2 Char"/>
    <w:basedOn w:val="64"/>
    <w:autoRedefine/>
    <w:qFormat/>
    <w:uiPriority w:val="0"/>
    <w:rPr>
      <w:rFonts w:asciiTheme="majorHAnsi" w:hAnsiTheme="majorHAnsi" w:eastAsiaTheme="majorEastAsia" w:cstheme="majorBidi"/>
      <w:b/>
      <w:bCs/>
      <w:sz w:val="32"/>
      <w:szCs w:val="32"/>
    </w:rPr>
  </w:style>
  <w:style w:type="character" w:customStyle="1" w:styleId="74">
    <w:name w:val="标题 3 Char"/>
    <w:basedOn w:val="64"/>
    <w:link w:val="4"/>
    <w:autoRedefine/>
    <w:qFormat/>
    <w:uiPriority w:val="9"/>
    <w:rPr>
      <w:rFonts w:ascii="Calibri" w:hAnsi="Calibri" w:eastAsia="宋体" w:cs="Times New Roman"/>
      <w:b/>
      <w:bCs/>
      <w:sz w:val="32"/>
      <w:szCs w:val="32"/>
    </w:rPr>
  </w:style>
  <w:style w:type="character" w:customStyle="1" w:styleId="75">
    <w:name w:val="标题 4 Char"/>
    <w:basedOn w:val="64"/>
    <w:link w:val="5"/>
    <w:autoRedefine/>
    <w:qFormat/>
    <w:uiPriority w:val="0"/>
    <w:rPr>
      <w:rFonts w:ascii="Arial" w:hAnsi="Arial" w:eastAsia="黑体" w:cs="Times New Roman"/>
      <w:b/>
      <w:bCs/>
      <w:sz w:val="28"/>
      <w:szCs w:val="28"/>
    </w:rPr>
  </w:style>
  <w:style w:type="character" w:customStyle="1" w:styleId="76">
    <w:name w:val="标题 5 Char"/>
    <w:basedOn w:val="64"/>
    <w:link w:val="6"/>
    <w:qFormat/>
    <w:uiPriority w:val="0"/>
    <w:rPr>
      <w:rFonts w:ascii="Calibri" w:hAnsi="Calibri" w:eastAsia="宋体" w:cs="Times New Roman"/>
      <w:b/>
      <w:bCs/>
      <w:sz w:val="28"/>
      <w:szCs w:val="28"/>
    </w:rPr>
  </w:style>
  <w:style w:type="character" w:customStyle="1" w:styleId="77">
    <w:name w:val="标题 6 Char"/>
    <w:basedOn w:val="64"/>
    <w:link w:val="7"/>
    <w:autoRedefine/>
    <w:qFormat/>
    <w:uiPriority w:val="0"/>
    <w:rPr>
      <w:rFonts w:ascii="Arial" w:hAnsi="Arial" w:eastAsia="黑体" w:cs="Times New Roman"/>
      <w:b/>
      <w:bCs/>
      <w:sz w:val="24"/>
      <w:szCs w:val="24"/>
    </w:rPr>
  </w:style>
  <w:style w:type="character" w:customStyle="1" w:styleId="78">
    <w:name w:val="标题 7 Char"/>
    <w:basedOn w:val="64"/>
    <w:link w:val="8"/>
    <w:autoRedefine/>
    <w:qFormat/>
    <w:uiPriority w:val="0"/>
    <w:rPr>
      <w:rFonts w:ascii="Calibri" w:hAnsi="Calibri" w:eastAsia="宋体" w:cs="Times New Roman"/>
      <w:b/>
      <w:bCs/>
      <w:sz w:val="24"/>
      <w:szCs w:val="24"/>
    </w:rPr>
  </w:style>
  <w:style w:type="character" w:customStyle="1" w:styleId="79">
    <w:name w:val="标题 8 Char"/>
    <w:basedOn w:val="64"/>
    <w:link w:val="9"/>
    <w:autoRedefine/>
    <w:qFormat/>
    <w:uiPriority w:val="0"/>
    <w:rPr>
      <w:rFonts w:ascii="Cambria" w:hAnsi="Cambria" w:eastAsia="宋体" w:cs="Times New Roman"/>
      <w:sz w:val="24"/>
      <w:szCs w:val="24"/>
    </w:rPr>
  </w:style>
  <w:style w:type="character" w:customStyle="1" w:styleId="80">
    <w:name w:val="标题 9 Char"/>
    <w:basedOn w:val="64"/>
    <w:link w:val="10"/>
    <w:autoRedefine/>
    <w:qFormat/>
    <w:uiPriority w:val="0"/>
    <w:rPr>
      <w:rFonts w:ascii="Cambria" w:hAnsi="Cambria" w:eastAsia="宋体" w:cs="Times New Roman"/>
      <w:szCs w:val="21"/>
    </w:rPr>
  </w:style>
  <w:style w:type="character" w:customStyle="1" w:styleId="81">
    <w:name w:val="文档结构图 Char"/>
    <w:basedOn w:val="64"/>
    <w:link w:val="20"/>
    <w:autoRedefine/>
    <w:qFormat/>
    <w:uiPriority w:val="99"/>
    <w:rPr>
      <w:rFonts w:ascii="宋体" w:hAnsi="Calibri" w:eastAsia="宋体" w:cs="Times New Roman"/>
      <w:sz w:val="18"/>
      <w:szCs w:val="18"/>
    </w:rPr>
  </w:style>
  <w:style w:type="character" w:customStyle="1" w:styleId="82">
    <w:name w:val="批注文字 Char"/>
    <w:basedOn w:val="64"/>
    <w:link w:val="21"/>
    <w:autoRedefine/>
    <w:qFormat/>
    <w:uiPriority w:val="99"/>
    <w:rPr>
      <w:rFonts w:ascii="Calibri" w:hAnsi="Calibri" w:eastAsia="宋体" w:cs="Times New Roman"/>
    </w:rPr>
  </w:style>
  <w:style w:type="character" w:customStyle="1" w:styleId="83">
    <w:name w:val="称呼 Char"/>
    <w:basedOn w:val="64"/>
    <w:link w:val="22"/>
    <w:autoRedefine/>
    <w:qFormat/>
    <w:uiPriority w:val="0"/>
    <w:rPr>
      <w:rFonts w:ascii="宋体" w:hAnsi="Times New Roman" w:eastAsia="宋体" w:cs="Times New Roman"/>
      <w:b/>
      <w:sz w:val="28"/>
      <w:szCs w:val="20"/>
    </w:rPr>
  </w:style>
  <w:style w:type="character" w:customStyle="1" w:styleId="84">
    <w:name w:val="正文文本 3 Char"/>
    <w:basedOn w:val="64"/>
    <w:link w:val="23"/>
    <w:qFormat/>
    <w:uiPriority w:val="0"/>
    <w:rPr>
      <w:rFonts w:ascii="Times New Roman" w:hAnsi="宋体" w:eastAsia="仿宋_GB2312" w:cs="Times New Roman"/>
      <w:b/>
      <w:bCs/>
      <w:sz w:val="24"/>
      <w:szCs w:val="20"/>
    </w:rPr>
  </w:style>
  <w:style w:type="character" w:customStyle="1" w:styleId="85">
    <w:name w:val="正文文本 Char"/>
    <w:basedOn w:val="64"/>
    <w:link w:val="24"/>
    <w:qFormat/>
    <w:uiPriority w:val="99"/>
    <w:rPr>
      <w:rFonts w:ascii="Calibri" w:hAnsi="Calibri" w:eastAsia="宋体" w:cs="Times New Roman"/>
      <w:sz w:val="28"/>
      <w:szCs w:val="24"/>
    </w:rPr>
  </w:style>
  <w:style w:type="character" w:customStyle="1" w:styleId="86">
    <w:name w:val="正文文本缩进 Char"/>
    <w:basedOn w:val="64"/>
    <w:link w:val="25"/>
    <w:qFormat/>
    <w:uiPriority w:val="99"/>
    <w:rPr>
      <w:rFonts w:ascii="宋体" w:hAnsi="Courier New" w:eastAsia="宋体" w:cs="Times New Roman"/>
      <w:spacing w:val="-4"/>
      <w:sz w:val="18"/>
      <w:szCs w:val="20"/>
    </w:rPr>
  </w:style>
  <w:style w:type="character" w:customStyle="1" w:styleId="87">
    <w:name w:val="纯文本 Char"/>
    <w:basedOn w:val="64"/>
    <w:link w:val="31"/>
    <w:qFormat/>
    <w:uiPriority w:val="0"/>
    <w:rPr>
      <w:rFonts w:ascii="宋体" w:hAnsi="Courier New" w:eastAsia="宋体" w:cs="Times New Roman"/>
      <w:sz w:val="24"/>
      <w:szCs w:val="24"/>
    </w:rPr>
  </w:style>
  <w:style w:type="character" w:customStyle="1" w:styleId="88">
    <w:name w:val="日期 Char"/>
    <w:basedOn w:val="64"/>
    <w:link w:val="34"/>
    <w:qFormat/>
    <w:uiPriority w:val="99"/>
    <w:rPr>
      <w:rFonts w:ascii="Calibri" w:hAnsi="Calibri" w:eastAsia="楷体_GB2312" w:cs="Times New Roman"/>
      <w:sz w:val="32"/>
      <w:szCs w:val="20"/>
    </w:rPr>
  </w:style>
  <w:style w:type="character" w:customStyle="1" w:styleId="89">
    <w:name w:val="正文文本缩进 2 Char"/>
    <w:basedOn w:val="64"/>
    <w:link w:val="35"/>
    <w:qFormat/>
    <w:uiPriority w:val="99"/>
    <w:rPr>
      <w:rFonts w:ascii="仿宋_GB2312" w:hAnsi="宋体" w:eastAsia="宋体" w:cs="Times New Roman"/>
      <w:b/>
      <w:bCs/>
      <w:color w:val="000000"/>
      <w:sz w:val="24"/>
      <w:szCs w:val="24"/>
    </w:rPr>
  </w:style>
  <w:style w:type="character" w:customStyle="1" w:styleId="90">
    <w:name w:val="尾注文本 Char"/>
    <w:basedOn w:val="64"/>
    <w:link w:val="36"/>
    <w:qFormat/>
    <w:uiPriority w:val="0"/>
    <w:rPr>
      <w:rFonts w:ascii="宋体" w:hAnsi="Calibri" w:eastAsia="宋体" w:cs="Times New Roman"/>
      <w:snapToGrid w:val="0"/>
      <w:kern w:val="0"/>
      <w:szCs w:val="20"/>
    </w:rPr>
  </w:style>
  <w:style w:type="character" w:customStyle="1" w:styleId="91">
    <w:name w:val="批注框文本 Char"/>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99"/>
    <w:rPr>
      <w:rFonts w:ascii="Calibri" w:hAnsi="Calibri" w:eastAsia="宋体" w:cs="Times New Roman"/>
      <w:sz w:val="18"/>
      <w:szCs w:val="18"/>
    </w:rPr>
  </w:style>
  <w:style w:type="character" w:customStyle="1" w:styleId="93">
    <w:name w:val="页眉 Char"/>
    <w:basedOn w:val="64"/>
    <w:qFormat/>
    <w:uiPriority w:val="99"/>
    <w:rPr>
      <w:rFonts w:ascii="Calibri" w:hAnsi="Calibri" w:eastAsia="宋体" w:cs="Times New Roman"/>
      <w:sz w:val="18"/>
      <w:szCs w:val="18"/>
    </w:rPr>
  </w:style>
  <w:style w:type="character" w:customStyle="1" w:styleId="94">
    <w:name w:val="副标题 Char"/>
    <w:basedOn w:val="64"/>
    <w:link w:val="42"/>
    <w:qFormat/>
    <w:uiPriority w:val="11"/>
    <w:rPr>
      <w:rFonts w:ascii="Times New Roman" w:hAnsi="Times New Roman" w:eastAsia="Times New Roman" w:cs="Times New Roman"/>
      <w:sz w:val="18"/>
      <w:szCs w:val="18"/>
    </w:rPr>
  </w:style>
  <w:style w:type="character" w:customStyle="1" w:styleId="95">
    <w:name w:val="脚注文本 Char"/>
    <w:basedOn w:val="64"/>
    <w:link w:val="44"/>
    <w:qFormat/>
    <w:uiPriority w:val="99"/>
    <w:rPr>
      <w:rFonts w:ascii="Calibri" w:hAnsi="Calibri" w:eastAsia="宋体" w:cs="Times New Roman"/>
      <w:sz w:val="18"/>
      <w:szCs w:val="18"/>
    </w:rPr>
  </w:style>
  <w:style w:type="character" w:customStyle="1" w:styleId="96">
    <w:name w:val="正文文本缩进 3 Char"/>
    <w:basedOn w:val="64"/>
    <w:link w:val="46"/>
    <w:qFormat/>
    <w:uiPriority w:val="99"/>
    <w:rPr>
      <w:rFonts w:ascii="仿宋_GB2312" w:hAnsi="宋体" w:eastAsia="仿宋_GB2312" w:cs="Times New Roman"/>
      <w:color w:val="000000"/>
      <w:sz w:val="24"/>
      <w:szCs w:val="24"/>
    </w:rPr>
  </w:style>
  <w:style w:type="character" w:customStyle="1" w:styleId="97">
    <w:name w:val="正文文本 2 Char"/>
    <w:basedOn w:val="64"/>
    <w:link w:val="50"/>
    <w:qFormat/>
    <w:uiPriority w:val="99"/>
    <w:rPr>
      <w:rFonts w:ascii="宋体" w:hAnsi="宋体" w:eastAsia="宋体" w:cs="Times New Roman"/>
      <w:color w:val="000000"/>
      <w:sz w:val="24"/>
      <w:szCs w:val="24"/>
    </w:rPr>
  </w:style>
  <w:style w:type="character" w:customStyle="1" w:styleId="98">
    <w:name w:val="HTML 预设格式 Char"/>
    <w:basedOn w:val="64"/>
    <w:link w:val="52"/>
    <w:qFormat/>
    <w:uiPriority w:val="99"/>
    <w:rPr>
      <w:rFonts w:ascii="Courier New" w:hAnsi="Courier New" w:eastAsia="宋体" w:cs="Times New Roman"/>
      <w:sz w:val="20"/>
      <w:szCs w:val="20"/>
    </w:rPr>
  </w:style>
  <w:style w:type="character" w:customStyle="1" w:styleId="99">
    <w:name w:val="标题 Char"/>
    <w:basedOn w:val="64"/>
    <w:link w:val="55"/>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Char"/>
    <w:basedOn w:val="85"/>
    <w:link w:val="57"/>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Char"/>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Char"/>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99"/>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Char1"/>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Char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5"/>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Char"/>
    <w:link w:val="17"/>
    <w:qFormat/>
    <w:uiPriority w:val="99"/>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Char1"/>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18"/>
    <w:qFormat/>
    <w:uiPriority w:val="0"/>
    <w:pPr>
      <w:spacing w:beforeLines="50" w:afterLines="50"/>
      <w:jc w:val="center"/>
    </w:pPr>
    <w:rPr>
      <w:rFonts w:ascii="Times New Roman" w:hAnsi="Times New Roman"/>
      <w:kern w:val="0"/>
      <w:sz w:val="24"/>
      <w:szCs w:val="24"/>
    </w:rPr>
  </w:style>
  <w:style w:type="paragraph" w:styleId="4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6"/>
    <w:qFormat/>
    <w:uiPriority w:val="0"/>
    <w:pPr>
      <w:numPr>
        <w:ilvl w:val="1"/>
        <w:numId w:val="5"/>
      </w:numPr>
      <w:tabs>
        <w:tab w:val="left" w:pos="2040"/>
      </w:tabs>
      <w:spacing w:after="120"/>
      <w:ind w:left="0" w:firstLine="0"/>
    </w:pPr>
  </w:style>
  <w:style w:type="paragraph" w:customStyle="1" w:styleId="436">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3"/>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3"/>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5"/>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3"/>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Char"/>
    <w:link w:val="895"/>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Char"/>
    <w:link w:val="898"/>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uiPriority w:val="99"/>
    <w:rPr>
      <w:rFonts w:ascii="Arial" w:hAnsi="Arial" w:eastAsia="宋体" w:cs="Arial"/>
      <w:vanish/>
      <w:sz w:val="16"/>
      <w:szCs w:val="16"/>
    </w:rPr>
  </w:style>
  <w:style w:type="character" w:customStyle="1" w:styleId="902">
    <w:name w:val="z-窗体顶端 Char1"/>
    <w:basedOn w:val="64"/>
    <w:semiHidden/>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Char1"/>
    <w:basedOn w:val="82"/>
    <w:link w:val="56"/>
    <w:qFormat/>
    <w:uiPriority w:val="99"/>
    <w:rPr>
      <w:rFonts w:ascii="Calibri" w:hAnsi="Calibri" w:eastAsia="宋体" w:cs="Times New Roman"/>
      <w:b/>
      <w:bCs/>
    </w:rPr>
  </w:style>
  <w:style w:type="character" w:customStyle="1" w:styleId="964">
    <w:name w:val="正文首行缩进 2 Char1"/>
    <w:basedOn w:val="86"/>
    <w:link w:val="58"/>
    <w:qFormat/>
    <w:uiPriority w:val="0"/>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character" w:customStyle="1" w:styleId="981">
    <w:name w:val="Plain Text Char"/>
    <w:basedOn w:val="64"/>
    <w:qFormat/>
    <w:locked/>
    <w:uiPriority w:val="99"/>
    <w:rPr>
      <w:rFonts w:ascii="宋体" w:hAnsi="Courier New" w:cs="Times New Roman"/>
      <w:kern w:val="2"/>
      <w:sz w:val="21"/>
    </w:rPr>
  </w:style>
  <w:style w:type="paragraph" w:customStyle="1" w:styleId="982">
    <w:name w:val="pa-52"/>
    <w:basedOn w:val="1"/>
    <w:qFormat/>
    <w:uiPriority w:val="99"/>
    <w:pPr>
      <w:widowControl/>
      <w:spacing w:line="280" w:lineRule="atLeast"/>
      <w:jc w:val="center"/>
    </w:pPr>
    <w:rPr>
      <w:rFonts w:ascii="宋体" w:hAnsi="宋体" w:cs="宋体"/>
      <w:kern w:val="0"/>
      <w:sz w:val="24"/>
      <w:szCs w:val="24"/>
    </w:rPr>
  </w:style>
  <w:style w:type="paragraph" w:customStyle="1" w:styleId="983">
    <w:name w:val="正文－恩普"/>
    <w:basedOn w:val="17"/>
    <w:qFormat/>
    <w:uiPriority w:val="99"/>
    <w:pPr>
      <w:widowControl/>
      <w:spacing w:line="360" w:lineRule="auto"/>
      <w:ind w:firstLine="480" w:firstLineChars="200"/>
      <w:jc w:val="left"/>
    </w:pPr>
    <w:rPr>
      <w:rFonts w:ascii="Times New Roman" w:hAnsi="Times New Roman"/>
      <w:kern w:val="0"/>
      <w:sz w:val="24"/>
    </w:rPr>
  </w:style>
  <w:style w:type="paragraph" w:customStyle="1" w:styleId="984">
    <w:name w:val="默认段落字体 Para Char Char Char Char Char Char Char"/>
    <w:basedOn w:val="20"/>
    <w:qFormat/>
    <w:uiPriority w:val="99"/>
    <w:pPr>
      <w:shd w:val="clear" w:color="auto" w:fill="000080"/>
      <w:adjustRightInd w:val="0"/>
      <w:spacing w:line="436" w:lineRule="exact"/>
      <w:ind w:left="357"/>
      <w:jc w:val="left"/>
      <w:outlineLvl w:val="3"/>
    </w:pPr>
    <w:rPr>
      <w:rFonts w:ascii="Tahoma" w:hAnsi="Tahoma"/>
      <w:b/>
      <w:kern w:val="0"/>
      <w:sz w:val="24"/>
      <w:szCs w:val="24"/>
    </w:rPr>
  </w:style>
  <w:style w:type="character" w:customStyle="1" w:styleId="985">
    <w:name w:val="Plain Text Char1"/>
    <w:semiHidden/>
    <w:qFormat/>
    <w:locked/>
    <w:uiPriority w:val="99"/>
    <w:rPr>
      <w:rFonts w:ascii="宋体" w:hAnsi="Courier New"/>
      <w:sz w:val="21"/>
    </w:rPr>
  </w:style>
  <w:style w:type="paragraph" w:customStyle="1" w:styleId="986">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987">
    <w:name w:val="正文 A"/>
    <w:qFormat/>
    <w:uiPriority w:val="0"/>
    <w:pPr>
      <w:widowControl w:val="0"/>
      <w:jc w:val="both"/>
    </w:pPr>
    <w:rPr>
      <w:rFonts w:ascii="Times New Roman" w:hAnsi="Times New Roman" w:eastAsia="幼圆" w:cs="Times New Roman"/>
      <w:color w:val="000000"/>
      <w:kern w:val="0"/>
      <w:sz w:val="20"/>
      <w:szCs w:val="20"/>
      <w:lang w:val="en-US" w:eastAsia="zh-CN" w:bidi="ar-SA"/>
    </w:rPr>
  </w:style>
  <w:style w:type="character" w:customStyle="1" w:styleId="988">
    <w:name w:val="书籍标题2"/>
    <w:qFormat/>
    <w:uiPriority w:val="33"/>
    <w:rPr>
      <w:b/>
      <w:bCs/>
      <w:smallCaps/>
      <w:spacing w:val="5"/>
    </w:rPr>
  </w:style>
  <w:style w:type="paragraph" w:customStyle="1" w:styleId="989">
    <w:name w:val="z-窗体底端2"/>
    <w:basedOn w:val="1"/>
    <w:next w:val="1"/>
    <w:uiPriority w:val="0"/>
    <w:pPr>
      <w:widowControl/>
      <w:pBdr>
        <w:top w:val="single" w:color="auto" w:sz="6" w:space="1"/>
      </w:pBdr>
      <w:jc w:val="center"/>
    </w:pPr>
    <w:rPr>
      <w:rFonts w:ascii="Arial" w:hAnsi="Arial" w:cs="Arial" w:eastAsiaTheme="minorEastAsia"/>
      <w:vanish/>
      <w:sz w:val="16"/>
      <w:szCs w:val="16"/>
    </w:rPr>
  </w:style>
  <w:style w:type="character" w:customStyle="1" w:styleId="990">
    <w:name w:val="明显参考2"/>
    <w:qFormat/>
    <w:uiPriority w:val="0"/>
    <w:rPr>
      <w:b/>
      <w:sz w:val="24"/>
      <w:u w:val="single"/>
    </w:rPr>
  </w:style>
  <w:style w:type="paragraph" w:customStyle="1" w:styleId="991">
    <w:name w:val="z-窗体顶端2"/>
    <w:basedOn w:val="1"/>
    <w:next w:val="1"/>
    <w:uiPriority w:val="0"/>
    <w:pPr>
      <w:widowControl/>
      <w:pBdr>
        <w:bottom w:val="single" w:color="auto" w:sz="6" w:space="1"/>
      </w:pBdr>
      <w:jc w:val="center"/>
    </w:pPr>
    <w:rPr>
      <w:rFonts w:ascii="Arial" w:hAnsi="Arial" w:cs="Arial" w:eastAsiaTheme="minorEastAsia"/>
      <w:vanish/>
      <w:sz w:val="16"/>
      <w:szCs w:val="16"/>
    </w:rPr>
  </w:style>
  <w:style w:type="character" w:customStyle="1" w:styleId="992">
    <w:name w:val="不明显参考2"/>
    <w:qFormat/>
    <w:uiPriority w:val="31"/>
    <w:rPr>
      <w:smallCaps/>
      <w:color w:val="C0504D"/>
      <w:u w:val="single"/>
    </w:rPr>
  </w:style>
  <w:style w:type="paragraph" w:customStyle="1" w:styleId="993">
    <w:name w:val="TOC 标题2"/>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94">
    <w:name w:val="修订2"/>
    <w:semiHidden/>
    <w:uiPriority w:val="99"/>
    <w:rPr>
      <w:rFonts w:ascii="Calibri" w:hAnsi="Calibri" w:eastAsia="宋体" w:cs="Times New Roman"/>
      <w:kern w:val="2"/>
      <w:sz w:val="21"/>
      <w:szCs w:val="22"/>
      <w:lang w:val="en-US" w:eastAsia="zh-CN" w:bidi="ar-SA"/>
    </w:rPr>
  </w:style>
  <w:style w:type="paragraph" w:customStyle="1" w:styleId="995">
    <w:name w:val="列表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118</Pages>
  <Words>50952</Words>
  <Characters>53681</Characters>
  <Lines>2528</Lines>
  <Paragraphs>2369</Paragraphs>
  <TotalTime>34</TotalTime>
  <ScaleCrop>false</ScaleCrop>
  <LinksUpToDate>false</LinksUpToDate>
  <CharactersWithSpaces>55127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是沐沐的林呀</cp:lastModifiedBy>
  <cp:lastPrinted>2021-01-25T02:12:00Z</cp:lastPrinted>
  <dcterms:modified xsi:type="dcterms:W3CDTF">2024-01-31T10:16:28Z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1511CC50E2644815B7062EE1F4016030_12</vt:lpwstr>
  </property>
</Properties>
</file>