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宋体"/>
          <w:b/>
          <w:bCs/>
          <w:spacing w:val="40"/>
          <w:sz w:val="52"/>
          <w:szCs w:val="52"/>
        </w:rPr>
      </w:pPr>
      <w:bookmarkStart w:id="63" w:name="_GoBack"/>
      <w:bookmarkEnd w:id="63"/>
    </w:p>
    <w:p>
      <w:pPr>
        <w:shd w:val="clear" w:color="auto" w:fill="FFFFFF"/>
        <w:spacing w:line="240" w:lineRule="atLeast"/>
        <w:ind w:right="-108"/>
        <w:rPr>
          <w:rFonts w:hint="eastAsia" w:ascii="仿宋" w:hAnsi="仿宋" w:eastAsia="仿宋" w:cs="宋体"/>
          <w:sz w:val="36"/>
          <w:szCs w:val="36"/>
          <w:lang w:eastAsia="zh-CN"/>
        </w:rPr>
      </w:pPr>
      <w:bookmarkStart w:id="0" w:name="PO_15526_PM002"/>
      <w:r>
        <w:rPr>
          <w:rFonts w:hint="eastAsia" w:ascii="仿宋" w:hAnsi="仿宋" w:eastAsia="仿宋" w:cs="宋体"/>
          <w:b/>
          <w:bCs/>
          <w:sz w:val="44"/>
          <w:szCs w:val="44"/>
          <w:lang w:val="en-US" w:eastAsia="zh-CN"/>
        </w:rPr>
        <w:t xml:space="preserve">  </w:t>
      </w:r>
      <w:r>
        <w:rPr>
          <w:rFonts w:hint="eastAsia" w:ascii="仿宋" w:hAnsi="仿宋" w:eastAsia="仿宋" w:cs="宋体"/>
          <w:b/>
          <w:bCs/>
          <w:sz w:val="44"/>
          <w:szCs w:val="44"/>
          <w:lang w:eastAsia="zh-CN"/>
        </w:rPr>
        <w:t>浙江省交通运输信息中心线路租用项目</w:t>
      </w:r>
      <w:bookmarkEnd w:id="0"/>
    </w:p>
    <w:p>
      <w:pPr>
        <w:shd w:val="clear" w:color="auto" w:fill="FFFFFF"/>
        <w:spacing w:line="240" w:lineRule="atLeast"/>
        <w:ind w:right="-108"/>
        <w:jc w:val="center"/>
        <w:rPr>
          <w:rFonts w:ascii="仿宋" w:hAnsi="仿宋" w:eastAsia="仿宋" w:cs="宋体"/>
          <w:sz w:val="36"/>
          <w:szCs w:val="36"/>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lang w:eastAsia="zh-CN"/>
        </w:rPr>
        <w:t>ZZCG2022T-DY-108</w:t>
      </w:r>
      <w:bookmarkEnd w:id="1"/>
    </w:p>
    <w:p>
      <w:pPr>
        <w:shd w:val="clear" w:color="auto" w:fill="FFFFFF"/>
        <w:spacing w:after="100" w:afterAutospacing="1" w:line="820" w:lineRule="exact"/>
        <w:ind w:right="-108"/>
        <w:jc w:val="center"/>
        <w:rPr>
          <w:rFonts w:ascii="仿宋" w:hAnsi="仿宋" w:eastAsia="仿宋" w:cs="宋体"/>
          <w:bCs/>
          <w:spacing w:val="40"/>
          <w:sz w:val="84"/>
          <w:szCs w:val="84"/>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540" w:firstLineChars="150"/>
        <w:jc w:val="center"/>
        <w:rPr>
          <w:rFonts w:ascii="宋体"/>
          <w:color w:val="000000"/>
          <w:sz w:val="36"/>
          <w:szCs w:val="36"/>
        </w:rPr>
      </w:pPr>
      <w:bookmarkStart w:id="2" w:name="采购单位"/>
      <w:r>
        <w:rPr>
          <w:rFonts w:hint="eastAsia" w:ascii="宋体" w:hAnsi="宋体"/>
          <w:color w:val="000000"/>
          <w:sz w:val="36"/>
          <w:szCs w:val="36"/>
        </w:rPr>
        <w:t>浙江省政府采购中心</w:t>
      </w:r>
      <w:bookmarkEnd w:id="2"/>
    </w:p>
    <w:p>
      <w:pPr>
        <w:wordWrap w:val="0"/>
        <w:spacing w:line="500" w:lineRule="exact"/>
        <w:ind w:right="-108" w:firstLine="540" w:firstLineChars="150"/>
        <w:jc w:val="center"/>
        <w:rPr>
          <w:rFonts w:ascii="宋体"/>
          <w:color w:val="000000"/>
          <w:sz w:val="36"/>
          <w:szCs w:val="36"/>
        </w:rPr>
      </w:pPr>
      <w:bookmarkStart w:id="3" w:name="地址"/>
      <w:r>
        <w:rPr>
          <w:rFonts w:hint="eastAsia" w:ascii="宋体" w:hAnsi="宋体"/>
          <w:color w:val="000000"/>
          <w:sz w:val="36"/>
          <w:szCs w:val="36"/>
        </w:rPr>
        <w:t>杭州市环城北路</w:t>
      </w:r>
      <w:r>
        <w:rPr>
          <w:rFonts w:ascii="宋体" w:hAnsi="宋体"/>
          <w:color w:val="000000"/>
          <w:sz w:val="36"/>
          <w:szCs w:val="36"/>
        </w:rPr>
        <w:t>305</w:t>
      </w:r>
      <w:r>
        <w:rPr>
          <w:rFonts w:hint="eastAsia" w:ascii="宋体" w:hAnsi="宋体"/>
          <w:color w:val="000000"/>
          <w:sz w:val="36"/>
          <w:szCs w:val="36"/>
        </w:rPr>
        <w:t>号耀江发展中心</w:t>
      </w:r>
      <w:bookmarkEnd w:id="3"/>
    </w:p>
    <w:p>
      <w:pPr>
        <w:pStyle w:val="22"/>
        <w:spacing w:beforeLines="0" w:afterLines="0" w:line="360" w:lineRule="auto"/>
        <w:jc w:val="center"/>
        <w:rPr>
          <w:rFonts w:ascii="仿宋" w:hAnsi="仿宋" w:eastAsia="仿宋"/>
          <w:b/>
          <w:sz w:val="52"/>
          <w:szCs w:val="52"/>
        </w:rPr>
      </w:pPr>
    </w:p>
    <w:p>
      <w:pPr>
        <w:pStyle w:val="22"/>
        <w:spacing w:beforeLines="0" w:afterLines="0" w:line="360" w:lineRule="auto"/>
        <w:jc w:val="center"/>
        <w:rPr>
          <w:rFonts w:ascii="仿宋" w:hAnsi="仿宋" w:eastAsia="仿宋"/>
          <w:b/>
          <w:sz w:val="52"/>
          <w:szCs w:val="52"/>
        </w:rPr>
      </w:pPr>
      <w:r>
        <w:rPr>
          <w:rFonts w:hint="eastAsia" w:ascii="仿宋" w:hAnsi="仿宋" w:eastAsia="仿宋"/>
          <w:b/>
          <w:sz w:val="52"/>
          <w:szCs w:val="52"/>
        </w:rPr>
        <w:t>目  录</w:t>
      </w:r>
    </w:p>
    <w:p>
      <w:pPr>
        <w:pStyle w:val="22"/>
        <w:spacing w:beforeLines="0" w:afterLines="0" w:line="360" w:lineRule="auto"/>
        <w:jc w:val="center"/>
        <w:rPr>
          <w:rFonts w:ascii="仿宋" w:hAnsi="仿宋" w:eastAsia="仿宋"/>
          <w:b/>
          <w:sz w:val="52"/>
          <w:szCs w:val="52"/>
        </w:rPr>
      </w:pPr>
    </w:p>
    <w:p>
      <w:pPr>
        <w:pStyle w:val="29"/>
        <w:tabs>
          <w:tab w:val="right" w:leader="dot" w:pos="8296"/>
        </w:tabs>
        <w:rPr>
          <w:rFonts w:ascii="Calibri" w:hAnsi="Calibr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"_Toc510136958" </w:instrText>
      </w:r>
      <w:r>
        <w:fldChar w:fldCharType="separate"/>
      </w:r>
      <w:r>
        <w:rPr>
          <w:rStyle w:val="50"/>
          <w:rFonts w:hint="eastAsia"/>
          <w:sz w:val="28"/>
          <w:szCs w:val="28"/>
        </w:rPr>
        <w:t>第一章</w:t>
      </w:r>
      <w:r>
        <w:rPr>
          <w:rStyle w:val="50"/>
          <w:rFonts w:hint="eastAsia"/>
          <w:sz w:val="28"/>
          <w:szCs w:val="28"/>
          <w:lang w:val="en-US" w:eastAsia="zh-CN"/>
        </w:rPr>
        <w:t xml:space="preserve">   </w:t>
      </w:r>
      <w:r>
        <w:rPr>
          <w:rStyle w:val="50"/>
          <w:rFonts w:hint="eastAsia"/>
          <w:sz w:val="28"/>
          <w:szCs w:val="28"/>
        </w:rPr>
        <w:t>单一来源采购邀请</w:t>
      </w:r>
      <w:r>
        <w:rPr>
          <w:sz w:val="28"/>
          <w:szCs w:val="28"/>
        </w:rPr>
        <w:tab/>
      </w:r>
      <w:r>
        <w:rPr>
          <w:sz w:val="28"/>
          <w:szCs w:val="28"/>
        </w:rPr>
        <w:fldChar w:fldCharType="begin"/>
      </w:r>
      <w:r>
        <w:rPr>
          <w:sz w:val="28"/>
          <w:szCs w:val="28"/>
        </w:rPr>
        <w:instrText xml:space="preserve"> PAGEREF _Toc510136958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"_Toc510136959" </w:instrText>
      </w:r>
      <w:r>
        <w:fldChar w:fldCharType="separate"/>
      </w:r>
      <w:r>
        <w:rPr>
          <w:rStyle w:val="50"/>
          <w:rFonts w:hint="eastAsia"/>
          <w:sz w:val="28"/>
          <w:szCs w:val="28"/>
        </w:rPr>
        <w:t>第二章</w:t>
      </w:r>
      <w:r>
        <w:rPr>
          <w:rStyle w:val="50"/>
          <w:rFonts w:hint="eastAsia"/>
          <w:sz w:val="28"/>
          <w:szCs w:val="28"/>
          <w:lang w:val="en-US" w:eastAsia="zh-CN"/>
        </w:rPr>
        <w:t xml:space="preserve">   </w:t>
      </w:r>
      <w:r>
        <w:rPr>
          <w:rStyle w:val="50"/>
          <w:rFonts w:hint="eastAsia"/>
          <w:sz w:val="28"/>
          <w:szCs w:val="28"/>
        </w:rPr>
        <w:t>响应方须知</w:t>
      </w:r>
      <w:r>
        <w:rPr>
          <w:sz w:val="28"/>
          <w:szCs w:val="28"/>
        </w:rPr>
        <w:tab/>
      </w:r>
      <w:r>
        <w:rPr>
          <w:rFonts w:hint="eastAsia"/>
          <w:sz w:val="28"/>
          <w:szCs w:val="28"/>
          <w:lang w:val="en-US" w:eastAsia="zh-CN"/>
        </w:rPr>
        <w:t>7</w:t>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"_Toc510136960" </w:instrText>
      </w:r>
      <w:r>
        <w:fldChar w:fldCharType="separate"/>
      </w:r>
      <w:r>
        <w:rPr>
          <w:rStyle w:val="50"/>
          <w:rFonts w:hint="eastAsia"/>
          <w:sz w:val="28"/>
          <w:szCs w:val="28"/>
        </w:rPr>
        <w:t>第三章</w:t>
      </w:r>
      <w:r>
        <w:rPr>
          <w:rStyle w:val="50"/>
          <w:rFonts w:hint="eastAsia"/>
          <w:sz w:val="28"/>
          <w:szCs w:val="28"/>
          <w:lang w:val="en-US" w:eastAsia="zh-CN"/>
        </w:rPr>
        <w:t xml:space="preserve">   </w:t>
      </w:r>
      <w:r>
        <w:rPr>
          <w:rStyle w:val="50"/>
          <w:rFonts w:hint="eastAsia"/>
          <w:sz w:val="28"/>
          <w:szCs w:val="28"/>
        </w:rPr>
        <w:t>采购内容</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pStyle w:val="29"/>
        <w:tabs>
          <w:tab w:val="right" w:leader="dot" w:pos="8296"/>
        </w:tabs>
        <w:rPr>
          <w:rFonts w:ascii="Calibri" w:hAnsi="Calibri"/>
          <w:sz w:val="28"/>
          <w:szCs w:val="28"/>
        </w:rPr>
      </w:pPr>
      <w:r>
        <w:fldChar w:fldCharType="begin"/>
      </w:r>
      <w:r>
        <w:instrText xml:space="preserve"> HYPERLINK \l "_Toc510136961" </w:instrText>
      </w:r>
      <w:r>
        <w:fldChar w:fldCharType="separate"/>
      </w:r>
      <w:r>
        <w:rPr>
          <w:rStyle w:val="50"/>
          <w:rFonts w:hint="eastAsia"/>
          <w:sz w:val="28"/>
          <w:szCs w:val="28"/>
        </w:rPr>
        <w:t>第四章</w:t>
      </w:r>
      <w:r>
        <w:rPr>
          <w:rStyle w:val="50"/>
          <w:rFonts w:hint="eastAsia"/>
          <w:sz w:val="28"/>
          <w:szCs w:val="28"/>
          <w:lang w:val="en-US" w:eastAsia="zh-CN"/>
        </w:rPr>
        <w:t xml:space="preserve">   </w:t>
      </w:r>
      <w:r>
        <w:rPr>
          <w:rStyle w:val="50"/>
          <w:rFonts w:hint="eastAsia"/>
          <w:sz w:val="28"/>
          <w:szCs w:val="28"/>
        </w:rPr>
        <w:t>浙江省政府采购合同主要条款指引</w:t>
      </w:r>
      <w:r>
        <w:rPr>
          <w:sz w:val="28"/>
          <w:szCs w:val="28"/>
        </w:rPr>
        <w:tab/>
      </w:r>
      <w:r>
        <w:rPr>
          <w:sz w:val="28"/>
          <w:szCs w:val="28"/>
        </w:rPr>
        <w:t>3</w:t>
      </w:r>
      <w:r>
        <w:rPr>
          <w:rFonts w:hint="eastAsia"/>
          <w:sz w:val="28"/>
          <w:szCs w:val="28"/>
          <w:lang w:val="en-US" w:eastAsia="zh-CN"/>
        </w:rPr>
        <w:t>1</w:t>
      </w:r>
      <w:r>
        <w:rPr>
          <w:sz w:val="28"/>
          <w:szCs w:val="28"/>
        </w:rPr>
        <w:fldChar w:fldCharType="end"/>
      </w:r>
    </w:p>
    <w:p>
      <w:pPr>
        <w:pStyle w:val="29"/>
        <w:tabs>
          <w:tab w:val="right" w:leader="dot" w:pos="8296"/>
        </w:tabs>
        <w:rPr>
          <w:rFonts w:ascii="Calibri" w:hAnsi="Calibri"/>
          <w:sz w:val="28"/>
          <w:szCs w:val="28"/>
        </w:rPr>
      </w:pPr>
      <w:r>
        <w:fldChar w:fldCharType="begin"/>
      </w:r>
      <w:r>
        <w:instrText xml:space="preserve"> HYPERLINK \l "_Toc510136962" </w:instrText>
      </w:r>
      <w:r>
        <w:fldChar w:fldCharType="separate"/>
      </w:r>
      <w:r>
        <w:rPr>
          <w:rStyle w:val="50"/>
          <w:rFonts w:hint="eastAsia"/>
          <w:snapToGrid w:val="0"/>
          <w:sz w:val="28"/>
          <w:szCs w:val="28"/>
        </w:rPr>
        <w:t>第五章</w:t>
      </w:r>
      <w:r>
        <w:rPr>
          <w:rStyle w:val="50"/>
          <w:rFonts w:hint="eastAsia"/>
          <w:snapToGrid w:val="0"/>
          <w:sz w:val="28"/>
          <w:szCs w:val="28"/>
          <w:lang w:val="en-US" w:eastAsia="zh-CN"/>
        </w:rPr>
        <w:t xml:space="preserve">   </w:t>
      </w:r>
      <w:r>
        <w:rPr>
          <w:rStyle w:val="50"/>
          <w:rFonts w:hint="eastAsia"/>
          <w:sz w:val="28"/>
          <w:szCs w:val="28"/>
        </w:rPr>
        <w:t>单一来源采购响应文件格式附件</w:t>
      </w:r>
      <w:r>
        <w:rPr>
          <w:sz w:val="28"/>
          <w:szCs w:val="28"/>
        </w:rPr>
        <w:tab/>
      </w:r>
      <w:r>
        <w:rPr>
          <w:sz w:val="28"/>
          <w:szCs w:val="28"/>
        </w:rPr>
        <w:t>3</w:t>
      </w:r>
      <w:r>
        <w:rPr>
          <w:rFonts w:hint="eastAsia"/>
          <w:sz w:val="28"/>
          <w:szCs w:val="28"/>
          <w:lang w:val="en-US" w:eastAsia="zh-CN"/>
        </w:rPr>
        <w:t>7</w:t>
      </w:r>
      <w:r>
        <w:rPr>
          <w:sz w:val="28"/>
          <w:szCs w:val="28"/>
        </w:rPr>
        <w:fldChar w:fldCharType="end"/>
      </w:r>
    </w:p>
    <w:p>
      <w:pPr>
        <w:pStyle w:val="22"/>
        <w:spacing w:beforeLines="0" w:afterLines="0" w:line="480" w:lineRule="auto"/>
        <w:jc w:val="left"/>
        <w:rPr>
          <w:rFonts w:ascii="仿宋" w:hAnsi="仿宋" w:eastAsia="仿宋"/>
          <w:sz w:val="28"/>
          <w:szCs w:val="28"/>
        </w:rPr>
      </w:pPr>
      <w:r>
        <w:rPr>
          <w:rFonts w:hAnsi="宋体"/>
          <w:sz w:val="28"/>
          <w:szCs w:val="28"/>
        </w:rPr>
        <w:fldChar w:fldCharType="end"/>
      </w:r>
    </w:p>
    <w:p>
      <w:pPr>
        <w:pStyle w:val="40"/>
      </w:pPr>
      <w:r>
        <w:rPr>
          <w:sz w:val="30"/>
          <w:szCs w:val="30"/>
        </w:rPr>
        <w:br w:type="page"/>
      </w:r>
      <w:bookmarkStart w:id="4" w:name="_Toc451268214"/>
      <w:bookmarkStart w:id="5" w:name="_Toc510136958"/>
      <w:r>
        <w:rPr>
          <w:rFonts w:hint="eastAsia"/>
          <w:sz w:val="30"/>
          <w:szCs w:val="30"/>
          <w:lang w:val="en-US" w:eastAsia="zh-CN"/>
        </w:rPr>
        <w:t xml:space="preserve"> </w:t>
      </w:r>
      <w:r>
        <w:rPr>
          <w:rFonts w:hint="eastAsia"/>
        </w:rPr>
        <w:t>第一章</w:t>
      </w:r>
      <w:r>
        <w:rPr>
          <w:rFonts w:hint="eastAsia"/>
          <w:lang w:val="en-US" w:eastAsia="zh-CN"/>
        </w:rPr>
        <w:t xml:space="preserve">  </w:t>
      </w:r>
      <w:r>
        <w:rPr>
          <w:rFonts w:hint="eastAsia"/>
        </w:rPr>
        <w:t>单一来源采购邀请</w:t>
      </w:r>
      <w:bookmarkEnd w:id="4"/>
      <w:bookmarkEnd w:id="5"/>
    </w:p>
    <w:p>
      <w:pPr>
        <w:spacing w:line="360" w:lineRule="auto"/>
        <w:ind w:firstLine="588" w:firstLineChars="196"/>
        <w:rPr>
          <w:rFonts w:ascii="仿宋" w:hAnsi="仿宋" w:eastAsia="仿宋" w:cs="仿宋"/>
          <w:sz w:val="28"/>
          <w:szCs w:val="28"/>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lang w:eastAsia="zh-CN"/>
        </w:rPr>
        <w:t>标项1：(正式)中国联合网络通信有限公司浙江省分公司；标项2：(正式)中国电信股份有限公司浙江分公司。</w:t>
      </w:r>
      <w:bookmarkEnd w:id="6"/>
      <w:r>
        <w:rPr>
          <w:rFonts w:hint="eastAsia" w:ascii="仿宋" w:hAnsi="仿宋" w:eastAsia="仿宋"/>
          <w:sz w:val="30"/>
          <w:szCs w:val="30"/>
        </w:rPr>
        <w:t>进行单一来源采购：</w:t>
      </w:r>
    </w:p>
    <w:p>
      <w:pPr>
        <w:snapToGrid w:val="0"/>
        <w:spacing w:line="460" w:lineRule="exact"/>
        <w:ind w:firstLine="600" w:firstLineChars="200"/>
        <w:rPr>
          <w:rFonts w:ascii="仿宋" w:hAnsi="仿宋" w:eastAsia="仿宋"/>
          <w:kern w:val="0"/>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7" w:name="PO_15526_PM001_1"/>
      <w:r>
        <w:rPr>
          <w:rFonts w:hint="eastAsia" w:ascii="仿宋" w:hAnsi="仿宋" w:eastAsia="仿宋" w:cs="Arial"/>
          <w:b/>
          <w:bCs/>
          <w:sz w:val="30"/>
          <w:szCs w:val="30"/>
          <w:lang w:eastAsia="zh-CN"/>
        </w:rPr>
        <w:t>ZZCG2022T-DY-108</w:t>
      </w:r>
      <w:bookmarkEnd w:id="7"/>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pPr>
        <w:snapToGrid w:val="0"/>
        <w:spacing w:line="460" w:lineRule="exact"/>
        <w:ind w:firstLine="602" w:firstLineChars="200"/>
        <w:rPr>
          <w:rFonts w:hint="eastAsia" w:ascii="仿宋" w:hAnsi="仿宋" w:eastAsia="仿宋" w:cs="Arial"/>
          <w:b/>
          <w:bCs/>
          <w:sz w:val="30"/>
          <w:szCs w:val="30"/>
          <w:vertAlign w:val="baseline"/>
          <w:lang w:eastAsia="zh-CN"/>
        </w:rPr>
      </w:pPr>
      <w:bookmarkStart w:id="8" w:name="PO_15526_PM004_1"/>
      <w:r>
        <w:rPr>
          <w:rFonts w:hint="eastAsia" w:ascii="仿宋" w:hAnsi="仿宋" w:eastAsia="仿宋" w:cs="Arial"/>
          <w:b/>
          <w:bCs/>
          <w:sz w:val="30"/>
          <w:szCs w:val="30"/>
          <w:lang w:eastAsia="zh-CN"/>
        </w:rPr>
        <w:t xml:space="preserve"> </w:t>
      </w:r>
    </w:p>
    <w:tbl>
      <w:tblPr>
        <w:tblStyle w:val="44"/>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260"/>
        <w:gridCol w:w="960"/>
        <w:gridCol w:w="870"/>
        <w:gridCol w:w="124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标项序号</w:t>
            </w:r>
          </w:p>
        </w:tc>
        <w:tc>
          <w:tcPr>
            <w:tcW w:w="22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标项名称</w:t>
            </w:r>
          </w:p>
        </w:tc>
        <w:tc>
          <w:tcPr>
            <w:tcW w:w="9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数量</w:t>
            </w:r>
          </w:p>
        </w:tc>
        <w:tc>
          <w:tcPr>
            <w:tcW w:w="87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单位</w:t>
            </w:r>
          </w:p>
        </w:tc>
        <w:tc>
          <w:tcPr>
            <w:tcW w:w="124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预算金额(万元)</w:t>
            </w:r>
          </w:p>
        </w:tc>
        <w:tc>
          <w:tcPr>
            <w:tcW w:w="18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22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浙江省交通运输信息中心中国联通线路租用</w:t>
            </w:r>
          </w:p>
        </w:tc>
        <w:tc>
          <w:tcPr>
            <w:tcW w:w="9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87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批</w:t>
            </w:r>
          </w:p>
        </w:tc>
        <w:tc>
          <w:tcPr>
            <w:tcW w:w="124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58</w:t>
            </w:r>
          </w:p>
        </w:tc>
        <w:tc>
          <w:tcPr>
            <w:tcW w:w="18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2</w:t>
            </w:r>
          </w:p>
        </w:tc>
        <w:tc>
          <w:tcPr>
            <w:tcW w:w="22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浙江省交通运输信息中心中国电信线路租用</w:t>
            </w:r>
          </w:p>
        </w:tc>
        <w:tc>
          <w:tcPr>
            <w:tcW w:w="9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87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批</w:t>
            </w:r>
          </w:p>
        </w:tc>
        <w:tc>
          <w:tcPr>
            <w:tcW w:w="124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169</w:t>
            </w:r>
          </w:p>
        </w:tc>
        <w:tc>
          <w:tcPr>
            <w:tcW w:w="186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详见招标文件</w:t>
            </w:r>
          </w:p>
        </w:tc>
      </w:tr>
    </w:tbl>
    <w:p>
      <w:pPr>
        <w:snapToGrid w:val="0"/>
        <w:spacing w:line="460" w:lineRule="exact"/>
        <w:ind w:firstLine="602" w:firstLineChars="200"/>
        <w:rPr>
          <w:rStyle w:val="51"/>
          <w:rFonts w:hint="eastAsia" w:ascii="仿宋" w:hAnsi="仿宋" w:eastAsia="仿宋" w:cs="Arial"/>
          <w:b/>
          <w:bCs/>
          <w:sz w:val="30"/>
          <w:szCs w:val="30"/>
          <w:lang w:eastAsia="zh-CN"/>
        </w:rPr>
      </w:pPr>
      <w:r>
        <w:rPr>
          <w:rFonts w:hint="eastAsia" w:ascii="仿宋" w:hAnsi="仿宋" w:eastAsia="仿宋" w:cs="Arial"/>
          <w:b/>
          <w:bCs/>
          <w:sz w:val="30"/>
          <w:szCs w:val="30"/>
          <w:lang w:eastAsia="zh-CN"/>
        </w:rPr>
        <w:t xml:space="preserve"> </w:t>
      </w:r>
      <w:bookmarkEnd w:id="8"/>
    </w:p>
    <w:p>
      <w:pPr>
        <w:snapToGrid w:val="0"/>
        <w:spacing w:line="460" w:lineRule="exact"/>
        <w:ind w:firstLine="301" w:firstLineChars="100"/>
        <w:rPr>
          <w:rFonts w:ascii="仿宋" w:hAnsi="仿宋" w:eastAsia="仿宋" w:cs="Arial"/>
          <w:b/>
          <w:bCs/>
          <w:sz w:val="30"/>
          <w:szCs w:val="30"/>
        </w:rPr>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合格响应方的资格要求</w:t>
      </w:r>
    </w:p>
    <w:p>
      <w:pPr>
        <w:snapToGrid w:val="0"/>
        <w:spacing w:line="460" w:lineRule="exact"/>
        <w:ind w:firstLine="560" w:firstLineChars="200"/>
        <w:rPr>
          <w:rFonts w:ascii="仿宋" w:hAnsi="仿宋" w:eastAsia="仿宋"/>
          <w:sz w:val="28"/>
          <w:szCs w:val="28"/>
        </w:rPr>
      </w:pPr>
      <w:r>
        <w:rPr>
          <w:rFonts w:hint="eastAsia" w:ascii="仿宋" w:hAnsi="仿宋" w:eastAsia="仿宋" w:cs="Arial"/>
          <w:bCs/>
          <w:sz w:val="28"/>
          <w:szCs w:val="28"/>
        </w:rPr>
        <w:t>符合《中华人民共和国政府采购法》第二十二条和浙财采监【</w:t>
      </w:r>
      <w:r>
        <w:rPr>
          <w:rFonts w:ascii="仿宋" w:hAnsi="仿宋" w:eastAsia="仿宋" w:cs="Arial"/>
          <w:bCs/>
          <w:sz w:val="28"/>
          <w:szCs w:val="28"/>
        </w:rPr>
        <w:t>2013</w:t>
      </w:r>
      <w:r>
        <w:rPr>
          <w:rFonts w:hint="eastAsia" w:ascii="仿宋" w:hAnsi="仿宋" w:eastAsia="仿宋" w:cs="Arial"/>
          <w:bCs/>
          <w:sz w:val="28"/>
          <w:szCs w:val="28"/>
        </w:rPr>
        <w:t>】</w:t>
      </w:r>
      <w:r>
        <w:rPr>
          <w:rFonts w:ascii="仿宋" w:hAnsi="仿宋" w:eastAsia="仿宋" w:cs="Arial"/>
          <w:bCs/>
          <w:sz w:val="28"/>
          <w:szCs w:val="28"/>
        </w:rPr>
        <w:t>24</w:t>
      </w:r>
      <w:r>
        <w:rPr>
          <w:rFonts w:hint="eastAsia" w:ascii="仿宋" w:hAnsi="仿宋" w:eastAsia="仿宋" w:cs="Arial"/>
          <w:bCs/>
          <w:sz w:val="28"/>
          <w:szCs w:val="28"/>
        </w:rPr>
        <w:t>号《关于规范政府采购供应商资格设定及资格审查的通知》第六条规定</w:t>
      </w:r>
      <w:r>
        <w:rPr>
          <w:rFonts w:ascii="仿宋" w:hAnsi="仿宋" w:eastAsia="仿宋" w:cs="Arial"/>
          <w:bCs/>
          <w:sz w:val="28"/>
          <w:szCs w:val="28"/>
        </w:rPr>
        <w:t>,</w:t>
      </w:r>
      <w:r>
        <w:rPr>
          <w:rFonts w:hint="eastAsia" w:ascii="仿宋" w:hAnsi="仿宋" w:eastAsia="仿宋" w:cs="Arial"/>
          <w:bCs/>
          <w:sz w:val="28"/>
          <w:szCs w:val="28"/>
        </w:rPr>
        <w:t>且未被</w:t>
      </w:r>
      <w:r>
        <w:rPr>
          <w:rFonts w:hint="eastAsia" w:ascii="仿宋" w:hAnsi="仿宋" w:eastAsia="仿宋"/>
          <w:sz w:val="28"/>
          <w:szCs w:val="28"/>
        </w:rPr>
        <w:t>“信用中国”（</w:t>
      </w:r>
      <w:r>
        <w:rPr>
          <w:rFonts w:ascii="仿宋" w:hAnsi="仿宋" w:eastAsia="仿宋"/>
          <w:sz w:val="28"/>
          <w:szCs w:val="28"/>
        </w:rPr>
        <w:t>www.creditchina.gov.cn</w:t>
      </w:r>
      <w:r>
        <w:rPr>
          <w:rFonts w:hint="eastAsia" w:ascii="仿宋" w:hAnsi="仿宋" w:eastAsia="仿宋"/>
          <w:sz w:val="28"/>
          <w:szCs w:val="28"/>
        </w:rPr>
        <w:t>）、中国政府采购网（</w:t>
      </w:r>
      <w:r>
        <w:rPr>
          <w:rFonts w:ascii="仿宋" w:hAnsi="仿宋" w:eastAsia="仿宋"/>
          <w:sz w:val="28"/>
          <w:szCs w:val="28"/>
        </w:rPr>
        <w:t>www.ccgp.gov.cn</w:t>
      </w:r>
      <w:r>
        <w:rPr>
          <w:rFonts w:hint="eastAsia" w:ascii="仿宋" w:hAnsi="仿宋" w:eastAsia="仿宋"/>
          <w:sz w:val="28"/>
          <w:szCs w:val="28"/>
        </w:rPr>
        <w:t>）列入失信被执行人、重大税收违法案件当事人名单、政府采购严重违法失信行为记录名单。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单一来源响应方的特定条件：</w:t>
      </w:r>
      <w:r>
        <w:rPr>
          <w:rFonts w:hint="eastAsia" w:ascii="仿宋" w:hAnsi="仿宋" w:eastAsia="仿宋" w:cs="Arial"/>
          <w:b/>
          <w:bCs/>
          <w:color w:val="000000"/>
          <w:sz w:val="30"/>
          <w:szCs w:val="30"/>
          <w:lang w:eastAsia="zh-CN"/>
        </w:rPr>
        <w:t>无</w:t>
      </w:r>
    </w:p>
    <w:p>
      <w:pPr>
        <w:snapToGrid w:val="0"/>
        <w:spacing w:line="460" w:lineRule="exact"/>
        <w:ind w:firstLine="602" w:firstLineChars="200"/>
        <w:rPr>
          <w:rFonts w:hint="eastAsia" w:ascii="仿宋" w:hAnsi="仿宋" w:eastAsia="仿宋"/>
          <w:b/>
          <w:bCs/>
          <w:sz w:val="30"/>
          <w:szCs w:val="30"/>
          <w:lang w:eastAsia="zh-CN"/>
        </w:rPr>
      </w:pPr>
      <w:bookmarkStart w:id="9" w:name="PO_419_PM006"/>
      <w:r>
        <w:rPr>
          <w:rFonts w:hint="eastAsia" w:ascii="仿宋" w:hAnsi="仿宋" w:eastAsia="仿宋"/>
          <w:b/>
          <w:bCs/>
          <w:sz w:val="30"/>
          <w:szCs w:val="30"/>
          <w:lang w:eastAsia="zh-CN"/>
        </w:rPr>
        <w:t xml:space="preserve"> </w:t>
      </w:r>
      <w:bookmarkEnd w:id="9"/>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ascii="仿宋" w:hAnsi="仿宋" w:eastAsia="仿宋" w:cs="仿宋"/>
          <w:color w:val="000000"/>
          <w:kern w:val="0"/>
          <w:sz w:val="30"/>
          <w:szCs w:val="30"/>
        </w:rPr>
      </w:pPr>
      <w:r>
        <w:rPr>
          <w:rFonts w:hint="eastAsia" w:ascii="仿宋" w:hAnsi="仿宋" w:eastAsia="仿宋" w:cs="Arial"/>
          <w:sz w:val="30"/>
          <w:szCs w:val="30"/>
        </w:rPr>
        <w:t>时间：</w:t>
      </w:r>
      <w:bookmarkStart w:id="10" w:name="PO_15526_PM015"/>
      <w:r>
        <w:rPr>
          <w:rFonts w:hint="eastAsia" w:ascii="仿宋" w:hAnsi="仿宋" w:eastAsia="仿宋" w:cs="Arial"/>
          <w:sz w:val="30"/>
          <w:szCs w:val="30"/>
          <w:lang w:eastAsia="zh-CN"/>
        </w:rPr>
        <w:t>2022-08-17 09:00:00</w:t>
      </w:r>
      <w:bookmarkEnd w:id="10"/>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地点：杭州市环城北路</w:t>
      </w:r>
      <w:r>
        <w:rPr>
          <w:rFonts w:ascii="仿宋" w:hAnsi="仿宋" w:eastAsia="仿宋" w:cs="Arial"/>
          <w:sz w:val="30"/>
          <w:szCs w:val="30"/>
        </w:rPr>
        <w:t>305</w:t>
      </w:r>
      <w:r>
        <w:rPr>
          <w:rFonts w:hint="eastAsia" w:ascii="仿宋" w:hAnsi="仿宋" w:eastAsia="仿宋" w:cs="Arial"/>
          <w:sz w:val="30"/>
          <w:szCs w:val="30"/>
        </w:rPr>
        <w:t>号耀江发展中心</w:t>
      </w:r>
      <w:bookmarkStart w:id="11" w:name="谈判地址1"/>
      <w:bookmarkEnd w:id="11"/>
      <w:r>
        <w:rPr>
          <w:rFonts w:hint="eastAsia" w:ascii="仿宋" w:hAnsi="仿宋" w:eastAsia="仿宋" w:cs="Arial"/>
          <w:sz w:val="30"/>
          <w:szCs w:val="30"/>
        </w:rPr>
        <w:t>楼</w:t>
      </w:r>
      <w:bookmarkStart w:id="12" w:name="PO_15526_PM016"/>
      <w:r>
        <w:rPr>
          <w:rFonts w:hint="eastAsia" w:ascii="仿宋" w:hAnsi="仿宋" w:eastAsia="仿宋" w:cs="Arial"/>
          <w:sz w:val="30"/>
          <w:szCs w:val="30"/>
          <w:lang w:eastAsia="zh-CN"/>
        </w:rPr>
        <w:t>拱墅区杭州市环城北路305号耀江发展中心 3A（四楼）06开标室</w:t>
      </w:r>
      <w:bookmarkEnd w:id="12"/>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w:t>
      </w:r>
      <w:r>
        <w:rPr>
          <w:rFonts w:hint="eastAsia" w:ascii="宋体" w:hAnsi="宋体" w:cs="Arial"/>
          <w:b/>
          <w:bCs/>
          <w:sz w:val="30"/>
          <w:szCs w:val="30"/>
        </w:rPr>
        <w:t>单一来源响应截止时间和地点</w:t>
      </w:r>
      <w:r>
        <w:rPr>
          <w:rFonts w:hint="eastAsia" w:ascii="仿宋" w:hAnsi="仿宋" w:eastAsia="仿宋" w:cs="Arial"/>
          <w:b/>
          <w:bCs/>
          <w:sz w:val="30"/>
          <w:szCs w:val="30"/>
        </w:rPr>
        <w:t>：</w:t>
      </w:r>
    </w:p>
    <w:p>
      <w:pPr>
        <w:snapToGrid w:val="0"/>
        <w:spacing w:line="460" w:lineRule="exact"/>
        <w:ind w:firstLine="562" w:firstLineChars="200"/>
        <w:rPr>
          <w:rFonts w:ascii="仿宋" w:hAnsi="仿宋" w:eastAsia="仿宋" w:cs="Arial"/>
          <w:b/>
          <w:bCs/>
          <w:sz w:val="30"/>
          <w:szCs w:val="30"/>
        </w:rPr>
      </w:pPr>
      <w:r>
        <w:rPr>
          <w:rFonts w:hint="eastAsia" w:hAnsi="宋体"/>
          <w:b/>
          <w:color w:val="000000"/>
          <w:kern w:val="0"/>
          <w:sz w:val="28"/>
          <w:szCs w:val="28"/>
        </w:rPr>
        <w:t>投标截止时间：</w:t>
      </w:r>
      <w:r>
        <w:rPr>
          <w:rFonts w:ascii="仿宋" w:hAnsi="仿宋" w:eastAsia="仿宋" w:cs="Arial"/>
          <w:b/>
          <w:bCs/>
          <w:sz w:val="30"/>
          <w:szCs w:val="30"/>
        </w:rPr>
        <w:t xml:space="preserve"> </w:t>
      </w:r>
      <w:r>
        <w:rPr>
          <w:rFonts w:hint="eastAsia" w:ascii="仿宋" w:hAnsi="仿宋" w:eastAsia="仿宋" w:cs="Arial"/>
          <w:sz w:val="30"/>
          <w:szCs w:val="30"/>
        </w:rPr>
        <w:t>[项目采购-投标截止时间（开标时间）]</w:t>
      </w:r>
      <w:r>
        <w:rPr>
          <w:rFonts w:hint="eastAsia" w:ascii="仿宋" w:hAnsi="仿宋" w:eastAsia="仿宋" w:cs="Arial"/>
          <w:sz w:val="30"/>
          <w:szCs w:val="30"/>
          <w:lang w:eastAsia="zh-CN"/>
        </w:rPr>
        <w:t>2022-08-17 09:00:00</w:t>
      </w:r>
    </w:p>
    <w:p>
      <w:pPr>
        <w:pStyle w:val="22"/>
        <w:adjustRightInd w:val="0"/>
        <w:snapToGrid w:val="0"/>
        <w:spacing w:beforeLines="0" w:afterLines="0" w:line="500" w:lineRule="exact"/>
        <w:ind w:firstLine="565" w:firstLineChars="201"/>
        <w:rPr>
          <w:rFonts w:hAnsi="宋体"/>
          <w:b/>
          <w:bCs/>
          <w:kern w:val="0"/>
          <w:sz w:val="28"/>
          <w:szCs w:val="28"/>
        </w:rPr>
      </w:pPr>
      <w:r>
        <w:rPr>
          <w:rFonts w:hint="eastAsia" w:hAnsi="宋体"/>
          <w:b/>
          <w:bCs/>
          <w:kern w:val="0"/>
          <w:sz w:val="28"/>
          <w:szCs w:val="28"/>
        </w:rPr>
        <w:t>本项目实行电子投标。单一来源响应文件应按照本项目单一来源响应文件</w:t>
      </w:r>
      <w:r>
        <w:rPr>
          <w:rFonts w:hint="eastAsia" w:hAnsi="宋体"/>
          <w:b/>
          <w:bCs/>
          <w:sz w:val="28"/>
          <w:szCs w:val="28"/>
        </w:rPr>
        <w:t>和电子交易平台</w:t>
      </w:r>
      <w:r>
        <w:rPr>
          <w:rFonts w:hint="eastAsia" w:hAnsi="宋体"/>
          <w:b/>
          <w:bCs/>
          <w:kern w:val="0"/>
          <w:sz w:val="28"/>
          <w:szCs w:val="28"/>
        </w:rPr>
        <w:t>的要求编制、加密，并应当在投标截止时间前在规定电子交易平台完成传输递交，投标截止时间后送达的单一来源响应文件，将被电子交易平台拒收。</w:t>
      </w:r>
    </w:p>
    <w:p>
      <w:pPr>
        <w:pStyle w:val="22"/>
        <w:adjustRightInd w:val="0"/>
        <w:snapToGrid w:val="0"/>
        <w:spacing w:beforeLines="0" w:afterLines="0" w:line="500" w:lineRule="exact"/>
        <w:ind w:firstLine="565" w:firstLineChars="201"/>
        <w:rPr>
          <w:rFonts w:hAnsi="宋体"/>
          <w:b/>
          <w:bCs/>
          <w:kern w:val="0"/>
          <w:sz w:val="28"/>
          <w:szCs w:val="28"/>
        </w:rPr>
      </w:pPr>
      <w:r>
        <w:rPr>
          <w:rFonts w:hint="eastAsia" w:hAnsi="宋体"/>
          <w:b/>
          <w:bCs/>
          <w:kern w:val="0"/>
          <w:sz w:val="28"/>
          <w:szCs w:val="28"/>
        </w:rPr>
        <w:t>如认为需要，单一来源响应方可以选择递交备份单一来源响应文件，采用数据电文形式，以U盘或DVD光盘形式存储，并在投标截止时间前，通过邮寄方式，送达指定地点，逾期送达或未密封将被拒收。</w:t>
      </w:r>
    </w:p>
    <w:p>
      <w:pPr>
        <w:pStyle w:val="2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备份文件填写收件人：</w:t>
      </w:r>
      <w:r>
        <w:rPr>
          <w:rFonts w:hint="eastAsia" w:hAnsi="宋体"/>
          <w:kern w:val="0"/>
          <w:sz w:val="28"/>
          <w:szCs w:val="28"/>
          <w:lang w:eastAsia="zh-CN"/>
        </w:rPr>
        <w:t>陶老师</w:t>
      </w:r>
      <w:r>
        <w:rPr>
          <w:rFonts w:hint="eastAsia" w:hAnsi="宋体"/>
          <w:kern w:val="0"/>
          <w:sz w:val="28"/>
          <w:szCs w:val="28"/>
        </w:rPr>
        <w:t>，联系方式：</w:t>
      </w:r>
      <w:r>
        <w:rPr>
          <w:rFonts w:hint="eastAsia" w:hAnsi="宋体"/>
          <w:kern w:val="0"/>
          <w:sz w:val="28"/>
          <w:szCs w:val="28"/>
          <w:lang w:val="en-US" w:eastAsia="zh-CN"/>
        </w:rPr>
        <w:t>0571-88901836</w:t>
      </w:r>
      <w:r>
        <w:rPr>
          <w:rFonts w:hint="eastAsia" w:hAnsi="宋体"/>
          <w:kern w:val="0"/>
          <w:sz w:val="28"/>
          <w:szCs w:val="28"/>
        </w:rPr>
        <w:t>，收件地址：浙江省杭州市下城区环城北路305号耀江发展中心三楼北面浙江省政府采购中心302会议室。（疫情期间仅接收邮寄方式递交的备份电子单一来源响应文件,因本大楼疫情管控，推荐使用中国邮政速递和顺丰快递。）</w:t>
      </w:r>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本项目拒绝接受纸质</w:t>
      </w:r>
      <w:r>
        <w:rPr>
          <w:rFonts w:hint="eastAsia" w:hAnsi="宋体"/>
          <w:b/>
          <w:bCs/>
          <w:kern w:val="0"/>
          <w:sz w:val="28"/>
          <w:szCs w:val="28"/>
        </w:rPr>
        <w:t>单一来源响应</w:t>
      </w:r>
      <w:r>
        <w:rPr>
          <w:rFonts w:hint="eastAsia" w:ascii="仿宋" w:hAnsi="仿宋" w:eastAsia="仿宋" w:cs="Arial"/>
          <w:b/>
          <w:bCs/>
          <w:sz w:val="30"/>
          <w:szCs w:val="30"/>
        </w:rPr>
        <w:t>文件。</w:t>
      </w: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hint="eastAsia" w:ascii="仿宋" w:hAnsi="仿宋" w:eastAsia="仿宋" w:cs="Arial"/>
          <w:b/>
          <w:sz w:val="30"/>
          <w:szCs w:val="30"/>
        </w:rPr>
      </w:pP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rPr>
        <w:t>六、业务咨询：</w:t>
      </w:r>
    </w:p>
    <w:tbl>
      <w:tblPr>
        <w:tblStyle w:val="43"/>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3" w:name="PO_15528_PM032"/>
            <w:r>
              <w:rPr>
                <w:rFonts w:hint="eastAsia" w:ascii="仿宋" w:hAnsi="仿宋" w:eastAsia="仿宋" w:cs="仿宋"/>
                <w:sz w:val="28"/>
                <w:szCs w:val="28"/>
                <w:lang w:eastAsia="zh-CN"/>
              </w:rPr>
              <w:t>商红娟</w:t>
            </w:r>
            <w:bookmarkEnd w:id="13"/>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4" w:name="PO_15528_PM033"/>
            <w:r>
              <w:rPr>
                <w:rFonts w:hint="eastAsia" w:ascii="仿宋" w:hAnsi="仿宋" w:eastAsia="仿宋" w:cs="仿宋"/>
                <w:sz w:val="28"/>
                <w:szCs w:val="28"/>
                <w:lang w:eastAsia="zh-CN"/>
              </w:rPr>
              <w:t>0571-88907706</w:t>
            </w:r>
            <w:bookmarkEnd w:id="14"/>
          </w:p>
        </w:tc>
        <w:tc>
          <w:tcPr>
            <w:tcW w:w="2066" w:type="dxa"/>
            <w:vMerge w:val="restart"/>
            <w:tcBorders>
              <w:top w:val="single" w:color="auto" w:sz="4" w:space="0"/>
              <w:left w:val="single" w:color="auto" w:sz="4" w:space="0"/>
              <w:right w:val="single" w:color="auto" w:sz="4" w:space="0"/>
            </w:tcBorders>
          </w:tcPr>
          <w:p>
            <w:pPr>
              <w:spacing w:line="480" w:lineRule="exact"/>
              <w:jc w:val="center"/>
              <w:rPr>
                <w:rFonts w:hint="eastAsia" w:ascii="仿宋" w:hAnsi="仿宋" w:eastAsia="仿宋" w:cs="仿宋"/>
                <w:sz w:val="28"/>
                <w:szCs w:val="28"/>
                <w:lang w:val="en-US" w:eastAsia="zh-CN"/>
              </w:rPr>
            </w:pPr>
            <w:bookmarkStart w:id="15" w:name="PO_15528_PM034"/>
          </w:p>
          <w:p>
            <w:pPr>
              <w:spacing w:line="480" w:lineRule="exact"/>
              <w:jc w:val="center"/>
              <w:rPr>
                <w:rFonts w:hint="eastAsia" w:ascii="仿宋" w:hAnsi="仿宋" w:eastAsia="仿宋" w:cs="仿宋"/>
                <w:sz w:val="28"/>
                <w:szCs w:val="28"/>
                <w:lang w:val="en-US" w:eastAsia="zh-CN"/>
              </w:rPr>
            </w:pPr>
          </w:p>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0571-88907751</w:t>
            </w:r>
            <w:r>
              <w:rPr>
                <w:rFonts w:hint="eastAsia" w:ascii="仿宋" w:hAnsi="仿宋" w:eastAsia="仿宋" w:cs="仿宋"/>
                <w:sz w:val="28"/>
                <w:szCs w:val="28"/>
                <w:lang w:eastAsia="zh-CN"/>
              </w:rPr>
              <w:t xml:space="preserve"> </w:t>
            </w:r>
            <w:bookmarkEnd w:id="15"/>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6" w:name="PO_409_PM001385"/>
            <w:r>
              <w:rPr>
                <w:rFonts w:hint="eastAsia" w:ascii="仿宋" w:hAnsi="仿宋" w:eastAsia="仿宋" w:cs="仿宋"/>
                <w:sz w:val="28"/>
                <w:szCs w:val="28"/>
                <w:lang w:eastAsia="zh-CN"/>
              </w:rPr>
              <w:t>办公室</w:t>
            </w:r>
            <w:bookmarkEnd w:id="16"/>
            <w:r>
              <w:rPr>
                <w:rFonts w:hint="eastAsia" w:ascii="仿宋" w:hAnsi="仿宋" w:eastAsia="仿宋" w:cs="仿宋"/>
                <w:sz w:val="28"/>
                <w:szCs w:val="28"/>
                <w:lang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泓</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0571-88901833</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60" w:lineRule="exact"/>
        <w:ind w:firstLine="569" w:firstLineChars="189"/>
        <w:rPr>
          <w:rFonts w:ascii="仿宋" w:hAnsi="仿宋" w:eastAsia="仿宋" w:cs="Arial"/>
          <w:b/>
          <w:sz w:val="30"/>
          <w:szCs w:val="30"/>
        </w:rPr>
      </w:pPr>
    </w:p>
    <w:p>
      <w:bookmarkStart w:id="17" w:name="_Toc451268215"/>
    </w:p>
    <w:p>
      <w:pPr>
        <w:snapToGrid w:val="0"/>
        <w:spacing w:line="500" w:lineRule="exact"/>
        <w:rPr>
          <w:rFonts w:ascii="宋体" w:hAnsi="宋体" w:cs="Arial"/>
          <w:b/>
          <w:bCs/>
          <w:sz w:val="28"/>
          <w:szCs w:val="28"/>
        </w:rPr>
      </w:pPr>
      <w:r>
        <w:rPr>
          <w:rFonts w:hint="eastAsia" w:ascii="仿宋" w:hAnsi="仿宋" w:eastAsia="仿宋" w:cs="Arial"/>
          <w:b/>
          <w:bCs/>
          <w:color w:val="000000"/>
          <w:sz w:val="30"/>
          <w:szCs w:val="30"/>
        </w:rPr>
        <w:t>七、</w:t>
      </w:r>
      <w:r>
        <w:rPr>
          <w:rFonts w:hint="eastAsia" w:ascii="宋体" w:hAnsi="宋体" w:cs="Arial"/>
          <w:b/>
          <w:bCs/>
          <w:sz w:val="28"/>
          <w:szCs w:val="28"/>
        </w:rPr>
        <w:t>采购需求和项目监督</w:t>
      </w:r>
    </w:p>
    <w:p>
      <w:pPr>
        <w:snapToGrid w:val="0"/>
        <w:spacing w:line="500" w:lineRule="exact"/>
        <w:ind w:firstLine="600" w:firstLineChars="200"/>
        <w:rPr>
          <w:rFonts w:hint="eastAsia" w:ascii="仿宋_GB2312" w:hAnsi="仿宋" w:eastAsia="仿宋_GB2312"/>
          <w:color w:val="000000"/>
          <w:sz w:val="30"/>
          <w:szCs w:val="30"/>
          <w:vertAlign w:val="baseline"/>
          <w:lang w:eastAsia="zh-CN"/>
        </w:rPr>
      </w:pPr>
      <w:bookmarkStart w:id="18" w:name="PO_15528_PM001384_1"/>
      <w:r>
        <w:rPr>
          <w:rFonts w:hint="eastAsia" w:ascii="仿宋_GB2312" w:hAnsi="仿宋" w:eastAsia="仿宋_GB2312"/>
          <w:color w:val="000000"/>
          <w:sz w:val="30"/>
          <w:szCs w:val="30"/>
          <w:lang w:eastAsia="zh-CN"/>
        </w:rPr>
        <w:t xml:space="preserve"> </w:t>
      </w:r>
      <w:bookmarkEnd w:id="18"/>
      <w:bookmarkStart w:id="19" w:name="PO_TDCUS_ITEM_PRC_TITLE_1_0"/>
      <w:r>
        <w:rPr>
          <w:rFonts w:hint="eastAsia" w:ascii="仿宋_GB2312" w:hAnsi="仿宋" w:eastAsia="仿宋_GB2312"/>
          <w:color w:val="000000"/>
          <w:sz w:val="30"/>
          <w:szCs w:val="30"/>
          <w:lang w:eastAsia="zh-CN"/>
        </w:rPr>
        <w:t>标项1：</w:t>
      </w:r>
      <w:bookmarkEnd w:id="19"/>
      <w:bookmarkStart w:id="20" w:name="PO_TDCUS_ITEM_PRC_TABLE_1_1_0"/>
      <w:r>
        <w:rPr>
          <w:rFonts w:hint="eastAsia" w:ascii="仿宋_GB2312" w:hAnsi="仿宋" w:eastAsia="仿宋_GB2312"/>
          <w:color w:val="000000"/>
          <w:sz w:val="30"/>
          <w:szCs w:val="30"/>
          <w:lang w:eastAsia="zh-CN"/>
        </w:rPr>
        <w:t xml:space="preserve"> </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浙江省交通运输信息中心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杭州市上城区五星路206号明珠国际商务中心5号楼3层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倪志成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0571-87819265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p>
        </w:tc>
      </w:tr>
    </w:tbl>
    <w:p>
      <w:pPr>
        <w:snapToGrid w:val="0"/>
        <w:spacing w:line="500" w:lineRule="exact"/>
        <w:ind w:firstLine="600" w:firstLineChars="200"/>
        <w:rPr>
          <w:rFonts w:hint="eastAsia" w:ascii="仿宋_GB2312" w:hAnsi="仿宋" w:eastAsia="仿宋_GB2312"/>
          <w:color w:val="000000"/>
          <w:sz w:val="30"/>
          <w:szCs w:val="30"/>
          <w:lang w:eastAsia="zh-CN"/>
        </w:rPr>
      </w:pPr>
    </w:p>
    <w:p>
      <w:pPr>
        <w:snapToGrid w:val="0"/>
        <w:spacing w:line="500" w:lineRule="exact"/>
        <w:ind w:firstLine="600" w:firstLineChars="200"/>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lang w:eastAsia="zh-CN"/>
        </w:rPr>
        <w:t xml:space="preserve"> </w:t>
      </w:r>
      <w:bookmarkEnd w:id="20"/>
      <w:bookmarkStart w:id="21" w:name="PO_TDCUS_ITEM_PRC_TITLE_2_0"/>
      <w:r>
        <w:rPr>
          <w:rFonts w:hint="eastAsia" w:ascii="仿宋_GB2312" w:hAnsi="仿宋" w:eastAsia="仿宋_GB2312"/>
          <w:color w:val="000000"/>
          <w:sz w:val="30"/>
          <w:szCs w:val="30"/>
          <w:lang w:eastAsia="zh-CN"/>
        </w:rPr>
        <w:t>标项2：</w:t>
      </w:r>
      <w:bookmarkEnd w:id="21"/>
      <w:bookmarkStart w:id="22" w:name="PO_TDCUS_ITEM_PRC_TABLE_2_1_0"/>
      <w:r>
        <w:rPr>
          <w:rFonts w:hint="eastAsia" w:ascii="仿宋_GB2312" w:hAnsi="仿宋" w:eastAsia="仿宋_GB2312"/>
          <w:color w:val="000000"/>
          <w:sz w:val="30"/>
          <w:szCs w:val="30"/>
          <w:lang w:eastAsia="zh-CN"/>
        </w:rPr>
        <w:t xml:space="preserve"> </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浙江省交通运输信息中心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杭州市上城区五星路206号明珠国际商务中心5号楼3层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倪志成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0571-87819265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传真</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val="0"/>
              <w:spacing w:line="500" w:lineRule="exact"/>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备注</w:t>
            </w:r>
          </w:p>
        </w:tc>
        <w:tc>
          <w:tcPr>
            <w:tcW w:w="4261" w:type="dxa"/>
          </w:tcPr>
          <w:p>
            <w:pPr>
              <w:snapToGrid w:val="0"/>
              <w:spacing w:line="500" w:lineRule="exact"/>
              <w:rPr>
                <w:rFonts w:hint="eastAsia" w:ascii="仿宋_GB2312" w:hAnsi="仿宋" w:eastAsia="仿宋_GB2312"/>
                <w:color w:val="000000"/>
                <w:sz w:val="30"/>
                <w:szCs w:val="30"/>
                <w:vertAlign w:val="baseline"/>
                <w:lang w:eastAsia="zh-CN"/>
              </w:rPr>
            </w:pPr>
          </w:p>
        </w:tc>
      </w:tr>
    </w:tbl>
    <w:p>
      <w:pPr>
        <w:snapToGrid w:val="0"/>
        <w:spacing w:line="500" w:lineRule="exact"/>
        <w:ind w:firstLine="600" w:firstLineChars="200"/>
        <w:rPr>
          <w:rFonts w:hint="eastAsia" w:ascii="宋体" w:hAnsi="宋体" w:eastAsia="宋体" w:cs="Arial"/>
          <w:b/>
          <w:bCs/>
          <w:sz w:val="28"/>
          <w:szCs w:val="28"/>
          <w:lang w:eastAsia="zh-CN"/>
        </w:rPr>
      </w:pPr>
      <w:r>
        <w:rPr>
          <w:rFonts w:hint="eastAsia" w:ascii="仿宋_GB2312" w:hAnsi="仿宋" w:eastAsia="仿宋_GB2312"/>
          <w:color w:val="000000"/>
          <w:sz w:val="30"/>
          <w:szCs w:val="30"/>
          <w:lang w:eastAsia="zh-CN"/>
        </w:rPr>
        <w:t xml:space="preserve"> </w:t>
      </w:r>
      <w:bookmarkEnd w:id="22"/>
    </w:p>
    <w:p>
      <w:pPr>
        <w:snapToGrid w:val="0"/>
        <w:spacing w:line="440" w:lineRule="exact"/>
        <w:ind w:firstLine="420" w:firstLineChars="200"/>
      </w:pPr>
    </w:p>
    <w:p>
      <w:pPr>
        <w:spacing w:line="480" w:lineRule="exact"/>
        <w:jc w:val="right"/>
        <w:rPr>
          <w:spacing w:val="20"/>
          <w:u w:val="single"/>
        </w:rPr>
      </w:pPr>
      <w:r>
        <w:rPr>
          <w:rFonts w:hint="eastAsia" w:ascii="仿宋" w:hAnsi="仿宋" w:eastAsia="仿宋" w:cs="仿宋"/>
          <w:sz w:val="28"/>
          <w:szCs w:val="28"/>
        </w:rPr>
        <w:t>浙江省政府采购中心</w:t>
      </w:r>
      <w:bookmarkEnd w:id="17"/>
    </w:p>
    <w:p>
      <w:pPr>
        <w:pStyle w:val="40"/>
        <w:rPr>
          <w:sz w:val="30"/>
          <w:szCs w:val="30"/>
        </w:rPr>
      </w:pPr>
      <w:r>
        <w:br w:type="page"/>
      </w:r>
      <w:bookmarkStart w:id="23" w:name="_Toc510136959"/>
      <w:bookmarkStart w:id="24" w:name="_Toc451268216"/>
      <w:r>
        <w:rPr>
          <w:rFonts w:hint="eastAsia"/>
        </w:rPr>
        <w:t>第二章</w:t>
      </w:r>
      <w:r>
        <w:rPr>
          <w:rFonts w:hint="eastAsia"/>
          <w:lang w:val="en-US" w:eastAsia="zh-CN"/>
        </w:rPr>
        <w:t xml:space="preserve">   </w:t>
      </w:r>
      <w:r>
        <w:rPr>
          <w:rFonts w:hint="eastAsia"/>
        </w:rPr>
        <w:t>响应方须知</w:t>
      </w:r>
      <w:bookmarkEnd w:id="23"/>
      <w:bookmarkEnd w:id="24"/>
    </w:p>
    <w:p>
      <w:pPr>
        <w:autoSpaceDE w:val="0"/>
        <w:autoSpaceDN w:val="0"/>
        <w:snapToGrid w:val="0"/>
        <w:spacing w:line="460" w:lineRule="exact"/>
        <w:textAlignment w:val="bottom"/>
        <w:rPr>
          <w:rFonts w:ascii="仿宋" w:hAnsi="仿宋" w:eastAsia="仿宋"/>
          <w:sz w:val="30"/>
          <w:szCs w:val="30"/>
        </w:rPr>
      </w:pPr>
      <w:bookmarkStart w:id="25" w:name="_Toc451268217"/>
      <w:r>
        <w:rPr>
          <w:rFonts w:hint="eastAsia" w:ascii="仿宋" w:hAnsi="仿宋" w:eastAsia="仿宋"/>
          <w:sz w:val="30"/>
          <w:szCs w:val="30"/>
        </w:rPr>
        <w:t>前附表</w:t>
      </w:r>
      <w:bookmarkEnd w:id="25"/>
    </w:p>
    <w:tbl>
      <w:tblPr>
        <w:tblStyle w:val="43"/>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418"/>
        <w:gridCol w:w="22"/>
        <w:gridCol w:w="6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418" w:type="dxa"/>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内容</w:t>
            </w:r>
          </w:p>
        </w:tc>
        <w:tc>
          <w:tcPr>
            <w:tcW w:w="6662" w:type="dxa"/>
            <w:gridSpan w:val="2"/>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1</w:t>
            </w:r>
          </w:p>
        </w:tc>
        <w:tc>
          <w:tcPr>
            <w:tcW w:w="1418" w:type="dxa"/>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项目名称及数量</w:t>
            </w:r>
          </w:p>
        </w:tc>
        <w:tc>
          <w:tcPr>
            <w:tcW w:w="6662" w:type="dxa"/>
            <w:gridSpan w:val="2"/>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中小企业预留份额情况</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根据《政府采购促进中小企业发展管理办法》财库〔</w:t>
            </w:r>
            <w:r>
              <w:rPr>
                <w:rFonts w:ascii="仿宋" w:hAnsi="仿宋" w:eastAsia="仿宋"/>
                <w:sz w:val="24"/>
                <w:szCs w:val="24"/>
              </w:rPr>
              <w:t>2020〕46号</w:t>
            </w:r>
            <w:r>
              <w:rPr>
                <w:rFonts w:hint="eastAsia" w:ascii="仿宋" w:hAnsi="仿宋" w:eastAsia="仿宋"/>
                <w:sz w:val="24"/>
                <w:szCs w:val="24"/>
              </w:rPr>
              <w:t>文件的规定，本项目</w:t>
            </w:r>
            <w:r>
              <w:rPr>
                <w:rFonts w:hint="eastAsia" w:ascii="仿宋" w:hAnsi="仿宋" w:eastAsia="仿宋"/>
                <w:sz w:val="24"/>
                <w:szCs w:val="24"/>
                <w:lang w:eastAsia="zh-CN"/>
              </w:rPr>
              <w:t>标项</w:t>
            </w:r>
            <w:r>
              <w:rPr>
                <w:rFonts w:hint="eastAsia" w:ascii="仿宋" w:hAnsi="仿宋" w:eastAsia="仿宋"/>
                <w:sz w:val="24"/>
                <w:szCs w:val="24"/>
                <w:lang w:val="en-US" w:eastAsia="zh-CN"/>
              </w:rPr>
              <w:t>1</w:t>
            </w:r>
            <w:r>
              <w:rPr>
                <w:rFonts w:hint="eastAsia" w:ascii="仿宋" w:hAnsi="仿宋" w:eastAsia="仿宋"/>
                <w:sz w:val="24"/>
                <w:szCs w:val="24"/>
                <w:lang w:eastAsia="zh-CN"/>
              </w:rPr>
              <w:t>、标项</w:t>
            </w:r>
            <w:r>
              <w:rPr>
                <w:rFonts w:hint="eastAsia" w:ascii="仿宋" w:hAnsi="仿宋" w:eastAsia="仿宋"/>
                <w:sz w:val="24"/>
                <w:szCs w:val="24"/>
                <w:lang w:val="en-US" w:eastAsia="zh-CN"/>
              </w:rPr>
              <w:t>2</w:t>
            </w:r>
            <w:r>
              <w:rPr>
                <w:rFonts w:hint="eastAsia" w:ascii="仿宋" w:hAnsi="仿宋" w:eastAsia="仿宋"/>
                <w:sz w:val="24"/>
                <w:szCs w:val="24"/>
                <w:lang w:eastAsia="zh-CN"/>
              </w:rPr>
              <w:t>不</w:t>
            </w:r>
            <w:r>
              <w:rPr>
                <w:rFonts w:hint="eastAsia" w:ascii="仿宋" w:hAnsi="仿宋" w:eastAsia="仿宋"/>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中小企业优惠措施</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pStyle w:val="161"/>
              <w:numPr>
                <w:ilvl w:val="0"/>
                <w:numId w:val="5"/>
              </w:numPr>
              <w:snapToGrid w:val="0"/>
              <w:spacing w:line="460" w:lineRule="exact"/>
              <w:ind w:firstLineChars="0"/>
              <w:rPr>
                <w:rFonts w:ascii="仿宋" w:hAnsi="仿宋" w:eastAsia="仿宋"/>
                <w:sz w:val="24"/>
                <w:szCs w:val="24"/>
              </w:rPr>
            </w:pPr>
            <w:r>
              <w:rPr>
                <w:rFonts w:hint="eastAsia" w:ascii="仿宋" w:hAnsi="仿宋" w:eastAsia="仿宋"/>
                <w:sz w:val="24"/>
                <w:szCs w:val="24"/>
              </w:rPr>
              <w:t xml:space="preserve">项目属性（  </w:t>
            </w:r>
            <w:r>
              <w:rPr>
                <w:rFonts w:hint="eastAsia" w:ascii="仿宋" w:hAnsi="仿宋" w:eastAsia="仿宋"/>
                <w:sz w:val="24"/>
                <w:szCs w:val="24"/>
                <w:lang w:eastAsia="zh-CN"/>
              </w:rPr>
              <w:t>服务类</w:t>
            </w:r>
            <w:r>
              <w:rPr>
                <w:rFonts w:hint="eastAsia" w:ascii="仿宋" w:hAnsi="仿宋" w:eastAsia="仿宋"/>
                <w:sz w:val="24"/>
                <w:szCs w:val="24"/>
              </w:rPr>
              <w:t xml:space="preserve">   ）</w:t>
            </w:r>
          </w:p>
          <w:p>
            <w:pPr>
              <w:pStyle w:val="161"/>
              <w:numPr>
                <w:ilvl w:val="0"/>
                <w:numId w:val="5"/>
              </w:numPr>
              <w:snapToGrid w:val="0"/>
              <w:spacing w:line="460" w:lineRule="exact"/>
              <w:ind w:firstLineChars="0"/>
              <w:rPr>
                <w:rFonts w:ascii="仿宋" w:hAnsi="仿宋" w:eastAsia="仿宋"/>
                <w:sz w:val="24"/>
                <w:szCs w:val="24"/>
              </w:rPr>
            </w:pPr>
            <w:r>
              <w:rPr>
                <w:rFonts w:hint="eastAsia" w:ascii="仿宋" w:hAnsi="仿宋" w:eastAsia="仿宋"/>
                <w:sz w:val="24"/>
                <w:szCs w:val="24"/>
              </w:rPr>
              <w:t>中小企业划分标准所属行业（具体根据</w:t>
            </w:r>
            <w:r>
              <w:rPr>
                <w:rFonts w:ascii="仿宋" w:hAnsi="仿宋" w:eastAsia="仿宋"/>
                <w:sz w:val="24"/>
                <w:szCs w:val="24"/>
              </w:rPr>
              <w:t>《中小企业划型标准规定》</w:t>
            </w:r>
            <w:r>
              <w:rPr>
                <w:rFonts w:hint="eastAsia" w:ascii="仿宋" w:hAnsi="仿宋" w:eastAsia="仿宋"/>
                <w:sz w:val="24"/>
                <w:szCs w:val="24"/>
              </w:rPr>
              <w:t>执行）</w:t>
            </w:r>
          </w:p>
          <w:p>
            <w:pPr>
              <w:snapToGrid w:val="0"/>
              <w:spacing w:line="460" w:lineRule="exact"/>
              <w:ind w:left="600"/>
              <w:rPr>
                <w:rFonts w:hint="eastAsia" w:ascii="仿宋" w:hAnsi="仿宋" w:eastAsia="仿宋" w:cs="Times New Roman"/>
                <w:b/>
                <w:bCs/>
                <w:kern w:val="2"/>
                <w:sz w:val="24"/>
                <w:szCs w:val="24"/>
                <w:lang w:val="en-US" w:eastAsia="zh-CN" w:bidi="ar-SA"/>
              </w:rPr>
            </w:pPr>
            <w:r>
              <w:rPr>
                <w:rFonts w:hint="eastAsia" w:ascii="仿宋" w:hAnsi="仿宋" w:eastAsia="仿宋"/>
                <w:sz w:val="24"/>
                <w:szCs w:val="24"/>
              </w:rPr>
              <w:t>采购标的：</w:t>
            </w:r>
            <w:r>
              <w:rPr>
                <w:rFonts w:hint="eastAsia" w:ascii="仿宋" w:hAnsi="仿宋" w:eastAsia="仿宋"/>
                <w:b/>
                <w:bCs/>
                <w:sz w:val="24"/>
                <w:szCs w:val="24"/>
                <w:lang w:eastAsia="zh-CN"/>
              </w:rPr>
              <w:t>标项</w:t>
            </w:r>
            <w:r>
              <w:rPr>
                <w:rFonts w:hint="eastAsia" w:ascii="仿宋" w:hAnsi="仿宋" w:eastAsia="仿宋"/>
                <w:b/>
                <w:bCs/>
                <w:sz w:val="24"/>
                <w:szCs w:val="24"/>
                <w:lang w:val="en-US" w:eastAsia="zh-CN"/>
              </w:rPr>
              <w:t>1：</w:t>
            </w:r>
            <w:r>
              <w:rPr>
                <w:rFonts w:hint="eastAsia" w:ascii="仿宋" w:hAnsi="仿宋" w:eastAsia="仿宋" w:cs="Times New Roman"/>
                <w:b/>
                <w:bCs/>
                <w:kern w:val="2"/>
                <w:sz w:val="24"/>
                <w:szCs w:val="24"/>
                <w:lang w:val="en-US" w:eastAsia="zh-CN" w:bidi="ar-SA"/>
              </w:rPr>
              <w:t>浙江省交通运输信息中心中国联通线路租用 ；标项2：浙江省交通运输信息中心中国电信线    路租用</w:t>
            </w:r>
          </w:p>
          <w:p>
            <w:pPr>
              <w:snapToGrid w:val="0"/>
              <w:spacing w:line="460" w:lineRule="exact"/>
              <w:ind w:left="600"/>
              <w:rPr>
                <w:rFonts w:ascii="仿宋" w:hAnsi="仿宋" w:eastAsia="仿宋"/>
                <w:sz w:val="24"/>
                <w:szCs w:val="24"/>
              </w:rPr>
            </w:pPr>
            <w:r>
              <w:rPr>
                <w:rFonts w:hint="eastAsia" w:ascii="仿宋" w:hAnsi="仿宋" w:eastAsia="仿宋"/>
                <w:sz w:val="24"/>
                <w:szCs w:val="24"/>
              </w:rPr>
              <w:t>所属行业：</w:t>
            </w:r>
            <w:r>
              <w:rPr>
                <w:rFonts w:hint="eastAsia" w:ascii="仿宋" w:hAnsi="仿宋" w:eastAsia="仿宋"/>
                <w:b/>
                <w:bCs/>
                <w:sz w:val="24"/>
                <w:szCs w:val="24"/>
                <w:lang w:eastAsia="zh-CN"/>
              </w:rPr>
              <w:t>电信和信息传输服务业</w:t>
            </w:r>
            <w:r>
              <w:rPr>
                <w:rFonts w:hint="eastAsia" w:ascii="仿宋" w:hAnsi="仿宋" w:eastAsia="仿宋"/>
                <w:b/>
                <w:bCs/>
                <w:sz w:val="24"/>
                <w:szCs w:val="24"/>
              </w:rPr>
              <w:t xml:space="preserve"> </w:t>
            </w:r>
            <w:r>
              <w:rPr>
                <w:rFonts w:hint="eastAsia" w:ascii="仿宋" w:hAnsi="仿宋" w:eastAsia="仿宋"/>
                <w:sz w:val="24"/>
                <w:szCs w:val="24"/>
              </w:rPr>
              <w:t xml:space="preserve">  </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3.根据财库[2017]141号的相关规定，在政府采购活动中，残疾人福利性单位视同小型、微型企业,并在单一来源响应文件中提供残疾人福利性单位声明函（见附件）。</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根据财库[2014]68号的相关规定，在政府采购活动中，监狱企业视同小型、微型企业，并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政府采购节能环保产品</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500" w:lineRule="exact"/>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440" w:type="dxa"/>
            <w:gridSpan w:val="2"/>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是否允许进口产品</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6" w:name="PO_15528_PM042"/>
            <w:r>
              <w:rPr>
                <w:rFonts w:hint="eastAsia" w:ascii="仿宋" w:hAnsi="仿宋" w:eastAsia="仿宋"/>
                <w:sz w:val="24"/>
                <w:szCs w:val="24"/>
                <w:lang w:eastAsia="zh-CN"/>
              </w:rPr>
              <w:t>不允许进口产品</w:t>
            </w:r>
            <w:bookmarkEnd w:id="2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440" w:type="dxa"/>
            <w:gridSpan w:val="2"/>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7" w:name="PO_15528_PM044"/>
            <w:r>
              <w:rPr>
                <w:rFonts w:hint="eastAsia" w:ascii="仿宋" w:hAnsi="仿宋" w:eastAsia="仿宋"/>
                <w:sz w:val="24"/>
                <w:szCs w:val="24"/>
                <w:lang w:eastAsia="zh-CN"/>
              </w:rPr>
              <w:t>允许分包</w:t>
            </w:r>
            <w:bookmarkEnd w:id="27"/>
          </w:p>
          <w:p>
            <w:pPr>
              <w:spacing w:line="500" w:lineRule="exact"/>
              <w:rPr>
                <w:rFonts w:hint="eastAsia" w:ascii="仿宋" w:hAnsi="仿宋" w:eastAsia="仿宋"/>
                <w:sz w:val="24"/>
                <w:szCs w:val="24"/>
                <w:lang w:eastAsia="zh-CN"/>
              </w:rPr>
            </w:pPr>
            <w:r>
              <w:rPr>
                <w:rFonts w:hint="eastAsia" w:ascii="仿宋_GB2319" w:hAnsi="仿宋_GB2319" w:eastAsia="仿宋_GB2319" w:cs="仿宋_GB2319"/>
                <w:color w:val="000000"/>
                <w:kern w:val="2"/>
                <w:sz w:val="28"/>
                <w:szCs w:val="28"/>
                <w:lang w:val="en-US" w:eastAsia="zh-CN" w:bidi="ar-SA"/>
              </w:rPr>
              <w:t>注;当分包份额占到合同总金额100%时，视为转包。此情况根据《中华人民共和国政府采购法实施条例》（国务院令第658号）文件第七十二条规定，将依照政府采购法第七十七条第一款的规定追究相应法律责任。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440" w:type="dxa"/>
            <w:gridSpan w:val="2"/>
            <w:tcBorders>
              <w:top w:val="single" w:color="auto" w:sz="4" w:space="0"/>
              <w:left w:val="single" w:color="auto" w:sz="4" w:space="0"/>
              <w:bottom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8" w:name="PO_15528_PM007_1"/>
            <w:r>
              <w:rPr>
                <w:rFonts w:hint="eastAsia" w:ascii="仿宋" w:hAnsi="仿宋" w:eastAsia="仿宋"/>
                <w:sz w:val="24"/>
                <w:szCs w:val="24"/>
                <w:lang w:eastAsia="zh-CN"/>
              </w:rPr>
              <w:t>标项1:允许联合体投标;标项2:允许联合体投标</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440" w:type="dxa"/>
            <w:gridSpan w:val="2"/>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是否需要演示</w:t>
            </w:r>
          </w:p>
        </w:tc>
        <w:tc>
          <w:tcPr>
            <w:tcW w:w="6640" w:type="dxa"/>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lang w:eastAsia="zh-CN"/>
              </w:rPr>
            </w:pPr>
            <w:bookmarkStart w:id="29" w:name="PO_15526_PM041"/>
            <w:r>
              <w:rPr>
                <w:rFonts w:hint="eastAsia" w:ascii="仿宋" w:hAnsi="仿宋" w:eastAsia="仿宋"/>
                <w:sz w:val="24"/>
                <w:szCs w:val="24"/>
                <w:lang w:eastAsia="zh-CN"/>
              </w:rPr>
              <w:t>不进行演示</w:t>
            </w:r>
            <w:bookmarkEnd w:id="2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单一来源采购响应文件组成：由资质文件、技术及商务文件、报价组成。</w:t>
            </w:r>
          </w:p>
          <w:p>
            <w:pPr>
              <w:spacing w:line="500" w:lineRule="exact"/>
              <w:rPr>
                <w:rFonts w:ascii="仿宋" w:hAnsi="仿宋" w:eastAsia="仿宋"/>
                <w:sz w:val="24"/>
                <w:szCs w:val="24"/>
              </w:rPr>
            </w:pPr>
            <w:r>
              <w:rPr>
                <w:rFonts w:hint="eastAsia" w:ascii="仿宋" w:hAnsi="仿宋" w:eastAsia="仿宋"/>
                <w:sz w:val="24"/>
                <w:szCs w:val="24"/>
              </w:rPr>
              <w:t>单一来源响应方提供备份单一来源响应文件的，数量为1份。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8080" w:type="dxa"/>
            <w:gridSpan w:val="3"/>
            <w:tcBorders>
              <w:top w:val="single" w:color="auto" w:sz="4" w:space="0"/>
              <w:left w:val="single" w:color="auto" w:sz="4" w:space="0"/>
              <w:bottom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电子交易平台登录方法：</w:t>
            </w:r>
          </w:p>
          <w:p>
            <w:pPr>
              <w:spacing w:line="500" w:lineRule="exact"/>
              <w:jc w:val="left"/>
              <w:rPr>
                <w:rFonts w:ascii="仿宋" w:hAnsi="仿宋" w:eastAsia="仿宋"/>
                <w:sz w:val="24"/>
                <w:szCs w:val="24"/>
              </w:rPr>
            </w:pPr>
            <w:r>
              <w:rPr>
                <w:rFonts w:hint="eastAsia" w:ascii="仿宋" w:hAnsi="仿宋" w:eastAsia="仿宋"/>
                <w:sz w:val="24"/>
                <w:szCs w:val="24"/>
              </w:rPr>
              <w:t>第一步：响应方注册</w:t>
            </w:r>
          </w:p>
          <w:p>
            <w:pPr>
              <w:spacing w:line="500" w:lineRule="exact"/>
              <w:jc w:val="left"/>
              <w:rPr>
                <w:rFonts w:ascii="仿宋" w:hAnsi="仿宋" w:eastAsia="仿宋"/>
                <w:sz w:val="24"/>
                <w:szCs w:val="24"/>
              </w:rPr>
            </w:pPr>
            <w:r>
              <w:rPr>
                <w:rFonts w:hint="eastAsia" w:ascii="仿宋" w:hAnsi="仿宋" w:eastAsia="仿宋"/>
                <w:sz w:val="24"/>
                <w:szCs w:val="24"/>
              </w:rPr>
              <w:t>单一来源响应方</w:t>
            </w:r>
            <w:r>
              <w:rPr>
                <w:rFonts w:ascii="仿宋" w:hAnsi="仿宋" w:eastAsia="仿宋"/>
                <w:sz w:val="24"/>
                <w:szCs w:val="24"/>
              </w:rPr>
              <w:t>应在</w:t>
            </w:r>
            <w:r>
              <w:rPr>
                <w:rFonts w:hint="eastAsia" w:ascii="仿宋" w:hAnsi="仿宋" w:eastAsia="仿宋"/>
                <w:sz w:val="24"/>
                <w:szCs w:val="24"/>
              </w:rPr>
              <w:t>投</w:t>
            </w:r>
            <w:r>
              <w:rPr>
                <w:rFonts w:ascii="仿宋" w:hAnsi="仿宋" w:eastAsia="仿宋"/>
                <w:sz w:val="24"/>
                <w:szCs w:val="24"/>
              </w:rPr>
              <w:t>标前</w:t>
            </w:r>
            <w:r>
              <w:rPr>
                <w:rFonts w:hint="eastAsia" w:ascii="仿宋" w:hAnsi="仿宋" w:eastAsia="仿宋"/>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sz w:val="24"/>
                <w:szCs w:val="24"/>
              </w:rPr>
              <w:t>https://middle.zcygov.cn/v-settle-front/registry</w:t>
            </w:r>
            <w:r>
              <w:rPr>
                <w:rFonts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第二步：申请CA</w:t>
            </w:r>
          </w:p>
          <w:p>
            <w:pPr>
              <w:spacing w:line="500" w:lineRule="exact"/>
              <w:jc w:val="left"/>
              <w:rPr>
                <w:rFonts w:ascii="仿宋" w:hAnsi="仿宋" w:eastAsia="仿宋"/>
                <w:sz w:val="24"/>
                <w:szCs w:val="24"/>
              </w:rPr>
            </w:pPr>
            <w:r>
              <w:rPr>
                <w:rFonts w:hint="eastAsia" w:ascii="仿宋" w:hAnsi="仿宋" w:eastAsia="仿宋"/>
                <w:sz w:val="24"/>
                <w:szCs w:val="24"/>
              </w:rPr>
              <w:t>单一来源响应方</w:t>
            </w:r>
            <w:r>
              <w:rPr>
                <w:rFonts w:ascii="仿宋" w:hAnsi="仿宋" w:eastAsia="仿宋"/>
                <w:sz w:val="24"/>
                <w:szCs w:val="24"/>
              </w:rPr>
              <w:t>应在</w:t>
            </w:r>
            <w:r>
              <w:rPr>
                <w:rFonts w:hint="eastAsia" w:ascii="仿宋" w:hAnsi="仿宋" w:eastAsia="仿宋"/>
                <w:sz w:val="24"/>
                <w:szCs w:val="24"/>
              </w:rPr>
              <w:t>投</w:t>
            </w:r>
            <w:r>
              <w:rPr>
                <w:rFonts w:ascii="仿宋" w:hAnsi="仿宋" w:eastAsia="仿宋"/>
                <w:sz w:val="24"/>
                <w:szCs w:val="24"/>
              </w:rPr>
              <w:t>标前完成CA数字证书办理（办理流程详见http://zfcg.czt.zj.gov.cn/bidClientTemplate/2019-05-27/12945.html）。完成CA数字证书办理</w:t>
            </w:r>
            <w:r>
              <w:rPr>
                <w:rFonts w:hint="eastAsia" w:ascii="仿宋" w:hAnsi="仿宋" w:eastAsia="仿宋"/>
                <w:sz w:val="24"/>
                <w:szCs w:val="24"/>
              </w:rPr>
              <w:t>预计一周左右，建议各单一来源响应方抓紧时间办理；</w:t>
            </w:r>
          </w:p>
          <w:p>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pPr>
              <w:spacing w:line="500" w:lineRule="exact"/>
              <w:jc w:val="left"/>
              <w:rPr>
                <w:rFonts w:ascii="仿宋" w:hAnsi="仿宋" w:eastAsia="仿宋"/>
                <w:sz w:val="24"/>
                <w:szCs w:val="24"/>
              </w:rPr>
            </w:pPr>
            <w:r>
              <w:rPr>
                <w:rFonts w:hint="eastAsia" w:ascii="仿宋" w:hAnsi="仿宋" w:eastAsia="仿宋"/>
                <w:sz w:val="24"/>
                <w:szCs w:val="24"/>
              </w:rPr>
              <w:t>单一来源响应方</w:t>
            </w:r>
            <w:r>
              <w:rPr>
                <w:rFonts w:ascii="仿宋" w:hAnsi="仿宋" w:eastAsia="仿宋"/>
                <w:sz w:val="24"/>
                <w:szCs w:val="24"/>
              </w:rPr>
              <w:t>通过政采云电子交易客户端制作</w:t>
            </w:r>
            <w:r>
              <w:rPr>
                <w:rFonts w:hint="eastAsia" w:ascii="仿宋" w:hAnsi="仿宋" w:eastAsia="仿宋"/>
                <w:sz w:val="24"/>
                <w:szCs w:val="24"/>
              </w:rPr>
              <w:t>单一来源响应</w:t>
            </w:r>
            <w:r>
              <w:rPr>
                <w:rFonts w:ascii="仿宋" w:hAnsi="仿宋" w:eastAsia="仿宋"/>
                <w:sz w:val="24"/>
                <w:szCs w:val="24"/>
              </w:rPr>
              <w:t>文件，请自行前往</w:t>
            </w:r>
            <w:r>
              <w:rPr>
                <w:rFonts w:hint="eastAsia" w:ascii="仿宋" w:hAnsi="仿宋" w:eastAsia="仿宋"/>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sz w:val="24"/>
                <w:szCs w:val="24"/>
              </w:rPr>
              <w:t>http://zfcg.czt.zj.gov.cn/bidClientTemplate/2019-09-24/12975.html</w:t>
            </w:r>
            <w:r>
              <w:rPr>
                <w:rFonts w:ascii="仿宋" w:hAnsi="仿宋" w:eastAsia="仿宋"/>
                <w:sz w:val="24"/>
                <w:szCs w:val="24"/>
              </w:rPr>
              <w:fldChar w:fldCharType="end"/>
            </w:r>
            <w:r>
              <w:rPr>
                <w:rFonts w:hint="eastAsia" w:ascii="仿宋" w:hAnsi="仿宋" w:eastAsia="仿宋"/>
                <w:sz w:val="24"/>
                <w:szCs w:val="24"/>
              </w:rPr>
              <w:t>）；</w:t>
            </w:r>
          </w:p>
          <w:p>
            <w:pPr>
              <w:spacing w:line="500" w:lineRule="exact"/>
              <w:jc w:val="left"/>
              <w:rPr>
                <w:rFonts w:ascii="仿宋" w:hAnsi="仿宋" w:eastAsia="仿宋"/>
                <w:sz w:val="24"/>
                <w:szCs w:val="24"/>
              </w:rPr>
            </w:pPr>
            <w:r>
              <w:rPr>
                <w:rFonts w:hint="eastAsia" w:ascii="仿宋" w:hAnsi="仿宋" w:eastAsia="仿宋"/>
                <w:sz w:val="24"/>
                <w:szCs w:val="24"/>
              </w:rPr>
              <w:t>第四步：具体流程</w:t>
            </w:r>
          </w:p>
          <w:p>
            <w:pPr>
              <w:spacing w:line="500" w:lineRule="exact"/>
              <w:jc w:val="left"/>
              <w:rPr>
                <w:rFonts w:ascii="仿宋" w:hAnsi="仿宋" w:eastAsia="仿宋"/>
                <w:sz w:val="24"/>
                <w:szCs w:val="24"/>
              </w:rPr>
            </w:pPr>
            <w:r>
              <w:rPr>
                <w:rFonts w:ascii="仿宋" w:hAnsi="仿宋" w:eastAsia="仿宋"/>
                <w:sz w:val="24"/>
                <w:szCs w:val="24"/>
              </w:rPr>
              <w:t>详见</w:t>
            </w:r>
            <w:r>
              <w:rPr>
                <w:rFonts w:hint="eastAsia" w:ascii="仿宋" w:hAnsi="仿宋" w:eastAsia="仿宋"/>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sz w:val="24"/>
                <w:szCs w:val="24"/>
              </w:rPr>
              <w:t>https://edu.zcygov.cn/luban/e-biding</w:t>
            </w:r>
            <w:r>
              <w:rPr>
                <w:rFonts w:hint="eastAsia" w:ascii="仿宋" w:hAnsi="仿宋" w:eastAsia="仿宋"/>
                <w:sz w:val="24"/>
                <w:szCs w:val="24"/>
              </w:rPr>
              <w:fldChar w:fldCharType="end"/>
            </w:r>
            <w:r>
              <w:rPr>
                <w:rFonts w:hint="eastAsia" w:ascii="仿宋" w:hAnsi="仿宋" w:eastAsia="仿宋"/>
                <w:sz w:val="24"/>
                <w:szCs w:val="24"/>
              </w:rPr>
              <w:t>）</w:t>
            </w:r>
          </w:p>
          <w:p>
            <w:pPr>
              <w:spacing w:line="500" w:lineRule="exact"/>
              <w:rPr>
                <w:rFonts w:ascii="仿宋" w:hAnsi="仿宋" w:eastAsia="仿宋"/>
                <w:sz w:val="24"/>
                <w:szCs w:val="24"/>
              </w:rPr>
            </w:pPr>
            <w:r>
              <w:rPr>
                <w:rFonts w:hint="eastAsia" w:ascii="仿宋" w:hAnsi="仿宋" w:eastAsia="仿宋"/>
                <w:sz w:val="24"/>
                <w:szCs w:val="24"/>
              </w:rPr>
              <w:t>提醒：请各单一来源响应方合理安排时间，尽快完成第一、二、三步骤，避免影响投标。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8080" w:type="dxa"/>
            <w:gridSpan w:val="3"/>
            <w:tcBorders>
              <w:top w:val="single" w:color="auto" w:sz="4" w:space="0"/>
              <w:left w:val="single" w:color="auto" w:sz="4" w:space="0"/>
              <w:bottom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pPr>
              <w:spacing w:line="500" w:lineRule="exact"/>
              <w:jc w:val="left"/>
              <w:rPr>
                <w:rFonts w:ascii="仿宋" w:hAnsi="仿宋" w:eastAsia="仿宋"/>
                <w:sz w:val="24"/>
                <w:szCs w:val="24"/>
              </w:rPr>
            </w:pPr>
            <w:r>
              <w:rPr>
                <w:rFonts w:hint="eastAsia" w:ascii="仿宋" w:hAnsi="仿宋" w:eastAsia="仿宋"/>
                <w:sz w:val="24"/>
                <w:szCs w:val="24"/>
              </w:rPr>
              <w:t>单一来源响应文件的接收以本项目公告要求的时间、地点和“第二章”的“单一来源响应文件的编制”等要求为准。</w:t>
            </w:r>
          </w:p>
          <w:p>
            <w:pPr>
              <w:spacing w:line="500" w:lineRule="exact"/>
              <w:jc w:val="left"/>
              <w:rPr>
                <w:rFonts w:ascii="仿宋" w:hAnsi="仿宋" w:eastAsia="仿宋"/>
                <w:sz w:val="24"/>
                <w:szCs w:val="24"/>
              </w:rPr>
            </w:pPr>
            <w:r>
              <w:rPr>
                <w:rFonts w:hint="eastAsia" w:ascii="仿宋" w:hAnsi="仿宋" w:eastAsia="仿宋"/>
                <w:sz w:val="24"/>
                <w:szCs w:val="24"/>
              </w:rPr>
              <w:t>单一来源响应方递交备份响应文件，出现下列情况之一的，将被拒收：</w:t>
            </w:r>
          </w:p>
          <w:p>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采购结果公示：采购结果经采购人确认后，采购中心将于</w:t>
            </w:r>
            <w:r>
              <w:rPr>
                <w:rFonts w:ascii="仿宋" w:hAnsi="仿宋" w:eastAsia="仿宋"/>
                <w:sz w:val="24"/>
                <w:szCs w:val="24"/>
              </w:rPr>
              <w:t>2</w:t>
            </w:r>
            <w:r>
              <w:rPr>
                <w:rFonts w:hint="eastAsia" w:ascii="仿宋" w:hAnsi="仿宋" w:eastAsia="仿宋"/>
                <w:sz w:val="24"/>
                <w:szCs w:val="24"/>
              </w:rPr>
              <w:t>个工作日内在浙江省政府采购网上公告成交结果，并向成交响应方发出成交通知书。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w:t>
            </w:r>
            <w:r>
              <w:rPr>
                <w:rFonts w:hint="eastAsia" w:ascii="仿宋" w:hAnsi="仿宋" w:eastAsia="仿宋"/>
                <w:sz w:val="24"/>
                <w:szCs w:val="24"/>
                <w:lang w:val="en-US" w:eastAsia="zh-CN"/>
              </w:rPr>
              <w:t>1</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hint="eastAsia" w:ascii="仿宋" w:hAnsi="仿宋" w:eastAsia="仿宋"/>
                <w:sz w:val="24"/>
                <w:szCs w:val="24"/>
              </w:rPr>
            </w:pPr>
            <w:r>
              <w:rPr>
                <w:rFonts w:hint="eastAsia" w:ascii="仿宋" w:hAnsi="仿宋" w:eastAsia="仿宋"/>
                <w:sz w:val="24"/>
                <w:szCs w:val="24"/>
              </w:rPr>
              <w:t>付款方式：</w:t>
            </w:r>
          </w:p>
          <w:p>
            <w:pPr>
              <w:spacing w:line="50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本项目采用3次支付，即合同签订后支付70%，租用时间开始后支付25%，合同到期后支付5%。</w:t>
            </w:r>
          </w:p>
          <w:p>
            <w:pPr>
              <w:spacing w:line="500" w:lineRule="exact"/>
              <w:rPr>
                <w:rFonts w:hint="eastAsia" w:ascii="仿宋" w:hAnsi="仿宋" w:eastAsia="仿宋"/>
                <w:sz w:val="24"/>
                <w:szCs w:val="24"/>
              </w:rPr>
            </w:pPr>
            <w:r>
              <w:rPr>
                <w:rFonts w:hint="eastAsia" w:ascii="仿宋" w:hAnsi="仿宋" w:eastAsia="仿宋"/>
                <w:sz w:val="24"/>
                <w:szCs w:val="24"/>
                <w:lang w:val="en-US" w:eastAsia="zh-CN"/>
              </w:rPr>
              <w:t xml:space="preserve">  是否需要缴纳履约保证金：否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7" w:type="dxa"/>
            <w:tcBorders>
              <w:top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17</w:t>
            </w:r>
          </w:p>
        </w:tc>
        <w:tc>
          <w:tcPr>
            <w:tcW w:w="8080" w:type="dxa"/>
            <w:gridSpan w:val="3"/>
            <w:tcBorders>
              <w:top w:val="single" w:color="auto" w:sz="4" w:space="0"/>
              <w:left w:val="single" w:color="auto" w:sz="4" w:space="0"/>
              <w:bottom w:val="single" w:color="auto"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解释：单一来源采购文件的解释权属于浙江省政府采购中心。</w:t>
            </w:r>
          </w:p>
        </w:tc>
      </w:tr>
    </w:tbl>
    <w:p>
      <w:pPr>
        <w:pStyle w:val="22"/>
        <w:snapToGrid w:val="0"/>
        <w:spacing w:beforeLines="0" w:afterLines="0" w:line="240" w:lineRule="auto"/>
        <w:jc w:val="left"/>
        <w:outlineLvl w:val="0"/>
        <w:rPr>
          <w:rFonts w:ascii="仿宋" w:hAnsi="仿宋" w:eastAsia="仿宋"/>
          <w:b/>
          <w:sz w:val="30"/>
          <w:szCs w:val="30"/>
        </w:rPr>
      </w:pPr>
      <w:bookmarkStart w:id="30" w:name="_Toc451268218"/>
    </w:p>
    <w:p>
      <w:pPr>
        <w:pStyle w:val="22"/>
        <w:snapToGrid w:val="0"/>
        <w:spacing w:beforeLines="0" w:afterLines="0" w:line="240" w:lineRule="auto"/>
        <w:jc w:val="left"/>
        <w:outlineLvl w:val="0"/>
        <w:rPr>
          <w:rFonts w:ascii="仿宋" w:hAnsi="仿宋" w:eastAsia="仿宋"/>
          <w:b/>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p>
    <w:p>
      <w:pPr>
        <w:rPr>
          <w:rFonts w:ascii="仿宋" w:hAnsi="仿宋" w:eastAsia="仿宋" w:cs="Arial"/>
          <w:sz w:val="30"/>
          <w:szCs w:val="30"/>
        </w:rPr>
      </w:pPr>
      <w:r>
        <w:rPr>
          <w:rFonts w:hint="eastAsia" w:ascii="仿宋" w:hAnsi="仿宋" w:eastAsia="仿宋" w:cs="Arial"/>
          <w:sz w:val="30"/>
          <w:szCs w:val="30"/>
        </w:rPr>
        <w:t>一、总则</w:t>
      </w:r>
      <w:bookmarkEnd w:id="30"/>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（一）适用范围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443" w:firstLineChars="147"/>
        <w:jc w:val="left"/>
        <w:outlineLvl w:val="1"/>
        <w:rPr>
          <w:rFonts w:ascii="仿宋" w:hAnsi="仿宋" w:eastAsia="仿宋"/>
          <w:b/>
          <w:sz w:val="30"/>
          <w:szCs w:val="30"/>
        </w:rPr>
      </w:pPr>
      <w:r>
        <w:rPr>
          <w:rFonts w:hint="eastAsia" w:ascii="仿宋" w:hAnsi="仿宋" w:eastAsia="仿宋"/>
          <w:b/>
          <w:sz w:val="30"/>
          <w:szCs w:val="30"/>
        </w:rPr>
        <w:t>（二）定义</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“响应方”系指向采购中心提交单一来源采购响应文件的单位。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“采购人”系指委托采购中心采购本次项目的国家机关、事业单位和团体组织。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“产品”系指响应方按单一来源采购文件规定，须向采购人提供的一切设备、保险、税金、备品备件、工具、手册及其它有关技术资料和材料。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5.</w:t>
      </w:r>
      <w:r>
        <w:rPr>
          <w:rFonts w:hint="eastAsia" w:ascii="仿宋" w:hAnsi="仿宋" w:eastAsia="仿宋" w:cs="Arial"/>
          <w:sz w:val="30"/>
          <w:szCs w:val="30"/>
        </w:rPr>
        <w:t>“服务”系指单一来源采购文件规定响应方须承担的安装、调试、技术协助、校准、培训、技术指导以及其他类似的义务。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ascii="仿宋" w:hAnsi="仿宋" w:eastAsia="仿宋" w:cs="Arial"/>
          <w:sz w:val="30"/>
          <w:szCs w:val="30"/>
        </w:rPr>
        <w:t>6.</w:t>
      </w:r>
      <w:r>
        <w:rPr>
          <w:rFonts w:hint="eastAsia" w:ascii="仿宋" w:hAnsi="仿宋" w:eastAsia="仿宋" w:cs="Arial"/>
          <w:sz w:val="30"/>
          <w:szCs w:val="30"/>
        </w:rPr>
        <w:t>“项目”系指响应方按单一来源采购文件规定向采购人提供的产品和服务。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w:t>
      </w:r>
      <w:r>
        <w:rPr>
          <w:rFonts w:ascii="宋体" w:hAnsi="宋体" w:cs="Arial"/>
          <w:b/>
          <w:color w:val="000000"/>
          <w:sz w:val="28"/>
          <w:szCs w:val="28"/>
        </w:rPr>
        <w:t>政府采购项目电子交易平台</w:t>
      </w:r>
      <w:r>
        <w:rPr>
          <w:rFonts w:hint="eastAsia" w:ascii="宋体" w:hAnsi="宋体" w:cs="Arial"/>
          <w:b/>
          <w:color w:val="000000"/>
          <w:sz w:val="28"/>
          <w:szCs w:val="28"/>
        </w:rPr>
        <w:t>，即</w:t>
      </w:r>
      <w:r>
        <w:rPr>
          <w:rFonts w:ascii="宋体" w:hAnsi="宋体" w:cs="Arial"/>
          <w:b/>
          <w:color w:val="000000"/>
          <w:sz w:val="28"/>
          <w:szCs w:val="28"/>
        </w:rPr>
        <w:t>政采云平台。</w:t>
      </w:r>
    </w:p>
    <w:p>
      <w:pPr>
        <w:snapToGrid w:val="0"/>
        <w:spacing w:line="460" w:lineRule="exact"/>
        <w:ind w:firstLine="446" w:firstLineChars="148"/>
        <w:jc w:val="left"/>
        <w:outlineLvl w:val="1"/>
        <w:rPr>
          <w:rFonts w:ascii="仿宋" w:hAnsi="仿宋" w:eastAsia="仿宋" w:cs="Arial"/>
          <w:b/>
          <w:sz w:val="30"/>
          <w:szCs w:val="30"/>
        </w:rPr>
      </w:pPr>
      <w:r>
        <w:rPr>
          <w:rFonts w:hint="eastAsia" w:ascii="仿宋" w:hAnsi="仿宋" w:eastAsia="仿宋" w:cs="Arial"/>
          <w:b/>
          <w:sz w:val="30"/>
          <w:szCs w:val="30"/>
        </w:rPr>
        <w:t>（三）响应方全权代表委托</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如全权代表不是法定代表人，须有法定代表人出具的授权委托书（格式见附部分）。</w:t>
      </w:r>
    </w:p>
    <w:p>
      <w:pPr>
        <w:snapToGrid w:val="0"/>
        <w:spacing w:line="460" w:lineRule="exact"/>
        <w:ind w:firstLine="590" w:firstLineChars="196"/>
        <w:jc w:val="left"/>
        <w:outlineLvl w:val="1"/>
        <w:rPr>
          <w:rFonts w:ascii="仿宋" w:hAnsi="仿宋" w:eastAsia="仿宋"/>
          <w:b/>
          <w:sz w:val="30"/>
          <w:szCs w:val="30"/>
        </w:rPr>
      </w:pPr>
      <w:r>
        <w:rPr>
          <w:rFonts w:hint="eastAsia" w:ascii="仿宋" w:hAnsi="仿宋" w:eastAsia="仿宋"/>
          <w:b/>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不论采购结果如何，响应方均应自行承担所有与单一来源采购有关的全部费用（单一来源采购文件有其他规定除外）。</w:t>
      </w:r>
    </w:p>
    <w:p>
      <w:pPr>
        <w:pStyle w:val="10"/>
        <w:widowControl w:val="0"/>
        <w:tabs>
          <w:tab w:val="clear" w:pos="454"/>
        </w:tabs>
        <w:snapToGrid w:val="0"/>
        <w:spacing w:afterLines="0" w:line="460" w:lineRule="exact"/>
        <w:ind w:left="0" w:firstLine="590" w:firstLineChars="196"/>
        <w:rPr>
          <w:rFonts w:ascii="仿宋" w:hAnsi="仿宋" w:eastAsia="仿宋"/>
          <w:b/>
          <w:sz w:val="30"/>
          <w:szCs w:val="30"/>
        </w:rPr>
      </w:pPr>
      <w:r>
        <w:rPr>
          <w:rFonts w:hint="eastAsia" w:ascii="仿宋" w:hAnsi="仿宋" w:eastAsia="仿宋"/>
          <w:b/>
          <w:sz w:val="30"/>
          <w:szCs w:val="30"/>
        </w:rPr>
        <w:t>（五）单一来源采购文件的澄清与修改</w:t>
      </w:r>
    </w:p>
    <w:p>
      <w:pPr>
        <w:pStyle w:val="2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pPr>
        <w:pStyle w:val="22"/>
        <w:snapToGrid w:val="0"/>
        <w:spacing w:beforeLines="0" w:afterLines="0" w:line="4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2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二、单一来源采购响应文件的编制</w:t>
      </w:r>
    </w:p>
    <w:p>
      <w:pPr>
        <w:snapToGrid w:val="0"/>
        <w:spacing w:line="460" w:lineRule="exact"/>
        <w:ind w:firstLine="551" w:firstLineChars="196"/>
        <w:jc w:val="left"/>
        <w:rPr>
          <w:rFonts w:ascii="宋体" w:hAnsi="宋体"/>
          <w:b/>
          <w:sz w:val="28"/>
          <w:szCs w:val="28"/>
        </w:rPr>
      </w:pPr>
      <w:bookmarkStart w:id="31" w:name="_Toc510137461"/>
      <w:bookmarkStart w:id="32" w:name="_Toc451762175"/>
      <w:bookmarkStart w:id="33" w:name="_Toc451762244"/>
      <w:r>
        <w:rPr>
          <w:rFonts w:hint="eastAsia" w:ascii="宋体" w:hAnsi="宋体"/>
          <w:b/>
          <w:sz w:val="28"/>
          <w:szCs w:val="28"/>
        </w:rPr>
        <w:t>（一）单一来源响应文件编制工具</w:t>
      </w:r>
    </w:p>
    <w:p>
      <w:pPr>
        <w:pStyle w:val="22"/>
        <w:adjustRightInd w:val="0"/>
        <w:snapToGrid w:val="0"/>
        <w:spacing w:before="156" w:after="156" w:line="500" w:lineRule="exact"/>
        <w:ind w:firstLine="565" w:firstLineChars="201"/>
        <w:rPr>
          <w:rFonts w:hAnsi="宋体"/>
          <w:b/>
          <w:sz w:val="30"/>
          <w:szCs w:val="30"/>
        </w:rPr>
      </w:pPr>
      <w:r>
        <w:rPr>
          <w:rFonts w:hint="eastAsia" w:hAnsi="宋体"/>
          <w:b/>
          <w:sz w:val="28"/>
          <w:szCs w:val="28"/>
        </w:rPr>
        <w:t>单一来源响应文件编制工具为</w:t>
      </w:r>
      <w:r>
        <w:rPr>
          <w:rFonts w:hAnsi="宋体"/>
          <w:b/>
          <w:sz w:val="28"/>
          <w:szCs w:val="28"/>
        </w:rPr>
        <w:t>政采云电子交易客户端，</w:t>
      </w:r>
      <w:r>
        <w:rPr>
          <w:rFonts w:hint="eastAsia" w:hAnsi="宋体"/>
          <w:b/>
          <w:sz w:val="28"/>
          <w:szCs w:val="28"/>
        </w:rPr>
        <w:t>下载网址：</w:t>
      </w:r>
      <w:r>
        <w:fldChar w:fldCharType="begin"/>
      </w:r>
      <w:r>
        <w:instrText xml:space="preserve"> HYPERLINK "http://zfcg.czt.zj.gov.cn/bidClientTemplate/2019-09-24/12975.html" </w:instrText>
      </w:r>
      <w:r>
        <w:fldChar w:fldCharType="separate"/>
      </w:r>
      <w:r>
        <w:t>http://zfcg.czt.zj.gov.cn/bidClientTemplate/2019-09-24/12975.html</w:t>
      </w:r>
      <w:r>
        <w:fldChar w:fldCharType="end"/>
      </w:r>
      <w:r>
        <w:rPr>
          <w:rFonts w:hint="eastAsia" w:hAnsi="宋体"/>
          <w:b/>
          <w:sz w:val="28"/>
          <w:szCs w:val="28"/>
        </w:rPr>
        <w:t>，请自行下载并安装。</w:t>
      </w:r>
    </w:p>
    <w:p>
      <w:pPr>
        <w:snapToGrid w:val="0"/>
        <w:spacing w:line="460" w:lineRule="exact"/>
        <w:ind w:firstLine="590" w:firstLineChars="196"/>
        <w:jc w:val="left"/>
        <w:outlineLvl w:val="0"/>
        <w:rPr>
          <w:rFonts w:ascii="宋体" w:hAnsi="宋体"/>
          <w:b/>
          <w:sz w:val="30"/>
          <w:szCs w:val="30"/>
        </w:rPr>
      </w:pPr>
      <w:r>
        <w:rPr>
          <w:rFonts w:hint="eastAsia" w:ascii="宋体" w:hAnsi="宋体"/>
          <w:b/>
          <w:sz w:val="30"/>
          <w:szCs w:val="30"/>
        </w:rPr>
        <w:t>（二）单一来源响应文件的组成</w:t>
      </w:r>
      <w:bookmarkEnd w:id="31"/>
      <w:bookmarkEnd w:id="32"/>
      <w:bookmarkEnd w:id="33"/>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本项目所称单一来源响应文件系指电子单一来源响应文件或备份单一来源响应文件。单一来源响应文件需按照本采购文件和电子交易平台的要求制作、加密并递交。</w:t>
      </w:r>
    </w:p>
    <w:p>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电子单一来源响应文件由资质文件、技术商务文件、报价文件三部份组成，具体详见“第五章  单一来源响应格式附件”。备份响应文件的组成和内容等同电子响应文件。</w:t>
      </w:r>
    </w:p>
    <w:p>
      <w:pPr>
        <w:pStyle w:val="37"/>
        <w:widowControl w:val="0"/>
        <w:spacing w:after="156"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注：法定代表人授权委托书、投标声明书、投标报价明细表必须按采购文件格式要求正确签署并加盖响应方公章。响应文件中所须加盖公章部分均采用CA签章。</w:t>
      </w:r>
    </w:p>
    <w:p>
      <w:pPr>
        <w:snapToGrid w:val="0"/>
        <w:spacing w:before="50" w:after="50"/>
        <w:ind w:firstLine="301" w:firstLineChars="100"/>
        <w:rPr>
          <w:rFonts w:ascii="仿宋" w:hAnsi="仿宋" w:eastAsia="仿宋"/>
          <w:b/>
          <w:bCs/>
          <w:color w:val="FF0000"/>
          <w:sz w:val="36"/>
          <w:szCs w:val="36"/>
        </w:rPr>
      </w:pPr>
      <w:bookmarkStart w:id="34" w:name="_Toc451268220"/>
      <w:r>
        <w:rPr>
          <w:rFonts w:ascii="仿宋" w:hAnsi="仿宋" w:eastAsia="仿宋"/>
          <w:b/>
          <w:sz w:val="30"/>
          <w:szCs w:val="30"/>
        </w:rPr>
        <w:t>1</w:t>
      </w:r>
      <w:r>
        <w:rPr>
          <w:rFonts w:hint="eastAsia" w:ascii="仿宋" w:hAnsi="仿宋" w:eastAsia="仿宋"/>
          <w:b/>
          <w:sz w:val="30"/>
          <w:szCs w:val="30"/>
        </w:rPr>
        <w:t>、资质文件目录</w:t>
      </w:r>
    </w:p>
    <w:p>
      <w:pPr>
        <w:snapToGrid w:val="0"/>
        <w:spacing w:line="460" w:lineRule="exact"/>
        <w:ind w:firstLine="588" w:firstLineChars="196"/>
        <w:jc w:val="left"/>
        <w:rPr>
          <w:rFonts w:ascii="仿宋" w:hAnsi="仿宋" w:eastAsia="仿宋"/>
          <w:color w:val="auto"/>
          <w:sz w:val="30"/>
          <w:szCs w:val="30"/>
        </w:rPr>
      </w:pPr>
      <w:r>
        <w:rPr>
          <w:rFonts w:hint="eastAsia" w:ascii="宋体" w:hAnsi="宋体" w:cs="宋体"/>
          <w:color w:val="auto"/>
          <w:sz w:val="30"/>
          <w:szCs w:val="30"/>
        </w:rPr>
        <w:t>（</w:t>
      </w:r>
      <w:r>
        <w:rPr>
          <w:rFonts w:hint="eastAsia" w:ascii="仿宋" w:hAnsi="仿宋" w:eastAsia="仿宋"/>
          <w:color w:val="auto"/>
          <w:sz w:val="30"/>
          <w:szCs w:val="30"/>
        </w:rPr>
        <w:t>1）声明书 (格式见附件1，含重大违法记录声明)；</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（2）法定代表人授权委托书(格式见附件2)；</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（4）联合响应协议书（若需要见附件3）;</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（5）联合响应授权委托书（若需要见附件4）;</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（6）提供采购公告中符合响应方特定条件要求的有效的其他资质复印件并加盖公司公章及需要说明的资料。</w:t>
      </w:r>
    </w:p>
    <w:p>
      <w:pPr>
        <w:snapToGrid w:val="0"/>
        <w:spacing w:line="460" w:lineRule="exact"/>
        <w:ind w:firstLine="590" w:firstLineChars="196"/>
        <w:jc w:val="left"/>
        <w:rPr>
          <w:rFonts w:ascii="仿宋" w:hAnsi="仿宋" w:eastAsia="仿宋"/>
          <w:b/>
          <w:color w:val="auto"/>
          <w:sz w:val="30"/>
          <w:szCs w:val="30"/>
        </w:rPr>
      </w:pPr>
      <w:r>
        <w:rPr>
          <w:rFonts w:hint="eastAsia" w:ascii="仿宋" w:hAnsi="仿宋" w:eastAsia="仿宋"/>
          <w:b/>
          <w:color w:val="auto"/>
          <w:sz w:val="30"/>
          <w:szCs w:val="30"/>
        </w:rPr>
        <w:t>2.技术及商务文件目录：</w:t>
      </w:r>
    </w:p>
    <w:p>
      <w:pPr>
        <w:snapToGrid w:val="0"/>
        <w:spacing w:line="480" w:lineRule="exact"/>
        <w:ind w:firstLine="588" w:firstLineChars="196"/>
        <w:jc w:val="left"/>
        <w:rPr>
          <w:rFonts w:ascii="仿宋" w:hAnsi="仿宋" w:eastAsia="仿宋"/>
          <w:color w:val="auto"/>
          <w:kern w:val="0"/>
          <w:sz w:val="30"/>
          <w:szCs w:val="30"/>
        </w:rPr>
      </w:pPr>
      <w:r>
        <w:rPr>
          <w:rFonts w:hint="eastAsia" w:ascii="仿宋" w:hAnsi="仿宋" w:eastAsia="仿宋"/>
          <w:color w:val="auto"/>
          <w:kern w:val="0"/>
          <w:sz w:val="30"/>
          <w:szCs w:val="30"/>
        </w:rPr>
        <w:t>（1）技术响应表（见附件5）；</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（3）项目实施计划（可包含且不限于保证工期的施工组织方案及人力资源安排、项目组人员清单《</w:t>
      </w:r>
      <w:r>
        <w:rPr>
          <w:rFonts w:hint="eastAsia" w:ascii="仿宋" w:hAnsi="仿宋" w:eastAsia="仿宋"/>
          <w:color w:val="auto"/>
          <w:kern w:val="0"/>
          <w:sz w:val="30"/>
          <w:szCs w:val="30"/>
        </w:rPr>
        <w:t>项目实施人员一览表</w:t>
      </w:r>
      <w:r>
        <w:rPr>
          <w:rFonts w:hint="eastAsia" w:ascii="仿宋" w:hAnsi="仿宋" w:eastAsia="仿宋"/>
          <w:color w:val="auto"/>
          <w:sz w:val="30"/>
          <w:szCs w:val="30"/>
        </w:rPr>
        <w:t>》（</w:t>
      </w:r>
      <w:r>
        <w:rPr>
          <w:rFonts w:hint="eastAsia" w:ascii="仿宋" w:hAnsi="仿宋" w:eastAsia="仿宋"/>
          <w:color w:val="auto"/>
          <w:kern w:val="0"/>
          <w:sz w:val="30"/>
          <w:szCs w:val="30"/>
        </w:rPr>
        <w:t>附件6）</w:t>
      </w:r>
      <w:r>
        <w:rPr>
          <w:rFonts w:hint="eastAsia" w:ascii="仿宋" w:hAnsi="仿宋" w:eastAsia="仿宋"/>
          <w:color w:val="auto"/>
          <w:sz w:val="30"/>
          <w:szCs w:val="30"/>
        </w:rPr>
        <w:t>）；</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（4）列入政府采购节能环保清单的证明资料（若有）；</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（5）商务响应表（附件7）；</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（10）响应方认为需要的其他文件资料。</w:t>
      </w:r>
      <w:r>
        <w:rPr>
          <w:rFonts w:ascii="仿宋" w:hAnsi="仿宋" w:eastAsia="仿宋"/>
          <w:sz w:val="30"/>
          <w:szCs w:val="30"/>
        </w:rPr>
        <w:tab/>
      </w: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pPr>
        <w:pStyle w:val="37"/>
        <w:widowControl w:val="0"/>
        <w:spacing w:after="156"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pPr>
        <w:ind w:firstLine="446" w:firstLineChars="148"/>
        <w:rPr>
          <w:rFonts w:ascii="仿宋" w:hAnsi="仿宋" w:eastAsia="仿宋"/>
          <w:b/>
          <w:bCs/>
          <w:sz w:val="30"/>
          <w:szCs w:val="30"/>
        </w:rPr>
      </w:pPr>
      <w:r>
        <w:rPr>
          <w:rFonts w:hint="eastAsia" w:ascii="仿宋" w:hAnsi="仿宋" w:eastAsia="仿宋"/>
          <w:b/>
          <w:bCs/>
          <w:sz w:val="30"/>
          <w:szCs w:val="30"/>
        </w:rPr>
        <w:t>（二）响应方报价</w:t>
      </w:r>
      <w:bookmarkEnd w:id="34"/>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响应方报价应按单一来源采购文件中相关附表格式填报；</w:t>
      </w:r>
    </w:p>
    <w:p>
      <w:pPr>
        <w:pStyle w:val="10"/>
        <w:widowControl w:val="0"/>
        <w:tabs>
          <w:tab w:val="clear" w:pos="454"/>
        </w:tabs>
        <w:snapToGrid w:val="0"/>
        <w:spacing w:before="156" w:beforeLines="50" w:after="156" w:line="460" w:lineRule="exact"/>
        <w:ind w:left="0" w:firstLine="588" w:firstLineChars="196"/>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 xml:space="preserve"> 响应方的最终报价是履行合同的最终价格，应包括货款、标准附件、备品备件、专用工具、包装、运输、装卸、保险、税金、货到就位以及安装、调试、培训、保修等一切税金和费用。</w:t>
      </w:r>
    </w:p>
    <w:p>
      <w:pPr>
        <w:pStyle w:val="10"/>
        <w:widowControl w:val="0"/>
        <w:tabs>
          <w:tab w:val="clear" w:pos="454"/>
        </w:tabs>
        <w:snapToGrid w:val="0"/>
        <w:spacing w:before="156" w:beforeLines="50" w:after="156" w:line="460" w:lineRule="exact"/>
        <w:ind w:left="0" w:firstLine="590" w:firstLineChars="196"/>
        <w:rPr>
          <w:rFonts w:ascii="宋体"/>
          <w:b/>
          <w:sz w:val="30"/>
          <w:szCs w:val="30"/>
        </w:rPr>
      </w:pPr>
      <w:r>
        <w:rPr>
          <w:rFonts w:hint="eastAsia" w:ascii="宋体" w:hAnsi="宋体"/>
          <w:b/>
          <w:sz w:val="30"/>
          <w:szCs w:val="30"/>
        </w:rPr>
        <w:t>（三）单一来源响应文件的有效期</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、自采购响应截止日起</w:t>
      </w:r>
      <w:r>
        <w:rPr>
          <w:rFonts w:ascii="仿宋" w:hAnsi="仿宋" w:eastAsia="仿宋"/>
          <w:sz w:val="30"/>
          <w:szCs w:val="30"/>
        </w:rPr>
        <w:t>90</w:t>
      </w:r>
      <w:r>
        <w:rPr>
          <w:rFonts w:hint="eastAsia" w:ascii="仿宋" w:hAnsi="仿宋" w:eastAsia="仿宋"/>
          <w:sz w:val="30"/>
          <w:szCs w:val="30"/>
        </w:rPr>
        <w:t>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、成交人的响应文件自采购之日起至合同履行完毕止均应保持有效。</w:t>
      </w:r>
    </w:p>
    <w:p>
      <w:pPr>
        <w:ind w:firstLine="596" w:firstLineChars="198"/>
        <w:rPr>
          <w:rFonts w:ascii="仿宋" w:hAnsi="仿宋" w:eastAsia="仿宋"/>
          <w:b/>
          <w:bCs/>
          <w:sz w:val="30"/>
          <w:szCs w:val="30"/>
        </w:rPr>
      </w:pPr>
      <w:bookmarkStart w:id="35" w:name="_Toc451268222"/>
      <w:r>
        <w:rPr>
          <w:rFonts w:hint="eastAsia" w:ascii="仿宋" w:hAnsi="仿宋" w:eastAsia="仿宋"/>
          <w:b/>
          <w:bCs/>
          <w:sz w:val="30"/>
          <w:szCs w:val="30"/>
        </w:rPr>
        <w:t>（四）单一来源采购响应文件的签署和份数</w:t>
      </w:r>
      <w:bookmarkEnd w:id="35"/>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1.电子响应文件部分：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（2）响应文件须由响应方在规定位置盖章并由法定代表人或法定代表人的授权委托人签署，响应方应写全称。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（3）响应文件不得涂改，若有修改错漏处，须加盖响应方公章或者法定代表人或授权委托人签名或盖章。响应文件因字迹潦草或表达不清所引起的后果由响应方负责。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2.响应方选择递交备份响应文件</w:t>
      </w:r>
      <w:r>
        <w:rPr>
          <w:rFonts w:hint="eastAsia" w:ascii="仿宋" w:hAnsi="仿宋" w:eastAsia="仿宋"/>
          <w:b/>
          <w:bCs/>
          <w:color w:val="FF0000"/>
          <w:sz w:val="28"/>
          <w:szCs w:val="28"/>
        </w:rPr>
        <w:t>，</w:t>
      </w:r>
      <w:r>
        <w:rPr>
          <w:rFonts w:hint="eastAsia" w:ascii="仿宋" w:hAnsi="仿宋" w:eastAsia="仿宋"/>
          <w:b/>
          <w:bCs/>
          <w:sz w:val="28"/>
          <w:szCs w:val="28"/>
        </w:rPr>
        <w:t>备份响应文件另须满足以下条件：</w:t>
      </w:r>
    </w:p>
    <w:p>
      <w:pPr>
        <w:pStyle w:val="22"/>
        <w:adjustRightInd w:val="0"/>
        <w:snapToGrid w:val="0"/>
        <w:spacing w:before="156" w:after="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22"/>
        <w:adjustRightInd w:val="0"/>
        <w:snapToGrid w:val="0"/>
        <w:spacing w:before="156" w:after="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响应方名称、响应方地址、响应方联系方式（授权代表手机）、响应文件名称（备份响应文件）、投标项目名称、项目编号、标项及“开标时启封”字样，并加盖响应方公章。</w:t>
      </w:r>
    </w:p>
    <w:p>
      <w:pPr>
        <w:snapToGrid w:val="0"/>
        <w:spacing w:before="156"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（五）采购无效的情形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在采购时，如发现下列情形之一的，采购响应文件将被视为无效：</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2、电子响应文件解密失败，且未在规定时间内提交备份响应文件的；</w:t>
      </w:r>
    </w:p>
    <w:p>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3、电子响应文件解密失败，虽然在规定时间内提交了备份响应文件，但是备份响应文件无法导入或者无法读取或者不符合本采购文件和电子交易平台要求的；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4、响应方未能提供合格的资格文件；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5、与采购文件有重大偏离的；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6、响应文件未有效授权；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7、响应方最终报价超出预算的；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8、最终报价明显高于其市场报价或低于成本价且不能合理说明原因并提供证明材料的；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9、不符合法律、法规和本采购文件规定的其他实质性要求的。</w:t>
      </w:r>
    </w:p>
    <w:p>
      <w:pPr>
        <w:snapToGrid w:val="0"/>
        <w:spacing w:line="460" w:lineRule="exact"/>
        <w:ind w:firstLine="562" w:firstLineChars="200"/>
        <w:rPr>
          <w:rFonts w:ascii="宋体" w:hAnsi="宋体"/>
          <w:b/>
          <w:sz w:val="28"/>
          <w:szCs w:val="28"/>
        </w:rPr>
      </w:pPr>
      <w:r>
        <w:rPr>
          <w:rFonts w:hint="eastAsia" w:ascii="宋体" w:hAnsi="宋体"/>
          <w:b/>
          <w:sz w:val="28"/>
          <w:szCs w:val="28"/>
        </w:rPr>
        <w:t>（七）采购过程中的</w:t>
      </w:r>
      <w:r>
        <w:rPr>
          <w:rFonts w:hint="eastAsia" w:hAnsi="宋体"/>
          <w:b/>
          <w:bCs/>
          <w:sz w:val="28"/>
          <w:szCs w:val="28"/>
        </w:rPr>
        <w:t>异常情况及处理措施</w:t>
      </w:r>
    </w:p>
    <w:p>
      <w:pPr>
        <w:pStyle w:val="22"/>
        <w:adjustRightInd w:val="0"/>
        <w:snapToGrid w:val="0"/>
        <w:spacing w:before="156" w:after="156" w:line="500" w:lineRule="exact"/>
        <w:ind w:firstLine="565" w:firstLineChars="201"/>
        <w:rPr>
          <w:rFonts w:hAnsi="宋体"/>
          <w:b/>
          <w:bCs/>
          <w:sz w:val="28"/>
          <w:szCs w:val="28"/>
        </w:rPr>
      </w:pPr>
      <w:r>
        <w:rPr>
          <w:rFonts w:hint="eastAsia" w:hAnsi="宋体"/>
          <w:b/>
          <w:bCs/>
          <w:sz w:val="28"/>
          <w:szCs w:val="28"/>
        </w:rPr>
        <w:t>采购过程中出现以下情形，导致电子交易平台无法正常运行，或者无法保证电子交易的公平、公正和安全时，采购方可中止电子交易活动：</w:t>
      </w:r>
    </w:p>
    <w:p>
      <w:pPr>
        <w:spacing w:line="440" w:lineRule="exact"/>
        <w:ind w:firstLine="562" w:firstLineChars="200"/>
        <w:rPr>
          <w:rFonts w:ascii="宋体" w:hAnsi="宋体"/>
          <w:b/>
          <w:bCs/>
          <w:sz w:val="28"/>
          <w:szCs w:val="28"/>
        </w:rPr>
      </w:pPr>
      <w:r>
        <w:rPr>
          <w:rFonts w:hint="eastAsia" w:ascii="宋体" w:hAnsi="宋体"/>
          <w:b/>
          <w:bCs/>
          <w:sz w:val="28"/>
          <w:szCs w:val="28"/>
        </w:rPr>
        <w:t>1.电子交易平台发生故障而无法登录访问的；</w:t>
      </w:r>
    </w:p>
    <w:p>
      <w:pPr>
        <w:spacing w:line="440" w:lineRule="exact"/>
        <w:ind w:firstLine="562" w:firstLineChars="200"/>
        <w:rPr>
          <w:rFonts w:ascii="宋体" w:hAnsi="宋体"/>
          <w:b/>
          <w:bCs/>
          <w:sz w:val="28"/>
          <w:szCs w:val="28"/>
        </w:rPr>
      </w:pPr>
      <w:r>
        <w:rPr>
          <w:rFonts w:hint="eastAsia" w:ascii="宋体" w:hAnsi="宋体"/>
          <w:b/>
          <w:bCs/>
          <w:sz w:val="28"/>
          <w:szCs w:val="28"/>
        </w:rPr>
        <w:t>2.电子交易平台应用或数据库出现错误，不能进行正常操作的；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3.电子交易平台发现严重安全漏洞，有潜在泄密危险的；</w:t>
      </w:r>
    </w:p>
    <w:p>
      <w:pPr>
        <w:spacing w:line="440" w:lineRule="exact"/>
        <w:ind w:firstLine="562" w:firstLineChars="200"/>
        <w:rPr>
          <w:rFonts w:ascii="宋体" w:hAnsi="宋体"/>
          <w:b/>
          <w:bCs/>
          <w:sz w:val="28"/>
          <w:szCs w:val="28"/>
        </w:rPr>
      </w:pPr>
      <w:r>
        <w:rPr>
          <w:rFonts w:hint="eastAsia" w:ascii="宋体" w:hAnsi="宋体"/>
          <w:b/>
          <w:bCs/>
          <w:sz w:val="28"/>
          <w:szCs w:val="28"/>
        </w:rPr>
        <w:t>4.病毒发作导致不能进行正常操作的；</w:t>
      </w:r>
    </w:p>
    <w:p>
      <w:pPr>
        <w:spacing w:line="440" w:lineRule="exact"/>
        <w:ind w:firstLine="562" w:firstLineChars="200"/>
        <w:rPr>
          <w:rFonts w:ascii="宋体" w:hAnsi="宋体"/>
          <w:b/>
          <w:bCs/>
          <w:sz w:val="28"/>
          <w:szCs w:val="28"/>
        </w:rPr>
      </w:pPr>
      <w:r>
        <w:rPr>
          <w:rFonts w:hint="eastAsia" w:ascii="宋体" w:hAnsi="宋体"/>
          <w:b/>
          <w:bCs/>
          <w:sz w:val="28"/>
          <w:szCs w:val="28"/>
        </w:rPr>
        <w:t>5.其他无法保证电子交易的公平、公正和安全的情况。</w:t>
      </w:r>
    </w:p>
    <w:p>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采购方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pPr>
        <w:pStyle w:val="22"/>
        <w:snapToGrid w:val="0"/>
        <w:spacing w:beforeLines="0" w:afterLines="0" w:line="460" w:lineRule="exact"/>
        <w:ind w:firstLine="602" w:firstLineChars="200"/>
        <w:rPr>
          <w:rFonts w:ascii="仿宋" w:hAnsi="仿宋" w:eastAsia="仿宋"/>
          <w:b/>
          <w:sz w:val="30"/>
          <w:szCs w:val="30"/>
        </w:rPr>
      </w:pPr>
    </w:p>
    <w:p>
      <w:pPr>
        <w:pStyle w:val="2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三、组织单一来源采购程序</w:t>
      </w:r>
    </w:p>
    <w:p>
      <w:pPr>
        <w:pStyle w:val="2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成员由采购中心组织具有相关经验的专业人员【或委托省财政厅采监处按《中华人民共和国政府采购法》相关要求，从政府采购评审专家库内相关专业的专家名单中随机抽取的专家成员组成】。协商小组成员为</w:t>
      </w:r>
      <w:r>
        <w:rPr>
          <w:rFonts w:ascii="仿宋" w:hAnsi="仿宋" w:eastAsia="仿宋"/>
          <w:sz w:val="30"/>
          <w:szCs w:val="30"/>
        </w:rPr>
        <w:t>3</w:t>
      </w:r>
      <w:r>
        <w:rPr>
          <w:rFonts w:hint="eastAsia" w:ascii="仿宋" w:hAnsi="仿宋" w:eastAsia="仿宋"/>
          <w:sz w:val="30"/>
          <w:szCs w:val="30"/>
        </w:rPr>
        <w:t>人（含）以上组成。</w:t>
      </w:r>
    </w:p>
    <w:p>
      <w:pPr>
        <w:pStyle w:val="22"/>
        <w:snapToGrid w:val="0"/>
        <w:spacing w:before="156" w:after="156" w:line="46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（二）组织开标</w:t>
      </w:r>
    </w:p>
    <w:p>
      <w:pPr>
        <w:pStyle w:val="22"/>
        <w:snapToGrid w:val="0"/>
        <w:spacing w:before="156" w:after="156" w:line="460" w:lineRule="exact"/>
        <w:ind w:firstLine="560" w:firstLineChars="200"/>
        <w:rPr>
          <w:rFonts w:hAnsi="宋体"/>
          <w:bCs/>
          <w:color w:val="auto"/>
          <w:sz w:val="28"/>
          <w:szCs w:val="28"/>
        </w:rPr>
      </w:pPr>
      <w:r>
        <w:rPr>
          <w:rFonts w:hint="eastAsia" w:hAnsi="宋体"/>
          <w:bCs/>
          <w:color w:val="auto"/>
          <w:sz w:val="28"/>
          <w:szCs w:val="28"/>
        </w:rPr>
        <w:t>采购方将按照单一来源采购文件规定的时间、地点和程序组织开标，各响应方授权代表及相关人员</w:t>
      </w:r>
      <w:r>
        <w:rPr>
          <w:rFonts w:hint="eastAsia" w:hAnsi="宋体"/>
          <w:b/>
          <w:bCs/>
          <w:color w:val="auto"/>
          <w:sz w:val="28"/>
          <w:szCs w:val="28"/>
        </w:rPr>
        <w:t>均应当准时在线参加</w:t>
      </w:r>
      <w:r>
        <w:rPr>
          <w:rFonts w:hint="eastAsia" w:hAnsi="宋体"/>
          <w:bCs/>
          <w:color w:val="auto"/>
          <w:sz w:val="28"/>
          <w:szCs w:val="28"/>
        </w:rPr>
        <w:t>，无关人员不得进入开标现场。响应方</w:t>
      </w:r>
      <w:r>
        <w:rPr>
          <w:rFonts w:hint="eastAsia" w:hAnsi="宋体"/>
          <w:b/>
          <w:bCs/>
          <w:color w:val="auto"/>
          <w:sz w:val="28"/>
          <w:szCs w:val="28"/>
        </w:rPr>
        <w:t>如未准时在线参加的</w:t>
      </w:r>
      <w:r>
        <w:rPr>
          <w:rFonts w:hint="eastAsia" w:hAnsi="宋体"/>
          <w:bCs/>
          <w:color w:val="auto"/>
          <w:sz w:val="28"/>
          <w:szCs w:val="28"/>
        </w:rPr>
        <w:t>，事后不得对采购相关人员、开标过程和开标结果提出异议。</w:t>
      </w:r>
    </w:p>
    <w:p>
      <w:pPr>
        <w:pStyle w:val="22"/>
        <w:snapToGrid w:val="0"/>
        <w:spacing w:before="156" w:after="156" w:line="460" w:lineRule="exact"/>
        <w:ind w:firstLine="562" w:firstLineChars="200"/>
        <w:rPr>
          <w:rFonts w:hAnsi="宋体"/>
          <w:b/>
          <w:bCs/>
          <w:color w:val="auto"/>
          <w:sz w:val="28"/>
          <w:szCs w:val="28"/>
        </w:rPr>
      </w:pPr>
      <w:r>
        <w:rPr>
          <w:rFonts w:hint="eastAsia" w:hAnsi="宋体"/>
          <w:b/>
          <w:bCs/>
          <w:color w:val="auto"/>
          <w:sz w:val="28"/>
          <w:szCs w:val="28"/>
        </w:rPr>
        <w:t>1. 落实工作场地、设施，检查录音录像采集设备运行情况，验证电子交易平台是否能正常登录。</w:t>
      </w:r>
    </w:p>
    <w:p>
      <w:pPr>
        <w:pStyle w:val="22"/>
        <w:snapToGrid w:val="0"/>
        <w:spacing w:before="156" w:after="156" w:line="460" w:lineRule="exact"/>
        <w:ind w:firstLine="562" w:firstLineChars="200"/>
        <w:rPr>
          <w:rFonts w:hAnsi="宋体"/>
          <w:b/>
          <w:bCs/>
          <w:color w:val="auto"/>
          <w:sz w:val="28"/>
          <w:szCs w:val="28"/>
        </w:rPr>
      </w:pPr>
      <w:r>
        <w:rPr>
          <w:rFonts w:hint="eastAsia" w:hAnsi="宋体"/>
          <w:b/>
          <w:bCs/>
          <w:color w:val="auto"/>
          <w:sz w:val="28"/>
          <w:szCs w:val="28"/>
        </w:rPr>
        <w:t>2. 协商由采购方主持，主持人介绍开标现场的人员情况，宣读递交响应文件的响应方名单、开标纪律、应当回避的情形等注意事项。</w:t>
      </w:r>
    </w:p>
    <w:p>
      <w:pPr>
        <w:spacing w:line="440" w:lineRule="exact"/>
        <w:ind w:firstLine="562" w:firstLineChars="200"/>
        <w:rPr>
          <w:rFonts w:ascii="宋体" w:hAnsi="宋体"/>
          <w:b/>
          <w:bCs/>
          <w:color w:val="auto"/>
          <w:sz w:val="28"/>
          <w:szCs w:val="28"/>
        </w:rPr>
      </w:pPr>
      <w:r>
        <w:rPr>
          <w:rFonts w:hint="eastAsia" w:hAnsi="宋体"/>
          <w:b/>
          <w:bCs/>
          <w:color w:val="auto"/>
          <w:sz w:val="28"/>
          <w:szCs w:val="28"/>
        </w:rPr>
        <w:t>3.</w:t>
      </w:r>
      <w:r>
        <w:rPr>
          <w:rFonts w:hint="eastAsia" w:ascii="宋体" w:hAnsi="宋体"/>
          <w:b/>
          <w:bCs/>
          <w:color w:val="auto"/>
          <w:sz w:val="28"/>
          <w:szCs w:val="28"/>
        </w:rPr>
        <w:t>投标截止时，电子交易平台自动提取所有电子响应文件。采购方点击[开始解密]按钮后，响应方可以在线解密，解密时限为30分钟。</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4.响应方应当在解密时限内完成解密，如所有响应方的电子投标文件都已经解密完成的，则电子交易平台自动结束解密。如有任一响应方未解密，电子交易平台会在解密时限截止时自动结束解密。</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解密时限内未完成解密且按规定提供了备份投标文件的，采购方将拆封其备份投标文件，并导入电子交易平台。</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5.协商小组在商务和技术协商结束后，主持人通过电子交易平台宣告商务和技术协商无效响应方名称及理由，有效响应方的商务和技术得分情况。</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6.采购方在电子交易平台开启响应方的报价文件信息，响应方对报价信息进行确认。响应方对报价信息不予确认的不影响后续协商过程。</w:t>
      </w:r>
    </w:p>
    <w:p>
      <w:pPr>
        <w:pStyle w:val="22"/>
        <w:snapToGrid w:val="0"/>
        <w:spacing w:before="156" w:after="156" w:line="460" w:lineRule="exact"/>
        <w:ind w:firstLine="551" w:firstLineChars="196"/>
        <w:rPr>
          <w:rFonts w:hAnsi="宋体"/>
          <w:b/>
          <w:bCs/>
          <w:color w:val="auto"/>
          <w:sz w:val="28"/>
          <w:szCs w:val="28"/>
        </w:rPr>
      </w:pPr>
      <w:r>
        <w:rPr>
          <w:rFonts w:hint="eastAsia" w:hAnsi="宋体"/>
          <w:b/>
          <w:bCs/>
          <w:color w:val="auto"/>
          <w:sz w:val="28"/>
          <w:szCs w:val="28"/>
        </w:rPr>
        <w:t>7.协商小组经商议认为需要响应方作出必要澄清或说明的，应当通过电子交易平台交换数据电文。协商小组给予响应方提交澄清或说明的时间为半小时，响应方已经明确表示澄清或说明完毕的除外。</w:t>
      </w:r>
    </w:p>
    <w:p>
      <w:pPr>
        <w:spacing w:line="440" w:lineRule="exact"/>
        <w:ind w:firstLine="562" w:firstLineChars="200"/>
        <w:rPr>
          <w:rFonts w:ascii="宋体" w:hAnsi="宋体"/>
          <w:b/>
          <w:bCs/>
          <w:color w:val="auto"/>
          <w:sz w:val="28"/>
          <w:szCs w:val="28"/>
        </w:rPr>
      </w:pPr>
      <w:r>
        <w:rPr>
          <w:rFonts w:hint="eastAsia" w:ascii="宋体" w:hAnsi="宋体"/>
          <w:b/>
          <w:bCs/>
          <w:color w:val="auto"/>
          <w:sz w:val="28"/>
          <w:szCs w:val="28"/>
        </w:rPr>
        <w:t>8.在电子交易平台上公布协商结果。</w:t>
      </w:r>
    </w:p>
    <w:p>
      <w:pPr>
        <w:spacing w:line="440" w:lineRule="exact"/>
        <w:ind w:firstLine="562" w:firstLineChars="200"/>
        <w:rPr>
          <w:rFonts w:ascii="仿宋" w:hAnsi="仿宋" w:eastAsia="仿宋"/>
          <w:b/>
          <w:bCs/>
          <w:color w:val="auto"/>
          <w:sz w:val="28"/>
          <w:szCs w:val="28"/>
        </w:rPr>
      </w:pPr>
      <w:r>
        <w:rPr>
          <w:rFonts w:hint="eastAsia" w:ascii="宋体" w:hAnsi="宋体"/>
          <w:b/>
          <w:bCs/>
          <w:color w:val="auto"/>
          <w:sz w:val="28"/>
          <w:szCs w:val="28"/>
        </w:rPr>
        <w:t>特别说明：政采云公司如对电子化开标及协商程序有调整的，按调整后的程序操作。</w:t>
      </w:r>
    </w:p>
    <w:p>
      <w:pPr>
        <w:pStyle w:val="22"/>
        <w:snapToGrid w:val="0"/>
        <w:spacing w:beforeLines="0" w:afterLines="0" w:line="460" w:lineRule="exact"/>
        <w:ind w:firstLine="590" w:firstLineChars="196"/>
        <w:rPr>
          <w:rFonts w:ascii="仿宋" w:hAnsi="仿宋" w:eastAsia="仿宋"/>
          <w:b/>
          <w:color w:val="auto"/>
          <w:sz w:val="30"/>
          <w:szCs w:val="30"/>
        </w:rPr>
      </w:pPr>
    </w:p>
    <w:p>
      <w:pPr>
        <w:pStyle w:val="22"/>
        <w:snapToGrid w:val="0"/>
        <w:spacing w:beforeLines="0" w:afterLines="0" w:line="460" w:lineRule="exact"/>
        <w:ind w:firstLine="602" w:firstLineChars="200"/>
        <w:rPr>
          <w:rFonts w:ascii="仿宋" w:hAnsi="仿宋" w:eastAsia="仿宋"/>
          <w:b/>
          <w:color w:val="auto"/>
          <w:sz w:val="30"/>
          <w:szCs w:val="30"/>
        </w:rPr>
      </w:pPr>
      <w:r>
        <w:rPr>
          <w:rFonts w:hint="eastAsia" w:ascii="仿宋" w:hAnsi="仿宋" w:eastAsia="仿宋"/>
          <w:b/>
          <w:color w:val="auto"/>
          <w:sz w:val="30"/>
          <w:szCs w:val="30"/>
        </w:rPr>
        <w:t>（三）组织协商程序</w:t>
      </w:r>
    </w:p>
    <w:p>
      <w:pPr>
        <w:pStyle w:val="22"/>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浙江省政府采购中心将按照单一来源采购文件规定的时间、地点和程序组织协商，各协商小组成员及相关人员应参加采购活动并接受核验、签到，无关人员不得进入协商现场。</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1</w:t>
      </w:r>
      <w:r>
        <w:rPr>
          <w:rFonts w:hint="eastAsia" w:ascii="仿宋" w:hAnsi="仿宋" w:eastAsia="仿宋"/>
          <w:bCs/>
          <w:color w:val="000000"/>
          <w:sz w:val="30"/>
          <w:szCs w:val="30"/>
        </w:rPr>
        <w:t>、核验出席采购活动现场的各成员和相关监督人员身份，并要求其分别登记、签到，按规定统一收缴、保存其通讯工具，无关人员一律拒绝其进入采购现场。</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、介绍现场的人员情况，宣布工作纪律，告知协商小组人员应当回避情形；组织推选协商小组组长。</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3</w:t>
      </w:r>
      <w:r>
        <w:rPr>
          <w:rFonts w:hint="eastAsia" w:ascii="仿宋" w:hAnsi="仿宋" w:eastAsia="仿宋"/>
          <w:bCs/>
          <w:color w:val="000000"/>
          <w:sz w:val="30"/>
          <w:szCs w:val="30"/>
        </w:rPr>
        <w:t>、宣读提交单一来源响应文件的响应方名单，组织协商小组各位成员签订《政府采购评审人员廉洁自律承诺书》。</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4</w:t>
      </w:r>
      <w:r>
        <w:rPr>
          <w:rFonts w:hint="eastAsia" w:ascii="仿宋" w:hAnsi="仿宋" w:eastAsia="仿宋"/>
          <w:bCs/>
          <w:color w:val="000000"/>
          <w:sz w:val="30"/>
          <w:szCs w:val="30"/>
        </w:rPr>
        <w:t>、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5</w:t>
      </w:r>
      <w:r>
        <w:rPr>
          <w:rFonts w:hint="eastAsia" w:ascii="仿宋" w:hAnsi="仿宋" w:eastAsia="仿宋"/>
          <w:bCs/>
          <w:color w:val="000000"/>
          <w:sz w:val="30"/>
          <w:szCs w:val="30"/>
        </w:rPr>
        <w:t>、做好采购现场相关记录，协助协商小组组长做好协商报告起草、有关内容电脑文字录入等工作，并要求协商小组各成员签字确认。</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6</w:t>
      </w:r>
      <w:r>
        <w:rPr>
          <w:rFonts w:hint="eastAsia" w:ascii="仿宋" w:hAnsi="仿宋" w:eastAsia="仿宋"/>
          <w:bCs/>
          <w:color w:val="000000"/>
          <w:sz w:val="30"/>
          <w:szCs w:val="30"/>
        </w:rPr>
        <w:t>、采购结束后，浙江省政府采购中心应对协商小组各成员的专业水平、职业道德、遵纪守法等情况进行评价；同时按规定向协商人员发放费用，并交还协商人员及其他现场相关人员的通讯工具。</w:t>
      </w:r>
    </w:p>
    <w:p>
      <w:pPr>
        <w:pStyle w:val="22"/>
        <w:snapToGrid w:val="0"/>
        <w:spacing w:beforeLines="0" w:afterLines="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1</w:t>
      </w:r>
      <w:r>
        <w:rPr>
          <w:rFonts w:hint="eastAsia" w:ascii="仿宋" w:hAnsi="仿宋" w:eastAsia="仿宋"/>
          <w:bCs/>
          <w:color w:val="000000"/>
          <w:sz w:val="30"/>
          <w:szCs w:val="30"/>
        </w:rPr>
        <w:t>、在协商人员中推选协商小组组长。</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3</w:t>
      </w:r>
      <w:r>
        <w:rPr>
          <w:rFonts w:hint="eastAsia" w:ascii="仿宋" w:hAnsi="仿宋" w:eastAsia="仿宋"/>
          <w:bCs/>
          <w:color w:val="000000"/>
          <w:sz w:val="30"/>
          <w:szCs w:val="30"/>
        </w:rPr>
        <w:t>、协商小组组长召集成员讨论确定协商方法和协商轮次。</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4</w:t>
      </w:r>
      <w:r>
        <w:rPr>
          <w:rFonts w:hint="eastAsia" w:ascii="仿宋" w:hAnsi="仿宋" w:eastAsia="仿宋"/>
          <w:bCs/>
          <w:color w:val="000000"/>
          <w:sz w:val="30"/>
          <w:szCs w:val="30"/>
        </w:rPr>
        <w:t>、协商小组对单一来源响应文件的有效性、完整性和响应程度进行审查，确定是否作出实质性响应。</w:t>
      </w:r>
    </w:p>
    <w:p>
      <w:pPr>
        <w:pStyle w:val="22"/>
        <w:snapToGrid w:val="0"/>
        <w:spacing w:beforeLines="0" w:afterLines="0" w:line="460" w:lineRule="exact"/>
        <w:ind w:firstLine="588" w:firstLineChars="196"/>
        <w:rPr>
          <w:rFonts w:ascii="仿宋" w:hAnsi="仿宋" w:eastAsia="仿宋"/>
          <w:bCs/>
          <w:color w:val="000000"/>
          <w:sz w:val="30"/>
          <w:szCs w:val="30"/>
        </w:rPr>
      </w:pPr>
      <w:r>
        <w:rPr>
          <w:rFonts w:ascii="仿宋" w:hAnsi="仿宋" w:eastAsia="仿宋"/>
          <w:bCs/>
          <w:color w:val="000000"/>
          <w:sz w:val="30"/>
          <w:szCs w:val="30"/>
        </w:rPr>
        <w:t>5</w:t>
      </w:r>
      <w:r>
        <w:rPr>
          <w:rFonts w:hint="eastAsia" w:ascii="仿宋" w:hAnsi="仿宋" w:eastAsia="仿宋"/>
          <w:bCs/>
          <w:color w:val="000000"/>
          <w:sz w:val="30"/>
          <w:szCs w:val="30"/>
        </w:rPr>
        <w:t>、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、协商小组与响应方就项目技术需求、服务、价格构成、供货、付款方式等要素进行协商，并要求其在规定时间内提交书面最终报价。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、协商小组对最终报价的合理性进行审核，并根据单一来源文件规定确定成交响应方。</w:t>
      </w:r>
    </w:p>
    <w:p>
      <w:pPr>
        <w:spacing w:before="156" w:beforeLines="50" w:after="156" w:afterLines="50" w:line="460" w:lineRule="exact"/>
        <w:ind w:firstLine="588" w:firstLineChars="196"/>
        <w:rPr>
          <w:rFonts w:ascii="仿宋" w:hAnsi="仿宋" w:eastAsia="仿宋"/>
          <w:b/>
          <w:bCs/>
          <w:sz w:val="30"/>
          <w:szCs w:val="30"/>
        </w:rPr>
      </w:pPr>
      <w:r>
        <w:rPr>
          <w:rFonts w:ascii="仿宋" w:hAnsi="仿宋" w:eastAsia="仿宋"/>
          <w:sz w:val="30"/>
          <w:szCs w:val="30"/>
        </w:rPr>
        <w:t>8</w:t>
      </w:r>
      <w:r>
        <w:rPr>
          <w:rFonts w:hint="eastAsia" w:ascii="仿宋" w:hAnsi="仿宋" w:eastAsia="仿宋"/>
          <w:sz w:val="30"/>
          <w:szCs w:val="30"/>
        </w:rPr>
        <w:t>、起草协商报告，所有协商小组成员须在报告上签字确认。</w:t>
      </w:r>
    </w:p>
    <w:p>
      <w:pPr>
        <w:pStyle w:val="22"/>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（四）采购原则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协商小组必须公平、公正、客观，不带任何倾向性和启发性；不得向外界透露任何与协商有关的内容，任何单位和个人不得干扰、影响协商的正常进行，协商小组及有关工作人员不得私下与响应方接触。</w:t>
      </w:r>
    </w:p>
    <w:p>
      <w:pPr>
        <w:snapToGrid w:val="0"/>
        <w:spacing w:line="460" w:lineRule="exact"/>
        <w:ind w:firstLine="738" w:firstLineChars="246"/>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、协商人员因回避、临时缺席或健康原因等特殊情况不能继续参加采购工作的，应按规定更换协商人员</w:t>
      </w:r>
      <w:r>
        <w:rPr>
          <w:rFonts w:ascii="仿宋" w:hAnsi="仿宋" w:eastAsia="仿宋"/>
          <w:sz w:val="30"/>
          <w:szCs w:val="30"/>
        </w:rPr>
        <w:t>,</w:t>
      </w:r>
      <w:r>
        <w:rPr>
          <w:rFonts w:hint="eastAsia" w:ascii="仿宋" w:hAnsi="仿宋" w:eastAsia="仿宋"/>
          <w:sz w:val="30"/>
          <w:szCs w:val="30"/>
        </w:rPr>
        <w:t>被更换的协商人员之前所作出的协商意见不再予以采纳，由更换后的协商人员重新进行协商。无法及时更换成员的，要立即停止采购工作、封存采购资料，并告知响应方重新采购的时间和地点。</w:t>
      </w:r>
    </w:p>
    <w:p>
      <w:pPr>
        <w:snapToGrid w:val="0"/>
        <w:spacing w:line="460" w:lineRule="exact"/>
        <w:ind w:firstLine="738" w:firstLineChars="246"/>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、项目由协商小组根据质量和服务均能满足采购文件实质性响应要求且最后报价合理的原则确定成交响应方。</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 xml:space="preserve"> 3</w:t>
      </w:r>
      <w:r>
        <w:rPr>
          <w:rFonts w:hint="eastAsia" w:ascii="仿宋" w:hAnsi="仿宋" w:eastAsia="仿宋"/>
          <w:sz w:val="30"/>
          <w:szCs w:val="30"/>
        </w:rPr>
        <w:t>、采购结果由采购人代表签名确认。采购人若现场未签字确认且在规定时间内不提出异议的，视为默认。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 xml:space="preserve"> 4</w:t>
      </w:r>
      <w:r>
        <w:rPr>
          <w:rFonts w:hint="eastAsia" w:ascii="仿宋" w:hAnsi="仿宋" w:eastAsia="仿宋"/>
          <w:sz w:val="30"/>
          <w:szCs w:val="30"/>
        </w:rPr>
        <w:t>、协商情况记录应当由采购全体人员签字认可。对记录有异议的采购人员，应当签署不同意见并说明理由。采购人员拒绝在记录上签字又不书面说明其不同意见和理由的，视为同意。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 xml:space="preserve"> 5</w:t>
      </w:r>
      <w:r>
        <w:rPr>
          <w:rFonts w:hint="eastAsia" w:ascii="仿宋" w:hAnsi="仿宋" w:eastAsia="仿宋"/>
          <w:sz w:val="30"/>
          <w:szCs w:val="30"/>
        </w:rPr>
        <w:t>、采购结果经采购人确认后，采购中心将于</w:t>
      </w:r>
      <w:r>
        <w:rPr>
          <w:rFonts w:ascii="仿宋" w:hAnsi="仿宋" w:eastAsia="仿宋"/>
          <w:sz w:val="30"/>
          <w:szCs w:val="30"/>
        </w:rPr>
        <w:t>2</w:t>
      </w:r>
      <w:r>
        <w:rPr>
          <w:rFonts w:hint="eastAsia" w:ascii="仿宋" w:hAnsi="仿宋" w:eastAsia="仿宋"/>
          <w:sz w:val="30"/>
          <w:szCs w:val="30"/>
        </w:rPr>
        <w:t>个工作日内在浙江省政府采购网上公告成交结果，并向成交响应方发出成交通知书。</w:t>
      </w:r>
    </w:p>
    <w:p>
      <w:pPr>
        <w:pStyle w:val="22"/>
        <w:snapToGrid w:val="0"/>
        <w:spacing w:beforeLines="0" w:afterLines="0" w:line="460" w:lineRule="exact"/>
        <w:ind w:firstLine="596" w:firstLineChars="198"/>
        <w:outlineLvl w:val="1"/>
        <w:rPr>
          <w:rFonts w:ascii="仿宋" w:hAnsi="仿宋" w:eastAsia="仿宋"/>
          <w:b/>
          <w:sz w:val="30"/>
          <w:szCs w:val="30"/>
        </w:rPr>
      </w:pPr>
      <w:r>
        <w:rPr>
          <w:rFonts w:hint="eastAsia" w:ascii="仿宋" w:hAnsi="仿宋" w:eastAsia="仿宋"/>
          <w:b/>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color w:val="FF0000"/>
          <w:sz w:val="30"/>
          <w:szCs w:val="30"/>
        </w:rPr>
      </w:pPr>
      <w:r>
        <w:rPr>
          <w:rFonts w:ascii="仿宋" w:hAnsi="仿宋" w:eastAsia="仿宋"/>
          <w:sz w:val="30"/>
          <w:szCs w:val="30"/>
        </w:rPr>
        <w:t>1.</w:t>
      </w:r>
      <w:r>
        <w:rPr>
          <w:rFonts w:hint="eastAsia" w:ascii="仿宋" w:hAnsi="仿宋" w:eastAsia="仿宋"/>
          <w:sz w:val="30"/>
          <w:szCs w:val="30"/>
        </w:rPr>
        <w:t>采购人与成交响应方应当在《成交通知书》发出之日起</w:t>
      </w:r>
      <w:r>
        <w:rPr>
          <w:rFonts w:ascii="仿宋" w:hAnsi="仿宋" w:eastAsia="仿宋"/>
          <w:sz w:val="30"/>
          <w:szCs w:val="30"/>
        </w:rPr>
        <w:t>30</w:t>
      </w:r>
      <w:r>
        <w:rPr>
          <w:rFonts w:hint="eastAsia" w:ascii="仿宋" w:hAnsi="仿宋" w:eastAsia="仿宋"/>
          <w:sz w:val="30"/>
          <w:szCs w:val="30"/>
        </w:rPr>
        <w:t>日内尽快签订政府采购合同</w:t>
      </w:r>
      <w:r>
        <w:rPr>
          <w:rFonts w:hint="eastAsia" w:ascii="仿宋" w:hAnsi="仿宋" w:eastAsia="仿宋"/>
          <w:color w:val="FF0000"/>
          <w:sz w:val="30"/>
          <w:szCs w:val="30"/>
        </w:rPr>
        <w:t>。</w:t>
      </w:r>
    </w:p>
    <w:p>
      <w:pPr>
        <w:snapToGrid w:val="0"/>
        <w:spacing w:line="460" w:lineRule="exact"/>
        <w:ind w:firstLine="588" w:firstLineChars="196"/>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成交响应方拖延、拒签合同的</w:t>
      </w:r>
      <w:r>
        <w:rPr>
          <w:rFonts w:ascii="仿宋" w:hAnsi="仿宋" w:eastAsia="仿宋"/>
          <w:sz w:val="30"/>
          <w:szCs w:val="30"/>
        </w:rPr>
        <w:t>,</w:t>
      </w:r>
      <w:r>
        <w:rPr>
          <w:rFonts w:hint="eastAsia" w:ascii="仿宋" w:hAnsi="仿宋" w:eastAsia="仿宋"/>
          <w:sz w:val="30"/>
          <w:szCs w:val="30"/>
        </w:rPr>
        <w:t>将被扣罚单一来源采购保证金并取消成交资格。</w:t>
      </w:r>
    </w:p>
    <w:p>
      <w:pPr>
        <w:pStyle w:val="22"/>
        <w:snapToGrid w:val="0"/>
        <w:spacing w:beforeLines="0" w:afterLines="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pStyle w:val="22"/>
        <w:spacing w:before="156" w:after="156"/>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10%。</w:t>
      </w:r>
    </w:p>
    <w:p>
      <w:pPr>
        <w:pStyle w:val="22"/>
        <w:snapToGrid w:val="0"/>
        <w:spacing w:beforeLines="0" w:afterLines="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pPr>
        <w:pStyle w:val="22"/>
        <w:snapToGrid w:val="0"/>
        <w:spacing w:beforeLines="0" w:afterLines="0" w:line="460" w:lineRule="exact"/>
        <w:ind w:firstLine="596" w:firstLineChars="198"/>
        <w:rPr>
          <w:rFonts w:ascii="仿宋" w:hAnsi="仿宋" w:eastAsia="仿宋"/>
          <w:b/>
          <w:sz w:val="30"/>
          <w:szCs w:val="30"/>
        </w:rPr>
      </w:pPr>
      <w:r>
        <w:rPr>
          <w:rFonts w:hint="eastAsia" w:ascii="仿宋" w:hAnsi="仿宋" w:eastAsia="仿宋"/>
          <w:b/>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货款由采购人自行支付。若资金在采购人处的，由采购人直接支付；若资金在核算中心的，由采购人向核算中心发起支付令，由核算中心把货款打入成交商账户。</w:t>
      </w:r>
    </w:p>
    <w:p>
      <w:pPr>
        <w:pStyle w:val="40"/>
      </w:pPr>
      <w:r>
        <w:br w:type="page"/>
      </w:r>
      <w:bookmarkStart w:id="36" w:name="_Toc510136960"/>
      <w:r>
        <w:rPr>
          <w:rFonts w:hint="eastAsia"/>
        </w:rPr>
        <w:t>第三章</w:t>
      </w:r>
      <w:r>
        <w:rPr>
          <w:rFonts w:hint="eastAsia"/>
          <w:lang w:val="en-US" w:eastAsia="zh-CN"/>
        </w:rPr>
        <w:t xml:space="preserve">   </w:t>
      </w:r>
      <w:r>
        <w:rPr>
          <w:rFonts w:hint="eastAsia"/>
        </w:rPr>
        <w:t>采购内容</w:t>
      </w:r>
      <w:bookmarkEnd w:id="36"/>
    </w:p>
    <w:p>
      <w:pPr>
        <w:snapToGrid w:val="0"/>
        <w:spacing w:before="156" w:beforeLines="50" w:after="156" w:afterLines="50"/>
        <w:ind w:left="238"/>
        <w:jc w:val="center"/>
        <w:rPr>
          <w:rFonts w:ascii="仿宋" w:hAnsi="仿宋" w:eastAsia="仿宋"/>
          <w:b/>
          <w:spacing w:val="40"/>
          <w:kern w:val="0"/>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w:t>
      </w:r>
      <w:r>
        <w:rPr>
          <w:rFonts w:ascii="仿宋" w:hAnsi="仿宋" w:eastAsia="仿宋"/>
          <w:b/>
          <w:sz w:val="30"/>
          <w:szCs w:val="30"/>
        </w:rPr>
        <w:t>[2007]2</w:t>
      </w:r>
      <w:r>
        <w:rPr>
          <w:rFonts w:hint="eastAsia" w:ascii="仿宋" w:hAnsi="仿宋" w:eastAsia="仿宋"/>
          <w:b/>
          <w:sz w:val="30"/>
          <w:szCs w:val="30"/>
        </w:rPr>
        <w:t>号文件规定：除采购文件明确的品牌外，欢迎其他能满足本项目技术需求且性能与所明确品牌相当的产品参加。</w:t>
      </w:r>
    </w:p>
    <w:p>
      <w:pPr>
        <w:snapToGrid w:val="0"/>
        <w:spacing w:line="460" w:lineRule="exact"/>
        <w:rPr>
          <w:rFonts w:ascii="仿宋" w:hAnsi="仿宋" w:eastAsia="仿宋"/>
          <w:b/>
          <w:kern w:val="0"/>
          <w:sz w:val="30"/>
          <w:szCs w:val="30"/>
        </w:rPr>
      </w:pPr>
      <w:bookmarkStart w:id="37" w:name="技术需求"/>
      <w:bookmarkEnd w:id="37"/>
      <w:bookmarkStart w:id="38" w:name="jsxq_xq_1"/>
      <w:bookmarkEnd w:id="38"/>
      <w:bookmarkStart w:id="39" w:name="_Toc451268224"/>
      <w:bookmarkStart w:id="40" w:name="_Toc510136961"/>
    </w:p>
    <w:p>
      <w:pPr>
        <w:pStyle w:val="251"/>
        <w:jc w:val="center"/>
        <w:rPr>
          <w:rFonts w:hint="eastAsia" w:ascii="黑体" w:hAnsi="黑体" w:eastAsia="黑体" w:cs="黑体"/>
          <w:color w:val="000000"/>
          <w:sz w:val="36"/>
          <w:szCs w:val="36"/>
          <w:rPrChange w:id="0" w:author="江红葵" w:date="2022-08-10T09:37:45Z">
            <w:rPr>
              <w:rFonts w:ascii="方正小标宋简体" w:hAnsi="仿宋" w:eastAsia="方正小标宋简体"/>
              <w:color w:val="000000"/>
              <w:sz w:val="36"/>
            </w:rPr>
          </w:rPrChange>
        </w:rPr>
      </w:pPr>
      <w:bookmarkStart w:id="41" w:name="PO_15526_PM048"/>
      <w:bookmarkStart w:id="42" w:name="_Toc439237130"/>
      <w:r>
        <w:rPr>
          <w:rFonts w:hint="eastAsia" w:ascii="仿宋" w:hAnsi="仿宋" w:eastAsia="仿宋"/>
          <w:b/>
          <w:color w:val="000000"/>
          <w:sz w:val="30"/>
          <w:szCs w:val="30"/>
          <w:lang w:eastAsia="zh-CN"/>
        </w:rPr>
        <w:t xml:space="preserve"> </w:t>
      </w:r>
      <w:bookmarkEnd w:id="41"/>
      <w:bookmarkStart w:id="43" w:name="PO_TDCUS_ITEM_P_REQ_TITLE_1_1"/>
      <w:r>
        <w:rPr>
          <w:rFonts w:hint="eastAsia" w:ascii="仿宋" w:hAnsi="仿宋" w:eastAsia="仿宋"/>
          <w:b/>
          <w:color w:val="000000"/>
          <w:sz w:val="30"/>
          <w:szCs w:val="30"/>
          <w:lang w:eastAsia="zh-CN"/>
        </w:rPr>
        <w:t>标项1:</w:t>
      </w:r>
      <w:bookmarkEnd w:id="43"/>
      <w:bookmarkStart w:id="44" w:name="PO_TDCUS_ITEM_P_REQ_FILE_2_1"/>
      <w:bookmarkStart w:id="45" w:name="PO_TDCUS_ITEM_P_REQ_FILE_1_1_1"/>
      <w:r>
        <w:rPr>
          <w:rFonts w:hint="eastAsia" w:ascii="黑体" w:hAnsi="黑体" w:eastAsia="黑体" w:cs="黑体"/>
          <w:b w:val="0"/>
          <w:bCs/>
          <w:color w:val="000000"/>
          <w:sz w:val="36"/>
          <w:szCs w:val="36"/>
          <w:rPrChange w:id="1" w:author="江红葵" w:date="2022-08-10T09:37:45Z">
            <w:rPr>
              <w:rFonts w:hint="eastAsia" w:ascii="仿宋" w:hAnsi="仿宋"/>
              <w:b w:val="0"/>
              <w:bCs/>
              <w:color w:val="000000"/>
              <w:szCs w:val="32"/>
            </w:rPr>
          </w:rPrChange>
        </w:rPr>
        <w:t>浙江省交通运输信息中心中国联通线路租用</w:t>
      </w:r>
      <w:ins w:id="2" w:author="江红葵" w:date="2022-08-10T09:37:49Z">
        <w:r>
          <w:rPr>
            <w:rFonts w:hint="eastAsia" w:ascii="黑体" w:hAnsi="黑体" w:eastAsia="黑体" w:cs="黑体"/>
            <w:b w:val="0"/>
            <w:bCs/>
            <w:color w:val="000000"/>
            <w:sz w:val="36"/>
            <w:szCs w:val="36"/>
            <w:lang w:eastAsia="zh-CN"/>
          </w:rPr>
          <w:t>采购</w:t>
        </w:r>
      </w:ins>
      <w:ins w:id="3" w:author="江红葵" w:date="2022-08-10T09:37:50Z">
        <w:r>
          <w:rPr>
            <w:rFonts w:hint="eastAsia" w:ascii="黑体" w:hAnsi="黑体" w:eastAsia="黑体" w:cs="黑体"/>
            <w:b w:val="0"/>
            <w:bCs/>
            <w:color w:val="000000"/>
            <w:sz w:val="36"/>
            <w:szCs w:val="36"/>
            <w:lang w:eastAsia="zh-CN"/>
          </w:rPr>
          <w:t>需求</w:t>
        </w:r>
      </w:ins>
    </w:p>
    <w:p>
      <w:pPr>
        <w:pStyle w:val="2"/>
        <w:ind w:left="432" w:hanging="432"/>
        <w:jc w:val="both"/>
        <w:rPr>
          <w:rFonts w:ascii="Calibri" w:hAnsi="Calibri" w:eastAsia="仿宋_GB2312" w:cstheme="minorBidi"/>
          <w:bCs w:val="0"/>
          <w:sz w:val="32"/>
          <w:szCs w:val="32"/>
        </w:rPr>
      </w:pPr>
      <w:r>
        <w:rPr>
          <w:rFonts w:hint="eastAsia" w:ascii="Calibri" w:hAnsi="Calibri" w:eastAsia="仿宋_GB2312" w:cstheme="minorBidi"/>
          <w:bCs w:val="0"/>
          <w:sz w:val="32"/>
          <w:szCs w:val="32"/>
        </w:rPr>
        <w:t>1、项目背景</w:t>
      </w:r>
    </w:p>
    <w:p>
      <w:pPr>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浙江省交通运输厅（以下简称“省交通运输厅”）管辖着浙江省公路与运输管理中心（以下简称“省公路中心”）、浙江省港航管理中心（以下简称“省港航中心”）、浙江省交通工程管理中心（以下简称“省工程中心”）等厅属单位、11个地市交通运输局以及84个区（县）交通运输局。</w:t>
      </w:r>
    </w:p>
    <w:p>
      <w:pPr>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浙江省交通运输信息中心（以下简称“采购人”）通过租用联通线路构建相关信息化系统通信链路、完成各相关单位的信息互通。</w:t>
      </w:r>
    </w:p>
    <w:p>
      <w:pPr>
        <w:pStyle w:val="2"/>
        <w:ind w:left="432" w:hanging="432"/>
        <w:jc w:val="both"/>
        <w:rPr>
          <w:rFonts w:ascii="Calibri" w:hAnsi="Calibri" w:eastAsia="仿宋_GB2312" w:cstheme="minorBidi"/>
          <w:bCs w:val="0"/>
          <w:sz w:val="32"/>
          <w:szCs w:val="32"/>
        </w:rPr>
      </w:pPr>
      <w:r>
        <w:rPr>
          <w:rFonts w:hint="eastAsia" w:ascii="Calibri" w:hAnsi="Calibri" w:eastAsia="仿宋_GB2312" w:cstheme="minorBidi"/>
          <w:bCs w:val="0"/>
          <w:sz w:val="32"/>
          <w:szCs w:val="32"/>
        </w:rPr>
        <w:t>2、采购范围及要求</w:t>
      </w:r>
    </w:p>
    <w:p>
      <w:pPr>
        <w:pStyle w:val="249"/>
        <w:ind w:firstLine="562"/>
        <w:rPr>
          <w:rFonts w:ascii="仿宋_GB2312" w:eastAsia="仿宋_GB2312"/>
          <w:b/>
          <w:sz w:val="30"/>
          <w:szCs w:val="30"/>
        </w:rPr>
      </w:pPr>
      <w:r>
        <w:rPr>
          <w:rFonts w:ascii="仿宋_GB2312" w:eastAsia="仿宋_GB2312"/>
          <w:b/>
          <w:sz w:val="30"/>
          <w:szCs w:val="30"/>
        </w:rPr>
        <w:t>2.1</w:t>
      </w:r>
      <w:r>
        <w:rPr>
          <w:rFonts w:hint="eastAsia" w:ascii="仿宋_GB2312" w:eastAsia="仿宋_GB2312"/>
          <w:b/>
          <w:sz w:val="30"/>
          <w:szCs w:val="30"/>
        </w:rPr>
        <w:t xml:space="preserve"> 网络及业务数据传输</w:t>
      </w:r>
    </w:p>
    <w:p>
      <w:pPr>
        <w:ind w:firstLine="560"/>
        <w:rPr>
          <w:rFonts w:ascii="仿宋_GB2312" w:eastAsia="仿宋_GB2312"/>
          <w:sz w:val="28"/>
          <w:szCs w:val="28"/>
        </w:rPr>
      </w:pPr>
      <w:r>
        <w:rPr>
          <w:rFonts w:ascii="仿宋_GB2312" w:eastAsia="仿宋_GB2312"/>
          <w:sz w:val="28"/>
          <w:szCs w:val="28"/>
        </w:rPr>
        <w:t>2.1.</w:t>
      </w:r>
      <w:r>
        <w:rPr>
          <w:rFonts w:hint="eastAsia" w:ascii="仿宋_GB2312" w:eastAsia="仿宋_GB2312"/>
          <w:sz w:val="28"/>
          <w:szCs w:val="28"/>
        </w:rPr>
        <w:t>1 裸光纤</w:t>
      </w:r>
    </w:p>
    <w:p>
      <w:pPr>
        <w:ind w:firstLine="560"/>
        <w:rPr>
          <w:rFonts w:ascii="仿宋_GB2312" w:eastAsia="仿宋_GB2312"/>
          <w:sz w:val="28"/>
          <w:szCs w:val="28"/>
        </w:rPr>
      </w:pPr>
      <w:r>
        <w:rPr>
          <w:rFonts w:hint="eastAsia" w:ascii="仿宋_GB2312" w:eastAsia="仿宋_GB2312"/>
          <w:sz w:val="28"/>
          <w:szCs w:val="28"/>
        </w:rPr>
        <w:t>（1）租用1条省交通运输厅2</w:t>
      </w:r>
      <w:r>
        <w:rPr>
          <w:rFonts w:hint="eastAsia" w:ascii="仿宋_GB2312" w:eastAsia="仿宋_GB2312"/>
          <w:kern w:val="0"/>
          <w:sz w:val="28"/>
          <w:szCs w:val="28"/>
        </w:rPr>
        <w:t>楼机房</w:t>
      </w:r>
      <w:r>
        <w:rPr>
          <w:rFonts w:hint="eastAsia" w:ascii="仿宋_GB2312" w:eastAsia="仿宋_GB2312"/>
          <w:sz w:val="28"/>
          <w:szCs w:val="28"/>
        </w:rPr>
        <w:t>至省公安厅的裸光纤，用于省交通运输厅与省公安厅业务数据传输。</w:t>
      </w:r>
    </w:p>
    <w:p>
      <w:pPr>
        <w:ind w:firstLine="560"/>
        <w:rPr>
          <w:rFonts w:ascii="仿宋_GB2312" w:eastAsia="仿宋_GB2312"/>
          <w:sz w:val="28"/>
          <w:szCs w:val="28"/>
        </w:rPr>
      </w:pPr>
      <w:r>
        <w:rPr>
          <w:rFonts w:hint="eastAsia" w:ascii="仿宋_GB2312" w:eastAsia="仿宋_GB2312"/>
          <w:sz w:val="28"/>
          <w:szCs w:val="28"/>
        </w:rPr>
        <w:t>（2）租用1条省交通运输厅2</w:t>
      </w:r>
      <w:r>
        <w:rPr>
          <w:rFonts w:hint="eastAsia" w:ascii="仿宋_GB2312" w:eastAsia="仿宋_GB2312"/>
          <w:kern w:val="0"/>
          <w:sz w:val="28"/>
          <w:szCs w:val="28"/>
        </w:rPr>
        <w:t>楼机房至</w:t>
      </w:r>
      <w:r>
        <w:rPr>
          <w:rFonts w:hint="eastAsia" w:ascii="仿宋_GB2312" w:eastAsia="仿宋_GB2312"/>
          <w:sz w:val="28"/>
          <w:szCs w:val="28"/>
        </w:rPr>
        <w:t>省港航中心3楼机房的裸光纤，用于交通内网的互联互通。</w:t>
      </w:r>
    </w:p>
    <w:p>
      <w:pPr>
        <w:ind w:firstLine="56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2 MSTP数字电路</w:t>
      </w:r>
    </w:p>
    <w:p>
      <w:pPr>
        <w:ind w:firstLine="560"/>
        <w:rPr>
          <w:rFonts w:ascii="仿宋_GB2312" w:hAnsi="仿宋_GB2312" w:eastAsia="仿宋_GB2312" w:cs="仿宋_GB2312"/>
          <w:color w:val="000000"/>
          <w:sz w:val="28"/>
          <w:szCs w:val="28"/>
        </w:rPr>
      </w:pPr>
      <w:r>
        <w:rPr>
          <w:rFonts w:hint="eastAsia" w:ascii="仿宋_GB2312" w:eastAsia="仿宋_GB2312"/>
          <w:sz w:val="28"/>
          <w:szCs w:val="28"/>
        </w:rPr>
        <w:t>（1）租用1条80M MSTP（省际长途）数字电路，从省港航中心3楼机房连接至交通运输部海事局，用于业务数据互通。</w:t>
      </w:r>
    </w:p>
    <w:p>
      <w:pPr>
        <w:ind w:firstLine="560"/>
        <w:rPr>
          <w:rFonts w:ascii="仿宋_GB2312" w:eastAsia="仿宋_GB2312"/>
          <w:sz w:val="28"/>
          <w:szCs w:val="28"/>
        </w:rPr>
      </w:pPr>
      <w:r>
        <w:rPr>
          <w:rFonts w:hint="eastAsia" w:ascii="仿宋_GB2312" w:eastAsia="仿宋_GB2312"/>
          <w:sz w:val="28"/>
          <w:szCs w:val="28"/>
        </w:rPr>
        <w:t>（2）租用1条20M MSTP（省际长途）数字电路，从省港航中心3楼机房连接至上海船舶动态监控中心，用于业务数据互通。</w:t>
      </w:r>
    </w:p>
    <w:p>
      <w:pPr>
        <w:ind w:firstLine="560"/>
        <w:rPr>
          <w:rFonts w:ascii="仿宋_GB2312" w:eastAsia="仿宋_GB2312"/>
          <w:sz w:val="28"/>
          <w:szCs w:val="28"/>
        </w:rPr>
      </w:pPr>
      <w:r>
        <w:rPr>
          <w:rFonts w:hint="eastAsia" w:ascii="仿宋_GB2312" w:eastAsia="仿宋_GB2312"/>
          <w:sz w:val="28"/>
          <w:szCs w:val="28"/>
        </w:rPr>
        <w:t>（3）租用1</w:t>
      </w:r>
      <w:r>
        <w:rPr>
          <w:rFonts w:ascii="仿宋_GB2312" w:eastAsia="仿宋_GB2312"/>
          <w:sz w:val="28"/>
          <w:szCs w:val="28"/>
        </w:rPr>
        <w:t>条</w:t>
      </w:r>
      <w:r>
        <w:rPr>
          <w:rFonts w:hint="eastAsia" w:ascii="仿宋_GB2312" w:eastAsia="仿宋_GB2312"/>
          <w:sz w:val="28"/>
          <w:szCs w:val="28"/>
        </w:rPr>
        <w:t>1</w:t>
      </w:r>
      <w:r>
        <w:rPr>
          <w:rFonts w:ascii="仿宋_GB2312" w:eastAsia="仿宋_GB2312"/>
          <w:sz w:val="28"/>
          <w:szCs w:val="28"/>
        </w:rPr>
        <w:t>0M MSTP</w:t>
      </w:r>
      <w:r>
        <w:rPr>
          <w:rFonts w:hint="eastAsia" w:ascii="仿宋_GB2312" w:eastAsia="仿宋_GB2312"/>
          <w:sz w:val="28"/>
          <w:szCs w:val="28"/>
        </w:rPr>
        <w:t>（省内长途）数字电路，从明珠国际商务中心4号楼1楼机房至宁波国际航运中心41楼，用于智慧云平台与宁波舟山港系统对接与数据共享。</w:t>
      </w:r>
    </w:p>
    <w:p>
      <w:pPr>
        <w:ind w:firstLine="560"/>
        <w:rPr>
          <w:rFonts w:ascii="仿宋_GB2312" w:eastAsia="仿宋_GB2312"/>
          <w:sz w:val="28"/>
          <w:szCs w:val="28"/>
        </w:rPr>
      </w:pPr>
      <w:r>
        <w:rPr>
          <w:rFonts w:hint="eastAsia" w:ascii="仿宋_GB2312" w:eastAsia="仿宋_GB2312"/>
          <w:sz w:val="28"/>
          <w:szCs w:val="28"/>
        </w:rPr>
        <w:t>2.1.3 视联网专线</w:t>
      </w:r>
    </w:p>
    <w:p>
      <w:pPr>
        <w:ind w:firstLine="560"/>
        <w:rPr>
          <w:rFonts w:ascii="仿宋_GB2312" w:eastAsia="仿宋_GB2312"/>
          <w:sz w:val="28"/>
          <w:szCs w:val="28"/>
        </w:rPr>
      </w:pPr>
      <w:r>
        <w:rPr>
          <w:rFonts w:hint="eastAsia" w:ascii="仿宋_GB2312" w:eastAsia="仿宋_GB2312"/>
          <w:sz w:val="28"/>
          <w:szCs w:val="28"/>
        </w:rPr>
        <w:t>租用5条100M MSTP视联网专线，分别接入省交通运输厅、明珠国际4号楼1楼、省公路中心、省</w:t>
      </w:r>
      <w:r>
        <w:rPr>
          <w:rFonts w:hint="eastAsia" w:ascii="仿宋_GB2312" w:eastAsia="仿宋_GB2312"/>
          <w:kern w:val="0"/>
          <w:sz w:val="28"/>
          <w:szCs w:val="28"/>
        </w:rPr>
        <w:t>港航中心、</w:t>
      </w:r>
      <w:r>
        <w:rPr>
          <w:rFonts w:hint="eastAsia" w:ascii="仿宋_GB2312" w:eastAsia="仿宋_GB2312"/>
          <w:sz w:val="28"/>
          <w:szCs w:val="28"/>
        </w:rPr>
        <w:t>省</w:t>
      </w:r>
      <w:r>
        <w:rPr>
          <w:rFonts w:hint="eastAsia" w:ascii="仿宋_GB2312" w:eastAsia="仿宋_GB2312"/>
          <w:kern w:val="0"/>
          <w:sz w:val="28"/>
          <w:szCs w:val="28"/>
        </w:rPr>
        <w:t>工程中心</w:t>
      </w:r>
      <w:r>
        <w:rPr>
          <w:rFonts w:hint="eastAsia" w:ascii="仿宋_GB2312" w:eastAsia="仿宋_GB2312"/>
          <w:sz w:val="28"/>
          <w:szCs w:val="28"/>
        </w:rPr>
        <w:t>，用于传输视联网会议的音视频数据。</w:t>
      </w:r>
    </w:p>
    <w:p>
      <w:pPr>
        <w:pStyle w:val="249"/>
        <w:ind w:firstLine="562"/>
        <w:rPr>
          <w:rFonts w:ascii="仿宋_GB2312" w:eastAsia="仿宋_GB2312"/>
          <w:b/>
          <w:sz w:val="30"/>
          <w:szCs w:val="30"/>
        </w:rPr>
      </w:pPr>
      <w:r>
        <w:rPr>
          <w:rFonts w:ascii="仿宋_GB2312" w:eastAsia="仿宋_GB2312"/>
          <w:b/>
          <w:sz w:val="30"/>
          <w:szCs w:val="30"/>
        </w:rPr>
        <w:t>2.2</w:t>
      </w:r>
      <w:r>
        <w:rPr>
          <w:rFonts w:hint="eastAsia" w:ascii="仿宋_GB2312" w:eastAsia="仿宋_GB2312"/>
          <w:b/>
          <w:sz w:val="30"/>
          <w:szCs w:val="30"/>
        </w:rPr>
        <w:t xml:space="preserve"> 高速公路联网运行系统</w:t>
      </w:r>
    </w:p>
    <w:p>
      <w:pPr>
        <w:ind w:firstLine="560"/>
        <w:rPr>
          <w:rFonts w:ascii="仿宋_GB2312" w:eastAsia="仿宋_GB2312"/>
          <w:sz w:val="28"/>
          <w:szCs w:val="28"/>
        </w:rPr>
      </w:pPr>
      <w:r>
        <w:rPr>
          <w:rFonts w:hint="eastAsia" w:ascii="仿宋_GB2312" w:eastAsia="仿宋_GB2312"/>
          <w:sz w:val="28"/>
          <w:szCs w:val="28"/>
        </w:rPr>
        <w:t>2.1.1 MSTP长途专线</w:t>
      </w:r>
    </w:p>
    <w:p>
      <w:pPr>
        <w:ind w:firstLine="560"/>
        <w:rPr>
          <w:rFonts w:ascii="仿宋_GB2312" w:hAnsi="仿宋_GB2312" w:eastAsia="仿宋_GB2312" w:cs="仿宋_GB2312"/>
          <w:color w:val="000000"/>
          <w:sz w:val="28"/>
          <w:szCs w:val="28"/>
        </w:rPr>
      </w:pPr>
      <w:r>
        <w:rPr>
          <w:rFonts w:hint="eastAsia" w:ascii="仿宋_GB2312" w:eastAsia="仿宋_GB2312"/>
          <w:sz w:val="28"/>
          <w:szCs w:val="28"/>
        </w:rPr>
        <w:t>租用1条接入省公路中心1楼机房的200M MSTP长途专线，用于部站间的业务数据传输。</w:t>
      </w:r>
    </w:p>
    <w:p>
      <w:pPr>
        <w:pStyle w:val="2"/>
        <w:ind w:left="432" w:hanging="432"/>
        <w:jc w:val="both"/>
        <w:rPr>
          <w:rFonts w:ascii="Calibri" w:hAnsi="Calibri" w:eastAsia="仿宋_GB2312" w:cstheme="minorBidi"/>
          <w:bCs w:val="0"/>
          <w:sz w:val="32"/>
          <w:szCs w:val="32"/>
        </w:rPr>
      </w:pPr>
      <w:r>
        <w:rPr>
          <w:rFonts w:hint="eastAsia" w:ascii="Calibri" w:hAnsi="Calibri" w:eastAsia="仿宋_GB2312" w:cstheme="minorBidi"/>
          <w:bCs w:val="0"/>
          <w:sz w:val="32"/>
          <w:szCs w:val="32"/>
        </w:rPr>
        <w:t>3、租用列表</w:t>
      </w:r>
    </w:p>
    <w:tbl>
      <w:tblPr>
        <w:tblStyle w:val="43"/>
        <w:tblW w:w="6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08"/>
        <w:gridCol w:w="1276"/>
        <w:gridCol w:w="2268"/>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tcPr>
          <w:p>
            <w:pPr>
              <w:pStyle w:val="248"/>
              <w:jc w:val="center"/>
              <w:rPr>
                <w:rFonts w:ascii="仿宋_GB2312" w:eastAsia="仿宋_GB2312"/>
                <w:b/>
                <w:kern w:val="0"/>
                <w:sz w:val="24"/>
                <w:szCs w:val="24"/>
              </w:rPr>
            </w:pPr>
            <w:r>
              <w:rPr>
                <w:rFonts w:hint="eastAsia" w:ascii="仿宋_GB2312" w:eastAsia="仿宋_GB2312"/>
                <w:b/>
                <w:kern w:val="0"/>
                <w:sz w:val="24"/>
                <w:szCs w:val="24"/>
              </w:rPr>
              <w:t>序号</w:t>
            </w:r>
          </w:p>
        </w:tc>
        <w:tc>
          <w:tcPr>
            <w:tcW w:w="708" w:type="dxa"/>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服务对象</w:t>
            </w:r>
          </w:p>
        </w:tc>
        <w:tc>
          <w:tcPr>
            <w:tcW w:w="1276" w:type="dxa"/>
            <w:shd w:val="clear" w:color="auto" w:fill="auto"/>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名称</w:t>
            </w:r>
          </w:p>
        </w:tc>
        <w:tc>
          <w:tcPr>
            <w:tcW w:w="2268" w:type="dxa"/>
            <w:shd w:val="clear" w:color="auto" w:fill="auto"/>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位置</w:t>
            </w:r>
          </w:p>
        </w:tc>
        <w:tc>
          <w:tcPr>
            <w:tcW w:w="1559" w:type="dxa"/>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用途</w:t>
            </w:r>
          </w:p>
        </w:tc>
        <w:tc>
          <w:tcPr>
            <w:tcW w:w="709" w:type="dxa"/>
            <w:shd w:val="clear" w:color="auto" w:fill="auto"/>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w:t>
            </w:r>
          </w:p>
        </w:tc>
        <w:tc>
          <w:tcPr>
            <w:tcW w:w="708" w:type="dxa"/>
            <w:vMerge w:val="restart"/>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网络及业务数据传输</w:t>
            </w: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裸光纤</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省交通运输厅2楼机房至省公安厅</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业务数据传输</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2</w:t>
            </w:r>
          </w:p>
        </w:tc>
        <w:tc>
          <w:tcPr>
            <w:tcW w:w="708" w:type="dxa"/>
            <w:vMerge w:val="continue"/>
            <w:vAlign w:val="center"/>
          </w:tcPr>
          <w:p>
            <w:pPr>
              <w:pStyle w:val="248"/>
              <w:rPr>
                <w:rFonts w:ascii="仿宋_GB2312" w:eastAsia="仿宋_GB2312" w:cs="Times New Roman" w:hAnsiTheme="majorEastAsia"/>
                <w:sz w:val="24"/>
                <w:szCs w:val="24"/>
              </w:rPr>
            </w:pP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裸光纤</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省交通运输厅2楼机房至省港航中心3楼机房</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交通内网的互联互通</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3</w:t>
            </w:r>
          </w:p>
        </w:tc>
        <w:tc>
          <w:tcPr>
            <w:tcW w:w="708" w:type="dxa"/>
            <w:vMerge w:val="continue"/>
            <w:vAlign w:val="center"/>
          </w:tcPr>
          <w:p>
            <w:pPr>
              <w:pStyle w:val="248"/>
              <w:rPr>
                <w:rFonts w:ascii="仿宋_GB2312" w:eastAsia="仿宋_GB2312" w:cs="Times New Roman" w:hAnsiTheme="majorEastAsia"/>
                <w:sz w:val="24"/>
                <w:szCs w:val="24"/>
              </w:rPr>
            </w:pP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80M MSTP（省际长途）数字电路</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省港航中心3楼机房至交通运输部海事局</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业务数据传输</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4</w:t>
            </w:r>
          </w:p>
        </w:tc>
        <w:tc>
          <w:tcPr>
            <w:tcW w:w="708" w:type="dxa"/>
            <w:vMerge w:val="continue"/>
            <w:vAlign w:val="center"/>
          </w:tcPr>
          <w:p>
            <w:pPr>
              <w:pStyle w:val="248"/>
              <w:rPr>
                <w:rFonts w:ascii="仿宋_GB2312" w:eastAsia="仿宋_GB2312" w:cs="Times New Roman" w:hAnsiTheme="majorEastAsia"/>
                <w:sz w:val="24"/>
                <w:szCs w:val="24"/>
              </w:rPr>
            </w:pP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20M MSTP（省际长途）数字电路</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省港航中心3楼机房至上海船舶动态监控中心</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业务数据传输</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5</w:t>
            </w:r>
          </w:p>
        </w:tc>
        <w:tc>
          <w:tcPr>
            <w:tcW w:w="708" w:type="dxa"/>
            <w:vMerge w:val="continue"/>
            <w:vAlign w:val="center"/>
          </w:tcPr>
          <w:p>
            <w:pPr>
              <w:pStyle w:val="248"/>
              <w:rPr>
                <w:rFonts w:ascii="仿宋_GB2312" w:eastAsia="仿宋_GB2312" w:cs="Times New Roman" w:hAnsiTheme="majorEastAsia"/>
                <w:sz w:val="24"/>
                <w:szCs w:val="24"/>
              </w:rPr>
            </w:pP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kern w:val="0"/>
                <w:sz w:val="24"/>
                <w:szCs w:val="24"/>
              </w:rPr>
              <w:t>10M MSTP（省内长途）数字电路</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sz w:val="24"/>
                <w:szCs w:val="24"/>
              </w:rPr>
              <w:t>明珠国际商务中心4号楼1楼机房至宁波国际航运中心41楼</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sz w:val="24"/>
                <w:szCs w:val="24"/>
              </w:rPr>
              <w:t>智慧云平台与宁波舟山港系统对接与数据共享</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6</w:t>
            </w:r>
          </w:p>
        </w:tc>
        <w:tc>
          <w:tcPr>
            <w:tcW w:w="708" w:type="dxa"/>
            <w:vMerge w:val="continue"/>
            <w:vAlign w:val="center"/>
          </w:tcPr>
          <w:p>
            <w:pPr>
              <w:pStyle w:val="248"/>
              <w:rPr>
                <w:rFonts w:ascii="仿宋_GB2312" w:eastAsia="仿宋_GB2312" w:cs="Times New Roman" w:hAnsiTheme="majorEastAsia"/>
                <w:sz w:val="24"/>
                <w:szCs w:val="24"/>
              </w:rPr>
            </w:pP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100M MSTP视联网专线</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省交通运输厅4楼、明珠国际4号楼1楼、省公路中心3楼机房、省港航中心3楼机房、省工程中心7楼机房</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传输视联网会议的音视频数据</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8" w:type="dxa"/>
            <w:vAlign w:val="center"/>
          </w:tcPr>
          <w:p>
            <w:pPr>
              <w:pStyle w:val="248"/>
              <w:jc w:val="center"/>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7</w:t>
            </w:r>
          </w:p>
        </w:tc>
        <w:tc>
          <w:tcPr>
            <w:tcW w:w="708"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高速公路联网运行系统</w:t>
            </w:r>
          </w:p>
        </w:tc>
        <w:tc>
          <w:tcPr>
            <w:tcW w:w="1276"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200M MSTP长途专线</w:t>
            </w:r>
          </w:p>
        </w:tc>
        <w:tc>
          <w:tcPr>
            <w:tcW w:w="2268"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省公路中心1楼机房</w:t>
            </w:r>
          </w:p>
        </w:tc>
        <w:tc>
          <w:tcPr>
            <w:tcW w:w="1559" w:type="dxa"/>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部站间的业务数据传输</w:t>
            </w:r>
          </w:p>
        </w:tc>
        <w:tc>
          <w:tcPr>
            <w:tcW w:w="709" w:type="dxa"/>
            <w:shd w:val="clear" w:color="auto" w:fill="auto"/>
            <w:vAlign w:val="center"/>
          </w:tcPr>
          <w:p>
            <w:pPr>
              <w:pStyle w:val="248"/>
              <w:rPr>
                <w:rFonts w:ascii="仿宋_GB2312" w:eastAsia="仿宋_GB2312" w:cs="Times New Roman" w:hAnsiTheme="majorEastAsia"/>
                <w:sz w:val="24"/>
                <w:szCs w:val="24"/>
              </w:rPr>
            </w:pPr>
            <w:r>
              <w:rPr>
                <w:rFonts w:hint="eastAsia" w:ascii="仿宋_GB2312" w:eastAsia="仿宋_GB2312" w:cs="Times New Roman" w:hAnsiTheme="majorEastAsia"/>
                <w:sz w:val="24"/>
                <w:szCs w:val="24"/>
              </w:rPr>
              <w:t>1条</w:t>
            </w:r>
          </w:p>
        </w:tc>
      </w:tr>
    </w:tbl>
    <w:p>
      <w:pPr>
        <w:ind w:firstLine="560"/>
        <w:rPr>
          <w:rFonts w:ascii="仿宋_GB2312" w:eastAsia="仿宋_GB2312"/>
          <w:bCs/>
          <w:sz w:val="28"/>
          <w:szCs w:val="28"/>
        </w:rPr>
      </w:pPr>
      <w:r>
        <w:rPr>
          <w:rFonts w:hint="eastAsia" w:ascii="仿宋_GB2312" w:eastAsia="仿宋_GB2312"/>
          <w:sz w:val="28"/>
          <w:szCs w:val="28"/>
        </w:rPr>
        <w:t>上述线路的租用时间为2022年11月1日至2023年5月31日。</w:t>
      </w:r>
    </w:p>
    <w:p>
      <w:pPr>
        <w:pStyle w:val="2"/>
        <w:ind w:left="432" w:hanging="432"/>
        <w:jc w:val="both"/>
        <w:rPr>
          <w:rFonts w:ascii="Calibri" w:hAnsi="Calibri" w:eastAsia="仿宋_GB2312" w:cstheme="minorBidi"/>
          <w:bCs w:val="0"/>
          <w:sz w:val="32"/>
          <w:szCs w:val="32"/>
        </w:rPr>
      </w:pPr>
      <w:r>
        <w:rPr>
          <w:rFonts w:ascii="Calibri" w:hAnsi="Calibri" w:eastAsia="仿宋_GB2312" w:cstheme="minorBidi"/>
          <w:bCs w:val="0"/>
          <w:sz w:val="32"/>
          <w:szCs w:val="32"/>
        </w:rPr>
        <w:t>4</w:t>
      </w:r>
      <w:r>
        <w:rPr>
          <w:rFonts w:hint="eastAsia" w:ascii="Calibri" w:hAnsi="Calibri" w:eastAsia="仿宋_GB2312" w:cstheme="minorBidi"/>
          <w:bCs w:val="0"/>
          <w:sz w:val="32"/>
          <w:szCs w:val="32"/>
        </w:rPr>
        <w:t>、服务要求</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1 预防性维护服务</w:t>
      </w:r>
    </w:p>
    <w:p>
      <w:pPr>
        <w:ind w:firstLine="560"/>
        <w:rPr>
          <w:rFonts w:ascii="仿宋_GB2312" w:eastAsia="仿宋_GB2312"/>
          <w:sz w:val="28"/>
          <w:szCs w:val="28"/>
        </w:rPr>
      </w:pPr>
      <w:r>
        <w:rPr>
          <w:rFonts w:hint="eastAsia" w:ascii="仿宋_GB2312" w:eastAsia="仿宋_GB2312"/>
          <w:sz w:val="28"/>
          <w:szCs w:val="28"/>
        </w:rPr>
        <w:t>采购人所租用的线路均为重要通信链路，合同签订后一周内供应商将完成对采购人租用链路进行全面检测，使其达到相关的技术要求。</w:t>
      </w:r>
    </w:p>
    <w:p>
      <w:pPr>
        <w:ind w:firstLine="560"/>
        <w:rPr>
          <w:rFonts w:ascii="仿宋_GB2312" w:eastAsia="仿宋_GB2312"/>
          <w:sz w:val="28"/>
          <w:szCs w:val="28"/>
        </w:rPr>
      </w:pPr>
      <w:r>
        <w:rPr>
          <w:rFonts w:hint="eastAsia" w:ascii="仿宋_GB2312" w:eastAsia="仿宋_GB2312"/>
          <w:sz w:val="28"/>
          <w:szCs w:val="28"/>
        </w:rPr>
        <w:t>供应商因实施内部网络调整或电信系统内部程序标准设置等有可能影响采购人网络正常运行的相关操作时，将提前一周将相关情况书面通知采购人，为采购人提供应急方案并实施，以保障采购人通信链路24小时不间断。</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2 现场响应服务</w:t>
      </w:r>
    </w:p>
    <w:p>
      <w:pPr>
        <w:ind w:firstLine="560"/>
        <w:rPr>
          <w:rFonts w:ascii="仿宋_GB2312" w:eastAsia="仿宋_GB2312"/>
          <w:sz w:val="28"/>
          <w:szCs w:val="28"/>
        </w:rPr>
      </w:pPr>
      <w:r>
        <w:rPr>
          <w:rFonts w:hint="eastAsia" w:ascii="仿宋_GB2312" w:eastAsia="仿宋_GB2312"/>
          <w:sz w:val="28"/>
          <w:szCs w:val="28"/>
        </w:rPr>
        <w:t>供应商在接到采购人线路故障申告后，须在30分钟内电话响应；需要现场处理的须在2小时到达现场并快速修复，修复时间最长不超过4小时，并在故障修复完成后3个工作日内出具故障修复报告。</w:t>
      </w:r>
    </w:p>
    <w:p>
      <w:pPr>
        <w:ind w:firstLine="560"/>
        <w:rPr>
          <w:rFonts w:ascii="仿宋_GB2312" w:eastAsia="仿宋_GB2312"/>
          <w:sz w:val="28"/>
          <w:szCs w:val="28"/>
        </w:rPr>
      </w:pPr>
      <w:r>
        <w:rPr>
          <w:rFonts w:hint="eastAsia" w:ascii="仿宋_GB2312" w:eastAsia="仿宋_GB2312"/>
          <w:sz w:val="28"/>
          <w:szCs w:val="28"/>
        </w:rPr>
        <w:t>现场工程技术人员应对采购人所租用线路的编号与业务类型熟悉，能快迅定位故障并实施维修服务。</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3 季度巡检服务</w:t>
      </w:r>
    </w:p>
    <w:p>
      <w:pPr>
        <w:ind w:firstLine="560"/>
        <w:rPr>
          <w:rFonts w:ascii="仿宋_GB2312" w:eastAsia="仿宋_GB2312"/>
          <w:sz w:val="28"/>
          <w:szCs w:val="28"/>
        </w:rPr>
      </w:pPr>
      <w:r>
        <w:rPr>
          <w:rFonts w:hint="eastAsia" w:ascii="仿宋_GB2312" w:eastAsia="仿宋_GB2312"/>
          <w:sz w:val="28"/>
          <w:szCs w:val="28"/>
        </w:rPr>
        <w:t>在服务期内，供应商将提供全面的季度巡检服务。供应商将制定季度巡检计划并于季度巡检前2个工作日报采购人确认,季度巡检采用专人负责方式。</w:t>
      </w:r>
    </w:p>
    <w:p>
      <w:pPr>
        <w:ind w:firstLine="560"/>
        <w:rPr>
          <w:rFonts w:ascii="仿宋_GB2312" w:eastAsia="仿宋_GB2312"/>
          <w:sz w:val="28"/>
          <w:szCs w:val="28"/>
        </w:rPr>
      </w:pPr>
      <w:r>
        <w:rPr>
          <w:rFonts w:hint="eastAsia" w:ascii="仿宋_GB2312" w:eastAsia="仿宋_GB2312"/>
          <w:sz w:val="28"/>
          <w:szCs w:val="28"/>
        </w:rPr>
        <w:t>季度巡检将派出专业工程师采用专业设备检测（包括：OTDR、光功率计等）采购人专用线路的电路可用率、电路误码率、裸光纤衰减等。</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4 专人服务</w:t>
      </w:r>
    </w:p>
    <w:p>
      <w:pPr>
        <w:ind w:firstLine="560"/>
        <w:rPr>
          <w:rFonts w:ascii="仿宋_GB2312" w:eastAsia="仿宋_GB2312"/>
          <w:sz w:val="28"/>
          <w:szCs w:val="28"/>
        </w:rPr>
      </w:pPr>
      <w:r>
        <w:rPr>
          <w:rFonts w:hint="eastAsia" w:ascii="仿宋_GB2312" w:eastAsia="仿宋_GB2312"/>
          <w:sz w:val="28"/>
          <w:szCs w:val="28"/>
        </w:rPr>
        <w:t>提供客户经理专人服务,负责本项目合同管理、人员调度、故障报修进度督促、服务质量跟踪等。</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5 线路移位服务</w:t>
      </w:r>
    </w:p>
    <w:p>
      <w:pPr>
        <w:ind w:firstLine="560"/>
        <w:rPr>
          <w:rFonts w:ascii="仿宋_GB2312" w:eastAsia="仿宋_GB2312"/>
        </w:rPr>
      </w:pPr>
      <w:r>
        <w:rPr>
          <w:rFonts w:hint="eastAsia" w:ascii="仿宋_GB2312" w:eastAsia="仿宋_GB2312"/>
          <w:sz w:val="28"/>
          <w:szCs w:val="28"/>
        </w:rPr>
        <w:t>采购人因线路接入位置发生变更或为优化网络等实际情况需要，供应商将免费为采购人提供相关线路的移位服务。</w:t>
      </w:r>
    </w:p>
    <w:bookmarkEnd w:id="44"/>
    <w:p>
      <w:pPr>
        <w:spacing w:line="360" w:lineRule="auto"/>
        <w:rPr>
          <w:rFonts w:ascii="仿宋" w:hAnsi="仿宋"/>
          <w:b/>
          <w:bCs/>
          <w:color w:val="000000"/>
          <w:szCs w:val="32"/>
        </w:rPr>
      </w:pPr>
    </w:p>
    <w:p>
      <w:pPr>
        <w:spacing w:line="360" w:lineRule="auto"/>
        <w:ind w:firstLine="320" w:firstLineChars="200"/>
        <w:contextualSpacing/>
        <w:rPr>
          <w:rFonts w:ascii="仿宋" w:hAnsi="仿宋"/>
          <w:color w:val="000000"/>
          <w:sz w:val="16"/>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
        <w:ind w:firstLine="607"/>
        <w:jc w:val="left"/>
        <w:rPr>
          <w:rFonts w:ascii="仿宋_GB2312"/>
          <w:color w:val="000000"/>
          <w:sz w:val="30"/>
          <w:szCs w:val="30"/>
        </w:rPr>
      </w:pPr>
      <w:r>
        <w:rPr>
          <w:rFonts w:hint="eastAsia" w:ascii="黑体" w:hAnsi="黑体" w:eastAsia="黑体"/>
          <w:sz w:val="32"/>
          <w:szCs w:val="32"/>
        </w:rPr>
        <w:t>商务要求表</w:t>
      </w:r>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▲供货时间（项目工期）及地点</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服务地点：采购人指定地点。</w:t>
            </w:r>
          </w:p>
          <w:p>
            <w:pPr>
              <w:rPr>
                <w:rFonts w:ascii="仿宋_GB2312" w:hAnsi="仿宋_GB2312" w:cs="仿宋_GB2312"/>
                <w:color w:val="000000"/>
                <w:szCs w:val="28"/>
              </w:rPr>
            </w:pPr>
            <w:r>
              <w:rPr>
                <w:rFonts w:hint="eastAsia" w:ascii="仿宋_GB2312" w:hAnsi="仿宋_GB2312" w:cs="仿宋_GB2312"/>
                <w:color w:val="000000"/>
                <w:szCs w:val="28"/>
              </w:rPr>
              <w:t>项目工期：7个月，即2022年11月1日至2023年5月31日。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▲付款条件（明确是否需要履约保证金）</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项目采用3次支付，即合同签订后支付70%，租用时间开始后支付25%，合同到期后支付5%。</w:t>
            </w:r>
          </w:p>
          <w:p>
            <w:pPr>
              <w:rPr>
                <w:rFonts w:ascii="仿宋_GB2312" w:hAnsi="仿宋_GB2312" w:cs="仿宋_GB2312"/>
                <w:color w:val="000000"/>
                <w:szCs w:val="28"/>
              </w:rPr>
            </w:pPr>
            <w:r>
              <w:rPr>
                <w:rFonts w:hint="eastAsia" w:ascii="仿宋_GB2312" w:hAnsi="仿宋_GB2312" w:cs="仿宋_GB2312"/>
                <w:color w:val="000000"/>
                <w:szCs w:val="28"/>
              </w:rPr>
              <w:t>是否需要履约保证金：</w:t>
            </w:r>
            <w:r>
              <w:rPr>
                <w:rFonts w:hint="eastAsia" w:ascii="仿宋_GB2312" w:hAnsi="仿宋_GB2312" w:cs="仿宋_GB2312"/>
                <w:b/>
                <w:color w:val="000000"/>
                <w:szCs w:val="28"/>
              </w:rPr>
              <w:t>否</w:t>
            </w:r>
            <w:r>
              <w:rPr>
                <w:rFonts w:hint="eastAsia" w:ascii="仿宋_GB2312" w:hAnsi="仿宋_GB2312" w:cs="仿宋_GB2312"/>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违约责任及争议解决方式</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按“第五章浙江省政府采购合同主要条款指引”相关违约责任及争议解决方式内容。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5" w:type="dxa"/>
            <w:vMerge w:val="restart"/>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售</w:t>
            </w:r>
          </w:p>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后</w:t>
            </w:r>
          </w:p>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服务</w:t>
            </w: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响应情况</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供应商需7*24小时响应，向采购人提供全面、有效、及时的技术支持和服务。在接到采购人线路故障申告后，须在30分钟内电话响应；需要现场处理的须在2小时到达现场并快速修复，修复时间最长不超过4小时。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_GB2312" w:hAnsi="仿宋_GB2312" w:cs="仿宋_GB2312"/>
                <w:b/>
                <w:color w:val="000000"/>
                <w:szCs w:val="28"/>
              </w:rPr>
            </w:pP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技术培训</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vMerge w:val="restart"/>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履约能力</w:t>
            </w: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公司技术力量情况</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vAlign w:val="center"/>
          </w:tcPr>
          <w:p>
            <w:pPr>
              <w:snapToGrid w:val="0"/>
              <w:jc w:val="left"/>
              <w:rPr>
                <w:rFonts w:ascii="仿宋_GB2312" w:hAnsi="仿宋_GB2312" w:cs="仿宋_GB2312"/>
                <w:b/>
                <w:color w:val="000000"/>
                <w:szCs w:val="28"/>
              </w:rPr>
            </w:pP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经验或业绩要求</w:t>
            </w:r>
          </w:p>
        </w:tc>
        <w:tc>
          <w:tcPr>
            <w:tcW w:w="6775" w:type="dxa"/>
            <w:vAlign w:val="center"/>
          </w:tcPr>
          <w:p>
            <w:pPr>
              <w:snapToGrid w:val="0"/>
              <w:rPr>
                <w:rFonts w:ascii="仿宋_GB2312" w:hAnsi="仿宋_GB2312" w:cs="仿宋_GB2312"/>
                <w:color w:val="000000"/>
                <w:szCs w:val="28"/>
              </w:rPr>
            </w:pPr>
            <w:r>
              <w:rPr>
                <w:rFonts w:hint="eastAsia" w:ascii="仿宋_GB2312" w:hAnsi="仿宋_GB2312" w:cs="仿宋_GB2312"/>
                <w:color w:val="000000"/>
                <w:szCs w:val="28"/>
              </w:rPr>
              <w:t>无</w:t>
            </w:r>
          </w:p>
        </w:tc>
      </w:tr>
    </w:tbl>
    <w:p>
      <w:pPr>
        <w:pStyle w:val="251"/>
        <w:jc w:val="center"/>
      </w:pPr>
    </w:p>
    <w:bookmarkEnd w:id="45"/>
    <w:p>
      <w:pPr>
        <w:pStyle w:val="251"/>
        <w:jc w:val="center"/>
        <w:rPr>
          <w:rFonts w:hint="eastAsia" w:ascii="黑体" w:hAnsi="黑体" w:eastAsia="黑体" w:cs="黑体"/>
          <w:color w:val="000000"/>
          <w:kern w:val="2"/>
          <w:sz w:val="30"/>
          <w:szCs w:val="30"/>
          <w:lang w:val="en-US" w:eastAsia="zh-CN"/>
        </w:rPr>
      </w:pPr>
      <w:bookmarkStart w:id="46" w:name="PO_TDCUS_ITEM_P_REQ_TITLE_2_1"/>
      <w:r>
        <w:rPr>
          <w:rFonts w:hint="eastAsia" w:ascii="仿宋" w:hAnsi="仿宋"/>
          <w:b/>
          <w:bCs/>
          <w:color w:val="000000"/>
          <w:szCs w:val="32"/>
          <w:lang w:eastAsia="zh-CN"/>
        </w:rPr>
        <w:t>标项2:</w:t>
      </w:r>
      <w:bookmarkEnd w:id="46"/>
      <w:bookmarkStart w:id="47" w:name="_Toc50457891"/>
      <w:bookmarkStart w:id="48" w:name="PO_TDCUS_ITEM_P_REQ_FILE_1_1"/>
      <w:bookmarkStart w:id="49" w:name="PO_TDCUS_ITEM_P_REQ_FILE_2_1_1"/>
      <w:r>
        <w:rPr>
          <w:rFonts w:hint="eastAsia" w:ascii="黑体" w:hAnsi="黑体" w:eastAsia="黑体" w:cs="黑体"/>
          <w:b w:val="0"/>
          <w:color w:val="000000"/>
          <w:sz w:val="30"/>
          <w:szCs w:val="30"/>
        </w:rPr>
        <w:t>浙江省交通运输信息中心中国电信线路租用</w:t>
      </w:r>
      <w:r>
        <w:rPr>
          <w:rFonts w:hint="eastAsia" w:ascii="黑体" w:hAnsi="黑体" w:eastAsia="黑体" w:cs="黑体"/>
          <w:b w:val="0"/>
          <w:color w:val="000000"/>
          <w:sz w:val="30"/>
          <w:szCs w:val="30"/>
          <w:lang w:eastAsia="zh-CN"/>
        </w:rPr>
        <w:t>采购需求</w:t>
      </w:r>
    </w:p>
    <w:p>
      <w:pPr>
        <w:pStyle w:val="2"/>
        <w:ind w:left="432" w:hanging="432"/>
        <w:jc w:val="both"/>
        <w:rPr>
          <w:rFonts w:ascii="Calibri" w:hAnsi="Calibri" w:eastAsia="仿宋_GB2312" w:cstheme="minorBidi"/>
          <w:bCs w:val="0"/>
          <w:sz w:val="32"/>
          <w:szCs w:val="32"/>
        </w:rPr>
      </w:pPr>
      <w:r>
        <w:rPr>
          <w:rFonts w:hint="eastAsia" w:ascii="Calibri" w:hAnsi="Calibri" w:eastAsia="仿宋_GB2312" w:cstheme="minorBidi"/>
          <w:bCs w:val="0"/>
          <w:sz w:val="32"/>
          <w:szCs w:val="32"/>
        </w:rPr>
        <w:t>1、项目背景</w:t>
      </w:r>
      <w:bookmarkEnd w:id="47"/>
    </w:p>
    <w:p>
      <w:pPr>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浙江省交通运输厅（以下简称“省交通运输厅”）管辖着浙江省公路与运输管理中心（以下简称“省公路中心”）、浙江省港航管理中心（以下简称“省港航中心”）、浙江省交通工程管理中心（以下简称“省工程中心”）等厅属单位、11个地市交通运输局以及84个区（县）交通运输局。</w:t>
      </w:r>
    </w:p>
    <w:p>
      <w:pPr>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浙江省交通运输信息中心（以下简称“采购人”）通过租用电信线路构建相关信息化系统通信链路、完成各相关单位的信息互通。</w:t>
      </w:r>
    </w:p>
    <w:p>
      <w:pPr>
        <w:pStyle w:val="2"/>
        <w:ind w:left="432" w:hanging="432"/>
        <w:jc w:val="both"/>
        <w:rPr>
          <w:rFonts w:ascii="Calibri" w:hAnsi="Calibri" w:eastAsia="仿宋_GB2312" w:cstheme="minorBidi"/>
          <w:bCs w:val="0"/>
          <w:sz w:val="32"/>
          <w:szCs w:val="32"/>
        </w:rPr>
      </w:pPr>
      <w:bookmarkStart w:id="50" w:name="_Toc50457892"/>
      <w:r>
        <w:rPr>
          <w:rFonts w:hint="eastAsia" w:ascii="Calibri" w:hAnsi="Calibri" w:eastAsia="仿宋_GB2312" w:cstheme="minorBidi"/>
          <w:bCs w:val="0"/>
          <w:sz w:val="32"/>
          <w:szCs w:val="32"/>
        </w:rPr>
        <w:t>2、采购范围及要求</w:t>
      </w:r>
      <w:bookmarkEnd w:id="50"/>
    </w:p>
    <w:p>
      <w:pPr>
        <w:pStyle w:val="249"/>
        <w:ind w:firstLine="562"/>
        <w:rPr>
          <w:rFonts w:ascii="仿宋_GB2312" w:eastAsia="仿宋_GB2312"/>
          <w:b/>
          <w:sz w:val="30"/>
          <w:szCs w:val="30"/>
        </w:rPr>
      </w:pPr>
      <w:r>
        <w:rPr>
          <w:rFonts w:ascii="仿宋_GB2312" w:eastAsia="仿宋_GB2312"/>
          <w:b/>
          <w:sz w:val="30"/>
          <w:szCs w:val="30"/>
        </w:rPr>
        <w:t>2.1</w:t>
      </w:r>
      <w:r>
        <w:rPr>
          <w:rFonts w:hint="eastAsia" w:ascii="仿宋_GB2312" w:eastAsia="仿宋_GB2312"/>
          <w:b/>
          <w:sz w:val="30"/>
          <w:szCs w:val="30"/>
        </w:rPr>
        <w:t xml:space="preserve"> 网络及业务数据传输</w:t>
      </w:r>
    </w:p>
    <w:p>
      <w:pPr>
        <w:ind w:firstLine="560"/>
        <w:rPr>
          <w:rFonts w:ascii="仿宋_GB2312" w:eastAsia="仿宋_GB2312"/>
          <w:sz w:val="28"/>
          <w:szCs w:val="28"/>
        </w:rPr>
      </w:pPr>
      <w:r>
        <w:rPr>
          <w:rFonts w:ascii="仿宋_GB2312" w:eastAsia="仿宋_GB2312"/>
          <w:sz w:val="28"/>
          <w:szCs w:val="28"/>
        </w:rPr>
        <w:t xml:space="preserve">2.1.1 </w:t>
      </w:r>
      <w:r>
        <w:rPr>
          <w:rFonts w:hint="eastAsia" w:ascii="仿宋_GB2312" w:eastAsia="仿宋_GB2312"/>
          <w:sz w:val="28"/>
          <w:szCs w:val="28"/>
        </w:rPr>
        <w:t>IDC机柜</w:t>
      </w:r>
    </w:p>
    <w:p>
      <w:pPr>
        <w:ind w:firstLine="560"/>
        <w:rPr>
          <w:rFonts w:ascii="仿宋_GB2312" w:eastAsia="仿宋_GB2312"/>
          <w:sz w:val="28"/>
          <w:szCs w:val="28"/>
        </w:rPr>
      </w:pPr>
      <w:r>
        <w:rPr>
          <w:rFonts w:hint="eastAsia" w:ascii="仿宋_GB2312" w:eastAsia="仿宋_GB2312"/>
          <w:sz w:val="28"/>
          <w:szCs w:val="28"/>
        </w:rPr>
        <w:t>（1）租用杭州电信滨江IDC机房</w:t>
      </w:r>
      <w:r>
        <w:rPr>
          <w:rFonts w:hint="eastAsia" w:ascii="仿宋_GB2312" w:hAnsi="仿宋_GB2312" w:eastAsia="仿宋_GB2312" w:cs="仿宋_GB2312"/>
          <w:color w:val="000000"/>
          <w:sz w:val="28"/>
          <w:szCs w:val="28"/>
        </w:rPr>
        <w:t>（以下简称“</w:t>
      </w:r>
      <w:r>
        <w:rPr>
          <w:rFonts w:hint="eastAsia" w:ascii="仿宋_GB2312" w:eastAsia="仿宋_GB2312"/>
          <w:sz w:val="28"/>
          <w:szCs w:val="28"/>
        </w:rPr>
        <w:t>滨江IDC</w:t>
      </w:r>
      <w:r>
        <w:rPr>
          <w:rFonts w:hint="eastAsia" w:ascii="仿宋_GB2312" w:hAnsi="仿宋_GB2312" w:eastAsia="仿宋_GB2312" w:cs="仿宋_GB2312"/>
          <w:color w:val="000000"/>
          <w:sz w:val="28"/>
          <w:szCs w:val="28"/>
        </w:rPr>
        <w:t>”）中19</w:t>
      </w:r>
      <w:r>
        <w:rPr>
          <w:rFonts w:hint="eastAsia" w:ascii="仿宋_GB2312" w:eastAsia="仿宋_GB2312"/>
          <w:sz w:val="28"/>
          <w:szCs w:val="28"/>
        </w:rPr>
        <w:t>个机柜。需提供以下服务：</w:t>
      </w:r>
    </w:p>
    <w:p>
      <w:pPr>
        <w:ind w:firstLine="560"/>
        <w:rPr>
          <w:rFonts w:ascii="仿宋_GB2312" w:eastAsia="仿宋_GB2312"/>
          <w:sz w:val="28"/>
          <w:szCs w:val="28"/>
        </w:rPr>
      </w:pPr>
      <w:r>
        <w:rPr>
          <w:rFonts w:hint="eastAsia" w:ascii="仿宋_GB2312" w:eastAsia="仿宋_GB2312"/>
          <w:sz w:val="28"/>
          <w:szCs w:val="28"/>
        </w:rPr>
        <w:t>◆每个机柜须提供10A电流的电源供应；</w:t>
      </w:r>
    </w:p>
    <w:p>
      <w:pPr>
        <w:ind w:firstLine="560"/>
        <w:rPr>
          <w:rFonts w:ascii="仿宋_GB2312" w:eastAsia="仿宋_GB2312"/>
          <w:sz w:val="28"/>
          <w:szCs w:val="28"/>
        </w:rPr>
      </w:pPr>
      <w:r>
        <w:rPr>
          <w:rFonts w:hint="eastAsia" w:ascii="仿宋_GB2312" w:eastAsia="仿宋_GB2312"/>
          <w:sz w:val="28"/>
          <w:szCs w:val="28"/>
        </w:rPr>
        <w:t>◆提供空调、公共UPS电源、连网设备等基本设备；</w:t>
      </w:r>
    </w:p>
    <w:p>
      <w:pPr>
        <w:ind w:firstLine="560"/>
        <w:rPr>
          <w:rFonts w:ascii="仿宋_GB2312" w:eastAsia="仿宋_GB2312"/>
          <w:sz w:val="28"/>
          <w:szCs w:val="28"/>
        </w:rPr>
      </w:pPr>
      <w:r>
        <w:rPr>
          <w:rFonts w:hint="eastAsia" w:ascii="仿宋_GB2312" w:eastAsia="仿宋_GB2312"/>
          <w:sz w:val="28"/>
          <w:szCs w:val="28"/>
        </w:rPr>
        <w:t>◆提供365天×24小时的值班人员维护，确保托管设备正常运行；在托管服务过程中，及时处理对</w:t>
      </w:r>
      <w:r>
        <w:rPr>
          <w:rFonts w:hint="eastAsia" w:ascii="仿宋_GB2312" w:hAnsi="仿宋_GB2312" w:eastAsia="仿宋_GB2312" w:cs="仿宋_GB2312"/>
          <w:color w:val="000000"/>
          <w:sz w:val="28"/>
          <w:szCs w:val="28"/>
        </w:rPr>
        <w:t>采购人</w:t>
      </w:r>
      <w:r>
        <w:rPr>
          <w:rFonts w:hint="eastAsia" w:ascii="仿宋_GB2312" w:eastAsia="仿宋_GB2312"/>
          <w:sz w:val="28"/>
          <w:szCs w:val="28"/>
        </w:rPr>
        <w:t>提出的除</w:t>
      </w:r>
      <w:r>
        <w:rPr>
          <w:rFonts w:hint="eastAsia" w:ascii="仿宋_GB2312" w:hAnsi="仿宋_GB2312" w:eastAsia="仿宋_GB2312" w:cs="仿宋_GB2312"/>
          <w:color w:val="000000"/>
          <w:sz w:val="28"/>
          <w:szCs w:val="28"/>
        </w:rPr>
        <w:t>采购人</w:t>
      </w:r>
      <w:r>
        <w:rPr>
          <w:rFonts w:hint="eastAsia" w:ascii="仿宋_GB2312" w:eastAsia="仿宋_GB2312"/>
          <w:sz w:val="28"/>
          <w:szCs w:val="28"/>
        </w:rPr>
        <w:t>人为操作等原因及非供应商控制范围内的故障申告（如网络连接、温度、电力供应等）。</w:t>
      </w:r>
    </w:p>
    <w:p>
      <w:pPr>
        <w:ind w:firstLine="560"/>
        <w:rPr>
          <w:rFonts w:ascii="仿宋_GB2312" w:eastAsia="仿宋_GB2312"/>
          <w:kern w:val="0"/>
          <w:sz w:val="28"/>
          <w:szCs w:val="28"/>
        </w:rPr>
      </w:pPr>
      <w:r>
        <w:rPr>
          <w:rFonts w:ascii="仿宋_GB2312" w:eastAsia="仿宋_GB2312"/>
          <w:sz w:val="28"/>
          <w:szCs w:val="28"/>
        </w:rPr>
        <w:t>2.1.2</w:t>
      </w:r>
      <w:r>
        <w:rPr>
          <w:rFonts w:hint="eastAsia" w:ascii="仿宋_GB2312" w:eastAsia="仿宋_GB2312"/>
          <w:sz w:val="28"/>
          <w:szCs w:val="28"/>
        </w:rPr>
        <w:t xml:space="preserve"> IPRAN</w:t>
      </w:r>
      <w:r>
        <w:rPr>
          <w:rFonts w:hint="eastAsia" w:ascii="仿宋_GB2312" w:eastAsia="仿宋_GB2312"/>
          <w:kern w:val="0"/>
          <w:sz w:val="28"/>
          <w:szCs w:val="28"/>
        </w:rPr>
        <w:t>线路</w:t>
      </w:r>
    </w:p>
    <w:p>
      <w:pPr>
        <w:ind w:firstLine="560"/>
        <w:rPr>
          <w:rFonts w:ascii="仿宋_GB2312" w:eastAsia="仿宋_GB2312"/>
          <w:sz w:val="28"/>
          <w:szCs w:val="28"/>
        </w:rPr>
      </w:pPr>
      <w:r>
        <w:rPr>
          <w:rFonts w:hint="eastAsia" w:ascii="仿宋_GB2312" w:eastAsia="仿宋_GB2312"/>
          <w:sz w:val="28"/>
          <w:szCs w:val="28"/>
        </w:rPr>
        <w:t>（1）租用1条滨江IDC至交通运输部的2M IPRAN线路，用于视频会议的数据传输。该线路租费不超过交通运输部与中国电信股份有限公司签定的协议价格，同时本次采购为该线路全年租费的一半（另一半租费由交通运输部支付）。</w:t>
      </w:r>
    </w:p>
    <w:p>
      <w:pPr>
        <w:ind w:firstLine="560"/>
        <w:rPr>
          <w:rFonts w:ascii="仿宋_GB2312" w:eastAsia="仿宋_GB2312"/>
          <w:sz w:val="28"/>
          <w:szCs w:val="28"/>
        </w:rPr>
      </w:pPr>
      <w:r>
        <w:rPr>
          <w:rFonts w:hint="eastAsia" w:ascii="仿宋_GB2312" w:eastAsia="仿宋_GB2312"/>
          <w:sz w:val="28"/>
          <w:szCs w:val="28"/>
        </w:rPr>
        <w:t>（2）租用3条10M IPRAN线路（升级现有的2M SDH E1线路），从省交通科学研究院（1条）、省交通职业技术学院（1条）、浙江公路水运工程咨询有限责任公司（1条）分别连接至滨江IDC，全部用于交通内网的互联</w:t>
      </w:r>
      <w:r>
        <w:rPr>
          <w:rFonts w:hint="eastAsia" w:ascii="仿宋_GB2312" w:eastAsia="仿宋_GB2312"/>
          <w:kern w:val="0"/>
          <w:sz w:val="28"/>
          <w:szCs w:val="28"/>
        </w:rPr>
        <w:t>互通</w:t>
      </w:r>
      <w:r>
        <w:rPr>
          <w:rFonts w:hint="eastAsia" w:ascii="仿宋_GB2312" w:eastAsia="仿宋_GB2312"/>
          <w:sz w:val="28"/>
          <w:szCs w:val="28"/>
        </w:rPr>
        <w:t>。</w:t>
      </w:r>
    </w:p>
    <w:p>
      <w:pPr>
        <w:ind w:firstLine="560"/>
        <w:rPr>
          <w:rFonts w:ascii="仿宋_GB2312" w:eastAsia="仿宋_GB2312"/>
          <w:sz w:val="28"/>
          <w:szCs w:val="28"/>
        </w:rPr>
      </w:pPr>
      <w:r>
        <w:rPr>
          <w:rFonts w:hint="eastAsia" w:ascii="仿宋_GB2312" w:eastAsia="仿宋_GB2312"/>
          <w:sz w:val="28"/>
          <w:szCs w:val="28"/>
        </w:rPr>
        <w:t>（3）租用1条10M IPRAN线路，从省交通运输厅连接至滨江IDC，用于视频会议的数据传输。</w:t>
      </w:r>
    </w:p>
    <w:p>
      <w:pPr>
        <w:ind w:firstLine="560"/>
        <w:rPr>
          <w:rFonts w:ascii="仿宋_GB2312" w:eastAsia="仿宋_GB2312"/>
          <w:sz w:val="28"/>
          <w:szCs w:val="28"/>
        </w:rPr>
      </w:pPr>
      <w:r>
        <w:rPr>
          <w:rFonts w:hint="eastAsia" w:ascii="仿宋_GB2312" w:eastAsia="仿宋_GB2312"/>
          <w:sz w:val="28"/>
          <w:szCs w:val="28"/>
        </w:rPr>
        <w:t>（4）租用1条标力大厦20层至滨江IDC的100M IPRAN线路，用于交通内网的互联</w:t>
      </w:r>
      <w:r>
        <w:rPr>
          <w:rFonts w:hint="eastAsia" w:ascii="仿宋_GB2312" w:eastAsia="仿宋_GB2312"/>
          <w:kern w:val="0"/>
          <w:sz w:val="28"/>
          <w:szCs w:val="28"/>
        </w:rPr>
        <w:t>互通</w:t>
      </w:r>
      <w:r>
        <w:rPr>
          <w:rFonts w:hint="eastAsia" w:ascii="仿宋_GB2312" w:eastAsia="仿宋_GB2312"/>
          <w:sz w:val="28"/>
          <w:szCs w:val="28"/>
        </w:rPr>
        <w:t>。</w:t>
      </w:r>
    </w:p>
    <w:p>
      <w:pPr>
        <w:ind w:firstLine="560"/>
        <w:rPr>
          <w:rFonts w:ascii="仿宋_GB2312" w:eastAsia="仿宋_GB2312"/>
          <w:sz w:val="28"/>
          <w:szCs w:val="28"/>
        </w:rPr>
      </w:pPr>
      <w:r>
        <w:rPr>
          <w:rFonts w:ascii="仿宋_GB2312" w:eastAsia="仿宋_GB2312"/>
          <w:sz w:val="28"/>
          <w:szCs w:val="28"/>
        </w:rPr>
        <w:t>2.1.3</w:t>
      </w:r>
      <w:r>
        <w:rPr>
          <w:rFonts w:hint="eastAsia" w:ascii="仿宋_GB2312" w:eastAsia="仿宋_GB2312"/>
          <w:sz w:val="28"/>
          <w:szCs w:val="28"/>
        </w:rPr>
        <w:t xml:space="preserve"> 裸光纤</w:t>
      </w:r>
    </w:p>
    <w:p>
      <w:pPr>
        <w:ind w:firstLine="560"/>
        <w:rPr>
          <w:rFonts w:ascii="仿宋_GB2312" w:eastAsia="仿宋_GB2312"/>
          <w:sz w:val="28"/>
          <w:szCs w:val="28"/>
        </w:rPr>
      </w:pPr>
      <w:r>
        <w:rPr>
          <w:rFonts w:hint="eastAsia" w:ascii="仿宋_GB2312" w:eastAsia="仿宋_GB2312"/>
          <w:sz w:val="28"/>
          <w:szCs w:val="28"/>
        </w:rPr>
        <w:t>（1）租用3条省交通运输厅至滨江IDC的裸光纤，1条用于交通内网的互联</w:t>
      </w:r>
      <w:r>
        <w:rPr>
          <w:rFonts w:hint="eastAsia" w:ascii="仿宋_GB2312" w:eastAsia="仿宋_GB2312"/>
          <w:kern w:val="0"/>
          <w:sz w:val="28"/>
          <w:szCs w:val="28"/>
        </w:rPr>
        <w:t>互通</w:t>
      </w:r>
      <w:r>
        <w:rPr>
          <w:rFonts w:hint="eastAsia" w:ascii="仿宋_GB2312" w:eastAsia="仿宋_GB2312"/>
          <w:sz w:val="28"/>
          <w:szCs w:val="28"/>
        </w:rPr>
        <w:t>，2条用于政务外网数据互传。</w:t>
      </w:r>
    </w:p>
    <w:p>
      <w:pPr>
        <w:ind w:firstLine="560"/>
        <w:rPr>
          <w:rFonts w:ascii="仿宋_GB2312" w:eastAsia="仿宋_GB2312"/>
          <w:sz w:val="28"/>
          <w:szCs w:val="28"/>
        </w:rPr>
      </w:pPr>
      <w:r>
        <w:rPr>
          <w:rFonts w:hint="eastAsia" w:ascii="仿宋_GB2312" w:eastAsia="仿宋_GB2312"/>
          <w:sz w:val="28"/>
          <w:szCs w:val="28"/>
        </w:rPr>
        <w:t>（2）租用5条裸光纤，分别从省公路中心（1条）、</w:t>
      </w:r>
      <w:r>
        <w:rPr>
          <w:rFonts w:hint="eastAsia" w:ascii="仿宋_GB2312" w:eastAsia="仿宋_GB2312"/>
          <w:kern w:val="0"/>
          <w:sz w:val="28"/>
          <w:szCs w:val="28"/>
        </w:rPr>
        <w:t>省港航中心</w:t>
      </w:r>
      <w:r>
        <w:rPr>
          <w:rFonts w:hint="eastAsia" w:ascii="仿宋_GB2312" w:eastAsia="仿宋_GB2312"/>
          <w:sz w:val="28"/>
          <w:szCs w:val="28"/>
        </w:rPr>
        <w:t>（1条）、</w:t>
      </w:r>
      <w:r>
        <w:rPr>
          <w:rFonts w:hint="eastAsia" w:ascii="仿宋_GB2312" w:eastAsia="仿宋_GB2312"/>
          <w:kern w:val="0"/>
          <w:sz w:val="28"/>
          <w:szCs w:val="28"/>
        </w:rPr>
        <w:t>杭州市港航管理服务中心</w:t>
      </w:r>
      <w:r>
        <w:rPr>
          <w:rFonts w:hint="eastAsia" w:ascii="仿宋_GB2312" w:eastAsia="仿宋_GB2312"/>
          <w:sz w:val="28"/>
          <w:szCs w:val="28"/>
        </w:rPr>
        <w:t>（1条）、</w:t>
      </w:r>
      <w:r>
        <w:rPr>
          <w:rFonts w:hint="eastAsia" w:ascii="仿宋_GB2312" w:eastAsia="仿宋_GB2312"/>
          <w:kern w:val="0"/>
          <w:sz w:val="28"/>
          <w:szCs w:val="28"/>
        </w:rPr>
        <w:t>省工程中心</w:t>
      </w:r>
      <w:r>
        <w:rPr>
          <w:rFonts w:hint="eastAsia" w:ascii="仿宋_GB2312" w:eastAsia="仿宋_GB2312"/>
          <w:sz w:val="28"/>
          <w:szCs w:val="28"/>
        </w:rPr>
        <w:t>（1条）、明珠国际商务中心5号楼3楼（1条）连接至滨江IDC，全部用于交通内网的互联</w:t>
      </w:r>
      <w:r>
        <w:rPr>
          <w:rFonts w:hint="eastAsia" w:ascii="仿宋_GB2312" w:eastAsia="仿宋_GB2312"/>
          <w:kern w:val="0"/>
          <w:sz w:val="28"/>
          <w:szCs w:val="28"/>
        </w:rPr>
        <w:t>互通</w:t>
      </w:r>
      <w:r>
        <w:rPr>
          <w:rFonts w:hint="eastAsia" w:ascii="仿宋_GB2312" w:eastAsia="仿宋_GB2312"/>
          <w:sz w:val="28"/>
          <w:szCs w:val="28"/>
        </w:rPr>
        <w:t>。</w:t>
      </w:r>
    </w:p>
    <w:p>
      <w:pPr>
        <w:ind w:firstLine="560"/>
        <w:rPr>
          <w:rFonts w:ascii="仿宋_GB2312" w:eastAsia="仿宋_GB2312"/>
          <w:sz w:val="28"/>
          <w:szCs w:val="28"/>
        </w:rPr>
      </w:pPr>
      <w:r>
        <w:rPr>
          <w:rFonts w:hint="eastAsia" w:ascii="仿宋_GB2312" w:eastAsia="仿宋_GB2312"/>
          <w:sz w:val="28"/>
          <w:szCs w:val="28"/>
        </w:rPr>
        <w:t>（3）租用3条裸光纤，分别从火车东站（1条）、火车城站（1条）、萧山机场（1条）连接至滨江IDC，全部用于业务系统数据互传。</w:t>
      </w:r>
    </w:p>
    <w:p>
      <w:pPr>
        <w:ind w:firstLine="560"/>
        <w:rPr>
          <w:rFonts w:ascii="仿宋_GB2312" w:eastAsia="仿宋_GB2312"/>
          <w:sz w:val="28"/>
          <w:szCs w:val="28"/>
        </w:rPr>
      </w:pPr>
      <w:r>
        <w:rPr>
          <w:rFonts w:hint="eastAsia" w:ascii="仿宋_GB2312" w:eastAsia="仿宋_GB2312"/>
          <w:sz w:val="28"/>
          <w:szCs w:val="28"/>
        </w:rPr>
        <w:t>（4）租用1条省公路中心至滨江IDC的裸光纤，作为运维专线。</w:t>
      </w:r>
    </w:p>
    <w:p>
      <w:pPr>
        <w:ind w:firstLine="560"/>
        <w:rPr>
          <w:rFonts w:ascii="仿宋_GB2312" w:eastAsia="仿宋_GB2312"/>
          <w:sz w:val="28"/>
          <w:szCs w:val="28"/>
        </w:rPr>
      </w:pPr>
      <w:r>
        <w:rPr>
          <w:rFonts w:hint="eastAsia" w:ascii="仿宋_GB2312" w:eastAsia="仿宋_GB2312"/>
          <w:sz w:val="28"/>
          <w:szCs w:val="28"/>
        </w:rPr>
        <w:t>（5）租用1条明珠国际商务中心4号楼至滨江IDC的裸光纤，用于智慧云平台接入交通内网。</w:t>
      </w:r>
    </w:p>
    <w:p>
      <w:pPr>
        <w:ind w:firstLine="560"/>
        <w:rPr>
          <w:rFonts w:ascii="仿宋_GB2312" w:eastAsia="仿宋_GB2312"/>
          <w:sz w:val="28"/>
          <w:szCs w:val="28"/>
        </w:rPr>
      </w:pPr>
      <w:r>
        <w:rPr>
          <w:rFonts w:hint="eastAsia" w:ascii="仿宋_GB2312" w:eastAsia="仿宋_GB2312"/>
          <w:sz w:val="28"/>
          <w:szCs w:val="28"/>
        </w:rPr>
        <w:t>2.1.4 MSTP数字电路</w:t>
      </w:r>
    </w:p>
    <w:p>
      <w:pPr>
        <w:ind w:firstLine="560"/>
        <w:rPr>
          <w:rFonts w:ascii="仿宋_GB2312" w:eastAsia="仿宋_GB2312"/>
          <w:sz w:val="28"/>
          <w:szCs w:val="28"/>
        </w:rPr>
      </w:pPr>
      <w:r>
        <w:rPr>
          <w:rFonts w:hint="eastAsia" w:ascii="仿宋_GB2312" w:eastAsia="仿宋_GB2312"/>
          <w:sz w:val="28"/>
          <w:szCs w:val="28"/>
        </w:rPr>
        <w:t>租用2</w:t>
      </w:r>
      <w:r>
        <w:rPr>
          <w:rFonts w:ascii="仿宋_GB2312" w:eastAsia="仿宋_GB2312"/>
          <w:sz w:val="28"/>
          <w:szCs w:val="28"/>
        </w:rPr>
        <w:t>条20M MSTP</w:t>
      </w:r>
      <w:r>
        <w:rPr>
          <w:rFonts w:hint="eastAsia" w:ascii="仿宋_GB2312" w:eastAsia="仿宋_GB2312"/>
          <w:sz w:val="28"/>
          <w:szCs w:val="28"/>
        </w:rPr>
        <w:t>（地区内）数字电路，从省公路中心连接至滨江IDC，分别用于传输交通部光纤网、交通部高速公路光纤网数据。</w:t>
      </w:r>
    </w:p>
    <w:p>
      <w:pPr>
        <w:ind w:firstLine="560"/>
        <w:rPr>
          <w:rFonts w:ascii="仿宋_GB2312" w:eastAsia="仿宋_GB2312"/>
          <w:sz w:val="28"/>
          <w:szCs w:val="28"/>
        </w:rPr>
      </w:pPr>
      <w:r>
        <w:rPr>
          <w:rFonts w:hint="eastAsia" w:ascii="仿宋_GB2312" w:eastAsia="仿宋_GB2312"/>
          <w:sz w:val="28"/>
          <w:szCs w:val="28"/>
        </w:rPr>
        <w:t>2.1.5 政务内网专线</w:t>
      </w:r>
    </w:p>
    <w:p>
      <w:pPr>
        <w:ind w:firstLine="560"/>
        <w:rPr>
          <w:rFonts w:ascii="仿宋_GB2312" w:eastAsia="仿宋_GB2312"/>
          <w:sz w:val="28"/>
          <w:szCs w:val="28"/>
        </w:rPr>
      </w:pPr>
      <w:r>
        <w:rPr>
          <w:rFonts w:hint="eastAsia" w:ascii="仿宋_GB2312" w:eastAsia="仿宋_GB2312"/>
          <w:sz w:val="28"/>
          <w:szCs w:val="28"/>
        </w:rPr>
        <w:t>租用</w:t>
      </w:r>
      <w:r>
        <w:rPr>
          <w:rFonts w:ascii="仿宋_GB2312" w:eastAsia="仿宋_GB2312"/>
          <w:sz w:val="28"/>
          <w:szCs w:val="28"/>
        </w:rPr>
        <w:t>1条</w:t>
      </w:r>
      <w:r>
        <w:rPr>
          <w:rFonts w:hint="eastAsia" w:ascii="仿宋_GB2312" w:eastAsia="仿宋_GB2312"/>
          <w:sz w:val="28"/>
          <w:szCs w:val="28"/>
        </w:rPr>
        <w:t>省公路中心</w:t>
      </w:r>
      <w:r>
        <w:rPr>
          <w:rFonts w:ascii="仿宋_GB2312" w:eastAsia="仿宋_GB2312"/>
          <w:sz w:val="28"/>
          <w:szCs w:val="28"/>
        </w:rPr>
        <w:t>至省政府办公厅</w:t>
      </w:r>
      <w:r>
        <w:rPr>
          <w:rFonts w:hint="eastAsia" w:ascii="仿宋_GB2312" w:eastAsia="仿宋_GB2312"/>
          <w:sz w:val="28"/>
          <w:szCs w:val="28"/>
        </w:rPr>
        <w:t>的</w:t>
      </w:r>
      <w:r>
        <w:rPr>
          <w:rFonts w:ascii="仿宋_GB2312" w:eastAsia="仿宋_GB2312"/>
          <w:sz w:val="28"/>
          <w:szCs w:val="28"/>
        </w:rPr>
        <w:t>2M政务内网专线。同时，</w:t>
      </w:r>
      <w:r>
        <w:rPr>
          <w:rFonts w:hint="eastAsia" w:ascii="仿宋_GB2312" w:eastAsia="仿宋_GB2312"/>
          <w:sz w:val="28"/>
          <w:szCs w:val="28"/>
        </w:rPr>
        <w:t>需</w:t>
      </w:r>
      <w:r>
        <w:rPr>
          <w:rFonts w:ascii="仿宋_GB2312" w:eastAsia="仿宋_GB2312"/>
          <w:sz w:val="28"/>
          <w:szCs w:val="28"/>
        </w:rPr>
        <w:t>保障相应电脑终端正常接入政务内网</w:t>
      </w:r>
      <w:r>
        <w:rPr>
          <w:rFonts w:hint="eastAsia" w:ascii="仿宋_GB2312" w:eastAsia="仿宋_GB2312"/>
          <w:sz w:val="28"/>
          <w:szCs w:val="28"/>
        </w:rPr>
        <w:t>。</w:t>
      </w:r>
    </w:p>
    <w:p>
      <w:pPr>
        <w:ind w:firstLine="560"/>
        <w:rPr>
          <w:rFonts w:ascii="仿宋_GB2312" w:eastAsia="仿宋_GB2312"/>
          <w:sz w:val="28"/>
          <w:szCs w:val="28"/>
        </w:rPr>
      </w:pPr>
      <w:r>
        <w:rPr>
          <w:rFonts w:hint="eastAsia" w:ascii="仿宋_GB2312" w:eastAsia="仿宋_GB2312"/>
          <w:sz w:val="28"/>
          <w:szCs w:val="28"/>
        </w:rPr>
        <w:t>2.1.6 CN2线路</w:t>
      </w:r>
    </w:p>
    <w:p>
      <w:pPr>
        <w:ind w:firstLine="560"/>
        <w:rPr>
          <w:rFonts w:ascii="仿宋_GB2312" w:eastAsia="仿宋_GB2312"/>
          <w:sz w:val="28"/>
          <w:szCs w:val="28"/>
        </w:rPr>
      </w:pPr>
      <w:r>
        <w:rPr>
          <w:rFonts w:hint="eastAsia" w:ascii="仿宋_GB2312" w:eastAsia="仿宋_GB2312"/>
          <w:sz w:val="28"/>
          <w:szCs w:val="28"/>
        </w:rPr>
        <w:t>租用</w:t>
      </w:r>
      <w:r>
        <w:rPr>
          <w:rFonts w:ascii="仿宋_GB2312" w:eastAsia="仿宋_GB2312"/>
          <w:sz w:val="28"/>
          <w:szCs w:val="28"/>
        </w:rPr>
        <w:t>1条</w:t>
      </w:r>
      <w:r>
        <w:rPr>
          <w:rFonts w:hint="eastAsia" w:ascii="仿宋_GB2312" w:eastAsia="仿宋_GB2312"/>
          <w:sz w:val="28"/>
          <w:szCs w:val="28"/>
        </w:rPr>
        <w:t>接入</w:t>
      </w:r>
      <w:r>
        <w:rPr>
          <w:rFonts w:hint="eastAsia" w:ascii="仿宋_GB2312" w:eastAsia="仿宋_GB2312"/>
          <w:kern w:val="0"/>
          <w:sz w:val="28"/>
          <w:szCs w:val="28"/>
        </w:rPr>
        <w:t>滨江IDC</w:t>
      </w:r>
      <w:r>
        <w:rPr>
          <w:rFonts w:hint="eastAsia" w:ascii="仿宋_GB2312" w:eastAsia="仿宋_GB2312"/>
          <w:sz w:val="28"/>
          <w:szCs w:val="28"/>
        </w:rPr>
        <w:t>的</w:t>
      </w:r>
      <w:r>
        <w:rPr>
          <w:rFonts w:ascii="仿宋_GB2312" w:eastAsia="仿宋_GB2312"/>
          <w:sz w:val="28"/>
          <w:szCs w:val="28"/>
        </w:rPr>
        <w:t>2</w:t>
      </w:r>
      <w:r>
        <w:rPr>
          <w:rFonts w:hint="eastAsia" w:ascii="仿宋_GB2312" w:eastAsia="仿宋_GB2312"/>
          <w:sz w:val="28"/>
          <w:szCs w:val="28"/>
        </w:rPr>
        <w:t>0</w:t>
      </w:r>
      <w:r>
        <w:rPr>
          <w:rFonts w:ascii="仿宋_GB2312" w:eastAsia="仿宋_GB2312"/>
          <w:sz w:val="28"/>
          <w:szCs w:val="28"/>
        </w:rPr>
        <w:t>M</w:t>
      </w:r>
      <w:r>
        <w:rPr>
          <w:rFonts w:hint="eastAsia" w:ascii="仿宋_GB2312" w:eastAsia="仿宋_GB2312"/>
          <w:sz w:val="28"/>
          <w:szCs w:val="28"/>
        </w:rPr>
        <w:t xml:space="preserve"> CN2线路</w:t>
      </w:r>
      <w:r>
        <w:rPr>
          <w:rFonts w:ascii="仿宋_GB2312" w:eastAsia="仿宋_GB2312"/>
          <w:sz w:val="28"/>
          <w:szCs w:val="28"/>
        </w:rPr>
        <w:t>，</w:t>
      </w:r>
      <w:r>
        <w:rPr>
          <w:rFonts w:hint="eastAsia" w:ascii="仿宋_GB2312" w:eastAsia="仿宋_GB2312"/>
          <w:sz w:val="28"/>
          <w:szCs w:val="28"/>
        </w:rPr>
        <w:t>用于传输应急抢险车移动视频数据。</w:t>
      </w:r>
    </w:p>
    <w:p>
      <w:pPr>
        <w:ind w:firstLine="560"/>
        <w:rPr>
          <w:rFonts w:ascii="仿宋_GB2312" w:eastAsia="仿宋_GB2312"/>
          <w:sz w:val="28"/>
          <w:szCs w:val="28"/>
        </w:rPr>
      </w:pPr>
      <w:r>
        <w:rPr>
          <w:rFonts w:hint="eastAsia" w:ascii="仿宋_GB2312" w:eastAsia="仿宋_GB2312"/>
          <w:sz w:val="28"/>
          <w:szCs w:val="28"/>
        </w:rPr>
        <w:t>2.1.7 移动对讲套餐</w:t>
      </w:r>
    </w:p>
    <w:p>
      <w:pPr>
        <w:ind w:firstLine="560"/>
        <w:rPr>
          <w:rFonts w:ascii="仿宋_GB2312" w:eastAsia="仿宋_GB2312"/>
          <w:sz w:val="28"/>
          <w:szCs w:val="28"/>
        </w:rPr>
      </w:pPr>
      <w:r>
        <w:rPr>
          <w:rFonts w:hint="eastAsia" w:ascii="仿宋_GB2312" w:eastAsia="仿宋_GB2312"/>
          <w:sz w:val="28"/>
          <w:szCs w:val="28"/>
        </w:rPr>
        <w:t>租用天翼移动对讲套餐卡7张，用于省港航中心与地市海事部门之间的应急指挥。</w:t>
      </w:r>
    </w:p>
    <w:p>
      <w:pPr>
        <w:ind w:firstLine="560"/>
        <w:rPr>
          <w:rFonts w:ascii="仿宋_GB2312" w:eastAsia="仿宋_GB2312"/>
          <w:sz w:val="28"/>
          <w:szCs w:val="28"/>
        </w:rPr>
      </w:pPr>
      <w:r>
        <w:rPr>
          <w:rFonts w:ascii="仿宋_GB2312" w:eastAsia="仿宋_GB2312"/>
          <w:sz w:val="28"/>
          <w:szCs w:val="28"/>
        </w:rPr>
        <w:t>2.1.</w:t>
      </w:r>
      <w:r>
        <w:rPr>
          <w:rFonts w:hint="eastAsia" w:ascii="仿宋_GB2312" w:eastAsia="仿宋_GB2312"/>
          <w:sz w:val="28"/>
          <w:szCs w:val="28"/>
        </w:rPr>
        <w:t>8 会议保障</w:t>
      </w:r>
    </w:p>
    <w:p>
      <w:pPr>
        <w:ind w:firstLine="560"/>
        <w:rPr>
          <w:rFonts w:ascii="仿宋_GB2312" w:eastAsia="仿宋_GB2312"/>
          <w:sz w:val="28"/>
          <w:szCs w:val="28"/>
        </w:rPr>
      </w:pPr>
      <w:r>
        <w:rPr>
          <w:rFonts w:hint="eastAsia" w:ascii="仿宋_GB2312" w:eastAsia="仿宋_GB2312"/>
          <w:sz w:val="28"/>
          <w:szCs w:val="28"/>
        </w:rPr>
        <w:t>如采购人有需求，则供应商提供全省交通工作会议的设施设备保障服务。</w:t>
      </w:r>
    </w:p>
    <w:p>
      <w:pPr>
        <w:pStyle w:val="249"/>
        <w:ind w:firstLine="562"/>
        <w:rPr>
          <w:rFonts w:ascii="仿宋_GB2312" w:eastAsia="仿宋_GB2312"/>
          <w:b/>
          <w:sz w:val="30"/>
          <w:szCs w:val="30"/>
        </w:rPr>
      </w:pPr>
      <w:r>
        <w:rPr>
          <w:rFonts w:ascii="仿宋_GB2312" w:eastAsia="仿宋_GB2312"/>
          <w:b/>
          <w:sz w:val="30"/>
          <w:szCs w:val="30"/>
        </w:rPr>
        <w:t xml:space="preserve">2.2 </w:t>
      </w:r>
      <w:r>
        <w:rPr>
          <w:rFonts w:hint="eastAsia" w:ascii="仿宋_GB2312" w:eastAsia="仿宋_GB2312"/>
          <w:b/>
          <w:sz w:val="30"/>
          <w:szCs w:val="30"/>
        </w:rPr>
        <w:t>高速公路联网运行系统</w:t>
      </w:r>
    </w:p>
    <w:p>
      <w:pPr>
        <w:ind w:firstLine="560"/>
        <w:rPr>
          <w:rFonts w:ascii="仿宋_GB2312" w:eastAsia="仿宋_GB2312"/>
          <w:sz w:val="28"/>
          <w:szCs w:val="28"/>
        </w:rPr>
      </w:pPr>
      <w:r>
        <w:rPr>
          <w:rFonts w:hint="eastAsia" w:ascii="仿宋_GB2312" w:eastAsia="仿宋_GB2312"/>
          <w:sz w:val="28"/>
          <w:szCs w:val="28"/>
        </w:rPr>
        <w:t>租用需求详见“租用列表”。须提供以下服务：</w:t>
      </w:r>
    </w:p>
    <w:p>
      <w:pPr>
        <w:ind w:firstLine="560"/>
        <w:rPr>
          <w:rFonts w:ascii="仿宋_GB2312" w:eastAsia="仿宋_GB2312"/>
          <w:sz w:val="28"/>
          <w:szCs w:val="28"/>
        </w:rPr>
      </w:pPr>
      <w:r>
        <w:rPr>
          <w:rFonts w:hint="eastAsia" w:ascii="仿宋_GB2312" w:eastAsia="仿宋_GB2312"/>
          <w:sz w:val="28"/>
          <w:szCs w:val="28"/>
        </w:rPr>
        <w:t>提供裸光纤、</w:t>
      </w:r>
      <w:r>
        <w:rPr>
          <w:rFonts w:ascii="仿宋_GB2312" w:eastAsia="仿宋_GB2312"/>
          <w:sz w:val="28"/>
          <w:szCs w:val="28"/>
        </w:rPr>
        <w:t>30B+D</w:t>
      </w:r>
      <w:r>
        <w:rPr>
          <w:rFonts w:hint="eastAsia" w:ascii="仿宋_GB2312" w:eastAsia="仿宋_GB2312"/>
          <w:sz w:val="28"/>
          <w:szCs w:val="28"/>
        </w:rPr>
        <w:t>、</w:t>
      </w:r>
      <w:r>
        <w:rPr>
          <w:rFonts w:ascii="仿宋_GB2312" w:eastAsia="仿宋_GB2312"/>
          <w:sz w:val="28"/>
          <w:szCs w:val="28"/>
        </w:rPr>
        <w:t xml:space="preserve">100M </w:t>
      </w:r>
      <w:r>
        <w:rPr>
          <w:rFonts w:hint="eastAsia" w:ascii="仿宋_GB2312" w:eastAsia="仿宋_GB2312"/>
          <w:sz w:val="28"/>
          <w:szCs w:val="28"/>
        </w:rPr>
        <w:t>MSTP、</w:t>
      </w:r>
      <w:r>
        <w:rPr>
          <w:rFonts w:ascii="仿宋_GB2312" w:eastAsia="仿宋_GB2312"/>
          <w:sz w:val="28"/>
          <w:szCs w:val="28"/>
        </w:rPr>
        <w:t>50M VPDN</w:t>
      </w:r>
      <w:r>
        <w:rPr>
          <w:rFonts w:hint="eastAsia" w:ascii="仿宋_GB2312" w:eastAsia="仿宋_GB2312"/>
          <w:sz w:val="28"/>
          <w:szCs w:val="28"/>
        </w:rPr>
        <w:t>、</w:t>
      </w:r>
      <w:r>
        <w:rPr>
          <w:rFonts w:ascii="仿宋_GB2312" w:eastAsia="仿宋_GB2312"/>
          <w:sz w:val="28"/>
          <w:szCs w:val="28"/>
        </w:rPr>
        <w:t xml:space="preserve">300M </w:t>
      </w:r>
      <w:r>
        <w:rPr>
          <w:rFonts w:hint="eastAsia" w:ascii="仿宋_GB2312" w:eastAsia="仿宋_GB2312"/>
          <w:sz w:val="28"/>
          <w:szCs w:val="28"/>
        </w:rPr>
        <w:t>MSTP长途线路等电路，作为采购人组建全省高速公路联网运行通信网络的专用线路和备份线路及交通部全国干线通信网络，以保障高速公路联网运行收费、监控和通信系统正常运行及本省与交通运输部的通信链接。</w:t>
      </w:r>
    </w:p>
    <w:p>
      <w:pPr>
        <w:ind w:firstLine="560"/>
        <w:rPr>
          <w:rFonts w:ascii="仿宋_GB2312" w:eastAsia="仿宋_GB2312"/>
          <w:sz w:val="28"/>
          <w:szCs w:val="28"/>
        </w:rPr>
      </w:pPr>
      <w:r>
        <w:rPr>
          <w:rFonts w:hint="eastAsia" w:ascii="仿宋_GB2312" w:eastAsia="仿宋_GB2312"/>
          <w:sz w:val="28"/>
          <w:szCs w:val="28"/>
        </w:rPr>
        <w:t>提供</w:t>
      </w:r>
      <w:r>
        <w:rPr>
          <w:rFonts w:ascii="仿宋_GB2312" w:eastAsia="仿宋_GB2312"/>
          <w:sz w:val="28"/>
          <w:szCs w:val="28"/>
        </w:rPr>
        <w:t>7*24(2小时到现场)的技术服务，通过专业设备对租用线路的电路可用率、电路误码率等提供专业的检测服务，在故障受理时间、电路开通时限等为</w:t>
      </w:r>
      <w:r>
        <w:rPr>
          <w:rFonts w:hint="eastAsia" w:ascii="仿宋_GB2312" w:eastAsia="仿宋_GB2312"/>
          <w:sz w:val="28"/>
          <w:szCs w:val="28"/>
        </w:rPr>
        <w:t>采购人提供高品质的服务，保障采购人线路</w:t>
      </w:r>
      <w:r>
        <w:rPr>
          <w:rFonts w:ascii="仿宋_GB2312" w:eastAsia="仿宋_GB2312"/>
          <w:sz w:val="28"/>
          <w:szCs w:val="28"/>
        </w:rPr>
        <w:t>24小时不间断运行。</w:t>
      </w:r>
    </w:p>
    <w:p>
      <w:pPr>
        <w:pStyle w:val="2"/>
        <w:ind w:left="432" w:hanging="432"/>
        <w:jc w:val="both"/>
        <w:rPr>
          <w:rFonts w:ascii="Calibri" w:hAnsi="Calibri" w:eastAsia="仿宋_GB2312" w:cstheme="minorBidi"/>
          <w:bCs w:val="0"/>
          <w:sz w:val="32"/>
          <w:szCs w:val="32"/>
        </w:rPr>
      </w:pPr>
      <w:bookmarkStart w:id="51" w:name="_Toc50457893"/>
      <w:r>
        <w:rPr>
          <w:rFonts w:hint="eastAsia" w:ascii="Calibri" w:hAnsi="Calibri" w:eastAsia="仿宋_GB2312" w:cstheme="minorBidi"/>
          <w:bCs w:val="0"/>
          <w:sz w:val="32"/>
          <w:szCs w:val="32"/>
        </w:rPr>
        <w:t>3、租用列表</w:t>
      </w:r>
      <w:bookmarkEnd w:id="51"/>
    </w:p>
    <w:tbl>
      <w:tblPr>
        <w:tblStyle w:val="43"/>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08"/>
        <w:gridCol w:w="1276"/>
        <w:gridCol w:w="2268"/>
        <w:gridCol w:w="14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58" w:type="dxa"/>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序号</w:t>
            </w:r>
          </w:p>
        </w:tc>
        <w:tc>
          <w:tcPr>
            <w:tcW w:w="708" w:type="dxa"/>
            <w:shd w:val="clear" w:color="auto" w:fill="auto"/>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服务对象</w:t>
            </w:r>
          </w:p>
        </w:tc>
        <w:tc>
          <w:tcPr>
            <w:tcW w:w="1276" w:type="dxa"/>
            <w:shd w:val="clear" w:color="auto" w:fill="auto"/>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名称</w:t>
            </w:r>
          </w:p>
        </w:tc>
        <w:tc>
          <w:tcPr>
            <w:tcW w:w="2268" w:type="dxa"/>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位置</w:t>
            </w:r>
          </w:p>
        </w:tc>
        <w:tc>
          <w:tcPr>
            <w:tcW w:w="1418" w:type="dxa"/>
            <w:shd w:val="clear" w:color="auto" w:fill="auto"/>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用途</w:t>
            </w:r>
          </w:p>
        </w:tc>
        <w:tc>
          <w:tcPr>
            <w:tcW w:w="708" w:type="dxa"/>
            <w:vAlign w:val="center"/>
          </w:tcPr>
          <w:p>
            <w:pPr>
              <w:pStyle w:val="248"/>
              <w:jc w:val="center"/>
              <w:rPr>
                <w:rFonts w:ascii="仿宋_GB2312" w:eastAsia="仿宋_GB2312"/>
                <w:b/>
                <w:kern w:val="0"/>
                <w:sz w:val="24"/>
                <w:szCs w:val="24"/>
              </w:rPr>
            </w:pPr>
            <w:r>
              <w:rPr>
                <w:rFonts w:hint="eastAsia" w:ascii="仿宋_GB2312" w:eastAsia="仿宋_GB2312"/>
                <w:b/>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w:t>
            </w:r>
          </w:p>
        </w:tc>
        <w:tc>
          <w:tcPr>
            <w:tcW w:w="708" w:type="dxa"/>
            <w:vMerge w:val="restart"/>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网络及业务数据传输</w:t>
            </w: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IDC机柜</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滨江IDC</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存放硬件设备</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2M IPRAN</w:t>
            </w:r>
            <w:r>
              <w:rPr>
                <w:rFonts w:ascii="仿宋_GB2312" w:eastAsia="仿宋_GB2312"/>
                <w:kern w:val="0"/>
                <w:sz w:val="24"/>
                <w:szCs w:val="24"/>
              </w:rPr>
              <w:t xml:space="preserve"> </w:t>
            </w:r>
          </w:p>
        </w:tc>
        <w:tc>
          <w:tcPr>
            <w:tcW w:w="226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滨江IDC连接至交通运输部</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视频会议的数据传输</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3</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 xml:space="preserve">10M IPRAN </w:t>
            </w:r>
          </w:p>
        </w:tc>
        <w:tc>
          <w:tcPr>
            <w:tcW w:w="2268" w:type="dxa"/>
            <w:vAlign w:val="center"/>
          </w:tcPr>
          <w:p>
            <w:pPr>
              <w:pStyle w:val="248"/>
              <w:jc w:val="left"/>
              <w:rPr>
                <w:rFonts w:ascii="仿宋_GB2312" w:hAnsi="Calibri" w:eastAsia="仿宋_GB2312"/>
                <w:kern w:val="0"/>
                <w:sz w:val="24"/>
                <w:szCs w:val="24"/>
              </w:rPr>
            </w:pPr>
            <w:r>
              <w:rPr>
                <w:rFonts w:hint="eastAsia" w:ascii="仿宋_GB2312" w:eastAsia="仿宋_GB2312"/>
                <w:sz w:val="24"/>
                <w:szCs w:val="24"/>
              </w:rPr>
              <w:t xml:space="preserve">省交通科学研究院、省交通职业技术学院、浙江公路水运工程咨询有限责任公司分别连接至滨江IDC </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交通内网的互联互通</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4</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10M IPRAN</w:t>
            </w:r>
          </w:p>
        </w:tc>
        <w:tc>
          <w:tcPr>
            <w:tcW w:w="2268" w:type="dxa"/>
            <w:vAlign w:val="center"/>
          </w:tcPr>
          <w:p>
            <w:pPr>
              <w:pStyle w:val="248"/>
              <w:jc w:val="left"/>
              <w:rPr>
                <w:rFonts w:ascii="仿宋_GB2312" w:eastAsia="仿宋_GB2312"/>
                <w:sz w:val="24"/>
                <w:szCs w:val="24"/>
              </w:rPr>
            </w:pPr>
            <w:r>
              <w:rPr>
                <w:rFonts w:hint="eastAsia" w:ascii="仿宋_GB2312" w:eastAsia="仿宋_GB2312"/>
                <w:sz w:val="24"/>
                <w:szCs w:val="24"/>
              </w:rPr>
              <w:t>省交通运输厅连接至滨江IDC</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视频会议的数据传输</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5</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100M IPRAN</w:t>
            </w:r>
          </w:p>
        </w:tc>
        <w:tc>
          <w:tcPr>
            <w:tcW w:w="2268" w:type="dxa"/>
            <w:vAlign w:val="center"/>
          </w:tcPr>
          <w:p>
            <w:pPr>
              <w:pStyle w:val="248"/>
              <w:jc w:val="left"/>
              <w:rPr>
                <w:rFonts w:ascii="仿宋_GB2312" w:eastAsia="仿宋_GB2312"/>
                <w:sz w:val="24"/>
                <w:szCs w:val="24"/>
              </w:rPr>
            </w:pPr>
            <w:r>
              <w:rPr>
                <w:rFonts w:hint="eastAsia" w:ascii="仿宋_GB2312" w:eastAsia="仿宋_GB2312"/>
                <w:kern w:val="0"/>
                <w:sz w:val="24"/>
                <w:szCs w:val="24"/>
              </w:rPr>
              <w:t>标力大厦</w:t>
            </w:r>
            <w:r>
              <w:rPr>
                <w:rFonts w:hint="eastAsia" w:ascii="仿宋_GB2312" w:eastAsia="仿宋_GB2312"/>
                <w:sz w:val="24"/>
                <w:szCs w:val="24"/>
              </w:rPr>
              <w:t>20层</w:t>
            </w:r>
            <w:r>
              <w:rPr>
                <w:rFonts w:hint="eastAsia" w:ascii="仿宋_GB2312" w:eastAsia="仿宋_GB2312"/>
                <w:kern w:val="0"/>
                <w:sz w:val="24"/>
                <w:szCs w:val="24"/>
              </w:rPr>
              <w:t>连接至滨江IDC</w:t>
            </w:r>
          </w:p>
        </w:tc>
        <w:tc>
          <w:tcPr>
            <w:tcW w:w="1418" w:type="dxa"/>
            <w:shd w:val="clear" w:color="auto" w:fill="auto"/>
            <w:vAlign w:val="center"/>
          </w:tcPr>
          <w:p>
            <w:pPr>
              <w:pStyle w:val="248"/>
              <w:jc w:val="left"/>
              <w:rPr>
                <w:rFonts w:ascii="仿宋_GB2312" w:eastAsia="仿宋_GB2312"/>
                <w:sz w:val="24"/>
                <w:szCs w:val="24"/>
              </w:rPr>
            </w:pPr>
            <w:r>
              <w:rPr>
                <w:rFonts w:hint="eastAsia" w:ascii="仿宋_GB2312" w:eastAsia="仿宋_GB2312"/>
                <w:kern w:val="0"/>
                <w:sz w:val="24"/>
                <w:szCs w:val="24"/>
              </w:rPr>
              <w:t>交通内网的互联互通</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6</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sz w:val="24"/>
                <w:szCs w:val="24"/>
              </w:rPr>
              <w:t>省交通运输厅2楼、明珠国际商务中心5号楼3楼、省公路中心、省港航中心、杭州市港航管理服务中心、省工程中心分别连接至滨江IDC</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交通内网的互联互通</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7</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eastAsia="仿宋_GB2312"/>
                <w:sz w:val="24"/>
                <w:szCs w:val="24"/>
              </w:rPr>
            </w:pPr>
            <w:r>
              <w:rPr>
                <w:rFonts w:hint="eastAsia" w:ascii="仿宋_GB2312" w:eastAsia="仿宋_GB2312"/>
                <w:sz w:val="24"/>
                <w:szCs w:val="24"/>
              </w:rPr>
              <w:t>火车东站、火车城站、萧山机场分别连接至滨江IDC</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sz w:val="24"/>
                <w:szCs w:val="24"/>
              </w:rPr>
              <w:t>业务系统数据互传</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8</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eastAsia="仿宋_GB2312"/>
                <w:sz w:val="24"/>
                <w:szCs w:val="24"/>
              </w:rPr>
            </w:pPr>
            <w:r>
              <w:rPr>
                <w:rFonts w:hint="eastAsia" w:ascii="仿宋_GB2312" w:eastAsia="仿宋_GB2312"/>
                <w:sz w:val="24"/>
                <w:szCs w:val="24"/>
              </w:rPr>
              <w:t>明珠国际商务中心4号楼1楼连接至滨江IDC</w:t>
            </w:r>
          </w:p>
        </w:tc>
        <w:tc>
          <w:tcPr>
            <w:tcW w:w="1418" w:type="dxa"/>
            <w:shd w:val="clear" w:color="auto" w:fill="auto"/>
            <w:vAlign w:val="center"/>
          </w:tcPr>
          <w:p>
            <w:pPr>
              <w:pStyle w:val="248"/>
              <w:jc w:val="left"/>
              <w:rPr>
                <w:rFonts w:ascii="仿宋_GB2312" w:eastAsia="仿宋_GB2312"/>
                <w:sz w:val="24"/>
                <w:szCs w:val="24"/>
              </w:rPr>
            </w:pPr>
            <w:r>
              <w:rPr>
                <w:rFonts w:hint="eastAsia" w:ascii="仿宋_GB2312" w:eastAsia="仿宋_GB2312"/>
                <w:kern w:val="0"/>
                <w:sz w:val="24"/>
                <w:szCs w:val="24"/>
              </w:rPr>
              <w:t>智慧云平台接入交通内网</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9</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hAnsi="Calibri" w:eastAsia="仿宋_GB2312"/>
                <w:sz w:val="24"/>
                <w:szCs w:val="24"/>
              </w:rPr>
            </w:pPr>
            <w:r>
              <w:rPr>
                <w:rFonts w:hint="eastAsia" w:ascii="仿宋_GB2312" w:eastAsia="仿宋_GB2312"/>
                <w:sz w:val="24"/>
                <w:szCs w:val="24"/>
              </w:rPr>
              <w:t>省公路中心连接至滨江IDC</w:t>
            </w:r>
          </w:p>
        </w:tc>
        <w:tc>
          <w:tcPr>
            <w:tcW w:w="1418" w:type="dxa"/>
            <w:shd w:val="clear" w:color="auto" w:fill="auto"/>
            <w:vAlign w:val="center"/>
          </w:tcPr>
          <w:p>
            <w:pPr>
              <w:pStyle w:val="248"/>
              <w:jc w:val="left"/>
              <w:rPr>
                <w:rFonts w:ascii="仿宋_GB2312" w:eastAsia="仿宋_GB2312"/>
                <w:sz w:val="24"/>
                <w:szCs w:val="24"/>
              </w:rPr>
            </w:pPr>
            <w:r>
              <w:rPr>
                <w:rFonts w:hint="eastAsia" w:ascii="仿宋_GB2312" w:eastAsia="仿宋_GB2312"/>
                <w:kern w:val="0"/>
                <w:sz w:val="24"/>
                <w:szCs w:val="24"/>
              </w:rPr>
              <w:t>运维专线</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10</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20M MSTP（地区内）数字电路</w:t>
            </w:r>
          </w:p>
        </w:tc>
        <w:tc>
          <w:tcPr>
            <w:tcW w:w="2268" w:type="dxa"/>
            <w:vAlign w:val="center"/>
          </w:tcPr>
          <w:p>
            <w:pPr>
              <w:pStyle w:val="248"/>
              <w:jc w:val="left"/>
              <w:rPr>
                <w:rFonts w:ascii="仿宋_GB2312" w:eastAsia="仿宋_GB2312"/>
                <w:sz w:val="24"/>
                <w:szCs w:val="24"/>
              </w:rPr>
            </w:pPr>
            <w:r>
              <w:rPr>
                <w:rFonts w:hint="eastAsia" w:ascii="仿宋_GB2312" w:eastAsia="仿宋_GB2312"/>
                <w:sz w:val="24"/>
                <w:szCs w:val="24"/>
              </w:rPr>
              <w:t>省公路中心1楼机房连接至滨江IDC</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连接交通部光纤网、交通部高速公路光纤网</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11</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2M政务内网专线</w:t>
            </w:r>
          </w:p>
        </w:tc>
        <w:tc>
          <w:tcPr>
            <w:tcW w:w="2268" w:type="dxa"/>
            <w:vAlign w:val="center"/>
          </w:tcPr>
          <w:p>
            <w:pPr>
              <w:pStyle w:val="248"/>
              <w:jc w:val="left"/>
              <w:rPr>
                <w:rFonts w:ascii="仿宋_GB2312" w:eastAsia="仿宋_GB2312"/>
                <w:sz w:val="24"/>
                <w:szCs w:val="24"/>
              </w:rPr>
            </w:pPr>
            <w:r>
              <w:rPr>
                <w:rFonts w:hint="eastAsia" w:ascii="仿宋_GB2312" w:eastAsia="仿宋_GB2312"/>
                <w:sz w:val="24"/>
                <w:szCs w:val="24"/>
              </w:rPr>
              <w:t>省公路中心</w:t>
            </w:r>
            <w:r>
              <w:rPr>
                <w:rFonts w:hint="eastAsia" w:ascii="仿宋_GB2312" w:hAnsi="Times New Roman" w:eastAsia="仿宋_GB2312" w:cs="Times New Roman"/>
                <w:sz w:val="24"/>
                <w:szCs w:val="24"/>
              </w:rPr>
              <w:t>3楼机房至省政府办公厅</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业务数据传输</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12</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sz w:val="24"/>
                <w:szCs w:val="24"/>
              </w:rPr>
              <w:t>20M CN2线路</w:t>
            </w:r>
          </w:p>
        </w:tc>
        <w:tc>
          <w:tcPr>
            <w:tcW w:w="2268" w:type="dxa"/>
            <w:vAlign w:val="center"/>
          </w:tcPr>
          <w:p>
            <w:pPr>
              <w:pStyle w:val="248"/>
              <w:jc w:val="left"/>
              <w:rPr>
                <w:rFonts w:ascii="仿宋_GB2312" w:eastAsia="仿宋_GB2312"/>
                <w:sz w:val="24"/>
                <w:szCs w:val="24"/>
              </w:rPr>
            </w:pPr>
            <w:r>
              <w:rPr>
                <w:rFonts w:hint="eastAsia" w:ascii="仿宋_GB2312" w:eastAsia="仿宋_GB2312"/>
                <w:sz w:val="24"/>
                <w:szCs w:val="24"/>
              </w:rPr>
              <w:t>省公路中心3楼机房</w:t>
            </w:r>
            <w:r>
              <w:rPr>
                <w:rFonts w:ascii="仿宋_GB2312" w:eastAsia="仿宋_GB2312"/>
                <w:sz w:val="24"/>
                <w:szCs w:val="24"/>
              </w:rPr>
              <w:t>至</w:t>
            </w:r>
            <w:r>
              <w:rPr>
                <w:rFonts w:hint="eastAsia" w:ascii="仿宋_GB2312" w:eastAsia="仿宋_GB2312"/>
                <w:sz w:val="24"/>
                <w:szCs w:val="24"/>
              </w:rPr>
              <w:t>滨江IDC</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sz w:val="24"/>
                <w:szCs w:val="24"/>
              </w:rPr>
              <w:t>用于传输应急抢险车移动视频</w:t>
            </w:r>
          </w:p>
        </w:tc>
        <w:tc>
          <w:tcPr>
            <w:tcW w:w="708" w:type="dxa"/>
            <w:vAlign w:val="center"/>
          </w:tcPr>
          <w:p>
            <w:pPr>
              <w:pStyle w:val="248"/>
              <w:jc w:val="left"/>
              <w:rPr>
                <w:rFonts w:ascii="仿宋_GB2312" w:eastAsia="仿宋_GB2312"/>
                <w:kern w:val="0"/>
                <w:sz w:val="24"/>
                <w:szCs w:val="24"/>
              </w:rPr>
            </w:pPr>
            <w:r>
              <w:rPr>
                <w:rFonts w:hint="eastAsia" w:ascii="仿宋_GB2312" w:eastAsia="仿宋_GB2312"/>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13</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sz w:val="24"/>
                <w:szCs w:val="24"/>
              </w:rPr>
            </w:pPr>
            <w:r>
              <w:rPr>
                <w:rFonts w:hint="eastAsia" w:ascii="仿宋_GB2312" w:eastAsia="仿宋_GB2312"/>
                <w:sz w:val="24"/>
                <w:szCs w:val="24"/>
              </w:rPr>
              <w:t>移动对讲套餐</w:t>
            </w:r>
          </w:p>
        </w:tc>
        <w:tc>
          <w:tcPr>
            <w:tcW w:w="2268" w:type="dxa"/>
            <w:vAlign w:val="center"/>
          </w:tcPr>
          <w:p>
            <w:pPr>
              <w:pStyle w:val="248"/>
              <w:jc w:val="left"/>
              <w:rPr>
                <w:rFonts w:ascii="仿宋_GB2312" w:eastAsia="仿宋_GB2312"/>
                <w:sz w:val="24"/>
                <w:szCs w:val="24"/>
              </w:rPr>
            </w:pPr>
          </w:p>
        </w:tc>
        <w:tc>
          <w:tcPr>
            <w:tcW w:w="1418" w:type="dxa"/>
            <w:shd w:val="clear" w:color="auto" w:fill="auto"/>
            <w:vAlign w:val="center"/>
          </w:tcPr>
          <w:p>
            <w:pPr>
              <w:pStyle w:val="248"/>
              <w:jc w:val="left"/>
              <w:rPr>
                <w:rFonts w:ascii="仿宋_GB2312" w:eastAsia="仿宋_GB2312"/>
                <w:sz w:val="24"/>
                <w:szCs w:val="24"/>
              </w:rPr>
            </w:pPr>
            <w:r>
              <w:rPr>
                <w:rFonts w:hint="eastAsia" w:ascii="仿宋_GB2312" w:eastAsia="仿宋_GB2312"/>
                <w:sz w:val="24"/>
                <w:szCs w:val="24"/>
              </w:rPr>
              <w:t>应急指挥</w:t>
            </w:r>
          </w:p>
        </w:tc>
        <w:tc>
          <w:tcPr>
            <w:tcW w:w="708" w:type="dxa"/>
            <w:vAlign w:val="center"/>
          </w:tcPr>
          <w:p>
            <w:pPr>
              <w:pStyle w:val="248"/>
              <w:jc w:val="left"/>
              <w:rPr>
                <w:rFonts w:ascii="仿宋_GB2312" w:eastAsia="仿宋_GB2312"/>
                <w:sz w:val="24"/>
                <w:szCs w:val="24"/>
              </w:rPr>
            </w:pPr>
            <w:r>
              <w:rPr>
                <w:rFonts w:hint="eastAsia" w:ascii="仿宋_GB2312" w:eastAsia="仿宋_GB2312"/>
                <w:sz w:val="24"/>
                <w:szCs w:val="24"/>
              </w:rPr>
              <w:t>7张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14</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会议保障</w:t>
            </w:r>
          </w:p>
        </w:tc>
        <w:tc>
          <w:tcPr>
            <w:tcW w:w="2268" w:type="dxa"/>
            <w:vAlign w:val="center"/>
          </w:tcPr>
          <w:p>
            <w:pPr>
              <w:pStyle w:val="248"/>
              <w:jc w:val="left"/>
              <w:rPr>
                <w:rFonts w:ascii="仿宋_GB2312" w:eastAsia="仿宋_GB2312"/>
                <w:kern w:val="0"/>
                <w:sz w:val="24"/>
                <w:szCs w:val="24"/>
              </w:rPr>
            </w:pP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提供全省交通工作会议的设施设备保障服务</w:t>
            </w:r>
          </w:p>
        </w:tc>
        <w:tc>
          <w:tcPr>
            <w:tcW w:w="708" w:type="dxa"/>
            <w:vAlign w:val="center"/>
          </w:tcPr>
          <w:p>
            <w:pPr>
              <w:pStyle w:val="248"/>
              <w:jc w:val="left"/>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15</w:t>
            </w:r>
          </w:p>
        </w:tc>
        <w:tc>
          <w:tcPr>
            <w:tcW w:w="708" w:type="dxa"/>
            <w:vMerge w:val="restart"/>
            <w:shd w:val="clear" w:color="auto" w:fill="auto"/>
            <w:vAlign w:val="center"/>
          </w:tcPr>
          <w:p>
            <w:pPr>
              <w:pStyle w:val="248"/>
              <w:jc w:val="left"/>
              <w:rPr>
                <w:rFonts w:ascii="仿宋_GB2312" w:hAnsi="Calibri" w:eastAsia="仿宋_GB2312"/>
                <w:kern w:val="0"/>
                <w:sz w:val="24"/>
                <w:szCs w:val="24"/>
              </w:rPr>
            </w:pPr>
            <w:r>
              <w:rPr>
                <w:rFonts w:hint="eastAsia" w:ascii="仿宋_GB2312" w:eastAsia="仿宋_GB2312"/>
                <w:sz w:val="24"/>
                <w:szCs w:val="24"/>
              </w:rPr>
              <w:t>高速公路联网运行系统</w:t>
            </w:r>
          </w:p>
        </w:tc>
        <w:tc>
          <w:tcPr>
            <w:tcW w:w="1276" w:type="dxa"/>
            <w:vMerge w:val="restart"/>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彭埠</w:t>
            </w:r>
          </w:p>
        </w:tc>
        <w:tc>
          <w:tcPr>
            <w:tcW w:w="1418" w:type="dxa"/>
            <w:vMerge w:val="restart"/>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彭埠、萧山、半山、杭州南4个骨干通信站通过电信光缆实现与省公路中心高速专网连接</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16</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Merge w:val="continue"/>
            <w:vAlign w:val="center"/>
          </w:tcPr>
          <w:p>
            <w:pPr>
              <w:pStyle w:val="248"/>
              <w:jc w:val="left"/>
              <w:rPr>
                <w:rFonts w:ascii="仿宋_GB2312" w:eastAsia="仿宋_GB2312"/>
                <w:kern w:val="0"/>
                <w:sz w:val="24"/>
                <w:szCs w:val="24"/>
              </w:rPr>
            </w:pP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下沙</w:t>
            </w:r>
          </w:p>
        </w:tc>
        <w:tc>
          <w:tcPr>
            <w:tcW w:w="1418" w:type="dxa"/>
            <w:vMerge w:val="continue"/>
            <w:shd w:val="clear" w:color="auto" w:fill="auto"/>
            <w:vAlign w:val="center"/>
          </w:tcPr>
          <w:p>
            <w:pPr>
              <w:pStyle w:val="248"/>
              <w:jc w:val="left"/>
              <w:rPr>
                <w:rFonts w:ascii="仿宋_GB2312" w:eastAsia="仿宋_GB2312"/>
                <w:kern w:val="0"/>
                <w:sz w:val="24"/>
                <w:szCs w:val="24"/>
              </w:rPr>
            </w:pP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5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17</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Merge w:val="continue"/>
            <w:vAlign w:val="center"/>
          </w:tcPr>
          <w:p>
            <w:pPr>
              <w:pStyle w:val="248"/>
              <w:jc w:val="left"/>
              <w:rPr>
                <w:rFonts w:ascii="仿宋_GB2312" w:eastAsia="仿宋_GB2312"/>
                <w:kern w:val="0"/>
                <w:sz w:val="24"/>
                <w:szCs w:val="24"/>
              </w:rPr>
            </w:pP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半山</w:t>
            </w:r>
          </w:p>
        </w:tc>
        <w:tc>
          <w:tcPr>
            <w:tcW w:w="1418" w:type="dxa"/>
            <w:vMerge w:val="continue"/>
            <w:shd w:val="clear" w:color="auto" w:fill="auto"/>
            <w:vAlign w:val="center"/>
          </w:tcPr>
          <w:p>
            <w:pPr>
              <w:pStyle w:val="248"/>
              <w:jc w:val="left"/>
              <w:rPr>
                <w:rFonts w:ascii="仿宋_GB2312" w:eastAsia="仿宋_GB2312"/>
                <w:kern w:val="0"/>
                <w:sz w:val="24"/>
                <w:szCs w:val="24"/>
              </w:rPr>
            </w:pP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5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18</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Merge w:val="continue"/>
            <w:vAlign w:val="center"/>
          </w:tcPr>
          <w:p>
            <w:pPr>
              <w:pStyle w:val="248"/>
              <w:jc w:val="left"/>
              <w:rPr>
                <w:rFonts w:ascii="仿宋_GB2312" w:eastAsia="仿宋_GB2312"/>
                <w:kern w:val="0"/>
                <w:sz w:val="24"/>
                <w:szCs w:val="24"/>
              </w:rPr>
            </w:pP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杭州南</w:t>
            </w:r>
          </w:p>
        </w:tc>
        <w:tc>
          <w:tcPr>
            <w:tcW w:w="1418" w:type="dxa"/>
            <w:vMerge w:val="continue"/>
            <w:shd w:val="clear" w:color="auto" w:fill="auto"/>
            <w:vAlign w:val="center"/>
          </w:tcPr>
          <w:p>
            <w:pPr>
              <w:pStyle w:val="248"/>
              <w:jc w:val="left"/>
              <w:rPr>
                <w:rFonts w:ascii="仿宋_GB2312" w:eastAsia="仿宋_GB2312"/>
                <w:kern w:val="0"/>
                <w:sz w:val="24"/>
                <w:szCs w:val="24"/>
              </w:rPr>
            </w:pP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5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19</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Merge w:val="restart"/>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彭埠</w:t>
            </w:r>
          </w:p>
        </w:tc>
        <w:tc>
          <w:tcPr>
            <w:tcW w:w="1418" w:type="dxa"/>
            <w:vMerge w:val="restart"/>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实现与交通运输部国干网的省际互连</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20</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Merge w:val="continue"/>
            <w:vAlign w:val="center"/>
          </w:tcPr>
          <w:p>
            <w:pPr>
              <w:pStyle w:val="248"/>
              <w:jc w:val="left"/>
              <w:rPr>
                <w:rFonts w:ascii="仿宋_GB2312" w:eastAsia="仿宋_GB2312"/>
                <w:kern w:val="0"/>
                <w:sz w:val="24"/>
                <w:szCs w:val="24"/>
              </w:rPr>
            </w:pP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杭州北</w:t>
            </w:r>
          </w:p>
        </w:tc>
        <w:tc>
          <w:tcPr>
            <w:tcW w:w="1418" w:type="dxa"/>
            <w:vMerge w:val="continue"/>
            <w:shd w:val="clear" w:color="auto" w:fill="auto"/>
            <w:vAlign w:val="center"/>
          </w:tcPr>
          <w:p>
            <w:pPr>
              <w:pStyle w:val="248"/>
              <w:jc w:val="left"/>
              <w:rPr>
                <w:rFonts w:ascii="仿宋_GB2312" w:eastAsia="仿宋_GB2312"/>
                <w:kern w:val="0"/>
                <w:sz w:val="24"/>
                <w:szCs w:val="24"/>
              </w:rPr>
            </w:pP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21</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裸光纤</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r>
              <w:rPr>
                <w:rFonts w:hint="eastAsia" w:ascii="宋体" w:hAnsi="宋体" w:eastAsia="宋体" w:cs="宋体"/>
                <w:kern w:val="0"/>
                <w:sz w:val="24"/>
                <w:szCs w:val="24"/>
              </w:rPr>
              <w:t>–</w:t>
            </w:r>
            <w:r>
              <w:rPr>
                <w:rFonts w:hint="eastAsia" w:ascii="仿宋_GB2312" w:eastAsia="仿宋_GB2312"/>
                <w:kern w:val="0"/>
                <w:sz w:val="24"/>
                <w:szCs w:val="24"/>
              </w:rPr>
              <w:t>钱江新城3F机房</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实现钱江新城收费结算与省公路中心的互联</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58" w:type="dxa"/>
            <w:vAlign w:val="center"/>
          </w:tcPr>
          <w:p>
            <w:pPr>
              <w:pStyle w:val="248"/>
              <w:jc w:val="left"/>
              <w:rPr>
                <w:rFonts w:ascii="仿宋_GB2312" w:hAnsi="Calibri" w:eastAsia="仿宋_GB2312"/>
                <w:kern w:val="0"/>
                <w:sz w:val="24"/>
                <w:szCs w:val="24"/>
              </w:rPr>
            </w:pPr>
            <w:r>
              <w:rPr>
                <w:rFonts w:hint="eastAsia" w:ascii="仿宋_GB2312" w:eastAsia="仿宋_GB2312"/>
                <w:kern w:val="0"/>
                <w:sz w:val="24"/>
                <w:szCs w:val="24"/>
              </w:rPr>
              <w:t>22</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100M互联网光纤</w:t>
            </w:r>
          </w:p>
        </w:tc>
        <w:tc>
          <w:tcPr>
            <w:tcW w:w="2268" w:type="dxa"/>
            <w:vAlign w:val="center"/>
          </w:tcPr>
          <w:p>
            <w:pPr>
              <w:pStyle w:val="248"/>
              <w:jc w:val="left"/>
              <w:rPr>
                <w:rFonts w:ascii="仿宋_GB2312" w:eastAsia="仿宋_GB2312"/>
                <w:kern w:val="0"/>
                <w:sz w:val="24"/>
                <w:szCs w:val="24"/>
                <w:highlight w:val="yellow"/>
              </w:rPr>
            </w:pPr>
            <w:r>
              <w:rPr>
                <w:rFonts w:hint="eastAsia" w:ascii="仿宋_GB2312" w:eastAsia="仿宋_GB2312"/>
                <w:kern w:val="0"/>
                <w:sz w:val="24"/>
                <w:szCs w:val="24"/>
              </w:rPr>
              <w:t>省公路中心1F机房</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运维专线</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23</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30B+D数字中继线</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总机85067887的电话</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24</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ascii="仿宋_GB2312" w:eastAsia="仿宋_GB2312"/>
                <w:kern w:val="0"/>
                <w:sz w:val="24"/>
                <w:szCs w:val="24"/>
              </w:rPr>
              <w:t>100M MSTP数字电路</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w:t>
            </w:r>
            <w:r>
              <w:rPr>
                <w:rFonts w:ascii="仿宋_GB2312" w:eastAsia="仿宋_GB2312"/>
                <w:kern w:val="0"/>
                <w:sz w:val="24"/>
                <w:szCs w:val="24"/>
              </w:rPr>
              <w:t>1F机房</w:t>
            </w:r>
            <w:r>
              <w:rPr>
                <w:rFonts w:hint="eastAsia" w:ascii="宋体" w:hAnsi="宋体" w:eastAsia="宋体" w:cs="宋体"/>
                <w:kern w:val="0"/>
                <w:sz w:val="24"/>
                <w:szCs w:val="24"/>
              </w:rPr>
              <w:t>–</w:t>
            </w:r>
            <w:r>
              <w:rPr>
                <w:rFonts w:hint="eastAsia" w:ascii="仿宋_GB2312" w:eastAsia="仿宋_GB2312"/>
                <w:kern w:val="0"/>
                <w:sz w:val="24"/>
                <w:szCs w:val="24"/>
              </w:rPr>
              <w:t>阿里云</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连接支付宝平台的主线</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25</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50M VPDN专线</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w:t>
            </w: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组建4G无线备用传输网络，无线ETC业务接入通道</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26</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300M MSTP长途专线</w:t>
            </w:r>
          </w:p>
        </w:tc>
        <w:tc>
          <w:tcPr>
            <w:tcW w:w="226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省公路中心1F机房至部中心的部站传输长途专线</w:t>
            </w:r>
          </w:p>
        </w:tc>
        <w:tc>
          <w:tcPr>
            <w:tcW w:w="1418" w:type="dxa"/>
            <w:shd w:val="clear" w:color="auto" w:fill="auto"/>
            <w:vAlign w:val="center"/>
          </w:tcPr>
          <w:p>
            <w:pPr>
              <w:pStyle w:val="248"/>
              <w:spacing w:line="360" w:lineRule="auto"/>
              <w:jc w:val="left"/>
              <w:rPr>
                <w:rFonts w:ascii="仿宋_GB2312" w:eastAsia="仿宋_GB2312"/>
                <w:kern w:val="0"/>
                <w:sz w:val="24"/>
                <w:szCs w:val="24"/>
              </w:rPr>
            </w:pPr>
            <w:r>
              <w:rPr>
                <w:rFonts w:hint="eastAsia" w:ascii="仿宋_GB2312" w:eastAsia="仿宋_GB2312" w:cs="Times New Roman" w:hAnsiTheme="majorEastAsia"/>
                <w:sz w:val="24"/>
                <w:szCs w:val="24"/>
              </w:rPr>
              <w:t>部站间的业务数据传输</w:t>
            </w:r>
          </w:p>
        </w:tc>
        <w:tc>
          <w:tcPr>
            <w:tcW w:w="708" w:type="dxa"/>
            <w:shd w:val="clear" w:color="auto" w:fill="auto"/>
            <w:vAlign w:val="center"/>
          </w:tcPr>
          <w:p>
            <w:pPr>
              <w:pStyle w:val="248"/>
              <w:jc w:val="left"/>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27</w:t>
            </w:r>
          </w:p>
        </w:tc>
        <w:tc>
          <w:tcPr>
            <w:tcW w:w="708" w:type="dxa"/>
            <w:vMerge w:val="continue"/>
            <w:shd w:val="clear" w:color="auto" w:fill="auto"/>
            <w:vAlign w:val="center"/>
          </w:tcPr>
          <w:p>
            <w:pPr>
              <w:pStyle w:val="248"/>
              <w:jc w:val="left"/>
              <w:rPr>
                <w:rFonts w:ascii="仿宋_GB2312" w:eastAsia="仿宋_GB2312"/>
                <w:kern w:val="0"/>
                <w:sz w:val="24"/>
                <w:szCs w:val="24"/>
              </w:rPr>
            </w:pPr>
          </w:p>
        </w:tc>
        <w:tc>
          <w:tcPr>
            <w:tcW w:w="1276" w:type="dxa"/>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4G流量卡</w:t>
            </w:r>
          </w:p>
        </w:tc>
        <w:tc>
          <w:tcPr>
            <w:tcW w:w="2268" w:type="dxa"/>
            <w:vAlign w:val="center"/>
          </w:tcPr>
          <w:p>
            <w:pPr>
              <w:pStyle w:val="248"/>
              <w:jc w:val="left"/>
              <w:rPr>
                <w:rFonts w:ascii="仿宋_GB2312" w:eastAsia="仿宋_GB2312"/>
                <w:kern w:val="0"/>
                <w:sz w:val="24"/>
                <w:szCs w:val="24"/>
              </w:rPr>
            </w:pPr>
          </w:p>
        </w:tc>
        <w:tc>
          <w:tcPr>
            <w:tcW w:w="141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组建4G无线备用传输网络</w:t>
            </w:r>
          </w:p>
        </w:tc>
        <w:tc>
          <w:tcPr>
            <w:tcW w:w="708" w:type="dxa"/>
            <w:shd w:val="clear" w:color="auto" w:fill="auto"/>
            <w:vAlign w:val="center"/>
          </w:tcPr>
          <w:p>
            <w:pPr>
              <w:pStyle w:val="248"/>
              <w:jc w:val="left"/>
              <w:rPr>
                <w:rFonts w:ascii="仿宋_GB2312" w:eastAsia="仿宋_GB2312"/>
                <w:kern w:val="0"/>
                <w:sz w:val="24"/>
                <w:szCs w:val="24"/>
              </w:rPr>
            </w:pPr>
            <w:r>
              <w:rPr>
                <w:rFonts w:hint="eastAsia" w:ascii="仿宋_GB2312" w:eastAsia="仿宋_GB2312"/>
                <w:kern w:val="0"/>
                <w:sz w:val="24"/>
                <w:szCs w:val="24"/>
              </w:rPr>
              <w:t>5张</w:t>
            </w:r>
          </w:p>
        </w:tc>
      </w:tr>
    </w:tbl>
    <w:p>
      <w:pPr>
        <w:ind w:firstLine="560"/>
        <w:rPr>
          <w:rFonts w:ascii="仿宋_GB2312" w:eastAsia="仿宋_GB2312"/>
          <w:bCs/>
          <w:sz w:val="28"/>
          <w:szCs w:val="28"/>
        </w:rPr>
      </w:pPr>
      <w:r>
        <w:rPr>
          <w:rFonts w:hint="eastAsia" w:ascii="仿宋_GB2312" w:eastAsia="仿宋_GB2312"/>
          <w:sz w:val="28"/>
          <w:szCs w:val="28"/>
        </w:rPr>
        <w:t>上述线路、机柜等资源的租用时间为2022年11月1日至2023年6月30日。</w:t>
      </w:r>
    </w:p>
    <w:p>
      <w:pPr>
        <w:pStyle w:val="2"/>
        <w:ind w:left="432" w:hanging="432"/>
        <w:jc w:val="both"/>
        <w:rPr>
          <w:rFonts w:ascii="Calibri" w:hAnsi="Calibri" w:eastAsia="仿宋_GB2312" w:cstheme="minorBidi"/>
          <w:bCs w:val="0"/>
          <w:sz w:val="32"/>
          <w:szCs w:val="32"/>
        </w:rPr>
      </w:pPr>
      <w:r>
        <w:rPr>
          <w:rFonts w:ascii="Calibri" w:hAnsi="Calibri" w:eastAsia="仿宋_GB2312" w:cstheme="minorBidi"/>
          <w:bCs w:val="0"/>
          <w:sz w:val="32"/>
          <w:szCs w:val="32"/>
        </w:rPr>
        <w:t>4</w:t>
      </w:r>
      <w:r>
        <w:rPr>
          <w:rFonts w:hint="eastAsia" w:ascii="Calibri" w:hAnsi="Calibri" w:eastAsia="仿宋_GB2312" w:cstheme="minorBidi"/>
          <w:bCs w:val="0"/>
          <w:sz w:val="32"/>
          <w:szCs w:val="32"/>
        </w:rPr>
        <w:t>、服务要求</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1 预防性维护服务</w:t>
      </w:r>
    </w:p>
    <w:p>
      <w:pPr>
        <w:ind w:firstLine="560"/>
        <w:rPr>
          <w:rFonts w:ascii="仿宋_GB2312" w:eastAsia="仿宋_GB2312"/>
          <w:sz w:val="28"/>
          <w:szCs w:val="28"/>
        </w:rPr>
      </w:pPr>
      <w:r>
        <w:rPr>
          <w:rFonts w:hint="eastAsia" w:ascii="仿宋_GB2312" w:eastAsia="仿宋_GB2312"/>
          <w:sz w:val="28"/>
          <w:szCs w:val="28"/>
        </w:rPr>
        <w:t>采购人所租用的线路均为重要通信链路，合同签订后一周内供应商将完成对采购人租用链路进行全面检测，使其达到相关的技术要求。</w:t>
      </w:r>
    </w:p>
    <w:p>
      <w:pPr>
        <w:ind w:firstLine="560"/>
        <w:rPr>
          <w:rFonts w:ascii="仿宋_GB2312" w:eastAsia="仿宋_GB2312"/>
          <w:sz w:val="28"/>
          <w:szCs w:val="28"/>
        </w:rPr>
      </w:pPr>
      <w:r>
        <w:rPr>
          <w:rFonts w:hint="eastAsia" w:ascii="仿宋_GB2312" w:eastAsia="仿宋_GB2312"/>
          <w:sz w:val="28"/>
          <w:szCs w:val="28"/>
        </w:rPr>
        <w:t>供应商因实施内部网络调整或电信系统内部程序标准设置等有可能影响采购人网络正常运行的相关操作时，将提前一周将相关情况书面通知采购人，为采购人提供应急方案并实施，以保障采购人通信链路24小时不间断。</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2 现场响应服务</w:t>
      </w:r>
    </w:p>
    <w:p>
      <w:pPr>
        <w:ind w:firstLine="560"/>
        <w:rPr>
          <w:rFonts w:ascii="仿宋_GB2312" w:eastAsia="仿宋_GB2312"/>
          <w:sz w:val="28"/>
          <w:szCs w:val="28"/>
        </w:rPr>
      </w:pPr>
      <w:r>
        <w:rPr>
          <w:rFonts w:hint="eastAsia" w:ascii="仿宋_GB2312" w:eastAsia="仿宋_GB2312"/>
          <w:sz w:val="28"/>
          <w:szCs w:val="28"/>
        </w:rPr>
        <w:t>供应商在接到采购人线路故障申告后，须在30分钟内电话响应；需要现场处理的须在2小时到达现场并快速修复，修复时间最长不超过4小时，并在故障修复完成后3个工作日内出具故障修复报告。</w:t>
      </w:r>
    </w:p>
    <w:p>
      <w:pPr>
        <w:ind w:firstLine="560"/>
        <w:rPr>
          <w:rFonts w:ascii="仿宋_GB2312" w:eastAsia="仿宋_GB2312"/>
          <w:sz w:val="28"/>
          <w:szCs w:val="28"/>
        </w:rPr>
      </w:pPr>
      <w:r>
        <w:rPr>
          <w:rFonts w:hint="eastAsia" w:ascii="仿宋_GB2312" w:eastAsia="仿宋_GB2312"/>
          <w:sz w:val="28"/>
          <w:szCs w:val="28"/>
        </w:rPr>
        <w:t>现场工程技术人员应对采购人所租用线路的编号与业务类型熟悉，能快迅定位故障并实施维修服务。</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3 季度巡检服务</w:t>
      </w:r>
    </w:p>
    <w:p>
      <w:pPr>
        <w:ind w:firstLine="560"/>
        <w:rPr>
          <w:rFonts w:ascii="仿宋_GB2312" w:eastAsia="仿宋_GB2312"/>
          <w:sz w:val="28"/>
          <w:szCs w:val="28"/>
        </w:rPr>
      </w:pPr>
      <w:r>
        <w:rPr>
          <w:rFonts w:hint="eastAsia" w:ascii="仿宋_GB2312" w:eastAsia="仿宋_GB2312"/>
          <w:sz w:val="28"/>
          <w:szCs w:val="28"/>
        </w:rPr>
        <w:t>在服务期内，供应商将提供全面的季度巡检服务。供应商将制定季度巡检计划并于季度巡检前2个工作日报采购人确认,季度巡检采用专人负责方式。</w:t>
      </w:r>
    </w:p>
    <w:p>
      <w:pPr>
        <w:ind w:firstLine="560"/>
        <w:rPr>
          <w:rFonts w:ascii="仿宋_GB2312" w:eastAsia="仿宋_GB2312"/>
          <w:sz w:val="28"/>
          <w:szCs w:val="28"/>
        </w:rPr>
      </w:pPr>
      <w:r>
        <w:rPr>
          <w:rFonts w:hint="eastAsia" w:ascii="仿宋_GB2312" w:eastAsia="仿宋_GB2312"/>
          <w:sz w:val="28"/>
          <w:szCs w:val="28"/>
        </w:rPr>
        <w:t>季度巡检将派出专业工程师采用专业设备检测（包括：OTDR、光功率计等）采购人专用线路的电路可用率、电路误码率、裸光纤衰减等。</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4 专人服务</w:t>
      </w:r>
    </w:p>
    <w:p>
      <w:pPr>
        <w:ind w:firstLine="560"/>
        <w:rPr>
          <w:rFonts w:ascii="仿宋_GB2312" w:eastAsia="仿宋_GB2312"/>
          <w:sz w:val="28"/>
          <w:szCs w:val="28"/>
        </w:rPr>
      </w:pPr>
      <w:r>
        <w:rPr>
          <w:rFonts w:hint="eastAsia" w:ascii="仿宋_GB2312" w:eastAsia="仿宋_GB2312"/>
          <w:sz w:val="28"/>
          <w:szCs w:val="28"/>
        </w:rPr>
        <w:t>提供客户经理专人服务,负责本项目合同管理、人员调度、故障报修进度督促、服务质量跟踪等。</w:t>
      </w:r>
    </w:p>
    <w:p>
      <w:pPr>
        <w:pStyle w:val="249"/>
        <w:ind w:firstLine="602"/>
        <w:rPr>
          <w:rFonts w:ascii="仿宋_GB2312" w:eastAsia="仿宋_GB2312"/>
          <w:sz w:val="28"/>
          <w:szCs w:val="28"/>
        </w:rPr>
      </w:pPr>
      <w:r>
        <w:rPr>
          <w:rFonts w:hint="eastAsia" w:ascii="仿宋_GB2312" w:eastAsia="仿宋_GB2312"/>
          <w:b/>
          <w:sz w:val="30"/>
          <w:szCs w:val="30"/>
        </w:rPr>
        <w:t>4</w:t>
      </w:r>
      <w:r>
        <w:rPr>
          <w:rFonts w:ascii="仿宋_GB2312" w:eastAsia="仿宋_GB2312"/>
          <w:b/>
          <w:sz w:val="30"/>
          <w:szCs w:val="30"/>
        </w:rPr>
        <w:t>.</w:t>
      </w:r>
      <w:r>
        <w:rPr>
          <w:rFonts w:hint="eastAsia" w:ascii="仿宋_GB2312" w:eastAsia="仿宋_GB2312"/>
          <w:b/>
          <w:sz w:val="30"/>
          <w:szCs w:val="30"/>
        </w:rPr>
        <w:t>5 线路移位服务</w:t>
      </w:r>
    </w:p>
    <w:p>
      <w:pPr>
        <w:ind w:firstLine="560"/>
        <w:rPr>
          <w:rFonts w:ascii="仿宋_GB2312" w:eastAsia="仿宋_GB2312"/>
        </w:rPr>
      </w:pPr>
      <w:r>
        <w:rPr>
          <w:rFonts w:hint="eastAsia" w:ascii="仿宋_GB2312" w:eastAsia="仿宋_GB2312"/>
          <w:sz w:val="28"/>
          <w:szCs w:val="28"/>
        </w:rPr>
        <w:t>采购人因线路接入位置发生变更或为优化网络等实际情况需要，供应商将免费为采购人提供相关线路的移位服务。</w:t>
      </w:r>
    </w:p>
    <w:p>
      <w:pPr>
        <w:ind w:firstLine="560"/>
        <w:rPr>
          <w:rFonts w:ascii="仿宋_GB2312" w:eastAsia="仿宋_GB2312"/>
          <w:sz w:val="28"/>
          <w:szCs w:val="28"/>
        </w:rPr>
      </w:pPr>
    </w:p>
    <w:p>
      <w:pPr>
        <w:pStyle w:val="2"/>
        <w:ind w:firstLine="607"/>
        <w:jc w:val="left"/>
        <w:rPr>
          <w:rFonts w:ascii="仿宋_GB2312"/>
          <w:color w:val="000000"/>
          <w:sz w:val="30"/>
          <w:szCs w:val="30"/>
        </w:rPr>
      </w:pPr>
      <w:r>
        <w:rPr>
          <w:rFonts w:hint="eastAsia" w:ascii="黑体" w:hAnsi="黑体" w:eastAsia="黑体"/>
          <w:sz w:val="32"/>
          <w:szCs w:val="32"/>
        </w:rPr>
        <w:t>商务要求表</w:t>
      </w:r>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▲供货时间（项目工期）及地点</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服务地点：采购人指定地点。</w:t>
            </w:r>
          </w:p>
          <w:p>
            <w:pPr>
              <w:rPr>
                <w:rFonts w:ascii="仿宋_GB2312" w:hAnsi="仿宋_GB2312" w:cs="仿宋_GB2312"/>
                <w:color w:val="000000"/>
                <w:szCs w:val="28"/>
              </w:rPr>
            </w:pPr>
            <w:r>
              <w:rPr>
                <w:rFonts w:hint="eastAsia" w:ascii="仿宋_GB2312" w:hAnsi="仿宋_GB2312" w:cs="仿宋_GB2312"/>
                <w:color w:val="000000"/>
                <w:szCs w:val="28"/>
              </w:rPr>
              <w:t>项目工期：8个月，即2022年11月1日至2023年6月30日。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0" w:type="dxa"/>
            <w:gridSpan w:val="2"/>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▲付款条件（明确是否需要履约保证金）</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项目采用3次支付，即合同签订后支付70%，租用时间开始后支付25%，合同到期后支付5%。</w:t>
            </w:r>
          </w:p>
          <w:p>
            <w:pPr>
              <w:rPr>
                <w:rFonts w:ascii="仿宋_GB2312" w:hAnsi="仿宋_GB2312" w:cs="仿宋_GB2312"/>
                <w:color w:val="000000"/>
                <w:szCs w:val="28"/>
              </w:rPr>
            </w:pPr>
            <w:r>
              <w:rPr>
                <w:rFonts w:hint="eastAsia" w:ascii="仿宋_GB2312" w:hAnsi="仿宋_GB2312" w:cs="仿宋_GB2312"/>
                <w:color w:val="000000"/>
                <w:szCs w:val="28"/>
              </w:rPr>
              <w:t>是否需要履约保证金：</w:t>
            </w:r>
            <w:r>
              <w:rPr>
                <w:rFonts w:hint="eastAsia" w:ascii="仿宋_GB2312" w:hAnsi="仿宋_GB2312" w:cs="仿宋_GB2312"/>
                <w:b/>
                <w:color w:val="000000"/>
                <w:szCs w:val="28"/>
              </w:rPr>
              <w:t>否</w:t>
            </w:r>
            <w:r>
              <w:rPr>
                <w:rFonts w:hint="eastAsia" w:ascii="仿宋_GB2312" w:hAnsi="仿宋_GB2312" w:cs="仿宋_GB2312"/>
                <w:color w:val="00000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违约责任及争议解决方式</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按“第五章浙江省政府采购合同主要条款指引”相关违约责任及争议解决方式内容。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5" w:type="dxa"/>
            <w:vMerge w:val="restart"/>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售</w:t>
            </w:r>
          </w:p>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后</w:t>
            </w:r>
          </w:p>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服务</w:t>
            </w: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响应情况</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供应商需7*24小时响应，向采购人提供全面、有效、及时的技术支持和服务。在接到采购人线路故障申告后，须在30分钟内电话响应；需要现场处理的须在2小时到达现场并快速修复，修复时间最长不超过4小时。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_GB2312" w:hAnsi="仿宋_GB2312" w:cs="仿宋_GB2312"/>
                <w:b/>
                <w:color w:val="000000"/>
                <w:szCs w:val="28"/>
              </w:rPr>
            </w:pP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技术培训</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vMerge w:val="restart"/>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履约能力</w:t>
            </w: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公司技术力量情况</w:t>
            </w:r>
          </w:p>
        </w:tc>
        <w:tc>
          <w:tcPr>
            <w:tcW w:w="6775" w:type="dxa"/>
            <w:vAlign w:val="center"/>
          </w:tcPr>
          <w:p>
            <w:pPr>
              <w:rPr>
                <w:rFonts w:ascii="仿宋_GB2312" w:hAnsi="仿宋_GB2312" w:cs="仿宋_GB2312"/>
                <w:color w:val="000000"/>
                <w:szCs w:val="28"/>
              </w:rPr>
            </w:pPr>
            <w:r>
              <w:rPr>
                <w:rFonts w:hint="eastAsia" w:ascii="仿宋_GB2312" w:hAnsi="仿宋_GB2312" w:cs="仿宋_GB2312"/>
                <w:color w:val="000000"/>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vAlign w:val="center"/>
          </w:tcPr>
          <w:p>
            <w:pPr>
              <w:snapToGrid w:val="0"/>
              <w:jc w:val="left"/>
              <w:rPr>
                <w:rFonts w:ascii="仿宋_GB2312" w:hAnsi="仿宋_GB2312" w:cs="仿宋_GB2312"/>
                <w:b/>
                <w:color w:val="000000"/>
                <w:szCs w:val="28"/>
              </w:rPr>
            </w:pPr>
          </w:p>
        </w:tc>
        <w:tc>
          <w:tcPr>
            <w:tcW w:w="1305" w:type="dxa"/>
            <w:vAlign w:val="center"/>
          </w:tcPr>
          <w:p>
            <w:pPr>
              <w:snapToGrid w:val="0"/>
              <w:jc w:val="left"/>
              <w:rPr>
                <w:rFonts w:ascii="仿宋_GB2312" w:hAnsi="仿宋_GB2312" w:cs="仿宋_GB2312"/>
                <w:b/>
                <w:color w:val="000000"/>
                <w:szCs w:val="28"/>
              </w:rPr>
            </w:pPr>
            <w:r>
              <w:rPr>
                <w:rFonts w:hint="eastAsia" w:ascii="仿宋_GB2312" w:hAnsi="仿宋_GB2312" w:cs="仿宋_GB2312"/>
                <w:b/>
                <w:color w:val="000000"/>
                <w:szCs w:val="28"/>
              </w:rPr>
              <w:t>经验或业绩要求</w:t>
            </w:r>
          </w:p>
        </w:tc>
        <w:tc>
          <w:tcPr>
            <w:tcW w:w="6775" w:type="dxa"/>
            <w:vAlign w:val="center"/>
          </w:tcPr>
          <w:p>
            <w:pPr>
              <w:snapToGrid w:val="0"/>
              <w:rPr>
                <w:rFonts w:ascii="仿宋_GB2312" w:hAnsi="仿宋_GB2312" w:cs="仿宋_GB2312"/>
                <w:color w:val="000000"/>
                <w:szCs w:val="28"/>
              </w:rPr>
            </w:pPr>
            <w:r>
              <w:rPr>
                <w:rFonts w:hint="eastAsia" w:ascii="仿宋_GB2312" w:hAnsi="仿宋_GB2312" w:cs="仿宋_GB2312"/>
                <w:color w:val="000000"/>
                <w:szCs w:val="28"/>
              </w:rPr>
              <w:t>无</w:t>
            </w:r>
          </w:p>
        </w:tc>
      </w:tr>
    </w:tbl>
    <w:p>
      <w:pPr>
        <w:ind w:firstLine="560"/>
        <w:rPr>
          <w:rFonts w:ascii="仿宋_GB2312" w:eastAsia="仿宋_GB2312"/>
          <w:sz w:val="28"/>
          <w:szCs w:val="28"/>
        </w:rPr>
      </w:pPr>
    </w:p>
    <w:bookmarkEnd w:id="48"/>
    <w:p>
      <w:pPr>
        <w:pStyle w:val="251"/>
        <w:jc w:val="center"/>
      </w:pPr>
    </w:p>
    <w:bookmarkEnd w:id="49"/>
    <w:p>
      <w:pPr>
        <w:spacing w:line="360" w:lineRule="auto"/>
        <w:rPr>
          <w:rFonts w:hint="eastAsia" w:ascii="仿宋" w:hAnsi="仿宋" w:eastAsia="宋体"/>
          <w:b/>
          <w:bCs/>
          <w:color w:val="000000"/>
          <w:szCs w:val="32"/>
          <w:lang w:eastAsia="zh-CN"/>
        </w:rPr>
      </w:pPr>
    </w:p>
    <w:p>
      <w:pPr>
        <w:spacing w:line="360" w:lineRule="auto"/>
        <w:ind w:firstLine="320" w:firstLineChars="200"/>
        <w:contextualSpacing/>
        <w:rPr>
          <w:rFonts w:ascii="仿宋" w:hAnsi="仿宋"/>
          <w:color w:val="000000"/>
          <w:sz w:val="16"/>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42"/>
    <w:p>
      <w:pPr>
        <w:spacing w:line="360" w:lineRule="auto"/>
        <w:outlineLvl w:val="1"/>
        <w:rPr>
          <w:rFonts w:ascii="宋体" w:cs="仿宋_GB2312"/>
          <w:b/>
          <w:sz w:val="24"/>
          <w:szCs w:val="24"/>
        </w:rPr>
      </w:pPr>
      <w:bookmarkStart w:id="52" w:name="_Toc14173977"/>
      <w:bookmarkStart w:id="53" w:name="_Toc14173978"/>
    </w:p>
    <w:p>
      <w:pPr>
        <w:spacing w:line="360" w:lineRule="auto"/>
        <w:outlineLvl w:val="1"/>
        <w:rPr>
          <w:rFonts w:ascii="宋体" w:cs="仿宋_GB2312"/>
          <w:b/>
          <w:sz w:val="24"/>
          <w:szCs w:val="24"/>
        </w:rPr>
      </w:pPr>
    </w:p>
    <w:bookmarkEnd w:id="52"/>
    <w:bookmarkEnd w:id="53"/>
    <w:p>
      <w:pPr>
        <w:pStyle w:val="40"/>
      </w:pPr>
    </w:p>
    <w:p/>
    <w:p/>
    <w:p/>
    <w:p/>
    <w:p/>
    <w:p/>
    <w:p/>
    <w:p/>
    <w:p/>
    <w:p/>
    <w:p/>
    <w:p/>
    <w:p/>
    <w:p/>
    <w:p>
      <w:pPr>
        <w:pStyle w:val="40"/>
        <w:jc w:val="both"/>
      </w:pPr>
      <w:r>
        <w:rPr>
          <w:rFonts w:hint="eastAsia"/>
          <w:lang w:val="en-US" w:eastAsia="zh-CN"/>
        </w:rPr>
        <w:t xml:space="preserve">      </w:t>
      </w:r>
      <w:r>
        <w:rPr>
          <w:rFonts w:hint="eastAsia"/>
        </w:rPr>
        <w:t>第四章</w:t>
      </w:r>
      <w:r>
        <w:rPr>
          <w:rFonts w:hint="eastAsia"/>
          <w:lang w:val="en-US" w:eastAsia="zh-CN"/>
        </w:rPr>
        <w:t xml:space="preserve">  </w:t>
      </w:r>
      <w:r>
        <w:rPr>
          <w:rFonts w:hint="eastAsia"/>
        </w:rPr>
        <w:t>浙江省政府采购合同主要条款指引</w:t>
      </w:r>
      <w:bookmarkEnd w:id="39"/>
      <w:bookmarkEnd w:id="40"/>
    </w:p>
    <w:p>
      <w:pPr>
        <w:snapToGrid w:val="0"/>
        <w:spacing w:before="120" w:beforeLines="50" w:after="120" w:afterLines="50"/>
        <w:jc w:val="center"/>
        <w:rPr>
          <w:rFonts w:ascii="仿宋" w:hAnsi="仿宋" w:eastAsia="仿宋"/>
          <w:b/>
          <w:bCs/>
          <w:sz w:val="36"/>
          <w:szCs w:val="36"/>
        </w:rPr>
      </w:pPr>
    </w:p>
    <w:p>
      <w:pPr>
        <w:pStyle w:val="22"/>
        <w:snapToGrid w:val="0"/>
        <w:spacing w:beforeLines="0" w:afterLines="0" w:line="360" w:lineRule="auto"/>
        <w:jc w:val="center"/>
        <w:rPr>
          <w:rFonts w:ascii="仿宋" w:hAnsi="仿宋" w:eastAsia="仿宋"/>
          <w:sz w:val="30"/>
          <w:szCs w:val="30"/>
        </w:rPr>
      </w:pPr>
      <w:r>
        <w:rPr>
          <w:rFonts w:hint="eastAsia" w:ascii="仿宋" w:hAnsi="仿宋" w:eastAsia="仿宋"/>
          <w:sz w:val="30"/>
          <w:szCs w:val="30"/>
        </w:rPr>
        <w:t>编号：</w:t>
      </w:r>
      <w:r>
        <w:rPr>
          <w:rFonts w:ascii="仿宋" w:hAnsi="仿宋" w:eastAsia="仿宋"/>
          <w:sz w:val="30"/>
          <w:szCs w:val="30"/>
        </w:rPr>
        <w:t>ZZCG2021</w:t>
      </w:r>
      <w:r>
        <w:rPr>
          <w:rFonts w:hint="eastAsia" w:ascii="仿宋" w:hAnsi="仿宋" w:eastAsia="仿宋"/>
          <w:color w:val="FF0000"/>
          <w:sz w:val="30"/>
          <w:szCs w:val="30"/>
          <w:lang w:val="en-US" w:eastAsia="zh-CN"/>
        </w:rPr>
        <w:t>T</w:t>
      </w:r>
      <w:r>
        <w:rPr>
          <w:rFonts w:ascii="仿宋" w:hAnsi="仿宋" w:eastAsia="仿宋"/>
          <w:sz w:val="30"/>
          <w:szCs w:val="30"/>
        </w:rPr>
        <w:t>-</w:t>
      </w:r>
    </w:p>
    <w:p>
      <w:pPr>
        <w:pStyle w:val="22"/>
        <w:snapToGrid w:val="0"/>
        <w:spacing w:beforeLines="0" w:afterLines="0" w:line="360" w:lineRule="auto"/>
        <w:jc w:val="center"/>
        <w:rPr>
          <w:rFonts w:ascii="仿宋" w:hAnsi="仿宋" w:eastAsia="仿宋"/>
          <w:sz w:val="30"/>
          <w:szCs w:val="30"/>
        </w:rPr>
      </w:pPr>
      <w:r>
        <w:rPr>
          <w:rFonts w:hint="eastAsia" w:ascii="仿宋" w:hAnsi="仿宋" w:eastAsia="仿宋"/>
          <w:sz w:val="30"/>
          <w:szCs w:val="30"/>
        </w:rPr>
        <w:t>确认号：</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pPr>
        <w:pStyle w:val="22"/>
        <w:adjustRightInd w:val="0"/>
        <w:snapToGrid w:val="0"/>
        <w:spacing w:beforeLines="0" w:afterLines="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pPr>
        <w:pStyle w:val="22"/>
        <w:adjustRightInd w:val="0"/>
        <w:snapToGrid w:val="0"/>
        <w:spacing w:beforeLines="0" w:afterLines="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3"/>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vAlign w:val="center"/>
          </w:tcPr>
          <w:p>
            <w:pPr>
              <w:pStyle w:val="22"/>
              <w:snapToGrid w:val="0"/>
              <w:spacing w:beforeLines="0" w:afterLines="0" w:line="460" w:lineRule="exact"/>
              <w:jc w:val="center"/>
              <w:rPr>
                <w:rFonts w:ascii="仿宋" w:hAnsi="仿宋" w:eastAsia="仿宋"/>
                <w:sz w:val="28"/>
                <w:szCs w:val="30"/>
              </w:rPr>
            </w:pPr>
            <w:r>
              <w:rPr>
                <w:rFonts w:hint="eastAsia" w:ascii="仿宋" w:hAnsi="仿宋" w:eastAsia="仿宋" w:cs="微软雅黑"/>
                <w:sz w:val="28"/>
                <w:szCs w:val="30"/>
              </w:rPr>
              <w:t>项目名称</w:t>
            </w:r>
          </w:p>
        </w:tc>
        <w:tc>
          <w:tcPr>
            <w:tcW w:w="1980" w:type="dxa"/>
            <w:vAlign w:val="center"/>
          </w:tcPr>
          <w:p>
            <w:pPr>
              <w:pStyle w:val="22"/>
              <w:snapToGrid w:val="0"/>
              <w:spacing w:beforeLines="0" w:afterLines="0" w:line="460" w:lineRule="exact"/>
              <w:jc w:val="center"/>
              <w:rPr>
                <w:rFonts w:ascii="仿宋" w:hAnsi="仿宋" w:eastAsia="仿宋"/>
                <w:sz w:val="28"/>
                <w:szCs w:val="30"/>
              </w:rPr>
            </w:pPr>
            <w:r>
              <w:rPr>
                <w:rFonts w:hint="eastAsia" w:ascii="仿宋" w:hAnsi="仿宋" w:eastAsia="仿宋" w:cs="微软雅黑"/>
                <w:sz w:val="28"/>
                <w:szCs w:val="30"/>
              </w:rPr>
              <w:t>型号规格</w:t>
            </w:r>
          </w:p>
        </w:tc>
        <w:tc>
          <w:tcPr>
            <w:tcW w:w="1980" w:type="dxa"/>
            <w:vAlign w:val="center"/>
          </w:tcPr>
          <w:p>
            <w:pPr>
              <w:pStyle w:val="22"/>
              <w:snapToGrid w:val="0"/>
              <w:spacing w:beforeLines="0" w:afterLines="0" w:line="460" w:lineRule="exact"/>
              <w:jc w:val="center"/>
              <w:rPr>
                <w:rFonts w:ascii="仿宋" w:hAnsi="仿宋" w:eastAsia="仿宋"/>
                <w:sz w:val="28"/>
                <w:szCs w:val="30"/>
              </w:rPr>
            </w:pPr>
            <w:r>
              <w:rPr>
                <w:rFonts w:hint="eastAsia" w:ascii="仿宋" w:hAnsi="仿宋" w:eastAsia="仿宋" w:cs="微软雅黑"/>
                <w:sz w:val="28"/>
                <w:szCs w:val="30"/>
              </w:rPr>
              <w:t>配置要求</w:t>
            </w:r>
          </w:p>
        </w:tc>
        <w:tc>
          <w:tcPr>
            <w:tcW w:w="1260" w:type="dxa"/>
            <w:vAlign w:val="center"/>
          </w:tcPr>
          <w:p>
            <w:pPr>
              <w:pStyle w:val="22"/>
              <w:snapToGrid w:val="0"/>
              <w:spacing w:beforeLines="0" w:afterLines="0" w:line="460" w:lineRule="exact"/>
              <w:ind w:left="-108"/>
              <w:jc w:val="center"/>
              <w:rPr>
                <w:rFonts w:ascii="仿宋" w:hAnsi="仿宋" w:eastAsia="仿宋"/>
                <w:sz w:val="28"/>
                <w:szCs w:val="30"/>
              </w:rPr>
            </w:pPr>
            <w:r>
              <w:rPr>
                <w:rFonts w:hint="eastAsia" w:ascii="仿宋" w:hAnsi="仿宋" w:eastAsia="仿宋" w:cs="微软雅黑"/>
                <w:sz w:val="28"/>
                <w:szCs w:val="30"/>
              </w:rPr>
              <w:t>数量</w:t>
            </w:r>
          </w:p>
        </w:tc>
        <w:tc>
          <w:tcPr>
            <w:tcW w:w="1572" w:type="dxa"/>
            <w:vAlign w:val="center"/>
          </w:tcPr>
          <w:p>
            <w:pPr>
              <w:pStyle w:val="22"/>
              <w:snapToGrid w:val="0"/>
              <w:spacing w:beforeLines="0" w:afterLines="0" w:line="460" w:lineRule="exact"/>
              <w:ind w:left="-108"/>
              <w:jc w:val="center"/>
              <w:rPr>
                <w:rFonts w:ascii="仿宋" w:hAnsi="仿宋" w:eastAsia="仿宋"/>
                <w:sz w:val="28"/>
                <w:szCs w:val="30"/>
              </w:rPr>
            </w:pPr>
            <w:r>
              <w:rPr>
                <w:rFonts w:hint="eastAsia" w:ascii="仿宋" w:hAnsi="仿宋" w:eastAsia="仿宋" w:cs="微软雅黑"/>
                <w:sz w:val="28"/>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Pr>
          <w:p>
            <w:pPr>
              <w:spacing w:line="460" w:lineRule="exact"/>
              <w:ind w:firstLine="596" w:firstLineChars="213"/>
              <w:rPr>
                <w:rFonts w:ascii="仿宋" w:hAnsi="仿宋" w:eastAsia="仿宋"/>
                <w:sz w:val="28"/>
                <w:szCs w:val="30"/>
              </w:rPr>
            </w:pPr>
          </w:p>
        </w:tc>
        <w:tc>
          <w:tcPr>
            <w:tcW w:w="1980" w:type="dxa"/>
          </w:tcPr>
          <w:p>
            <w:pPr>
              <w:spacing w:line="460" w:lineRule="exact"/>
              <w:ind w:firstLine="596" w:firstLineChars="213"/>
              <w:rPr>
                <w:rFonts w:ascii="仿宋" w:hAnsi="仿宋" w:eastAsia="仿宋"/>
                <w:sz w:val="28"/>
                <w:szCs w:val="30"/>
              </w:rPr>
            </w:pPr>
          </w:p>
        </w:tc>
        <w:tc>
          <w:tcPr>
            <w:tcW w:w="1980" w:type="dxa"/>
          </w:tcPr>
          <w:p>
            <w:pPr>
              <w:spacing w:line="460" w:lineRule="exact"/>
              <w:ind w:firstLine="596" w:firstLineChars="213"/>
              <w:rPr>
                <w:rFonts w:ascii="仿宋" w:hAnsi="仿宋" w:eastAsia="仿宋"/>
                <w:sz w:val="28"/>
                <w:szCs w:val="30"/>
              </w:rPr>
            </w:pPr>
          </w:p>
        </w:tc>
        <w:tc>
          <w:tcPr>
            <w:tcW w:w="1260" w:type="dxa"/>
          </w:tcPr>
          <w:p>
            <w:pPr>
              <w:spacing w:line="460" w:lineRule="exact"/>
              <w:ind w:firstLine="596" w:firstLineChars="213"/>
              <w:rPr>
                <w:rFonts w:ascii="仿宋" w:hAnsi="仿宋" w:eastAsia="仿宋"/>
                <w:sz w:val="28"/>
                <w:szCs w:val="30"/>
              </w:rPr>
            </w:pPr>
          </w:p>
        </w:tc>
        <w:tc>
          <w:tcPr>
            <w:tcW w:w="1572" w:type="dxa"/>
          </w:tcPr>
          <w:p>
            <w:pPr>
              <w:pStyle w:val="132"/>
              <w:spacing w:after="120" w:line="460" w:lineRule="exact"/>
              <w:ind w:firstLine="596" w:firstLineChars="213"/>
              <w:rPr>
                <w:rFonts w:ascii="仿宋" w:hAnsi="仿宋" w:eastAsia="仿宋"/>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Pr>
          <w:p>
            <w:pPr>
              <w:pStyle w:val="22"/>
              <w:snapToGrid w:val="0"/>
              <w:spacing w:beforeLines="0" w:afterLines="0" w:line="460" w:lineRule="exact"/>
              <w:ind w:firstLine="596" w:firstLineChars="213"/>
              <w:jc w:val="center"/>
              <w:rPr>
                <w:rFonts w:ascii="仿宋" w:hAnsi="仿宋" w:eastAsia="仿宋"/>
                <w:sz w:val="28"/>
                <w:szCs w:val="30"/>
              </w:rPr>
            </w:pPr>
            <w:r>
              <w:rPr>
                <w:rFonts w:hint="eastAsia" w:ascii="仿宋" w:hAnsi="仿宋" w:eastAsia="仿宋" w:cs="微软雅黑"/>
                <w:sz w:val="28"/>
                <w:szCs w:val="30"/>
              </w:rPr>
              <w:t>合计</w:t>
            </w:r>
          </w:p>
        </w:tc>
        <w:tc>
          <w:tcPr>
            <w:tcW w:w="1260" w:type="dxa"/>
          </w:tcPr>
          <w:p>
            <w:pPr>
              <w:pStyle w:val="22"/>
              <w:snapToGrid w:val="0"/>
              <w:spacing w:beforeLines="0" w:afterLines="0" w:line="460" w:lineRule="exact"/>
              <w:ind w:firstLine="596" w:firstLineChars="213"/>
              <w:jc w:val="center"/>
              <w:rPr>
                <w:rFonts w:ascii="仿宋" w:hAnsi="仿宋" w:eastAsia="仿宋"/>
                <w:sz w:val="28"/>
                <w:szCs w:val="30"/>
              </w:rPr>
            </w:pPr>
          </w:p>
        </w:tc>
        <w:tc>
          <w:tcPr>
            <w:tcW w:w="1572" w:type="dxa"/>
          </w:tcPr>
          <w:p>
            <w:pPr>
              <w:pStyle w:val="132"/>
              <w:spacing w:after="120" w:line="460" w:lineRule="exact"/>
              <w:ind w:firstLine="596" w:firstLineChars="213"/>
              <w:rPr>
                <w:rFonts w:ascii="仿宋" w:hAnsi="仿宋" w:eastAsia="仿宋"/>
                <w:color w:val="auto"/>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Pr>
          <w:p>
            <w:pPr>
              <w:pStyle w:val="22"/>
              <w:snapToGrid w:val="0"/>
              <w:spacing w:beforeLines="0" w:afterLines="0" w:line="460" w:lineRule="exact"/>
              <w:rPr>
                <w:rFonts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pPr>
        <w:pStyle w:val="22"/>
        <w:snapToGrid w:val="0"/>
        <w:spacing w:beforeLines="0" w:afterLines="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pPr>
        <w:pStyle w:val="22"/>
        <w:adjustRightInd w:val="0"/>
        <w:snapToGrid w:val="0"/>
        <w:spacing w:beforeLines="0" w:afterLines="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pPr>
        <w:pStyle w:val="22"/>
        <w:adjustRightInd w:val="0"/>
        <w:snapToGrid w:val="0"/>
        <w:spacing w:beforeLines="0" w:afterLines="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54" w:name="质保期（年）"/>
      <w:r>
        <w:rPr>
          <w:rFonts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ascii="仿宋" w:hAnsi="仿宋" w:eastAsia="仿宋"/>
          <w:snapToGrid w:val="0"/>
          <w:kern w:val="0"/>
          <w:sz w:val="28"/>
          <w:szCs w:val="30"/>
          <w:u w:val="single"/>
        </w:rPr>
        <w:t>]</w:t>
      </w:r>
      <w:bookmarkEnd w:id="54"/>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55" w:name="质保金（元）"/>
      <w:r>
        <w:rPr>
          <w:rFonts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ascii="仿宋" w:hAnsi="仿宋" w:eastAsia="仿宋"/>
          <w:snapToGrid w:val="0"/>
          <w:kern w:val="0"/>
          <w:sz w:val="28"/>
          <w:szCs w:val="30"/>
          <w:u w:val="single"/>
        </w:rPr>
        <w:t>]</w:t>
      </w:r>
      <w:bookmarkEnd w:id="55"/>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56" w:name="退还时间（月）"/>
      <w:r>
        <w:rPr>
          <w:rFonts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ascii="仿宋" w:hAnsi="仿宋" w:eastAsia="仿宋"/>
          <w:snapToGrid w:val="0"/>
          <w:kern w:val="0"/>
          <w:sz w:val="28"/>
          <w:szCs w:val="30"/>
        </w:rPr>
        <w:t>]</w:t>
      </w:r>
      <w:bookmarkEnd w:id="56"/>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57" w:name="交货期"/>
      <w:r>
        <w:rPr>
          <w:rFonts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ascii="仿宋" w:hAnsi="仿宋" w:eastAsia="仿宋"/>
          <w:bCs/>
          <w:snapToGrid w:val="0"/>
          <w:kern w:val="0"/>
          <w:sz w:val="28"/>
          <w:szCs w:val="30"/>
        </w:rPr>
        <w:t>]</w:t>
      </w:r>
      <w:bookmarkEnd w:id="57"/>
    </w:p>
    <w:p>
      <w:pPr>
        <w:pStyle w:val="22"/>
        <w:adjustRightInd w:val="0"/>
        <w:snapToGrid w:val="0"/>
        <w:spacing w:beforeLines="0" w:afterLines="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58" w:name="交货方式"/>
      <w:r>
        <w:rPr>
          <w:rFonts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ascii="仿宋" w:hAnsi="仿宋" w:eastAsia="仿宋"/>
          <w:bCs/>
          <w:snapToGrid w:val="0"/>
          <w:kern w:val="0"/>
          <w:sz w:val="28"/>
          <w:szCs w:val="30"/>
        </w:rPr>
        <w:t>]</w:t>
      </w:r>
      <w:bookmarkEnd w:id="58"/>
    </w:p>
    <w:p>
      <w:pPr>
        <w:pStyle w:val="22"/>
        <w:adjustRightInd w:val="0"/>
        <w:snapToGrid w:val="0"/>
        <w:spacing w:beforeLines="0" w:afterLines="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59" w:name="交货地点"/>
      <w:r>
        <w:rPr>
          <w:rFonts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ascii="仿宋" w:hAnsi="仿宋" w:eastAsia="仿宋"/>
          <w:bCs/>
          <w:snapToGrid w:val="0"/>
          <w:kern w:val="0"/>
          <w:sz w:val="28"/>
          <w:szCs w:val="30"/>
        </w:rPr>
        <w:t>]</w:t>
      </w:r>
      <w:bookmarkEnd w:id="59"/>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pPr>
        <w:pStyle w:val="22"/>
        <w:adjustRightInd w:val="0"/>
        <w:snapToGrid w:val="0"/>
        <w:spacing w:beforeLines="0" w:afterLines="0" w:line="460" w:lineRule="exact"/>
        <w:ind w:firstLine="596" w:firstLineChars="213"/>
        <w:rPr>
          <w:rFonts w:hint="eastAsia" w:ascii="仿宋" w:hAnsi="仿宋" w:eastAsia="仿宋" w:cs="Malgun Gothic Semilight"/>
          <w:bCs/>
          <w:snapToGrid w:val="0"/>
          <w:kern w:val="0"/>
          <w:sz w:val="24"/>
          <w:szCs w:val="24"/>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w:t>
      </w:r>
    </w:p>
    <w:p>
      <w:pPr>
        <w:pStyle w:val="253"/>
        <w:numPr>
          <w:ilvl w:val="6"/>
          <w:numId w:val="0"/>
        </w:numPr>
        <w:rPr>
          <w:rFonts w:hint="eastAsia" w:ascii="仿宋" w:hAnsi="仿宋" w:eastAsia="仿宋" w:cs="Times New Roman"/>
          <w:bCs/>
          <w:snapToGrid w:val="0"/>
          <w:kern w:val="0"/>
          <w:sz w:val="28"/>
          <w:szCs w:val="30"/>
          <w:lang w:val="en-US" w:eastAsia="zh-CN" w:bidi="ar-SA"/>
        </w:rPr>
      </w:pPr>
      <w:r>
        <w:rPr>
          <w:rFonts w:hint="eastAsia"/>
          <w:lang w:val="en-US" w:eastAsia="zh-CN"/>
        </w:rPr>
        <w:t xml:space="preserve">     </w:t>
      </w:r>
      <w:r>
        <w:rPr>
          <w:rFonts w:hint="eastAsia" w:ascii="仿宋" w:hAnsi="仿宋" w:eastAsia="仿宋" w:cs="Times New Roman"/>
          <w:bCs/>
          <w:snapToGrid w:val="0"/>
          <w:kern w:val="0"/>
          <w:sz w:val="28"/>
          <w:szCs w:val="30"/>
          <w:lang w:val="en-US" w:eastAsia="zh-CN" w:bidi="ar-SA"/>
        </w:rPr>
        <w:t xml:space="preserve"> 本项目采用3次支付，即合同签订后支付70%，租用时间开始后支付25%，合同到期后支付5%。</w:t>
      </w:r>
    </w:p>
    <w:p>
      <w:pPr>
        <w:pStyle w:val="22"/>
        <w:adjustRightInd w:val="0"/>
        <w:snapToGrid w:val="0"/>
        <w:spacing w:beforeLines="0" w:afterLines="0" w:line="460" w:lineRule="exact"/>
        <w:ind w:firstLine="596" w:firstLineChars="213"/>
        <w:rPr>
          <w:rFonts w:hint="eastAsia" w:ascii="仿宋" w:hAnsi="仿宋" w:eastAsia="仿宋" w:cs="Times New Roman"/>
          <w:bCs/>
          <w:snapToGrid w:val="0"/>
          <w:kern w:val="0"/>
          <w:sz w:val="28"/>
          <w:szCs w:val="30"/>
          <w:lang w:val="en-US" w:eastAsia="zh-CN" w:bidi="ar-SA"/>
        </w:rPr>
      </w:pPr>
      <w:r>
        <w:rPr>
          <w:rFonts w:hint="eastAsia" w:ascii="仿宋" w:hAnsi="仿宋" w:eastAsia="仿宋" w:cs="Times New Roman"/>
          <w:bCs/>
          <w:snapToGrid w:val="0"/>
          <w:kern w:val="0"/>
          <w:sz w:val="28"/>
          <w:szCs w:val="30"/>
          <w:lang w:val="en-US" w:eastAsia="zh-CN" w:bidi="ar-SA"/>
        </w:rPr>
        <w:t xml:space="preserve"> 是否需要缴纳履约保证金：否</w:t>
      </w:r>
    </w:p>
    <w:p>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pPr>
        <w:pStyle w:val="22"/>
        <w:adjustRightInd w:val="0"/>
        <w:snapToGrid w:val="0"/>
        <w:spacing w:beforeLines="0" w:afterLines="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pPr>
        <w:pStyle w:val="22"/>
        <w:adjustRightInd w:val="0"/>
        <w:snapToGrid w:val="0"/>
        <w:spacing w:beforeLines="0" w:afterLines="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600"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pPr>
        <w:pStyle w:val="22"/>
        <w:adjustRightInd w:val="0"/>
        <w:snapToGrid w:val="0"/>
        <w:spacing w:beforeLines="0" w:afterLines="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pPr>
        <w:pStyle w:val="22"/>
        <w:adjustRightInd w:val="0"/>
        <w:snapToGrid w:val="0"/>
        <w:spacing w:beforeLines="0" w:afterLines="0" w:line="460" w:lineRule="exact"/>
        <w:rPr>
          <w:rFonts w:ascii="仿宋" w:hAnsi="仿宋" w:eastAsia="仿宋"/>
          <w:snapToGrid w:val="0"/>
          <w:kern w:val="0"/>
          <w:sz w:val="28"/>
          <w:szCs w:val="30"/>
        </w:rPr>
      </w:pPr>
    </w:p>
    <w:p>
      <w:pPr>
        <w:pStyle w:val="22"/>
        <w:adjustRightInd w:val="0"/>
        <w:snapToGrid w:val="0"/>
        <w:spacing w:beforeLines="0" w:afterLines="0" w:line="460" w:lineRule="exact"/>
        <w:ind w:left="1" w:firstLine="639" w:firstLineChars="213"/>
        <w:rPr>
          <w:rFonts w:ascii="仿宋" w:hAnsi="仿宋" w:eastAsia="仿宋"/>
          <w:snapToGrid w:val="0"/>
          <w:kern w:val="0"/>
          <w:sz w:val="30"/>
          <w:szCs w:val="30"/>
        </w:rPr>
      </w:pPr>
    </w:p>
    <w:p>
      <w:pPr>
        <w:pStyle w:val="40"/>
        <w:rPr>
          <w:snapToGrid w:val="0"/>
        </w:rPr>
      </w:pPr>
      <w:bookmarkStart w:id="60" w:name="_Toc510136962"/>
    </w:p>
    <w:p/>
    <w:p>
      <w:pPr>
        <w:pStyle w:val="40"/>
        <w:rPr>
          <w:snapToGrid w:val="0"/>
        </w:rPr>
      </w:pPr>
    </w:p>
    <w:p>
      <w:pPr>
        <w:pStyle w:val="40"/>
        <w:jc w:val="both"/>
        <w:rPr>
          <w:snapToGrid w:val="0"/>
        </w:rPr>
      </w:pPr>
    </w:p>
    <w:p/>
    <w:p/>
    <w:p/>
    <w:p/>
    <w:p/>
    <w:p/>
    <w:p/>
    <w:p/>
    <w:p>
      <w:pPr>
        <w:pStyle w:val="40"/>
        <w:jc w:val="both"/>
      </w:pPr>
      <w:r>
        <w:rPr>
          <w:rFonts w:hint="eastAsia"/>
          <w:snapToGrid w:val="0"/>
          <w:lang w:val="en-US" w:eastAsia="zh-CN"/>
        </w:rPr>
        <w:t xml:space="preserve">          </w:t>
      </w:r>
      <w:r>
        <w:rPr>
          <w:rFonts w:hint="eastAsia"/>
          <w:snapToGrid w:val="0"/>
        </w:rPr>
        <w:t>第五章</w:t>
      </w:r>
      <w:r>
        <w:rPr>
          <w:rFonts w:hint="eastAsia"/>
          <w:snapToGrid w:val="0"/>
          <w:lang w:val="en-US" w:eastAsia="zh-CN"/>
        </w:rPr>
        <w:t xml:space="preserve">   </w:t>
      </w:r>
      <w:r>
        <w:rPr>
          <w:rFonts w:hint="eastAsia"/>
        </w:rPr>
        <w:t>单一来源采购响应文件格式附件</w:t>
      </w:r>
      <w:bookmarkEnd w:id="60"/>
      <w:r>
        <w:rPr>
          <w:rFonts w:ascii="仿宋" w:hAnsi="仿宋" w:eastAsia="仿宋"/>
          <w:b w:val="0"/>
          <w:sz w:val="30"/>
          <w:szCs w:val="30"/>
        </w:rPr>
        <w:br w:type="page"/>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bookmarkStart w:id="61" w:name="PO_15528_PM001_2"/>
      <w:r>
        <w:rPr>
          <w:rFonts w:hint="eastAsia" w:ascii="仿宋" w:hAnsi="仿宋" w:eastAsia="仿宋"/>
          <w:sz w:val="36"/>
          <w:szCs w:val="36"/>
          <w:lang w:eastAsia="zh-CN"/>
        </w:rPr>
        <w:t>ZZCG2022T-DY-108</w:t>
      </w:r>
      <w:bookmarkEnd w:id="6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15"/>
          <w:szCs w:val="15"/>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0"/>
          <w:szCs w:val="30"/>
        </w:rPr>
      </w:pP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响应方全称：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时间：</w:t>
      </w:r>
    </w:p>
    <w:p>
      <w:pPr>
        <w:ind w:right="-110"/>
        <w:jc w:val="center"/>
        <w:rPr>
          <w:rFonts w:ascii="仿宋" w:hAnsi="仿宋" w:eastAsia="仿宋"/>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sz w:val="30"/>
          <w:szCs w:val="30"/>
        </w:rPr>
      </w:pPr>
    </w:p>
    <w:p>
      <w:pPr>
        <w:snapToGrid w:val="0"/>
        <w:spacing w:before="50" w:after="50"/>
        <w:ind w:firstLine="301" w:firstLineChars="100"/>
        <w:rPr>
          <w:rFonts w:ascii="仿宋" w:hAnsi="仿宋" w:eastAsia="仿宋"/>
          <w:b/>
          <w:bCs/>
          <w:color w:val="FF0000"/>
          <w:sz w:val="36"/>
          <w:szCs w:val="36"/>
        </w:rPr>
      </w:pPr>
      <w:r>
        <w:rPr>
          <w:rFonts w:ascii="仿宋" w:hAnsi="仿宋" w:eastAsia="仿宋"/>
          <w:b/>
          <w:sz w:val="30"/>
          <w:szCs w:val="30"/>
        </w:rPr>
        <w:t>1</w:t>
      </w:r>
      <w:r>
        <w:rPr>
          <w:rFonts w:hint="eastAsia" w:ascii="仿宋" w:hAnsi="仿宋" w:eastAsia="仿宋"/>
          <w:b/>
          <w:sz w:val="30"/>
          <w:szCs w:val="30"/>
        </w:rPr>
        <w:t>、资质文件目录</w:t>
      </w:r>
    </w:p>
    <w:p>
      <w:pPr>
        <w:snapToGrid w:val="0"/>
        <w:spacing w:line="460" w:lineRule="exact"/>
        <w:ind w:firstLine="588" w:firstLineChars="196"/>
        <w:jc w:val="left"/>
        <w:rPr>
          <w:rFonts w:ascii="仿宋" w:hAnsi="仿宋" w:eastAsia="仿宋"/>
          <w:color w:val="auto"/>
          <w:sz w:val="30"/>
          <w:szCs w:val="30"/>
        </w:rPr>
      </w:pPr>
      <w:r>
        <w:rPr>
          <w:rFonts w:hint="eastAsia" w:ascii="宋体" w:hAnsi="宋体" w:cs="宋体"/>
          <w:color w:val="auto"/>
          <w:sz w:val="30"/>
          <w:szCs w:val="30"/>
        </w:rPr>
        <w:t>（</w:t>
      </w:r>
      <w:r>
        <w:rPr>
          <w:rFonts w:hint="eastAsia" w:ascii="仿宋" w:hAnsi="仿宋" w:eastAsia="仿宋"/>
          <w:color w:val="auto"/>
          <w:sz w:val="30"/>
          <w:szCs w:val="30"/>
        </w:rPr>
        <w:t>1）声明书 (格式见附件1，含重大违法记录声明)；</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（2）法定代表人授权委托书(格式见附件2)；</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（4）联合响应协议书（若需要见附件3）;</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（5）联合响应授权委托书（若需要见附件4）;</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（6）提供采购公告中符合单一来源响应方特定条件要求的有效的其他资质复印件并加盖公司公章及需要说明的资料。</w:t>
      </w:r>
    </w:p>
    <w:p>
      <w:pPr>
        <w:snapToGrid w:val="0"/>
        <w:spacing w:before="50" w:after="120" w:afterLines="50"/>
        <w:jc w:val="left"/>
        <w:rPr>
          <w:rFonts w:ascii="仿宋" w:hAnsi="仿宋" w:eastAsia="仿宋"/>
          <w:color w:val="auto"/>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ind w:right="-110"/>
        <w:jc w:val="both"/>
        <w:rPr>
          <w:rFonts w:ascii="仿宋" w:hAnsi="仿宋" w:eastAsia="仿宋"/>
          <w:spacing w:val="40"/>
          <w:sz w:val="52"/>
          <w:szCs w:val="52"/>
        </w:rPr>
      </w:pPr>
      <w:r>
        <w:rPr>
          <w:rFonts w:hint="eastAsia" w:ascii="仿宋" w:hAnsi="仿宋" w:eastAsia="仿宋"/>
          <w:spacing w:val="40"/>
          <w:sz w:val="52"/>
          <w:szCs w:val="52"/>
          <w:lang w:val="en-US" w:eastAsia="zh-CN"/>
        </w:rPr>
        <w:t xml:space="preserve">         </w:t>
      </w:r>
      <w:r>
        <w:rPr>
          <w:rFonts w:hint="eastAsia" w:ascii="仿宋" w:hAnsi="仿宋" w:eastAsia="仿宋"/>
          <w:spacing w:val="40"/>
          <w:sz w:val="52"/>
          <w:szCs w:val="52"/>
        </w:rPr>
        <w:t>项目名称</w:t>
      </w:r>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[项目采购-项目编号_4]</w:t>
      </w:r>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2.技术及商务文件目录：</w:t>
      </w:r>
    </w:p>
    <w:p>
      <w:pPr>
        <w:snapToGrid w:val="0"/>
        <w:spacing w:line="480" w:lineRule="exact"/>
        <w:ind w:firstLine="588" w:firstLineChars="196"/>
        <w:jc w:val="left"/>
        <w:rPr>
          <w:rFonts w:ascii="仿宋" w:hAnsi="仿宋" w:eastAsia="仿宋"/>
          <w:kern w:val="0"/>
          <w:sz w:val="30"/>
          <w:szCs w:val="30"/>
        </w:rPr>
      </w:pPr>
      <w:r>
        <w:rPr>
          <w:rFonts w:hint="eastAsia" w:ascii="仿宋" w:hAnsi="仿宋" w:eastAsia="仿宋"/>
          <w:kern w:val="0"/>
          <w:sz w:val="30"/>
          <w:szCs w:val="30"/>
        </w:rPr>
        <w:t>（1）技术响应表（见附件5）；</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（2）项目总体解决方案（可包含且不限于对项目总体要求的理解、项目总体架构及技术解决方案等）；</w:t>
      </w:r>
    </w:p>
    <w:p>
      <w:pPr>
        <w:snapToGrid w:val="0"/>
        <w:spacing w:line="480" w:lineRule="exact"/>
        <w:ind w:firstLine="588" w:firstLineChars="196"/>
        <w:jc w:val="left"/>
        <w:rPr>
          <w:rFonts w:ascii="仿宋" w:hAnsi="仿宋" w:eastAsia="仿宋"/>
          <w:color w:val="auto"/>
          <w:sz w:val="30"/>
          <w:szCs w:val="30"/>
        </w:rPr>
      </w:pPr>
      <w:r>
        <w:rPr>
          <w:rFonts w:hint="eastAsia" w:ascii="仿宋" w:hAnsi="仿宋" w:eastAsia="仿宋"/>
          <w:sz w:val="30"/>
          <w:szCs w:val="30"/>
        </w:rPr>
        <w:t>（3）项目实</w:t>
      </w:r>
      <w:r>
        <w:rPr>
          <w:rFonts w:hint="eastAsia" w:ascii="仿宋" w:hAnsi="仿宋" w:eastAsia="仿宋"/>
          <w:color w:val="auto"/>
          <w:sz w:val="30"/>
          <w:szCs w:val="30"/>
        </w:rPr>
        <w:t>施计划（可包含且不限于保证工期的施工组织方案及人力资源安排、项目组人员清单《</w:t>
      </w:r>
      <w:r>
        <w:rPr>
          <w:rFonts w:hint="eastAsia" w:ascii="仿宋" w:hAnsi="仿宋" w:eastAsia="仿宋"/>
          <w:color w:val="auto"/>
          <w:kern w:val="0"/>
          <w:sz w:val="30"/>
          <w:szCs w:val="30"/>
        </w:rPr>
        <w:t>项目实施人员一览表</w:t>
      </w:r>
      <w:r>
        <w:rPr>
          <w:rFonts w:hint="eastAsia" w:ascii="仿宋" w:hAnsi="仿宋" w:eastAsia="仿宋"/>
          <w:color w:val="auto"/>
          <w:sz w:val="30"/>
          <w:szCs w:val="30"/>
        </w:rPr>
        <w:t>》（</w:t>
      </w:r>
      <w:r>
        <w:rPr>
          <w:rFonts w:hint="eastAsia" w:ascii="仿宋" w:hAnsi="仿宋" w:eastAsia="仿宋"/>
          <w:color w:val="auto"/>
          <w:kern w:val="0"/>
          <w:sz w:val="30"/>
          <w:szCs w:val="30"/>
        </w:rPr>
        <w:t>附件6）</w:t>
      </w:r>
      <w:r>
        <w:rPr>
          <w:rFonts w:hint="eastAsia" w:ascii="仿宋" w:hAnsi="仿宋" w:eastAsia="仿宋"/>
          <w:color w:val="auto"/>
          <w:sz w:val="30"/>
          <w:szCs w:val="30"/>
        </w:rPr>
        <w:t>）；</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（4）列入政府采购节能环保清单的证明资料（若有）；</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（5）商务响应表（附件7）；</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（6）售后服务计划（可包含且不限于对用户故障的响应、处理、定期巡检、备品备件、常用耗材提供、驻点人员情况等）；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（7）技术培训计划（若有）；</w:t>
      </w:r>
    </w:p>
    <w:p>
      <w:pPr>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（8）响应方履约能力（可包含且不限于技术力量情况、响应方各项能力证书）；</w:t>
      </w:r>
    </w:p>
    <w:p>
      <w:pPr>
        <w:snapToGrid w:val="0"/>
        <w:spacing w:line="460" w:lineRule="exact"/>
        <w:ind w:firstLine="588" w:firstLineChars="196"/>
        <w:jc w:val="left"/>
        <w:rPr>
          <w:rFonts w:ascii="仿宋" w:hAnsi="仿宋" w:eastAsia="仿宋"/>
          <w:color w:val="auto"/>
          <w:sz w:val="30"/>
          <w:szCs w:val="30"/>
        </w:rPr>
      </w:pPr>
      <w:r>
        <w:rPr>
          <w:rFonts w:hint="eastAsia" w:ascii="仿宋" w:hAnsi="仿宋" w:eastAsia="仿宋"/>
          <w:color w:val="auto"/>
          <w:sz w:val="30"/>
          <w:szCs w:val="30"/>
        </w:rPr>
        <w:t>（9）案例的业绩证明（响应方同类项目实施情况一览表（附件8）、合同复印件）；</w:t>
      </w:r>
    </w:p>
    <w:p>
      <w:pPr>
        <w:tabs>
          <w:tab w:val="left" w:pos="6540"/>
        </w:tabs>
        <w:snapToGrid w:val="0"/>
        <w:spacing w:line="460" w:lineRule="exact"/>
        <w:ind w:firstLine="600" w:firstLineChars="200"/>
        <w:jc w:val="left"/>
        <w:rPr>
          <w:rFonts w:ascii="仿宋" w:hAnsi="仿宋" w:eastAsia="仿宋"/>
          <w:color w:val="auto"/>
          <w:sz w:val="30"/>
          <w:szCs w:val="30"/>
        </w:rPr>
      </w:pPr>
      <w:r>
        <w:rPr>
          <w:rFonts w:hint="eastAsia" w:ascii="仿宋" w:hAnsi="仿宋" w:eastAsia="仿宋"/>
          <w:color w:val="auto"/>
          <w:sz w:val="30"/>
          <w:szCs w:val="30"/>
        </w:rPr>
        <w:t>（10）响应方认为需要的其他文件资料。</w:t>
      </w:r>
      <w:r>
        <w:rPr>
          <w:rFonts w:ascii="仿宋" w:hAnsi="仿宋" w:eastAsia="仿宋"/>
          <w:color w:val="auto"/>
          <w:sz w:val="30"/>
          <w:szCs w:val="30"/>
        </w:rPr>
        <w:tab/>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b/>
          <w:sz w:val="30"/>
          <w:szCs w:val="30"/>
        </w:rPr>
      </w:pPr>
      <w:r>
        <w:rPr>
          <w:rFonts w:hint="eastAsia" w:ascii="仿宋" w:hAnsi="仿宋" w:eastAsia="仿宋"/>
          <w:b/>
          <w:sz w:val="30"/>
          <w:szCs w:val="30"/>
        </w:rPr>
        <w:t xml:space="preserve">                     </w:t>
      </w:r>
    </w:p>
    <w:p>
      <w:pPr>
        <w:ind w:right="-110"/>
        <w:jc w:val="both"/>
        <w:rPr>
          <w:rFonts w:ascii="仿宋" w:hAnsi="仿宋" w:eastAsia="仿宋"/>
          <w:spacing w:val="40"/>
          <w:sz w:val="52"/>
          <w:szCs w:val="52"/>
        </w:rPr>
      </w:pPr>
      <w:r>
        <w:rPr>
          <w:rFonts w:hint="eastAsia" w:ascii="仿宋" w:hAnsi="仿宋" w:eastAsia="仿宋"/>
          <w:spacing w:val="40"/>
          <w:sz w:val="52"/>
          <w:szCs w:val="52"/>
          <w:lang w:val="en-US" w:eastAsia="zh-CN"/>
        </w:rPr>
        <w:t xml:space="preserve">        </w:t>
      </w: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ascii="仿宋" w:hAnsi="仿宋" w:eastAsia="仿宋"/>
          <w:sz w:val="36"/>
          <w:szCs w:val="36"/>
        </w:rPr>
        <w:t xml:space="preserve"> </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单一来源响应方全称：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pacing w:line="600" w:lineRule="exact"/>
        <w:ind w:right="532"/>
        <w:rPr>
          <w:rFonts w:ascii="仿宋" w:hAnsi="仿宋" w:eastAsia="仿宋"/>
          <w:sz w:val="30"/>
          <w:szCs w:val="30"/>
        </w:rPr>
      </w:pPr>
    </w:p>
    <w:p>
      <w:pPr>
        <w:spacing w:line="600" w:lineRule="exact"/>
        <w:ind w:right="-108" w:firstLine="720" w:firstLineChars="200"/>
        <w:rPr>
          <w:rFonts w:ascii="仿宋" w:hAnsi="仿宋" w:eastAsia="仿宋"/>
          <w:sz w:val="36"/>
          <w:szCs w:val="36"/>
        </w:rPr>
      </w:pPr>
    </w:p>
    <w:p>
      <w:pPr>
        <w:spacing w:line="600" w:lineRule="exact"/>
        <w:ind w:right="532" w:firstLine="600" w:firstLineChars="200"/>
        <w:rPr>
          <w:rFonts w:ascii="仿宋" w:hAnsi="仿宋" w:eastAsia="仿宋"/>
          <w:sz w:val="30"/>
          <w:szCs w:val="30"/>
        </w:rPr>
      </w:pPr>
    </w:p>
    <w:p>
      <w:pPr>
        <w:tabs>
          <w:tab w:val="left" w:pos="6540"/>
        </w:tabs>
        <w:snapToGrid w:val="0"/>
        <w:spacing w:line="460" w:lineRule="exact"/>
        <w:ind w:firstLine="602" w:firstLineChars="200"/>
        <w:jc w:val="left"/>
        <w:rPr>
          <w:rFonts w:ascii="仿宋" w:hAnsi="仿宋" w:eastAsia="仿宋"/>
          <w:b/>
          <w:sz w:val="30"/>
          <w:szCs w:val="30"/>
        </w:rPr>
      </w:pPr>
    </w:p>
    <w:p>
      <w:pPr>
        <w:tabs>
          <w:tab w:val="left" w:pos="6540"/>
        </w:tabs>
        <w:snapToGrid w:val="0"/>
        <w:spacing w:line="460" w:lineRule="exact"/>
        <w:ind w:firstLine="602" w:firstLineChars="200"/>
        <w:jc w:val="left"/>
        <w:rPr>
          <w:rFonts w:hint="eastAsia" w:ascii="仿宋" w:hAnsi="仿宋" w:eastAsia="仿宋"/>
          <w:b/>
          <w:sz w:val="30"/>
          <w:szCs w:val="30"/>
        </w:rPr>
      </w:pPr>
    </w:p>
    <w:p>
      <w:pPr>
        <w:tabs>
          <w:tab w:val="left" w:pos="6540"/>
        </w:tabs>
        <w:snapToGrid w:val="0"/>
        <w:spacing w:line="460" w:lineRule="exact"/>
        <w:ind w:firstLine="602" w:firstLineChars="200"/>
        <w:jc w:val="left"/>
        <w:rPr>
          <w:rFonts w:hint="eastAsia" w:ascii="仿宋" w:hAnsi="仿宋" w:eastAsia="仿宋"/>
          <w:b/>
          <w:sz w:val="30"/>
          <w:szCs w:val="30"/>
        </w:rPr>
      </w:pPr>
    </w:p>
    <w:p>
      <w:pPr>
        <w:tabs>
          <w:tab w:val="left" w:pos="6540"/>
        </w:tabs>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3、报价文件目录</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（1）投标报价明细表（附件9）；</w:t>
      </w:r>
    </w:p>
    <w:p>
      <w:pPr>
        <w:pStyle w:val="24"/>
        <w:snapToGrid w:val="0"/>
        <w:spacing w:line="460" w:lineRule="exact"/>
        <w:ind w:left="0" w:leftChars="0"/>
        <w:rPr>
          <w:rFonts w:ascii="仿宋" w:hAnsi="仿宋" w:eastAsia="仿宋"/>
          <w:sz w:val="30"/>
          <w:szCs w:val="30"/>
        </w:rPr>
      </w:pPr>
      <w:r>
        <w:rPr>
          <w:rFonts w:hint="eastAsia" w:ascii="仿宋" w:hAnsi="仿宋" w:eastAsia="仿宋"/>
          <w:sz w:val="30"/>
          <w:szCs w:val="30"/>
        </w:rPr>
        <w:t>（2）响应方针对报价需要说明的其他文件和说明（格式自拟）；</w:t>
      </w:r>
    </w:p>
    <w:p>
      <w:pPr>
        <w:pStyle w:val="24"/>
        <w:snapToGrid w:val="0"/>
        <w:spacing w:line="460" w:lineRule="exact"/>
        <w:ind w:left="0" w:leftChars="0"/>
        <w:rPr>
          <w:rFonts w:ascii="仿宋" w:hAnsi="仿宋" w:eastAsia="仿宋"/>
        </w:rPr>
      </w:pPr>
      <w:r>
        <w:rPr>
          <w:rFonts w:hint="eastAsia" w:ascii="仿宋" w:hAnsi="仿宋" w:eastAsia="仿宋"/>
          <w:sz w:val="30"/>
          <w:szCs w:val="30"/>
        </w:rPr>
        <w:t>（3）中小企业声明函（见附件10）；</w:t>
      </w:r>
    </w:p>
    <w:p>
      <w:pPr>
        <w:pStyle w:val="37"/>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（4）残疾人福利企业声明函（见附件11）。</w:t>
      </w:r>
    </w:p>
    <w:p/>
    <w:p>
      <w:pPr>
        <w:ind w:right="-110"/>
        <w:jc w:val="center"/>
        <w:rPr>
          <w:rFonts w:ascii="仿宋" w:hAnsi="仿宋" w:eastAsia="仿宋"/>
          <w:spacing w:val="40"/>
          <w:sz w:val="52"/>
          <w:szCs w:val="52"/>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pacing w:line="600" w:lineRule="exact"/>
        <w:ind w:right="-108" w:firstLine="720" w:firstLineChars="200"/>
        <w:rPr>
          <w:rFonts w:ascii="仿宋" w:hAnsi="仿宋" w:eastAsia="仿宋"/>
          <w:sz w:val="36"/>
          <w:szCs w:val="36"/>
        </w:rPr>
      </w:pPr>
    </w:p>
    <w:p>
      <w:pPr>
        <w:snapToGrid w:val="0"/>
        <w:spacing w:before="120" w:beforeLines="50" w:after="50"/>
        <w:rPr>
          <w:rFonts w:ascii="仿宋" w:hAnsi="仿宋" w:eastAsia="仿宋"/>
          <w:sz w:val="36"/>
          <w:szCs w:val="36"/>
        </w:rPr>
      </w:pPr>
    </w:p>
    <w:p>
      <w:pPr>
        <w:snapToGrid w:val="0"/>
        <w:spacing w:before="120" w:beforeLines="50" w:after="50"/>
        <w:rPr>
          <w:rFonts w:ascii="仿宋" w:hAnsi="仿宋" w:eastAsia="仿宋"/>
          <w:sz w:val="30"/>
          <w:szCs w:val="30"/>
        </w:rPr>
      </w:pPr>
      <w:r>
        <w:rPr>
          <w:rFonts w:hint="eastAsia" w:ascii="仿宋" w:hAnsi="仿宋" w:eastAsia="仿宋"/>
          <w:b/>
          <w:sz w:val="30"/>
          <w:szCs w:val="30"/>
        </w:rPr>
        <w:t xml:space="preserve">       </w:t>
      </w:r>
      <w:r>
        <w:rPr>
          <w:rFonts w:hint="eastAsia" w:ascii="仿宋" w:hAnsi="仿宋" w:eastAsia="仿宋"/>
          <w:sz w:val="30"/>
          <w:szCs w:val="30"/>
        </w:rPr>
        <w:t>附件1：</w:t>
      </w:r>
    </w:p>
    <w:p>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声明书</w:t>
      </w:r>
    </w:p>
    <w:p>
      <w:pPr>
        <w:snapToGrid w:val="0"/>
        <w:spacing w:before="120" w:beforeLines="50" w:after="50" w:line="44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u w:val="single"/>
        </w:rPr>
        <w:t>（单一来源响应方名称）</w:t>
      </w:r>
      <w:r>
        <w:rPr>
          <w:rFonts w:hint="eastAsia" w:ascii="仿宋" w:hAnsi="仿宋" w:eastAsia="仿宋"/>
          <w:sz w:val="30"/>
          <w:szCs w:val="30"/>
        </w:rPr>
        <w:t>系中华人民共和国合法企业，经营地址。</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（采购项目名称）（编号为[项目采购-项目编号</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的投标，为此，我方就本次投标有关事项郑重声明如下：</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1.我方已详细审查全部采购文件，同意采购文件的各项要求，包括疫情期间采取的各项应急开标措施。</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2.我方向贵方提交的所有响应文件、资料都是准确的和真实的。</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3.若中标，我方将按采购文件规定履行合同责任和义务。</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5.响应文件自开标日起有效期为90天。</w:t>
      </w:r>
    </w:p>
    <w:p>
      <w:pPr>
        <w:snapToGrid w:val="0"/>
        <w:spacing w:line="44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4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4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40" w:lineRule="exact"/>
        <w:ind w:firstLine="150" w:firstLineChars="50"/>
        <w:rPr>
          <w:rFonts w:ascii="仿宋" w:hAnsi="仿宋" w:eastAsia="仿宋"/>
          <w:sz w:val="30"/>
          <w:szCs w:val="30"/>
        </w:rPr>
      </w:pPr>
      <w:r>
        <w:rPr>
          <w:rFonts w:hint="eastAsia" w:ascii="仿宋" w:hAnsi="仿宋" w:eastAsia="仿宋"/>
          <w:sz w:val="30"/>
          <w:szCs w:val="30"/>
        </w:rPr>
        <w:t>单一来源响应方全称（公章）：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我（姓名）系（单一来源响应方名称）的法定代表人，现授权委托本单位在职职工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单一来源响应方全称（公章）：         日  期：</w:t>
      </w:r>
    </w:p>
    <w:p>
      <w:pPr>
        <w:tabs>
          <w:tab w:val="left" w:pos="606"/>
        </w:tabs>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tabs>
          <w:tab w:val="left" w:pos="606"/>
        </w:tabs>
        <w:rPr>
          <w:rFonts w:ascii="宋体" w:hAnsi="宋体" w:cs="宋体"/>
          <w:spacing w:val="20"/>
          <w:sz w:val="30"/>
          <w:szCs w:val="30"/>
        </w:rPr>
      </w:pPr>
      <w:r>
        <w:rPr>
          <w:rFonts w:hint="eastAsia" w:ascii="宋体" w:hAnsi="宋体" w:cs="宋体"/>
          <w:sz w:val="30"/>
          <w:szCs w:val="30"/>
        </w:rPr>
        <w:t>附件3：</w:t>
      </w:r>
    </w:p>
    <w:p>
      <w:pPr>
        <w:pStyle w:val="11"/>
        <w:overflowPunct w:val="0"/>
        <w:spacing w:line="360" w:lineRule="auto"/>
        <w:ind w:firstLine="0"/>
        <w:jc w:val="center"/>
        <w:rPr>
          <w:rFonts w:ascii="宋体" w:hAnsi="宋体" w:cs="宋体"/>
          <w:b/>
          <w:spacing w:val="40"/>
          <w:kern w:val="0"/>
          <w:sz w:val="30"/>
          <w:szCs w:val="30"/>
        </w:rPr>
      </w:pPr>
      <w:r>
        <w:rPr>
          <w:rFonts w:hint="eastAsia" w:ascii="宋体" w:hAnsi="宋体" w:cs="宋体"/>
          <w:b/>
          <w:spacing w:val="40"/>
          <w:kern w:val="0"/>
          <w:sz w:val="30"/>
          <w:szCs w:val="30"/>
        </w:rPr>
        <w:t>联合响应协议书</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甲方：</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（如果有的话，可按甲、乙、丙、丁…序列增加）</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各方经协商，就响应             组织实施的编号为           号的采购活动联合进行采购之事宜，达成如下协议：</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一、各方一致决定，以           为主办人进行采购，并按照竞争性磋商文件的规定分别提交资格文件。</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三、联合响应其余各方保证对主办人为响应本次采购而提供的产品和服务提供全部质量保证及售后服务支持。</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四、本次联合响应中，甲方承担的工作和义务为:</w:t>
      </w:r>
    </w:p>
    <w:p>
      <w:pPr>
        <w:pStyle w:val="11"/>
        <w:overflowPunct w:val="0"/>
        <w:spacing w:line="460" w:lineRule="exact"/>
        <w:ind w:firstLine="642" w:firstLineChars="214"/>
        <w:rPr>
          <w:rFonts w:ascii="宋体" w:hAnsi="宋体" w:cs="宋体"/>
          <w:sz w:val="30"/>
          <w:szCs w:val="30"/>
        </w:rPr>
      </w:pP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乙方承担的工作和义务为：</w:t>
      </w:r>
    </w:p>
    <w:p>
      <w:pPr>
        <w:pStyle w:val="11"/>
        <w:overflowPunct w:val="0"/>
        <w:spacing w:line="460" w:lineRule="exact"/>
        <w:ind w:firstLine="642" w:firstLineChars="214"/>
        <w:rPr>
          <w:rFonts w:ascii="宋体" w:hAnsi="宋体" w:cs="宋体"/>
          <w:sz w:val="30"/>
          <w:szCs w:val="30"/>
        </w:rPr>
      </w:pP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五、有关本次联合响应的其他事宜：</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六、本协议提交磋商方后，联合响应各方不得以任何形式对上述实质内容进行修改或撤销。</w:t>
      </w:r>
    </w:p>
    <w:p>
      <w:pPr>
        <w:pStyle w:val="11"/>
        <w:overflowPunct w:val="0"/>
        <w:spacing w:line="460" w:lineRule="exact"/>
        <w:ind w:firstLine="642" w:firstLineChars="214"/>
        <w:rPr>
          <w:rFonts w:ascii="宋体" w:hAnsi="宋体" w:cs="宋体"/>
          <w:sz w:val="30"/>
          <w:szCs w:val="30"/>
        </w:rPr>
      </w:pPr>
      <w:r>
        <w:rPr>
          <w:rFonts w:hint="eastAsia" w:ascii="宋体" w:hAnsi="宋体" w:cs="宋体"/>
          <w:sz w:val="30"/>
          <w:szCs w:val="30"/>
        </w:rPr>
        <w:t>七、本协议签约各方各持一份，并作为竞争磋商文件的一部分。</w:t>
      </w:r>
    </w:p>
    <w:tbl>
      <w:tblPr>
        <w:tblStyle w:val="4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1"/>
              <w:overflowPunct w:val="0"/>
              <w:spacing w:line="460" w:lineRule="exact"/>
              <w:ind w:firstLine="0"/>
              <w:rPr>
                <w:rFonts w:ascii="宋体" w:hAnsi="宋体" w:cs="宋体"/>
                <w:sz w:val="30"/>
                <w:szCs w:val="30"/>
              </w:rPr>
            </w:pPr>
            <w:r>
              <w:rPr>
                <w:rFonts w:hint="eastAsia" w:ascii="宋体" w:hAnsi="宋体" w:cs="宋体"/>
                <w:sz w:val="30"/>
                <w:szCs w:val="30"/>
              </w:rPr>
              <w:t>甲方单位：       （公章）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pPr>
              <w:pStyle w:val="11"/>
              <w:overflowPunct w:val="0"/>
              <w:spacing w:line="460" w:lineRule="exact"/>
              <w:ind w:firstLine="0"/>
              <w:rPr>
                <w:rFonts w:ascii="宋体" w:hAnsi="宋体" w:cs="宋体"/>
                <w:sz w:val="30"/>
                <w:szCs w:val="30"/>
              </w:rPr>
            </w:pPr>
            <w:r>
              <w:rPr>
                <w:rFonts w:hint="eastAsia" w:ascii="宋体" w:hAnsi="宋体" w:cs="宋体"/>
                <w:sz w:val="30"/>
                <w:szCs w:val="30"/>
              </w:rPr>
              <w:t>乙方单位：       （公章）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pStyle w:val="11"/>
        <w:overflowPunct w:val="0"/>
        <w:spacing w:line="460" w:lineRule="exact"/>
        <w:ind w:firstLine="0"/>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附件4：</w:t>
      </w:r>
    </w:p>
    <w:p>
      <w:pPr>
        <w:pStyle w:val="11"/>
        <w:overflowPunct w:val="0"/>
        <w:spacing w:line="460" w:lineRule="exact"/>
        <w:jc w:val="center"/>
        <w:rPr>
          <w:rFonts w:ascii="宋体" w:hAnsi="宋体" w:cs="宋体"/>
          <w:b/>
          <w:sz w:val="30"/>
          <w:szCs w:val="30"/>
        </w:rPr>
      </w:pPr>
      <w:r>
        <w:rPr>
          <w:rFonts w:hint="eastAsia" w:ascii="宋体" w:hAnsi="宋体" w:cs="宋体"/>
          <w:b/>
          <w:sz w:val="30"/>
          <w:szCs w:val="30"/>
        </w:rPr>
        <w:t>联合响应授权委托书</w:t>
      </w:r>
    </w:p>
    <w:p>
      <w:pPr>
        <w:pStyle w:val="11"/>
        <w:overflowPunct w:val="0"/>
        <w:spacing w:line="460" w:lineRule="exact"/>
        <w:rPr>
          <w:rFonts w:ascii="宋体" w:hAnsi="宋体" w:cs="宋体"/>
          <w:sz w:val="30"/>
          <w:szCs w:val="30"/>
        </w:rPr>
      </w:pP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特此委托。</w:t>
      </w:r>
    </w:p>
    <w:p>
      <w:pPr>
        <w:pStyle w:val="11"/>
        <w:overflowPunct w:val="0"/>
        <w:spacing w:line="460" w:lineRule="exact"/>
        <w:rPr>
          <w:rFonts w:ascii="宋体" w:hAnsi="宋体" w:cs="宋体"/>
          <w:sz w:val="30"/>
          <w:szCs w:val="30"/>
        </w:rPr>
      </w:pPr>
      <w:r>
        <w:rPr>
          <w:rFonts w:hint="eastAsia" w:ascii="宋体" w:hAnsi="宋体" w:cs="宋体"/>
          <w:sz w:val="30"/>
          <w:szCs w:val="30"/>
        </w:rPr>
        <w:t xml:space="preserve">     </w:t>
      </w:r>
    </w:p>
    <w:p>
      <w:pPr>
        <w:pStyle w:val="11"/>
        <w:overflowPunct w:val="0"/>
        <w:spacing w:line="460" w:lineRule="exact"/>
        <w:ind w:firstLine="600" w:firstLineChars="200"/>
        <w:rPr>
          <w:rFonts w:ascii="宋体" w:hAnsi="宋体" w:cs="宋体"/>
          <w:sz w:val="30"/>
          <w:szCs w:val="30"/>
        </w:rPr>
      </w:pPr>
      <w:r>
        <w:rPr>
          <w:rFonts w:hint="eastAsia" w:ascii="宋体" w:hAnsi="宋体" w:cs="宋体"/>
          <w:sz w:val="30"/>
          <w:szCs w:val="30"/>
        </w:rPr>
        <w:t>授权人（签名）：</w:t>
      </w:r>
    </w:p>
    <w:p>
      <w:pPr>
        <w:pStyle w:val="11"/>
        <w:overflowPunct w:val="0"/>
        <w:spacing w:line="460" w:lineRule="exact"/>
        <w:ind w:firstLine="600" w:firstLineChars="200"/>
        <w:rPr>
          <w:rFonts w:ascii="宋体" w:hAnsi="宋体" w:cs="宋体"/>
          <w:sz w:val="30"/>
          <w:szCs w:val="30"/>
        </w:rPr>
      </w:pPr>
    </w:p>
    <w:p>
      <w:pPr>
        <w:pStyle w:val="11"/>
        <w:overflowPunct w:val="0"/>
        <w:spacing w:line="460" w:lineRule="exact"/>
        <w:ind w:left="420" w:leftChars="200" w:firstLine="150" w:firstLineChars="50"/>
        <w:rPr>
          <w:rFonts w:ascii="宋体" w:hAnsi="宋体" w:cs="宋体"/>
          <w:sz w:val="30"/>
          <w:szCs w:val="30"/>
        </w:rPr>
      </w:pPr>
      <w:r>
        <w:rPr>
          <w:rFonts w:hint="eastAsia" w:ascii="宋体" w:hAnsi="宋体" w:cs="宋体"/>
          <w:sz w:val="30"/>
          <w:szCs w:val="30"/>
        </w:rPr>
        <w:t>日期：    年  月  日</w:t>
      </w:r>
    </w:p>
    <w:p>
      <w:pPr>
        <w:pStyle w:val="11"/>
        <w:overflowPunct w:val="0"/>
        <w:spacing w:line="460" w:lineRule="exact"/>
        <w:rPr>
          <w:rFonts w:ascii="宋体" w:hAnsi="宋体" w:cs="宋体"/>
          <w:sz w:val="30"/>
          <w:szCs w:val="30"/>
        </w:rPr>
      </w:pPr>
    </w:p>
    <w:p>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授权代表（签名）；</w:t>
      </w:r>
    </w:p>
    <w:p>
      <w:pPr>
        <w:pStyle w:val="11"/>
        <w:overflowPunct w:val="0"/>
        <w:spacing w:line="460" w:lineRule="exact"/>
        <w:ind w:firstLine="570" w:firstLineChars="190"/>
        <w:rPr>
          <w:rFonts w:ascii="宋体" w:hAnsi="宋体" w:cs="宋体"/>
          <w:sz w:val="30"/>
          <w:szCs w:val="30"/>
        </w:rPr>
      </w:pPr>
    </w:p>
    <w:p>
      <w:pPr>
        <w:pStyle w:val="11"/>
        <w:overflowPunct w:val="0"/>
        <w:spacing w:line="460" w:lineRule="exact"/>
        <w:ind w:firstLine="570" w:firstLineChars="190"/>
        <w:rPr>
          <w:rFonts w:ascii="宋体" w:hAnsi="宋体" w:cs="宋体"/>
          <w:sz w:val="30"/>
          <w:szCs w:val="30"/>
        </w:rPr>
      </w:pPr>
      <w:r>
        <w:rPr>
          <w:rFonts w:hint="eastAsia" w:ascii="宋体" w:hAnsi="宋体" w:cs="宋体"/>
          <w:sz w:val="30"/>
          <w:szCs w:val="30"/>
        </w:rPr>
        <w:t>日期：    年  月  日</w:t>
      </w:r>
    </w:p>
    <w:p>
      <w:pPr>
        <w:tabs>
          <w:tab w:val="left" w:pos="606"/>
        </w:tabs>
        <w:spacing w:line="460" w:lineRule="exact"/>
        <w:rPr>
          <w:rFonts w:ascii="宋体" w:hAnsi="宋体" w:cs="宋体"/>
          <w:spacing w:val="20"/>
          <w:sz w:val="30"/>
          <w:szCs w:val="30"/>
        </w:rPr>
      </w:pPr>
    </w:p>
    <w:p>
      <w:pPr>
        <w:tabs>
          <w:tab w:val="left" w:pos="606"/>
        </w:tabs>
        <w:spacing w:line="460" w:lineRule="exact"/>
        <w:rPr>
          <w:rFonts w:ascii="宋体" w:hAnsi="宋体" w:cs="宋体"/>
          <w:spacing w:val="20"/>
          <w:sz w:val="30"/>
          <w:szCs w:val="30"/>
        </w:rPr>
      </w:pPr>
    </w:p>
    <w:tbl>
      <w:tblPr>
        <w:tblStyle w:val="43"/>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联合体甲方单位：   （公章）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c>
          <w:tcPr>
            <w:tcW w:w="4264" w:type="dxa"/>
          </w:tcPr>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联合体乙方单位：   （公章）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法定代表人：     （签章）</w:t>
            </w: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p>
          <w:p>
            <w:pPr>
              <w:pStyle w:val="11"/>
              <w:overflowPunct w:val="0"/>
              <w:spacing w:line="460" w:lineRule="exact"/>
              <w:ind w:firstLine="0"/>
              <w:rPr>
                <w:rFonts w:ascii="宋体" w:hAnsi="宋体" w:cs="宋体"/>
                <w:sz w:val="30"/>
                <w:szCs w:val="30"/>
              </w:rPr>
            </w:pPr>
            <w:r>
              <w:rPr>
                <w:rFonts w:hint="eastAsia" w:ascii="宋体" w:hAnsi="宋体" w:cs="宋体"/>
                <w:sz w:val="30"/>
                <w:szCs w:val="30"/>
              </w:rPr>
              <w:t>日  期：  年  月   日</w:t>
            </w:r>
          </w:p>
        </w:tc>
      </w:tr>
    </w:tbl>
    <w:p>
      <w:pPr>
        <w:snapToGrid w:val="0"/>
        <w:spacing w:before="120" w:beforeLines="50" w:after="50" w:line="460" w:lineRule="exact"/>
        <w:ind w:firstLine="6150" w:firstLineChars="2050"/>
        <w:rPr>
          <w:rFonts w:ascii="仿宋" w:hAnsi="仿宋" w:eastAsia="仿宋"/>
          <w:sz w:val="30"/>
          <w:szCs w:val="30"/>
        </w:rPr>
      </w:pPr>
      <w:r>
        <w:rPr>
          <w:rFonts w:hint="eastAsia" w:hAnsi="宋体" w:cs="宋体"/>
          <w:sz w:val="30"/>
          <w:szCs w:val="30"/>
        </w:rPr>
        <w:br w:type="page"/>
      </w:r>
    </w:p>
    <w:p>
      <w:pPr>
        <w:snapToGrid w:val="0"/>
        <w:spacing w:line="460" w:lineRule="exact"/>
        <w:rPr>
          <w:rFonts w:ascii="仿宋" w:hAnsi="仿宋" w:eastAsia="仿宋"/>
          <w:sz w:val="30"/>
          <w:szCs w:val="30"/>
          <w:u w:val="single"/>
        </w:rPr>
      </w:pPr>
    </w:p>
    <w:p>
      <w:pPr>
        <w:snapToGrid w:val="0"/>
        <w:spacing w:before="50" w:after="50"/>
        <w:rPr>
          <w:rFonts w:ascii="仿宋" w:hAnsi="仿宋" w:eastAsia="仿宋"/>
          <w:sz w:val="30"/>
          <w:szCs w:val="30"/>
        </w:rPr>
      </w:pPr>
      <w:r>
        <w:rPr>
          <w:rFonts w:hint="eastAsia" w:ascii="仿宋" w:hAnsi="仿宋" w:eastAsia="仿宋"/>
          <w:sz w:val="30"/>
          <w:szCs w:val="30"/>
        </w:rPr>
        <w:t>附件5：</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2"/>
        <w:snapToGrid w:val="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采购文件要求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22"/>
              <w:snapToGrid w:val="0"/>
              <w:spacing w:before="120" w:after="120" w:line="240" w:lineRule="auto"/>
              <w:outlineLvl w:val="0"/>
              <w:rPr>
                <w:rFonts w:ascii="仿宋" w:hAnsi="仿宋" w:eastAsia="仿宋"/>
                <w:sz w:val="30"/>
                <w:szCs w:val="30"/>
              </w:rPr>
            </w:pPr>
          </w:p>
        </w:tc>
      </w:tr>
    </w:tbl>
    <w:p>
      <w:pPr>
        <w:pStyle w:val="15"/>
        <w:rPr>
          <w:rFonts w:ascii="仿宋" w:hAnsi="仿宋" w:eastAsia="仿宋"/>
          <w:spacing w:val="20"/>
          <w:kern w:val="0"/>
          <w:sz w:val="30"/>
          <w:szCs w:val="30"/>
        </w:rPr>
      </w:pPr>
      <w:r>
        <w:rPr>
          <w:rFonts w:hint="eastAsia" w:ascii="仿宋" w:hAnsi="仿宋" w:eastAsia="仿宋"/>
          <w:sz w:val="30"/>
          <w:szCs w:val="30"/>
        </w:rPr>
        <w:t>注：响应方应根据投标设备的性能指标、对照采购文件要求在“偏离情况”栏注明“正偏离”、“负偏离”或“无偏离”。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附件6：</w:t>
      </w:r>
    </w:p>
    <w:p>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pPr>
        <w:snapToGrid w:val="0"/>
        <w:spacing w:before="120" w:beforeLines="50" w:after="50"/>
        <w:jc w:val="center"/>
        <w:rPr>
          <w:rFonts w:ascii="仿宋" w:hAnsi="仿宋" w:eastAsia="仿宋"/>
          <w:b/>
          <w:sz w:val="30"/>
          <w:szCs w:val="30"/>
        </w:rPr>
      </w:pPr>
    </w:p>
    <w:p>
      <w:pPr>
        <w:pStyle w:val="12"/>
        <w:snapToGrid w:val="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4"/>
              <w:snapToGrid w:val="0"/>
              <w:spacing w:before="120" w:beforeLines="50" w:after="50" w:line="460" w:lineRule="exact"/>
              <w:ind w:left="525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autoSpaceDE w:val="0"/>
              <w:autoSpaceDN w:val="0"/>
              <w:adjustRightInd w:val="0"/>
              <w:snapToGrid w:val="0"/>
              <w:spacing w:before="120" w:beforeLines="50" w:after="50" w:line="460" w:lineRule="exact"/>
              <w:jc w:val="center"/>
              <w:outlineLvl w:val="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sz w:val="30"/>
                <w:szCs w:val="30"/>
              </w:rPr>
            </w:pPr>
          </w:p>
        </w:tc>
        <w:tc>
          <w:tcPr>
            <w:tcW w:w="1800" w:type="dxa"/>
            <w:tcBorders>
              <w:top w:val="single" w:color="auto" w:sz="4" w:space="0"/>
              <w:left w:val="single" w:color="auto" w:sz="4" w:space="0"/>
              <w:bottom w:val="single" w:color="auto" w:sz="4" w:space="0"/>
            </w:tcBorders>
          </w:tcPr>
          <w:p>
            <w:pPr>
              <w:snapToGrid w:val="0"/>
              <w:spacing w:before="120" w:beforeLines="50" w:after="50" w:line="460" w:lineRule="exact"/>
              <w:rPr>
                <w:rFonts w:ascii="仿宋" w:hAnsi="仿宋" w:eastAsia="仿宋"/>
                <w:b/>
                <w:bCs/>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注：在填写时，响应方可根据本表格式自行划表填写。</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rPr>
      </w:pPr>
      <w:r>
        <w:rPr>
          <w:rFonts w:hint="eastAsia" w:ascii="仿宋" w:hAnsi="仿宋" w:eastAsia="仿宋"/>
          <w:spacing w:val="20"/>
          <w:sz w:val="30"/>
          <w:szCs w:val="30"/>
        </w:rPr>
        <w:t>全权代表签名：日期：</w:t>
      </w: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after="50" w:line="460" w:lineRule="exact"/>
        <w:rPr>
          <w:rFonts w:ascii="仿宋" w:hAnsi="仿宋" w:eastAsia="仿宋"/>
          <w:spacing w:val="20"/>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t>附件7：</w:t>
      </w:r>
    </w:p>
    <w:p>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商务响应表</w:t>
      </w:r>
    </w:p>
    <w:p>
      <w:pPr>
        <w:pStyle w:val="12"/>
        <w:snapToGrid w:val="0"/>
        <w:rPr>
          <w:rFonts w:ascii="仿宋" w:hAnsi="仿宋" w:eastAsia="仿宋"/>
          <w:sz w:val="30"/>
          <w:szCs w:val="30"/>
          <w:u w:val="single"/>
        </w:rPr>
      </w:pPr>
      <w:r>
        <w:rPr>
          <w:rFonts w:hint="eastAsia" w:ascii="仿宋" w:hAnsi="仿宋" w:eastAsia="仿宋"/>
          <w:sz w:val="30"/>
          <w:szCs w:val="30"/>
        </w:rPr>
        <w:t>单一来源响应方全称（公章）：               标项：</w:t>
      </w:r>
    </w:p>
    <w:tbl>
      <w:tblPr>
        <w:tblStyle w:val="4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3260"/>
        <w:gridCol w:w="958"/>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响应方承诺或说明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售后服务保障要求</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服务期</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ind w:left="43"/>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项目进度要求</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服务时间</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服务地点</w:t>
            </w:r>
          </w:p>
        </w:tc>
        <w:tc>
          <w:tcPr>
            <w:tcW w:w="3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95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c>
          <w:tcPr>
            <w:tcW w:w="3020" w:type="dxa"/>
            <w:tcBorders>
              <w:top w:val="single" w:color="auto" w:sz="4" w:space="0"/>
              <w:left w:val="single" w:color="auto" w:sz="4" w:space="0"/>
              <w:bottom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全权代表签名：日期：</w:t>
      </w: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napToGrid w:val="0"/>
        <w:spacing w:before="120" w:beforeLines="50"/>
        <w:rPr>
          <w:rFonts w:ascii="仿宋" w:hAnsi="仿宋" w:eastAsia="仿宋"/>
          <w:sz w:val="30"/>
          <w:szCs w:val="30"/>
          <w:u w:val="single"/>
        </w:rPr>
      </w:pPr>
    </w:p>
    <w:p>
      <w:pPr>
        <w:spacing w:line="440" w:lineRule="exact"/>
        <w:ind w:firstLine="600" w:firstLineChars="200"/>
        <w:rPr>
          <w:rFonts w:ascii="仿宋" w:hAnsi="仿宋" w:eastAsia="仿宋"/>
          <w:sz w:val="30"/>
          <w:szCs w:val="30"/>
        </w:rPr>
      </w:pPr>
    </w:p>
    <w:p>
      <w:pPr>
        <w:pStyle w:val="22"/>
        <w:snapToGrid w:val="0"/>
        <w:spacing w:before="120" w:after="120" w:line="240" w:lineRule="auto"/>
        <w:jc w:val="center"/>
        <w:rPr>
          <w:rFonts w:ascii="仿宋" w:hAnsi="仿宋" w:eastAsia="仿宋"/>
          <w:b/>
          <w:sz w:val="36"/>
          <w:szCs w:val="36"/>
        </w:rPr>
      </w:pPr>
      <w:bookmarkStart w:id="62" w:name="报价明细表1"/>
      <w:bookmarkEnd w:id="62"/>
    </w:p>
    <w:p>
      <w:pPr>
        <w:pStyle w:val="22"/>
        <w:snapToGrid w:val="0"/>
        <w:spacing w:before="120" w:after="120" w:line="240" w:lineRule="auto"/>
        <w:jc w:val="center"/>
        <w:rPr>
          <w:rFonts w:ascii="仿宋" w:hAnsi="仿宋" w:eastAsia="仿宋"/>
          <w:b/>
          <w:sz w:val="36"/>
          <w:szCs w:val="36"/>
        </w:rPr>
      </w:pPr>
    </w:p>
    <w:p>
      <w:pPr>
        <w:pStyle w:val="22"/>
        <w:snapToGrid w:val="0"/>
        <w:spacing w:before="120" w:after="120" w:line="240" w:lineRule="auto"/>
        <w:jc w:val="center"/>
        <w:rPr>
          <w:rFonts w:ascii="仿宋" w:hAnsi="仿宋" w:eastAsia="仿宋"/>
          <w:b/>
          <w:sz w:val="36"/>
          <w:szCs w:val="36"/>
        </w:rPr>
      </w:pPr>
    </w:p>
    <w:p>
      <w:pPr>
        <w:pStyle w:val="22"/>
        <w:snapToGrid w:val="0"/>
        <w:spacing w:before="120" w:after="120" w:line="240" w:lineRule="auto"/>
        <w:jc w:val="center"/>
        <w:rPr>
          <w:rFonts w:ascii="仿宋" w:hAnsi="仿宋" w:eastAsia="仿宋"/>
          <w:b/>
          <w:sz w:val="36"/>
          <w:szCs w:val="36"/>
        </w:rPr>
      </w:pPr>
    </w:p>
    <w:p>
      <w:pPr>
        <w:pStyle w:val="22"/>
        <w:snapToGrid w:val="0"/>
        <w:spacing w:before="120" w:after="120" w:line="240" w:lineRule="auto"/>
        <w:jc w:val="center"/>
        <w:rPr>
          <w:rFonts w:ascii="仿宋" w:hAnsi="仿宋" w:eastAsia="仿宋"/>
          <w:b/>
          <w:sz w:val="36"/>
          <w:szCs w:val="36"/>
        </w:rPr>
      </w:pPr>
    </w:p>
    <w:p>
      <w:pPr>
        <w:snapToGrid w:val="0"/>
        <w:spacing w:before="50" w:after="50" w:line="460" w:lineRule="exact"/>
        <w:rPr>
          <w:rFonts w:ascii="仿宋" w:hAnsi="仿宋" w:eastAsia="仿宋"/>
          <w:spacing w:val="20"/>
          <w:sz w:val="30"/>
          <w:szCs w:val="30"/>
          <w:u w:val="single"/>
        </w:rPr>
      </w:pPr>
    </w:p>
    <w:p>
      <w:pPr>
        <w:snapToGrid w:val="0"/>
        <w:spacing w:before="50" w:after="120" w:afterLines="50" w:line="460" w:lineRule="exact"/>
        <w:jc w:val="left"/>
        <w:rPr>
          <w:rFonts w:ascii="仿宋" w:hAnsi="仿宋" w:eastAsia="仿宋"/>
          <w:sz w:val="30"/>
          <w:szCs w:val="30"/>
        </w:rPr>
      </w:pPr>
    </w:p>
    <w:p>
      <w:pPr>
        <w:pStyle w:val="22"/>
        <w:snapToGrid w:val="0"/>
        <w:spacing w:beforeLines="0" w:afterLines="0" w:line="460" w:lineRule="exac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line="460" w:lineRule="exact"/>
        <w:rPr>
          <w:rFonts w:ascii="仿宋" w:hAnsi="仿宋" w:eastAsia="仿宋"/>
          <w:sz w:val="30"/>
          <w:szCs w:val="30"/>
        </w:rPr>
        <w:sectPr>
          <w:footerReference r:id="rId10" w:type="first"/>
          <w:headerReference r:id="rId7" w:type="default"/>
          <w:footerReference r:id="rId8" w:type="default"/>
          <w:footerReference r:id="rId9" w:type="even"/>
          <w:type w:val="continuous"/>
          <w:pgSz w:w="11906" w:h="16838"/>
          <w:pgMar w:top="1440" w:right="1800" w:bottom="1440" w:left="1800" w:header="851" w:footer="851" w:gutter="0"/>
          <w:cols w:space="720" w:num="1"/>
          <w:docGrid w:linePitch="312" w:charSpace="0"/>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附件8：</w:t>
      </w:r>
    </w:p>
    <w:p>
      <w:pPr>
        <w:pStyle w:val="31"/>
        <w:snapToGrid w:val="0"/>
        <w:ind w:left="723" w:hanging="723"/>
        <w:jc w:val="center"/>
        <w:rPr>
          <w:rFonts w:ascii="仿宋" w:hAnsi="仿宋" w:eastAsia="仿宋"/>
          <w:b/>
          <w:sz w:val="36"/>
          <w:szCs w:val="36"/>
        </w:rPr>
      </w:pPr>
      <w:r>
        <w:rPr>
          <w:rFonts w:hint="eastAsia" w:ascii="仿宋" w:hAnsi="仿宋" w:eastAsia="仿宋"/>
          <w:b/>
          <w:sz w:val="36"/>
          <w:szCs w:val="36"/>
        </w:rPr>
        <w:t>响应方同类项目实施情况一览表</w:t>
      </w:r>
    </w:p>
    <w:p>
      <w:pPr>
        <w:pStyle w:val="12"/>
        <w:snapToGrid w:val="0"/>
        <w:rPr>
          <w:rFonts w:ascii="仿宋" w:hAnsi="仿宋" w:eastAsia="仿宋" w:cs="Times New Roman"/>
          <w:sz w:val="30"/>
          <w:szCs w:val="30"/>
          <w:u w:val="single"/>
        </w:rPr>
      </w:pPr>
      <w:r>
        <w:rPr>
          <w:rFonts w:hint="eastAsia" w:ascii="仿宋" w:hAnsi="仿宋" w:eastAsia="仿宋"/>
          <w:sz w:val="30"/>
          <w:szCs w:val="30"/>
        </w:rPr>
        <w:t>单一来源响应方全称（公章）：</w:t>
      </w:r>
    </w:p>
    <w:tbl>
      <w:tblPr>
        <w:tblStyle w:val="4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sz w:val="30"/>
                <w:szCs w:val="30"/>
              </w:rPr>
            </w:pPr>
          </w:p>
        </w:tc>
        <w:tc>
          <w:tcPr>
            <w:tcW w:w="2160"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须提供响应方同类项目合同复印件、用户验收报告。</w:t>
            </w:r>
          </w:p>
        </w:tc>
      </w:tr>
    </w:tbl>
    <w:p>
      <w:pPr>
        <w:pStyle w:val="12"/>
        <w:snapToGrid w:val="0"/>
        <w:spacing w:before="24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时间：</w:t>
      </w:r>
    </w:p>
    <w:p>
      <w:pPr>
        <w:snapToGrid w:val="0"/>
        <w:spacing w:before="50" w:after="120" w:afterLines="50"/>
        <w:jc w:val="left"/>
        <w:rPr>
          <w:rFonts w:ascii="仿宋" w:hAnsi="仿宋" w:eastAsia="仿宋"/>
          <w:sz w:val="30"/>
          <w:szCs w:val="30"/>
        </w:rPr>
        <w:sectPr>
          <w:type w:val="continuous"/>
          <w:pgSz w:w="16838" w:h="11906" w:orient="landscape"/>
          <w:pgMar w:top="1440" w:right="1800" w:bottom="1440" w:left="1800" w:header="851" w:footer="851" w:gutter="0"/>
          <w:cols w:space="720" w:num="1"/>
          <w:docGrid w:linePitch="312" w:charSpace="0"/>
        </w:sectPr>
      </w:pPr>
    </w:p>
    <w:p>
      <w:pPr>
        <w:pStyle w:val="22"/>
        <w:snapToGrid w:val="0"/>
        <w:spacing w:before="156" w:after="156" w:line="240" w:lineRule="auto"/>
        <w:jc w:val="left"/>
        <w:rPr>
          <w:rFonts w:ascii="仿宋" w:hAnsi="仿宋" w:eastAsia="仿宋"/>
          <w:sz w:val="30"/>
          <w:szCs w:val="30"/>
        </w:rPr>
      </w:pPr>
      <w:r>
        <w:rPr>
          <w:rFonts w:hint="eastAsia" w:ascii="仿宋" w:hAnsi="仿宋" w:eastAsia="仿宋"/>
          <w:sz w:val="30"/>
          <w:szCs w:val="30"/>
        </w:rPr>
        <w:t>附件9</w:t>
      </w:r>
      <w:r>
        <w:rPr>
          <w:rFonts w:ascii="仿宋" w:hAnsi="仿宋" w:eastAsia="仿宋"/>
          <w:sz w:val="30"/>
          <w:szCs w:val="30"/>
        </w:rPr>
        <w:t>:</w:t>
      </w:r>
    </w:p>
    <w:p>
      <w:pPr>
        <w:pStyle w:val="22"/>
        <w:snapToGrid w:val="0"/>
        <w:spacing w:before="156" w:after="156" w:line="240" w:lineRule="auto"/>
        <w:jc w:val="center"/>
        <w:rPr>
          <w:rFonts w:ascii="仿宋" w:hAnsi="仿宋" w:eastAsia="仿宋"/>
          <w:b/>
          <w:sz w:val="36"/>
          <w:szCs w:val="36"/>
        </w:rPr>
      </w:pPr>
      <w:r>
        <w:rPr>
          <w:rFonts w:hint="eastAsia" w:ascii="仿宋" w:hAnsi="仿宋" w:eastAsia="仿宋"/>
          <w:b/>
          <w:sz w:val="36"/>
          <w:szCs w:val="36"/>
        </w:rPr>
        <w:t>投标报价明细表</w:t>
      </w:r>
    </w:p>
    <w:p>
      <w:pPr>
        <w:snapToGrid w:val="0"/>
        <w:spacing w:line="600" w:lineRule="exact"/>
        <w:rPr>
          <w:rFonts w:ascii="仿宋" w:hAnsi="仿宋" w:eastAsia="仿宋"/>
          <w:sz w:val="30"/>
          <w:szCs w:val="30"/>
        </w:rPr>
      </w:pPr>
      <w:r>
        <w:rPr>
          <w:rFonts w:hint="eastAsia" w:ascii="仿宋" w:hAnsi="仿宋" w:eastAsia="仿宋"/>
          <w:sz w:val="30"/>
          <w:szCs w:val="30"/>
        </w:rPr>
        <w:t>单一来源响应方全称（公章）：</w:t>
      </w:r>
    </w:p>
    <w:p>
      <w:pPr>
        <w:snapToGrid w:val="0"/>
        <w:spacing w:before="156" w:beforeLines="50" w:after="156" w:afterLines="50" w:line="600" w:lineRule="exact"/>
        <w:rPr>
          <w:rFonts w:ascii="仿宋" w:hAnsi="仿宋" w:eastAsia="仿宋"/>
          <w:sz w:val="30"/>
          <w:szCs w:val="30"/>
        </w:rPr>
      </w:pPr>
      <w:r>
        <w:rPr>
          <w:rFonts w:hint="eastAsia" w:ascii="仿宋" w:hAnsi="仿宋" w:eastAsia="仿宋"/>
          <w:sz w:val="30"/>
          <w:szCs w:val="30"/>
        </w:rPr>
        <w:t>采购编号及标项：</w:t>
      </w:r>
    </w:p>
    <w:tbl>
      <w:tblPr>
        <w:tblStyle w:val="4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289"/>
        <w:gridCol w:w="527"/>
        <w:gridCol w:w="465"/>
        <w:gridCol w:w="564"/>
        <w:gridCol w:w="428"/>
        <w:gridCol w:w="529"/>
        <w:gridCol w:w="322"/>
        <w:gridCol w:w="530"/>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gridSpan w:val="3"/>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3"/>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4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承接方情况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5"/>
            <w:tcBorders>
              <w:top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gridSpan w:val="3"/>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施工范围</w:t>
            </w:r>
          </w:p>
        </w:tc>
        <w:tc>
          <w:tcPr>
            <w:tcW w:w="99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施工工期</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gridSpan w:val="3"/>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14"/>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tc>
      </w:tr>
    </w:tbl>
    <w:p>
      <w:pPr>
        <w:snapToGrid w:val="0"/>
        <w:spacing w:before="240" w:after="50" w:line="400" w:lineRule="exact"/>
        <w:jc w:val="left"/>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授权代表签名：</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日期：</w:t>
      </w:r>
    </w:p>
    <w:p>
      <w:pPr>
        <w:snapToGrid w:val="0"/>
        <w:spacing w:line="360" w:lineRule="auto"/>
        <w:rPr>
          <w:rFonts w:ascii="仿宋" w:hAnsi="仿宋" w:eastAsia="仿宋"/>
          <w:sz w:val="30"/>
          <w:szCs w:val="30"/>
        </w:rPr>
      </w:pPr>
      <w:r>
        <w:rPr>
          <w:rFonts w:hint="eastAsia" w:ascii="仿宋" w:hAnsi="仿宋" w:eastAsia="仿宋"/>
          <w:sz w:val="30"/>
          <w:szCs w:val="30"/>
        </w:rPr>
        <w:t>附件10：</w:t>
      </w: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响应方名称（盖章）：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2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w:t>
      </w:r>
      <w:r>
        <w:rPr>
          <w:rFonts w:hint="eastAsia" w:ascii="仿宋" w:hAnsi="仿宋" w:eastAsia="仿宋"/>
          <w:b/>
          <w:sz w:val="36"/>
          <w:szCs w:val="36"/>
        </w:rPr>
        <w:t>（工程、服务）</w:t>
      </w:r>
    </w:p>
    <w:p>
      <w:pPr>
        <w:snapToGrid w:val="0"/>
        <w:spacing w:before="50" w:after="50"/>
        <w:jc w:val="center"/>
        <w:rPr>
          <w:rFonts w:ascii="仿宋" w:hAnsi="仿宋" w:eastAsia="仿宋"/>
          <w:b/>
          <w:sz w:val="36"/>
          <w:szCs w:val="36"/>
        </w:rPr>
      </w:pP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，即提供（货物、服务、工程）的人员为中小企业依照《中华人民共和国劳动合同法》订立劳动合同的从业人员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响应方</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2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附件11：</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响应方名称（盖章）：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Pr>
        <w:rPr>
          <w:rFonts w:ascii="仿宋" w:hAnsi="仿宋" w:eastAsia="仿宋"/>
        </w:rPr>
      </w:pPr>
    </w:p>
    <w:p>
      <w:pPr>
        <w:snapToGrid w:val="0"/>
        <w:spacing w:before="156" w:beforeLines="50" w:after="50"/>
        <w:rPr>
          <w:rFonts w:ascii="仿宋" w:hAnsi="仿宋" w:eastAsia="仿宋"/>
          <w:sz w:val="30"/>
          <w:szCs w:val="30"/>
        </w:rPr>
      </w:pPr>
    </w:p>
    <w:p>
      <w:pPr>
        <w:spacing w:line="600" w:lineRule="exact"/>
        <w:ind w:right="532"/>
        <w:rPr>
          <w:rFonts w:ascii="仿宋" w:hAnsi="仿宋" w:eastAsia="仿宋"/>
          <w:sz w:val="30"/>
          <w:szCs w:val="30"/>
        </w:rPr>
      </w:pPr>
    </w:p>
    <w:p/>
    <w:sectPr>
      <w:headerReference r:id="rId12" w:type="first"/>
      <w:footerReference r:id="rId15" w:type="first"/>
      <w:headerReference r:id="rId11"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
    <w:panose1 w:val="00000000000000000000"/>
    <w:charset w:val="88"/>
    <w:family w:val="roma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GB2312">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仿宋_GB2319">
    <w:altName w:val="仿宋"/>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02182"/>
    </w:sdtPr>
    <w:sdt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7"/>
      <w:ind w:right="720" w:rightChars="343"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02182"/>
    </w:sdtPr>
    <w:sdtContent>
      <w:p>
        <w:pPr>
          <w:pStyle w:val="2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7"/>
      <w:ind w:right="720" w:rightChars="343"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42</w:t>
    </w:r>
    <w:r>
      <w:rPr>
        <w:lang w:val="zh-CN"/>
      </w:rPr>
      <w:fldChar w:fldCharType="end"/>
    </w:r>
  </w:p>
  <w:p>
    <w:pPr>
      <w:pStyle w:val="2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t>40</w:t>
    </w:r>
    <w:r>
      <w:rPr>
        <w:rStyle w:val="47"/>
      </w:rPr>
      <w:fldChar w:fldCharType="end"/>
    </w:r>
  </w:p>
  <w:p>
    <w:pPr>
      <w:pStyle w:val="27"/>
      <w:ind w:right="360"/>
    </w:pPr>
    <w:r>
      <w:rPr>
        <w:rStyle w:val="47"/>
      </w:rPr>
      <w:fldChar w:fldCharType="begin"/>
    </w:r>
    <w:r>
      <w:rPr>
        <w:rStyle w:val="47"/>
      </w:rPr>
      <w:instrText xml:space="preserve"> PAGE </w:instrText>
    </w:r>
    <w:r>
      <w:rPr>
        <w:rStyle w:val="47"/>
      </w:rPr>
      <w:fldChar w:fldCharType="separate"/>
    </w:r>
    <w:r>
      <w:rPr>
        <w:rStyle w:val="47"/>
      </w:rPr>
      <w:t>40</w:t>
    </w:r>
    <w:r>
      <w:rPr>
        <w:rStyle w:val="4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46</w:t>
    </w:r>
    <w:r>
      <w:rPr>
        <w:lang w:val="zh-CN"/>
      </w:rPr>
      <w:fldChar w:fldCharType="end"/>
    </w:r>
  </w:p>
  <w:p>
    <w:pPr>
      <w:pStyle w:val="27"/>
      <w:ind w:right="720" w:firstLine="180" w:firstLineChars="10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rPr>
        <w:rStyle w:val="47"/>
      </w:rPr>
      <w:fldChar w:fldCharType="begin"/>
    </w:r>
    <w:r>
      <w:rPr>
        <w:rStyle w:val="47"/>
      </w:rPr>
      <w:instrText xml:space="preserve">PAGE  </w:instrText>
    </w:r>
    <w:r>
      <w:rPr>
        <w:rStyle w:val="47"/>
      </w:rPr>
      <w:fldChar w:fldCharType="end"/>
    </w:r>
  </w:p>
  <w:p>
    <w:pPr>
      <w:pStyle w:val="2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32</w:t>
    </w:r>
    <w:r>
      <w:rPr>
        <w:lang w:val="zh-CN"/>
      </w:rPr>
      <w:fldChar w:fldCharType="end"/>
    </w:r>
  </w:p>
  <w:p>
    <w:pPr>
      <w:pStyle w:val="27"/>
      <w:tabs>
        <w:tab w:val="left" w:pos="370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p>
    <w:pPr>
      <w:pStyle w:val="2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2D9B"/>
    <w:multiLevelType w:val="multilevel"/>
    <w:tmpl w:val="05332D9B"/>
    <w:lvl w:ilvl="0" w:tentative="0">
      <w:start w:val="1"/>
      <w:numFmt w:val="decimal"/>
      <w:pStyle w:val="214"/>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6E406B1"/>
    <w:multiLevelType w:val="multilevel"/>
    <w:tmpl w:val="36E406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5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2F4B279"/>
    <w:multiLevelType w:val="singleLevel"/>
    <w:tmpl w:val="62F4B279"/>
    <w:lvl w:ilvl="0" w:tentative="0">
      <w:start w:val="3"/>
      <w:numFmt w:val="chineseCounting"/>
      <w:pStyle w:val="187"/>
      <w:suff w:val="nothing"/>
      <w:lvlText w:val="%1、"/>
      <w:lvlJc w:val="left"/>
      <w:rPr>
        <w:rFonts w:cs="Times New Roman"/>
      </w:rPr>
    </w:lvl>
  </w:abstractNum>
  <w:abstractNum w:abstractNumId="3">
    <w:nsid w:val="69C33920"/>
    <w:multiLevelType w:val="multilevel"/>
    <w:tmpl w:val="69C33920"/>
    <w:lvl w:ilvl="0" w:tentative="0">
      <w:start w:val="1"/>
      <w:numFmt w:val="chineseCountingThousand"/>
      <w:pStyle w:val="213"/>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红葵">
    <w15:presenceInfo w15:providerId="None" w15:userId="江红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F5"/>
    <w:rsid w:val="000430F5"/>
    <w:rsid w:val="003A3271"/>
    <w:rsid w:val="006F458B"/>
    <w:rsid w:val="006F7CED"/>
    <w:rsid w:val="007F243A"/>
    <w:rsid w:val="009850F6"/>
    <w:rsid w:val="00B9441F"/>
    <w:rsid w:val="00CE4FCE"/>
    <w:rsid w:val="00CF00EB"/>
    <w:rsid w:val="01F47E20"/>
    <w:rsid w:val="04A06B26"/>
    <w:rsid w:val="07002A4F"/>
    <w:rsid w:val="09174830"/>
    <w:rsid w:val="116F02A7"/>
    <w:rsid w:val="119E03B1"/>
    <w:rsid w:val="154D27C2"/>
    <w:rsid w:val="1B6F1B3C"/>
    <w:rsid w:val="215E7A67"/>
    <w:rsid w:val="2DDF3EB1"/>
    <w:rsid w:val="322F320C"/>
    <w:rsid w:val="32B62FDF"/>
    <w:rsid w:val="36892576"/>
    <w:rsid w:val="3B23024A"/>
    <w:rsid w:val="4BB23716"/>
    <w:rsid w:val="52736066"/>
    <w:rsid w:val="52DF78BF"/>
    <w:rsid w:val="6A4C4966"/>
    <w:rsid w:val="77F47068"/>
    <w:rsid w:val="7A112D9B"/>
    <w:rsid w:val="7B2A09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9"/>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22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222"/>
    <w:qFormat/>
    <w:uiPriority w:val="0"/>
    <w:pPr>
      <w:keepNext/>
      <w:keepLines/>
      <w:spacing w:before="260" w:after="260" w:line="413" w:lineRule="auto"/>
      <w:outlineLvl w:val="2"/>
    </w:pPr>
    <w:rPr>
      <w:b/>
      <w:bCs/>
      <w:sz w:val="32"/>
      <w:szCs w:val="32"/>
    </w:rPr>
  </w:style>
  <w:style w:type="paragraph" w:styleId="5">
    <w:name w:val="heading 4"/>
    <w:basedOn w:val="1"/>
    <w:next w:val="1"/>
    <w:link w:val="240"/>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223"/>
    <w:qFormat/>
    <w:uiPriority w:val="9"/>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241"/>
    <w:qFormat/>
    <w:uiPriority w:val="9"/>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242"/>
    <w:qFormat/>
    <w:uiPriority w:val="9"/>
    <w:pPr>
      <w:keepNext/>
      <w:keepLines/>
      <w:snapToGrid w:val="0"/>
      <w:spacing w:before="240" w:after="64" w:line="320" w:lineRule="atLeast"/>
      <w:jc w:val="center"/>
      <w:outlineLvl w:val="6"/>
    </w:pPr>
    <w:rPr>
      <w:rFonts w:ascii="宋体" w:hAnsi="宋体"/>
      <w:b/>
      <w:bCs/>
      <w:kern w:val="0"/>
      <w:sz w:val="24"/>
      <w:szCs w:val="24"/>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9">
    <w:name w:val="toc 7"/>
    <w:basedOn w:val="1"/>
    <w:next w:val="1"/>
    <w:qFormat/>
    <w:uiPriority w:val="99"/>
    <w:pPr>
      <w:snapToGrid w:val="0"/>
      <w:spacing w:line="600" w:lineRule="exact"/>
      <w:ind w:left="3120"/>
      <w:jc w:val="left"/>
    </w:pPr>
    <w:rPr>
      <w:rFonts w:ascii="Times New Roman" w:hAnsi="Times New Roman"/>
      <w:kern w:val="0"/>
      <w:sz w:val="18"/>
      <w:szCs w:val="18"/>
    </w:rPr>
  </w:style>
  <w:style w:type="paragraph" w:styleId="10">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1">
    <w:name w:val="Normal Indent"/>
    <w:basedOn w:val="1"/>
    <w:link w:val="243"/>
    <w:qFormat/>
    <w:uiPriority w:val="0"/>
    <w:pPr>
      <w:ind w:firstLine="420"/>
    </w:pPr>
    <w:rPr>
      <w:rFonts w:ascii="Times New Roman" w:hAnsi="Times New Roman"/>
      <w:szCs w:val="20"/>
    </w:rPr>
  </w:style>
  <w:style w:type="paragraph" w:styleId="12">
    <w:name w:val="caption"/>
    <w:basedOn w:val="1"/>
    <w:next w:val="1"/>
    <w:link w:val="246"/>
    <w:qFormat/>
    <w:uiPriority w:val="0"/>
    <w:pPr>
      <w:spacing w:before="152" w:after="160"/>
    </w:pPr>
    <w:rPr>
      <w:rFonts w:ascii="Arial" w:hAnsi="Arial" w:eastAsia="黑体" w:cs="Arial"/>
      <w:sz w:val="20"/>
      <w:szCs w:val="20"/>
    </w:rPr>
  </w:style>
  <w:style w:type="paragraph" w:styleId="13">
    <w:name w:val="Document Map"/>
    <w:basedOn w:val="1"/>
    <w:link w:val="224"/>
    <w:qFormat/>
    <w:uiPriority w:val="99"/>
    <w:rPr>
      <w:rFonts w:ascii="宋体" w:hAnsi="Times New Roman"/>
      <w:sz w:val="18"/>
      <w:szCs w:val="18"/>
    </w:rPr>
  </w:style>
  <w:style w:type="paragraph" w:styleId="14">
    <w:name w:val="annotation text"/>
    <w:basedOn w:val="1"/>
    <w:link w:val="244"/>
    <w:qFormat/>
    <w:uiPriority w:val="99"/>
    <w:pPr>
      <w:jc w:val="left"/>
    </w:pPr>
  </w:style>
  <w:style w:type="paragraph" w:styleId="15">
    <w:name w:val="Body Text 3"/>
    <w:basedOn w:val="1"/>
    <w:link w:val="225"/>
    <w:qFormat/>
    <w:uiPriority w:val="0"/>
    <w:pPr>
      <w:snapToGrid w:val="0"/>
      <w:spacing w:before="50" w:after="50"/>
    </w:pPr>
    <w:rPr>
      <w:rFonts w:ascii="Times New Roman" w:hAnsi="宋体" w:eastAsia="仿宋_GB2312"/>
      <w:b/>
      <w:bCs/>
      <w:sz w:val="24"/>
      <w:szCs w:val="20"/>
    </w:rPr>
  </w:style>
  <w:style w:type="paragraph" w:styleId="16">
    <w:name w:val="Body Text"/>
    <w:basedOn w:val="1"/>
    <w:link w:val="226"/>
    <w:qFormat/>
    <w:uiPriority w:val="99"/>
    <w:pPr>
      <w:spacing w:after="120"/>
    </w:pPr>
    <w:rPr>
      <w:rFonts w:ascii="Times New Roman" w:hAnsi="Times New Roman"/>
      <w:sz w:val="28"/>
      <w:szCs w:val="24"/>
    </w:rPr>
  </w:style>
  <w:style w:type="paragraph" w:styleId="17">
    <w:name w:val="Body Text Indent"/>
    <w:basedOn w:val="1"/>
    <w:link w:val="227"/>
    <w:qFormat/>
    <w:uiPriority w:val="99"/>
    <w:pPr>
      <w:spacing w:line="200" w:lineRule="exact"/>
      <w:ind w:firstLine="301"/>
    </w:pPr>
    <w:rPr>
      <w:rFonts w:ascii="宋体" w:hAnsi="Courier New"/>
      <w:spacing w:val="-4"/>
      <w:sz w:val="18"/>
      <w:szCs w:val="20"/>
    </w:rPr>
  </w:style>
  <w:style w:type="paragraph" w:styleId="18">
    <w:name w:val="List Number 3"/>
    <w:basedOn w:val="1"/>
    <w:qFormat/>
    <w:uiPriority w:val="99"/>
    <w:pPr>
      <w:tabs>
        <w:tab w:val="left" w:pos="1200"/>
      </w:tabs>
      <w:ind w:left="1200" w:hanging="360"/>
    </w:pPr>
    <w:rPr>
      <w:rFonts w:ascii="Times New Roman" w:hAnsi="Times New Roman"/>
      <w:szCs w:val="24"/>
    </w:rPr>
  </w:style>
  <w:style w:type="paragraph" w:styleId="19">
    <w:name w:val="List 2"/>
    <w:basedOn w:val="1"/>
    <w:qFormat/>
    <w:uiPriority w:val="99"/>
    <w:pPr>
      <w:ind w:left="100" w:leftChars="200" w:hanging="200" w:hangingChars="200"/>
    </w:pPr>
    <w:rPr>
      <w:rFonts w:ascii="Times New Roman" w:hAnsi="Times New Roman"/>
      <w:sz w:val="28"/>
      <w:szCs w:val="24"/>
    </w:rPr>
  </w:style>
  <w:style w:type="paragraph" w:styleId="20">
    <w:name w:val="toc 5"/>
    <w:basedOn w:val="1"/>
    <w:next w:val="1"/>
    <w:qFormat/>
    <w:uiPriority w:val="99"/>
    <w:pPr>
      <w:snapToGrid w:val="0"/>
      <w:spacing w:line="600" w:lineRule="exact"/>
      <w:ind w:left="2080"/>
      <w:jc w:val="left"/>
    </w:pPr>
    <w:rPr>
      <w:rFonts w:ascii="Times New Roman" w:hAnsi="Times New Roman"/>
      <w:kern w:val="0"/>
      <w:sz w:val="18"/>
      <w:szCs w:val="18"/>
    </w:rPr>
  </w:style>
  <w:style w:type="paragraph" w:styleId="21">
    <w:name w:val="toc 3"/>
    <w:basedOn w:val="1"/>
    <w:next w:val="1"/>
    <w:qFormat/>
    <w:uiPriority w:val="99"/>
    <w:pPr>
      <w:ind w:left="840" w:leftChars="400"/>
    </w:pPr>
  </w:style>
  <w:style w:type="paragraph" w:styleId="22">
    <w:name w:val="Plain Text"/>
    <w:basedOn w:val="1"/>
    <w:link w:val="228"/>
    <w:qFormat/>
    <w:uiPriority w:val="0"/>
    <w:pPr>
      <w:spacing w:beforeLines="50" w:afterLines="50" w:line="400" w:lineRule="exact"/>
    </w:pPr>
    <w:rPr>
      <w:rFonts w:ascii="宋体" w:hAnsi="Courier New"/>
      <w:sz w:val="24"/>
      <w:szCs w:val="24"/>
    </w:rPr>
  </w:style>
  <w:style w:type="paragraph" w:styleId="23">
    <w:name w:val="toc 8"/>
    <w:basedOn w:val="1"/>
    <w:next w:val="1"/>
    <w:qFormat/>
    <w:uiPriority w:val="99"/>
    <w:pPr>
      <w:snapToGrid w:val="0"/>
      <w:spacing w:line="600" w:lineRule="exact"/>
      <w:ind w:left="3640"/>
      <w:jc w:val="left"/>
    </w:pPr>
    <w:rPr>
      <w:rFonts w:ascii="Times New Roman" w:hAnsi="Times New Roman"/>
      <w:kern w:val="0"/>
      <w:sz w:val="18"/>
      <w:szCs w:val="18"/>
    </w:rPr>
  </w:style>
  <w:style w:type="paragraph" w:styleId="24">
    <w:name w:val="Date"/>
    <w:basedOn w:val="1"/>
    <w:next w:val="1"/>
    <w:link w:val="229"/>
    <w:qFormat/>
    <w:uiPriority w:val="0"/>
    <w:pPr>
      <w:ind w:left="2500" w:leftChars="2500"/>
    </w:pPr>
    <w:rPr>
      <w:rFonts w:ascii="Times New Roman" w:hAnsi="Times New Roman" w:eastAsia="楷体_GB2312"/>
      <w:sz w:val="32"/>
      <w:szCs w:val="20"/>
    </w:rPr>
  </w:style>
  <w:style w:type="paragraph" w:styleId="25">
    <w:name w:val="Body Text Indent 2"/>
    <w:basedOn w:val="1"/>
    <w:link w:val="230"/>
    <w:qFormat/>
    <w:uiPriority w:val="99"/>
    <w:pPr>
      <w:snapToGrid w:val="0"/>
      <w:ind w:firstLine="542" w:firstLineChars="225"/>
    </w:pPr>
    <w:rPr>
      <w:rFonts w:ascii="仿宋_GB2312" w:hAnsi="宋体" w:cs="Arial"/>
      <w:b/>
      <w:bCs/>
      <w:color w:val="000000"/>
      <w:sz w:val="24"/>
      <w:szCs w:val="24"/>
    </w:rPr>
  </w:style>
  <w:style w:type="paragraph" w:styleId="26">
    <w:name w:val="Balloon Text"/>
    <w:basedOn w:val="1"/>
    <w:link w:val="231"/>
    <w:qFormat/>
    <w:uiPriority w:val="99"/>
    <w:rPr>
      <w:sz w:val="18"/>
      <w:szCs w:val="18"/>
    </w:rPr>
  </w:style>
  <w:style w:type="paragraph" w:styleId="27">
    <w:name w:val="footer"/>
    <w:basedOn w:val="1"/>
    <w:link w:val="220"/>
    <w:unhideWhenUsed/>
    <w:qFormat/>
    <w:uiPriority w:val="99"/>
    <w:pPr>
      <w:tabs>
        <w:tab w:val="center" w:pos="4153"/>
        <w:tab w:val="right" w:pos="8306"/>
      </w:tabs>
      <w:snapToGrid w:val="0"/>
      <w:jc w:val="left"/>
    </w:pPr>
    <w:rPr>
      <w:sz w:val="18"/>
      <w:szCs w:val="18"/>
    </w:rPr>
  </w:style>
  <w:style w:type="paragraph" w:styleId="28">
    <w:name w:val="header"/>
    <w:basedOn w:val="1"/>
    <w:link w:val="219"/>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rPr>
      <w:rFonts w:ascii="Times New Roman" w:hAnsi="Times New Roman"/>
      <w:szCs w:val="24"/>
    </w:rPr>
  </w:style>
  <w:style w:type="paragraph" w:styleId="30">
    <w:name w:val="toc 4"/>
    <w:basedOn w:val="1"/>
    <w:next w:val="1"/>
    <w:qFormat/>
    <w:uiPriority w:val="99"/>
    <w:pPr>
      <w:snapToGrid w:val="0"/>
      <w:spacing w:line="600" w:lineRule="exact"/>
      <w:ind w:left="1560"/>
      <w:jc w:val="left"/>
    </w:pPr>
    <w:rPr>
      <w:rFonts w:ascii="Times New Roman" w:hAnsi="Times New Roman"/>
      <w:kern w:val="0"/>
      <w:sz w:val="18"/>
      <w:szCs w:val="18"/>
    </w:rPr>
  </w:style>
  <w:style w:type="paragraph" w:styleId="31">
    <w:name w:val="List"/>
    <w:basedOn w:val="1"/>
    <w:qFormat/>
    <w:uiPriority w:val="99"/>
    <w:pPr>
      <w:ind w:left="200" w:hanging="200" w:hangingChars="200"/>
    </w:pPr>
    <w:rPr>
      <w:rFonts w:ascii="Times New Roman" w:hAnsi="Times New Roman"/>
      <w:sz w:val="28"/>
      <w:szCs w:val="24"/>
    </w:rPr>
  </w:style>
  <w:style w:type="paragraph" w:styleId="32">
    <w:name w:val="footnote text"/>
    <w:basedOn w:val="1"/>
    <w:link w:val="232"/>
    <w:semiHidden/>
    <w:qFormat/>
    <w:uiPriority w:val="99"/>
    <w:pPr>
      <w:snapToGrid w:val="0"/>
      <w:jc w:val="left"/>
    </w:pPr>
    <w:rPr>
      <w:sz w:val="18"/>
      <w:szCs w:val="18"/>
    </w:rPr>
  </w:style>
  <w:style w:type="paragraph" w:styleId="33">
    <w:name w:val="toc 6"/>
    <w:basedOn w:val="1"/>
    <w:next w:val="1"/>
    <w:qFormat/>
    <w:uiPriority w:val="99"/>
    <w:pPr>
      <w:snapToGrid w:val="0"/>
      <w:spacing w:line="600" w:lineRule="exact"/>
      <w:ind w:left="2600"/>
      <w:jc w:val="left"/>
    </w:pPr>
    <w:rPr>
      <w:rFonts w:ascii="Times New Roman" w:hAnsi="Times New Roman"/>
      <w:kern w:val="0"/>
      <w:sz w:val="18"/>
      <w:szCs w:val="18"/>
    </w:rPr>
  </w:style>
  <w:style w:type="paragraph" w:styleId="34">
    <w:name w:val="Body Text Indent 3"/>
    <w:basedOn w:val="1"/>
    <w:link w:val="233"/>
    <w:qFormat/>
    <w:uiPriority w:val="99"/>
    <w:pPr>
      <w:snapToGrid w:val="0"/>
      <w:ind w:firstLine="480" w:firstLineChars="200"/>
      <w:jc w:val="left"/>
    </w:pPr>
    <w:rPr>
      <w:rFonts w:ascii="仿宋_GB2312" w:hAnsi="宋体" w:eastAsia="仿宋_GB2312"/>
      <w:color w:val="000000"/>
      <w:sz w:val="24"/>
      <w:szCs w:val="24"/>
    </w:rPr>
  </w:style>
  <w:style w:type="paragraph" w:styleId="35">
    <w:name w:val="toc 2"/>
    <w:basedOn w:val="1"/>
    <w:next w:val="1"/>
    <w:qFormat/>
    <w:uiPriority w:val="99"/>
    <w:pPr>
      <w:ind w:left="420" w:leftChars="200"/>
    </w:pPr>
  </w:style>
  <w:style w:type="paragraph" w:styleId="36">
    <w:name w:val="toc 9"/>
    <w:basedOn w:val="1"/>
    <w:next w:val="1"/>
    <w:qFormat/>
    <w:uiPriority w:val="99"/>
    <w:pPr>
      <w:snapToGrid w:val="0"/>
      <w:spacing w:line="600" w:lineRule="exact"/>
      <w:ind w:left="4160"/>
      <w:jc w:val="left"/>
    </w:pPr>
    <w:rPr>
      <w:rFonts w:ascii="Times New Roman" w:hAnsi="Times New Roman"/>
      <w:kern w:val="0"/>
      <w:sz w:val="18"/>
      <w:szCs w:val="18"/>
    </w:rPr>
  </w:style>
  <w:style w:type="paragraph" w:styleId="37">
    <w:name w:val="Body Text 2"/>
    <w:basedOn w:val="1"/>
    <w:link w:val="234"/>
    <w:qFormat/>
    <w:uiPriority w:val="0"/>
    <w:pPr>
      <w:widowControl/>
      <w:snapToGrid w:val="0"/>
      <w:spacing w:before="50" w:afterLines="50" w:line="400" w:lineRule="exact"/>
      <w:jc w:val="left"/>
    </w:pPr>
    <w:rPr>
      <w:rFonts w:ascii="宋体" w:hAnsi="宋体"/>
      <w:color w:val="000000"/>
      <w:sz w:val="24"/>
      <w:szCs w:val="24"/>
    </w:rPr>
  </w:style>
  <w:style w:type="paragraph" w:styleId="38">
    <w:name w:val="HTML Preformatted"/>
    <w:basedOn w:val="1"/>
    <w:link w:val="235"/>
    <w:qFormat/>
    <w:uiPriority w:val="99"/>
    <w:rPr>
      <w:rFonts w:ascii="Courier New" w:hAnsi="Courier New"/>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236"/>
    <w:qFormat/>
    <w:uiPriority w:val="99"/>
    <w:pPr>
      <w:spacing w:before="240" w:after="60"/>
      <w:jc w:val="center"/>
      <w:outlineLvl w:val="0"/>
    </w:pPr>
    <w:rPr>
      <w:rFonts w:ascii="Cambria" w:hAnsi="Cambria"/>
      <w:b/>
      <w:bCs/>
      <w:kern w:val="0"/>
      <w:sz w:val="32"/>
      <w:szCs w:val="32"/>
    </w:rPr>
  </w:style>
  <w:style w:type="paragraph" w:styleId="41">
    <w:name w:val="annotation subject"/>
    <w:basedOn w:val="14"/>
    <w:next w:val="14"/>
    <w:link w:val="237"/>
    <w:qFormat/>
    <w:uiPriority w:val="99"/>
    <w:rPr>
      <w:b/>
      <w:bCs/>
    </w:rPr>
  </w:style>
  <w:style w:type="paragraph" w:styleId="42">
    <w:name w:val="Body Text First Indent"/>
    <w:basedOn w:val="16"/>
    <w:link w:val="238"/>
    <w:qFormat/>
    <w:uiPriority w:val="99"/>
    <w:pPr>
      <w:ind w:firstLine="420" w:firstLineChars="100"/>
    </w:pPr>
    <w:rPr>
      <w:rFonts w:ascii="Calibri" w:hAnsi="Calibri"/>
      <w:sz w:val="21"/>
      <w:szCs w:val="22"/>
    </w:rPr>
  </w:style>
  <w:style w:type="table" w:styleId="44">
    <w:name w:val="Table Grid"/>
    <w:basedOn w:val="43"/>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99"/>
    <w:rPr>
      <w:rFonts w:cs="Times New Roman"/>
      <w:b/>
    </w:rPr>
  </w:style>
  <w:style w:type="character" w:styleId="47">
    <w:name w:val="page number"/>
    <w:basedOn w:val="45"/>
    <w:qFormat/>
    <w:uiPriority w:val="0"/>
    <w:rPr>
      <w:rFonts w:cs="Times New Roman"/>
    </w:rPr>
  </w:style>
  <w:style w:type="character" w:styleId="48">
    <w:name w:val="FollowedHyperlink"/>
    <w:basedOn w:val="45"/>
    <w:qFormat/>
    <w:uiPriority w:val="99"/>
    <w:rPr>
      <w:rFonts w:cs="Times New Roman"/>
      <w:color w:val="800080"/>
      <w:u w:val="single"/>
    </w:rPr>
  </w:style>
  <w:style w:type="character" w:styleId="49">
    <w:name w:val="Emphasis"/>
    <w:basedOn w:val="45"/>
    <w:qFormat/>
    <w:uiPriority w:val="99"/>
    <w:rPr>
      <w:rFonts w:cs="Times New Roman"/>
      <w:color w:val="CC0033"/>
    </w:rPr>
  </w:style>
  <w:style w:type="character" w:styleId="50">
    <w:name w:val="Hyperlink"/>
    <w:basedOn w:val="45"/>
    <w:qFormat/>
    <w:uiPriority w:val="99"/>
    <w:rPr>
      <w:rFonts w:cs="Times New Roman"/>
      <w:color w:val="0000FF"/>
      <w:u w:val="single"/>
    </w:rPr>
  </w:style>
  <w:style w:type="character" w:styleId="51">
    <w:name w:val="annotation reference"/>
    <w:basedOn w:val="45"/>
    <w:qFormat/>
    <w:uiPriority w:val="0"/>
    <w:rPr>
      <w:rFonts w:cs="Times New Roman"/>
      <w:sz w:val="21"/>
    </w:rPr>
  </w:style>
  <w:style w:type="character" w:styleId="52">
    <w:name w:val="footnote reference"/>
    <w:basedOn w:val="45"/>
    <w:semiHidden/>
    <w:qFormat/>
    <w:uiPriority w:val="99"/>
    <w:rPr>
      <w:rFonts w:cs="Times New Roman"/>
      <w:vertAlign w:val="superscript"/>
    </w:rPr>
  </w:style>
  <w:style w:type="character" w:customStyle="1" w:styleId="53">
    <w:name w:val="页眉 字符"/>
    <w:basedOn w:val="45"/>
    <w:link w:val="28"/>
    <w:qFormat/>
    <w:uiPriority w:val="99"/>
    <w:rPr>
      <w:sz w:val="18"/>
      <w:szCs w:val="18"/>
    </w:rPr>
  </w:style>
  <w:style w:type="character" w:customStyle="1" w:styleId="54">
    <w:name w:val="页脚 字符"/>
    <w:basedOn w:val="45"/>
    <w:link w:val="27"/>
    <w:qFormat/>
    <w:uiPriority w:val="99"/>
    <w:rPr>
      <w:sz w:val="18"/>
      <w:szCs w:val="18"/>
    </w:rPr>
  </w:style>
  <w:style w:type="character" w:customStyle="1" w:styleId="55">
    <w:name w:val="标题 1 字符"/>
    <w:basedOn w:val="45"/>
    <w:qFormat/>
    <w:uiPriority w:val="9"/>
    <w:rPr>
      <w:rFonts w:ascii="Calibri" w:hAnsi="Calibri" w:eastAsia="宋体" w:cs="Times New Roman"/>
      <w:b/>
      <w:bCs/>
      <w:kern w:val="44"/>
      <w:sz w:val="44"/>
      <w:szCs w:val="44"/>
    </w:rPr>
  </w:style>
  <w:style w:type="character" w:customStyle="1" w:styleId="56">
    <w:name w:val="标题 2 字符"/>
    <w:basedOn w:val="45"/>
    <w:link w:val="3"/>
    <w:qFormat/>
    <w:uiPriority w:val="9"/>
    <w:rPr>
      <w:rFonts w:ascii="Arial" w:hAnsi="Arial" w:eastAsia="黑体" w:cs="Times New Roman"/>
      <w:b/>
      <w:bCs/>
      <w:sz w:val="32"/>
      <w:szCs w:val="32"/>
    </w:rPr>
  </w:style>
  <w:style w:type="character" w:customStyle="1" w:styleId="57">
    <w:name w:val="标题 3 字符"/>
    <w:basedOn w:val="45"/>
    <w:link w:val="4"/>
    <w:qFormat/>
    <w:uiPriority w:val="0"/>
    <w:rPr>
      <w:rFonts w:ascii="Calibri" w:hAnsi="Calibri" w:eastAsia="宋体" w:cs="Times New Roman"/>
      <w:b/>
      <w:bCs/>
      <w:sz w:val="32"/>
      <w:szCs w:val="32"/>
    </w:rPr>
  </w:style>
  <w:style w:type="character" w:customStyle="1" w:styleId="58">
    <w:name w:val="标题 4 字符"/>
    <w:basedOn w:val="45"/>
    <w:qFormat/>
    <w:uiPriority w:val="9"/>
    <w:rPr>
      <w:rFonts w:asciiTheme="majorHAnsi" w:hAnsiTheme="majorHAnsi" w:eastAsiaTheme="majorEastAsia" w:cstheme="majorBidi"/>
      <w:b/>
      <w:bCs/>
      <w:sz w:val="28"/>
      <w:szCs w:val="28"/>
    </w:rPr>
  </w:style>
  <w:style w:type="character" w:customStyle="1" w:styleId="59">
    <w:name w:val="标题 5 字符"/>
    <w:basedOn w:val="45"/>
    <w:link w:val="6"/>
    <w:qFormat/>
    <w:uiPriority w:val="9"/>
    <w:rPr>
      <w:rFonts w:ascii="Times New Roman" w:hAnsi="Times New Roman" w:eastAsia="宋体" w:cs="Times New Roman"/>
      <w:b/>
      <w:bCs/>
      <w:sz w:val="28"/>
      <w:szCs w:val="28"/>
    </w:rPr>
  </w:style>
  <w:style w:type="character" w:customStyle="1" w:styleId="60">
    <w:name w:val="标题 6 字符"/>
    <w:basedOn w:val="45"/>
    <w:qFormat/>
    <w:uiPriority w:val="9"/>
    <w:rPr>
      <w:rFonts w:asciiTheme="majorHAnsi" w:hAnsiTheme="majorHAnsi" w:eastAsiaTheme="majorEastAsia" w:cstheme="majorBidi"/>
      <w:b/>
      <w:bCs/>
      <w:sz w:val="24"/>
      <w:szCs w:val="24"/>
    </w:rPr>
  </w:style>
  <w:style w:type="character" w:customStyle="1" w:styleId="61">
    <w:name w:val="标题 7 字符"/>
    <w:basedOn w:val="45"/>
    <w:qFormat/>
    <w:uiPriority w:val="9"/>
    <w:rPr>
      <w:rFonts w:ascii="Calibri" w:hAnsi="Calibri" w:eastAsia="宋体" w:cs="Times New Roman"/>
      <w:b/>
      <w:bCs/>
      <w:sz w:val="24"/>
      <w:szCs w:val="24"/>
    </w:rPr>
  </w:style>
  <w:style w:type="character" w:customStyle="1" w:styleId="62">
    <w:name w:val="文档结构图 字符"/>
    <w:basedOn w:val="45"/>
    <w:link w:val="13"/>
    <w:qFormat/>
    <w:uiPriority w:val="99"/>
    <w:rPr>
      <w:rFonts w:ascii="宋体" w:hAnsi="Times New Roman" w:eastAsia="宋体" w:cs="Times New Roman"/>
      <w:sz w:val="18"/>
      <w:szCs w:val="18"/>
    </w:rPr>
  </w:style>
  <w:style w:type="character" w:customStyle="1" w:styleId="63">
    <w:name w:val="批注文字 字符"/>
    <w:basedOn w:val="45"/>
    <w:qFormat/>
    <w:uiPriority w:val="0"/>
    <w:rPr>
      <w:rFonts w:ascii="Calibri" w:hAnsi="Calibri" w:eastAsia="宋体" w:cs="Times New Roman"/>
    </w:rPr>
  </w:style>
  <w:style w:type="character" w:customStyle="1" w:styleId="64">
    <w:name w:val="正文文本 3 字符"/>
    <w:basedOn w:val="45"/>
    <w:link w:val="15"/>
    <w:qFormat/>
    <w:uiPriority w:val="0"/>
    <w:rPr>
      <w:rFonts w:ascii="Times New Roman" w:hAnsi="宋体" w:eastAsia="仿宋_GB2312" w:cs="Times New Roman"/>
      <w:b/>
      <w:bCs/>
      <w:sz w:val="24"/>
      <w:szCs w:val="20"/>
    </w:rPr>
  </w:style>
  <w:style w:type="character" w:customStyle="1" w:styleId="65">
    <w:name w:val="正文文本 字符"/>
    <w:basedOn w:val="45"/>
    <w:link w:val="16"/>
    <w:qFormat/>
    <w:uiPriority w:val="99"/>
    <w:rPr>
      <w:rFonts w:ascii="Times New Roman" w:hAnsi="Times New Roman" w:eastAsia="宋体" w:cs="Times New Roman"/>
      <w:sz w:val="28"/>
      <w:szCs w:val="24"/>
    </w:rPr>
  </w:style>
  <w:style w:type="character" w:customStyle="1" w:styleId="66">
    <w:name w:val="正文文本缩进 字符"/>
    <w:basedOn w:val="45"/>
    <w:link w:val="17"/>
    <w:qFormat/>
    <w:uiPriority w:val="99"/>
    <w:rPr>
      <w:rFonts w:ascii="宋体" w:hAnsi="Courier New" w:eastAsia="宋体" w:cs="Times New Roman"/>
      <w:spacing w:val="-4"/>
      <w:sz w:val="18"/>
      <w:szCs w:val="20"/>
    </w:rPr>
  </w:style>
  <w:style w:type="character" w:customStyle="1" w:styleId="67">
    <w:name w:val="纯文本 字符"/>
    <w:basedOn w:val="45"/>
    <w:link w:val="22"/>
    <w:qFormat/>
    <w:uiPriority w:val="0"/>
    <w:rPr>
      <w:rFonts w:ascii="宋体" w:hAnsi="Courier New" w:eastAsia="宋体" w:cs="Times New Roman"/>
      <w:sz w:val="24"/>
      <w:szCs w:val="24"/>
    </w:rPr>
  </w:style>
  <w:style w:type="character" w:customStyle="1" w:styleId="68">
    <w:name w:val="日期 字符"/>
    <w:basedOn w:val="45"/>
    <w:link w:val="24"/>
    <w:qFormat/>
    <w:uiPriority w:val="0"/>
    <w:rPr>
      <w:rFonts w:ascii="Times New Roman" w:hAnsi="Times New Roman" w:eastAsia="楷体_GB2312" w:cs="Times New Roman"/>
      <w:sz w:val="32"/>
      <w:szCs w:val="20"/>
    </w:rPr>
  </w:style>
  <w:style w:type="character" w:customStyle="1" w:styleId="69">
    <w:name w:val="正文文本缩进 2 字符"/>
    <w:basedOn w:val="45"/>
    <w:link w:val="25"/>
    <w:qFormat/>
    <w:uiPriority w:val="99"/>
    <w:rPr>
      <w:rFonts w:ascii="仿宋_GB2312" w:hAnsi="宋体" w:eastAsia="宋体" w:cs="Arial"/>
      <w:b/>
      <w:bCs/>
      <w:color w:val="000000"/>
      <w:sz w:val="24"/>
      <w:szCs w:val="24"/>
    </w:rPr>
  </w:style>
  <w:style w:type="character" w:customStyle="1" w:styleId="70">
    <w:name w:val="批注框文本 字符"/>
    <w:basedOn w:val="45"/>
    <w:link w:val="26"/>
    <w:qFormat/>
    <w:uiPriority w:val="99"/>
    <w:rPr>
      <w:rFonts w:ascii="Calibri" w:hAnsi="Calibri" w:eastAsia="宋体" w:cs="Times New Roman"/>
      <w:sz w:val="18"/>
      <w:szCs w:val="18"/>
    </w:rPr>
  </w:style>
  <w:style w:type="character" w:customStyle="1" w:styleId="71">
    <w:name w:val="脚注文本 字符"/>
    <w:basedOn w:val="45"/>
    <w:link w:val="32"/>
    <w:semiHidden/>
    <w:qFormat/>
    <w:uiPriority w:val="99"/>
    <w:rPr>
      <w:rFonts w:ascii="Calibri" w:hAnsi="Calibri" w:eastAsia="宋体" w:cs="Times New Roman"/>
      <w:sz w:val="18"/>
      <w:szCs w:val="18"/>
    </w:rPr>
  </w:style>
  <w:style w:type="character" w:customStyle="1" w:styleId="72">
    <w:name w:val="正文文本缩进 3 字符"/>
    <w:basedOn w:val="45"/>
    <w:link w:val="34"/>
    <w:qFormat/>
    <w:uiPriority w:val="99"/>
    <w:rPr>
      <w:rFonts w:ascii="仿宋_GB2312" w:hAnsi="宋体" w:eastAsia="仿宋_GB2312" w:cs="Times New Roman"/>
      <w:color w:val="000000"/>
      <w:sz w:val="24"/>
      <w:szCs w:val="24"/>
    </w:rPr>
  </w:style>
  <w:style w:type="character" w:customStyle="1" w:styleId="73">
    <w:name w:val="正文文本 2 字符"/>
    <w:basedOn w:val="45"/>
    <w:link w:val="37"/>
    <w:qFormat/>
    <w:uiPriority w:val="0"/>
    <w:rPr>
      <w:rFonts w:ascii="宋体" w:hAnsi="宋体" w:eastAsia="宋体" w:cs="Times New Roman"/>
      <w:color w:val="000000"/>
      <w:sz w:val="24"/>
      <w:szCs w:val="24"/>
    </w:rPr>
  </w:style>
  <w:style w:type="character" w:customStyle="1" w:styleId="74">
    <w:name w:val="HTML 预设格式 字符"/>
    <w:basedOn w:val="45"/>
    <w:link w:val="38"/>
    <w:qFormat/>
    <w:uiPriority w:val="99"/>
    <w:rPr>
      <w:rFonts w:ascii="Courier New" w:hAnsi="Courier New" w:eastAsia="宋体" w:cs="Times New Roman"/>
      <w:sz w:val="20"/>
      <w:szCs w:val="20"/>
    </w:rPr>
  </w:style>
  <w:style w:type="character" w:customStyle="1" w:styleId="75">
    <w:name w:val="标题 字符"/>
    <w:basedOn w:val="45"/>
    <w:link w:val="40"/>
    <w:qFormat/>
    <w:uiPriority w:val="99"/>
    <w:rPr>
      <w:rFonts w:ascii="Cambria" w:hAnsi="Cambria" w:eastAsia="宋体" w:cs="Times New Roman"/>
      <w:b/>
      <w:bCs/>
      <w:kern w:val="0"/>
      <w:sz w:val="32"/>
      <w:szCs w:val="32"/>
    </w:rPr>
  </w:style>
  <w:style w:type="character" w:customStyle="1" w:styleId="76">
    <w:name w:val="批注主题 字符"/>
    <w:basedOn w:val="63"/>
    <w:link w:val="41"/>
    <w:qFormat/>
    <w:uiPriority w:val="99"/>
    <w:rPr>
      <w:rFonts w:ascii="Calibri" w:hAnsi="Calibri" w:eastAsia="宋体" w:cs="Times New Roman"/>
      <w:b/>
      <w:bCs/>
    </w:rPr>
  </w:style>
  <w:style w:type="character" w:customStyle="1" w:styleId="77">
    <w:name w:val="正文首行缩进 字符"/>
    <w:basedOn w:val="65"/>
    <w:link w:val="42"/>
    <w:qFormat/>
    <w:uiPriority w:val="99"/>
    <w:rPr>
      <w:rFonts w:ascii="Calibri" w:hAnsi="Calibri" w:eastAsia="宋体" w:cs="Times New Roman"/>
      <w:sz w:val="28"/>
      <w:szCs w:val="24"/>
    </w:rPr>
  </w:style>
  <w:style w:type="character" w:customStyle="1" w:styleId="78">
    <w:name w:val="标题 1 字符1"/>
    <w:basedOn w:val="45"/>
    <w:link w:val="2"/>
    <w:qFormat/>
    <w:locked/>
    <w:uiPriority w:val="9"/>
    <w:rPr>
      <w:rFonts w:ascii="Times New Roman" w:hAnsi="Times New Roman" w:eastAsia="隶书" w:cs="Times New Roman"/>
      <w:b/>
      <w:bCs/>
      <w:kern w:val="0"/>
      <w:sz w:val="36"/>
      <w:szCs w:val="36"/>
    </w:rPr>
  </w:style>
  <w:style w:type="character" w:customStyle="1" w:styleId="79">
    <w:name w:val="标题 4 字符1"/>
    <w:basedOn w:val="45"/>
    <w:link w:val="5"/>
    <w:qFormat/>
    <w:locked/>
    <w:uiPriority w:val="9"/>
    <w:rPr>
      <w:rFonts w:ascii="Arial" w:hAnsi="Arial" w:eastAsia="黑体" w:cs="Times New Roman"/>
      <w:b/>
      <w:bCs/>
      <w:sz w:val="28"/>
      <w:szCs w:val="28"/>
    </w:rPr>
  </w:style>
  <w:style w:type="character" w:customStyle="1" w:styleId="80">
    <w:name w:val="标题 6 字符1"/>
    <w:basedOn w:val="45"/>
    <w:link w:val="7"/>
    <w:qFormat/>
    <w:locked/>
    <w:uiPriority w:val="9"/>
    <w:rPr>
      <w:rFonts w:ascii="Arial" w:hAnsi="Arial" w:eastAsia="黑体" w:cs="Times New Roman"/>
      <w:b/>
      <w:bCs/>
      <w:sz w:val="24"/>
      <w:szCs w:val="24"/>
    </w:rPr>
  </w:style>
  <w:style w:type="character" w:customStyle="1" w:styleId="81">
    <w:name w:val="标题 7 字符1"/>
    <w:basedOn w:val="45"/>
    <w:link w:val="8"/>
    <w:qFormat/>
    <w:locked/>
    <w:uiPriority w:val="9"/>
    <w:rPr>
      <w:rFonts w:ascii="宋体" w:hAnsi="宋体" w:eastAsia="宋体" w:cs="Times New Roman"/>
      <w:b/>
      <w:bCs/>
      <w:kern w:val="0"/>
      <w:sz w:val="24"/>
      <w:szCs w:val="24"/>
    </w:rPr>
  </w:style>
  <w:style w:type="character" w:customStyle="1" w:styleId="82">
    <w:name w:val="正文缩进 字符"/>
    <w:link w:val="11"/>
    <w:qFormat/>
    <w:locked/>
    <w:uiPriority w:val="0"/>
    <w:rPr>
      <w:rFonts w:ascii="Times New Roman" w:hAnsi="Times New Roman" w:eastAsia="宋体" w:cs="Times New Roman"/>
      <w:szCs w:val="20"/>
    </w:rPr>
  </w:style>
  <w:style w:type="character" w:customStyle="1" w:styleId="83">
    <w:name w:val="批注文字 字符1"/>
    <w:basedOn w:val="45"/>
    <w:link w:val="14"/>
    <w:qFormat/>
    <w:locked/>
    <w:uiPriority w:val="99"/>
    <w:rPr>
      <w:rFonts w:ascii="Calibri" w:hAnsi="Calibri" w:eastAsia="宋体" w:cs="Times New Roman"/>
    </w:rPr>
  </w:style>
  <w:style w:type="character" w:customStyle="1" w:styleId="84">
    <w:name w:val="页脚 字符1"/>
    <w:basedOn w:val="45"/>
    <w:qFormat/>
    <w:locked/>
    <w:uiPriority w:val="99"/>
    <w:rPr>
      <w:rFonts w:ascii="Times New Roman" w:hAnsi="Times New Roman" w:cs="Times New Roman"/>
      <w:kern w:val="2"/>
      <w:sz w:val="18"/>
      <w:szCs w:val="18"/>
    </w:rPr>
  </w:style>
  <w:style w:type="character" w:customStyle="1" w:styleId="85">
    <w:name w:val="页眉 字符1"/>
    <w:basedOn w:val="45"/>
    <w:qFormat/>
    <w:locked/>
    <w:uiPriority w:val="99"/>
    <w:rPr>
      <w:rFonts w:ascii="Times New Roman" w:hAnsi="Times New Roman" w:cs="Times New Roman"/>
      <w:kern w:val="2"/>
      <w:sz w:val="18"/>
      <w:szCs w:val="18"/>
    </w:rPr>
  </w:style>
  <w:style w:type="character" w:customStyle="1" w:styleId="86">
    <w:name w:val="title14"/>
    <w:basedOn w:val="45"/>
    <w:qFormat/>
    <w:uiPriority w:val="99"/>
    <w:rPr>
      <w:rFonts w:cs="Times New Roman"/>
    </w:rPr>
  </w:style>
  <w:style w:type="character" w:customStyle="1" w:styleId="87">
    <w:name w:val="Char Char1"/>
    <w:qFormat/>
    <w:uiPriority w:val="99"/>
    <w:rPr>
      <w:kern w:val="2"/>
      <w:sz w:val="18"/>
    </w:rPr>
  </w:style>
  <w:style w:type="character" w:customStyle="1" w:styleId="88">
    <w:name w:val="a Char"/>
    <w:link w:val="89"/>
    <w:qFormat/>
    <w:locked/>
    <w:uiPriority w:val="0"/>
    <w:rPr>
      <w:rFonts w:ascii="宋体" w:hAnsi="宋体" w:eastAsia="仿宋_GB2312"/>
      <w:sz w:val="24"/>
    </w:rPr>
  </w:style>
  <w:style w:type="paragraph" w:customStyle="1" w:styleId="89">
    <w:name w:val="a"/>
    <w:basedOn w:val="1"/>
    <w:link w:val="88"/>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90">
    <w:name w:val="Char Char2"/>
    <w:qFormat/>
    <w:uiPriority w:val="99"/>
    <w:rPr>
      <w:rFonts w:ascii="宋体" w:hAnsi="Courier New" w:eastAsia="宋体"/>
      <w:sz w:val="21"/>
      <w:lang w:val="en-US" w:eastAsia="zh-CN"/>
    </w:rPr>
  </w:style>
  <w:style w:type="character" w:customStyle="1" w:styleId="91">
    <w:name w:val="_正文段落 Char"/>
    <w:link w:val="92"/>
    <w:qFormat/>
    <w:locked/>
    <w:uiPriority w:val="0"/>
    <w:rPr>
      <w:rFonts w:ascii="Times New Roman" w:hAnsi="Times New Roman"/>
      <w:sz w:val="24"/>
    </w:rPr>
  </w:style>
  <w:style w:type="paragraph" w:customStyle="1" w:styleId="92">
    <w:name w:val="_正文段落"/>
    <w:basedOn w:val="1"/>
    <w:link w:val="91"/>
    <w:qFormat/>
    <w:uiPriority w:val="0"/>
    <w:pPr>
      <w:spacing w:beforeLines="15" w:afterLines="15" w:line="360" w:lineRule="auto"/>
      <w:ind w:firstLine="200" w:firstLineChars="200"/>
    </w:pPr>
    <w:rPr>
      <w:rFonts w:ascii="Times New Roman" w:hAnsi="Times New Roman" w:eastAsiaTheme="minorEastAsia" w:cstheme="minorBidi"/>
      <w:sz w:val="24"/>
    </w:rPr>
  </w:style>
  <w:style w:type="character" w:customStyle="1" w:styleId="93">
    <w:name w:val="正文缩进2字符 Char"/>
    <w:link w:val="94"/>
    <w:qFormat/>
    <w:locked/>
    <w:uiPriority w:val="99"/>
    <w:rPr>
      <w:sz w:val="24"/>
    </w:rPr>
  </w:style>
  <w:style w:type="paragraph" w:customStyle="1" w:styleId="94">
    <w:name w:val="正文缩进2字符"/>
    <w:basedOn w:val="1"/>
    <w:link w:val="93"/>
    <w:qFormat/>
    <w:uiPriority w:val="99"/>
    <w:pPr>
      <w:spacing w:line="360" w:lineRule="auto"/>
      <w:ind w:firstLine="480" w:firstLineChars="200"/>
    </w:pPr>
    <w:rPr>
      <w:rFonts w:asciiTheme="minorHAnsi" w:hAnsiTheme="minorHAnsi" w:eastAsiaTheme="minorEastAsia" w:cstheme="minorBidi"/>
      <w:sz w:val="24"/>
    </w:rPr>
  </w:style>
  <w:style w:type="character" w:customStyle="1" w:styleId="95">
    <w:name w:val="标题 1 Char Char"/>
    <w:qFormat/>
    <w:uiPriority w:val="99"/>
    <w:rPr>
      <w:rFonts w:eastAsia="宋体"/>
      <w:b/>
      <w:spacing w:val="-2"/>
      <w:sz w:val="24"/>
      <w:lang w:val="en-US" w:eastAsia="zh-CN"/>
    </w:rPr>
  </w:style>
  <w:style w:type="character" w:customStyle="1" w:styleId="96">
    <w:name w:val="b titlename wangputoptitle"/>
    <w:basedOn w:val="45"/>
    <w:qFormat/>
    <w:uiPriority w:val="99"/>
    <w:rPr>
      <w:rFonts w:cs="Times New Roman"/>
    </w:rPr>
  </w:style>
  <w:style w:type="character" w:customStyle="1" w:styleId="97">
    <w:name w:val="normal_text"/>
    <w:basedOn w:val="45"/>
    <w:qFormat/>
    <w:uiPriority w:val="99"/>
    <w:rPr>
      <w:rFonts w:cs="Times New Roman"/>
    </w:rPr>
  </w:style>
  <w:style w:type="character" w:customStyle="1" w:styleId="98">
    <w:name w:val="正文2 Char"/>
    <w:link w:val="99"/>
    <w:qFormat/>
    <w:locked/>
    <w:uiPriority w:val="99"/>
    <w:rPr>
      <w:sz w:val="22"/>
    </w:rPr>
  </w:style>
  <w:style w:type="paragraph" w:customStyle="1" w:styleId="99">
    <w:name w:val="正文2"/>
    <w:next w:val="29"/>
    <w:link w:val="98"/>
    <w:qFormat/>
    <w:uiPriority w:val="99"/>
    <w:pPr>
      <w:widowControl w:val="0"/>
      <w:spacing w:before="156" w:line="360" w:lineRule="auto"/>
      <w:ind w:firstLine="200" w:firstLineChars="200"/>
      <w:jc w:val="both"/>
    </w:pPr>
    <w:rPr>
      <w:rFonts w:asciiTheme="minorHAnsi" w:hAnsiTheme="minorHAnsi" w:eastAsiaTheme="minorEastAsia" w:cstheme="minorBidi"/>
      <w:kern w:val="2"/>
      <w:sz w:val="22"/>
      <w:szCs w:val="22"/>
      <w:lang w:val="en-US" w:eastAsia="zh-CN" w:bidi="ar-SA"/>
    </w:rPr>
  </w:style>
  <w:style w:type="character" w:customStyle="1" w:styleId="100">
    <w:name w:val="flname7"/>
    <w:basedOn w:val="45"/>
    <w:qFormat/>
    <w:uiPriority w:val="99"/>
    <w:rPr>
      <w:rFonts w:cs="Times New Roman"/>
    </w:rPr>
  </w:style>
  <w:style w:type="character" w:customStyle="1" w:styleId="101">
    <w:name w:val="maywed421"/>
    <w:qFormat/>
    <w:uiPriority w:val="99"/>
    <w:rPr>
      <w:color w:val="366FB6"/>
      <w:u w:val="none"/>
    </w:rPr>
  </w:style>
  <w:style w:type="character" w:customStyle="1" w:styleId="102">
    <w:name w:val="列出段落1 Char"/>
    <w:link w:val="103"/>
    <w:qFormat/>
    <w:locked/>
    <w:uiPriority w:val="99"/>
    <w:rPr>
      <w:sz w:val="24"/>
    </w:rPr>
  </w:style>
  <w:style w:type="paragraph" w:customStyle="1" w:styleId="103">
    <w:name w:val="列出段落11"/>
    <w:basedOn w:val="1"/>
    <w:link w:val="102"/>
    <w:qFormat/>
    <w:uiPriority w:val="99"/>
    <w:pPr>
      <w:ind w:firstLine="420" w:firstLineChars="200"/>
    </w:pPr>
    <w:rPr>
      <w:rFonts w:asciiTheme="minorHAnsi" w:hAnsiTheme="minorHAnsi" w:eastAsiaTheme="minorEastAsia" w:cstheme="minorBidi"/>
      <w:sz w:val="24"/>
    </w:rPr>
  </w:style>
  <w:style w:type="character" w:customStyle="1" w:styleId="104">
    <w:name w:val="spelle"/>
    <w:basedOn w:val="45"/>
    <w:qFormat/>
    <w:uiPriority w:val="99"/>
    <w:rPr>
      <w:rFonts w:cs="Times New Roman"/>
    </w:rPr>
  </w:style>
  <w:style w:type="character" w:customStyle="1" w:styleId="105">
    <w:name w:val="font3"/>
    <w:basedOn w:val="45"/>
    <w:qFormat/>
    <w:uiPriority w:val="99"/>
    <w:rPr>
      <w:rFonts w:cs="Times New Roman"/>
    </w:rPr>
  </w:style>
  <w:style w:type="character" w:customStyle="1" w:styleId="106">
    <w:name w:val="彩色列表 - 强调文字颜色 1 Char"/>
    <w:link w:val="107"/>
    <w:qFormat/>
    <w:locked/>
    <w:uiPriority w:val="99"/>
    <w:rPr>
      <w:sz w:val="22"/>
    </w:rPr>
  </w:style>
  <w:style w:type="paragraph" w:customStyle="1" w:styleId="107">
    <w:name w:val="彩色列表 - 强调文字颜色 11"/>
    <w:basedOn w:val="1"/>
    <w:link w:val="106"/>
    <w:qFormat/>
    <w:uiPriority w:val="99"/>
    <w:pPr>
      <w:ind w:firstLine="420" w:firstLineChars="200"/>
    </w:pPr>
    <w:rPr>
      <w:rFonts w:asciiTheme="minorHAnsi" w:hAnsiTheme="minorHAnsi" w:eastAsiaTheme="minorEastAsia" w:cstheme="minorBidi"/>
      <w:sz w:val="22"/>
    </w:rPr>
  </w:style>
  <w:style w:type="character" w:customStyle="1" w:styleId="108">
    <w:name w:val="apple-style-span"/>
    <w:qFormat/>
    <w:uiPriority w:val="99"/>
  </w:style>
  <w:style w:type="character" w:customStyle="1" w:styleId="109">
    <w:name w:val="样式1 Char"/>
    <w:link w:val="110"/>
    <w:qFormat/>
    <w:locked/>
    <w:uiPriority w:val="0"/>
    <w:rPr>
      <w:rFonts w:ascii="Arial" w:hAnsi="Arial"/>
    </w:rPr>
  </w:style>
  <w:style w:type="paragraph" w:customStyle="1" w:styleId="110">
    <w:name w:val="样式1"/>
    <w:basedOn w:val="1"/>
    <w:link w:val="109"/>
    <w:qFormat/>
    <w:uiPriority w:val="0"/>
    <w:pPr>
      <w:spacing w:line="360" w:lineRule="exact"/>
      <w:ind w:firstLine="200" w:firstLineChars="200"/>
    </w:pPr>
    <w:rPr>
      <w:rFonts w:ascii="Arial" w:hAnsi="Arial" w:eastAsiaTheme="minorEastAsia" w:cstheme="minorBidi"/>
    </w:rPr>
  </w:style>
  <w:style w:type="character" w:customStyle="1" w:styleId="111">
    <w:name w:val="表正文 Char"/>
    <w:qFormat/>
    <w:uiPriority w:val="99"/>
    <w:rPr>
      <w:rFonts w:eastAsia="宋体"/>
      <w:kern w:val="2"/>
      <w:sz w:val="21"/>
      <w:lang w:val="en-US" w:eastAsia="zh-CN"/>
    </w:rPr>
  </w:style>
  <w:style w:type="character" w:customStyle="1" w:styleId="112">
    <w:name w:val="para"/>
    <w:basedOn w:val="45"/>
    <w:qFormat/>
    <w:uiPriority w:val="99"/>
    <w:rPr>
      <w:rFonts w:cs="Times New Roman"/>
    </w:rPr>
  </w:style>
  <w:style w:type="character" w:customStyle="1" w:styleId="113">
    <w:name w:val="纯文本 Char1"/>
    <w:qFormat/>
    <w:uiPriority w:val="99"/>
    <w:rPr>
      <w:rFonts w:ascii="宋体" w:hAnsi="Courier New"/>
      <w:kern w:val="2"/>
      <w:sz w:val="24"/>
    </w:rPr>
  </w:style>
  <w:style w:type="character" w:customStyle="1" w:styleId="114">
    <w:name w:val="InfoBlue Char"/>
    <w:link w:val="115"/>
    <w:qFormat/>
    <w:locked/>
    <w:uiPriority w:val="99"/>
    <w:rPr>
      <w:rFonts w:ascii="仿宋_GB2312" w:hAnsi="宋体" w:eastAsia="仿宋_GB2312"/>
      <w:sz w:val="30"/>
    </w:rPr>
  </w:style>
  <w:style w:type="paragraph" w:customStyle="1" w:styleId="115">
    <w:name w:val="InfoBlue"/>
    <w:basedOn w:val="1"/>
    <w:link w:val="114"/>
    <w:qFormat/>
    <w:uiPriority w:val="99"/>
    <w:pPr>
      <w:spacing w:before="120" w:after="120" w:line="360" w:lineRule="auto"/>
      <w:ind w:firstLine="600" w:firstLineChars="200"/>
    </w:pPr>
    <w:rPr>
      <w:rFonts w:ascii="仿宋_GB2312" w:hAnsi="宋体" w:eastAsia="仿宋_GB2312" w:cstheme="minorBidi"/>
      <w:sz w:val="30"/>
    </w:rPr>
  </w:style>
  <w:style w:type="character" w:customStyle="1" w:styleId="116">
    <w:name w:val="大汉方案正文 Char1"/>
    <w:link w:val="117"/>
    <w:qFormat/>
    <w:locked/>
    <w:uiPriority w:val="99"/>
    <w:rPr>
      <w:rFonts w:ascii="Arial" w:hAnsi="Arial"/>
      <w:sz w:val="24"/>
    </w:rPr>
  </w:style>
  <w:style w:type="paragraph" w:customStyle="1" w:styleId="117">
    <w:name w:val="大汉方案正文"/>
    <w:basedOn w:val="1"/>
    <w:link w:val="116"/>
    <w:qFormat/>
    <w:uiPriority w:val="99"/>
    <w:pPr>
      <w:spacing w:line="360" w:lineRule="auto"/>
      <w:ind w:firstLine="200" w:firstLineChars="200"/>
    </w:pPr>
    <w:rPr>
      <w:rFonts w:ascii="Arial" w:hAnsi="Arial" w:eastAsiaTheme="minorEastAsia" w:cstheme="minorBidi"/>
      <w:sz w:val="24"/>
    </w:rPr>
  </w:style>
  <w:style w:type="paragraph" w:customStyle="1" w:styleId="118">
    <w:name w:val="列出段落1"/>
    <w:basedOn w:val="1"/>
    <w:qFormat/>
    <w:uiPriority w:val="34"/>
    <w:pPr>
      <w:ind w:firstLine="420" w:firstLineChars="200"/>
    </w:pPr>
    <w:rPr>
      <w:rFonts w:cs="Calibri"/>
      <w:szCs w:val="21"/>
    </w:rPr>
  </w:style>
  <w:style w:type="paragraph" w:customStyle="1" w:styleId="119">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大表 mt"/>
    <w:basedOn w:val="1"/>
    <w:qFormat/>
    <w:uiPriority w:val="99"/>
    <w:pPr>
      <w:widowControl/>
      <w:jc w:val="left"/>
    </w:pPr>
    <w:rPr>
      <w:rFonts w:ascii="宋体" w:hAnsi="宋体" w:cs="宋体"/>
      <w:kern w:val="0"/>
      <w:szCs w:val="21"/>
    </w:rPr>
  </w:style>
  <w:style w:type="paragraph" w:customStyle="1" w:styleId="121">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12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2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24">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25">
    <w:name w:val="纯文本1"/>
    <w:basedOn w:val="1"/>
    <w:qFormat/>
    <w:uiPriority w:val="99"/>
    <w:pPr>
      <w:spacing w:beforeLines="50" w:afterLines="50" w:line="400" w:lineRule="exact"/>
    </w:pPr>
    <w:rPr>
      <w:rFonts w:ascii="宋体" w:hAnsi="Courier New" w:eastAsia="黑体"/>
      <w:sz w:val="24"/>
      <w:szCs w:val="24"/>
    </w:rPr>
  </w:style>
  <w:style w:type="paragraph" w:customStyle="1" w:styleId="126">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127">
    <w:name w:val="Char1"/>
    <w:basedOn w:val="1"/>
    <w:qFormat/>
    <w:uiPriority w:val="99"/>
    <w:rPr>
      <w:rFonts w:ascii="仿宋_GB2312" w:hAnsi="Times New Roman" w:eastAsia="仿宋_GB2312"/>
      <w:b/>
      <w:sz w:val="32"/>
      <w:szCs w:val="32"/>
    </w:rPr>
  </w:style>
  <w:style w:type="paragraph" w:customStyle="1" w:styleId="128">
    <w:name w:val="项目圆"/>
    <w:basedOn w:val="1"/>
    <w:qFormat/>
    <w:uiPriority w:val="99"/>
    <w:pPr>
      <w:tabs>
        <w:tab w:val="left" w:pos="840"/>
      </w:tabs>
      <w:spacing w:beforeLines="50" w:afterLines="50" w:line="360" w:lineRule="auto"/>
      <w:ind w:left="454"/>
    </w:pPr>
    <w:rPr>
      <w:rFonts w:ascii="Times New Roman" w:hAnsi="Times New Roman"/>
      <w:szCs w:val="24"/>
    </w:rPr>
  </w:style>
  <w:style w:type="paragraph" w:customStyle="1" w:styleId="129">
    <w:name w:val="paragraph1"/>
    <w:basedOn w:val="1"/>
    <w:qFormat/>
    <w:uiPriority w:val="99"/>
    <w:pPr>
      <w:spacing w:afterLines="30" w:line="360" w:lineRule="auto"/>
      <w:ind w:firstLine="420" w:firstLineChars="200"/>
    </w:pPr>
    <w:rPr>
      <w:rFonts w:ascii="Times New Roman" w:hAnsi="Times New Roman" w:eastAsia="楷体_GB2312"/>
      <w:sz w:val="24"/>
      <w:szCs w:val="20"/>
    </w:rPr>
  </w:style>
  <w:style w:type="paragraph" w:customStyle="1" w:styleId="130">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1">
    <w:name w:val="_Style 64"/>
    <w:basedOn w:val="1"/>
    <w:qFormat/>
    <w:uiPriority w:val="99"/>
    <w:rPr>
      <w:rFonts w:ascii="Times New Roman" w:hAnsi="Times New Roman"/>
      <w:sz w:val="24"/>
      <w:szCs w:val="24"/>
    </w:rPr>
  </w:style>
  <w:style w:type="paragraph" w:customStyle="1" w:styleId="132">
    <w:name w:val="Proposals body"/>
    <w:basedOn w:val="1"/>
    <w:next w:val="1"/>
    <w:qFormat/>
    <w:uiPriority w:val="0"/>
    <w:pPr>
      <w:widowControl/>
      <w:spacing w:line="360" w:lineRule="auto"/>
      <w:jc w:val="left"/>
    </w:pPr>
    <w:rPr>
      <w:rFonts w:ascii="宋体" w:hAnsi="Times New Roman"/>
      <w:color w:val="000000"/>
      <w:kern w:val="0"/>
      <w:sz w:val="24"/>
      <w:szCs w:val="20"/>
    </w:rPr>
  </w:style>
  <w:style w:type="paragraph" w:customStyle="1" w:styleId="13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4">
    <w:name w:val="样式 正文缩进 + 首行缩进:  2 字符"/>
    <w:basedOn w:val="11"/>
    <w:qFormat/>
    <w:uiPriority w:val="99"/>
    <w:pPr>
      <w:tabs>
        <w:tab w:val="left" w:pos="1080"/>
      </w:tabs>
      <w:spacing w:line="360" w:lineRule="auto"/>
      <w:ind w:left="1080" w:hanging="540"/>
    </w:pPr>
    <w:rPr>
      <w:rFonts w:ascii="宋体" w:hAnsi="宋体"/>
      <w:sz w:val="24"/>
      <w:szCs w:val="24"/>
    </w:rPr>
  </w:style>
  <w:style w:type="paragraph" w:customStyle="1" w:styleId="135">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36">
    <w:name w:val="文档正文"/>
    <w:basedOn w:val="1"/>
    <w:qFormat/>
    <w:uiPriority w:val="99"/>
    <w:pPr>
      <w:adjustRightInd w:val="0"/>
      <w:spacing w:before="60" w:after="60" w:line="360" w:lineRule="auto"/>
      <w:ind w:firstLine="227"/>
      <w:textAlignment w:val="baseline"/>
    </w:pPr>
    <w:rPr>
      <w:rFonts w:ascii="宋体" w:hAnsi="Times New Roman"/>
      <w:kern w:val="0"/>
      <w:sz w:val="24"/>
      <w:szCs w:val="24"/>
    </w:rPr>
  </w:style>
  <w:style w:type="paragraph" w:customStyle="1" w:styleId="137">
    <w:name w:val="列出段落[858D7CFB-ED40-4347-BF05-701D383B685F][858D7CFB-ED40-4347-BF05-701D383B685F]"/>
    <w:basedOn w:val="1"/>
    <w:qFormat/>
    <w:uiPriority w:val="99"/>
    <w:pPr>
      <w:ind w:firstLine="200" w:firstLineChars="200"/>
    </w:pPr>
  </w:style>
  <w:style w:type="paragraph" w:customStyle="1" w:styleId="138">
    <w:name w:val="Char Char Char Char Char Char Char Char Char"/>
    <w:basedOn w:val="1"/>
    <w:qFormat/>
    <w:uiPriority w:val="99"/>
  </w:style>
  <w:style w:type="paragraph" w:customStyle="1" w:styleId="139">
    <w:name w:val="p0"/>
    <w:basedOn w:val="1"/>
    <w:qFormat/>
    <w:uiPriority w:val="0"/>
    <w:pPr>
      <w:widowControl/>
      <w:jc w:val="left"/>
    </w:pPr>
    <w:rPr>
      <w:rFonts w:ascii="Arial" w:hAnsi="Arial" w:cs="Arial"/>
      <w:kern w:val="0"/>
      <w:sz w:val="20"/>
      <w:szCs w:val="20"/>
    </w:rPr>
  </w:style>
  <w:style w:type="paragraph" w:customStyle="1" w:styleId="140">
    <w:name w:val="样式 标题 1标题1(cj) +"/>
    <w:basedOn w:val="2"/>
    <w:qFormat/>
    <w:uiPriority w:val="99"/>
    <w:pPr>
      <w:keepNext/>
      <w:keepLines/>
      <w:tabs>
        <w:tab w:val="left" w:pos="360"/>
      </w:tabs>
      <w:spacing w:before="340" w:after="330"/>
      <w:jc w:val="left"/>
      <w:textAlignment w:val="baseline"/>
    </w:pPr>
    <w:rPr>
      <w:rFonts w:ascii="宋体" w:hAnsi="Arial" w:eastAsia="仿宋_GB2312"/>
      <w:bCs w:val="0"/>
      <w:color w:val="000000"/>
      <w:sz w:val="32"/>
      <w:szCs w:val="20"/>
    </w:rPr>
  </w:style>
  <w:style w:type="paragraph" w:customStyle="1" w:styleId="141">
    <w:name w:val="Char11"/>
    <w:basedOn w:val="1"/>
    <w:qFormat/>
    <w:uiPriority w:val="99"/>
    <w:rPr>
      <w:rFonts w:ascii="仿宋_GB2312" w:hAnsi="Times New Roman" w:eastAsia="仿宋_GB2312"/>
      <w:b/>
      <w:sz w:val="32"/>
      <w:szCs w:val="32"/>
    </w:rPr>
  </w:style>
  <w:style w:type="paragraph" w:customStyle="1" w:styleId="142">
    <w:name w:val="图文框"/>
    <w:basedOn w:val="1"/>
    <w:qFormat/>
    <w:uiPriority w:val="99"/>
    <w:pPr>
      <w:jc w:val="center"/>
    </w:pPr>
    <w:rPr>
      <w:rFonts w:ascii="仿宋_GB2312" w:hAnsi="Times New Roman" w:eastAsia="仿宋_GB2312"/>
      <w:szCs w:val="24"/>
    </w:rPr>
  </w:style>
  <w:style w:type="paragraph" w:customStyle="1" w:styleId="143">
    <w:name w:val="文档正文 Char"/>
    <w:basedOn w:val="1"/>
    <w:qFormat/>
    <w:uiPriority w:val="99"/>
    <w:pPr>
      <w:adjustRightInd w:val="0"/>
      <w:spacing w:line="500" w:lineRule="exact"/>
      <w:ind w:firstLine="567"/>
      <w:textAlignment w:val="baseline"/>
    </w:pPr>
    <w:rPr>
      <w:rFonts w:ascii="仿宋_GB2312" w:hAnsi="Times New Roman" w:eastAsia="仿宋_GB2312"/>
      <w:sz w:val="28"/>
      <w:szCs w:val="24"/>
    </w:rPr>
  </w:style>
  <w:style w:type="paragraph" w:customStyle="1" w:styleId="144">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145">
    <w:name w:val="Char Char Char Char Char Char Char"/>
    <w:basedOn w:val="1"/>
    <w:qFormat/>
    <w:uiPriority w:val="99"/>
    <w:pPr>
      <w:tabs>
        <w:tab w:val="left" w:pos="432"/>
      </w:tabs>
      <w:ind w:left="432" w:hanging="432"/>
    </w:pPr>
    <w:rPr>
      <w:rFonts w:ascii="Tahoma" w:hAnsi="Tahoma"/>
      <w:sz w:val="24"/>
      <w:szCs w:val="20"/>
    </w:rPr>
  </w:style>
  <w:style w:type="paragraph" w:customStyle="1" w:styleId="146">
    <w:name w:val="默认段落字体 Para Char Char Char Char Char Char Char Char Char1 Char Char Char Char"/>
    <w:basedOn w:val="1"/>
    <w:qFormat/>
    <w:uiPriority w:val="99"/>
    <w:rPr>
      <w:rFonts w:ascii="Tahoma" w:hAnsi="Tahoma"/>
      <w:sz w:val="24"/>
      <w:szCs w:val="20"/>
    </w:rPr>
  </w:style>
  <w:style w:type="paragraph" w:customStyle="1" w:styleId="147">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48">
    <w:name w:val="样式 标题 1 + 段后: 0.5 行"/>
    <w:basedOn w:val="2"/>
    <w:qFormat/>
    <w:uiPriority w:val="99"/>
    <w:pPr>
      <w:keepNext/>
      <w:tabs>
        <w:tab w:val="left" w:pos="360"/>
      </w:tabs>
      <w:autoSpaceDE/>
      <w:autoSpaceDN/>
      <w:adjustRightInd/>
      <w:spacing w:before="120" w:afterLines="50" w:line="240" w:lineRule="auto"/>
      <w:jc w:val="left"/>
    </w:pPr>
    <w:rPr>
      <w:rFonts w:ascii="宋体" w:eastAsia="宋体"/>
      <w:bCs w:val="0"/>
      <w:sz w:val="28"/>
      <w:szCs w:val="20"/>
    </w:rPr>
  </w:style>
  <w:style w:type="paragraph" w:customStyle="1" w:styleId="149">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50">
    <w:name w:val="7.表小四"/>
    <w:basedOn w:val="1"/>
    <w:qFormat/>
    <w:uiPriority w:val="99"/>
    <w:pPr>
      <w:spacing w:beforeLines="50" w:afterLines="50"/>
    </w:pPr>
    <w:rPr>
      <w:rFonts w:ascii="宋体" w:hAnsi="宋体"/>
      <w:sz w:val="24"/>
      <w:szCs w:val="24"/>
    </w:rPr>
  </w:style>
  <w:style w:type="paragraph" w:customStyle="1" w:styleId="151">
    <w:name w:val="Char1 Char Char Char"/>
    <w:basedOn w:val="1"/>
    <w:qFormat/>
    <w:uiPriority w:val="99"/>
    <w:rPr>
      <w:rFonts w:ascii="Tahoma" w:hAnsi="Tahoma"/>
      <w:sz w:val="24"/>
      <w:szCs w:val="20"/>
    </w:rPr>
  </w:style>
  <w:style w:type="paragraph" w:customStyle="1" w:styleId="152">
    <w:name w:val="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53">
    <w:name w:val="表格文字"/>
    <w:basedOn w:val="1"/>
    <w:qFormat/>
    <w:uiPriority w:val="99"/>
    <w:pPr>
      <w:jc w:val="left"/>
      <w:textAlignment w:val="top"/>
    </w:pPr>
    <w:rPr>
      <w:rFonts w:ascii="Times New Roman" w:hAnsi="Times New Roman"/>
      <w:sz w:val="18"/>
      <w:szCs w:val="24"/>
    </w:rPr>
  </w:style>
  <w:style w:type="paragraph" w:customStyle="1" w:styleId="1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155">
    <w:name w:val="List Paragraph1"/>
    <w:basedOn w:val="1"/>
    <w:qFormat/>
    <w:uiPriority w:val="99"/>
    <w:pPr>
      <w:ind w:firstLine="420" w:firstLineChars="200"/>
    </w:pPr>
    <w:rPr>
      <w:rFonts w:ascii="Times New Roman" w:hAnsi="Times New Roman"/>
      <w:szCs w:val="24"/>
    </w:rPr>
  </w:style>
  <w:style w:type="paragraph" w:customStyle="1" w:styleId="156">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57">
    <w:name w:val="一级标题 Char"/>
    <w:link w:val="158"/>
    <w:qFormat/>
    <w:locked/>
    <w:uiPriority w:val="99"/>
    <w:rPr>
      <w:rFonts w:ascii="宋体"/>
      <w:b/>
      <w:sz w:val="36"/>
    </w:rPr>
  </w:style>
  <w:style w:type="paragraph" w:customStyle="1" w:styleId="158">
    <w:name w:val="一级标题"/>
    <w:basedOn w:val="22"/>
    <w:link w:val="157"/>
    <w:qFormat/>
    <w:uiPriority w:val="99"/>
    <w:pPr>
      <w:spacing w:line="360" w:lineRule="auto"/>
      <w:jc w:val="center"/>
    </w:pPr>
    <w:rPr>
      <w:rFonts w:hAnsiTheme="minorHAnsi" w:eastAsiaTheme="minorEastAsia" w:cstheme="minorBidi"/>
      <w:b/>
      <w:sz w:val="36"/>
      <w:szCs w:val="22"/>
    </w:rPr>
  </w:style>
  <w:style w:type="paragraph" w:customStyle="1" w:styleId="159">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0">
    <w:name w:val="纯文本2"/>
    <w:basedOn w:val="159"/>
    <w:qFormat/>
    <w:uiPriority w:val="0"/>
    <w:pPr>
      <w:widowControl/>
      <w:jc w:val="left"/>
    </w:pPr>
    <w:rPr>
      <w:rFonts w:ascii="宋体" w:hAnsi="Courier New"/>
    </w:rPr>
  </w:style>
  <w:style w:type="paragraph" w:customStyle="1" w:styleId="161">
    <w:name w:val="List Paragraph"/>
    <w:basedOn w:val="1"/>
    <w:link w:val="245"/>
    <w:qFormat/>
    <w:uiPriority w:val="0"/>
    <w:pPr>
      <w:ind w:firstLine="420" w:firstLineChars="200"/>
    </w:pPr>
  </w:style>
  <w:style w:type="character" w:customStyle="1" w:styleId="162">
    <w:name w:val="列出段落 字符"/>
    <w:link w:val="161"/>
    <w:qFormat/>
    <w:uiPriority w:val="0"/>
    <w:rPr>
      <w:rFonts w:ascii="Calibri" w:hAnsi="Calibri" w:eastAsia="宋体" w:cs="Times New Roman"/>
    </w:rPr>
  </w:style>
  <w:style w:type="paragraph" w:customStyle="1" w:styleId="163">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64">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65">
    <w:name w:val="p1"/>
    <w:basedOn w:val="1"/>
    <w:qFormat/>
    <w:uiPriority w:val="99"/>
    <w:pPr>
      <w:widowControl/>
      <w:jc w:val="left"/>
    </w:pPr>
    <w:rPr>
      <w:rFonts w:ascii=".SF NS Text" w:hAnsi="Times New Roman" w:eastAsia=".SF NS Text"/>
      <w:kern w:val="0"/>
      <w:sz w:val="20"/>
      <w:szCs w:val="20"/>
    </w:rPr>
  </w:style>
  <w:style w:type="paragraph" w:customStyle="1" w:styleId="166">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67">
    <w:name w:val="图 字符"/>
    <w:link w:val="168"/>
    <w:qFormat/>
    <w:uiPriority w:val="0"/>
    <w:rPr>
      <w:szCs w:val="21"/>
    </w:rPr>
  </w:style>
  <w:style w:type="paragraph" w:customStyle="1" w:styleId="168">
    <w:name w:val="图"/>
    <w:basedOn w:val="1"/>
    <w:link w:val="167"/>
    <w:qFormat/>
    <w:uiPriority w:val="0"/>
    <w:pPr>
      <w:spacing w:line="360" w:lineRule="auto"/>
      <w:jc w:val="center"/>
    </w:pPr>
    <w:rPr>
      <w:rFonts w:asciiTheme="minorHAnsi" w:hAnsiTheme="minorHAnsi" w:eastAsiaTheme="minorEastAsia" w:cstheme="minorBidi"/>
      <w:szCs w:val="21"/>
    </w:rPr>
  </w:style>
  <w:style w:type="character" w:customStyle="1" w:styleId="169">
    <w:name w:val="A_正文 Char"/>
    <w:link w:val="170"/>
    <w:qFormat/>
    <w:locked/>
    <w:uiPriority w:val="0"/>
    <w:rPr>
      <w:rFonts w:ascii="仿宋_GB2312" w:eastAsia="仿宋"/>
      <w:bCs/>
      <w:color w:val="000000"/>
      <w:sz w:val="28"/>
      <w:szCs w:val="28"/>
    </w:rPr>
  </w:style>
  <w:style w:type="paragraph" w:customStyle="1" w:styleId="170">
    <w:name w:val="A_正文"/>
    <w:basedOn w:val="1"/>
    <w:link w:val="169"/>
    <w:qFormat/>
    <w:uiPriority w:val="0"/>
    <w:pPr>
      <w:spacing w:line="600" w:lineRule="exact"/>
    </w:pPr>
    <w:rPr>
      <w:rFonts w:ascii="仿宋_GB2312" w:eastAsia="仿宋" w:hAnsiTheme="minorHAnsi" w:cstheme="minorBidi"/>
      <w:bCs/>
      <w:color w:val="000000"/>
      <w:sz w:val="28"/>
      <w:szCs w:val="28"/>
    </w:rPr>
  </w:style>
  <w:style w:type="character" w:customStyle="1" w:styleId="171">
    <w:name w:val="font11"/>
    <w:qFormat/>
    <w:uiPriority w:val="0"/>
    <w:rPr>
      <w:rFonts w:hint="eastAsia" w:ascii="微软雅黑" w:hAnsi="微软雅黑" w:eastAsia="微软雅黑" w:cs="微软雅黑"/>
      <w:color w:val="000000"/>
      <w:sz w:val="20"/>
      <w:szCs w:val="20"/>
      <w:u w:val="none"/>
    </w:rPr>
  </w:style>
  <w:style w:type="character" w:customStyle="1" w:styleId="172">
    <w:name w:val="舟式样--正文 Char"/>
    <w:link w:val="173"/>
    <w:qFormat/>
    <w:uiPriority w:val="0"/>
    <w:rPr>
      <w:rFonts w:ascii="仿宋" w:hAnsi="仿宋" w:eastAsia="仿宋"/>
      <w:sz w:val="30"/>
    </w:rPr>
  </w:style>
  <w:style w:type="paragraph" w:customStyle="1" w:styleId="173">
    <w:name w:val="舟式样--正文"/>
    <w:basedOn w:val="1"/>
    <w:link w:val="172"/>
    <w:qFormat/>
    <w:uiPriority w:val="0"/>
    <w:pPr>
      <w:spacing w:line="360" w:lineRule="auto"/>
      <w:ind w:firstLine="200" w:firstLineChars="200"/>
    </w:pPr>
    <w:rPr>
      <w:rFonts w:ascii="仿宋" w:hAnsi="仿宋" w:eastAsia="仿宋" w:cstheme="minorBidi"/>
      <w:sz w:val="30"/>
    </w:rPr>
  </w:style>
  <w:style w:type="character" w:customStyle="1" w:styleId="174">
    <w:name w:val="未处理的提及1"/>
    <w:unhideWhenUsed/>
    <w:qFormat/>
    <w:uiPriority w:val="99"/>
    <w:rPr>
      <w:color w:val="605E5C"/>
      <w:shd w:val="clear" w:color="auto" w:fill="E1DFDD"/>
    </w:rPr>
  </w:style>
  <w:style w:type="character" w:customStyle="1" w:styleId="175">
    <w:name w:val="三级标题 字符"/>
    <w:link w:val="176"/>
    <w:qFormat/>
    <w:uiPriority w:val="0"/>
    <w:rPr>
      <w:rFonts w:ascii="宋体" w:hAnsi="宋体" w:eastAsia="仿宋GB2312" w:cs="宋体"/>
      <w:b/>
      <w:sz w:val="32"/>
      <w:szCs w:val="32"/>
    </w:rPr>
  </w:style>
  <w:style w:type="paragraph" w:customStyle="1" w:styleId="176">
    <w:name w:val="三级标题"/>
    <w:basedOn w:val="4"/>
    <w:link w:val="175"/>
    <w:qFormat/>
    <w:uiPriority w:val="0"/>
    <w:pPr>
      <w:adjustRightInd w:val="0"/>
      <w:spacing w:before="120" w:after="0" w:line="416" w:lineRule="atLeast"/>
      <w:ind w:left="70" w:leftChars="70"/>
      <w:textAlignment w:val="baseline"/>
    </w:pPr>
    <w:rPr>
      <w:rFonts w:ascii="宋体" w:hAnsi="宋体" w:eastAsia="仿宋GB2312" w:cs="宋体"/>
      <w:bCs w:val="0"/>
    </w:rPr>
  </w:style>
  <w:style w:type="character" w:customStyle="1" w:styleId="177">
    <w:name w:val="3级标题 字符"/>
    <w:link w:val="178"/>
    <w:qFormat/>
    <w:uiPriority w:val="0"/>
    <w:rPr>
      <w:rFonts w:eastAsia="微软雅黑" w:cs="Times New Roman"/>
      <w:b/>
      <w:bCs/>
      <w:sz w:val="32"/>
      <w:szCs w:val="32"/>
    </w:rPr>
  </w:style>
  <w:style w:type="paragraph" w:customStyle="1" w:styleId="178">
    <w:name w:val="3级标题"/>
    <w:basedOn w:val="4"/>
    <w:next w:val="1"/>
    <w:link w:val="177"/>
    <w:qFormat/>
    <w:uiPriority w:val="0"/>
    <w:pPr>
      <w:spacing w:line="415" w:lineRule="auto"/>
    </w:pPr>
    <w:rPr>
      <w:rFonts w:eastAsia="微软雅黑" w:asciiTheme="minorHAnsi" w:hAnsiTheme="minorHAnsi"/>
    </w:rPr>
  </w:style>
  <w:style w:type="character" w:customStyle="1" w:styleId="179">
    <w:name w:val="页脚 Char1"/>
    <w:qFormat/>
    <w:uiPriority w:val="99"/>
    <w:rPr>
      <w:kern w:val="2"/>
      <w:sz w:val="18"/>
      <w:szCs w:val="18"/>
    </w:rPr>
  </w:style>
  <w:style w:type="character" w:customStyle="1" w:styleId="180">
    <w:name w:val="一级标题 字符"/>
    <w:qFormat/>
    <w:uiPriority w:val="0"/>
    <w:rPr>
      <w:rFonts w:ascii="黑体" w:hAnsi="黑体" w:eastAsia="黑体"/>
      <w:bCs/>
      <w:kern w:val="44"/>
      <w:sz w:val="32"/>
      <w:szCs w:val="32"/>
    </w:rPr>
  </w:style>
  <w:style w:type="character" w:customStyle="1" w:styleId="181">
    <w:name w:val="舟-正文 Char"/>
    <w:link w:val="182"/>
    <w:qFormat/>
    <w:uiPriority w:val="0"/>
    <w:rPr>
      <w:rFonts w:ascii="仿宋" w:hAnsi="仿宋" w:eastAsia="仿宋_GB2312"/>
      <w:sz w:val="32"/>
      <w:szCs w:val="21"/>
    </w:rPr>
  </w:style>
  <w:style w:type="paragraph" w:customStyle="1" w:styleId="182">
    <w:name w:val="舟-正文"/>
    <w:basedOn w:val="1"/>
    <w:link w:val="181"/>
    <w:qFormat/>
    <w:uiPriority w:val="0"/>
    <w:pPr>
      <w:ind w:firstLine="560" w:firstLineChars="200"/>
    </w:pPr>
    <w:rPr>
      <w:rFonts w:ascii="仿宋" w:hAnsi="仿宋" w:eastAsia="仿宋_GB2312" w:cstheme="minorBidi"/>
      <w:sz w:val="32"/>
      <w:szCs w:val="21"/>
    </w:rPr>
  </w:style>
  <w:style w:type="character" w:customStyle="1" w:styleId="183">
    <w:name w:val="二级标题 字符"/>
    <w:link w:val="184"/>
    <w:qFormat/>
    <w:uiPriority w:val="0"/>
    <w:rPr>
      <w:rFonts w:ascii="仿宋GB2312" w:hAnsi="Calibri Light" w:eastAsia="楷体GB2312"/>
      <w:b/>
      <w:kern w:val="44"/>
      <w:sz w:val="32"/>
      <w:szCs w:val="32"/>
    </w:rPr>
  </w:style>
  <w:style w:type="paragraph" w:customStyle="1" w:styleId="184">
    <w:name w:val="二级标题"/>
    <w:basedOn w:val="3"/>
    <w:link w:val="183"/>
    <w:qFormat/>
    <w:uiPriority w:val="0"/>
    <w:pPr>
      <w:spacing w:line="416" w:lineRule="auto"/>
      <w:ind w:left="75" w:leftChars="75"/>
    </w:pPr>
    <w:rPr>
      <w:rFonts w:ascii="仿宋GB2312" w:hAnsi="Calibri Light" w:eastAsia="楷体GB2312" w:cstheme="minorBidi"/>
      <w:bCs w:val="0"/>
      <w:kern w:val="44"/>
    </w:rPr>
  </w:style>
  <w:style w:type="character" w:customStyle="1" w:styleId="185">
    <w:name w:val="标题 3 字符1"/>
    <w:qFormat/>
    <w:uiPriority w:val="0"/>
    <w:rPr>
      <w:rFonts w:ascii="Calibri" w:hAnsi="Calibri" w:eastAsia="黑体" w:cs="Times New Roman"/>
      <w:b/>
      <w:kern w:val="0"/>
      <w:sz w:val="32"/>
      <w:szCs w:val="20"/>
    </w:rPr>
  </w:style>
  <w:style w:type="character" w:customStyle="1" w:styleId="186">
    <w:name w:val="舟式样-标题2 字符"/>
    <w:link w:val="187"/>
    <w:qFormat/>
    <w:locked/>
    <w:uiPriority w:val="0"/>
    <w:rPr>
      <w:rFonts w:ascii="黑体" w:hAnsi="Cambria" w:eastAsia="楷体_GB2312"/>
      <w:b/>
      <w:bCs/>
      <w:sz w:val="32"/>
      <w:szCs w:val="32"/>
    </w:rPr>
  </w:style>
  <w:style w:type="paragraph" w:customStyle="1" w:styleId="187">
    <w:name w:val="舟式样-标题2"/>
    <w:basedOn w:val="3"/>
    <w:next w:val="1"/>
    <w:link w:val="186"/>
    <w:qFormat/>
    <w:uiPriority w:val="0"/>
    <w:pPr>
      <w:numPr>
        <w:ilvl w:val="0"/>
        <w:numId w:val="1"/>
      </w:numPr>
      <w:spacing w:before="0" w:after="0" w:line="360" w:lineRule="auto"/>
    </w:pPr>
    <w:rPr>
      <w:rFonts w:ascii="黑体" w:hAnsi="Cambria" w:eastAsia="楷体_GB2312" w:cstheme="minorBidi"/>
    </w:rPr>
  </w:style>
  <w:style w:type="character" w:customStyle="1" w:styleId="188">
    <w:name w:val="正文文本首行缩进 字符"/>
    <w:link w:val="189"/>
    <w:qFormat/>
    <w:uiPriority w:val="0"/>
    <w:rPr>
      <w:rFonts w:ascii="Times New Roman"/>
    </w:rPr>
  </w:style>
  <w:style w:type="paragraph" w:customStyle="1" w:styleId="189">
    <w:name w:val="_Style 187"/>
    <w:basedOn w:val="1"/>
    <w:next w:val="1"/>
    <w:link w:val="188"/>
    <w:unhideWhenUsed/>
    <w:qFormat/>
    <w:uiPriority w:val="0"/>
    <w:pPr>
      <w:ind w:left="2560"/>
      <w:jc w:val="left"/>
    </w:pPr>
    <w:rPr>
      <w:rFonts w:ascii="Times New Roman" w:hAnsiTheme="minorHAnsi" w:eastAsiaTheme="minorEastAsia" w:cstheme="minorBidi"/>
    </w:rPr>
  </w:style>
  <w:style w:type="character" w:customStyle="1" w:styleId="190">
    <w:name w:val="方案正文 字符"/>
    <w:link w:val="191"/>
    <w:qFormat/>
    <w:uiPriority w:val="0"/>
    <w:rPr>
      <w:rFonts w:ascii="仿宋" w:hAnsi="仿宋" w:eastAsia="仿宋" w:cs="宋体"/>
      <w:color w:val="000000"/>
      <w:sz w:val="28"/>
      <w:szCs w:val="32"/>
    </w:rPr>
  </w:style>
  <w:style w:type="paragraph" w:customStyle="1" w:styleId="191">
    <w:name w:val="方案正文"/>
    <w:basedOn w:val="161"/>
    <w:link w:val="190"/>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2">
    <w:name w:val="正文2019 Char"/>
    <w:link w:val="193"/>
    <w:qFormat/>
    <w:uiPriority w:val="0"/>
    <w:rPr>
      <w:rFonts w:ascii="仿宋" w:hAnsi="仿宋" w:eastAsia="仿宋"/>
      <w:sz w:val="32"/>
      <w:szCs w:val="32"/>
    </w:rPr>
  </w:style>
  <w:style w:type="paragraph" w:customStyle="1" w:styleId="193">
    <w:name w:val="正文2019"/>
    <w:basedOn w:val="1"/>
    <w:link w:val="192"/>
    <w:qFormat/>
    <w:uiPriority w:val="0"/>
    <w:pPr>
      <w:spacing w:line="276" w:lineRule="auto"/>
      <w:ind w:firstLine="630" w:firstLineChars="200"/>
      <w:jc w:val="left"/>
    </w:pPr>
    <w:rPr>
      <w:rFonts w:ascii="仿宋" w:hAnsi="仿宋" w:eastAsia="仿宋" w:cstheme="minorBidi"/>
      <w:sz w:val="32"/>
      <w:szCs w:val="32"/>
    </w:rPr>
  </w:style>
  <w:style w:type="character" w:customStyle="1" w:styleId="194">
    <w:name w:val="投标正文 Char Char"/>
    <w:link w:val="195"/>
    <w:qFormat/>
    <w:uiPriority w:val="0"/>
    <w:rPr>
      <w:sz w:val="24"/>
      <w:szCs w:val="24"/>
    </w:rPr>
  </w:style>
  <w:style w:type="paragraph" w:customStyle="1" w:styleId="195">
    <w:name w:val="投标正文"/>
    <w:basedOn w:val="1"/>
    <w:link w:val="194"/>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6">
    <w:name w:val="*正文 Char"/>
    <w:link w:val="197"/>
    <w:qFormat/>
    <w:uiPriority w:val="0"/>
    <w:rPr>
      <w:rFonts w:ascii="Time" w:hAnsi="Time"/>
      <w:sz w:val="24"/>
      <w:szCs w:val="24"/>
      <w:lang w:val="zh-CN" w:bidi="en-US"/>
    </w:rPr>
  </w:style>
  <w:style w:type="paragraph" w:customStyle="1" w:styleId="197">
    <w:name w:val="*正文"/>
    <w:basedOn w:val="1"/>
    <w:link w:val="196"/>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8">
    <w:name w:val="列出段落3"/>
    <w:basedOn w:val="1"/>
    <w:qFormat/>
    <w:uiPriority w:val="99"/>
    <w:pPr>
      <w:ind w:firstLine="420" w:firstLineChars="200"/>
    </w:pPr>
    <w:rPr>
      <w:sz w:val="32"/>
      <w:szCs w:val="24"/>
    </w:rPr>
  </w:style>
  <w:style w:type="paragraph" w:customStyle="1" w:styleId="199">
    <w:name w:val="列出段落7"/>
    <w:basedOn w:val="1"/>
    <w:qFormat/>
    <w:uiPriority w:val="34"/>
    <w:pPr>
      <w:spacing w:line="360" w:lineRule="auto"/>
      <w:ind w:firstLine="420" w:firstLineChars="200"/>
    </w:pPr>
    <w:rPr>
      <w:rFonts w:eastAsia="仿宋_GB2312" w:cs="宋体"/>
      <w:sz w:val="32"/>
      <w:szCs w:val="21"/>
    </w:rPr>
  </w:style>
  <w:style w:type="paragraph" w:customStyle="1" w:styleId="200">
    <w:name w:val="TOC 标题1"/>
    <w:basedOn w:val="2"/>
    <w:next w:val="1"/>
    <w:qFormat/>
    <w:uiPriority w:val="39"/>
    <w:pPr>
      <w:keepNext/>
      <w:keepLines/>
      <w:widowControl/>
      <w:autoSpaceDE/>
      <w:autoSpaceDN/>
      <w:adjustRightInd/>
      <w:spacing w:before="240" w:line="259" w:lineRule="auto"/>
      <w:jc w:val="left"/>
      <w:outlineLvl w:val="9"/>
    </w:pPr>
    <w:rPr>
      <w:rFonts w:ascii="等线 Light" w:hAnsi="等线 Light" w:eastAsia="等线 Light"/>
      <w:b w:val="0"/>
      <w:bCs w:val="0"/>
      <w:color w:val="2F5496"/>
      <w:sz w:val="32"/>
      <w:szCs w:val="32"/>
    </w:rPr>
  </w:style>
  <w:style w:type="paragraph" w:customStyle="1" w:styleId="201">
    <w:name w:val="自定义正文"/>
    <w:basedOn w:val="1"/>
    <w:qFormat/>
    <w:uiPriority w:val="0"/>
    <w:pPr>
      <w:spacing w:before="120" w:after="60" w:line="400" w:lineRule="exact"/>
      <w:ind w:firstLine="200" w:firstLineChars="200"/>
      <w:jc w:val="left"/>
    </w:pPr>
    <w:rPr>
      <w:rFonts w:ascii="仿宋_GB2312" w:hAnsi="Times New Roman" w:eastAsia="仿宋_GB2312"/>
      <w:sz w:val="24"/>
      <w:szCs w:val="20"/>
    </w:rPr>
  </w:style>
  <w:style w:type="paragraph" w:customStyle="1" w:styleId="202">
    <w:name w:val="修订1"/>
    <w:unhideWhenUsed/>
    <w:qFormat/>
    <w:uiPriority w:val="99"/>
    <w:rPr>
      <w:rFonts w:ascii="等线" w:hAnsi="等线" w:eastAsia="等线" w:cs="Times New Roman"/>
      <w:kern w:val="2"/>
      <w:sz w:val="21"/>
      <w:szCs w:val="22"/>
      <w:lang w:val="en-US" w:eastAsia="zh-CN" w:bidi="ar-SA"/>
    </w:rPr>
  </w:style>
  <w:style w:type="paragraph" w:customStyle="1" w:styleId="203">
    <w:name w:val="样式 正文首行缩进 2 + 首行缩进:  2 字符"/>
    <w:basedOn w:val="1"/>
    <w:qFormat/>
    <w:uiPriority w:val="0"/>
    <w:pPr>
      <w:spacing w:line="360" w:lineRule="auto"/>
      <w:ind w:firstLine="480" w:firstLineChars="200"/>
    </w:pPr>
    <w:rPr>
      <w:rFonts w:ascii="等线" w:hAnsi="等线" w:eastAsia="仿宋"/>
      <w:sz w:val="32"/>
      <w:szCs w:val="21"/>
    </w:rPr>
  </w:style>
  <w:style w:type="paragraph" w:customStyle="1" w:styleId="204">
    <w:name w:val="A正文小四"/>
    <w:basedOn w:val="1"/>
    <w:qFormat/>
    <w:uiPriority w:val="0"/>
    <w:pPr>
      <w:spacing w:line="360" w:lineRule="auto"/>
      <w:ind w:firstLine="200" w:firstLineChars="200"/>
    </w:pPr>
    <w:rPr>
      <w:rFonts w:ascii="Times New Roman" w:hAnsi="Times New Roman" w:eastAsia="仿宋"/>
      <w:sz w:val="30"/>
      <w:szCs w:val="24"/>
    </w:rPr>
  </w:style>
  <w:style w:type="paragraph" w:customStyle="1" w:styleId="205">
    <w:name w:val="修订2"/>
    <w:hidden/>
    <w:semiHidden/>
    <w:qFormat/>
    <w:uiPriority w:val="99"/>
    <w:rPr>
      <w:rFonts w:ascii="Calibri" w:hAnsi="Calibri" w:eastAsia="宋体" w:cs="Times New Roman"/>
      <w:kern w:val="2"/>
      <w:sz w:val="21"/>
      <w:szCs w:val="22"/>
      <w:lang w:val="en-US" w:eastAsia="zh-CN" w:bidi="ar-SA"/>
    </w:rPr>
  </w:style>
  <w:style w:type="paragraph" w:customStyle="1" w:styleId="206">
    <w:name w:val="一级章标题"/>
    <w:basedOn w:val="2"/>
    <w:next w:val="207"/>
    <w:qFormat/>
    <w:uiPriority w:val="0"/>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07">
    <w:name w:val="二级节标题"/>
    <w:basedOn w:val="3"/>
    <w:next w:val="208"/>
    <w:qFormat/>
    <w:uiPriority w:val="0"/>
    <w:pPr>
      <w:tabs>
        <w:tab w:val="left" w:pos="360"/>
      </w:tabs>
      <w:spacing w:before="480" w:after="360" w:line="240" w:lineRule="auto"/>
      <w:contextualSpacing/>
      <w:jc w:val="left"/>
    </w:pPr>
    <w:rPr>
      <w:rFonts w:ascii="Times New Roman" w:hAnsi="Times New Roman"/>
      <w:bCs w:val="0"/>
    </w:rPr>
  </w:style>
  <w:style w:type="paragraph" w:customStyle="1" w:styleId="208">
    <w:name w:val="三级节标题"/>
    <w:basedOn w:val="4"/>
    <w:next w:val="209"/>
    <w:qFormat/>
    <w:uiPriority w:val="0"/>
    <w:pPr>
      <w:tabs>
        <w:tab w:val="left" w:pos="360"/>
      </w:tabs>
      <w:spacing w:before="400" w:after="320" w:line="240" w:lineRule="auto"/>
      <w:contextualSpacing/>
      <w:jc w:val="left"/>
    </w:pPr>
    <w:rPr>
      <w:rFonts w:ascii="Times New Roman" w:hAnsi="Times New Roman" w:eastAsia="黑体"/>
      <w:sz w:val="30"/>
    </w:rPr>
  </w:style>
  <w:style w:type="paragraph" w:customStyle="1" w:styleId="209">
    <w:name w:val="四级节标题"/>
    <w:basedOn w:val="5"/>
    <w:next w:val="210"/>
    <w:qFormat/>
    <w:uiPriority w:val="0"/>
    <w:pPr>
      <w:tabs>
        <w:tab w:val="left" w:pos="360"/>
      </w:tabs>
      <w:spacing w:before="320" w:after="280" w:line="240" w:lineRule="auto"/>
      <w:contextualSpacing/>
    </w:pPr>
    <w:rPr>
      <w:rFonts w:ascii="Times New Roman" w:hAnsi="Times New Roman"/>
    </w:rPr>
  </w:style>
  <w:style w:type="paragraph" w:customStyle="1" w:styleId="210">
    <w:name w:val="五级节标题"/>
    <w:basedOn w:val="6"/>
    <w:next w:val="211"/>
    <w:qFormat/>
    <w:uiPriority w:val="0"/>
    <w:pPr>
      <w:tabs>
        <w:tab w:val="left" w:pos="360"/>
      </w:tabs>
      <w:spacing w:before="240" w:after="200" w:line="240" w:lineRule="auto"/>
      <w:contextualSpacing/>
    </w:pPr>
    <w:rPr>
      <w:rFonts w:eastAsia="仿宋_GB2312"/>
    </w:rPr>
  </w:style>
  <w:style w:type="paragraph" w:customStyle="1" w:styleId="211">
    <w:name w:val="六级节标题"/>
    <w:basedOn w:val="7"/>
    <w:next w:val="1"/>
    <w:qFormat/>
    <w:uiPriority w:val="0"/>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2">
    <w:name w:val="可研正文"/>
    <w:basedOn w:val="1"/>
    <w:qFormat/>
    <w:uiPriority w:val="0"/>
    <w:pPr>
      <w:spacing w:line="360" w:lineRule="auto"/>
      <w:ind w:firstLine="200" w:firstLineChars="200"/>
    </w:pPr>
    <w:rPr>
      <w:rFonts w:eastAsia="仿宋_GB2312"/>
      <w:bCs/>
      <w:kern w:val="0"/>
      <w:sz w:val="28"/>
      <w:szCs w:val="20"/>
    </w:rPr>
  </w:style>
  <w:style w:type="paragraph" w:customStyle="1" w:styleId="213">
    <w:name w:val="二级章标题"/>
    <w:basedOn w:val="207"/>
    <w:qFormat/>
    <w:uiPriority w:val="0"/>
    <w:pPr>
      <w:numPr>
        <w:ilvl w:val="0"/>
        <w:numId w:val="2"/>
      </w:numPr>
      <w:spacing w:beforeLines="100" w:afterLines="50" w:line="360" w:lineRule="auto"/>
      <w:ind w:left="981" w:firstLine="0"/>
    </w:pPr>
    <w:rPr>
      <w:rFonts w:ascii="仿宋" w:hAnsi="仿宋" w:eastAsia="仿宋" w:cs="仿宋"/>
      <w:color w:val="000000"/>
      <w:sz w:val="30"/>
      <w:szCs w:val="30"/>
      <w:shd w:val="clear" w:color="auto" w:fill="FFFFFF"/>
    </w:rPr>
  </w:style>
  <w:style w:type="paragraph" w:customStyle="1" w:styleId="214">
    <w:name w:val="三级章标题"/>
    <w:basedOn w:val="208"/>
    <w:qFormat/>
    <w:uiPriority w:val="0"/>
    <w:pPr>
      <w:numPr>
        <w:ilvl w:val="0"/>
        <w:numId w:val="3"/>
      </w:numPr>
      <w:spacing w:beforeLines="50" w:after="0" w:line="360" w:lineRule="auto"/>
      <w:ind w:left="919" w:firstLine="0"/>
    </w:pPr>
    <w:rPr>
      <w:rFonts w:ascii="仿宋" w:hAnsi="仿宋" w:eastAsia="仿宋"/>
    </w:rPr>
  </w:style>
  <w:style w:type="paragraph" w:customStyle="1" w:styleId="215">
    <w:name w:val="样式 仿宋 三号 黑色 行距: 1.5 倍行距 首行缩进:  2 字符"/>
    <w:basedOn w:val="1"/>
    <w:qFormat/>
    <w:uiPriority w:val="0"/>
    <w:pPr>
      <w:spacing w:line="360" w:lineRule="auto"/>
      <w:ind w:firstLine="640" w:firstLineChars="200"/>
    </w:pPr>
    <w:rPr>
      <w:rFonts w:ascii="仿宋" w:hAnsi="仿宋" w:eastAsia="仿宋" w:cs="宋体"/>
      <w:color w:val="000000"/>
      <w:sz w:val="28"/>
      <w:szCs w:val="20"/>
    </w:rPr>
  </w:style>
  <w:style w:type="character" w:customStyle="1" w:styleId="216">
    <w:name w:val="纯文本 Char2"/>
    <w:qFormat/>
    <w:uiPriority w:val="99"/>
    <w:rPr>
      <w:rFonts w:ascii="宋体" w:hAnsi="Courier New" w:eastAsia="宋体" w:cs="Times New Roman"/>
      <w:kern w:val="2"/>
      <w:sz w:val="24"/>
      <w:szCs w:val="24"/>
    </w:rPr>
  </w:style>
  <w:style w:type="character" w:customStyle="1" w:styleId="217">
    <w:name w:val="正文缩进 Char1"/>
    <w:qFormat/>
    <w:uiPriority w:val="0"/>
    <w:rPr>
      <w:rFonts w:ascii="Calibri" w:hAnsi="Calibri" w:eastAsia="宋体" w:cs="Times New Roman"/>
      <w:kern w:val="2"/>
      <w:sz w:val="21"/>
      <w:lang w:val="en-US" w:eastAsia="zh-CN" w:bidi="ar-SA"/>
    </w:rPr>
  </w:style>
  <w:style w:type="character" w:customStyle="1" w:styleId="218">
    <w:name w:val="题注 字符"/>
    <w:link w:val="12"/>
    <w:qFormat/>
    <w:uiPriority w:val="0"/>
    <w:rPr>
      <w:rFonts w:ascii="Arial" w:hAnsi="Arial" w:eastAsia="黑体" w:cs="Arial"/>
      <w:sz w:val="20"/>
      <w:szCs w:val="20"/>
    </w:rPr>
  </w:style>
  <w:style w:type="character" w:customStyle="1" w:styleId="219">
    <w:name w:val="页眉 Char"/>
    <w:basedOn w:val="45"/>
    <w:link w:val="28"/>
    <w:qFormat/>
    <w:uiPriority w:val="99"/>
    <w:rPr>
      <w:rFonts w:asciiTheme="minorHAnsi" w:hAnsiTheme="minorHAnsi" w:eastAsiaTheme="minorEastAsia" w:cstheme="minorBidi"/>
      <w:sz w:val="18"/>
      <w:szCs w:val="18"/>
    </w:rPr>
  </w:style>
  <w:style w:type="character" w:customStyle="1" w:styleId="220">
    <w:name w:val="页脚 Char"/>
    <w:basedOn w:val="45"/>
    <w:link w:val="27"/>
    <w:qFormat/>
    <w:uiPriority w:val="99"/>
    <w:rPr>
      <w:rFonts w:asciiTheme="minorHAnsi" w:hAnsiTheme="minorHAnsi" w:eastAsiaTheme="minorEastAsia" w:cstheme="minorBidi"/>
      <w:sz w:val="18"/>
      <w:szCs w:val="18"/>
    </w:rPr>
  </w:style>
  <w:style w:type="character" w:customStyle="1" w:styleId="221">
    <w:name w:val="标题 2 Char"/>
    <w:basedOn w:val="45"/>
    <w:link w:val="3"/>
    <w:qFormat/>
    <w:uiPriority w:val="9"/>
    <w:rPr>
      <w:rFonts w:ascii="Arial" w:hAnsi="Arial" w:eastAsia="黑体" w:cs="Times New Roman"/>
      <w:b/>
      <w:bCs/>
      <w:sz w:val="32"/>
      <w:szCs w:val="32"/>
    </w:rPr>
  </w:style>
  <w:style w:type="character" w:customStyle="1" w:styleId="222">
    <w:name w:val="标题 3 Char"/>
    <w:basedOn w:val="45"/>
    <w:link w:val="4"/>
    <w:qFormat/>
    <w:uiPriority w:val="0"/>
    <w:rPr>
      <w:rFonts w:ascii="Calibri" w:hAnsi="Calibri" w:eastAsia="宋体" w:cs="Times New Roman"/>
      <w:b/>
      <w:bCs/>
      <w:sz w:val="32"/>
      <w:szCs w:val="32"/>
    </w:rPr>
  </w:style>
  <w:style w:type="character" w:customStyle="1" w:styleId="223">
    <w:name w:val="标题 5 Char"/>
    <w:basedOn w:val="45"/>
    <w:link w:val="6"/>
    <w:qFormat/>
    <w:uiPriority w:val="9"/>
    <w:rPr>
      <w:rFonts w:ascii="Times New Roman" w:hAnsi="Times New Roman" w:eastAsia="宋体" w:cs="Times New Roman"/>
      <w:b/>
      <w:bCs/>
      <w:sz w:val="28"/>
      <w:szCs w:val="28"/>
    </w:rPr>
  </w:style>
  <w:style w:type="character" w:customStyle="1" w:styleId="224">
    <w:name w:val="文档结构图 Char"/>
    <w:basedOn w:val="45"/>
    <w:link w:val="13"/>
    <w:qFormat/>
    <w:uiPriority w:val="99"/>
    <w:rPr>
      <w:rFonts w:ascii="宋体" w:hAnsi="Times New Roman" w:eastAsia="宋体" w:cs="Times New Roman"/>
      <w:sz w:val="18"/>
      <w:szCs w:val="18"/>
    </w:rPr>
  </w:style>
  <w:style w:type="character" w:customStyle="1" w:styleId="225">
    <w:name w:val="正文文本 3 Char"/>
    <w:basedOn w:val="45"/>
    <w:link w:val="15"/>
    <w:qFormat/>
    <w:uiPriority w:val="0"/>
    <w:rPr>
      <w:rFonts w:ascii="Times New Roman" w:hAnsi="宋体" w:eastAsia="仿宋_GB2312" w:cs="Times New Roman"/>
      <w:b/>
      <w:bCs/>
      <w:sz w:val="24"/>
      <w:szCs w:val="20"/>
    </w:rPr>
  </w:style>
  <w:style w:type="character" w:customStyle="1" w:styleId="226">
    <w:name w:val="正文文本 Char"/>
    <w:basedOn w:val="45"/>
    <w:link w:val="16"/>
    <w:qFormat/>
    <w:uiPriority w:val="99"/>
    <w:rPr>
      <w:rFonts w:ascii="Times New Roman" w:hAnsi="Times New Roman" w:eastAsia="宋体" w:cs="Times New Roman"/>
      <w:sz w:val="28"/>
      <w:szCs w:val="24"/>
    </w:rPr>
  </w:style>
  <w:style w:type="character" w:customStyle="1" w:styleId="227">
    <w:name w:val="正文文本缩进 Char"/>
    <w:basedOn w:val="45"/>
    <w:link w:val="17"/>
    <w:qFormat/>
    <w:uiPriority w:val="99"/>
    <w:rPr>
      <w:rFonts w:ascii="宋体" w:hAnsi="Courier New" w:eastAsia="宋体" w:cs="Times New Roman"/>
      <w:spacing w:val="-4"/>
      <w:sz w:val="18"/>
      <w:szCs w:val="20"/>
    </w:rPr>
  </w:style>
  <w:style w:type="character" w:customStyle="1" w:styleId="228">
    <w:name w:val="纯文本 Char"/>
    <w:basedOn w:val="45"/>
    <w:link w:val="22"/>
    <w:qFormat/>
    <w:uiPriority w:val="0"/>
    <w:rPr>
      <w:rFonts w:ascii="宋体" w:hAnsi="Courier New" w:eastAsia="宋体" w:cs="Times New Roman"/>
      <w:sz w:val="24"/>
      <w:szCs w:val="24"/>
    </w:rPr>
  </w:style>
  <w:style w:type="character" w:customStyle="1" w:styleId="229">
    <w:name w:val="日期 Char"/>
    <w:basedOn w:val="45"/>
    <w:link w:val="24"/>
    <w:qFormat/>
    <w:uiPriority w:val="0"/>
    <w:rPr>
      <w:rFonts w:ascii="Times New Roman" w:hAnsi="Times New Roman" w:eastAsia="楷体_GB2312" w:cs="Times New Roman"/>
      <w:sz w:val="32"/>
      <w:szCs w:val="20"/>
    </w:rPr>
  </w:style>
  <w:style w:type="character" w:customStyle="1" w:styleId="230">
    <w:name w:val="正文文本缩进 2 Char"/>
    <w:basedOn w:val="45"/>
    <w:link w:val="25"/>
    <w:qFormat/>
    <w:uiPriority w:val="99"/>
    <w:rPr>
      <w:rFonts w:ascii="仿宋_GB2312" w:hAnsi="宋体" w:eastAsia="宋体" w:cs="Arial"/>
      <w:b/>
      <w:bCs/>
      <w:color w:val="000000"/>
      <w:sz w:val="24"/>
      <w:szCs w:val="24"/>
    </w:rPr>
  </w:style>
  <w:style w:type="character" w:customStyle="1" w:styleId="231">
    <w:name w:val="批注框文本 Char"/>
    <w:basedOn w:val="45"/>
    <w:link w:val="26"/>
    <w:qFormat/>
    <w:uiPriority w:val="99"/>
    <w:rPr>
      <w:rFonts w:ascii="Calibri" w:hAnsi="Calibri" w:eastAsia="宋体" w:cs="Times New Roman"/>
      <w:sz w:val="18"/>
      <w:szCs w:val="18"/>
    </w:rPr>
  </w:style>
  <w:style w:type="character" w:customStyle="1" w:styleId="232">
    <w:name w:val="脚注文本 Char"/>
    <w:basedOn w:val="45"/>
    <w:link w:val="32"/>
    <w:semiHidden/>
    <w:qFormat/>
    <w:uiPriority w:val="99"/>
    <w:rPr>
      <w:rFonts w:ascii="Calibri" w:hAnsi="Calibri" w:eastAsia="宋体" w:cs="Times New Roman"/>
      <w:sz w:val="18"/>
      <w:szCs w:val="18"/>
    </w:rPr>
  </w:style>
  <w:style w:type="character" w:customStyle="1" w:styleId="233">
    <w:name w:val="正文文本缩进 3 Char"/>
    <w:basedOn w:val="45"/>
    <w:link w:val="34"/>
    <w:qFormat/>
    <w:uiPriority w:val="99"/>
    <w:rPr>
      <w:rFonts w:ascii="仿宋_GB2312" w:hAnsi="宋体" w:eastAsia="仿宋_GB2312" w:cs="Times New Roman"/>
      <w:color w:val="000000"/>
      <w:sz w:val="24"/>
      <w:szCs w:val="24"/>
    </w:rPr>
  </w:style>
  <w:style w:type="character" w:customStyle="1" w:styleId="234">
    <w:name w:val="正文文本 2 Char"/>
    <w:basedOn w:val="45"/>
    <w:link w:val="37"/>
    <w:qFormat/>
    <w:uiPriority w:val="0"/>
    <w:rPr>
      <w:rFonts w:ascii="宋体" w:hAnsi="宋体" w:eastAsia="宋体" w:cs="Times New Roman"/>
      <w:color w:val="000000"/>
      <w:sz w:val="24"/>
      <w:szCs w:val="24"/>
    </w:rPr>
  </w:style>
  <w:style w:type="character" w:customStyle="1" w:styleId="235">
    <w:name w:val="HTML 预设格式 Char"/>
    <w:basedOn w:val="45"/>
    <w:link w:val="38"/>
    <w:qFormat/>
    <w:uiPriority w:val="99"/>
    <w:rPr>
      <w:rFonts w:ascii="Courier New" w:hAnsi="Courier New" w:eastAsia="宋体" w:cs="Times New Roman"/>
      <w:sz w:val="20"/>
      <w:szCs w:val="20"/>
    </w:rPr>
  </w:style>
  <w:style w:type="character" w:customStyle="1" w:styleId="236">
    <w:name w:val="标题 Char"/>
    <w:basedOn w:val="45"/>
    <w:link w:val="40"/>
    <w:qFormat/>
    <w:uiPriority w:val="99"/>
    <w:rPr>
      <w:rFonts w:ascii="Cambria" w:hAnsi="Cambria" w:eastAsia="宋体" w:cs="Times New Roman"/>
      <w:b/>
      <w:bCs/>
      <w:kern w:val="0"/>
      <w:sz w:val="32"/>
      <w:szCs w:val="32"/>
    </w:rPr>
  </w:style>
  <w:style w:type="character" w:customStyle="1" w:styleId="237">
    <w:name w:val="批注主题 Char"/>
    <w:basedOn w:val="63"/>
    <w:link w:val="41"/>
    <w:qFormat/>
    <w:uiPriority w:val="99"/>
    <w:rPr>
      <w:rFonts w:ascii="Calibri" w:hAnsi="Calibri" w:eastAsia="宋体" w:cs="Times New Roman"/>
      <w:b/>
      <w:bCs/>
    </w:rPr>
  </w:style>
  <w:style w:type="character" w:customStyle="1" w:styleId="238">
    <w:name w:val="正文首行缩进 Char"/>
    <w:basedOn w:val="226"/>
    <w:link w:val="42"/>
    <w:qFormat/>
    <w:uiPriority w:val="99"/>
    <w:rPr>
      <w:rFonts w:ascii="Calibri" w:hAnsi="Calibri" w:eastAsia="宋体" w:cs="Times New Roman"/>
      <w:sz w:val="28"/>
      <w:szCs w:val="24"/>
    </w:rPr>
  </w:style>
  <w:style w:type="character" w:customStyle="1" w:styleId="239">
    <w:name w:val="标题 1 Char"/>
    <w:basedOn w:val="45"/>
    <w:link w:val="2"/>
    <w:qFormat/>
    <w:locked/>
    <w:uiPriority w:val="0"/>
    <w:rPr>
      <w:rFonts w:ascii="Times New Roman" w:hAnsi="Times New Roman" w:eastAsia="隶书" w:cs="Times New Roman"/>
      <w:b/>
      <w:bCs/>
      <w:kern w:val="0"/>
      <w:sz w:val="36"/>
      <w:szCs w:val="36"/>
    </w:rPr>
  </w:style>
  <w:style w:type="character" w:customStyle="1" w:styleId="240">
    <w:name w:val="标题 4 Char"/>
    <w:basedOn w:val="45"/>
    <w:link w:val="5"/>
    <w:qFormat/>
    <w:locked/>
    <w:uiPriority w:val="9"/>
    <w:rPr>
      <w:rFonts w:ascii="Arial" w:hAnsi="Arial" w:eastAsia="黑体" w:cs="Times New Roman"/>
      <w:b/>
      <w:bCs/>
      <w:sz w:val="28"/>
      <w:szCs w:val="28"/>
    </w:rPr>
  </w:style>
  <w:style w:type="character" w:customStyle="1" w:styleId="241">
    <w:name w:val="标题 6 Char"/>
    <w:basedOn w:val="45"/>
    <w:link w:val="7"/>
    <w:qFormat/>
    <w:locked/>
    <w:uiPriority w:val="9"/>
    <w:rPr>
      <w:rFonts w:ascii="Arial" w:hAnsi="Arial" w:eastAsia="黑体" w:cs="Times New Roman"/>
      <w:b/>
      <w:bCs/>
      <w:sz w:val="24"/>
      <w:szCs w:val="24"/>
    </w:rPr>
  </w:style>
  <w:style w:type="character" w:customStyle="1" w:styleId="242">
    <w:name w:val="标题 7 Char"/>
    <w:basedOn w:val="45"/>
    <w:link w:val="8"/>
    <w:qFormat/>
    <w:locked/>
    <w:uiPriority w:val="9"/>
    <w:rPr>
      <w:rFonts w:ascii="宋体" w:hAnsi="宋体" w:eastAsia="宋体" w:cs="Times New Roman"/>
      <w:b/>
      <w:bCs/>
      <w:kern w:val="0"/>
      <w:sz w:val="24"/>
      <w:szCs w:val="24"/>
    </w:rPr>
  </w:style>
  <w:style w:type="character" w:customStyle="1" w:styleId="243">
    <w:name w:val="正文缩进 Char"/>
    <w:link w:val="11"/>
    <w:qFormat/>
    <w:locked/>
    <w:uiPriority w:val="0"/>
    <w:rPr>
      <w:rFonts w:ascii="Times New Roman" w:hAnsi="Times New Roman" w:eastAsia="宋体" w:cs="Times New Roman"/>
      <w:szCs w:val="20"/>
    </w:rPr>
  </w:style>
  <w:style w:type="character" w:customStyle="1" w:styleId="244">
    <w:name w:val="批注文字 Char"/>
    <w:basedOn w:val="45"/>
    <w:link w:val="14"/>
    <w:qFormat/>
    <w:locked/>
    <w:uiPriority w:val="99"/>
    <w:rPr>
      <w:rFonts w:ascii="Calibri" w:hAnsi="Calibri" w:eastAsia="宋体" w:cs="Times New Roman"/>
    </w:rPr>
  </w:style>
  <w:style w:type="character" w:customStyle="1" w:styleId="245">
    <w:name w:val="列出段落 Char"/>
    <w:link w:val="161"/>
    <w:qFormat/>
    <w:uiPriority w:val="0"/>
    <w:rPr>
      <w:rFonts w:ascii="Calibri" w:hAnsi="Calibri" w:eastAsia="宋体" w:cs="Times New Roman"/>
    </w:rPr>
  </w:style>
  <w:style w:type="character" w:customStyle="1" w:styleId="246">
    <w:name w:val="题注 Char"/>
    <w:link w:val="12"/>
    <w:qFormat/>
    <w:uiPriority w:val="0"/>
    <w:rPr>
      <w:rFonts w:ascii="Arial" w:hAnsi="Arial" w:eastAsia="黑体" w:cs="Arial"/>
      <w:sz w:val="20"/>
      <w:szCs w:val="20"/>
    </w:rPr>
  </w:style>
  <w:style w:type="character" w:customStyle="1" w:styleId="247">
    <w:name w:val="无间隔 Char"/>
    <w:link w:val="248"/>
    <w:qFormat/>
    <w:locked/>
    <w:uiPriority w:val="1"/>
    <w:rPr>
      <w:rFonts w:cs="Calibri" w:asciiTheme="minorHAnsi" w:hAnsiTheme="minorHAnsi" w:eastAsiaTheme="minorEastAsia"/>
      <w:kern w:val="2"/>
      <w:sz w:val="21"/>
      <w:szCs w:val="22"/>
      <w:lang w:val="en-US" w:eastAsia="zh-CN" w:bidi="ar-SA"/>
    </w:rPr>
  </w:style>
  <w:style w:type="paragraph" w:customStyle="1" w:styleId="248">
    <w:name w:val="No Spacing"/>
    <w:link w:val="247"/>
    <w:qFormat/>
    <w:uiPriority w:val="1"/>
    <w:pPr>
      <w:widowControl w:val="0"/>
      <w:jc w:val="both"/>
    </w:pPr>
    <w:rPr>
      <w:rFonts w:cs="Calibri" w:asciiTheme="minorHAnsi" w:hAnsiTheme="minorHAnsi" w:eastAsiaTheme="minorEastAsia"/>
      <w:kern w:val="2"/>
      <w:sz w:val="21"/>
      <w:szCs w:val="22"/>
      <w:lang w:val="en-US" w:eastAsia="zh-CN" w:bidi="ar-SA"/>
    </w:rPr>
  </w:style>
  <w:style w:type="paragraph" w:customStyle="1" w:styleId="249">
    <w:name w:val="标题2"/>
    <w:basedOn w:val="3"/>
    <w:link w:val="250"/>
    <w:qFormat/>
    <w:uiPriority w:val="0"/>
    <w:pPr>
      <w:spacing w:before="0" w:after="0" w:line="240" w:lineRule="auto"/>
      <w:ind w:firstLine="420"/>
      <w:jc w:val="left"/>
    </w:pPr>
    <w:rPr>
      <w:rFonts w:ascii="Cambria" w:hAnsi="Cambria" w:eastAsia="宋体"/>
      <w:b w:val="0"/>
      <w:sz w:val="21"/>
    </w:rPr>
  </w:style>
  <w:style w:type="character" w:customStyle="1" w:styleId="250">
    <w:name w:val="标题2 字符"/>
    <w:basedOn w:val="45"/>
    <w:link w:val="249"/>
    <w:qFormat/>
    <w:uiPriority w:val="0"/>
    <w:rPr>
      <w:rFonts w:ascii="Cambria" w:hAnsi="Cambria" w:eastAsia="宋体" w:cstheme="minorBidi"/>
      <w:sz w:val="21"/>
    </w:rPr>
  </w:style>
  <w:style w:type="paragraph" w:customStyle="1" w:styleId="251">
    <w:name w:val="大标题"/>
    <w:next w:val="1"/>
    <w:link w:val="252"/>
    <w:qFormat/>
    <w:uiPriority w:val="0"/>
    <w:pPr>
      <w:spacing w:before="120" w:after="120" w:line="360" w:lineRule="auto"/>
    </w:pPr>
    <w:rPr>
      <w:rFonts w:ascii="Times New Roman" w:hAnsi="Times New Roman" w:eastAsia="宋体" w:cs="Times New Roman"/>
      <w:b/>
      <w:kern w:val="0"/>
      <w:sz w:val="28"/>
      <w:szCs w:val="22"/>
      <w:lang w:val="en-US" w:eastAsia="zh-CN" w:bidi="ar-SA"/>
    </w:rPr>
  </w:style>
  <w:style w:type="character" w:customStyle="1" w:styleId="252">
    <w:name w:val="大标题 Char"/>
    <w:link w:val="251"/>
    <w:qFormat/>
    <w:uiPriority w:val="0"/>
    <w:rPr>
      <w:rFonts w:ascii="Times New Roman" w:hAnsi="Times New Roman" w:eastAsia="宋体" w:cs="Times New Roman"/>
      <w:b/>
      <w:kern w:val="0"/>
      <w:sz w:val="28"/>
      <w:szCs w:val="22"/>
      <w:lang w:val="en-US" w:eastAsia="zh-CN" w:bidi="ar-SA"/>
    </w:rPr>
  </w:style>
  <w:style w:type="paragraph" w:customStyle="1" w:styleId="253">
    <w:name w:val="首行缩进"/>
    <w:basedOn w:val="1"/>
    <w:next w:val="1"/>
    <w:qFormat/>
    <w:uiPriority w:val="0"/>
    <w:pPr>
      <w:widowControl/>
      <w:numPr>
        <w:ilvl w:val="6"/>
        <w:numId w:val="4"/>
      </w:numPr>
      <w:tabs>
        <w:tab w:val="left" w:pos="822"/>
      </w:tabs>
      <w:snapToGrid w:val="0"/>
      <w:spacing w:before="40" w:after="40" w:line="300" w:lineRule="atLeast"/>
    </w:pPr>
    <w:rPr>
      <w:rFonts w:ascii="Arial" w:hAnsi="Arial"/>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20163</Words>
  <Characters>21443</Characters>
  <Lines>41</Lines>
  <Paragraphs>11</Paragraphs>
  <TotalTime>1</TotalTime>
  <ScaleCrop>false</ScaleCrop>
  <LinksUpToDate>false</LinksUpToDate>
  <CharactersWithSpaces>22224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2021-07-06T09:03:00Z</dcterms:created>
  <dc:creator>ZCY</dc:creator>
  <cp:lastModifiedBy>jtj</cp:lastModifiedBy>
  <dcterms:modified xsi:type="dcterms:W3CDTF">2022-08-12T06:33:32Z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B008F09F13064038891B56D76ACC2988</vt:lpwstr>
  </property>
</Properties>
</file>