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hAnsi="宋体"/>
          <w:b/>
          <w:color w:val="000000" w:themeColor="text1"/>
          <w:spacing w:val="30"/>
          <w:sz w:val="44"/>
          <w:szCs w:val="44"/>
          <w14:textFill>
            <w14:solidFill>
              <w14:schemeClr w14:val="tx1"/>
            </w14:solidFill>
          </w14:textFill>
        </w:rPr>
      </w:pPr>
      <w:r>
        <w:rPr>
          <w:rFonts w:hint="eastAsia" w:hAnsi="宋体"/>
          <w:b/>
          <w:color w:val="000000" w:themeColor="text1"/>
          <w:spacing w:val="30"/>
          <w:sz w:val="44"/>
          <w:szCs w:val="44"/>
          <w14:textFill>
            <w14:solidFill>
              <w14:schemeClr w14:val="tx1"/>
            </w14:solidFill>
          </w14:textFill>
        </w:rPr>
        <w:t>浙商银行股份有限公司采购代理服务机构入围采购项目</w:t>
      </w:r>
    </w:p>
    <w:p>
      <w:pPr>
        <w:spacing w:before="240" w:beforeLines="100" w:line="360" w:lineRule="auto"/>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项目编号：ZZCG2024Y-GK-203</w:t>
      </w:r>
    </w:p>
    <w:p>
      <w:pPr>
        <w:pStyle w:val="992"/>
        <w:rPr>
          <w:color w:val="000000" w:themeColor="text1"/>
          <w14:textFill>
            <w14:solidFill>
              <w14:schemeClr w14:val="tx1"/>
            </w14:solidFill>
          </w14:textFill>
        </w:rPr>
      </w:pPr>
    </w:p>
    <w:p>
      <w:pPr>
        <w:spacing w:before="120" w:beforeLines="50" w:after="120"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公</w:t>
      </w:r>
    </w:p>
    <w:p>
      <w:pPr>
        <w:spacing w:before="120" w:beforeLines="50" w:after="120"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开</w:t>
      </w:r>
    </w:p>
    <w:p>
      <w:pPr>
        <w:spacing w:before="120" w:beforeLines="50" w:after="120"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招</w:t>
      </w:r>
    </w:p>
    <w:p>
      <w:pPr>
        <w:spacing w:before="120" w:beforeLines="50" w:after="120"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标</w:t>
      </w:r>
    </w:p>
    <w:p>
      <w:pPr>
        <w:spacing w:before="120" w:beforeLines="50" w:after="120"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文</w:t>
      </w:r>
    </w:p>
    <w:p>
      <w:pPr>
        <w:spacing w:before="120" w:beforeLines="50" w:after="120"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件</w:t>
      </w:r>
    </w:p>
    <w:p>
      <w:pPr>
        <w:rPr>
          <w:color w:val="000000" w:themeColor="text1"/>
          <w:sz w:val="32"/>
          <w:szCs w:val="32"/>
          <w14:textFill>
            <w14:solidFill>
              <w14:schemeClr w14:val="tx1"/>
            </w14:solidFill>
          </w14:textFill>
        </w:rPr>
      </w:pPr>
    </w:p>
    <w:p>
      <w:pPr>
        <w:spacing w:line="500" w:lineRule="exact"/>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浙 江 省 政 府 采 购 中 心</w:t>
      </w:r>
    </w:p>
    <w:p>
      <w:pPr>
        <w:spacing w:line="500" w:lineRule="exact"/>
        <w:jc w:val="center"/>
        <w:rPr>
          <w:rFonts w:ascii="宋体" w:hAnsi="宋体"/>
          <w:color w:val="000000" w:themeColor="text1"/>
          <w:sz w:val="36"/>
          <w:szCs w:val="36"/>
          <w14:textFill>
            <w14:solidFill>
              <w14:schemeClr w14:val="tx1"/>
            </w14:solidFill>
          </w14:textFill>
        </w:rPr>
      </w:pPr>
    </w:p>
    <w:p>
      <w:pPr>
        <w:spacing w:line="500" w:lineRule="exact"/>
        <w:jc w:val="center"/>
        <w:rPr>
          <w:rFonts w:hAnsi="宋体"/>
          <w:b/>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地    址：杭州市西湖区宝石一路3号</w:t>
      </w:r>
    </w:p>
    <w:p>
      <w:pP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br w:type="page"/>
      </w:r>
    </w:p>
    <w:p>
      <w:pPr>
        <w:wordWrap w:val="0"/>
        <w:spacing w:line="500" w:lineRule="exact"/>
        <w:jc w:val="center"/>
        <w:rPr>
          <w:rFonts w:hAnsi="宋体"/>
          <w:b/>
          <w:color w:val="000000" w:themeColor="text1"/>
          <w:sz w:val="44"/>
          <w:szCs w:val="44"/>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目   录</w:t>
      </w:r>
    </w:p>
    <w:p>
      <w:pPr>
        <w:pStyle w:val="31"/>
        <w:spacing w:before="120" w:after="120" w:line="360" w:lineRule="auto"/>
        <w:jc w:val="center"/>
        <w:rPr>
          <w:rFonts w:hAnsi="宋体" w:eastAsia="仿宋_GB2312"/>
          <w:color w:val="000000" w:themeColor="text1"/>
          <w:sz w:val="32"/>
          <w:szCs w:val="32"/>
          <w14:textFill>
            <w14:solidFill>
              <w14:schemeClr w14:val="tx1"/>
            </w14:solidFill>
          </w14:textFill>
        </w:rPr>
      </w:pPr>
    </w:p>
    <w:p>
      <w:pPr>
        <w:pStyle w:val="40"/>
        <w:tabs>
          <w:tab w:val="right" w:leader="dot" w:pos="8834"/>
        </w:tabs>
        <w:spacing w:before="72" w:after="72" w:line="360" w:lineRule="auto"/>
        <w:ind w:left="-420" w:leftChars="-200"/>
        <w:jc w:val="left"/>
        <w:rPr>
          <w:rFonts w:ascii="仿宋" w:hAnsi="仿宋" w:cs="仿宋"/>
          <w:color w:val="000000" w:themeColor="text1"/>
          <w:sz w:val="32"/>
          <w:szCs w:val="32"/>
          <w14:textFill>
            <w14:solidFill>
              <w14:schemeClr w14:val="tx1"/>
            </w14:solidFill>
          </w14:textFill>
        </w:rPr>
      </w:pPr>
      <w:r>
        <w:rPr>
          <w:rFonts w:hint="eastAsia" w:ascii="仿宋" w:hAnsi="仿宋" w:cs="仿宋"/>
          <w:color w:val="000000" w:themeColor="text1"/>
          <w:sz w:val="32"/>
          <w:szCs w:val="32"/>
          <w14:textFill>
            <w14:solidFill>
              <w14:schemeClr w14:val="tx1"/>
            </w14:solidFill>
          </w14:textFill>
        </w:rPr>
        <w:fldChar w:fldCharType="begin"/>
      </w:r>
      <w:r>
        <w:rPr>
          <w:rFonts w:hint="eastAsia" w:ascii="仿宋" w:hAnsi="仿宋" w:cs="仿宋"/>
          <w:color w:val="000000" w:themeColor="text1"/>
          <w:sz w:val="32"/>
          <w:szCs w:val="32"/>
          <w14:textFill>
            <w14:solidFill>
              <w14:schemeClr w14:val="tx1"/>
            </w14:solidFill>
          </w14:textFill>
        </w:rPr>
        <w:instrText xml:space="preserve"> TOC \o "1-1" \h \z \u </w:instrText>
      </w:r>
      <w:r>
        <w:rPr>
          <w:rFonts w:hint="eastAsia" w:ascii="仿宋" w:hAnsi="仿宋" w:cs="仿宋"/>
          <w:color w:val="000000" w:themeColor="text1"/>
          <w:sz w:val="32"/>
          <w:szCs w:val="32"/>
          <w14:textFill>
            <w14:solidFill>
              <w14:schemeClr w14:val="tx1"/>
            </w14:solidFill>
          </w14:textFill>
        </w:rPr>
        <w:fldChar w:fldCharType="separate"/>
      </w:r>
      <w:r>
        <w:fldChar w:fldCharType="begin"/>
      </w:r>
      <w:r>
        <w:instrText xml:space="preserve"> HYPERLINK \l "_Toc496796635" </w:instrText>
      </w:r>
      <w:r>
        <w:fldChar w:fldCharType="separate"/>
      </w:r>
      <w:r>
        <w:rPr>
          <w:rStyle w:val="69"/>
          <w:rFonts w:hint="eastAsia" w:ascii="仿宋" w:hAnsi="仿宋" w:cs="仿宋"/>
          <w:b/>
          <w:color w:val="000000" w:themeColor="text1"/>
          <w:sz w:val="32"/>
          <w:szCs w:val="32"/>
          <w14:textFill>
            <w14:solidFill>
              <w14:schemeClr w14:val="tx1"/>
            </w14:solidFill>
          </w14:textFill>
        </w:rPr>
        <w:t>第一章公开招标采购公告</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14:textFill>
            <w14:solidFill>
              <w14:schemeClr w14:val="tx1"/>
            </w14:solidFill>
          </w14:textFill>
        </w:rPr>
        <w:fldChar w:fldCharType="begin"/>
      </w:r>
      <w:r>
        <w:rPr>
          <w:rFonts w:hint="eastAsia" w:ascii="仿宋" w:hAnsi="仿宋" w:cs="仿宋"/>
          <w:color w:val="000000" w:themeColor="text1"/>
          <w:sz w:val="32"/>
          <w:szCs w:val="32"/>
          <w14:textFill>
            <w14:solidFill>
              <w14:schemeClr w14:val="tx1"/>
            </w14:solidFill>
          </w14:textFill>
        </w:rPr>
        <w:instrText xml:space="preserve"> PAGEREF _Toc496796635 \h </w:instrText>
      </w:r>
      <w:r>
        <w:rPr>
          <w:rFonts w:hint="eastAsia" w:ascii="仿宋" w:hAnsi="仿宋" w:cs="仿宋"/>
          <w:color w:val="000000" w:themeColor="text1"/>
          <w:sz w:val="32"/>
          <w:szCs w:val="32"/>
          <w14:textFill>
            <w14:solidFill>
              <w14:schemeClr w14:val="tx1"/>
            </w14:solidFill>
          </w14:textFill>
        </w:rPr>
        <w:fldChar w:fldCharType="separate"/>
      </w:r>
      <w:r>
        <w:rPr>
          <w:rFonts w:hint="eastAsia" w:ascii="仿宋" w:hAnsi="仿宋" w:cs="仿宋"/>
          <w:color w:val="000000" w:themeColor="text1"/>
          <w:sz w:val="32"/>
          <w:szCs w:val="32"/>
          <w14:textFill>
            <w14:solidFill>
              <w14:schemeClr w14:val="tx1"/>
            </w14:solidFill>
          </w14:textFill>
        </w:rPr>
        <w:t>3</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14:textFill>
            <w14:solidFill>
              <w14:schemeClr w14:val="tx1"/>
            </w14:solidFill>
          </w14:textFill>
        </w:rPr>
        <w:fldChar w:fldCharType="end"/>
      </w:r>
    </w:p>
    <w:p>
      <w:pPr>
        <w:pStyle w:val="40"/>
        <w:tabs>
          <w:tab w:val="right" w:leader="dot" w:pos="8834"/>
        </w:tabs>
        <w:spacing w:before="72" w:after="72" w:line="360" w:lineRule="auto"/>
        <w:ind w:left="-420" w:leftChars="-200"/>
        <w:jc w:val="left"/>
        <w:rPr>
          <w:rFonts w:ascii="仿宋" w:hAnsi="仿宋" w:cs="仿宋"/>
          <w:color w:val="000000" w:themeColor="text1"/>
          <w:sz w:val="32"/>
          <w:szCs w:val="32"/>
          <w14:textFill>
            <w14:solidFill>
              <w14:schemeClr w14:val="tx1"/>
            </w14:solidFill>
          </w14:textFill>
        </w:rPr>
      </w:pPr>
      <w:r>
        <w:fldChar w:fldCharType="begin"/>
      </w:r>
      <w:r>
        <w:instrText xml:space="preserve"> HYPERLINK \l "_Toc496796636" </w:instrText>
      </w:r>
      <w:r>
        <w:fldChar w:fldCharType="separate"/>
      </w:r>
      <w:r>
        <w:rPr>
          <w:rStyle w:val="69"/>
          <w:rFonts w:hint="eastAsia" w:ascii="仿宋" w:hAnsi="仿宋" w:cs="仿宋"/>
          <w:b/>
          <w:color w:val="000000" w:themeColor="text1"/>
          <w:sz w:val="32"/>
          <w:szCs w:val="32"/>
          <w14:textFill>
            <w14:solidFill>
              <w14:schemeClr w14:val="tx1"/>
            </w14:solidFill>
          </w14:textFill>
        </w:rPr>
        <w:t>第二章投标人须知</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lang w:val="en-US" w:eastAsia="zh-CN"/>
          <w14:textFill>
            <w14:solidFill>
              <w14:schemeClr w14:val="tx1"/>
            </w14:solidFill>
          </w14:textFill>
        </w:rPr>
        <w:t>7</w:t>
      </w:r>
      <w:r>
        <w:rPr>
          <w:rFonts w:hint="eastAsia" w:ascii="仿宋" w:hAnsi="仿宋" w:cs="仿宋"/>
          <w:color w:val="000000" w:themeColor="text1"/>
          <w:sz w:val="32"/>
          <w:szCs w:val="32"/>
          <w14:textFill>
            <w14:solidFill>
              <w14:schemeClr w14:val="tx1"/>
            </w14:solidFill>
          </w14:textFill>
        </w:rPr>
        <w:fldChar w:fldCharType="end"/>
      </w:r>
    </w:p>
    <w:p>
      <w:pPr>
        <w:pStyle w:val="40"/>
        <w:tabs>
          <w:tab w:val="right" w:leader="dot" w:pos="8834"/>
        </w:tabs>
        <w:spacing w:before="72" w:after="72" w:line="360" w:lineRule="auto"/>
        <w:ind w:left="-420" w:leftChars="-200"/>
        <w:jc w:val="left"/>
        <w:rPr>
          <w:rFonts w:hint="eastAsia" w:ascii="仿宋" w:hAnsi="仿宋" w:eastAsia="仿宋" w:cs="仿宋"/>
          <w:color w:val="000000" w:themeColor="text1"/>
          <w:sz w:val="32"/>
          <w:szCs w:val="32"/>
          <w:lang w:eastAsia="zh-CN"/>
          <w14:textFill>
            <w14:solidFill>
              <w14:schemeClr w14:val="tx1"/>
            </w14:solidFill>
          </w14:textFill>
        </w:rPr>
      </w:pPr>
      <w:r>
        <w:fldChar w:fldCharType="begin"/>
      </w:r>
      <w:r>
        <w:instrText xml:space="preserve"> HYPERLINK \l "_Toc496796637" </w:instrText>
      </w:r>
      <w:r>
        <w:fldChar w:fldCharType="separate"/>
      </w:r>
      <w:r>
        <w:rPr>
          <w:rStyle w:val="69"/>
          <w:rFonts w:hint="eastAsia" w:ascii="仿宋" w:hAnsi="仿宋" w:cs="仿宋"/>
          <w:b/>
          <w:color w:val="000000" w:themeColor="text1"/>
          <w:sz w:val="32"/>
          <w:szCs w:val="32"/>
          <w14:textFill>
            <w14:solidFill>
              <w14:schemeClr w14:val="tx1"/>
            </w14:solidFill>
          </w14:textFill>
        </w:rPr>
        <w:t>第三章评标办法及评分标准</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14:textFill>
            <w14:solidFill>
              <w14:schemeClr w14:val="tx1"/>
            </w14:solidFill>
          </w14:textFill>
        </w:rPr>
        <w:t>2</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lang w:val="en-US" w:eastAsia="zh-CN"/>
          <w14:textFill>
            <w14:solidFill>
              <w14:schemeClr w14:val="tx1"/>
            </w14:solidFill>
          </w14:textFill>
        </w:rPr>
        <w:t>5</w:t>
      </w:r>
    </w:p>
    <w:p>
      <w:pPr>
        <w:pStyle w:val="40"/>
        <w:tabs>
          <w:tab w:val="right" w:leader="dot" w:pos="8834"/>
        </w:tabs>
        <w:spacing w:before="72" w:after="72" w:line="360" w:lineRule="auto"/>
        <w:ind w:left="-420" w:leftChars="-200"/>
        <w:jc w:val="left"/>
        <w:rPr>
          <w:rFonts w:hint="eastAsia" w:ascii="仿宋" w:hAnsi="仿宋" w:eastAsia="仿宋" w:cs="仿宋"/>
          <w:color w:val="000000" w:themeColor="text1"/>
          <w:sz w:val="32"/>
          <w:szCs w:val="32"/>
          <w:lang w:eastAsia="zh-CN"/>
          <w14:textFill>
            <w14:solidFill>
              <w14:schemeClr w14:val="tx1"/>
            </w14:solidFill>
          </w14:textFill>
        </w:rPr>
      </w:pPr>
      <w:r>
        <w:fldChar w:fldCharType="begin"/>
      </w:r>
      <w:r>
        <w:instrText xml:space="preserve"> HYPERLINK \l "_Toc496796638" </w:instrText>
      </w:r>
      <w:r>
        <w:fldChar w:fldCharType="separate"/>
      </w:r>
      <w:r>
        <w:rPr>
          <w:rStyle w:val="69"/>
          <w:rFonts w:hint="eastAsia" w:ascii="仿宋" w:hAnsi="仿宋" w:cs="仿宋"/>
          <w:b/>
          <w:color w:val="000000" w:themeColor="text1"/>
          <w:sz w:val="32"/>
          <w:szCs w:val="32"/>
          <w14:textFill>
            <w14:solidFill>
              <w14:schemeClr w14:val="tx1"/>
            </w14:solidFill>
          </w14:textFill>
        </w:rPr>
        <w:t>第四章招标需求</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14:textFill>
            <w14:solidFill>
              <w14:schemeClr w14:val="tx1"/>
            </w14:solidFill>
          </w14:textFill>
        </w:rPr>
        <w:t>3</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lang w:val="en-US" w:eastAsia="zh-CN"/>
          <w14:textFill>
            <w14:solidFill>
              <w14:schemeClr w14:val="tx1"/>
            </w14:solidFill>
          </w14:textFill>
        </w:rPr>
        <w:t>5</w:t>
      </w:r>
    </w:p>
    <w:p>
      <w:pPr>
        <w:pStyle w:val="40"/>
        <w:tabs>
          <w:tab w:val="right" w:leader="dot" w:pos="8834"/>
        </w:tabs>
        <w:spacing w:before="72" w:after="72" w:line="360" w:lineRule="auto"/>
        <w:ind w:left="-420" w:leftChars="-200"/>
        <w:jc w:val="left"/>
        <w:rPr>
          <w:rFonts w:hint="eastAsia" w:ascii="仿宋" w:hAnsi="仿宋" w:eastAsia="仿宋" w:cs="仿宋"/>
          <w:color w:val="000000" w:themeColor="text1"/>
          <w:sz w:val="32"/>
          <w:szCs w:val="32"/>
          <w:lang w:eastAsia="zh-CN"/>
          <w14:textFill>
            <w14:solidFill>
              <w14:schemeClr w14:val="tx1"/>
            </w14:solidFill>
          </w14:textFill>
        </w:rPr>
      </w:pPr>
      <w:r>
        <w:fldChar w:fldCharType="begin"/>
      </w:r>
      <w:r>
        <w:instrText xml:space="preserve"> HYPERLINK \l "_Toc496796639" </w:instrText>
      </w:r>
      <w:r>
        <w:fldChar w:fldCharType="separate"/>
      </w:r>
      <w:r>
        <w:rPr>
          <w:rStyle w:val="69"/>
          <w:rFonts w:hint="eastAsia" w:ascii="仿宋" w:hAnsi="仿宋" w:cs="仿宋"/>
          <w:b/>
          <w:color w:val="000000" w:themeColor="text1"/>
          <w:sz w:val="32"/>
          <w:szCs w:val="32"/>
          <w14:textFill>
            <w14:solidFill>
              <w14:schemeClr w14:val="tx1"/>
            </w14:solidFill>
          </w14:textFill>
        </w:rPr>
        <w:t>第五章采购合同主要条款指引</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14:textFill>
            <w14:solidFill>
              <w14:schemeClr w14:val="tx1"/>
            </w14:solidFill>
          </w14:textFill>
        </w:rPr>
        <w:t>4</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lang w:val="en-US" w:eastAsia="zh-CN"/>
          <w14:textFill>
            <w14:solidFill>
              <w14:schemeClr w14:val="tx1"/>
            </w14:solidFill>
          </w14:textFill>
        </w:rPr>
        <w:t>5</w:t>
      </w:r>
    </w:p>
    <w:p>
      <w:pPr>
        <w:pStyle w:val="40"/>
        <w:tabs>
          <w:tab w:val="right" w:leader="dot" w:pos="8834"/>
        </w:tabs>
        <w:spacing w:before="72" w:after="72" w:line="360" w:lineRule="auto"/>
        <w:ind w:left="-420" w:leftChars="-200"/>
        <w:jc w:val="left"/>
        <w:rPr>
          <w:rFonts w:hint="eastAsia" w:ascii="仿宋" w:hAnsi="仿宋" w:eastAsia="仿宋" w:cs="仿宋"/>
          <w:color w:val="000000" w:themeColor="text1"/>
          <w:sz w:val="32"/>
          <w:szCs w:val="32"/>
          <w:lang w:eastAsia="zh-CN"/>
          <w14:textFill>
            <w14:solidFill>
              <w14:schemeClr w14:val="tx1"/>
            </w14:solidFill>
          </w14:textFill>
        </w:rPr>
      </w:pPr>
      <w:r>
        <w:fldChar w:fldCharType="begin"/>
      </w:r>
      <w:r>
        <w:instrText xml:space="preserve"> HYPERLINK \l "_Toc496796640" </w:instrText>
      </w:r>
      <w:r>
        <w:fldChar w:fldCharType="separate"/>
      </w:r>
      <w:r>
        <w:rPr>
          <w:rStyle w:val="69"/>
          <w:rFonts w:hint="eastAsia" w:ascii="仿宋" w:hAnsi="仿宋" w:cs="仿宋"/>
          <w:b/>
          <w:color w:val="000000" w:themeColor="text1"/>
          <w:sz w:val="32"/>
          <w:szCs w:val="32"/>
          <w14:textFill>
            <w14:solidFill>
              <w14:schemeClr w14:val="tx1"/>
            </w14:solidFill>
          </w14:textFill>
        </w:rPr>
        <w:t>第六章投标文件格式附件</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lang w:val="en-US" w:eastAsia="zh-CN"/>
          <w14:textFill>
            <w14:solidFill>
              <w14:schemeClr w14:val="tx1"/>
            </w14:solidFill>
          </w14:textFill>
        </w:rPr>
        <w:t>5</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lang w:val="en-US" w:eastAsia="zh-CN"/>
          <w14:textFill>
            <w14:solidFill>
              <w14:schemeClr w14:val="tx1"/>
            </w14:solidFill>
          </w14:textFill>
        </w:rPr>
        <w:t>4</w:t>
      </w:r>
    </w:p>
    <w:p>
      <w:pPr>
        <w:spacing w:before="120" w:beforeLines="50" w:line="360" w:lineRule="auto"/>
        <w:ind w:left="-420" w:leftChars="-200"/>
        <w:jc w:val="left"/>
        <w:rPr>
          <w:rFonts w:ascii="宋体" w:hAnsi="宋体" w:eastAsia="仿宋_GB2312"/>
          <w:color w:val="000000" w:themeColor="text1"/>
          <w:sz w:val="30"/>
          <w:szCs w:val="30"/>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end"/>
      </w:r>
    </w:p>
    <w:p>
      <w:pPr>
        <w:pStyle w:val="31"/>
        <w:keepNext w:val="0"/>
        <w:keepLines w:val="0"/>
        <w:pageBreakBefore w:val="0"/>
        <w:widowControl w:val="0"/>
        <w:kinsoku/>
        <w:wordWrap/>
        <w:overflowPunct/>
        <w:topLinePunct w:val="0"/>
        <w:autoSpaceDE/>
        <w:autoSpaceDN/>
        <w:bidi w:val="0"/>
        <w:adjustRightInd/>
        <w:snapToGrid/>
        <w:spacing w:before="120" w:after="120" w:line="360" w:lineRule="auto"/>
        <w:ind w:firstLine="0"/>
        <w:jc w:val="center"/>
        <w:textAlignment w:val="auto"/>
        <w:outlineLvl w:val="0"/>
        <w:rPr>
          <w:rFonts w:hAnsi="宋体"/>
          <w:b/>
          <w:color w:val="000000" w:themeColor="text1"/>
          <w:sz w:val="36"/>
          <w:szCs w:val="36"/>
          <w14:textFill>
            <w14:solidFill>
              <w14:schemeClr w14:val="tx1"/>
            </w14:solidFill>
          </w14:textFill>
        </w:rPr>
      </w:pPr>
      <w:r>
        <w:rPr>
          <w:rFonts w:hAnsi="宋体" w:eastAsia="仿宋_GB2312"/>
          <w:color w:val="000000" w:themeColor="text1"/>
          <w:sz w:val="32"/>
          <w:szCs w:val="32"/>
          <w14:textFill>
            <w14:solidFill>
              <w14:schemeClr w14:val="tx1"/>
            </w14:solidFill>
          </w14:textFill>
        </w:rPr>
        <w:br w:type="page"/>
      </w:r>
      <w:bookmarkStart w:id="0" w:name="_Toc496796635"/>
      <w:bookmarkStart w:id="1" w:name="PO_15528_PM004"/>
      <w:r>
        <w:rPr>
          <w:rFonts w:hint="eastAsia" w:hAnsi="宋体"/>
          <w:b/>
          <w:color w:val="000000" w:themeColor="text1"/>
          <w:sz w:val="36"/>
          <w:szCs w:val="36"/>
          <w14:textFill>
            <w14:solidFill>
              <w14:schemeClr w14:val="tx1"/>
            </w14:solidFill>
          </w14:textFill>
        </w:rPr>
        <w:t>第一章  公开招标采购公告</w:t>
      </w:r>
      <w:bookmarkEnd w:id="0"/>
    </w:p>
    <w:p>
      <w:pPr>
        <w:pStyle w:val="397"/>
        <w:widowControl w:val="0"/>
        <w:spacing w:after="120" w:line="460" w:lineRule="exact"/>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sz w:val="28"/>
          <w:szCs w:val="28"/>
        </w:rPr>
        <w:t>根据相关法律法规等规定，现就下列项目进行</w:t>
      </w:r>
      <w:r>
        <w:rPr>
          <w:rFonts w:hint="eastAsia" w:ascii="仿宋" w:hAnsi="仿宋" w:eastAsia="仿宋"/>
          <w:b/>
          <w:bCs/>
          <w:sz w:val="28"/>
          <w:szCs w:val="28"/>
        </w:rPr>
        <w:t>公开招标</w:t>
      </w:r>
      <w:r>
        <w:rPr>
          <w:rFonts w:hint="eastAsia" w:ascii="仿宋" w:hAnsi="仿宋" w:eastAsia="仿宋"/>
          <w:sz w:val="28"/>
          <w:szCs w:val="28"/>
        </w:rPr>
        <w:t>采购，欢迎提供本国货物、服务的单位或个人前来投标</w:t>
      </w:r>
      <w:r>
        <w:rPr>
          <w:rFonts w:hint="eastAsia" w:ascii="仿宋" w:hAnsi="仿宋" w:eastAsia="仿宋"/>
          <w:sz w:val="30"/>
          <w:szCs w:val="30"/>
        </w:rPr>
        <w:t>：</w:t>
      </w:r>
    </w:p>
    <w:p>
      <w:pPr>
        <w:pStyle w:val="993"/>
        <w:shd w:val="clear" w:color="auto" w:fill="FFFFFF"/>
        <w:spacing w:before="120" w:beforeLines="50" w:beforeAutospacing="0" w:after="120" w:afterLines="50" w:afterAutospacing="0" w:line="50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一、项目编号：ZZCG2024Y-GK-203</w:t>
      </w:r>
    </w:p>
    <w:p>
      <w:pPr>
        <w:spacing w:before="120" w:beforeLines="50" w:after="120" w:afterLines="50" w:line="500" w:lineRule="exact"/>
        <w:ind w:firstLine="60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二、</w:t>
      </w:r>
      <w:r>
        <w:rPr>
          <w:rFonts w:hint="eastAsia" w:ascii="仿宋" w:hAnsi="仿宋" w:eastAsia="仿宋" w:cs="Arial"/>
          <w:b/>
          <w:color w:val="000000" w:themeColor="text1"/>
          <w:sz w:val="28"/>
          <w:szCs w:val="28"/>
          <w14:textFill>
            <w14:solidFill>
              <w14:schemeClr w14:val="tx1"/>
            </w14:solidFill>
          </w14:textFill>
        </w:rPr>
        <w:t>公告期限：5个工作日</w:t>
      </w:r>
    </w:p>
    <w:p>
      <w:pPr>
        <w:spacing w:before="120" w:beforeLines="50" w:after="120" w:afterLines="50" w:line="500" w:lineRule="exact"/>
        <w:ind w:firstLine="602" w:firstLineChars="200"/>
        <w:rPr>
          <w:rFonts w:ascii="仿宋" w:hAnsi="仿宋" w:eastAsia="仿宋" w:cs="Arial"/>
          <w:b/>
          <w:bCs/>
          <w:color w:val="000000" w:themeColor="text1"/>
          <w:kern w:val="0"/>
          <w:sz w:val="30"/>
          <w:szCs w:val="30"/>
          <w14:textFill>
            <w14:solidFill>
              <w14:schemeClr w14:val="tx1"/>
            </w14:solidFill>
          </w14:textFill>
        </w:rPr>
      </w:pPr>
      <w:r>
        <w:rPr>
          <w:rFonts w:hint="eastAsia" w:ascii="仿宋" w:hAnsi="仿宋" w:eastAsia="仿宋" w:cs="Arial"/>
          <w:b/>
          <w:bCs/>
          <w:color w:val="000000" w:themeColor="text1"/>
          <w:kern w:val="0"/>
          <w:sz w:val="30"/>
          <w:szCs w:val="30"/>
          <w14:textFill>
            <w14:solidFill>
              <w14:schemeClr w14:val="tx1"/>
            </w14:solidFill>
          </w14:textFill>
        </w:rPr>
        <w:t>三、采购组织类型：委托代理 （非政府采购）</w:t>
      </w:r>
    </w:p>
    <w:p>
      <w:pPr>
        <w:spacing w:before="120" w:beforeLines="50" w:after="120" w:afterLines="50" w:line="500" w:lineRule="exact"/>
        <w:ind w:firstLine="602" w:firstLineChars="200"/>
        <w:rPr>
          <w:rFonts w:ascii="仿宋" w:hAnsi="仿宋" w:eastAsia="仿宋" w:cs="Arial"/>
          <w:b/>
          <w:bCs/>
          <w:color w:val="000000" w:themeColor="text1"/>
          <w:kern w:val="0"/>
          <w:sz w:val="30"/>
          <w:szCs w:val="30"/>
          <w14:textFill>
            <w14:solidFill>
              <w14:schemeClr w14:val="tx1"/>
            </w14:solidFill>
          </w14:textFill>
        </w:rPr>
      </w:pPr>
      <w:r>
        <w:rPr>
          <w:rFonts w:hint="eastAsia" w:ascii="仿宋" w:hAnsi="仿宋" w:eastAsia="仿宋" w:cs="Arial"/>
          <w:b/>
          <w:bCs/>
          <w:color w:val="000000" w:themeColor="text1"/>
          <w:kern w:val="0"/>
          <w:sz w:val="30"/>
          <w:szCs w:val="30"/>
          <w14:textFill>
            <w14:solidFill>
              <w14:schemeClr w14:val="tx1"/>
            </w14:solidFill>
          </w14:textFill>
        </w:rPr>
        <w:t>四、采购项目内容、数量及预算</w:t>
      </w:r>
    </w:p>
    <w:tbl>
      <w:tblPr>
        <w:tblStyle w:val="59"/>
        <w:tblW w:w="9590" w:type="dxa"/>
        <w:jc w:val="center"/>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719"/>
        <w:gridCol w:w="2063"/>
        <w:gridCol w:w="1470"/>
        <w:gridCol w:w="2452"/>
        <w:gridCol w:w="1040"/>
        <w:gridCol w:w="1846"/>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340" w:hRule="atLeast"/>
          <w:tblHeader/>
          <w:jc w:val="center"/>
        </w:trPr>
        <w:tc>
          <w:tcPr>
            <w:tcW w:w="719" w:type="dxa"/>
            <w:shd w:val="clear" w:color="auto" w:fill="auto"/>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标项</w:t>
            </w:r>
          </w:p>
          <w:p>
            <w:pPr>
              <w:jc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2063" w:type="dxa"/>
            <w:shd w:val="clear" w:color="auto" w:fill="auto"/>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标项名称</w:t>
            </w:r>
          </w:p>
        </w:tc>
        <w:tc>
          <w:tcPr>
            <w:tcW w:w="1470" w:type="dxa"/>
            <w:shd w:val="clear" w:color="auto" w:fill="auto"/>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服务范围</w:t>
            </w:r>
          </w:p>
        </w:tc>
        <w:tc>
          <w:tcPr>
            <w:tcW w:w="2452" w:type="dxa"/>
            <w:tcBorders>
              <w:right w:val="single" w:color="auto" w:sz="4" w:space="0"/>
            </w:tcBorders>
            <w:shd w:val="clear" w:color="auto" w:fill="auto"/>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入围规则</w:t>
            </w:r>
          </w:p>
        </w:tc>
        <w:tc>
          <w:tcPr>
            <w:tcW w:w="1040" w:type="dxa"/>
            <w:tcBorders>
              <w:left w:val="single" w:color="auto" w:sz="4" w:space="0"/>
            </w:tcBorders>
            <w:shd w:val="clear" w:color="auto" w:fill="auto"/>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服务</w:t>
            </w:r>
          </w:p>
          <w:p>
            <w:pPr>
              <w:jc w:val="center"/>
              <w:rPr>
                <w:rFonts w:ascii="仿宋" w:hAnsi="仿宋" w:eastAsia="仿宋" w:cs="仿宋"/>
                <w:b/>
                <w:kern w:val="0"/>
                <w:sz w:val="24"/>
                <w:szCs w:val="24"/>
              </w:rPr>
            </w:pPr>
            <w:r>
              <w:rPr>
                <w:rFonts w:hint="eastAsia" w:ascii="仿宋" w:hAnsi="仿宋" w:eastAsia="仿宋" w:cs="仿宋"/>
                <w:b/>
                <w:kern w:val="0"/>
                <w:sz w:val="24"/>
                <w:szCs w:val="24"/>
              </w:rPr>
              <w:t>标准</w:t>
            </w:r>
          </w:p>
        </w:tc>
        <w:tc>
          <w:tcPr>
            <w:tcW w:w="1846" w:type="dxa"/>
            <w:tcBorders>
              <w:left w:val="single" w:color="auto" w:sz="4" w:space="0"/>
            </w:tcBorders>
            <w:shd w:val="clear" w:color="auto" w:fill="auto"/>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服务期限</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498" w:hRule="atLeast"/>
          <w:jc w:val="center"/>
        </w:trPr>
        <w:tc>
          <w:tcPr>
            <w:tcW w:w="719" w:type="dxa"/>
            <w:shd w:val="clear" w:color="auto" w:fill="auto"/>
            <w:vAlign w:val="center"/>
          </w:tcPr>
          <w:p>
            <w:pPr>
              <w:jc w:val="center"/>
              <w:rPr>
                <w:rFonts w:ascii="仿宋" w:hAnsi="仿宋" w:eastAsia="仿宋" w:cs="仿宋"/>
                <w:bCs/>
                <w:kern w:val="0"/>
                <w:sz w:val="24"/>
                <w:szCs w:val="24"/>
              </w:rPr>
            </w:pPr>
            <w:r>
              <w:rPr>
                <w:rFonts w:hint="eastAsia" w:ascii="仿宋" w:hAnsi="仿宋" w:eastAsia="仿宋" w:cs="仿宋"/>
                <w:kern w:val="0"/>
                <w:sz w:val="24"/>
                <w:szCs w:val="24"/>
              </w:rPr>
              <w:t>1</w:t>
            </w:r>
          </w:p>
        </w:tc>
        <w:tc>
          <w:tcPr>
            <w:tcW w:w="2063" w:type="dxa"/>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综合类采购代理服务（除依法必须招标的工程及与工程相关的货物和服务项目以外）及其他采购咨询等服务</w:t>
            </w:r>
          </w:p>
        </w:tc>
        <w:tc>
          <w:tcPr>
            <w:tcW w:w="1470" w:type="dxa"/>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详见招标文件第四章招标需求</w:t>
            </w:r>
          </w:p>
        </w:tc>
        <w:tc>
          <w:tcPr>
            <w:tcW w:w="2452" w:type="dxa"/>
            <w:tcBorders>
              <w:right w:val="single" w:color="auto" w:sz="4" w:space="0"/>
            </w:tcBorders>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有效投标人=3家，入1主1备；</w:t>
            </w:r>
          </w:p>
          <w:p>
            <w:pPr>
              <w:rPr>
                <w:rFonts w:ascii="仿宋" w:hAnsi="仿宋" w:eastAsia="仿宋" w:cs="仿宋"/>
                <w:bCs/>
                <w:kern w:val="0"/>
                <w:sz w:val="24"/>
                <w:szCs w:val="24"/>
              </w:rPr>
            </w:pPr>
            <w:r>
              <w:rPr>
                <w:rFonts w:hint="eastAsia" w:ascii="仿宋" w:hAnsi="仿宋" w:eastAsia="仿宋" w:cs="仿宋"/>
                <w:bCs/>
                <w:kern w:val="0"/>
                <w:sz w:val="24"/>
                <w:szCs w:val="24"/>
              </w:rPr>
              <w:t>3＜有效投标人≤6；入2主1备；</w:t>
            </w:r>
          </w:p>
          <w:p>
            <w:pPr>
              <w:rPr>
                <w:rFonts w:ascii="仿宋" w:hAnsi="仿宋" w:eastAsia="仿宋" w:cs="仿宋"/>
                <w:bCs/>
                <w:kern w:val="0"/>
                <w:sz w:val="24"/>
                <w:szCs w:val="24"/>
              </w:rPr>
            </w:pPr>
            <w:r>
              <w:rPr>
                <w:rFonts w:hint="eastAsia" w:ascii="仿宋" w:hAnsi="仿宋" w:eastAsia="仿宋" w:cs="仿宋"/>
                <w:bCs/>
                <w:kern w:val="0"/>
                <w:sz w:val="24"/>
                <w:szCs w:val="24"/>
              </w:rPr>
              <w:t>6＜有效投标人；入3主2备；</w:t>
            </w:r>
          </w:p>
        </w:tc>
        <w:tc>
          <w:tcPr>
            <w:tcW w:w="1040" w:type="dxa"/>
            <w:tcBorders>
              <w:left w:val="single" w:color="auto" w:sz="4" w:space="0"/>
            </w:tcBorders>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详见招标文件第四章招标需求</w:t>
            </w:r>
          </w:p>
        </w:tc>
        <w:tc>
          <w:tcPr>
            <w:tcW w:w="1846" w:type="dxa"/>
            <w:tcBorders>
              <w:left w:val="single" w:color="auto" w:sz="4" w:space="0"/>
            </w:tcBorders>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自合同签订之日起2年。经考核连续两年优秀的，可视情况续约。</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498" w:hRule="atLeast"/>
          <w:jc w:val="center"/>
        </w:trPr>
        <w:tc>
          <w:tcPr>
            <w:tcW w:w="719" w:type="dxa"/>
            <w:shd w:val="clear" w:color="auto" w:fill="auto"/>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2063" w:type="dxa"/>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依法必须招标的工程（包括与工程相关的货物和服务）项目招标代理服务及其他采购咨询等服务</w:t>
            </w:r>
          </w:p>
        </w:tc>
        <w:tc>
          <w:tcPr>
            <w:tcW w:w="1470" w:type="dxa"/>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详见招标文件第四章招标需求</w:t>
            </w:r>
          </w:p>
        </w:tc>
        <w:tc>
          <w:tcPr>
            <w:tcW w:w="2452" w:type="dxa"/>
            <w:tcBorders>
              <w:right w:val="single" w:color="auto" w:sz="4" w:space="0"/>
            </w:tcBorders>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入1主1备</w:t>
            </w:r>
          </w:p>
        </w:tc>
        <w:tc>
          <w:tcPr>
            <w:tcW w:w="1040" w:type="dxa"/>
            <w:tcBorders>
              <w:left w:val="single" w:color="auto" w:sz="4" w:space="0"/>
            </w:tcBorders>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详见招标文件第四章招标需求</w:t>
            </w:r>
          </w:p>
        </w:tc>
        <w:tc>
          <w:tcPr>
            <w:tcW w:w="1846" w:type="dxa"/>
            <w:tcBorders>
              <w:left w:val="single" w:color="auto" w:sz="4" w:space="0"/>
            </w:tcBorders>
            <w:shd w:val="clear" w:color="auto" w:fill="auto"/>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自合同签订之日起2年。经考核连续两年优秀的，可视情况续约。</w:t>
            </w:r>
          </w:p>
        </w:tc>
      </w:tr>
      <w:bookmarkEnd w:id="1"/>
    </w:tbl>
    <w:p>
      <w:pPr>
        <w:spacing w:before="240" w:beforeLines="100" w:after="120" w:afterLines="50" w:line="500" w:lineRule="exact"/>
        <w:ind w:firstLine="602" w:firstLineChars="200"/>
        <w:rPr>
          <w:rFonts w:ascii="仿宋" w:hAnsi="仿宋" w:eastAsia="仿宋" w:cs="Arial"/>
          <w:b/>
          <w:bCs/>
          <w:color w:val="000000" w:themeColor="text1"/>
          <w:kern w:val="0"/>
          <w:sz w:val="30"/>
          <w:szCs w:val="30"/>
          <w14:textFill>
            <w14:solidFill>
              <w14:schemeClr w14:val="tx1"/>
            </w14:solidFill>
          </w14:textFill>
        </w:rPr>
      </w:pPr>
      <w:r>
        <w:rPr>
          <w:rFonts w:hint="eastAsia" w:ascii="仿宋" w:hAnsi="仿宋" w:eastAsia="仿宋" w:cs="Arial"/>
          <w:b/>
          <w:bCs/>
          <w:color w:val="000000" w:themeColor="text1"/>
          <w:kern w:val="0"/>
          <w:sz w:val="30"/>
          <w:szCs w:val="30"/>
          <w14:textFill>
            <w14:solidFill>
              <w14:schemeClr w14:val="tx1"/>
            </w14:solidFill>
          </w14:textFill>
        </w:rPr>
        <w:t>五、合格投标人的资格要求</w:t>
      </w:r>
    </w:p>
    <w:p>
      <w:pPr>
        <w:snapToGrid w:val="0"/>
        <w:spacing w:before="120" w:beforeLines="50" w:after="120" w:afterLines="50" w:line="460" w:lineRule="exact"/>
        <w:ind w:firstLine="560" w:firstLineChars="200"/>
        <w:rPr>
          <w:rFonts w:ascii="仿宋" w:hAnsi="仿宋" w:eastAsia="仿宋" w:cs="Arial"/>
          <w:bCs/>
          <w:color w:val="000000" w:themeColor="text1"/>
          <w:sz w:val="28"/>
          <w:szCs w:val="28"/>
          <w:lang w:val="en-US"/>
          <w14:textFill>
            <w14:solidFill>
              <w14:schemeClr w14:val="tx1"/>
            </w14:solidFill>
          </w14:textFill>
        </w:rPr>
      </w:pPr>
      <w:r>
        <w:rPr>
          <w:rFonts w:hint="eastAsia" w:ascii="仿宋" w:hAnsi="仿宋" w:eastAsia="仿宋"/>
          <w:kern w:val="0"/>
          <w:sz w:val="28"/>
          <w:szCs w:val="28"/>
        </w:rPr>
        <w:t>符合《中华人民共和国政府采购法》第二十二条资格条件：</w:t>
      </w:r>
      <w:r>
        <w:rPr>
          <w:rFonts w:hint="eastAsia" w:ascii="仿宋" w:hAnsi="仿宋" w:eastAsia="仿宋" w:cs="Arial"/>
          <w:bCs/>
          <w:color w:val="000000" w:themeColor="text1"/>
          <w:sz w:val="28"/>
          <w:szCs w:val="28"/>
          <w:lang w:val="zh-CN"/>
          <w14:textFill>
            <w14:solidFill>
              <w14:schemeClr w14:val="tx1"/>
            </w14:solidFill>
          </w14:textFill>
        </w:rPr>
        <w:t>未被</w:t>
      </w:r>
      <w:r>
        <w:rPr>
          <w:rFonts w:hint="eastAsia" w:ascii="仿宋" w:hAnsi="仿宋" w:eastAsia="仿宋" w:cs="仿宋"/>
          <w:bCs/>
          <w:color w:val="000000" w:themeColor="text1"/>
          <w:sz w:val="28"/>
          <w:szCs w:val="28"/>
          <w:lang w:bidi="ar"/>
          <w14:textFill>
            <w14:solidFill>
              <w14:schemeClr w14:val="tx1"/>
            </w14:solidFill>
          </w14:textFill>
        </w:rPr>
        <w:t>中国政府采购网（www.ccgp.gov.cn）和“信用中国”（www.creditchina.gov.cn）</w:t>
      </w:r>
      <w:r>
        <w:rPr>
          <w:rFonts w:hint="eastAsia" w:ascii="仿宋" w:hAnsi="仿宋" w:eastAsia="仿宋" w:cs="Arial"/>
          <w:bCs/>
          <w:color w:val="000000" w:themeColor="text1"/>
          <w:sz w:val="28"/>
          <w:szCs w:val="28"/>
          <w:lang w:val="zh-CN"/>
          <w14:textFill>
            <w14:solidFill>
              <w14:schemeClr w14:val="tx1"/>
            </w14:solidFill>
          </w14:textFill>
        </w:rPr>
        <w:t>列入政府采购不良行为记录</w:t>
      </w:r>
      <w:r>
        <w:rPr>
          <w:rFonts w:hint="eastAsia" w:ascii="仿宋" w:hAnsi="仿宋" w:eastAsia="仿宋" w:cs="Arial"/>
          <w:bCs/>
          <w:color w:val="000000" w:themeColor="text1"/>
          <w:sz w:val="28"/>
          <w:szCs w:val="28"/>
          <w:lang w:val="en-US"/>
          <w14:textFill>
            <w14:solidFill>
              <w14:schemeClr w14:val="tx1"/>
            </w14:solidFill>
          </w14:textFill>
        </w:rPr>
        <w:t>，</w:t>
      </w:r>
      <w:r>
        <w:rPr>
          <w:rFonts w:hint="eastAsia" w:ascii="仿宋" w:hAnsi="仿宋" w:eastAsia="仿宋" w:cs="Arial"/>
          <w:bCs/>
          <w:color w:val="000000" w:themeColor="text1"/>
          <w:sz w:val="28"/>
          <w:szCs w:val="28"/>
          <w:lang w:val="zh-CN"/>
          <w14:textFill>
            <w14:solidFill>
              <w14:schemeClr w14:val="tx1"/>
            </w14:solidFill>
          </w14:textFill>
        </w:rPr>
        <w:t>未被招标管理部门或政府采购管理部门处罚</w:t>
      </w:r>
      <w:r>
        <w:rPr>
          <w:rFonts w:hint="eastAsia" w:ascii="仿宋" w:hAnsi="仿宋" w:eastAsia="仿宋" w:cs="Arial"/>
          <w:bCs/>
          <w:color w:val="000000" w:themeColor="text1"/>
          <w:sz w:val="28"/>
          <w:szCs w:val="28"/>
          <w:lang w:val="en-US"/>
          <w14:textFill>
            <w14:solidFill>
              <w14:schemeClr w14:val="tx1"/>
            </w14:solidFill>
          </w14:textFill>
        </w:rPr>
        <w:t>，</w:t>
      </w:r>
      <w:r>
        <w:rPr>
          <w:rFonts w:hint="eastAsia" w:ascii="仿宋" w:hAnsi="仿宋" w:eastAsia="仿宋" w:cs="Arial"/>
          <w:bCs/>
          <w:color w:val="000000" w:themeColor="text1"/>
          <w:sz w:val="28"/>
          <w:szCs w:val="28"/>
          <w:lang w:val="zh-CN"/>
          <w14:textFill>
            <w14:solidFill>
              <w14:schemeClr w14:val="tx1"/>
            </w14:solidFill>
          </w14:textFill>
        </w:rPr>
        <w:t>未被</w:t>
      </w:r>
      <w:r>
        <w:rPr>
          <w:rFonts w:hint="eastAsia" w:ascii="仿宋" w:hAnsi="仿宋" w:eastAsia="仿宋" w:cs="Arial"/>
          <w:bCs/>
          <w:color w:val="000000" w:themeColor="text1"/>
          <w:sz w:val="28"/>
          <w:szCs w:val="28"/>
          <w:lang w:val="en-US"/>
          <w14:textFill>
            <w14:solidFill>
              <w14:schemeClr w14:val="tx1"/>
            </w14:solidFill>
          </w14:textFill>
        </w:rPr>
        <w:t>“</w:t>
      </w:r>
      <w:r>
        <w:rPr>
          <w:rFonts w:hint="eastAsia" w:ascii="仿宋" w:hAnsi="仿宋" w:eastAsia="仿宋" w:cs="Arial"/>
          <w:bCs/>
          <w:color w:val="000000" w:themeColor="text1"/>
          <w:sz w:val="28"/>
          <w:szCs w:val="28"/>
          <w:lang w:val="zh-CN"/>
          <w14:textFill>
            <w14:solidFill>
              <w14:schemeClr w14:val="tx1"/>
            </w14:solidFill>
          </w14:textFill>
        </w:rPr>
        <w:t>信用中国</w:t>
      </w:r>
      <w:r>
        <w:rPr>
          <w:rFonts w:hint="eastAsia" w:ascii="仿宋" w:hAnsi="仿宋" w:eastAsia="仿宋" w:cs="Arial"/>
          <w:bCs/>
          <w:color w:val="000000" w:themeColor="text1"/>
          <w:sz w:val="28"/>
          <w:szCs w:val="28"/>
          <w:lang w:val="en-US"/>
          <w14:textFill>
            <w14:solidFill>
              <w14:schemeClr w14:val="tx1"/>
            </w14:solidFill>
          </w14:textFill>
        </w:rPr>
        <w:t>”</w:t>
      </w:r>
      <w:r>
        <w:rPr>
          <w:rFonts w:hint="eastAsia" w:ascii="仿宋" w:hAnsi="仿宋" w:eastAsia="仿宋" w:cs="Arial"/>
          <w:bCs/>
          <w:color w:val="000000" w:themeColor="text1"/>
          <w:sz w:val="28"/>
          <w:szCs w:val="28"/>
          <w14:textFill>
            <w14:solidFill>
              <w14:schemeClr w14:val="tx1"/>
            </w14:solidFill>
          </w14:textFill>
        </w:rPr>
        <w:t>（www.creditchina.gov.cn）</w:t>
      </w:r>
      <w:r>
        <w:rPr>
          <w:rFonts w:hint="eastAsia" w:ascii="仿宋" w:hAnsi="仿宋" w:eastAsia="仿宋" w:cs="Arial"/>
          <w:bCs/>
          <w:color w:val="000000" w:themeColor="text1"/>
          <w:sz w:val="28"/>
          <w:szCs w:val="28"/>
          <w:lang w:val="zh-CN"/>
          <w14:textFill>
            <w14:solidFill>
              <w14:schemeClr w14:val="tx1"/>
            </w14:solidFill>
          </w14:textFill>
        </w:rPr>
        <w:t>列入失信被执行人、异常经营名录、税收违法黑名单。</w:t>
      </w:r>
    </w:p>
    <w:p>
      <w:pPr>
        <w:spacing w:before="120" w:beforeLines="50" w:after="120" w:afterLines="50" w:line="460" w:lineRule="exact"/>
        <w:ind w:firstLine="602" w:firstLineChars="200"/>
        <w:jc w:val="left"/>
      </w:pPr>
      <w:r>
        <w:rPr>
          <w:rFonts w:hint="eastAsia" w:ascii="仿宋" w:hAnsi="仿宋" w:eastAsia="仿宋" w:cs="Arial"/>
          <w:b/>
          <w:bCs/>
          <w:color w:val="000000" w:themeColor="text1"/>
          <w:sz w:val="30"/>
          <w:szCs w:val="30"/>
          <w14:textFill>
            <w14:solidFill>
              <w14:schemeClr w14:val="tx1"/>
            </w14:solidFill>
          </w14:textFill>
        </w:rPr>
        <w:t>投标人的特定条件：</w:t>
      </w:r>
      <w:bookmarkStart w:id="2" w:name="PO_416_PM006"/>
      <w:bookmarkEnd w:id="2"/>
    </w:p>
    <w:p>
      <w:pPr>
        <w:snapToGrid w:val="0"/>
        <w:spacing w:before="120" w:beforeLines="50" w:after="120" w:afterLines="50" w:line="460" w:lineRule="exact"/>
        <w:ind w:firstLine="562" w:firstLineChars="200"/>
        <w:rPr>
          <w:rFonts w:ascii="仿宋" w:hAnsi="仿宋" w:eastAsia="仿宋" w:cs="Arial"/>
          <w:b/>
          <w:color w:val="000000" w:themeColor="text1"/>
          <w:sz w:val="28"/>
          <w:szCs w:val="28"/>
          <w:lang w:val="zh-CN"/>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1、标项1</w:t>
      </w:r>
      <w:r>
        <w:rPr>
          <w:rFonts w:ascii="仿宋" w:hAnsi="仿宋" w:eastAsia="仿宋" w:cs="Arial"/>
          <w:b/>
          <w:color w:val="000000" w:themeColor="text1"/>
          <w:sz w:val="28"/>
          <w:szCs w:val="28"/>
          <w14:textFill>
            <w14:solidFill>
              <w14:schemeClr w14:val="tx1"/>
            </w14:solidFill>
          </w14:textFill>
        </w:rPr>
        <w:t>：</w:t>
      </w:r>
      <w:r>
        <w:rPr>
          <w:rFonts w:hint="eastAsia" w:ascii="仿宋" w:hAnsi="仿宋" w:eastAsia="仿宋" w:cs="Arial"/>
          <w:b/>
          <w:color w:val="000000" w:themeColor="text1"/>
          <w:sz w:val="28"/>
          <w:szCs w:val="28"/>
          <w:lang w:val="zh-CN"/>
          <w14:textFill>
            <w14:solidFill>
              <w14:schemeClr w14:val="tx1"/>
            </w14:solidFill>
          </w14:textFill>
        </w:rPr>
        <w:t>2021年1月1日至今，具有1个政府采购及1个国有企业采购</w:t>
      </w:r>
      <w:r>
        <w:rPr>
          <w:rFonts w:hint="eastAsia" w:ascii="仿宋" w:hAnsi="仿宋" w:eastAsia="仿宋" w:cs="Arial"/>
          <w:b/>
          <w:color w:val="000000" w:themeColor="text1"/>
          <w:sz w:val="28"/>
          <w:szCs w:val="28"/>
          <w:lang w:val="en-US" w:eastAsia="zh-CN"/>
          <w14:textFill>
            <w14:solidFill>
              <w14:schemeClr w14:val="tx1"/>
            </w14:solidFill>
          </w14:textFill>
        </w:rPr>
        <w:t>项目</w:t>
      </w:r>
      <w:r>
        <w:rPr>
          <w:rFonts w:hint="eastAsia" w:ascii="仿宋" w:hAnsi="仿宋" w:eastAsia="仿宋" w:cs="Arial"/>
          <w:b/>
          <w:color w:val="000000" w:themeColor="text1"/>
          <w:sz w:val="28"/>
          <w:szCs w:val="28"/>
          <w:lang w:val="zh-CN"/>
          <w14:textFill>
            <w14:solidFill>
              <w14:schemeClr w14:val="tx1"/>
            </w14:solidFill>
          </w14:textFill>
        </w:rPr>
        <w:t>的</w:t>
      </w:r>
      <w:r>
        <w:rPr>
          <w:rFonts w:hint="eastAsia" w:ascii="仿宋" w:hAnsi="仿宋" w:eastAsia="仿宋" w:cs="Arial"/>
          <w:b/>
          <w:color w:val="000000" w:themeColor="text1"/>
          <w:sz w:val="28"/>
          <w:szCs w:val="28"/>
          <w:lang w:val="en-US" w:eastAsia="zh-CN"/>
          <w14:textFill>
            <w14:solidFill>
              <w14:schemeClr w14:val="tx1"/>
            </w14:solidFill>
          </w14:textFill>
        </w:rPr>
        <w:t>代理</w:t>
      </w:r>
      <w:r>
        <w:rPr>
          <w:rFonts w:hint="eastAsia" w:ascii="仿宋" w:hAnsi="仿宋" w:eastAsia="仿宋" w:cs="Arial"/>
          <w:b/>
          <w:color w:val="000000" w:themeColor="text1"/>
          <w:sz w:val="28"/>
          <w:szCs w:val="28"/>
          <w:lang w:val="zh-CN"/>
          <w14:textFill>
            <w14:solidFill>
              <w14:schemeClr w14:val="tx1"/>
            </w14:solidFill>
          </w14:textFill>
        </w:rPr>
        <w:t>案例。</w:t>
      </w:r>
    </w:p>
    <w:p>
      <w:pPr>
        <w:snapToGrid w:val="0"/>
        <w:spacing w:before="120" w:beforeLines="50" w:after="120" w:afterLines="50" w:line="460" w:lineRule="exact"/>
        <w:ind w:firstLine="562" w:firstLineChars="200"/>
        <w:rPr>
          <w:rFonts w:ascii="仿宋" w:hAnsi="仿宋" w:eastAsia="仿宋" w:cs="Arial"/>
          <w:b/>
          <w:color w:val="000000" w:themeColor="text1"/>
          <w:sz w:val="28"/>
          <w:szCs w:val="28"/>
          <w:lang w:val="zh-CN"/>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标项2</w:t>
      </w:r>
      <w:r>
        <w:rPr>
          <w:rFonts w:ascii="仿宋" w:hAnsi="仿宋" w:eastAsia="仿宋" w:cs="Arial"/>
          <w:b/>
          <w:color w:val="000000" w:themeColor="text1"/>
          <w:sz w:val="28"/>
          <w:szCs w:val="28"/>
          <w14:textFill>
            <w14:solidFill>
              <w14:schemeClr w14:val="tx1"/>
            </w14:solidFill>
          </w14:textFill>
        </w:rPr>
        <w:t>：</w:t>
      </w:r>
      <w:r>
        <w:rPr>
          <w:rFonts w:hint="eastAsia" w:ascii="仿宋" w:hAnsi="仿宋" w:eastAsia="仿宋" w:cs="Arial"/>
          <w:b/>
          <w:color w:val="000000" w:themeColor="text1"/>
          <w:sz w:val="28"/>
          <w:szCs w:val="28"/>
          <w:lang w:val="zh-CN"/>
          <w14:textFill>
            <w14:solidFill>
              <w14:schemeClr w14:val="tx1"/>
            </w14:solidFill>
          </w14:textFill>
        </w:rPr>
        <w:t>2021年1月1日至今，具有1个依法必须招标项目的招标代理案例。</w:t>
      </w:r>
    </w:p>
    <w:p>
      <w:pPr>
        <w:snapToGrid w:val="0"/>
        <w:spacing w:before="120" w:beforeLines="50" w:after="120" w:afterLines="50" w:line="460" w:lineRule="exact"/>
        <w:ind w:firstLine="562" w:firstLineChars="200"/>
        <w:rPr>
          <w:rFonts w:hint="eastAsia" w:ascii="仿宋" w:hAnsi="仿宋" w:eastAsia="仿宋" w:cs="Arial"/>
          <w:b/>
          <w:color w:val="000000" w:themeColor="text1"/>
          <w:sz w:val="28"/>
          <w:szCs w:val="28"/>
          <w:lang w:eastAsia="zh-CN"/>
          <w14:textFill>
            <w14:solidFill>
              <w14:schemeClr w14:val="tx1"/>
            </w14:solidFill>
          </w14:textFill>
        </w:rPr>
      </w:pPr>
      <w:r>
        <w:rPr>
          <w:rFonts w:hint="eastAsia" w:ascii="仿宋" w:hAnsi="仿宋" w:eastAsia="仿宋" w:cs="Arial"/>
          <w:b/>
          <w:color w:val="000000" w:themeColor="text1"/>
          <w:sz w:val="28"/>
          <w:szCs w:val="28"/>
          <w:lang w:val="zh-CN"/>
          <w14:textFill>
            <w14:solidFill>
              <w14:schemeClr w14:val="tx1"/>
            </w14:solidFill>
          </w14:textFill>
        </w:rPr>
        <w:t>2、签署《供应商诚信经营和诚信履约承诺书》，</w:t>
      </w:r>
      <w:r>
        <w:rPr>
          <w:rFonts w:hint="eastAsia" w:ascii="仿宋" w:hAnsi="仿宋" w:eastAsia="仿宋" w:cs="Arial"/>
          <w:b/>
          <w:color w:val="000000" w:themeColor="text1"/>
          <w:sz w:val="28"/>
          <w:szCs w:val="28"/>
          <w14:textFill>
            <w14:solidFill>
              <w14:schemeClr w14:val="tx1"/>
            </w14:solidFill>
          </w14:textFill>
        </w:rPr>
        <w:t>格式详见第六章附件6</w:t>
      </w:r>
      <w:r>
        <w:rPr>
          <w:rFonts w:hint="eastAsia" w:ascii="仿宋" w:hAnsi="仿宋" w:eastAsia="仿宋" w:cs="Arial"/>
          <w:b/>
          <w:color w:val="000000" w:themeColor="text1"/>
          <w:sz w:val="28"/>
          <w:szCs w:val="28"/>
          <w:lang w:eastAsia="zh-CN"/>
          <w14:textFill>
            <w14:solidFill>
              <w14:schemeClr w14:val="tx1"/>
            </w14:solidFill>
          </w14:textFill>
        </w:rPr>
        <w:t>。</w:t>
      </w:r>
    </w:p>
    <w:p>
      <w:pPr>
        <w:spacing w:before="120" w:beforeLines="50" w:after="120"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bookmarkStart w:id="3" w:name="PO_15528_PM007"/>
      <w:r>
        <w:rPr>
          <w:rFonts w:hint="eastAsia" w:ascii="仿宋" w:hAnsi="仿宋" w:eastAsia="仿宋" w:cs="Arial"/>
          <w:b/>
          <w:bCs/>
          <w:color w:val="000000" w:themeColor="text1"/>
          <w:sz w:val="30"/>
          <w:szCs w:val="30"/>
          <w14:textFill>
            <w14:solidFill>
              <w14:schemeClr w14:val="tx1"/>
            </w14:solidFill>
          </w14:textFill>
        </w:rPr>
        <w:t>是否允许联合体投标：</w:t>
      </w:r>
      <w:bookmarkEnd w:id="3"/>
      <w:r>
        <w:rPr>
          <w:rFonts w:hint="eastAsia" w:ascii="仿宋" w:hAnsi="仿宋" w:eastAsia="仿宋" w:cs="Arial"/>
          <w:b/>
          <w:bCs/>
          <w:color w:val="000000" w:themeColor="text1"/>
          <w:sz w:val="30"/>
          <w:szCs w:val="30"/>
          <w14:textFill>
            <w14:solidFill>
              <w14:schemeClr w14:val="tx1"/>
            </w14:solidFill>
          </w14:textFill>
        </w:rPr>
        <w:t>标项1-2不允许联合体投标</w:t>
      </w:r>
    </w:p>
    <w:p>
      <w:pPr>
        <w:spacing w:before="120" w:beforeLines="50" w:after="120"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中标原则：标项1-2允许兼投兼中</w:t>
      </w:r>
    </w:p>
    <w:p>
      <w:pPr>
        <w:spacing w:before="240" w:beforeLines="100" w:after="120"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六</w:t>
      </w:r>
      <w:r>
        <w:rPr>
          <w:rFonts w:hint="eastAsia" w:ascii="仿宋" w:hAnsi="仿宋" w:eastAsia="仿宋" w:cs="Arial"/>
          <w:b/>
          <w:bCs/>
          <w:color w:val="000000" w:themeColor="text1"/>
          <w:sz w:val="30"/>
          <w:szCs w:val="30"/>
          <w:lang w:val="zh-CN"/>
          <w14:textFill>
            <w14:solidFill>
              <w14:schemeClr w14:val="tx1"/>
            </w14:solidFill>
          </w14:textFill>
        </w:rPr>
        <w:t>、获取采购文件</w:t>
      </w:r>
    </w:p>
    <w:p>
      <w:pPr>
        <w:snapToGrid w:val="0"/>
        <w:spacing w:before="120" w:beforeLines="50" w:after="120" w:afterLines="50"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1.获取时间：</w:t>
      </w:r>
      <w:r>
        <w:rPr>
          <w:rFonts w:hint="eastAsia" w:ascii="仿宋" w:hAnsi="仿宋" w:eastAsia="仿宋" w:cs="Arial"/>
          <w:bCs/>
          <w:color w:val="000000" w:themeColor="text1"/>
          <w:sz w:val="28"/>
          <w:szCs w:val="28"/>
          <w:highlight w:val="none"/>
          <w14:textFill>
            <w14:solidFill>
              <w14:schemeClr w14:val="tx1"/>
            </w14:solidFill>
          </w14:textFill>
        </w:rPr>
        <w:t xml:space="preserve">公告发布至 </w:t>
      </w:r>
      <w:bookmarkStart w:id="4" w:name="PO_15528_PM009"/>
      <w:r>
        <w:rPr>
          <w:rFonts w:hint="eastAsia" w:ascii="仿宋" w:hAnsi="仿宋" w:eastAsia="仿宋" w:cs="Arial"/>
          <w:bCs/>
          <w:color w:val="000000" w:themeColor="text1"/>
          <w:sz w:val="28"/>
          <w:szCs w:val="28"/>
          <w:highlight w:val="none"/>
          <w14:textFill>
            <w14:solidFill>
              <w14:schemeClr w14:val="tx1"/>
            </w14:solidFill>
          </w14:textFill>
        </w:rPr>
        <w:t>202</w:t>
      </w:r>
      <w:bookmarkEnd w:id="4"/>
      <w:r>
        <w:rPr>
          <w:rFonts w:hint="eastAsia" w:ascii="仿宋" w:hAnsi="仿宋" w:eastAsia="仿宋" w:cs="Arial"/>
          <w:bCs/>
          <w:color w:val="000000" w:themeColor="text1"/>
          <w:sz w:val="28"/>
          <w:szCs w:val="28"/>
          <w:highlight w:val="none"/>
          <w14:textFill>
            <w14:solidFill>
              <w14:schemeClr w14:val="tx1"/>
            </w14:solidFill>
          </w14:textFill>
        </w:rPr>
        <w:t>4-4-</w:t>
      </w:r>
      <w:r>
        <w:rPr>
          <w:rFonts w:hint="eastAsia" w:ascii="仿宋" w:hAnsi="仿宋" w:eastAsia="仿宋" w:cs="Arial"/>
          <w:bCs/>
          <w:color w:val="000000" w:themeColor="text1"/>
          <w:sz w:val="28"/>
          <w:szCs w:val="28"/>
          <w:highlight w:val="none"/>
          <w:lang w:val="en-US" w:eastAsia="zh-CN"/>
          <w14:textFill>
            <w14:solidFill>
              <w14:schemeClr w14:val="tx1"/>
            </w14:solidFill>
          </w14:textFill>
        </w:rPr>
        <w:t>15</w:t>
      </w:r>
      <w:r>
        <w:rPr>
          <w:rFonts w:hint="eastAsia" w:ascii="仿宋" w:hAnsi="仿宋" w:eastAsia="仿宋" w:cs="Arial"/>
          <w:bCs/>
          <w:color w:val="000000" w:themeColor="text1"/>
          <w:sz w:val="28"/>
          <w:szCs w:val="28"/>
          <w:highlight w:val="none"/>
          <w14:textFill>
            <w14:solidFill>
              <w14:schemeClr w14:val="tx1"/>
            </w14:solidFill>
          </w14:textFill>
        </w:rPr>
        <w:t xml:space="preserve"> 09:</w:t>
      </w:r>
      <w:r>
        <w:rPr>
          <w:rFonts w:hint="eastAsia" w:ascii="仿宋" w:hAnsi="仿宋" w:eastAsia="仿宋" w:cs="Arial"/>
          <w:bCs/>
          <w:color w:val="000000" w:themeColor="text1"/>
          <w:sz w:val="28"/>
          <w:szCs w:val="28"/>
          <w:highlight w:val="none"/>
          <w:lang w:val="en-US" w:eastAsia="zh-CN"/>
          <w14:textFill>
            <w14:solidFill>
              <w14:schemeClr w14:val="tx1"/>
            </w14:solidFill>
          </w14:textFill>
        </w:rPr>
        <w:t>3</w:t>
      </w:r>
      <w:r>
        <w:rPr>
          <w:rFonts w:hint="eastAsia" w:ascii="仿宋" w:hAnsi="仿宋" w:eastAsia="仿宋" w:cs="Arial"/>
          <w:bCs/>
          <w:color w:val="000000" w:themeColor="text1"/>
          <w:sz w:val="28"/>
          <w:szCs w:val="28"/>
          <w:highlight w:val="none"/>
          <w14:textFill>
            <w14:solidFill>
              <w14:schemeClr w14:val="tx1"/>
            </w14:solidFill>
          </w14:textFill>
        </w:rPr>
        <w:t xml:space="preserve">0:00 </w:t>
      </w:r>
    </w:p>
    <w:p>
      <w:pPr>
        <w:snapToGrid w:val="0"/>
        <w:spacing w:before="120" w:beforeLines="50" w:after="120" w:afterLines="50" w:line="460" w:lineRule="exact"/>
        <w:ind w:firstLine="560" w:firstLineChars="200"/>
        <w:rPr>
          <w:rFonts w:ascii="仿宋" w:hAnsi="仿宋" w:eastAsia="仿宋" w:cs="Arial"/>
          <w:bCs/>
          <w:color w:val="000000" w:themeColor="text1"/>
          <w:sz w:val="28"/>
          <w:szCs w:val="28"/>
          <w:lang w:val="zh-CN"/>
          <w14:textFill>
            <w14:solidFill>
              <w14:schemeClr w14:val="tx1"/>
            </w14:solidFill>
          </w14:textFill>
        </w:rPr>
      </w:pPr>
      <w:r>
        <w:rPr>
          <w:rFonts w:hint="eastAsia" w:ascii="仿宋" w:hAnsi="仿宋" w:eastAsia="仿宋" w:cs="Arial"/>
          <w:bCs/>
          <w:color w:val="000000" w:themeColor="text1"/>
          <w:sz w:val="28"/>
          <w:szCs w:val="28"/>
          <w:lang w:val="zh-CN"/>
          <w14:textFill>
            <w14:solidFill>
              <w14:schemeClr w14:val="tx1"/>
            </w14:solidFill>
          </w14:textFill>
        </w:rPr>
        <w:t>2.获取方式：本项目招标文件实行网上获取。供应商登录浙江政府采购网（</w:t>
      </w:r>
      <w:r>
        <w:fldChar w:fldCharType="begin"/>
      </w:r>
      <w:r>
        <w:instrText xml:space="preserve"> HYPERLINK "http://zfcg.czt.zj.gov.cn/" </w:instrText>
      </w:r>
      <w:r>
        <w:fldChar w:fldCharType="separate"/>
      </w:r>
      <w:r>
        <w:rPr>
          <w:rFonts w:hint="eastAsia" w:ascii="仿宋" w:hAnsi="仿宋" w:eastAsia="仿宋" w:cs="Arial"/>
          <w:bCs/>
          <w:color w:val="000000" w:themeColor="text1"/>
          <w:sz w:val="28"/>
          <w:szCs w:val="28"/>
          <w14:textFill>
            <w14:solidFill>
              <w14:schemeClr w14:val="tx1"/>
            </w14:solidFill>
          </w14:textFill>
        </w:rPr>
        <w:t>http://zfcg.czt.zj.gov.cn/</w:t>
      </w:r>
      <w:r>
        <w:rPr>
          <w:rFonts w:hint="eastAsia" w:ascii="仿宋" w:hAnsi="仿宋" w:eastAsia="仿宋" w:cs="Arial"/>
          <w:bCs/>
          <w:color w:val="000000" w:themeColor="text1"/>
          <w:sz w:val="28"/>
          <w:szCs w:val="28"/>
          <w14:textFill>
            <w14:solidFill>
              <w14:schemeClr w14:val="tx1"/>
            </w14:solidFill>
          </w14:textFill>
        </w:rPr>
        <w:fldChar w:fldCharType="end"/>
      </w:r>
      <w:r>
        <w:rPr>
          <w:rFonts w:hint="eastAsia" w:ascii="仿宋" w:hAnsi="仿宋" w:eastAsia="仿宋" w:cs="Arial"/>
          <w:bCs/>
          <w:color w:val="000000" w:themeColor="text1"/>
          <w:sz w:val="28"/>
          <w:szCs w:val="28"/>
          <w:lang w:val="zh-CN"/>
          <w14:textFill>
            <w14:solidFill>
              <w14:schemeClr w14:val="tx1"/>
            </w14:solidFill>
          </w14:textFill>
        </w:rPr>
        <w:t>）进入政采云系统“项目采购”模块“获取采购文件”菜单，进行网上获取招标文件。</w:t>
      </w:r>
    </w:p>
    <w:p>
      <w:pPr>
        <w:snapToGrid w:val="0"/>
        <w:spacing w:before="120" w:beforeLines="50" w:after="120" w:afterLines="50" w:line="460" w:lineRule="exact"/>
        <w:ind w:firstLine="560" w:firstLineChars="200"/>
        <w:rPr>
          <w:rFonts w:ascii="仿宋" w:hAnsi="仿宋" w:eastAsia="仿宋" w:cs="Arial"/>
          <w:bCs/>
          <w:color w:val="000000" w:themeColor="text1"/>
          <w:sz w:val="28"/>
          <w:szCs w:val="28"/>
          <w:lang w:val="zh-CN"/>
          <w14:textFill>
            <w14:solidFill>
              <w14:schemeClr w14:val="tx1"/>
            </w14:solidFill>
          </w14:textFill>
        </w:rPr>
      </w:pPr>
      <w:r>
        <w:rPr>
          <w:rFonts w:hint="eastAsia" w:ascii="仿宋" w:hAnsi="仿宋" w:eastAsia="仿宋" w:cs="Arial"/>
          <w:bCs/>
          <w:color w:val="000000" w:themeColor="text1"/>
          <w:sz w:val="28"/>
          <w:szCs w:val="28"/>
          <w:lang w:val="zh-CN"/>
          <w14:textFill>
            <w14:solidFill>
              <w14:schemeClr w14:val="tx1"/>
            </w14:solidFill>
          </w14:textFill>
        </w:rPr>
        <w:t>3.招标文件免费获取。</w:t>
      </w:r>
    </w:p>
    <w:p>
      <w:pPr>
        <w:spacing w:before="240" w:beforeLines="100" w:after="120" w:afterLines="50" w:line="460" w:lineRule="exact"/>
        <w:ind w:firstLine="602" w:firstLineChars="200"/>
        <w:rPr>
          <w:rFonts w:ascii="仿宋" w:hAnsi="仿宋" w:eastAsia="仿宋" w:cs="Arial"/>
          <w:b/>
          <w:bCs/>
          <w:color w:val="000000" w:themeColor="text1"/>
          <w:sz w:val="30"/>
          <w:szCs w:val="30"/>
          <w:lang w:val="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七</w:t>
      </w:r>
      <w:r>
        <w:rPr>
          <w:rFonts w:hint="eastAsia" w:ascii="仿宋" w:hAnsi="仿宋" w:eastAsia="仿宋" w:cs="Arial"/>
          <w:b/>
          <w:bCs/>
          <w:color w:val="000000" w:themeColor="text1"/>
          <w:sz w:val="30"/>
          <w:szCs w:val="30"/>
          <w:lang w:val="zh-CN"/>
          <w14:textFill>
            <w14:solidFill>
              <w14:schemeClr w14:val="tx1"/>
            </w14:solidFill>
          </w14:textFill>
        </w:rPr>
        <w:t>、投标截止时间、地点和形式</w:t>
      </w:r>
    </w:p>
    <w:p>
      <w:pPr>
        <w:pStyle w:val="31"/>
        <w:adjustRightInd w:val="0"/>
        <w:snapToGrid w:val="0"/>
        <w:spacing w:before="120" w:after="120" w:line="500" w:lineRule="exact"/>
        <w:ind w:firstLine="565" w:firstLineChars="201"/>
        <w:rPr>
          <w:rFonts w:ascii="仿宋" w:hAnsi="仿宋" w:eastAsia="仿宋" w:cs="Arial"/>
          <w:bCs/>
          <w:color w:val="000000" w:themeColor="text1"/>
          <w:sz w:val="28"/>
          <w:szCs w:val="28"/>
          <w:lang w:val="zh-CN"/>
          <w14:textFill>
            <w14:solidFill>
              <w14:schemeClr w14:val="tx1"/>
            </w14:solidFill>
          </w14:textFill>
        </w:rPr>
      </w:pPr>
      <w:r>
        <w:rPr>
          <w:rFonts w:hint="eastAsia" w:ascii="仿宋" w:hAnsi="仿宋" w:eastAsia="仿宋" w:cs="Arial"/>
          <w:b/>
          <w:color w:val="000000" w:themeColor="text1"/>
          <w:sz w:val="28"/>
          <w:szCs w:val="28"/>
          <w:lang w:val="zh-CN"/>
          <w14:textFill>
            <w14:solidFill>
              <w14:schemeClr w14:val="tx1"/>
            </w14:solidFill>
          </w14:textFill>
        </w:rPr>
        <w:t>投标截止时间：</w:t>
      </w:r>
      <w:r>
        <w:rPr>
          <w:rFonts w:hint="eastAsia" w:ascii="仿宋" w:hAnsi="仿宋" w:eastAsia="仿宋" w:cs="Arial"/>
          <w:bCs/>
          <w:color w:val="000000" w:themeColor="text1"/>
          <w:sz w:val="28"/>
          <w:szCs w:val="28"/>
          <w:highlight w:val="none"/>
          <w14:textFill>
            <w14:solidFill>
              <w14:schemeClr w14:val="tx1"/>
            </w14:solidFill>
          </w14:textFill>
        </w:rPr>
        <w:t>2024-4-</w:t>
      </w:r>
      <w:r>
        <w:rPr>
          <w:rFonts w:hint="eastAsia" w:ascii="仿宋" w:hAnsi="仿宋" w:eastAsia="仿宋" w:cs="Arial"/>
          <w:bCs/>
          <w:color w:val="000000" w:themeColor="text1"/>
          <w:sz w:val="28"/>
          <w:szCs w:val="28"/>
          <w:highlight w:val="none"/>
          <w:lang w:val="en-US" w:eastAsia="zh-CN"/>
          <w14:textFill>
            <w14:solidFill>
              <w14:schemeClr w14:val="tx1"/>
            </w14:solidFill>
          </w14:textFill>
        </w:rPr>
        <w:t>15</w:t>
      </w:r>
      <w:r>
        <w:rPr>
          <w:rFonts w:hint="eastAsia" w:ascii="仿宋" w:hAnsi="仿宋" w:eastAsia="仿宋" w:cs="Arial"/>
          <w:bCs/>
          <w:color w:val="000000" w:themeColor="text1"/>
          <w:sz w:val="28"/>
          <w:szCs w:val="28"/>
          <w:highlight w:val="none"/>
          <w14:textFill>
            <w14:solidFill>
              <w14:schemeClr w14:val="tx1"/>
            </w14:solidFill>
          </w14:textFill>
        </w:rPr>
        <w:t xml:space="preserve"> 09:</w:t>
      </w:r>
      <w:r>
        <w:rPr>
          <w:rFonts w:hint="eastAsia" w:ascii="仿宋" w:hAnsi="仿宋" w:eastAsia="仿宋" w:cs="Arial"/>
          <w:bCs/>
          <w:color w:val="000000" w:themeColor="text1"/>
          <w:sz w:val="28"/>
          <w:szCs w:val="28"/>
          <w:highlight w:val="none"/>
          <w:lang w:val="en-US" w:eastAsia="zh-CN"/>
          <w14:textFill>
            <w14:solidFill>
              <w14:schemeClr w14:val="tx1"/>
            </w14:solidFill>
          </w14:textFill>
        </w:rPr>
        <w:t>3</w:t>
      </w:r>
      <w:r>
        <w:rPr>
          <w:rFonts w:hint="eastAsia" w:ascii="仿宋" w:hAnsi="仿宋" w:eastAsia="仿宋" w:cs="Arial"/>
          <w:bCs/>
          <w:color w:val="000000" w:themeColor="text1"/>
          <w:sz w:val="28"/>
          <w:szCs w:val="28"/>
          <w:highlight w:val="none"/>
          <w14:textFill>
            <w14:solidFill>
              <w14:schemeClr w14:val="tx1"/>
            </w14:solidFill>
          </w14:textFill>
        </w:rPr>
        <w:t xml:space="preserve">0:00 </w:t>
      </w:r>
    </w:p>
    <w:p>
      <w:pPr>
        <w:pStyle w:val="31"/>
        <w:spacing w:before="120" w:after="120" w:line="460" w:lineRule="exact"/>
        <w:ind w:firstLine="560" w:firstLineChars="200"/>
        <w:rPr>
          <w:rFonts w:ascii="仿宋" w:hAnsi="仿宋" w:eastAsia="仿宋" w:cs="Arial"/>
          <w:bCs/>
          <w:color w:val="000000" w:themeColor="text1"/>
          <w:sz w:val="28"/>
          <w:szCs w:val="28"/>
          <w:lang w:val="zh-CN"/>
          <w14:textFill>
            <w14:solidFill>
              <w14:schemeClr w14:val="tx1"/>
            </w14:solidFill>
          </w14:textFill>
        </w:rPr>
      </w:pPr>
      <w:r>
        <w:rPr>
          <w:rFonts w:hint="eastAsia" w:ascii="仿宋" w:hAnsi="仿宋" w:eastAsia="仿宋" w:cs="Arial"/>
          <w:bCs/>
          <w:color w:val="000000" w:themeColor="text1"/>
          <w:sz w:val="28"/>
          <w:szCs w:val="28"/>
          <w:lang w:val="zh-CN"/>
          <w14:textFill>
            <w14:solidFill>
              <w14:schemeClr w14:val="tx1"/>
            </w14:solidFill>
          </w14:textFill>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spacing w:before="120" w:beforeLines="50" w:beforeAutospacing="0" w:after="120" w:afterLines="50" w:afterAutospacing="0" w:line="460" w:lineRule="exact"/>
        <w:ind w:firstLine="560" w:firstLineChars="200"/>
        <w:jc w:val="both"/>
        <w:rPr>
          <w:rFonts w:ascii="仿宋" w:hAnsi="仿宋" w:eastAsia="仿宋" w:cs="Arial"/>
          <w:bCs/>
          <w:color w:val="000000" w:themeColor="text1"/>
          <w:kern w:val="2"/>
          <w:sz w:val="28"/>
          <w:szCs w:val="28"/>
          <w:lang w:val="zh-CN"/>
          <w14:textFill>
            <w14:solidFill>
              <w14:schemeClr w14:val="tx1"/>
            </w14:solidFill>
          </w14:textFill>
        </w:rPr>
      </w:pPr>
      <w:r>
        <w:rPr>
          <w:rFonts w:hint="eastAsia" w:ascii="仿宋" w:hAnsi="仿宋" w:eastAsia="仿宋" w:cs="Arial"/>
          <w:bCs/>
          <w:color w:val="000000" w:themeColor="text1"/>
          <w:kern w:val="2"/>
          <w:sz w:val="28"/>
          <w:szCs w:val="28"/>
          <w:lang w:val="zh-CN"/>
          <w14:textFill>
            <w14:solidFill>
              <w14:schemeClr w14:val="tx1"/>
            </w14:solidFill>
          </w14:textFill>
        </w:rPr>
        <w:t>如认为需要，投标人可以选择递交备份投标文件，采用数据电文形式，以U盘或DVD光盘形式存储，并在投标截止时间前，通过邮寄方式，送达指定地点，逾期送达或未密封将被拒收。</w:t>
      </w:r>
    </w:p>
    <w:p>
      <w:pPr>
        <w:pStyle w:val="53"/>
        <w:spacing w:before="120" w:beforeLines="50" w:beforeAutospacing="0" w:after="120" w:afterLines="50" w:afterAutospacing="0" w:line="460" w:lineRule="exact"/>
        <w:ind w:firstLine="560" w:firstLineChars="200"/>
        <w:jc w:val="both"/>
        <w:rPr>
          <w:rFonts w:ascii="仿宋" w:hAnsi="仿宋" w:eastAsia="仿宋" w:cs="Arial"/>
          <w:bCs/>
          <w:color w:val="000000" w:themeColor="text1"/>
          <w:kern w:val="2"/>
          <w:sz w:val="28"/>
          <w:szCs w:val="28"/>
          <w:lang w:val="zh-CN"/>
          <w14:textFill>
            <w14:solidFill>
              <w14:schemeClr w14:val="tx1"/>
            </w14:solidFill>
          </w14:textFill>
        </w:rPr>
      </w:pPr>
      <w:r>
        <w:rPr>
          <w:rFonts w:hint="eastAsia" w:ascii="仿宋" w:hAnsi="仿宋" w:eastAsia="仿宋" w:cs="Arial"/>
          <w:bCs/>
          <w:color w:val="000000" w:themeColor="text1"/>
          <w:kern w:val="2"/>
          <w:sz w:val="28"/>
          <w:szCs w:val="28"/>
          <w:lang w:val="zh-CN"/>
          <w14:textFill>
            <w14:solidFill>
              <w14:schemeClr w14:val="tx1"/>
            </w14:solidFill>
          </w14:textFill>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adjustRightInd w:val="0"/>
        <w:snapToGrid w:val="0"/>
        <w:spacing w:before="120" w:beforeLines="50" w:after="72" w:line="500" w:lineRule="exact"/>
        <w:ind w:firstLine="562" w:firstLineChars="200"/>
        <w:rPr>
          <w:b/>
          <w:color w:val="000000" w:themeColor="text1"/>
          <w:sz w:val="28"/>
          <w:szCs w:val="28"/>
          <w14:textFill>
            <w14:solidFill>
              <w14:schemeClr w14:val="tx1"/>
            </w14:solidFill>
          </w14:textFill>
        </w:rPr>
      </w:pPr>
      <w:r>
        <w:rPr>
          <w:rFonts w:hint="eastAsia" w:hAnsi="Courier New"/>
          <w:b/>
          <w:color w:val="000000" w:themeColor="text1"/>
          <w:sz w:val="28"/>
          <w:szCs w:val="28"/>
          <w:lang w:bidi="ar"/>
          <w14:textFill>
            <w14:solidFill>
              <w14:schemeClr w14:val="tx1"/>
            </w14:solidFill>
          </w14:textFill>
        </w:rPr>
        <w:t>本项目拒绝接受纸质投标文件。</w:t>
      </w:r>
    </w:p>
    <w:p>
      <w:pPr>
        <w:spacing w:before="240" w:beforeLines="100" w:after="120" w:afterLines="50" w:line="460" w:lineRule="exact"/>
        <w:ind w:firstLine="602" w:firstLineChars="200"/>
        <w:rPr>
          <w:rFonts w:ascii="仿宋" w:hAnsi="仿宋" w:eastAsia="仿宋" w:cs="Arial"/>
          <w:b/>
          <w:bCs/>
          <w:color w:val="000000" w:themeColor="text1"/>
          <w:sz w:val="30"/>
          <w:szCs w:val="30"/>
          <w:lang w:val="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八</w:t>
      </w:r>
      <w:r>
        <w:rPr>
          <w:rFonts w:hint="eastAsia" w:ascii="仿宋" w:hAnsi="仿宋" w:eastAsia="仿宋" w:cs="Arial"/>
          <w:b/>
          <w:bCs/>
          <w:color w:val="000000" w:themeColor="text1"/>
          <w:sz w:val="30"/>
          <w:szCs w:val="30"/>
          <w:lang w:val="zh-CN"/>
          <w14:textFill>
            <w14:solidFill>
              <w14:schemeClr w14:val="tx1"/>
            </w14:solidFill>
          </w14:textFill>
        </w:rPr>
        <w:t>、开标时间及地点：</w:t>
      </w:r>
    </w:p>
    <w:p>
      <w:pPr>
        <w:snapToGrid w:val="0"/>
        <w:spacing w:line="500" w:lineRule="exact"/>
        <w:ind w:firstLine="562" w:firstLineChars="200"/>
        <w:rPr>
          <w:rFonts w:hint="eastAsia" w:ascii="宋体" w:hAnsi="宋体" w:cs="Arial"/>
          <w:b/>
          <w:color w:val="000000" w:themeColor="text1"/>
          <w:sz w:val="28"/>
          <w:szCs w:val="28"/>
          <w:highlight w:val="none"/>
          <w14:textFill>
            <w14:solidFill>
              <w14:schemeClr w14:val="tx1"/>
            </w14:solidFill>
          </w14:textFill>
        </w:rPr>
      </w:pPr>
      <w:r>
        <w:rPr>
          <w:rFonts w:hint="eastAsia" w:ascii="宋体" w:hAnsi="宋体" w:cs="Arial"/>
          <w:b/>
          <w:color w:val="000000" w:themeColor="text1"/>
          <w:sz w:val="28"/>
          <w:szCs w:val="28"/>
          <w:highlight w:val="none"/>
          <w14:textFill>
            <w14:solidFill>
              <w14:schemeClr w14:val="tx1"/>
            </w14:solidFill>
          </w14:textFill>
        </w:rPr>
        <w:t>本次招标将于2024-4-</w:t>
      </w:r>
      <w:r>
        <w:rPr>
          <w:rFonts w:hint="eastAsia" w:ascii="宋体" w:hAnsi="宋体" w:cs="Arial"/>
          <w:b/>
          <w:color w:val="000000" w:themeColor="text1"/>
          <w:sz w:val="28"/>
          <w:szCs w:val="28"/>
          <w:highlight w:val="none"/>
          <w:lang w:val="en-US" w:eastAsia="zh-CN"/>
          <w14:textFill>
            <w14:solidFill>
              <w14:schemeClr w14:val="tx1"/>
            </w14:solidFill>
          </w14:textFill>
        </w:rPr>
        <w:t>15</w:t>
      </w:r>
      <w:r>
        <w:rPr>
          <w:rFonts w:hint="eastAsia" w:ascii="宋体" w:hAnsi="宋体" w:cs="Arial"/>
          <w:b/>
          <w:color w:val="000000" w:themeColor="text1"/>
          <w:sz w:val="28"/>
          <w:szCs w:val="28"/>
          <w:highlight w:val="none"/>
          <w14:textFill>
            <w14:solidFill>
              <w14:schemeClr w14:val="tx1"/>
            </w14:solidFill>
          </w14:textFill>
        </w:rPr>
        <w:t xml:space="preserve"> </w:t>
      </w:r>
      <w:r>
        <w:rPr>
          <w:rFonts w:hint="eastAsia" w:ascii="宋体" w:hAnsi="宋体" w:cs="Arial"/>
          <w:b/>
          <w:color w:val="000000" w:themeColor="text1"/>
          <w:sz w:val="28"/>
          <w:szCs w:val="28"/>
          <w:highlight w:val="none"/>
          <w:lang w:val="en-US" w:eastAsia="zh-CN"/>
          <w14:textFill>
            <w14:solidFill>
              <w14:schemeClr w14:val="tx1"/>
            </w14:solidFill>
          </w14:textFill>
        </w:rPr>
        <w:t>09</w:t>
      </w:r>
      <w:r>
        <w:rPr>
          <w:rFonts w:hint="eastAsia" w:ascii="宋体" w:hAnsi="宋体" w:cs="Arial"/>
          <w:b/>
          <w:color w:val="000000" w:themeColor="text1"/>
          <w:sz w:val="28"/>
          <w:szCs w:val="28"/>
          <w:highlight w:val="none"/>
          <w14:textFill>
            <w14:solidFill>
              <w14:schemeClr w14:val="tx1"/>
            </w14:solidFill>
          </w14:textFill>
        </w:rPr>
        <w:t>:</w:t>
      </w:r>
      <w:r>
        <w:rPr>
          <w:rFonts w:hint="eastAsia" w:ascii="宋体" w:hAnsi="宋体" w:cs="Arial"/>
          <w:b/>
          <w:color w:val="000000" w:themeColor="text1"/>
          <w:sz w:val="28"/>
          <w:szCs w:val="28"/>
          <w:highlight w:val="none"/>
          <w:lang w:val="en-US" w:eastAsia="zh-CN"/>
          <w14:textFill>
            <w14:solidFill>
              <w14:schemeClr w14:val="tx1"/>
            </w14:solidFill>
          </w14:textFill>
        </w:rPr>
        <w:t>3</w:t>
      </w:r>
      <w:r>
        <w:rPr>
          <w:rFonts w:hint="eastAsia" w:ascii="宋体" w:hAnsi="宋体" w:cs="Arial"/>
          <w:b/>
          <w:color w:val="000000" w:themeColor="text1"/>
          <w:sz w:val="28"/>
          <w:szCs w:val="28"/>
          <w:highlight w:val="none"/>
          <w14:textFill>
            <w14:solidFill>
              <w14:schemeClr w14:val="tx1"/>
            </w14:solidFill>
          </w14:textFill>
        </w:rPr>
        <w:t>0:</w:t>
      </w:r>
      <w:r>
        <w:rPr>
          <w:rFonts w:hint="eastAsia" w:ascii="宋体" w:hAnsi="宋体" w:cs="Arial"/>
          <w:b/>
          <w:color w:val="000000" w:themeColor="text1"/>
          <w:sz w:val="28"/>
          <w:szCs w:val="28"/>
          <w:highlight w:val="none"/>
          <w:lang w:val="en-US" w:eastAsia="zh-CN"/>
          <w14:textFill>
            <w14:solidFill>
              <w14:schemeClr w14:val="tx1"/>
            </w14:solidFill>
          </w14:textFill>
        </w:rPr>
        <w:t>00</w:t>
      </w:r>
      <w:r>
        <w:rPr>
          <w:rFonts w:hint="eastAsia" w:ascii="宋体" w:hAnsi="宋体" w:cs="Arial"/>
          <w:b/>
          <w:color w:val="000000" w:themeColor="text1"/>
          <w:sz w:val="28"/>
          <w:szCs w:val="28"/>
          <w:highlight w:val="none"/>
          <w14:textFill>
            <w14:solidFill>
              <w14:schemeClr w14:val="tx1"/>
            </w14:solidFill>
          </w14:textFill>
        </w:rPr>
        <w:t>时整在</w:t>
      </w:r>
      <w:bookmarkStart w:id="5" w:name="PO_15528_PM016_1"/>
      <w:r>
        <w:rPr>
          <w:rFonts w:hint="eastAsia" w:ascii="宋体" w:hAnsi="宋体" w:cs="Arial"/>
          <w:b/>
          <w:color w:val="000000" w:themeColor="text1"/>
          <w:sz w:val="28"/>
          <w:szCs w:val="28"/>
          <w:highlight w:val="none"/>
          <w14:textFill>
            <w14:solidFill>
              <w14:schemeClr w14:val="tx1"/>
            </w14:solidFill>
          </w14:textFill>
        </w:rPr>
        <w:t>浙江省杭州市西湖区宝石一路3号201开标室</w:t>
      </w:r>
      <w:bookmarkEnd w:id="5"/>
      <w:r>
        <w:rPr>
          <w:rFonts w:hint="eastAsia" w:ascii="宋体" w:hAnsi="宋体" w:cs="Arial"/>
          <w:b/>
          <w:color w:val="000000" w:themeColor="text1"/>
          <w:sz w:val="28"/>
          <w:szCs w:val="28"/>
          <w:highlight w:val="none"/>
          <w14:textFill>
            <w14:solidFill>
              <w14:schemeClr w14:val="tx1"/>
            </w14:solidFill>
          </w14:textFill>
        </w:rPr>
        <w:t>开标，301会议室评标。</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本项目实行“不见面开评标”，投标人无须派人员到现场出席开标会议。</w:t>
      </w:r>
    </w:p>
    <w:tbl>
      <w:tblPr>
        <w:tblStyle w:val="99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restart"/>
            <w:tcBorders>
              <w:top w:val="single" w:color="auto" w:sz="4" w:space="0"/>
              <w:left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201开标室：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202开标室：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w:t>
            </w:r>
            <w:r>
              <w:rPr>
                <w:rFonts w:ascii="宋体" w:hAnsi="宋体" w:cs="宋体"/>
                <w:color w:val="000000" w:themeColor="text1"/>
                <w:kern w:val="0"/>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continue"/>
            <w:tcBorders>
              <w:left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203开标室：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w:t>
            </w:r>
            <w:r>
              <w:rPr>
                <w:rFonts w:ascii="宋体" w:hAnsi="宋体" w:cs="宋体"/>
                <w:color w:val="000000" w:themeColor="text1"/>
                <w:kern w:val="0"/>
                <w:sz w:val="28"/>
                <w:szCs w:val="28"/>
                <w14:textFill>
                  <w14:solidFill>
                    <w14:schemeClr w14:val="tx1"/>
                  </w14:solidFill>
                </w14:textFill>
              </w:rPr>
              <w:t>1816</w:t>
            </w:r>
          </w:p>
        </w:tc>
        <w:tc>
          <w:tcPr>
            <w:tcW w:w="34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301会议室：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continue"/>
            <w:tcBorders>
              <w:left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302会议室：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303会议室：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13"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688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w:t>
            </w:r>
            <w:r>
              <w:rPr>
                <w:rFonts w:ascii="宋体" w:hAnsi="宋体" w:cs="宋体"/>
                <w:color w:val="000000" w:themeColor="text1"/>
                <w:kern w:val="0"/>
                <w:sz w:val="28"/>
                <w:szCs w:val="28"/>
                <w14:textFill>
                  <w14:solidFill>
                    <w14:schemeClr w14:val="tx1"/>
                  </w14:solidFill>
                </w14:textFill>
              </w:rPr>
              <w:t>06</w:t>
            </w:r>
            <w:r>
              <w:rPr>
                <w:rFonts w:hint="eastAsia" w:ascii="宋体" w:hAnsi="宋体" w:cs="宋体"/>
                <w:color w:val="000000" w:themeColor="text1"/>
                <w:kern w:val="0"/>
                <w:sz w:val="28"/>
                <w:szCs w:val="28"/>
                <w14:textFill>
                  <w14:solidFill>
                    <w14:schemeClr w14:val="tx1"/>
                  </w14:solidFill>
                </w14:textFill>
              </w:rPr>
              <w:t>会议室：8</w:t>
            </w:r>
            <w:r>
              <w:rPr>
                <w:rFonts w:ascii="宋体" w:hAnsi="宋体" w:cs="宋体"/>
                <w:color w:val="000000" w:themeColor="text1"/>
                <w:kern w:val="0"/>
                <w:sz w:val="28"/>
                <w:szCs w:val="28"/>
                <w14:textFill>
                  <w14:solidFill>
                    <w14:schemeClr w14:val="tx1"/>
                  </w14:solidFill>
                </w14:textFill>
              </w:rPr>
              <w:t>8907751</w:t>
            </w:r>
          </w:p>
        </w:tc>
      </w:tr>
    </w:tbl>
    <w:p>
      <w:pPr>
        <w:spacing w:before="240" w:beforeLines="100" w:after="120" w:afterLines="50" w:line="460" w:lineRule="exact"/>
        <w:ind w:firstLine="602" w:firstLineChars="200"/>
        <w:rPr>
          <w:rFonts w:ascii="仿宋" w:hAnsi="仿宋" w:eastAsia="仿宋" w:cs="Arial"/>
          <w:b/>
          <w:bCs/>
          <w:color w:val="000000" w:themeColor="text1"/>
          <w:sz w:val="30"/>
          <w:szCs w:val="30"/>
          <w:lang w:val="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九</w:t>
      </w:r>
      <w:r>
        <w:rPr>
          <w:rFonts w:hint="eastAsia" w:ascii="仿宋" w:hAnsi="仿宋" w:eastAsia="仿宋" w:cs="Arial"/>
          <w:b/>
          <w:bCs/>
          <w:color w:val="000000" w:themeColor="text1"/>
          <w:sz w:val="30"/>
          <w:szCs w:val="30"/>
          <w:lang w:val="zh-CN"/>
          <w14:textFill>
            <w14:solidFill>
              <w14:schemeClr w14:val="tx1"/>
            </w14:solidFill>
          </w14:textFill>
        </w:rPr>
        <w:t>、电子交易平台的网络地址和登录方法</w:t>
      </w:r>
    </w:p>
    <w:p>
      <w:pPr>
        <w:snapToGrid w:val="0"/>
        <w:spacing w:before="120" w:beforeLines="50" w:after="120" w:afterLines="50" w:line="500" w:lineRule="exact"/>
        <w:ind w:firstLine="562" w:firstLineChars="200"/>
        <w:rPr>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（一）网络地址：</w:t>
      </w:r>
      <w:r>
        <w:rPr>
          <w:rFonts w:hint="eastAsia" w:ascii="宋体" w:hAnsi="宋体" w:cs="仿宋"/>
          <w:color w:val="000000" w:themeColor="text1"/>
          <w:sz w:val="28"/>
          <w:szCs w:val="28"/>
          <w14:textFill>
            <w14:solidFill>
              <w14:schemeClr w14:val="tx1"/>
            </w14:solidFill>
          </w14:textFill>
        </w:rPr>
        <w:t xml:space="preserve">浙江政府采购网 </w:t>
      </w:r>
      <w:r>
        <w:fldChar w:fldCharType="begin"/>
      </w:r>
      <w:r>
        <w:instrText xml:space="preserve"> HYPERLINK "http://zfcg.czt.zj.gov.cn/" </w:instrText>
      </w:r>
      <w:r>
        <w:fldChar w:fldCharType="separate"/>
      </w:r>
      <w:r>
        <w:rPr>
          <w:rStyle w:val="69"/>
          <w:color w:val="000000" w:themeColor="text1"/>
          <w:sz w:val="28"/>
          <w:szCs w:val="28"/>
          <w14:textFill>
            <w14:solidFill>
              <w14:schemeClr w14:val="tx1"/>
            </w14:solidFill>
          </w14:textFill>
        </w:rPr>
        <w:t>http://zfcg.czt.zj.gov.cn/</w:t>
      </w:r>
      <w:r>
        <w:rPr>
          <w:rStyle w:val="69"/>
          <w:color w:val="000000" w:themeColor="text1"/>
          <w:sz w:val="28"/>
          <w:szCs w:val="28"/>
          <w14:textFill>
            <w14:solidFill>
              <w14:schemeClr w14:val="tx1"/>
            </w14:solidFill>
          </w14:textFill>
        </w:rPr>
        <w:fldChar w:fldCharType="end"/>
      </w:r>
    </w:p>
    <w:p>
      <w:pPr>
        <w:snapToGrid w:val="0"/>
        <w:spacing w:before="120" w:beforeLines="50" w:after="120" w:afterLines="50" w:line="500" w:lineRule="exact"/>
        <w:ind w:firstLine="562" w:firstLineChars="200"/>
        <w:rPr>
          <w:color w:val="000000" w:themeColor="text1"/>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（二）登录方法：</w:t>
      </w:r>
      <w:r>
        <w:rPr>
          <w:rFonts w:hint="eastAsia" w:ascii="宋体" w:hAnsi="宋体" w:cs="Arial"/>
          <w:color w:val="000000" w:themeColor="text1"/>
          <w:sz w:val="28"/>
          <w:szCs w:val="28"/>
          <w14:textFill>
            <w14:solidFill>
              <w14:schemeClr w14:val="tx1"/>
            </w14:solidFill>
          </w14:textFill>
        </w:rPr>
        <w:t>投标人须先完成供应商注册并申请CA，再下载客户端编制、加密电子投标文件，最后应在浙江政府采购网政采云用户登录窗口登录，完成电子投标文件传输递交（具体详见第二章 投标人须知前附表）。</w:t>
      </w:r>
    </w:p>
    <w:p>
      <w:pPr>
        <w:spacing w:before="240" w:beforeLines="100" w:after="120" w:afterLines="50" w:line="460" w:lineRule="exact"/>
        <w:ind w:firstLine="602" w:firstLineChars="200"/>
        <w:rPr>
          <w:rFonts w:ascii="仿宋" w:hAnsi="仿宋" w:eastAsia="仿宋" w:cs="Arial"/>
          <w:b/>
          <w:bCs/>
          <w:color w:val="000000" w:themeColor="text1"/>
          <w:sz w:val="30"/>
          <w:szCs w:val="30"/>
          <w:lang w:val="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w:t>
      </w:r>
      <w:r>
        <w:rPr>
          <w:rFonts w:hint="eastAsia" w:ascii="仿宋" w:hAnsi="仿宋" w:eastAsia="仿宋" w:cs="Arial"/>
          <w:b/>
          <w:bCs/>
          <w:color w:val="000000" w:themeColor="text1"/>
          <w:sz w:val="30"/>
          <w:szCs w:val="30"/>
          <w:lang w:val="zh-CN"/>
          <w14:textFill>
            <w14:solidFill>
              <w14:schemeClr w14:val="tx1"/>
            </w14:solidFill>
          </w14:textFill>
        </w:rPr>
        <w:t>、其他：</w:t>
      </w:r>
    </w:p>
    <w:p>
      <w:pPr>
        <w:spacing w:before="120" w:beforeLines="50" w:after="120" w:afterLines="50" w:line="4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（一）本项目采用“电子交易/不见面开评标”，供应商可进入电子卖场服务中心采云学院</w:t>
      </w:r>
    </w:p>
    <w:p>
      <w:pPr>
        <w:spacing w:before="120" w:beforeLines="50" w:after="120" w:afterLines="50" w:line="400" w:lineRule="exact"/>
        <w:ind w:firstLine="562" w:firstLineChars="200"/>
        <w:rPr>
          <w:rFonts w:ascii="宋体" w:hAnsi="宋体" w:cs="Arial"/>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（https://edu.zcygov.cn/live?utm=a0018.2ef5001f.0.0.1939d340e5db11ea867fb57c149ddb61）自行提前学习</w:t>
      </w:r>
      <w:r>
        <w:rPr>
          <w:rFonts w:hint="eastAsia" w:ascii="宋体" w:hAnsi="宋体" w:cs="Arial"/>
          <w:color w:val="000000" w:themeColor="text1"/>
          <w:sz w:val="28"/>
          <w:szCs w:val="28"/>
          <w14:textFill>
            <w14:solidFill>
              <w14:schemeClr w14:val="tx1"/>
            </w14:solidFill>
          </w14:textFill>
        </w:rPr>
        <w:t>。</w:t>
      </w:r>
    </w:p>
    <w:p>
      <w:pPr>
        <w:spacing w:before="240" w:beforeLines="100"/>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十一、业务咨询</w:t>
      </w:r>
    </w:p>
    <w:tbl>
      <w:tblPr>
        <w:tblStyle w:val="59"/>
        <w:tblpPr w:leftFromText="180" w:rightFromText="180" w:vertAnchor="text" w:horzAnchor="margin" w:tblpXSpec="center" w:tblpY="223"/>
        <w:tblOverlap w:val="neve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134"/>
        <w:gridCol w:w="2126"/>
        <w:gridCol w:w="85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机 构</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 址</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 站</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咨询事项</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联系方式</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传真</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项目联系人（A岗）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6" w:name="PO_15528_PM032"/>
            <w:r>
              <w:rPr>
                <w:rFonts w:hint="eastAsia" w:ascii="仿宋" w:hAnsi="仿宋" w:eastAsia="仿宋" w:cs="仿宋"/>
                <w:color w:val="000000" w:themeColor="text1"/>
                <w:sz w:val="28"/>
                <w:szCs w:val="28"/>
                <w14:textFill>
                  <w14:solidFill>
                    <w14:schemeClr w14:val="tx1"/>
                  </w14:solidFill>
                </w14:textFill>
              </w:rPr>
              <w:t>戴</w:t>
            </w:r>
            <w:bookmarkEnd w:id="6"/>
            <w:r>
              <w:rPr>
                <w:rFonts w:hint="eastAsia" w:ascii="仿宋" w:hAnsi="仿宋" w:eastAsia="仿宋" w:cs="仿宋"/>
                <w:color w:val="000000" w:themeColor="text1"/>
                <w:sz w:val="28"/>
                <w:szCs w:val="28"/>
                <w14:textFill>
                  <w14:solidFill>
                    <w14:schemeClr w14:val="tx1"/>
                  </w14:solidFill>
                </w14:textFill>
              </w:rPr>
              <w:t>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7" w:name="PO_15528_PM033"/>
            <w:r>
              <w:rPr>
                <w:rFonts w:ascii="仿宋" w:hAnsi="仿宋" w:eastAsia="仿宋" w:cs="仿宋"/>
                <w:color w:val="000000" w:themeColor="text1"/>
                <w:sz w:val="28"/>
                <w:szCs w:val="28"/>
                <w14:textFill>
                  <w14:solidFill>
                    <w14:schemeClr w14:val="tx1"/>
                  </w14:solidFill>
                </w14:textFill>
              </w:rPr>
              <w:t>0571-88907768</w:t>
            </w:r>
            <w:bookmarkEnd w:id="7"/>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8" w:name="PO_15528_PM034"/>
            <w:r>
              <w:rPr>
                <w:rFonts w:ascii="仿宋" w:hAnsi="仿宋" w:eastAsia="仿宋" w:cs="仿宋"/>
                <w:color w:val="000000" w:themeColor="text1"/>
                <w:sz w:val="28"/>
                <w:szCs w:val="28"/>
                <w14:textFill>
                  <w14:solidFill>
                    <w14:schemeClr w14:val="tx1"/>
                  </w14:solidFill>
                </w14:textFill>
              </w:rPr>
              <w:t>/</w:t>
            </w:r>
            <w:bookmarkEnd w:id="8"/>
          </w:p>
        </w:tc>
        <w:tc>
          <w:tcPr>
            <w:tcW w:w="2551"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项目协办人（B岗）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孙女士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0571-88906928</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w:t>
            </w: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部门负责人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高女士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0571-88907717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w:t>
            </w: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项目监督</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邵女士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0571-8890</w:t>
            </w:r>
            <w:r>
              <w:rPr>
                <w:rFonts w:ascii="仿宋" w:hAnsi="仿宋" w:eastAsia="仿宋" w:cs="仿宋"/>
                <w:color w:val="000000" w:themeColor="text1"/>
                <w:sz w:val="28"/>
                <w:szCs w:val="28"/>
                <w14:textFill>
                  <w14:solidFill>
                    <w14:schemeClr w14:val="tx1"/>
                  </w14:solidFill>
                </w14:textFill>
              </w:rPr>
              <w:t>7750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网站系统问题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客  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95763</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5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注册、账号、系统操作等</w:t>
            </w:r>
          </w:p>
        </w:tc>
      </w:tr>
    </w:tbl>
    <w:p>
      <w:pPr>
        <w:spacing w:before="240" w:beforeLines="100" w:after="120"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十二、采购需求咨询</w:t>
      </w:r>
    </w:p>
    <w:tbl>
      <w:tblPr>
        <w:tblStyle w:val="59"/>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采购单位</w:t>
            </w:r>
          </w:p>
        </w:tc>
        <w:tc>
          <w:tcPr>
            <w:tcW w:w="6627"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_GB2312" w:hAnsi="仿宋" w:eastAsia="仿宋_GB2312"/>
                <w:color w:val="000000" w:themeColor="text1"/>
                <w:kern w:val="0"/>
                <w:sz w:val="30"/>
                <w:szCs w:val="30"/>
                <w14:textFill>
                  <w14:solidFill>
                    <w14:schemeClr w14:val="tx1"/>
                  </w14:solidFill>
                </w14:textFill>
              </w:rPr>
            </w:pPr>
            <w:r>
              <w:rPr>
                <w:rFonts w:hint="eastAsia" w:ascii="仿宋_GB2312" w:hAnsi="仿宋" w:eastAsia="仿宋_GB2312"/>
                <w:color w:val="000000" w:themeColor="text1"/>
                <w:kern w:val="0"/>
                <w:sz w:val="30"/>
                <w:szCs w:val="30"/>
                <w14:textFill>
                  <w14:solidFill>
                    <w14:schemeClr w14:val="tx1"/>
                  </w14:solidFill>
                </w14:textFill>
              </w:rPr>
              <w:t>浙商银行股份有限公司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地址</w:t>
            </w:r>
          </w:p>
        </w:tc>
        <w:tc>
          <w:tcPr>
            <w:tcW w:w="6627"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浙江省杭州市上城区</w:t>
            </w:r>
            <w:r>
              <w:rPr>
                <w:rFonts w:ascii="仿宋" w:hAnsi="仿宋" w:eastAsia="仿宋"/>
                <w:color w:val="000000" w:themeColor="text1"/>
                <w:sz w:val="28"/>
                <w:szCs w:val="28"/>
                <w14:textFill>
                  <w14:solidFill>
                    <w14:schemeClr w14:val="tx1"/>
                  </w14:solidFill>
                </w14:textFill>
              </w:rPr>
              <w:t>民心路</w:t>
            </w:r>
            <w:r>
              <w:rPr>
                <w:rFonts w:hint="eastAsia" w:ascii="仿宋" w:hAnsi="仿宋" w:eastAsia="仿宋"/>
                <w:color w:val="000000" w:themeColor="text1"/>
                <w:sz w:val="28"/>
                <w:szCs w:val="28"/>
                <w14:textFill>
                  <w14:solidFill>
                    <w14:schemeClr w14:val="tx1"/>
                  </w14:solidFill>
                </w14:textFill>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咨询事项</w:t>
            </w:r>
          </w:p>
        </w:tc>
        <w:tc>
          <w:tcPr>
            <w:tcW w:w="6627"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联系人</w:t>
            </w:r>
          </w:p>
        </w:tc>
        <w:tc>
          <w:tcPr>
            <w:tcW w:w="6627"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姜先生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联系方式</w:t>
            </w:r>
          </w:p>
        </w:tc>
        <w:tc>
          <w:tcPr>
            <w:tcW w:w="6627"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0571-87333615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质疑联系人</w:t>
            </w:r>
          </w:p>
        </w:tc>
        <w:tc>
          <w:tcPr>
            <w:tcW w:w="6627"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石先生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质疑联系方式</w:t>
            </w:r>
          </w:p>
        </w:tc>
        <w:tc>
          <w:tcPr>
            <w:tcW w:w="6627"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 w:hAnsi="仿宋" w:eastAsia="仿宋_GB2312"/>
                <w:color w:val="000000" w:themeColor="text1"/>
                <w:sz w:val="28"/>
                <w:szCs w:val="28"/>
                <w14:textFill>
                  <w14:solidFill>
                    <w14:schemeClr w14:val="tx1"/>
                  </w14:solidFill>
                </w14:textFill>
              </w:rPr>
            </w:pPr>
            <w:r>
              <w:rPr>
                <w:rFonts w:ascii="仿宋" w:hAnsi="仿宋" w:eastAsia="仿宋_GB2312"/>
                <w:color w:val="000000" w:themeColor="text1"/>
                <w:sz w:val="28"/>
                <w:szCs w:val="28"/>
                <w14:textFill>
                  <w14:solidFill>
                    <w14:schemeClr w14:val="tx1"/>
                  </w14:solidFill>
                </w14:textFill>
              </w:rPr>
              <w:t>0571-87659775</w:t>
            </w:r>
          </w:p>
        </w:tc>
      </w:tr>
    </w:tbl>
    <w:p>
      <w:pPr>
        <w:spacing w:before="120" w:beforeLines="50" w:after="120" w:afterLines="50"/>
        <w:ind w:firstLine="600" w:firstLineChars="200"/>
        <w:rPr>
          <w:rFonts w:ascii="仿宋" w:hAnsi="仿宋" w:eastAsia="仿宋"/>
          <w:color w:val="000000" w:themeColor="text1"/>
          <w:kern w:val="0"/>
          <w:sz w:val="30"/>
          <w:szCs w:val="30"/>
          <w14:textFill>
            <w14:solidFill>
              <w14:schemeClr w14:val="tx1"/>
            </w14:solidFill>
          </w14:textFill>
        </w:rPr>
      </w:pPr>
    </w:p>
    <w:p>
      <w:pPr>
        <w:rPr>
          <w:rFonts w:ascii="仿宋" w:hAnsi="仿宋" w:eastAsia="仿宋"/>
          <w:color w:val="000000" w:themeColor="text1"/>
          <w14:textFill>
            <w14:solidFill>
              <w14:schemeClr w14:val="tx1"/>
            </w14:solidFill>
          </w14:textFill>
        </w:rPr>
      </w:pPr>
      <w:bookmarkStart w:id="9" w:name="_Toc496796636"/>
      <w:r>
        <w:rPr>
          <w:rFonts w:ascii="仿宋" w:hAnsi="仿宋" w:eastAsia="仿宋"/>
          <w:color w:val="000000" w:themeColor="text1"/>
          <w14:textFill>
            <w14:solidFill>
              <w14:schemeClr w14:val="tx1"/>
            </w14:solidFill>
          </w14:textFill>
        </w:rPr>
        <w:br w:type="page"/>
      </w:r>
    </w:p>
    <w:p>
      <w:pPr>
        <w:pStyle w:val="31"/>
        <w:keepNext w:val="0"/>
        <w:keepLines w:val="0"/>
        <w:pageBreakBefore w:val="0"/>
        <w:widowControl w:val="0"/>
        <w:kinsoku/>
        <w:wordWrap/>
        <w:overflowPunct/>
        <w:topLinePunct w:val="0"/>
        <w:autoSpaceDE/>
        <w:autoSpaceDN/>
        <w:bidi w:val="0"/>
        <w:adjustRightInd/>
        <w:snapToGrid/>
        <w:spacing w:before="120" w:after="120" w:line="360" w:lineRule="auto"/>
        <w:ind w:firstLine="0"/>
        <w:jc w:val="center"/>
        <w:textAlignment w:val="auto"/>
        <w:outlineLvl w:val="0"/>
        <w:rPr>
          <w:rFonts w:hAnsi="宋体"/>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第二章  投标人须知</w:t>
      </w:r>
      <w:bookmarkEnd w:id="9"/>
    </w:p>
    <w:p>
      <w:pPr>
        <w:snapToGrid w:val="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前附表</w:t>
      </w:r>
    </w:p>
    <w:tbl>
      <w:tblPr>
        <w:tblStyle w:val="59"/>
        <w:tblW w:w="97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3"/>
        <w:gridCol w:w="2007"/>
        <w:gridCol w:w="7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blHeader/>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内  容</w:t>
            </w:r>
          </w:p>
        </w:tc>
        <w:tc>
          <w:tcPr>
            <w:tcW w:w="70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项目名称及数量</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信用记录</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rPr>
                <w:color w:val="000000" w:themeColor="text1"/>
                <w14:textFill>
                  <w14:solidFill>
                    <w14:schemeClr w14:val="tx1"/>
                  </w14:solidFill>
                </w14:textFill>
              </w:rPr>
            </w:pPr>
            <w:r>
              <w:rPr>
                <w:rFonts w:hint="eastAsia" w:ascii="仿宋" w:hAnsi="仿宋" w:eastAsia="仿宋"/>
                <w:color w:val="auto"/>
                <w:sz w:val="24"/>
                <w:szCs w:val="24"/>
              </w:rPr>
              <w:t>通过中国政府采购网（www.ccgp.gov.cn）、“信用中国”网站（www.creditchina.gov.cn），以开标当日网页查询记录为准。对列入政府采购不良行为记录，被招标管理部门或政府采购管理部门处罚，被“信用中国”列入失信被执行人、异常经营名录、税收违法黑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s="仿宋"/>
                <w:sz w:val="24"/>
                <w:szCs w:val="24"/>
                <w:lang w:bidi="ar"/>
              </w:rPr>
              <w:t>3</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sz w:val="24"/>
                <w:szCs w:val="24"/>
                <w:lang w:bidi="ar"/>
              </w:rPr>
              <w:t>质疑</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sz w:val="24"/>
                <w:szCs w:val="24"/>
                <w:lang w:bidi="ar"/>
              </w:rPr>
              <w:t>参照《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是否允许采购进口产品</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不允许进口产品。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是否允许转包与分包，是否接受联合体投标</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转包：否</w:t>
            </w:r>
          </w:p>
          <w:p>
            <w:pPr>
              <w:pStyle w:val="992"/>
              <w:spacing w:before="72" w:beforeLines="30" w:after="72" w:afterLines="3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分包：标项1-2不允许分包</w:t>
            </w:r>
          </w:p>
          <w:p>
            <w:pPr>
              <w:pStyle w:val="992"/>
              <w:spacing w:before="72" w:beforeLines="30" w:after="72" w:afterLines="30"/>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联合体投标：标项1-2不接受联合体投标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是否现场踏勘</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不组织现场踏勘。 </w:t>
            </w:r>
            <w:r>
              <w:rPr>
                <w:rFonts w:ascii="仿宋" w:hAnsi="仿宋" w:eastAsia="仿宋"/>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是否提供演示</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不进行视频演示。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是否提供样品</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投标文件组成</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投标文件均由资格文件、技术商务文件、报价文件组成。</w:t>
            </w:r>
          </w:p>
          <w:p>
            <w:pPr>
              <w:spacing w:before="72" w:beforeLines="30" w:after="72" w:afterLines="3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电子交易平台登录方法</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第一步：供应商注册</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color w:val="000000" w:themeColor="text1"/>
                <w:sz w:val="24"/>
                <w:szCs w:val="24"/>
                <w14:textFill>
                  <w14:solidFill>
                    <w14:schemeClr w14:val="tx1"/>
                  </w14:solidFill>
                </w14:textFill>
              </w:rPr>
              <w:t>https://middle.zcygov.cn/v-settle-front/registry</w:t>
            </w:r>
            <w:r>
              <w:rPr>
                <w:rStyle w:val="69"/>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第二步：申请CA</w:t>
            </w:r>
          </w:p>
          <w:p>
            <w:pPr>
              <w:spacing w:before="72" w:beforeLines="30" w:after="72" w:afterLines="3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投标人应在投标前完成CA数字证书办理（办理流程详见http://zfcg.czt.zj.gov.cn/bidClientTemplate/2019-05-27/12945.html）。完成CA数字证书办理预计一周左右，建议各投标人抓紧时间办理；</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第三步：下载客户端</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color w:val="000000" w:themeColor="text1"/>
                <w:sz w:val="24"/>
                <w:szCs w:val="24"/>
                <w14:textFill>
                  <w14:solidFill>
                    <w14:schemeClr w14:val="tx1"/>
                  </w14:solidFill>
                </w14:textFill>
              </w:rPr>
              <w:t>http://zfcg.czt.zj.gov.cn/bidClientTemplate/2019-09-24/12975.html</w:t>
            </w:r>
            <w:r>
              <w:rPr>
                <w:rStyle w:val="69"/>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第四步：具体流程</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color w:val="000000" w:themeColor="text1"/>
                <w:sz w:val="24"/>
                <w:szCs w:val="24"/>
                <w14:textFill>
                  <w14:solidFill>
                    <w14:schemeClr w14:val="tx1"/>
                  </w14:solidFill>
                </w14:textFill>
              </w:rPr>
              <w:t>https://edu.zcygov.cn/luban/e-biding</w:t>
            </w:r>
            <w:r>
              <w:rPr>
                <w:rStyle w:val="69"/>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提醒：</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请各投标人合理安排时间，尽快完成第一、二、三步骤，避免影响投标。</w:t>
            </w:r>
          </w:p>
          <w:p>
            <w:pPr>
              <w:spacing w:before="72" w:beforeLines="30" w:after="72" w:afterLines="30"/>
              <w:jc w:val="left"/>
              <w:rPr>
                <w:rFonts w:ascii="仿宋" w:hAnsi="仿宋" w:eastAsia="仿宋"/>
                <w:color w:val="000000" w:themeColor="text1"/>
                <w:sz w:val="28"/>
                <w:szCs w:val="28"/>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投标文件的递交与接收</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投标文件的接收以本项目公告要求的时间、地点和“第二章”的“投标文件的编制”等要求为准。</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投标人递交备份投标文件，出现下列情况之一的，将被拒收：</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1、未按规定密封或标记的；</w:t>
            </w:r>
          </w:p>
          <w:p>
            <w:pPr>
              <w:spacing w:before="72" w:beforeLines="30" w:after="72" w:afterLines="3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2、由于包装不妥，在送交途中严重破损或失散的；</w:t>
            </w:r>
          </w:p>
          <w:p>
            <w:pPr>
              <w:spacing w:before="72" w:beforeLines="30" w:after="72" w:afterLines="3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投标撤销（撤回）</w:t>
            </w:r>
          </w:p>
        </w:tc>
        <w:tc>
          <w:tcPr>
            <w:tcW w:w="70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2" w:beforeLines="30" w:after="72" w:afterLines="30"/>
              <w:textAlignment w:val="bottom"/>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在投标截止时间起至投标有效期届满，供应商投标文件不可撤销。</w:t>
            </w:r>
          </w:p>
          <w:p>
            <w:pPr>
              <w:spacing w:before="72" w:beforeLines="30" w:after="72" w:afterLines="3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中标结果公告</w:t>
            </w:r>
          </w:p>
        </w:tc>
        <w:tc>
          <w:tcPr>
            <w:tcW w:w="70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2" w:beforeLines="30" w:after="72" w:afterLines="30"/>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14:textFill>
                  <w14:solidFill>
                    <w14:schemeClr w14:val="tx1"/>
                  </w14:solidFill>
                </w14:textFill>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themeColor="text1"/>
                <w:sz w:val="24"/>
                <w:szCs w:val="24"/>
                <w14:textFill>
                  <w14:solidFill>
                    <w14:schemeClr w14:val="tx1"/>
                  </w14:solidFill>
                </w14:textFill>
              </w:rPr>
              <w:t>http://www.zjzfcg.gov.cn</w:t>
            </w:r>
            <w:r>
              <w:rPr>
                <w:rStyle w:val="69"/>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s="Arial"/>
                <w:color w:val="000000" w:themeColor="text1"/>
                <w:sz w:val="24"/>
                <w:szCs w:val="24"/>
                <w14:textFill>
                  <w14:solidFill>
                    <w14:schemeClr w14:val="tx1"/>
                  </w14:solidFill>
                </w14:textFill>
              </w:rPr>
              <w:t>)发布</w:t>
            </w:r>
            <w:r>
              <w:rPr>
                <w:rFonts w:hint="eastAsia" w:ascii="仿宋" w:hAnsi="仿宋" w:eastAsia="仿宋"/>
                <w:color w:val="000000" w:themeColor="text1"/>
                <w:sz w:val="24"/>
                <w:szCs w:val="24"/>
                <w14:textFill>
                  <w14:solidFill>
                    <w14:schemeClr w14:val="tx1"/>
                  </w14:solidFill>
                </w14:textFill>
              </w:rPr>
              <w:t>中标公告，公告期限为1个工作日</w:t>
            </w:r>
            <w:r>
              <w:rPr>
                <w:rFonts w:hint="eastAsia" w:ascii="仿宋" w:hAnsi="仿宋" w:eastAsia="仿宋" w:cs="Arial"/>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中标供应商放弃中标赔偿责任</w:t>
            </w:r>
          </w:p>
        </w:tc>
        <w:tc>
          <w:tcPr>
            <w:tcW w:w="70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2" w:beforeLines="30" w:after="72" w:afterLines="30"/>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付款方式</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投标文件有效期</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4"/>
                <w:szCs w:val="24"/>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17</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合同签订时间</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18</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招标方代理费用</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_GB2312" w:hAnsi="仿宋"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19</w:t>
            </w:r>
          </w:p>
        </w:tc>
        <w:tc>
          <w:tcPr>
            <w:tcW w:w="2007"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解释权</w:t>
            </w:r>
          </w:p>
        </w:tc>
        <w:tc>
          <w:tcPr>
            <w:tcW w:w="705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本招标文件的解释权属于浙商银行股份有限公司和浙江省政府采购中心。</w:t>
            </w:r>
          </w:p>
        </w:tc>
      </w:tr>
    </w:tbl>
    <w:p>
      <w:pPr>
        <w:pStyle w:val="53"/>
        <w:widowControl w:val="0"/>
        <w:snapToGrid w:val="0"/>
        <w:spacing w:before="360" w:beforeLines="150" w:beforeAutospacing="0" w:after="240" w:afterLines="100" w:afterAutospacing="0"/>
        <w:ind w:firstLine="602"/>
        <w:jc w:val="center"/>
        <w:rPr>
          <w:rFonts w:ascii="仿宋" w:hAnsi="仿宋" w:eastAsia="仿宋_GB2312"/>
          <w:color w:val="000000" w:themeColor="text1"/>
          <w:sz w:val="30"/>
          <w:szCs w:val="30"/>
          <w14:textFill>
            <w14:solidFill>
              <w14:schemeClr w14:val="tx1"/>
            </w14:solidFill>
          </w14:textFill>
        </w:rPr>
      </w:pPr>
    </w:p>
    <w:p>
      <w:pPr>
        <w:pStyle w:val="53"/>
        <w:keepNext w:val="0"/>
        <w:keepLines w:val="0"/>
        <w:pageBreakBefore w:val="0"/>
        <w:widowControl w:val="0"/>
        <w:kinsoku/>
        <w:wordWrap/>
        <w:overflowPunct/>
        <w:topLinePunct w:val="0"/>
        <w:autoSpaceDE/>
        <w:autoSpaceDN/>
        <w:bidi w:val="0"/>
        <w:adjustRightInd/>
        <w:snapToGrid w:val="0"/>
        <w:spacing w:before="360" w:beforeLines="150" w:beforeAutospacing="0" w:after="240" w:afterLines="100" w:afterAutospacing="0"/>
        <w:ind w:firstLine="0"/>
        <w:jc w:val="center"/>
        <w:textAlignment w:val="auto"/>
        <w:rPr>
          <w:rFonts w:ascii="仿宋" w:hAnsi="仿宋" w:eastAsia="仿宋" w:cs="仿宋"/>
          <w:b/>
          <w:bCs/>
          <w:color w:val="000000" w:themeColor="text1"/>
          <w:sz w:val="28"/>
          <w:szCs w:val="28"/>
          <w14:textFill>
            <w14:solidFill>
              <w14:schemeClr w14:val="tx1"/>
            </w14:solidFill>
          </w14:textFill>
        </w:rPr>
      </w:pPr>
      <w:r>
        <w:rPr>
          <w:rFonts w:ascii="仿宋" w:hAnsi="仿宋" w:eastAsia="仿宋_GB2312"/>
          <w:color w:val="000000" w:themeColor="text1"/>
          <w:sz w:val="30"/>
          <w:szCs w:val="30"/>
          <w14:textFill>
            <w14:solidFill>
              <w14:schemeClr w14:val="tx1"/>
            </w14:solidFill>
          </w14:textFill>
        </w:rPr>
        <w:br w:type="page"/>
      </w:r>
      <w:r>
        <w:rPr>
          <w:rFonts w:hint="eastAsia" w:ascii="仿宋" w:hAnsi="仿宋" w:eastAsia="仿宋" w:cs="仿宋"/>
          <w:b/>
          <w:bCs/>
          <w:color w:val="000000" w:themeColor="text1"/>
          <w:kern w:val="2"/>
          <w:sz w:val="28"/>
          <w:szCs w:val="28"/>
          <w:lang w:bidi="ar"/>
          <w14:textFill>
            <w14:solidFill>
              <w14:schemeClr w14:val="tx1"/>
            </w14:solidFill>
          </w14:textFill>
        </w:rPr>
        <w:t>一、总  则</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（一）适用范围</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仅适用于本次招标文件中采购项目的招标、投标、评标、定标、验收、合同履约、付款等行为（法律、法规另有规定的，从其规定）。</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 xml:space="preserve">（二）定义 </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1.招标方：指组织本项目采购的浙江省政府采购中心。</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2.投标人：指响应招标、参加投标竞争的法人、其他组织或者自然人。</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3.采购人：指浙商银行股份有限公司。</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4.货物：指招标文件规定投标人须向采购人提供的一切材料、设备、机械、仪器仪表、工具及其它有关技术资料和文字材料。</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5.服务：指招标文件规定投标人须承担的劳务以及其他类似的义务。</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6.项目：指投标人按招标文件规定向采购人提供的需求总称。</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7.电子交易平台:指政府采购项目电子交易平台，即政采云平台。</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（三）投标人及委托有关说明</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1.如授权代表不是法定代表人，须有法定代表人出具的授权委托书</w:t>
      </w:r>
      <w:r>
        <w:rPr>
          <w:rFonts w:hint="eastAsia" w:ascii="仿宋" w:hAnsi="仿宋" w:eastAsia="仿宋" w:cs="仿宋"/>
          <w:b/>
          <w:bCs/>
          <w:color w:val="000000" w:themeColor="text1"/>
          <w:sz w:val="28"/>
          <w:szCs w:val="28"/>
          <w:lang w:bidi="ar"/>
          <w14:textFill>
            <w14:solidFill>
              <w14:schemeClr w14:val="tx1"/>
            </w14:solidFill>
          </w14:textFill>
        </w:rPr>
        <w:t>（格式见附件）。</w:t>
      </w:r>
      <w:r>
        <w:rPr>
          <w:rFonts w:hint="eastAsia" w:ascii="仿宋" w:hAnsi="仿宋" w:eastAsia="仿宋" w:cs="仿宋"/>
          <w:bCs/>
          <w:color w:val="000000" w:themeColor="text1"/>
          <w:sz w:val="28"/>
          <w:szCs w:val="28"/>
          <w:lang w:bidi="ar"/>
          <w14:textFill>
            <w14:solidFill>
              <w14:schemeClr w14:val="tx1"/>
            </w14:solidFill>
          </w14:textFill>
        </w:rPr>
        <w:t>投标人委派不在本单位缴纳社保的人员作为授权代表的，应当在投标文件中，说明具体原因、授权代表缴纳社保的单位，并附列该授权代表缴纳社保清单。</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3.单位负责人为同一人或者存在直接控股、管理关系的不同供应商，不得参加同一合同项下的政府采购活动。</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4.投标人应仔细阅读招标文件的所有内容，按照招标文件的要求提交投标文件，并对所提供的全部资料的真实性承担法律责任。</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（四）投标费用</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不论投标结果如何，投标人均应自行承担所有与投标有关的全部费用（招标文件有其他相反规定除外）。</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（五）质疑</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投标人认为采购文件使自己的权益受到损害的，可以自获取采购文件之日或者采购公告期限届满之日（公告期限届满后获取采购文件的，以公告期限届满之日为准）起7个工作日内，以书面形式向采购人提出质疑。</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2.投标人认为招标过程或中标结果使自己的合法权益受到损害的，可以在中标结果公告期限届满之日起七个工作日内，以书面形式向采购人提出质疑。</w:t>
      </w:r>
    </w:p>
    <w:p>
      <w:pPr>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 xml:space="preserve"> 3.质疑应当以书面形式提出，格式见《政府采购质疑和投诉办法》（财政部令第94号）附件范本，下载网址：浙江政府采购网(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cs="仿宋"/>
          <w:color w:val="000000" w:themeColor="text1"/>
          <w:sz w:val="28"/>
          <w:szCs w:val="28"/>
          <w14:textFill>
            <w14:solidFill>
              <w14:schemeClr w14:val="tx1"/>
            </w14:solidFill>
          </w14:textFill>
        </w:rPr>
        <w:t>http://zfcg.czt.zj.gov.cn/</w:t>
      </w:r>
      <w:r>
        <w:rPr>
          <w:rStyle w:val="69"/>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lang w:bidi="ar"/>
          <w14:textFill>
            <w14:solidFill>
              <w14:schemeClr w14:val="tx1"/>
            </w14:solidFill>
          </w14:textFill>
        </w:rPr>
        <w:t>)，位置：“首页-下载专区-质疑投诉模板”。供应商提出质疑应当提交质疑函和必要的证明材料。供应商应当在法定质疑期内一次性提出针对同一采购程序环节的质疑。</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质疑函应当包括下列内容：</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a.供应商的姓名或者名称、地址、邮编、联系人及联系电话；</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b.质疑项目的名称、编号；</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c.具体、明确的质疑事项和与质疑事项相关的请求；</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d.事实依据；</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e.必要的法律依据；</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f.提出质疑的日期。</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要求的，应在规定期限内补齐的，采购人自收到补齐材料之日起受理；逾期未补齐的，按自动撤回质疑处理。</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4.参照《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 xml:space="preserve">（六）招标文件的澄清与修改 </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投标人应认真阅读本招标文件，发现其中有误或有不合理要求的，投标人应当于公告发布之日起至公告期限满第7个工作日内以书面形式向采购人提出。招标方将在规定的时间内，在财政部门指定的政府采购信息发布媒体上发布更正公告，并以书面形式通知所有招标文件收受人。</w:t>
      </w:r>
      <w:r>
        <w:rPr>
          <w:rFonts w:hint="eastAsia" w:ascii="仿宋" w:hAnsi="仿宋" w:eastAsia="仿宋" w:cs="仿宋"/>
          <w:b/>
          <w:bCs/>
          <w:color w:val="000000" w:themeColor="text1"/>
          <w:kern w:val="2"/>
          <w:sz w:val="28"/>
          <w:szCs w:val="28"/>
          <w:lang w:bidi="ar"/>
          <w14:textFill>
            <w14:solidFill>
              <w14:schemeClr w14:val="tx1"/>
            </w14:solidFill>
          </w14:textFill>
        </w:rPr>
        <w:t>逾期提出招标方将不予受理。</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2.招标方主动进行的澄清、修改：招标方无论出于何种原因，均可主动对招标文件中的相关事项，用补充文件等方式进行澄清和修改。</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pageBreakBefore w:val="0"/>
        <w:widowControl w:val="0"/>
        <w:kinsoku/>
        <w:wordWrap/>
        <w:overflowPunct/>
        <w:topLinePunct w:val="0"/>
        <w:autoSpaceDE/>
        <w:autoSpaceDN/>
        <w:bidi w:val="0"/>
        <w:adjustRightInd w:val="0"/>
        <w:snapToGrid/>
        <w:spacing w:before="360" w:beforeLines="150" w:beforeAutospacing="0" w:after="240" w:afterLines="100" w:afterAutospacing="0"/>
        <w:ind w:firstLine="0"/>
        <w:jc w:val="center"/>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二、投标文件的编制</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（一）投标文件编制工具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cs="仿宋"/>
          <w:color w:val="000000" w:themeColor="text1"/>
          <w:sz w:val="28"/>
          <w:szCs w:val="28"/>
          <w14:textFill>
            <w14:solidFill>
              <w14:schemeClr w14:val="tx1"/>
            </w14:solidFill>
          </w14:textFill>
        </w:rPr>
        <w:t>http://zfcg.czt.zj.gov.cn/bidClientTemplate/2019-09-24/12975.html</w:t>
      </w:r>
      <w:r>
        <w:rPr>
          <w:rStyle w:val="69"/>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kern w:val="2"/>
          <w:sz w:val="28"/>
          <w:szCs w:val="28"/>
          <w:lang w:bidi="ar"/>
          <w14:textFill>
            <w14:solidFill>
              <w14:schemeClr w14:val="tx1"/>
            </w14:solidFill>
          </w14:textFill>
        </w:rPr>
        <w:t>，请自行下载并安装。</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（二）投标文件的组成</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本项目所称投标文件系指电子投标文件或备份投标文件。投标文件需按照本招标文件和电子交易平台的要求制作、加密并递交。</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电子投标文件每个标项由资格文件、技术商务文件、投标报价文件三部份组成，具体详见“第六章  投标文件格式附件”。备份投标文件的组成和内容等同电子投标文件。</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注：法定代表人授权委托书、投标声明书、开标一览表必须按招标文件格式要求正确签署并加盖投标人公章。投标文件中所须加盖公章部分均采用CA签章。</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（三）投标文件的效力</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电子投标文件未按时解密，投标人提供了备份投标文件的，以备份投标文件作为依据，否则视为投标文件撤回。电子投标文件已按时解密的，备份投标文件自动失效。</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（四）投标文件的语言及计量</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2.投标计量单位，招标文件已有明确规定的，使用招标文件规定的计量单位；招标文件没有规定的，应采用中华人民共和国法定计量单位（货币单位：人民币元），否则将作无效标处理。</w:t>
      </w:r>
    </w:p>
    <w:p>
      <w:pPr>
        <w:pStyle w:val="53"/>
        <w:widowControl w:val="0"/>
        <w:tabs>
          <w:tab w:val="left" w:pos="720"/>
        </w:tabs>
        <w:adjustRightInd w:val="0"/>
        <w:spacing w:before="120" w:beforeLines="50" w:beforeAutospacing="0" w:after="120" w:afterLines="50" w:afterAutospacing="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（五）投标文件的有效期</w:t>
      </w:r>
    </w:p>
    <w:p>
      <w:pPr>
        <w:pStyle w:val="53"/>
        <w:widowControl w:val="0"/>
        <w:tabs>
          <w:tab w:val="left" w:pos="720"/>
        </w:tabs>
        <w:adjustRightInd w:val="0"/>
        <w:spacing w:before="120" w:beforeLines="50" w:beforeAutospacing="0" w:after="120" w:afterLines="50" w:afterAutospacing="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1.自投标截止日起90天内投标文件应保持有效。有效期不足的投标文件将作无效标处理。</w:t>
      </w:r>
    </w:p>
    <w:p>
      <w:pPr>
        <w:pStyle w:val="53"/>
        <w:widowControl w:val="0"/>
        <w:tabs>
          <w:tab w:val="left" w:pos="720"/>
        </w:tabs>
        <w:adjustRightInd w:val="0"/>
        <w:spacing w:before="120" w:beforeLines="50" w:beforeAutospacing="0" w:after="120" w:afterLines="50" w:afterAutospacing="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2.中标供应商的投标文件自开标之日起至合同履行完毕止均应保持有效。</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（六）投标文件的签署和包装</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 xml:space="preserve">1.电子投标文件部分： </w:t>
      </w:r>
    </w:p>
    <w:p>
      <w:pPr>
        <w:adjustRightInd w:val="0"/>
        <w:spacing w:before="120" w:beforeLines="50" w:after="120" w:afterLines="50" w:line="480" w:lineRule="exact"/>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adjustRightInd w:val="0"/>
        <w:spacing w:before="120" w:beforeLines="50" w:after="120" w:afterLines="50" w:line="480" w:lineRule="exact"/>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（2）投标文件须由投标人在规定位置盖章并由法定代表人或法定代表人的授权委托人签署，投标人应写全称。</w:t>
      </w:r>
    </w:p>
    <w:p>
      <w:pPr>
        <w:adjustRightInd w:val="0"/>
        <w:spacing w:before="120" w:beforeLines="50" w:after="120" w:afterLines="50" w:line="480" w:lineRule="exact"/>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（3）投标文件不得涂改，若有修改错漏处，须加盖投标人公章或者法定代表人或授权委托人签名或盖章。投标文件因字迹潦草或表达不清所引起的后果由投标人负责。</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2.投标人选择递交备份投标文件的，备份投标文件另须满足以下条件：</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 xml:space="preserve">（1）储存形式：U盘、DVD </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2）密封要求：外包装封面上应注明投标人名称、投标人地址、投标人联系方式（授权代表手机）、投标文件名称（备份投标文件）、投标项目名称、项目编号、标项及“开标时启封”字样，并加盖投标人公章。</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（七）投标报价</w:t>
      </w:r>
    </w:p>
    <w:p>
      <w:pPr>
        <w:tabs>
          <w:tab w:val="left" w:pos="525"/>
        </w:tabs>
        <w:snapToGrid w:val="0"/>
        <w:spacing w:line="46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53"/>
        <w:widowControl w:val="0"/>
        <w:adjustRightInd w:val="0"/>
        <w:spacing w:before="120" w:beforeLines="50" w:beforeAutospacing="0" w:after="120" w:afterLines="50" w:afterAutospacing="0" w:line="46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投标报价应包含项目所需全部产品、服务，不得缺漏，是履行合同的最终价格（含货款、标准附件、备品备件、专用工具、包装、运输、装卸、保险、税金、货到就位以及安装、调试、培训、保修等一切税金和费用）。</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kern w:val="2"/>
          <w:sz w:val="28"/>
          <w:szCs w:val="28"/>
          <w:lang w:bidi="ar"/>
        </w:rPr>
        <w:t>3.</w:t>
      </w:r>
      <w:r>
        <w:rPr>
          <w:rFonts w:hint="eastAsia" w:ascii="仿宋" w:hAnsi="仿宋" w:eastAsia="仿宋" w:cs="仿宋"/>
          <w:bCs/>
          <w:color w:val="000000" w:themeColor="text1"/>
          <w:kern w:val="2"/>
          <w:sz w:val="28"/>
          <w:szCs w:val="28"/>
          <w:lang w:bidi="ar"/>
          <w14:textFill>
            <w14:solidFill>
              <w14:schemeClr w14:val="tx1"/>
            </w14:solidFill>
          </w14:textFill>
        </w:rPr>
        <w:t>资格文件、技术商务文件中不得出现投标报价信息，否则按无效标处理。</w:t>
      </w:r>
    </w:p>
    <w:p>
      <w:pPr>
        <w:pStyle w:val="53"/>
        <w:widowControl w:val="0"/>
        <w:snapToGrid w:val="0"/>
        <w:spacing w:before="120" w:beforeLines="50" w:beforeAutospacing="0" w:after="120" w:afterLines="50" w:afterAutospacing="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4.投标人不得进行影响产品质量或者诚信履约的恶意报价。投标人在项目评审前准备好报价核算、报价明细、报价说明等材料，以备评审专家核查。供应商报价低于基准价50%的，应当在报价文件中详细阐述不影响产品质量或者诚信履约的具体原因。</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（八）串通投标认定</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有下列情形之一的，视为投标人串通投标，其投标无效：</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1.不同投标人的投标文件由同一单位或者个人编制或同一IP地址上传；</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2.不同投标人委托同一单位或者个人办理投标事宜；</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3.不同投标人的投标文件载明的项目管理成员或者联系人员为同一人；</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4.不同投标人的投标文件异常一致或者投标报价呈规律性差异；</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5.不同投标人的投标文件相互混装；</w:t>
      </w:r>
    </w:p>
    <w:p>
      <w:pPr>
        <w:spacing w:before="120" w:beforeLines="50" w:after="120" w:afterLines="50" w:line="460" w:lineRule="exact"/>
        <w:ind w:firstLine="414" w:firstLineChars="148"/>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（九）投标无效的情形</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在评审时，如发现下列情形之一的，投标文件将被视为无效：</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1.投标人未能提供合格的资格文件、投标有效期不足的；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被中国政府采购网（www.ccgp.gov.cn）和“信用中国”（www.creditchina.gov.cn）列入政府采购不良行为记录，被招标管理部门或政府采购管理部门处罚，以及被“信用中国”（www.creditchina.gov.cn）列入失信被执行人、异常经营名录、税收违法黑名单；</w:t>
      </w:r>
    </w:p>
    <w:p>
      <w:pPr>
        <w:spacing w:before="120" w:beforeLines="50" w:after="120" w:afterLines="50" w:line="46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3.仅提供备份投标文件的；</w:t>
      </w:r>
    </w:p>
    <w:p>
      <w:pPr>
        <w:spacing w:before="120" w:beforeLines="50" w:after="120" w:afterLines="50" w:line="46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4.电子投标文件解密失败，且未在规定时间内提交备份投标文件的；</w:t>
      </w:r>
    </w:p>
    <w:p>
      <w:pPr>
        <w:spacing w:before="120" w:beforeLines="50" w:after="120" w:afterLines="50" w:line="46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5.电子投标文件解密失败，虽然在规定时间内提交了备份投标文件，但是备份投标文件无法导入或者无法读取或者不符合本招标文件和电子交易平台要求的；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6.投标文件未按招标文件要求签署、盖章的；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7.与招标文件有重大偏离、未满足带“▲”号实质性指标的投标文件；</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8.招标需求中要求提供的产品属于节能清单中政府强制采购节能产品品目的，投标人未提供该清单内产品的；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9.要求提供样品，投标人未提供样品或提供样品不满足采购需求实质性条件的；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10.投标报价超出招标文件中规定的预算金额或者最高限价的；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11.标项以赠送方式投标的、对一个标项提供两个投标方案或两个报价的；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12.评标委员会认为投标人的报价明显低于其他通过符合性审查投标人的报价，有可能影响产品质量或者不能诚信履约，且不能证明其报价合理性的；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13.投标人不接受报价文件中修正后的报价的；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14.未按本章“二、投标文件的编制”第七点投标报价要求报价的；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15.投标文件含有采购人不能接受的附加条件的；</w:t>
      </w:r>
    </w:p>
    <w:p>
      <w:pPr>
        <w:spacing w:before="120" w:beforeLines="50" w:after="120"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16.投标人被视为串通投标的；</w:t>
      </w:r>
    </w:p>
    <w:p>
      <w:pPr>
        <w:pStyle w:val="53"/>
        <w:widowControl w:val="0"/>
        <w:spacing w:before="120" w:beforeLines="50" w:beforeAutospacing="0" w:after="120" w:afterLines="50" w:afterAutospacing="0" w:line="460" w:lineRule="exact"/>
        <w:ind w:firstLine="560" w:firstLineChars="200"/>
        <w:jc w:val="both"/>
        <w:rPr>
          <w:rFonts w:ascii="仿宋" w:hAnsi="仿宋" w:eastAsia="仿宋" w:cs="仿宋"/>
          <w:bCs/>
          <w:color w:val="000000" w:themeColor="text1"/>
          <w:kern w:val="2"/>
          <w:sz w:val="28"/>
          <w:szCs w:val="28"/>
          <w:lang w:bidi="ar"/>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17.不符合法律、法规和本招标文件规定的其他实质性要求的。</w:t>
      </w:r>
    </w:p>
    <w:p>
      <w:pPr>
        <w:pStyle w:val="53"/>
        <w:widowControl w:val="0"/>
        <w:spacing w:before="120" w:beforeLines="50" w:beforeAutospacing="0" w:after="120" w:afterLines="50" w:afterAutospacing="0" w:line="460" w:lineRule="exact"/>
        <w:ind w:firstLine="560" w:firstLineChars="200"/>
        <w:jc w:val="both"/>
        <w:rPr>
          <w:rFonts w:ascii="仿宋" w:hAnsi="仿宋" w:eastAsia="仿宋" w:cs="仿宋"/>
          <w:bCs/>
          <w:color w:val="000000" w:themeColor="text1"/>
          <w:kern w:val="2"/>
          <w:sz w:val="28"/>
          <w:szCs w:val="28"/>
          <w:lang w:bidi="ar"/>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（十）错误修正</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电子交易平台客户端里开标一览表录入的投标报价信息与扫描上传的报价文件不一致的，以扫描上传的报价文件为准。</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投标文件报价出现前后不一致的，除招标文件另有规定外，按照下列规定修正：</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1.投标文件中开标一览表内容与投标文件中相应内容不一致的，以开标一览表为准；</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2.大写金额和小写金额不一致的，以大写金额为准；</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3.单价金额小数点或者百分比有明显错位的，以开标一览表的总价为准，并修改单价；</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4.总价金额与按单价汇总金额不一致的，以单价金额计算结果为准。</w:t>
      </w:r>
    </w:p>
    <w:p>
      <w:pPr>
        <w:adjustRightInd w:val="0"/>
        <w:spacing w:before="120" w:beforeLines="50" w:after="120" w:afterLines="50" w:line="480" w:lineRule="exact"/>
        <w:ind w:firstLine="562"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同时出现两种以上不一致的，按照前款规定的顺序修正。修正后的报价按照经投标人加盖公章后产生约束力，投标人不确认的，其投标无效。</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（十一）采购过程中的异常情况及处理措施</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采购过程中出现以下情形，导致电子交易平台无法正常运行，或者无法保证电子交易的公平、公正和安全时，招标方可中止电子交易活动：</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1.电子交易平台发生故障而无法登录访问的；</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2.电子交易平台应用或数据库出现错误，不能进行正常操作的；</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3.电子交易平台发现严重安全漏洞，有潜在泄密危险的；</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4.病毒发作导致不能进行正常操作的；</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5.其他无法保证电子交易的公平、公正和安全的情况。</w:t>
      </w:r>
    </w:p>
    <w:p>
      <w:pPr>
        <w:adjustRightInd w:val="0"/>
        <w:spacing w:before="120" w:beforeLines="50" w:after="120" w:afterLines="50" w:line="480" w:lineRule="exact"/>
        <w:ind w:firstLine="562"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pageBreakBefore w:val="0"/>
        <w:widowControl w:val="0"/>
        <w:kinsoku/>
        <w:wordWrap/>
        <w:overflowPunct/>
        <w:topLinePunct w:val="0"/>
        <w:autoSpaceDE/>
        <w:autoSpaceDN/>
        <w:bidi w:val="0"/>
        <w:adjustRightInd w:val="0"/>
        <w:snapToGrid/>
        <w:spacing w:before="360" w:beforeLines="150" w:beforeAutospacing="0" w:after="240" w:afterLines="100" w:afterAutospacing="0"/>
        <w:ind w:firstLine="0"/>
        <w:jc w:val="center"/>
        <w:textAlignment w:val="auto"/>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kern w:val="2"/>
          <w:sz w:val="30"/>
          <w:szCs w:val="30"/>
          <w:lang w:bidi="ar"/>
          <w14:textFill>
            <w14:solidFill>
              <w14:schemeClr w14:val="tx1"/>
            </w14:solidFill>
          </w14:textFill>
        </w:rPr>
        <w:t>三、开、评标程序及评标委员会的评审程序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（一）组织开标</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招标方将按照招标文件规定的时间、地点和程序组织开标，各投标人授权代表及相关人员</w:t>
      </w:r>
      <w:r>
        <w:rPr>
          <w:rFonts w:hint="eastAsia" w:ascii="仿宋" w:hAnsi="仿宋" w:eastAsia="仿宋" w:cs="仿宋"/>
          <w:b/>
          <w:bCs/>
          <w:color w:val="000000" w:themeColor="text1"/>
          <w:kern w:val="2"/>
          <w:sz w:val="28"/>
          <w:szCs w:val="28"/>
          <w:lang w:bidi="ar"/>
          <w14:textFill>
            <w14:solidFill>
              <w14:schemeClr w14:val="tx1"/>
            </w14:solidFill>
          </w14:textFill>
        </w:rPr>
        <w:t>均应当准时在线参加</w:t>
      </w:r>
      <w:r>
        <w:rPr>
          <w:rFonts w:hint="eastAsia" w:ascii="仿宋" w:hAnsi="仿宋" w:eastAsia="仿宋" w:cs="仿宋"/>
          <w:bCs/>
          <w:color w:val="000000" w:themeColor="text1"/>
          <w:kern w:val="2"/>
          <w:sz w:val="28"/>
          <w:szCs w:val="28"/>
          <w:lang w:bidi="ar"/>
          <w14:textFill>
            <w14:solidFill>
              <w14:schemeClr w14:val="tx1"/>
            </w14:solidFill>
          </w14:textFill>
        </w:rPr>
        <w:t>，无关人员不得进入开标现场。</w:t>
      </w:r>
      <w:r>
        <w:rPr>
          <w:rFonts w:hint="eastAsia" w:ascii="仿宋" w:hAnsi="仿宋" w:eastAsia="仿宋" w:cs="仿宋"/>
          <w:b/>
          <w:bCs/>
          <w:color w:val="000000" w:themeColor="text1"/>
          <w:kern w:val="2"/>
          <w:sz w:val="28"/>
          <w:szCs w:val="28"/>
          <w:lang w:bidi="ar"/>
          <w14:textFill>
            <w14:solidFill>
              <w14:schemeClr w14:val="tx1"/>
            </w14:solidFill>
          </w14:textFill>
        </w:rPr>
        <w:t>投标人如未准时在线参加的</w:t>
      </w:r>
      <w:r>
        <w:rPr>
          <w:rFonts w:hint="eastAsia" w:ascii="仿宋" w:hAnsi="仿宋" w:eastAsia="仿宋" w:cs="仿宋"/>
          <w:bCs/>
          <w:color w:val="000000" w:themeColor="text1"/>
          <w:kern w:val="2"/>
          <w:sz w:val="28"/>
          <w:szCs w:val="28"/>
          <w:lang w:bidi="ar"/>
          <w14:textFill>
            <w14:solidFill>
              <w14:schemeClr w14:val="tx1"/>
            </w14:solidFill>
          </w14:textFill>
        </w:rPr>
        <w:t>，事后不得对采购相关人员、开标过程和开标结果提出异议。</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1. 落实工作场地、设施，检查录音录像采集设备运行情况，验证电子交易平台是否能正常登录。并开启直播（如直播信号出现问题，不影响项目开标程序）。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2. 开标由招标方主持，主持人介绍开标现场的人员情况，宣读递交投标文件的投标人名单、递交备份投标文件的投标人名单、开标纪律、应当回避的情形等注意事项。</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3.投标截止时，电子交易平台自动提取所有电子投标文件。招标方点击[开始解密]按钮后，投标人可以在线解密，解密时限为30分钟。</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4.投标人应当在解密时限内完成解密，如所有投标人的电子投标文件都已经解密完成的，则电子交易平台自动结束解密。如有任一投标人未解密，电子交易平台会在解密时限截止时自动结束解密。</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解密时限内未完成解密且按规定提供了备份投标文件的，招标方将在开标直播间拆封其备份投标文件，并导入电子交易平台。</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5.评标委员会在商务和技术评审结束后，主持人通过电子交易平台宣告商务和技术评审无效投标人名称及理由，有效投标人的商务和技术得分情况。</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6.招标方在电子交易平台开启投标人的报价文件信息，投标人对报价信息进行确认。投标人对报价信息不予确认的不影响后续评标过程。</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8.在电子交易平台上公布评审结果。</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特别说明：政采云公司如对电子化开标及评审程序有调整的，按调整后的程序操作。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（二）组织评标程序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1、开启开标场地录音录像采集设备，并确保正常运行。</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2、按规定统一收缴、保存评标现场相关人员通讯工具。</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3、介绍评审现场的人员情况，宣布评审工作纪律，告知评审人员应当回避情形；组织推选评标委员会组长。</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4、宣读提交投标文件的供应商名单，组织评标委员会各位成员签订纸质形式的《采购评审人员廉洁自律承诺书》。</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5、采购人可以在评标前说明项目背景和采购需求，说明内容不得含有歧视性、倾向性意见，不得超出招标文件所述范围。说明应当提交书面材料，并随采购文件一并存档。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kern w:val="2"/>
          <w:sz w:val="28"/>
          <w:szCs w:val="28"/>
          <w:lang w:bidi="ar"/>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7、</w:t>
      </w:r>
      <w:r>
        <w:rPr>
          <w:rFonts w:hint="eastAsia" w:ascii="仿宋" w:hAnsi="仿宋" w:eastAsia="仿宋" w:cs="仿宋"/>
          <w:bCs/>
          <w:color w:val="000000" w:themeColor="text1"/>
          <w:kern w:val="2"/>
          <w:sz w:val="28"/>
          <w:szCs w:val="28"/>
          <w:lang w:val="en-US" w:eastAsia="zh-CN" w:bidi="ar"/>
          <w14:textFill>
            <w14:solidFill>
              <w14:schemeClr w14:val="tx1"/>
            </w14:solidFill>
          </w14:textFill>
        </w:rPr>
        <w:t>评标委员会</w:t>
      </w:r>
      <w:r>
        <w:rPr>
          <w:rFonts w:hint="eastAsia" w:ascii="仿宋" w:hAnsi="仿宋" w:eastAsia="仿宋" w:cs="仿宋"/>
          <w:bCs/>
          <w:color w:val="000000" w:themeColor="text1"/>
          <w:kern w:val="2"/>
          <w:sz w:val="28"/>
          <w:szCs w:val="28"/>
          <w:lang w:bidi="ar"/>
          <w14:textFill>
            <w14:solidFill>
              <w14:schemeClr w14:val="tx1"/>
            </w14:solidFill>
          </w14:textFill>
        </w:rPr>
        <w:t>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9、做好评审现场相关记录，协助评标委员会组长做好评审报告起草、有关内容电脑文字录入等工作，并要求评标委员会各成员签字确认。</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10、评审结束后，招标方应对评标委员会各成员的专业水平、职业道德、遵纪守法等情况进行评价；同时按规定向评审专家发放评审费，并交还评审人员及其他现场相关人员的通讯工具。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11、招标方将在《中标公告》中，公开评标委员会对每个投标人的《评分明细》以及《得分汇总表》情况。</w:t>
      </w:r>
      <w:r>
        <w:rPr>
          <w:rFonts w:ascii="Calibri" w:hAnsi="Calibri" w:eastAsia="仿宋" w:cs="Calibri"/>
          <w:b/>
          <w:bCs/>
          <w:color w:val="000000" w:themeColor="text1"/>
          <w:kern w:val="2"/>
          <w:sz w:val="28"/>
          <w:szCs w:val="28"/>
          <w:lang w:bidi="ar"/>
          <w14:textFill>
            <w14:solidFill>
              <w14:schemeClr w14:val="tx1"/>
            </w14:solidFill>
          </w14:textFill>
        </w:rPr>
        <w:t> </w:t>
      </w:r>
      <w:r>
        <w:rPr>
          <w:rFonts w:hint="eastAsia" w:ascii="仿宋" w:hAnsi="仿宋" w:eastAsia="仿宋" w:cs="仿宋"/>
          <w:b/>
          <w:bCs/>
          <w:color w:val="000000" w:themeColor="text1"/>
          <w:kern w:val="2"/>
          <w:sz w:val="28"/>
          <w:szCs w:val="28"/>
          <w:lang w:bidi="ar"/>
          <w14:textFill>
            <w14:solidFill>
              <w14:schemeClr w14:val="tx1"/>
            </w14:solidFill>
          </w14:textFill>
        </w:rPr>
        <w:tab/>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（三）评审程序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1、在评审专家中推选评标委员会组长。</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3、评审人员对各投标人投标文件的有效性、符合性、完整性和响应程度进行审查，确定是否对招标文件作出实质性响应。</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采购项目档案归档留存。</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 xml:space="preserve">7、评标委员会根据评审汇总情况和招标文件规定确定中标候选供应商排序名单。 </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8、起草评审报告，所有评审人员须在评审报告上签字确认。</w:t>
      </w:r>
    </w:p>
    <w:p>
      <w:pPr>
        <w:pStyle w:val="53"/>
        <w:keepNext w:val="0"/>
        <w:keepLines w:val="0"/>
        <w:pageBreakBefore w:val="0"/>
        <w:widowControl w:val="0"/>
        <w:kinsoku/>
        <w:wordWrap/>
        <w:overflowPunct/>
        <w:topLinePunct w:val="0"/>
        <w:autoSpaceDE/>
        <w:autoSpaceDN/>
        <w:bidi w:val="0"/>
        <w:adjustRightInd w:val="0"/>
        <w:snapToGrid/>
        <w:spacing w:before="360" w:beforeLines="150" w:beforeAutospacing="0" w:after="240" w:afterLines="100" w:afterAutospacing="0"/>
        <w:ind w:firstLine="0"/>
        <w:jc w:val="center"/>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四、评审原则</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pageBreakBefore w:val="0"/>
        <w:widowControl w:val="0"/>
        <w:kinsoku/>
        <w:wordWrap/>
        <w:overflowPunct/>
        <w:topLinePunct w:val="0"/>
        <w:autoSpaceDE/>
        <w:autoSpaceDN/>
        <w:bidi w:val="0"/>
        <w:adjustRightInd w:val="0"/>
        <w:snapToGrid/>
        <w:spacing w:before="360" w:beforeLines="150" w:beforeAutospacing="0" w:after="240" w:afterLines="100" w:afterAutospacing="0"/>
        <w:ind w:firstLine="0"/>
        <w:jc w:val="center"/>
        <w:textAlignment w:val="auto"/>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kern w:val="2"/>
          <w:sz w:val="30"/>
          <w:szCs w:val="30"/>
          <w:lang w:bidi="ar"/>
          <w14:textFill>
            <w14:solidFill>
              <w14:schemeClr w14:val="tx1"/>
            </w14:solidFill>
          </w14:textFill>
        </w:rPr>
        <w:t>五、确定中标供应商的原则</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1.项目由评标委员会根据第三章《评标办法与评分标准》规定提出中标候选人排序。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3.采购结果经采购人确认后，招标方将于2个工作日内在浙江省政府采购网上发布中标公告，通过电子交易平台统一签发《中标通知书》</w:t>
      </w:r>
      <w:r>
        <w:rPr>
          <w:rFonts w:hint="eastAsia" w:ascii="仿宋" w:hAnsi="仿宋" w:eastAsia="仿宋" w:cs="Arial"/>
          <w:color w:val="000000" w:themeColor="text1"/>
          <w:kern w:val="2"/>
          <w:sz w:val="28"/>
          <w:szCs w:val="28"/>
          <w:lang w:bidi="ar"/>
          <w14:textFill>
            <w14:solidFill>
              <w14:schemeClr w14:val="tx1"/>
            </w14:solidFill>
          </w14:textFill>
        </w:rPr>
        <w:t>。</w:t>
      </w:r>
    </w:p>
    <w:p>
      <w:pPr>
        <w:pStyle w:val="53"/>
        <w:keepNext w:val="0"/>
        <w:keepLines w:val="0"/>
        <w:pageBreakBefore w:val="0"/>
        <w:widowControl w:val="0"/>
        <w:kinsoku/>
        <w:wordWrap/>
        <w:overflowPunct/>
        <w:topLinePunct w:val="0"/>
        <w:autoSpaceDE/>
        <w:autoSpaceDN/>
        <w:bidi w:val="0"/>
        <w:adjustRightInd w:val="0"/>
        <w:snapToGrid/>
        <w:spacing w:before="360" w:beforeLines="150" w:beforeAutospacing="0" w:after="240" w:afterLines="100" w:afterAutospacing="0"/>
        <w:ind w:firstLine="0"/>
        <w:jc w:val="center"/>
        <w:textAlignment w:val="auto"/>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kern w:val="2"/>
          <w:sz w:val="30"/>
          <w:szCs w:val="30"/>
          <w:lang w:bidi="ar"/>
          <w14:textFill>
            <w14:solidFill>
              <w14:schemeClr w14:val="tx1"/>
            </w14:solidFill>
          </w14:textFill>
        </w:rPr>
        <w:t>六、合同授予</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（一）签订合同</w:t>
      </w:r>
    </w:p>
    <w:p>
      <w:pPr>
        <w:adjustRightInd w:val="0"/>
        <w:spacing w:before="120" w:beforeLines="50" w:after="120" w:afterLines="50" w:line="48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bidi="ar"/>
          <w14:textFill>
            <w14:solidFill>
              <w14:schemeClr w14:val="tx1"/>
            </w14:solidFill>
          </w14:textFill>
        </w:rPr>
        <w:t>1.采购人与中标人应当在《中标通知书》发出之日起30日内签订采购合同。</w:t>
      </w:r>
    </w:p>
    <w:p>
      <w:pPr>
        <w:adjustRightInd w:val="0"/>
        <w:spacing w:before="120" w:beforeLines="50" w:after="120" w:afterLines="5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2.中标人拖延、拒签合同的,将被取消中标资格。</w:t>
      </w:r>
    </w:p>
    <w:p>
      <w:pPr>
        <w:adjustRightInd w:val="0"/>
        <w:spacing w:before="120" w:beforeLines="50" w:after="120" w:afterLines="50" w:line="48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bidi="ar"/>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（二）履约保证金</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1.合同签订时，采购人要求中标或者成交供应商提交履约保证金的，供应商应当以支票、汇票、本票或者金融机构、担保机构出具的保函等非现金形式提交。</w:t>
      </w:r>
      <w:r>
        <w:rPr>
          <w:rFonts w:hint="eastAsia" w:ascii="仿宋" w:hAnsi="仿宋" w:eastAsia="仿宋" w:cs="仿宋"/>
          <w:color w:val="000000" w:themeColor="text1"/>
          <w:kern w:val="2"/>
          <w:sz w:val="28"/>
          <w:szCs w:val="28"/>
          <w:lang w:val="en-US" w:eastAsia="zh-CN" w:bidi="ar"/>
          <w14:textFill>
            <w14:solidFill>
              <w14:schemeClr w14:val="tx1"/>
            </w14:solidFill>
          </w14:textFill>
        </w:rPr>
        <w:t>本项目需缴纳</w:t>
      </w:r>
      <w:r>
        <w:rPr>
          <w:rFonts w:hint="eastAsia" w:ascii="仿宋" w:hAnsi="仿宋" w:eastAsia="仿宋" w:cs="仿宋"/>
          <w:color w:val="000000" w:themeColor="text1"/>
          <w:kern w:val="2"/>
          <w:sz w:val="28"/>
          <w:szCs w:val="28"/>
          <w:lang w:bidi="ar"/>
          <w14:textFill>
            <w14:solidFill>
              <w14:schemeClr w14:val="tx1"/>
            </w14:solidFill>
          </w14:textFill>
        </w:rPr>
        <w:t>履约保证金</w:t>
      </w:r>
      <w:r>
        <w:rPr>
          <w:rFonts w:hint="eastAsia" w:ascii="仿宋" w:hAnsi="仿宋" w:eastAsia="仿宋" w:cs="仿宋"/>
          <w:color w:val="000000" w:themeColor="text1"/>
          <w:kern w:val="2"/>
          <w:sz w:val="28"/>
          <w:szCs w:val="28"/>
          <w:lang w:val="en-US" w:eastAsia="zh-CN" w:bidi="ar"/>
          <w14:textFill>
            <w14:solidFill>
              <w14:schemeClr w14:val="tx1"/>
            </w14:solidFill>
          </w14:textFill>
        </w:rPr>
        <w:t>伍万元</w:t>
      </w:r>
      <w:r>
        <w:rPr>
          <w:rFonts w:hint="eastAsia" w:ascii="仿宋" w:hAnsi="仿宋" w:eastAsia="仿宋" w:cs="仿宋"/>
          <w:color w:val="000000" w:themeColor="text1"/>
          <w:sz w:val="30"/>
          <w:szCs w:val="30"/>
          <w:lang w:bidi="ar"/>
          <w14:textFill>
            <w14:solidFill>
              <w14:schemeClr w14:val="tx1"/>
            </w14:solidFill>
          </w14:textFill>
        </w:rPr>
        <w:t>（¥50,000.00）</w:t>
      </w:r>
      <w:r>
        <w:rPr>
          <w:rFonts w:hint="eastAsia" w:ascii="仿宋" w:hAnsi="仿宋" w:eastAsia="仿宋" w:cs="仿宋"/>
          <w:color w:val="000000" w:themeColor="text1"/>
          <w:kern w:val="2"/>
          <w:sz w:val="28"/>
          <w:szCs w:val="28"/>
          <w:lang w:bidi="ar"/>
          <w14:textFill>
            <w14:solidFill>
              <w14:schemeClr w14:val="tx1"/>
            </w14:solidFill>
          </w14:textFill>
        </w:rPr>
        <w:t>。</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2.按合同约定办理履约保证金退还手续。</w:t>
      </w:r>
    </w:p>
    <w:p>
      <w:pPr>
        <w:pStyle w:val="53"/>
        <w:keepNext w:val="0"/>
        <w:keepLines w:val="0"/>
        <w:pageBreakBefore w:val="0"/>
        <w:widowControl w:val="0"/>
        <w:kinsoku/>
        <w:wordWrap/>
        <w:overflowPunct/>
        <w:topLinePunct w:val="0"/>
        <w:autoSpaceDE/>
        <w:autoSpaceDN/>
        <w:bidi w:val="0"/>
        <w:adjustRightInd w:val="0"/>
        <w:snapToGrid/>
        <w:spacing w:before="360" w:beforeLines="150" w:beforeAutospacing="0" w:after="240" w:afterLines="100" w:afterAutospacing="0"/>
        <w:ind w:firstLine="0"/>
        <w:jc w:val="center"/>
        <w:textAlignment w:val="auto"/>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kern w:val="2"/>
          <w:sz w:val="30"/>
          <w:szCs w:val="30"/>
          <w:lang w:bidi="ar"/>
          <w14:textFill>
            <w14:solidFill>
              <w14:schemeClr w14:val="tx1"/>
            </w14:solidFill>
          </w14:textFill>
        </w:rPr>
        <w:t>七、货款的结算</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货款由采购人按采购文件规定的付款方式自行支付。</w:t>
      </w:r>
    </w:p>
    <w:p>
      <w:pPr>
        <w:pStyle w:val="53"/>
        <w:widowControl w:val="0"/>
        <w:adjustRightInd w:val="0"/>
        <w:spacing w:before="120" w:beforeLines="50" w:beforeAutospacing="0" w:after="120" w:afterLines="50" w:afterAutospacing="0" w:line="480" w:lineRule="exact"/>
        <w:ind w:firstLine="562" w:firstLineChars="200"/>
        <w:jc w:val="center"/>
        <w:rPr>
          <w:rFonts w:ascii="仿宋" w:hAnsi="仿宋" w:eastAsia="仿宋" w:cs="仿宋"/>
          <w:b/>
          <w:color w:val="000000" w:themeColor="text1"/>
          <w:sz w:val="28"/>
          <w:szCs w:val="28"/>
          <w14:textFill>
            <w14:solidFill>
              <w14:schemeClr w14:val="tx1"/>
            </w14:solidFill>
          </w14:textFill>
        </w:rPr>
      </w:pPr>
    </w:p>
    <w:p>
      <w:pPr>
        <w:pStyle w:val="53"/>
        <w:widowControl w:val="0"/>
        <w:snapToGrid w:val="0"/>
        <w:spacing w:before="120" w:beforeLines="50" w:beforeAutospacing="0" w:after="120" w:afterLines="50" w:afterAutospacing="0"/>
        <w:ind w:firstLine="600" w:firstLineChars="200"/>
        <w:jc w:val="both"/>
        <w:rPr>
          <w:rFonts w:ascii="仿宋_GB2312" w:hAnsi="仿宋" w:eastAsia="仿宋_GB2312" w:cs="仿宋_GB2312"/>
          <w:color w:val="000000" w:themeColor="text1"/>
          <w:sz w:val="30"/>
          <w:szCs w:val="30"/>
          <w14:textFill>
            <w14:solidFill>
              <w14:schemeClr w14:val="tx1"/>
            </w14:solidFill>
          </w14:textFill>
        </w:rPr>
      </w:pPr>
    </w:p>
    <w:p>
      <w:pPr>
        <w:pStyle w:val="31"/>
        <w:keepNext w:val="0"/>
        <w:keepLines w:val="0"/>
        <w:pageBreakBefore w:val="0"/>
        <w:widowControl w:val="0"/>
        <w:kinsoku/>
        <w:wordWrap/>
        <w:overflowPunct/>
        <w:topLinePunct w:val="0"/>
        <w:autoSpaceDE/>
        <w:autoSpaceDN/>
        <w:bidi w:val="0"/>
        <w:adjustRightInd/>
        <w:snapToGrid w:val="0"/>
        <w:spacing w:before="240" w:beforeLines="100" w:after="240" w:afterLines="100" w:line="360" w:lineRule="auto"/>
        <w:ind w:firstLine="0"/>
        <w:jc w:val="center"/>
        <w:textAlignment w:val="auto"/>
        <w:rPr>
          <w:rFonts w:hAnsi="宋体"/>
          <w:b/>
          <w:color w:val="000000" w:themeColor="text1"/>
          <w:sz w:val="36"/>
          <w:szCs w:val="36"/>
          <w14:textFill>
            <w14:solidFill>
              <w14:schemeClr w14:val="tx1"/>
            </w14:solidFill>
          </w14:textFill>
        </w:rPr>
      </w:pPr>
      <w:r>
        <w:rPr>
          <w:rFonts w:hint="eastAsia"/>
          <w:b/>
          <w:color w:val="000000" w:themeColor="text1"/>
          <w:sz w:val="36"/>
          <w:szCs w:val="36"/>
          <w:lang w:bidi="ar"/>
          <w14:textFill>
            <w14:solidFill>
              <w14:schemeClr w14:val="tx1"/>
            </w14:solidFill>
          </w14:textFill>
        </w:rPr>
        <w:br w:type="page"/>
      </w:r>
      <w:r>
        <w:rPr>
          <w:rFonts w:hint="eastAsia" w:hAnsi="宋体"/>
          <w:b/>
          <w:color w:val="000000" w:themeColor="text1"/>
          <w:sz w:val="36"/>
          <w:szCs w:val="36"/>
          <w14:textFill>
            <w14:solidFill>
              <w14:schemeClr w14:val="tx1"/>
            </w14:solidFill>
          </w14:textFill>
        </w:rPr>
        <w:t>第三章  评标办法及评分标准</w:t>
      </w:r>
    </w:p>
    <w:p>
      <w:pPr>
        <w:spacing w:before="120" w:beforeLines="50" w:after="120"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根据相关法律法规，结合本项目的实际需求，制定本办法。</w:t>
      </w:r>
    </w:p>
    <w:p>
      <w:pPr>
        <w:spacing w:before="120" w:beforeLines="50" w:after="120" w:afterLines="50" w:line="460" w:lineRule="exact"/>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一、总则</w:t>
      </w:r>
    </w:p>
    <w:p>
      <w:pPr>
        <w:spacing w:before="120" w:beforeLines="50" w:after="120"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3"/>
        <w:spacing w:before="120" w:beforeLines="50" w:after="120" w:afterLines="50" w:line="460" w:lineRule="exact"/>
        <w:ind w:firstLine="602" w:firstLineChars="200"/>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入围供应商数量：</w:t>
      </w:r>
    </w:p>
    <w:p>
      <w:pPr>
        <w:spacing w:before="120" w:beforeLines="50" w:after="120"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标项1：</w:t>
      </w:r>
    </w:p>
    <w:p>
      <w:pPr>
        <w:spacing w:before="120" w:beforeLines="50" w:after="120"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有效投标人=3家，入1主1备；</w:t>
      </w:r>
    </w:p>
    <w:p>
      <w:pPr>
        <w:spacing w:before="120" w:beforeLines="50" w:after="120"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3＜有效投标人≤6，入2主1备；</w:t>
      </w:r>
    </w:p>
    <w:p>
      <w:pPr>
        <w:spacing w:before="120" w:beforeLines="50" w:after="120"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6＜有效投标人，入3主2备。</w:t>
      </w:r>
    </w:p>
    <w:p>
      <w:pPr>
        <w:spacing w:before="120" w:beforeLines="50" w:after="120"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标项2：</w:t>
      </w:r>
    </w:p>
    <w:p>
      <w:pPr>
        <w:spacing w:before="120" w:beforeLines="50" w:after="120"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入1主1备。</w:t>
      </w:r>
    </w:p>
    <w:p>
      <w:pPr>
        <w:spacing w:before="120" w:beforeLines="50" w:after="120" w:afterLines="50" w:line="460" w:lineRule="exact"/>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二、分值的计算</w:t>
      </w:r>
    </w:p>
    <w:p>
      <w:pPr>
        <w:spacing w:before="120" w:beforeLines="50" w:after="120"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技术、资信、商务及其他分按照评标委员会成员的独立评分结果汇总后的算术平均分计算，计算公式为：</w:t>
      </w:r>
    </w:p>
    <w:p>
      <w:pPr>
        <w:spacing w:before="120" w:beforeLines="50" w:after="120"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投标人评标</w:t>
      </w:r>
      <w:r>
        <w:rPr>
          <w:rFonts w:hint="eastAsia" w:ascii="仿宋" w:hAnsi="仿宋" w:eastAsia="仿宋"/>
          <w:bCs/>
          <w:color w:val="000000" w:themeColor="text1"/>
          <w:sz w:val="30"/>
          <w:szCs w:val="30"/>
          <w14:textFill>
            <w14:solidFill>
              <w14:schemeClr w14:val="tx1"/>
            </w14:solidFill>
          </w14:textFill>
        </w:rPr>
        <w:t>综合得分=价格分+(技术分+资信商务及其他分)</w:t>
      </w:r>
    </w:p>
    <w:p>
      <w:pPr>
        <w:spacing w:before="120" w:beforeLines="50" w:after="120"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p>
    <w:p>
      <w:pPr>
        <w:spacing w:before="120" w:beforeLines="50" w:after="120" w:afterLines="50" w:line="460" w:lineRule="exact"/>
        <w:ind w:firstLine="602" w:firstLineChars="200"/>
        <w:rPr>
          <w:rFonts w:ascii="仿宋" w:hAnsi="仿宋" w:cs="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特别提醒：</w:t>
      </w:r>
      <w:r>
        <w:rPr>
          <w:rFonts w:hint="eastAsia" w:ascii="仿宋" w:hAnsi="仿宋" w:eastAsia="仿宋"/>
          <w:bCs/>
          <w:color w:val="000000" w:themeColor="text1"/>
          <w:sz w:val="30"/>
          <w:szCs w:val="30"/>
          <w14:textFill>
            <w14:solidFill>
              <w14:schemeClr w14:val="tx1"/>
            </w14:solidFill>
          </w14:textFill>
        </w:rPr>
        <w:t>评标委员会对每个投标人的评分明细以及得分汇总表情况在中标公告中公布。</w:t>
      </w:r>
    </w:p>
    <w:p>
      <w:pPr>
        <w:spacing w:before="120" w:beforeLines="50" w:after="120" w:afterLines="50" w:line="320" w:lineRule="exact"/>
        <w:ind w:firstLine="643" w:firstLineChars="200"/>
        <w:rPr>
          <w:rFonts w:ascii="仿宋" w:hAnsi="仿宋" w:eastAsia="仿宋_GB2312"/>
          <w:b/>
          <w:color w:val="000000" w:themeColor="text1"/>
          <w:sz w:val="32"/>
          <w:szCs w:val="32"/>
          <w14:textFill>
            <w14:solidFill>
              <w14:schemeClr w14:val="tx1"/>
            </w14:solidFill>
          </w14:textFill>
        </w:rPr>
      </w:pPr>
      <w:bookmarkStart w:id="10" w:name="_Toc496796638"/>
    </w:p>
    <w:p>
      <w:pPr>
        <w:ind w:firstLine="640"/>
        <w:rPr>
          <w:rFonts w:ascii="仿宋" w:hAnsi="仿宋" w:eastAsia="仿宋_GB2312"/>
          <w:b/>
          <w:color w:val="000000" w:themeColor="text1"/>
          <w:sz w:val="32"/>
          <w:szCs w:val="32"/>
          <w14:textFill>
            <w14:solidFill>
              <w14:schemeClr w14:val="tx1"/>
            </w14:solidFill>
          </w14:textFill>
        </w:rPr>
      </w:pPr>
      <w:r>
        <w:rPr>
          <w:rFonts w:hint="eastAsia" w:ascii="仿宋" w:hAnsi="仿宋" w:eastAsia="仿宋_GB2312"/>
          <w:b/>
          <w:color w:val="000000" w:themeColor="text1"/>
          <w:sz w:val="32"/>
          <w:szCs w:val="32"/>
          <w14:textFill>
            <w14:solidFill>
              <w14:schemeClr w14:val="tx1"/>
            </w14:solidFill>
          </w14:textFill>
        </w:rPr>
        <w:br w:type="page"/>
      </w:r>
    </w:p>
    <w:p>
      <w:pPr>
        <w:numPr>
          <w:ilvl w:val="0"/>
          <w:numId w:val="30"/>
        </w:numPr>
        <w:spacing w:before="120" w:beforeLines="50" w:after="120" w:afterLines="50" w:line="320" w:lineRule="exact"/>
        <w:rPr>
          <w:rFonts w:ascii="仿宋" w:hAnsi="仿宋" w:eastAsia="仿宋_GB2312"/>
          <w:b/>
          <w:color w:val="000000" w:themeColor="text1"/>
          <w:sz w:val="30"/>
          <w:szCs w:val="30"/>
          <w14:textFill>
            <w14:solidFill>
              <w14:schemeClr w14:val="tx1"/>
            </w14:solidFill>
          </w14:textFill>
        </w:rPr>
      </w:pPr>
      <w:r>
        <w:rPr>
          <w:rFonts w:hint="eastAsia" w:ascii="仿宋" w:hAnsi="仿宋" w:eastAsia="仿宋_GB2312"/>
          <w:b/>
          <w:color w:val="000000" w:themeColor="text1"/>
          <w:sz w:val="32"/>
          <w:szCs w:val="32"/>
          <w14:textFill>
            <w14:solidFill>
              <w14:schemeClr w14:val="tx1"/>
            </w14:solidFill>
          </w14:textFill>
        </w:rPr>
        <w:t>评标内容及标</w:t>
      </w:r>
      <w:r>
        <w:rPr>
          <w:rFonts w:hint="eastAsia" w:ascii="仿宋" w:hAnsi="仿宋" w:eastAsia="仿宋_GB2312"/>
          <w:b/>
          <w:color w:val="000000" w:themeColor="text1"/>
          <w:sz w:val="30"/>
          <w:szCs w:val="30"/>
          <w14:textFill>
            <w14:solidFill>
              <w14:schemeClr w14:val="tx1"/>
            </w14:solidFill>
          </w14:textFill>
        </w:rPr>
        <w:t>准</w:t>
      </w:r>
    </w:p>
    <w:p>
      <w:pPr>
        <w:spacing w:before="120" w:beforeLines="50" w:after="120" w:afterLines="50"/>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（一）标项1评分方法</w:t>
      </w:r>
    </w:p>
    <w:p>
      <w:pPr>
        <w:spacing w:before="72" w:beforeLines="30" w:after="72" w:afterLines="3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报价分计算方法：</w:t>
      </w:r>
    </w:p>
    <w:p>
      <w:pPr>
        <w:spacing w:before="72" w:beforeLines="30" w:after="72" w:afterLines="3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 xml:space="preserve">1.各分项基准价：有效投标报价的算术平均值为基准价（有效投标报价在3个至4个时，不去除最高价和最低价；有效投标报价在5个至7个时，去除一个最高价和一个最低价；有效投标报价在8个（含）以上时，去除一个最高价和一个次高价及一个最低价和一个次低价，最高跟最低价格有多个时，去除两个最高价及两个最低价）。   </w:t>
      </w:r>
    </w:p>
    <w:p>
      <w:pPr>
        <w:spacing w:before="72" w:beforeLines="30" w:after="72" w:afterLines="3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2.各分项计算公式：得分=基准价/有效投标报价*各分项分值，有效投标报价低于或等于基准价的得满分；</w:t>
      </w:r>
    </w:p>
    <w:p>
      <w:pPr>
        <w:spacing w:before="72" w:beforeLines="30" w:after="72" w:afterLines="3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3.报价得分=单个项目采购代理费用得分+单个项目审查费用得分</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例：</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投标人A：单个项目代理费用报价100，单个项目审查费用报价50；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投标人B：单个项目代理费用报价110，单个项目审查费用报价60；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投标人C：单个项目代理费用报价120，单个项目审查费用报价70；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投标人D：单个项目代理费用报价130，单个项目审查费用报价80；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投标人E：单个项目代理费用报价140，单个项目审查费用报价90；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投标人F：单个项目代理费用报价150，单个项目审查费用报价100；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则：</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1.单个项目采购代理费用得分计算：</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基准价=（110+120+130+140）/4=125</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投标人A得分=15（有效投标报价低于或等于基准价的得满分）</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投标人B得分=15（有效投标报价低于或等于基准价的得满分）</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投标人C得分=15（有效投标报价低于或等于基准价的得满分）</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投标人D得分=125/130*15=14.42</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投标人E得分=125/140*15=13.39</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投标人F得分=125/150*15=12.5</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2.单个项目审查费用得分计算：</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基准价=（60+70+80+90）/4=75</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投标人A得分=5（有效投标报价低于或等于基准价的得满分）</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投标人B得分=5（有效投标报价低于或等于基准价的得满分）</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投标人C得分=5（有效投标报价低于或等于基准价的得满分）</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投标人D得分=75/80*5=4.69</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投标人E得分=75/90*5=4.17</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投标人F得分=75/100*5=3.75</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3.报价得分计算：</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投标人A得分=15+5=20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投标人B得分=15+5=20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投标人C得分=15+5=20</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投标人D得分=14.42+4.69=19.11</w:t>
      </w:r>
    </w:p>
    <w:p>
      <w:pPr>
        <w:pStyle w:val="21"/>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投标人E得分=13.39+4.17=17.56</w:t>
      </w:r>
    </w:p>
    <w:p>
      <w:pPr>
        <w:spacing w:before="120" w:beforeLines="50" w:after="120" w:afterLines="5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投标人F得分=12.5+3.75=16.25</w:t>
      </w:r>
    </w:p>
    <w:tbl>
      <w:tblPr>
        <w:tblStyle w:val="60"/>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701"/>
        <w:gridCol w:w="6135"/>
        <w:gridCol w:w="525"/>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jc w:val="center"/>
        </w:trPr>
        <w:tc>
          <w:tcPr>
            <w:tcW w:w="592" w:type="dxa"/>
            <w:vAlign w:val="center"/>
          </w:tcPr>
          <w:p>
            <w:pPr>
              <w:jc w:val="center"/>
              <w:rPr>
                <w:rFonts w:ascii="仿宋" w:hAnsi="仿宋" w:eastAsia="仿宋" w:cs="仿宋"/>
                <w:b/>
                <w:color w:val="000000" w:themeColor="text1"/>
                <w:kern w:val="0"/>
                <w:sz w:val="24"/>
                <w:szCs w:val="24"/>
                <w14:textFill>
                  <w14:solidFill>
                    <w14:schemeClr w14:val="tx1"/>
                  </w14:solidFill>
                </w14:textFill>
              </w:rPr>
            </w:pPr>
            <w:bookmarkStart w:id="11" w:name="PO_15528_PM051"/>
            <w:bookmarkEnd w:id="11"/>
            <w:bookmarkStart w:id="12" w:name="PO_TDCUS_ITEM_SM_TABLE_1"/>
            <w:r>
              <w:rPr>
                <w:rFonts w:hint="eastAsia" w:ascii="仿宋" w:hAnsi="仿宋" w:eastAsia="仿宋" w:cs="仿宋"/>
                <w:b/>
                <w:color w:val="000000" w:themeColor="text1"/>
                <w:sz w:val="24"/>
                <w:szCs w:val="24"/>
                <w14:textFill>
                  <w14:solidFill>
                    <w14:schemeClr w14:val="tx1"/>
                  </w14:solidFill>
                </w14:textFill>
              </w:rPr>
              <w:t>序号</w:t>
            </w:r>
          </w:p>
        </w:tc>
        <w:tc>
          <w:tcPr>
            <w:tcW w:w="701" w:type="dxa"/>
            <w:vAlign w:val="center"/>
          </w:tcPr>
          <w:p>
            <w:pPr>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评分</w:t>
            </w:r>
          </w:p>
          <w:p>
            <w:pPr>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项目</w:t>
            </w:r>
          </w:p>
        </w:tc>
        <w:tc>
          <w:tcPr>
            <w:tcW w:w="6135" w:type="dxa"/>
            <w:vAlign w:val="center"/>
          </w:tcPr>
          <w:p>
            <w:pPr>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评标要点及说明</w:t>
            </w:r>
          </w:p>
        </w:tc>
        <w:tc>
          <w:tcPr>
            <w:tcW w:w="525" w:type="dxa"/>
            <w:vAlign w:val="center"/>
          </w:tcPr>
          <w:p>
            <w:pPr>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分值</w:t>
            </w:r>
          </w:p>
        </w:tc>
        <w:tc>
          <w:tcPr>
            <w:tcW w:w="722" w:type="dxa"/>
            <w:vAlign w:val="center"/>
          </w:tcPr>
          <w:p>
            <w:pPr>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打分</w:t>
            </w:r>
          </w:p>
          <w:p>
            <w:pPr>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1</w:t>
            </w:r>
          </w:p>
        </w:tc>
        <w:tc>
          <w:tcPr>
            <w:tcW w:w="701" w:type="dxa"/>
            <w:vAlign w:val="center"/>
          </w:tcPr>
          <w:p>
            <w:pPr>
              <w:spacing w:before="72" w:beforeLines="30" w:after="72" w:afterLines="3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报价</w:t>
            </w:r>
          </w:p>
        </w:tc>
        <w:tc>
          <w:tcPr>
            <w:tcW w:w="6135" w:type="dxa"/>
            <w:vAlign w:val="center"/>
          </w:tcPr>
          <w:p>
            <w:pPr>
              <w:spacing w:before="72" w:beforeLines="30" w:after="72" w:afterLines="30"/>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单个项目采购代理费用（15分）；</w:t>
            </w:r>
          </w:p>
        </w:tc>
        <w:tc>
          <w:tcPr>
            <w:tcW w:w="525" w:type="dxa"/>
            <w:vAlign w:val="center"/>
          </w:tcPr>
          <w:p>
            <w:pPr>
              <w:spacing w:before="72" w:beforeLines="30" w:after="72" w:afterLines="3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15</w:t>
            </w:r>
          </w:p>
        </w:tc>
        <w:tc>
          <w:tcPr>
            <w:tcW w:w="722" w:type="dxa"/>
            <w:vAlign w:val="center"/>
          </w:tcPr>
          <w:p>
            <w:pPr>
              <w:spacing w:before="72" w:beforeLines="30" w:after="72" w:afterLines="3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2</w:t>
            </w:r>
          </w:p>
        </w:tc>
        <w:tc>
          <w:tcPr>
            <w:tcW w:w="701" w:type="dxa"/>
            <w:vAlign w:val="center"/>
          </w:tcPr>
          <w:p>
            <w:pPr>
              <w:spacing w:before="72" w:beforeLines="30" w:after="72" w:afterLines="3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报价</w:t>
            </w:r>
          </w:p>
        </w:tc>
        <w:tc>
          <w:tcPr>
            <w:tcW w:w="6135" w:type="dxa"/>
            <w:vAlign w:val="center"/>
          </w:tcPr>
          <w:p>
            <w:pPr>
              <w:spacing w:before="72" w:beforeLines="30" w:after="72" w:afterLines="30"/>
              <w:rPr>
                <w:rFonts w:ascii="宋体" w:hAnsi="宋体"/>
                <w:b/>
                <w:spacing w:val="-6"/>
                <w:sz w:val="24"/>
              </w:rPr>
            </w:pPr>
            <w:r>
              <w:rPr>
                <w:rFonts w:hint="eastAsia" w:ascii="仿宋" w:hAnsi="仿宋" w:eastAsia="仿宋" w:cs="仿宋"/>
                <w:b/>
                <w:color w:val="000000" w:themeColor="text1"/>
                <w:kern w:val="0"/>
                <w:sz w:val="24"/>
                <w:szCs w:val="24"/>
                <w14:textFill>
                  <w14:solidFill>
                    <w14:schemeClr w14:val="tx1"/>
                  </w14:solidFill>
                </w14:textFill>
              </w:rPr>
              <w:t>单个项目审查费用（5分）。</w:t>
            </w:r>
          </w:p>
        </w:tc>
        <w:tc>
          <w:tcPr>
            <w:tcW w:w="525" w:type="dxa"/>
            <w:vAlign w:val="center"/>
          </w:tcPr>
          <w:p>
            <w:pPr>
              <w:spacing w:before="72" w:beforeLines="30" w:after="72" w:afterLines="3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5</w:t>
            </w:r>
          </w:p>
        </w:tc>
        <w:tc>
          <w:tcPr>
            <w:tcW w:w="722" w:type="dxa"/>
            <w:vAlign w:val="center"/>
          </w:tcPr>
          <w:p>
            <w:pPr>
              <w:spacing w:before="72" w:beforeLines="30" w:after="72" w:afterLines="3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商务</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根据企业取得的行业信誉、荣誉证书或称号等情况综合评分，满分</w:t>
            </w:r>
            <w:r>
              <w:rPr>
                <w:rFonts w:ascii="仿宋" w:hAnsi="仿宋" w:eastAsia="仿宋" w:cs="仿宋"/>
                <w:bCs/>
                <w:color w:val="000000" w:themeColor="text1"/>
                <w:kern w:val="0"/>
                <w:sz w:val="24"/>
                <w:szCs w:val="24"/>
                <w14:textFill>
                  <w14:solidFill>
                    <w14:schemeClr w14:val="tx1"/>
                  </w14:solidFill>
                </w14:textFill>
              </w:rPr>
              <w:t>2</w:t>
            </w:r>
            <w:r>
              <w:rPr>
                <w:rFonts w:hint="eastAsia" w:ascii="仿宋" w:hAnsi="仿宋" w:eastAsia="仿宋" w:cs="仿宋"/>
                <w:bCs/>
                <w:color w:val="000000" w:themeColor="text1"/>
                <w:kern w:val="0"/>
                <w:sz w:val="24"/>
                <w:szCs w:val="24"/>
                <w14:textFill>
                  <w14:solidFill>
                    <w14:schemeClr w14:val="tx1"/>
                  </w14:solidFill>
                </w14:textFill>
              </w:rPr>
              <w:t>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证明材料：相关证书等复制件，并加盖公章。</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商务</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根据企业取得质量管理体系认证、AAA信用企业证书综合评分，取得一项得1分，满分2分。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证明材料：相关证书复制件，并加盖公章；其中管理体系认证证书需额外提供国家市场监督管理总局全国认证认可信息公共服务平台（www.cnca.gov.cn）查询截图并加盖公章，否则不得分。</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商务</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提供2021年1月1日以后</w:t>
            </w:r>
            <w:r>
              <w:rPr>
                <w:rFonts w:ascii="仿宋" w:hAnsi="仿宋" w:eastAsia="仿宋" w:cs="仿宋"/>
                <w:bCs/>
                <w:color w:val="000000" w:themeColor="text1"/>
                <w:kern w:val="0"/>
                <w:sz w:val="24"/>
                <w:szCs w:val="24"/>
                <w14:textFill>
                  <w14:solidFill>
                    <w14:schemeClr w14:val="tx1"/>
                  </w14:solidFill>
                </w14:textFill>
              </w:rPr>
              <w:t>参与捐赠、捐款、扶贫扶弱等慈善活动，文化、教育、医疗卫生等公益事业的案例，提供一项得1分，满分2分。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证明材料：可查证的记录或证明材料，包括但不限于公众报道、相关部门表彰或通报表扬的证书、公告或文件等。</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4</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商务</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代理业务收入占企业营业收入40%及以上的得4分，30%（含）至40%得</w:t>
            </w:r>
            <w:r>
              <w:rPr>
                <w:rFonts w:ascii="仿宋" w:hAnsi="仿宋" w:eastAsia="仿宋" w:cs="仿宋"/>
                <w:bCs/>
                <w:color w:val="000000" w:themeColor="text1"/>
                <w:kern w:val="0"/>
                <w:sz w:val="24"/>
                <w:szCs w:val="24"/>
                <w14:textFill>
                  <w14:solidFill>
                    <w14:schemeClr w14:val="tx1"/>
                  </w14:solidFill>
                </w14:textFill>
              </w:rPr>
              <w:t>3</w:t>
            </w:r>
            <w:r>
              <w:rPr>
                <w:rFonts w:hint="eastAsia" w:ascii="仿宋" w:hAnsi="仿宋" w:eastAsia="仿宋" w:cs="仿宋"/>
                <w:bCs/>
                <w:color w:val="000000" w:themeColor="text1"/>
                <w:kern w:val="0"/>
                <w:sz w:val="24"/>
                <w:szCs w:val="24"/>
                <w14:textFill>
                  <w14:solidFill>
                    <w14:schemeClr w14:val="tx1"/>
                  </w14:solidFill>
                </w14:textFill>
              </w:rPr>
              <w:t>分，20%（含）至30%得</w:t>
            </w:r>
            <w:r>
              <w:rPr>
                <w:rFonts w:ascii="仿宋" w:hAnsi="仿宋" w:eastAsia="仿宋" w:cs="仿宋"/>
                <w:bCs/>
                <w:color w:val="000000" w:themeColor="text1"/>
                <w:kern w:val="0"/>
                <w:sz w:val="24"/>
                <w:szCs w:val="24"/>
                <w14:textFill>
                  <w14:solidFill>
                    <w14:schemeClr w14:val="tx1"/>
                  </w14:solidFill>
                </w14:textFill>
              </w:rPr>
              <w:t>2</w:t>
            </w:r>
            <w:r>
              <w:rPr>
                <w:rFonts w:hint="eastAsia" w:ascii="仿宋" w:hAnsi="仿宋" w:eastAsia="仿宋" w:cs="仿宋"/>
                <w:bCs/>
                <w:color w:val="000000" w:themeColor="text1"/>
                <w:kern w:val="0"/>
                <w:sz w:val="24"/>
                <w:szCs w:val="24"/>
                <w14:textFill>
                  <w14:solidFill>
                    <w14:schemeClr w14:val="tx1"/>
                  </w14:solidFill>
                </w14:textFill>
              </w:rPr>
              <w:t>分，10%（含）到20%得1分，10%以下的不得分。满分</w:t>
            </w:r>
            <w:r>
              <w:rPr>
                <w:rFonts w:ascii="仿宋" w:hAnsi="仿宋" w:eastAsia="仿宋" w:cs="仿宋"/>
                <w:bCs/>
                <w:color w:val="000000" w:themeColor="text1"/>
                <w:kern w:val="0"/>
                <w:sz w:val="24"/>
                <w:szCs w:val="24"/>
                <w14:textFill>
                  <w14:solidFill>
                    <w14:schemeClr w14:val="tx1"/>
                  </w14:solidFill>
                </w14:textFill>
              </w:rPr>
              <w:t>4</w:t>
            </w:r>
            <w:r>
              <w:rPr>
                <w:rFonts w:hint="eastAsia" w:ascii="仿宋" w:hAnsi="仿宋" w:eastAsia="仿宋" w:cs="仿宋"/>
                <w:bCs/>
                <w:color w:val="000000" w:themeColor="text1"/>
                <w:kern w:val="0"/>
                <w:sz w:val="24"/>
                <w:szCs w:val="24"/>
                <w14:textFill>
                  <w14:solidFill>
                    <w14:schemeClr w14:val="tx1"/>
                  </w14:solidFill>
                </w14:textFill>
              </w:rPr>
              <w:t>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证明材料：经审计的财务报告复制件，并加盖公章。</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4</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5</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提供2021年1月1日以后，2个真实的异议或质疑答复案例（包含1个货物或服务类项目的异议或质疑案例和1个工程类项目的异议或质疑处理案例），案例内容包括异议或质疑事项，代理机构答复情况、答复依据、答复技巧，是否引发投诉、财政部门或监管部门处理结果等，根据答复质量综合评分，单个案例最高得5分，满分10分。</w:t>
            </w:r>
          </w:p>
          <w:p>
            <w:pPr>
              <w:spacing w:before="72" w:beforeLines="30" w:after="72" w:afterLines="30"/>
              <w:rPr>
                <w:rFonts w:hint="eastAsia" w:ascii="仿宋" w:hAnsi="仿宋" w:eastAsia="仿宋" w:cs="仿宋"/>
                <w:bCs/>
                <w:color w:val="000000" w:themeColor="text1"/>
                <w:kern w:val="0"/>
                <w:sz w:val="24"/>
                <w:szCs w:val="24"/>
                <w:lang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注：如果近两年以来确实从未发生过异议和质疑的，得满分，需提交声明；入围后</w:t>
            </w:r>
            <w:r>
              <w:rPr>
                <w:rFonts w:hint="eastAsia" w:ascii="仿宋" w:hAnsi="仿宋" w:eastAsia="仿宋" w:cs="仿宋"/>
                <w:bCs/>
                <w:color w:val="000000" w:themeColor="text1"/>
                <w:kern w:val="0"/>
                <w:sz w:val="24"/>
                <w:szCs w:val="24"/>
                <w:lang w:val="en-US" w:eastAsia="zh-CN"/>
                <w14:textFill>
                  <w14:solidFill>
                    <w14:schemeClr w14:val="tx1"/>
                  </w14:solidFill>
                </w14:textFill>
              </w:rPr>
              <w:t>核查</w:t>
            </w:r>
            <w:r>
              <w:rPr>
                <w:rFonts w:hint="eastAsia" w:ascii="仿宋" w:hAnsi="仿宋" w:eastAsia="仿宋" w:cs="仿宋"/>
                <w:bCs/>
                <w:color w:val="000000" w:themeColor="text1"/>
                <w:kern w:val="0"/>
                <w:sz w:val="24"/>
                <w:szCs w:val="24"/>
                <w14:textFill>
                  <w14:solidFill>
                    <w14:schemeClr w14:val="tx1"/>
                  </w14:solidFill>
                </w14:textFill>
              </w:rPr>
              <w:t>发现</w:t>
            </w:r>
            <w:r>
              <w:rPr>
                <w:rFonts w:hint="eastAsia" w:ascii="仿宋" w:hAnsi="仿宋" w:eastAsia="仿宋" w:cs="仿宋"/>
                <w:bCs/>
                <w:color w:val="000000" w:themeColor="text1"/>
                <w:kern w:val="0"/>
                <w:sz w:val="24"/>
                <w:szCs w:val="24"/>
                <w:lang w:val="en-US" w:eastAsia="zh-CN"/>
                <w14:textFill>
                  <w14:solidFill>
                    <w14:schemeClr w14:val="tx1"/>
                  </w14:solidFill>
                </w14:textFill>
              </w:rPr>
              <w:t>供应商</w:t>
            </w:r>
            <w:r>
              <w:rPr>
                <w:rFonts w:hint="eastAsia" w:ascii="仿宋" w:hAnsi="仿宋" w:eastAsia="仿宋" w:cs="仿宋"/>
                <w:bCs/>
                <w:color w:val="000000" w:themeColor="text1"/>
                <w:kern w:val="0"/>
                <w:sz w:val="24"/>
                <w:szCs w:val="24"/>
                <w14:textFill>
                  <w14:solidFill>
                    <w14:schemeClr w14:val="tx1"/>
                  </w14:solidFill>
                </w14:textFill>
              </w:rPr>
              <w:t>发生过异议或质疑而声明没有案例弄虚作假的，取消入围资格</w:t>
            </w:r>
            <w:r>
              <w:rPr>
                <w:rFonts w:hint="eastAsia" w:ascii="仿宋" w:hAnsi="仿宋" w:eastAsia="仿宋" w:cs="仿宋"/>
                <w:bCs/>
                <w:color w:val="000000" w:themeColor="text1"/>
                <w:kern w:val="0"/>
                <w:sz w:val="24"/>
                <w:szCs w:val="24"/>
                <w:lang w:eastAsia="zh-CN"/>
                <w14:textFill>
                  <w14:solidFill>
                    <w14:schemeClr w14:val="tx1"/>
                  </w14:solidFill>
                </w14:textFill>
              </w:rPr>
              <w:t>。</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10</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6</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提供2021年1月1日以来的年度采购代理合同或协议，每一份得1分，同一业主单位按1个计，最高不超过5分；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证明材料：提供合同或协议复制件，须明确体现投标人、业主身份信息，以及服务内容、合同期限等内容，合同期限不少于12个月，以合同签订日期为准。</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5</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7</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1.提供2023年</w:t>
            </w:r>
            <w:r>
              <w:rPr>
                <w:rFonts w:hint="eastAsia" w:ascii="仿宋" w:hAnsi="仿宋" w:eastAsia="仿宋" w:cs="仿宋"/>
                <w:bCs/>
                <w:color w:val="000000" w:themeColor="text1"/>
                <w:kern w:val="0"/>
                <w:sz w:val="24"/>
                <w:szCs w:val="24"/>
                <w:lang w:val="en-US" w:eastAsia="zh-CN"/>
                <w14:textFill>
                  <w14:solidFill>
                    <w14:schemeClr w14:val="tx1"/>
                  </w14:solidFill>
                </w14:textFill>
              </w:rPr>
              <w:t>1月1日以来</w:t>
            </w:r>
            <w:r>
              <w:rPr>
                <w:rFonts w:hint="eastAsia" w:ascii="仿宋" w:hAnsi="仿宋" w:eastAsia="仿宋" w:cs="仿宋"/>
                <w:bCs/>
                <w:color w:val="000000" w:themeColor="text1"/>
                <w:kern w:val="0"/>
                <w:sz w:val="24"/>
                <w:szCs w:val="24"/>
                <w14:textFill>
                  <w14:solidFill>
                    <w14:schemeClr w14:val="tx1"/>
                  </w14:solidFill>
                </w14:textFill>
              </w:rPr>
              <w:t>业主为国有企业的采购代理案例，每提供1个案例得0.2分，同一业主的按1个计，最高不超过3分；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2.提供2023年</w:t>
            </w:r>
            <w:r>
              <w:rPr>
                <w:rFonts w:hint="eastAsia" w:ascii="仿宋" w:hAnsi="仿宋" w:eastAsia="仿宋" w:cs="仿宋"/>
                <w:bCs/>
                <w:color w:val="000000" w:themeColor="text1"/>
                <w:kern w:val="0"/>
                <w:sz w:val="24"/>
                <w:szCs w:val="24"/>
                <w:lang w:val="en-US" w:eastAsia="zh-CN"/>
                <w14:textFill>
                  <w14:solidFill>
                    <w14:schemeClr w14:val="tx1"/>
                  </w14:solidFill>
                </w14:textFill>
              </w:rPr>
              <w:t>1月1日以来</w:t>
            </w:r>
            <w:r>
              <w:rPr>
                <w:rFonts w:hint="eastAsia" w:ascii="仿宋" w:hAnsi="仿宋" w:eastAsia="仿宋" w:cs="仿宋"/>
                <w:bCs/>
                <w:color w:val="000000" w:themeColor="text1"/>
                <w:kern w:val="0"/>
                <w:sz w:val="24"/>
                <w:szCs w:val="24"/>
                <w14:textFill>
                  <w14:solidFill>
                    <w14:schemeClr w14:val="tx1"/>
                  </w14:solidFill>
                </w14:textFill>
              </w:rPr>
              <w:t>政府采购项目案例，每提供1个案例得0.2分，最高不超过3分；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3.提供2023年</w:t>
            </w:r>
            <w:r>
              <w:rPr>
                <w:rFonts w:hint="eastAsia" w:ascii="仿宋" w:hAnsi="仿宋" w:eastAsia="仿宋" w:cs="仿宋"/>
                <w:bCs/>
                <w:color w:val="000000" w:themeColor="text1"/>
                <w:kern w:val="0"/>
                <w:sz w:val="24"/>
                <w:szCs w:val="24"/>
                <w:lang w:val="en-US" w:eastAsia="zh-CN"/>
                <w14:textFill>
                  <w14:solidFill>
                    <w14:schemeClr w14:val="tx1"/>
                  </w14:solidFill>
                </w14:textFill>
              </w:rPr>
              <w:t>1月1日以来</w:t>
            </w:r>
            <w:r>
              <w:rPr>
                <w:rFonts w:hint="eastAsia" w:ascii="仿宋" w:hAnsi="仿宋" w:eastAsia="仿宋" w:cs="仿宋"/>
                <w:bCs/>
                <w:color w:val="000000" w:themeColor="text1"/>
                <w:kern w:val="0"/>
                <w:sz w:val="24"/>
                <w:szCs w:val="24"/>
                <w14:textFill>
                  <w14:solidFill>
                    <w14:schemeClr w14:val="tx1"/>
                  </w14:solidFill>
                </w14:textFill>
              </w:rPr>
              <w:t>业主自行组织招标的工程（或与工程相关的货物及服务）类项目案例，每提供1个案例得0.2分，最高不超过3分；</w:t>
            </w:r>
          </w:p>
          <w:p>
            <w:pPr>
              <w:spacing w:before="72" w:beforeLines="30" w:after="72" w:afterLines="30"/>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证明材料：提供服务案例汇总表，每个项目案例提供采购（招标）公告及结果公告清晰截图及发布网址，否则不得分。</w:t>
            </w:r>
          </w:p>
          <w:p>
            <w:pPr>
              <w:spacing w:before="72" w:beforeLines="30" w:after="72" w:afterLines="30"/>
              <w:rPr>
                <w:rFonts w:hint="eastAsia" w:ascii="仿宋" w:hAnsi="仿宋" w:eastAsia="仿宋" w:cs="仿宋"/>
                <w:bCs/>
                <w:color w:val="000000" w:themeColor="text1"/>
                <w:kern w:val="0"/>
                <w:sz w:val="24"/>
                <w:szCs w:val="24"/>
                <w:lang w:eastAsia="zh-CN"/>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采购人联系人和联系方式必须真实有效</w:t>
            </w:r>
            <w:r>
              <w:rPr>
                <w:rFonts w:hint="eastAsia" w:ascii="仿宋" w:hAnsi="仿宋" w:eastAsia="仿宋" w:cs="仿宋"/>
                <w:b w:val="0"/>
                <w:bCs/>
                <w:color w:val="000000" w:themeColor="text1"/>
                <w:kern w:val="0"/>
                <w:sz w:val="24"/>
                <w:szCs w:val="24"/>
                <w14:textFill>
                  <w14:solidFill>
                    <w14:schemeClr w14:val="tx1"/>
                  </w14:solidFill>
                </w14:textFill>
              </w:rPr>
              <w:t>，</w:t>
            </w:r>
            <w:r>
              <w:rPr>
                <w:rFonts w:hint="eastAsia" w:ascii="仿宋" w:hAnsi="仿宋" w:eastAsia="仿宋" w:cs="仿宋"/>
                <w:b/>
                <w:bCs w:val="0"/>
                <w:color w:val="000000" w:themeColor="text1"/>
                <w:kern w:val="0"/>
                <w:sz w:val="24"/>
                <w:szCs w:val="24"/>
                <w14:textFill>
                  <w14:solidFill>
                    <w14:schemeClr w14:val="tx1"/>
                  </w14:solidFill>
                </w14:textFill>
              </w:rPr>
              <w:t>入围后核查，如发现提供虚假材料的，取消入围资格</w:t>
            </w:r>
            <w:r>
              <w:rPr>
                <w:rFonts w:hint="eastAsia" w:ascii="仿宋" w:hAnsi="仿宋" w:eastAsia="仿宋" w:cs="仿宋"/>
                <w:b/>
                <w:bCs w:val="0"/>
                <w:color w:val="000000" w:themeColor="text1"/>
                <w:kern w:val="0"/>
                <w:sz w:val="24"/>
                <w:szCs w:val="24"/>
                <w:lang w:eastAsia="zh-CN"/>
                <w14:textFill>
                  <w14:solidFill>
                    <w14:schemeClr w14:val="tx1"/>
                  </w14:solidFill>
                </w14:textFill>
              </w:rPr>
              <w:t>。</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9</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8</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提供针对任意一类采购项目的市场调查分析报告，确保报告的真实性，内容全面、客观，数据详实，逻辑清晰，结论有说服力，根据报告质量综合评分。优秀5分，良好3分，及格1分，不合格0分。满分5分。</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5</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9</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具备提供代理采购服务的场地和录音录像设备。满分5分。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1.场地情况，满分4分：开标、评标区域实现物理隔离的得1分；有1个评标室和1个开标室的，得1分；每增加1组（1个评标室+1个开标室）加1分，最多加2分。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证明材料：提供场地产权证明或租赁协议、现场照片等，需加盖公章。</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2.具有可携带至任一开评标现场搭设录音录像监控环境的设备，满分1分。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证明材料：提供设备清单和购置发票等，需加盖公章。</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5</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10</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投标人团队整体情况：提供的团队名单应该为投标人员工，具有招标师或造价师执业证书或相关专业（经济、法律、技术）中级及以上职称的员工。以所有有效投标单位符合以上条件的人数进行排名，第1名10分，依次递减，每相差1名减少1分，第10名及以后均得1分，</w:t>
            </w:r>
            <w:r>
              <w:rPr>
                <w:rFonts w:hint="eastAsia" w:ascii="仿宋" w:hAnsi="仿宋" w:eastAsia="仿宋" w:cs="仿宋"/>
                <w:bCs/>
                <w:color w:val="000000" w:themeColor="text1"/>
                <w:kern w:val="0"/>
                <w:sz w:val="24"/>
                <w:szCs w:val="24"/>
                <w:lang w:val="en-US" w:eastAsia="zh-CN"/>
                <w14:textFill>
                  <w14:solidFill>
                    <w14:schemeClr w14:val="tx1"/>
                  </w14:solidFill>
                </w14:textFill>
              </w:rPr>
              <w:t>如排名出现并列，后续不跳过排名，</w:t>
            </w:r>
            <w:r>
              <w:rPr>
                <w:rFonts w:hint="eastAsia" w:ascii="仿宋" w:hAnsi="仿宋" w:eastAsia="仿宋" w:cs="仿宋"/>
                <w:bCs/>
                <w:color w:val="000000" w:themeColor="text1"/>
                <w:kern w:val="0"/>
                <w:sz w:val="24"/>
                <w:szCs w:val="24"/>
                <w14:textFill>
                  <w14:solidFill>
                    <w14:schemeClr w14:val="tx1"/>
                  </w14:solidFill>
                </w14:textFill>
              </w:rPr>
              <w:t>无符合以上条件人员的或</w:t>
            </w:r>
            <w:r>
              <w:rPr>
                <w:rFonts w:hint="eastAsia" w:ascii="仿宋" w:hAnsi="仿宋" w:eastAsia="仿宋" w:cs="仿宋"/>
                <w:bCs/>
                <w:color w:val="000000" w:themeColor="text1"/>
                <w:kern w:val="0"/>
                <w:sz w:val="24"/>
                <w:szCs w:val="24"/>
                <w:lang w:val="en-US" w:eastAsia="zh-CN"/>
                <w14:textFill>
                  <w14:solidFill>
                    <w14:schemeClr w14:val="tx1"/>
                  </w14:solidFill>
                </w14:textFill>
              </w:rPr>
              <w:t>提供不全、</w:t>
            </w:r>
            <w:r>
              <w:rPr>
                <w:rFonts w:hint="eastAsia" w:ascii="仿宋" w:hAnsi="仿宋" w:eastAsia="仿宋" w:cs="仿宋"/>
                <w:bCs/>
                <w:color w:val="000000" w:themeColor="text1"/>
                <w:kern w:val="0"/>
                <w:sz w:val="24"/>
                <w:szCs w:val="24"/>
                <w14:textFill>
                  <w14:solidFill>
                    <w14:schemeClr w14:val="tx1"/>
                  </w14:solidFill>
                </w14:textFill>
              </w:rPr>
              <w:t>未提供证明材料的不得分，满分10分。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证明材料：相应证书复印件，投标人为其在投标截止月上溯3个月中任意连续2个月的社保缴纳证明（加盖投标人所属社保机构印章）复制件。</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10</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11</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拟派项目经理情况：拟派项目经理情况：提供至少2名为招标人服务的项目经理备选名单，每提供1名具有招标师或造价工程师等执业证书或中级及以上职称，且从事采购代理服务5年及以上的，得5分；每提供1名具有招标师或造价工程师等执业证书或中级及以上职称，从事代理采购服务3年及以上的，得3分。最多得9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证明材料：个人简历经验介绍，相应证书复印件，投标人为其在投标截止月上溯3个月中任意连续2个月的社保缴纳证明（加盖投标人所属社保机构印章）复制件</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lang w:val="en-US" w:eastAsia="zh-CN"/>
                <w14:textFill>
                  <w14:solidFill>
                    <w14:schemeClr w14:val="tx1"/>
                  </w14:solidFill>
                </w14:textFill>
              </w:rPr>
              <w:t>提供不全、</w:t>
            </w:r>
            <w:r>
              <w:rPr>
                <w:rFonts w:hint="eastAsia" w:ascii="仿宋" w:hAnsi="仿宋" w:eastAsia="仿宋" w:cs="仿宋"/>
                <w:bCs/>
                <w:color w:val="000000" w:themeColor="text1"/>
                <w:kern w:val="0"/>
                <w:sz w:val="24"/>
                <w:szCs w:val="24"/>
                <w14:textFill>
                  <w14:solidFill>
                    <w14:schemeClr w14:val="tx1"/>
                  </w14:solidFill>
                </w14:textFill>
              </w:rPr>
              <w:t>未提供证明材料的不得分。</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ascii="仿宋" w:hAnsi="仿宋" w:eastAsia="仿宋" w:cs="仿宋"/>
                <w:bCs/>
                <w:color w:val="000000" w:themeColor="text1"/>
                <w:kern w:val="0"/>
                <w:sz w:val="24"/>
                <w:szCs w:val="24"/>
                <w14:textFill>
                  <w14:solidFill>
                    <w14:schemeClr w14:val="tx1"/>
                  </w14:solidFill>
                </w14:textFill>
              </w:rPr>
              <w:t>9</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12</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拟派驻点人员情况：提供至少2名为招标人服务的项目驻点人员备选名单，从事采购代理服务3年及以上的，每提供1名得3分；从事代理采购服务2年及以上的，每提供1名得2分。从事代理采购服务1年及以上的，每提供1名得1分。满分6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证明材料：个人简历经验介绍，投标人为其在投标截止月上溯3个月中任意连续2个月的社保缴纳证明（加盖投标人所属社保机构印章）复制件</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lang w:val="en-US" w:eastAsia="zh-CN"/>
                <w14:textFill>
                  <w14:solidFill>
                    <w14:schemeClr w14:val="tx1"/>
                  </w14:solidFill>
                </w14:textFill>
              </w:rPr>
              <w:t>提供不全、</w:t>
            </w:r>
            <w:r>
              <w:rPr>
                <w:rFonts w:hint="eastAsia" w:ascii="仿宋" w:hAnsi="仿宋" w:eastAsia="仿宋" w:cs="仿宋"/>
                <w:bCs/>
                <w:color w:val="000000" w:themeColor="text1"/>
                <w:kern w:val="0"/>
                <w:sz w:val="24"/>
                <w:szCs w:val="24"/>
                <w14:textFill>
                  <w14:solidFill>
                    <w14:schemeClr w14:val="tx1"/>
                  </w14:solidFill>
                </w14:textFill>
              </w:rPr>
              <w:t>未提供证明材料的不得分。</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ascii="仿宋" w:hAnsi="仿宋" w:eastAsia="仿宋" w:cs="仿宋"/>
                <w:bCs/>
                <w:color w:val="000000" w:themeColor="text1"/>
                <w:kern w:val="0"/>
                <w:sz w:val="24"/>
                <w:szCs w:val="24"/>
                <w14:textFill>
                  <w14:solidFill>
                    <w14:schemeClr w14:val="tx1"/>
                  </w14:solidFill>
                </w14:textFill>
              </w:rPr>
              <w:t>6</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13</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vAlign w:val="center"/>
          </w:tcPr>
          <w:p>
            <w:pPr>
              <w:spacing w:before="72" w:beforeLines="30" w:after="72" w:afterLines="30"/>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项目服务团队其他成员情况：提供至少4名为招标人服务的项目服务团队其他成员备选名单，从事采购代理服务2年及以上的，每提供1名得2分，从事代理采购服务1年及以上的，每提供1名得1分。满分8分。</w:t>
            </w:r>
          </w:p>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证明材料：个人简历经验介绍，投标人为其在投标截止月上溯3个月中任意连续2个月的社保缴纳证明（加盖投标人所属社保机构印章）复制件</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lang w:val="en-US" w:eastAsia="zh-CN"/>
                <w14:textFill>
                  <w14:solidFill>
                    <w14:schemeClr w14:val="tx1"/>
                  </w14:solidFill>
                </w14:textFill>
              </w:rPr>
              <w:t>提供不全、</w:t>
            </w:r>
            <w:r>
              <w:rPr>
                <w:rFonts w:hint="eastAsia" w:ascii="仿宋" w:hAnsi="仿宋" w:eastAsia="仿宋" w:cs="仿宋"/>
                <w:bCs/>
                <w:color w:val="000000" w:themeColor="text1"/>
                <w:kern w:val="0"/>
                <w:sz w:val="24"/>
                <w:szCs w:val="24"/>
                <w14:textFill>
                  <w14:solidFill>
                    <w14:schemeClr w14:val="tx1"/>
                  </w14:solidFill>
                </w14:textFill>
              </w:rPr>
              <w:t>未提供证明材料的不得分。</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ascii="仿宋" w:hAnsi="仿宋" w:eastAsia="仿宋" w:cs="仿宋"/>
                <w:bCs/>
                <w:color w:val="000000" w:themeColor="text1"/>
                <w:kern w:val="0"/>
                <w:sz w:val="24"/>
                <w:szCs w:val="24"/>
                <w14:textFill>
                  <w14:solidFill>
                    <w14:schemeClr w14:val="tx1"/>
                  </w14:solidFill>
                </w14:textFill>
              </w:rPr>
              <w:t>8</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9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14</w:t>
            </w:r>
          </w:p>
        </w:tc>
        <w:tc>
          <w:tcPr>
            <w:tcW w:w="701"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技术</w:t>
            </w:r>
          </w:p>
        </w:tc>
        <w:tc>
          <w:tcPr>
            <w:tcW w:w="6135" w:type="dxa"/>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提供公司完整的内控管理制度（包含招标工作规则、审核制度、合同管理办法、财务管理办法、档案管理办法等）和项目方案（包括代理招标完整流程的程序设计、人员安排、供应商的资质审核和管理办法、专家库的管理办法、团队沟通、质量保证措施等等），优秀3分，良好2分，合格1分，不合格0分。满分3分。</w:t>
            </w:r>
          </w:p>
        </w:tc>
        <w:tc>
          <w:tcPr>
            <w:tcW w:w="525"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w:t>
            </w:r>
          </w:p>
        </w:tc>
        <w:tc>
          <w:tcPr>
            <w:tcW w:w="722" w:type="dxa"/>
            <w:vAlign w:val="center"/>
          </w:tcPr>
          <w:p>
            <w:pPr>
              <w:spacing w:before="72" w:beforeLines="30" w:after="72" w:afterLines="30"/>
              <w:jc w:val="center"/>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主观</w:t>
            </w:r>
          </w:p>
        </w:tc>
      </w:tr>
      <w:bookmarkEnd w:id="12"/>
    </w:tbl>
    <w:p>
      <w:pPr>
        <w:spacing w:before="120" w:beforeLines="50" w:after="120" w:afterLines="50"/>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br w:type="page"/>
      </w:r>
      <w:r>
        <w:rPr>
          <w:rFonts w:hint="eastAsia" w:ascii="仿宋" w:hAnsi="仿宋" w:eastAsia="仿宋" w:cs="仿宋"/>
          <w:bCs/>
          <w:color w:val="000000" w:themeColor="text1"/>
          <w:kern w:val="0"/>
          <w:sz w:val="28"/>
          <w:szCs w:val="28"/>
          <w14:textFill>
            <w14:solidFill>
              <w14:schemeClr w14:val="tx1"/>
            </w14:solidFill>
          </w14:textFill>
        </w:rPr>
        <w:t>（二）标项2的评标方法</w:t>
      </w:r>
    </w:p>
    <w:p>
      <w:pPr>
        <w:spacing w:before="72" w:beforeLines="30" w:after="72" w:afterLines="30"/>
        <w:ind w:firstLine="480" w:firstLineChars="20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标项2的报价分计算方法同标项1的报价分计算方法。</w:t>
      </w:r>
    </w:p>
    <w:p>
      <w:pPr>
        <w:spacing w:before="120" w:beforeLines="50" w:after="120" w:afterLines="50" w:line="460" w:lineRule="exact"/>
        <w:ind w:firstLine="482" w:firstLineChars="200"/>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单个项目采购代理费用（18分）报价分段模式如下：</w:t>
      </w:r>
    </w:p>
    <w:tbl>
      <w:tblPr>
        <w:tblStyle w:val="60"/>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9"/>
        <w:gridCol w:w="2367"/>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tcPr>
          <w:p>
            <w:pPr>
              <w:spacing w:before="48" w:beforeLines="20" w:after="48" w:afterLines="20"/>
              <w:jc w:val="center"/>
              <w:rPr>
                <w:rFonts w:ascii="宋体" w:hAnsi="宋体" w:cs="宋体"/>
                <w:b/>
                <w:szCs w:val="21"/>
              </w:rPr>
            </w:pPr>
            <w:r>
              <w:rPr>
                <w:rFonts w:hint="eastAsia" w:ascii="宋体" w:hAnsi="宋体" w:cs="宋体"/>
                <w:b/>
                <w:szCs w:val="21"/>
              </w:rPr>
              <w:t>预算</w:t>
            </w:r>
            <w:r>
              <w:rPr>
                <w:rFonts w:ascii="宋体" w:hAnsi="宋体" w:cs="宋体"/>
                <w:b/>
                <w:szCs w:val="21"/>
              </w:rPr>
              <w:t>规模</w:t>
            </w:r>
          </w:p>
        </w:tc>
        <w:tc>
          <w:tcPr>
            <w:tcW w:w="2367" w:type="dxa"/>
          </w:tcPr>
          <w:p>
            <w:pPr>
              <w:spacing w:before="48" w:beforeLines="20" w:after="48" w:afterLines="20"/>
              <w:jc w:val="center"/>
              <w:rPr>
                <w:rFonts w:ascii="宋体" w:hAnsi="宋体" w:cs="宋体"/>
                <w:b/>
                <w:szCs w:val="21"/>
              </w:rPr>
            </w:pPr>
            <w:r>
              <w:rPr>
                <w:rFonts w:hint="eastAsia" w:ascii="宋体" w:hAnsi="宋体" w:cs="宋体"/>
                <w:b/>
                <w:szCs w:val="21"/>
              </w:rPr>
              <w:t>报价</w:t>
            </w:r>
            <w:r>
              <w:rPr>
                <w:rFonts w:ascii="宋体" w:hAnsi="宋体" w:cs="宋体"/>
                <w:b/>
                <w:szCs w:val="21"/>
              </w:rPr>
              <w:t>权重</w:t>
            </w:r>
          </w:p>
        </w:tc>
        <w:tc>
          <w:tcPr>
            <w:tcW w:w="2368" w:type="dxa"/>
          </w:tcPr>
          <w:p>
            <w:pPr>
              <w:spacing w:before="48" w:beforeLines="20" w:after="48" w:afterLines="20"/>
              <w:jc w:val="center"/>
              <w:rPr>
                <w:rFonts w:ascii="宋体" w:hAnsi="宋体" w:cs="宋体"/>
                <w:b/>
                <w:szCs w:val="21"/>
              </w:rPr>
            </w:pPr>
            <w:r>
              <w:rPr>
                <w:rFonts w:hint="eastAsia" w:ascii="宋体" w:hAnsi="宋体" w:cs="宋体"/>
                <w:b/>
                <w:szCs w:val="21"/>
              </w:rPr>
              <w:t>对应分值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tcPr>
          <w:p>
            <w:pPr>
              <w:spacing w:before="48" w:beforeLines="20" w:after="48" w:afterLines="20"/>
              <w:rPr>
                <w:rFonts w:ascii="宋体" w:hAnsi="宋体" w:cs="宋体"/>
                <w:bCs/>
                <w:szCs w:val="21"/>
              </w:rPr>
            </w:pPr>
            <w:r>
              <w:rPr>
                <w:rFonts w:hint="eastAsia" w:ascii="宋体" w:hAnsi="宋体" w:cs="宋体"/>
                <w:bCs/>
                <w:szCs w:val="21"/>
              </w:rPr>
              <w:t>0-500万元</w:t>
            </w:r>
            <w:r>
              <w:rPr>
                <w:rFonts w:ascii="宋体" w:hAnsi="宋体" w:cs="宋体"/>
                <w:bCs/>
                <w:szCs w:val="21"/>
              </w:rPr>
              <w:t>（</w:t>
            </w:r>
            <w:r>
              <w:rPr>
                <w:rFonts w:hint="eastAsia" w:ascii="宋体" w:hAnsi="宋体" w:cs="宋体"/>
                <w:bCs/>
                <w:szCs w:val="21"/>
              </w:rPr>
              <w:t>含</w:t>
            </w:r>
            <w:r>
              <w:rPr>
                <w:rFonts w:ascii="宋体" w:hAnsi="宋体" w:cs="宋体"/>
                <w:bCs/>
                <w:szCs w:val="21"/>
              </w:rPr>
              <w:t>）</w:t>
            </w:r>
          </w:p>
        </w:tc>
        <w:tc>
          <w:tcPr>
            <w:tcW w:w="2367" w:type="dxa"/>
          </w:tcPr>
          <w:p>
            <w:pPr>
              <w:spacing w:before="48" w:beforeLines="20" w:after="48" w:afterLines="20"/>
              <w:jc w:val="center"/>
              <w:rPr>
                <w:rFonts w:ascii="宋体" w:hAnsi="宋体" w:cs="宋体"/>
                <w:bCs/>
                <w:szCs w:val="21"/>
              </w:rPr>
            </w:pPr>
            <w:r>
              <w:rPr>
                <w:rFonts w:hint="eastAsia" w:ascii="宋体" w:hAnsi="宋体" w:cs="宋体"/>
                <w:bCs/>
                <w:szCs w:val="21"/>
              </w:rPr>
              <w:t>1</w:t>
            </w:r>
            <w:r>
              <w:rPr>
                <w:rFonts w:ascii="宋体" w:hAnsi="宋体" w:cs="宋体"/>
                <w:bCs/>
                <w:szCs w:val="21"/>
              </w:rPr>
              <w:t>5%</w:t>
            </w:r>
          </w:p>
        </w:tc>
        <w:tc>
          <w:tcPr>
            <w:tcW w:w="2368" w:type="dxa"/>
          </w:tcPr>
          <w:p>
            <w:pPr>
              <w:spacing w:before="48" w:beforeLines="20" w:after="48" w:afterLines="20"/>
              <w:jc w:val="center"/>
              <w:rPr>
                <w:rFonts w:ascii="宋体" w:hAnsi="宋体" w:cs="宋体"/>
                <w:bCs/>
                <w:szCs w:val="21"/>
              </w:rPr>
            </w:pPr>
            <w:r>
              <w:rPr>
                <w:rFonts w:hint="eastAsia" w:ascii="宋体" w:hAnsi="宋体" w:cs="宋体"/>
                <w:bCs/>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tcPr>
          <w:p>
            <w:pPr>
              <w:spacing w:before="48" w:beforeLines="20" w:after="48" w:afterLines="20"/>
              <w:rPr>
                <w:rFonts w:ascii="宋体" w:hAnsi="宋体" w:cs="宋体"/>
                <w:bCs/>
                <w:szCs w:val="21"/>
              </w:rPr>
            </w:pPr>
            <w:r>
              <w:rPr>
                <w:rFonts w:hint="eastAsia" w:ascii="宋体" w:hAnsi="宋体" w:cs="宋体"/>
                <w:bCs/>
                <w:szCs w:val="21"/>
              </w:rPr>
              <w:t>500-1000万元</w:t>
            </w:r>
            <w:r>
              <w:rPr>
                <w:rFonts w:ascii="宋体" w:hAnsi="宋体" w:cs="宋体"/>
                <w:bCs/>
                <w:szCs w:val="21"/>
              </w:rPr>
              <w:t>（</w:t>
            </w:r>
            <w:r>
              <w:rPr>
                <w:rFonts w:hint="eastAsia" w:ascii="宋体" w:hAnsi="宋体" w:cs="宋体"/>
                <w:bCs/>
                <w:szCs w:val="21"/>
              </w:rPr>
              <w:t>含</w:t>
            </w:r>
            <w:r>
              <w:rPr>
                <w:rFonts w:ascii="宋体" w:hAnsi="宋体" w:cs="宋体"/>
                <w:bCs/>
                <w:szCs w:val="21"/>
              </w:rPr>
              <w:t>）</w:t>
            </w:r>
          </w:p>
        </w:tc>
        <w:tc>
          <w:tcPr>
            <w:tcW w:w="2367" w:type="dxa"/>
          </w:tcPr>
          <w:p>
            <w:pPr>
              <w:spacing w:before="48" w:beforeLines="20" w:after="48" w:afterLines="20"/>
              <w:jc w:val="center"/>
              <w:rPr>
                <w:rFonts w:ascii="宋体" w:hAnsi="宋体" w:cs="宋体"/>
                <w:bCs/>
                <w:szCs w:val="21"/>
              </w:rPr>
            </w:pPr>
            <w:r>
              <w:rPr>
                <w:rFonts w:hint="eastAsia" w:ascii="宋体" w:hAnsi="宋体" w:cs="宋体"/>
                <w:bCs/>
                <w:szCs w:val="21"/>
              </w:rPr>
              <w:t>10</w:t>
            </w:r>
            <w:r>
              <w:rPr>
                <w:rFonts w:ascii="宋体" w:hAnsi="宋体" w:cs="宋体"/>
                <w:bCs/>
                <w:szCs w:val="21"/>
              </w:rPr>
              <w:t>%</w:t>
            </w:r>
          </w:p>
        </w:tc>
        <w:tc>
          <w:tcPr>
            <w:tcW w:w="2368" w:type="dxa"/>
          </w:tcPr>
          <w:p>
            <w:pPr>
              <w:spacing w:before="48" w:beforeLines="20" w:after="48" w:afterLines="20"/>
              <w:jc w:val="center"/>
              <w:rPr>
                <w:rFonts w:ascii="宋体" w:hAnsi="宋体" w:cs="宋体"/>
                <w:bCs/>
                <w:szCs w:val="21"/>
              </w:rPr>
            </w:pPr>
            <w:r>
              <w:rPr>
                <w:rFonts w:hint="eastAsia" w:ascii="宋体" w:hAnsi="宋体" w:cs="宋体"/>
                <w:bCs/>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tcPr>
          <w:p>
            <w:pPr>
              <w:spacing w:before="48" w:beforeLines="20" w:after="48" w:afterLines="20"/>
              <w:rPr>
                <w:rFonts w:ascii="宋体" w:hAnsi="宋体" w:cs="宋体"/>
                <w:bCs/>
                <w:szCs w:val="21"/>
              </w:rPr>
            </w:pPr>
            <w:r>
              <w:rPr>
                <w:rFonts w:hint="eastAsia" w:ascii="宋体" w:hAnsi="宋体" w:cs="宋体"/>
                <w:bCs/>
                <w:szCs w:val="21"/>
              </w:rPr>
              <w:t>1000-5000万元</w:t>
            </w:r>
            <w:r>
              <w:rPr>
                <w:rFonts w:ascii="宋体" w:hAnsi="宋体" w:cs="宋体"/>
                <w:bCs/>
                <w:szCs w:val="21"/>
              </w:rPr>
              <w:t>（</w:t>
            </w:r>
            <w:r>
              <w:rPr>
                <w:rFonts w:hint="eastAsia" w:ascii="宋体" w:hAnsi="宋体" w:cs="宋体"/>
                <w:bCs/>
                <w:szCs w:val="21"/>
              </w:rPr>
              <w:t>含</w:t>
            </w:r>
            <w:r>
              <w:rPr>
                <w:rFonts w:ascii="宋体" w:hAnsi="宋体" w:cs="宋体"/>
                <w:bCs/>
                <w:szCs w:val="21"/>
              </w:rPr>
              <w:t>）</w:t>
            </w:r>
          </w:p>
        </w:tc>
        <w:tc>
          <w:tcPr>
            <w:tcW w:w="2367" w:type="dxa"/>
          </w:tcPr>
          <w:p>
            <w:pPr>
              <w:spacing w:before="48" w:beforeLines="20" w:after="48" w:afterLines="20"/>
              <w:jc w:val="center"/>
              <w:rPr>
                <w:rFonts w:ascii="宋体" w:hAnsi="宋体" w:cs="宋体"/>
                <w:bCs/>
                <w:szCs w:val="21"/>
              </w:rPr>
            </w:pPr>
            <w:r>
              <w:rPr>
                <w:rFonts w:hint="eastAsia" w:ascii="宋体" w:hAnsi="宋体" w:cs="宋体"/>
                <w:bCs/>
                <w:szCs w:val="21"/>
              </w:rPr>
              <w:t>10</w:t>
            </w:r>
            <w:r>
              <w:rPr>
                <w:rFonts w:ascii="宋体" w:hAnsi="宋体" w:cs="宋体"/>
                <w:bCs/>
                <w:szCs w:val="21"/>
              </w:rPr>
              <w:t>%</w:t>
            </w:r>
          </w:p>
        </w:tc>
        <w:tc>
          <w:tcPr>
            <w:tcW w:w="2368" w:type="dxa"/>
          </w:tcPr>
          <w:p>
            <w:pPr>
              <w:spacing w:before="48" w:beforeLines="20" w:after="48" w:afterLines="20"/>
              <w:jc w:val="center"/>
              <w:rPr>
                <w:rFonts w:ascii="宋体" w:hAnsi="宋体" w:cs="宋体"/>
                <w:bCs/>
                <w:szCs w:val="21"/>
              </w:rPr>
            </w:pPr>
            <w:r>
              <w:rPr>
                <w:rFonts w:hint="eastAsia" w:ascii="宋体" w:hAnsi="宋体" w:cs="宋体"/>
                <w:bCs/>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tcPr>
          <w:p>
            <w:pPr>
              <w:spacing w:before="48" w:beforeLines="20" w:after="48" w:afterLines="20"/>
              <w:rPr>
                <w:rFonts w:ascii="宋体" w:hAnsi="宋体" w:cs="宋体"/>
                <w:bCs/>
                <w:szCs w:val="21"/>
              </w:rPr>
            </w:pPr>
            <w:r>
              <w:rPr>
                <w:rFonts w:ascii="宋体" w:hAnsi="宋体" w:cs="宋体"/>
                <w:bCs/>
                <w:szCs w:val="21"/>
              </w:rPr>
              <w:t>5</w:t>
            </w:r>
            <w:r>
              <w:rPr>
                <w:rFonts w:hint="eastAsia" w:ascii="宋体" w:hAnsi="宋体" w:cs="宋体"/>
                <w:bCs/>
                <w:szCs w:val="21"/>
              </w:rPr>
              <w:t>000-</w:t>
            </w:r>
            <w:r>
              <w:rPr>
                <w:rFonts w:ascii="宋体" w:hAnsi="宋体" w:cs="宋体"/>
                <w:bCs/>
                <w:szCs w:val="21"/>
              </w:rPr>
              <w:t>10</w:t>
            </w:r>
            <w:r>
              <w:rPr>
                <w:rFonts w:hint="eastAsia" w:ascii="宋体" w:hAnsi="宋体" w:cs="宋体"/>
                <w:bCs/>
                <w:szCs w:val="21"/>
              </w:rPr>
              <w:t>000万元</w:t>
            </w:r>
            <w:r>
              <w:rPr>
                <w:rFonts w:ascii="宋体" w:hAnsi="宋体" w:cs="宋体"/>
                <w:bCs/>
                <w:szCs w:val="21"/>
              </w:rPr>
              <w:t>（</w:t>
            </w:r>
            <w:r>
              <w:rPr>
                <w:rFonts w:hint="eastAsia" w:ascii="宋体" w:hAnsi="宋体" w:cs="宋体"/>
                <w:bCs/>
                <w:szCs w:val="21"/>
              </w:rPr>
              <w:t>含</w:t>
            </w:r>
            <w:r>
              <w:rPr>
                <w:rFonts w:ascii="宋体" w:hAnsi="宋体" w:cs="宋体"/>
                <w:bCs/>
                <w:szCs w:val="21"/>
              </w:rPr>
              <w:t>）</w:t>
            </w:r>
          </w:p>
        </w:tc>
        <w:tc>
          <w:tcPr>
            <w:tcW w:w="2367" w:type="dxa"/>
          </w:tcPr>
          <w:p>
            <w:pPr>
              <w:spacing w:before="48" w:beforeLines="20" w:after="48" w:afterLines="20"/>
              <w:jc w:val="center"/>
              <w:rPr>
                <w:rFonts w:ascii="宋体" w:hAnsi="宋体" w:cs="宋体"/>
                <w:bCs/>
                <w:szCs w:val="21"/>
              </w:rPr>
            </w:pPr>
            <w:r>
              <w:rPr>
                <w:rFonts w:hint="eastAsia" w:ascii="宋体" w:hAnsi="宋体" w:cs="宋体"/>
                <w:bCs/>
                <w:szCs w:val="21"/>
              </w:rPr>
              <w:t>30</w:t>
            </w:r>
            <w:r>
              <w:rPr>
                <w:rFonts w:ascii="宋体" w:hAnsi="宋体" w:cs="宋体"/>
                <w:bCs/>
                <w:szCs w:val="21"/>
              </w:rPr>
              <w:t>%</w:t>
            </w:r>
          </w:p>
        </w:tc>
        <w:tc>
          <w:tcPr>
            <w:tcW w:w="2368" w:type="dxa"/>
          </w:tcPr>
          <w:p>
            <w:pPr>
              <w:spacing w:before="48" w:beforeLines="20" w:after="48" w:afterLines="20"/>
              <w:jc w:val="center"/>
              <w:rPr>
                <w:rFonts w:ascii="宋体" w:hAnsi="宋体" w:cs="宋体"/>
                <w:bCs/>
                <w:szCs w:val="21"/>
              </w:rPr>
            </w:pPr>
            <w:r>
              <w:rPr>
                <w:rFonts w:hint="eastAsia" w:ascii="宋体" w:hAnsi="宋体" w:cs="宋体"/>
                <w:bCs/>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tcPr>
          <w:p>
            <w:pPr>
              <w:spacing w:before="48" w:beforeLines="20" w:after="48" w:afterLines="20"/>
              <w:rPr>
                <w:rFonts w:ascii="宋体" w:hAnsi="宋体" w:cs="宋体"/>
                <w:bCs/>
                <w:szCs w:val="21"/>
              </w:rPr>
            </w:pPr>
            <w:r>
              <w:rPr>
                <w:rFonts w:hint="eastAsia" w:ascii="宋体" w:hAnsi="宋体" w:cs="宋体"/>
                <w:bCs/>
                <w:szCs w:val="21"/>
              </w:rPr>
              <w:t>10</w:t>
            </w:r>
            <w:r>
              <w:rPr>
                <w:rFonts w:ascii="宋体" w:hAnsi="宋体" w:cs="宋体"/>
                <w:bCs/>
                <w:szCs w:val="21"/>
              </w:rPr>
              <w:t>0</w:t>
            </w:r>
            <w:r>
              <w:rPr>
                <w:rFonts w:hint="eastAsia" w:ascii="宋体" w:hAnsi="宋体" w:cs="宋体"/>
                <w:bCs/>
                <w:szCs w:val="21"/>
              </w:rPr>
              <w:t>00-500</w:t>
            </w:r>
            <w:r>
              <w:rPr>
                <w:rFonts w:ascii="宋体" w:hAnsi="宋体" w:cs="宋体"/>
                <w:bCs/>
                <w:szCs w:val="21"/>
              </w:rPr>
              <w:t>0</w:t>
            </w:r>
            <w:r>
              <w:rPr>
                <w:rFonts w:hint="eastAsia" w:ascii="宋体" w:hAnsi="宋体" w:cs="宋体"/>
                <w:bCs/>
                <w:szCs w:val="21"/>
              </w:rPr>
              <w:t>0万元</w:t>
            </w:r>
            <w:r>
              <w:rPr>
                <w:rFonts w:ascii="宋体" w:hAnsi="宋体" w:cs="宋体"/>
                <w:bCs/>
                <w:szCs w:val="21"/>
              </w:rPr>
              <w:t>（</w:t>
            </w:r>
            <w:r>
              <w:rPr>
                <w:rFonts w:hint="eastAsia" w:ascii="宋体" w:hAnsi="宋体" w:cs="宋体"/>
                <w:bCs/>
                <w:szCs w:val="21"/>
              </w:rPr>
              <w:t>含</w:t>
            </w:r>
            <w:r>
              <w:rPr>
                <w:rFonts w:ascii="宋体" w:hAnsi="宋体" w:cs="宋体"/>
                <w:bCs/>
                <w:szCs w:val="21"/>
              </w:rPr>
              <w:t>）</w:t>
            </w:r>
          </w:p>
        </w:tc>
        <w:tc>
          <w:tcPr>
            <w:tcW w:w="2367" w:type="dxa"/>
          </w:tcPr>
          <w:p>
            <w:pPr>
              <w:spacing w:before="48" w:beforeLines="20" w:after="48" w:afterLines="20"/>
              <w:jc w:val="center"/>
              <w:rPr>
                <w:rFonts w:ascii="宋体" w:hAnsi="宋体" w:cs="宋体"/>
                <w:bCs/>
                <w:szCs w:val="21"/>
              </w:rPr>
            </w:pPr>
            <w:r>
              <w:rPr>
                <w:rFonts w:ascii="宋体" w:hAnsi="宋体" w:cs="宋体"/>
                <w:bCs/>
                <w:szCs w:val="21"/>
              </w:rPr>
              <w:t>3</w:t>
            </w:r>
            <w:r>
              <w:rPr>
                <w:rFonts w:hint="eastAsia" w:ascii="宋体" w:hAnsi="宋体" w:cs="宋体"/>
                <w:bCs/>
                <w:szCs w:val="21"/>
              </w:rPr>
              <w:t>0</w:t>
            </w:r>
            <w:r>
              <w:rPr>
                <w:rFonts w:ascii="宋体" w:hAnsi="宋体" w:cs="宋体"/>
                <w:bCs/>
                <w:szCs w:val="21"/>
              </w:rPr>
              <w:t>%</w:t>
            </w:r>
          </w:p>
        </w:tc>
        <w:tc>
          <w:tcPr>
            <w:tcW w:w="2368" w:type="dxa"/>
          </w:tcPr>
          <w:p>
            <w:pPr>
              <w:spacing w:before="48" w:beforeLines="20" w:after="48" w:afterLines="20"/>
              <w:jc w:val="center"/>
              <w:rPr>
                <w:rFonts w:ascii="宋体" w:hAnsi="宋体" w:cs="宋体"/>
                <w:bCs/>
                <w:szCs w:val="21"/>
              </w:rPr>
            </w:pPr>
            <w:r>
              <w:rPr>
                <w:rFonts w:hint="eastAsia" w:ascii="宋体" w:hAnsi="宋体" w:cs="宋体"/>
                <w:bCs/>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tcPr>
          <w:p>
            <w:pPr>
              <w:spacing w:before="48" w:beforeLines="20" w:after="48" w:afterLines="20"/>
              <w:rPr>
                <w:rFonts w:ascii="宋体" w:hAnsi="宋体" w:cs="宋体"/>
                <w:bCs/>
                <w:szCs w:val="21"/>
              </w:rPr>
            </w:pPr>
            <w:r>
              <w:rPr>
                <w:rFonts w:hint="eastAsia" w:ascii="宋体" w:hAnsi="宋体" w:cs="宋体"/>
                <w:bCs/>
                <w:szCs w:val="21"/>
              </w:rPr>
              <w:t>50000万元</w:t>
            </w:r>
            <w:r>
              <w:rPr>
                <w:rFonts w:ascii="宋体" w:hAnsi="宋体" w:cs="宋体"/>
                <w:bCs/>
                <w:szCs w:val="21"/>
              </w:rPr>
              <w:t>以上</w:t>
            </w:r>
          </w:p>
        </w:tc>
        <w:tc>
          <w:tcPr>
            <w:tcW w:w="2367" w:type="dxa"/>
          </w:tcPr>
          <w:p>
            <w:pPr>
              <w:spacing w:before="48" w:beforeLines="20" w:after="48" w:afterLines="20"/>
              <w:jc w:val="center"/>
              <w:rPr>
                <w:rFonts w:ascii="宋体" w:hAnsi="宋体" w:cs="宋体"/>
                <w:bCs/>
                <w:szCs w:val="21"/>
              </w:rPr>
            </w:pPr>
            <w:r>
              <w:rPr>
                <w:rFonts w:ascii="宋体" w:hAnsi="宋体" w:cs="宋体"/>
                <w:bCs/>
                <w:szCs w:val="21"/>
              </w:rPr>
              <w:t>5%</w:t>
            </w:r>
          </w:p>
        </w:tc>
        <w:tc>
          <w:tcPr>
            <w:tcW w:w="2368" w:type="dxa"/>
          </w:tcPr>
          <w:p>
            <w:pPr>
              <w:spacing w:before="48" w:beforeLines="20" w:after="48" w:afterLines="20"/>
              <w:jc w:val="center"/>
              <w:rPr>
                <w:rFonts w:ascii="宋体" w:hAnsi="宋体" w:cs="宋体"/>
                <w:bCs/>
                <w:szCs w:val="21"/>
              </w:rPr>
            </w:pPr>
            <w:r>
              <w:rPr>
                <w:rFonts w:hint="eastAsia" w:ascii="宋体" w:hAnsi="宋体" w:cs="宋体"/>
                <w:bCs/>
                <w:szCs w:val="21"/>
              </w:rPr>
              <w:t>0.9</w:t>
            </w:r>
          </w:p>
        </w:tc>
      </w:tr>
    </w:tbl>
    <w:p>
      <w:pPr>
        <w:spacing w:before="72" w:beforeLines="30" w:after="72" w:afterLines="30"/>
        <w:ind w:firstLine="480" w:firstLineChars="200"/>
        <w:rPr>
          <w:rFonts w:ascii="仿宋" w:hAnsi="仿宋" w:eastAsia="仿宋" w:cs="仿宋"/>
          <w:bCs/>
          <w:color w:val="000000" w:themeColor="text1"/>
          <w:kern w:val="0"/>
          <w:sz w:val="24"/>
          <w:szCs w:val="24"/>
          <w14:textFill>
            <w14:solidFill>
              <w14:schemeClr w14:val="tx1"/>
            </w14:solidFill>
          </w14:textFill>
        </w:rPr>
      </w:pPr>
    </w:p>
    <w:tbl>
      <w:tblPr>
        <w:tblStyle w:val="59"/>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706"/>
        <w:gridCol w:w="6202"/>
        <w:gridCol w:w="63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30" w:type="pct"/>
            <w:vAlign w:val="center"/>
          </w:tcPr>
          <w:p>
            <w:pPr>
              <w:adjustRightInd w:val="0"/>
              <w:snapToGrid w:val="0"/>
              <w:jc w:val="center"/>
              <w:rPr>
                <w:rFonts w:hint="eastAsia" w:ascii="仿宋" w:hAnsi="仿宋" w:eastAsia="仿宋" w:cs="仿宋"/>
                <w:spacing w:val="-6"/>
                <w:sz w:val="24"/>
                <w:szCs w:val="24"/>
              </w:rPr>
            </w:pPr>
            <w:r>
              <w:rPr>
                <w:rFonts w:hint="eastAsia" w:ascii="仿宋" w:hAnsi="仿宋" w:eastAsia="仿宋" w:cs="仿宋"/>
                <w:b/>
                <w:color w:val="000000" w:themeColor="text1"/>
                <w:sz w:val="24"/>
                <w:szCs w:val="24"/>
                <w14:textFill>
                  <w14:solidFill>
                    <w14:schemeClr w14:val="tx1"/>
                  </w14:solidFill>
                </w14:textFill>
              </w:rPr>
              <w:t>序号</w:t>
            </w:r>
          </w:p>
        </w:tc>
        <w:tc>
          <w:tcPr>
            <w:tcW w:w="399" w:type="pct"/>
            <w:vAlign w:val="center"/>
          </w:tcPr>
          <w:p>
            <w:pPr>
              <w:adjustRightInd w:val="0"/>
              <w:snapToGrid w:val="0"/>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评分</w:t>
            </w:r>
          </w:p>
          <w:p>
            <w:pPr>
              <w:adjustRightInd w:val="0"/>
              <w:snapToGrid w:val="0"/>
              <w:jc w:val="center"/>
              <w:rPr>
                <w:rFonts w:hint="eastAsia" w:ascii="仿宋" w:hAnsi="仿宋" w:eastAsia="仿宋" w:cs="仿宋"/>
                <w:spacing w:val="-6"/>
                <w:sz w:val="24"/>
                <w:szCs w:val="24"/>
              </w:rPr>
            </w:pPr>
            <w:r>
              <w:rPr>
                <w:rFonts w:hint="eastAsia" w:ascii="仿宋" w:hAnsi="仿宋" w:eastAsia="仿宋" w:cs="仿宋"/>
                <w:b/>
                <w:color w:val="000000" w:themeColor="text1"/>
                <w:sz w:val="24"/>
                <w:szCs w:val="24"/>
                <w14:textFill>
                  <w14:solidFill>
                    <w14:schemeClr w14:val="tx1"/>
                  </w14:solidFill>
                </w14:textFill>
              </w:rPr>
              <w:t>项目</w:t>
            </w:r>
          </w:p>
        </w:tc>
        <w:tc>
          <w:tcPr>
            <w:tcW w:w="3507" w:type="pct"/>
            <w:vAlign w:val="center"/>
          </w:tcPr>
          <w:p>
            <w:pPr>
              <w:adjustRightInd w:val="0"/>
              <w:snapToGrid w:val="0"/>
              <w:jc w:val="center"/>
              <w:rPr>
                <w:rFonts w:hint="eastAsia" w:ascii="仿宋" w:hAnsi="仿宋" w:eastAsia="仿宋" w:cs="仿宋"/>
                <w:spacing w:val="-6"/>
                <w:sz w:val="24"/>
                <w:szCs w:val="24"/>
              </w:rPr>
            </w:pPr>
            <w:r>
              <w:rPr>
                <w:rFonts w:hint="eastAsia" w:ascii="仿宋" w:hAnsi="仿宋" w:eastAsia="仿宋" w:cs="仿宋"/>
                <w:b/>
                <w:color w:val="000000" w:themeColor="text1"/>
                <w:sz w:val="24"/>
                <w:szCs w:val="24"/>
                <w14:textFill>
                  <w14:solidFill>
                    <w14:schemeClr w14:val="tx1"/>
                  </w14:solidFill>
                </w14:textFill>
              </w:rPr>
              <w:t>评标要点及说明</w:t>
            </w:r>
          </w:p>
        </w:tc>
        <w:tc>
          <w:tcPr>
            <w:tcW w:w="356" w:type="pct"/>
            <w:vAlign w:val="center"/>
          </w:tcPr>
          <w:p>
            <w:pPr>
              <w:adjustRightInd w:val="0"/>
              <w:snapToGrid w:val="0"/>
              <w:jc w:val="center"/>
              <w:rPr>
                <w:rFonts w:hint="eastAsia" w:ascii="仿宋" w:hAnsi="仿宋" w:eastAsia="仿宋" w:cs="仿宋"/>
                <w:spacing w:val="-6"/>
                <w:sz w:val="24"/>
                <w:szCs w:val="24"/>
              </w:rPr>
            </w:pPr>
            <w:r>
              <w:rPr>
                <w:rFonts w:hint="eastAsia" w:ascii="仿宋" w:hAnsi="仿宋" w:eastAsia="仿宋" w:cs="仿宋"/>
                <w:b/>
                <w:color w:val="000000" w:themeColor="text1"/>
                <w:sz w:val="24"/>
                <w:szCs w:val="24"/>
                <w14:textFill>
                  <w14:solidFill>
                    <w14:schemeClr w14:val="tx1"/>
                  </w14:solidFill>
                </w14:textFill>
              </w:rPr>
              <w:t>分值</w:t>
            </w:r>
          </w:p>
        </w:tc>
        <w:tc>
          <w:tcPr>
            <w:tcW w:w="407" w:type="pct"/>
            <w:vAlign w:val="center"/>
          </w:tcPr>
          <w:p>
            <w:pPr>
              <w:adjustRightInd w:val="0"/>
              <w:snapToGrid w:val="0"/>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打分</w:t>
            </w:r>
          </w:p>
          <w:p>
            <w:pPr>
              <w:adjustRightInd w:val="0"/>
              <w:snapToGrid w:val="0"/>
              <w:jc w:val="center"/>
              <w:rPr>
                <w:rFonts w:hint="eastAsia" w:ascii="仿宋" w:hAnsi="仿宋" w:eastAsia="仿宋" w:cs="仿宋"/>
                <w:spacing w:val="-6"/>
                <w:sz w:val="24"/>
                <w:szCs w:val="24"/>
              </w:rPr>
            </w:pPr>
            <w:r>
              <w:rPr>
                <w:rFonts w:hint="eastAsia" w:ascii="仿宋" w:hAnsi="仿宋" w:eastAsia="仿宋" w:cs="仿宋"/>
                <w:b/>
                <w:color w:val="000000" w:themeColor="text1"/>
                <w:sz w:val="24"/>
                <w:szCs w:val="24"/>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1</w:t>
            </w:r>
          </w:p>
        </w:tc>
        <w:tc>
          <w:tcPr>
            <w:tcW w:w="399" w:type="pct"/>
            <w:vAlign w:val="center"/>
          </w:tcPr>
          <w:p>
            <w:pPr>
              <w:adjustRightInd w:val="0"/>
              <w:snapToGrid w:val="0"/>
              <w:spacing w:before="72" w:beforeLines="30" w:after="72" w:afterLines="30"/>
              <w:jc w:val="center"/>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报价</w:t>
            </w:r>
          </w:p>
        </w:tc>
        <w:tc>
          <w:tcPr>
            <w:tcW w:w="3507" w:type="pct"/>
            <w:vAlign w:val="center"/>
          </w:tcPr>
          <w:p>
            <w:pPr>
              <w:adjustRightInd w:val="0"/>
              <w:snapToGrid w:val="0"/>
              <w:spacing w:before="72" w:beforeLines="30" w:after="72" w:afterLines="30"/>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单个项目采购代理费用（18分）。</w:t>
            </w:r>
          </w:p>
        </w:tc>
        <w:tc>
          <w:tcPr>
            <w:tcW w:w="356" w:type="pct"/>
            <w:vAlign w:val="center"/>
          </w:tcPr>
          <w:p>
            <w:pPr>
              <w:adjustRightInd w:val="0"/>
              <w:snapToGrid w:val="0"/>
              <w:spacing w:before="72" w:beforeLines="30" w:after="72" w:afterLines="30"/>
              <w:jc w:val="center"/>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18</w:t>
            </w:r>
          </w:p>
        </w:tc>
        <w:tc>
          <w:tcPr>
            <w:tcW w:w="407" w:type="pct"/>
            <w:vAlign w:val="center"/>
          </w:tcPr>
          <w:p>
            <w:pPr>
              <w:adjustRightInd w:val="0"/>
              <w:snapToGrid w:val="0"/>
              <w:spacing w:before="72" w:beforeLines="30" w:after="72" w:afterLines="30"/>
              <w:jc w:val="center"/>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1.1</w:t>
            </w:r>
          </w:p>
        </w:tc>
        <w:tc>
          <w:tcPr>
            <w:tcW w:w="399"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报价</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0-500万元（含）</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2.7</w:t>
            </w:r>
          </w:p>
        </w:tc>
        <w:tc>
          <w:tcPr>
            <w:tcW w:w="407"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1.2</w:t>
            </w:r>
          </w:p>
        </w:tc>
        <w:tc>
          <w:tcPr>
            <w:tcW w:w="399"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报价</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500-1000万元（含）</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1.8</w:t>
            </w:r>
          </w:p>
        </w:tc>
        <w:tc>
          <w:tcPr>
            <w:tcW w:w="407"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1.3</w:t>
            </w:r>
          </w:p>
        </w:tc>
        <w:tc>
          <w:tcPr>
            <w:tcW w:w="399"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报价</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1000-5000万元（含）</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1.8</w:t>
            </w:r>
          </w:p>
        </w:tc>
        <w:tc>
          <w:tcPr>
            <w:tcW w:w="407"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1.4</w:t>
            </w:r>
          </w:p>
        </w:tc>
        <w:tc>
          <w:tcPr>
            <w:tcW w:w="399"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报价</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5000-10000万元（含）</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5.4</w:t>
            </w:r>
          </w:p>
        </w:tc>
        <w:tc>
          <w:tcPr>
            <w:tcW w:w="407"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1.5</w:t>
            </w:r>
          </w:p>
        </w:tc>
        <w:tc>
          <w:tcPr>
            <w:tcW w:w="399"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报价</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10000-50000万元（含）</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5.4</w:t>
            </w:r>
          </w:p>
        </w:tc>
        <w:tc>
          <w:tcPr>
            <w:tcW w:w="407"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1.6</w:t>
            </w:r>
          </w:p>
        </w:tc>
        <w:tc>
          <w:tcPr>
            <w:tcW w:w="399"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报价</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50000万元以上</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0.9</w:t>
            </w:r>
          </w:p>
        </w:tc>
        <w:tc>
          <w:tcPr>
            <w:tcW w:w="407" w:type="pct"/>
            <w:vAlign w:val="center"/>
          </w:tcPr>
          <w:p>
            <w:pPr>
              <w:adjustRightInd w:val="0"/>
              <w:snapToGrid w:val="0"/>
              <w:spacing w:before="72" w:beforeLines="30" w:after="72" w:afterLines="30"/>
              <w:jc w:val="center"/>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2</w:t>
            </w:r>
          </w:p>
        </w:tc>
        <w:tc>
          <w:tcPr>
            <w:tcW w:w="399" w:type="pct"/>
            <w:vAlign w:val="center"/>
          </w:tcPr>
          <w:p>
            <w:pPr>
              <w:adjustRightInd w:val="0"/>
              <w:snapToGrid w:val="0"/>
              <w:spacing w:before="72" w:beforeLines="30" w:after="72" w:afterLines="30"/>
              <w:jc w:val="center"/>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报价</w:t>
            </w:r>
          </w:p>
        </w:tc>
        <w:tc>
          <w:tcPr>
            <w:tcW w:w="3507" w:type="pct"/>
            <w:vAlign w:val="center"/>
          </w:tcPr>
          <w:p>
            <w:pPr>
              <w:adjustRightInd w:val="0"/>
              <w:snapToGrid w:val="0"/>
              <w:spacing w:before="72" w:beforeLines="30" w:after="72" w:afterLines="30"/>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单个项目审查费用（2分）。</w:t>
            </w:r>
          </w:p>
        </w:tc>
        <w:tc>
          <w:tcPr>
            <w:tcW w:w="356" w:type="pct"/>
            <w:vAlign w:val="center"/>
          </w:tcPr>
          <w:p>
            <w:pPr>
              <w:adjustRightInd w:val="0"/>
              <w:snapToGrid w:val="0"/>
              <w:spacing w:before="72" w:beforeLines="30" w:after="72" w:afterLines="30"/>
              <w:jc w:val="center"/>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2</w:t>
            </w:r>
          </w:p>
        </w:tc>
        <w:tc>
          <w:tcPr>
            <w:tcW w:w="407" w:type="pct"/>
            <w:vAlign w:val="center"/>
          </w:tcPr>
          <w:p>
            <w:pPr>
              <w:adjustRightInd w:val="0"/>
              <w:snapToGrid w:val="0"/>
              <w:spacing w:before="72" w:beforeLines="30" w:after="72" w:afterLines="30"/>
              <w:jc w:val="center"/>
              <w:rPr>
                <w:rFonts w:hint="eastAsia" w:ascii="仿宋" w:hAnsi="仿宋" w:eastAsia="仿宋" w:cs="仿宋"/>
                <w:b/>
                <w:spacing w:val="-6"/>
                <w:sz w:val="24"/>
                <w:szCs w:val="24"/>
              </w:rPr>
            </w:pPr>
            <w:r>
              <w:rPr>
                <w:rFonts w:hint="eastAsia" w:ascii="仿宋" w:hAnsi="仿宋" w:eastAsia="仿宋" w:cs="仿宋"/>
                <w:b/>
                <w:color w:val="000000" w:themeColor="text1"/>
                <w:kern w:val="0"/>
                <w:sz w:val="24"/>
                <w:szCs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bCs/>
                <w:color w:val="000000" w:themeColor="text1"/>
                <w:kern w:val="0"/>
                <w:sz w:val="24"/>
                <w:szCs w:val="24"/>
                <w14:textFill>
                  <w14:solidFill>
                    <w14:schemeClr w14:val="tx1"/>
                  </w14:solidFill>
                </w14:textFill>
              </w:rPr>
              <w:t>商务</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根据企业取得的行业信誉、荣誉证书或称号等情况综合评分，满分2分。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证明材料：相关证书等复制件，并加盖公章。</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highlight w:val="none"/>
              </w:rPr>
              <w:t xml:space="preserve">2 </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2</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bCs/>
                <w:color w:val="000000" w:themeColor="text1"/>
                <w:kern w:val="0"/>
                <w:sz w:val="24"/>
                <w:szCs w:val="24"/>
                <w14:textFill>
                  <w14:solidFill>
                    <w14:schemeClr w14:val="tx1"/>
                  </w14:solidFill>
                </w14:textFill>
              </w:rPr>
              <w:t>商务</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根据企业取得质量管理体系认证、AAA信用企业证书综合评分，取得一项得1分，满分2分。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证明材料：相关证书复制件，并加盖公章；</w:t>
            </w:r>
            <w:r>
              <w:rPr>
                <w:rFonts w:hint="eastAsia" w:ascii="仿宋" w:hAnsi="仿宋" w:eastAsia="仿宋" w:cs="仿宋"/>
                <w:kern w:val="0"/>
                <w:sz w:val="24"/>
                <w:szCs w:val="24"/>
                <w:lang w:bidi="ar"/>
              </w:rPr>
              <w:t>其中管理体系认证证书需额外</w:t>
            </w:r>
            <w:r>
              <w:rPr>
                <w:rFonts w:hint="eastAsia" w:ascii="仿宋" w:hAnsi="仿宋" w:eastAsia="仿宋" w:cs="仿宋"/>
                <w:color w:val="000000"/>
                <w:kern w:val="0"/>
                <w:sz w:val="24"/>
                <w:szCs w:val="24"/>
                <w:lang w:bidi="ar"/>
              </w:rPr>
              <w:t>提供国家市场监督管理总局全国认证认可信息公共服务平台（www.cnca.gov.cn）查询截图并加盖公章，否则不得分</w:t>
            </w:r>
            <w:r>
              <w:rPr>
                <w:rFonts w:hint="eastAsia" w:ascii="仿宋" w:hAnsi="仿宋" w:eastAsia="仿宋" w:cs="仿宋"/>
                <w:spacing w:val="-6"/>
                <w:sz w:val="24"/>
                <w:szCs w:val="24"/>
              </w:rPr>
              <w:t>。</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2</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3</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bCs/>
                <w:color w:val="000000" w:themeColor="text1"/>
                <w:kern w:val="0"/>
                <w:sz w:val="24"/>
                <w:szCs w:val="24"/>
                <w14:textFill>
                  <w14:solidFill>
                    <w14:schemeClr w14:val="tx1"/>
                  </w14:solidFill>
                </w14:textFill>
              </w:rPr>
              <w:t>商务</w:t>
            </w:r>
          </w:p>
        </w:tc>
        <w:tc>
          <w:tcPr>
            <w:tcW w:w="3507" w:type="pct"/>
            <w:vAlign w:val="center"/>
          </w:tcPr>
          <w:p>
            <w:pPr>
              <w:adjustRightInd w:val="0"/>
              <w:snapToGrid w:val="0"/>
              <w:spacing w:before="72" w:beforeLines="30" w:after="72" w:afterLines="30"/>
              <w:rPr>
                <w:rStyle w:val="815"/>
                <w:rFonts w:hint="eastAsia" w:ascii="仿宋" w:hAnsi="仿宋" w:eastAsia="仿宋" w:cs="仿宋"/>
                <w:sz w:val="24"/>
                <w:szCs w:val="24"/>
                <w:lang w:bidi="ar"/>
              </w:rPr>
            </w:pPr>
            <w:r>
              <w:rPr>
                <w:rFonts w:hint="eastAsia" w:ascii="仿宋" w:hAnsi="仿宋" w:eastAsia="仿宋" w:cs="仿宋"/>
                <w:spacing w:val="-6"/>
                <w:sz w:val="24"/>
                <w:szCs w:val="24"/>
              </w:rPr>
              <w:t>提供2021年1月1日以后</w:t>
            </w:r>
            <w:r>
              <w:rPr>
                <w:rStyle w:val="815"/>
                <w:rFonts w:hint="eastAsia" w:ascii="仿宋" w:hAnsi="仿宋" w:eastAsia="仿宋" w:cs="仿宋"/>
                <w:sz w:val="24"/>
                <w:szCs w:val="24"/>
                <w:lang w:bidi="ar"/>
              </w:rPr>
              <w:t>参与捐赠、捐款、扶贫扶弱等慈善活动，文化、教育、医疗卫生等公益事业的案例，提供一项得1分，满分2分。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证明材料：可查证的</w:t>
            </w:r>
            <w:r>
              <w:rPr>
                <w:rFonts w:hint="eastAsia" w:ascii="仿宋" w:hAnsi="仿宋" w:eastAsia="仿宋" w:cs="仿宋"/>
                <w:color w:val="000000"/>
                <w:kern w:val="0"/>
                <w:sz w:val="24"/>
                <w:szCs w:val="24"/>
              </w:rPr>
              <w:t>记录或证明材料，包括但不限于公众报道、相关部门表彰或通报表扬的证书、公告或文件等。</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2</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4</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highlight w:val="none"/>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3507" w:type="pct"/>
            <w:vAlign w:val="center"/>
          </w:tcPr>
          <w:p>
            <w:pPr>
              <w:spacing w:before="72" w:beforeLines="30" w:after="72" w:afterLines="30"/>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代理业务收入占企业营业收入40%及以上的得4分，30%（含）至40%得</w:t>
            </w:r>
            <w:r>
              <w:rPr>
                <w:rFonts w:ascii="仿宋" w:hAnsi="仿宋" w:eastAsia="仿宋" w:cs="仿宋"/>
                <w:bCs/>
                <w:color w:val="000000" w:themeColor="text1"/>
                <w:kern w:val="0"/>
                <w:sz w:val="24"/>
                <w:szCs w:val="24"/>
                <w14:textFill>
                  <w14:solidFill>
                    <w14:schemeClr w14:val="tx1"/>
                  </w14:solidFill>
                </w14:textFill>
              </w:rPr>
              <w:t>3</w:t>
            </w:r>
            <w:r>
              <w:rPr>
                <w:rFonts w:hint="eastAsia" w:ascii="仿宋" w:hAnsi="仿宋" w:eastAsia="仿宋" w:cs="仿宋"/>
                <w:bCs/>
                <w:color w:val="000000" w:themeColor="text1"/>
                <w:kern w:val="0"/>
                <w:sz w:val="24"/>
                <w:szCs w:val="24"/>
                <w14:textFill>
                  <w14:solidFill>
                    <w14:schemeClr w14:val="tx1"/>
                  </w14:solidFill>
                </w14:textFill>
              </w:rPr>
              <w:t>分，20%（含）至30%得</w:t>
            </w:r>
            <w:r>
              <w:rPr>
                <w:rFonts w:ascii="仿宋" w:hAnsi="仿宋" w:eastAsia="仿宋" w:cs="仿宋"/>
                <w:bCs/>
                <w:color w:val="000000" w:themeColor="text1"/>
                <w:kern w:val="0"/>
                <w:sz w:val="24"/>
                <w:szCs w:val="24"/>
                <w14:textFill>
                  <w14:solidFill>
                    <w14:schemeClr w14:val="tx1"/>
                  </w14:solidFill>
                </w14:textFill>
              </w:rPr>
              <w:t>2</w:t>
            </w:r>
            <w:r>
              <w:rPr>
                <w:rFonts w:hint="eastAsia" w:ascii="仿宋" w:hAnsi="仿宋" w:eastAsia="仿宋" w:cs="仿宋"/>
                <w:bCs/>
                <w:color w:val="000000" w:themeColor="text1"/>
                <w:kern w:val="0"/>
                <w:sz w:val="24"/>
                <w:szCs w:val="24"/>
                <w14:textFill>
                  <w14:solidFill>
                    <w14:schemeClr w14:val="tx1"/>
                  </w14:solidFill>
                </w14:textFill>
              </w:rPr>
              <w:t>分，10%（含）到20%得1分，10%以下的不得分。满分</w:t>
            </w:r>
            <w:r>
              <w:rPr>
                <w:rFonts w:ascii="仿宋" w:hAnsi="仿宋" w:eastAsia="仿宋" w:cs="仿宋"/>
                <w:bCs/>
                <w:color w:val="000000" w:themeColor="text1"/>
                <w:kern w:val="0"/>
                <w:sz w:val="24"/>
                <w:szCs w:val="24"/>
                <w14:textFill>
                  <w14:solidFill>
                    <w14:schemeClr w14:val="tx1"/>
                  </w14:solidFill>
                </w14:textFill>
              </w:rPr>
              <w:t>4</w:t>
            </w:r>
            <w:r>
              <w:rPr>
                <w:rFonts w:hint="eastAsia" w:ascii="仿宋" w:hAnsi="仿宋" w:eastAsia="仿宋" w:cs="仿宋"/>
                <w:bCs/>
                <w:color w:val="000000" w:themeColor="text1"/>
                <w:kern w:val="0"/>
                <w:sz w:val="24"/>
                <w:szCs w:val="24"/>
                <w14:textFill>
                  <w14:solidFill>
                    <w14:schemeClr w14:val="tx1"/>
                  </w14:solidFill>
                </w14:textFill>
              </w:rPr>
              <w:t>分。</w:t>
            </w:r>
          </w:p>
          <w:p>
            <w:pPr>
              <w:adjustRightInd w:val="0"/>
              <w:snapToGrid w:val="0"/>
              <w:spacing w:before="72" w:beforeLines="30" w:after="72" w:afterLines="30"/>
              <w:rPr>
                <w:rFonts w:hint="eastAsia" w:ascii="仿宋" w:hAnsi="仿宋" w:eastAsia="仿宋" w:cs="仿宋"/>
                <w:spacing w:val="-6"/>
                <w:sz w:val="24"/>
                <w:szCs w:val="24"/>
                <w:highlight w:val="none"/>
              </w:rPr>
            </w:pPr>
            <w:r>
              <w:rPr>
                <w:rFonts w:hint="eastAsia" w:ascii="仿宋" w:hAnsi="仿宋" w:eastAsia="仿宋" w:cs="仿宋"/>
                <w:bCs/>
                <w:color w:val="000000" w:themeColor="text1"/>
                <w:kern w:val="0"/>
                <w:sz w:val="24"/>
                <w:szCs w:val="24"/>
                <w14:textFill>
                  <w14:solidFill>
                    <w14:schemeClr w14:val="tx1"/>
                  </w14:solidFill>
                </w14:textFill>
              </w:rPr>
              <w:t>证明材料：经审计的财务报告复制件，并加盖公章。</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4</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5</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提供2021年1月1日以后，2个真实的异议或质疑答复案例（包含1个依法必须招标的工程类项目的异议或质疑案例，和1个依法必须招标的服务类项目的异议或质疑处理案例），案例内容包括异议或质疑事项，代理机构答复情况、答复依据、答复技巧，是否引发投诉、监管部门处理结果等，根据答复质量综合评分，</w:t>
            </w:r>
            <w:r>
              <w:rPr>
                <w:rFonts w:hint="eastAsia" w:ascii="仿宋" w:hAnsi="仿宋" w:eastAsia="仿宋" w:cs="仿宋"/>
                <w:bCs/>
                <w:color w:val="000000" w:themeColor="text1"/>
                <w:kern w:val="0"/>
                <w:sz w:val="24"/>
                <w:szCs w:val="24"/>
                <w14:textFill>
                  <w14:solidFill>
                    <w14:schemeClr w14:val="tx1"/>
                  </w14:solidFill>
                </w14:textFill>
              </w:rPr>
              <w:t>单个案例最高得5分，</w:t>
            </w:r>
            <w:r>
              <w:rPr>
                <w:rFonts w:hint="eastAsia" w:ascii="仿宋" w:hAnsi="仿宋" w:eastAsia="仿宋" w:cs="仿宋"/>
                <w:spacing w:val="-6"/>
                <w:sz w:val="24"/>
                <w:szCs w:val="24"/>
              </w:rPr>
              <w:t>满分10分。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注：如果近两年以来确实从未发生过异议和质疑的，得满分，需提交声明；</w:t>
            </w:r>
            <w:r>
              <w:rPr>
                <w:rFonts w:hint="eastAsia" w:ascii="仿宋" w:hAnsi="仿宋" w:eastAsia="仿宋" w:cs="仿宋"/>
                <w:bCs w:val="0"/>
                <w:spacing w:val="-6"/>
                <w:kern w:val="2"/>
                <w:sz w:val="24"/>
                <w:szCs w:val="24"/>
              </w:rPr>
              <w:t>入围后</w:t>
            </w:r>
            <w:r>
              <w:rPr>
                <w:rFonts w:hint="eastAsia" w:ascii="仿宋" w:hAnsi="仿宋" w:eastAsia="仿宋" w:cs="仿宋"/>
                <w:bCs w:val="0"/>
                <w:spacing w:val="-6"/>
                <w:kern w:val="2"/>
                <w:sz w:val="24"/>
                <w:szCs w:val="24"/>
                <w:lang w:val="en-US" w:eastAsia="zh-CN"/>
              </w:rPr>
              <w:t>核查</w:t>
            </w:r>
            <w:r>
              <w:rPr>
                <w:rFonts w:hint="eastAsia" w:ascii="仿宋" w:hAnsi="仿宋" w:eastAsia="仿宋" w:cs="仿宋"/>
                <w:bCs w:val="0"/>
                <w:spacing w:val="-6"/>
                <w:kern w:val="2"/>
                <w:sz w:val="24"/>
                <w:szCs w:val="24"/>
              </w:rPr>
              <w:t>发现</w:t>
            </w:r>
            <w:r>
              <w:rPr>
                <w:rFonts w:hint="eastAsia" w:ascii="仿宋" w:hAnsi="仿宋" w:eastAsia="仿宋" w:cs="仿宋"/>
                <w:bCs w:val="0"/>
                <w:spacing w:val="-6"/>
                <w:kern w:val="2"/>
                <w:sz w:val="24"/>
                <w:szCs w:val="24"/>
                <w:lang w:val="en-US" w:eastAsia="zh-CN"/>
              </w:rPr>
              <w:t>供应商</w:t>
            </w:r>
            <w:r>
              <w:rPr>
                <w:rFonts w:hint="eastAsia" w:ascii="仿宋" w:hAnsi="仿宋" w:eastAsia="仿宋" w:cs="仿宋"/>
                <w:bCs w:val="0"/>
                <w:spacing w:val="-6"/>
                <w:kern w:val="2"/>
                <w:sz w:val="24"/>
                <w:szCs w:val="24"/>
              </w:rPr>
              <w:t>发生过异议或质疑而声明没有案例弄虚作假的，取消入围资格</w:t>
            </w:r>
            <w:r>
              <w:rPr>
                <w:rFonts w:hint="eastAsia" w:ascii="仿宋" w:hAnsi="仿宋" w:eastAsia="仿宋" w:cs="仿宋"/>
                <w:bCs w:val="0"/>
                <w:spacing w:val="-6"/>
                <w:kern w:val="2"/>
                <w:sz w:val="24"/>
                <w:szCs w:val="24"/>
                <w:lang w:eastAsia="zh-CN"/>
              </w:rPr>
              <w:t>。</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10</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6</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1.提供2023年</w:t>
            </w:r>
            <w:r>
              <w:rPr>
                <w:rFonts w:hint="eastAsia" w:ascii="仿宋" w:hAnsi="仿宋" w:eastAsia="仿宋" w:cs="仿宋"/>
                <w:spacing w:val="-6"/>
                <w:sz w:val="24"/>
                <w:szCs w:val="24"/>
                <w:lang w:val="en-US" w:eastAsia="zh-CN"/>
              </w:rPr>
              <w:t>1月1日以来</w:t>
            </w:r>
            <w:r>
              <w:rPr>
                <w:rFonts w:hint="eastAsia" w:ascii="仿宋" w:hAnsi="仿宋" w:eastAsia="仿宋" w:cs="仿宋"/>
                <w:spacing w:val="-6"/>
                <w:sz w:val="24"/>
                <w:szCs w:val="24"/>
              </w:rPr>
              <w:t>采用“评定分离”的依法必须招标项目的招标代理案例，每提供1个预算规模在1亿元（含）以上的案例得2分，每提供1个预算规模在5000万元（含）以上的案例得1分，每提供1个预算规模在5000万元以下的案例得1分，同一业主的按1个计，最高不超过7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2.提供2023年</w:t>
            </w:r>
            <w:r>
              <w:rPr>
                <w:rFonts w:hint="eastAsia" w:ascii="仿宋" w:hAnsi="仿宋" w:eastAsia="仿宋" w:cs="仿宋"/>
                <w:spacing w:val="-6"/>
                <w:sz w:val="24"/>
                <w:szCs w:val="24"/>
                <w:lang w:val="en-US" w:eastAsia="zh-CN"/>
              </w:rPr>
              <w:t>1月1日以来</w:t>
            </w:r>
            <w:r>
              <w:rPr>
                <w:rFonts w:hint="eastAsia" w:ascii="仿宋" w:hAnsi="仿宋" w:eastAsia="仿宋" w:cs="仿宋"/>
                <w:spacing w:val="-6"/>
                <w:sz w:val="24"/>
                <w:szCs w:val="24"/>
              </w:rPr>
              <w:t>不采用“评定分离”的依法必须招标项目的招标代理案例，每提供1个预算规模在1亿元（含）以上的案例得2分，每提供1个预算规模在5000万元（含）以上的案例得1分，每提供1个预算规模在5000万元以下的案例得1分，同一业主的按1个计，最高不超过7分；</w:t>
            </w:r>
          </w:p>
          <w:p>
            <w:pPr>
              <w:adjustRightInd w:val="0"/>
              <w:snapToGrid w:val="0"/>
              <w:spacing w:before="72" w:beforeLines="30" w:after="72" w:afterLines="30"/>
              <w:rPr>
                <w:rFonts w:hint="eastAsia" w:ascii="仿宋" w:hAnsi="仿宋" w:eastAsia="仿宋" w:cs="仿宋"/>
                <w:b/>
                <w:bCs/>
                <w:spacing w:val="-6"/>
                <w:sz w:val="24"/>
                <w:szCs w:val="24"/>
              </w:rPr>
            </w:pPr>
            <w:r>
              <w:rPr>
                <w:rFonts w:hint="eastAsia" w:ascii="仿宋" w:hAnsi="仿宋" w:eastAsia="仿宋" w:cs="仿宋"/>
                <w:b/>
                <w:bCs/>
                <w:spacing w:val="-6"/>
                <w:sz w:val="24"/>
                <w:szCs w:val="24"/>
              </w:rPr>
              <w:t>证明材料：提供服务案例汇总表，每个项目案例提供采购（招标）公告及结果公告清晰截图及发布网址，否则不得分。</w:t>
            </w:r>
          </w:p>
          <w:p>
            <w:pPr>
              <w:adjustRightInd w:val="0"/>
              <w:snapToGrid w:val="0"/>
              <w:spacing w:before="72" w:beforeLines="30" w:after="72" w:afterLines="30"/>
              <w:rPr>
                <w:rFonts w:hint="eastAsia" w:ascii="仿宋" w:hAnsi="仿宋" w:eastAsia="仿宋" w:cs="仿宋"/>
                <w:b/>
                <w:bCs/>
                <w:spacing w:val="-6"/>
                <w:sz w:val="24"/>
                <w:szCs w:val="24"/>
              </w:rPr>
            </w:pPr>
            <w:r>
              <w:rPr>
                <w:rFonts w:hint="eastAsia" w:ascii="仿宋" w:hAnsi="仿宋" w:eastAsia="仿宋" w:cs="仿宋"/>
                <w:b/>
                <w:bCs/>
                <w:spacing w:val="-6"/>
                <w:sz w:val="24"/>
                <w:szCs w:val="24"/>
              </w:rPr>
              <w:t>采购人联系人和联系方式必须真实有效，</w:t>
            </w:r>
            <w:r>
              <w:rPr>
                <w:rFonts w:hint="eastAsia" w:ascii="仿宋" w:hAnsi="仿宋" w:eastAsia="仿宋" w:cs="仿宋"/>
                <w:b/>
                <w:bCs w:val="0"/>
                <w:color w:val="000000" w:themeColor="text1"/>
                <w:kern w:val="0"/>
                <w:sz w:val="24"/>
                <w:szCs w:val="24"/>
                <w14:textFill>
                  <w14:solidFill>
                    <w14:schemeClr w14:val="tx1"/>
                  </w14:solidFill>
                </w14:textFill>
              </w:rPr>
              <w:t>入围后核查，如发现提供虚假材料的，取消入围资格</w:t>
            </w:r>
            <w:r>
              <w:rPr>
                <w:rFonts w:hint="eastAsia" w:ascii="仿宋" w:hAnsi="仿宋" w:eastAsia="仿宋" w:cs="仿宋"/>
                <w:b/>
                <w:bCs w:val="0"/>
                <w:color w:val="000000" w:themeColor="text1"/>
                <w:kern w:val="0"/>
                <w:sz w:val="24"/>
                <w:szCs w:val="24"/>
                <w:lang w:eastAsia="zh-CN"/>
                <w14:textFill>
                  <w14:solidFill>
                    <w14:schemeClr w14:val="tx1"/>
                  </w14:solidFill>
                </w14:textFill>
              </w:rPr>
              <w:t>。</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14</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7</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提供针对任意一种依法必须招标项目的市场调查分析报告，确保报告的真实性，内容全面、客观，数据详实，逻辑清晰，结论有说服力，根据报告质量综合评分。优秀5分，良好3分，及格1分，不合格0分。满分5分。</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5</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8</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具备提供代理采购服务的场地和录音录像设备。满分5分。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1.场地情况，满分4分：开标、评标区域实现物理隔离的得1分；有1个评标室和1个开标室的，得1分；每增加1组（1个评标室+1个开标室）加1分，最多加2分。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证明材料：提供场地产权证明或租赁协议、现场照片等，需加盖公章。</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2.具有可携带至任一开评标现场搭设录音录像监控环境的设备，满分1分。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证明材料：提供设备清单和购置发票等，需加盖公章。</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5</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9</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投标人团队整体情况：提供的团队名单应该为投标人员工，具有招标师或造价师执业证书或相关专业（经济、法律、技术）中级及以上职称的员工。以所有有效投标单位符合以上条件的人数进行排名，第1名10分，依次递减，每相差1名减少1分，第10名及以后均得1分，</w:t>
            </w:r>
            <w:r>
              <w:rPr>
                <w:rFonts w:hint="eastAsia" w:ascii="仿宋" w:hAnsi="仿宋" w:eastAsia="仿宋" w:cs="仿宋"/>
                <w:bCs/>
                <w:color w:val="000000" w:themeColor="text1"/>
                <w:kern w:val="0"/>
                <w:sz w:val="24"/>
                <w:szCs w:val="24"/>
                <w:lang w:val="en-US" w:eastAsia="zh-CN"/>
                <w14:textFill>
                  <w14:solidFill>
                    <w14:schemeClr w14:val="tx1"/>
                  </w14:solidFill>
                </w14:textFill>
              </w:rPr>
              <w:t>如排名出现并列，后续不跳过排名，</w:t>
            </w:r>
            <w:r>
              <w:rPr>
                <w:rFonts w:hint="eastAsia" w:ascii="仿宋" w:hAnsi="仿宋" w:eastAsia="仿宋" w:cs="仿宋"/>
                <w:spacing w:val="-6"/>
                <w:sz w:val="24"/>
                <w:szCs w:val="24"/>
              </w:rPr>
              <w:t>无符合以上条件人员的或</w:t>
            </w:r>
            <w:r>
              <w:rPr>
                <w:rFonts w:hint="eastAsia" w:ascii="仿宋" w:hAnsi="仿宋" w:eastAsia="仿宋" w:cs="仿宋"/>
                <w:bCs/>
                <w:color w:val="000000" w:themeColor="text1"/>
                <w:kern w:val="0"/>
                <w:sz w:val="24"/>
                <w:szCs w:val="24"/>
                <w:lang w:val="en-US" w:eastAsia="zh-CN"/>
                <w14:textFill>
                  <w14:solidFill>
                    <w14:schemeClr w14:val="tx1"/>
                  </w14:solidFill>
                </w14:textFill>
              </w:rPr>
              <w:t>提供不全、</w:t>
            </w:r>
            <w:r>
              <w:rPr>
                <w:rFonts w:hint="eastAsia" w:ascii="仿宋" w:hAnsi="仿宋" w:eastAsia="仿宋" w:cs="仿宋"/>
                <w:spacing w:val="-6"/>
                <w:sz w:val="24"/>
                <w:szCs w:val="24"/>
              </w:rPr>
              <w:t>未提供证明材料的不得分，满分10分。</w:t>
            </w:r>
          </w:p>
          <w:p>
            <w:pPr>
              <w:adjustRightInd w:val="0"/>
              <w:snapToGrid w:val="0"/>
              <w:spacing w:before="72" w:beforeLines="30" w:after="72" w:afterLines="30"/>
              <w:rPr>
                <w:rFonts w:hint="eastAsia" w:ascii="仿宋" w:hAnsi="仿宋" w:eastAsia="仿宋" w:cs="仿宋"/>
                <w:spacing w:val="-6"/>
                <w:sz w:val="24"/>
                <w:szCs w:val="24"/>
                <w:highlight w:val="yellow"/>
              </w:rPr>
            </w:pPr>
            <w:r>
              <w:rPr>
                <w:rFonts w:hint="eastAsia" w:ascii="仿宋" w:hAnsi="仿宋" w:eastAsia="仿宋" w:cs="仿宋"/>
                <w:spacing w:val="-6"/>
                <w:sz w:val="24"/>
                <w:szCs w:val="24"/>
              </w:rPr>
              <w:t>证明材料：相应证书复印件，投标人为其在投标截止月上溯3个月中任意连续2个月的社保缴纳证明（加盖投标人所属社保机构印章）复制件。</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10</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10</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1.拟派项目经理情况：提供至少2名为招标人服务的项目经理备选名单，每提供1名具有招标师或造价工程师等执业证书或中级及以上职称，且从事采购代理服务5年及以上的，得2分；每提供1名具有招标师或造价工程师等执业证书或中级及以上职称，从事代理采购服务3年及以上的，得1分。最多得4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2.拟派项目经理业绩：每提供1个作为项目经理负责过预算规模在1亿元以上（含）的依法必须招标项目代理业绩的，得2分；每提供1个作为项目经理负责过预算规模在5000万元以上（含）、1亿元以下的依法必须招标项目代理业绩的，得1分；每提供1个作为项目经理负责过预算规模在5000万元以下的依法必须招标项目代理业绩的，得0.5分。最多得7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证明材料：1.个人简历经验介绍，相应证书复印件，投标人为其在投标截止月上溯3个月中任意连续2个月的社保缴纳证明（加盖投标人所属社保机构印章）复制件</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lang w:val="en-US" w:eastAsia="zh-CN"/>
                <w14:textFill>
                  <w14:solidFill>
                    <w14:schemeClr w14:val="tx1"/>
                  </w14:solidFill>
                </w14:textFill>
              </w:rPr>
              <w:t>提供不全、</w:t>
            </w:r>
            <w:r>
              <w:rPr>
                <w:rFonts w:hint="eastAsia" w:ascii="仿宋" w:hAnsi="仿宋" w:eastAsia="仿宋" w:cs="仿宋"/>
                <w:bCs/>
                <w:color w:val="000000" w:themeColor="text1"/>
                <w:kern w:val="0"/>
                <w:sz w:val="24"/>
                <w:szCs w:val="24"/>
                <w14:textFill>
                  <w14:solidFill>
                    <w14:schemeClr w14:val="tx1"/>
                  </w14:solidFill>
                </w14:textFill>
              </w:rPr>
              <w:t>未提供证明材料的不得分</w:t>
            </w:r>
            <w:r>
              <w:rPr>
                <w:rFonts w:hint="eastAsia" w:ascii="仿宋" w:hAnsi="仿宋" w:eastAsia="仿宋" w:cs="仿宋"/>
                <w:spacing w:val="-6"/>
                <w:sz w:val="24"/>
                <w:szCs w:val="24"/>
              </w:rPr>
              <w:t>。</w:t>
            </w:r>
          </w:p>
          <w:p>
            <w:pPr>
              <w:adjustRightInd w:val="0"/>
              <w:snapToGrid w:val="0"/>
              <w:spacing w:before="72" w:beforeLines="30" w:after="72" w:afterLines="30"/>
              <w:rPr>
                <w:rFonts w:hint="eastAsia" w:ascii="仿宋" w:hAnsi="仿宋" w:eastAsia="仿宋" w:cs="仿宋"/>
                <w:spacing w:val="-6"/>
                <w:sz w:val="24"/>
                <w:szCs w:val="24"/>
                <w:highlight w:val="yellow"/>
              </w:rPr>
            </w:pPr>
            <w:r>
              <w:rPr>
                <w:rFonts w:hint="eastAsia" w:ascii="仿宋" w:hAnsi="仿宋" w:eastAsia="仿宋" w:cs="仿宋"/>
                <w:spacing w:val="-6"/>
                <w:sz w:val="24"/>
                <w:szCs w:val="24"/>
              </w:rPr>
              <w:t>2.依法必须招标项目委托代理合同或协议复制件，加盖业主公章的招标代理项目评价意见表复制件，公共资源交易平台公示的招标公告、招标项目核准详情页截图（并附发布网址）等能够体现项目规模及项目经理信息的材料，并加盖投标人公章。</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11</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11</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拟派驻点人员情况：提供至少2名为招标人服务的项目驻点人员备选名单，从事采购代理服务3年及以上的，每提供1名得3分；从事代理采购服务2年及以上的，每提供1名得2分。从事代理采购服务1年及以上的，每提供1名得1分。满分5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证明材料：个人简历经验介绍，投标人为其在投标截止月上溯3个月中任意连续2个月的社保缴纳证明（加盖投标人所属社保机构印章）复制件</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lang w:val="en-US" w:eastAsia="zh-CN"/>
                <w14:textFill>
                  <w14:solidFill>
                    <w14:schemeClr w14:val="tx1"/>
                  </w14:solidFill>
                </w14:textFill>
              </w:rPr>
              <w:t>提供不全、</w:t>
            </w:r>
            <w:r>
              <w:rPr>
                <w:rFonts w:hint="eastAsia" w:ascii="仿宋" w:hAnsi="仿宋" w:eastAsia="仿宋" w:cs="仿宋"/>
                <w:bCs/>
                <w:color w:val="000000" w:themeColor="text1"/>
                <w:kern w:val="0"/>
                <w:sz w:val="24"/>
                <w:szCs w:val="24"/>
                <w14:textFill>
                  <w14:solidFill>
                    <w14:schemeClr w14:val="tx1"/>
                  </w14:solidFill>
                </w14:textFill>
              </w:rPr>
              <w:t>未提供证明材料的不得分</w:t>
            </w:r>
            <w:r>
              <w:rPr>
                <w:rFonts w:hint="eastAsia" w:ascii="仿宋" w:hAnsi="仿宋" w:eastAsia="仿宋" w:cs="仿宋"/>
                <w:spacing w:val="-6"/>
                <w:sz w:val="24"/>
                <w:szCs w:val="24"/>
              </w:rPr>
              <w:t>。</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5</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12</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项目服务团队其他成员情况：提供至少4名为招标人服务的项目服务团队其他成员备选名单，从事采购代理服务2年及以上的，每提供1名得2分，从事代理采购服务1年及以上的，每提供1名得1分。满分7分。</w:t>
            </w:r>
          </w:p>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证明材料：个人简历经验介绍，投标人为其在投标截止月上溯3个月中任意连续2个月的社保缴纳证明（加盖投标人所属社保机构印章）复制件</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lang w:val="en-US" w:eastAsia="zh-CN"/>
                <w14:textFill>
                  <w14:solidFill>
                    <w14:schemeClr w14:val="tx1"/>
                  </w14:solidFill>
                </w14:textFill>
              </w:rPr>
              <w:t>提供不全、</w:t>
            </w:r>
            <w:r>
              <w:rPr>
                <w:rFonts w:hint="eastAsia" w:ascii="仿宋" w:hAnsi="仿宋" w:eastAsia="仿宋" w:cs="仿宋"/>
                <w:bCs/>
                <w:color w:val="000000" w:themeColor="text1"/>
                <w:kern w:val="0"/>
                <w:sz w:val="24"/>
                <w:szCs w:val="24"/>
                <w14:textFill>
                  <w14:solidFill>
                    <w14:schemeClr w14:val="tx1"/>
                  </w14:solidFill>
                </w14:textFill>
              </w:rPr>
              <w:t>未提供证明材料的不得分</w:t>
            </w:r>
            <w:r>
              <w:rPr>
                <w:rFonts w:hint="eastAsia" w:ascii="仿宋" w:hAnsi="仿宋" w:eastAsia="仿宋" w:cs="仿宋"/>
                <w:spacing w:val="-6"/>
                <w:sz w:val="24"/>
                <w:szCs w:val="24"/>
              </w:rPr>
              <w:t>。</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7</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13</w:t>
            </w:r>
          </w:p>
        </w:tc>
        <w:tc>
          <w:tcPr>
            <w:tcW w:w="399"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技术</w:t>
            </w:r>
          </w:p>
        </w:tc>
        <w:tc>
          <w:tcPr>
            <w:tcW w:w="3507" w:type="pct"/>
            <w:vAlign w:val="center"/>
          </w:tcPr>
          <w:p>
            <w:pPr>
              <w:adjustRightInd w:val="0"/>
              <w:snapToGrid w:val="0"/>
              <w:spacing w:before="72" w:beforeLines="30" w:after="72" w:afterLines="30"/>
              <w:rPr>
                <w:rFonts w:hint="eastAsia" w:ascii="仿宋" w:hAnsi="仿宋" w:eastAsia="仿宋" w:cs="仿宋"/>
                <w:spacing w:val="-6"/>
                <w:sz w:val="24"/>
                <w:szCs w:val="24"/>
              </w:rPr>
            </w:pPr>
            <w:r>
              <w:rPr>
                <w:rFonts w:hint="eastAsia" w:ascii="仿宋" w:hAnsi="仿宋" w:eastAsia="仿宋" w:cs="仿宋"/>
                <w:spacing w:val="-6"/>
                <w:sz w:val="24"/>
                <w:szCs w:val="24"/>
              </w:rPr>
              <w:t>提供公司完整的内控管理制度（包含招标工作规则、审核制度、合同管理办法、财务管理办法、档案管理办法等）和项目方案（包括代理招标完整流程的程序设计、人员安排、供应商的资质审核和管理办法、专家库的管理办法、团队沟通、质量保证措施等等），优秀3分，良好2分，合格1分，不合格0分。满分3分。</w:t>
            </w:r>
          </w:p>
        </w:tc>
        <w:tc>
          <w:tcPr>
            <w:tcW w:w="356"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3</w:t>
            </w:r>
          </w:p>
        </w:tc>
        <w:tc>
          <w:tcPr>
            <w:tcW w:w="407" w:type="pct"/>
            <w:vAlign w:val="center"/>
          </w:tcPr>
          <w:p>
            <w:pPr>
              <w:adjustRightInd w:val="0"/>
              <w:snapToGrid w:val="0"/>
              <w:spacing w:before="72" w:beforeLines="30" w:after="72" w:afterLines="30"/>
              <w:jc w:val="center"/>
              <w:rPr>
                <w:rFonts w:hint="eastAsia" w:ascii="仿宋" w:hAnsi="仿宋" w:eastAsia="仿宋" w:cs="仿宋"/>
                <w:spacing w:val="-6"/>
                <w:sz w:val="24"/>
                <w:szCs w:val="24"/>
              </w:rPr>
            </w:pPr>
            <w:r>
              <w:rPr>
                <w:rFonts w:hint="eastAsia" w:ascii="仿宋" w:hAnsi="仿宋" w:eastAsia="仿宋" w:cs="仿宋"/>
                <w:spacing w:val="-6"/>
                <w:sz w:val="24"/>
                <w:szCs w:val="24"/>
              </w:rPr>
              <w:t>主观</w:t>
            </w:r>
          </w:p>
        </w:tc>
      </w:tr>
    </w:tbl>
    <w:p>
      <w:pPr>
        <w:rPr>
          <w:rFonts w:ascii="仿宋" w:hAnsi="仿宋" w:eastAsia="仿宋" w:cs="仿宋"/>
          <w:bCs/>
          <w:color w:val="000000" w:themeColor="text1"/>
          <w:sz w:val="28"/>
          <w:szCs w:val="28"/>
          <w14:textFill>
            <w14:solidFill>
              <w14:schemeClr w14:val="tx1"/>
            </w14:solidFill>
          </w14:textFill>
        </w:rPr>
      </w:pPr>
    </w:p>
    <w:p>
      <w:pP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ind w:firstLine="0"/>
        <w:jc w:val="center"/>
        <w:textAlignment w:val="auto"/>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第四章</w:t>
      </w:r>
      <w:r>
        <w:rPr>
          <w:rFonts w:hint="eastAsia" w:hAnsi="宋体"/>
          <w:b/>
          <w:color w:val="000000" w:themeColor="text1"/>
          <w:sz w:val="36"/>
          <w:szCs w:val="36"/>
          <w:lang w:val="en-US" w:eastAsia="zh-CN"/>
          <w14:textFill>
            <w14:solidFill>
              <w14:schemeClr w14:val="tx1"/>
            </w14:solidFill>
          </w14:textFill>
        </w:rPr>
        <w:t xml:space="preserve"> </w:t>
      </w:r>
      <w:r>
        <w:rPr>
          <w:rFonts w:hint="eastAsia" w:hAnsi="宋体"/>
          <w:b/>
          <w:color w:val="000000" w:themeColor="text1"/>
          <w:sz w:val="36"/>
          <w:szCs w:val="36"/>
          <w14:textFill>
            <w14:solidFill>
              <w14:schemeClr w14:val="tx1"/>
            </w14:solidFill>
          </w14:textFill>
        </w:rPr>
        <w:t>招标需求</w:t>
      </w:r>
    </w:p>
    <w:p>
      <w:pPr>
        <w:snapToGrid w:val="0"/>
        <w:spacing w:before="120" w:beforeLines="50" w:after="120" w:afterLines="50"/>
        <w:ind w:firstLine="880"/>
        <w:rPr>
          <w:rFonts w:ascii="宋体" w:hAnsi="宋体" w:eastAsiaTheme="minorEastAsia"/>
          <w:b/>
          <w:color w:val="000000" w:themeColor="text1"/>
          <w:spacing w:val="40"/>
          <w:kern w:val="0"/>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72" w:after="72" w:line="500" w:lineRule="exact"/>
        <w:ind w:firstLine="0" w:firstLineChars="0"/>
        <w:textAlignment w:val="auto"/>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特别说明：</w:t>
      </w:r>
    </w:p>
    <w:p>
      <w:pPr>
        <w:spacing w:before="72" w:after="72" w:line="50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1.需求中不允许偏离的实质性要求和条件，以“▲”号标明，如投标人未响应的，将被视为无效。</w:t>
      </w:r>
    </w:p>
    <w:p>
      <w:pPr>
        <w:spacing w:before="120" w:beforeLines="50" w:after="120" w:afterLines="50"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2.供应商承诺提供赠品、回扣、采购预算中本身不包含的其他商品或服务，视作无效承诺。</w:t>
      </w:r>
    </w:p>
    <w:p>
      <w:pPr>
        <w:pStyle w:val="31"/>
        <w:spacing w:before="120" w:after="120" w:line="240" w:lineRule="auto"/>
        <w:ind w:firstLine="720"/>
        <w:contextualSpacing/>
        <w:jc w:val="center"/>
        <w:rPr>
          <w:rFonts w:hAnsi="宋体"/>
          <w:b/>
          <w:color w:val="000000" w:themeColor="text1"/>
          <w:sz w:val="36"/>
          <w:szCs w:val="36"/>
          <w14:textFill>
            <w14:solidFill>
              <w14:schemeClr w14:val="tx1"/>
            </w14:solidFill>
          </w14:textFill>
        </w:rPr>
      </w:pPr>
    </w:p>
    <w:p>
      <w:pPr>
        <w:pStyle w:val="31"/>
        <w:spacing w:before="120" w:after="120" w:line="240" w:lineRule="auto"/>
        <w:ind w:firstLine="720"/>
        <w:contextualSpacing/>
        <w:jc w:val="center"/>
        <w:rPr>
          <w:rFonts w:hAnsi="宋体"/>
          <w:b/>
          <w:color w:val="000000" w:themeColor="text1"/>
          <w:sz w:val="36"/>
          <w:szCs w:val="36"/>
          <w14:textFill>
            <w14:solidFill>
              <w14:schemeClr w14:val="tx1"/>
            </w14:solidFill>
          </w14:textFill>
        </w:rPr>
      </w:pPr>
    </w:p>
    <w:p>
      <w:pPr>
        <w:pStyle w:val="31"/>
        <w:spacing w:before="120" w:after="120" w:line="240" w:lineRule="auto"/>
        <w:ind w:firstLine="720"/>
        <w:contextualSpacing/>
        <w:jc w:val="center"/>
        <w:rPr>
          <w:rFonts w:hAnsi="宋体"/>
          <w:b/>
          <w:color w:val="000000" w:themeColor="text1"/>
          <w:sz w:val="36"/>
          <w:szCs w:val="36"/>
          <w14:textFill>
            <w14:solidFill>
              <w14:schemeClr w14:val="tx1"/>
            </w14:solidFill>
          </w14:textFill>
        </w:rPr>
      </w:pPr>
    </w:p>
    <w:p>
      <w:pPr>
        <w:pStyle w:val="31"/>
        <w:keepNext w:val="0"/>
        <w:keepLines w:val="0"/>
        <w:pageBreakBefore w:val="0"/>
        <w:widowControl w:val="0"/>
        <w:kinsoku/>
        <w:wordWrap/>
        <w:overflowPunct/>
        <w:topLinePunct w:val="0"/>
        <w:autoSpaceDE/>
        <w:autoSpaceDN/>
        <w:bidi w:val="0"/>
        <w:adjustRightInd/>
        <w:snapToGrid/>
        <w:spacing w:before="240" w:beforeLines="100" w:after="240" w:afterLines="100" w:line="240" w:lineRule="auto"/>
        <w:ind w:firstLine="0"/>
        <w:contextualSpacing/>
        <w:jc w:val="center"/>
        <w:textAlignment w:val="auto"/>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浙商银行股份有限公司采购代理服务机构入围采购项目招标需求</w:t>
      </w:r>
    </w:p>
    <w:p>
      <w:pPr>
        <w:pStyle w:val="31"/>
        <w:spacing w:before="120" w:after="120" w:line="240" w:lineRule="auto"/>
        <w:ind w:firstLine="560"/>
        <w:contextualSpacing/>
        <w:rPr>
          <w:rFonts w:ascii="Times New Roman" w:hAnsi="黑体"/>
          <w:b/>
          <w:bCs/>
          <w:color w:val="000000" w:themeColor="text1"/>
          <w:sz w:val="28"/>
          <w:szCs w:val="28"/>
          <w14:textFill>
            <w14:solidFill>
              <w14:schemeClr w14:val="tx1"/>
            </w14:solidFill>
          </w14:textFill>
        </w:rPr>
      </w:pPr>
    </w:p>
    <w:bookmarkEnd w:id="10"/>
    <w:p>
      <w:pPr>
        <w:keepNext w:val="0"/>
        <w:keepLines w:val="0"/>
        <w:pageBreakBefore w:val="0"/>
        <w:widowControl w:val="0"/>
        <w:kinsoku/>
        <w:wordWrap/>
        <w:overflowPunct/>
        <w:topLinePunct w:val="0"/>
        <w:autoSpaceDE/>
        <w:autoSpaceDN/>
        <w:bidi w:val="0"/>
        <w:adjustRightInd/>
        <w:snapToGrid/>
        <w:spacing w:before="240" w:beforeLines="100" w:after="240" w:afterLines="100"/>
        <w:ind w:firstLine="0"/>
        <w:textAlignment w:val="auto"/>
        <w:outlineLvl w:val="1"/>
        <w:rPr>
          <w:rFonts w:ascii="仿宋" w:hAnsi="仿宋" w:eastAsia="仿宋" w:cs="仿宋"/>
          <w:b/>
          <w:sz w:val="30"/>
          <w:szCs w:val="30"/>
        </w:rPr>
      </w:pPr>
      <w:r>
        <w:rPr>
          <w:rFonts w:hint="eastAsia" w:ascii="仿宋" w:hAnsi="仿宋" w:eastAsia="仿宋" w:cs="仿宋"/>
          <w:b/>
          <w:sz w:val="30"/>
          <w:szCs w:val="30"/>
        </w:rPr>
        <w:t>一、采购需求</w:t>
      </w:r>
    </w:p>
    <w:p>
      <w:pPr>
        <w:spacing w:before="120" w:beforeLines="50" w:after="120" w:afterLines="50" w:line="460" w:lineRule="exact"/>
        <w:ind w:firstLine="562" w:firstLineChars="200"/>
        <w:outlineLvl w:val="2"/>
        <w:rPr>
          <w:rFonts w:ascii="仿宋" w:hAnsi="仿宋" w:eastAsia="仿宋" w:cs="仿宋"/>
          <w:b/>
          <w:sz w:val="28"/>
          <w:szCs w:val="28"/>
        </w:rPr>
      </w:pPr>
      <w:r>
        <w:rPr>
          <w:rFonts w:hint="eastAsia" w:ascii="仿宋" w:hAnsi="仿宋" w:eastAsia="仿宋" w:cs="仿宋"/>
          <w:b/>
          <w:sz w:val="28"/>
          <w:szCs w:val="28"/>
        </w:rPr>
        <w:t>1.目标：</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为招标人提供采购代理服务，即受</w:t>
      </w:r>
      <w:r>
        <w:rPr>
          <w:rFonts w:hint="eastAsia" w:ascii="仿宋" w:hAnsi="仿宋" w:eastAsia="仿宋" w:cs="仿宋"/>
          <w:color w:val="000000"/>
          <w:kern w:val="0"/>
          <w:sz w:val="28"/>
          <w:szCs w:val="28"/>
        </w:rPr>
        <w:t>招标</w:t>
      </w:r>
      <w:r>
        <w:rPr>
          <w:rFonts w:hint="eastAsia" w:ascii="仿宋" w:hAnsi="仿宋" w:eastAsia="仿宋" w:cs="仿宋"/>
          <w:bCs/>
          <w:sz w:val="28"/>
          <w:szCs w:val="28"/>
        </w:rPr>
        <w:t>人委托，组织工程类、货物和服务类采购活动，并协助招标人协调和处理采购相关事宜。具体业务活动包括但不限于：拟定采购文件，发布各类采购公告、公示或邀请，审查投标人资质，组织开标、评标（评审）、定标（成交），处理投诉质疑，组织专家论证，开展市场调查，以及招标人提出的其他与采购活动有关的服务性工作。</w:t>
      </w:r>
    </w:p>
    <w:p>
      <w:pPr>
        <w:spacing w:before="120" w:beforeLines="50" w:after="120" w:afterLines="50" w:line="460" w:lineRule="exact"/>
        <w:ind w:firstLine="562" w:firstLineChars="200"/>
        <w:outlineLvl w:val="2"/>
        <w:rPr>
          <w:rFonts w:ascii="仿宋" w:hAnsi="仿宋" w:eastAsia="仿宋" w:cs="仿宋"/>
          <w:bCs/>
          <w:sz w:val="28"/>
          <w:szCs w:val="28"/>
        </w:rPr>
      </w:pPr>
      <w:r>
        <w:rPr>
          <w:rFonts w:hint="eastAsia" w:ascii="仿宋" w:hAnsi="仿宋" w:eastAsia="仿宋" w:cs="仿宋"/>
          <w:b/>
          <w:sz w:val="28"/>
          <w:szCs w:val="28"/>
        </w:rPr>
        <w:t>2.服务期限：</w:t>
      </w:r>
      <w:r>
        <w:rPr>
          <w:rFonts w:hint="eastAsia" w:ascii="仿宋" w:hAnsi="仿宋" w:eastAsia="仿宋" w:cs="仿宋"/>
          <w:bCs/>
          <w:sz w:val="28"/>
          <w:szCs w:val="28"/>
        </w:rPr>
        <w:t>自合同签订之日起2年。经考核连续两年优秀的，可视情况续约。</w:t>
      </w:r>
    </w:p>
    <w:p>
      <w:pPr>
        <w:spacing w:before="120" w:beforeLines="50" w:after="120" w:afterLines="50" w:line="460" w:lineRule="exact"/>
        <w:ind w:firstLine="562" w:firstLineChars="200"/>
        <w:outlineLvl w:val="2"/>
        <w:rPr>
          <w:rFonts w:ascii="仿宋" w:hAnsi="仿宋" w:eastAsia="仿宋" w:cs="仿宋"/>
          <w:b/>
          <w:sz w:val="28"/>
          <w:szCs w:val="28"/>
        </w:rPr>
      </w:pPr>
      <w:r>
        <w:rPr>
          <w:rFonts w:hint="eastAsia" w:ascii="仿宋" w:hAnsi="仿宋" w:eastAsia="仿宋" w:cs="仿宋"/>
          <w:b/>
          <w:sz w:val="28"/>
          <w:szCs w:val="28"/>
        </w:rPr>
        <w:t>3.标项划分</w:t>
      </w:r>
    </w:p>
    <w:p>
      <w:pPr>
        <w:spacing w:before="120" w:beforeLines="50" w:after="120" w:afterLines="50" w:line="460" w:lineRule="exact"/>
        <w:ind w:firstLine="562" w:firstLineChars="200"/>
        <w:rPr>
          <w:rFonts w:ascii="仿宋" w:hAnsi="仿宋" w:eastAsia="仿宋" w:cs="仿宋"/>
          <w:bCs/>
          <w:sz w:val="28"/>
          <w:szCs w:val="28"/>
        </w:rPr>
      </w:pPr>
      <w:r>
        <w:rPr>
          <w:rFonts w:hint="eastAsia" w:ascii="仿宋" w:hAnsi="仿宋" w:eastAsia="仿宋" w:cs="仿宋"/>
          <w:b/>
          <w:sz w:val="28"/>
          <w:szCs w:val="28"/>
        </w:rPr>
        <w:t>标项1：</w:t>
      </w:r>
      <w:r>
        <w:rPr>
          <w:rFonts w:hint="eastAsia" w:ascii="仿宋" w:hAnsi="仿宋" w:eastAsia="仿宋" w:cs="仿宋"/>
          <w:bCs/>
          <w:sz w:val="28"/>
          <w:szCs w:val="28"/>
        </w:rPr>
        <w:t>综合类采购代理服务（除依法必须招标的工程及与工程相关的货物和服务项目以外）及其他采购咨询等服务</w:t>
      </w:r>
    </w:p>
    <w:p>
      <w:pPr>
        <w:spacing w:before="120" w:beforeLines="50" w:after="120" w:afterLines="50" w:line="460" w:lineRule="exact"/>
        <w:ind w:firstLine="562" w:firstLineChars="200"/>
        <w:rPr>
          <w:rFonts w:ascii="仿宋" w:hAnsi="仿宋" w:eastAsia="仿宋" w:cs="仿宋"/>
          <w:bCs/>
          <w:sz w:val="28"/>
          <w:szCs w:val="28"/>
        </w:rPr>
      </w:pPr>
      <w:r>
        <w:rPr>
          <w:rFonts w:hint="eastAsia" w:ascii="仿宋" w:hAnsi="仿宋" w:eastAsia="仿宋" w:cs="仿宋"/>
          <w:b/>
          <w:sz w:val="28"/>
          <w:szCs w:val="28"/>
        </w:rPr>
        <w:t>标项2：</w:t>
      </w:r>
      <w:r>
        <w:rPr>
          <w:rFonts w:hint="eastAsia" w:ascii="仿宋" w:hAnsi="仿宋" w:eastAsia="仿宋" w:cs="仿宋"/>
          <w:bCs/>
          <w:sz w:val="28"/>
          <w:szCs w:val="28"/>
        </w:rPr>
        <w:t>依法必须招标的工程及与工程相关的货物和服务项目招标代理服务及其他采购咨询等服务</w:t>
      </w:r>
    </w:p>
    <w:p>
      <w:pPr>
        <w:spacing w:before="120" w:beforeLines="50" w:after="120" w:afterLines="50" w:line="460" w:lineRule="exact"/>
        <w:ind w:firstLine="562" w:firstLineChars="200"/>
        <w:outlineLvl w:val="2"/>
        <w:rPr>
          <w:rFonts w:ascii="仿宋" w:hAnsi="仿宋" w:eastAsia="仿宋" w:cs="仿宋"/>
          <w:b/>
          <w:sz w:val="28"/>
          <w:szCs w:val="28"/>
        </w:rPr>
      </w:pPr>
      <w:r>
        <w:rPr>
          <w:rFonts w:hint="eastAsia" w:ascii="仿宋" w:hAnsi="仿宋" w:eastAsia="仿宋" w:cs="仿宋"/>
          <w:b/>
          <w:sz w:val="28"/>
          <w:szCs w:val="28"/>
        </w:rPr>
        <w:t>4.服务内容</w:t>
      </w:r>
    </w:p>
    <w:p>
      <w:pPr>
        <w:spacing w:before="120" w:beforeLines="50" w:after="120" w:afterLines="50" w:line="460" w:lineRule="exact"/>
        <w:ind w:firstLine="562" w:firstLineChars="200"/>
        <w:outlineLvl w:val="2"/>
        <w:rPr>
          <w:rFonts w:ascii="仿宋" w:hAnsi="仿宋" w:eastAsia="仿宋" w:cs="仿宋"/>
          <w:b/>
          <w:sz w:val="28"/>
          <w:szCs w:val="28"/>
        </w:rPr>
      </w:pPr>
      <w:r>
        <w:rPr>
          <w:rFonts w:ascii="仿宋" w:hAnsi="仿宋" w:eastAsia="仿宋" w:cs="仿宋"/>
          <w:b/>
          <w:sz w:val="28"/>
          <w:szCs w:val="28"/>
        </w:rPr>
        <w:t>4</w:t>
      </w:r>
      <w:r>
        <w:rPr>
          <w:rFonts w:hint="eastAsia" w:ascii="仿宋" w:hAnsi="仿宋" w:eastAsia="仿宋" w:cs="仿宋"/>
          <w:b/>
          <w:sz w:val="28"/>
          <w:szCs w:val="28"/>
        </w:rPr>
        <w:t>.1采购代理服务</w:t>
      </w:r>
    </w:p>
    <w:p>
      <w:pPr>
        <w:spacing w:before="120" w:beforeLines="50" w:after="120" w:afterLines="50" w:line="460" w:lineRule="exact"/>
        <w:ind w:firstLine="562" w:firstLineChars="200"/>
        <w:outlineLvl w:val="2"/>
        <w:rPr>
          <w:rFonts w:ascii="仿宋" w:hAnsi="仿宋" w:eastAsia="仿宋" w:cs="仿宋"/>
          <w:b/>
          <w:sz w:val="28"/>
          <w:szCs w:val="28"/>
        </w:rPr>
      </w:pPr>
      <w:r>
        <w:rPr>
          <w:rFonts w:hint="eastAsia" w:ascii="仿宋" w:hAnsi="仿宋" w:eastAsia="仿宋" w:cs="仿宋"/>
          <w:b/>
          <w:sz w:val="28"/>
          <w:szCs w:val="28"/>
        </w:rPr>
        <w:t>4.1.1标项1</w:t>
      </w:r>
    </w:p>
    <w:p>
      <w:pPr>
        <w:spacing w:before="120" w:beforeLines="50" w:after="120" w:afterLines="50" w:line="460" w:lineRule="exact"/>
        <w:ind w:firstLine="560" w:firstLineChars="200"/>
        <w:rPr>
          <w:rFonts w:ascii="仿宋" w:hAnsi="仿宋" w:eastAsia="仿宋" w:cs="仿宋"/>
          <w:bCs/>
          <w:sz w:val="28"/>
          <w:szCs w:val="28"/>
        </w:rPr>
      </w:pPr>
      <w:r>
        <w:rPr>
          <w:rFonts w:ascii="仿宋" w:hAnsi="仿宋" w:eastAsia="仿宋" w:cs="仿宋"/>
          <w:bCs/>
          <w:sz w:val="28"/>
          <w:szCs w:val="28"/>
        </w:rPr>
        <w:t>4</w:t>
      </w:r>
      <w:r>
        <w:rPr>
          <w:rFonts w:hint="eastAsia" w:ascii="仿宋" w:hAnsi="仿宋" w:eastAsia="仿宋" w:cs="仿宋"/>
          <w:bCs/>
          <w:sz w:val="28"/>
          <w:szCs w:val="28"/>
        </w:rPr>
        <w:t>.1.1</w:t>
      </w:r>
      <w:r>
        <w:rPr>
          <w:rFonts w:ascii="仿宋" w:hAnsi="仿宋" w:eastAsia="仿宋" w:cs="仿宋"/>
          <w:bCs/>
          <w:sz w:val="28"/>
          <w:szCs w:val="28"/>
        </w:rPr>
        <w:t>.1</w:t>
      </w:r>
      <w:r>
        <w:rPr>
          <w:rFonts w:hint="eastAsia" w:ascii="仿宋" w:hAnsi="仿宋" w:eastAsia="仿宋" w:cs="仿宋"/>
          <w:bCs/>
          <w:sz w:val="28"/>
          <w:szCs w:val="28"/>
        </w:rPr>
        <w:t xml:space="preserve"> 项目范围：招标人委托的，除依法必招工程（包括与工程相关的货物和服务）项目以外的货物、工程和服务项目。2024年度可委托项目总数预估不少于200个。</w:t>
      </w:r>
    </w:p>
    <w:p>
      <w:pPr>
        <w:spacing w:before="120" w:beforeLines="50" w:after="120" w:afterLines="50" w:line="460" w:lineRule="exact"/>
        <w:ind w:firstLine="560" w:firstLineChars="200"/>
        <w:rPr>
          <w:rFonts w:ascii="仿宋" w:hAnsi="仿宋" w:eastAsia="仿宋" w:cs="仿宋"/>
          <w:bCs/>
          <w:sz w:val="28"/>
          <w:szCs w:val="28"/>
        </w:rPr>
      </w:pPr>
      <w:r>
        <w:rPr>
          <w:rFonts w:ascii="仿宋" w:hAnsi="仿宋" w:eastAsia="仿宋" w:cs="仿宋"/>
          <w:bCs/>
          <w:sz w:val="28"/>
          <w:szCs w:val="28"/>
        </w:rPr>
        <w:t>4.1.1.2</w:t>
      </w:r>
      <w:r>
        <w:rPr>
          <w:rFonts w:hint="eastAsia" w:ascii="仿宋" w:hAnsi="仿宋" w:eastAsia="仿宋" w:cs="仿宋"/>
          <w:bCs/>
          <w:sz w:val="28"/>
          <w:szCs w:val="28"/>
        </w:rPr>
        <w:t>为各个采购项目提供的代理服务内容：</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准确了解受委托项目的采购需求，协助招标人拟定采购方案。根据招标人要求，组织专家对采购需求等进行论证，并有专家组出具论证意见；根据招标人要求开展采购需求和方案审查，对采购需求和方案的合法性、竞争性、非歧视性等出具需求审查报告。</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编制采购文件，采购文件包括但不限于：招标文件、资格预审文件、竞争性磋商（谈判）文件、询价文件、单一来源采购说明书等；核查采购需求是否符合国家法律法规及强制性规定，是否具有倾向性、歧视性等提出专业意见并对意见负责，采购文件须经招标人确定方可对外发出。</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（3）经招标人确认后，发布各类采购公告、公示或邀请。采购公告、公示应当在招标人官网、浙江政府采购网(http:// zfcg.czt.zj.gov.cn)、中国金融采购网（http://www.cfcpn.com/）发布（未在上述平台注册的，投标人须承诺如入围本项目，在采购合同签订前完成注册），招标人根据需要有权增减发布平台或网站；未经允许不得将招标人的各类公告、公示发布在除上述网站以外的网站。</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（4）审查供应商资质，协助招标人审查供应商资格和关联关系。</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（5）组织供应商踏勘现场和答疑，整理答疑纪要。</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6）依法组织开标、评标（评审）、定标（成交）以及资格预审评审等活动，组织评审小组（含资格预审委员会、评标委员会、谈判小组、磋商小组、询价小组、单一来源协商小组）完成评标（评审）工作并协助评审小组出具评审报告。如在代理机构场地或招标人内部开评标会议室以外的场地开评标的，应当提供设备，对开评标现场全过程开启监控，并在开评标结束1个工作日内将音视频双录存档刻盘交招标人。</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（7）及时支付外部专家费用，在项目评标（评审）结束三日内支付到人，专家费用按浙江省政府采购专家发放标准执行。</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（8）协助招标人核查中标（成交）候选人情况，包括投标文件或采购响应文件中的资质、人员、案例、证书，供应商信用信息、受贿行贿情况、履约能力等内容，以及招标人认为需要核查的其他内容。</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（9）协助招标人处理采购过程中发生的异议（质疑）、投诉，起草相关文件。</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（10）经招标人确认后，发布采购结果公告（公示）以及中标（成交）通知书。就同一项目结果公告（公示）应当与采购公告发布平台或网站保持一致。</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（11）按时支付场地租赁费用等受委托项目完成采购所需的全部费用。使用招标人或采购代理机构开评标以外的场地而产生的场地租赁费用、评审专家费用据实结算。</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（12）项目采购完成后，应将项目相关资料、档案整理成册，完整交付给招标人。 </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（13）接受招标人要求的各种监督管理要求，包括但不限于：约谈、提供人员信息并接受背调、审计、巡察、纪检、第三方见证等。</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sz w:val="28"/>
          <w:szCs w:val="28"/>
        </w:rPr>
        <w:t>4.1.</w:t>
      </w:r>
      <w:r>
        <w:rPr>
          <w:rFonts w:ascii="仿宋" w:hAnsi="仿宋" w:eastAsia="仿宋" w:cs="仿宋"/>
          <w:b/>
          <w:sz w:val="28"/>
          <w:szCs w:val="28"/>
        </w:rPr>
        <w:t>2</w:t>
      </w:r>
      <w:r>
        <w:rPr>
          <w:rFonts w:hint="eastAsia" w:ascii="仿宋" w:hAnsi="仿宋" w:eastAsia="仿宋" w:cs="仿宋"/>
          <w:b/>
          <w:bCs/>
          <w:sz w:val="28"/>
          <w:szCs w:val="28"/>
        </w:rPr>
        <w:t>标项2</w:t>
      </w:r>
    </w:p>
    <w:p>
      <w:pPr>
        <w:spacing w:before="120" w:beforeLines="50" w:after="120" w:afterLines="50" w:line="460" w:lineRule="exact"/>
        <w:ind w:firstLine="560" w:firstLineChars="200"/>
        <w:rPr>
          <w:rFonts w:ascii="仿宋" w:hAnsi="仿宋" w:eastAsia="仿宋" w:cs="仿宋"/>
          <w:bCs/>
          <w:sz w:val="28"/>
          <w:szCs w:val="28"/>
        </w:rPr>
      </w:pPr>
      <w:r>
        <w:rPr>
          <w:rFonts w:ascii="仿宋" w:hAnsi="仿宋" w:eastAsia="仿宋" w:cs="仿宋"/>
          <w:bCs/>
          <w:sz w:val="28"/>
          <w:szCs w:val="28"/>
        </w:rPr>
        <w:t>4.1.2.1</w:t>
      </w:r>
      <w:r>
        <w:rPr>
          <w:rFonts w:hint="eastAsia" w:ascii="仿宋" w:hAnsi="仿宋" w:eastAsia="仿宋" w:cs="仿宋"/>
          <w:bCs/>
          <w:sz w:val="28"/>
          <w:szCs w:val="28"/>
        </w:rPr>
        <w:t>项目范围：招标人委托的，浙江省内依法必须招标的工程（及与工程相关的货物和服务）项目。</w:t>
      </w:r>
    </w:p>
    <w:p>
      <w:pPr>
        <w:spacing w:before="120" w:beforeLines="50" w:after="120" w:afterLines="50" w:line="460" w:lineRule="exact"/>
        <w:ind w:firstLine="560" w:firstLineChars="200"/>
        <w:rPr>
          <w:rFonts w:ascii="仿宋" w:hAnsi="仿宋" w:eastAsia="仿宋" w:cs="仿宋"/>
          <w:bCs/>
          <w:sz w:val="28"/>
          <w:szCs w:val="28"/>
        </w:rPr>
      </w:pPr>
      <w:r>
        <w:rPr>
          <w:rFonts w:ascii="仿宋" w:hAnsi="仿宋" w:eastAsia="仿宋" w:cs="仿宋"/>
          <w:bCs/>
          <w:sz w:val="28"/>
          <w:szCs w:val="28"/>
        </w:rPr>
        <w:t>4.1.2.2</w:t>
      </w:r>
      <w:r>
        <w:rPr>
          <w:rFonts w:hint="eastAsia" w:ascii="仿宋" w:hAnsi="仿宋" w:eastAsia="仿宋" w:cs="仿宋"/>
          <w:bCs/>
          <w:sz w:val="28"/>
          <w:szCs w:val="28"/>
        </w:rPr>
        <w:t>为各个采购项目提供的代理服务内容：</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准确了解受委托项目的采购需求，协助招标人拟定采购方案。根据招标人要求，组织专家对采购需求等进行论证，并有专家组出具论证意见；根据招标人要求开展采购需求和方案审查，对采购需求和方案的合法性、竞争性、非歧视性等出具需求审查报告。</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（2）向招标人全面、准确地介绍招标项目属地的相关政策规定，协助招标人进行工程建设项目、招标方案、招标结果的核准或备案（如需）。</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（3）协助招标人与招标项目行政监督部门、公共资源交易平台进行沟通。严格按照招标项目属地的相关政策规定在规定的公共资源交易平台实施招标工作。</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4）编制采购文件，采购文件包括但不限于：招标文件、资格预审文件等；核查采购需求是否符合国家法律法规及强制性规定，是否具有倾向性、歧视性等提出专业意见并对意见负责，采购文件须经招标人确定方可对外发出。</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5）经招标人确认后，发布各类采购公告、公示或邀请。采购公告、公示应当在规定的公共资源交易平台发布（投标人须承诺如入围本项目，在接到具体项目的委托后，如未在拟招标项目规定开展招标的公共资源交易平台注册的，应及时完成注册）；未经允许不得将招标人的各类公告、公示发布在除上述网站以外的网站。</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（6）审查供应商资质，协助招标人审查供应商资格和关联关系。</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（7）组织供应商踏勘现场和答疑，整理答疑纪要。</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8）依法组织开标、评标、定标以及资格预审评审等活动，组织评审小组（含资格预审委员会、评标委员会）完成评标工作并协助评审小组出具评审报告。如在公共资源交易平台场地、代理机构场地或招标人内部开评标会议室以外的场地开评标的，应当提供设备，对开评标现场全过程开启监控，并在开评标结束1个工作日内将音视频双录存档刻盘交招标人。</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（9）及时支付外部专家费用，在项目评标（评审）结束三日内支付到人，专家费用按招标项目属地综合评标专家库专家费发放标准执行。</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（10）协助招标人核查中标（成交）候选人情况，包括投标文件或采购响应文件中的资质、人员、案例、证书，供应商信用信息、受贿行贿情况、履约能力等内容，以及招标人认为需要核查的其他内容。</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（11）协助招标人处理采购过程中发生的异议（质疑）、投诉，起草相关文件。</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（12）实行“评定分离”的项目，受招标人委托组织定标会议。</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（13）经招标人确认后，发布采购结果公告（公示）以及中标（成交）通知书。</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（14）按时支付场地租赁费用等受委托项目完成采购所需的全部费用。使用招标人或采购代理机构开评标以外的场地而产生的场地租赁费用、评审专家费用据实结算。</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（15）项目采购完成后，应将项目相关资料、档案整理成册，完整交付给招标人。</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（16）接受招标人的各种监督管理要求，包括但不限于：约谈、提供人员信息并接受背调、审计、巡察、纪检、第三方见证等。</w:t>
      </w:r>
    </w:p>
    <w:p>
      <w:pPr>
        <w:spacing w:before="120" w:beforeLines="50" w:after="120" w:afterLines="50" w:line="460" w:lineRule="exact"/>
        <w:ind w:firstLine="562" w:firstLineChars="200"/>
        <w:outlineLvl w:val="2"/>
        <w:rPr>
          <w:rFonts w:ascii="仿宋" w:hAnsi="仿宋" w:eastAsia="仿宋" w:cs="仿宋"/>
          <w:b/>
          <w:sz w:val="28"/>
          <w:szCs w:val="28"/>
        </w:rPr>
      </w:pPr>
      <w:r>
        <w:rPr>
          <w:rFonts w:ascii="仿宋" w:hAnsi="仿宋" w:eastAsia="仿宋" w:cs="仿宋"/>
          <w:b/>
          <w:sz w:val="28"/>
          <w:szCs w:val="28"/>
        </w:rPr>
        <w:t>4</w:t>
      </w:r>
      <w:r>
        <w:rPr>
          <w:rFonts w:hint="eastAsia" w:ascii="仿宋" w:hAnsi="仿宋" w:eastAsia="仿宋" w:cs="仿宋"/>
          <w:b/>
          <w:sz w:val="28"/>
          <w:szCs w:val="28"/>
        </w:rPr>
        <w:t>.2其他采购咨询等服务</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（1）协助招标人完善集采规章制度、采购文件及公告/公示标准模板，为招标人制定各类采购需求及评分标准提供专业支持。</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（2）无条件接受和配合项目相关事宜的审计、巡视巡察工作，不排除被延伸审计的可能。</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3）根据招标人要求，协助审查招标人委托其他代理机构组织实施项目的工作底稿，提出专业意见。审查内容包括但不限于采购需求、采购方案、采购文件、供应商资格情况及关联关系、开标（启）及评审过程资料、中标（成交、入围）候选人核查、异议/质疑/投诉的回复等，必要时可组织实地调研、专家论证等活动，及时反馈审查意见，并在项目结束后出具全过程审查报告。如需组织专家论证，由代理机构推荐参与论证专家的，须提供专家名单及介绍资料，并经招标人认可。本项服务按单项目计价，投标人需根据服务要求单独报价。</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（4）根据招标人要求，每年开展不少于3个调查研究，包括但不限于通用类需求的市场调研、国企采购理论调查研究、案例分析等。</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（5）招标人要求的其他咨询服务。</w:t>
      </w:r>
    </w:p>
    <w:p>
      <w:pPr>
        <w:spacing w:before="120" w:beforeLines="50" w:after="120" w:afterLines="50" w:line="460" w:lineRule="exact"/>
        <w:ind w:firstLine="562" w:firstLineChars="200"/>
        <w:outlineLvl w:val="2"/>
        <w:rPr>
          <w:rFonts w:ascii="仿宋" w:hAnsi="仿宋" w:eastAsia="仿宋" w:cs="仿宋"/>
          <w:b/>
          <w:sz w:val="28"/>
          <w:szCs w:val="28"/>
        </w:rPr>
      </w:pPr>
      <w:r>
        <w:rPr>
          <w:rFonts w:ascii="仿宋" w:hAnsi="仿宋" w:eastAsia="仿宋" w:cs="仿宋"/>
          <w:b/>
          <w:sz w:val="28"/>
          <w:szCs w:val="28"/>
        </w:rPr>
        <w:t>5</w:t>
      </w:r>
      <w:r>
        <w:rPr>
          <w:rFonts w:hint="eastAsia" w:ascii="仿宋" w:hAnsi="仿宋" w:eastAsia="仿宋" w:cs="仿宋"/>
          <w:b/>
          <w:sz w:val="28"/>
          <w:szCs w:val="28"/>
        </w:rPr>
        <w:t>.服务团队要求</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5</w:t>
      </w:r>
      <w:r>
        <w:rPr>
          <w:rFonts w:hint="eastAsia" w:ascii="仿宋" w:hAnsi="仿宋" w:eastAsia="仿宋" w:cs="仿宋"/>
          <w:bCs/>
          <w:sz w:val="28"/>
          <w:szCs w:val="28"/>
        </w:rPr>
        <w:t>.1 服务团队成员至少四名，其中项目负责人1名，驻场人员1名，辅助人员2名。其中：</w:t>
      </w:r>
    </w:p>
    <w:p>
      <w:pPr>
        <w:pStyle w:val="182"/>
        <w:spacing w:before="120" w:beforeLines="50" w:after="120" w:afterLines="50" w:line="460" w:lineRule="exact"/>
        <w:ind w:firstLine="560"/>
        <w:rPr>
          <w:rFonts w:ascii="仿宋" w:hAnsi="仿宋" w:eastAsia="仿宋" w:cs="仿宋"/>
          <w:bCs/>
          <w:sz w:val="28"/>
          <w:szCs w:val="28"/>
        </w:rPr>
      </w:pPr>
      <w:r>
        <w:rPr>
          <w:rFonts w:hint="eastAsia" w:ascii="仿宋" w:hAnsi="仿宋" w:eastAsia="仿宋" w:cs="仿宋"/>
          <w:bCs/>
          <w:sz w:val="28"/>
          <w:szCs w:val="28"/>
        </w:rPr>
        <w:t>（1）项目负责人1名，对受招标人委托的采购项目实施负全责。具有招标师、造价师等执业证书或相关专业（经济、法律、技术）中级及以上职称，具有本科及以上文凭，从业经验五年以上（含），在投标人单位从事采购代理服务三年以上，熟练掌握运用《中华人民共和国招标投标法》和《国有金融企业集中采购管理暂行规定》等法律法规和相关规定，熟悉采购流程和操作，遵守法律法规，遵循公开、公平、公正的工作原则，具有较强的管理组织和现场判断能力，胜任开评标（审）现场的主持和指导工作，为采购项目相关重要文件（包括采购文件、评分表、澄清答疑等）的合法合规及严谨性、评审报告的准确性负责。</w:t>
      </w:r>
    </w:p>
    <w:p>
      <w:pPr>
        <w:pStyle w:val="182"/>
        <w:spacing w:before="120" w:beforeLines="50" w:after="120" w:afterLines="50" w:line="460" w:lineRule="exact"/>
        <w:ind w:firstLine="560"/>
        <w:rPr>
          <w:rFonts w:ascii="仿宋" w:hAnsi="仿宋" w:eastAsia="仿宋" w:cs="仿宋"/>
          <w:bCs/>
          <w:sz w:val="28"/>
          <w:szCs w:val="28"/>
        </w:rPr>
      </w:pPr>
      <w:r>
        <w:rPr>
          <w:rFonts w:hint="eastAsia" w:ascii="仿宋" w:hAnsi="仿宋" w:eastAsia="仿宋" w:cs="仿宋"/>
          <w:bCs/>
          <w:sz w:val="28"/>
          <w:szCs w:val="28"/>
        </w:rPr>
        <w:t>（2）驻场人员1名，主要负责提供采购代理具体服务内容，包括但不限于需求沟通，采购方案拟订，采购文件、澄清答疑文件及投诉异议回复等文件的起草，供应商资格情况及关联关系审查，开评标（审）现场服务，中标（成交、入围）候选人核查等工作；驻场时间从接受采购代理委托起至采购结果发布完成。从业经验二年以上（含），熟悉采购流程和操作，遵守法律法规，遵循公开、公平、公正的工作原则，胜任开评标（审）现场的实操工作。驻场人员视同招标人工作人员严格管理，登记社会关系，排查回避情形，遵守招标人各项工作纪律，尤其是采购工作纪律，接受招标人的廉政教育和谈话，严肃考勤和评价，并接受招标人内部监督和检查，中共党员优先。</w:t>
      </w:r>
    </w:p>
    <w:p>
      <w:pPr>
        <w:pStyle w:val="182"/>
        <w:spacing w:before="120" w:beforeLines="50" w:after="120" w:afterLines="50" w:line="460" w:lineRule="exact"/>
        <w:ind w:firstLine="560"/>
        <w:rPr>
          <w:rFonts w:ascii="仿宋" w:hAnsi="仿宋" w:eastAsia="仿宋" w:cs="仿宋"/>
          <w:bCs/>
          <w:sz w:val="28"/>
          <w:szCs w:val="28"/>
        </w:rPr>
      </w:pPr>
      <w:r>
        <w:rPr>
          <w:rFonts w:hint="eastAsia" w:ascii="仿宋" w:hAnsi="仿宋" w:eastAsia="仿宋" w:cs="仿宋"/>
          <w:bCs/>
          <w:sz w:val="28"/>
          <w:szCs w:val="28"/>
        </w:rPr>
        <w:t>（3）辅助人员2名，从业经验一年以上（含），熟悉采购流程和操作，遵守法律法规。</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5</w:t>
      </w:r>
      <w:r>
        <w:rPr>
          <w:rFonts w:hint="eastAsia" w:ascii="仿宋" w:hAnsi="仿宋" w:eastAsia="仿宋" w:cs="仿宋"/>
          <w:bCs/>
          <w:sz w:val="28"/>
          <w:szCs w:val="28"/>
        </w:rPr>
        <w:t>.2 至少提供8名及以上的浙商银行采购代理服务项目的服务团队备选名单，其中项目负责人至少2名，驻场人员至少2名，辅助人员至少4名；投标人入围后，招标人将对投标人拟派项目负责人和驻场人员进行考核，如不符合招标人要求，或在采购项目代理工作中表现不佳，招标人有权要求投标人更换。</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5</w:t>
      </w:r>
      <w:r>
        <w:rPr>
          <w:rFonts w:hint="eastAsia" w:ascii="仿宋" w:hAnsi="仿宋" w:eastAsia="仿宋" w:cs="仿宋"/>
          <w:bCs/>
          <w:sz w:val="28"/>
          <w:szCs w:val="28"/>
        </w:rPr>
        <w:t>.3 团队备选名单内的人员应为企业正式员工，与投标人签订劳动合同并在投标人处缴纳社保。入围后的服务团队从提供的备选名单中选派，选派人员须经招标人确认；未经招标人同意，不得擅自更换团队人员；如备选名单中的人员未通过招标人面试或考评，招标人有权要求供应商提供新的人员名单，直至通过面试或考评为止。</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5</w:t>
      </w:r>
      <w:r>
        <w:rPr>
          <w:rFonts w:hint="eastAsia" w:ascii="仿宋" w:hAnsi="仿宋" w:eastAsia="仿宋" w:cs="仿宋"/>
          <w:bCs/>
          <w:sz w:val="28"/>
          <w:szCs w:val="28"/>
        </w:rPr>
        <w:t>.4 采购组织现场（开标、评标、谈判、磋商等），每个项目至少须派三名及以上的团队人员参加（视项目情况而定），项目负责人和驻场人员必须到场。</w:t>
      </w:r>
    </w:p>
    <w:p>
      <w:pPr>
        <w:spacing w:before="120" w:beforeLines="50" w:after="120" w:afterLines="50" w:line="460" w:lineRule="exact"/>
        <w:ind w:firstLine="562" w:firstLineChars="200"/>
        <w:outlineLvl w:val="2"/>
        <w:rPr>
          <w:rFonts w:ascii="仿宋" w:hAnsi="仿宋" w:eastAsia="仿宋" w:cs="仿宋"/>
          <w:b/>
          <w:sz w:val="28"/>
          <w:szCs w:val="28"/>
        </w:rPr>
      </w:pPr>
      <w:r>
        <w:rPr>
          <w:rFonts w:ascii="仿宋" w:hAnsi="仿宋" w:eastAsia="仿宋" w:cs="仿宋"/>
          <w:b/>
          <w:sz w:val="28"/>
          <w:szCs w:val="28"/>
        </w:rPr>
        <w:t>6</w:t>
      </w:r>
      <w:r>
        <w:rPr>
          <w:rFonts w:hint="eastAsia" w:ascii="仿宋" w:hAnsi="仿宋" w:eastAsia="仿宋" w:cs="仿宋"/>
          <w:b/>
          <w:sz w:val="28"/>
          <w:szCs w:val="28"/>
        </w:rPr>
        <w:t>.服务标准</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.1 在委托代理的范围内严格按照法律法规处理相关事宜，对招标人提出的采购内容和要求应依法审查，并对代理事项的合法合规性负责；确保公开、公平、公正，自觉执行回避制度，遵守廉政规定和采购纪律，并承担相应的保密责任。</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.2 招标人在服务期限内有采购文件、采购公告/公示、结果公告/公示、中标通知书、开标现场工作表单模板的，应按当时最新的模板编制，不得随意修改；如发现模板中有不符合法律法规或明显错误的，应当及时提出修改意见。</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.3 在采购过程中引入绿色、环保理念，助力浙商银行积极践行“绿色采购”目标。</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.4 在杭州有固定办公场所，具备开评标专用场地及相关监控双录设备，具有较强的技术实力以及稳定的技术人员队伍，能对招标人提出的需求做出及时响应，积极、科学、高效，按时保质完成委托任务。</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.5 采购文件编制清晰、完整、合法合规；评标（评审）标准、评分办法和定标（成交）原则科学合理合规。</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w:t>
      </w:r>
      <w:r>
        <w:rPr>
          <w:rFonts w:ascii="仿宋" w:hAnsi="仿宋" w:eastAsia="仿宋" w:cs="仿宋"/>
          <w:bCs/>
          <w:sz w:val="28"/>
          <w:szCs w:val="28"/>
        </w:rPr>
        <w:t>6</w:t>
      </w:r>
      <w:r>
        <w:rPr>
          <w:rFonts w:hint="eastAsia" w:ascii="仿宋" w:hAnsi="仿宋" w:eastAsia="仿宋" w:cs="仿宋"/>
          <w:bCs/>
          <w:sz w:val="28"/>
          <w:szCs w:val="28"/>
        </w:rPr>
        <w:t xml:space="preserve"> 采购文件免费获取。</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w:t>
      </w:r>
      <w:r>
        <w:rPr>
          <w:rFonts w:ascii="仿宋" w:hAnsi="仿宋" w:eastAsia="仿宋" w:cs="仿宋"/>
          <w:bCs/>
          <w:sz w:val="28"/>
          <w:szCs w:val="28"/>
        </w:rPr>
        <w:t>7</w:t>
      </w:r>
      <w:r>
        <w:rPr>
          <w:rFonts w:hint="eastAsia" w:ascii="仿宋" w:hAnsi="仿宋" w:eastAsia="仿宋" w:cs="仿宋"/>
          <w:bCs/>
          <w:sz w:val="28"/>
          <w:szCs w:val="28"/>
        </w:rPr>
        <w:t xml:space="preserve"> 投标保证金等交纳在招标人指定账号。</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w:t>
      </w:r>
      <w:r>
        <w:rPr>
          <w:rFonts w:ascii="仿宋" w:hAnsi="仿宋" w:eastAsia="仿宋" w:cs="仿宋"/>
          <w:bCs/>
          <w:sz w:val="28"/>
          <w:szCs w:val="28"/>
        </w:rPr>
        <w:t>8</w:t>
      </w:r>
      <w:r>
        <w:rPr>
          <w:rFonts w:hint="eastAsia" w:ascii="仿宋" w:hAnsi="仿宋" w:eastAsia="仿宋" w:cs="仿宋"/>
          <w:bCs/>
          <w:sz w:val="28"/>
          <w:szCs w:val="28"/>
        </w:rPr>
        <w:t xml:space="preserve"> 在委托授权范围内为招标人提供采购代理服务，不得将本项目所确定的采购代理服务转让给第三方。</w:t>
      </w:r>
    </w:p>
    <w:p>
      <w:pPr>
        <w:pStyle w:val="182"/>
        <w:spacing w:before="120" w:beforeLines="50" w:after="120" w:afterLines="50" w:line="460" w:lineRule="exact"/>
        <w:ind w:firstLine="56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w:t>
      </w:r>
      <w:r>
        <w:rPr>
          <w:rFonts w:ascii="仿宋" w:hAnsi="仿宋" w:eastAsia="仿宋" w:cs="仿宋"/>
          <w:bCs/>
          <w:sz w:val="28"/>
          <w:szCs w:val="28"/>
        </w:rPr>
        <w:t>9</w:t>
      </w:r>
      <w:r>
        <w:rPr>
          <w:rFonts w:hint="eastAsia" w:ascii="仿宋" w:hAnsi="仿宋" w:eastAsia="仿宋" w:cs="仿宋"/>
          <w:bCs/>
          <w:sz w:val="28"/>
          <w:szCs w:val="28"/>
        </w:rPr>
        <w:t xml:space="preserve"> 根据委托合同维护招标人的合法权益，严格保守执业过程中的技术和商务秘密，遵守《浙商银行股份有限公司采购代理服务入围</w:t>
      </w:r>
      <w:r>
        <w:rPr>
          <w:rFonts w:ascii="仿宋" w:hAnsi="仿宋" w:eastAsia="仿宋" w:cs="仿宋"/>
          <w:bCs/>
          <w:sz w:val="28"/>
          <w:szCs w:val="28"/>
        </w:rPr>
        <w:t>采购</w:t>
      </w:r>
      <w:r>
        <w:rPr>
          <w:rFonts w:hint="eastAsia" w:ascii="仿宋" w:hAnsi="仿宋" w:eastAsia="仿宋" w:cs="仿宋"/>
          <w:bCs/>
          <w:sz w:val="28"/>
          <w:szCs w:val="28"/>
        </w:rPr>
        <w:t>项目保密协议》（详见第六章附件12）。</w:t>
      </w:r>
    </w:p>
    <w:p>
      <w:pPr>
        <w:spacing w:before="120" w:beforeLines="50" w:after="120" w:afterLines="50" w:line="460" w:lineRule="exact"/>
        <w:ind w:firstLine="560" w:firstLineChars="200"/>
        <w:rPr>
          <w:rFonts w:ascii="仿宋" w:hAnsi="仿宋" w:eastAsia="仿宋" w:cs="仿宋"/>
          <w:bCs/>
          <w:sz w:val="28"/>
          <w:szCs w:val="28"/>
        </w:rPr>
      </w:pPr>
      <w:r>
        <w:rPr>
          <w:rFonts w:ascii="仿宋" w:hAnsi="仿宋" w:eastAsia="仿宋" w:cs="仿宋"/>
          <w:bCs/>
          <w:sz w:val="28"/>
          <w:szCs w:val="28"/>
        </w:rPr>
        <w:t>6</w:t>
      </w:r>
      <w:r>
        <w:rPr>
          <w:rFonts w:hint="eastAsia" w:ascii="仿宋" w:hAnsi="仿宋" w:eastAsia="仿宋" w:cs="仿宋"/>
          <w:bCs/>
          <w:sz w:val="28"/>
          <w:szCs w:val="28"/>
        </w:rPr>
        <w:t>.</w:t>
      </w:r>
      <w:r>
        <w:rPr>
          <w:rFonts w:ascii="仿宋" w:hAnsi="仿宋" w:eastAsia="仿宋" w:cs="仿宋"/>
          <w:bCs/>
          <w:sz w:val="28"/>
          <w:szCs w:val="28"/>
        </w:rPr>
        <w:t>10</w:t>
      </w:r>
      <w:r>
        <w:rPr>
          <w:rFonts w:hint="eastAsia" w:ascii="仿宋" w:hAnsi="仿宋" w:eastAsia="仿宋" w:cs="仿宋"/>
          <w:bCs/>
          <w:sz w:val="28"/>
          <w:szCs w:val="28"/>
        </w:rPr>
        <w:t xml:space="preserve"> 自觉接受招标人监督部门的监督管理，遵守《浙商银行采购代理机构管理办法》相关规定（可在获取采购文件后向本项目招标项目联系人索取），依法承担与采购相关的义务。</w:t>
      </w:r>
    </w:p>
    <w:p>
      <w:pPr>
        <w:spacing w:before="120" w:beforeLines="50" w:after="120" w:afterLines="50" w:line="460" w:lineRule="exact"/>
        <w:ind w:firstLine="562" w:firstLineChars="200"/>
        <w:rPr>
          <w:rFonts w:ascii="仿宋" w:hAnsi="仿宋" w:eastAsia="仿宋" w:cs="仿宋"/>
          <w:b/>
          <w:bCs/>
          <w:sz w:val="28"/>
          <w:szCs w:val="28"/>
        </w:rPr>
      </w:pPr>
      <w:r>
        <w:rPr>
          <w:rFonts w:ascii="仿宋" w:hAnsi="仿宋" w:eastAsia="仿宋" w:cs="仿宋"/>
          <w:b/>
          <w:bCs/>
          <w:sz w:val="28"/>
          <w:szCs w:val="28"/>
        </w:rPr>
        <w:t>7</w:t>
      </w:r>
      <w:r>
        <w:rPr>
          <w:rFonts w:hint="eastAsia" w:ascii="仿宋" w:hAnsi="仿宋" w:eastAsia="仿宋" w:cs="仿宋"/>
          <w:b/>
          <w:bCs/>
          <w:sz w:val="28"/>
          <w:szCs w:val="28"/>
        </w:rPr>
        <w:t>.项目分配及考核淘汰机制</w:t>
      </w:r>
    </w:p>
    <w:p>
      <w:pPr>
        <w:spacing w:before="120" w:beforeLines="50" w:after="120" w:afterLines="50" w:line="460" w:lineRule="exact"/>
        <w:ind w:firstLine="536" w:firstLineChars="200"/>
        <w:rPr>
          <w:rFonts w:ascii="仿宋" w:hAnsi="仿宋" w:eastAsia="仿宋" w:cs="仿宋"/>
          <w:bCs/>
          <w:spacing w:val="-6"/>
          <w:sz w:val="28"/>
          <w:szCs w:val="28"/>
        </w:rPr>
      </w:pPr>
      <w:r>
        <w:rPr>
          <w:rFonts w:hint="eastAsia" w:ascii="仿宋" w:hAnsi="仿宋" w:eastAsia="仿宋" w:cs="仿宋"/>
          <w:bCs/>
          <w:spacing w:val="-6"/>
          <w:sz w:val="28"/>
          <w:szCs w:val="28"/>
        </w:rPr>
        <w:t>投标人入围后，招标人将根据采购项目数量随机分配委托项目，并根据《浙商银行集中采购代理机构管理办法（试行）》对委托代理情况进行考核，发生停用、淘汰出库情形的，由备选入围代理机构按本次招标综合评分排名依次替补。</w:t>
      </w:r>
    </w:p>
    <w:p>
      <w:pPr>
        <w:keepNext w:val="0"/>
        <w:keepLines w:val="0"/>
        <w:pageBreakBefore w:val="0"/>
        <w:widowControl w:val="0"/>
        <w:kinsoku/>
        <w:wordWrap/>
        <w:overflowPunct/>
        <w:topLinePunct w:val="0"/>
        <w:autoSpaceDE/>
        <w:autoSpaceDN/>
        <w:bidi w:val="0"/>
        <w:adjustRightInd/>
        <w:snapToGrid/>
        <w:spacing w:before="240" w:beforeLines="100" w:after="240" w:afterLines="100"/>
        <w:ind w:firstLine="0"/>
        <w:textAlignment w:val="auto"/>
        <w:outlineLvl w:val="1"/>
        <w:rPr>
          <w:rFonts w:ascii="仿宋" w:hAnsi="仿宋" w:eastAsia="仿宋" w:cs="仿宋"/>
          <w:b/>
          <w:sz w:val="30"/>
          <w:szCs w:val="30"/>
        </w:rPr>
      </w:pPr>
      <w:r>
        <w:rPr>
          <w:rFonts w:hint="eastAsia" w:ascii="仿宋" w:hAnsi="仿宋" w:eastAsia="仿宋" w:cs="仿宋"/>
          <w:b/>
          <w:sz w:val="30"/>
          <w:szCs w:val="30"/>
        </w:rPr>
        <w:t>二、报价策略</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（一）标项1</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报价包含：</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（1）单个项目采购代理费用，不区分标段数量和预算规模，包含项目实施所需的全部费用，使用招标人或采购代理机构开评标以外的场地而产生的场地租赁费用、专家费用除外；一次性报价，不得更改。</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（2）单个项目的审查费用，不区分标段数量和预算规模，包含目审查所需的除聘请外部专家费用以外的全部费用；一次性报价，不得更改。</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（一）标项</w:t>
      </w:r>
      <w:r>
        <w:rPr>
          <w:rFonts w:ascii="仿宋" w:hAnsi="仿宋" w:eastAsia="仿宋" w:cs="仿宋"/>
          <w:bCs/>
          <w:sz w:val="28"/>
          <w:szCs w:val="28"/>
        </w:rPr>
        <w:t>2</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报价包含：</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（1）单个项目采购代理费用：不区分</w:t>
      </w:r>
      <w:r>
        <w:rPr>
          <w:rFonts w:ascii="仿宋" w:hAnsi="仿宋" w:eastAsia="仿宋" w:cs="仿宋"/>
          <w:bCs/>
          <w:sz w:val="28"/>
          <w:szCs w:val="28"/>
        </w:rPr>
        <w:t>招标项目类别，</w:t>
      </w:r>
      <w:r>
        <w:rPr>
          <w:rFonts w:hint="eastAsia" w:ascii="仿宋" w:hAnsi="仿宋" w:eastAsia="仿宋" w:cs="仿宋"/>
          <w:bCs/>
          <w:sz w:val="28"/>
          <w:szCs w:val="28"/>
        </w:rPr>
        <w:t>根据预算规模（以</w:t>
      </w:r>
      <w:r>
        <w:rPr>
          <w:rFonts w:ascii="仿宋" w:hAnsi="仿宋" w:eastAsia="仿宋" w:cs="仿宋"/>
          <w:bCs/>
          <w:sz w:val="28"/>
          <w:szCs w:val="28"/>
        </w:rPr>
        <w:t>招标人委托金额为准</w:t>
      </w:r>
      <w:r>
        <w:rPr>
          <w:rFonts w:hint="eastAsia" w:ascii="仿宋" w:hAnsi="仿宋" w:eastAsia="仿宋" w:cs="仿宋"/>
          <w:bCs/>
          <w:sz w:val="28"/>
          <w:szCs w:val="28"/>
        </w:rPr>
        <w:t>）分段</w:t>
      </w:r>
      <w:r>
        <w:rPr>
          <w:rFonts w:ascii="仿宋" w:hAnsi="仿宋" w:eastAsia="仿宋" w:cs="仿宋"/>
          <w:bCs/>
          <w:sz w:val="28"/>
          <w:szCs w:val="28"/>
        </w:rPr>
        <w:t>报价</w:t>
      </w:r>
      <w:r>
        <w:rPr>
          <w:rFonts w:hint="eastAsia" w:ascii="仿宋" w:hAnsi="仿宋" w:eastAsia="仿宋" w:cs="仿宋"/>
          <w:bCs/>
          <w:sz w:val="28"/>
          <w:szCs w:val="28"/>
        </w:rPr>
        <w:t>，包含项目实施所需的全部费用，使用招标人或采购代理机构开评标以外的场地而产生的场地租赁费用、专家费用除外；一次性报价，不得更改。</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报价分段模式</w:t>
      </w:r>
      <w:r>
        <w:rPr>
          <w:rFonts w:ascii="仿宋" w:hAnsi="仿宋" w:eastAsia="仿宋" w:cs="仿宋"/>
          <w:bCs/>
          <w:sz w:val="28"/>
          <w:szCs w:val="28"/>
        </w:rPr>
        <w:t>如下：</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before="48" w:beforeLines="20" w:after="48" w:afterLines="20"/>
              <w:jc w:val="center"/>
              <w:rPr>
                <w:rFonts w:ascii="宋体" w:hAnsi="宋体" w:cs="宋体"/>
                <w:b/>
                <w:sz w:val="24"/>
                <w:szCs w:val="24"/>
              </w:rPr>
            </w:pPr>
            <w:r>
              <w:rPr>
                <w:rFonts w:hint="eastAsia" w:ascii="宋体" w:hAnsi="宋体" w:cs="宋体"/>
                <w:b/>
                <w:sz w:val="24"/>
                <w:szCs w:val="24"/>
              </w:rPr>
              <w:t>预算</w:t>
            </w:r>
            <w:r>
              <w:rPr>
                <w:rFonts w:ascii="宋体" w:hAnsi="宋体" w:cs="宋体"/>
                <w:b/>
                <w:sz w:val="24"/>
                <w:szCs w:val="24"/>
              </w:rPr>
              <w:t>规模</w:t>
            </w:r>
          </w:p>
        </w:tc>
        <w:tc>
          <w:tcPr>
            <w:tcW w:w="2765" w:type="dxa"/>
          </w:tcPr>
          <w:p>
            <w:pPr>
              <w:spacing w:before="48" w:beforeLines="20" w:after="48" w:afterLines="20"/>
              <w:jc w:val="center"/>
              <w:rPr>
                <w:rFonts w:ascii="宋体" w:hAnsi="宋体" w:cs="宋体"/>
                <w:b/>
                <w:sz w:val="24"/>
                <w:szCs w:val="24"/>
              </w:rPr>
            </w:pPr>
            <w:r>
              <w:rPr>
                <w:rFonts w:hint="eastAsia" w:ascii="宋体" w:hAnsi="宋体" w:cs="宋体"/>
                <w:b/>
                <w:sz w:val="24"/>
                <w:szCs w:val="24"/>
              </w:rPr>
              <w:t>报价权重</w:t>
            </w:r>
          </w:p>
        </w:tc>
        <w:tc>
          <w:tcPr>
            <w:tcW w:w="2765" w:type="dxa"/>
          </w:tcPr>
          <w:p>
            <w:pPr>
              <w:spacing w:before="48" w:beforeLines="20" w:after="48" w:afterLines="20"/>
              <w:jc w:val="center"/>
              <w:rPr>
                <w:rFonts w:ascii="宋体" w:hAnsi="宋体" w:cs="宋体"/>
                <w:b/>
                <w:sz w:val="24"/>
                <w:szCs w:val="24"/>
              </w:rPr>
            </w:pPr>
            <w:r>
              <w:rPr>
                <w:rFonts w:hint="eastAsia" w:ascii="宋体" w:hAnsi="宋体" w:cs="宋体"/>
                <w:b/>
                <w:sz w:val="24"/>
                <w:szCs w:val="24"/>
              </w:rPr>
              <w:t>对应分值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before="48" w:beforeLines="20" w:after="48" w:afterLines="20"/>
              <w:rPr>
                <w:rFonts w:ascii="宋体" w:hAnsi="宋体" w:cs="宋体"/>
                <w:bCs/>
                <w:sz w:val="24"/>
                <w:szCs w:val="24"/>
              </w:rPr>
            </w:pPr>
            <w:r>
              <w:rPr>
                <w:rFonts w:hint="eastAsia" w:ascii="宋体" w:hAnsi="宋体" w:cs="宋体"/>
                <w:bCs/>
                <w:sz w:val="24"/>
                <w:szCs w:val="24"/>
              </w:rPr>
              <w:t>0-500万元</w:t>
            </w:r>
            <w:r>
              <w:rPr>
                <w:rFonts w:ascii="宋体" w:hAnsi="宋体" w:cs="宋体"/>
                <w:bCs/>
                <w:sz w:val="24"/>
                <w:szCs w:val="24"/>
              </w:rPr>
              <w:t>（</w:t>
            </w:r>
            <w:r>
              <w:rPr>
                <w:rFonts w:hint="eastAsia" w:ascii="宋体" w:hAnsi="宋体" w:cs="宋体"/>
                <w:bCs/>
                <w:sz w:val="24"/>
                <w:szCs w:val="24"/>
              </w:rPr>
              <w:t>含</w:t>
            </w:r>
            <w:r>
              <w:rPr>
                <w:rFonts w:ascii="宋体" w:hAnsi="宋体" w:cs="宋体"/>
                <w:bCs/>
                <w:sz w:val="24"/>
                <w:szCs w:val="24"/>
              </w:rPr>
              <w:t>）</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15%</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before="48" w:beforeLines="20" w:after="48" w:afterLines="20"/>
              <w:rPr>
                <w:rFonts w:ascii="宋体" w:hAnsi="宋体" w:cs="宋体"/>
                <w:bCs/>
                <w:sz w:val="24"/>
                <w:szCs w:val="24"/>
              </w:rPr>
            </w:pPr>
            <w:r>
              <w:rPr>
                <w:rFonts w:hint="eastAsia" w:ascii="宋体" w:hAnsi="宋体" w:cs="宋体"/>
                <w:bCs/>
                <w:sz w:val="24"/>
                <w:szCs w:val="24"/>
              </w:rPr>
              <w:t>500-1000万元</w:t>
            </w:r>
            <w:r>
              <w:rPr>
                <w:rFonts w:ascii="宋体" w:hAnsi="宋体" w:cs="宋体"/>
                <w:bCs/>
                <w:sz w:val="24"/>
                <w:szCs w:val="24"/>
              </w:rPr>
              <w:t>（</w:t>
            </w:r>
            <w:r>
              <w:rPr>
                <w:rFonts w:hint="eastAsia" w:ascii="宋体" w:hAnsi="宋体" w:cs="宋体"/>
                <w:bCs/>
                <w:sz w:val="24"/>
                <w:szCs w:val="24"/>
              </w:rPr>
              <w:t>含</w:t>
            </w:r>
            <w:r>
              <w:rPr>
                <w:rFonts w:ascii="宋体" w:hAnsi="宋体" w:cs="宋体"/>
                <w:bCs/>
                <w:sz w:val="24"/>
                <w:szCs w:val="24"/>
              </w:rPr>
              <w:t>）</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10%</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before="48" w:beforeLines="20" w:after="48" w:afterLines="20"/>
              <w:rPr>
                <w:rFonts w:ascii="宋体" w:hAnsi="宋体" w:cs="宋体"/>
                <w:bCs/>
                <w:sz w:val="24"/>
                <w:szCs w:val="24"/>
              </w:rPr>
            </w:pPr>
            <w:r>
              <w:rPr>
                <w:rFonts w:hint="eastAsia" w:ascii="宋体" w:hAnsi="宋体" w:cs="宋体"/>
                <w:bCs/>
                <w:sz w:val="24"/>
                <w:szCs w:val="24"/>
              </w:rPr>
              <w:t>1000-5000万元</w:t>
            </w:r>
            <w:r>
              <w:rPr>
                <w:rFonts w:ascii="宋体" w:hAnsi="宋体" w:cs="宋体"/>
                <w:bCs/>
                <w:sz w:val="24"/>
                <w:szCs w:val="24"/>
              </w:rPr>
              <w:t>（</w:t>
            </w:r>
            <w:r>
              <w:rPr>
                <w:rFonts w:hint="eastAsia" w:ascii="宋体" w:hAnsi="宋体" w:cs="宋体"/>
                <w:bCs/>
                <w:sz w:val="24"/>
                <w:szCs w:val="24"/>
              </w:rPr>
              <w:t>含</w:t>
            </w:r>
            <w:r>
              <w:rPr>
                <w:rFonts w:ascii="宋体" w:hAnsi="宋体" w:cs="宋体"/>
                <w:bCs/>
                <w:sz w:val="24"/>
                <w:szCs w:val="24"/>
              </w:rPr>
              <w:t>）</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10%</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before="48" w:beforeLines="20" w:after="48" w:afterLines="20"/>
              <w:rPr>
                <w:rFonts w:ascii="宋体" w:hAnsi="宋体" w:cs="宋体"/>
                <w:bCs/>
                <w:sz w:val="24"/>
                <w:szCs w:val="24"/>
              </w:rPr>
            </w:pPr>
            <w:r>
              <w:rPr>
                <w:rFonts w:ascii="宋体" w:hAnsi="宋体" w:cs="宋体"/>
                <w:bCs/>
                <w:sz w:val="24"/>
                <w:szCs w:val="24"/>
              </w:rPr>
              <w:t>5</w:t>
            </w:r>
            <w:r>
              <w:rPr>
                <w:rFonts w:hint="eastAsia" w:ascii="宋体" w:hAnsi="宋体" w:cs="宋体"/>
                <w:bCs/>
                <w:sz w:val="24"/>
                <w:szCs w:val="24"/>
              </w:rPr>
              <w:t>000-</w:t>
            </w:r>
            <w:r>
              <w:rPr>
                <w:rFonts w:ascii="宋体" w:hAnsi="宋体" w:cs="宋体"/>
                <w:bCs/>
                <w:sz w:val="24"/>
                <w:szCs w:val="24"/>
              </w:rPr>
              <w:t>10</w:t>
            </w:r>
            <w:r>
              <w:rPr>
                <w:rFonts w:hint="eastAsia" w:ascii="宋体" w:hAnsi="宋体" w:cs="宋体"/>
                <w:bCs/>
                <w:sz w:val="24"/>
                <w:szCs w:val="24"/>
              </w:rPr>
              <w:t>000万元</w:t>
            </w:r>
            <w:r>
              <w:rPr>
                <w:rFonts w:ascii="宋体" w:hAnsi="宋体" w:cs="宋体"/>
                <w:bCs/>
                <w:sz w:val="24"/>
                <w:szCs w:val="24"/>
              </w:rPr>
              <w:t>（</w:t>
            </w:r>
            <w:r>
              <w:rPr>
                <w:rFonts w:hint="eastAsia" w:ascii="宋体" w:hAnsi="宋体" w:cs="宋体"/>
                <w:bCs/>
                <w:sz w:val="24"/>
                <w:szCs w:val="24"/>
              </w:rPr>
              <w:t>含</w:t>
            </w:r>
            <w:r>
              <w:rPr>
                <w:rFonts w:ascii="宋体" w:hAnsi="宋体" w:cs="宋体"/>
                <w:bCs/>
                <w:sz w:val="24"/>
                <w:szCs w:val="24"/>
              </w:rPr>
              <w:t>）</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30%</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before="48" w:beforeLines="20" w:after="48" w:afterLines="20"/>
              <w:rPr>
                <w:rFonts w:ascii="宋体" w:hAnsi="宋体" w:cs="宋体"/>
                <w:bCs/>
                <w:sz w:val="24"/>
                <w:szCs w:val="24"/>
              </w:rPr>
            </w:pPr>
            <w:r>
              <w:rPr>
                <w:rFonts w:hint="eastAsia" w:ascii="宋体" w:hAnsi="宋体" w:cs="宋体"/>
                <w:bCs/>
                <w:sz w:val="24"/>
                <w:szCs w:val="24"/>
              </w:rPr>
              <w:t>10</w:t>
            </w:r>
            <w:r>
              <w:rPr>
                <w:rFonts w:ascii="宋体" w:hAnsi="宋体" w:cs="宋体"/>
                <w:bCs/>
                <w:sz w:val="24"/>
                <w:szCs w:val="24"/>
              </w:rPr>
              <w:t>0</w:t>
            </w:r>
            <w:r>
              <w:rPr>
                <w:rFonts w:hint="eastAsia" w:ascii="宋体" w:hAnsi="宋体" w:cs="宋体"/>
                <w:bCs/>
                <w:sz w:val="24"/>
                <w:szCs w:val="24"/>
              </w:rPr>
              <w:t>00-500</w:t>
            </w:r>
            <w:r>
              <w:rPr>
                <w:rFonts w:ascii="宋体" w:hAnsi="宋体" w:cs="宋体"/>
                <w:bCs/>
                <w:sz w:val="24"/>
                <w:szCs w:val="24"/>
              </w:rPr>
              <w:t>0</w:t>
            </w:r>
            <w:r>
              <w:rPr>
                <w:rFonts w:hint="eastAsia" w:ascii="宋体" w:hAnsi="宋体" w:cs="宋体"/>
                <w:bCs/>
                <w:sz w:val="24"/>
                <w:szCs w:val="24"/>
              </w:rPr>
              <w:t>0万元</w:t>
            </w:r>
            <w:r>
              <w:rPr>
                <w:rFonts w:ascii="宋体" w:hAnsi="宋体" w:cs="宋体"/>
                <w:bCs/>
                <w:sz w:val="24"/>
                <w:szCs w:val="24"/>
              </w:rPr>
              <w:t>（</w:t>
            </w:r>
            <w:r>
              <w:rPr>
                <w:rFonts w:hint="eastAsia" w:ascii="宋体" w:hAnsi="宋体" w:cs="宋体"/>
                <w:bCs/>
                <w:sz w:val="24"/>
                <w:szCs w:val="24"/>
              </w:rPr>
              <w:t>含</w:t>
            </w:r>
            <w:r>
              <w:rPr>
                <w:rFonts w:ascii="宋体" w:hAnsi="宋体" w:cs="宋体"/>
                <w:bCs/>
                <w:sz w:val="24"/>
                <w:szCs w:val="24"/>
              </w:rPr>
              <w:t>）</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30%</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before="48" w:beforeLines="20" w:after="48" w:afterLines="20"/>
              <w:rPr>
                <w:rFonts w:ascii="宋体" w:hAnsi="宋体" w:cs="宋体"/>
                <w:bCs/>
                <w:sz w:val="24"/>
                <w:szCs w:val="24"/>
              </w:rPr>
            </w:pPr>
            <w:r>
              <w:rPr>
                <w:rFonts w:hint="eastAsia" w:ascii="宋体" w:hAnsi="宋体" w:cs="宋体"/>
                <w:bCs/>
                <w:sz w:val="24"/>
                <w:szCs w:val="24"/>
              </w:rPr>
              <w:t>50000万元</w:t>
            </w:r>
            <w:r>
              <w:rPr>
                <w:rFonts w:ascii="宋体" w:hAnsi="宋体" w:cs="宋体"/>
                <w:bCs/>
                <w:sz w:val="24"/>
                <w:szCs w:val="24"/>
              </w:rPr>
              <w:t>以上</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5%</w:t>
            </w:r>
          </w:p>
        </w:tc>
        <w:tc>
          <w:tcPr>
            <w:tcW w:w="2765" w:type="dxa"/>
          </w:tcPr>
          <w:p>
            <w:pPr>
              <w:spacing w:before="48" w:beforeLines="20" w:after="48" w:afterLines="20"/>
              <w:jc w:val="center"/>
              <w:rPr>
                <w:rFonts w:ascii="宋体" w:hAnsi="宋体" w:cs="宋体"/>
                <w:bCs/>
                <w:sz w:val="24"/>
                <w:szCs w:val="24"/>
              </w:rPr>
            </w:pPr>
            <w:r>
              <w:rPr>
                <w:rFonts w:hint="eastAsia" w:ascii="宋体" w:hAnsi="宋体" w:cs="宋体"/>
                <w:bCs/>
                <w:sz w:val="24"/>
                <w:szCs w:val="24"/>
              </w:rPr>
              <w:t>0.9</w:t>
            </w:r>
          </w:p>
        </w:tc>
      </w:tr>
    </w:tbl>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2</w:t>
      </w:r>
      <w:r>
        <w:rPr>
          <w:rFonts w:hint="eastAsia" w:ascii="仿宋" w:hAnsi="仿宋" w:eastAsia="仿宋" w:cs="仿宋"/>
          <w:bCs/>
          <w:sz w:val="28"/>
          <w:szCs w:val="28"/>
        </w:rPr>
        <w:t>）单个项目的审查费用：不区分标段数量和预算规模，包含目审查所需的除聘请外部专家费用以外的全部费用；一次性报价，不得更改。</w:t>
      </w:r>
    </w:p>
    <w:p>
      <w:pPr>
        <w:rPr>
          <w:rFonts w:ascii="仿宋" w:hAnsi="仿宋" w:eastAsia="仿宋" w:cs="仿宋"/>
          <w:b/>
          <w:sz w:val="30"/>
          <w:szCs w:val="30"/>
        </w:rPr>
      </w:pPr>
      <w:r>
        <w:rPr>
          <w:rFonts w:hint="eastAsia" w:ascii="仿宋" w:hAnsi="仿宋" w:eastAsia="仿宋" w:cs="仿宋"/>
          <w:b/>
          <w:sz w:val="30"/>
          <w:szCs w:val="30"/>
        </w:rPr>
        <w:br w:type="page"/>
      </w:r>
    </w:p>
    <w:p>
      <w:pPr>
        <w:keepNext w:val="0"/>
        <w:keepLines w:val="0"/>
        <w:pageBreakBefore w:val="0"/>
        <w:widowControl w:val="0"/>
        <w:kinsoku/>
        <w:wordWrap/>
        <w:overflowPunct/>
        <w:topLinePunct w:val="0"/>
        <w:autoSpaceDE/>
        <w:autoSpaceDN/>
        <w:bidi w:val="0"/>
        <w:adjustRightInd/>
        <w:snapToGrid/>
        <w:spacing w:before="240" w:beforeLines="100" w:after="240" w:afterLines="100"/>
        <w:ind w:firstLine="0"/>
        <w:textAlignment w:val="auto"/>
        <w:outlineLvl w:val="1"/>
        <w:rPr>
          <w:rFonts w:ascii="仿宋" w:hAnsi="仿宋" w:eastAsia="仿宋" w:cs="仿宋"/>
          <w:b/>
          <w:sz w:val="30"/>
          <w:szCs w:val="30"/>
        </w:rPr>
      </w:pPr>
      <w:r>
        <w:rPr>
          <w:rFonts w:hint="eastAsia" w:ascii="仿宋" w:hAnsi="仿宋" w:eastAsia="仿宋" w:cs="仿宋"/>
          <w:b/>
          <w:sz w:val="30"/>
          <w:szCs w:val="30"/>
        </w:rPr>
        <w:t>三、标1-2商务要求表：</w:t>
      </w:r>
    </w:p>
    <w:tbl>
      <w:tblPr>
        <w:tblStyle w:val="59"/>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63"/>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8" w:hRule="atLeast"/>
          <w:jc w:val="center"/>
        </w:trPr>
        <w:tc>
          <w:tcPr>
            <w:tcW w:w="1963" w:type="dxa"/>
            <w:vAlign w:val="center"/>
          </w:tcPr>
          <w:p>
            <w:pPr>
              <w:spacing w:before="72" w:beforeLines="30" w:after="72" w:afterLines="30"/>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服务期限及地点</w:t>
            </w:r>
          </w:p>
        </w:tc>
        <w:tc>
          <w:tcPr>
            <w:tcW w:w="7192" w:type="dxa"/>
            <w:vAlign w:val="center"/>
          </w:tcPr>
          <w:p>
            <w:pPr>
              <w:pStyle w:val="464"/>
              <w:adjustRightInd/>
              <w:spacing w:before="72" w:beforeLines="30" w:after="72" w:afterLines="30" w:line="240" w:lineRule="auto"/>
              <w:ind w:firstLine="0"/>
              <w:rPr>
                <w:rFonts w:ascii="仿宋" w:hAnsi="仿宋" w:eastAsia="仿宋" w:cs="仿宋"/>
                <w:bCs/>
                <w:color w:val="000000" w:themeColor="text1"/>
                <w:kern w:val="2"/>
                <w:sz w:val="28"/>
                <w:szCs w:val="28"/>
                <w14:textFill>
                  <w14:solidFill>
                    <w14:schemeClr w14:val="tx1"/>
                  </w14:solidFill>
                </w14:textFill>
              </w:rPr>
            </w:pPr>
            <w:r>
              <w:rPr>
                <w:rFonts w:hint="eastAsia" w:ascii="仿宋" w:hAnsi="仿宋" w:eastAsia="仿宋" w:cs="仿宋"/>
                <w:bCs/>
                <w:color w:val="000000" w:themeColor="text1"/>
                <w:kern w:val="2"/>
                <w:sz w:val="28"/>
                <w:szCs w:val="28"/>
                <w14:textFill>
                  <w14:solidFill>
                    <w14:schemeClr w14:val="tx1"/>
                  </w14:solidFill>
                </w14:textFill>
              </w:rPr>
              <w:t>服务期限：自合同签订之日起2年。经考核连续两年优秀的，可视情况续约。</w:t>
            </w:r>
          </w:p>
          <w:p>
            <w:pPr>
              <w:pStyle w:val="464"/>
              <w:adjustRightInd/>
              <w:spacing w:before="72" w:beforeLines="30" w:after="72" w:afterLines="30" w:line="240" w:lineRule="auto"/>
              <w:ind w:firstLine="0"/>
              <w:rPr>
                <w:rFonts w:ascii="仿宋" w:hAnsi="仿宋" w:eastAsia="仿宋" w:cs="仿宋"/>
                <w:sz w:val="28"/>
                <w:szCs w:val="28"/>
              </w:rPr>
            </w:pPr>
            <w:r>
              <w:rPr>
                <w:rFonts w:hint="eastAsia" w:ascii="仿宋" w:hAnsi="仿宋" w:eastAsia="仿宋" w:cs="仿宋"/>
                <w:bCs/>
                <w:color w:val="000000" w:themeColor="text1"/>
                <w:kern w:val="2"/>
                <w:sz w:val="28"/>
                <w:szCs w:val="28"/>
                <w14:textFill>
                  <w14:solidFill>
                    <w14:schemeClr w14:val="tx1"/>
                  </w14:solidFill>
                </w14:textFill>
              </w:rPr>
              <w:t>地点：杭州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3" w:hRule="atLeast"/>
          <w:jc w:val="center"/>
        </w:trPr>
        <w:tc>
          <w:tcPr>
            <w:tcW w:w="1963" w:type="dxa"/>
            <w:vAlign w:val="center"/>
          </w:tcPr>
          <w:p>
            <w:pPr>
              <w:spacing w:before="72" w:beforeLines="30" w:after="72" w:afterLines="30"/>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付款条件</w:t>
            </w:r>
          </w:p>
        </w:tc>
        <w:tc>
          <w:tcPr>
            <w:tcW w:w="7192" w:type="dxa"/>
          </w:tcPr>
          <w:p>
            <w:pPr>
              <w:spacing w:before="72" w:beforeLines="30" w:after="72" w:afterLines="30"/>
              <w:rPr>
                <w:rFonts w:ascii="仿宋_GB2312" w:eastAsia="仿宋_GB2312" w:cs="宋体" w:hAnsiTheme="minorEastAsia"/>
                <w:sz w:val="28"/>
                <w:szCs w:val="28"/>
              </w:rPr>
            </w:pPr>
            <w:r>
              <w:rPr>
                <w:rFonts w:hint="eastAsia" w:ascii="仿宋_GB2312" w:eastAsia="仿宋_GB2312" w:cs="宋体" w:hAnsiTheme="minorEastAsia"/>
                <w:sz w:val="28"/>
                <w:szCs w:val="28"/>
              </w:rPr>
              <w:t>招标人在</w:t>
            </w:r>
            <w:r>
              <w:rPr>
                <w:rFonts w:ascii="仿宋_GB2312" w:eastAsia="仿宋_GB2312" w:cs="宋体" w:hAnsiTheme="minorEastAsia"/>
                <w:sz w:val="28"/>
                <w:szCs w:val="28"/>
              </w:rPr>
              <w:t>每季</w:t>
            </w:r>
            <w:r>
              <w:rPr>
                <w:rFonts w:hint="eastAsia" w:ascii="仿宋_GB2312" w:eastAsia="仿宋_GB2312" w:cs="宋体" w:hAnsiTheme="minorEastAsia"/>
                <w:sz w:val="28"/>
                <w:szCs w:val="28"/>
              </w:rPr>
              <w:t>度结束</w:t>
            </w:r>
            <w:r>
              <w:rPr>
                <w:rFonts w:ascii="仿宋_GB2312" w:eastAsia="仿宋_GB2312" w:cs="宋体" w:hAnsiTheme="minorEastAsia"/>
                <w:sz w:val="28"/>
                <w:szCs w:val="28"/>
              </w:rPr>
              <w:t>后</w:t>
            </w:r>
            <w:r>
              <w:rPr>
                <w:rFonts w:hint="eastAsia" w:ascii="仿宋_GB2312" w:eastAsia="仿宋_GB2312" w:cs="宋体" w:hAnsiTheme="minorEastAsia"/>
                <w:sz w:val="28"/>
                <w:szCs w:val="28"/>
              </w:rPr>
              <w:t>的</w:t>
            </w:r>
            <w:r>
              <w:rPr>
                <w:rFonts w:ascii="仿宋_GB2312" w:eastAsia="仿宋_GB2312" w:cs="宋体" w:hAnsiTheme="minorEastAsia"/>
                <w:sz w:val="28"/>
                <w:szCs w:val="28"/>
              </w:rPr>
              <w:t>次月</w:t>
            </w:r>
            <w:r>
              <w:rPr>
                <w:rFonts w:hint="eastAsia" w:ascii="仿宋_GB2312" w:eastAsia="仿宋_GB2312" w:cs="宋体" w:hAnsiTheme="minorEastAsia"/>
                <w:sz w:val="28"/>
                <w:szCs w:val="28"/>
              </w:rPr>
              <w:t>，</w:t>
            </w:r>
            <w:r>
              <w:rPr>
                <w:rFonts w:ascii="仿宋_GB2312" w:eastAsia="仿宋_GB2312" w:cs="宋体" w:hAnsiTheme="minorEastAsia"/>
                <w:sz w:val="28"/>
                <w:szCs w:val="28"/>
              </w:rPr>
              <w:t>统一对上一季度</w:t>
            </w:r>
            <w:r>
              <w:rPr>
                <w:rFonts w:hint="eastAsia" w:ascii="仿宋_GB2312" w:eastAsia="仿宋_GB2312" w:cs="宋体" w:hAnsiTheme="minorEastAsia"/>
                <w:sz w:val="28"/>
                <w:szCs w:val="28"/>
              </w:rPr>
              <w:t>中成果验收合格且收到符合招标人要求的合法有效的等额增值税专用发票后，一次性支付全部款项。</w:t>
            </w:r>
          </w:p>
          <w:p>
            <w:pPr>
              <w:spacing w:before="72" w:beforeLines="30" w:after="72" w:afterLines="30"/>
              <w:rPr>
                <w:rFonts w:ascii="仿宋" w:hAnsi="仿宋" w:eastAsia="仿宋" w:cs="仿宋"/>
                <w:bCs/>
                <w:color w:val="000000" w:themeColor="text1"/>
                <w:sz w:val="28"/>
                <w:szCs w:val="28"/>
                <w14:textFill>
                  <w14:solidFill>
                    <w14:schemeClr w14:val="tx1"/>
                  </w14:solidFill>
                </w14:textFill>
              </w:rPr>
            </w:pPr>
            <w:r>
              <w:rPr>
                <w:rFonts w:hint="eastAsia" w:ascii="仿宋_GB2312" w:eastAsia="仿宋_GB2312" w:cs="宋体" w:hAnsiTheme="minorEastAsia"/>
                <w:sz w:val="28"/>
                <w:szCs w:val="28"/>
              </w:rPr>
              <w:t>本项目</w:t>
            </w:r>
            <w:r>
              <w:rPr>
                <w:rFonts w:ascii="仿宋_GB2312" w:eastAsia="仿宋_GB2312" w:cs="宋体" w:hAnsiTheme="minorEastAsia"/>
                <w:sz w:val="28"/>
                <w:szCs w:val="28"/>
              </w:rPr>
              <w:t>履约保证金</w:t>
            </w:r>
            <w:r>
              <w:rPr>
                <w:rFonts w:hint="eastAsia" w:ascii="仿宋_GB2312" w:eastAsia="仿宋_GB2312" w:cs="宋体" w:hAnsiTheme="minorEastAsia"/>
                <w:sz w:val="28"/>
                <w:szCs w:val="28"/>
              </w:rPr>
              <w:t>为人民币50</w:t>
            </w:r>
            <w:r>
              <w:rPr>
                <w:rFonts w:ascii="仿宋_GB2312" w:eastAsia="仿宋_GB2312" w:cs="宋体" w:hAnsiTheme="minorEastAsia"/>
                <w:sz w:val="28"/>
                <w:szCs w:val="28"/>
              </w:rPr>
              <w:t>,</w:t>
            </w:r>
            <w:r>
              <w:rPr>
                <w:rFonts w:hint="eastAsia" w:ascii="仿宋_GB2312" w:eastAsia="仿宋_GB2312" w:cs="宋体" w:hAnsiTheme="minorEastAsia"/>
                <w:sz w:val="28"/>
                <w:szCs w:val="28"/>
              </w:rPr>
              <w:t>000</w:t>
            </w:r>
            <w:r>
              <w:rPr>
                <w:rFonts w:ascii="仿宋_GB2312" w:eastAsia="仿宋_GB2312" w:cs="宋体" w:hAnsiTheme="minorEastAsia"/>
                <w:sz w:val="28"/>
                <w:szCs w:val="28"/>
              </w:rPr>
              <w:t>.00</w:t>
            </w:r>
            <w:r>
              <w:rPr>
                <w:rFonts w:hint="eastAsia" w:ascii="仿宋_GB2312" w:eastAsia="仿宋_GB2312" w:cs="宋体" w:hAnsiTheme="minorEastAsia"/>
                <w:sz w:val="28"/>
                <w:szCs w:val="28"/>
              </w:rPr>
              <w:t>元</w:t>
            </w:r>
            <w:r>
              <w:rPr>
                <w:rFonts w:ascii="仿宋_GB2312" w:eastAsia="仿宋_GB2312" w:cs="宋体" w:hAnsi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7" w:hRule="atLeast"/>
          <w:jc w:val="center"/>
        </w:trPr>
        <w:tc>
          <w:tcPr>
            <w:tcW w:w="1963" w:type="dxa"/>
            <w:vAlign w:val="center"/>
          </w:tcPr>
          <w:p>
            <w:pPr>
              <w:spacing w:before="72" w:beforeLines="30" w:after="72" w:afterLines="30"/>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违约责任及争议解决方式</w:t>
            </w:r>
          </w:p>
        </w:tc>
        <w:tc>
          <w:tcPr>
            <w:tcW w:w="7192" w:type="dxa"/>
            <w:vAlign w:val="center"/>
          </w:tcPr>
          <w:p>
            <w:pPr>
              <w:spacing w:before="72" w:beforeLines="30" w:after="72" w:afterLines="3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如无特别说明，按“第五章 采购合同主要条款指引”相关违约责任及争议解决方式内容。</w:t>
            </w:r>
          </w:p>
        </w:tc>
      </w:tr>
    </w:tbl>
    <w:p>
      <w:pPr>
        <w:pStyle w:val="53"/>
        <w:spacing w:before="120" w:beforeLines="50" w:after="72" w:line="360" w:lineRule="auto"/>
        <w:jc w:val="center"/>
        <w:outlineLvl w:val="0"/>
        <w:rPr>
          <w:rFonts w:hint="eastAsia" w:ascii="宋体" w:hAnsi="宋体" w:eastAsia="宋体" w:cs="宋体"/>
          <w:b/>
          <w:color w:val="000000" w:themeColor="text1"/>
          <w:sz w:val="36"/>
          <w:szCs w:val="36"/>
          <w:lang w:bidi="ar"/>
          <w14:textFill>
            <w14:solidFill>
              <w14:schemeClr w14:val="tx1"/>
            </w14:solidFill>
          </w14:textFill>
        </w:rPr>
      </w:pPr>
      <w:bookmarkStart w:id="13" w:name="PO_TDCUS_ITEM_PB_REQ_TABLE_11_2"/>
      <w:bookmarkEnd w:id="13"/>
      <w:bookmarkStart w:id="14" w:name="PO_416_PM050"/>
      <w:bookmarkEnd w:id="14"/>
      <w:r>
        <w:rPr>
          <w:b/>
          <w:color w:val="000000" w:themeColor="text1"/>
          <w:sz w:val="36"/>
          <w:szCs w:val="36"/>
          <w14:textFill>
            <w14:solidFill>
              <w14:schemeClr w14:val="tx1"/>
            </w14:solidFill>
          </w14:textFill>
        </w:rPr>
        <w:br w:type="page"/>
      </w:r>
      <w:r>
        <w:rPr>
          <w:rFonts w:hint="eastAsia" w:ascii="宋体" w:hAnsi="宋体" w:eastAsia="宋体" w:cs="宋体"/>
          <w:b/>
          <w:color w:val="000000" w:themeColor="text1"/>
          <w:sz w:val="36"/>
          <w:szCs w:val="36"/>
          <w:lang w:bidi="ar"/>
          <w14:textFill>
            <w14:solidFill>
              <w14:schemeClr w14:val="tx1"/>
            </w14:solidFill>
          </w14:textFill>
        </w:rPr>
        <w:t>第五章  采购合同主要条款指引</w:t>
      </w:r>
    </w:p>
    <w:p>
      <w:pPr>
        <w:pStyle w:val="53"/>
        <w:keepNext w:val="0"/>
        <w:keepLines w:val="0"/>
        <w:pageBreakBefore w:val="0"/>
        <w:widowControl/>
        <w:kinsoku/>
        <w:wordWrap/>
        <w:overflowPunct/>
        <w:topLinePunct w:val="0"/>
        <w:autoSpaceDE/>
        <w:autoSpaceDN/>
        <w:bidi w:val="0"/>
        <w:adjustRightInd/>
        <w:snapToGrid/>
        <w:spacing w:before="0" w:beforeAutospacing="0" w:after="0" w:afterLines="100" w:afterAutospacing="0" w:line="240" w:lineRule="auto"/>
        <w:ind w:firstLine="0" w:firstLineChars="0"/>
        <w:jc w:val="center"/>
        <w:textAlignment w:val="auto"/>
        <w:outlineLvl w:val="0"/>
        <w:rPr>
          <w:rFonts w:hint="eastAsia" w:ascii="宋体" w:hAnsi="宋体" w:eastAsia="宋体" w:cs="宋体"/>
          <w:b/>
          <w:color w:val="000000" w:themeColor="text1"/>
          <w:sz w:val="36"/>
          <w:szCs w:val="36"/>
          <w:lang w:bidi="ar"/>
          <w14:textFill>
            <w14:solidFill>
              <w14:schemeClr w14:val="tx1"/>
            </w14:solidFill>
          </w14:textFill>
        </w:rPr>
      </w:pPr>
      <w:bookmarkStart w:id="15" w:name="_Toc496796640"/>
      <w:r>
        <w:rPr>
          <w:rFonts w:hint="eastAsia" w:ascii="宋体" w:hAnsi="宋体" w:eastAsia="宋体" w:cs="宋体"/>
          <w:b/>
          <w:color w:val="000000" w:themeColor="text1"/>
          <w:sz w:val="36"/>
          <w:szCs w:val="36"/>
          <w:lang w:bidi="ar"/>
          <w14:textFill>
            <w14:solidFill>
              <w14:schemeClr w14:val="tx1"/>
            </w14:solidFill>
          </w14:textFill>
        </w:rPr>
        <w:t>浙商银行股份有限公司采购代理服务合作协议</w:t>
      </w:r>
    </w:p>
    <w:p>
      <w:pPr>
        <w:pStyle w:val="674"/>
        <w:keepNext w:val="0"/>
        <w:keepLines w:val="0"/>
        <w:pageBreakBefore w:val="0"/>
        <w:widowControl w:val="0"/>
        <w:kinsoku/>
        <w:wordWrap/>
        <w:overflowPunct/>
        <w:topLinePunct w:val="0"/>
        <w:autoSpaceDE w:val="0"/>
        <w:autoSpaceDN w:val="0"/>
        <w:bidi w:val="0"/>
        <w:adjustRightInd w:val="0"/>
        <w:snapToGrid/>
        <w:spacing w:before="0" w:beforeLines="50" w:beforeAutospacing="0" w:after="0" w:afterLines="50" w:line="240" w:lineRule="auto"/>
        <w:ind w:firstLine="0" w:firstLineChars="0"/>
        <w:jc w:val="center"/>
        <w:textAlignment w:val="auto"/>
        <w:rPr>
          <w:rFonts w:hint="eastAsia" w:ascii="宋体" w:hAnsi="宋体" w:cs="宋体"/>
          <w:b/>
          <w:sz w:val="21"/>
          <w:szCs w:val="21"/>
        </w:rPr>
      </w:pPr>
      <w:r>
        <w:rPr>
          <w:rFonts w:hint="eastAsia" w:ascii="宋体" w:hAnsi="宋体" w:cs="宋体"/>
          <w:b/>
          <w:spacing w:val="-6"/>
          <w:sz w:val="21"/>
          <w:szCs w:val="21"/>
        </w:rPr>
        <w:t>（本合同仅为合同模板，入围</w:t>
      </w:r>
      <w:r>
        <w:rPr>
          <w:rFonts w:hint="eastAsia" w:ascii="宋体" w:hAnsi="宋体" w:cs="宋体"/>
          <w:b/>
          <w:color w:val="auto"/>
          <w:kern w:val="2"/>
          <w:sz w:val="21"/>
          <w:szCs w:val="21"/>
        </w:rPr>
        <w:t>后按照招标人要求拟定，如有与招标需求不一致处签订时以招标文件中的要求为准进行调整</w:t>
      </w:r>
      <w:r>
        <w:rPr>
          <w:rFonts w:hint="eastAsia" w:ascii="宋体" w:hAnsi="宋体" w:cs="宋体"/>
          <w:b/>
          <w:spacing w:val="-6"/>
          <w:sz w:val="21"/>
          <w:szCs w:val="21"/>
        </w:rPr>
        <w:t>；签订合同时删除此行）</w:t>
      </w:r>
    </w:p>
    <w:p>
      <w:pPr>
        <w:autoSpaceDE w:val="0"/>
        <w:autoSpaceDN w:val="0"/>
        <w:adjustRightInd w:val="0"/>
        <w:snapToGrid w:val="0"/>
        <w:spacing w:line="288" w:lineRule="auto"/>
        <w:jc w:val="left"/>
        <w:rPr>
          <w:rFonts w:hint="eastAsia" w:ascii="宋体" w:hAnsi="宋体" w:cs="宋体"/>
          <w:kern w:val="0"/>
          <w:sz w:val="21"/>
          <w:szCs w:val="21"/>
        </w:rPr>
      </w:pPr>
    </w:p>
    <w:p>
      <w:pPr>
        <w:autoSpaceDE w:val="0"/>
        <w:autoSpaceDN w:val="0"/>
        <w:adjustRightInd w:val="0"/>
        <w:snapToGrid w:val="0"/>
        <w:spacing w:line="288" w:lineRule="auto"/>
        <w:jc w:val="left"/>
        <w:rPr>
          <w:rFonts w:hint="eastAsia" w:ascii="宋体" w:hAnsi="宋体" w:cs="宋体"/>
          <w:kern w:val="0"/>
          <w:sz w:val="21"/>
          <w:szCs w:val="21"/>
        </w:rPr>
      </w:pPr>
      <w:r>
        <w:rPr>
          <w:rFonts w:hint="eastAsia" w:ascii="宋体" w:hAnsi="宋体" w:cs="宋体"/>
          <w:kern w:val="0"/>
          <w:sz w:val="21"/>
          <w:szCs w:val="21"/>
        </w:rPr>
        <w:t>甲方：浙商银行股份有限公司</w:t>
      </w:r>
    </w:p>
    <w:p>
      <w:pPr>
        <w:autoSpaceDE w:val="0"/>
        <w:autoSpaceDN w:val="0"/>
        <w:adjustRightInd w:val="0"/>
        <w:snapToGrid w:val="0"/>
        <w:spacing w:line="288" w:lineRule="auto"/>
        <w:jc w:val="left"/>
        <w:rPr>
          <w:rFonts w:hint="eastAsia" w:ascii="宋体" w:hAnsi="宋体" w:cs="宋体"/>
          <w:b/>
          <w:sz w:val="21"/>
          <w:szCs w:val="21"/>
        </w:rPr>
      </w:pPr>
      <w:r>
        <w:rPr>
          <w:rFonts w:hint="eastAsia" w:ascii="宋体" w:hAnsi="宋体" w:cs="宋体"/>
          <w:kern w:val="0"/>
          <w:sz w:val="21"/>
          <w:szCs w:val="21"/>
        </w:rPr>
        <w:t>乙方：</w:t>
      </w:r>
    </w:p>
    <w:p>
      <w:pPr>
        <w:spacing w:line="288" w:lineRule="auto"/>
        <w:ind w:firstLine="420" w:firstLineChars="200"/>
        <w:rPr>
          <w:rFonts w:hint="eastAsia" w:ascii="宋体" w:hAnsi="宋体" w:cs="宋体"/>
          <w:sz w:val="21"/>
          <w:szCs w:val="21"/>
        </w:rPr>
      </w:pP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根据《中华人民共和国民法典》及有关法律、法规的相关规定，遵循平等、自愿原则，甲乙双方</w:t>
      </w:r>
      <w:r>
        <w:rPr>
          <w:rFonts w:hint="eastAsia" w:ascii="宋体" w:hAnsi="宋体"/>
          <w:sz w:val="21"/>
          <w:szCs w:val="21"/>
        </w:rPr>
        <w:t>经充分协商，同意按照以下条款签订本合同</w:t>
      </w:r>
      <w:r>
        <w:rPr>
          <w:rFonts w:hint="eastAsia" w:ascii="宋体" w:hAnsi="宋体" w:cs="宋体"/>
          <w:sz w:val="21"/>
          <w:szCs w:val="21"/>
        </w:rPr>
        <w:t>，双方共同遵守。</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一、合作时间</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时间：202</w:t>
      </w:r>
      <w:r>
        <w:rPr>
          <w:rFonts w:ascii="宋体" w:hAnsi="宋体" w:cs="宋体"/>
          <w:sz w:val="21"/>
          <w:szCs w:val="21"/>
        </w:rPr>
        <w:t>4</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日至 202</w:t>
      </w:r>
      <w:r>
        <w:rPr>
          <w:rFonts w:ascii="宋体" w:hAnsi="宋体" w:cs="宋体"/>
          <w:sz w:val="21"/>
          <w:szCs w:val="21"/>
        </w:rPr>
        <w:t>6</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二、合作范围</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甲方向乙方发出的 □</w:t>
      </w:r>
      <w:r>
        <w:rPr>
          <w:rFonts w:hint="eastAsia" w:ascii="宋体" w:hAnsi="宋体" w:cs="宋体"/>
          <w:sz w:val="21"/>
          <w:szCs w:val="21"/>
          <w:u w:val="single"/>
        </w:rPr>
        <w:t xml:space="preserve"> 依法必须招标的工程类 </w:t>
      </w:r>
      <w:r>
        <w:rPr>
          <w:rFonts w:hint="eastAsia" w:ascii="宋体" w:hAnsi="宋体" w:cs="宋体"/>
          <w:sz w:val="21"/>
          <w:szCs w:val="21"/>
        </w:rPr>
        <w:t>/ □</w:t>
      </w:r>
      <w:r>
        <w:rPr>
          <w:rFonts w:hint="eastAsia" w:ascii="宋体" w:hAnsi="宋体" w:cs="宋体"/>
          <w:sz w:val="21"/>
          <w:szCs w:val="21"/>
          <w:u w:val="single"/>
        </w:rPr>
        <w:t xml:space="preserve"> 综合类 </w:t>
      </w:r>
      <w:r>
        <w:rPr>
          <w:rFonts w:hint="eastAsia" w:ascii="宋体" w:hAnsi="宋体" w:cs="宋体"/>
          <w:sz w:val="21"/>
          <w:szCs w:val="21"/>
        </w:rPr>
        <w:t>采购代理服务需求，具体内容以甲方发出的工作任务单为准。甲方不承诺合同期内向乙方发出的工作任务数量。</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三、乙方的具体工作事项</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（一）乙方应准确了解</w:t>
      </w:r>
      <w:r>
        <w:rPr>
          <w:rFonts w:hint="eastAsia" w:ascii="宋体" w:hAnsi="宋体" w:cs="宋体"/>
          <w:sz w:val="21"/>
          <w:szCs w:val="21"/>
        </w:rPr>
        <w:t>甲方</w:t>
      </w:r>
      <w:r>
        <w:rPr>
          <w:rFonts w:hint="eastAsia" w:ascii="宋体" w:hAnsi="宋体" w:cs="宋体"/>
          <w:bCs/>
          <w:sz w:val="21"/>
          <w:szCs w:val="21"/>
        </w:rPr>
        <w:t>的项目需求，策划和拟订采购方案、组建采购项目工作小组。</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（二）乙方应负责编制采购文件并报</w:t>
      </w:r>
      <w:r>
        <w:rPr>
          <w:rFonts w:hint="eastAsia" w:ascii="宋体" w:hAnsi="宋体" w:cs="宋体"/>
          <w:sz w:val="21"/>
          <w:szCs w:val="21"/>
        </w:rPr>
        <w:t>甲方</w:t>
      </w:r>
      <w:r>
        <w:rPr>
          <w:rFonts w:hint="eastAsia" w:ascii="宋体" w:hAnsi="宋体" w:cs="宋体"/>
          <w:bCs/>
          <w:sz w:val="21"/>
          <w:szCs w:val="21"/>
        </w:rPr>
        <w:t>审定；如采用资格预审还需编制资格预审文件并报</w:t>
      </w:r>
      <w:r>
        <w:rPr>
          <w:rFonts w:hint="eastAsia" w:ascii="宋体" w:hAnsi="宋体" w:cs="宋体"/>
          <w:sz w:val="21"/>
          <w:szCs w:val="21"/>
        </w:rPr>
        <w:t>甲方</w:t>
      </w:r>
      <w:r>
        <w:rPr>
          <w:rFonts w:hint="eastAsia" w:ascii="宋体" w:hAnsi="宋体" w:cs="宋体"/>
          <w:bCs/>
          <w:sz w:val="21"/>
          <w:szCs w:val="21"/>
        </w:rPr>
        <w:t>审定。</w:t>
      </w:r>
    </w:p>
    <w:p>
      <w:pPr>
        <w:widowControl/>
        <w:adjustRightInd w:val="0"/>
        <w:snapToGrid w:val="0"/>
        <w:spacing w:line="360" w:lineRule="auto"/>
        <w:ind w:firstLine="420" w:firstLineChars="200"/>
        <w:jc w:val="left"/>
        <w:rPr>
          <w:rFonts w:ascii="宋体" w:hAnsi="宋体" w:cs="宋体"/>
          <w:bCs/>
          <w:sz w:val="21"/>
          <w:szCs w:val="21"/>
        </w:rPr>
      </w:pPr>
      <w:r>
        <w:rPr>
          <w:rFonts w:hint="eastAsia" w:ascii="宋体" w:hAnsi="宋体" w:cs="宋体"/>
          <w:bCs/>
          <w:sz w:val="21"/>
          <w:szCs w:val="21"/>
        </w:rPr>
        <w:t>（三）乙方应负责发布采购公告（如需），除在其官方网站发布公告外，还需在浙江政府采购网</w:t>
      </w:r>
      <w:r>
        <w:rPr>
          <w:rFonts w:hint="eastAsia" w:ascii="宋体" w:hAnsi="宋体"/>
          <w:bCs/>
          <w:sz w:val="21"/>
          <w:szCs w:val="21"/>
        </w:rPr>
        <w:t>或中国金融采购网等全国性媒体发布公告</w:t>
      </w:r>
      <w:r>
        <w:rPr>
          <w:rFonts w:hint="eastAsia" w:ascii="宋体" w:hAnsi="宋体" w:cs="宋体"/>
          <w:bCs/>
          <w:sz w:val="21"/>
          <w:szCs w:val="21"/>
        </w:rPr>
        <w:t>。</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（四）乙方应负责审查潜在投标人（供应商）资格（包括投标人资质及关联关系），采用资格预审的项目需组织资格预审委员会进行评审。</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（五）乙方应组织潜在投标人（供应商）踏勘现场和答疑，整理答疑纪要。</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（六）乙方应提供结构完整、人员充足的评审专家库，配合</w:t>
      </w:r>
      <w:r>
        <w:rPr>
          <w:rFonts w:hint="eastAsia" w:ascii="宋体" w:hAnsi="宋体" w:cs="宋体"/>
          <w:sz w:val="21"/>
          <w:szCs w:val="21"/>
        </w:rPr>
        <w:t>甲方</w:t>
      </w:r>
      <w:r>
        <w:rPr>
          <w:rFonts w:hint="eastAsia" w:ascii="宋体" w:hAnsi="宋体" w:cs="宋体"/>
          <w:bCs/>
          <w:sz w:val="21"/>
          <w:szCs w:val="21"/>
        </w:rPr>
        <w:t>组建评标（评审）委员会。</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（七）乙方应依法组织开标、评标，协助评标</w:t>
      </w:r>
      <w:r>
        <w:rPr>
          <w:rFonts w:hint="eastAsia" w:ascii="宋体" w:hAnsi="宋体" w:cs="宋体"/>
          <w:sz w:val="21"/>
          <w:szCs w:val="21"/>
        </w:rPr>
        <w:t>（评审）</w:t>
      </w:r>
      <w:r>
        <w:rPr>
          <w:rFonts w:hint="eastAsia" w:ascii="宋体" w:hAnsi="宋体" w:cs="宋体"/>
          <w:bCs/>
          <w:sz w:val="21"/>
          <w:szCs w:val="21"/>
        </w:rPr>
        <w:t>委员会完成评标（评审）工作和评审报告。</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（八）乙方应</w:t>
      </w:r>
      <w:r>
        <w:rPr>
          <w:rFonts w:hint="eastAsia" w:ascii="宋体" w:hAnsi="宋体" w:cs="宋体"/>
          <w:sz w:val="21"/>
          <w:szCs w:val="21"/>
        </w:rPr>
        <w:t>及时</w:t>
      </w:r>
      <w:r>
        <w:rPr>
          <w:rFonts w:hint="eastAsia" w:ascii="宋体" w:hAnsi="宋体" w:cs="宋体"/>
          <w:bCs/>
          <w:sz w:val="21"/>
          <w:szCs w:val="21"/>
        </w:rPr>
        <w:t>整理相关资料并向甲方提交采购代理项目书面工作报告。</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（九）乙方应协助</w:t>
      </w:r>
      <w:r>
        <w:rPr>
          <w:rFonts w:hint="eastAsia" w:ascii="宋体" w:hAnsi="宋体" w:cs="宋体"/>
          <w:sz w:val="21"/>
          <w:szCs w:val="21"/>
        </w:rPr>
        <w:t>甲方</w:t>
      </w:r>
      <w:r>
        <w:rPr>
          <w:rFonts w:hint="eastAsia" w:ascii="宋体" w:hAnsi="宋体" w:cs="宋体"/>
          <w:bCs/>
          <w:sz w:val="21"/>
          <w:szCs w:val="21"/>
        </w:rPr>
        <w:t>签发采购项目的结果公告、中标（成交）通知书。</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（十）乙方应协助</w:t>
      </w:r>
      <w:r>
        <w:rPr>
          <w:rFonts w:hint="eastAsia" w:ascii="宋体" w:hAnsi="宋体" w:cs="宋体"/>
          <w:sz w:val="21"/>
          <w:szCs w:val="21"/>
        </w:rPr>
        <w:t>甲方</w:t>
      </w:r>
      <w:r>
        <w:rPr>
          <w:rFonts w:hint="eastAsia" w:ascii="宋体" w:hAnsi="宋体" w:cs="宋体"/>
          <w:bCs/>
          <w:sz w:val="21"/>
          <w:szCs w:val="21"/>
        </w:rPr>
        <w:t>签订采购合同。</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（十一）乙方应协助</w:t>
      </w:r>
      <w:r>
        <w:rPr>
          <w:rFonts w:hint="eastAsia" w:ascii="宋体" w:hAnsi="宋体" w:cs="宋体"/>
          <w:sz w:val="21"/>
          <w:szCs w:val="21"/>
        </w:rPr>
        <w:t>甲方</w:t>
      </w:r>
      <w:r>
        <w:rPr>
          <w:rFonts w:hint="eastAsia" w:ascii="宋体" w:hAnsi="宋体" w:cs="宋体"/>
          <w:bCs/>
          <w:sz w:val="21"/>
          <w:szCs w:val="21"/>
        </w:rPr>
        <w:t>向政府机构报备或报批相关项目（如需）。</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（十二）项目完成后，乙方应在5个工作日内将项目全部资料原件整理装订移交甲方，同时自留一份完整的项目档案并予以妥善保管。</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十三）乙方应负责受理供应商的异议、质疑和投诉，编制答复文件并经甲方同意。乙方应在收到供应商的书面异议、质疑或投诉后3个工作日内作出答复，并以书面形式通知提出异议、质疑或投诉的供应商和其他与异议、质疑或投诉处理结果有利害关系的采购当事人。</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（十四）乙方应无条件接受和配合项目相关事宜的审计工作。</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（十五）乙方应以专业技术与能力为甲方提供完成采购工作相关的咨询服务。</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（十六）乙方应向甲方宣传有关采购的法律、行政法规和规章，解释合理的采购程序。</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（十七）乙方应协助</w:t>
      </w:r>
      <w:r>
        <w:rPr>
          <w:rFonts w:hint="eastAsia" w:ascii="宋体" w:hAnsi="宋体" w:cs="宋体"/>
          <w:sz w:val="21"/>
          <w:szCs w:val="21"/>
        </w:rPr>
        <w:t>甲方</w:t>
      </w:r>
      <w:r>
        <w:rPr>
          <w:rFonts w:hint="eastAsia" w:ascii="宋体" w:hAnsi="宋体" w:cs="宋体"/>
          <w:bCs/>
          <w:sz w:val="21"/>
          <w:szCs w:val="21"/>
        </w:rPr>
        <w:t>处理采购有关的其他事项。</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四、甲方的义务</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（一）</w:t>
      </w:r>
      <w:r>
        <w:rPr>
          <w:rFonts w:hint="eastAsia" w:ascii="宋体" w:hAnsi="宋体" w:cs="宋体"/>
          <w:sz w:val="21"/>
          <w:szCs w:val="21"/>
        </w:rPr>
        <w:t>向</w:t>
      </w:r>
      <w:r>
        <w:rPr>
          <w:rFonts w:hint="eastAsia" w:ascii="宋体" w:hAnsi="宋体" w:cs="宋体"/>
          <w:bCs/>
          <w:sz w:val="21"/>
          <w:szCs w:val="21"/>
        </w:rPr>
        <w:t>乙方</w:t>
      </w:r>
      <w:r>
        <w:rPr>
          <w:rFonts w:hint="eastAsia" w:ascii="宋体" w:hAnsi="宋体" w:cs="宋体"/>
          <w:sz w:val="21"/>
          <w:szCs w:val="21"/>
        </w:rPr>
        <w:t>提供采购代理业务应具备的相关资料。</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（二）</w:t>
      </w:r>
      <w:r>
        <w:rPr>
          <w:rFonts w:hint="eastAsia" w:ascii="宋体" w:hAnsi="宋体" w:cs="宋体"/>
          <w:sz w:val="21"/>
          <w:szCs w:val="21"/>
        </w:rPr>
        <w:t>向</w:t>
      </w:r>
      <w:r>
        <w:rPr>
          <w:rFonts w:hint="eastAsia" w:ascii="宋体" w:hAnsi="宋体" w:cs="宋体"/>
          <w:bCs/>
          <w:sz w:val="21"/>
          <w:szCs w:val="21"/>
        </w:rPr>
        <w:t>乙方</w:t>
      </w:r>
      <w:r>
        <w:rPr>
          <w:rFonts w:hint="eastAsia" w:ascii="宋体" w:hAnsi="宋体" w:cs="宋体"/>
          <w:sz w:val="21"/>
          <w:szCs w:val="21"/>
        </w:rPr>
        <w:t>提供完成采购代理业务所需的技术资料和图纸，并对提供资料的真实性、完整性、准确性负责。</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（三）</w:t>
      </w:r>
      <w:r>
        <w:rPr>
          <w:rFonts w:hint="eastAsia" w:ascii="宋体" w:hAnsi="宋体" w:cs="宋体"/>
          <w:sz w:val="21"/>
          <w:szCs w:val="21"/>
        </w:rPr>
        <w:t>指定专人与</w:t>
      </w:r>
      <w:r>
        <w:rPr>
          <w:rFonts w:hint="eastAsia" w:ascii="宋体" w:hAnsi="宋体" w:cs="宋体"/>
          <w:bCs/>
          <w:sz w:val="21"/>
          <w:szCs w:val="21"/>
        </w:rPr>
        <w:t>乙方</w:t>
      </w:r>
      <w:r>
        <w:rPr>
          <w:rFonts w:hint="eastAsia" w:ascii="宋体" w:hAnsi="宋体" w:cs="宋体"/>
          <w:sz w:val="21"/>
          <w:szCs w:val="21"/>
        </w:rPr>
        <w:t>联系。</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（四）</w:t>
      </w:r>
      <w:r>
        <w:rPr>
          <w:rFonts w:hint="eastAsia" w:ascii="宋体" w:hAnsi="宋体" w:cs="宋体"/>
          <w:sz w:val="21"/>
          <w:szCs w:val="21"/>
        </w:rPr>
        <w:t>根据需要，作好与第三方的协调工作。</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（五）</w:t>
      </w:r>
      <w:r>
        <w:rPr>
          <w:rFonts w:hint="eastAsia" w:ascii="宋体" w:hAnsi="宋体" w:cs="宋体"/>
          <w:sz w:val="21"/>
          <w:szCs w:val="21"/>
        </w:rPr>
        <w:t>按具体采购代理项目的约定支付代理报酬。</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五、乙方的义务</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（一）乙方</w:t>
      </w:r>
      <w:r>
        <w:rPr>
          <w:rFonts w:hint="eastAsia" w:ascii="宋体" w:hAnsi="宋体" w:cs="宋体"/>
          <w:sz w:val="21"/>
          <w:szCs w:val="21"/>
        </w:rPr>
        <w:t>应在下表所列的人员中选派具体采购代理服务项目的项目负责人及服务团队成员，未经甲方允许，不得更换为其他人员。</w:t>
      </w:r>
    </w:p>
    <w:p>
      <w:pPr>
        <w:spacing w:line="288" w:lineRule="auto"/>
        <w:ind w:firstLine="420" w:firstLineChars="200"/>
        <w:jc w:val="center"/>
        <w:rPr>
          <w:rFonts w:ascii="宋体" w:hAnsi="宋体" w:cs="宋体"/>
          <w:sz w:val="21"/>
          <w:szCs w:val="21"/>
        </w:rPr>
      </w:pPr>
      <w:r>
        <w:rPr>
          <w:rFonts w:hint="eastAsia" w:ascii="宋体" w:hAnsi="宋体" w:cs="宋体"/>
          <w:sz w:val="21"/>
          <w:szCs w:val="21"/>
        </w:rPr>
        <w:t>项目团队情况一览表</w:t>
      </w:r>
    </w:p>
    <w:tbl>
      <w:tblPr>
        <w:tblStyle w:val="59"/>
        <w:tblW w:w="10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341"/>
        <w:gridCol w:w="2009"/>
        <w:gridCol w:w="837"/>
        <w:gridCol w:w="1005"/>
        <w:gridCol w:w="1031"/>
        <w:gridCol w:w="145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r>
              <w:rPr>
                <w:rFonts w:hint="eastAsia" w:ascii="宋体" w:hAnsi="宋体"/>
                <w:b/>
                <w:bCs/>
                <w:spacing w:val="-6"/>
                <w:sz w:val="21"/>
                <w:szCs w:val="21"/>
              </w:rPr>
              <w:t>序号</w:t>
            </w:r>
          </w:p>
        </w:tc>
        <w:tc>
          <w:tcPr>
            <w:tcW w:w="1341" w:type="dxa"/>
            <w:vAlign w:val="center"/>
          </w:tcPr>
          <w:p>
            <w:pPr>
              <w:adjustRightInd w:val="0"/>
              <w:snapToGrid w:val="0"/>
              <w:spacing w:line="360" w:lineRule="auto"/>
              <w:jc w:val="center"/>
              <w:rPr>
                <w:rFonts w:ascii="宋体" w:hAnsi="宋体"/>
                <w:b/>
                <w:bCs/>
                <w:spacing w:val="-6"/>
                <w:sz w:val="21"/>
                <w:szCs w:val="21"/>
              </w:rPr>
            </w:pPr>
            <w:r>
              <w:rPr>
                <w:rFonts w:hint="eastAsia" w:ascii="宋体" w:hAnsi="宋体"/>
                <w:b/>
                <w:bCs/>
                <w:spacing w:val="-6"/>
                <w:sz w:val="21"/>
                <w:szCs w:val="21"/>
              </w:rPr>
              <w:t>姓名</w:t>
            </w:r>
          </w:p>
        </w:tc>
        <w:tc>
          <w:tcPr>
            <w:tcW w:w="2009" w:type="dxa"/>
            <w:vAlign w:val="center"/>
          </w:tcPr>
          <w:p>
            <w:pPr>
              <w:adjustRightInd w:val="0"/>
              <w:snapToGrid w:val="0"/>
              <w:spacing w:line="360" w:lineRule="auto"/>
              <w:jc w:val="center"/>
              <w:rPr>
                <w:rFonts w:ascii="宋体" w:hAnsi="宋体"/>
                <w:b/>
                <w:bCs/>
                <w:spacing w:val="-6"/>
                <w:sz w:val="21"/>
                <w:szCs w:val="21"/>
              </w:rPr>
            </w:pPr>
            <w:r>
              <w:rPr>
                <w:rFonts w:hint="eastAsia" w:ascii="宋体" w:hAnsi="宋体"/>
                <w:b/>
                <w:bCs/>
                <w:spacing w:val="-6"/>
                <w:sz w:val="21"/>
                <w:szCs w:val="21"/>
              </w:rPr>
              <w:t>资格或职称证书</w:t>
            </w:r>
          </w:p>
        </w:tc>
        <w:tc>
          <w:tcPr>
            <w:tcW w:w="837" w:type="dxa"/>
            <w:vAlign w:val="center"/>
          </w:tcPr>
          <w:p>
            <w:pPr>
              <w:adjustRightInd w:val="0"/>
              <w:snapToGrid w:val="0"/>
              <w:spacing w:line="360" w:lineRule="auto"/>
              <w:jc w:val="center"/>
              <w:rPr>
                <w:rFonts w:ascii="宋体" w:hAnsi="宋体"/>
                <w:b/>
                <w:bCs/>
                <w:spacing w:val="-6"/>
                <w:sz w:val="21"/>
                <w:szCs w:val="21"/>
              </w:rPr>
            </w:pPr>
            <w:r>
              <w:rPr>
                <w:rFonts w:hint="eastAsia" w:ascii="宋体" w:hAnsi="宋体"/>
                <w:b/>
                <w:bCs/>
                <w:spacing w:val="-6"/>
                <w:sz w:val="21"/>
                <w:szCs w:val="21"/>
              </w:rPr>
              <w:t>性别</w:t>
            </w:r>
          </w:p>
        </w:tc>
        <w:tc>
          <w:tcPr>
            <w:tcW w:w="1005" w:type="dxa"/>
            <w:vAlign w:val="center"/>
          </w:tcPr>
          <w:p>
            <w:pPr>
              <w:adjustRightInd w:val="0"/>
              <w:snapToGrid w:val="0"/>
              <w:spacing w:line="360" w:lineRule="auto"/>
              <w:jc w:val="center"/>
              <w:rPr>
                <w:rFonts w:ascii="宋体" w:hAnsi="宋体"/>
                <w:b/>
                <w:bCs/>
                <w:spacing w:val="-6"/>
                <w:sz w:val="21"/>
                <w:szCs w:val="21"/>
              </w:rPr>
            </w:pPr>
            <w:r>
              <w:rPr>
                <w:rFonts w:hint="eastAsia" w:ascii="宋体" w:hAnsi="宋体"/>
                <w:b/>
                <w:bCs/>
                <w:spacing w:val="-6"/>
                <w:sz w:val="21"/>
                <w:szCs w:val="21"/>
              </w:rPr>
              <w:t>年龄</w:t>
            </w:r>
          </w:p>
        </w:tc>
        <w:tc>
          <w:tcPr>
            <w:tcW w:w="1031" w:type="dxa"/>
            <w:vAlign w:val="center"/>
          </w:tcPr>
          <w:p>
            <w:pPr>
              <w:adjustRightInd w:val="0"/>
              <w:snapToGrid w:val="0"/>
              <w:spacing w:line="360" w:lineRule="auto"/>
              <w:jc w:val="center"/>
              <w:rPr>
                <w:rFonts w:ascii="宋体" w:hAnsi="宋体"/>
                <w:b/>
                <w:bCs/>
                <w:spacing w:val="-6"/>
                <w:sz w:val="21"/>
                <w:szCs w:val="21"/>
              </w:rPr>
            </w:pPr>
            <w:r>
              <w:rPr>
                <w:rFonts w:hint="eastAsia" w:ascii="宋体" w:hAnsi="宋体"/>
                <w:b/>
                <w:bCs/>
                <w:spacing w:val="-6"/>
                <w:sz w:val="21"/>
                <w:szCs w:val="21"/>
              </w:rPr>
              <w:t>本岗工龄</w:t>
            </w:r>
          </w:p>
        </w:tc>
        <w:tc>
          <w:tcPr>
            <w:tcW w:w="1453" w:type="dxa"/>
            <w:vAlign w:val="center"/>
          </w:tcPr>
          <w:p>
            <w:pPr>
              <w:adjustRightInd w:val="0"/>
              <w:snapToGrid w:val="0"/>
              <w:spacing w:line="360" w:lineRule="auto"/>
              <w:jc w:val="center"/>
              <w:rPr>
                <w:rFonts w:hint="eastAsia" w:ascii="宋体" w:hAnsi="宋体"/>
                <w:b/>
                <w:bCs/>
                <w:spacing w:val="-6"/>
                <w:sz w:val="21"/>
                <w:szCs w:val="21"/>
              </w:rPr>
            </w:pPr>
            <w:r>
              <w:rPr>
                <w:rFonts w:hint="eastAsia" w:ascii="宋体" w:hAnsi="宋体"/>
                <w:b/>
                <w:bCs/>
                <w:spacing w:val="-6"/>
                <w:sz w:val="21"/>
                <w:szCs w:val="21"/>
              </w:rPr>
              <w:t>角色</w:t>
            </w:r>
          </w:p>
        </w:tc>
        <w:tc>
          <w:tcPr>
            <w:tcW w:w="1701" w:type="dxa"/>
            <w:vAlign w:val="center"/>
          </w:tcPr>
          <w:p>
            <w:pPr>
              <w:adjustRightInd w:val="0"/>
              <w:snapToGrid w:val="0"/>
              <w:spacing w:line="360" w:lineRule="auto"/>
              <w:jc w:val="center"/>
              <w:rPr>
                <w:rFonts w:ascii="宋体" w:hAnsi="宋体"/>
                <w:b/>
                <w:bCs/>
                <w:spacing w:val="-6"/>
                <w:sz w:val="21"/>
                <w:szCs w:val="21"/>
              </w:rPr>
            </w:pPr>
            <w:r>
              <w:rPr>
                <w:rFonts w:hint="eastAsia" w:ascii="宋体" w:hAnsi="宋体"/>
                <w:b/>
                <w:bCs/>
                <w:spacing w:val="-6"/>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p>
        </w:tc>
        <w:tc>
          <w:tcPr>
            <w:tcW w:w="1341" w:type="dxa"/>
            <w:vAlign w:val="center"/>
          </w:tcPr>
          <w:p>
            <w:pPr>
              <w:adjustRightInd w:val="0"/>
              <w:snapToGrid w:val="0"/>
              <w:spacing w:line="360" w:lineRule="auto"/>
              <w:jc w:val="center"/>
              <w:rPr>
                <w:rFonts w:ascii="宋体" w:hAnsi="宋体"/>
                <w:b/>
                <w:bCs/>
                <w:spacing w:val="-6"/>
                <w:sz w:val="21"/>
                <w:szCs w:val="21"/>
              </w:rPr>
            </w:pPr>
          </w:p>
        </w:tc>
        <w:tc>
          <w:tcPr>
            <w:tcW w:w="2009" w:type="dxa"/>
            <w:vAlign w:val="center"/>
          </w:tcPr>
          <w:p>
            <w:pPr>
              <w:adjustRightInd w:val="0"/>
              <w:snapToGrid w:val="0"/>
              <w:spacing w:line="360" w:lineRule="auto"/>
              <w:jc w:val="center"/>
              <w:rPr>
                <w:rFonts w:ascii="宋体" w:hAnsi="宋体"/>
                <w:b/>
                <w:bCs/>
                <w:spacing w:val="-6"/>
                <w:sz w:val="21"/>
                <w:szCs w:val="21"/>
              </w:rPr>
            </w:pPr>
          </w:p>
        </w:tc>
        <w:tc>
          <w:tcPr>
            <w:tcW w:w="837" w:type="dxa"/>
            <w:vAlign w:val="center"/>
          </w:tcPr>
          <w:p>
            <w:pPr>
              <w:adjustRightInd w:val="0"/>
              <w:snapToGrid w:val="0"/>
              <w:spacing w:line="360" w:lineRule="auto"/>
              <w:jc w:val="center"/>
              <w:rPr>
                <w:rFonts w:ascii="宋体" w:hAnsi="宋体"/>
                <w:b/>
                <w:bCs/>
                <w:spacing w:val="-6"/>
                <w:sz w:val="21"/>
                <w:szCs w:val="21"/>
              </w:rPr>
            </w:pPr>
          </w:p>
        </w:tc>
        <w:tc>
          <w:tcPr>
            <w:tcW w:w="1005" w:type="dxa"/>
            <w:vAlign w:val="center"/>
          </w:tcPr>
          <w:p>
            <w:pPr>
              <w:adjustRightInd w:val="0"/>
              <w:snapToGrid w:val="0"/>
              <w:spacing w:line="360" w:lineRule="auto"/>
              <w:jc w:val="center"/>
              <w:rPr>
                <w:rFonts w:ascii="宋体" w:hAnsi="宋体"/>
                <w:b/>
                <w:bCs/>
                <w:spacing w:val="-6"/>
                <w:sz w:val="21"/>
                <w:szCs w:val="21"/>
              </w:rPr>
            </w:pPr>
          </w:p>
        </w:tc>
        <w:tc>
          <w:tcPr>
            <w:tcW w:w="1031" w:type="dxa"/>
            <w:vAlign w:val="center"/>
          </w:tcPr>
          <w:p>
            <w:pPr>
              <w:adjustRightInd w:val="0"/>
              <w:snapToGrid w:val="0"/>
              <w:spacing w:line="360" w:lineRule="auto"/>
              <w:jc w:val="center"/>
              <w:rPr>
                <w:rFonts w:ascii="宋体" w:hAnsi="宋体"/>
                <w:b/>
                <w:bCs/>
                <w:spacing w:val="-6"/>
                <w:sz w:val="21"/>
                <w:szCs w:val="21"/>
              </w:rPr>
            </w:pPr>
          </w:p>
        </w:tc>
        <w:tc>
          <w:tcPr>
            <w:tcW w:w="1453" w:type="dxa"/>
            <w:vAlign w:val="center"/>
          </w:tcPr>
          <w:p>
            <w:pPr>
              <w:adjustRightInd w:val="0"/>
              <w:snapToGrid w:val="0"/>
              <w:spacing w:line="360" w:lineRule="auto"/>
              <w:jc w:val="center"/>
              <w:rPr>
                <w:rFonts w:ascii="宋体" w:hAnsi="宋体"/>
                <w:bCs/>
                <w:spacing w:val="-6"/>
                <w:sz w:val="21"/>
                <w:szCs w:val="21"/>
              </w:rPr>
            </w:pPr>
            <w:bookmarkStart w:id="16" w:name="OLE_LINK4"/>
            <w:r>
              <w:rPr>
                <w:rFonts w:hint="eastAsia" w:ascii="宋体" w:hAnsi="宋体"/>
                <w:bCs/>
                <w:spacing w:val="-6"/>
                <w:sz w:val="21"/>
                <w:szCs w:val="21"/>
              </w:rPr>
              <w:t>项目负责人</w:t>
            </w:r>
            <w:bookmarkEnd w:id="16"/>
          </w:p>
        </w:tc>
        <w:tc>
          <w:tcPr>
            <w:tcW w:w="1701" w:type="dxa"/>
            <w:vAlign w:val="center"/>
          </w:tcPr>
          <w:p>
            <w:pPr>
              <w:adjustRightInd w:val="0"/>
              <w:snapToGrid w:val="0"/>
              <w:spacing w:line="360" w:lineRule="auto"/>
              <w:jc w:val="center"/>
              <w:rPr>
                <w:rFonts w:ascii="宋体" w:hAnsi="宋体"/>
                <w:b/>
                <w:bCs/>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p>
        </w:tc>
        <w:tc>
          <w:tcPr>
            <w:tcW w:w="1341" w:type="dxa"/>
            <w:vAlign w:val="center"/>
          </w:tcPr>
          <w:p>
            <w:pPr>
              <w:adjustRightInd w:val="0"/>
              <w:snapToGrid w:val="0"/>
              <w:spacing w:line="360" w:lineRule="auto"/>
              <w:jc w:val="center"/>
              <w:rPr>
                <w:rFonts w:ascii="宋体" w:hAnsi="宋体"/>
                <w:b/>
                <w:bCs/>
                <w:spacing w:val="-6"/>
                <w:sz w:val="21"/>
                <w:szCs w:val="21"/>
              </w:rPr>
            </w:pPr>
          </w:p>
        </w:tc>
        <w:tc>
          <w:tcPr>
            <w:tcW w:w="2009" w:type="dxa"/>
            <w:vAlign w:val="center"/>
          </w:tcPr>
          <w:p>
            <w:pPr>
              <w:adjustRightInd w:val="0"/>
              <w:snapToGrid w:val="0"/>
              <w:spacing w:line="360" w:lineRule="auto"/>
              <w:jc w:val="center"/>
              <w:rPr>
                <w:rFonts w:ascii="宋体" w:hAnsi="宋体"/>
                <w:b/>
                <w:bCs/>
                <w:spacing w:val="-6"/>
                <w:sz w:val="21"/>
                <w:szCs w:val="21"/>
              </w:rPr>
            </w:pPr>
          </w:p>
        </w:tc>
        <w:tc>
          <w:tcPr>
            <w:tcW w:w="837" w:type="dxa"/>
            <w:vAlign w:val="center"/>
          </w:tcPr>
          <w:p>
            <w:pPr>
              <w:adjustRightInd w:val="0"/>
              <w:snapToGrid w:val="0"/>
              <w:spacing w:line="360" w:lineRule="auto"/>
              <w:jc w:val="center"/>
              <w:rPr>
                <w:rFonts w:ascii="宋体" w:hAnsi="宋体"/>
                <w:b/>
                <w:bCs/>
                <w:spacing w:val="-6"/>
                <w:sz w:val="21"/>
                <w:szCs w:val="21"/>
              </w:rPr>
            </w:pPr>
          </w:p>
        </w:tc>
        <w:tc>
          <w:tcPr>
            <w:tcW w:w="1005" w:type="dxa"/>
            <w:vAlign w:val="center"/>
          </w:tcPr>
          <w:p>
            <w:pPr>
              <w:adjustRightInd w:val="0"/>
              <w:snapToGrid w:val="0"/>
              <w:spacing w:line="360" w:lineRule="auto"/>
              <w:jc w:val="center"/>
              <w:rPr>
                <w:rFonts w:ascii="宋体" w:hAnsi="宋体"/>
                <w:b/>
                <w:bCs/>
                <w:spacing w:val="-6"/>
                <w:sz w:val="21"/>
                <w:szCs w:val="21"/>
              </w:rPr>
            </w:pPr>
          </w:p>
        </w:tc>
        <w:tc>
          <w:tcPr>
            <w:tcW w:w="1031" w:type="dxa"/>
            <w:vAlign w:val="center"/>
          </w:tcPr>
          <w:p>
            <w:pPr>
              <w:adjustRightInd w:val="0"/>
              <w:snapToGrid w:val="0"/>
              <w:spacing w:line="360" w:lineRule="auto"/>
              <w:jc w:val="center"/>
              <w:rPr>
                <w:rFonts w:ascii="宋体" w:hAnsi="宋体"/>
                <w:b/>
                <w:bCs/>
                <w:spacing w:val="-6"/>
                <w:sz w:val="21"/>
                <w:szCs w:val="21"/>
              </w:rPr>
            </w:pPr>
          </w:p>
        </w:tc>
        <w:tc>
          <w:tcPr>
            <w:tcW w:w="1453" w:type="dxa"/>
            <w:vAlign w:val="center"/>
          </w:tcPr>
          <w:p>
            <w:pPr>
              <w:adjustRightInd w:val="0"/>
              <w:snapToGrid w:val="0"/>
              <w:spacing w:line="360" w:lineRule="auto"/>
              <w:jc w:val="center"/>
              <w:rPr>
                <w:rFonts w:ascii="宋体" w:hAnsi="宋体"/>
                <w:b/>
                <w:bCs/>
                <w:spacing w:val="-6"/>
                <w:sz w:val="21"/>
                <w:szCs w:val="21"/>
              </w:rPr>
            </w:pPr>
            <w:r>
              <w:rPr>
                <w:rFonts w:hint="eastAsia" w:ascii="宋体" w:hAnsi="宋体"/>
                <w:bCs/>
                <w:spacing w:val="-6"/>
                <w:sz w:val="21"/>
                <w:szCs w:val="21"/>
              </w:rPr>
              <w:t>项目负责人</w:t>
            </w:r>
          </w:p>
        </w:tc>
        <w:tc>
          <w:tcPr>
            <w:tcW w:w="1701" w:type="dxa"/>
            <w:vAlign w:val="center"/>
          </w:tcPr>
          <w:p>
            <w:pPr>
              <w:adjustRightInd w:val="0"/>
              <w:snapToGrid w:val="0"/>
              <w:spacing w:line="360" w:lineRule="auto"/>
              <w:jc w:val="center"/>
              <w:rPr>
                <w:rFonts w:ascii="宋体" w:hAnsi="宋体"/>
                <w:b/>
                <w:bCs/>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p>
        </w:tc>
        <w:tc>
          <w:tcPr>
            <w:tcW w:w="1341" w:type="dxa"/>
            <w:vAlign w:val="center"/>
          </w:tcPr>
          <w:p>
            <w:pPr>
              <w:adjustRightInd w:val="0"/>
              <w:snapToGrid w:val="0"/>
              <w:spacing w:line="360" w:lineRule="auto"/>
              <w:jc w:val="center"/>
              <w:rPr>
                <w:rFonts w:ascii="宋体" w:hAnsi="宋体"/>
                <w:b/>
                <w:bCs/>
                <w:spacing w:val="-6"/>
                <w:sz w:val="21"/>
                <w:szCs w:val="21"/>
              </w:rPr>
            </w:pPr>
          </w:p>
        </w:tc>
        <w:tc>
          <w:tcPr>
            <w:tcW w:w="2009" w:type="dxa"/>
            <w:vAlign w:val="center"/>
          </w:tcPr>
          <w:p>
            <w:pPr>
              <w:adjustRightInd w:val="0"/>
              <w:snapToGrid w:val="0"/>
              <w:spacing w:line="360" w:lineRule="auto"/>
              <w:jc w:val="center"/>
              <w:rPr>
                <w:rFonts w:ascii="宋体" w:hAnsi="宋体"/>
                <w:b/>
                <w:bCs/>
                <w:spacing w:val="-6"/>
                <w:sz w:val="21"/>
                <w:szCs w:val="21"/>
              </w:rPr>
            </w:pPr>
          </w:p>
        </w:tc>
        <w:tc>
          <w:tcPr>
            <w:tcW w:w="837" w:type="dxa"/>
            <w:vAlign w:val="center"/>
          </w:tcPr>
          <w:p>
            <w:pPr>
              <w:adjustRightInd w:val="0"/>
              <w:snapToGrid w:val="0"/>
              <w:spacing w:line="360" w:lineRule="auto"/>
              <w:jc w:val="center"/>
              <w:rPr>
                <w:rFonts w:ascii="宋体" w:hAnsi="宋体"/>
                <w:b/>
                <w:bCs/>
                <w:spacing w:val="-6"/>
                <w:sz w:val="21"/>
                <w:szCs w:val="21"/>
              </w:rPr>
            </w:pPr>
          </w:p>
        </w:tc>
        <w:tc>
          <w:tcPr>
            <w:tcW w:w="1005" w:type="dxa"/>
            <w:vAlign w:val="center"/>
          </w:tcPr>
          <w:p>
            <w:pPr>
              <w:adjustRightInd w:val="0"/>
              <w:snapToGrid w:val="0"/>
              <w:spacing w:line="360" w:lineRule="auto"/>
              <w:jc w:val="center"/>
              <w:rPr>
                <w:rFonts w:ascii="宋体" w:hAnsi="宋体"/>
                <w:b/>
                <w:bCs/>
                <w:spacing w:val="-6"/>
                <w:sz w:val="21"/>
                <w:szCs w:val="21"/>
              </w:rPr>
            </w:pPr>
          </w:p>
        </w:tc>
        <w:tc>
          <w:tcPr>
            <w:tcW w:w="1031" w:type="dxa"/>
            <w:vAlign w:val="center"/>
          </w:tcPr>
          <w:p>
            <w:pPr>
              <w:adjustRightInd w:val="0"/>
              <w:snapToGrid w:val="0"/>
              <w:spacing w:line="360" w:lineRule="auto"/>
              <w:jc w:val="center"/>
              <w:rPr>
                <w:rFonts w:ascii="宋体" w:hAnsi="宋体"/>
                <w:b/>
                <w:bCs/>
                <w:spacing w:val="-6"/>
                <w:sz w:val="21"/>
                <w:szCs w:val="21"/>
              </w:rPr>
            </w:pPr>
          </w:p>
        </w:tc>
        <w:tc>
          <w:tcPr>
            <w:tcW w:w="1453" w:type="dxa"/>
            <w:vAlign w:val="center"/>
          </w:tcPr>
          <w:p>
            <w:pPr>
              <w:adjustRightInd w:val="0"/>
              <w:snapToGrid w:val="0"/>
              <w:spacing w:line="360" w:lineRule="auto"/>
              <w:jc w:val="center"/>
              <w:rPr>
                <w:rFonts w:ascii="宋体" w:hAnsi="宋体"/>
                <w:bCs/>
                <w:spacing w:val="-6"/>
                <w:sz w:val="21"/>
                <w:szCs w:val="21"/>
              </w:rPr>
            </w:pPr>
            <w:r>
              <w:rPr>
                <w:rFonts w:hint="eastAsia" w:ascii="宋体" w:hAnsi="宋体"/>
                <w:bCs/>
                <w:spacing w:val="-6"/>
                <w:sz w:val="21"/>
                <w:szCs w:val="21"/>
              </w:rPr>
              <w:t>驻场人员</w:t>
            </w:r>
          </w:p>
        </w:tc>
        <w:tc>
          <w:tcPr>
            <w:tcW w:w="1701" w:type="dxa"/>
            <w:vAlign w:val="center"/>
          </w:tcPr>
          <w:p>
            <w:pPr>
              <w:adjustRightInd w:val="0"/>
              <w:snapToGrid w:val="0"/>
              <w:spacing w:line="360" w:lineRule="auto"/>
              <w:jc w:val="center"/>
              <w:rPr>
                <w:rFonts w:ascii="宋体" w:hAnsi="宋体"/>
                <w:b/>
                <w:bCs/>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p>
        </w:tc>
        <w:tc>
          <w:tcPr>
            <w:tcW w:w="1341" w:type="dxa"/>
            <w:vAlign w:val="center"/>
          </w:tcPr>
          <w:p>
            <w:pPr>
              <w:adjustRightInd w:val="0"/>
              <w:snapToGrid w:val="0"/>
              <w:spacing w:line="360" w:lineRule="auto"/>
              <w:jc w:val="center"/>
              <w:rPr>
                <w:rFonts w:ascii="宋体" w:hAnsi="宋体"/>
                <w:b/>
                <w:bCs/>
                <w:spacing w:val="-6"/>
                <w:sz w:val="21"/>
                <w:szCs w:val="21"/>
              </w:rPr>
            </w:pPr>
          </w:p>
        </w:tc>
        <w:tc>
          <w:tcPr>
            <w:tcW w:w="2009" w:type="dxa"/>
            <w:vAlign w:val="center"/>
          </w:tcPr>
          <w:p>
            <w:pPr>
              <w:adjustRightInd w:val="0"/>
              <w:snapToGrid w:val="0"/>
              <w:spacing w:line="360" w:lineRule="auto"/>
              <w:jc w:val="center"/>
              <w:rPr>
                <w:rFonts w:ascii="宋体" w:hAnsi="宋体"/>
                <w:b/>
                <w:bCs/>
                <w:spacing w:val="-6"/>
                <w:sz w:val="21"/>
                <w:szCs w:val="21"/>
              </w:rPr>
            </w:pPr>
          </w:p>
        </w:tc>
        <w:tc>
          <w:tcPr>
            <w:tcW w:w="837" w:type="dxa"/>
            <w:vAlign w:val="center"/>
          </w:tcPr>
          <w:p>
            <w:pPr>
              <w:adjustRightInd w:val="0"/>
              <w:snapToGrid w:val="0"/>
              <w:spacing w:line="360" w:lineRule="auto"/>
              <w:jc w:val="center"/>
              <w:rPr>
                <w:rFonts w:ascii="宋体" w:hAnsi="宋体"/>
                <w:b/>
                <w:bCs/>
                <w:spacing w:val="-6"/>
                <w:sz w:val="21"/>
                <w:szCs w:val="21"/>
              </w:rPr>
            </w:pPr>
          </w:p>
        </w:tc>
        <w:tc>
          <w:tcPr>
            <w:tcW w:w="1005" w:type="dxa"/>
            <w:vAlign w:val="center"/>
          </w:tcPr>
          <w:p>
            <w:pPr>
              <w:adjustRightInd w:val="0"/>
              <w:snapToGrid w:val="0"/>
              <w:spacing w:line="360" w:lineRule="auto"/>
              <w:jc w:val="center"/>
              <w:rPr>
                <w:rFonts w:ascii="宋体" w:hAnsi="宋体"/>
                <w:b/>
                <w:bCs/>
                <w:spacing w:val="-6"/>
                <w:sz w:val="21"/>
                <w:szCs w:val="21"/>
              </w:rPr>
            </w:pPr>
          </w:p>
        </w:tc>
        <w:tc>
          <w:tcPr>
            <w:tcW w:w="1031" w:type="dxa"/>
            <w:vAlign w:val="center"/>
          </w:tcPr>
          <w:p>
            <w:pPr>
              <w:adjustRightInd w:val="0"/>
              <w:snapToGrid w:val="0"/>
              <w:spacing w:line="360" w:lineRule="auto"/>
              <w:jc w:val="center"/>
              <w:rPr>
                <w:rFonts w:ascii="宋体" w:hAnsi="宋体"/>
                <w:b/>
                <w:bCs/>
                <w:spacing w:val="-6"/>
                <w:sz w:val="21"/>
                <w:szCs w:val="21"/>
              </w:rPr>
            </w:pPr>
          </w:p>
        </w:tc>
        <w:tc>
          <w:tcPr>
            <w:tcW w:w="1453" w:type="dxa"/>
            <w:vAlign w:val="center"/>
          </w:tcPr>
          <w:p>
            <w:pPr>
              <w:adjustRightInd w:val="0"/>
              <w:snapToGrid w:val="0"/>
              <w:spacing w:line="360" w:lineRule="auto"/>
              <w:jc w:val="center"/>
              <w:rPr>
                <w:rFonts w:hint="eastAsia" w:ascii="宋体" w:hAnsi="宋体"/>
                <w:bCs/>
                <w:spacing w:val="-6"/>
                <w:sz w:val="21"/>
                <w:szCs w:val="21"/>
              </w:rPr>
            </w:pPr>
            <w:r>
              <w:rPr>
                <w:rFonts w:hint="eastAsia" w:ascii="宋体" w:hAnsi="宋体"/>
                <w:bCs/>
                <w:spacing w:val="-6"/>
                <w:sz w:val="21"/>
                <w:szCs w:val="21"/>
              </w:rPr>
              <w:t>驻场人员</w:t>
            </w:r>
          </w:p>
        </w:tc>
        <w:tc>
          <w:tcPr>
            <w:tcW w:w="1701" w:type="dxa"/>
            <w:vAlign w:val="center"/>
          </w:tcPr>
          <w:p>
            <w:pPr>
              <w:adjustRightInd w:val="0"/>
              <w:snapToGrid w:val="0"/>
              <w:spacing w:line="360" w:lineRule="auto"/>
              <w:jc w:val="center"/>
              <w:rPr>
                <w:rFonts w:ascii="宋体" w:hAnsi="宋体"/>
                <w:b/>
                <w:bCs/>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p>
        </w:tc>
        <w:tc>
          <w:tcPr>
            <w:tcW w:w="1341" w:type="dxa"/>
            <w:vAlign w:val="center"/>
          </w:tcPr>
          <w:p>
            <w:pPr>
              <w:adjustRightInd w:val="0"/>
              <w:snapToGrid w:val="0"/>
              <w:spacing w:line="360" w:lineRule="auto"/>
              <w:jc w:val="center"/>
              <w:rPr>
                <w:rFonts w:ascii="宋体" w:hAnsi="宋体"/>
                <w:b/>
                <w:bCs/>
                <w:spacing w:val="-6"/>
                <w:sz w:val="21"/>
                <w:szCs w:val="21"/>
              </w:rPr>
            </w:pPr>
          </w:p>
        </w:tc>
        <w:tc>
          <w:tcPr>
            <w:tcW w:w="2009" w:type="dxa"/>
            <w:vAlign w:val="center"/>
          </w:tcPr>
          <w:p>
            <w:pPr>
              <w:adjustRightInd w:val="0"/>
              <w:snapToGrid w:val="0"/>
              <w:spacing w:line="360" w:lineRule="auto"/>
              <w:jc w:val="center"/>
              <w:rPr>
                <w:rFonts w:ascii="宋体" w:hAnsi="宋体"/>
                <w:b/>
                <w:bCs/>
                <w:spacing w:val="-6"/>
                <w:sz w:val="21"/>
                <w:szCs w:val="21"/>
              </w:rPr>
            </w:pPr>
          </w:p>
        </w:tc>
        <w:tc>
          <w:tcPr>
            <w:tcW w:w="837" w:type="dxa"/>
            <w:vAlign w:val="center"/>
          </w:tcPr>
          <w:p>
            <w:pPr>
              <w:adjustRightInd w:val="0"/>
              <w:snapToGrid w:val="0"/>
              <w:spacing w:line="360" w:lineRule="auto"/>
              <w:jc w:val="center"/>
              <w:rPr>
                <w:rFonts w:ascii="宋体" w:hAnsi="宋体"/>
                <w:b/>
                <w:bCs/>
                <w:spacing w:val="-6"/>
                <w:sz w:val="21"/>
                <w:szCs w:val="21"/>
              </w:rPr>
            </w:pPr>
          </w:p>
        </w:tc>
        <w:tc>
          <w:tcPr>
            <w:tcW w:w="1005" w:type="dxa"/>
            <w:vAlign w:val="center"/>
          </w:tcPr>
          <w:p>
            <w:pPr>
              <w:adjustRightInd w:val="0"/>
              <w:snapToGrid w:val="0"/>
              <w:spacing w:line="360" w:lineRule="auto"/>
              <w:jc w:val="center"/>
              <w:rPr>
                <w:rFonts w:ascii="宋体" w:hAnsi="宋体"/>
                <w:b/>
                <w:bCs/>
                <w:spacing w:val="-6"/>
                <w:sz w:val="21"/>
                <w:szCs w:val="21"/>
              </w:rPr>
            </w:pPr>
          </w:p>
        </w:tc>
        <w:tc>
          <w:tcPr>
            <w:tcW w:w="1031" w:type="dxa"/>
            <w:vAlign w:val="center"/>
          </w:tcPr>
          <w:p>
            <w:pPr>
              <w:adjustRightInd w:val="0"/>
              <w:snapToGrid w:val="0"/>
              <w:spacing w:line="360" w:lineRule="auto"/>
              <w:jc w:val="center"/>
              <w:rPr>
                <w:rFonts w:ascii="宋体" w:hAnsi="宋体"/>
                <w:b/>
                <w:bCs/>
                <w:spacing w:val="-6"/>
                <w:sz w:val="21"/>
                <w:szCs w:val="21"/>
              </w:rPr>
            </w:pPr>
          </w:p>
        </w:tc>
        <w:tc>
          <w:tcPr>
            <w:tcW w:w="1453" w:type="dxa"/>
            <w:vAlign w:val="center"/>
          </w:tcPr>
          <w:p>
            <w:pPr>
              <w:adjustRightInd w:val="0"/>
              <w:snapToGrid w:val="0"/>
              <w:spacing w:line="360" w:lineRule="auto"/>
              <w:jc w:val="center"/>
              <w:rPr>
                <w:rFonts w:ascii="宋体" w:hAnsi="宋体"/>
                <w:bCs/>
                <w:spacing w:val="-6"/>
                <w:sz w:val="21"/>
                <w:szCs w:val="21"/>
              </w:rPr>
            </w:pPr>
            <w:r>
              <w:rPr>
                <w:rFonts w:hint="eastAsia" w:ascii="宋体" w:hAnsi="宋体"/>
                <w:bCs/>
                <w:spacing w:val="-6"/>
                <w:sz w:val="21"/>
                <w:szCs w:val="21"/>
              </w:rPr>
              <w:t>辅助人员</w:t>
            </w:r>
          </w:p>
        </w:tc>
        <w:tc>
          <w:tcPr>
            <w:tcW w:w="1701" w:type="dxa"/>
            <w:vAlign w:val="center"/>
          </w:tcPr>
          <w:p>
            <w:pPr>
              <w:adjustRightInd w:val="0"/>
              <w:snapToGrid w:val="0"/>
              <w:spacing w:line="360" w:lineRule="auto"/>
              <w:jc w:val="center"/>
              <w:rPr>
                <w:rFonts w:ascii="宋体" w:hAnsi="宋体"/>
                <w:b/>
                <w:bCs/>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p>
        </w:tc>
        <w:tc>
          <w:tcPr>
            <w:tcW w:w="1341" w:type="dxa"/>
            <w:vAlign w:val="center"/>
          </w:tcPr>
          <w:p>
            <w:pPr>
              <w:adjustRightInd w:val="0"/>
              <w:snapToGrid w:val="0"/>
              <w:spacing w:line="360" w:lineRule="auto"/>
              <w:jc w:val="center"/>
              <w:rPr>
                <w:rFonts w:ascii="宋体" w:hAnsi="宋体"/>
                <w:b/>
                <w:bCs/>
                <w:spacing w:val="-6"/>
                <w:sz w:val="21"/>
                <w:szCs w:val="21"/>
              </w:rPr>
            </w:pPr>
          </w:p>
        </w:tc>
        <w:tc>
          <w:tcPr>
            <w:tcW w:w="2009" w:type="dxa"/>
            <w:vAlign w:val="center"/>
          </w:tcPr>
          <w:p>
            <w:pPr>
              <w:adjustRightInd w:val="0"/>
              <w:snapToGrid w:val="0"/>
              <w:spacing w:line="360" w:lineRule="auto"/>
              <w:jc w:val="center"/>
              <w:rPr>
                <w:rFonts w:ascii="宋体" w:hAnsi="宋体"/>
                <w:b/>
                <w:bCs/>
                <w:spacing w:val="-6"/>
                <w:sz w:val="21"/>
                <w:szCs w:val="21"/>
              </w:rPr>
            </w:pPr>
          </w:p>
        </w:tc>
        <w:tc>
          <w:tcPr>
            <w:tcW w:w="837" w:type="dxa"/>
            <w:vAlign w:val="center"/>
          </w:tcPr>
          <w:p>
            <w:pPr>
              <w:adjustRightInd w:val="0"/>
              <w:snapToGrid w:val="0"/>
              <w:spacing w:line="360" w:lineRule="auto"/>
              <w:jc w:val="center"/>
              <w:rPr>
                <w:rFonts w:ascii="宋体" w:hAnsi="宋体"/>
                <w:b/>
                <w:bCs/>
                <w:spacing w:val="-6"/>
                <w:sz w:val="21"/>
                <w:szCs w:val="21"/>
              </w:rPr>
            </w:pPr>
          </w:p>
        </w:tc>
        <w:tc>
          <w:tcPr>
            <w:tcW w:w="1005" w:type="dxa"/>
            <w:vAlign w:val="center"/>
          </w:tcPr>
          <w:p>
            <w:pPr>
              <w:adjustRightInd w:val="0"/>
              <w:snapToGrid w:val="0"/>
              <w:spacing w:line="360" w:lineRule="auto"/>
              <w:jc w:val="center"/>
              <w:rPr>
                <w:rFonts w:ascii="宋体" w:hAnsi="宋体"/>
                <w:b/>
                <w:bCs/>
                <w:spacing w:val="-6"/>
                <w:sz w:val="21"/>
                <w:szCs w:val="21"/>
              </w:rPr>
            </w:pPr>
          </w:p>
        </w:tc>
        <w:tc>
          <w:tcPr>
            <w:tcW w:w="1031" w:type="dxa"/>
            <w:vAlign w:val="center"/>
          </w:tcPr>
          <w:p>
            <w:pPr>
              <w:adjustRightInd w:val="0"/>
              <w:snapToGrid w:val="0"/>
              <w:spacing w:line="360" w:lineRule="auto"/>
              <w:jc w:val="center"/>
              <w:rPr>
                <w:rFonts w:ascii="宋体" w:hAnsi="宋体"/>
                <w:b/>
                <w:bCs/>
                <w:spacing w:val="-6"/>
                <w:sz w:val="21"/>
                <w:szCs w:val="21"/>
              </w:rPr>
            </w:pPr>
          </w:p>
        </w:tc>
        <w:tc>
          <w:tcPr>
            <w:tcW w:w="1453" w:type="dxa"/>
            <w:vAlign w:val="center"/>
          </w:tcPr>
          <w:p>
            <w:pPr>
              <w:adjustRightInd w:val="0"/>
              <w:snapToGrid w:val="0"/>
              <w:spacing w:line="360" w:lineRule="auto"/>
              <w:jc w:val="center"/>
              <w:rPr>
                <w:rFonts w:ascii="宋体" w:hAnsi="宋体"/>
                <w:bCs/>
                <w:spacing w:val="-6"/>
                <w:sz w:val="21"/>
                <w:szCs w:val="21"/>
              </w:rPr>
            </w:pPr>
            <w:r>
              <w:rPr>
                <w:rFonts w:hint="eastAsia" w:ascii="宋体" w:hAnsi="宋体"/>
                <w:bCs/>
                <w:spacing w:val="-6"/>
                <w:sz w:val="21"/>
                <w:szCs w:val="21"/>
              </w:rPr>
              <w:t>辅助人员</w:t>
            </w:r>
          </w:p>
        </w:tc>
        <w:tc>
          <w:tcPr>
            <w:tcW w:w="1701" w:type="dxa"/>
            <w:vAlign w:val="center"/>
          </w:tcPr>
          <w:p>
            <w:pPr>
              <w:adjustRightInd w:val="0"/>
              <w:snapToGrid w:val="0"/>
              <w:spacing w:line="360" w:lineRule="auto"/>
              <w:jc w:val="center"/>
              <w:rPr>
                <w:rFonts w:ascii="宋体" w:hAnsi="宋体"/>
                <w:b/>
                <w:bCs/>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p>
        </w:tc>
        <w:tc>
          <w:tcPr>
            <w:tcW w:w="1341" w:type="dxa"/>
            <w:vAlign w:val="center"/>
          </w:tcPr>
          <w:p>
            <w:pPr>
              <w:adjustRightInd w:val="0"/>
              <w:snapToGrid w:val="0"/>
              <w:spacing w:line="360" w:lineRule="auto"/>
              <w:jc w:val="center"/>
              <w:rPr>
                <w:rFonts w:ascii="宋体" w:hAnsi="宋体"/>
                <w:b/>
                <w:bCs/>
                <w:spacing w:val="-6"/>
                <w:sz w:val="21"/>
                <w:szCs w:val="21"/>
              </w:rPr>
            </w:pPr>
          </w:p>
        </w:tc>
        <w:tc>
          <w:tcPr>
            <w:tcW w:w="2009" w:type="dxa"/>
            <w:vAlign w:val="center"/>
          </w:tcPr>
          <w:p>
            <w:pPr>
              <w:adjustRightInd w:val="0"/>
              <w:snapToGrid w:val="0"/>
              <w:spacing w:line="360" w:lineRule="auto"/>
              <w:jc w:val="center"/>
              <w:rPr>
                <w:rFonts w:ascii="宋体" w:hAnsi="宋体"/>
                <w:b/>
                <w:bCs/>
                <w:spacing w:val="-6"/>
                <w:sz w:val="21"/>
                <w:szCs w:val="21"/>
              </w:rPr>
            </w:pPr>
          </w:p>
        </w:tc>
        <w:tc>
          <w:tcPr>
            <w:tcW w:w="837" w:type="dxa"/>
            <w:vAlign w:val="center"/>
          </w:tcPr>
          <w:p>
            <w:pPr>
              <w:adjustRightInd w:val="0"/>
              <w:snapToGrid w:val="0"/>
              <w:spacing w:line="360" w:lineRule="auto"/>
              <w:jc w:val="center"/>
              <w:rPr>
                <w:rFonts w:ascii="宋体" w:hAnsi="宋体"/>
                <w:b/>
                <w:bCs/>
                <w:spacing w:val="-6"/>
                <w:sz w:val="21"/>
                <w:szCs w:val="21"/>
              </w:rPr>
            </w:pPr>
          </w:p>
        </w:tc>
        <w:tc>
          <w:tcPr>
            <w:tcW w:w="1005" w:type="dxa"/>
            <w:vAlign w:val="center"/>
          </w:tcPr>
          <w:p>
            <w:pPr>
              <w:adjustRightInd w:val="0"/>
              <w:snapToGrid w:val="0"/>
              <w:spacing w:line="360" w:lineRule="auto"/>
              <w:jc w:val="center"/>
              <w:rPr>
                <w:rFonts w:ascii="宋体" w:hAnsi="宋体"/>
                <w:b/>
                <w:bCs/>
                <w:spacing w:val="-6"/>
                <w:sz w:val="21"/>
                <w:szCs w:val="21"/>
              </w:rPr>
            </w:pPr>
          </w:p>
        </w:tc>
        <w:tc>
          <w:tcPr>
            <w:tcW w:w="1031" w:type="dxa"/>
            <w:vAlign w:val="center"/>
          </w:tcPr>
          <w:p>
            <w:pPr>
              <w:adjustRightInd w:val="0"/>
              <w:snapToGrid w:val="0"/>
              <w:spacing w:line="360" w:lineRule="auto"/>
              <w:jc w:val="center"/>
              <w:rPr>
                <w:rFonts w:ascii="宋体" w:hAnsi="宋体"/>
                <w:b/>
                <w:bCs/>
                <w:spacing w:val="-6"/>
                <w:sz w:val="21"/>
                <w:szCs w:val="21"/>
              </w:rPr>
            </w:pPr>
          </w:p>
        </w:tc>
        <w:tc>
          <w:tcPr>
            <w:tcW w:w="1453" w:type="dxa"/>
            <w:vAlign w:val="center"/>
          </w:tcPr>
          <w:p>
            <w:pPr>
              <w:adjustRightInd w:val="0"/>
              <w:snapToGrid w:val="0"/>
              <w:spacing w:line="360" w:lineRule="auto"/>
              <w:jc w:val="center"/>
              <w:rPr>
                <w:rFonts w:ascii="宋体" w:hAnsi="宋体"/>
                <w:bCs/>
                <w:spacing w:val="-6"/>
                <w:sz w:val="21"/>
                <w:szCs w:val="21"/>
              </w:rPr>
            </w:pPr>
            <w:r>
              <w:rPr>
                <w:rFonts w:hint="eastAsia" w:ascii="宋体" w:hAnsi="宋体"/>
                <w:bCs/>
                <w:spacing w:val="-6"/>
                <w:sz w:val="21"/>
                <w:szCs w:val="21"/>
              </w:rPr>
              <w:t>……</w:t>
            </w:r>
          </w:p>
        </w:tc>
        <w:tc>
          <w:tcPr>
            <w:tcW w:w="1701" w:type="dxa"/>
            <w:vAlign w:val="center"/>
          </w:tcPr>
          <w:p>
            <w:pPr>
              <w:adjustRightInd w:val="0"/>
              <w:snapToGrid w:val="0"/>
              <w:spacing w:line="360" w:lineRule="auto"/>
              <w:jc w:val="center"/>
              <w:rPr>
                <w:rFonts w:ascii="宋体" w:hAnsi="宋体"/>
                <w:b/>
                <w:bCs/>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adjustRightInd w:val="0"/>
              <w:snapToGrid w:val="0"/>
              <w:spacing w:line="360" w:lineRule="auto"/>
              <w:jc w:val="center"/>
              <w:rPr>
                <w:rFonts w:ascii="宋体" w:hAnsi="宋体"/>
                <w:b/>
                <w:bCs/>
                <w:spacing w:val="-6"/>
                <w:sz w:val="21"/>
                <w:szCs w:val="21"/>
              </w:rPr>
            </w:pPr>
          </w:p>
        </w:tc>
        <w:tc>
          <w:tcPr>
            <w:tcW w:w="1341" w:type="dxa"/>
            <w:vAlign w:val="center"/>
          </w:tcPr>
          <w:p>
            <w:pPr>
              <w:adjustRightInd w:val="0"/>
              <w:snapToGrid w:val="0"/>
              <w:spacing w:line="360" w:lineRule="auto"/>
              <w:jc w:val="center"/>
              <w:rPr>
                <w:rFonts w:ascii="宋体" w:hAnsi="宋体"/>
                <w:b/>
                <w:bCs/>
                <w:spacing w:val="-6"/>
                <w:sz w:val="21"/>
                <w:szCs w:val="21"/>
              </w:rPr>
            </w:pPr>
          </w:p>
        </w:tc>
        <w:tc>
          <w:tcPr>
            <w:tcW w:w="2009" w:type="dxa"/>
            <w:vAlign w:val="center"/>
          </w:tcPr>
          <w:p>
            <w:pPr>
              <w:adjustRightInd w:val="0"/>
              <w:snapToGrid w:val="0"/>
              <w:spacing w:line="360" w:lineRule="auto"/>
              <w:jc w:val="center"/>
              <w:rPr>
                <w:rFonts w:ascii="宋体" w:hAnsi="宋体"/>
                <w:b/>
                <w:bCs/>
                <w:spacing w:val="-6"/>
                <w:sz w:val="21"/>
                <w:szCs w:val="21"/>
              </w:rPr>
            </w:pPr>
          </w:p>
        </w:tc>
        <w:tc>
          <w:tcPr>
            <w:tcW w:w="837" w:type="dxa"/>
            <w:vAlign w:val="center"/>
          </w:tcPr>
          <w:p>
            <w:pPr>
              <w:adjustRightInd w:val="0"/>
              <w:snapToGrid w:val="0"/>
              <w:spacing w:line="360" w:lineRule="auto"/>
              <w:jc w:val="center"/>
              <w:rPr>
                <w:rFonts w:ascii="宋体" w:hAnsi="宋体"/>
                <w:b/>
                <w:bCs/>
                <w:spacing w:val="-6"/>
                <w:sz w:val="21"/>
                <w:szCs w:val="21"/>
              </w:rPr>
            </w:pPr>
          </w:p>
        </w:tc>
        <w:tc>
          <w:tcPr>
            <w:tcW w:w="1005" w:type="dxa"/>
            <w:vAlign w:val="center"/>
          </w:tcPr>
          <w:p>
            <w:pPr>
              <w:adjustRightInd w:val="0"/>
              <w:snapToGrid w:val="0"/>
              <w:spacing w:line="360" w:lineRule="auto"/>
              <w:jc w:val="center"/>
              <w:rPr>
                <w:rFonts w:ascii="宋体" w:hAnsi="宋体"/>
                <w:b/>
                <w:bCs/>
                <w:spacing w:val="-6"/>
                <w:sz w:val="21"/>
                <w:szCs w:val="21"/>
              </w:rPr>
            </w:pPr>
          </w:p>
        </w:tc>
        <w:tc>
          <w:tcPr>
            <w:tcW w:w="1031" w:type="dxa"/>
            <w:vAlign w:val="center"/>
          </w:tcPr>
          <w:p>
            <w:pPr>
              <w:adjustRightInd w:val="0"/>
              <w:snapToGrid w:val="0"/>
              <w:spacing w:line="360" w:lineRule="auto"/>
              <w:jc w:val="center"/>
              <w:rPr>
                <w:rFonts w:ascii="宋体" w:hAnsi="宋体"/>
                <w:b/>
                <w:bCs/>
                <w:spacing w:val="-6"/>
                <w:sz w:val="21"/>
                <w:szCs w:val="21"/>
              </w:rPr>
            </w:pPr>
          </w:p>
        </w:tc>
        <w:tc>
          <w:tcPr>
            <w:tcW w:w="1453" w:type="dxa"/>
            <w:vAlign w:val="center"/>
          </w:tcPr>
          <w:p>
            <w:pPr>
              <w:adjustRightInd w:val="0"/>
              <w:snapToGrid w:val="0"/>
              <w:spacing w:line="360" w:lineRule="auto"/>
              <w:jc w:val="center"/>
              <w:rPr>
                <w:rFonts w:ascii="宋体" w:hAnsi="宋体"/>
                <w:bCs/>
                <w:spacing w:val="-6"/>
                <w:sz w:val="21"/>
                <w:szCs w:val="21"/>
              </w:rPr>
            </w:pPr>
          </w:p>
        </w:tc>
        <w:tc>
          <w:tcPr>
            <w:tcW w:w="1701" w:type="dxa"/>
            <w:vAlign w:val="center"/>
          </w:tcPr>
          <w:p>
            <w:pPr>
              <w:adjustRightInd w:val="0"/>
              <w:snapToGrid w:val="0"/>
              <w:spacing w:line="360" w:lineRule="auto"/>
              <w:jc w:val="center"/>
              <w:rPr>
                <w:rFonts w:ascii="宋体" w:hAnsi="宋体"/>
                <w:b/>
                <w:bCs/>
                <w:spacing w:val="-6"/>
                <w:sz w:val="21"/>
                <w:szCs w:val="21"/>
              </w:rPr>
            </w:pPr>
          </w:p>
        </w:tc>
      </w:tr>
    </w:tbl>
    <w:p>
      <w:pPr>
        <w:adjustRightInd w:val="0"/>
        <w:snapToGrid w:val="0"/>
        <w:spacing w:before="468" w:beforeLines="150" w:line="360" w:lineRule="auto"/>
        <w:ind w:firstLine="420" w:firstLineChars="200"/>
        <w:rPr>
          <w:rFonts w:ascii="宋体" w:hAnsi="宋体" w:cs="宋体"/>
          <w:sz w:val="21"/>
          <w:szCs w:val="21"/>
        </w:rPr>
      </w:pPr>
      <w:r>
        <w:rPr>
          <w:rFonts w:hint="eastAsia" w:ascii="宋体" w:hAnsi="宋体" w:cs="宋体"/>
          <w:bCs/>
          <w:sz w:val="21"/>
          <w:szCs w:val="21"/>
        </w:rPr>
        <w:t>（二）乙方应</w:t>
      </w:r>
      <w:r>
        <w:rPr>
          <w:rFonts w:hint="eastAsia" w:ascii="宋体" w:hAnsi="宋体" w:cs="宋体"/>
          <w:sz w:val="21"/>
          <w:szCs w:val="21"/>
        </w:rPr>
        <w:t>依法按照公开、公平、公正和诚实信用原则，有序组织采购工作，维护各方的合法权益。</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（三）乙方</w:t>
      </w:r>
      <w:r>
        <w:rPr>
          <w:rFonts w:hint="eastAsia" w:ascii="宋体" w:hAnsi="宋体" w:cs="宋体"/>
          <w:sz w:val="21"/>
          <w:szCs w:val="21"/>
        </w:rPr>
        <w:t>应对采购工作中乙方所出具有关数据的计算、技术经济资料等的科学性和准确性负责。</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（四）乙方</w:t>
      </w:r>
      <w:r>
        <w:rPr>
          <w:rFonts w:hint="eastAsia" w:ascii="宋体" w:hAnsi="宋体" w:cs="宋体"/>
          <w:sz w:val="21"/>
          <w:szCs w:val="21"/>
        </w:rPr>
        <w:t>不得接受与甲方作为采购人的采购项目相关的投标咨询业务。</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（五）</w:t>
      </w:r>
      <w:r>
        <w:rPr>
          <w:rFonts w:hint="eastAsia" w:ascii="宋体" w:hAnsi="宋体" w:cs="宋体"/>
          <w:sz w:val="21"/>
          <w:szCs w:val="21"/>
        </w:rPr>
        <w:t>未经甲方同意，乙方不得分包或转让本合同的任何权利和义务。</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（六）乙方应按相关规定及时足额支付评审专家费用。</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（七）乙方不得接受任何投标人的礼品、宴请和其它好处，不得泄露招标、评标、定标过程中依法需要保密的内容。合同终止后，未经甲方同意，乙方不得披露与本合同相关的任何采购资料和情况。</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（八）乙方在采购工作中应妥善保管相关采购资料。</w:t>
      </w:r>
    </w:p>
    <w:p>
      <w:pPr>
        <w:adjustRightInd w:val="0"/>
        <w:snapToGrid w:val="0"/>
        <w:spacing w:line="360" w:lineRule="auto"/>
        <w:ind w:firstLine="420" w:firstLineChars="200"/>
        <w:rPr>
          <w:rFonts w:ascii="宋体" w:hAnsi="宋体" w:cs="宋体"/>
          <w:bCs/>
          <w:sz w:val="21"/>
          <w:szCs w:val="21"/>
        </w:rPr>
      </w:pPr>
      <w:r>
        <w:rPr>
          <w:rFonts w:hint="eastAsia" w:ascii="宋体" w:hAnsi="宋体" w:cs="宋体"/>
          <w:bCs/>
          <w:sz w:val="21"/>
          <w:szCs w:val="21"/>
        </w:rPr>
        <w:t>（九）乙方应履行在浙商银行股份有限公司</w:t>
      </w:r>
      <w:r>
        <w:rPr>
          <w:rFonts w:hint="eastAsia" w:ascii="宋体" w:hAnsi="宋体"/>
          <w:spacing w:val="-6"/>
          <w:sz w:val="21"/>
          <w:szCs w:val="21"/>
        </w:rPr>
        <w:t>采购代理服务机构入围增补</w:t>
      </w:r>
      <w:r>
        <w:rPr>
          <w:rFonts w:ascii="宋体" w:hAnsi="宋体"/>
          <w:spacing w:val="-6"/>
          <w:sz w:val="21"/>
          <w:szCs w:val="21"/>
        </w:rPr>
        <w:t>采购</w:t>
      </w:r>
      <w:r>
        <w:rPr>
          <w:rFonts w:hint="eastAsia" w:ascii="宋体" w:hAnsi="宋体" w:cs="宋体"/>
          <w:bCs/>
          <w:sz w:val="21"/>
          <w:szCs w:val="21"/>
        </w:rPr>
        <w:t>项目投标文件中的各项承诺。</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（十）</w:t>
      </w:r>
      <w:r>
        <w:rPr>
          <w:rFonts w:hint="eastAsia" w:ascii="宋体" w:hAnsi="宋体" w:cs="宋体"/>
          <w:sz w:val="21"/>
          <w:szCs w:val="21"/>
        </w:rPr>
        <w:t>乙方应遵守《浙商银行股份有限公司</w:t>
      </w:r>
      <w:r>
        <w:rPr>
          <w:rFonts w:hint="eastAsia" w:ascii="宋体" w:hAnsi="宋体"/>
          <w:spacing w:val="-6"/>
          <w:sz w:val="21"/>
          <w:szCs w:val="21"/>
        </w:rPr>
        <w:t>采购代理服务机构入围增补</w:t>
      </w:r>
      <w:r>
        <w:rPr>
          <w:rFonts w:ascii="宋体" w:hAnsi="宋体"/>
          <w:spacing w:val="-6"/>
          <w:sz w:val="21"/>
          <w:szCs w:val="21"/>
        </w:rPr>
        <w:t>采购</w:t>
      </w:r>
      <w:r>
        <w:rPr>
          <w:rFonts w:hint="eastAsia" w:ascii="宋体" w:hAnsi="宋体" w:cs="宋体"/>
          <w:sz w:val="21"/>
          <w:szCs w:val="21"/>
        </w:rPr>
        <w:t>项目保密协议》（附件1）。</w:t>
      </w:r>
    </w:p>
    <w:p>
      <w:pPr>
        <w:jc w:val="left"/>
        <w:rPr>
          <w:rFonts w:ascii="宋体" w:hAnsi="宋体" w:cs="宋体"/>
          <w:sz w:val="21"/>
          <w:szCs w:val="21"/>
        </w:rPr>
      </w:pPr>
      <w:r>
        <w:rPr>
          <w:rFonts w:hint="eastAsia" w:ascii="宋体" w:hAnsi="宋体" w:cs="宋体"/>
          <w:sz w:val="21"/>
          <w:szCs w:val="21"/>
        </w:rPr>
        <w:t xml:space="preserve">   </w:t>
      </w:r>
      <w:r>
        <w:rPr>
          <w:rFonts w:hint="eastAsia" w:ascii="宋体" w:hAnsi="宋体" w:cs="宋体"/>
          <w:bCs/>
          <w:sz w:val="21"/>
          <w:szCs w:val="21"/>
        </w:rPr>
        <w:t xml:space="preserve"> （十一）</w:t>
      </w:r>
      <w:r>
        <w:rPr>
          <w:rFonts w:hint="eastAsia" w:ascii="宋体" w:hAnsi="宋体" w:cs="宋体"/>
          <w:sz w:val="21"/>
          <w:szCs w:val="21"/>
        </w:rPr>
        <w:t>乙方未能履行以上各项义务，给甲方造成损失的，应当赔偿甲方的有关损失。</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六、甲方的权利</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（一）</w:t>
      </w:r>
      <w:r>
        <w:rPr>
          <w:rFonts w:hint="eastAsia" w:ascii="宋体" w:hAnsi="宋体"/>
          <w:sz w:val="21"/>
          <w:szCs w:val="21"/>
        </w:rPr>
        <w:t>按合同约定，接收采购代理服务的工作成果。</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（二）</w:t>
      </w:r>
      <w:r>
        <w:rPr>
          <w:rFonts w:hint="eastAsia" w:ascii="宋体" w:hAnsi="宋体"/>
          <w:sz w:val="21"/>
          <w:szCs w:val="21"/>
        </w:rPr>
        <w:t>向乙方了解本合同项下具体采购</w:t>
      </w:r>
      <w:r>
        <w:rPr>
          <w:rFonts w:hint="eastAsia" w:ascii="宋体" w:hAnsi="宋体" w:cs="宋体"/>
          <w:sz w:val="21"/>
          <w:szCs w:val="21"/>
        </w:rPr>
        <w:t>代理服务</w:t>
      </w:r>
      <w:r>
        <w:rPr>
          <w:rFonts w:hint="eastAsia" w:ascii="宋体" w:hAnsi="宋体"/>
          <w:sz w:val="21"/>
          <w:szCs w:val="21"/>
        </w:rPr>
        <w:t>项目工作进展情况和相关内容或提出不违反法律、行政法规的建议。</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（三）</w:t>
      </w:r>
      <w:r>
        <w:rPr>
          <w:rFonts w:hint="eastAsia" w:ascii="宋体" w:hAnsi="宋体"/>
          <w:sz w:val="21"/>
          <w:szCs w:val="21"/>
        </w:rPr>
        <w:t>审查乙方为本合同项下具体采购</w:t>
      </w:r>
      <w:r>
        <w:rPr>
          <w:rFonts w:hint="eastAsia" w:ascii="宋体" w:hAnsi="宋体" w:cs="宋体"/>
          <w:sz w:val="21"/>
          <w:szCs w:val="21"/>
        </w:rPr>
        <w:t>代理服务</w:t>
      </w:r>
      <w:r>
        <w:rPr>
          <w:rFonts w:hint="eastAsia" w:ascii="宋体" w:hAnsi="宋体"/>
          <w:sz w:val="21"/>
          <w:szCs w:val="21"/>
        </w:rPr>
        <w:t>项目编制的各种文件，并提出修正意见。</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（四）</w:t>
      </w:r>
      <w:r>
        <w:rPr>
          <w:rFonts w:hint="eastAsia" w:ascii="宋体" w:hAnsi="宋体"/>
          <w:sz w:val="21"/>
          <w:szCs w:val="21"/>
        </w:rPr>
        <w:t>要求乙方提交采购代理业务工作报告。</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（五）</w:t>
      </w:r>
      <w:r>
        <w:rPr>
          <w:rFonts w:hint="eastAsia" w:ascii="宋体" w:hAnsi="宋体"/>
          <w:sz w:val="21"/>
          <w:szCs w:val="21"/>
        </w:rPr>
        <w:t>要求乙方更换其不称职的采购代理服务项目负责人及服务团队成员。</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（六）</w:t>
      </w:r>
      <w:r>
        <w:rPr>
          <w:rFonts w:hint="eastAsia" w:ascii="宋体" w:hAnsi="宋体"/>
          <w:sz w:val="21"/>
          <w:szCs w:val="21"/>
        </w:rPr>
        <w:t>依法选择中标（成交）人。</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（七）</w:t>
      </w:r>
      <w:r>
        <w:rPr>
          <w:rFonts w:hint="eastAsia" w:ascii="宋体" w:hAnsi="宋体"/>
          <w:sz w:val="21"/>
          <w:szCs w:val="21"/>
        </w:rPr>
        <w:t>本合同履行期间，由于乙方不履行合同约定的内容，给甲方造成损失或影响采购工作正常进行的，甲方有权终止本合同，并依法向乙方追索经济赔偿，直至追究法律责任。</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（八）</w:t>
      </w:r>
      <w:r>
        <w:rPr>
          <w:rFonts w:hint="eastAsia" w:ascii="宋体" w:hAnsi="宋体"/>
          <w:sz w:val="21"/>
          <w:szCs w:val="21"/>
        </w:rPr>
        <w:t>依法享有的其他权利，双方在本合同项下具体采购</w:t>
      </w:r>
      <w:r>
        <w:rPr>
          <w:rFonts w:hint="eastAsia" w:ascii="宋体" w:hAnsi="宋体" w:cs="宋体"/>
          <w:sz w:val="21"/>
          <w:szCs w:val="21"/>
        </w:rPr>
        <w:t>代理服务</w:t>
      </w:r>
      <w:r>
        <w:rPr>
          <w:rFonts w:hint="eastAsia" w:ascii="宋体" w:hAnsi="宋体"/>
          <w:sz w:val="21"/>
          <w:szCs w:val="21"/>
        </w:rPr>
        <w:t>项目中约定。</w:t>
      </w:r>
    </w:p>
    <w:p>
      <w:pPr>
        <w:adjustRightInd w:val="0"/>
        <w:snapToGrid w:val="0"/>
        <w:spacing w:line="360" w:lineRule="auto"/>
        <w:rPr>
          <w:rFonts w:ascii="宋体" w:hAnsi="宋体"/>
          <w:sz w:val="21"/>
          <w:szCs w:val="21"/>
        </w:rPr>
      </w:pPr>
      <w:r>
        <w:rPr>
          <w:rFonts w:hint="eastAsia" w:ascii="宋体" w:hAnsi="宋体"/>
          <w:sz w:val="21"/>
          <w:szCs w:val="21"/>
        </w:rPr>
        <w:t xml:space="preserve">    七、乙方的权利</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（一）</w:t>
      </w:r>
      <w:r>
        <w:rPr>
          <w:rFonts w:hint="eastAsia" w:ascii="宋体" w:hAnsi="宋体"/>
          <w:sz w:val="21"/>
          <w:szCs w:val="21"/>
        </w:rPr>
        <w:t>按合同约定收取委托代理报酬。</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（二）</w:t>
      </w:r>
      <w:r>
        <w:rPr>
          <w:rFonts w:hint="eastAsia" w:ascii="宋体" w:hAnsi="宋体"/>
          <w:sz w:val="21"/>
          <w:szCs w:val="21"/>
        </w:rPr>
        <w:t>当甲方提供的资料不足或不明确时，有权要求甲方补足资料或作出明确答复。</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（三）</w:t>
      </w:r>
      <w:r>
        <w:rPr>
          <w:rFonts w:hint="eastAsia" w:ascii="宋体" w:hAnsi="宋体"/>
          <w:sz w:val="21"/>
          <w:szCs w:val="21"/>
        </w:rPr>
        <w:t>拒绝甲方提出的违反法律、行政法规的要求，并向甲方作出解释。</w:t>
      </w:r>
    </w:p>
    <w:p>
      <w:pPr>
        <w:adjustRightInd w:val="0"/>
        <w:snapToGrid w:val="0"/>
        <w:spacing w:line="360" w:lineRule="auto"/>
        <w:rPr>
          <w:rFonts w:ascii="宋体" w:hAnsi="宋体"/>
          <w:sz w:val="21"/>
          <w:szCs w:val="21"/>
        </w:rPr>
      </w:pPr>
      <w:r>
        <w:rPr>
          <w:rFonts w:hint="eastAsia" w:ascii="宋体" w:hAnsi="宋体"/>
          <w:sz w:val="21"/>
          <w:szCs w:val="21"/>
        </w:rPr>
        <w:t xml:space="preserve">    </w:t>
      </w:r>
      <w:r>
        <w:rPr>
          <w:rFonts w:hint="eastAsia" w:ascii="宋体" w:hAnsi="宋体" w:cs="宋体"/>
          <w:bCs/>
          <w:sz w:val="21"/>
          <w:szCs w:val="21"/>
        </w:rPr>
        <w:t>（四）</w:t>
      </w:r>
      <w:r>
        <w:rPr>
          <w:rFonts w:hint="eastAsia" w:ascii="宋体" w:hAnsi="宋体"/>
          <w:sz w:val="21"/>
          <w:szCs w:val="21"/>
        </w:rPr>
        <w:t>依法享有的其他权利，双方在本合同项下具体采购</w:t>
      </w:r>
      <w:r>
        <w:rPr>
          <w:rFonts w:hint="eastAsia" w:ascii="宋体" w:hAnsi="宋体" w:cs="宋体"/>
          <w:sz w:val="21"/>
          <w:szCs w:val="21"/>
        </w:rPr>
        <w:t>代理服务</w:t>
      </w:r>
      <w:r>
        <w:rPr>
          <w:rFonts w:hint="eastAsia" w:ascii="宋体" w:hAnsi="宋体"/>
          <w:sz w:val="21"/>
          <w:szCs w:val="21"/>
        </w:rPr>
        <w:t>项目中约定。</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八、费用支付</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（一）</w:t>
      </w:r>
      <w:r>
        <w:rPr>
          <w:rFonts w:hint="eastAsia" w:ascii="宋体" w:hAnsi="宋体" w:cs="宋体"/>
          <w:sz w:val="21"/>
          <w:szCs w:val="21"/>
        </w:rPr>
        <w:t>采购代理服务费用以采购代理服务项目收费表为依据。在具体实施单个采购代理服务项目时，乙方应在此报价以内进行二次报价作为项目报价。项目报价均已包含国家规定的所有税费，不包含第三方费用；如需发生第三方费用，乙方须事先征得甲方的书面确认，否则甲方不承担相关费用；采购代理服务费用由甲方承担，乙方不得向投标人、中标人收取。</w:t>
      </w:r>
    </w:p>
    <w:p>
      <w:pPr>
        <w:adjustRightInd w:val="0"/>
        <w:snapToGrid w:val="0"/>
        <w:spacing w:line="360" w:lineRule="auto"/>
        <w:ind w:firstLine="420" w:firstLineChars="200"/>
        <w:jc w:val="left"/>
        <w:rPr>
          <w:rFonts w:hint="eastAsia" w:ascii="宋体" w:hAnsi="宋体" w:cs="宋体"/>
          <w:sz w:val="21"/>
          <w:szCs w:val="21"/>
        </w:rPr>
      </w:pPr>
      <w:r>
        <w:rPr>
          <w:rFonts w:hint="eastAsia" w:ascii="宋体" w:hAnsi="宋体" w:cs="宋体"/>
          <w:bCs/>
          <w:sz w:val="21"/>
          <w:szCs w:val="21"/>
        </w:rPr>
        <w:t>（二）</w:t>
      </w:r>
      <w:r>
        <w:rPr>
          <w:rFonts w:hint="eastAsia" w:ascii="宋体" w:hAnsi="宋体" w:cs="宋体"/>
          <w:sz w:val="21"/>
          <w:szCs w:val="21"/>
        </w:rPr>
        <w:t>费用金额按每个具体采购代理服务项目的实际情况，经甲乙双方确认后进行结算。</w:t>
      </w:r>
    </w:p>
    <w:p>
      <w:pPr>
        <w:adjustRightInd w:val="0"/>
        <w:snapToGrid w:val="0"/>
        <w:spacing w:line="360" w:lineRule="auto"/>
        <w:ind w:firstLine="420" w:firstLineChars="200"/>
        <w:jc w:val="left"/>
        <w:rPr>
          <w:rFonts w:ascii="宋体" w:hAnsi="宋体"/>
          <w:sz w:val="21"/>
          <w:szCs w:val="21"/>
        </w:rPr>
      </w:pPr>
      <w:r>
        <w:rPr>
          <w:rFonts w:hint="eastAsia" w:ascii="宋体" w:hAnsi="宋体" w:cs="宋体"/>
          <w:bCs/>
          <w:sz w:val="21"/>
          <w:szCs w:val="21"/>
        </w:rPr>
        <w:t>（三）</w:t>
      </w:r>
      <w:r>
        <w:rPr>
          <w:rFonts w:hint="eastAsia" w:ascii="宋体" w:hAnsi="宋体"/>
          <w:sz w:val="21"/>
          <w:szCs w:val="21"/>
        </w:rPr>
        <w:t>乙方报价中已经包含采购代理服务过程发生的交通费、差旅费等费用，乙方在对</w:t>
      </w:r>
      <w:r>
        <w:rPr>
          <w:rFonts w:hint="eastAsia" w:ascii="宋体" w:hAnsi="宋体" w:cs="宋体"/>
          <w:sz w:val="21"/>
          <w:szCs w:val="21"/>
        </w:rPr>
        <w:t>具体采购代理服务项目</w:t>
      </w:r>
      <w:r>
        <w:rPr>
          <w:rFonts w:hint="eastAsia" w:ascii="宋体" w:hAnsi="宋体"/>
          <w:sz w:val="21"/>
          <w:szCs w:val="21"/>
        </w:rPr>
        <w:t>报价时应充分预估到可能发生的各项费用。</w:t>
      </w:r>
      <w:r>
        <w:rPr>
          <w:rFonts w:hint="eastAsia" w:ascii="宋体" w:hAnsi="宋体" w:cs="宋体"/>
          <w:bCs/>
          <w:sz w:val="21"/>
          <w:szCs w:val="21"/>
        </w:rPr>
        <w:t>（采购代理服务费可以不包含评审专家费用，评审专家费用由乙方据实结算）</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（四）</w:t>
      </w:r>
      <w:r>
        <w:rPr>
          <w:rFonts w:hint="eastAsia" w:ascii="宋体" w:hAnsi="宋体" w:cs="宋体"/>
          <w:sz w:val="21"/>
          <w:szCs w:val="21"/>
        </w:rPr>
        <w:t>本合同经协商采用以下付款方式：</w:t>
      </w:r>
    </w:p>
    <w:p>
      <w:pPr>
        <w:adjustRightInd w:val="0"/>
        <w:snapToGrid w:val="0"/>
        <w:spacing w:line="360" w:lineRule="auto"/>
        <w:ind w:firstLine="420" w:firstLineChars="200"/>
        <w:rPr>
          <w:rFonts w:hint="eastAsia" w:ascii="宋体" w:hAnsi="宋体" w:cs="宋体"/>
          <w:sz w:val="21"/>
          <w:szCs w:val="21"/>
        </w:rPr>
      </w:pPr>
      <w:r>
        <w:rPr>
          <w:rFonts w:hint="eastAsia" w:ascii="宋体" w:hAnsi="宋体" w:cs="宋体"/>
          <w:sz w:val="21"/>
          <w:szCs w:val="21"/>
        </w:rPr>
        <w:t>甲方按实际需要下达订单，甲方在每季度结束后的次月，统一对上一季度中成果验收合格且收到符合甲方要求的合法有效的等额增值税专用发票后，一次性支付全部款项。</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（五）</w:t>
      </w:r>
      <w:r>
        <w:rPr>
          <w:rFonts w:hint="eastAsia" w:ascii="宋体" w:hAnsi="宋体" w:cs="宋体"/>
          <w:sz w:val="21"/>
          <w:szCs w:val="21"/>
        </w:rPr>
        <w:t>甲方开票信息如下：</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发票抬头：浙商银行股份有限公司</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发票类型：增值税专用发票</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账号：3310010010120100000140</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开户行：浙商银行杭州分行营业部</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纳税人识别号：91330000761336668H</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（六）</w:t>
      </w:r>
      <w:r>
        <w:rPr>
          <w:rFonts w:hint="eastAsia" w:ascii="宋体" w:hAnsi="宋体" w:cs="宋体"/>
          <w:sz w:val="21"/>
          <w:szCs w:val="21"/>
        </w:rPr>
        <w:t>甲方应将上述款项汇入乙方指定的下述账户：</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开户名称：</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开户银行：</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银行账号：</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乙方不得变更交易主体，乙方如拟变更其指定银行账号，应书面通知甲方。</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九、项目成果确认</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（一）</w:t>
      </w:r>
      <w:r>
        <w:rPr>
          <w:rFonts w:hint="eastAsia" w:ascii="宋体" w:hAnsi="宋体" w:cs="宋体"/>
          <w:sz w:val="21"/>
          <w:szCs w:val="21"/>
        </w:rPr>
        <w:t>乙方应根据甲方要求的工作时间，对甲方提交的项目需求进行落地执行，项目执行最终完成以甲方确认为准。</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（二）</w:t>
      </w:r>
      <w:r>
        <w:rPr>
          <w:rFonts w:hint="eastAsia" w:ascii="宋体" w:hAnsi="宋体" w:cs="宋体"/>
          <w:sz w:val="21"/>
          <w:szCs w:val="21"/>
        </w:rPr>
        <w:t>在项目沟通过程中，由乙方负责落实修改意见并由乙方项目负责人跟进修改进度。</w:t>
      </w:r>
    </w:p>
    <w:p>
      <w:pPr>
        <w:adjustRightInd w:val="0"/>
        <w:snapToGrid w:val="0"/>
        <w:spacing w:line="360" w:lineRule="auto"/>
        <w:ind w:firstLine="420" w:firstLineChars="200"/>
        <w:rPr>
          <w:rFonts w:ascii="宋体" w:hAnsi="宋体" w:cs="宋体"/>
          <w:sz w:val="21"/>
          <w:szCs w:val="21"/>
        </w:rPr>
      </w:pPr>
      <w:r>
        <w:rPr>
          <w:rFonts w:hint="eastAsia" w:ascii="宋体" w:hAnsi="宋体" w:cs="宋体"/>
          <w:bCs/>
          <w:sz w:val="21"/>
          <w:szCs w:val="21"/>
        </w:rPr>
        <w:t>（三）</w:t>
      </w:r>
      <w:r>
        <w:rPr>
          <w:rFonts w:hint="eastAsia" w:ascii="宋体" w:hAnsi="宋体" w:cs="宋体"/>
          <w:sz w:val="21"/>
          <w:szCs w:val="21"/>
        </w:rPr>
        <w:t>项目流程表：</w:t>
      </w:r>
    </w:p>
    <w:tbl>
      <w:tblPr>
        <w:tblStyle w:val="5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jc w:val="center"/>
        </w:trPr>
        <w:tc>
          <w:tcPr>
            <w:tcW w:w="1384" w:type="dxa"/>
            <w:shd w:val="clear" w:color="auto" w:fill="FFFFFF"/>
            <w:vAlign w:val="center"/>
          </w:tcPr>
          <w:p>
            <w:pPr>
              <w:jc w:val="center"/>
              <w:rPr>
                <w:rFonts w:ascii="宋体" w:hAnsi="宋体" w:cs="宋体"/>
                <w:b/>
                <w:sz w:val="21"/>
                <w:szCs w:val="21"/>
              </w:rPr>
            </w:pPr>
            <w:r>
              <w:rPr>
                <w:rFonts w:hint="eastAsia" w:ascii="宋体" w:hAnsi="宋体" w:cs="宋体"/>
                <w:b/>
                <w:sz w:val="21"/>
                <w:szCs w:val="21"/>
              </w:rPr>
              <w:t>事项</w:t>
            </w:r>
          </w:p>
        </w:tc>
        <w:tc>
          <w:tcPr>
            <w:tcW w:w="8244" w:type="dxa"/>
            <w:shd w:val="clear" w:color="auto" w:fill="FFFFFF"/>
            <w:vAlign w:val="center"/>
          </w:tcPr>
          <w:p>
            <w:pPr>
              <w:jc w:val="center"/>
              <w:rPr>
                <w:rFonts w:ascii="宋体" w:hAnsi="宋体" w:cs="宋体"/>
                <w:b/>
                <w:sz w:val="21"/>
                <w:szCs w:val="21"/>
              </w:rPr>
            </w:pPr>
            <w:r>
              <w:rPr>
                <w:rFonts w:hint="eastAsia" w:ascii="宋体" w:hAnsi="宋体" w:cs="宋体"/>
                <w:b/>
                <w:sz w:val="21"/>
                <w:szCs w:val="21"/>
              </w:rPr>
              <w:t>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384" w:type="dxa"/>
            <w:vAlign w:val="center"/>
          </w:tcPr>
          <w:p>
            <w:pPr>
              <w:jc w:val="center"/>
              <w:rPr>
                <w:rFonts w:ascii="宋体" w:hAnsi="宋体" w:cs="宋体"/>
                <w:sz w:val="21"/>
                <w:szCs w:val="21"/>
              </w:rPr>
            </w:pPr>
            <w:r>
              <w:rPr>
                <w:rFonts w:hint="eastAsia" w:ascii="宋体" w:hAnsi="宋体" w:cs="宋体"/>
                <w:sz w:val="21"/>
                <w:szCs w:val="21"/>
              </w:rPr>
              <w:t>采购项目立项</w:t>
            </w:r>
          </w:p>
        </w:tc>
        <w:tc>
          <w:tcPr>
            <w:tcW w:w="8244" w:type="dxa"/>
            <w:vAlign w:val="center"/>
          </w:tcPr>
          <w:p>
            <w:pPr>
              <w:numPr>
                <w:ilvl w:val="0"/>
                <w:numId w:val="31"/>
              </w:numPr>
              <w:rPr>
                <w:rFonts w:ascii="宋体" w:hAnsi="宋体" w:cs="宋体"/>
                <w:sz w:val="21"/>
                <w:szCs w:val="21"/>
              </w:rPr>
            </w:pPr>
            <w:r>
              <w:rPr>
                <w:rFonts w:hint="eastAsia" w:ascii="宋体" w:hAnsi="宋体" w:cs="宋体"/>
                <w:sz w:val="21"/>
                <w:szCs w:val="21"/>
              </w:rPr>
              <w:t>甲方需要单项采购代理业务时，将项目立项内容邮件发送给乙方或当面沟通进行下单。</w:t>
            </w:r>
          </w:p>
          <w:p>
            <w:pPr>
              <w:numPr>
                <w:ilvl w:val="0"/>
                <w:numId w:val="31"/>
              </w:numPr>
              <w:rPr>
                <w:rFonts w:ascii="宋体" w:hAnsi="宋体" w:cs="宋体"/>
                <w:sz w:val="21"/>
                <w:szCs w:val="21"/>
              </w:rPr>
            </w:pPr>
            <w:r>
              <w:rPr>
                <w:rFonts w:hint="eastAsia" w:ascii="宋体" w:hAnsi="宋体" w:cs="宋体"/>
                <w:sz w:val="21"/>
                <w:szCs w:val="21"/>
              </w:rPr>
              <w:t>乙方应准确了解甲方的项目需求，策划和拟订采购方案、组建采购项目工作小组。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jc w:val="center"/>
              <w:rPr>
                <w:rFonts w:ascii="宋体" w:hAnsi="宋体" w:cs="宋体"/>
                <w:sz w:val="21"/>
                <w:szCs w:val="21"/>
              </w:rPr>
            </w:pPr>
            <w:r>
              <w:rPr>
                <w:rFonts w:hint="eastAsia" w:ascii="宋体" w:hAnsi="宋体" w:cs="宋体"/>
                <w:sz w:val="21"/>
                <w:szCs w:val="21"/>
              </w:rPr>
              <w:t>开评标之前的准备工作</w:t>
            </w:r>
          </w:p>
        </w:tc>
        <w:tc>
          <w:tcPr>
            <w:tcW w:w="8244" w:type="dxa"/>
            <w:vAlign w:val="center"/>
          </w:tcPr>
          <w:p>
            <w:pPr>
              <w:numPr>
                <w:ilvl w:val="0"/>
                <w:numId w:val="32"/>
              </w:numPr>
              <w:rPr>
                <w:rFonts w:ascii="宋体" w:hAnsi="宋体" w:cs="宋体"/>
                <w:sz w:val="21"/>
                <w:szCs w:val="21"/>
              </w:rPr>
            </w:pPr>
            <w:r>
              <w:rPr>
                <w:rFonts w:hint="eastAsia" w:ascii="宋体" w:hAnsi="宋体" w:cs="宋体"/>
                <w:sz w:val="21"/>
                <w:szCs w:val="21"/>
              </w:rPr>
              <w:t>乙方负责编制采购文件和评分表并报甲方审定。</w:t>
            </w:r>
          </w:p>
          <w:p>
            <w:pPr>
              <w:numPr>
                <w:ilvl w:val="0"/>
                <w:numId w:val="32"/>
              </w:numPr>
              <w:rPr>
                <w:rFonts w:ascii="宋体" w:hAnsi="宋体" w:cs="宋体"/>
                <w:sz w:val="21"/>
                <w:szCs w:val="21"/>
              </w:rPr>
            </w:pPr>
            <w:r>
              <w:rPr>
                <w:rFonts w:hint="eastAsia" w:ascii="宋体" w:hAnsi="宋体" w:cs="宋体"/>
                <w:sz w:val="21"/>
                <w:szCs w:val="21"/>
              </w:rPr>
              <w:t>如采用资格预审还需编制资格预审文件并报甲方审定。</w:t>
            </w:r>
          </w:p>
          <w:p>
            <w:pPr>
              <w:numPr>
                <w:ilvl w:val="0"/>
                <w:numId w:val="32"/>
              </w:numPr>
              <w:rPr>
                <w:rFonts w:ascii="宋体" w:hAnsi="宋体" w:cs="宋体"/>
                <w:sz w:val="21"/>
                <w:szCs w:val="21"/>
              </w:rPr>
            </w:pPr>
            <w:r>
              <w:rPr>
                <w:rFonts w:hint="eastAsia" w:ascii="宋体" w:hAnsi="宋体" w:cs="宋体"/>
                <w:sz w:val="21"/>
                <w:szCs w:val="21"/>
              </w:rPr>
              <w:t>乙方负责发布采购公告（如需），除在其官方网站发布公告外，还需在浙江政府采购网</w:t>
            </w:r>
            <w:r>
              <w:rPr>
                <w:rFonts w:hint="eastAsia" w:ascii="宋体" w:hAnsi="宋体"/>
                <w:bCs/>
                <w:sz w:val="21"/>
                <w:szCs w:val="21"/>
              </w:rPr>
              <w:t>或中国金融采购网</w:t>
            </w:r>
            <w:r>
              <w:rPr>
                <w:rFonts w:hint="eastAsia" w:ascii="宋体" w:hAnsi="宋体" w:cs="宋体"/>
                <w:sz w:val="21"/>
                <w:szCs w:val="21"/>
              </w:rPr>
              <w:t>发布公告。</w:t>
            </w:r>
          </w:p>
          <w:p>
            <w:pPr>
              <w:numPr>
                <w:ilvl w:val="0"/>
                <w:numId w:val="32"/>
              </w:numPr>
              <w:rPr>
                <w:rFonts w:ascii="宋体" w:hAnsi="宋体" w:cs="宋体"/>
                <w:sz w:val="21"/>
                <w:szCs w:val="21"/>
              </w:rPr>
            </w:pPr>
            <w:r>
              <w:rPr>
                <w:rFonts w:hint="eastAsia" w:ascii="宋体" w:hAnsi="宋体" w:cs="宋体"/>
                <w:sz w:val="21"/>
                <w:szCs w:val="21"/>
              </w:rPr>
              <w:t>乙方负责审查</w:t>
            </w:r>
            <w:r>
              <w:rPr>
                <w:rFonts w:hint="eastAsia" w:ascii="宋体" w:hAnsi="宋体" w:cs="宋体"/>
                <w:bCs/>
                <w:sz w:val="21"/>
                <w:szCs w:val="21"/>
              </w:rPr>
              <w:t>潜在投标人（供应商）</w:t>
            </w:r>
            <w:r>
              <w:rPr>
                <w:rFonts w:hint="eastAsia" w:ascii="宋体" w:hAnsi="宋体" w:cs="宋体"/>
                <w:sz w:val="21"/>
                <w:szCs w:val="21"/>
              </w:rPr>
              <w:t>资格（包括投标人资质及关联关系）。</w:t>
            </w:r>
          </w:p>
          <w:p>
            <w:pPr>
              <w:numPr>
                <w:ilvl w:val="0"/>
                <w:numId w:val="32"/>
              </w:numPr>
              <w:rPr>
                <w:rFonts w:ascii="宋体" w:hAnsi="宋体" w:cs="宋体"/>
                <w:sz w:val="21"/>
                <w:szCs w:val="21"/>
              </w:rPr>
            </w:pPr>
            <w:r>
              <w:rPr>
                <w:rFonts w:hint="eastAsia" w:ascii="宋体" w:hAnsi="宋体" w:cs="宋体"/>
                <w:sz w:val="21"/>
                <w:szCs w:val="21"/>
              </w:rPr>
              <w:t>乙方负责组织</w:t>
            </w:r>
            <w:r>
              <w:rPr>
                <w:rFonts w:hint="eastAsia" w:ascii="宋体" w:hAnsi="宋体" w:cs="宋体"/>
                <w:bCs/>
                <w:sz w:val="21"/>
                <w:szCs w:val="21"/>
              </w:rPr>
              <w:t>潜在投标人（供应商）</w:t>
            </w:r>
            <w:r>
              <w:rPr>
                <w:rFonts w:hint="eastAsia" w:ascii="宋体" w:hAnsi="宋体" w:cs="宋体"/>
                <w:sz w:val="21"/>
                <w:szCs w:val="21"/>
              </w:rPr>
              <w:t>踏勘现场和答疑，整理答疑纪要。</w:t>
            </w:r>
          </w:p>
          <w:p>
            <w:pPr>
              <w:numPr>
                <w:ilvl w:val="0"/>
                <w:numId w:val="32"/>
              </w:numPr>
              <w:rPr>
                <w:rFonts w:ascii="宋体" w:hAnsi="宋体" w:cs="宋体"/>
                <w:sz w:val="21"/>
                <w:szCs w:val="21"/>
              </w:rPr>
            </w:pPr>
            <w:r>
              <w:rPr>
                <w:rFonts w:hint="eastAsia" w:ascii="宋体" w:hAnsi="宋体" w:cs="宋体"/>
                <w:sz w:val="21"/>
                <w:szCs w:val="21"/>
              </w:rPr>
              <w:t>乙方应提前一天按照评审专家结构抽取评审专家。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84" w:type="dxa"/>
            <w:vAlign w:val="center"/>
          </w:tcPr>
          <w:p>
            <w:pPr>
              <w:jc w:val="center"/>
              <w:rPr>
                <w:rFonts w:ascii="宋体" w:hAnsi="宋体" w:cs="宋体"/>
                <w:sz w:val="21"/>
                <w:szCs w:val="21"/>
              </w:rPr>
            </w:pPr>
            <w:r>
              <w:rPr>
                <w:rFonts w:hint="eastAsia" w:ascii="宋体" w:hAnsi="宋体" w:cs="宋体"/>
                <w:sz w:val="21"/>
                <w:szCs w:val="21"/>
              </w:rPr>
              <w:t>开评标服务内容</w:t>
            </w:r>
          </w:p>
        </w:tc>
        <w:tc>
          <w:tcPr>
            <w:tcW w:w="8244" w:type="dxa"/>
            <w:vAlign w:val="center"/>
          </w:tcPr>
          <w:p>
            <w:pPr>
              <w:numPr>
                <w:ilvl w:val="0"/>
                <w:numId w:val="33"/>
              </w:numPr>
              <w:rPr>
                <w:rFonts w:ascii="宋体" w:hAnsi="宋体" w:cs="宋体"/>
                <w:sz w:val="21"/>
                <w:szCs w:val="21"/>
              </w:rPr>
            </w:pPr>
            <w:r>
              <w:rPr>
                <w:rFonts w:hint="eastAsia" w:ascii="宋体" w:hAnsi="宋体" w:cs="宋体"/>
                <w:sz w:val="21"/>
                <w:szCs w:val="21"/>
              </w:rPr>
              <w:t>乙方负责组织开标、评标（评审）和定标（成交）。</w:t>
            </w:r>
          </w:p>
          <w:p>
            <w:pPr>
              <w:numPr>
                <w:ilvl w:val="0"/>
                <w:numId w:val="33"/>
              </w:numPr>
              <w:rPr>
                <w:rFonts w:ascii="宋体" w:hAnsi="宋体" w:cs="宋体"/>
                <w:sz w:val="21"/>
                <w:szCs w:val="21"/>
              </w:rPr>
            </w:pPr>
            <w:r>
              <w:rPr>
                <w:rFonts w:hint="eastAsia" w:ascii="宋体" w:hAnsi="宋体" w:cs="宋体"/>
                <w:sz w:val="21"/>
                <w:szCs w:val="21"/>
              </w:rPr>
              <w:t>乙方负责组建评标（评审）委员会、协助评标（评审）委员会完成评标（评审）工作和评审报告。</w:t>
            </w:r>
          </w:p>
          <w:p>
            <w:pPr>
              <w:numPr>
                <w:ilvl w:val="0"/>
                <w:numId w:val="33"/>
              </w:numPr>
              <w:rPr>
                <w:rFonts w:ascii="宋体" w:hAnsi="宋体" w:cs="宋体"/>
                <w:sz w:val="21"/>
                <w:szCs w:val="21"/>
              </w:rPr>
            </w:pPr>
            <w:r>
              <w:rPr>
                <w:rFonts w:hint="eastAsia" w:ascii="宋体" w:hAnsi="宋体" w:cs="宋体"/>
                <w:sz w:val="21"/>
                <w:szCs w:val="21"/>
              </w:rPr>
              <w:t>乙方应按时支付评审专家费用，整理相关资料</w:t>
            </w:r>
            <w:r>
              <w:rPr>
                <w:rFonts w:hint="eastAsia" w:ascii="宋体" w:hAnsi="宋体" w:cs="宋体"/>
                <w:bCs/>
                <w:sz w:val="21"/>
                <w:szCs w:val="21"/>
              </w:rPr>
              <w:t>并向</w:t>
            </w:r>
            <w:r>
              <w:rPr>
                <w:rFonts w:hint="eastAsia" w:ascii="宋体" w:hAnsi="宋体" w:cs="宋体"/>
                <w:sz w:val="21"/>
                <w:szCs w:val="21"/>
              </w:rPr>
              <w:t>甲方</w:t>
            </w:r>
            <w:r>
              <w:rPr>
                <w:rFonts w:hint="eastAsia" w:ascii="宋体" w:hAnsi="宋体" w:cs="宋体"/>
                <w:bCs/>
                <w:sz w:val="21"/>
                <w:szCs w:val="21"/>
              </w:rPr>
              <w:t>提交采购结果报告</w:t>
            </w:r>
            <w:r>
              <w:rPr>
                <w:rFonts w:hint="eastAsia" w:ascii="宋体" w:hAnsi="宋体" w:cs="宋体"/>
                <w:sz w:val="21"/>
                <w:szCs w:val="21"/>
              </w:rPr>
              <w:t>。</w:t>
            </w:r>
          </w:p>
          <w:p>
            <w:pPr>
              <w:numPr>
                <w:ilvl w:val="0"/>
                <w:numId w:val="33"/>
              </w:numPr>
              <w:rPr>
                <w:rFonts w:ascii="宋体" w:hAnsi="宋体" w:cs="宋体"/>
                <w:sz w:val="21"/>
                <w:szCs w:val="21"/>
              </w:rPr>
            </w:pPr>
            <w:r>
              <w:rPr>
                <w:rFonts w:hint="eastAsia" w:ascii="宋体" w:hAnsi="宋体" w:cs="宋体"/>
                <w:sz w:val="21"/>
                <w:szCs w:val="21"/>
              </w:rPr>
              <w:t>乙方应协助甲方签发项目的中标（成交）通知书、签订合同。</w:t>
            </w:r>
          </w:p>
          <w:p>
            <w:pPr>
              <w:numPr>
                <w:ilvl w:val="0"/>
                <w:numId w:val="33"/>
              </w:numPr>
              <w:rPr>
                <w:rFonts w:ascii="宋体" w:hAnsi="宋体" w:cs="宋体"/>
                <w:sz w:val="21"/>
                <w:szCs w:val="21"/>
              </w:rPr>
            </w:pPr>
            <w:r>
              <w:rPr>
                <w:rFonts w:hint="eastAsia" w:ascii="宋体" w:hAnsi="宋体" w:cs="宋体"/>
                <w:sz w:val="21"/>
                <w:szCs w:val="21"/>
              </w:rPr>
              <w:t>乙方应协助甲方向政府机构报备或报批相关项目（如需）或采购有关的其他事项。</w:t>
            </w:r>
          </w:p>
        </w:tc>
      </w:tr>
    </w:tbl>
    <w:p>
      <w:pPr>
        <w:spacing w:line="360" w:lineRule="auto"/>
        <w:ind w:firstLine="424" w:firstLineChars="202"/>
        <w:rPr>
          <w:rFonts w:ascii="宋体" w:hAnsi="宋体" w:cs="宋体"/>
          <w:sz w:val="21"/>
          <w:szCs w:val="21"/>
        </w:rPr>
      </w:pPr>
      <w:r>
        <w:rPr>
          <w:rFonts w:hint="eastAsia" w:ascii="宋体" w:hAnsi="宋体" w:cs="宋体"/>
          <w:bCs/>
          <w:sz w:val="21"/>
          <w:szCs w:val="21"/>
        </w:rPr>
        <w:t>（四）</w:t>
      </w:r>
      <w:r>
        <w:rPr>
          <w:rFonts w:hint="eastAsia" w:ascii="宋体" w:hAnsi="宋体" w:cs="宋体"/>
          <w:sz w:val="21"/>
          <w:szCs w:val="21"/>
        </w:rPr>
        <w:t>乙方应在完成评审工作后2个工作日内向甲方提交项目评审结果报告；若甲方对工作成果不认可，乙方在收到甲方的异议后应在2个工作日内完成修改补充并向甲方提交正确完整的项目评审结果报告。</w:t>
      </w:r>
    </w:p>
    <w:p>
      <w:pPr>
        <w:spacing w:line="360" w:lineRule="auto"/>
        <w:ind w:firstLine="424" w:firstLineChars="202"/>
        <w:jc w:val="left"/>
        <w:rPr>
          <w:rFonts w:ascii="宋体" w:hAnsi="宋体" w:cs="宋体"/>
          <w:sz w:val="21"/>
          <w:szCs w:val="21"/>
        </w:rPr>
      </w:pPr>
      <w:r>
        <w:rPr>
          <w:rFonts w:hint="eastAsia" w:ascii="宋体" w:hAnsi="宋体" w:cs="宋体"/>
          <w:sz w:val="21"/>
          <w:szCs w:val="21"/>
        </w:rPr>
        <w:t>十、服务质量的考核</w:t>
      </w:r>
    </w:p>
    <w:p>
      <w:pPr>
        <w:spacing w:line="360" w:lineRule="auto"/>
        <w:ind w:firstLine="424" w:firstLineChars="202"/>
        <w:jc w:val="left"/>
        <w:rPr>
          <w:rFonts w:ascii="宋体" w:hAnsi="宋体" w:cs="宋体"/>
          <w:sz w:val="21"/>
          <w:szCs w:val="21"/>
        </w:rPr>
      </w:pPr>
      <w:r>
        <w:rPr>
          <w:rFonts w:hint="eastAsia" w:ascii="宋体" w:hAnsi="宋体" w:cs="宋体"/>
          <w:sz w:val="21"/>
          <w:szCs w:val="21"/>
        </w:rPr>
        <w:t>在乙方为甲方提供服务的过程中，以下情况每出现一次，甲方有权视问题严重程度从应付款项中扣除人民币200元至1,000元的代理服务费用，直至项目合同金额的50%：</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（一）</w:t>
      </w:r>
      <w:r>
        <w:rPr>
          <w:rFonts w:hint="eastAsia" w:ascii="宋体" w:hAnsi="宋体" w:cs="宋体"/>
          <w:sz w:val="21"/>
          <w:szCs w:val="21"/>
        </w:rPr>
        <w:t>乙方编制的采购文件和评分表、评审报告等材料有明显常识性错误，包括但不限于错别字，文字描述不准确，标点符号、数字和序号错误、违反法律法规等，足以影响采购质量或产生歧义的。</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（二）</w:t>
      </w:r>
      <w:r>
        <w:rPr>
          <w:rFonts w:hint="eastAsia" w:ascii="宋体" w:hAnsi="宋体" w:cs="宋体"/>
          <w:sz w:val="21"/>
          <w:szCs w:val="21"/>
        </w:rPr>
        <w:t>乙方在代理服务过程中组织协调未到位，导致采购组织工作混乱、流程出现纰漏的。</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（三）</w:t>
      </w:r>
      <w:r>
        <w:rPr>
          <w:rFonts w:hint="eastAsia" w:ascii="宋体" w:hAnsi="宋体" w:cs="宋体"/>
          <w:sz w:val="21"/>
          <w:szCs w:val="21"/>
        </w:rPr>
        <w:t>乙方在代理服务过程中引发投标人、评审专家或监督人投诉，经查证后属实的。</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（四）</w:t>
      </w:r>
      <w:r>
        <w:rPr>
          <w:rFonts w:hint="eastAsia" w:ascii="宋体" w:hAnsi="宋体" w:cs="宋体"/>
          <w:sz w:val="21"/>
          <w:szCs w:val="21"/>
        </w:rPr>
        <w:t>发布采购公告、采购文件、澄清、答疑、开标、评标、结果公示（告）及发送中标（成交）通知书过程中违法违规或不符合合同约定的。</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（五）</w:t>
      </w:r>
      <w:r>
        <w:rPr>
          <w:rFonts w:hint="eastAsia" w:ascii="宋体" w:hAnsi="宋体" w:cs="宋体"/>
          <w:sz w:val="21"/>
          <w:szCs w:val="21"/>
        </w:rPr>
        <w:t>乙方其他服务质量问题。</w:t>
      </w:r>
    </w:p>
    <w:p>
      <w:pPr>
        <w:spacing w:line="360" w:lineRule="auto"/>
        <w:ind w:firstLine="424" w:firstLineChars="202"/>
        <w:jc w:val="left"/>
        <w:rPr>
          <w:rFonts w:ascii="宋体" w:hAnsi="宋体" w:cs="宋体"/>
          <w:sz w:val="21"/>
          <w:szCs w:val="21"/>
        </w:rPr>
      </w:pPr>
      <w:r>
        <w:rPr>
          <w:rFonts w:hint="eastAsia" w:ascii="宋体" w:hAnsi="宋体" w:cs="宋体"/>
          <w:sz w:val="21"/>
          <w:szCs w:val="21"/>
        </w:rPr>
        <w:t>十一、违约责任</w:t>
      </w:r>
    </w:p>
    <w:p>
      <w:pPr>
        <w:spacing w:line="360" w:lineRule="auto"/>
        <w:ind w:firstLine="424" w:firstLineChars="202"/>
        <w:jc w:val="left"/>
        <w:rPr>
          <w:rFonts w:ascii="宋体" w:hAnsi="宋体" w:cs="宋体"/>
          <w:sz w:val="21"/>
          <w:szCs w:val="21"/>
        </w:rPr>
      </w:pPr>
      <w:r>
        <w:rPr>
          <w:rFonts w:hint="eastAsia" w:ascii="宋体" w:hAnsi="宋体" w:cs="宋体"/>
          <w:sz w:val="21"/>
          <w:szCs w:val="21"/>
        </w:rPr>
        <w:t>本合同当事人的下列行为构成违约，违约方应向守约方承担违约责任：</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（一）</w:t>
      </w:r>
      <w:r>
        <w:rPr>
          <w:rFonts w:hint="eastAsia" w:ascii="宋体" w:hAnsi="宋体" w:cs="宋体"/>
          <w:sz w:val="21"/>
          <w:szCs w:val="21"/>
        </w:rPr>
        <w:t>若甲方未能按照本合同第八条的约定向乙方支付费用，甲方应按逾期支付金额每日万分之五的比例向乙方支付违约金。</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（二）</w:t>
      </w:r>
      <w:r>
        <w:rPr>
          <w:rFonts w:hint="eastAsia" w:ascii="宋体" w:hAnsi="宋体" w:cs="宋体"/>
          <w:sz w:val="21"/>
          <w:szCs w:val="21"/>
        </w:rPr>
        <w:t>若乙方未能按照本合同的各项要求执行，甲方有权终止本合同。如由此造成甲方损失的，乙方还应承担相应的赔偿责任。</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（三）</w:t>
      </w:r>
      <w:r>
        <w:rPr>
          <w:rFonts w:hint="eastAsia" w:ascii="宋体" w:hAnsi="宋体" w:cs="宋体"/>
          <w:sz w:val="21"/>
          <w:szCs w:val="21"/>
        </w:rPr>
        <w:t>由于乙方未能按照本合同或单项项目合同（如有）所规定的内容履行职责，或违反法律法规操作，而导致服务工作未能完成、有实质性错误（如采购文件有法律和可能引起纠纷或歧义的文字描述错误、评分表有计算汇总错误、评审报告错误等）、项目采购无效的，所引起的一切后果由乙方承担，由此造成甲方损失的，甲方有权要求乙方进行赔偿。</w:t>
      </w:r>
    </w:p>
    <w:p>
      <w:pPr>
        <w:spacing w:line="360" w:lineRule="auto"/>
        <w:ind w:firstLine="424" w:firstLineChars="202"/>
        <w:jc w:val="left"/>
        <w:rPr>
          <w:rFonts w:ascii="宋体" w:hAnsi="宋体" w:cs="宋体"/>
          <w:sz w:val="21"/>
          <w:szCs w:val="21"/>
        </w:rPr>
      </w:pPr>
      <w:r>
        <w:rPr>
          <w:rFonts w:hint="eastAsia" w:ascii="宋体" w:hAnsi="宋体" w:cs="宋体"/>
          <w:sz w:val="21"/>
          <w:szCs w:val="21"/>
        </w:rPr>
        <w:t>因乙方原因未能按照本合同规定的期限、内容、质量完成工作，乙方应按具体采购代理服务项目合同总金额每日万分之五的比例就延迟天数向甲方支付违约金。若乙方逾期7日（含）仍未能递交采购项目启动所需材料，甲方有权通知乙方解除本合同或具体采购代理服务项目合同（如有），甲方为此发生的所有合理费用（包括合理的律师费用）均由乙方承担。</w:t>
      </w:r>
    </w:p>
    <w:p>
      <w:pPr>
        <w:spacing w:line="360" w:lineRule="auto"/>
        <w:ind w:firstLine="424" w:firstLineChars="202"/>
        <w:jc w:val="left"/>
        <w:rPr>
          <w:rFonts w:ascii="宋体" w:hAnsi="宋体" w:cs="宋体"/>
          <w:sz w:val="21"/>
          <w:szCs w:val="21"/>
        </w:rPr>
      </w:pPr>
      <w:r>
        <w:rPr>
          <w:rFonts w:hint="eastAsia" w:ascii="宋体" w:hAnsi="宋体" w:cs="宋体"/>
          <w:bCs/>
          <w:sz w:val="21"/>
          <w:szCs w:val="21"/>
        </w:rPr>
        <w:t>（四）</w:t>
      </w:r>
      <w:r>
        <w:rPr>
          <w:rFonts w:hint="eastAsia" w:ascii="宋体" w:hAnsi="宋体" w:cs="宋体"/>
          <w:sz w:val="21"/>
          <w:szCs w:val="21"/>
        </w:rPr>
        <w:t>甲乙双方未能履行本合同约定的其他义务，且在收到对方要求纠正违约行为的通知后10日内仍未能补救的，守约方有权单方面解除本合同，造成损失的，有权继续追索有关损失。</w:t>
      </w:r>
    </w:p>
    <w:p>
      <w:pPr>
        <w:spacing w:line="360" w:lineRule="auto"/>
        <w:ind w:firstLine="424" w:firstLineChars="202"/>
        <w:rPr>
          <w:rFonts w:ascii="宋体" w:hAnsi="宋体" w:cs="宋体"/>
          <w:sz w:val="21"/>
          <w:szCs w:val="21"/>
        </w:rPr>
      </w:pPr>
      <w:r>
        <w:rPr>
          <w:rFonts w:hint="eastAsia" w:ascii="宋体" w:hAnsi="宋体" w:cs="宋体"/>
          <w:sz w:val="21"/>
          <w:szCs w:val="21"/>
        </w:rPr>
        <w:t>十二、合同终止与解约</w:t>
      </w:r>
    </w:p>
    <w:p>
      <w:pPr>
        <w:spacing w:line="360" w:lineRule="auto"/>
        <w:ind w:firstLine="424" w:firstLineChars="202"/>
        <w:rPr>
          <w:rFonts w:ascii="宋体" w:hAnsi="宋体" w:cs="宋体"/>
          <w:sz w:val="21"/>
          <w:szCs w:val="21"/>
        </w:rPr>
      </w:pPr>
      <w:r>
        <w:rPr>
          <w:rFonts w:hint="eastAsia" w:ascii="宋体" w:hAnsi="宋体" w:cs="宋体"/>
          <w:bCs/>
          <w:sz w:val="21"/>
          <w:szCs w:val="21"/>
        </w:rPr>
        <w:t>（一）</w:t>
      </w:r>
      <w:r>
        <w:rPr>
          <w:rFonts w:hint="eastAsia" w:ascii="宋体" w:hAnsi="宋体" w:cs="宋体"/>
          <w:sz w:val="21"/>
          <w:szCs w:val="21"/>
        </w:rPr>
        <w:t>合同约定的权利义务因下列原因而终止：</w:t>
      </w:r>
    </w:p>
    <w:p>
      <w:pPr>
        <w:spacing w:line="360" w:lineRule="auto"/>
        <w:ind w:firstLine="424" w:firstLineChars="202"/>
        <w:rPr>
          <w:rFonts w:ascii="宋体" w:hAnsi="宋体" w:cs="宋体"/>
          <w:sz w:val="21"/>
          <w:szCs w:val="21"/>
        </w:rPr>
      </w:pPr>
      <w:r>
        <w:rPr>
          <w:rFonts w:hint="eastAsia" w:ascii="宋体" w:hAnsi="宋体" w:cs="宋体"/>
          <w:sz w:val="21"/>
          <w:szCs w:val="21"/>
        </w:rPr>
        <w:t>1.本合同约定的权利义务已经履行完毕，且甲乙双方未能就续约达成一致意见。</w:t>
      </w:r>
    </w:p>
    <w:p>
      <w:pPr>
        <w:spacing w:line="360" w:lineRule="auto"/>
        <w:ind w:firstLine="424" w:firstLineChars="202"/>
        <w:rPr>
          <w:rFonts w:ascii="宋体" w:hAnsi="宋体" w:cs="宋体"/>
          <w:sz w:val="21"/>
          <w:szCs w:val="21"/>
        </w:rPr>
      </w:pPr>
      <w:r>
        <w:rPr>
          <w:rFonts w:hint="eastAsia" w:ascii="宋体" w:hAnsi="宋体" w:cs="宋体"/>
          <w:sz w:val="21"/>
          <w:szCs w:val="21"/>
        </w:rPr>
        <w:t>2.乙方单个采购代理服务项目考核不合格或因乙方原因产生重大错误后果严重的，甲方有权终止合同。</w:t>
      </w:r>
    </w:p>
    <w:p>
      <w:pPr>
        <w:spacing w:line="360" w:lineRule="auto"/>
        <w:ind w:firstLine="424" w:firstLineChars="202"/>
        <w:rPr>
          <w:rFonts w:ascii="宋体" w:hAnsi="宋体" w:cs="宋体"/>
          <w:sz w:val="21"/>
          <w:szCs w:val="21"/>
        </w:rPr>
      </w:pPr>
      <w:r>
        <w:rPr>
          <w:rFonts w:hint="eastAsia" w:ascii="宋体" w:hAnsi="宋体" w:cs="宋体"/>
          <w:sz w:val="21"/>
          <w:szCs w:val="21"/>
        </w:rPr>
        <w:t>3.其他法律、法规规定的合同权利义务终止的情形。</w:t>
      </w:r>
    </w:p>
    <w:p>
      <w:pPr>
        <w:spacing w:line="360" w:lineRule="auto"/>
        <w:ind w:firstLine="424" w:firstLineChars="202"/>
        <w:rPr>
          <w:rFonts w:ascii="宋体" w:hAnsi="宋体" w:cs="宋体"/>
          <w:sz w:val="21"/>
          <w:szCs w:val="21"/>
        </w:rPr>
      </w:pPr>
      <w:r>
        <w:rPr>
          <w:rFonts w:hint="eastAsia" w:ascii="宋体" w:hAnsi="宋体" w:cs="宋体"/>
          <w:bCs/>
          <w:sz w:val="21"/>
          <w:szCs w:val="21"/>
        </w:rPr>
        <w:t>（二）</w:t>
      </w:r>
      <w:r>
        <w:rPr>
          <w:rFonts w:hint="eastAsia" w:ascii="宋体" w:hAnsi="宋体" w:cs="宋体"/>
          <w:sz w:val="21"/>
          <w:szCs w:val="21"/>
        </w:rPr>
        <w:t>本合同因下列情形的出现而解除：</w:t>
      </w:r>
    </w:p>
    <w:p>
      <w:pPr>
        <w:spacing w:line="360" w:lineRule="auto"/>
        <w:ind w:firstLine="424" w:firstLineChars="202"/>
        <w:rPr>
          <w:rFonts w:ascii="宋体" w:hAnsi="宋体" w:cs="宋体"/>
          <w:sz w:val="21"/>
          <w:szCs w:val="21"/>
        </w:rPr>
      </w:pPr>
      <w:r>
        <w:rPr>
          <w:rFonts w:hint="eastAsia" w:ascii="宋体" w:hAnsi="宋体" w:cs="宋体"/>
          <w:sz w:val="21"/>
          <w:szCs w:val="21"/>
        </w:rPr>
        <w:t>1.由于不可抗力事件的发生（例如由于政府的重大政策调整、自然灾害等）使一方当事人订立合同的目的不能实现的。</w:t>
      </w:r>
    </w:p>
    <w:p>
      <w:pPr>
        <w:spacing w:line="360" w:lineRule="auto"/>
        <w:ind w:firstLine="424" w:firstLineChars="202"/>
        <w:rPr>
          <w:rFonts w:ascii="宋体" w:hAnsi="宋体" w:cs="宋体"/>
          <w:sz w:val="21"/>
          <w:szCs w:val="21"/>
        </w:rPr>
      </w:pPr>
      <w:r>
        <w:rPr>
          <w:rFonts w:hint="eastAsia" w:ascii="宋体" w:hAnsi="宋体" w:cs="宋体"/>
          <w:sz w:val="21"/>
          <w:szCs w:val="21"/>
        </w:rPr>
        <w:t>2.其他法律法规规定的当事人可以解除合同的情形。</w:t>
      </w:r>
    </w:p>
    <w:p>
      <w:pPr>
        <w:spacing w:line="360" w:lineRule="auto"/>
        <w:ind w:firstLine="424" w:firstLineChars="202"/>
        <w:rPr>
          <w:rFonts w:ascii="宋体" w:hAnsi="宋体" w:cs="宋体"/>
          <w:sz w:val="21"/>
          <w:szCs w:val="21"/>
        </w:rPr>
      </w:pPr>
      <w:r>
        <w:rPr>
          <w:rFonts w:hint="eastAsia" w:ascii="宋体" w:hAnsi="宋体" w:cs="宋体"/>
          <w:sz w:val="21"/>
          <w:szCs w:val="21"/>
        </w:rPr>
        <w:t>十三、争议解决</w:t>
      </w:r>
    </w:p>
    <w:p>
      <w:pPr>
        <w:spacing w:line="360" w:lineRule="auto"/>
        <w:ind w:firstLine="424" w:firstLineChars="202"/>
        <w:rPr>
          <w:rFonts w:ascii="宋体" w:hAnsi="宋体" w:cs="宋体"/>
          <w:sz w:val="21"/>
          <w:szCs w:val="21"/>
        </w:rPr>
      </w:pPr>
      <w:r>
        <w:rPr>
          <w:rFonts w:hint="eastAsia" w:ascii="宋体" w:hAnsi="宋体" w:cs="宋体"/>
          <w:sz w:val="21"/>
          <w:szCs w:val="21"/>
        </w:rPr>
        <w:t>本合同履行过程中，任何因本合同引起的或与之相关的争议，包括本合同的履行、解释、适用或出于任何原因的终止有关的争议，甲乙双方应友好协商解决。协商不成的，任何一方均可向甲方所在地的人民法院提起诉讼。</w:t>
      </w:r>
    </w:p>
    <w:p>
      <w:pPr>
        <w:spacing w:line="360" w:lineRule="auto"/>
        <w:ind w:firstLine="424" w:firstLineChars="202"/>
        <w:rPr>
          <w:rFonts w:ascii="宋体" w:hAnsi="宋体" w:cs="宋体"/>
          <w:sz w:val="21"/>
          <w:szCs w:val="21"/>
        </w:rPr>
      </w:pPr>
      <w:r>
        <w:rPr>
          <w:rFonts w:hint="eastAsia" w:ascii="宋体" w:hAnsi="宋体" w:cs="宋体"/>
          <w:sz w:val="21"/>
          <w:szCs w:val="21"/>
        </w:rPr>
        <w:t>诉讼期间不涉及争议的条款，双方仍须履行。</w:t>
      </w:r>
    </w:p>
    <w:p>
      <w:pPr>
        <w:spacing w:line="360" w:lineRule="auto"/>
        <w:ind w:firstLine="424" w:firstLineChars="202"/>
        <w:rPr>
          <w:rFonts w:ascii="宋体" w:hAnsi="宋体" w:cs="宋体"/>
          <w:sz w:val="21"/>
          <w:szCs w:val="21"/>
        </w:rPr>
      </w:pPr>
      <w:r>
        <w:rPr>
          <w:rFonts w:hint="eastAsia" w:ascii="宋体" w:hAnsi="宋体" w:cs="宋体"/>
          <w:sz w:val="21"/>
          <w:szCs w:val="21"/>
        </w:rPr>
        <w:t>十四、其他</w:t>
      </w:r>
    </w:p>
    <w:p>
      <w:pPr>
        <w:spacing w:line="360" w:lineRule="auto"/>
        <w:ind w:left="210" w:leftChars="100" w:firstLine="214" w:firstLineChars="102"/>
        <w:rPr>
          <w:rFonts w:ascii="宋体" w:hAnsi="宋体" w:cs="宋体"/>
          <w:sz w:val="21"/>
          <w:szCs w:val="21"/>
        </w:rPr>
      </w:pPr>
      <w:r>
        <w:rPr>
          <w:rFonts w:hint="eastAsia" w:ascii="宋体" w:hAnsi="宋体" w:cs="宋体"/>
          <w:bCs/>
          <w:sz w:val="21"/>
          <w:szCs w:val="21"/>
        </w:rPr>
        <w:t>（一）</w:t>
      </w:r>
      <w:r>
        <w:rPr>
          <w:rFonts w:hint="eastAsia" w:ascii="宋体" w:hAnsi="宋体" w:cs="宋体"/>
          <w:sz w:val="21"/>
          <w:szCs w:val="21"/>
        </w:rPr>
        <w:t>本合同自双方签字或盖章之日起生效，有效期至</w:t>
      </w:r>
      <w:r>
        <w:rPr>
          <w:rFonts w:hint="eastAsia" w:ascii="宋体" w:hAnsi="宋体" w:cs="宋体"/>
          <w:sz w:val="21"/>
          <w:szCs w:val="21"/>
          <w:u w:val="single"/>
        </w:rPr>
        <w:t xml:space="preserve">        </w:t>
      </w:r>
      <w:r>
        <w:rPr>
          <w:rFonts w:hint="eastAsia" w:ascii="宋体" w:hAnsi="宋体" w:cs="宋体"/>
          <w:sz w:val="21"/>
          <w:szCs w:val="21"/>
        </w:rPr>
        <w:t>年   月   日。乙方在本合同的违约责任不受本合同有效期终止的影响。</w:t>
      </w:r>
    </w:p>
    <w:p>
      <w:pPr>
        <w:spacing w:line="360" w:lineRule="auto"/>
        <w:ind w:firstLine="424" w:firstLineChars="202"/>
        <w:rPr>
          <w:rFonts w:ascii="宋体" w:hAnsi="宋体" w:cs="宋体"/>
          <w:sz w:val="21"/>
          <w:szCs w:val="21"/>
        </w:rPr>
      </w:pPr>
      <w:r>
        <w:rPr>
          <w:rFonts w:hint="eastAsia" w:ascii="宋体" w:hAnsi="宋体" w:cs="宋体"/>
          <w:bCs/>
          <w:sz w:val="21"/>
          <w:szCs w:val="21"/>
        </w:rPr>
        <w:t>（二）</w:t>
      </w:r>
      <w:r>
        <w:rPr>
          <w:rFonts w:hint="eastAsia" w:ascii="宋体" w:hAnsi="宋体" w:cs="宋体"/>
          <w:sz w:val="21"/>
          <w:szCs w:val="21"/>
        </w:rPr>
        <w:t>本合同壹式贰份，甲乙双方各执壹份，均具有同等法律效力。</w:t>
      </w:r>
    </w:p>
    <w:p>
      <w:pPr>
        <w:spacing w:line="360" w:lineRule="auto"/>
        <w:ind w:firstLine="424" w:firstLineChars="202"/>
        <w:rPr>
          <w:rFonts w:ascii="宋体" w:hAnsi="宋体" w:cs="宋体"/>
          <w:sz w:val="21"/>
          <w:szCs w:val="21"/>
        </w:rPr>
      </w:pPr>
      <w:r>
        <w:rPr>
          <w:rFonts w:hint="eastAsia" w:ascii="宋体" w:hAnsi="宋体" w:cs="宋体"/>
          <w:bCs/>
          <w:sz w:val="21"/>
          <w:szCs w:val="21"/>
        </w:rPr>
        <w:t>（三）</w:t>
      </w:r>
      <w:r>
        <w:rPr>
          <w:rFonts w:hint="eastAsia" w:ascii="宋体" w:hAnsi="宋体" w:cs="宋体"/>
          <w:sz w:val="21"/>
          <w:szCs w:val="21"/>
        </w:rPr>
        <w:t>本合同的附件、补充合同是本合同的组成部分，与本合同具有同等法律效力。</w:t>
      </w:r>
    </w:p>
    <w:p>
      <w:pPr>
        <w:spacing w:line="360" w:lineRule="auto"/>
        <w:ind w:firstLine="424" w:firstLineChars="202"/>
        <w:rPr>
          <w:rFonts w:ascii="宋体" w:hAnsi="宋体" w:cs="宋体"/>
          <w:sz w:val="21"/>
          <w:szCs w:val="21"/>
        </w:rPr>
      </w:pPr>
      <w:r>
        <w:rPr>
          <w:rFonts w:hint="eastAsia" w:ascii="宋体" w:hAnsi="宋体" w:cs="宋体"/>
          <w:bCs/>
          <w:sz w:val="21"/>
          <w:szCs w:val="21"/>
        </w:rPr>
        <w:t>（四）</w:t>
      </w:r>
      <w:r>
        <w:rPr>
          <w:rFonts w:hint="eastAsia" w:ascii="宋体" w:hAnsi="宋体" w:cs="宋体"/>
          <w:sz w:val="21"/>
          <w:szCs w:val="21"/>
        </w:rPr>
        <w:t>本合同未尽事宜，由甲乙双方友好协商解决。</w:t>
      </w:r>
    </w:p>
    <w:p>
      <w:pPr>
        <w:spacing w:line="360" w:lineRule="auto"/>
        <w:jc w:val="center"/>
        <w:rPr>
          <w:rFonts w:ascii="宋体" w:hAnsi="宋体" w:cs="宋体"/>
          <w:b/>
          <w:sz w:val="21"/>
          <w:szCs w:val="21"/>
        </w:rPr>
      </w:pPr>
      <w:r>
        <w:rPr>
          <w:rFonts w:hint="eastAsia" w:ascii="宋体" w:hAnsi="宋体" w:cs="宋体"/>
          <w:sz w:val="21"/>
          <w:szCs w:val="21"/>
        </w:rPr>
        <w:t>……………………【本行以下无正文】……………………</w:t>
      </w:r>
    </w:p>
    <w:p>
      <w:pPr>
        <w:spacing w:line="360" w:lineRule="auto"/>
        <w:rPr>
          <w:rFonts w:ascii="宋体" w:hAnsi="宋体" w:cs="宋体"/>
          <w:b/>
          <w:bCs/>
          <w:sz w:val="21"/>
          <w:szCs w:val="21"/>
          <w:lang w:val="fr-FR"/>
        </w:rPr>
      </w:pPr>
      <w:r>
        <w:rPr>
          <w:rFonts w:hint="eastAsia" w:ascii="宋体" w:hAnsi="宋体" w:cs="宋体"/>
          <w:b/>
          <w:bCs/>
          <w:sz w:val="21"/>
          <w:szCs w:val="21"/>
          <w:lang w:val="fr-FR"/>
        </w:rPr>
        <w:t>甲方：浙商银行股份有限公司</w:t>
      </w:r>
    </w:p>
    <w:p>
      <w:pPr>
        <w:spacing w:line="360" w:lineRule="auto"/>
        <w:rPr>
          <w:rFonts w:ascii="宋体" w:hAnsi="宋体" w:cs="宋体"/>
          <w:sz w:val="21"/>
          <w:szCs w:val="21"/>
          <w:lang w:val="fr-FR"/>
        </w:rPr>
      </w:pPr>
      <w:r>
        <w:rPr>
          <w:rFonts w:hint="eastAsia" w:ascii="宋体" w:hAnsi="宋体" w:cs="宋体"/>
          <w:sz w:val="21"/>
          <w:szCs w:val="21"/>
          <w:lang w:val="fr-FR"/>
        </w:rPr>
        <w:t>（公章或合同专用章）</w:t>
      </w:r>
    </w:p>
    <w:p>
      <w:pPr>
        <w:spacing w:line="360" w:lineRule="auto"/>
        <w:rPr>
          <w:rFonts w:ascii="宋体" w:hAnsi="宋体" w:cs="宋体"/>
          <w:sz w:val="21"/>
          <w:szCs w:val="21"/>
          <w:lang w:val="fr-FR"/>
        </w:rPr>
      </w:pPr>
      <w:r>
        <w:rPr>
          <w:rFonts w:hint="eastAsia" w:ascii="宋体" w:hAnsi="宋体" w:cs="宋体"/>
          <w:sz w:val="21"/>
          <w:szCs w:val="21"/>
          <w:lang w:val="fr-FR"/>
        </w:rPr>
        <w:t>法定代表人或授权人签字：</w:t>
      </w:r>
    </w:p>
    <w:p>
      <w:pPr>
        <w:spacing w:line="360" w:lineRule="auto"/>
        <w:rPr>
          <w:rFonts w:ascii="宋体" w:hAnsi="宋体" w:cs="宋体"/>
          <w:sz w:val="21"/>
          <w:szCs w:val="21"/>
          <w:lang w:val="fr-FR"/>
        </w:rPr>
      </w:pPr>
      <w:r>
        <w:rPr>
          <w:rFonts w:hint="eastAsia" w:ascii="宋体" w:hAnsi="宋体" w:cs="宋体"/>
          <w:sz w:val="21"/>
          <w:szCs w:val="21"/>
          <w:lang w:val="fr-FR"/>
        </w:rPr>
        <w:t>日期：</w:t>
      </w:r>
      <w:r>
        <w:rPr>
          <w:rFonts w:hint="eastAsia" w:ascii="宋体" w:hAnsi="宋体" w:cs="宋体"/>
          <w:sz w:val="21"/>
          <w:szCs w:val="21"/>
        </w:rPr>
        <w:t xml:space="preserve">     年   月   日</w:t>
      </w:r>
    </w:p>
    <w:p>
      <w:pPr>
        <w:spacing w:line="360" w:lineRule="auto"/>
        <w:rPr>
          <w:rFonts w:ascii="宋体" w:hAnsi="宋体" w:cs="宋体"/>
          <w:b/>
          <w:sz w:val="21"/>
          <w:szCs w:val="21"/>
        </w:rPr>
      </w:pPr>
    </w:p>
    <w:p>
      <w:pPr>
        <w:spacing w:line="360" w:lineRule="auto"/>
        <w:rPr>
          <w:rFonts w:ascii="宋体" w:hAnsi="宋体" w:cs="宋体"/>
          <w:b/>
          <w:bCs/>
          <w:sz w:val="21"/>
          <w:szCs w:val="21"/>
          <w:lang w:val="fr-FR"/>
        </w:rPr>
      </w:pPr>
      <w:r>
        <w:rPr>
          <w:rFonts w:hint="eastAsia" w:ascii="宋体" w:hAnsi="宋体" w:cs="宋体"/>
          <w:b/>
          <w:bCs/>
          <w:sz w:val="21"/>
          <w:szCs w:val="21"/>
          <w:lang w:val="fr-FR"/>
        </w:rPr>
        <w:t>乙方：</w:t>
      </w:r>
    </w:p>
    <w:p>
      <w:pPr>
        <w:spacing w:line="360" w:lineRule="auto"/>
        <w:rPr>
          <w:rFonts w:ascii="宋体" w:hAnsi="宋体" w:cs="宋体"/>
          <w:sz w:val="21"/>
          <w:szCs w:val="21"/>
          <w:lang w:val="fr-FR"/>
        </w:rPr>
      </w:pPr>
      <w:r>
        <w:rPr>
          <w:rFonts w:hint="eastAsia" w:ascii="宋体" w:hAnsi="宋体" w:cs="宋体"/>
          <w:sz w:val="21"/>
          <w:szCs w:val="21"/>
          <w:lang w:val="fr-FR"/>
        </w:rPr>
        <w:t>（公章或合同专用章）</w:t>
      </w:r>
    </w:p>
    <w:p>
      <w:pPr>
        <w:spacing w:line="360" w:lineRule="auto"/>
        <w:rPr>
          <w:rFonts w:ascii="宋体" w:hAnsi="宋体" w:cs="宋体"/>
          <w:sz w:val="21"/>
          <w:szCs w:val="21"/>
          <w:lang w:val="fr-FR"/>
        </w:rPr>
      </w:pPr>
      <w:r>
        <w:rPr>
          <w:rFonts w:hint="eastAsia" w:ascii="宋体" w:hAnsi="宋体" w:cs="宋体"/>
          <w:sz w:val="21"/>
          <w:szCs w:val="21"/>
          <w:lang w:val="fr-FR"/>
        </w:rPr>
        <w:t>法定代表人或授权人签字：</w:t>
      </w:r>
    </w:p>
    <w:p>
      <w:pPr>
        <w:pStyle w:val="638"/>
        <w:spacing w:line="360" w:lineRule="auto"/>
        <w:rPr>
          <w:rFonts w:ascii="宋体" w:hAnsi="宋体" w:cs="宋体"/>
          <w:b/>
          <w:spacing w:val="-6"/>
          <w:sz w:val="21"/>
        </w:rPr>
      </w:pPr>
      <w:r>
        <w:rPr>
          <w:rFonts w:hint="eastAsia" w:ascii="宋体" w:hAnsi="宋体" w:cs="宋体"/>
          <w:sz w:val="21"/>
          <w:lang w:val="fr-FR"/>
        </w:rPr>
        <w:t>日期：</w:t>
      </w:r>
      <w:r>
        <w:rPr>
          <w:rFonts w:hint="eastAsia" w:ascii="宋体" w:hAnsi="宋体" w:cs="宋体"/>
          <w:sz w:val="21"/>
        </w:rPr>
        <w:t xml:space="preserve">     年   月   日</w:t>
      </w:r>
    </w:p>
    <w:p>
      <w:pPr>
        <w:spacing w:line="288" w:lineRule="auto"/>
        <w:outlineLvl w:val="1"/>
        <w:rPr>
          <w:rFonts w:ascii="宋体" w:hAnsi="宋体" w:cs="宋体"/>
          <w:sz w:val="21"/>
          <w:szCs w:val="21"/>
          <w:lang w:val="fr-FR"/>
        </w:rPr>
      </w:pPr>
      <w:r>
        <w:rPr>
          <w:rFonts w:hint="eastAsia" w:ascii="宋体" w:hAnsi="宋体"/>
          <w:sz w:val="21"/>
          <w:szCs w:val="21"/>
        </w:rPr>
        <w:br w:type="page"/>
      </w:r>
      <w:r>
        <w:rPr>
          <w:rFonts w:hint="eastAsia" w:ascii="宋体" w:hAnsi="宋体" w:cs="宋体"/>
          <w:bCs/>
          <w:sz w:val="21"/>
          <w:szCs w:val="21"/>
          <w:lang w:val="fr-FR"/>
        </w:rPr>
        <w:t>附件1</w:t>
      </w:r>
    </w:p>
    <w:p>
      <w:pPr>
        <w:jc w:val="center"/>
        <w:rPr>
          <w:rFonts w:ascii="宋体" w:hAnsi="宋体"/>
          <w:b/>
          <w:bCs/>
          <w:snapToGrid w:val="0"/>
          <w:szCs w:val="28"/>
        </w:rPr>
      </w:pPr>
      <w:bookmarkStart w:id="17" w:name="OLE_LINK1"/>
      <w:r>
        <w:rPr>
          <w:rFonts w:hint="eastAsia" w:ascii="宋体" w:hAnsi="宋体" w:cs="宋体"/>
          <w:b/>
          <w:bCs/>
          <w:snapToGrid w:val="0"/>
          <w:szCs w:val="28"/>
        </w:rPr>
        <w:t>浙商银行股份有限公司采购代理服务机构入围</w:t>
      </w:r>
      <w:r>
        <w:rPr>
          <w:rFonts w:ascii="宋体" w:hAnsi="宋体" w:cs="宋体"/>
          <w:b/>
          <w:bCs/>
          <w:snapToGrid w:val="0"/>
          <w:szCs w:val="28"/>
        </w:rPr>
        <w:t>采购</w:t>
      </w:r>
      <w:r>
        <w:rPr>
          <w:rFonts w:hint="eastAsia" w:ascii="宋体" w:hAnsi="宋体"/>
          <w:b/>
          <w:bCs/>
          <w:snapToGrid w:val="0"/>
          <w:szCs w:val="28"/>
        </w:rPr>
        <w:t>项目保密协议</w:t>
      </w:r>
      <w:bookmarkEnd w:id="17"/>
    </w:p>
    <w:p>
      <w:pPr>
        <w:spacing w:line="360" w:lineRule="auto"/>
        <w:rPr>
          <w:rFonts w:ascii="宋体" w:hAnsi="宋体" w:cs="宋体"/>
          <w:sz w:val="21"/>
          <w:szCs w:val="21"/>
          <w:lang w:val="fr-FR"/>
        </w:rPr>
      </w:pPr>
      <w:r>
        <w:rPr>
          <w:rFonts w:hint="eastAsia" w:ascii="宋体" w:hAnsi="宋体" w:cs="宋体"/>
          <w:sz w:val="21"/>
          <w:szCs w:val="21"/>
          <w:lang w:val="fr-FR"/>
        </w:rPr>
        <w:t>甲方：浙商银行股份有限公司</w:t>
      </w:r>
    </w:p>
    <w:p>
      <w:pPr>
        <w:spacing w:line="360" w:lineRule="auto"/>
        <w:rPr>
          <w:rFonts w:ascii="宋体" w:hAnsi="宋体" w:cs="宋体"/>
          <w:sz w:val="21"/>
          <w:szCs w:val="21"/>
          <w:lang w:val="fr-FR"/>
        </w:rPr>
      </w:pPr>
      <w:r>
        <w:rPr>
          <w:rFonts w:hint="eastAsia" w:ascii="宋体" w:hAnsi="宋体" w:cs="宋体"/>
          <w:sz w:val="21"/>
          <w:szCs w:val="21"/>
          <w:lang w:val="fr-FR"/>
        </w:rPr>
        <w:t>乙方：</w:t>
      </w:r>
    </w:p>
    <w:p>
      <w:pPr>
        <w:widowControl/>
        <w:snapToGrid w:val="0"/>
        <w:spacing w:line="360" w:lineRule="auto"/>
        <w:contextualSpacing/>
        <w:rPr>
          <w:rFonts w:ascii="宋体" w:hAnsi="宋体" w:cs="Arial"/>
          <w:kern w:val="0"/>
          <w:sz w:val="21"/>
          <w:szCs w:val="21"/>
        </w:rPr>
      </w:pPr>
    </w:p>
    <w:p>
      <w:pPr>
        <w:spacing w:line="360" w:lineRule="auto"/>
        <w:rPr>
          <w:rFonts w:ascii="宋体" w:hAnsi="宋体" w:cs="宋体"/>
          <w:sz w:val="21"/>
          <w:szCs w:val="21"/>
          <w:lang w:val="fr-FR"/>
        </w:rPr>
      </w:pPr>
      <w:r>
        <w:rPr>
          <w:rFonts w:hint="eastAsia" w:ascii="宋体" w:hAnsi="宋体" w:cs="宋体"/>
          <w:sz w:val="21"/>
          <w:szCs w:val="21"/>
          <w:lang w:val="fr-FR"/>
        </w:rPr>
        <w:t>鉴于：</w:t>
      </w:r>
    </w:p>
    <w:p>
      <w:pPr>
        <w:spacing w:line="360" w:lineRule="auto"/>
        <w:ind w:firstLine="420" w:firstLineChars="200"/>
        <w:rPr>
          <w:rFonts w:ascii="宋体" w:hAnsi="宋体" w:cs="宋体"/>
          <w:sz w:val="21"/>
          <w:szCs w:val="21"/>
        </w:rPr>
      </w:pPr>
      <w:r>
        <w:rPr>
          <w:rFonts w:hint="eastAsia" w:ascii="宋体" w:hAnsi="宋体" w:cs="宋体"/>
          <w:sz w:val="21"/>
          <w:szCs w:val="21"/>
        </w:rPr>
        <w:t>1．甲乙双方约定进行采购代理服务项目（以下称项目）；</w:t>
      </w:r>
    </w:p>
    <w:p>
      <w:pPr>
        <w:spacing w:line="360" w:lineRule="auto"/>
        <w:ind w:firstLine="420" w:firstLineChars="200"/>
        <w:rPr>
          <w:rFonts w:ascii="宋体" w:hAnsi="宋体" w:cs="宋体"/>
          <w:sz w:val="21"/>
          <w:szCs w:val="21"/>
        </w:rPr>
      </w:pPr>
      <w:r>
        <w:rPr>
          <w:rFonts w:hint="eastAsia" w:ascii="宋体" w:hAnsi="宋体" w:cs="宋体"/>
          <w:sz w:val="21"/>
          <w:szCs w:val="21"/>
        </w:rPr>
        <w:t>2．双方就该项目的实施以及合作过程中，曾向或可能向对方提供有关保密信息，且该保密信息属提供方合法所有；</w:t>
      </w:r>
    </w:p>
    <w:p>
      <w:pPr>
        <w:spacing w:line="360" w:lineRule="auto"/>
        <w:ind w:firstLine="420" w:firstLineChars="200"/>
        <w:rPr>
          <w:rFonts w:ascii="宋体" w:hAnsi="宋体" w:cs="宋体"/>
          <w:sz w:val="21"/>
          <w:szCs w:val="21"/>
        </w:rPr>
      </w:pPr>
      <w:r>
        <w:rPr>
          <w:rFonts w:hint="eastAsia" w:ascii="宋体" w:hAnsi="宋体" w:cs="宋体"/>
          <w:sz w:val="21"/>
          <w:szCs w:val="21"/>
        </w:rPr>
        <w:t>3．双方均希望对本协议所述保密信息予以有效保护。</w:t>
      </w:r>
    </w:p>
    <w:p>
      <w:pPr>
        <w:spacing w:line="360" w:lineRule="auto"/>
        <w:ind w:firstLine="420" w:firstLineChars="200"/>
        <w:rPr>
          <w:rFonts w:ascii="宋体" w:hAnsi="宋体" w:cs="Arial"/>
          <w:kern w:val="0"/>
          <w:sz w:val="21"/>
          <w:szCs w:val="21"/>
        </w:rPr>
      </w:pPr>
      <w:r>
        <w:rPr>
          <w:rFonts w:hint="eastAsia" w:ascii="宋体" w:hAnsi="宋体" w:cs="宋体"/>
          <w:sz w:val="21"/>
          <w:szCs w:val="21"/>
        </w:rPr>
        <w:t>经双方友好协商，达成如下协议：</w:t>
      </w:r>
    </w:p>
    <w:p>
      <w:pPr>
        <w:spacing w:line="360" w:lineRule="auto"/>
        <w:ind w:firstLine="420" w:firstLineChars="200"/>
        <w:rPr>
          <w:rFonts w:ascii="宋体" w:hAnsi="宋体" w:cs="宋体"/>
          <w:sz w:val="21"/>
          <w:szCs w:val="21"/>
        </w:rPr>
      </w:pPr>
      <w:r>
        <w:rPr>
          <w:rFonts w:hint="eastAsia" w:ascii="宋体" w:hAnsi="宋体" w:cs="宋体"/>
          <w:sz w:val="21"/>
          <w:szCs w:val="21"/>
        </w:rPr>
        <w:t>一、定义</w:t>
      </w:r>
    </w:p>
    <w:p>
      <w:pPr>
        <w:spacing w:line="360" w:lineRule="auto"/>
        <w:ind w:firstLine="420" w:firstLineChars="200"/>
        <w:rPr>
          <w:rFonts w:ascii="宋体" w:hAnsi="宋体" w:cs="宋体"/>
          <w:sz w:val="21"/>
          <w:szCs w:val="21"/>
        </w:rPr>
      </w:pPr>
      <w:r>
        <w:rPr>
          <w:rFonts w:hint="eastAsia" w:ascii="宋体" w:hAnsi="宋体" w:cs="宋体"/>
          <w:sz w:val="21"/>
          <w:szCs w:val="21"/>
        </w:rPr>
        <w:t>（一）本协议中的保密信息系指一方（“披露方”）曾向或可能不时向对方（“接收方”）披露该方有关业务、财务状况及其他重要事项的信息资料，这些资料在披露当时被指定为保密信息（或类似标注），或者在保密的情况下披露，或者经双方的合理商业判断为保密信息。无论其以何种形式或载于何种载体，无论在披露时是否以口头或以书面方式表明其具有保密性。</w:t>
      </w:r>
    </w:p>
    <w:p>
      <w:pPr>
        <w:spacing w:line="360" w:lineRule="auto"/>
        <w:ind w:firstLine="420" w:firstLineChars="200"/>
        <w:rPr>
          <w:rFonts w:ascii="宋体" w:hAnsi="宋体" w:cs="宋体"/>
          <w:sz w:val="21"/>
          <w:szCs w:val="21"/>
        </w:rPr>
      </w:pPr>
      <w:r>
        <w:rPr>
          <w:rFonts w:hint="eastAsia" w:ascii="宋体" w:hAnsi="宋体" w:cs="宋体"/>
          <w:sz w:val="21"/>
          <w:szCs w:val="21"/>
        </w:rPr>
        <w:t>（二）本协议中的保密期指自本协议签署之日起至将来永久性期限。该保密义务不因项目的结束而解除。</w:t>
      </w:r>
    </w:p>
    <w:p>
      <w:pPr>
        <w:spacing w:line="360" w:lineRule="auto"/>
        <w:ind w:firstLine="420" w:firstLineChars="200"/>
        <w:rPr>
          <w:rFonts w:ascii="宋体" w:hAnsi="宋体" w:cs="宋体"/>
          <w:sz w:val="21"/>
          <w:szCs w:val="21"/>
        </w:rPr>
      </w:pPr>
      <w:r>
        <w:rPr>
          <w:rFonts w:hint="eastAsia" w:ascii="宋体" w:hAnsi="宋体" w:cs="宋体"/>
          <w:sz w:val="21"/>
          <w:szCs w:val="21"/>
        </w:rPr>
        <w:t>二、双方权利与义务</w:t>
      </w:r>
    </w:p>
    <w:p>
      <w:pPr>
        <w:spacing w:line="360" w:lineRule="auto"/>
        <w:ind w:firstLine="420" w:firstLineChars="200"/>
        <w:rPr>
          <w:rFonts w:ascii="宋体" w:hAnsi="宋体" w:cs="宋体"/>
          <w:sz w:val="21"/>
          <w:szCs w:val="21"/>
        </w:rPr>
      </w:pPr>
      <w:r>
        <w:rPr>
          <w:rFonts w:hint="eastAsia" w:ascii="宋体" w:hAnsi="宋体" w:cs="宋体"/>
          <w:sz w:val="21"/>
          <w:szCs w:val="21"/>
        </w:rPr>
        <w:t>（一）接收方同意在保密期间内对上述保密信息严格保密，未经披露方书面同意，接收方不得为任何目的（包括营利或非营利之目的）而故意或过失地披露、泄露、告知、公布、发布、出版、传授、转让或者其他任何方式使任何第三方（包括本项目以外不得知悉保密信息的接收方其他职员）知悉、获取、接触保密信息。</w:t>
      </w:r>
    </w:p>
    <w:p>
      <w:pPr>
        <w:spacing w:line="360" w:lineRule="auto"/>
        <w:ind w:firstLine="420" w:firstLineChars="200"/>
        <w:rPr>
          <w:rFonts w:ascii="宋体" w:hAnsi="宋体" w:cs="宋体"/>
          <w:sz w:val="21"/>
          <w:szCs w:val="21"/>
        </w:rPr>
      </w:pPr>
      <w:r>
        <w:rPr>
          <w:rFonts w:hint="eastAsia" w:ascii="宋体" w:hAnsi="宋体" w:cs="宋体"/>
          <w:sz w:val="21"/>
          <w:szCs w:val="21"/>
        </w:rPr>
        <w:t>（二）披露方对所有的保密信息均按原样披露，对其准确性、可靠性及完整性不做任何明示、暗示的保证或其它承诺。披露方对于接收方使用保密信息所造成的任何直接或间接的损害、损失不承担责任。</w:t>
      </w:r>
    </w:p>
    <w:p>
      <w:pPr>
        <w:spacing w:line="360" w:lineRule="auto"/>
        <w:ind w:firstLine="420" w:firstLineChars="200"/>
        <w:rPr>
          <w:rFonts w:ascii="宋体" w:hAnsi="宋体" w:cs="宋体"/>
          <w:sz w:val="21"/>
          <w:szCs w:val="21"/>
        </w:rPr>
      </w:pPr>
      <w:r>
        <w:rPr>
          <w:rFonts w:hint="eastAsia" w:ascii="宋体" w:hAnsi="宋体" w:cs="宋体"/>
          <w:sz w:val="21"/>
          <w:szCs w:val="21"/>
        </w:rPr>
        <w:t>（三）除非双方另有约定，接收方必须：</w:t>
      </w:r>
    </w:p>
    <w:p>
      <w:pPr>
        <w:spacing w:line="360" w:lineRule="auto"/>
        <w:ind w:firstLine="420" w:firstLineChars="200"/>
        <w:rPr>
          <w:rFonts w:ascii="宋体" w:hAnsi="宋体" w:cs="宋体"/>
          <w:sz w:val="21"/>
          <w:szCs w:val="21"/>
        </w:rPr>
      </w:pPr>
      <w:r>
        <w:rPr>
          <w:rFonts w:hint="eastAsia" w:ascii="宋体" w:hAnsi="宋体" w:cs="宋体"/>
          <w:sz w:val="21"/>
          <w:szCs w:val="21"/>
        </w:rPr>
        <w:t>1.保证该保密信息仅用于与“项目”合作有关的制定用途或目的。</w:t>
      </w:r>
    </w:p>
    <w:p>
      <w:pPr>
        <w:spacing w:line="360" w:lineRule="auto"/>
        <w:ind w:firstLine="420" w:firstLineChars="200"/>
        <w:rPr>
          <w:rFonts w:ascii="宋体" w:hAnsi="宋体" w:cs="宋体"/>
          <w:sz w:val="21"/>
          <w:szCs w:val="21"/>
        </w:rPr>
      </w:pPr>
      <w:r>
        <w:rPr>
          <w:rFonts w:hint="eastAsia" w:ascii="宋体" w:hAnsi="宋体" w:cs="宋体"/>
          <w:sz w:val="21"/>
          <w:szCs w:val="21"/>
        </w:rPr>
        <w:t>2.保证对披露方所提供的保密信息予以妥善保存。</w:t>
      </w:r>
    </w:p>
    <w:p>
      <w:pPr>
        <w:spacing w:line="360" w:lineRule="auto"/>
        <w:ind w:firstLine="420" w:firstLineChars="200"/>
        <w:rPr>
          <w:rFonts w:ascii="宋体" w:hAnsi="宋体" w:cs="宋体"/>
          <w:sz w:val="21"/>
          <w:szCs w:val="21"/>
        </w:rPr>
      </w:pPr>
      <w:r>
        <w:rPr>
          <w:rFonts w:hint="eastAsia" w:ascii="宋体" w:hAnsi="宋体" w:cs="宋体"/>
          <w:sz w:val="21"/>
          <w:szCs w:val="21"/>
        </w:rPr>
        <w:t>3.保证对披露方所提供的保密信息按本协议约定予以保密，并至少采取适用于对自己的保密信息同样的保护措施和审慎程度进行保密。</w:t>
      </w:r>
    </w:p>
    <w:p>
      <w:pPr>
        <w:spacing w:line="360" w:lineRule="auto"/>
        <w:ind w:firstLine="420" w:firstLineChars="200"/>
        <w:rPr>
          <w:rFonts w:ascii="宋体" w:hAnsi="宋体" w:cs="宋体"/>
          <w:sz w:val="21"/>
          <w:szCs w:val="21"/>
        </w:rPr>
      </w:pPr>
      <w:r>
        <w:rPr>
          <w:rFonts w:hint="eastAsia" w:ascii="宋体" w:hAnsi="宋体" w:cs="宋体"/>
          <w:sz w:val="21"/>
          <w:szCs w:val="21"/>
        </w:rPr>
        <w:t>4.保证除对履行其工作职责而需知道上述保密信息的本方雇员（或其关联机构、律师、会计师或其他顾问的雇员）外，不向任何人或实体披露，且确保上述人员遵守本协议规定的保密义务。接收方应为上述人员任何违反本协议的行为承担违约责任。</w:t>
      </w:r>
    </w:p>
    <w:p>
      <w:pPr>
        <w:spacing w:line="360" w:lineRule="auto"/>
        <w:ind w:firstLine="420" w:firstLineChars="200"/>
        <w:rPr>
          <w:rFonts w:ascii="宋体" w:hAnsi="宋体" w:cs="宋体"/>
          <w:sz w:val="21"/>
          <w:szCs w:val="21"/>
        </w:rPr>
      </w:pPr>
      <w:r>
        <w:rPr>
          <w:rFonts w:hint="eastAsia" w:ascii="宋体" w:hAnsi="宋体" w:cs="宋体"/>
          <w:sz w:val="21"/>
          <w:szCs w:val="21"/>
        </w:rPr>
        <w:t>5.除为本协议约定的目的，未经披露方事先书面同意，接收方不得将保密信息以任何形式全部或部分地复制。</w:t>
      </w:r>
    </w:p>
    <w:p>
      <w:pPr>
        <w:spacing w:line="360" w:lineRule="auto"/>
        <w:ind w:firstLine="420" w:firstLineChars="200"/>
        <w:rPr>
          <w:rFonts w:ascii="宋体" w:hAnsi="宋体" w:cs="宋体"/>
          <w:sz w:val="21"/>
          <w:szCs w:val="21"/>
        </w:rPr>
      </w:pPr>
      <w:r>
        <w:rPr>
          <w:rFonts w:hint="eastAsia" w:ascii="宋体" w:hAnsi="宋体" w:cs="宋体"/>
          <w:sz w:val="21"/>
          <w:szCs w:val="21"/>
        </w:rPr>
        <w:t>6.经保密信息披露方提出要求，接收方应按照披露方的指示将含有保密信息的所有文件或其他资料归还给披露方，或者按照披露方的指示予以销毁。项目终止后，保密信息披露方有权向接收方提出书面要求将保密信息交还或销毁。</w:t>
      </w:r>
    </w:p>
    <w:p>
      <w:pPr>
        <w:spacing w:line="360" w:lineRule="auto"/>
        <w:ind w:firstLine="420" w:firstLineChars="200"/>
        <w:rPr>
          <w:rFonts w:ascii="宋体" w:hAnsi="宋体" w:cs="宋体"/>
          <w:sz w:val="21"/>
          <w:szCs w:val="21"/>
        </w:rPr>
      </w:pPr>
      <w:r>
        <w:rPr>
          <w:rFonts w:hint="eastAsia" w:ascii="宋体" w:hAnsi="宋体" w:cs="宋体"/>
          <w:sz w:val="21"/>
          <w:szCs w:val="21"/>
        </w:rPr>
        <w:t>三、适用的例外</w:t>
      </w:r>
    </w:p>
    <w:p>
      <w:pPr>
        <w:spacing w:line="360" w:lineRule="auto"/>
        <w:ind w:firstLine="420" w:firstLineChars="200"/>
        <w:rPr>
          <w:rFonts w:ascii="宋体" w:hAnsi="宋体" w:cs="宋体"/>
          <w:sz w:val="21"/>
          <w:szCs w:val="21"/>
        </w:rPr>
      </w:pPr>
      <w:r>
        <w:rPr>
          <w:rFonts w:hint="eastAsia" w:ascii="宋体" w:hAnsi="宋体" w:cs="宋体"/>
          <w:sz w:val="21"/>
          <w:szCs w:val="21"/>
        </w:rPr>
        <w:t>本协议约定的保密义务不适用于以下信息：</w:t>
      </w:r>
    </w:p>
    <w:p>
      <w:pPr>
        <w:spacing w:line="360" w:lineRule="auto"/>
        <w:ind w:firstLine="420" w:firstLineChars="200"/>
        <w:rPr>
          <w:rFonts w:ascii="宋体" w:hAnsi="宋体" w:cs="宋体"/>
          <w:sz w:val="21"/>
          <w:szCs w:val="21"/>
        </w:rPr>
      </w:pPr>
      <w:r>
        <w:rPr>
          <w:rFonts w:hint="eastAsia" w:ascii="宋体" w:hAnsi="宋体" w:cs="宋体"/>
          <w:sz w:val="21"/>
          <w:szCs w:val="21"/>
        </w:rPr>
        <w:t>（一）在披露方向接收方披露之前所作的书面记录能够证明已为接收方所知且不需承担保密责任的信息。</w:t>
      </w:r>
    </w:p>
    <w:p>
      <w:pPr>
        <w:spacing w:line="360" w:lineRule="auto"/>
        <w:ind w:firstLine="420" w:firstLineChars="200"/>
        <w:rPr>
          <w:rFonts w:ascii="宋体" w:hAnsi="宋体" w:cs="宋体"/>
          <w:sz w:val="21"/>
          <w:szCs w:val="21"/>
        </w:rPr>
      </w:pPr>
      <w:r>
        <w:rPr>
          <w:rFonts w:hint="eastAsia" w:ascii="宋体" w:hAnsi="宋体" w:cs="宋体"/>
          <w:sz w:val="21"/>
          <w:szCs w:val="21"/>
        </w:rPr>
        <w:t>（二）已被公众知悉或能从公开渠道获知的信息，除非这种公开是违反本协议的结果。</w:t>
      </w:r>
    </w:p>
    <w:p>
      <w:pPr>
        <w:spacing w:line="360" w:lineRule="auto"/>
        <w:ind w:firstLine="420" w:firstLineChars="200"/>
        <w:rPr>
          <w:rFonts w:ascii="宋体" w:hAnsi="宋体" w:cs="宋体"/>
          <w:sz w:val="21"/>
          <w:szCs w:val="21"/>
        </w:rPr>
      </w:pPr>
      <w:r>
        <w:rPr>
          <w:rFonts w:hint="eastAsia" w:ascii="宋体" w:hAnsi="宋体" w:cs="宋体"/>
          <w:sz w:val="21"/>
          <w:szCs w:val="21"/>
        </w:rPr>
        <w:t>（三）接收方从对保密信息不承担任何保密义务的第三方获得的信息。</w:t>
      </w:r>
    </w:p>
    <w:p>
      <w:pPr>
        <w:spacing w:line="360" w:lineRule="auto"/>
        <w:ind w:firstLine="420" w:firstLineChars="200"/>
        <w:rPr>
          <w:rFonts w:ascii="宋体" w:hAnsi="宋体" w:cs="宋体"/>
          <w:sz w:val="21"/>
          <w:szCs w:val="21"/>
        </w:rPr>
      </w:pPr>
      <w:r>
        <w:rPr>
          <w:rFonts w:hint="eastAsia" w:ascii="宋体" w:hAnsi="宋体" w:cs="宋体"/>
          <w:sz w:val="21"/>
          <w:szCs w:val="21"/>
        </w:rPr>
        <w:t>（四）接收方履行法定披露义务而披露保密信息。但在该种情况发生时，接收方应立即向披露方发出通知，并作必要说明。</w:t>
      </w:r>
    </w:p>
    <w:p>
      <w:pPr>
        <w:spacing w:line="360" w:lineRule="auto"/>
        <w:ind w:firstLine="420" w:firstLineChars="200"/>
        <w:rPr>
          <w:rFonts w:ascii="宋体" w:hAnsi="宋体" w:cs="宋体"/>
          <w:sz w:val="21"/>
          <w:szCs w:val="21"/>
        </w:rPr>
      </w:pPr>
      <w:r>
        <w:rPr>
          <w:rFonts w:hint="eastAsia" w:ascii="宋体" w:hAnsi="宋体" w:cs="宋体"/>
          <w:sz w:val="21"/>
          <w:szCs w:val="21"/>
        </w:rPr>
        <w:t>（五）非因接收方违反本协议而成为公众所知的信息。</w:t>
      </w:r>
    </w:p>
    <w:p>
      <w:pPr>
        <w:spacing w:line="360" w:lineRule="auto"/>
        <w:ind w:firstLine="420" w:firstLineChars="200"/>
        <w:rPr>
          <w:rFonts w:ascii="宋体" w:hAnsi="宋体" w:cs="宋体"/>
          <w:sz w:val="21"/>
          <w:szCs w:val="21"/>
        </w:rPr>
      </w:pPr>
      <w:r>
        <w:rPr>
          <w:rFonts w:hint="eastAsia" w:ascii="宋体" w:hAnsi="宋体" w:cs="宋体"/>
          <w:sz w:val="21"/>
          <w:szCs w:val="21"/>
        </w:rPr>
        <w:t>四、违约责任</w:t>
      </w:r>
    </w:p>
    <w:p>
      <w:pPr>
        <w:spacing w:line="360" w:lineRule="auto"/>
        <w:ind w:firstLine="420" w:firstLineChars="200"/>
        <w:rPr>
          <w:rFonts w:ascii="宋体" w:hAnsi="宋体" w:cs="宋体"/>
          <w:sz w:val="21"/>
          <w:szCs w:val="21"/>
        </w:rPr>
      </w:pPr>
      <w:r>
        <w:rPr>
          <w:rFonts w:hint="eastAsia" w:ascii="宋体" w:hAnsi="宋体" w:cs="宋体"/>
          <w:sz w:val="21"/>
          <w:szCs w:val="21"/>
        </w:rPr>
        <w:t>任何一方未履行本协议项下的义务均被视为违约。违约方应承担因自己的违约行为而给守约方造成的损失。如果守约方确认，对违反本协议的行为仅采取赔偿的补救措施是不够的，则守约方还有权采取禁令、实际履行或其他合理的救济措施。</w:t>
      </w:r>
    </w:p>
    <w:p>
      <w:pPr>
        <w:spacing w:line="360" w:lineRule="auto"/>
        <w:ind w:firstLine="420" w:firstLineChars="200"/>
        <w:rPr>
          <w:rFonts w:ascii="宋体" w:hAnsi="宋体" w:cs="宋体"/>
          <w:sz w:val="21"/>
          <w:szCs w:val="21"/>
        </w:rPr>
      </w:pPr>
      <w:r>
        <w:rPr>
          <w:rFonts w:hint="eastAsia" w:ascii="宋体" w:hAnsi="宋体" w:cs="宋体"/>
          <w:sz w:val="21"/>
          <w:szCs w:val="21"/>
        </w:rPr>
        <w:t>五、免责条款</w:t>
      </w:r>
    </w:p>
    <w:p>
      <w:pPr>
        <w:spacing w:line="360" w:lineRule="auto"/>
        <w:ind w:firstLine="420" w:firstLineChars="200"/>
        <w:rPr>
          <w:rFonts w:ascii="宋体" w:hAnsi="宋体" w:cs="宋体"/>
          <w:sz w:val="21"/>
          <w:szCs w:val="21"/>
        </w:rPr>
      </w:pPr>
      <w:r>
        <w:rPr>
          <w:rFonts w:hint="eastAsia" w:ascii="宋体" w:hAnsi="宋体" w:cs="宋体"/>
          <w:sz w:val="21"/>
          <w:szCs w:val="21"/>
        </w:rPr>
        <w:t>本协议效力存续期间，如发生地震、水灾、火灾或政策变化等不可抗力事件，导致双方或一方不能履行或不能完全履行本协议项下的有关义务时，双方互不承担违约责任；在不可抗力影响消除后的合理时间内，一方或双方应当继续履行本协议。</w:t>
      </w:r>
    </w:p>
    <w:p>
      <w:pPr>
        <w:spacing w:line="360" w:lineRule="auto"/>
        <w:ind w:firstLine="420" w:firstLineChars="200"/>
        <w:rPr>
          <w:rFonts w:ascii="宋体" w:hAnsi="宋体" w:cs="宋体"/>
          <w:sz w:val="21"/>
          <w:szCs w:val="21"/>
        </w:rPr>
      </w:pPr>
      <w:r>
        <w:rPr>
          <w:rFonts w:hint="eastAsia" w:ascii="宋体" w:hAnsi="宋体" w:cs="宋体"/>
          <w:sz w:val="21"/>
          <w:szCs w:val="21"/>
        </w:rPr>
        <w:t>六、争议的解决</w:t>
      </w:r>
    </w:p>
    <w:p>
      <w:pPr>
        <w:spacing w:line="360" w:lineRule="auto"/>
        <w:ind w:firstLine="420" w:firstLineChars="200"/>
        <w:rPr>
          <w:rFonts w:ascii="宋体" w:hAnsi="宋体" w:cs="宋体"/>
          <w:sz w:val="21"/>
          <w:szCs w:val="21"/>
        </w:rPr>
      </w:pPr>
      <w:r>
        <w:rPr>
          <w:rFonts w:hint="eastAsia" w:ascii="宋体" w:hAnsi="宋体" w:cs="宋体"/>
          <w:sz w:val="21"/>
          <w:szCs w:val="21"/>
        </w:rPr>
        <w:t>本协议受中华人民共和国法律管辖并依其解释。由于本协议而产生的或与之有关的任何争议，双方应友好协商解决，协商不成的，任何一方可以向甲方住所地人民法院提起诉讼。</w:t>
      </w:r>
    </w:p>
    <w:p>
      <w:pPr>
        <w:spacing w:line="360" w:lineRule="auto"/>
        <w:ind w:firstLine="420" w:firstLineChars="200"/>
        <w:rPr>
          <w:rFonts w:ascii="宋体" w:hAnsi="宋体" w:cs="宋体"/>
          <w:sz w:val="21"/>
          <w:szCs w:val="21"/>
        </w:rPr>
      </w:pPr>
      <w:r>
        <w:rPr>
          <w:rFonts w:hint="eastAsia" w:ascii="宋体" w:hAnsi="宋体" w:cs="宋体"/>
          <w:sz w:val="21"/>
          <w:szCs w:val="21"/>
        </w:rPr>
        <w:t>七、其他</w:t>
      </w:r>
    </w:p>
    <w:p>
      <w:pPr>
        <w:spacing w:line="360" w:lineRule="auto"/>
        <w:ind w:firstLine="420" w:firstLineChars="200"/>
        <w:rPr>
          <w:rFonts w:ascii="宋体" w:hAnsi="宋体" w:cs="宋体"/>
          <w:sz w:val="21"/>
          <w:szCs w:val="21"/>
        </w:rPr>
      </w:pPr>
      <w:r>
        <w:rPr>
          <w:rFonts w:hint="eastAsia" w:ascii="宋体" w:hAnsi="宋体" w:cs="宋体"/>
          <w:sz w:val="21"/>
          <w:szCs w:val="21"/>
        </w:rPr>
        <w:t>（一）本协议未尽事宜，双方可签订补充协议。补充协议为本协议不可分割的一部分，与本协议具有同等法律效力。双方如需变更或修改本协议，须经双方协商并书面确认。</w:t>
      </w:r>
    </w:p>
    <w:p>
      <w:pPr>
        <w:spacing w:line="360" w:lineRule="auto"/>
        <w:ind w:firstLine="420" w:firstLineChars="200"/>
        <w:rPr>
          <w:rFonts w:ascii="宋体" w:hAnsi="宋体" w:cs="宋体"/>
          <w:sz w:val="21"/>
          <w:szCs w:val="21"/>
        </w:rPr>
      </w:pPr>
      <w:r>
        <w:rPr>
          <w:rFonts w:hint="eastAsia" w:ascii="宋体" w:hAnsi="宋体" w:cs="宋体"/>
          <w:sz w:val="21"/>
          <w:szCs w:val="21"/>
        </w:rPr>
        <w:t>（二）本协议的保密义务不受项目终止的影响。</w:t>
      </w:r>
    </w:p>
    <w:p>
      <w:pPr>
        <w:spacing w:line="360" w:lineRule="auto"/>
        <w:ind w:firstLine="420" w:firstLineChars="200"/>
        <w:rPr>
          <w:rFonts w:ascii="宋体" w:hAnsi="宋体" w:cs="宋体"/>
          <w:sz w:val="21"/>
          <w:szCs w:val="21"/>
        </w:rPr>
      </w:pPr>
      <w:r>
        <w:rPr>
          <w:rFonts w:hint="eastAsia" w:ascii="宋体" w:hAnsi="宋体" w:cs="宋体"/>
          <w:sz w:val="21"/>
          <w:szCs w:val="21"/>
        </w:rPr>
        <w:t>（三）本协议自双方签章之日起生效。</w:t>
      </w:r>
    </w:p>
    <w:p>
      <w:pPr>
        <w:spacing w:line="360" w:lineRule="auto"/>
        <w:ind w:firstLine="420" w:firstLineChars="200"/>
        <w:rPr>
          <w:rFonts w:ascii="宋体" w:hAnsi="宋体" w:cs="宋体"/>
          <w:sz w:val="21"/>
          <w:szCs w:val="21"/>
        </w:rPr>
      </w:pPr>
      <w:r>
        <w:rPr>
          <w:rFonts w:hint="eastAsia" w:ascii="宋体" w:hAnsi="宋体" w:cs="宋体"/>
          <w:sz w:val="21"/>
          <w:szCs w:val="21"/>
        </w:rPr>
        <w:t>（四）本协议壹式贰份，甲乙双方各执壹份，具同等法律效力。</w:t>
      </w:r>
    </w:p>
    <w:p>
      <w:pPr>
        <w:snapToGrid w:val="0"/>
        <w:spacing w:line="360" w:lineRule="auto"/>
        <w:rPr>
          <w:rFonts w:ascii="宋体" w:hAnsi="宋体"/>
          <w:sz w:val="21"/>
          <w:szCs w:val="21"/>
        </w:rPr>
      </w:pPr>
    </w:p>
    <w:p>
      <w:pPr>
        <w:snapToGrid w:val="0"/>
        <w:spacing w:line="360" w:lineRule="auto"/>
        <w:rPr>
          <w:rFonts w:ascii="宋体" w:hAnsi="宋体"/>
          <w:sz w:val="21"/>
          <w:szCs w:val="21"/>
        </w:rPr>
      </w:pPr>
    </w:p>
    <w:p>
      <w:pPr>
        <w:spacing w:line="360" w:lineRule="auto"/>
        <w:rPr>
          <w:rFonts w:ascii="宋体" w:hAnsi="宋体" w:cs="宋体"/>
          <w:sz w:val="21"/>
          <w:szCs w:val="21"/>
          <w:lang w:val="fr-FR"/>
        </w:rPr>
      </w:pPr>
      <w:r>
        <w:rPr>
          <w:rFonts w:hint="eastAsia" w:ascii="宋体" w:hAnsi="宋体" w:cs="宋体"/>
          <w:sz w:val="21"/>
          <w:szCs w:val="21"/>
          <w:lang w:val="fr-FR"/>
        </w:rPr>
        <w:t>甲方（盖章）：                           乙方（盖章）：</w:t>
      </w:r>
    </w:p>
    <w:p>
      <w:pPr>
        <w:spacing w:line="360" w:lineRule="auto"/>
        <w:rPr>
          <w:rFonts w:ascii="宋体" w:hAnsi="宋体" w:cs="宋体"/>
          <w:sz w:val="21"/>
          <w:szCs w:val="21"/>
          <w:lang w:val="fr-FR"/>
        </w:rPr>
      </w:pPr>
    </w:p>
    <w:p>
      <w:pPr>
        <w:spacing w:line="360" w:lineRule="auto"/>
        <w:rPr>
          <w:rFonts w:ascii="宋体" w:hAnsi="宋体" w:cs="宋体"/>
          <w:sz w:val="21"/>
          <w:szCs w:val="21"/>
          <w:lang w:val="fr-FR"/>
        </w:rPr>
      </w:pPr>
      <w:r>
        <w:rPr>
          <w:rFonts w:hint="eastAsia" w:ascii="宋体" w:hAnsi="宋体" w:cs="宋体"/>
          <w:sz w:val="21"/>
          <w:szCs w:val="21"/>
          <w:lang w:val="fr-FR"/>
        </w:rPr>
        <w:t>法定代表人（负责人）              法定代表人（负责人）</w:t>
      </w:r>
    </w:p>
    <w:p>
      <w:pPr>
        <w:spacing w:line="360" w:lineRule="auto"/>
        <w:rPr>
          <w:rFonts w:ascii="宋体" w:hAnsi="宋体" w:cs="宋体"/>
          <w:sz w:val="21"/>
          <w:szCs w:val="21"/>
          <w:lang w:val="fr-FR"/>
        </w:rPr>
      </w:pPr>
      <w:r>
        <w:rPr>
          <w:rFonts w:hint="eastAsia" w:ascii="宋体" w:hAnsi="宋体" w:cs="宋体"/>
          <w:sz w:val="21"/>
          <w:szCs w:val="21"/>
          <w:lang w:val="fr-FR"/>
        </w:rPr>
        <w:t>或授权代理人（签字）：             或授权代理人（签字）：</w:t>
      </w:r>
    </w:p>
    <w:p>
      <w:pPr>
        <w:spacing w:line="360" w:lineRule="auto"/>
        <w:rPr>
          <w:rFonts w:ascii="宋体" w:hAnsi="宋体" w:cs="宋体"/>
          <w:sz w:val="21"/>
          <w:szCs w:val="21"/>
          <w:lang w:val="fr-FR"/>
        </w:rPr>
      </w:pPr>
    </w:p>
    <w:p>
      <w:pPr>
        <w:spacing w:line="360" w:lineRule="auto"/>
        <w:rPr>
          <w:rFonts w:ascii="宋体" w:hAnsi="宋体" w:cs="宋体"/>
          <w:sz w:val="21"/>
          <w:szCs w:val="21"/>
          <w:lang w:val="fr-FR"/>
        </w:rPr>
      </w:pPr>
    </w:p>
    <w:p>
      <w:pPr>
        <w:spacing w:line="360" w:lineRule="auto"/>
        <w:rPr>
          <w:rFonts w:ascii="宋体" w:hAnsi="宋体" w:cs="宋体"/>
          <w:sz w:val="21"/>
          <w:szCs w:val="21"/>
          <w:lang w:val="fr-FR"/>
        </w:rPr>
      </w:pPr>
    </w:p>
    <w:p>
      <w:pPr>
        <w:spacing w:line="360" w:lineRule="auto"/>
        <w:rPr>
          <w:rFonts w:ascii="宋体" w:hAnsi="宋体" w:cs="宋体"/>
          <w:sz w:val="21"/>
          <w:szCs w:val="21"/>
          <w:lang w:val="fr-FR"/>
        </w:rPr>
      </w:pPr>
      <w:r>
        <w:rPr>
          <w:rFonts w:hint="eastAsia" w:ascii="宋体" w:hAnsi="宋体" w:cs="宋体"/>
          <w:sz w:val="21"/>
          <w:szCs w:val="21"/>
          <w:lang w:val="fr-FR"/>
        </w:rPr>
        <w:t>签约时间：</w:t>
      </w:r>
      <w:r>
        <w:rPr>
          <w:rFonts w:hint="eastAsia" w:ascii="宋体" w:hAnsi="宋体" w:cs="宋体"/>
          <w:sz w:val="21"/>
          <w:szCs w:val="21"/>
        </w:rPr>
        <w:t xml:space="preserve">     </w:t>
      </w:r>
      <w:r>
        <w:rPr>
          <w:rFonts w:hint="eastAsia" w:ascii="宋体" w:hAnsi="宋体" w:cs="宋体"/>
          <w:sz w:val="21"/>
          <w:szCs w:val="21"/>
          <w:lang w:val="fr-FR"/>
        </w:rPr>
        <w:t>年</w:t>
      </w:r>
      <w:r>
        <w:rPr>
          <w:rFonts w:hint="eastAsia" w:ascii="宋体" w:hAnsi="宋体" w:cs="宋体"/>
          <w:sz w:val="21"/>
          <w:szCs w:val="21"/>
        </w:rPr>
        <w:t xml:space="preserve">   </w:t>
      </w:r>
      <w:r>
        <w:rPr>
          <w:rFonts w:hint="eastAsia" w:ascii="宋体" w:hAnsi="宋体" w:cs="宋体"/>
          <w:sz w:val="21"/>
          <w:szCs w:val="21"/>
          <w:lang w:val="fr-FR"/>
        </w:rPr>
        <w:t>月</w:t>
      </w:r>
      <w:r>
        <w:rPr>
          <w:rFonts w:hint="eastAsia" w:ascii="宋体" w:hAnsi="宋体" w:cs="宋体"/>
          <w:sz w:val="21"/>
          <w:szCs w:val="21"/>
        </w:rPr>
        <w:t xml:space="preserve">   </w:t>
      </w:r>
      <w:r>
        <w:rPr>
          <w:rFonts w:hint="eastAsia" w:ascii="宋体" w:hAnsi="宋体" w:cs="宋体"/>
          <w:sz w:val="21"/>
          <w:szCs w:val="21"/>
          <w:lang w:val="fr-FR"/>
        </w:rPr>
        <w:t>日</w:t>
      </w:r>
    </w:p>
    <w:p>
      <w:pPr>
        <w:spacing w:line="360" w:lineRule="auto"/>
        <w:rPr>
          <w:rFonts w:hint="eastAsia" w:ascii="宋体" w:hAnsi="宋体" w:cs="宋体"/>
          <w:sz w:val="21"/>
          <w:szCs w:val="21"/>
          <w:lang w:val="fr-FR"/>
        </w:rPr>
      </w:pPr>
      <w:r>
        <w:rPr>
          <w:rFonts w:hint="eastAsia" w:ascii="宋体" w:hAnsi="宋体" w:cs="宋体"/>
          <w:sz w:val="21"/>
          <w:szCs w:val="21"/>
          <w:lang w:val="fr-FR"/>
        </w:rPr>
        <w:t>签约地点：杭州</w:t>
      </w:r>
    </w:p>
    <w:p>
      <w:pPr>
        <w:rPr>
          <w:rFonts w:hint="eastAsia"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br w:type="page"/>
      </w:r>
    </w:p>
    <w:p>
      <w:pPr>
        <w:pStyle w:val="31"/>
        <w:spacing w:before="120" w:after="120"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第六章  投标文件格式附件</w:t>
      </w:r>
      <w:bookmarkEnd w:id="15"/>
    </w:p>
    <w:p>
      <w:pPr>
        <w:pStyle w:val="31"/>
        <w:spacing w:before="120" w:after="120" w:line="360" w:lineRule="auto"/>
        <w:ind w:firstLine="720"/>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firstLine="720"/>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snapToGrid w:val="0"/>
        <w:spacing w:before="120" w:beforeLines="50" w:after="72"/>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ascii="仿宋" w:hAnsi="仿宋" w:eastAsia="仿宋" w:cs="仿宋"/>
          <w:b/>
          <w:color w:val="000000"/>
          <w:spacing w:val="40"/>
          <w:sz w:val="48"/>
          <w:szCs w:val="48"/>
          <w:lang w:bidi="ar"/>
        </w:rPr>
      </w:pPr>
      <w:r>
        <w:rPr>
          <w:rFonts w:hint="eastAsia" w:ascii="仿宋" w:hAnsi="仿宋" w:eastAsia="仿宋" w:cs="仿宋"/>
          <w:b/>
          <w:color w:val="000000"/>
          <w:spacing w:val="40"/>
          <w:sz w:val="48"/>
          <w:szCs w:val="48"/>
          <w:lang w:bidi="ar"/>
        </w:rPr>
        <w:t>浙商银行股份有限公司采购代理服务机构入围采购项目</w:t>
      </w:r>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项目编号：ZZCG2024Y-GK-203（标项  ）</w:t>
      </w:r>
    </w:p>
    <w:p>
      <w:pPr>
        <w:pStyle w:val="992"/>
        <w:rPr>
          <w:rFonts w:eastAsia="仿宋"/>
          <w:color w:val="000000" w:themeColor="text1"/>
          <w14:textFill>
            <w14:solidFill>
              <w14:schemeClr w14:val="tx1"/>
            </w14:solidFill>
          </w14:textFill>
        </w:rPr>
      </w:pPr>
    </w:p>
    <w:p>
      <w:pPr>
        <w:pStyle w:val="992"/>
        <w:rPr>
          <w:rFonts w:eastAsia="仿宋"/>
          <w:color w:val="000000" w:themeColor="text1"/>
          <w14:textFill>
            <w14:solidFill>
              <w14:schemeClr w14:val="tx1"/>
            </w14:solidFill>
          </w14:textFill>
        </w:rPr>
      </w:pPr>
    </w:p>
    <w:p>
      <w:pPr>
        <w:pStyle w:val="992"/>
        <w:rPr>
          <w:rFonts w:eastAsia="仿宋"/>
          <w:color w:val="000000" w:themeColor="text1"/>
          <w14:textFill>
            <w14:solidFill>
              <w14:schemeClr w14:val="tx1"/>
            </w14:solidFill>
          </w14:textFill>
        </w:rPr>
      </w:pPr>
    </w:p>
    <w:p>
      <w:pPr>
        <w:spacing w:after="72"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资</w:t>
      </w:r>
    </w:p>
    <w:p>
      <w:pPr>
        <w:spacing w:after="72"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72"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格</w:t>
      </w:r>
    </w:p>
    <w:p>
      <w:pPr>
        <w:spacing w:after="72"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72"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72"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72"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rPr>
          <w:rFonts w:ascii="仿宋" w:hAnsi="仿宋" w:eastAsia="仿宋"/>
          <w:color w:val="000000" w:themeColor="text1"/>
          <w:sz w:val="36"/>
          <w:szCs w:val="36"/>
          <w14:textFill>
            <w14:solidFill>
              <w14:schemeClr w14:val="tx1"/>
            </w14:solidFill>
          </w14:textFill>
        </w:rPr>
      </w:pPr>
    </w:p>
    <w:p>
      <w:pPr>
        <w:spacing w:line="600" w:lineRule="exact"/>
        <w:ind w:right="533"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533"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533"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br w:type="page"/>
      </w:r>
    </w:p>
    <w:p>
      <w:pPr>
        <w:snapToGrid w:val="0"/>
        <w:spacing w:before="72" w:after="72"/>
        <w:ind w:firstLine="720"/>
        <w:rPr>
          <w:rFonts w:ascii="仿宋" w:hAnsi="仿宋" w:eastAsia="仿宋"/>
          <w:b/>
          <w:bCs/>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1、</w:t>
      </w:r>
      <w:r>
        <w:rPr>
          <w:rFonts w:hint="eastAsia" w:ascii="仿宋" w:hAnsi="仿宋" w:eastAsia="仿宋"/>
          <w:b/>
          <w:bCs/>
          <w:color w:val="000000" w:themeColor="text1"/>
          <w:sz w:val="36"/>
          <w:szCs w:val="36"/>
          <w14:textFill>
            <w14:solidFill>
              <w14:schemeClr w14:val="tx1"/>
            </w14:solidFill>
          </w14:textFill>
        </w:rPr>
        <w:t>资格文件目录</w:t>
      </w:r>
    </w:p>
    <w:p>
      <w:pPr>
        <w:snapToGrid w:val="0"/>
        <w:spacing w:before="72" w:after="72"/>
        <w:ind w:firstLine="602"/>
        <w:rPr>
          <w:rFonts w:ascii="仿宋" w:hAnsi="仿宋" w:eastAsia="仿宋"/>
          <w:color w:val="000000" w:themeColor="text1"/>
          <w:sz w:val="30"/>
          <w:szCs w:val="30"/>
          <w14:textFill>
            <w14:solidFill>
              <w14:schemeClr w14:val="tx1"/>
            </w14:solidFill>
          </w14:textFill>
        </w:rPr>
      </w:pP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（1）声明书 (格式见附件2)；</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（2）法定代表人授权委托书(格式见附件3</w:t>
      </w:r>
      <w:r>
        <w:rPr>
          <w:rFonts w:ascii="仿宋" w:hAnsi="仿宋" w:eastAsia="仿宋"/>
          <w:color w:val="000000" w:themeColor="text1"/>
          <w:sz w:val="30"/>
          <w:szCs w:val="30"/>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)或法定代表人身份证明（法定代表人代表投标人投标的提供，格式见附件3</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sz w:val="30"/>
          <w:szCs w:val="30"/>
        </w:rPr>
        <w:t>（3）标项1：</w:t>
      </w:r>
      <w:r>
        <w:rPr>
          <w:rFonts w:hint="eastAsia" w:ascii="仿宋" w:hAnsi="仿宋" w:eastAsia="仿宋"/>
          <w:color w:val="000000" w:themeColor="text1"/>
          <w:sz w:val="30"/>
          <w:szCs w:val="30"/>
          <w:lang w:val="zh-CN"/>
          <w14:textFill>
            <w14:solidFill>
              <w14:schemeClr w14:val="tx1"/>
            </w14:solidFill>
          </w14:textFill>
        </w:rPr>
        <w:t>提供2021年1月1日至今，具有1个政府采购及1个国有企业采购</w:t>
      </w:r>
      <w:r>
        <w:rPr>
          <w:rFonts w:hint="eastAsia" w:ascii="仿宋" w:hAnsi="仿宋" w:eastAsia="仿宋"/>
          <w:color w:val="000000" w:themeColor="text1"/>
          <w:sz w:val="30"/>
          <w:szCs w:val="30"/>
          <w:lang w:val="en-US" w:eastAsia="zh-CN"/>
          <w14:textFill>
            <w14:solidFill>
              <w14:schemeClr w14:val="tx1"/>
            </w14:solidFill>
          </w14:textFill>
        </w:rPr>
        <w:t>项目</w:t>
      </w:r>
      <w:r>
        <w:rPr>
          <w:rFonts w:hint="eastAsia" w:ascii="仿宋" w:hAnsi="仿宋" w:eastAsia="仿宋"/>
          <w:color w:val="000000" w:themeColor="text1"/>
          <w:sz w:val="30"/>
          <w:szCs w:val="30"/>
          <w:lang w:val="zh-CN"/>
          <w14:textFill>
            <w14:solidFill>
              <w14:schemeClr w14:val="tx1"/>
            </w14:solidFill>
          </w14:textFill>
        </w:rPr>
        <w:t>的</w:t>
      </w:r>
      <w:r>
        <w:rPr>
          <w:rFonts w:hint="eastAsia" w:ascii="仿宋" w:hAnsi="仿宋" w:eastAsia="仿宋"/>
          <w:color w:val="000000" w:themeColor="text1"/>
          <w:sz w:val="30"/>
          <w:szCs w:val="30"/>
          <w:lang w:val="en-US" w:eastAsia="zh-CN"/>
          <w14:textFill>
            <w14:solidFill>
              <w14:schemeClr w14:val="tx1"/>
            </w14:solidFill>
          </w14:textFill>
        </w:rPr>
        <w:t>代理</w:t>
      </w:r>
      <w:r>
        <w:rPr>
          <w:rFonts w:hint="eastAsia" w:ascii="仿宋" w:hAnsi="仿宋" w:eastAsia="仿宋"/>
          <w:color w:val="000000" w:themeColor="text1"/>
          <w:sz w:val="30"/>
          <w:szCs w:val="30"/>
          <w:lang w:val="zh-CN"/>
          <w14:textFill>
            <w14:solidFill>
              <w14:schemeClr w14:val="tx1"/>
            </w14:solidFill>
          </w14:textFill>
        </w:rPr>
        <w:t>案例</w:t>
      </w:r>
      <w:r>
        <w:rPr>
          <w:rFonts w:hint="eastAsia" w:ascii="仿宋" w:hAnsi="仿宋" w:eastAsia="仿宋"/>
          <w:color w:val="000000" w:themeColor="text1"/>
          <w:sz w:val="30"/>
          <w:szCs w:val="30"/>
          <w14:textFill>
            <w14:solidFill>
              <w14:schemeClr w14:val="tx1"/>
            </w14:solidFill>
          </w14:textFill>
        </w:rPr>
        <w:t>（格式见附件4）</w:t>
      </w:r>
    </w:p>
    <w:p>
      <w:pPr>
        <w:snapToGrid w:val="0"/>
        <w:spacing w:line="460" w:lineRule="exact"/>
        <w:ind w:firstLine="588" w:firstLineChars="196"/>
        <w:jc w:val="left"/>
        <w:rPr>
          <w:rFonts w:ascii="仿宋" w:hAnsi="仿宋" w:eastAsia="仿宋"/>
          <w:color w:val="000000" w:themeColor="text1"/>
          <w:sz w:val="30"/>
          <w:szCs w:val="30"/>
          <w:lang w:val="zh-CN"/>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标项2：</w:t>
      </w:r>
      <w:r>
        <w:rPr>
          <w:rFonts w:hint="eastAsia" w:ascii="仿宋" w:hAnsi="仿宋" w:eastAsia="仿宋"/>
          <w:color w:val="000000" w:themeColor="text1"/>
          <w:sz w:val="30"/>
          <w:szCs w:val="30"/>
          <w:lang w:val="zh-CN"/>
          <w14:textFill>
            <w14:solidFill>
              <w14:schemeClr w14:val="tx1"/>
            </w14:solidFill>
          </w14:textFill>
        </w:rPr>
        <w:t>提供2021年1月1日至今，具有1个依法必须招标项目的招标代理案例（格式见附件</w:t>
      </w:r>
      <w:r>
        <w:rPr>
          <w:rFonts w:hint="eastAsia" w:ascii="仿宋" w:hAnsi="仿宋" w:eastAsia="仿宋"/>
          <w:color w:val="000000" w:themeColor="text1"/>
          <w:sz w:val="30"/>
          <w:szCs w:val="30"/>
          <w14:textFill>
            <w14:solidFill>
              <w14:schemeClr w14:val="tx1"/>
            </w14:solidFill>
          </w14:textFill>
        </w:rPr>
        <w:t>5</w:t>
      </w:r>
      <w:r>
        <w:rPr>
          <w:rFonts w:hint="eastAsia" w:ascii="仿宋" w:hAnsi="仿宋" w:eastAsia="仿宋"/>
          <w:color w:val="000000" w:themeColor="text1"/>
          <w:sz w:val="30"/>
          <w:szCs w:val="30"/>
          <w:lang w:val="zh-CN"/>
          <w14:textFill>
            <w14:solidFill>
              <w14:schemeClr w14:val="tx1"/>
            </w14:solidFill>
          </w14:textFill>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w:t>
      </w: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val="zh-CN"/>
          <w14:textFill>
            <w14:solidFill>
              <w14:schemeClr w14:val="tx1"/>
            </w14:solidFill>
          </w14:textFill>
        </w:rPr>
        <w:t>供应商诚信经营和诚信履约承诺书</w:t>
      </w: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val="zh-CN"/>
          <w14:textFill>
            <w14:solidFill>
              <w14:schemeClr w14:val="tx1"/>
            </w14:solidFill>
          </w14:textFill>
        </w:rPr>
        <w:t>（格式见附件</w:t>
      </w:r>
      <w:r>
        <w:rPr>
          <w:rFonts w:hint="eastAsia" w:ascii="仿宋" w:hAnsi="仿宋" w:eastAsia="仿宋"/>
          <w:color w:val="000000" w:themeColor="text1"/>
          <w:sz w:val="30"/>
          <w:szCs w:val="30"/>
          <w14:textFill>
            <w14:solidFill>
              <w14:schemeClr w14:val="tx1"/>
            </w14:solidFill>
          </w14:textFill>
        </w:rPr>
        <w:t>6</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sz w:val="30"/>
          <w:szCs w:val="30"/>
        </w:rPr>
        <w:t>（5）</w:t>
      </w:r>
      <w:r>
        <w:rPr>
          <w:rFonts w:hint="eastAsia" w:ascii="仿宋" w:hAnsi="仿宋" w:eastAsia="仿宋"/>
          <w:color w:val="000000" w:themeColor="text1"/>
          <w:sz w:val="30"/>
          <w:szCs w:val="30"/>
          <w14:textFill>
            <w14:solidFill>
              <w14:schemeClr w14:val="tx1"/>
            </w14:solidFill>
          </w14:textFill>
        </w:rPr>
        <w:t>提供有效的营业执照复印件并加盖公司公章；事业单位的，则提供有效的《事业单位法人证书》副本复印件并加盖单位公章；自然人的，则提供有效的身份证复印件并签字；</w:t>
      </w:r>
    </w:p>
    <w:p>
      <w:pPr>
        <w:pStyle w:val="34"/>
        <w:snapToGrid w:val="0"/>
        <w:spacing w:after="72" w:line="460" w:lineRule="exact"/>
        <w:ind w:left="0" w:leftChars="0" w:firstLine="600" w:firstLineChars="200"/>
        <w:rPr>
          <w:rFonts w:ascii="仿宋" w:hAnsi="仿宋" w:eastAsia="仿宋"/>
          <w:sz w:val="30"/>
          <w:szCs w:val="30"/>
        </w:rPr>
      </w:pPr>
      <w:r>
        <w:rPr>
          <w:rFonts w:hint="eastAsia" w:ascii="仿宋" w:hAnsi="仿宋" w:eastAsia="仿宋"/>
          <w:color w:val="000000" w:themeColor="text1"/>
          <w:sz w:val="30"/>
          <w:szCs w:val="30"/>
          <w14:textFill>
            <w14:solidFill>
              <w14:schemeClr w14:val="tx1"/>
            </w14:solidFill>
          </w14:textFill>
        </w:rPr>
        <w:t>（6）</w:t>
      </w:r>
      <w:r>
        <w:rPr>
          <w:rFonts w:hint="eastAsia" w:ascii="仿宋" w:hAnsi="仿宋" w:eastAsia="仿宋"/>
          <w:sz w:val="30"/>
          <w:szCs w:val="30"/>
        </w:rPr>
        <w:t>提供采购公告中符合投标人特定条件要求的有效的其他资质复印件并加盖公司公章及需要说明的资料。</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p>
    <w:p>
      <w:pPr>
        <w:widowControl/>
        <w:jc w:val="left"/>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未提供声明书或声明书未盖投标人公章；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未提供营业执照或营业执照不在有效期内或未盖投标人公章；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投标人的特定条件证明材料：</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hint="eastAsia" w:ascii="仿宋" w:hAnsi="仿宋" w:eastAsia="仿宋"/>
          <w:bCs/>
          <w:sz w:val="30"/>
          <w:szCs w:val="30"/>
          <w:lang w:eastAsia="zh-CN"/>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r>
        <w:rPr>
          <w:rFonts w:hint="eastAsia" w:ascii="仿宋" w:hAnsi="仿宋" w:eastAsia="仿宋" w:cs="Times New Roman"/>
          <w:sz w:val="30"/>
          <w:szCs w:val="30"/>
        </w:rPr>
        <w:t>或法定代表人（或授权代表）</w:t>
      </w:r>
      <w:r>
        <w:rPr>
          <w:rFonts w:hint="eastAsia" w:ascii="仿宋" w:hAnsi="仿宋" w:eastAsia="仿宋" w:cs="Times New Roman"/>
          <w:sz w:val="30"/>
          <w:szCs w:val="30"/>
          <w:lang w:val="en-US" w:eastAsia="zh-CN"/>
        </w:rPr>
        <w:t>未签章</w:t>
      </w:r>
      <w:r>
        <w:rPr>
          <w:rFonts w:hint="eastAsia" w:ascii="仿宋" w:hAnsi="仿宋" w:eastAsia="仿宋"/>
          <w:bCs/>
          <w:sz w:val="30"/>
          <w:szCs w:val="30"/>
          <w:lang w:eastAsia="zh-CN"/>
        </w:rPr>
        <w:t>。</w:t>
      </w:r>
    </w:p>
    <w:p>
      <w:pPr>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p>
    <w:p>
      <w:pPr>
        <w:snapToGrid w:val="0"/>
        <w:spacing w:before="72" w:after="120" w:after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附件2：</w:t>
      </w:r>
    </w:p>
    <w:p>
      <w:pPr>
        <w:snapToGrid w:val="0"/>
        <w:spacing w:before="72" w:after="72"/>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声 明 书</w:t>
      </w:r>
    </w:p>
    <w:p>
      <w:pPr>
        <w:snapToGrid w:val="0"/>
        <w:spacing w:before="120" w:beforeLines="50" w:after="72" w:line="460" w:lineRule="exact"/>
        <w:ind w:firstLine="602"/>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致浙江省政府采购中心：</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我方愿意参加贵方组织的</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b/>
          <w:bCs/>
          <w:color w:val="000000" w:themeColor="text1"/>
          <w:sz w:val="30"/>
          <w:szCs w:val="30"/>
          <w:u w:val="single"/>
          <w14:textFill>
            <w14:solidFill>
              <w14:schemeClr w14:val="tx1"/>
            </w14:solidFill>
          </w14:textFill>
        </w:rPr>
        <w:t>浙商银行股份有限公司采购代理服务机构入围采购项目（编号为ZZCG2024Y-GK-203）</w:t>
      </w:r>
      <w:r>
        <w:rPr>
          <w:rFonts w:hint="eastAsia" w:ascii="仿宋" w:hAnsi="仿宋" w:eastAsia="仿宋"/>
          <w:color w:val="000000" w:themeColor="text1"/>
          <w:sz w:val="30"/>
          <w:szCs w:val="30"/>
          <w14:textFill>
            <w14:solidFill>
              <w14:schemeClr w14:val="tx1"/>
            </w14:solidFill>
          </w14:textFill>
        </w:rPr>
        <w:t>的投标，为此，我方就本次投标有关事项郑重声明如下：</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1.我方已详细审查全部招标文件，同意招标文件的各项要求。</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2.我方向贵方提交的所有投标文件、资料都是准确的和真实的。</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3.若中标，我方将按招标文件规定履行合同责任和义务。</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4.我方不是采购人的附属机构；在获知本项目采购信息后，与采购人聘请的为此项目提供咨询服务的公司及其附属机构没有任何联系。</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5.投标文件自开标日起有效期为90天。</w:t>
      </w:r>
    </w:p>
    <w:p>
      <w:pPr>
        <w:snapToGrid w:val="0"/>
        <w:spacing w:line="460" w:lineRule="exact"/>
        <w:ind w:firstLine="602" w:firstLineChars="200"/>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20" w:beforeLines="50" w:after="72" w:line="460" w:lineRule="exact"/>
        <w:ind w:firstLine="600" w:firstLineChars="200"/>
        <w:rPr>
          <w:rFonts w:ascii="仿宋" w:hAnsi="仿宋" w:eastAsia="仿宋"/>
          <w:sz w:val="30"/>
          <w:szCs w:val="30"/>
        </w:rPr>
      </w:pPr>
      <w:r>
        <w:rPr>
          <w:rFonts w:hint="eastAsia" w:ascii="仿宋" w:hAnsi="仿宋" w:eastAsia="仿宋"/>
          <w:color w:val="000000" w:themeColor="text1"/>
          <w:sz w:val="30"/>
          <w:szCs w:val="30"/>
          <w14:textFill>
            <w14:solidFill>
              <w14:schemeClr w14:val="tx1"/>
            </w14:solidFill>
          </w14:textFill>
        </w:rPr>
        <w:t>7.我方</w:t>
      </w:r>
      <w:r>
        <w:rPr>
          <w:rFonts w:hint="eastAsia" w:ascii="仿宋" w:hAnsi="仿宋" w:eastAsia="仿宋"/>
          <w:sz w:val="30"/>
          <w:szCs w:val="30"/>
        </w:rPr>
        <w:t>通过“信用中国”网站（www.creditchina.gov.cn）、中国政府采购网（www.ccgp.gov.cn）查询，未被列入政府采购不良行为记录，未被招标管理部门或政府采购管理部门处罚，未被“信用中国”列入失信被执行人、异常经营名录、税收违法黑名单。</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我方不存在</w:t>
      </w:r>
      <w:r>
        <w:rPr>
          <w:rFonts w:ascii="仿宋" w:hAnsi="仿宋" w:eastAsia="仿宋"/>
          <w:color w:val="000000" w:themeColor="text1"/>
          <w:sz w:val="30"/>
          <w:szCs w:val="30"/>
          <w14:textFill>
            <w14:solidFill>
              <w14:schemeClr w14:val="tx1"/>
            </w14:solidFill>
          </w14:textFill>
        </w:rPr>
        <w:t>单位负责人为同一人或者存在直接控股、管理关系的不同供应商， 参加同一合同项下的政府采购活动</w:t>
      </w:r>
      <w:r>
        <w:rPr>
          <w:rFonts w:hint="eastAsia" w:ascii="仿宋" w:hAnsi="仿宋" w:eastAsia="仿宋"/>
          <w:color w:val="000000" w:themeColor="text1"/>
          <w:sz w:val="30"/>
          <w:szCs w:val="30"/>
          <w14:textFill>
            <w14:solidFill>
              <w14:schemeClr w14:val="tx1"/>
            </w14:solidFill>
          </w14:textFill>
        </w:rPr>
        <w:t>的情况</w:t>
      </w:r>
      <w:r>
        <w:rPr>
          <w:rFonts w:ascii="仿宋" w:hAnsi="仿宋" w:eastAsia="仿宋"/>
          <w:color w:val="000000" w:themeColor="text1"/>
          <w:sz w:val="30"/>
          <w:szCs w:val="30"/>
          <w14:textFill>
            <w14:solidFill>
              <w14:schemeClr w14:val="tx1"/>
            </w14:solidFill>
          </w14:textFill>
        </w:rPr>
        <w:t>。</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我方不存在</w:t>
      </w:r>
      <w:r>
        <w:rPr>
          <w:rFonts w:ascii="仿宋" w:hAnsi="仿宋" w:eastAsia="仿宋"/>
          <w:color w:val="000000" w:themeColor="text1"/>
          <w:sz w:val="30"/>
          <w:szCs w:val="30"/>
          <w14:textFill>
            <w14:solidFill>
              <w14:schemeClr w14:val="tx1"/>
            </w14:solidFill>
          </w14:textFill>
        </w:rPr>
        <w:t>为采购项目提供整体设计、规范编制或者项目管理、监理、检测等服务</w:t>
      </w:r>
      <w:r>
        <w:rPr>
          <w:rFonts w:hint="eastAsia" w:ascii="仿宋" w:hAnsi="仿宋" w:eastAsia="仿宋"/>
          <w:color w:val="000000" w:themeColor="text1"/>
          <w:sz w:val="30"/>
          <w:szCs w:val="30"/>
          <w14:textFill>
            <w14:solidFill>
              <w14:schemeClr w14:val="tx1"/>
            </w14:solidFill>
          </w14:textFill>
        </w:rPr>
        <w:t>后</w:t>
      </w:r>
      <w:r>
        <w:rPr>
          <w:rFonts w:ascii="仿宋" w:hAnsi="仿宋" w:eastAsia="仿宋"/>
          <w:color w:val="000000" w:themeColor="text1"/>
          <w:sz w:val="30"/>
          <w:szCs w:val="30"/>
          <w14:textFill>
            <w14:solidFill>
              <w14:schemeClr w14:val="tx1"/>
            </w14:solidFill>
          </w14:textFill>
        </w:rPr>
        <w:t>再参加该采购项目的其他采购活动</w:t>
      </w:r>
      <w:r>
        <w:rPr>
          <w:rFonts w:hint="eastAsia" w:ascii="仿宋" w:hAnsi="仿宋" w:eastAsia="仿宋"/>
          <w:color w:val="000000" w:themeColor="text1"/>
          <w:sz w:val="30"/>
          <w:szCs w:val="30"/>
          <w14:textFill>
            <w14:solidFill>
              <w14:schemeClr w14:val="tx1"/>
            </w14:solidFill>
          </w14:textFill>
        </w:rPr>
        <w:t>的情况</w:t>
      </w:r>
      <w:r>
        <w:rPr>
          <w:rFonts w:ascii="仿宋" w:hAnsi="仿宋" w:eastAsia="仿宋"/>
          <w:color w:val="000000" w:themeColor="text1"/>
          <w:sz w:val="30"/>
          <w:szCs w:val="30"/>
          <w14:textFill>
            <w14:solidFill>
              <w14:schemeClr w14:val="tx1"/>
            </w14:solidFill>
          </w14:textFill>
        </w:rPr>
        <w:t>。</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sz w:val="30"/>
          <w:szCs w:val="30"/>
        </w:rPr>
        <w:t>10.我方承诺自愿遵守、执行采购管理法规制度及政策规定。</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11.以上事项如有虚假或隐瞒，我方愿意承担一切后果，并不再寻求任何旨在减轻或免除法律责任的辩解。</w:t>
      </w:r>
    </w:p>
    <w:p>
      <w:pPr>
        <w:snapToGrid w:val="0"/>
        <w:spacing w:before="120" w:beforeLines="50" w:after="72" w:line="460" w:lineRule="exact"/>
        <w:ind w:right="600" w:firstLine="150" w:firstLineChars="50"/>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ind w:right="600" w:firstLine="150" w:firstLineChars="50"/>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ind w:right="600" w:firstLine="150" w:firstLineChar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日 期：</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附件3</w:t>
      </w:r>
      <w:r>
        <w:rPr>
          <w:rFonts w:ascii="仿宋" w:hAnsi="仿宋" w:eastAsia="仿宋"/>
          <w:color w:val="000000" w:themeColor="text1"/>
          <w:sz w:val="30"/>
          <w:szCs w:val="30"/>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w:t>
      </w:r>
    </w:p>
    <w:p>
      <w:pPr>
        <w:snapToGrid w:val="0"/>
        <w:spacing w:before="72" w:after="72"/>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法定代表人授权委托书</w:t>
      </w:r>
    </w:p>
    <w:p>
      <w:pPr>
        <w:snapToGrid w:val="0"/>
        <w:spacing w:before="120" w:beforeLines="50" w:after="72"/>
        <w:ind w:firstLine="600"/>
        <w:jc w:val="center"/>
        <w:rPr>
          <w:rFonts w:ascii="仿宋" w:hAnsi="仿宋" w:eastAsia="仿宋"/>
          <w:b/>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浙江省政府采购中心：</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我</w:t>
      </w:r>
      <w:r>
        <w:rPr>
          <w:rFonts w:hint="eastAsia" w:ascii="仿宋" w:hAnsi="仿宋" w:eastAsia="仿宋"/>
          <w:color w:val="000000" w:themeColor="text1"/>
          <w:sz w:val="30"/>
          <w:szCs w:val="30"/>
          <w:u w:val="single"/>
          <w14:textFill>
            <w14:solidFill>
              <w14:schemeClr w14:val="tx1"/>
            </w14:solidFill>
          </w14:textFill>
        </w:rPr>
        <w:t>（姓名）</w:t>
      </w:r>
      <w:r>
        <w:rPr>
          <w:rFonts w:hint="eastAsia" w:ascii="仿宋" w:hAnsi="仿宋" w:eastAsia="仿宋"/>
          <w:color w:val="000000" w:themeColor="text1"/>
          <w:sz w:val="30"/>
          <w:szCs w:val="30"/>
          <w14:textFill>
            <w14:solidFill>
              <w14:schemeClr w14:val="tx1"/>
            </w14:solidFill>
          </w14:textFill>
        </w:rPr>
        <w:t>系</w:t>
      </w:r>
      <w:r>
        <w:rPr>
          <w:rFonts w:hint="eastAsia" w:ascii="仿宋" w:hAnsi="仿宋" w:eastAsia="仿宋"/>
          <w:color w:val="000000" w:themeColor="text1"/>
          <w:sz w:val="30"/>
          <w:szCs w:val="30"/>
          <w:u w:val="single"/>
          <w14:textFill>
            <w14:solidFill>
              <w14:schemeClr w14:val="tx1"/>
            </w14:solidFill>
          </w14:textFill>
        </w:rPr>
        <w:t>（投标人名称）</w:t>
      </w:r>
      <w:r>
        <w:rPr>
          <w:rFonts w:hint="eastAsia" w:ascii="仿宋" w:hAnsi="仿宋" w:eastAsia="仿宋"/>
          <w:color w:val="000000" w:themeColor="text1"/>
          <w:sz w:val="30"/>
          <w:szCs w:val="30"/>
          <w14:textFill>
            <w14:solidFill>
              <w14:schemeClr w14:val="tx1"/>
            </w14:solidFill>
          </w14:textFill>
        </w:rPr>
        <w:t>的法定代表人，现授权委托本单位在职职工</w:t>
      </w:r>
      <w:r>
        <w:rPr>
          <w:rFonts w:hint="eastAsia" w:ascii="仿宋" w:hAnsi="仿宋" w:eastAsia="仿宋"/>
          <w:color w:val="000000" w:themeColor="text1"/>
          <w:sz w:val="30"/>
          <w:szCs w:val="30"/>
          <w:u w:val="single"/>
          <w14:textFill>
            <w14:solidFill>
              <w14:schemeClr w14:val="tx1"/>
            </w14:solidFill>
          </w14:textFill>
        </w:rPr>
        <w:t xml:space="preserve"> （姓名）</w:t>
      </w:r>
      <w:r>
        <w:rPr>
          <w:rFonts w:hint="eastAsia" w:ascii="仿宋" w:hAnsi="仿宋" w:eastAsia="仿宋"/>
          <w:color w:val="000000" w:themeColor="text1"/>
          <w:sz w:val="30"/>
          <w:szCs w:val="30"/>
          <w14:textFill>
            <w14:solidFill>
              <w14:schemeClr w14:val="tx1"/>
            </w14:solidFill>
          </w14:textFill>
        </w:rPr>
        <w:t>为授权代表，以我方的名义参加项目名称：项目名称：</w:t>
      </w:r>
      <w:r>
        <w:rPr>
          <w:rFonts w:hint="eastAsia" w:ascii="仿宋" w:hAnsi="仿宋" w:eastAsia="仿宋"/>
          <w:b/>
          <w:bCs/>
          <w:color w:val="000000" w:themeColor="text1"/>
          <w:sz w:val="30"/>
          <w:szCs w:val="30"/>
          <w:u w:val="single"/>
          <w14:textFill>
            <w14:solidFill>
              <w14:schemeClr w14:val="tx1"/>
            </w14:solidFill>
          </w14:textFill>
        </w:rPr>
        <w:t>浙商银行股份有限公司采购代理服务机构入围采购项目</w:t>
      </w:r>
      <w:r>
        <w:rPr>
          <w:rFonts w:hint="eastAsia" w:ascii="仿宋" w:hAnsi="仿宋" w:eastAsia="仿宋"/>
          <w:color w:val="000000" w:themeColor="text1"/>
          <w:sz w:val="30"/>
          <w:szCs w:val="30"/>
          <w14:textFill>
            <w14:solidFill>
              <w14:schemeClr w14:val="tx1"/>
            </w14:solidFill>
          </w14:textFill>
        </w:rPr>
        <w:t>编号：</w:t>
      </w:r>
      <w:r>
        <w:rPr>
          <w:rFonts w:hint="eastAsia" w:ascii="仿宋" w:hAnsi="仿宋" w:eastAsia="仿宋"/>
          <w:b/>
          <w:bCs/>
          <w:color w:val="000000" w:themeColor="text1"/>
          <w:sz w:val="30"/>
          <w:szCs w:val="30"/>
          <w:u w:val="single"/>
          <w14:textFill>
            <w14:solidFill>
              <w14:schemeClr w14:val="tx1"/>
            </w14:solidFill>
          </w14:textFill>
        </w:rPr>
        <w:t>ZZCG2024Y-GK-203</w:t>
      </w:r>
      <w:r>
        <w:rPr>
          <w:rFonts w:hint="eastAsia" w:ascii="仿宋" w:hAnsi="仿宋" w:eastAsia="仿宋"/>
          <w:color w:val="000000" w:themeColor="text1"/>
          <w:sz w:val="30"/>
          <w:szCs w:val="30"/>
          <w14:textFill>
            <w14:solidFill>
              <w14:schemeClr w14:val="tx1"/>
            </w14:solidFill>
          </w14:textFill>
        </w:rPr>
        <w:t>的投标活动，并代表我方全权办理针对上述项目的投标、开标、评标、签约等具体事务和签署相关文件。我方对授权代表的签名事项负全部责任。</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在撤销授权的书面通知以前，本授权书一直有效。授权代表在授权书有效期内签署的所有文件不因授权的撤销而失效。</w:t>
      </w:r>
    </w:p>
    <w:p>
      <w:pPr>
        <w:snapToGrid w:val="0"/>
        <w:spacing w:before="120" w:beforeLines="50" w:after="72"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授权代表无转委托权，特此委托。</w:t>
      </w:r>
    </w:p>
    <w:p>
      <w:pPr>
        <w:snapToGrid w:val="0"/>
        <w:spacing w:before="120" w:beforeLines="50" w:after="72" w:line="460" w:lineRule="exact"/>
        <w:ind w:firstLine="602"/>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联系方式：</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邮箱：</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w:t>
      </w:r>
    </w:p>
    <w:p>
      <w:pPr>
        <w:snapToGrid w:val="0"/>
        <w:spacing w:before="120" w:beforeLines="50" w:after="72"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授权代表身份证号码：</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法定代表人签名（或签名章）：</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20" w:beforeLines="50" w:after="72"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联系方式：</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日  期：</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20" w:beforeLines="50" w:after="72" w:line="460" w:lineRule="exact"/>
        <w:ind w:firstLine="602"/>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ind w:firstLine="602"/>
        <w:rPr>
          <w:rFonts w:ascii="仿宋" w:hAnsi="仿宋" w:eastAsia="仿宋"/>
          <w:color w:val="000000" w:themeColor="text1"/>
          <w:sz w:val="30"/>
          <w:szCs w:val="30"/>
          <w14:textFill>
            <w14:solidFill>
              <w14:schemeClr w14:val="tx1"/>
            </w14:solidFill>
          </w14:textFill>
        </w:rPr>
      </w:pPr>
    </w:p>
    <w:p>
      <w:pPr>
        <w:widowControl/>
        <w:ind w:firstLine="602"/>
        <w:jc w:val="lef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附件3</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w:t>
      </w:r>
    </w:p>
    <w:p>
      <w:pPr>
        <w:snapToGrid w:val="0"/>
        <w:spacing w:before="72" w:after="72"/>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法定代表人身份证明</w:t>
      </w: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有效的身份证件扫描件、复印件：</w:t>
      </w: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正面：</w:t>
      </w: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反面：</w:t>
      </w: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法定代表人签名（或签名章）：</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20" w:beforeLines="50" w:after="72"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联系方式：</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邮箱：</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w:t>
      </w:r>
    </w:p>
    <w:p>
      <w:pPr>
        <w:widowControl/>
        <w:jc w:val="left"/>
        <w:rPr>
          <w:rFonts w:hAnsi="宋体" w:cs="宋体"/>
          <w:bCs/>
          <w:color w:val="000000" w:themeColor="text1"/>
          <w:sz w:val="24"/>
          <w14:textFill>
            <w14:solidFill>
              <w14:schemeClr w14:val="tx1"/>
            </w14:solidFill>
          </w14:textFill>
        </w:rPr>
      </w:pPr>
    </w:p>
    <w:p>
      <w:pPr>
        <w:snapToGrid w:val="0"/>
        <w:spacing w:before="120" w:beforeLines="50" w:after="72"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日  期：</w:t>
      </w:r>
      <w:r>
        <w:rPr>
          <w:rFonts w:hint="eastAsia" w:ascii="仿宋" w:hAnsi="仿宋" w:eastAsia="仿宋"/>
          <w:color w:val="000000" w:themeColor="text1"/>
          <w:sz w:val="30"/>
          <w:szCs w:val="30"/>
          <w:u w:val="single"/>
          <w14:textFill>
            <w14:solidFill>
              <w14:schemeClr w14:val="tx1"/>
            </w14:solidFill>
          </w14:textFill>
        </w:rPr>
        <w:t xml:space="preserve">           </w:t>
      </w:r>
    </w:p>
    <w:p>
      <w:pPr>
        <w:widowControl/>
        <w:jc w:val="left"/>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br w:type="page"/>
      </w:r>
    </w:p>
    <w:p>
      <w:pPr>
        <w:snapToGrid w:val="0"/>
        <w:spacing w:before="72" w:after="120" w:afterLines="50"/>
        <w:jc w:val="left"/>
        <w:rPr>
          <w:rFonts w:ascii="仿宋" w:hAnsi="仿宋" w:eastAsia="仿宋"/>
          <w:sz w:val="30"/>
          <w:szCs w:val="30"/>
        </w:rPr>
        <w:sectPr>
          <w:footerReference r:id="rId3" w:type="default"/>
          <w:footerReference r:id="rId4" w:type="even"/>
          <w:pgSz w:w="11906" w:h="16838"/>
          <w:pgMar w:top="1474" w:right="1797" w:bottom="1480" w:left="1797" w:header="851" w:footer="851" w:gutter="0"/>
          <w:cols w:space="720" w:num="1"/>
        </w:sectPr>
      </w:pPr>
    </w:p>
    <w:p>
      <w:pPr>
        <w:snapToGrid w:val="0"/>
        <w:spacing w:before="72" w:after="120" w:afterLines="50"/>
        <w:jc w:val="left"/>
        <w:rPr>
          <w:rFonts w:ascii="仿宋" w:hAnsi="仿宋" w:eastAsia="仿宋"/>
          <w:sz w:val="30"/>
          <w:szCs w:val="30"/>
        </w:rPr>
      </w:pPr>
      <w:r>
        <w:rPr>
          <w:rFonts w:hint="eastAsia" w:ascii="仿宋" w:hAnsi="仿宋" w:eastAsia="仿宋"/>
          <w:sz w:val="30"/>
          <w:szCs w:val="30"/>
        </w:rPr>
        <w:t>附件4：</w:t>
      </w:r>
    </w:p>
    <w:p>
      <w:pPr>
        <w:widowControl/>
        <w:jc w:val="center"/>
        <w:rPr>
          <w:rFonts w:hint="eastAsia" w:ascii="仿宋" w:hAnsi="仿宋" w:eastAsia="仿宋"/>
          <w:b/>
          <w:sz w:val="36"/>
          <w:szCs w:val="36"/>
          <w:lang w:val="zh-CN"/>
        </w:rPr>
      </w:pPr>
      <w:r>
        <w:rPr>
          <w:rFonts w:hint="eastAsia" w:ascii="仿宋" w:hAnsi="仿宋" w:eastAsia="仿宋"/>
          <w:b/>
          <w:sz w:val="36"/>
          <w:szCs w:val="36"/>
          <w:lang w:val="zh-CN"/>
        </w:rPr>
        <w:t>2021年1月1日至今，具有1个政府采购及1个国有企业采购</w:t>
      </w:r>
      <w:r>
        <w:rPr>
          <w:rFonts w:hint="eastAsia" w:ascii="仿宋" w:hAnsi="仿宋" w:eastAsia="仿宋"/>
          <w:b/>
          <w:sz w:val="36"/>
          <w:szCs w:val="36"/>
          <w:lang w:val="en-US" w:eastAsia="zh-CN"/>
        </w:rPr>
        <w:t>项目</w:t>
      </w:r>
      <w:r>
        <w:rPr>
          <w:rFonts w:hint="eastAsia" w:ascii="仿宋" w:hAnsi="仿宋" w:eastAsia="仿宋"/>
          <w:b/>
          <w:sz w:val="36"/>
          <w:szCs w:val="36"/>
          <w:lang w:val="zh-CN"/>
        </w:rPr>
        <w:t>的</w:t>
      </w:r>
      <w:r>
        <w:rPr>
          <w:rFonts w:hint="eastAsia" w:ascii="仿宋" w:hAnsi="仿宋" w:eastAsia="仿宋"/>
          <w:b/>
          <w:sz w:val="36"/>
          <w:szCs w:val="36"/>
          <w:lang w:val="en-US" w:eastAsia="zh-CN"/>
        </w:rPr>
        <w:t>代理</w:t>
      </w:r>
      <w:r>
        <w:rPr>
          <w:rFonts w:hint="eastAsia" w:ascii="仿宋" w:hAnsi="仿宋" w:eastAsia="仿宋"/>
          <w:b/>
          <w:sz w:val="36"/>
          <w:szCs w:val="36"/>
          <w:lang w:val="zh-CN"/>
        </w:rPr>
        <w:t xml:space="preserve">案例 </w:t>
      </w:r>
    </w:p>
    <w:p>
      <w:pPr>
        <w:widowControl/>
        <w:ind w:firstLine="720"/>
        <w:jc w:val="center"/>
        <w:rPr>
          <w:rFonts w:ascii="仿宋" w:hAnsi="仿宋" w:eastAsia="仿宋"/>
          <w:b/>
          <w:sz w:val="36"/>
          <w:szCs w:val="36"/>
        </w:rPr>
      </w:pPr>
    </w:p>
    <w:p>
      <w:pPr>
        <w:rPr>
          <w:rFonts w:ascii="宋体" w:hAnsi="宋体" w:cs="宋体"/>
          <w:color w:val="000000"/>
          <w:sz w:val="28"/>
          <w:szCs w:val="28"/>
        </w:rPr>
      </w:pPr>
      <w:r>
        <w:rPr>
          <w:rFonts w:hint="eastAsia" w:ascii="宋体" w:hAnsi="宋体" w:cs="宋体"/>
          <w:color w:val="000000"/>
          <w:sz w:val="28"/>
          <w:szCs w:val="28"/>
        </w:rPr>
        <w:t xml:space="preserve">项目名称：                   项目编号：              </w:t>
      </w:r>
      <w:r>
        <w:rPr>
          <w:rFonts w:hint="eastAsia" w:ascii="宋体" w:hAnsi="宋体" w:cs="宋体"/>
          <w:sz w:val="28"/>
          <w:szCs w:val="28"/>
        </w:rPr>
        <w:t xml:space="preserve">标项：1  </w:t>
      </w: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12"/>
        <w:gridCol w:w="3262"/>
        <w:gridCol w:w="1444"/>
        <w:gridCol w:w="1781"/>
        <w:gridCol w:w="286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序号</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w:t>
            </w:r>
          </w:p>
          <w:p>
            <w:pPr>
              <w:jc w:val="center"/>
              <w:rPr>
                <w:color w:val="000000"/>
                <w:sz w:val="28"/>
                <w:szCs w:val="28"/>
              </w:rPr>
            </w:pPr>
            <w:r>
              <w:rPr>
                <w:rFonts w:hint="eastAsia"/>
                <w:color w:val="000000"/>
                <w:sz w:val="28"/>
                <w:szCs w:val="28"/>
              </w:rPr>
              <w:t>名称</w:t>
            </w:r>
          </w:p>
        </w:tc>
        <w:tc>
          <w:tcPr>
            <w:tcW w:w="326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项目名称</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8"/>
                <w:szCs w:val="28"/>
              </w:rPr>
              <w:t>合同金额（万元）</w:t>
            </w: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签订日期</w:t>
            </w:r>
          </w:p>
        </w:tc>
        <w:tc>
          <w:tcPr>
            <w:tcW w:w="2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用户联系人及电话</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570" w:type="dxa"/>
            <w:tcBorders>
              <w:top w:val="single" w:color="auto" w:sz="4" w:space="0"/>
              <w:left w:val="single" w:color="auto" w:sz="4" w:space="0"/>
              <w:bottom w:val="single" w:color="auto" w:sz="4" w:space="0"/>
              <w:right w:val="single" w:color="auto" w:sz="4" w:space="0"/>
            </w:tcBorders>
          </w:tcPr>
          <w:p>
            <w:pPr>
              <w:rPr>
                <w:color w:val="000000"/>
              </w:rPr>
            </w:pP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570" w:type="dxa"/>
            <w:tcBorders>
              <w:top w:val="single" w:color="auto" w:sz="4" w:space="0"/>
              <w:left w:val="single" w:color="auto" w:sz="4" w:space="0"/>
              <w:bottom w:val="single" w:color="auto" w:sz="4" w:space="0"/>
              <w:right w:val="single" w:color="auto" w:sz="4" w:space="0"/>
            </w:tcBorders>
          </w:tcPr>
          <w:p>
            <w:pPr>
              <w:rPr>
                <w:color w:val="000000"/>
              </w:rPr>
            </w:pP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bl>
    <w:p>
      <w:pPr>
        <w:spacing w:line="460" w:lineRule="exact"/>
        <w:ind w:firstLine="560" w:firstLineChars="200"/>
        <w:rPr>
          <w:color w:val="000000"/>
          <w:sz w:val="28"/>
          <w:szCs w:val="28"/>
          <w:lang w:val="zh-CN"/>
        </w:rPr>
      </w:pPr>
      <w:r>
        <w:rPr>
          <w:rFonts w:hint="eastAsia"/>
          <w:color w:val="000000"/>
          <w:sz w:val="28"/>
          <w:szCs w:val="28"/>
          <w:lang w:val="zh-CN"/>
        </w:rPr>
        <w:t>备注：</w:t>
      </w:r>
      <w:r>
        <w:rPr>
          <w:color w:val="000000"/>
          <w:sz w:val="28"/>
          <w:szCs w:val="28"/>
          <w:lang w:val="zh-CN"/>
        </w:rPr>
        <w:t>1</w:t>
      </w:r>
      <w:r>
        <w:rPr>
          <w:rFonts w:hint="eastAsia"/>
          <w:color w:val="000000"/>
          <w:sz w:val="28"/>
          <w:szCs w:val="28"/>
          <w:lang w:val="zh-CN"/>
        </w:rPr>
        <w:t>、</w:t>
      </w:r>
      <w:r>
        <w:rPr>
          <w:rFonts w:hint="eastAsia" w:ascii="宋体" w:hAnsi="宋体"/>
          <w:color w:val="000000"/>
          <w:sz w:val="28"/>
          <w:szCs w:val="28"/>
        </w:rPr>
        <w:t>业绩提供合同与时限要求不符、不清晰的合同无效</w:t>
      </w:r>
      <w:r>
        <w:rPr>
          <w:rFonts w:hint="eastAsia"/>
          <w:color w:val="000000"/>
          <w:sz w:val="28"/>
          <w:szCs w:val="28"/>
        </w:rPr>
        <w:t>。</w:t>
      </w:r>
    </w:p>
    <w:p>
      <w:pPr>
        <w:spacing w:line="460" w:lineRule="exact"/>
        <w:ind w:firstLine="1400" w:firstLineChars="500"/>
        <w:rPr>
          <w:color w:val="000000"/>
          <w:sz w:val="28"/>
          <w:szCs w:val="28"/>
          <w:lang w:val="zh-CN"/>
        </w:rPr>
      </w:pPr>
      <w:r>
        <w:rPr>
          <w:color w:val="000000"/>
          <w:sz w:val="28"/>
          <w:szCs w:val="28"/>
          <w:lang w:val="zh-CN"/>
        </w:rPr>
        <w:t>2</w:t>
      </w:r>
      <w:r>
        <w:rPr>
          <w:rFonts w:hint="eastAsia"/>
          <w:color w:val="000000"/>
          <w:sz w:val="28"/>
          <w:szCs w:val="28"/>
          <w:lang w:val="zh-CN"/>
        </w:rPr>
        <w:t>、投标人提供虚假合同的，按虚假投标处理。</w:t>
      </w:r>
    </w:p>
    <w:p>
      <w:pPr>
        <w:spacing w:line="460" w:lineRule="exact"/>
        <w:jc w:val="center"/>
        <w:rPr>
          <w:color w:val="000000"/>
          <w:sz w:val="28"/>
          <w:szCs w:val="28"/>
        </w:rPr>
      </w:pPr>
    </w:p>
    <w:p>
      <w:pPr>
        <w:spacing w:line="460" w:lineRule="exact"/>
        <w:jc w:val="center"/>
        <w:rPr>
          <w:color w:val="000000"/>
          <w:sz w:val="28"/>
          <w:szCs w:val="28"/>
        </w:rPr>
      </w:pPr>
      <w:r>
        <w:rPr>
          <w:rFonts w:hint="eastAsia"/>
          <w:color w:val="000000"/>
          <w:sz w:val="28"/>
          <w:szCs w:val="28"/>
        </w:rPr>
        <w:t xml:space="preserve">                        </w:t>
      </w:r>
      <w:r>
        <w:rPr>
          <w:rFonts w:hint="eastAsia"/>
          <w:color w:val="000000"/>
          <w:sz w:val="28"/>
          <w:szCs w:val="28"/>
          <w:lang w:val="zh-CN"/>
        </w:rPr>
        <w:t>投标人全称：（盖章）</w:t>
      </w:r>
      <w:r>
        <w:rPr>
          <w:rFonts w:hint="eastAsia"/>
          <w:color w:val="000000"/>
          <w:sz w:val="28"/>
          <w:szCs w:val="28"/>
        </w:rPr>
        <w:t xml:space="preserve">                 </w:t>
      </w:r>
    </w:p>
    <w:p>
      <w:pPr>
        <w:spacing w:line="460" w:lineRule="exact"/>
        <w:jc w:val="right"/>
        <w:rPr>
          <w:color w:val="000000"/>
          <w:sz w:val="28"/>
          <w:szCs w:val="28"/>
          <w:lang w:val="zh-CN"/>
        </w:rPr>
      </w:pPr>
      <w:r>
        <w:rPr>
          <w:rFonts w:hint="eastAsia"/>
          <w:color w:val="000000"/>
          <w:sz w:val="28"/>
          <w:szCs w:val="28"/>
          <w:lang w:val="zh-CN"/>
        </w:rPr>
        <w:t>法定代表人（或授权代表）：（签字）</w:t>
      </w:r>
      <w:r>
        <w:rPr>
          <w:rFonts w:hint="eastAsia"/>
          <w:color w:val="000000"/>
          <w:sz w:val="28"/>
          <w:szCs w:val="28"/>
        </w:rPr>
        <w:t xml:space="preserve">                </w:t>
      </w:r>
      <w:r>
        <w:rPr>
          <w:rFonts w:hint="eastAsia"/>
          <w:color w:val="000000"/>
          <w:sz w:val="28"/>
          <w:szCs w:val="28"/>
          <w:lang w:val="zh-CN"/>
        </w:rPr>
        <w:t>年</w:t>
      </w:r>
      <w:r>
        <w:rPr>
          <w:color w:val="000000"/>
          <w:sz w:val="28"/>
          <w:szCs w:val="28"/>
          <w:lang w:val="zh-CN"/>
        </w:rPr>
        <w:t xml:space="preserve">   </w:t>
      </w:r>
      <w:r>
        <w:rPr>
          <w:rFonts w:hint="eastAsia"/>
          <w:color w:val="000000"/>
          <w:sz w:val="28"/>
          <w:szCs w:val="28"/>
          <w:lang w:val="zh-CN"/>
        </w:rPr>
        <w:t>月</w:t>
      </w:r>
      <w:r>
        <w:rPr>
          <w:color w:val="000000"/>
          <w:sz w:val="28"/>
          <w:szCs w:val="28"/>
          <w:lang w:val="zh-CN"/>
        </w:rPr>
        <w:t xml:space="preserve">  </w:t>
      </w:r>
      <w:r>
        <w:rPr>
          <w:rFonts w:hint="eastAsia"/>
          <w:color w:val="000000"/>
          <w:sz w:val="28"/>
          <w:szCs w:val="28"/>
        </w:rPr>
        <w:t xml:space="preserve"> </w:t>
      </w:r>
      <w:r>
        <w:rPr>
          <w:rFonts w:hint="eastAsia"/>
          <w:color w:val="000000"/>
          <w:sz w:val="28"/>
          <w:szCs w:val="28"/>
          <w:lang w:val="zh-CN"/>
        </w:rPr>
        <w:t>日</w:t>
      </w:r>
    </w:p>
    <w:p>
      <w:pPr>
        <w:ind w:firstLine="602"/>
        <w:rPr>
          <w:rFonts w:ascii="仿宋" w:hAnsi="仿宋" w:eastAsia="仿宋"/>
          <w:sz w:val="30"/>
          <w:szCs w:val="30"/>
        </w:rPr>
      </w:pPr>
    </w:p>
    <w:p>
      <w:pPr>
        <w:ind w:firstLine="602"/>
        <w:rPr>
          <w:rFonts w:ascii="仿宋" w:hAnsi="仿宋" w:eastAsia="仿宋"/>
          <w:sz w:val="30"/>
          <w:szCs w:val="30"/>
        </w:rPr>
      </w:pPr>
    </w:p>
    <w:p>
      <w:pPr>
        <w:ind w:firstLine="602"/>
        <w:rPr>
          <w:rFonts w:ascii="仿宋" w:hAnsi="仿宋" w:eastAsia="仿宋"/>
          <w:sz w:val="30"/>
          <w:szCs w:val="30"/>
        </w:rPr>
      </w:pPr>
    </w:p>
    <w:p>
      <w:pPr>
        <w:ind w:firstLine="602"/>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br w:type="page"/>
      </w:r>
    </w:p>
    <w:p>
      <w:pPr>
        <w:snapToGrid w:val="0"/>
        <w:spacing w:before="72" w:after="120" w:afterLines="50"/>
        <w:jc w:val="left"/>
        <w:rPr>
          <w:rFonts w:ascii="仿宋" w:hAnsi="仿宋" w:eastAsia="仿宋"/>
          <w:sz w:val="30"/>
          <w:szCs w:val="30"/>
        </w:rPr>
      </w:pPr>
      <w:r>
        <w:rPr>
          <w:rFonts w:hint="eastAsia" w:ascii="仿宋" w:hAnsi="仿宋" w:eastAsia="仿宋"/>
          <w:sz w:val="30"/>
          <w:szCs w:val="30"/>
        </w:rPr>
        <w:t>附件5：</w:t>
      </w:r>
    </w:p>
    <w:p>
      <w:pPr>
        <w:widowControl/>
        <w:jc w:val="center"/>
        <w:rPr>
          <w:rFonts w:ascii="仿宋" w:hAnsi="仿宋" w:eastAsia="仿宋"/>
          <w:b/>
          <w:sz w:val="36"/>
          <w:szCs w:val="36"/>
          <w:lang w:val="zh-CN"/>
        </w:rPr>
      </w:pPr>
      <w:r>
        <w:rPr>
          <w:rFonts w:hint="eastAsia" w:ascii="仿宋" w:hAnsi="仿宋" w:eastAsia="仿宋"/>
          <w:b/>
          <w:sz w:val="36"/>
          <w:szCs w:val="36"/>
          <w:lang w:val="zh-CN"/>
        </w:rPr>
        <w:t xml:space="preserve">2021年1月1日至今，具有1个依法必须招标项目的招标代理案例 </w:t>
      </w:r>
    </w:p>
    <w:p>
      <w:pPr>
        <w:widowControl/>
        <w:ind w:firstLine="720"/>
        <w:jc w:val="center"/>
        <w:rPr>
          <w:rFonts w:ascii="仿宋" w:hAnsi="仿宋" w:eastAsia="仿宋"/>
          <w:b/>
          <w:sz w:val="36"/>
          <w:szCs w:val="36"/>
        </w:rPr>
      </w:pPr>
    </w:p>
    <w:p>
      <w:pPr>
        <w:rPr>
          <w:rFonts w:ascii="宋体" w:hAnsi="宋体" w:cs="宋体"/>
          <w:color w:val="000000"/>
          <w:sz w:val="28"/>
          <w:szCs w:val="28"/>
        </w:rPr>
      </w:pPr>
      <w:r>
        <w:rPr>
          <w:rFonts w:hint="eastAsia" w:ascii="宋体" w:hAnsi="宋体" w:cs="宋体"/>
          <w:color w:val="000000"/>
          <w:sz w:val="28"/>
          <w:szCs w:val="28"/>
        </w:rPr>
        <w:t xml:space="preserve">项目名称：                   项目编号：              </w:t>
      </w:r>
      <w:r>
        <w:rPr>
          <w:rFonts w:hint="eastAsia" w:ascii="宋体" w:hAnsi="宋体" w:cs="宋体"/>
          <w:sz w:val="28"/>
          <w:szCs w:val="28"/>
        </w:rPr>
        <w:t xml:space="preserve">标项：2  </w:t>
      </w: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12"/>
        <w:gridCol w:w="3262"/>
        <w:gridCol w:w="1444"/>
        <w:gridCol w:w="1781"/>
        <w:gridCol w:w="286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序号</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w:t>
            </w:r>
          </w:p>
          <w:p>
            <w:pPr>
              <w:jc w:val="center"/>
              <w:rPr>
                <w:color w:val="000000"/>
                <w:sz w:val="28"/>
                <w:szCs w:val="28"/>
              </w:rPr>
            </w:pPr>
            <w:r>
              <w:rPr>
                <w:rFonts w:hint="eastAsia"/>
                <w:color w:val="000000"/>
                <w:sz w:val="28"/>
                <w:szCs w:val="28"/>
              </w:rPr>
              <w:t>名称</w:t>
            </w:r>
          </w:p>
        </w:tc>
        <w:tc>
          <w:tcPr>
            <w:tcW w:w="326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项目名称</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8"/>
                <w:szCs w:val="28"/>
              </w:rPr>
              <w:t>合同金额（万元）</w:t>
            </w: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签订日期</w:t>
            </w:r>
          </w:p>
        </w:tc>
        <w:tc>
          <w:tcPr>
            <w:tcW w:w="2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用户联系人及电话</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570" w:type="dxa"/>
            <w:tcBorders>
              <w:top w:val="single" w:color="auto" w:sz="4" w:space="0"/>
              <w:left w:val="single" w:color="auto" w:sz="4" w:space="0"/>
              <w:bottom w:val="single" w:color="auto" w:sz="4" w:space="0"/>
              <w:right w:val="single" w:color="auto" w:sz="4" w:space="0"/>
            </w:tcBorders>
          </w:tcPr>
          <w:p>
            <w:pPr>
              <w:rPr>
                <w:color w:val="000000"/>
              </w:rPr>
            </w:pP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570" w:type="dxa"/>
            <w:tcBorders>
              <w:top w:val="single" w:color="auto" w:sz="4" w:space="0"/>
              <w:left w:val="single" w:color="auto" w:sz="4" w:space="0"/>
              <w:bottom w:val="single" w:color="auto" w:sz="4" w:space="0"/>
              <w:right w:val="single" w:color="auto" w:sz="4" w:space="0"/>
            </w:tcBorders>
          </w:tcPr>
          <w:p>
            <w:pPr>
              <w:rPr>
                <w:color w:val="000000"/>
              </w:rPr>
            </w:pP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bl>
    <w:p>
      <w:pPr>
        <w:spacing w:line="460" w:lineRule="exact"/>
        <w:ind w:firstLine="560" w:firstLineChars="200"/>
        <w:rPr>
          <w:color w:val="000000"/>
          <w:sz w:val="28"/>
          <w:szCs w:val="28"/>
          <w:lang w:val="zh-CN"/>
        </w:rPr>
      </w:pPr>
      <w:r>
        <w:rPr>
          <w:rFonts w:hint="eastAsia"/>
          <w:color w:val="000000"/>
          <w:sz w:val="28"/>
          <w:szCs w:val="28"/>
          <w:lang w:val="zh-CN"/>
        </w:rPr>
        <w:t>备注：</w:t>
      </w:r>
      <w:r>
        <w:rPr>
          <w:color w:val="000000"/>
          <w:sz w:val="28"/>
          <w:szCs w:val="28"/>
          <w:lang w:val="zh-CN"/>
        </w:rPr>
        <w:t>1</w:t>
      </w:r>
      <w:r>
        <w:rPr>
          <w:rFonts w:hint="eastAsia"/>
          <w:color w:val="000000"/>
          <w:sz w:val="28"/>
          <w:szCs w:val="28"/>
          <w:lang w:val="zh-CN"/>
        </w:rPr>
        <w:t>、</w:t>
      </w:r>
      <w:r>
        <w:rPr>
          <w:rFonts w:hint="eastAsia" w:ascii="宋体" w:hAnsi="宋体"/>
          <w:color w:val="000000"/>
          <w:sz w:val="28"/>
          <w:szCs w:val="28"/>
        </w:rPr>
        <w:t>业绩提供合同与时限要求不符、不清晰的合同无效</w:t>
      </w:r>
      <w:r>
        <w:rPr>
          <w:rFonts w:hint="eastAsia"/>
          <w:color w:val="000000"/>
          <w:sz w:val="28"/>
          <w:szCs w:val="28"/>
        </w:rPr>
        <w:t>。</w:t>
      </w:r>
    </w:p>
    <w:p>
      <w:pPr>
        <w:spacing w:line="460" w:lineRule="exact"/>
        <w:ind w:firstLine="1400" w:firstLineChars="500"/>
        <w:rPr>
          <w:color w:val="000000"/>
          <w:sz w:val="28"/>
          <w:szCs w:val="28"/>
          <w:lang w:val="zh-CN"/>
        </w:rPr>
      </w:pPr>
      <w:r>
        <w:rPr>
          <w:color w:val="000000"/>
          <w:sz w:val="28"/>
          <w:szCs w:val="28"/>
          <w:lang w:val="zh-CN"/>
        </w:rPr>
        <w:t>2</w:t>
      </w:r>
      <w:r>
        <w:rPr>
          <w:rFonts w:hint="eastAsia"/>
          <w:color w:val="000000"/>
          <w:sz w:val="28"/>
          <w:szCs w:val="28"/>
          <w:lang w:val="zh-CN"/>
        </w:rPr>
        <w:t>、投标人提供虚假合同的，按虚假投标处理。</w:t>
      </w:r>
    </w:p>
    <w:p>
      <w:pPr>
        <w:spacing w:line="460" w:lineRule="exact"/>
        <w:jc w:val="center"/>
        <w:rPr>
          <w:color w:val="000000"/>
          <w:sz w:val="28"/>
          <w:szCs w:val="28"/>
        </w:rPr>
      </w:pPr>
    </w:p>
    <w:p>
      <w:pPr>
        <w:spacing w:line="460" w:lineRule="exact"/>
        <w:jc w:val="center"/>
        <w:rPr>
          <w:color w:val="000000"/>
          <w:sz w:val="28"/>
          <w:szCs w:val="28"/>
        </w:rPr>
      </w:pPr>
      <w:r>
        <w:rPr>
          <w:rFonts w:hint="eastAsia"/>
          <w:color w:val="000000"/>
          <w:sz w:val="28"/>
          <w:szCs w:val="28"/>
        </w:rPr>
        <w:t xml:space="preserve">                        </w:t>
      </w:r>
      <w:r>
        <w:rPr>
          <w:rFonts w:hint="eastAsia"/>
          <w:color w:val="000000"/>
          <w:sz w:val="28"/>
          <w:szCs w:val="28"/>
          <w:lang w:val="zh-CN"/>
        </w:rPr>
        <w:t>投标人全称：（盖章）</w:t>
      </w:r>
      <w:r>
        <w:rPr>
          <w:rFonts w:hint="eastAsia"/>
          <w:color w:val="000000"/>
          <w:sz w:val="28"/>
          <w:szCs w:val="28"/>
        </w:rPr>
        <w:t xml:space="preserve">                 </w:t>
      </w:r>
    </w:p>
    <w:p>
      <w:pPr>
        <w:spacing w:line="460" w:lineRule="exact"/>
        <w:jc w:val="right"/>
        <w:rPr>
          <w:color w:val="000000"/>
          <w:sz w:val="28"/>
          <w:szCs w:val="28"/>
          <w:lang w:val="zh-CN"/>
        </w:rPr>
      </w:pPr>
      <w:r>
        <w:rPr>
          <w:rFonts w:hint="eastAsia"/>
          <w:color w:val="000000"/>
          <w:sz w:val="28"/>
          <w:szCs w:val="28"/>
          <w:lang w:val="zh-CN"/>
        </w:rPr>
        <w:t>法定代表人（或授权代表）：（签字）</w:t>
      </w:r>
      <w:r>
        <w:rPr>
          <w:rFonts w:hint="eastAsia"/>
          <w:color w:val="000000"/>
          <w:sz w:val="28"/>
          <w:szCs w:val="28"/>
        </w:rPr>
        <w:t xml:space="preserve">                </w:t>
      </w:r>
      <w:r>
        <w:rPr>
          <w:rFonts w:hint="eastAsia"/>
          <w:color w:val="000000"/>
          <w:sz w:val="28"/>
          <w:szCs w:val="28"/>
          <w:lang w:val="zh-CN"/>
        </w:rPr>
        <w:t>年</w:t>
      </w:r>
      <w:r>
        <w:rPr>
          <w:color w:val="000000"/>
          <w:sz w:val="28"/>
          <w:szCs w:val="28"/>
          <w:lang w:val="zh-CN"/>
        </w:rPr>
        <w:t xml:space="preserve">   </w:t>
      </w:r>
      <w:r>
        <w:rPr>
          <w:rFonts w:hint="eastAsia"/>
          <w:color w:val="000000"/>
          <w:sz w:val="28"/>
          <w:szCs w:val="28"/>
          <w:lang w:val="zh-CN"/>
        </w:rPr>
        <w:t>月</w:t>
      </w:r>
      <w:r>
        <w:rPr>
          <w:color w:val="000000"/>
          <w:sz w:val="28"/>
          <w:szCs w:val="28"/>
          <w:lang w:val="zh-CN"/>
        </w:rPr>
        <w:t xml:space="preserve">  </w:t>
      </w:r>
      <w:r>
        <w:rPr>
          <w:rFonts w:hint="eastAsia"/>
          <w:color w:val="000000"/>
          <w:sz w:val="28"/>
          <w:szCs w:val="28"/>
        </w:rPr>
        <w:t xml:space="preserve"> </w:t>
      </w:r>
      <w:r>
        <w:rPr>
          <w:rFonts w:hint="eastAsia"/>
          <w:color w:val="000000"/>
          <w:sz w:val="28"/>
          <w:szCs w:val="28"/>
          <w:lang w:val="zh-CN"/>
        </w:rPr>
        <w:t>日</w:t>
      </w:r>
    </w:p>
    <w:p>
      <w:pPr>
        <w:ind w:firstLine="602"/>
        <w:rPr>
          <w:rFonts w:ascii="仿宋" w:hAnsi="仿宋" w:eastAsia="仿宋"/>
          <w:sz w:val="30"/>
          <w:szCs w:val="30"/>
        </w:rPr>
      </w:pPr>
      <w:r>
        <w:rPr>
          <w:rFonts w:hint="eastAsia" w:ascii="仿宋" w:hAnsi="仿宋" w:eastAsia="仿宋"/>
          <w:sz w:val="30"/>
          <w:szCs w:val="30"/>
        </w:rPr>
        <w:br w:type="page"/>
      </w:r>
    </w:p>
    <w:p>
      <w:pPr>
        <w:tabs>
          <w:tab w:val="left" w:pos="606"/>
        </w:tabs>
        <w:spacing w:line="360" w:lineRule="exact"/>
        <w:ind w:firstLine="602"/>
        <w:rPr>
          <w:rFonts w:ascii="仿宋" w:hAnsi="仿宋" w:eastAsia="仿宋"/>
          <w:color w:val="000000" w:themeColor="text1"/>
          <w:sz w:val="30"/>
          <w:szCs w:val="30"/>
          <w14:textFill>
            <w14:solidFill>
              <w14:schemeClr w14:val="tx1"/>
            </w14:solidFill>
          </w14:textFill>
        </w:rPr>
        <w:sectPr>
          <w:pgSz w:w="16838" w:h="11906" w:orient="landscape"/>
          <w:pgMar w:top="1797" w:right="1474" w:bottom="1797" w:left="1480" w:header="851" w:footer="850" w:gutter="0"/>
          <w:cols w:space="0" w:num="1"/>
        </w:sectPr>
      </w:pPr>
    </w:p>
    <w:p>
      <w:pPr>
        <w:tabs>
          <w:tab w:val="left" w:pos="606"/>
        </w:tabs>
        <w:spacing w:line="3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附件6：</w:t>
      </w:r>
    </w:p>
    <w:p>
      <w:pPr>
        <w:tabs>
          <w:tab w:val="left" w:pos="606"/>
        </w:tabs>
        <w:spacing w:line="360" w:lineRule="exact"/>
        <w:rPr>
          <w:rFonts w:ascii="仿宋" w:hAnsi="仿宋" w:eastAsia="仿宋"/>
          <w:color w:val="000000" w:themeColor="text1"/>
          <w:sz w:val="30"/>
          <w:szCs w:val="30"/>
          <w14:textFill>
            <w14:solidFill>
              <w14:schemeClr w14:val="tx1"/>
            </w14:solidFill>
          </w14:textFill>
        </w:rPr>
      </w:pPr>
    </w:p>
    <w:p>
      <w:pPr>
        <w:widowControl/>
        <w:jc w:val="center"/>
      </w:pPr>
      <w:r>
        <w:rPr>
          <w:rFonts w:hint="eastAsia" w:ascii="仿宋" w:hAnsi="仿宋" w:eastAsia="仿宋"/>
          <w:b/>
          <w:sz w:val="36"/>
          <w:szCs w:val="36"/>
          <w:lang w:val="zh-CN"/>
        </w:rPr>
        <w:t>供应商诚信经营和诚信履约承诺书</w:t>
      </w:r>
    </w:p>
    <w:p>
      <w:pPr>
        <w:widowControl/>
        <w:jc w:val="center"/>
      </w:pP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我公司</w:t>
      </w:r>
      <w:r>
        <w:rPr>
          <w:rFonts w:hint="eastAsia" w:ascii="仿宋" w:hAnsi="仿宋" w:eastAsia="仿宋"/>
          <w:bCs/>
          <w:spacing w:val="-6"/>
          <w:sz w:val="30"/>
          <w:szCs w:val="30"/>
          <w:u w:val="single"/>
        </w:rPr>
        <w:t xml:space="preserve">    （投标人名称）   </w:t>
      </w:r>
      <w:r>
        <w:rPr>
          <w:rFonts w:ascii="仿宋" w:hAnsi="仿宋" w:eastAsia="仿宋"/>
          <w:bCs/>
          <w:spacing w:val="-6"/>
          <w:sz w:val="30"/>
          <w:szCs w:val="30"/>
          <w:u w:val="single"/>
        </w:rPr>
        <w:t xml:space="preserve"> </w:t>
      </w:r>
      <w:r>
        <w:rPr>
          <w:rFonts w:hint="eastAsia" w:ascii="仿宋" w:hAnsi="仿宋" w:eastAsia="仿宋"/>
          <w:bCs/>
          <w:spacing w:val="-6"/>
          <w:sz w:val="30"/>
          <w:szCs w:val="30"/>
        </w:rPr>
        <w:t>已详细阅读了</w:t>
      </w:r>
      <w:r>
        <w:rPr>
          <w:rFonts w:hint="eastAsia" w:ascii="仿宋" w:hAnsi="仿宋" w:eastAsia="仿宋"/>
          <w:bCs/>
          <w:spacing w:val="-6"/>
          <w:sz w:val="30"/>
          <w:szCs w:val="30"/>
          <w:u w:val="single"/>
        </w:rPr>
        <w:t>浙商银行股份有限公司</w:t>
      </w:r>
      <w:r>
        <w:rPr>
          <w:rFonts w:hint="eastAsia" w:ascii="仿宋" w:hAnsi="仿宋" w:eastAsia="仿宋"/>
          <w:spacing w:val="-6"/>
          <w:sz w:val="30"/>
          <w:szCs w:val="30"/>
          <w:u w:val="single"/>
        </w:rPr>
        <w:t>采购代理服务机构入围</w:t>
      </w:r>
      <w:r>
        <w:rPr>
          <w:rFonts w:ascii="仿宋" w:hAnsi="仿宋" w:eastAsia="仿宋"/>
          <w:spacing w:val="-6"/>
          <w:sz w:val="30"/>
          <w:szCs w:val="30"/>
          <w:u w:val="single"/>
        </w:rPr>
        <w:t>采购</w:t>
      </w:r>
      <w:r>
        <w:rPr>
          <w:rFonts w:hint="eastAsia" w:ascii="仿宋" w:hAnsi="仿宋" w:eastAsia="仿宋"/>
          <w:bCs/>
          <w:spacing w:val="-6"/>
          <w:sz w:val="30"/>
          <w:szCs w:val="30"/>
          <w:u w:val="single"/>
        </w:rPr>
        <w:t>项目</w:t>
      </w:r>
      <w:r>
        <w:rPr>
          <w:rFonts w:hint="eastAsia" w:ascii="仿宋" w:hAnsi="仿宋" w:eastAsia="仿宋"/>
          <w:bCs/>
          <w:spacing w:val="-6"/>
          <w:sz w:val="30"/>
          <w:szCs w:val="30"/>
        </w:rPr>
        <w:t>（项目编号：</w:t>
      </w:r>
      <w:r>
        <w:rPr>
          <w:rFonts w:ascii="仿宋" w:hAnsi="仿宋" w:eastAsia="仿宋"/>
          <w:bCs/>
          <w:spacing w:val="-6"/>
          <w:sz w:val="30"/>
          <w:szCs w:val="30"/>
          <w:u w:val="single"/>
        </w:rPr>
        <w:t>ZZCG2024Y-GK-203</w:t>
      </w:r>
      <w:r>
        <w:rPr>
          <w:rFonts w:hint="eastAsia" w:ascii="仿宋" w:hAnsi="仿宋" w:eastAsia="仿宋"/>
          <w:bCs/>
          <w:spacing w:val="-6"/>
          <w:sz w:val="30"/>
          <w:szCs w:val="30"/>
        </w:rPr>
        <w:t>）招标文件，自愿参加本次招标活动，现有关事项郑重承诺如下：</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一、我公司保证投标文件所提供的资料和内容均真实、合法、有效，保证不出借或者借用其他供应商的资质，不以他人名义投标，不弄虚作假。</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二、我公司保证所提供的产品或服务质量。保证所提供的服务严格按招标人要求，不打折扣，不降低服务质量，并承诺做到以下几点内容：</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（一）本单位与招标人之间不存在可能影响采购公正的利害关系；</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（二）不提供虚假材料谋取入围、中标、成交；</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（三）不采取不正当手段诋毁、排挤其他供应商；</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（四）不与招标人、其它供应商或者招标代理机构恶意串通，且不与其他供应商就本项目进行工作交流或产生交易行为；</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（五）不向招标人、招标代理机构行贿或者提供其他不正当利益；</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（六）在招标采购过程中不与招标人进行附加协商谈判；</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（七）接受有关部门监督检查且承诺如实提供情况。</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三、若中标，我公司严格按招标文件和合同要求，诚信履约，不与招标人订立有悖于招标结果的合同，严格履行采购合同，不降低合同约定的产品及相关服务质量，不擅自变更、中止、终止合同或拒绝履行合同。</w:t>
      </w:r>
    </w:p>
    <w:p>
      <w:pPr>
        <w:spacing w:line="360" w:lineRule="auto"/>
        <w:ind w:firstLine="576" w:firstLineChars="200"/>
        <w:rPr>
          <w:rFonts w:ascii="仿宋" w:hAnsi="仿宋" w:eastAsia="仿宋"/>
          <w:bCs/>
          <w:spacing w:val="-6"/>
          <w:sz w:val="30"/>
          <w:szCs w:val="30"/>
        </w:rPr>
      </w:pPr>
      <w:r>
        <w:rPr>
          <w:rFonts w:hint="eastAsia" w:ascii="仿宋" w:hAnsi="仿宋" w:eastAsia="仿宋"/>
          <w:bCs/>
          <w:spacing w:val="-6"/>
          <w:sz w:val="30"/>
          <w:szCs w:val="30"/>
        </w:rPr>
        <w:t>四、我公司保证，若有违反以上承诺行为，我公司自愿接受取消投标资格，记入不良记录，并在3年内禁止参加浙商银行开展的一切招标采购活动等处罚；如已中标（成交）的，取消中标（成交）资格，没收履约保证金（如有），并承担全部法律责任，给招标人造成损失的，我公司依法承担全部赔偿责任。</w:t>
      </w:r>
    </w:p>
    <w:p>
      <w:pPr>
        <w:spacing w:line="360" w:lineRule="auto"/>
        <w:rPr>
          <w:rFonts w:ascii="仿宋" w:hAnsi="仿宋" w:eastAsia="仿宋"/>
          <w:bCs/>
          <w:spacing w:val="-6"/>
          <w:sz w:val="30"/>
          <w:szCs w:val="30"/>
        </w:rPr>
      </w:pPr>
    </w:p>
    <w:p>
      <w:pPr>
        <w:spacing w:line="360" w:lineRule="auto"/>
        <w:rPr>
          <w:rFonts w:ascii="仿宋" w:hAnsi="仿宋" w:eastAsia="仿宋"/>
          <w:bCs/>
          <w:spacing w:val="-6"/>
          <w:sz w:val="30"/>
          <w:szCs w:val="30"/>
        </w:rPr>
      </w:pPr>
    </w:p>
    <w:p>
      <w:pPr>
        <w:spacing w:line="360" w:lineRule="auto"/>
        <w:rPr>
          <w:rFonts w:ascii="仿宋" w:hAnsi="仿宋" w:eastAsia="仿宋"/>
          <w:bCs/>
          <w:spacing w:val="-6"/>
          <w:sz w:val="30"/>
          <w:szCs w:val="30"/>
        </w:rPr>
      </w:pPr>
      <w:r>
        <w:rPr>
          <w:rFonts w:hint="eastAsia" w:ascii="仿宋" w:hAnsi="仿宋" w:eastAsia="仿宋"/>
          <w:bCs/>
          <w:spacing w:val="-6"/>
          <w:sz w:val="30"/>
          <w:szCs w:val="30"/>
        </w:rPr>
        <w:t>投标人名称（盖章）：</w:t>
      </w:r>
    </w:p>
    <w:p>
      <w:pPr>
        <w:spacing w:line="360" w:lineRule="auto"/>
        <w:rPr>
          <w:rFonts w:ascii="仿宋" w:hAnsi="仿宋" w:eastAsia="仿宋"/>
          <w:bCs/>
          <w:spacing w:val="-6"/>
          <w:sz w:val="30"/>
          <w:szCs w:val="30"/>
        </w:rPr>
      </w:pPr>
      <w:r>
        <w:rPr>
          <w:rFonts w:hint="eastAsia" w:ascii="仿宋" w:hAnsi="仿宋" w:eastAsia="仿宋"/>
          <w:bCs/>
          <w:spacing w:val="-6"/>
          <w:sz w:val="30"/>
          <w:szCs w:val="30"/>
        </w:rPr>
        <w:t>法定代表人（或投标人代表）（签字或盖章）：</w:t>
      </w:r>
    </w:p>
    <w:p>
      <w:pPr>
        <w:spacing w:line="360" w:lineRule="auto"/>
        <w:rPr>
          <w:rFonts w:ascii="仿宋" w:hAnsi="仿宋" w:eastAsia="仿宋"/>
          <w:bCs/>
          <w:spacing w:val="-6"/>
          <w:sz w:val="30"/>
          <w:szCs w:val="30"/>
        </w:rPr>
      </w:pPr>
      <w:r>
        <w:rPr>
          <w:rFonts w:hint="eastAsia" w:ascii="仿宋" w:hAnsi="仿宋" w:eastAsia="仿宋"/>
          <w:bCs/>
          <w:spacing w:val="-6"/>
          <w:sz w:val="30"/>
          <w:szCs w:val="30"/>
        </w:rPr>
        <w:t xml:space="preserve">日期：   </w:t>
      </w:r>
      <w:r>
        <w:rPr>
          <w:rFonts w:ascii="仿宋" w:hAnsi="仿宋" w:eastAsia="仿宋"/>
          <w:bCs/>
          <w:spacing w:val="-6"/>
          <w:sz w:val="30"/>
          <w:szCs w:val="30"/>
        </w:rPr>
        <w:t xml:space="preserve">  </w:t>
      </w:r>
      <w:r>
        <w:rPr>
          <w:rFonts w:hint="eastAsia" w:ascii="仿宋" w:hAnsi="仿宋" w:eastAsia="仿宋"/>
          <w:bCs/>
          <w:spacing w:val="-6"/>
          <w:sz w:val="30"/>
          <w:szCs w:val="30"/>
        </w:rPr>
        <w:t>年   月   日</w:t>
      </w:r>
    </w:p>
    <w:p>
      <w:pPr>
        <w:snapToGrid w:val="0"/>
        <w:spacing w:before="120" w:beforeLines="50" w:after="72" w:line="460" w:lineRule="exact"/>
        <w:ind w:firstLine="602"/>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b/>
          <w:bCs/>
          <w:spacing w:val="-6"/>
          <w:sz w:val="30"/>
          <w:szCs w:val="30"/>
        </w:rPr>
        <w:t>说明：本承诺书为投标文件的必备要件，由投标人的法定代表人（或投标人代表）签字或盖章并加盖公章，投标文件无承诺书或法定代表人（或投标人代表）未签字或盖章及加盖公章的作为无效投标处理，由投标人承担由此造成的一切后果和损失。</w:t>
      </w:r>
    </w:p>
    <w:p>
      <w:pPr>
        <w:snapToGrid w:val="0"/>
        <w:spacing w:before="120" w:beforeLines="50" w:after="72" w:line="460" w:lineRule="exact"/>
        <w:ind w:firstLine="600" w:firstLineChars="200"/>
        <w:rPr>
          <w:rFonts w:ascii="仿宋" w:hAnsi="仿宋" w:eastAsia="仿宋"/>
          <w:color w:val="000000" w:themeColor="text1"/>
          <w:sz w:val="30"/>
          <w:szCs w:val="30"/>
          <w:lang w:val="zh-CN"/>
          <w14:textFill>
            <w14:solidFill>
              <w14:schemeClr w14:val="tx1"/>
            </w14:solidFill>
          </w14:textFill>
        </w:rPr>
        <w:sectPr>
          <w:pgSz w:w="11906" w:h="16838"/>
          <w:pgMar w:top="1474" w:right="1797" w:bottom="1480" w:left="1797" w:header="851" w:footer="850" w:gutter="0"/>
          <w:cols w:space="0" w:num="1"/>
        </w:sectPr>
      </w:pPr>
    </w:p>
    <w:p>
      <w:pPr>
        <w:snapToGrid w:val="0"/>
        <w:spacing w:before="120" w:beforeLines="50" w:after="72"/>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附件7</w:t>
      </w:r>
      <w:r>
        <w:rPr>
          <w:rFonts w:hint="eastAsia" w:ascii="仿宋" w:hAnsi="仿宋" w:eastAsia="仿宋"/>
          <w:b/>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w:t>
      </w:r>
    </w:p>
    <w:p>
      <w:pPr>
        <w:spacing w:before="240" w:beforeLines="100" w:line="240" w:lineRule="atLeast"/>
        <w:jc w:val="center"/>
        <w:rPr>
          <w:rFonts w:ascii="仿宋" w:hAnsi="仿宋" w:eastAsia="仿宋" w:cs="仿宋"/>
          <w:b/>
          <w:color w:val="000000"/>
          <w:spacing w:val="40"/>
          <w:sz w:val="48"/>
          <w:szCs w:val="48"/>
          <w:lang w:bidi="ar"/>
        </w:rPr>
      </w:pPr>
      <w:r>
        <w:rPr>
          <w:rFonts w:hint="eastAsia" w:ascii="仿宋" w:hAnsi="仿宋" w:eastAsia="仿宋" w:cs="仿宋"/>
          <w:b/>
          <w:color w:val="000000"/>
          <w:spacing w:val="40"/>
          <w:sz w:val="48"/>
          <w:szCs w:val="48"/>
          <w:lang w:bidi="ar"/>
        </w:rPr>
        <w:t>浙商银行股份有限公司采购代理服务机构入围采购项目</w:t>
      </w:r>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项目编号：ZZCG2024Y-GK-203（标项  ）</w:t>
      </w:r>
    </w:p>
    <w:p>
      <w:pPr>
        <w:pStyle w:val="992"/>
        <w:rPr>
          <w:color w:val="000000" w:themeColor="text1"/>
          <w14:textFill>
            <w14:solidFill>
              <w14:schemeClr w14:val="tx1"/>
            </w14:solidFill>
          </w14:textFill>
        </w:rPr>
      </w:pP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技</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术</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及</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商</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务</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ind w:firstLine="723"/>
        <w:rPr>
          <w:rFonts w:ascii="仿宋" w:hAnsi="仿宋" w:eastAsia="仿宋" w:cs="仿宋"/>
          <w:color w:val="000000" w:themeColor="text1"/>
          <w:sz w:val="36"/>
          <w:szCs w:val="36"/>
          <w:lang w:bidi="ar"/>
          <w14:textFill>
            <w14:solidFill>
              <w14:schemeClr w14:val="tx1"/>
            </w14:solidFill>
          </w14:textFill>
        </w:rPr>
      </w:pPr>
      <w:r>
        <w:rPr>
          <w:rFonts w:hint="eastAsia" w:ascii="仿宋" w:hAnsi="仿宋" w:eastAsia="仿宋" w:cs="仿宋"/>
          <w:color w:val="000000" w:themeColor="text1"/>
          <w:sz w:val="36"/>
          <w:szCs w:val="36"/>
          <w:lang w:bidi="ar"/>
          <w14:textFill>
            <w14:solidFill>
              <w14:schemeClr w14:val="tx1"/>
            </w14:solidFill>
          </w14:textFill>
        </w:rPr>
        <w:br w:type="page"/>
      </w:r>
    </w:p>
    <w:p>
      <w:pPr>
        <w:snapToGrid w:val="0"/>
        <w:spacing w:before="72" w:after="72"/>
        <w:ind w:firstLine="723"/>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lang w:bidi="ar"/>
          <w14:textFill>
            <w14:solidFill>
              <w14:schemeClr w14:val="tx1"/>
            </w14:solidFill>
          </w14:textFill>
        </w:rPr>
        <w:t>2、</w:t>
      </w:r>
      <w:r>
        <w:rPr>
          <w:rFonts w:hint="eastAsia" w:ascii="仿宋" w:hAnsi="仿宋" w:eastAsia="仿宋" w:cs="仿宋"/>
          <w:b/>
          <w:color w:val="000000" w:themeColor="text1"/>
          <w:sz w:val="36"/>
          <w:szCs w:val="36"/>
          <w:lang w:bidi="ar"/>
          <w14:textFill>
            <w14:solidFill>
              <w14:schemeClr w14:val="tx1"/>
            </w14:solidFill>
          </w14:textFill>
        </w:rPr>
        <w:t>技术及商务文件目录</w:t>
      </w:r>
    </w:p>
    <w:p>
      <w:pPr>
        <w:snapToGrid w:val="0"/>
        <w:spacing w:line="460"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（1）评分对应表（格式见附件8，主要用于评委对应评分内容）</w:t>
      </w:r>
    </w:p>
    <w:p>
      <w:pPr>
        <w:snapToGrid w:val="0"/>
        <w:spacing w:line="460"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（2）技术响应表（格式见附件9）；</w:t>
      </w:r>
    </w:p>
    <w:p>
      <w:pPr>
        <w:snapToGrid w:val="0"/>
        <w:spacing w:line="460"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（3）项目总体解决方案（可包含且不限于对项目总体要求的理解、项目总体架构及技术解决方案等）；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（4）项目实施计划（可包含且不限于保证工期的施工组织方案及人力资源安排、项目组人员清单（格式见附件10）等）；</w:t>
      </w:r>
    </w:p>
    <w:p>
      <w:pPr>
        <w:snapToGrid w:val="0"/>
        <w:spacing w:line="460" w:lineRule="exact"/>
        <w:ind w:firstLine="600" w:firstLineChars="200"/>
        <w:jc w:val="left"/>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（5）商务响应表（格式见附件11）；</w:t>
      </w:r>
    </w:p>
    <w:p>
      <w:pPr>
        <w:snapToGrid w:val="0"/>
        <w:spacing w:line="460" w:lineRule="exact"/>
        <w:ind w:firstLine="600" w:firstLineChars="200"/>
        <w:rPr>
          <w:rFonts w:ascii="仿宋" w:hAnsi="仿宋" w:eastAsia="仿宋"/>
          <w:sz w:val="30"/>
          <w:szCs w:val="30"/>
        </w:rPr>
      </w:pPr>
      <w:r>
        <w:rPr>
          <w:rFonts w:hint="eastAsia" w:ascii="仿宋" w:hAnsi="仿宋" w:eastAsia="仿宋"/>
          <w:sz w:val="30"/>
          <w:szCs w:val="30"/>
        </w:rPr>
        <w:t>（6）保密承诺书（格式见附件12）；</w:t>
      </w:r>
    </w:p>
    <w:p>
      <w:pPr>
        <w:snapToGrid w:val="0"/>
        <w:spacing w:line="460"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sz w:val="30"/>
          <w:szCs w:val="30"/>
        </w:rPr>
        <w:t>（7）</w:t>
      </w:r>
      <w:r>
        <w:rPr>
          <w:rFonts w:hint="eastAsia" w:ascii="仿宋" w:hAnsi="仿宋" w:eastAsia="仿宋" w:cs="仿宋"/>
          <w:color w:val="000000" w:themeColor="text1"/>
          <w:sz w:val="30"/>
          <w:szCs w:val="30"/>
          <w:lang w:bidi="ar"/>
          <w14:textFill>
            <w14:solidFill>
              <w14:schemeClr w14:val="tx1"/>
            </w14:solidFill>
          </w14:textFill>
        </w:rPr>
        <w:t>技术培训计划（若有）；</w:t>
      </w:r>
    </w:p>
    <w:p>
      <w:pPr>
        <w:snapToGrid w:val="0"/>
        <w:spacing w:line="460"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（8）投标人履约能力（可包含且不限于技术力量情况、投标人各项能力证书）；</w:t>
      </w:r>
    </w:p>
    <w:p>
      <w:pPr>
        <w:snapToGrid w:val="0"/>
        <w:spacing w:line="460" w:lineRule="exact"/>
        <w:ind w:firstLine="600" w:firstLineChars="200"/>
        <w:jc w:val="left"/>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（9）</w:t>
      </w:r>
      <w:r>
        <w:rPr>
          <w:rFonts w:hint="eastAsia" w:ascii="仿宋" w:hAnsi="仿宋" w:eastAsia="仿宋" w:cs="仿宋"/>
          <w:b/>
          <w:bCs/>
          <w:color w:val="000000" w:themeColor="text1"/>
          <w:sz w:val="30"/>
          <w:szCs w:val="30"/>
          <w:lang w:bidi="ar"/>
          <w14:textFill>
            <w14:solidFill>
              <w14:schemeClr w14:val="tx1"/>
            </w14:solidFill>
          </w14:textFill>
        </w:rPr>
        <w:t>标项1：</w:t>
      </w:r>
      <w:r>
        <w:rPr>
          <w:rFonts w:hint="eastAsia" w:ascii="仿宋" w:hAnsi="仿宋" w:eastAsia="仿宋" w:cs="仿宋"/>
          <w:color w:val="000000" w:themeColor="text1"/>
          <w:sz w:val="30"/>
          <w:szCs w:val="30"/>
          <w:lang w:bidi="ar"/>
          <w14:textFill>
            <w14:solidFill>
              <w14:schemeClr w14:val="tx1"/>
            </w14:solidFill>
          </w14:textFill>
        </w:rPr>
        <w:t>2023年</w:t>
      </w:r>
      <w:r>
        <w:rPr>
          <w:rFonts w:hint="eastAsia" w:ascii="仿宋" w:hAnsi="仿宋" w:eastAsia="仿宋" w:cs="仿宋"/>
          <w:color w:val="000000" w:themeColor="text1"/>
          <w:sz w:val="30"/>
          <w:szCs w:val="30"/>
          <w:lang w:val="en-US" w:eastAsia="zh-CN" w:bidi="ar"/>
          <w14:textFill>
            <w14:solidFill>
              <w14:schemeClr w14:val="tx1"/>
            </w14:solidFill>
          </w14:textFill>
        </w:rPr>
        <w:t>1月1日以来</w:t>
      </w:r>
      <w:r>
        <w:rPr>
          <w:rFonts w:hint="eastAsia" w:ascii="仿宋" w:hAnsi="仿宋" w:eastAsia="仿宋" w:cs="仿宋"/>
          <w:color w:val="000000" w:themeColor="text1"/>
          <w:sz w:val="30"/>
          <w:szCs w:val="30"/>
          <w:lang w:bidi="ar"/>
          <w14:textFill>
            <w14:solidFill>
              <w14:schemeClr w14:val="tx1"/>
            </w14:solidFill>
          </w14:textFill>
        </w:rPr>
        <w:t>业主为国有企业的采购代理案例汇总表（格式见附件13）；</w:t>
      </w:r>
    </w:p>
    <w:p>
      <w:pPr>
        <w:snapToGrid w:val="0"/>
        <w:spacing w:line="460" w:lineRule="exact"/>
        <w:ind w:firstLine="600" w:firstLineChars="200"/>
        <w:jc w:val="left"/>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2023年</w:t>
      </w:r>
      <w:r>
        <w:rPr>
          <w:rFonts w:hint="eastAsia" w:ascii="仿宋" w:hAnsi="仿宋" w:eastAsia="仿宋" w:cs="仿宋"/>
          <w:color w:val="000000" w:themeColor="text1"/>
          <w:sz w:val="30"/>
          <w:szCs w:val="30"/>
          <w:lang w:val="en-US" w:eastAsia="zh-CN" w:bidi="ar"/>
          <w14:textFill>
            <w14:solidFill>
              <w14:schemeClr w14:val="tx1"/>
            </w14:solidFill>
          </w14:textFill>
        </w:rPr>
        <w:t>1月1日以来</w:t>
      </w:r>
      <w:r>
        <w:rPr>
          <w:rFonts w:hint="eastAsia" w:ascii="仿宋" w:hAnsi="仿宋" w:eastAsia="仿宋" w:cs="仿宋"/>
          <w:color w:val="000000" w:themeColor="text1"/>
          <w:sz w:val="30"/>
          <w:szCs w:val="30"/>
          <w:lang w:bidi="ar"/>
          <w14:textFill>
            <w14:solidFill>
              <w14:schemeClr w14:val="tx1"/>
            </w14:solidFill>
          </w14:textFill>
        </w:rPr>
        <w:t>政府采购项目案例汇总表（格式见附件14）；</w:t>
      </w:r>
    </w:p>
    <w:p>
      <w:pPr>
        <w:snapToGrid w:val="0"/>
        <w:spacing w:line="460" w:lineRule="exact"/>
        <w:ind w:firstLine="600" w:firstLineChars="200"/>
        <w:jc w:val="left"/>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2023年</w:t>
      </w:r>
      <w:r>
        <w:rPr>
          <w:rFonts w:hint="eastAsia" w:ascii="仿宋" w:hAnsi="仿宋" w:eastAsia="仿宋" w:cs="仿宋"/>
          <w:color w:val="000000" w:themeColor="text1"/>
          <w:sz w:val="30"/>
          <w:szCs w:val="30"/>
          <w:lang w:val="en-US" w:eastAsia="zh-CN" w:bidi="ar"/>
          <w14:textFill>
            <w14:solidFill>
              <w14:schemeClr w14:val="tx1"/>
            </w14:solidFill>
          </w14:textFill>
        </w:rPr>
        <w:t>1月1日以来</w:t>
      </w:r>
      <w:r>
        <w:rPr>
          <w:rFonts w:hint="eastAsia" w:ascii="仿宋" w:hAnsi="仿宋" w:eastAsia="仿宋" w:cs="仿宋"/>
          <w:color w:val="000000" w:themeColor="text1"/>
          <w:sz w:val="30"/>
          <w:szCs w:val="30"/>
          <w:lang w:bidi="ar"/>
          <w14:textFill>
            <w14:solidFill>
              <w14:schemeClr w14:val="tx1"/>
            </w14:solidFill>
          </w14:textFill>
        </w:rPr>
        <w:t>业主自行组织招标的工程（或与工程相关的货物及服务）类项目案例汇总表（格式见附件15）；</w:t>
      </w:r>
    </w:p>
    <w:p>
      <w:pPr>
        <w:snapToGrid w:val="0"/>
        <w:spacing w:line="460" w:lineRule="exact"/>
        <w:ind w:firstLine="602" w:firstLineChars="200"/>
        <w:jc w:val="left"/>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b/>
          <w:bCs/>
          <w:color w:val="000000" w:themeColor="text1"/>
          <w:sz w:val="30"/>
          <w:szCs w:val="30"/>
          <w:lang w:bidi="ar"/>
          <w14:textFill>
            <w14:solidFill>
              <w14:schemeClr w14:val="tx1"/>
            </w14:solidFill>
          </w14:textFill>
        </w:rPr>
        <w:t>标项2：</w:t>
      </w:r>
      <w:r>
        <w:rPr>
          <w:rFonts w:hint="eastAsia" w:ascii="仿宋" w:hAnsi="仿宋" w:eastAsia="仿宋" w:cs="仿宋"/>
          <w:color w:val="000000" w:themeColor="text1"/>
          <w:sz w:val="30"/>
          <w:szCs w:val="30"/>
          <w:lang w:bidi="ar"/>
          <w14:textFill>
            <w14:solidFill>
              <w14:schemeClr w14:val="tx1"/>
            </w14:solidFill>
          </w14:textFill>
        </w:rPr>
        <w:t>2023年</w:t>
      </w:r>
      <w:r>
        <w:rPr>
          <w:rFonts w:hint="eastAsia" w:ascii="仿宋" w:hAnsi="仿宋" w:eastAsia="仿宋" w:cs="仿宋"/>
          <w:color w:val="000000" w:themeColor="text1"/>
          <w:sz w:val="30"/>
          <w:szCs w:val="30"/>
          <w:lang w:val="en-US" w:eastAsia="zh-CN" w:bidi="ar"/>
          <w14:textFill>
            <w14:solidFill>
              <w14:schemeClr w14:val="tx1"/>
            </w14:solidFill>
          </w14:textFill>
        </w:rPr>
        <w:t>1月1日以来</w:t>
      </w:r>
      <w:r>
        <w:rPr>
          <w:rFonts w:hint="eastAsia" w:ascii="仿宋" w:hAnsi="仿宋" w:eastAsia="仿宋" w:cs="仿宋"/>
          <w:color w:val="000000" w:themeColor="text1"/>
          <w:sz w:val="30"/>
          <w:szCs w:val="30"/>
          <w:lang w:bidi="ar"/>
          <w14:textFill>
            <w14:solidFill>
              <w14:schemeClr w14:val="tx1"/>
            </w14:solidFill>
          </w14:textFill>
        </w:rPr>
        <w:t>采用“评定分离”的依法必须招标项目的招标代理案例汇总表（格式见附件16）；</w:t>
      </w:r>
    </w:p>
    <w:p>
      <w:pPr>
        <w:snapToGrid w:val="0"/>
        <w:spacing w:line="460" w:lineRule="exact"/>
        <w:ind w:firstLine="600" w:firstLineChars="200"/>
        <w:jc w:val="left"/>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2023年</w:t>
      </w:r>
      <w:r>
        <w:rPr>
          <w:rFonts w:hint="eastAsia" w:ascii="仿宋" w:hAnsi="仿宋" w:eastAsia="仿宋" w:cs="仿宋"/>
          <w:color w:val="000000" w:themeColor="text1"/>
          <w:sz w:val="30"/>
          <w:szCs w:val="30"/>
          <w:lang w:val="en-US" w:eastAsia="zh-CN" w:bidi="ar"/>
          <w14:textFill>
            <w14:solidFill>
              <w14:schemeClr w14:val="tx1"/>
            </w14:solidFill>
          </w14:textFill>
        </w:rPr>
        <w:t>1月1日以来</w:t>
      </w:r>
      <w:r>
        <w:rPr>
          <w:rFonts w:hint="eastAsia" w:ascii="仿宋" w:hAnsi="仿宋" w:eastAsia="仿宋" w:cs="仿宋"/>
          <w:color w:val="000000" w:themeColor="text1"/>
          <w:sz w:val="30"/>
          <w:szCs w:val="30"/>
          <w:lang w:bidi="ar"/>
          <w14:textFill>
            <w14:solidFill>
              <w14:schemeClr w14:val="tx1"/>
            </w14:solidFill>
          </w14:textFill>
        </w:rPr>
        <w:t>不采用“评定分离”的依法必须招标项目的招标代理案例汇总表（格式见附件17）；</w:t>
      </w:r>
    </w:p>
    <w:p>
      <w:pPr>
        <w:snapToGrid w:val="0"/>
        <w:spacing w:line="460"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sz w:val="30"/>
          <w:szCs w:val="30"/>
        </w:rPr>
        <w:t>（12）</w:t>
      </w:r>
      <w:r>
        <w:rPr>
          <w:rFonts w:hint="eastAsia" w:ascii="仿宋" w:hAnsi="仿宋" w:eastAsia="仿宋" w:cs="仿宋"/>
          <w:color w:val="000000" w:themeColor="text1"/>
          <w:sz w:val="30"/>
          <w:szCs w:val="30"/>
          <w:lang w:bidi="ar"/>
          <w14:textFill>
            <w14:solidFill>
              <w14:schemeClr w14:val="tx1"/>
            </w14:solidFill>
          </w14:textFill>
        </w:rPr>
        <w:t>投标人认为需要的其他文件资料。</w:t>
      </w:r>
    </w:p>
    <w:p>
      <w:pPr>
        <w:snapToGrid w:val="0"/>
        <w:spacing w:before="72" w:after="120" w:afterLines="50"/>
        <w:ind w:firstLine="602"/>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w:t>
      </w:r>
    </w:p>
    <w:p>
      <w:pPr>
        <w:snapToGrid w:val="0"/>
        <w:spacing w:before="72"/>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bidi="ar"/>
          <w14:textFill>
            <w14:solidFill>
              <w14:schemeClr w14:val="tx1"/>
            </w14:solidFill>
          </w14:textFill>
        </w:rPr>
        <w:br w:type="page"/>
      </w:r>
      <w:r>
        <w:rPr>
          <w:rFonts w:hint="eastAsia" w:ascii="仿宋" w:hAnsi="仿宋" w:eastAsia="仿宋" w:cs="仿宋"/>
          <w:color w:val="000000" w:themeColor="text1"/>
          <w:sz w:val="30"/>
          <w:szCs w:val="30"/>
          <w:lang w:bidi="ar"/>
          <w14:textFill>
            <w14:solidFill>
              <w14:schemeClr w14:val="tx1"/>
            </w14:solidFill>
          </w14:textFill>
        </w:rPr>
        <w:t>附件8：</w:t>
      </w:r>
    </w:p>
    <w:p>
      <w:pPr>
        <w:snapToGrid w:val="0"/>
        <w:spacing w:before="72" w:after="72"/>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lang w:bidi="ar"/>
          <w14:textFill>
            <w14:solidFill>
              <w14:schemeClr w14:val="tx1"/>
            </w14:solidFill>
          </w14:textFill>
        </w:rPr>
        <w:t>评分对应表</w:t>
      </w:r>
    </w:p>
    <w:p>
      <w:pPr>
        <w:snapToGrid w:val="0"/>
        <w:spacing w:before="72"/>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 xml:space="preserve"> </w:t>
      </w:r>
    </w:p>
    <w:p>
      <w:pPr>
        <w:pStyle w:val="53"/>
        <w:snapToGrid w:val="0"/>
        <w:spacing w:before="72" w:beforeAutospacing="0" w:after="72"/>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投标人全称（公章）：              标项：</w:t>
      </w:r>
    </w:p>
    <w:tbl>
      <w:tblPr>
        <w:tblStyle w:val="59"/>
        <w:tblW w:w="838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887"/>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388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评分项目</w:t>
            </w:r>
          </w:p>
        </w:tc>
        <w:tc>
          <w:tcPr>
            <w:tcW w:w="305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投标文件对应资料</w:t>
            </w:r>
          </w:p>
        </w:tc>
        <w:tc>
          <w:tcPr>
            <w:tcW w:w="143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对应第三章评分办法及评分标准（报价除外）</w:t>
            </w: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w:t>
            </w: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授权代表签名：               日期：</w:t>
      </w:r>
    </w:p>
    <w:p>
      <w:pPr>
        <w:snapToGrid w:val="0"/>
        <w:spacing w:before="72" w:after="120" w:afterLines="5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bidi="ar"/>
          <w14:textFill>
            <w14:solidFill>
              <w14:schemeClr w14:val="tx1"/>
            </w14:solidFill>
          </w14:textFill>
        </w:rPr>
        <w:br w:type="page"/>
      </w:r>
      <w:r>
        <w:rPr>
          <w:rFonts w:hint="eastAsia" w:ascii="仿宋" w:hAnsi="仿宋" w:eastAsia="仿宋" w:cs="仿宋"/>
          <w:color w:val="000000" w:themeColor="text1"/>
          <w:sz w:val="30"/>
          <w:szCs w:val="30"/>
          <w:lang w:bidi="ar"/>
          <w14:textFill>
            <w14:solidFill>
              <w14:schemeClr w14:val="tx1"/>
            </w14:solidFill>
          </w14:textFill>
        </w:rPr>
        <w:t>附件9：</w:t>
      </w:r>
    </w:p>
    <w:p>
      <w:pPr>
        <w:snapToGrid w:val="0"/>
        <w:spacing w:before="72" w:after="72"/>
        <w:rPr>
          <w:rFonts w:ascii="仿宋" w:hAnsi="仿宋" w:eastAsia="仿宋" w:cs="仿宋"/>
          <w:color w:val="000000" w:themeColor="text1"/>
          <w:sz w:val="30"/>
          <w:szCs w:val="30"/>
          <w14:textFill>
            <w14:solidFill>
              <w14:schemeClr w14:val="tx1"/>
            </w14:solidFill>
          </w14:textFill>
        </w:rPr>
      </w:pPr>
    </w:p>
    <w:p>
      <w:pPr>
        <w:snapToGrid w:val="0"/>
        <w:spacing w:before="72" w:after="120" w:afterLines="50"/>
        <w:jc w:val="center"/>
        <w:rPr>
          <w:rFonts w:ascii="仿宋" w:hAnsi="仿宋" w:eastAsia="仿宋" w:cs="仿宋"/>
          <w:b/>
          <w:color w:val="000000" w:themeColor="text1"/>
          <w:spacing w:val="40"/>
          <w:kern w:val="0"/>
          <w:sz w:val="36"/>
          <w:szCs w:val="36"/>
          <w14:textFill>
            <w14:solidFill>
              <w14:schemeClr w14:val="tx1"/>
            </w14:solidFill>
          </w14:textFill>
        </w:rPr>
      </w:pPr>
      <w:r>
        <w:rPr>
          <w:rFonts w:hint="eastAsia" w:ascii="仿宋" w:hAnsi="仿宋" w:eastAsia="仿宋" w:cs="仿宋"/>
          <w:b/>
          <w:color w:val="000000" w:themeColor="text1"/>
          <w:spacing w:val="40"/>
          <w:kern w:val="0"/>
          <w:sz w:val="36"/>
          <w:szCs w:val="36"/>
          <w:lang w:bidi="ar"/>
          <w14:textFill>
            <w14:solidFill>
              <w14:schemeClr w14:val="tx1"/>
            </w14:solidFill>
          </w14:textFill>
        </w:rPr>
        <w:t>技 术 响 应 表</w:t>
      </w:r>
    </w:p>
    <w:p>
      <w:pPr>
        <w:snapToGrid w:val="0"/>
        <w:spacing w:before="72" w:after="120" w:afterLines="5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 xml:space="preserve"> </w:t>
      </w:r>
    </w:p>
    <w:p>
      <w:pPr>
        <w:pStyle w:val="53"/>
        <w:snapToGrid w:val="0"/>
        <w:spacing w:before="72" w:beforeAutospacing="0" w:after="72"/>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投标人全称（公章）：            标项：</w:t>
      </w:r>
    </w:p>
    <w:tbl>
      <w:tblPr>
        <w:tblStyle w:val="59"/>
        <w:tblW w:w="853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913"/>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04" w:hRule="atLeast"/>
        </w:trPr>
        <w:tc>
          <w:tcPr>
            <w:tcW w:w="3913" w:type="dxa"/>
            <w:tcBorders>
              <w:top w:val="single" w:color="auto" w:sz="4" w:space="0"/>
              <w:left w:val="single" w:color="auto" w:sz="4" w:space="0"/>
              <w:bottom w:val="single" w:color="auto" w:sz="4" w:space="0"/>
              <w:right w:val="single" w:color="auto" w:sz="4" w:space="0"/>
            </w:tcBorders>
          </w:tcPr>
          <w:p>
            <w:pPr>
              <w:snapToGrid w:val="0"/>
              <w:spacing w:before="72" w:after="120" w:afterLines="5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招标文件要求</w:t>
            </w:r>
          </w:p>
        </w:tc>
        <w:tc>
          <w:tcPr>
            <w:tcW w:w="2197" w:type="dxa"/>
            <w:tcBorders>
              <w:top w:val="single" w:color="auto" w:sz="4" w:space="0"/>
              <w:left w:val="nil"/>
              <w:bottom w:val="single" w:color="auto" w:sz="4" w:space="0"/>
              <w:right w:val="single" w:color="auto" w:sz="4" w:space="0"/>
            </w:tcBorders>
          </w:tcPr>
          <w:p>
            <w:pPr>
              <w:snapToGrid w:val="0"/>
              <w:spacing w:before="72" w:after="120" w:afterLines="5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投标文件响应</w:t>
            </w:r>
          </w:p>
        </w:tc>
        <w:tc>
          <w:tcPr>
            <w:tcW w:w="2425" w:type="dxa"/>
            <w:tcBorders>
              <w:top w:val="single" w:color="auto" w:sz="4" w:space="0"/>
              <w:left w:val="nil"/>
              <w:bottom w:val="single" w:color="auto" w:sz="4" w:space="0"/>
              <w:right w:val="single" w:color="auto" w:sz="4" w:space="0"/>
            </w:tcBorders>
          </w:tcPr>
          <w:p>
            <w:pPr>
              <w:snapToGrid w:val="0"/>
              <w:spacing w:before="72" w:after="120" w:afterLines="5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rPr>
                <w:rFonts w:ascii="仿宋" w:hAnsi="仿宋" w:eastAsia="仿宋" w:cs="仿宋"/>
                <w:color w:val="000000" w:themeColor="text1"/>
                <w:sz w:val="30"/>
                <w:szCs w:val="30"/>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2"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425" w:type="dxa"/>
            <w:tcBorders>
              <w:top w:val="single" w:color="auto" w:sz="4" w:space="0"/>
              <w:left w:val="nil"/>
              <w:bottom w:val="nil"/>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7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53"/>
              <w:snapToGrid w:val="0"/>
              <w:spacing w:before="120" w:beforeLines="50" w:after="72" w:line="400" w:lineRule="exact"/>
              <w:outlineLvl w:val="0"/>
              <w:rPr>
                <w:rFonts w:ascii="仿宋" w:hAnsi="仿宋" w:eastAsia="仿宋" w:cs="仿宋"/>
                <w:color w:val="000000" w:themeColor="text1"/>
                <w:sz w:val="30"/>
                <w:szCs w:val="30"/>
                <w14:textFill>
                  <w14:solidFill>
                    <w14:schemeClr w14:val="tx1"/>
                  </w14:solidFill>
                </w14:textFill>
              </w:rPr>
            </w:pPr>
          </w:p>
        </w:tc>
      </w:tr>
    </w:tbl>
    <w:p>
      <w:pPr>
        <w:pStyle w:val="53"/>
        <w:snapToGrid w:val="0"/>
        <w:spacing w:before="72" w:after="72"/>
        <w:ind w:firstLine="600"/>
        <w:rPr>
          <w:rFonts w:ascii="仿宋" w:hAnsi="仿宋" w:eastAsia="仿宋" w:cs="仿宋"/>
          <w:color w:val="000000" w:themeColor="text1"/>
          <w:spacing w:val="20"/>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注：投标人应根据投标设备的性能指标、对照招标文件要求在“偏离情况”栏注明“正偏离”、“负偏离”或“无偏离”。</w:t>
      </w:r>
    </w:p>
    <w:p>
      <w:pPr>
        <w:snapToGrid w:val="0"/>
        <w:spacing w:before="72" w:after="72"/>
        <w:rPr>
          <w:rFonts w:ascii="仿宋" w:hAnsi="仿宋" w:eastAsia="仿宋" w:cs="仿宋"/>
          <w:color w:val="000000" w:themeColor="text1"/>
          <w:spacing w:val="20"/>
          <w:sz w:val="30"/>
          <w:szCs w:val="30"/>
          <w14:textFill>
            <w14:solidFill>
              <w14:schemeClr w14:val="tx1"/>
            </w14:solidFill>
          </w14:textFill>
        </w:rPr>
      </w:pPr>
      <w:r>
        <w:rPr>
          <w:rFonts w:hint="eastAsia" w:ascii="仿宋" w:hAnsi="仿宋" w:eastAsia="仿宋" w:cs="仿宋"/>
          <w:color w:val="000000" w:themeColor="text1"/>
          <w:spacing w:val="20"/>
          <w:sz w:val="30"/>
          <w:szCs w:val="30"/>
          <w:lang w:bidi="ar"/>
          <w14:textFill>
            <w14:solidFill>
              <w14:schemeClr w14:val="tx1"/>
            </w14:solidFill>
          </w14:textFill>
        </w:rPr>
        <w:t xml:space="preserve"> </w:t>
      </w:r>
    </w:p>
    <w:p>
      <w:pPr>
        <w:snapToGrid w:val="0"/>
        <w:spacing w:before="72" w:after="7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pacing w:val="20"/>
          <w:sz w:val="30"/>
          <w:szCs w:val="30"/>
          <w:lang w:bidi="ar"/>
          <w14:textFill>
            <w14:solidFill>
              <w14:schemeClr w14:val="tx1"/>
            </w14:solidFill>
          </w14:textFill>
        </w:rPr>
        <w:t>授权代表签名：          日 期：</w:t>
      </w:r>
    </w:p>
    <w:p>
      <w:pPr>
        <w:snapToGrid w:val="0"/>
        <w:spacing w:before="72" w:after="120" w:afterLines="5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w:t>
      </w:r>
    </w:p>
    <w:p>
      <w:pPr>
        <w:snapToGrid w:val="0"/>
        <w:spacing w:before="72" w:after="7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bidi="ar"/>
          <w14:textFill>
            <w14:solidFill>
              <w14:schemeClr w14:val="tx1"/>
            </w14:solidFill>
          </w14:textFill>
        </w:rPr>
        <w:br w:type="page"/>
      </w:r>
      <w:r>
        <w:rPr>
          <w:rFonts w:hint="eastAsia" w:ascii="仿宋" w:hAnsi="仿宋" w:eastAsia="仿宋" w:cs="仿宋"/>
          <w:color w:val="000000" w:themeColor="text1"/>
          <w:sz w:val="30"/>
          <w:szCs w:val="30"/>
          <w:lang w:bidi="ar"/>
          <w14:textFill>
            <w14:solidFill>
              <w14:schemeClr w14:val="tx1"/>
            </w14:solidFill>
          </w14:textFill>
        </w:rPr>
        <w:t>附件10：</w:t>
      </w:r>
    </w:p>
    <w:p>
      <w:pPr>
        <w:snapToGrid w:val="0"/>
        <w:spacing w:before="72" w:after="120" w:afterLines="50"/>
        <w:jc w:val="center"/>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lang w:bidi="ar"/>
          <w14:textFill>
            <w14:solidFill>
              <w14:schemeClr w14:val="tx1"/>
            </w14:solidFill>
          </w14:textFill>
        </w:rPr>
        <w:t>项目组人员清单</w:t>
      </w:r>
    </w:p>
    <w:p>
      <w:pPr>
        <w:snapToGrid w:val="0"/>
        <w:spacing w:before="120" w:beforeLines="50" w:after="7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 xml:space="preserve"> </w:t>
      </w:r>
    </w:p>
    <w:p>
      <w:pPr>
        <w:pStyle w:val="53"/>
        <w:snapToGrid w:val="0"/>
        <w:spacing w:before="72" w:after="72"/>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投标人全称（公章）：              标项：</w:t>
      </w:r>
    </w:p>
    <w:tbl>
      <w:tblPr>
        <w:tblStyle w:val="59"/>
        <w:tblW w:w="853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04"/>
        <w:gridCol w:w="1004"/>
        <w:gridCol w:w="1664"/>
        <w:gridCol w:w="1261"/>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72" w:line="460" w:lineRule="exact"/>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姓名</w:t>
            </w:r>
          </w:p>
        </w:tc>
        <w:tc>
          <w:tcPr>
            <w:tcW w:w="1004" w:type="dxa"/>
            <w:tcBorders>
              <w:top w:val="single" w:color="auto" w:sz="4" w:space="0"/>
              <w:left w:val="nil"/>
              <w:bottom w:val="single" w:color="auto" w:sz="4" w:space="0"/>
              <w:right w:val="single" w:color="auto" w:sz="4" w:space="0"/>
            </w:tcBorders>
            <w:vAlign w:val="center"/>
          </w:tcPr>
          <w:p>
            <w:pPr>
              <w:snapToGrid w:val="0"/>
              <w:spacing w:before="120" w:beforeLines="50" w:after="72" w:line="460" w:lineRule="exact"/>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职务</w:t>
            </w:r>
          </w:p>
        </w:tc>
        <w:tc>
          <w:tcPr>
            <w:tcW w:w="1664" w:type="dxa"/>
            <w:tcBorders>
              <w:top w:val="single" w:color="auto" w:sz="4" w:space="0"/>
              <w:left w:val="nil"/>
              <w:bottom w:val="single" w:color="auto" w:sz="4" w:space="0"/>
              <w:right w:val="single" w:color="auto" w:sz="4" w:space="0"/>
            </w:tcBorders>
            <w:vAlign w:val="center"/>
          </w:tcPr>
          <w:p>
            <w:pPr>
              <w:snapToGrid w:val="0"/>
              <w:spacing w:before="120" w:beforeLines="50" w:after="72" w:line="4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专业技</w:t>
            </w:r>
          </w:p>
          <w:p>
            <w:pPr>
              <w:snapToGrid w:val="0"/>
              <w:spacing w:before="120" w:beforeLines="50" w:after="72" w:line="4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术资格</w:t>
            </w:r>
          </w:p>
        </w:tc>
        <w:tc>
          <w:tcPr>
            <w:tcW w:w="1261" w:type="dxa"/>
            <w:tcBorders>
              <w:top w:val="single" w:color="auto" w:sz="4" w:space="0"/>
              <w:left w:val="nil"/>
              <w:bottom w:val="single" w:color="auto" w:sz="4" w:space="0"/>
              <w:right w:val="single" w:color="auto" w:sz="4" w:space="0"/>
            </w:tcBorders>
            <w:vAlign w:val="center"/>
          </w:tcPr>
          <w:p>
            <w:pPr>
              <w:snapToGrid w:val="0"/>
              <w:spacing w:before="120" w:beforeLines="50" w:after="72" w:line="4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证书</w:t>
            </w:r>
          </w:p>
          <w:p>
            <w:pPr>
              <w:snapToGrid w:val="0"/>
              <w:spacing w:before="120" w:beforeLines="50" w:after="72" w:line="4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编号</w:t>
            </w:r>
          </w:p>
        </w:tc>
        <w:tc>
          <w:tcPr>
            <w:tcW w:w="1801" w:type="dxa"/>
            <w:tcBorders>
              <w:top w:val="single" w:color="auto" w:sz="4" w:space="0"/>
              <w:left w:val="nil"/>
              <w:bottom w:val="single" w:color="auto" w:sz="4" w:space="0"/>
              <w:right w:val="single" w:color="auto" w:sz="4" w:space="0"/>
            </w:tcBorders>
            <w:vAlign w:val="center"/>
          </w:tcPr>
          <w:p>
            <w:pPr>
              <w:snapToGrid w:val="0"/>
              <w:spacing w:before="120" w:beforeLines="50" w:after="72" w:line="4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参加本单位工作时间</w:t>
            </w:r>
          </w:p>
        </w:tc>
        <w:tc>
          <w:tcPr>
            <w:tcW w:w="1801" w:type="dxa"/>
            <w:tcBorders>
              <w:top w:val="single" w:color="auto" w:sz="4" w:space="0"/>
              <w:left w:val="nil"/>
              <w:bottom w:val="single" w:color="auto" w:sz="4" w:space="0"/>
              <w:right w:val="single" w:color="auto" w:sz="4" w:space="0"/>
            </w:tcBorders>
            <w:vAlign w:val="center"/>
          </w:tcPr>
          <w:p>
            <w:pPr>
              <w:snapToGrid w:val="0"/>
              <w:spacing w:before="120" w:beforeLines="50" w:after="72" w:line="4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劳动合</w:t>
            </w:r>
          </w:p>
          <w:p>
            <w:pPr>
              <w:snapToGrid w:val="0"/>
              <w:spacing w:before="120" w:beforeLines="50" w:after="72" w:line="460" w:lineRule="exact"/>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pStyle w:val="53"/>
              <w:snapToGrid w:val="0"/>
              <w:spacing w:before="120" w:beforeLines="50" w:beforeAutospacing="0" w:after="72" w:afterAutospacing="0" w:line="460" w:lineRule="exact"/>
              <w:ind w:left="5250" w:leftChars="2500"/>
              <w:rPr>
                <w:rFonts w:ascii="仿宋" w:hAnsi="仿宋" w:eastAsia="仿宋" w:cs="仿宋"/>
                <w:b/>
                <w:color w:val="000000" w:themeColor="text1"/>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72" w:line="460" w:lineRule="exact"/>
              <w:rPr>
                <w:rFonts w:ascii="仿宋" w:hAnsi="仿宋" w:eastAsia="仿宋" w:cs="仿宋"/>
                <w:b/>
                <w:color w:val="000000" w:themeColor="text1"/>
                <w:kern w:val="0"/>
                <w:sz w:val="30"/>
                <w:szCs w:val="30"/>
                <w14:textFill>
                  <w14:solidFill>
                    <w14:schemeClr w14:val="tx1"/>
                  </w14:solidFill>
                </w14:textFill>
              </w:rPr>
            </w:pPr>
          </w:p>
        </w:tc>
      </w:tr>
    </w:tbl>
    <w:p>
      <w:pPr>
        <w:snapToGrid w:val="0"/>
        <w:spacing w:before="72" w:after="120" w:afterLines="50" w:line="460" w:lineRule="exact"/>
        <w:ind w:firstLine="602"/>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注：在填写时，如本表格不适合投标单位的实际情况，可根据本表格式自行划表填写。 </w:t>
      </w:r>
    </w:p>
    <w:p>
      <w:pPr>
        <w:snapToGrid w:val="0"/>
        <w:spacing w:before="72" w:after="120" w:afterLines="50" w:line="460" w:lineRule="exact"/>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w:t>
      </w:r>
    </w:p>
    <w:p>
      <w:pPr>
        <w:snapToGrid w:val="0"/>
        <w:spacing w:before="72" w:after="72" w:line="460" w:lineRule="exact"/>
        <w:rPr>
          <w:rFonts w:ascii="仿宋" w:hAnsi="仿宋" w:eastAsia="仿宋" w:cs="仿宋"/>
          <w:color w:val="000000" w:themeColor="text1"/>
          <w:spacing w:val="20"/>
          <w:sz w:val="30"/>
          <w:szCs w:val="30"/>
          <w:u w:val="single"/>
          <w14:textFill>
            <w14:solidFill>
              <w14:schemeClr w14:val="tx1"/>
            </w14:solidFill>
          </w14:textFill>
        </w:rPr>
      </w:pPr>
      <w:r>
        <w:rPr>
          <w:rFonts w:hint="eastAsia" w:ascii="仿宋" w:hAnsi="仿宋" w:eastAsia="仿宋" w:cs="仿宋"/>
          <w:color w:val="000000" w:themeColor="text1"/>
          <w:spacing w:val="20"/>
          <w:sz w:val="30"/>
          <w:szCs w:val="30"/>
          <w:lang w:bidi="ar"/>
          <w14:textFill>
            <w14:solidFill>
              <w14:schemeClr w14:val="tx1"/>
            </w14:solidFill>
          </w14:textFill>
        </w:rPr>
        <w:t>授权代表签名： 日  期：</w:t>
      </w:r>
    </w:p>
    <w:p>
      <w:pPr>
        <w:snapToGrid w:val="0"/>
        <w:spacing w:before="72" w:after="120" w:afterLines="50" w:line="460" w:lineRule="exact"/>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w:t>
      </w:r>
    </w:p>
    <w:p>
      <w:pPr>
        <w:pStyle w:val="53"/>
        <w:snapToGrid w:val="0"/>
        <w:spacing w:before="120" w:beforeLines="50" w:after="72" w:line="4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w:t>
      </w:r>
    </w:p>
    <w:p>
      <w:pPr>
        <w:snapToGrid w:val="0"/>
        <w:spacing w:before="72"/>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bidi="ar"/>
          <w14:textFill>
            <w14:solidFill>
              <w14:schemeClr w14:val="tx1"/>
            </w14:solidFill>
          </w14:textFill>
        </w:rPr>
        <w:br w:type="page"/>
      </w:r>
      <w:r>
        <w:rPr>
          <w:rFonts w:hint="eastAsia" w:ascii="仿宋" w:hAnsi="仿宋" w:eastAsia="仿宋" w:cs="仿宋"/>
          <w:color w:val="000000" w:themeColor="text1"/>
          <w:sz w:val="30"/>
          <w:szCs w:val="30"/>
          <w:lang w:bidi="ar"/>
          <w14:textFill>
            <w14:solidFill>
              <w14:schemeClr w14:val="tx1"/>
            </w14:solidFill>
          </w14:textFill>
        </w:rPr>
        <w:t>附件11：</w:t>
      </w:r>
    </w:p>
    <w:p>
      <w:pPr>
        <w:snapToGrid w:val="0"/>
        <w:spacing w:before="72" w:after="72"/>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lang w:bidi="ar"/>
          <w14:textFill>
            <w14:solidFill>
              <w14:schemeClr w14:val="tx1"/>
            </w14:solidFill>
          </w14:textFill>
        </w:rPr>
        <w:t>商务响应表</w:t>
      </w:r>
    </w:p>
    <w:p>
      <w:pPr>
        <w:snapToGrid w:val="0"/>
        <w:spacing w:before="72"/>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bidi="ar"/>
          <w14:textFill>
            <w14:solidFill>
              <w14:schemeClr w14:val="tx1"/>
            </w14:solidFill>
          </w14:textFill>
        </w:rPr>
        <w:t xml:space="preserve"> </w:t>
      </w:r>
    </w:p>
    <w:p>
      <w:pPr>
        <w:pStyle w:val="53"/>
        <w:snapToGrid w:val="0"/>
        <w:spacing w:before="72" w:after="72"/>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项目</w:t>
            </w:r>
          </w:p>
        </w:tc>
        <w:tc>
          <w:tcPr>
            <w:tcW w:w="269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招标文件要求</w:t>
            </w:r>
          </w:p>
        </w:tc>
        <w:tc>
          <w:tcPr>
            <w:tcW w:w="125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是否</w:t>
            </w:r>
          </w:p>
          <w:p>
            <w:pPr>
              <w:snapToGrid w:val="0"/>
              <w:spacing w:before="120" w:beforeLines="5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响应</w:t>
            </w:r>
          </w:p>
        </w:tc>
        <w:tc>
          <w:tcPr>
            <w:tcW w:w="301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服务期限及地点</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付款条件</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违约责任及争议解决方式</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14:textFill>
                  <w14:solidFill>
                    <w14:schemeClr w14:val="tx1"/>
                  </w14:solidFill>
                </w14:textFill>
              </w:rPr>
            </w:pP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14:textFill>
                  <w14:solidFill>
                    <w14:schemeClr w14:val="tx1"/>
                  </w14:solidFill>
                </w14:textFill>
              </w:rPr>
            </w:pP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14:textFill>
                  <w14:solidFill>
                    <w14:schemeClr w14:val="tx1"/>
                  </w14:solidFill>
                </w14:textFill>
              </w:rPr>
            </w:pP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14:textFill>
                  <w14:solidFill>
                    <w14:schemeClr w14:val="tx1"/>
                  </w14:solidFill>
                </w14:textFill>
              </w:rPr>
            </w:pP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14:textFill>
                  <w14:solidFill>
                    <w14:schemeClr w14:val="tx1"/>
                  </w14:solidFill>
                </w14:textFill>
              </w:rPr>
            </w:pP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b/>
                <w:color w:val="000000" w:themeColor="text1"/>
                <w:sz w:val="30"/>
                <w:szCs w:val="30"/>
                <w14:textFill>
                  <w14:solidFill>
                    <w14:schemeClr w14:val="tx1"/>
                  </w14:solidFill>
                </w14:textFill>
              </w:rPr>
            </w:pPr>
          </w:p>
        </w:tc>
      </w:tr>
    </w:tbl>
    <w:p>
      <w:pPr>
        <w:snapToGrid w:val="0"/>
        <w:spacing w:before="120" w:beforeLines="50"/>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授权代表签名：               日期：</w:t>
      </w:r>
    </w:p>
    <w:p>
      <w:pPr>
        <w:widowControl/>
        <w:spacing w:afterAutospacing="1"/>
        <w:jc w:val="left"/>
        <w:rPr>
          <w:rFonts w:ascii="仿宋" w:hAnsi="仿宋" w:eastAsia="仿宋"/>
          <w:color w:val="000000" w:themeColor="text1"/>
          <w:sz w:val="30"/>
          <w:szCs w:val="30"/>
          <w:lang w:bidi="ar"/>
          <w14:textFill>
            <w14:solidFill>
              <w14:schemeClr w14:val="tx1"/>
            </w14:solidFill>
          </w14:textFill>
        </w:rPr>
      </w:pPr>
    </w:p>
    <w:p>
      <w:pPr>
        <w:rPr>
          <w:rFonts w:ascii="仿宋" w:hAnsi="仿宋" w:eastAsia="仿宋"/>
          <w:color w:val="000000" w:themeColor="text1"/>
          <w:sz w:val="30"/>
          <w:szCs w:val="30"/>
          <w:lang w:bidi="ar"/>
          <w14:textFill>
            <w14:solidFill>
              <w14:schemeClr w14:val="tx1"/>
            </w14:solidFill>
          </w14:textFill>
        </w:rPr>
      </w:pPr>
      <w:r>
        <w:rPr>
          <w:rFonts w:ascii="仿宋" w:hAnsi="仿宋" w:eastAsia="仿宋"/>
          <w:color w:val="000000" w:themeColor="text1"/>
          <w:sz w:val="30"/>
          <w:szCs w:val="30"/>
          <w:lang w:bidi="ar"/>
          <w14:textFill>
            <w14:solidFill>
              <w14:schemeClr w14:val="tx1"/>
            </w14:solidFill>
          </w14:textFill>
        </w:rPr>
        <w:br w:type="page"/>
      </w:r>
    </w:p>
    <w:p>
      <w:pPr>
        <w:tabs>
          <w:tab w:val="left" w:pos="606"/>
        </w:tabs>
        <w:spacing w:line="360" w:lineRule="exact"/>
        <w:rPr>
          <w:rFonts w:ascii="仿宋" w:hAnsi="仿宋" w:eastAsia="仿宋"/>
          <w:color w:val="000000" w:themeColor="text1"/>
          <w:spacing w:val="2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附件12：</w:t>
      </w:r>
    </w:p>
    <w:p>
      <w:pPr>
        <w:snapToGrid w:val="0"/>
        <w:spacing w:before="120" w:beforeLines="50" w:after="72" w:line="460" w:lineRule="exact"/>
        <w:ind w:firstLine="602"/>
        <w:rPr>
          <w:rFonts w:ascii="仿宋" w:hAnsi="仿宋" w:eastAsia="仿宋"/>
          <w:sz w:val="30"/>
          <w:szCs w:val="30"/>
        </w:rPr>
      </w:pPr>
    </w:p>
    <w:p>
      <w:pPr>
        <w:snapToGrid w:val="0"/>
        <w:spacing w:before="72" w:after="72"/>
        <w:jc w:val="center"/>
        <w:rPr>
          <w:rFonts w:ascii="仿宋" w:hAnsi="仿宋" w:eastAsia="仿宋"/>
          <w:b/>
          <w:sz w:val="36"/>
          <w:szCs w:val="36"/>
        </w:rPr>
      </w:pPr>
      <w:r>
        <w:rPr>
          <w:rFonts w:hint="eastAsia" w:ascii="仿宋" w:hAnsi="仿宋" w:eastAsia="仿宋"/>
          <w:b/>
          <w:sz w:val="36"/>
          <w:szCs w:val="36"/>
        </w:rPr>
        <w:t>浙商银行股份有限公司采购代理服务入围采购项目保密协议</w:t>
      </w:r>
    </w:p>
    <w:p>
      <w:pPr>
        <w:spacing w:line="360" w:lineRule="auto"/>
        <w:rPr>
          <w:rFonts w:ascii="仿宋_GB2312" w:eastAsia="仿宋_GB2312" w:cs="宋体" w:hAnsiTheme="minorEastAsia"/>
          <w:sz w:val="32"/>
          <w:szCs w:val="32"/>
          <w:lang w:val="fr-FR"/>
        </w:rPr>
      </w:pPr>
    </w:p>
    <w:p>
      <w:pPr>
        <w:spacing w:line="360" w:lineRule="auto"/>
        <w:rPr>
          <w:rFonts w:ascii="仿宋_GB2312" w:eastAsia="仿宋_GB2312" w:cs="宋体" w:hAnsiTheme="minorEastAsia"/>
          <w:sz w:val="32"/>
          <w:szCs w:val="32"/>
          <w:lang w:val="fr-FR"/>
        </w:rPr>
      </w:pPr>
      <w:r>
        <w:rPr>
          <w:rFonts w:hint="eastAsia" w:ascii="仿宋_GB2312" w:eastAsia="仿宋_GB2312" w:cs="宋体" w:hAnsiTheme="minorEastAsia"/>
          <w:sz w:val="32"/>
          <w:szCs w:val="32"/>
          <w:lang w:val="fr-FR"/>
        </w:rPr>
        <w:t>甲方：浙商银行股份有限公司</w:t>
      </w:r>
    </w:p>
    <w:p>
      <w:pPr>
        <w:spacing w:line="360" w:lineRule="auto"/>
        <w:rPr>
          <w:rFonts w:ascii="仿宋_GB2312" w:eastAsia="仿宋_GB2312" w:cs="宋体" w:hAnsiTheme="minorEastAsia"/>
          <w:sz w:val="32"/>
          <w:szCs w:val="32"/>
          <w:lang w:val="fr-FR"/>
        </w:rPr>
      </w:pPr>
      <w:r>
        <w:rPr>
          <w:rFonts w:hint="eastAsia" w:ascii="仿宋_GB2312" w:eastAsia="仿宋_GB2312" w:cs="宋体" w:hAnsiTheme="minorEastAsia"/>
          <w:sz w:val="32"/>
          <w:szCs w:val="32"/>
          <w:lang w:val="fr-FR"/>
        </w:rPr>
        <w:t>乙方：</w:t>
      </w:r>
      <w:r>
        <w:rPr>
          <w:rFonts w:ascii="仿宋_GB2312" w:eastAsia="仿宋_GB2312" w:cs="宋体" w:hAnsiTheme="minorEastAsia"/>
          <w:sz w:val="32"/>
          <w:szCs w:val="32"/>
          <w:lang w:val="fr-FR"/>
        </w:rPr>
        <w:t xml:space="preserve"> </w:t>
      </w:r>
    </w:p>
    <w:p>
      <w:pPr>
        <w:widowControl/>
        <w:snapToGrid w:val="0"/>
        <w:spacing w:line="360" w:lineRule="auto"/>
        <w:contextualSpacing/>
        <w:rPr>
          <w:rFonts w:ascii="仿宋_GB2312" w:eastAsia="仿宋_GB2312" w:cs="Arial" w:hAnsiTheme="minorEastAsia"/>
          <w:kern w:val="0"/>
          <w:sz w:val="32"/>
          <w:szCs w:val="32"/>
        </w:rPr>
      </w:pPr>
    </w:p>
    <w:p>
      <w:pPr>
        <w:spacing w:before="120" w:beforeLines="50" w:after="120" w:afterLines="50" w:line="500" w:lineRule="exact"/>
        <w:rPr>
          <w:rFonts w:ascii="仿宋_GB2312" w:eastAsia="仿宋_GB2312" w:cs="宋体" w:hAnsiTheme="minorEastAsia"/>
          <w:sz w:val="32"/>
          <w:szCs w:val="32"/>
          <w:lang w:val="fr-FR"/>
        </w:rPr>
      </w:pPr>
      <w:r>
        <w:rPr>
          <w:rFonts w:hint="eastAsia" w:ascii="仿宋_GB2312" w:eastAsia="仿宋_GB2312" w:cs="宋体" w:hAnsiTheme="minorEastAsia"/>
          <w:sz w:val="32"/>
          <w:szCs w:val="32"/>
          <w:lang w:val="fr-FR"/>
        </w:rPr>
        <w:t>鉴于：</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1．甲乙双方约定进行采购代理服务项目（以下称项目）；</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2．双方就该项目的实施以及合作过程中，曾向或可能向对方提供有关保密信息，且该保密信息属提供方合法所有；</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3．双方均希望对本协议所述保密信息予以有效保护。</w:t>
      </w:r>
    </w:p>
    <w:p>
      <w:pPr>
        <w:spacing w:before="120" w:beforeLines="50" w:after="120" w:afterLines="50" w:line="500" w:lineRule="exact"/>
        <w:ind w:firstLine="640" w:firstLineChars="200"/>
        <w:rPr>
          <w:rFonts w:ascii="仿宋_GB2312" w:eastAsia="仿宋_GB2312" w:cs="Arial" w:hAnsiTheme="minorEastAsia"/>
          <w:kern w:val="0"/>
          <w:sz w:val="32"/>
          <w:szCs w:val="32"/>
        </w:rPr>
      </w:pPr>
      <w:r>
        <w:rPr>
          <w:rFonts w:hint="eastAsia" w:ascii="仿宋_GB2312" w:eastAsia="仿宋_GB2312" w:cs="宋体" w:hAnsiTheme="minorEastAsia"/>
          <w:sz w:val="32"/>
          <w:szCs w:val="32"/>
        </w:rPr>
        <w:t>经双方友好协商，达成如下协议：</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一、定义</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一）本协议中的保密信息系指一方（“披露方”）曾向或可能不时向对方（“接收方”）披露该方有关业务、财务状况及其他重要事项的信息资料，这些资料在披露当时被指定为保密信息（或类似标注），或者在保密的情况下披露，或者经双方的合理商业判断为保密信息。无论其以何种形式或载于何种载体，无论在披露时是否以口头或以书面方式表明其具有保密性。</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（二）本协议中的保密期指自本协议签署之日起至将来永久性期限。该保密义务不因项目的结束而解除。</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二、双方权利与义务</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一）接收方同意在保密期间内对上述保密信息严格保密，未经披露方书面同意，接收方不得为任何目的（包括营利或非营利之目的）而故意或过失地披露、泄露、告知、公布、发布、出版、传授、转让或者其他任何方式使任何第三方（包括本项目以外不得知悉保密信息的接收方其他职员）知悉、获取、接触保密信息。</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（二）披露方对所有的保密信息均按原样披露，对其准确性、可靠性及完整性不做任何明示、暗示的保证或其它承诺。披露方对于接收方使用保密信息所造成的任何直接或间接的损害、损失不承担责任。</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（三）除非双方另有约定，接收方必须：</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1.保证该保密信息仅用于与“项目”合作有关的制定用途或目的。</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2.保证对披露方所提供的保密信息予以妥善保存。</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3.保证对披露方所提供的保密信息按本协议约定予以保密，并至少采取适用于对自己的保密信息同样的保护措施和审慎程度进行保密。</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4.保证除对履行其工作职责而需知道上述保密信息的本方雇员（或其关联机构、律师、会计师或其他顾问的雇员）外，不向任何人或实体披露，且确保上述人员遵守本协议规定的保密义务。接收方应为上述人员任何违反本协议的行为承担违约责任。</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5.除为本协议约定的目的，未经披露方事先书面同意，接收方不得将保密信息以任何形式全部或部分地复制。</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6.经保密信息披露方提出要求，接收方应按照披露方的指示将含有保密信息的所有文件或其他资料归还给披露方，或者按照披露方的指示予以销毁。项目终止后，保密信息披露方有权向接收方提出书面要求将保密信息交还或销毁。</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三、适用的例外</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本协议约定的保密义务不适用于以下信息：</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（一）在披露方向接收方披露之前所作的书面记录能够证明已为接收方所知且不需承担保密责任的信息。</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（二）已被公众知悉或能从公开渠道获知的信息，除非这种公开是违反本协议的结果。</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（三）接收方从对保密信息不承担任何保密义务的第三方获得的信息。</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（四）接收方履行法定披露义务而披露保密信息。但在该种情况发生时，接收方应立即向披露方发出通知，并作必要说明。</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（五）非因接收方违反本协议而成为公众所知的信息。</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四、违约责任</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任何一方未履行本协议项下的义务均被视为违约。违约方应承担因自己的违约行为而给守约方造成的损失。如果守约方确认，对违反本协议的行为仅采取赔偿的补救措施是不够的，则守约方还有权采取禁令、实际履行或其他合理的救济措施。</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五、免责条款</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本协议效力存续期间，如发生地震、水灾、火灾或政策变化等不可抗力事件，导致双方或一方不能履行或不能完全履行本协议项下的有关义务时，双方互不承担违约责任；在不可抗力影响消除后的合理时间内，一方或双方应当继续履行本协议。</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六、争议的解决</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本协议受中华人民共和国法律管辖并依其解释。由于本协议而产生的或与之有关的任何争议，双方应友好协商解决，协商不成的，任何一方可以向甲方住所地人民法院提起诉讼。</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七、其他</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（一）本协议未尽事宜，双方可签订补充协议。补充协议为本协议不可分割的一部分，与本协议具有同等法律效力。双方如需变更或修改本协议，须经双方协商并书面确认。</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（二）本协议的保密义务不受项目终止的影响。</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（三）本协议自双方签章之日起生效。</w:t>
      </w:r>
    </w:p>
    <w:p>
      <w:pPr>
        <w:spacing w:before="120" w:beforeLines="50" w:after="120" w:afterLines="50" w:line="50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（四）本协议壹式贰份，甲乙双方各执壹份，具同等法律效力。</w:t>
      </w:r>
    </w:p>
    <w:p>
      <w:pPr>
        <w:snapToGrid w:val="0"/>
        <w:spacing w:line="360" w:lineRule="auto"/>
        <w:rPr>
          <w:rFonts w:ascii="仿宋_GB2312" w:eastAsia="仿宋_GB2312" w:hAnsiTheme="minorEastAsia"/>
          <w:sz w:val="32"/>
          <w:szCs w:val="32"/>
        </w:rPr>
      </w:pPr>
    </w:p>
    <w:p>
      <w:pPr>
        <w:spacing w:line="360" w:lineRule="auto"/>
        <w:rPr>
          <w:rFonts w:ascii="仿宋_GB2312" w:eastAsia="仿宋_GB2312" w:cs="宋体" w:hAnsiTheme="minorEastAsia"/>
          <w:sz w:val="32"/>
          <w:szCs w:val="32"/>
          <w:lang w:val="fr-FR"/>
        </w:rPr>
      </w:pPr>
      <w:r>
        <w:rPr>
          <w:rFonts w:hint="eastAsia" w:ascii="仿宋_GB2312" w:eastAsia="仿宋_GB2312" w:cs="宋体" w:hAnsiTheme="minorEastAsia"/>
          <w:sz w:val="32"/>
          <w:szCs w:val="32"/>
          <w:lang w:val="fr-FR"/>
        </w:rPr>
        <w:t>甲方（盖章）：                           乙方（盖章）：</w:t>
      </w:r>
    </w:p>
    <w:p>
      <w:pPr>
        <w:spacing w:line="360" w:lineRule="auto"/>
        <w:rPr>
          <w:rFonts w:ascii="仿宋_GB2312" w:eastAsia="仿宋_GB2312" w:cs="宋体" w:hAnsiTheme="minorEastAsia"/>
          <w:sz w:val="32"/>
          <w:szCs w:val="32"/>
          <w:lang w:val="fr-FR"/>
        </w:rPr>
      </w:pPr>
    </w:p>
    <w:p>
      <w:pPr>
        <w:spacing w:line="360" w:lineRule="auto"/>
        <w:rPr>
          <w:rFonts w:ascii="仿宋_GB2312" w:eastAsia="仿宋_GB2312" w:cs="宋体" w:hAnsiTheme="minorEastAsia"/>
          <w:sz w:val="32"/>
          <w:szCs w:val="32"/>
          <w:lang w:val="fr-FR"/>
        </w:rPr>
      </w:pPr>
      <w:r>
        <w:rPr>
          <w:rFonts w:hint="eastAsia" w:ascii="仿宋_GB2312" w:eastAsia="仿宋_GB2312" w:cs="宋体" w:hAnsiTheme="minorEastAsia"/>
          <w:sz w:val="32"/>
          <w:szCs w:val="32"/>
          <w:lang w:val="fr-FR"/>
        </w:rPr>
        <w:t>法</w:t>
      </w:r>
      <w:bookmarkStart w:id="18" w:name="OLE_LINK2"/>
      <w:r>
        <w:rPr>
          <w:rFonts w:hint="eastAsia" w:ascii="仿宋_GB2312" w:eastAsia="仿宋_GB2312" w:cs="宋体" w:hAnsiTheme="minorEastAsia"/>
          <w:sz w:val="32"/>
          <w:szCs w:val="32"/>
          <w:lang w:val="fr-FR"/>
        </w:rPr>
        <w:t>定</w:t>
      </w:r>
      <w:bookmarkEnd w:id="18"/>
      <w:r>
        <w:rPr>
          <w:rFonts w:hint="eastAsia" w:ascii="仿宋_GB2312" w:eastAsia="仿宋_GB2312" w:cs="宋体" w:hAnsiTheme="minorEastAsia"/>
          <w:sz w:val="32"/>
          <w:szCs w:val="32"/>
          <w:lang w:val="fr-FR"/>
        </w:rPr>
        <w:t>代表人（负责人）          法定代表人（负责人）</w:t>
      </w:r>
    </w:p>
    <w:p>
      <w:pPr>
        <w:spacing w:line="360" w:lineRule="auto"/>
        <w:rPr>
          <w:rFonts w:ascii="仿宋_GB2312" w:eastAsia="仿宋_GB2312" w:cs="宋体" w:hAnsiTheme="minorEastAsia"/>
          <w:sz w:val="32"/>
          <w:szCs w:val="32"/>
          <w:lang w:val="fr-FR"/>
        </w:rPr>
      </w:pPr>
      <w:r>
        <w:rPr>
          <w:rFonts w:hint="eastAsia" w:ascii="仿宋_GB2312" w:eastAsia="仿宋_GB2312" w:cs="宋体" w:hAnsiTheme="minorEastAsia"/>
          <w:sz w:val="32"/>
          <w:szCs w:val="32"/>
          <w:lang w:val="fr-FR"/>
        </w:rPr>
        <w:t>或授权代理人（签字）：        或授权代理人（签字）：</w:t>
      </w:r>
    </w:p>
    <w:p>
      <w:pPr>
        <w:spacing w:line="360" w:lineRule="auto"/>
        <w:rPr>
          <w:rFonts w:ascii="仿宋_GB2312" w:eastAsia="仿宋_GB2312" w:cs="宋体" w:hAnsiTheme="minorEastAsia"/>
          <w:sz w:val="32"/>
          <w:szCs w:val="32"/>
          <w:lang w:val="fr-FR"/>
        </w:rPr>
      </w:pPr>
    </w:p>
    <w:p>
      <w:pPr>
        <w:spacing w:line="360" w:lineRule="auto"/>
        <w:rPr>
          <w:rFonts w:ascii="仿宋_GB2312" w:eastAsia="仿宋_GB2312" w:cs="宋体" w:hAnsiTheme="minorEastAsia"/>
          <w:sz w:val="32"/>
          <w:szCs w:val="32"/>
          <w:lang w:val="fr-FR"/>
        </w:rPr>
      </w:pPr>
      <w:r>
        <w:rPr>
          <w:rFonts w:hint="eastAsia" w:ascii="仿宋_GB2312" w:eastAsia="仿宋_GB2312" w:cs="宋体" w:hAnsiTheme="minorEastAsia"/>
          <w:sz w:val="32"/>
          <w:szCs w:val="32"/>
          <w:lang w:val="fr-FR"/>
        </w:rPr>
        <w:t>签约时间：</w:t>
      </w:r>
      <w:r>
        <w:rPr>
          <w:rFonts w:hint="eastAsia" w:ascii="仿宋_GB2312" w:eastAsia="仿宋_GB2312" w:cs="宋体" w:hAnsiTheme="minorEastAsia"/>
          <w:sz w:val="32"/>
          <w:szCs w:val="32"/>
        </w:rPr>
        <w:t xml:space="preserve">     </w:t>
      </w:r>
      <w:r>
        <w:rPr>
          <w:rFonts w:hint="eastAsia" w:ascii="仿宋_GB2312" w:eastAsia="仿宋_GB2312" w:cs="宋体" w:hAnsiTheme="minorEastAsia"/>
          <w:sz w:val="32"/>
          <w:szCs w:val="32"/>
          <w:lang w:val="fr-FR"/>
        </w:rPr>
        <w:t>年</w:t>
      </w:r>
      <w:r>
        <w:rPr>
          <w:rFonts w:hint="eastAsia" w:ascii="仿宋_GB2312" w:eastAsia="仿宋_GB2312" w:cs="宋体" w:hAnsiTheme="minorEastAsia"/>
          <w:sz w:val="32"/>
          <w:szCs w:val="32"/>
        </w:rPr>
        <w:t xml:space="preserve">   </w:t>
      </w:r>
      <w:r>
        <w:rPr>
          <w:rFonts w:hint="eastAsia" w:ascii="仿宋_GB2312" w:eastAsia="仿宋_GB2312" w:cs="宋体" w:hAnsiTheme="minorEastAsia"/>
          <w:sz w:val="32"/>
          <w:szCs w:val="32"/>
          <w:lang w:val="fr-FR"/>
        </w:rPr>
        <w:t>月</w:t>
      </w:r>
      <w:r>
        <w:rPr>
          <w:rFonts w:hint="eastAsia" w:ascii="仿宋_GB2312" w:eastAsia="仿宋_GB2312" w:cs="宋体" w:hAnsiTheme="minorEastAsia"/>
          <w:sz w:val="32"/>
          <w:szCs w:val="32"/>
        </w:rPr>
        <w:t xml:space="preserve">   </w:t>
      </w:r>
      <w:r>
        <w:rPr>
          <w:rFonts w:hint="eastAsia" w:ascii="仿宋_GB2312" w:eastAsia="仿宋_GB2312" w:cs="宋体" w:hAnsiTheme="minorEastAsia"/>
          <w:sz w:val="32"/>
          <w:szCs w:val="32"/>
          <w:lang w:val="fr-FR"/>
        </w:rPr>
        <w:t>日</w:t>
      </w:r>
    </w:p>
    <w:p>
      <w:pPr>
        <w:spacing w:line="360" w:lineRule="auto"/>
        <w:rPr>
          <w:rFonts w:ascii="仿宋_GB2312" w:eastAsia="仿宋_GB2312" w:cs="宋体" w:hAnsiTheme="minorEastAsia"/>
          <w:sz w:val="32"/>
          <w:szCs w:val="32"/>
          <w:lang w:val="fr-FR"/>
        </w:rPr>
      </w:pPr>
      <w:r>
        <w:rPr>
          <w:rFonts w:hint="eastAsia" w:ascii="仿宋_GB2312" w:eastAsia="仿宋_GB2312" w:cs="宋体" w:hAnsiTheme="minorEastAsia"/>
          <w:sz w:val="32"/>
          <w:szCs w:val="32"/>
          <w:lang w:val="fr-FR"/>
        </w:rPr>
        <w:t>签约地点：杭州</w:t>
      </w:r>
    </w:p>
    <w:p>
      <w:pPr>
        <w:rPr>
          <w:rFonts w:ascii="仿宋_GB2312" w:eastAsia="仿宋_GB2312" w:hAnsiTheme="minorEastAsia"/>
          <w:sz w:val="32"/>
          <w:szCs w:val="32"/>
        </w:rPr>
      </w:pPr>
    </w:p>
    <w:p>
      <w:r>
        <w:rPr>
          <w:sz w:val="28"/>
          <w:szCs w:val="28"/>
        </w:rPr>
        <w:br w:type="page"/>
      </w:r>
    </w:p>
    <w:p>
      <w:pPr>
        <w:widowControl/>
        <w:spacing w:afterAutospacing="1"/>
        <w:ind w:firstLine="602"/>
        <w:jc w:val="right"/>
        <w:rPr>
          <w:rFonts w:ascii="仿宋" w:hAnsi="仿宋" w:eastAsia="仿宋"/>
          <w:color w:val="000000" w:themeColor="text1"/>
          <w:sz w:val="30"/>
          <w:szCs w:val="30"/>
          <w:lang w:bidi="ar"/>
          <w14:textFill>
            <w14:solidFill>
              <w14:schemeClr w14:val="tx1"/>
            </w14:solidFill>
          </w14:textFill>
        </w:rPr>
        <w:sectPr>
          <w:pgSz w:w="11906" w:h="16838"/>
          <w:pgMar w:top="1474" w:right="1797" w:bottom="1480" w:left="1797" w:header="851" w:footer="850" w:gutter="0"/>
          <w:cols w:space="0" w:num="1"/>
        </w:sectPr>
      </w:pPr>
    </w:p>
    <w:p>
      <w:pPr>
        <w:snapToGrid w:val="0"/>
        <w:spacing w:before="72" w:after="120" w:afterLines="50"/>
        <w:jc w:val="left"/>
        <w:rPr>
          <w:rFonts w:ascii="仿宋" w:hAnsi="仿宋" w:eastAsia="仿宋"/>
          <w:sz w:val="30"/>
          <w:szCs w:val="30"/>
        </w:rPr>
      </w:pPr>
      <w:r>
        <w:rPr>
          <w:rFonts w:hint="eastAsia" w:ascii="仿宋" w:hAnsi="仿宋" w:eastAsia="仿宋"/>
          <w:sz w:val="30"/>
          <w:szCs w:val="30"/>
        </w:rPr>
        <w:t>附件13：</w:t>
      </w:r>
    </w:p>
    <w:p>
      <w:pPr>
        <w:widowControl/>
        <w:jc w:val="center"/>
        <w:rPr>
          <w:rFonts w:ascii="仿宋" w:hAnsi="仿宋" w:eastAsia="仿宋"/>
          <w:b/>
          <w:sz w:val="36"/>
          <w:szCs w:val="36"/>
        </w:rPr>
      </w:pPr>
      <w:r>
        <w:rPr>
          <w:rFonts w:hint="eastAsia" w:ascii="仿宋" w:hAnsi="仿宋" w:eastAsia="仿宋"/>
          <w:b/>
          <w:sz w:val="36"/>
          <w:szCs w:val="36"/>
        </w:rPr>
        <w:t>2023年</w:t>
      </w:r>
      <w:r>
        <w:rPr>
          <w:rFonts w:hint="eastAsia" w:ascii="仿宋" w:hAnsi="仿宋" w:eastAsia="仿宋"/>
          <w:b/>
          <w:sz w:val="36"/>
          <w:szCs w:val="36"/>
          <w:lang w:val="en-US" w:eastAsia="zh-CN"/>
        </w:rPr>
        <w:t>1月1日以来</w:t>
      </w:r>
      <w:r>
        <w:rPr>
          <w:rFonts w:hint="eastAsia" w:ascii="仿宋" w:hAnsi="仿宋" w:eastAsia="仿宋"/>
          <w:b/>
          <w:sz w:val="36"/>
          <w:szCs w:val="36"/>
        </w:rPr>
        <w:t xml:space="preserve">业主为国有企业的采购代理案例汇总表 </w:t>
      </w:r>
    </w:p>
    <w:p>
      <w:pPr>
        <w:rPr>
          <w:rFonts w:ascii="仿宋" w:hAnsi="仿宋" w:eastAsia="仿宋" w:cs="仿宋"/>
          <w:color w:val="000000"/>
          <w:sz w:val="28"/>
          <w:szCs w:val="28"/>
        </w:rPr>
      </w:pPr>
    </w:p>
    <w:p>
      <w:pPr>
        <w:rPr>
          <w:rFonts w:ascii="宋体" w:hAnsi="宋体" w:cs="宋体"/>
          <w:color w:val="000000"/>
          <w:sz w:val="28"/>
          <w:szCs w:val="28"/>
        </w:rPr>
      </w:pPr>
      <w:r>
        <w:rPr>
          <w:rFonts w:hint="eastAsia" w:ascii="宋体" w:hAnsi="宋体" w:cs="宋体"/>
          <w:color w:val="000000"/>
          <w:sz w:val="28"/>
          <w:szCs w:val="28"/>
        </w:rPr>
        <w:t xml:space="preserve">项目名称：                   项目编号：              </w:t>
      </w:r>
      <w:r>
        <w:rPr>
          <w:rFonts w:hint="eastAsia" w:ascii="宋体" w:hAnsi="宋体" w:cs="宋体"/>
          <w:sz w:val="28"/>
          <w:szCs w:val="28"/>
        </w:rPr>
        <w:t xml:space="preserve">标项：1  </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12"/>
        <w:gridCol w:w="3262"/>
        <w:gridCol w:w="1444"/>
        <w:gridCol w:w="1781"/>
        <w:gridCol w:w="286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序号</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w:t>
            </w:r>
          </w:p>
          <w:p>
            <w:pPr>
              <w:jc w:val="center"/>
              <w:rPr>
                <w:color w:val="000000"/>
                <w:sz w:val="28"/>
                <w:szCs w:val="28"/>
              </w:rPr>
            </w:pPr>
            <w:r>
              <w:rPr>
                <w:rFonts w:hint="eastAsia"/>
                <w:color w:val="000000"/>
                <w:sz w:val="28"/>
                <w:szCs w:val="28"/>
              </w:rPr>
              <w:t>名称</w:t>
            </w:r>
          </w:p>
        </w:tc>
        <w:tc>
          <w:tcPr>
            <w:tcW w:w="326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项目名称</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8"/>
                <w:szCs w:val="28"/>
              </w:rPr>
              <w:t>合同金额（万元）</w:t>
            </w: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签订日期</w:t>
            </w:r>
          </w:p>
        </w:tc>
        <w:tc>
          <w:tcPr>
            <w:tcW w:w="2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用户联系人及电话</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1</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2</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bl>
    <w:p>
      <w:pPr>
        <w:spacing w:line="460" w:lineRule="exact"/>
        <w:rPr>
          <w:color w:val="000000"/>
          <w:sz w:val="28"/>
          <w:szCs w:val="28"/>
          <w:lang w:val="zh-CN"/>
        </w:rPr>
      </w:pPr>
      <w:r>
        <w:rPr>
          <w:rFonts w:hint="eastAsia"/>
          <w:color w:val="000000"/>
          <w:sz w:val="28"/>
          <w:szCs w:val="28"/>
          <w:lang w:val="zh-CN"/>
        </w:rPr>
        <w:t>备注：</w:t>
      </w:r>
      <w:r>
        <w:rPr>
          <w:color w:val="000000"/>
          <w:sz w:val="28"/>
          <w:szCs w:val="28"/>
          <w:lang w:val="zh-CN"/>
        </w:rPr>
        <w:t>1</w:t>
      </w:r>
      <w:r>
        <w:rPr>
          <w:rFonts w:hint="eastAsia"/>
          <w:color w:val="000000"/>
          <w:sz w:val="28"/>
          <w:szCs w:val="28"/>
          <w:lang w:val="zh-CN"/>
        </w:rPr>
        <w:t>、</w:t>
      </w:r>
      <w:r>
        <w:rPr>
          <w:rFonts w:hint="eastAsia" w:ascii="宋体" w:hAnsi="宋体"/>
          <w:color w:val="000000"/>
          <w:sz w:val="28"/>
          <w:szCs w:val="28"/>
        </w:rPr>
        <w:t>同一业主的按1个计</w:t>
      </w:r>
      <w:r>
        <w:rPr>
          <w:rFonts w:hint="eastAsia" w:ascii="宋体" w:hAnsi="宋体"/>
          <w:color w:val="000000"/>
          <w:sz w:val="28"/>
          <w:szCs w:val="28"/>
          <w:lang w:val="zh-CN"/>
        </w:rPr>
        <w:t>，</w:t>
      </w:r>
      <w:r>
        <w:rPr>
          <w:rFonts w:hint="eastAsia" w:ascii="宋体" w:hAnsi="宋体"/>
          <w:color w:val="000000"/>
          <w:sz w:val="28"/>
          <w:szCs w:val="28"/>
        </w:rPr>
        <w:t>每个项目案例提供采购（招标）公告及结果公告清晰截图及发布网址，否则不得分。</w:t>
      </w:r>
    </w:p>
    <w:p>
      <w:pPr>
        <w:keepNext w:val="0"/>
        <w:keepLines w:val="0"/>
        <w:pageBreakBefore w:val="0"/>
        <w:widowControl w:val="0"/>
        <w:kinsoku/>
        <w:wordWrap/>
        <w:overflowPunct/>
        <w:topLinePunct w:val="0"/>
        <w:autoSpaceDE/>
        <w:autoSpaceDN/>
        <w:bidi w:val="0"/>
        <w:adjustRightInd/>
        <w:snapToGrid/>
        <w:spacing w:line="460" w:lineRule="exact"/>
        <w:ind w:left="840" w:leftChars="400"/>
        <w:textAlignment w:val="auto"/>
        <w:rPr>
          <w:rFonts w:hint="eastAsia" w:ascii="宋体" w:hAnsi="宋体"/>
          <w:color w:val="000000"/>
          <w:sz w:val="28"/>
          <w:szCs w:val="28"/>
          <w:lang w:val="zh-CN"/>
        </w:rPr>
      </w:pPr>
      <w:r>
        <w:rPr>
          <w:rFonts w:hint="eastAsia"/>
          <w:color w:val="000000"/>
          <w:sz w:val="28"/>
          <w:szCs w:val="28"/>
          <w:lang w:val="zh-CN"/>
        </w:rPr>
        <w:t>2、</w:t>
      </w:r>
      <w:r>
        <w:rPr>
          <w:rFonts w:hint="eastAsia" w:ascii="宋体" w:hAnsi="宋体"/>
          <w:color w:val="000000"/>
          <w:sz w:val="28"/>
          <w:szCs w:val="28"/>
        </w:rPr>
        <w:t>采购人联系人和联系方式必须真实有效，入围后核查，如发现提供虚假材料的，取消入围资格</w:t>
      </w:r>
      <w:r>
        <w:rPr>
          <w:rFonts w:hint="eastAsia" w:ascii="宋体" w:hAnsi="宋体"/>
          <w:color w:val="000000"/>
          <w:sz w:val="28"/>
          <w:szCs w:val="28"/>
          <w:lang w:eastAsia="zh-CN"/>
        </w:rPr>
        <w:t>。</w:t>
      </w:r>
    </w:p>
    <w:p>
      <w:pPr>
        <w:spacing w:line="460" w:lineRule="exact"/>
        <w:rPr>
          <w:rFonts w:hint="eastAsia" w:ascii="宋体" w:hAnsi="宋体"/>
          <w:color w:val="000000"/>
          <w:sz w:val="28"/>
          <w:szCs w:val="28"/>
        </w:rPr>
      </w:pPr>
    </w:p>
    <w:p>
      <w:pPr>
        <w:spacing w:line="460" w:lineRule="exact"/>
        <w:jc w:val="center"/>
        <w:rPr>
          <w:color w:val="000000"/>
          <w:sz w:val="28"/>
          <w:szCs w:val="28"/>
        </w:rPr>
      </w:pPr>
      <w:r>
        <w:rPr>
          <w:rFonts w:hint="eastAsia"/>
          <w:color w:val="000000"/>
          <w:sz w:val="28"/>
          <w:szCs w:val="28"/>
        </w:rPr>
        <w:t xml:space="preserve">                        </w:t>
      </w:r>
      <w:r>
        <w:rPr>
          <w:rFonts w:hint="eastAsia"/>
          <w:color w:val="000000"/>
          <w:sz w:val="28"/>
          <w:szCs w:val="28"/>
          <w:lang w:val="zh-CN"/>
        </w:rPr>
        <w:t>投标人全称：（盖章）</w:t>
      </w:r>
      <w:r>
        <w:rPr>
          <w:rFonts w:hint="eastAsia"/>
          <w:color w:val="000000"/>
          <w:sz w:val="28"/>
          <w:szCs w:val="28"/>
        </w:rPr>
        <w:t xml:space="preserve">                 </w:t>
      </w:r>
    </w:p>
    <w:p>
      <w:pPr>
        <w:spacing w:line="460" w:lineRule="exact"/>
        <w:jc w:val="right"/>
        <w:rPr>
          <w:color w:val="000000"/>
          <w:sz w:val="28"/>
          <w:szCs w:val="28"/>
          <w:lang w:val="zh-CN"/>
        </w:rPr>
      </w:pPr>
      <w:r>
        <w:rPr>
          <w:rFonts w:hint="eastAsia"/>
          <w:color w:val="000000"/>
          <w:sz w:val="28"/>
          <w:szCs w:val="28"/>
          <w:lang w:val="zh-CN"/>
        </w:rPr>
        <w:t>法定代表人（或授权代表）：（签字）</w:t>
      </w:r>
      <w:r>
        <w:rPr>
          <w:rFonts w:hint="eastAsia"/>
          <w:color w:val="000000"/>
          <w:sz w:val="28"/>
          <w:szCs w:val="28"/>
        </w:rPr>
        <w:t xml:space="preserve">                </w:t>
      </w:r>
      <w:r>
        <w:rPr>
          <w:rFonts w:hint="eastAsia"/>
          <w:color w:val="000000"/>
          <w:sz w:val="28"/>
          <w:szCs w:val="28"/>
          <w:lang w:val="zh-CN"/>
        </w:rPr>
        <w:t>年</w:t>
      </w:r>
      <w:r>
        <w:rPr>
          <w:color w:val="000000"/>
          <w:sz w:val="28"/>
          <w:szCs w:val="28"/>
          <w:lang w:val="zh-CN"/>
        </w:rPr>
        <w:t xml:space="preserve">   </w:t>
      </w:r>
      <w:r>
        <w:rPr>
          <w:rFonts w:hint="eastAsia"/>
          <w:color w:val="000000"/>
          <w:sz w:val="28"/>
          <w:szCs w:val="28"/>
          <w:lang w:val="zh-CN"/>
        </w:rPr>
        <w:t>月</w:t>
      </w:r>
      <w:r>
        <w:rPr>
          <w:color w:val="000000"/>
          <w:sz w:val="28"/>
          <w:szCs w:val="28"/>
          <w:lang w:val="zh-CN"/>
        </w:rPr>
        <w:t xml:space="preserve">  </w:t>
      </w:r>
      <w:r>
        <w:rPr>
          <w:rFonts w:hint="eastAsia"/>
          <w:color w:val="000000"/>
          <w:sz w:val="28"/>
          <w:szCs w:val="28"/>
        </w:rPr>
        <w:t xml:space="preserve"> </w:t>
      </w:r>
      <w:r>
        <w:rPr>
          <w:rFonts w:hint="eastAsia"/>
          <w:color w:val="000000"/>
          <w:sz w:val="28"/>
          <w:szCs w:val="28"/>
          <w:lang w:val="zh-CN"/>
        </w:rPr>
        <w:t>日</w:t>
      </w:r>
    </w:p>
    <w:p>
      <w:pPr>
        <w:ind w:firstLine="602"/>
        <w:rPr>
          <w:rFonts w:ascii="仿宋" w:hAnsi="仿宋" w:eastAsia="仿宋"/>
          <w:sz w:val="30"/>
          <w:szCs w:val="30"/>
        </w:rPr>
      </w:pPr>
      <w:r>
        <w:rPr>
          <w:rFonts w:hint="eastAsia" w:ascii="仿宋" w:hAnsi="仿宋" w:eastAsia="仿宋"/>
          <w:sz w:val="30"/>
          <w:szCs w:val="30"/>
        </w:rPr>
        <w:br w:type="page"/>
      </w:r>
    </w:p>
    <w:p>
      <w:pPr>
        <w:snapToGrid w:val="0"/>
        <w:spacing w:before="72" w:after="120" w:afterLines="50"/>
        <w:jc w:val="left"/>
        <w:rPr>
          <w:rFonts w:ascii="仿宋" w:hAnsi="仿宋" w:eastAsia="仿宋"/>
          <w:sz w:val="30"/>
          <w:szCs w:val="30"/>
        </w:rPr>
      </w:pPr>
      <w:r>
        <w:rPr>
          <w:rFonts w:hint="eastAsia" w:ascii="仿宋" w:hAnsi="仿宋" w:eastAsia="仿宋"/>
          <w:sz w:val="30"/>
          <w:szCs w:val="30"/>
        </w:rPr>
        <w:t>附件14：</w:t>
      </w:r>
    </w:p>
    <w:p>
      <w:pPr>
        <w:widowControl/>
        <w:jc w:val="center"/>
        <w:rPr>
          <w:rFonts w:ascii="仿宋" w:hAnsi="仿宋" w:eastAsia="仿宋"/>
          <w:b/>
          <w:sz w:val="36"/>
          <w:szCs w:val="36"/>
        </w:rPr>
      </w:pPr>
      <w:r>
        <w:rPr>
          <w:rFonts w:hint="eastAsia" w:ascii="仿宋" w:hAnsi="仿宋" w:eastAsia="仿宋"/>
          <w:b/>
          <w:sz w:val="36"/>
          <w:szCs w:val="36"/>
        </w:rPr>
        <w:t>2023年</w:t>
      </w:r>
      <w:r>
        <w:rPr>
          <w:rFonts w:hint="eastAsia" w:ascii="仿宋" w:hAnsi="仿宋" w:eastAsia="仿宋"/>
          <w:b/>
          <w:sz w:val="36"/>
          <w:szCs w:val="36"/>
          <w:lang w:val="en-US" w:eastAsia="zh-CN"/>
        </w:rPr>
        <w:t>1月1日以来</w:t>
      </w:r>
      <w:r>
        <w:rPr>
          <w:rFonts w:hint="eastAsia" w:ascii="仿宋" w:hAnsi="仿宋" w:eastAsia="仿宋"/>
          <w:b/>
          <w:sz w:val="36"/>
          <w:szCs w:val="36"/>
        </w:rPr>
        <w:t>政府采购项目案例汇总表</w:t>
      </w:r>
    </w:p>
    <w:p>
      <w:pPr>
        <w:widowControl/>
        <w:ind w:firstLine="720"/>
        <w:jc w:val="center"/>
        <w:rPr>
          <w:rFonts w:ascii="仿宋" w:hAnsi="仿宋" w:eastAsia="仿宋"/>
          <w:b/>
          <w:sz w:val="36"/>
          <w:szCs w:val="36"/>
        </w:rPr>
      </w:pPr>
    </w:p>
    <w:p>
      <w:pPr>
        <w:rPr>
          <w:rFonts w:ascii="宋体" w:hAnsi="宋体" w:cs="宋体"/>
          <w:color w:val="000000"/>
          <w:sz w:val="28"/>
          <w:szCs w:val="28"/>
        </w:rPr>
      </w:pPr>
      <w:r>
        <w:rPr>
          <w:rFonts w:hint="eastAsia" w:ascii="宋体" w:hAnsi="宋体" w:cs="宋体"/>
          <w:color w:val="000000"/>
          <w:sz w:val="28"/>
          <w:szCs w:val="28"/>
        </w:rPr>
        <w:t xml:space="preserve">项目名称：                   项目编号：              </w:t>
      </w:r>
      <w:r>
        <w:rPr>
          <w:rFonts w:hint="eastAsia" w:ascii="宋体" w:hAnsi="宋体" w:cs="宋体"/>
          <w:sz w:val="28"/>
          <w:szCs w:val="28"/>
        </w:rPr>
        <w:t xml:space="preserve">标项：1  </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12"/>
        <w:gridCol w:w="3262"/>
        <w:gridCol w:w="1444"/>
        <w:gridCol w:w="1781"/>
        <w:gridCol w:w="286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序号</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w:t>
            </w:r>
          </w:p>
          <w:p>
            <w:pPr>
              <w:jc w:val="center"/>
              <w:rPr>
                <w:color w:val="000000"/>
                <w:sz w:val="28"/>
                <w:szCs w:val="28"/>
              </w:rPr>
            </w:pPr>
            <w:r>
              <w:rPr>
                <w:rFonts w:hint="eastAsia"/>
                <w:color w:val="000000"/>
                <w:sz w:val="28"/>
                <w:szCs w:val="28"/>
              </w:rPr>
              <w:t>名称</w:t>
            </w:r>
          </w:p>
        </w:tc>
        <w:tc>
          <w:tcPr>
            <w:tcW w:w="326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项目名称</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8"/>
                <w:szCs w:val="28"/>
              </w:rPr>
              <w:t>合同金额（万元）</w:t>
            </w: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签订日期</w:t>
            </w:r>
          </w:p>
        </w:tc>
        <w:tc>
          <w:tcPr>
            <w:tcW w:w="2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用户联系人及电话</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1</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2</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bl>
    <w:p>
      <w:pPr>
        <w:spacing w:line="460" w:lineRule="exact"/>
        <w:rPr>
          <w:color w:val="000000"/>
          <w:sz w:val="28"/>
          <w:szCs w:val="28"/>
          <w:lang w:val="zh-CN"/>
        </w:rPr>
      </w:pPr>
      <w:r>
        <w:rPr>
          <w:rFonts w:hint="eastAsia"/>
          <w:color w:val="000000"/>
          <w:sz w:val="28"/>
          <w:szCs w:val="28"/>
          <w:lang w:val="zh-CN"/>
        </w:rPr>
        <w:t>备注：</w:t>
      </w:r>
      <w:r>
        <w:rPr>
          <w:color w:val="000000"/>
          <w:sz w:val="28"/>
          <w:szCs w:val="28"/>
          <w:lang w:val="zh-CN"/>
        </w:rPr>
        <w:t>1</w:t>
      </w:r>
      <w:r>
        <w:rPr>
          <w:rFonts w:hint="eastAsia"/>
          <w:color w:val="000000"/>
          <w:sz w:val="28"/>
          <w:szCs w:val="28"/>
          <w:lang w:val="zh-CN"/>
        </w:rPr>
        <w:t>、</w:t>
      </w:r>
      <w:r>
        <w:rPr>
          <w:rFonts w:hint="eastAsia" w:ascii="宋体" w:hAnsi="宋体"/>
          <w:color w:val="000000"/>
          <w:sz w:val="28"/>
          <w:szCs w:val="28"/>
        </w:rPr>
        <w:t>同一业主的按1个计</w:t>
      </w:r>
      <w:r>
        <w:rPr>
          <w:rFonts w:hint="eastAsia" w:ascii="宋体" w:hAnsi="宋体"/>
          <w:color w:val="000000"/>
          <w:sz w:val="28"/>
          <w:szCs w:val="28"/>
          <w:lang w:val="zh-CN"/>
        </w:rPr>
        <w:t>，</w:t>
      </w:r>
      <w:r>
        <w:rPr>
          <w:rFonts w:hint="eastAsia" w:ascii="宋体" w:hAnsi="宋体"/>
          <w:color w:val="000000"/>
          <w:sz w:val="28"/>
          <w:szCs w:val="28"/>
        </w:rPr>
        <w:t>每个项目案例提供采购（招标）公告及结果公告清晰截图及发布网址，否则不得分。</w:t>
      </w:r>
    </w:p>
    <w:p>
      <w:pPr>
        <w:spacing w:line="460" w:lineRule="exact"/>
        <w:ind w:firstLine="840" w:firstLineChars="300"/>
        <w:rPr>
          <w:color w:val="000000"/>
          <w:sz w:val="28"/>
          <w:szCs w:val="28"/>
          <w:lang w:val="zh-CN"/>
        </w:rPr>
      </w:pPr>
      <w:r>
        <w:rPr>
          <w:rFonts w:hint="eastAsia"/>
          <w:color w:val="000000"/>
          <w:sz w:val="28"/>
          <w:szCs w:val="28"/>
          <w:lang w:val="zh-CN"/>
        </w:rPr>
        <w:t>2、</w:t>
      </w:r>
      <w:r>
        <w:rPr>
          <w:rFonts w:hint="eastAsia" w:ascii="宋体" w:hAnsi="宋体"/>
          <w:color w:val="000000"/>
          <w:sz w:val="28"/>
          <w:szCs w:val="28"/>
        </w:rPr>
        <w:t>采购人联系人和联系方式必须真实有效，入围后核查，如发现提供虚假材料的，取消入围资格</w:t>
      </w:r>
      <w:r>
        <w:rPr>
          <w:rFonts w:hint="eastAsia" w:ascii="宋体" w:hAnsi="宋体"/>
          <w:color w:val="000000"/>
          <w:sz w:val="28"/>
          <w:szCs w:val="28"/>
          <w:lang w:eastAsia="zh-CN"/>
        </w:rPr>
        <w:t>。</w:t>
      </w:r>
    </w:p>
    <w:p>
      <w:pPr>
        <w:spacing w:line="460" w:lineRule="exact"/>
        <w:jc w:val="center"/>
        <w:rPr>
          <w:color w:val="000000"/>
          <w:sz w:val="28"/>
          <w:szCs w:val="28"/>
        </w:rPr>
      </w:pPr>
    </w:p>
    <w:p>
      <w:pPr>
        <w:spacing w:line="460" w:lineRule="exact"/>
        <w:jc w:val="center"/>
        <w:rPr>
          <w:color w:val="000000"/>
          <w:sz w:val="28"/>
          <w:szCs w:val="28"/>
        </w:rPr>
      </w:pPr>
      <w:r>
        <w:rPr>
          <w:rFonts w:hint="eastAsia"/>
          <w:color w:val="000000"/>
          <w:sz w:val="28"/>
          <w:szCs w:val="28"/>
        </w:rPr>
        <w:t xml:space="preserve">                      </w:t>
      </w:r>
      <w:r>
        <w:rPr>
          <w:rFonts w:hint="eastAsia"/>
          <w:color w:val="000000"/>
          <w:sz w:val="28"/>
          <w:szCs w:val="28"/>
          <w:lang w:val="zh-CN"/>
        </w:rPr>
        <w:t>投标人全称：（盖章）</w:t>
      </w:r>
      <w:r>
        <w:rPr>
          <w:rFonts w:hint="eastAsia"/>
          <w:color w:val="000000"/>
          <w:sz w:val="28"/>
          <w:szCs w:val="28"/>
        </w:rPr>
        <w:t xml:space="preserve">                 </w:t>
      </w:r>
    </w:p>
    <w:p>
      <w:pPr>
        <w:spacing w:line="460" w:lineRule="exact"/>
        <w:jc w:val="right"/>
        <w:rPr>
          <w:color w:val="000000"/>
          <w:sz w:val="28"/>
          <w:szCs w:val="28"/>
          <w:lang w:val="zh-CN"/>
        </w:rPr>
      </w:pPr>
      <w:r>
        <w:rPr>
          <w:rFonts w:hint="eastAsia"/>
          <w:color w:val="000000"/>
          <w:sz w:val="28"/>
          <w:szCs w:val="28"/>
          <w:lang w:val="zh-CN"/>
        </w:rPr>
        <w:t>法定代表人（或授权代表）：（签字）</w:t>
      </w:r>
      <w:r>
        <w:rPr>
          <w:rFonts w:hint="eastAsia"/>
          <w:color w:val="000000"/>
          <w:sz w:val="28"/>
          <w:szCs w:val="28"/>
        </w:rPr>
        <w:t xml:space="preserve">                </w:t>
      </w:r>
      <w:r>
        <w:rPr>
          <w:rFonts w:hint="eastAsia"/>
          <w:color w:val="000000"/>
          <w:sz w:val="28"/>
          <w:szCs w:val="28"/>
          <w:lang w:val="zh-CN"/>
        </w:rPr>
        <w:t>年</w:t>
      </w:r>
      <w:r>
        <w:rPr>
          <w:color w:val="000000"/>
          <w:sz w:val="28"/>
          <w:szCs w:val="28"/>
          <w:lang w:val="zh-CN"/>
        </w:rPr>
        <w:t xml:space="preserve">   </w:t>
      </w:r>
      <w:r>
        <w:rPr>
          <w:rFonts w:hint="eastAsia"/>
          <w:color w:val="000000"/>
          <w:sz w:val="28"/>
          <w:szCs w:val="28"/>
          <w:lang w:val="zh-CN"/>
        </w:rPr>
        <w:t>月</w:t>
      </w:r>
      <w:r>
        <w:rPr>
          <w:color w:val="000000"/>
          <w:sz w:val="28"/>
          <w:szCs w:val="28"/>
          <w:lang w:val="zh-CN"/>
        </w:rPr>
        <w:t xml:space="preserve">  </w:t>
      </w:r>
      <w:r>
        <w:rPr>
          <w:rFonts w:hint="eastAsia"/>
          <w:color w:val="000000"/>
          <w:sz w:val="28"/>
          <w:szCs w:val="28"/>
        </w:rPr>
        <w:t xml:space="preserve"> </w:t>
      </w:r>
      <w:r>
        <w:rPr>
          <w:rFonts w:hint="eastAsia"/>
          <w:color w:val="000000"/>
          <w:sz w:val="28"/>
          <w:szCs w:val="28"/>
          <w:lang w:val="zh-CN"/>
        </w:rPr>
        <w:t>日</w:t>
      </w:r>
    </w:p>
    <w:p>
      <w:pPr>
        <w:ind w:firstLine="602"/>
        <w:rPr>
          <w:rFonts w:ascii="仿宋" w:hAnsi="仿宋" w:eastAsia="仿宋"/>
          <w:sz w:val="30"/>
          <w:szCs w:val="30"/>
        </w:rPr>
      </w:pPr>
      <w:r>
        <w:rPr>
          <w:rFonts w:hint="eastAsia" w:ascii="仿宋" w:hAnsi="仿宋" w:eastAsia="仿宋"/>
          <w:sz w:val="30"/>
          <w:szCs w:val="30"/>
        </w:rPr>
        <w:br w:type="page"/>
      </w:r>
    </w:p>
    <w:p>
      <w:pPr>
        <w:widowControl/>
        <w:jc w:val="left"/>
        <w:rPr>
          <w:rFonts w:ascii="仿宋" w:hAnsi="仿宋" w:eastAsia="仿宋"/>
          <w:sz w:val="30"/>
          <w:szCs w:val="30"/>
        </w:rPr>
      </w:pPr>
      <w:r>
        <w:rPr>
          <w:rFonts w:hint="eastAsia" w:ascii="仿宋" w:hAnsi="仿宋" w:eastAsia="仿宋"/>
          <w:sz w:val="30"/>
          <w:szCs w:val="30"/>
        </w:rPr>
        <w:t>附件15：</w:t>
      </w:r>
    </w:p>
    <w:p>
      <w:pPr>
        <w:widowControl/>
        <w:jc w:val="center"/>
        <w:rPr>
          <w:rFonts w:ascii="仿宋" w:hAnsi="仿宋" w:eastAsia="仿宋"/>
          <w:b/>
          <w:sz w:val="36"/>
          <w:szCs w:val="36"/>
        </w:rPr>
      </w:pPr>
      <w:r>
        <w:rPr>
          <w:rFonts w:hint="eastAsia" w:ascii="仿宋" w:hAnsi="仿宋" w:eastAsia="仿宋"/>
          <w:b/>
          <w:sz w:val="36"/>
          <w:szCs w:val="36"/>
        </w:rPr>
        <w:t>2023年</w:t>
      </w:r>
      <w:r>
        <w:rPr>
          <w:rFonts w:hint="eastAsia" w:ascii="仿宋" w:hAnsi="仿宋" w:eastAsia="仿宋"/>
          <w:b/>
          <w:sz w:val="36"/>
          <w:szCs w:val="36"/>
          <w:lang w:val="en-US" w:eastAsia="zh-CN"/>
        </w:rPr>
        <w:t>1月1日以来</w:t>
      </w:r>
      <w:r>
        <w:rPr>
          <w:rFonts w:hint="eastAsia" w:ascii="仿宋" w:hAnsi="仿宋" w:eastAsia="仿宋"/>
          <w:b/>
          <w:sz w:val="36"/>
          <w:szCs w:val="36"/>
        </w:rPr>
        <w:t>业主自行组织招标的工程（或与工程相关的货物及服务）类项目案例汇总表</w:t>
      </w:r>
    </w:p>
    <w:p>
      <w:pPr>
        <w:widowControl/>
        <w:ind w:firstLine="720"/>
        <w:jc w:val="center"/>
        <w:rPr>
          <w:rFonts w:ascii="仿宋" w:hAnsi="仿宋" w:eastAsia="仿宋"/>
          <w:b/>
          <w:sz w:val="36"/>
          <w:szCs w:val="36"/>
        </w:rPr>
      </w:pPr>
    </w:p>
    <w:p>
      <w:pPr>
        <w:rPr>
          <w:rFonts w:ascii="宋体" w:hAnsi="宋体" w:cs="宋体"/>
          <w:color w:val="000000"/>
          <w:sz w:val="28"/>
          <w:szCs w:val="28"/>
        </w:rPr>
      </w:pPr>
      <w:r>
        <w:rPr>
          <w:rFonts w:hint="eastAsia" w:ascii="宋体" w:hAnsi="宋体" w:cs="宋体"/>
          <w:color w:val="000000"/>
          <w:sz w:val="28"/>
          <w:szCs w:val="28"/>
        </w:rPr>
        <w:t xml:space="preserve">项目名称：                   项目编号：              </w:t>
      </w:r>
      <w:r>
        <w:rPr>
          <w:rFonts w:hint="eastAsia" w:ascii="宋体" w:hAnsi="宋体" w:cs="宋体"/>
          <w:sz w:val="28"/>
          <w:szCs w:val="28"/>
        </w:rPr>
        <w:t xml:space="preserve">标项：1  </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12"/>
        <w:gridCol w:w="3262"/>
        <w:gridCol w:w="1444"/>
        <w:gridCol w:w="1781"/>
        <w:gridCol w:w="286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序号</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w:t>
            </w:r>
          </w:p>
          <w:p>
            <w:pPr>
              <w:jc w:val="center"/>
              <w:rPr>
                <w:color w:val="000000"/>
                <w:sz w:val="28"/>
                <w:szCs w:val="28"/>
              </w:rPr>
            </w:pPr>
            <w:r>
              <w:rPr>
                <w:rFonts w:hint="eastAsia"/>
                <w:color w:val="000000"/>
                <w:sz w:val="28"/>
                <w:szCs w:val="28"/>
              </w:rPr>
              <w:t>名称</w:t>
            </w:r>
          </w:p>
        </w:tc>
        <w:tc>
          <w:tcPr>
            <w:tcW w:w="326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项目名称</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8"/>
                <w:szCs w:val="28"/>
              </w:rPr>
              <w:t>合同金额（万元）</w:t>
            </w: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签订日期</w:t>
            </w:r>
          </w:p>
        </w:tc>
        <w:tc>
          <w:tcPr>
            <w:tcW w:w="2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用户联系人及电话</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1</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2</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bl>
    <w:p>
      <w:pPr>
        <w:spacing w:line="460" w:lineRule="exact"/>
        <w:rPr>
          <w:color w:val="000000"/>
          <w:sz w:val="28"/>
          <w:szCs w:val="28"/>
          <w:lang w:val="zh-CN"/>
        </w:rPr>
      </w:pPr>
      <w:r>
        <w:rPr>
          <w:rFonts w:hint="eastAsia"/>
          <w:color w:val="000000"/>
          <w:sz w:val="28"/>
          <w:szCs w:val="28"/>
          <w:lang w:val="zh-CN"/>
        </w:rPr>
        <w:t>备注：</w:t>
      </w:r>
      <w:r>
        <w:rPr>
          <w:color w:val="000000"/>
          <w:sz w:val="28"/>
          <w:szCs w:val="28"/>
          <w:lang w:val="zh-CN"/>
        </w:rPr>
        <w:t>1</w:t>
      </w:r>
      <w:r>
        <w:rPr>
          <w:rFonts w:hint="eastAsia"/>
          <w:color w:val="000000"/>
          <w:sz w:val="28"/>
          <w:szCs w:val="28"/>
          <w:lang w:val="zh-CN"/>
        </w:rPr>
        <w:t>、</w:t>
      </w:r>
      <w:r>
        <w:rPr>
          <w:rFonts w:hint="eastAsia" w:ascii="宋体" w:hAnsi="宋体"/>
          <w:color w:val="000000"/>
          <w:sz w:val="28"/>
          <w:szCs w:val="28"/>
        </w:rPr>
        <w:t>同一业主的按1个计</w:t>
      </w:r>
      <w:r>
        <w:rPr>
          <w:rFonts w:hint="eastAsia" w:ascii="宋体" w:hAnsi="宋体"/>
          <w:color w:val="000000"/>
          <w:sz w:val="28"/>
          <w:szCs w:val="28"/>
          <w:lang w:val="zh-CN"/>
        </w:rPr>
        <w:t>，</w:t>
      </w:r>
      <w:r>
        <w:rPr>
          <w:rFonts w:hint="eastAsia" w:ascii="宋体" w:hAnsi="宋体"/>
          <w:color w:val="000000"/>
          <w:sz w:val="28"/>
          <w:szCs w:val="28"/>
        </w:rPr>
        <w:t>每个项目案例提供采购（招标）公告及结果公告清晰截图及发布网址，否则不得分。</w:t>
      </w:r>
    </w:p>
    <w:p>
      <w:pPr>
        <w:spacing w:line="460" w:lineRule="exact"/>
        <w:ind w:firstLine="840" w:firstLineChars="300"/>
        <w:rPr>
          <w:color w:val="000000"/>
          <w:sz w:val="28"/>
          <w:szCs w:val="28"/>
          <w:lang w:val="zh-CN"/>
        </w:rPr>
      </w:pPr>
      <w:r>
        <w:rPr>
          <w:rFonts w:hint="eastAsia"/>
          <w:color w:val="000000"/>
          <w:sz w:val="28"/>
          <w:szCs w:val="28"/>
          <w:lang w:val="zh-CN"/>
        </w:rPr>
        <w:t>2、</w:t>
      </w:r>
      <w:r>
        <w:rPr>
          <w:rFonts w:hint="eastAsia" w:ascii="宋体" w:hAnsi="宋体"/>
          <w:color w:val="000000"/>
          <w:sz w:val="28"/>
          <w:szCs w:val="28"/>
        </w:rPr>
        <w:t>采购人联系人和联系方式必须真实有效，入围后核查，如发现提供虚假材料的，取消入围资格</w:t>
      </w:r>
      <w:r>
        <w:rPr>
          <w:rFonts w:hint="eastAsia" w:ascii="宋体" w:hAnsi="宋体"/>
          <w:color w:val="000000"/>
          <w:sz w:val="28"/>
          <w:szCs w:val="28"/>
          <w:lang w:eastAsia="zh-CN"/>
        </w:rPr>
        <w:t>。</w:t>
      </w:r>
    </w:p>
    <w:p>
      <w:pPr>
        <w:spacing w:line="460" w:lineRule="exact"/>
        <w:jc w:val="center"/>
        <w:rPr>
          <w:color w:val="000000"/>
          <w:sz w:val="28"/>
          <w:szCs w:val="28"/>
        </w:rPr>
      </w:pPr>
    </w:p>
    <w:p>
      <w:pPr>
        <w:spacing w:line="460" w:lineRule="exact"/>
        <w:jc w:val="center"/>
        <w:rPr>
          <w:color w:val="000000"/>
          <w:sz w:val="28"/>
          <w:szCs w:val="28"/>
        </w:rPr>
      </w:pPr>
      <w:r>
        <w:rPr>
          <w:rFonts w:hint="eastAsia"/>
          <w:color w:val="000000"/>
          <w:sz w:val="28"/>
          <w:szCs w:val="28"/>
        </w:rPr>
        <w:t xml:space="preserve">                      </w:t>
      </w:r>
      <w:r>
        <w:rPr>
          <w:rFonts w:hint="eastAsia"/>
          <w:color w:val="000000"/>
          <w:sz w:val="28"/>
          <w:szCs w:val="28"/>
          <w:lang w:val="zh-CN"/>
        </w:rPr>
        <w:t>投标人全称：（盖章）</w:t>
      </w:r>
      <w:r>
        <w:rPr>
          <w:rFonts w:hint="eastAsia"/>
          <w:color w:val="000000"/>
          <w:sz w:val="28"/>
          <w:szCs w:val="28"/>
        </w:rPr>
        <w:t xml:space="preserve">                 </w:t>
      </w:r>
    </w:p>
    <w:p>
      <w:pPr>
        <w:spacing w:line="460" w:lineRule="exact"/>
        <w:jc w:val="right"/>
        <w:rPr>
          <w:color w:val="000000"/>
          <w:sz w:val="28"/>
          <w:szCs w:val="28"/>
          <w:lang w:val="zh-CN"/>
        </w:rPr>
      </w:pPr>
      <w:r>
        <w:rPr>
          <w:rFonts w:hint="eastAsia"/>
          <w:color w:val="000000"/>
          <w:sz w:val="28"/>
          <w:szCs w:val="28"/>
          <w:lang w:val="zh-CN"/>
        </w:rPr>
        <w:t>法定代表人（或授权代表）：（签字）</w:t>
      </w:r>
      <w:r>
        <w:rPr>
          <w:rFonts w:hint="eastAsia"/>
          <w:color w:val="000000"/>
          <w:sz w:val="28"/>
          <w:szCs w:val="28"/>
        </w:rPr>
        <w:t xml:space="preserve">                </w:t>
      </w:r>
      <w:r>
        <w:rPr>
          <w:rFonts w:hint="eastAsia"/>
          <w:color w:val="000000"/>
          <w:sz w:val="28"/>
          <w:szCs w:val="28"/>
          <w:lang w:val="zh-CN"/>
        </w:rPr>
        <w:t>年</w:t>
      </w:r>
      <w:r>
        <w:rPr>
          <w:color w:val="000000"/>
          <w:sz w:val="28"/>
          <w:szCs w:val="28"/>
          <w:lang w:val="zh-CN"/>
        </w:rPr>
        <w:t xml:space="preserve">   </w:t>
      </w:r>
      <w:r>
        <w:rPr>
          <w:rFonts w:hint="eastAsia"/>
          <w:color w:val="000000"/>
          <w:sz w:val="28"/>
          <w:szCs w:val="28"/>
          <w:lang w:val="zh-CN"/>
        </w:rPr>
        <w:t>月</w:t>
      </w:r>
      <w:r>
        <w:rPr>
          <w:color w:val="000000"/>
          <w:sz w:val="28"/>
          <w:szCs w:val="28"/>
          <w:lang w:val="zh-CN"/>
        </w:rPr>
        <w:t xml:space="preserve">  </w:t>
      </w:r>
      <w:r>
        <w:rPr>
          <w:rFonts w:hint="eastAsia"/>
          <w:color w:val="000000"/>
          <w:sz w:val="28"/>
          <w:szCs w:val="28"/>
        </w:rPr>
        <w:t xml:space="preserve"> </w:t>
      </w:r>
      <w:r>
        <w:rPr>
          <w:rFonts w:hint="eastAsia"/>
          <w:color w:val="000000"/>
          <w:sz w:val="28"/>
          <w:szCs w:val="28"/>
          <w:lang w:val="zh-CN"/>
        </w:rPr>
        <w:t>日</w:t>
      </w:r>
    </w:p>
    <w:p>
      <w:pPr>
        <w:ind w:firstLine="602"/>
        <w:rPr>
          <w:rFonts w:ascii="仿宋" w:hAnsi="仿宋" w:eastAsia="仿宋"/>
          <w:sz w:val="30"/>
          <w:szCs w:val="30"/>
        </w:rPr>
      </w:pPr>
      <w:r>
        <w:rPr>
          <w:rFonts w:hint="eastAsia" w:ascii="仿宋" w:hAnsi="仿宋" w:eastAsia="仿宋"/>
          <w:sz w:val="30"/>
          <w:szCs w:val="30"/>
        </w:rPr>
        <w:br w:type="page"/>
      </w:r>
    </w:p>
    <w:p>
      <w:pPr>
        <w:widowControl/>
        <w:jc w:val="left"/>
        <w:rPr>
          <w:rFonts w:ascii="仿宋" w:hAnsi="仿宋" w:eastAsia="仿宋"/>
          <w:sz w:val="30"/>
          <w:szCs w:val="30"/>
        </w:rPr>
      </w:pPr>
      <w:r>
        <w:rPr>
          <w:rFonts w:hint="eastAsia" w:ascii="仿宋" w:hAnsi="仿宋" w:eastAsia="仿宋"/>
          <w:sz w:val="30"/>
          <w:szCs w:val="30"/>
        </w:rPr>
        <w:t>附件16：</w:t>
      </w:r>
    </w:p>
    <w:p>
      <w:pPr>
        <w:widowControl/>
        <w:jc w:val="center"/>
        <w:rPr>
          <w:rFonts w:ascii="仿宋" w:hAnsi="仿宋" w:eastAsia="仿宋"/>
          <w:b/>
          <w:sz w:val="36"/>
          <w:szCs w:val="36"/>
        </w:rPr>
      </w:pPr>
      <w:r>
        <w:rPr>
          <w:rFonts w:hint="eastAsia" w:ascii="仿宋" w:hAnsi="仿宋" w:eastAsia="仿宋"/>
          <w:b/>
          <w:sz w:val="36"/>
          <w:szCs w:val="36"/>
        </w:rPr>
        <w:t>2023年</w:t>
      </w:r>
      <w:r>
        <w:rPr>
          <w:rFonts w:hint="eastAsia" w:ascii="仿宋" w:hAnsi="仿宋" w:eastAsia="仿宋"/>
          <w:b/>
          <w:sz w:val="36"/>
          <w:szCs w:val="36"/>
          <w:lang w:val="en-US" w:eastAsia="zh-CN"/>
        </w:rPr>
        <w:t>1月1日以来</w:t>
      </w:r>
      <w:r>
        <w:rPr>
          <w:rFonts w:hint="eastAsia" w:ascii="仿宋" w:hAnsi="仿宋" w:eastAsia="仿宋"/>
          <w:b/>
          <w:sz w:val="36"/>
          <w:szCs w:val="36"/>
        </w:rPr>
        <w:t>采用“评定分离”的依法必须招标项目的招标代理案例汇总表</w:t>
      </w:r>
    </w:p>
    <w:p>
      <w:pPr>
        <w:widowControl/>
        <w:ind w:firstLine="720"/>
        <w:jc w:val="center"/>
        <w:rPr>
          <w:rFonts w:ascii="仿宋" w:hAnsi="仿宋" w:eastAsia="仿宋"/>
          <w:b/>
          <w:sz w:val="36"/>
          <w:szCs w:val="36"/>
        </w:rPr>
      </w:pPr>
    </w:p>
    <w:p>
      <w:pPr>
        <w:rPr>
          <w:rFonts w:ascii="宋体" w:hAnsi="宋体" w:cs="宋体"/>
          <w:color w:val="000000"/>
          <w:sz w:val="28"/>
          <w:szCs w:val="28"/>
        </w:rPr>
      </w:pPr>
      <w:r>
        <w:rPr>
          <w:rFonts w:hint="eastAsia" w:ascii="宋体" w:hAnsi="宋体" w:cs="宋体"/>
          <w:color w:val="000000"/>
          <w:sz w:val="28"/>
          <w:szCs w:val="28"/>
        </w:rPr>
        <w:t xml:space="preserve">项目名称：                   项目编号：              </w:t>
      </w:r>
      <w:r>
        <w:rPr>
          <w:rFonts w:hint="eastAsia" w:ascii="宋体" w:hAnsi="宋体" w:cs="宋体"/>
          <w:sz w:val="28"/>
          <w:szCs w:val="28"/>
        </w:rPr>
        <w:t xml:space="preserve">标项：2  </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12"/>
        <w:gridCol w:w="3262"/>
        <w:gridCol w:w="1444"/>
        <w:gridCol w:w="1781"/>
        <w:gridCol w:w="286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序号</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w:t>
            </w:r>
          </w:p>
          <w:p>
            <w:pPr>
              <w:jc w:val="center"/>
              <w:rPr>
                <w:color w:val="000000"/>
                <w:sz w:val="28"/>
                <w:szCs w:val="28"/>
              </w:rPr>
            </w:pPr>
            <w:r>
              <w:rPr>
                <w:rFonts w:hint="eastAsia"/>
                <w:color w:val="000000"/>
                <w:sz w:val="28"/>
                <w:szCs w:val="28"/>
              </w:rPr>
              <w:t>名称</w:t>
            </w:r>
          </w:p>
        </w:tc>
        <w:tc>
          <w:tcPr>
            <w:tcW w:w="326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项目名称</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8"/>
                <w:szCs w:val="28"/>
              </w:rPr>
              <w:t>合同金额（万元）</w:t>
            </w: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签订日期</w:t>
            </w:r>
          </w:p>
        </w:tc>
        <w:tc>
          <w:tcPr>
            <w:tcW w:w="2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用户联系人及电话</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1</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2</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bl>
    <w:p>
      <w:pPr>
        <w:spacing w:line="460" w:lineRule="exact"/>
        <w:rPr>
          <w:color w:val="000000"/>
          <w:sz w:val="28"/>
          <w:szCs w:val="28"/>
          <w:lang w:val="zh-CN"/>
        </w:rPr>
      </w:pPr>
      <w:r>
        <w:rPr>
          <w:rFonts w:hint="eastAsia"/>
          <w:color w:val="000000"/>
          <w:sz w:val="28"/>
          <w:szCs w:val="28"/>
          <w:lang w:val="zh-CN"/>
        </w:rPr>
        <w:t>备注：</w:t>
      </w:r>
      <w:r>
        <w:rPr>
          <w:color w:val="000000"/>
          <w:sz w:val="28"/>
          <w:szCs w:val="28"/>
          <w:lang w:val="zh-CN"/>
        </w:rPr>
        <w:t>1</w:t>
      </w:r>
      <w:r>
        <w:rPr>
          <w:rFonts w:hint="eastAsia"/>
          <w:color w:val="000000"/>
          <w:sz w:val="28"/>
          <w:szCs w:val="28"/>
          <w:lang w:val="zh-CN"/>
        </w:rPr>
        <w:t>、</w:t>
      </w:r>
      <w:r>
        <w:rPr>
          <w:rFonts w:hint="eastAsia" w:ascii="宋体" w:hAnsi="宋体"/>
          <w:color w:val="000000"/>
          <w:sz w:val="28"/>
          <w:szCs w:val="28"/>
        </w:rPr>
        <w:t>同一业主的按1个计</w:t>
      </w:r>
      <w:r>
        <w:rPr>
          <w:rFonts w:hint="eastAsia" w:ascii="宋体" w:hAnsi="宋体"/>
          <w:color w:val="000000"/>
          <w:sz w:val="28"/>
          <w:szCs w:val="28"/>
          <w:lang w:val="zh-CN"/>
        </w:rPr>
        <w:t>，</w:t>
      </w:r>
      <w:r>
        <w:rPr>
          <w:rFonts w:hint="eastAsia" w:ascii="宋体" w:hAnsi="宋体"/>
          <w:color w:val="000000"/>
          <w:sz w:val="28"/>
          <w:szCs w:val="28"/>
        </w:rPr>
        <w:t>每个项目案例提供采购（招标）公告及结果公告清晰截图及发布网址，否则不得分。</w:t>
      </w:r>
    </w:p>
    <w:p>
      <w:pPr>
        <w:spacing w:line="460" w:lineRule="exact"/>
        <w:ind w:firstLine="840" w:firstLineChars="300"/>
        <w:rPr>
          <w:color w:val="000000"/>
          <w:sz w:val="28"/>
          <w:szCs w:val="28"/>
          <w:lang w:val="zh-CN"/>
        </w:rPr>
      </w:pPr>
      <w:r>
        <w:rPr>
          <w:rFonts w:hint="eastAsia"/>
          <w:color w:val="000000"/>
          <w:sz w:val="28"/>
          <w:szCs w:val="28"/>
          <w:lang w:val="zh-CN"/>
        </w:rPr>
        <w:t>2、</w:t>
      </w:r>
      <w:r>
        <w:rPr>
          <w:rFonts w:hint="eastAsia" w:ascii="宋体" w:hAnsi="宋体"/>
          <w:color w:val="000000"/>
          <w:sz w:val="28"/>
          <w:szCs w:val="28"/>
        </w:rPr>
        <w:t>采购人联系人和联系方式必须真实有效，入围后核查，如发现提供虚假材料的，取消入围资格</w:t>
      </w:r>
      <w:r>
        <w:rPr>
          <w:rFonts w:hint="eastAsia" w:ascii="宋体" w:hAnsi="宋体"/>
          <w:color w:val="000000"/>
          <w:sz w:val="28"/>
          <w:szCs w:val="28"/>
          <w:lang w:eastAsia="zh-CN"/>
        </w:rPr>
        <w:t>。</w:t>
      </w:r>
    </w:p>
    <w:p>
      <w:pPr>
        <w:spacing w:line="460" w:lineRule="exact"/>
        <w:jc w:val="center"/>
        <w:rPr>
          <w:color w:val="000000"/>
          <w:sz w:val="28"/>
          <w:szCs w:val="28"/>
        </w:rPr>
      </w:pPr>
    </w:p>
    <w:p>
      <w:pPr>
        <w:spacing w:line="460" w:lineRule="exact"/>
        <w:jc w:val="center"/>
        <w:rPr>
          <w:color w:val="000000"/>
          <w:sz w:val="28"/>
          <w:szCs w:val="28"/>
        </w:rPr>
      </w:pPr>
      <w:r>
        <w:rPr>
          <w:rFonts w:hint="eastAsia"/>
          <w:color w:val="000000"/>
          <w:sz w:val="28"/>
          <w:szCs w:val="28"/>
        </w:rPr>
        <w:t xml:space="preserve">                      </w:t>
      </w:r>
      <w:r>
        <w:rPr>
          <w:rFonts w:hint="eastAsia"/>
          <w:color w:val="000000"/>
          <w:sz w:val="28"/>
          <w:szCs w:val="28"/>
          <w:lang w:val="zh-CN"/>
        </w:rPr>
        <w:t>投标人全称：（盖章）</w:t>
      </w:r>
      <w:r>
        <w:rPr>
          <w:rFonts w:hint="eastAsia"/>
          <w:color w:val="000000"/>
          <w:sz w:val="28"/>
          <w:szCs w:val="28"/>
        </w:rPr>
        <w:t xml:space="preserve">                 </w:t>
      </w:r>
    </w:p>
    <w:p>
      <w:pPr>
        <w:spacing w:line="460" w:lineRule="exact"/>
        <w:jc w:val="right"/>
        <w:rPr>
          <w:color w:val="000000"/>
          <w:sz w:val="28"/>
          <w:szCs w:val="28"/>
          <w:lang w:val="zh-CN"/>
        </w:rPr>
      </w:pPr>
      <w:r>
        <w:rPr>
          <w:rFonts w:hint="eastAsia"/>
          <w:color w:val="000000"/>
          <w:sz w:val="28"/>
          <w:szCs w:val="28"/>
          <w:lang w:val="zh-CN"/>
        </w:rPr>
        <w:t>法定代表人（或授权代表）：（签字）</w:t>
      </w:r>
      <w:r>
        <w:rPr>
          <w:rFonts w:hint="eastAsia"/>
          <w:color w:val="000000"/>
          <w:sz w:val="28"/>
          <w:szCs w:val="28"/>
        </w:rPr>
        <w:t xml:space="preserve">                </w:t>
      </w:r>
      <w:r>
        <w:rPr>
          <w:rFonts w:hint="eastAsia"/>
          <w:color w:val="000000"/>
          <w:sz w:val="28"/>
          <w:szCs w:val="28"/>
          <w:lang w:val="zh-CN"/>
        </w:rPr>
        <w:t>年</w:t>
      </w:r>
      <w:r>
        <w:rPr>
          <w:color w:val="000000"/>
          <w:sz w:val="28"/>
          <w:szCs w:val="28"/>
          <w:lang w:val="zh-CN"/>
        </w:rPr>
        <w:t xml:space="preserve">   </w:t>
      </w:r>
      <w:r>
        <w:rPr>
          <w:rFonts w:hint="eastAsia"/>
          <w:color w:val="000000"/>
          <w:sz w:val="28"/>
          <w:szCs w:val="28"/>
          <w:lang w:val="zh-CN"/>
        </w:rPr>
        <w:t>月</w:t>
      </w:r>
      <w:r>
        <w:rPr>
          <w:color w:val="000000"/>
          <w:sz w:val="28"/>
          <w:szCs w:val="28"/>
          <w:lang w:val="zh-CN"/>
        </w:rPr>
        <w:t xml:space="preserve">  </w:t>
      </w:r>
      <w:r>
        <w:rPr>
          <w:rFonts w:hint="eastAsia"/>
          <w:color w:val="000000"/>
          <w:sz w:val="28"/>
          <w:szCs w:val="28"/>
        </w:rPr>
        <w:t xml:space="preserve"> </w:t>
      </w:r>
      <w:r>
        <w:rPr>
          <w:rFonts w:hint="eastAsia"/>
          <w:color w:val="000000"/>
          <w:sz w:val="28"/>
          <w:szCs w:val="28"/>
          <w:lang w:val="zh-CN"/>
        </w:rPr>
        <w:t>日</w:t>
      </w:r>
    </w:p>
    <w:p>
      <w:pPr>
        <w:ind w:firstLine="602"/>
        <w:rPr>
          <w:rFonts w:ascii="仿宋" w:hAnsi="仿宋" w:eastAsia="仿宋"/>
          <w:sz w:val="30"/>
          <w:szCs w:val="30"/>
        </w:rPr>
      </w:pPr>
      <w:r>
        <w:rPr>
          <w:rFonts w:hint="eastAsia" w:ascii="仿宋" w:hAnsi="仿宋" w:eastAsia="仿宋"/>
          <w:sz w:val="30"/>
          <w:szCs w:val="30"/>
        </w:rPr>
        <w:br w:type="page"/>
      </w:r>
    </w:p>
    <w:p>
      <w:pPr>
        <w:widowControl/>
        <w:jc w:val="left"/>
        <w:rPr>
          <w:rFonts w:ascii="仿宋" w:hAnsi="仿宋" w:eastAsia="仿宋"/>
          <w:sz w:val="30"/>
          <w:szCs w:val="30"/>
        </w:rPr>
      </w:pPr>
      <w:r>
        <w:rPr>
          <w:rFonts w:hint="eastAsia" w:ascii="仿宋" w:hAnsi="仿宋" w:eastAsia="仿宋"/>
          <w:sz w:val="30"/>
          <w:szCs w:val="30"/>
        </w:rPr>
        <w:t>附件17：</w:t>
      </w:r>
    </w:p>
    <w:p>
      <w:pPr>
        <w:widowControl/>
        <w:jc w:val="center"/>
        <w:rPr>
          <w:rFonts w:ascii="仿宋" w:hAnsi="仿宋" w:eastAsia="仿宋"/>
          <w:b/>
          <w:sz w:val="36"/>
          <w:szCs w:val="36"/>
        </w:rPr>
      </w:pPr>
      <w:r>
        <w:rPr>
          <w:rFonts w:hint="eastAsia" w:ascii="仿宋" w:hAnsi="仿宋" w:eastAsia="仿宋"/>
          <w:b/>
          <w:sz w:val="36"/>
          <w:szCs w:val="36"/>
        </w:rPr>
        <w:t>2023年</w:t>
      </w:r>
      <w:r>
        <w:rPr>
          <w:rFonts w:hint="eastAsia" w:ascii="仿宋" w:hAnsi="仿宋" w:eastAsia="仿宋"/>
          <w:b/>
          <w:sz w:val="36"/>
          <w:szCs w:val="36"/>
          <w:lang w:val="en-US" w:eastAsia="zh-CN"/>
        </w:rPr>
        <w:t>1月1日以来</w:t>
      </w:r>
      <w:r>
        <w:rPr>
          <w:rFonts w:hint="eastAsia" w:ascii="仿宋" w:hAnsi="仿宋" w:eastAsia="仿宋"/>
          <w:b/>
          <w:sz w:val="36"/>
          <w:szCs w:val="36"/>
        </w:rPr>
        <w:t>不采用“评定分离”的依法必须招标项目的招标代理案例汇总表</w:t>
      </w:r>
    </w:p>
    <w:p>
      <w:pPr>
        <w:widowControl/>
        <w:ind w:firstLine="720"/>
        <w:jc w:val="center"/>
        <w:rPr>
          <w:rFonts w:ascii="仿宋" w:hAnsi="仿宋" w:eastAsia="仿宋"/>
          <w:b/>
          <w:sz w:val="36"/>
          <w:szCs w:val="36"/>
        </w:rPr>
      </w:pPr>
    </w:p>
    <w:p>
      <w:pPr>
        <w:rPr>
          <w:rFonts w:ascii="宋体" w:hAnsi="宋体" w:cs="宋体"/>
          <w:color w:val="000000"/>
          <w:sz w:val="28"/>
          <w:szCs w:val="28"/>
        </w:rPr>
      </w:pPr>
      <w:r>
        <w:rPr>
          <w:rFonts w:hint="eastAsia" w:ascii="宋体" w:hAnsi="宋体" w:cs="宋体"/>
          <w:color w:val="000000"/>
          <w:sz w:val="28"/>
          <w:szCs w:val="28"/>
        </w:rPr>
        <w:t xml:space="preserve">项目名称：                   项目编号：              </w:t>
      </w:r>
      <w:r>
        <w:rPr>
          <w:rFonts w:hint="eastAsia" w:ascii="宋体" w:hAnsi="宋体" w:cs="宋体"/>
          <w:sz w:val="28"/>
          <w:szCs w:val="28"/>
        </w:rPr>
        <w:t xml:space="preserve">标项：2  </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812"/>
        <w:gridCol w:w="3262"/>
        <w:gridCol w:w="1444"/>
        <w:gridCol w:w="1781"/>
        <w:gridCol w:w="286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序号</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w:t>
            </w:r>
          </w:p>
          <w:p>
            <w:pPr>
              <w:jc w:val="center"/>
              <w:rPr>
                <w:color w:val="000000"/>
                <w:sz w:val="28"/>
                <w:szCs w:val="28"/>
              </w:rPr>
            </w:pPr>
            <w:r>
              <w:rPr>
                <w:rFonts w:hint="eastAsia"/>
                <w:color w:val="000000"/>
                <w:sz w:val="28"/>
                <w:szCs w:val="28"/>
              </w:rPr>
              <w:t>名称</w:t>
            </w:r>
          </w:p>
        </w:tc>
        <w:tc>
          <w:tcPr>
            <w:tcW w:w="3262"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项目名称</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8"/>
                <w:szCs w:val="28"/>
              </w:rPr>
              <w:t>合同金额（万元）</w:t>
            </w: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签订日期</w:t>
            </w:r>
          </w:p>
        </w:tc>
        <w:tc>
          <w:tcPr>
            <w:tcW w:w="2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用户联系人及电话</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1</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2</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570" w:type="dxa"/>
            <w:tcBorders>
              <w:top w:val="single" w:color="auto" w:sz="4" w:space="0"/>
              <w:left w:val="single" w:color="auto" w:sz="4" w:space="0"/>
              <w:bottom w:val="single" w:color="auto" w:sz="4" w:space="0"/>
              <w:right w:val="single" w:color="auto" w:sz="4" w:space="0"/>
            </w:tcBorders>
            <w:vAlign w:val="center"/>
          </w:tcPr>
          <w:p>
            <w:pPr>
              <w:jc w:val="center"/>
              <w:rPr>
                <w:color w:val="000000"/>
                <w:sz w:val="28"/>
                <w:szCs w:val="28"/>
              </w:rPr>
            </w:pPr>
            <w:r>
              <w:rPr>
                <w:rFonts w:hint="eastAsia"/>
                <w:color w:val="000000"/>
                <w:sz w:val="28"/>
                <w:szCs w:val="28"/>
              </w:rPr>
              <w:t>...</w:t>
            </w:r>
          </w:p>
        </w:tc>
        <w:tc>
          <w:tcPr>
            <w:tcW w:w="2812" w:type="dxa"/>
            <w:tcBorders>
              <w:top w:val="single" w:color="auto" w:sz="4" w:space="0"/>
              <w:left w:val="single" w:color="auto" w:sz="4" w:space="0"/>
              <w:bottom w:val="single" w:color="auto" w:sz="4" w:space="0"/>
              <w:right w:val="single" w:color="auto" w:sz="4" w:space="0"/>
            </w:tcBorders>
          </w:tcPr>
          <w:p>
            <w:pPr>
              <w:rPr>
                <w:color w:val="000000"/>
              </w:rPr>
            </w:pPr>
          </w:p>
        </w:tc>
        <w:tc>
          <w:tcPr>
            <w:tcW w:w="3262" w:type="dxa"/>
            <w:tcBorders>
              <w:top w:val="single" w:color="auto" w:sz="4" w:space="0"/>
              <w:left w:val="single" w:color="auto" w:sz="4" w:space="0"/>
              <w:bottom w:val="single" w:color="auto" w:sz="4" w:space="0"/>
              <w:right w:val="single" w:color="auto" w:sz="4" w:space="0"/>
            </w:tcBorders>
          </w:tcPr>
          <w:p>
            <w:pPr>
              <w:rPr>
                <w:color w:val="000000"/>
              </w:rPr>
            </w:pPr>
          </w:p>
        </w:tc>
        <w:tc>
          <w:tcPr>
            <w:tcW w:w="1444" w:type="dxa"/>
            <w:tcBorders>
              <w:top w:val="single" w:color="auto" w:sz="4" w:space="0"/>
              <w:left w:val="single" w:color="auto" w:sz="4" w:space="0"/>
              <w:bottom w:val="single" w:color="auto" w:sz="4" w:space="0"/>
              <w:right w:val="single" w:color="auto" w:sz="4" w:space="0"/>
            </w:tcBorders>
          </w:tcPr>
          <w:p>
            <w:pPr>
              <w:rPr>
                <w:color w:val="000000"/>
              </w:rPr>
            </w:pPr>
          </w:p>
        </w:tc>
        <w:tc>
          <w:tcPr>
            <w:tcW w:w="1781" w:type="dxa"/>
            <w:tcBorders>
              <w:top w:val="single" w:color="auto" w:sz="4" w:space="0"/>
              <w:left w:val="single" w:color="auto" w:sz="4" w:space="0"/>
              <w:bottom w:val="single" w:color="auto" w:sz="4" w:space="0"/>
              <w:right w:val="single" w:color="auto" w:sz="4" w:space="0"/>
            </w:tcBorders>
          </w:tcPr>
          <w:p>
            <w:pPr>
              <w:rPr>
                <w:color w:val="000000"/>
              </w:rPr>
            </w:pPr>
          </w:p>
        </w:tc>
        <w:tc>
          <w:tcPr>
            <w:tcW w:w="2869" w:type="dxa"/>
            <w:tcBorders>
              <w:top w:val="single" w:color="auto" w:sz="4" w:space="0"/>
              <w:left w:val="single" w:color="auto" w:sz="4" w:space="0"/>
              <w:bottom w:val="single" w:color="auto" w:sz="4" w:space="0"/>
              <w:right w:val="single" w:color="auto" w:sz="4" w:space="0"/>
            </w:tcBorders>
          </w:tcPr>
          <w:p>
            <w:pPr>
              <w:rPr>
                <w:color w:val="000000"/>
              </w:rPr>
            </w:pPr>
          </w:p>
        </w:tc>
        <w:tc>
          <w:tcPr>
            <w:tcW w:w="1111" w:type="dxa"/>
            <w:tcBorders>
              <w:top w:val="single" w:color="auto" w:sz="4" w:space="0"/>
              <w:left w:val="single" w:color="auto" w:sz="4" w:space="0"/>
              <w:bottom w:val="single" w:color="auto" w:sz="4" w:space="0"/>
              <w:right w:val="single" w:color="auto" w:sz="4" w:space="0"/>
            </w:tcBorders>
          </w:tcPr>
          <w:p>
            <w:pPr>
              <w:rPr>
                <w:color w:val="000000"/>
              </w:rPr>
            </w:pPr>
          </w:p>
        </w:tc>
      </w:tr>
    </w:tbl>
    <w:p>
      <w:pPr>
        <w:spacing w:line="460" w:lineRule="exact"/>
        <w:rPr>
          <w:color w:val="000000"/>
          <w:sz w:val="28"/>
          <w:szCs w:val="28"/>
          <w:lang w:val="zh-CN"/>
        </w:rPr>
      </w:pPr>
      <w:r>
        <w:rPr>
          <w:rFonts w:hint="eastAsia"/>
          <w:color w:val="000000"/>
          <w:sz w:val="28"/>
          <w:szCs w:val="28"/>
          <w:lang w:val="zh-CN"/>
        </w:rPr>
        <w:t>备注：</w:t>
      </w:r>
      <w:r>
        <w:rPr>
          <w:color w:val="000000"/>
          <w:sz w:val="28"/>
          <w:szCs w:val="28"/>
          <w:lang w:val="zh-CN"/>
        </w:rPr>
        <w:t>1</w:t>
      </w:r>
      <w:r>
        <w:rPr>
          <w:rFonts w:hint="eastAsia"/>
          <w:color w:val="000000"/>
          <w:sz w:val="28"/>
          <w:szCs w:val="28"/>
          <w:lang w:val="zh-CN"/>
        </w:rPr>
        <w:t>、</w:t>
      </w:r>
      <w:r>
        <w:rPr>
          <w:rFonts w:hint="eastAsia" w:ascii="宋体" w:hAnsi="宋体"/>
          <w:color w:val="000000"/>
          <w:sz w:val="28"/>
          <w:szCs w:val="28"/>
        </w:rPr>
        <w:t>同一业主的按1个计</w:t>
      </w:r>
      <w:r>
        <w:rPr>
          <w:rFonts w:hint="eastAsia" w:ascii="宋体" w:hAnsi="宋体"/>
          <w:color w:val="000000"/>
          <w:sz w:val="28"/>
          <w:szCs w:val="28"/>
          <w:lang w:val="zh-CN"/>
        </w:rPr>
        <w:t>，</w:t>
      </w:r>
      <w:r>
        <w:rPr>
          <w:rFonts w:hint="eastAsia" w:ascii="宋体" w:hAnsi="宋体"/>
          <w:color w:val="000000"/>
          <w:sz w:val="28"/>
          <w:szCs w:val="28"/>
        </w:rPr>
        <w:t>每个项目案例提供采购（招标）公告及结果公告清晰截图及发布网址，否则不得分。</w:t>
      </w:r>
    </w:p>
    <w:p>
      <w:pPr>
        <w:spacing w:line="460" w:lineRule="exact"/>
        <w:ind w:firstLine="840" w:firstLineChars="300"/>
        <w:rPr>
          <w:color w:val="000000"/>
          <w:sz w:val="28"/>
          <w:szCs w:val="28"/>
          <w:lang w:val="zh-CN"/>
        </w:rPr>
      </w:pPr>
      <w:r>
        <w:rPr>
          <w:rFonts w:hint="eastAsia"/>
          <w:color w:val="000000"/>
          <w:sz w:val="28"/>
          <w:szCs w:val="28"/>
          <w:lang w:val="zh-CN"/>
        </w:rPr>
        <w:t>2、</w:t>
      </w:r>
      <w:r>
        <w:rPr>
          <w:rFonts w:hint="eastAsia" w:ascii="宋体" w:hAnsi="宋体"/>
          <w:color w:val="000000"/>
          <w:sz w:val="28"/>
          <w:szCs w:val="28"/>
        </w:rPr>
        <w:t>采购人联系人和联系方式必须真实有效，入围后核查，如发现提供虚假材料的，取消入围资格</w:t>
      </w:r>
      <w:r>
        <w:rPr>
          <w:rFonts w:hint="eastAsia" w:ascii="宋体" w:hAnsi="宋体"/>
          <w:color w:val="000000"/>
          <w:sz w:val="28"/>
          <w:szCs w:val="28"/>
          <w:lang w:eastAsia="zh-CN"/>
        </w:rPr>
        <w:t>。</w:t>
      </w:r>
    </w:p>
    <w:p>
      <w:pPr>
        <w:spacing w:line="460" w:lineRule="exact"/>
        <w:jc w:val="center"/>
        <w:rPr>
          <w:color w:val="000000"/>
          <w:sz w:val="28"/>
          <w:szCs w:val="28"/>
        </w:rPr>
      </w:pPr>
    </w:p>
    <w:p>
      <w:pPr>
        <w:spacing w:line="460" w:lineRule="exact"/>
        <w:jc w:val="center"/>
        <w:rPr>
          <w:color w:val="000000"/>
          <w:sz w:val="28"/>
          <w:szCs w:val="28"/>
        </w:rPr>
      </w:pPr>
      <w:r>
        <w:rPr>
          <w:rFonts w:hint="eastAsia"/>
          <w:color w:val="000000"/>
          <w:sz w:val="28"/>
          <w:szCs w:val="28"/>
        </w:rPr>
        <w:t xml:space="preserve">                      </w:t>
      </w:r>
      <w:r>
        <w:rPr>
          <w:rFonts w:hint="eastAsia"/>
          <w:color w:val="000000"/>
          <w:sz w:val="28"/>
          <w:szCs w:val="28"/>
          <w:lang w:val="zh-CN"/>
        </w:rPr>
        <w:t>投标人全称：（盖章）</w:t>
      </w:r>
      <w:r>
        <w:rPr>
          <w:rFonts w:hint="eastAsia"/>
          <w:color w:val="000000"/>
          <w:sz w:val="28"/>
          <w:szCs w:val="28"/>
        </w:rPr>
        <w:t xml:space="preserve">                 </w:t>
      </w:r>
    </w:p>
    <w:p>
      <w:pPr>
        <w:spacing w:line="460" w:lineRule="exact"/>
        <w:jc w:val="right"/>
        <w:rPr>
          <w:color w:val="000000"/>
          <w:sz w:val="28"/>
          <w:szCs w:val="28"/>
          <w:lang w:val="zh-CN"/>
        </w:rPr>
      </w:pPr>
      <w:bookmarkStart w:id="19" w:name="_GoBack"/>
      <w:bookmarkEnd w:id="19"/>
      <w:r>
        <w:rPr>
          <w:rFonts w:hint="eastAsia"/>
          <w:color w:val="000000"/>
          <w:sz w:val="28"/>
          <w:szCs w:val="28"/>
          <w:lang w:val="zh-CN"/>
        </w:rPr>
        <w:t>法定代表人（或授权代表）：（签字）</w:t>
      </w:r>
      <w:r>
        <w:rPr>
          <w:rFonts w:hint="eastAsia"/>
          <w:color w:val="000000"/>
          <w:sz w:val="28"/>
          <w:szCs w:val="28"/>
        </w:rPr>
        <w:t xml:space="preserve">                </w:t>
      </w:r>
      <w:r>
        <w:rPr>
          <w:rFonts w:hint="eastAsia"/>
          <w:color w:val="000000"/>
          <w:sz w:val="28"/>
          <w:szCs w:val="28"/>
          <w:lang w:val="zh-CN"/>
        </w:rPr>
        <w:t>年</w:t>
      </w:r>
      <w:r>
        <w:rPr>
          <w:color w:val="000000"/>
          <w:sz w:val="28"/>
          <w:szCs w:val="28"/>
          <w:lang w:val="zh-CN"/>
        </w:rPr>
        <w:t xml:space="preserve">   </w:t>
      </w:r>
      <w:r>
        <w:rPr>
          <w:rFonts w:hint="eastAsia"/>
          <w:color w:val="000000"/>
          <w:sz w:val="28"/>
          <w:szCs w:val="28"/>
          <w:lang w:val="zh-CN"/>
        </w:rPr>
        <w:t>月</w:t>
      </w:r>
      <w:r>
        <w:rPr>
          <w:color w:val="000000"/>
          <w:sz w:val="28"/>
          <w:szCs w:val="28"/>
          <w:lang w:val="zh-CN"/>
        </w:rPr>
        <w:t xml:space="preserve">  </w:t>
      </w:r>
      <w:r>
        <w:rPr>
          <w:rFonts w:hint="eastAsia"/>
          <w:color w:val="000000"/>
          <w:sz w:val="28"/>
          <w:szCs w:val="28"/>
        </w:rPr>
        <w:t xml:space="preserve"> </w:t>
      </w:r>
      <w:r>
        <w:rPr>
          <w:rFonts w:hint="eastAsia"/>
          <w:color w:val="000000"/>
          <w:sz w:val="28"/>
          <w:szCs w:val="28"/>
          <w:lang w:val="zh-CN"/>
        </w:rPr>
        <w:t>日</w:t>
      </w:r>
    </w:p>
    <w:p>
      <w:pPr>
        <w:snapToGrid w:val="0"/>
        <w:spacing w:before="120" w:beforeLines="50" w:after="72"/>
        <w:rPr>
          <w:rFonts w:ascii="仿宋" w:hAnsi="仿宋" w:eastAsia="仿宋"/>
          <w:color w:val="000000" w:themeColor="text1"/>
          <w:sz w:val="30"/>
          <w:szCs w:val="30"/>
          <w14:textFill>
            <w14:solidFill>
              <w14:schemeClr w14:val="tx1"/>
            </w14:solidFill>
          </w14:textFill>
        </w:rPr>
        <w:sectPr>
          <w:headerReference r:id="rId6" w:type="first"/>
          <w:footerReference r:id="rId9" w:type="first"/>
          <w:headerReference r:id="rId5" w:type="default"/>
          <w:footerReference r:id="rId7" w:type="default"/>
          <w:footerReference r:id="rId8" w:type="even"/>
          <w:pgSz w:w="16838" w:h="11906" w:orient="landscape"/>
          <w:pgMar w:top="1797" w:right="1474" w:bottom="1797" w:left="1480" w:header="851" w:footer="850" w:gutter="0"/>
          <w:cols w:space="0" w:num="1"/>
          <w:docGrid w:linePitch="312" w:charSpace="0"/>
        </w:sectPr>
      </w:pPr>
    </w:p>
    <w:p>
      <w:pPr>
        <w:snapToGrid w:val="0"/>
        <w:spacing w:before="120" w:beforeLines="50" w:after="72"/>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附件18</w:t>
      </w:r>
      <w:r>
        <w:rPr>
          <w:rFonts w:hint="eastAsia" w:ascii="仿宋" w:hAnsi="仿宋" w:eastAsia="仿宋"/>
          <w:b/>
          <w:color w:val="000000" w:themeColor="text1"/>
          <w:sz w:val="30"/>
          <w:szCs w:val="30"/>
          <w14:textFill>
            <w14:solidFill>
              <w14:schemeClr w14:val="tx1"/>
            </w14:solidFill>
          </w14:textFill>
        </w:rPr>
        <w:t>：</w:t>
      </w:r>
    </w:p>
    <w:p>
      <w:pPr>
        <w:snapToGrid w:val="0"/>
        <w:spacing w:before="120" w:beforeLines="50" w:after="72"/>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w:t>
      </w:r>
    </w:p>
    <w:p>
      <w:pPr>
        <w:ind w:right="-110"/>
        <w:jc w:val="center"/>
        <w:rPr>
          <w:rFonts w:ascii="仿宋" w:hAnsi="仿宋" w:eastAsia="仿宋"/>
          <w:color w:val="000000" w:themeColor="text1"/>
          <w:spacing w:val="40"/>
          <w:sz w:val="52"/>
          <w:szCs w:val="52"/>
          <w14:textFill>
            <w14:solidFill>
              <w14:schemeClr w14:val="tx1"/>
            </w14:solidFill>
          </w14:textFill>
        </w:rPr>
      </w:pPr>
      <w:r>
        <w:rPr>
          <w:rFonts w:hint="eastAsia" w:ascii="仿宋" w:hAnsi="仿宋" w:eastAsia="仿宋" w:cs="仿宋"/>
          <w:b/>
          <w:color w:val="000000"/>
          <w:spacing w:val="40"/>
          <w:sz w:val="48"/>
          <w:szCs w:val="48"/>
          <w:lang w:bidi="ar"/>
        </w:rPr>
        <w:t>浙商银行股份有限公司采购代理服务机构入围采购项目</w:t>
      </w:r>
    </w:p>
    <w:p>
      <w:pPr>
        <w:spacing w:after="72" w:afterAutospacing="1" w:line="800" w:lineRule="exact"/>
        <w:ind w:right="-108"/>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项目编号：ZZCG2024Y-GK-203（标项  ）</w:t>
      </w:r>
    </w:p>
    <w:p>
      <w:pPr>
        <w:pStyle w:val="992"/>
        <w:rPr>
          <w:rFonts w:ascii="仿宋" w:hAnsi="仿宋" w:eastAsia="仿宋"/>
          <w:color w:val="000000" w:themeColor="text1"/>
          <w:sz w:val="36"/>
          <w:szCs w:val="36"/>
          <w14:textFill>
            <w14:solidFill>
              <w14:schemeClr w14:val="tx1"/>
            </w14:solidFill>
          </w14:textFill>
        </w:rPr>
      </w:pPr>
    </w:p>
    <w:p>
      <w:pPr>
        <w:pStyle w:val="992"/>
        <w:rPr>
          <w:rFonts w:ascii="仿宋" w:hAnsi="仿宋" w:eastAsia="仿宋"/>
          <w:color w:val="000000" w:themeColor="text1"/>
          <w:sz w:val="36"/>
          <w:szCs w:val="36"/>
          <w14:textFill>
            <w14:solidFill>
              <w14:schemeClr w14:val="tx1"/>
            </w14:solidFill>
          </w14:textFill>
        </w:rPr>
      </w:pPr>
    </w:p>
    <w:p>
      <w:pPr>
        <w:spacing w:after="72"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报</w:t>
      </w:r>
    </w:p>
    <w:p>
      <w:pPr>
        <w:spacing w:after="72"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价</w:t>
      </w:r>
    </w:p>
    <w:p>
      <w:pPr>
        <w:spacing w:after="72"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72"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jc w:val="center"/>
        <w:rPr>
          <w:rFonts w:ascii="仿宋" w:hAnsi="仿宋" w:eastAsia="仿宋"/>
          <w:color w:val="000000" w:themeColor="text1"/>
          <w:sz w:val="36"/>
          <w:szCs w:val="36"/>
          <w14:textFill>
            <w14:solidFill>
              <w14:schemeClr w14:val="tx1"/>
            </w14:solidFill>
          </w14:textFill>
        </w:rPr>
      </w:pPr>
    </w:p>
    <w:p>
      <w:pPr>
        <w:spacing w:line="5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72" w:after="72"/>
        <w:ind w:firstLine="602"/>
        <w:rPr>
          <w:rFonts w:ascii="仿宋" w:hAnsi="仿宋" w:eastAsia="仿宋"/>
          <w:color w:val="000000" w:themeColor="text1"/>
          <w:sz w:val="30"/>
          <w:szCs w:val="30"/>
          <w14:textFill>
            <w14:solidFill>
              <w14:schemeClr w14:val="tx1"/>
            </w14:solidFill>
          </w14:textFill>
        </w:rPr>
      </w:pPr>
    </w:p>
    <w:p>
      <w:pPr>
        <w:pStyle w:val="34"/>
        <w:snapToGrid w:val="0"/>
        <w:ind w:left="0" w:leftChars="0"/>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3、</w:t>
      </w:r>
      <w:r>
        <w:rPr>
          <w:rFonts w:hint="eastAsia" w:ascii="仿宋" w:hAnsi="仿宋" w:eastAsia="仿宋"/>
          <w:b/>
          <w:color w:val="000000" w:themeColor="text1"/>
          <w:sz w:val="36"/>
          <w:szCs w:val="36"/>
          <w14:textFill>
            <w14:solidFill>
              <w14:schemeClr w14:val="tx1"/>
            </w14:solidFill>
          </w14:textFill>
        </w:rPr>
        <w:t>报价文件目录</w:t>
      </w:r>
    </w:p>
    <w:p>
      <w:pPr>
        <w:rPr>
          <w:rFonts w:ascii="仿宋" w:hAnsi="仿宋" w:eastAsia="仿宋"/>
          <w:color w:val="000000" w:themeColor="text1"/>
          <w14:textFill>
            <w14:solidFill>
              <w14:schemeClr w14:val="tx1"/>
            </w14:solidFill>
          </w14:textFill>
        </w:rPr>
      </w:pPr>
    </w:p>
    <w:p>
      <w:pPr>
        <w:pStyle w:val="34"/>
        <w:spacing w:before="120" w:beforeLines="50" w:after="120" w:afterLines="5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（1）投标报价明细表（见附件19）；</w:t>
      </w:r>
    </w:p>
    <w:p>
      <w:pPr>
        <w:pStyle w:val="34"/>
        <w:spacing w:before="120" w:beforeLines="50" w:after="120" w:afterLines="5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（2）投标人针对报价需要说明的其他文件和说明（格式自拟）。</w:t>
      </w:r>
    </w:p>
    <w:p>
      <w:pPr>
        <w:pStyle w:val="53"/>
        <w:snapToGrid w:val="0"/>
        <w:spacing w:before="120" w:beforeLines="50" w:after="72" w:line="400" w:lineRule="exact"/>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cs="仿宋"/>
          <w:color w:val="000000" w:themeColor="text1"/>
          <w:sz w:val="30"/>
          <w:szCs w:val="30"/>
          <w:lang w:bidi="ar"/>
          <w14:textFill>
            <w14:solidFill>
              <w14:schemeClr w14:val="tx1"/>
            </w14:solidFill>
          </w14:textFill>
        </w:rPr>
        <w:t>附件19：</w:t>
      </w:r>
    </w:p>
    <w:p>
      <w:pPr>
        <w:pStyle w:val="53"/>
        <w:snapToGrid w:val="0"/>
        <w:spacing w:before="120" w:beforeLines="50" w:after="72" w:line="400" w:lineRule="exact"/>
        <w:ind w:firstLine="720"/>
        <w:jc w:val="center"/>
        <w:rPr>
          <w:b/>
          <w:color w:val="000000" w:themeColor="text1"/>
          <w:sz w:val="36"/>
          <w:szCs w:val="36"/>
          <w14:textFill>
            <w14:solidFill>
              <w14:schemeClr w14:val="tx1"/>
            </w14:solidFill>
          </w14:textFill>
        </w:rPr>
      </w:pPr>
      <w:r>
        <w:rPr>
          <w:rFonts w:hint="eastAsia"/>
          <w:b/>
          <w:color w:val="000000" w:themeColor="text1"/>
          <w:sz w:val="36"/>
          <w:szCs w:val="36"/>
          <w:lang w:bidi="ar"/>
          <w14:textFill>
            <w14:solidFill>
              <w14:schemeClr w14:val="tx1"/>
            </w14:solidFill>
          </w14:textFill>
        </w:rPr>
        <w:t>投标报价明细表（标项1）</w:t>
      </w:r>
    </w:p>
    <w:p>
      <w:pPr>
        <w:pStyle w:val="53"/>
        <w:snapToGrid w:val="0"/>
        <w:spacing w:before="120" w:beforeLines="50" w:after="72" w:line="400" w:lineRule="exact"/>
        <w:ind w:firstLine="1084" w:firstLineChars="300"/>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lang w:bidi="ar"/>
          <w14:textFill>
            <w14:solidFill>
              <w14:schemeClr w14:val="tx1"/>
            </w14:solidFill>
          </w14:textFill>
        </w:rPr>
        <w:t xml:space="preserve"> </w:t>
      </w:r>
    </w:p>
    <w:p>
      <w:pPr>
        <w:snapToGrid w:val="0"/>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投标人全称（公章）：</w:t>
      </w:r>
      <w:r>
        <w:rPr>
          <w:rFonts w:hint="eastAsia" w:ascii="仿宋" w:hAnsi="仿宋" w:eastAsia="仿宋" w:cs="仿宋"/>
          <w:color w:val="000000" w:themeColor="text1"/>
          <w:sz w:val="28"/>
          <w:szCs w:val="28"/>
          <w:u w:val="single"/>
          <w:lang w:bidi="ar"/>
          <w14:textFill>
            <w14:solidFill>
              <w14:schemeClr w14:val="tx1"/>
            </w14:solidFill>
          </w14:textFill>
        </w:rPr>
        <w:t xml:space="preserve">               </w:t>
      </w:r>
    </w:p>
    <w:p>
      <w:pPr>
        <w:snapToGrid w:val="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 xml:space="preserve"> </w:t>
      </w:r>
    </w:p>
    <w:p>
      <w:pPr>
        <w:snapToGrid w:val="0"/>
        <w:rPr>
          <w:rFonts w:ascii="仿宋" w:hAnsi="仿宋" w:eastAsia="仿宋" w:cs="仿宋"/>
          <w:color w:val="000000" w:themeColor="text1"/>
          <w:sz w:val="28"/>
          <w:szCs w:val="28"/>
          <w:u w:val="single"/>
          <w:lang w:bidi="ar"/>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项目编号：</w:t>
      </w:r>
      <w:r>
        <w:rPr>
          <w:rFonts w:hint="eastAsia" w:ascii="仿宋" w:hAnsi="仿宋" w:eastAsia="仿宋" w:cs="仿宋"/>
          <w:color w:val="000000" w:themeColor="text1"/>
          <w:sz w:val="28"/>
          <w:szCs w:val="28"/>
          <w:u w:val="single"/>
          <w:lang w:bidi="ar"/>
          <w14:textFill>
            <w14:solidFill>
              <w14:schemeClr w14:val="tx1"/>
            </w14:solidFill>
          </w14:textFill>
        </w:rPr>
        <w:t xml:space="preserve">                 </w:t>
      </w:r>
    </w:p>
    <w:p>
      <w:pPr>
        <w:snapToGrid w:val="0"/>
        <w:rPr>
          <w:rFonts w:ascii="仿宋" w:hAnsi="仿宋" w:eastAsia="仿宋" w:cs="仿宋"/>
          <w:color w:val="000000" w:themeColor="text1"/>
          <w:sz w:val="28"/>
          <w:szCs w:val="28"/>
          <w:u w:val="single"/>
          <w:lang w:bidi="ar"/>
          <w14:textFill>
            <w14:solidFill>
              <w14:schemeClr w14:val="tx1"/>
            </w14:solidFill>
          </w14:textFill>
        </w:rPr>
      </w:pPr>
    </w:p>
    <w:tbl>
      <w:tblPr>
        <w:tblStyle w:val="59"/>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43"/>
        <w:gridCol w:w="1882"/>
        <w:gridCol w:w="2432"/>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789" w:type="dxa"/>
            <w:gridSpan w:val="2"/>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1882" w:type="dxa"/>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计量单位</w:t>
            </w:r>
          </w:p>
        </w:tc>
        <w:tc>
          <w:tcPr>
            <w:tcW w:w="2432" w:type="dxa"/>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94" w:type="dxa"/>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789" w:type="dxa"/>
            <w:gridSpan w:val="2"/>
            <w:vAlign w:val="center"/>
          </w:tcPr>
          <w:p>
            <w:pPr>
              <w:snapToGrid w:val="0"/>
              <w:spacing w:line="400" w:lineRule="exact"/>
              <w:jc w:val="center"/>
              <w:rPr>
                <w:rFonts w:ascii="仿宋" w:hAnsi="仿宋" w:eastAsia="仿宋"/>
                <w:bCs/>
                <w:sz w:val="24"/>
                <w:szCs w:val="24"/>
              </w:rPr>
            </w:pPr>
            <w:r>
              <w:rPr>
                <w:rFonts w:hint="eastAsia" w:ascii="仿宋" w:hAnsi="仿宋" w:eastAsia="仿宋" w:cs="仿宋"/>
                <w:bCs/>
                <w:spacing w:val="-4"/>
                <w:sz w:val="24"/>
                <w:szCs w:val="24"/>
              </w:rPr>
              <w:t>单个项目采购代理费用</w:t>
            </w:r>
          </w:p>
        </w:tc>
        <w:tc>
          <w:tcPr>
            <w:tcW w:w="1882"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2432" w:type="dxa"/>
            <w:vAlign w:val="center"/>
          </w:tcPr>
          <w:p>
            <w:pPr>
              <w:snapToGrid w:val="0"/>
              <w:spacing w:line="400" w:lineRule="exact"/>
              <w:jc w:val="center"/>
              <w:rPr>
                <w:rFonts w:ascii="仿宋" w:hAnsi="仿宋" w:eastAsia="仿宋"/>
                <w:b/>
                <w:szCs w:val="21"/>
              </w:rPr>
            </w:pPr>
          </w:p>
        </w:tc>
        <w:tc>
          <w:tcPr>
            <w:tcW w:w="149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789" w:type="dxa"/>
            <w:gridSpan w:val="2"/>
            <w:vAlign w:val="center"/>
          </w:tcPr>
          <w:p>
            <w:pPr>
              <w:snapToGrid w:val="0"/>
              <w:spacing w:line="400" w:lineRule="exact"/>
              <w:jc w:val="center"/>
              <w:rPr>
                <w:rFonts w:ascii="仿宋" w:hAnsi="仿宋" w:eastAsia="仿宋"/>
                <w:bCs/>
                <w:sz w:val="24"/>
                <w:szCs w:val="24"/>
              </w:rPr>
            </w:pPr>
            <w:r>
              <w:rPr>
                <w:rFonts w:hint="eastAsia" w:ascii="仿宋" w:hAnsi="仿宋" w:eastAsia="仿宋" w:cs="仿宋"/>
                <w:bCs/>
                <w:spacing w:val="-4"/>
                <w:sz w:val="24"/>
                <w:szCs w:val="24"/>
              </w:rPr>
              <w:t>单个项目的审查费用</w:t>
            </w:r>
          </w:p>
        </w:tc>
        <w:tc>
          <w:tcPr>
            <w:tcW w:w="1882"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2432" w:type="dxa"/>
            <w:vAlign w:val="center"/>
          </w:tcPr>
          <w:p>
            <w:pPr>
              <w:snapToGrid w:val="0"/>
              <w:spacing w:line="400" w:lineRule="exact"/>
              <w:jc w:val="center"/>
              <w:rPr>
                <w:rFonts w:ascii="仿宋" w:hAnsi="仿宋" w:eastAsia="仿宋"/>
                <w:b/>
                <w:szCs w:val="21"/>
              </w:rPr>
            </w:pPr>
          </w:p>
        </w:tc>
        <w:tc>
          <w:tcPr>
            <w:tcW w:w="149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97" w:type="dxa"/>
            <w:gridSpan w:val="5"/>
            <w:vAlign w:val="center"/>
          </w:tcPr>
          <w:p>
            <w:pPr>
              <w:spacing w:line="560" w:lineRule="exact"/>
              <w:rPr>
                <w:szCs w:val="21"/>
              </w:rPr>
            </w:pPr>
            <w:r>
              <w:rPr>
                <w:rFonts w:hint="eastAsia" w:ascii="仿宋" w:hAnsi="仿宋" w:eastAsia="仿宋" w:cs="仿宋"/>
                <w:bCs/>
                <w:spacing w:val="-4"/>
                <w:sz w:val="24"/>
                <w:szCs w:val="24"/>
              </w:rPr>
              <w:t>单价合计（大写）：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846" w:type="dxa"/>
            <w:vAlign w:val="center"/>
          </w:tcPr>
          <w:p>
            <w:pPr>
              <w:jc w:val="left"/>
              <w:rPr>
                <w:rFonts w:ascii="宋体" w:hAnsi="宋体"/>
                <w:bCs/>
                <w:spacing w:val="-4"/>
                <w:sz w:val="28"/>
                <w:szCs w:val="28"/>
              </w:rPr>
            </w:pPr>
            <w:r>
              <w:rPr>
                <w:rFonts w:hint="eastAsia" w:ascii="仿宋" w:hAnsi="仿宋" w:eastAsia="仿宋"/>
                <w:b/>
                <w:sz w:val="24"/>
                <w:szCs w:val="24"/>
              </w:rPr>
              <w:t>备注</w:t>
            </w:r>
          </w:p>
        </w:tc>
        <w:tc>
          <w:tcPr>
            <w:tcW w:w="8751" w:type="dxa"/>
            <w:gridSpan w:val="4"/>
            <w:vAlign w:val="center"/>
          </w:tcPr>
          <w:p>
            <w:pPr>
              <w:spacing w:before="120" w:beforeLines="50" w:after="120" w:afterLines="5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pacing w:before="120" w:beforeLines="50" w:after="120" w:afterLines="5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pacing w:before="120" w:beforeLines="50" w:after="120" w:afterLines="50"/>
              <w:rPr>
                <w:rFonts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3.报价中不允许出现报价优惠等字样,投标总价合计金额应与明细报价汇总相等。投标总价不为零，报价明细表中部分产品、服务单价为零的，视作已包含在总价中。</w:t>
            </w:r>
          </w:p>
          <w:p>
            <w:pPr>
              <w:spacing w:before="120" w:beforeLines="50" w:after="120" w:afterLines="50"/>
              <w:rPr>
                <w:rFonts w:ascii="仿宋" w:hAnsi="仿宋" w:eastAsia="仿宋"/>
                <w:sz w:val="24"/>
                <w:szCs w:val="24"/>
              </w:rPr>
            </w:pPr>
            <w:r>
              <w:rPr>
                <w:rFonts w:hint="eastAsia" w:ascii="仿宋" w:hAnsi="仿宋" w:eastAsia="仿宋"/>
                <w:sz w:val="24"/>
                <w:szCs w:val="24"/>
              </w:rPr>
              <w:t>4.开标时，招标方在电子交易平台公开投标人的报价信息，投标人对报价信息进行确认。投标人对报价信息不予确认的不影响后续评标过程。</w:t>
            </w:r>
          </w:p>
          <w:p>
            <w:pPr>
              <w:spacing w:before="120" w:beforeLines="50" w:after="120" w:afterLines="50"/>
              <w:rPr>
                <w:rFonts w:ascii="仿宋" w:hAnsi="仿宋" w:eastAsia="仿宋"/>
                <w:b/>
                <w:bCs/>
                <w:sz w:val="24"/>
                <w:szCs w:val="24"/>
              </w:rPr>
            </w:pPr>
            <w:r>
              <w:rPr>
                <w:rFonts w:hint="eastAsia" w:ascii="仿宋" w:hAnsi="仿宋" w:eastAsia="仿宋"/>
                <w:b/>
                <w:bCs/>
                <w:sz w:val="24"/>
                <w:szCs w:val="24"/>
              </w:rPr>
              <w:t>5.（1）单个项目采购代理费用，不区分标段数量和预算规模，包含项目实施所需的全部费用，使用招标人或采购代理机构开评标以外的场地而产生的场地租赁费用、专家费用外；一次性报价，不得更改。</w:t>
            </w:r>
          </w:p>
          <w:p>
            <w:pPr>
              <w:spacing w:before="120" w:beforeLines="50" w:after="120" w:afterLines="50"/>
              <w:rPr>
                <w:rFonts w:ascii="仿宋" w:hAnsi="仿宋" w:eastAsia="仿宋"/>
                <w:b/>
                <w:bCs/>
                <w:sz w:val="24"/>
                <w:szCs w:val="24"/>
              </w:rPr>
            </w:pPr>
            <w:r>
              <w:rPr>
                <w:rFonts w:hint="eastAsia" w:ascii="仿宋" w:hAnsi="仿宋" w:eastAsia="仿宋"/>
                <w:b/>
                <w:bCs/>
                <w:sz w:val="24"/>
                <w:szCs w:val="24"/>
              </w:rPr>
              <w:t>（2）单个项目的审查费用，不区分标段数量和预算规模，包含目实施所需的外部专家费用、差旅费用等全部费用；一次性报价，不得更改。</w:t>
            </w:r>
          </w:p>
        </w:tc>
      </w:tr>
    </w:tbl>
    <w:p>
      <w:pPr>
        <w:snapToGrid w:val="0"/>
        <w:ind w:firstLine="480"/>
        <w:rPr>
          <w:rFonts w:ascii="仿宋" w:hAnsi="仿宋" w:eastAsia="仿宋" w:cs="仿宋"/>
          <w:b/>
          <w:color w:val="000000" w:themeColor="text1"/>
          <w:sz w:val="24"/>
          <w:szCs w:val="24"/>
          <w:lang w:bidi="ar"/>
          <w14:textFill>
            <w14:solidFill>
              <w14:schemeClr w14:val="tx1"/>
            </w14:solidFill>
          </w14:textFill>
        </w:rPr>
      </w:pPr>
      <w:r>
        <w:rPr>
          <w:rFonts w:hint="eastAsia" w:ascii="仿宋" w:hAnsi="仿宋" w:eastAsia="仿宋" w:cs="仿宋"/>
          <w:b/>
          <w:color w:val="000000" w:themeColor="text1"/>
          <w:sz w:val="24"/>
          <w:szCs w:val="24"/>
          <w:lang w:bidi="ar"/>
          <w14:textFill>
            <w14:solidFill>
              <w14:schemeClr w14:val="tx1"/>
            </w14:solidFill>
          </w14:textFill>
        </w:rPr>
        <w:t xml:space="preserve"> </w:t>
      </w:r>
    </w:p>
    <w:p>
      <w:pPr>
        <w:snapToGrid w:val="0"/>
        <w:spacing w:line="4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授权代表签名：</w:t>
      </w:r>
      <w:r>
        <w:rPr>
          <w:rFonts w:hint="eastAsia" w:ascii="仿宋" w:hAnsi="仿宋" w:eastAsia="仿宋" w:cs="仿宋"/>
          <w:color w:val="000000" w:themeColor="text1"/>
          <w:sz w:val="28"/>
          <w:szCs w:val="28"/>
          <w:u w:val="single"/>
          <w:lang w:bidi="ar"/>
          <w14:textFill>
            <w14:solidFill>
              <w14:schemeClr w14:val="tx1"/>
            </w14:solidFill>
          </w14:textFill>
        </w:rPr>
        <w:t xml:space="preserve">            </w:t>
      </w:r>
      <w:r>
        <w:rPr>
          <w:rFonts w:hint="eastAsia" w:ascii="仿宋" w:hAnsi="仿宋" w:eastAsia="仿宋" w:cs="仿宋"/>
          <w:color w:val="000000" w:themeColor="text1"/>
          <w:sz w:val="28"/>
          <w:szCs w:val="28"/>
          <w:lang w:bidi="ar"/>
          <w14:textFill>
            <w14:solidFill>
              <w14:schemeClr w14:val="tx1"/>
            </w14:solidFill>
          </w14:textFill>
        </w:rPr>
        <w:t xml:space="preserve">                  日期：</w:t>
      </w:r>
      <w:r>
        <w:rPr>
          <w:rFonts w:hint="eastAsia" w:ascii="仿宋" w:hAnsi="仿宋" w:eastAsia="仿宋" w:cs="仿宋"/>
          <w:color w:val="000000" w:themeColor="text1"/>
          <w:sz w:val="28"/>
          <w:szCs w:val="28"/>
          <w:u w:val="single"/>
          <w:lang w:bidi="ar"/>
          <w14:textFill>
            <w14:solidFill>
              <w14:schemeClr w14:val="tx1"/>
            </w14:solidFill>
          </w14:textFill>
        </w:rPr>
        <w:t xml:space="preserve">           </w:t>
      </w:r>
    </w:p>
    <w:p>
      <w:pPr>
        <w:snapToGrid w:val="0"/>
        <w:ind w:firstLine="480"/>
        <w:rPr>
          <w:rFonts w:ascii="仿宋" w:hAnsi="仿宋" w:eastAsia="仿宋" w:cs="仿宋"/>
          <w:b/>
          <w:color w:val="000000" w:themeColor="text1"/>
          <w:sz w:val="24"/>
          <w:szCs w:val="24"/>
          <w:lang w:bidi="ar"/>
          <w14:textFill>
            <w14:solidFill>
              <w14:schemeClr w14:val="tx1"/>
            </w14:solidFill>
          </w14:textFill>
        </w:rPr>
      </w:pPr>
    </w:p>
    <w:p>
      <w:pPr>
        <w:snapToGrid w:val="0"/>
        <w:rPr>
          <w:rFonts w:ascii="仿宋" w:hAnsi="仿宋" w:eastAsia="仿宋" w:cs="仿宋"/>
          <w:color w:val="000000" w:themeColor="text1"/>
          <w:sz w:val="24"/>
          <w:szCs w:val="24"/>
          <w:lang w:bidi="ar"/>
          <w14:textFill>
            <w14:solidFill>
              <w14:schemeClr w14:val="tx1"/>
            </w14:solidFill>
          </w14:textFill>
        </w:rPr>
      </w:pPr>
    </w:p>
    <w:p>
      <w:pPr>
        <w:rPr>
          <w:rFonts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br w:type="page"/>
      </w:r>
    </w:p>
    <w:p>
      <w:pPr>
        <w:snapToGrid w:val="0"/>
        <w:jc w:val="center"/>
        <w:rPr>
          <w:b/>
          <w:color w:val="000000" w:themeColor="text1"/>
          <w:sz w:val="36"/>
          <w:szCs w:val="36"/>
          <w:lang w:bidi="ar"/>
          <w14:textFill>
            <w14:solidFill>
              <w14:schemeClr w14:val="tx1"/>
            </w14:solidFill>
          </w14:textFill>
        </w:rPr>
      </w:pPr>
      <w:r>
        <w:rPr>
          <w:rFonts w:hint="eastAsia"/>
          <w:b/>
          <w:color w:val="000000" w:themeColor="text1"/>
          <w:sz w:val="36"/>
          <w:szCs w:val="36"/>
          <w:lang w:bidi="ar"/>
          <w14:textFill>
            <w14:solidFill>
              <w14:schemeClr w14:val="tx1"/>
            </w14:solidFill>
          </w14:textFill>
        </w:rPr>
        <w:t>投标报价明细表（标项2）</w:t>
      </w:r>
    </w:p>
    <w:p>
      <w:pPr>
        <w:pStyle w:val="53"/>
        <w:snapToGrid w:val="0"/>
        <w:spacing w:before="120" w:beforeLines="50" w:after="72" w:line="400" w:lineRule="exact"/>
        <w:ind w:firstLine="1084" w:firstLineChars="300"/>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lang w:bidi="ar"/>
          <w14:textFill>
            <w14:solidFill>
              <w14:schemeClr w14:val="tx1"/>
            </w14:solidFill>
          </w14:textFill>
        </w:rPr>
        <w:t xml:space="preserve"> </w:t>
      </w:r>
    </w:p>
    <w:p>
      <w:pPr>
        <w:snapToGrid w:val="0"/>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投标人全称（公章）：</w:t>
      </w:r>
      <w:r>
        <w:rPr>
          <w:rFonts w:hint="eastAsia" w:ascii="仿宋" w:hAnsi="仿宋" w:eastAsia="仿宋" w:cs="仿宋"/>
          <w:color w:val="000000" w:themeColor="text1"/>
          <w:sz w:val="28"/>
          <w:szCs w:val="28"/>
          <w:u w:val="single"/>
          <w:lang w:bidi="ar"/>
          <w14:textFill>
            <w14:solidFill>
              <w14:schemeClr w14:val="tx1"/>
            </w14:solidFill>
          </w14:textFill>
        </w:rPr>
        <w:t xml:space="preserve">               </w:t>
      </w:r>
    </w:p>
    <w:p>
      <w:pPr>
        <w:snapToGrid w:val="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 xml:space="preserve"> </w:t>
      </w:r>
    </w:p>
    <w:p>
      <w:pPr>
        <w:snapToGrid w:val="0"/>
        <w:rPr>
          <w:rFonts w:ascii="仿宋" w:hAnsi="仿宋" w:eastAsia="仿宋" w:cs="仿宋"/>
          <w:color w:val="000000" w:themeColor="text1"/>
          <w:sz w:val="28"/>
          <w:szCs w:val="28"/>
          <w:u w:val="single"/>
          <w:lang w:bidi="ar"/>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项目编号：</w:t>
      </w:r>
      <w:r>
        <w:rPr>
          <w:rFonts w:hint="eastAsia" w:ascii="仿宋" w:hAnsi="仿宋" w:eastAsia="仿宋" w:cs="仿宋"/>
          <w:color w:val="000000" w:themeColor="text1"/>
          <w:sz w:val="28"/>
          <w:szCs w:val="28"/>
          <w:u w:val="single"/>
          <w:lang w:bidi="ar"/>
          <w14:textFill>
            <w14:solidFill>
              <w14:schemeClr w14:val="tx1"/>
            </w14:solidFill>
          </w14:textFill>
        </w:rPr>
        <w:t xml:space="preserve">                 </w:t>
      </w:r>
    </w:p>
    <w:p>
      <w:pPr>
        <w:snapToGrid w:val="0"/>
        <w:jc w:val="center"/>
        <w:rPr>
          <w:b/>
          <w:color w:val="000000" w:themeColor="text1"/>
          <w:sz w:val="36"/>
          <w:szCs w:val="36"/>
          <w:lang w:bidi="ar"/>
          <w14:textFill>
            <w14:solidFill>
              <w14:schemeClr w14:val="tx1"/>
            </w14:solidFill>
          </w14:textFill>
        </w:rPr>
      </w:pPr>
    </w:p>
    <w:tbl>
      <w:tblPr>
        <w:tblStyle w:val="59"/>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285"/>
        <w:gridCol w:w="1695"/>
        <w:gridCol w:w="163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5131" w:type="dxa"/>
            <w:gridSpan w:val="2"/>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1695" w:type="dxa"/>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计量单位</w:t>
            </w:r>
          </w:p>
        </w:tc>
        <w:tc>
          <w:tcPr>
            <w:tcW w:w="1635" w:type="dxa"/>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136" w:type="dxa"/>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31" w:type="dxa"/>
            <w:gridSpan w:val="2"/>
            <w:vAlign w:val="center"/>
          </w:tcPr>
          <w:p>
            <w:pPr>
              <w:snapToGrid w:val="0"/>
              <w:spacing w:line="400" w:lineRule="exact"/>
              <w:jc w:val="center"/>
              <w:rPr>
                <w:rFonts w:ascii="仿宋" w:hAnsi="仿宋" w:eastAsia="仿宋"/>
                <w:bCs/>
                <w:sz w:val="24"/>
                <w:szCs w:val="24"/>
              </w:rPr>
            </w:pPr>
            <w:r>
              <w:rPr>
                <w:rFonts w:hint="eastAsia" w:ascii="仿宋" w:hAnsi="仿宋" w:eastAsia="仿宋" w:cs="仿宋"/>
                <w:bCs/>
                <w:spacing w:val="-4"/>
                <w:sz w:val="24"/>
                <w:szCs w:val="24"/>
              </w:rPr>
              <w:t>单个项目采购代理费用（0-500万元（含））</w:t>
            </w:r>
          </w:p>
        </w:tc>
        <w:tc>
          <w:tcPr>
            <w:tcW w:w="1695"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1635" w:type="dxa"/>
            <w:vAlign w:val="center"/>
          </w:tcPr>
          <w:p>
            <w:pPr>
              <w:snapToGrid w:val="0"/>
              <w:spacing w:line="400" w:lineRule="exact"/>
              <w:jc w:val="center"/>
              <w:rPr>
                <w:rFonts w:ascii="仿宋" w:hAnsi="仿宋" w:eastAsia="仿宋"/>
                <w:b/>
                <w:szCs w:val="21"/>
              </w:rPr>
            </w:pPr>
          </w:p>
        </w:tc>
        <w:tc>
          <w:tcPr>
            <w:tcW w:w="1136"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31" w:type="dxa"/>
            <w:gridSpan w:val="2"/>
          </w:tcPr>
          <w:p>
            <w:pPr>
              <w:snapToGrid w:val="0"/>
              <w:spacing w:line="400" w:lineRule="exact"/>
              <w:jc w:val="center"/>
              <w:rPr>
                <w:rFonts w:ascii="仿宋" w:hAnsi="仿宋" w:eastAsia="仿宋" w:cs="仿宋"/>
                <w:bCs/>
                <w:spacing w:val="-4"/>
                <w:sz w:val="24"/>
                <w:szCs w:val="24"/>
              </w:rPr>
            </w:pPr>
            <w:r>
              <w:rPr>
                <w:rFonts w:hint="eastAsia" w:ascii="仿宋" w:hAnsi="仿宋" w:eastAsia="仿宋" w:cs="仿宋"/>
                <w:bCs/>
                <w:spacing w:val="-4"/>
                <w:sz w:val="24"/>
                <w:szCs w:val="24"/>
              </w:rPr>
              <w:t>单个项目采购代理费用（500-</w:t>
            </w:r>
            <w:r>
              <w:rPr>
                <w:rFonts w:ascii="仿宋" w:hAnsi="仿宋" w:eastAsia="仿宋" w:cs="仿宋"/>
                <w:bCs/>
                <w:spacing w:val="-4"/>
                <w:sz w:val="24"/>
                <w:szCs w:val="24"/>
              </w:rPr>
              <w:t>10</w:t>
            </w:r>
            <w:r>
              <w:rPr>
                <w:rFonts w:hint="eastAsia" w:ascii="仿宋" w:hAnsi="仿宋" w:eastAsia="仿宋" w:cs="仿宋"/>
                <w:bCs/>
                <w:spacing w:val="-4"/>
                <w:sz w:val="24"/>
                <w:szCs w:val="24"/>
              </w:rPr>
              <w:t>00万元（含））</w:t>
            </w:r>
          </w:p>
        </w:tc>
        <w:tc>
          <w:tcPr>
            <w:tcW w:w="1695"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1635" w:type="dxa"/>
            <w:vAlign w:val="center"/>
          </w:tcPr>
          <w:p>
            <w:pPr>
              <w:snapToGrid w:val="0"/>
              <w:spacing w:line="400" w:lineRule="exact"/>
              <w:jc w:val="center"/>
              <w:rPr>
                <w:rFonts w:ascii="仿宋" w:hAnsi="仿宋" w:eastAsia="仿宋"/>
                <w:b/>
                <w:szCs w:val="21"/>
              </w:rPr>
            </w:pPr>
          </w:p>
        </w:tc>
        <w:tc>
          <w:tcPr>
            <w:tcW w:w="1136"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31" w:type="dxa"/>
            <w:gridSpan w:val="2"/>
          </w:tcPr>
          <w:p>
            <w:pPr>
              <w:snapToGrid w:val="0"/>
              <w:spacing w:line="400" w:lineRule="exact"/>
              <w:jc w:val="center"/>
              <w:rPr>
                <w:rFonts w:ascii="仿宋" w:hAnsi="仿宋" w:eastAsia="仿宋" w:cs="仿宋"/>
                <w:bCs/>
                <w:spacing w:val="-4"/>
                <w:sz w:val="24"/>
                <w:szCs w:val="24"/>
              </w:rPr>
            </w:pPr>
            <w:r>
              <w:rPr>
                <w:rFonts w:hint="eastAsia" w:ascii="仿宋" w:hAnsi="仿宋" w:eastAsia="仿宋" w:cs="仿宋"/>
                <w:bCs/>
                <w:spacing w:val="-4"/>
                <w:sz w:val="24"/>
                <w:szCs w:val="24"/>
              </w:rPr>
              <w:t>单个项目采购代理费用（1000-5</w:t>
            </w:r>
            <w:r>
              <w:rPr>
                <w:rFonts w:ascii="仿宋" w:hAnsi="仿宋" w:eastAsia="仿宋" w:cs="仿宋"/>
                <w:bCs/>
                <w:spacing w:val="-4"/>
                <w:sz w:val="24"/>
                <w:szCs w:val="24"/>
              </w:rPr>
              <w:t>0</w:t>
            </w:r>
            <w:r>
              <w:rPr>
                <w:rFonts w:hint="eastAsia" w:ascii="仿宋" w:hAnsi="仿宋" w:eastAsia="仿宋" w:cs="仿宋"/>
                <w:bCs/>
                <w:spacing w:val="-4"/>
                <w:sz w:val="24"/>
                <w:szCs w:val="24"/>
              </w:rPr>
              <w:t>00万元（含））</w:t>
            </w:r>
          </w:p>
        </w:tc>
        <w:tc>
          <w:tcPr>
            <w:tcW w:w="1695"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1635" w:type="dxa"/>
            <w:vAlign w:val="center"/>
          </w:tcPr>
          <w:p>
            <w:pPr>
              <w:snapToGrid w:val="0"/>
              <w:spacing w:line="400" w:lineRule="exact"/>
              <w:jc w:val="center"/>
              <w:rPr>
                <w:rFonts w:ascii="仿宋" w:hAnsi="仿宋" w:eastAsia="仿宋"/>
                <w:b/>
                <w:szCs w:val="21"/>
              </w:rPr>
            </w:pPr>
          </w:p>
        </w:tc>
        <w:tc>
          <w:tcPr>
            <w:tcW w:w="1136"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31" w:type="dxa"/>
            <w:gridSpan w:val="2"/>
          </w:tcPr>
          <w:p>
            <w:pPr>
              <w:snapToGrid w:val="0"/>
              <w:spacing w:line="400" w:lineRule="exact"/>
              <w:jc w:val="center"/>
              <w:rPr>
                <w:rFonts w:ascii="仿宋" w:hAnsi="仿宋" w:eastAsia="仿宋" w:cs="仿宋"/>
                <w:bCs/>
                <w:spacing w:val="-4"/>
                <w:sz w:val="24"/>
                <w:szCs w:val="24"/>
              </w:rPr>
            </w:pPr>
            <w:r>
              <w:rPr>
                <w:rFonts w:hint="eastAsia" w:ascii="仿宋" w:hAnsi="仿宋" w:eastAsia="仿宋" w:cs="仿宋"/>
                <w:bCs/>
                <w:spacing w:val="-4"/>
                <w:sz w:val="24"/>
                <w:szCs w:val="24"/>
              </w:rPr>
              <w:t>单个项目采购代理费用（5000-</w:t>
            </w:r>
            <w:r>
              <w:rPr>
                <w:rFonts w:ascii="仿宋" w:hAnsi="仿宋" w:eastAsia="仿宋" w:cs="仿宋"/>
                <w:bCs/>
                <w:spacing w:val="-4"/>
                <w:sz w:val="24"/>
                <w:szCs w:val="24"/>
              </w:rPr>
              <w:t>100</w:t>
            </w:r>
            <w:r>
              <w:rPr>
                <w:rFonts w:hint="eastAsia" w:ascii="仿宋" w:hAnsi="仿宋" w:eastAsia="仿宋" w:cs="仿宋"/>
                <w:bCs/>
                <w:spacing w:val="-4"/>
                <w:sz w:val="24"/>
                <w:szCs w:val="24"/>
              </w:rPr>
              <w:t>00万元（含））</w:t>
            </w:r>
          </w:p>
        </w:tc>
        <w:tc>
          <w:tcPr>
            <w:tcW w:w="1695"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1635" w:type="dxa"/>
            <w:vAlign w:val="center"/>
          </w:tcPr>
          <w:p>
            <w:pPr>
              <w:snapToGrid w:val="0"/>
              <w:spacing w:line="400" w:lineRule="exact"/>
              <w:jc w:val="center"/>
              <w:rPr>
                <w:rFonts w:ascii="仿宋" w:hAnsi="仿宋" w:eastAsia="仿宋"/>
                <w:b/>
                <w:szCs w:val="21"/>
              </w:rPr>
            </w:pPr>
          </w:p>
        </w:tc>
        <w:tc>
          <w:tcPr>
            <w:tcW w:w="1136"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31" w:type="dxa"/>
            <w:gridSpan w:val="2"/>
          </w:tcPr>
          <w:p>
            <w:pPr>
              <w:snapToGrid w:val="0"/>
              <w:spacing w:line="400" w:lineRule="exact"/>
              <w:jc w:val="center"/>
              <w:rPr>
                <w:rFonts w:ascii="仿宋" w:hAnsi="仿宋" w:eastAsia="仿宋" w:cs="仿宋"/>
                <w:bCs/>
                <w:spacing w:val="-4"/>
                <w:sz w:val="24"/>
                <w:szCs w:val="24"/>
              </w:rPr>
            </w:pPr>
            <w:r>
              <w:rPr>
                <w:rFonts w:hint="eastAsia" w:ascii="仿宋" w:hAnsi="仿宋" w:eastAsia="仿宋" w:cs="仿宋"/>
                <w:bCs/>
                <w:spacing w:val="-4"/>
                <w:sz w:val="24"/>
                <w:szCs w:val="24"/>
              </w:rPr>
              <w:t>单个项目采购代理费用（10000-5</w:t>
            </w:r>
            <w:r>
              <w:rPr>
                <w:rFonts w:ascii="仿宋" w:hAnsi="仿宋" w:eastAsia="仿宋" w:cs="仿宋"/>
                <w:bCs/>
                <w:spacing w:val="-4"/>
                <w:sz w:val="24"/>
                <w:szCs w:val="24"/>
              </w:rPr>
              <w:t>00</w:t>
            </w:r>
            <w:r>
              <w:rPr>
                <w:rFonts w:hint="eastAsia" w:ascii="仿宋" w:hAnsi="仿宋" w:eastAsia="仿宋" w:cs="仿宋"/>
                <w:bCs/>
                <w:spacing w:val="-4"/>
                <w:sz w:val="24"/>
                <w:szCs w:val="24"/>
              </w:rPr>
              <w:t>00万元（含））</w:t>
            </w:r>
          </w:p>
        </w:tc>
        <w:tc>
          <w:tcPr>
            <w:tcW w:w="1695"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1635" w:type="dxa"/>
            <w:vAlign w:val="center"/>
          </w:tcPr>
          <w:p>
            <w:pPr>
              <w:snapToGrid w:val="0"/>
              <w:spacing w:line="400" w:lineRule="exact"/>
              <w:jc w:val="center"/>
              <w:rPr>
                <w:rFonts w:ascii="仿宋" w:hAnsi="仿宋" w:eastAsia="仿宋"/>
                <w:b/>
                <w:szCs w:val="21"/>
              </w:rPr>
            </w:pPr>
          </w:p>
        </w:tc>
        <w:tc>
          <w:tcPr>
            <w:tcW w:w="1136"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31" w:type="dxa"/>
            <w:gridSpan w:val="2"/>
          </w:tcPr>
          <w:p>
            <w:pPr>
              <w:snapToGrid w:val="0"/>
              <w:spacing w:line="400" w:lineRule="exact"/>
              <w:jc w:val="center"/>
              <w:rPr>
                <w:rFonts w:ascii="仿宋" w:hAnsi="仿宋" w:eastAsia="仿宋" w:cs="仿宋"/>
                <w:bCs/>
                <w:spacing w:val="-4"/>
                <w:sz w:val="24"/>
                <w:szCs w:val="24"/>
              </w:rPr>
            </w:pPr>
            <w:r>
              <w:rPr>
                <w:rFonts w:hint="eastAsia" w:ascii="仿宋" w:hAnsi="仿宋" w:eastAsia="仿宋" w:cs="仿宋"/>
                <w:bCs/>
                <w:spacing w:val="-4"/>
                <w:sz w:val="24"/>
                <w:szCs w:val="24"/>
              </w:rPr>
              <w:t>单个项目采购代理费用（50</w:t>
            </w:r>
            <w:r>
              <w:rPr>
                <w:rFonts w:ascii="仿宋" w:hAnsi="仿宋" w:eastAsia="仿宋" w:cs="仿宋"/>
                <w:bCs/>
                <w:spacing w:val="-4"/>
                <w:sz w:val="24"/>
                <w:szCs w:val="24"/>
              </w:rPr>
              <w:t>00</w:t>
            </w:r>
            <w:r>
              <w:rPr>
                <w:rFonts w:hint="eastAsia" w:ascii="仿宋" w:hAnsi="仿宋" w:eastAsia="仿宋" w:cs="仿宋"/>
                <w:bCs/>
                <w:spacing w:val="-4"/>
                <w:sz w:val="24"/>
                <w:szCs w:val="24"/>
              </w:rPr>
              <w:t>0万元以上）</w:t>
            </w:r>
          </w:p>
        </w:tc>
        <w:tc>
          <w:tcPr>
            <w:tcW w:w="1695"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1635" w:type="dxa"/>
            <w:vAlign w:val="center"/>
          </w:tcPr>
          <w:p>
            <w:pPr>
              <w:snapToGrid w:val="0"/>
              <w:spacing w:line="400" w:lineRule="exact"/>
              <w:jc w:val="center"/>
              <w:rPr>
                <w:rFonts w:ascii="仿宋" w:hAnsi="仿宋" w:eastAsia="仿宋"/>
                <w:b/>
                <w:szCs w:val="21"/>
              </w:rPr>
            </w:pPr>
          </w:p>
        </w:tc>
        <w:tc>
          <w:tcPr>
            <w:tcW w:w="1136"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31" w:type="dxa"/>
            <w:gridSpan w:val="2"/>
            <w:vAlign w:val="center"/>
          </w:tcPr>
          <w:p>
            <w:pPr>
              <w:snapToGrid w:val="0"/>
              <w:spacing w:line="400" w:lineRule="exact"/>
              <w:jc w:val="center"/>
              <w:rPr>
                <w:rFonts w:ascii="仿宋" w:hAnsi="仿宋" w:eastAsia="仿宋"/>
                <w:bCs/>
                <w:sz w:val="24"/>
                <w:szCs w:val="24"/>
              </w:rPr>
            </w:pPr>
            <w:r>
              <w:rPr>
                <w:rFonts w:hint="eastAsia" w:ascii="仿宋" w:hAnsi="仿宋" w:eastAsia="仿宋" w:cs="仿宋"/>
                <w:bCs/>
                <w:spacing w:val="-4"/>
                <w:sz w:val="24"/>
                <w:szCs w:val="24"/>
              </w:rPr>
              <w:t>单个项目的审查费用</w:t>
            </w:r>
          </w:p>
        </w:tc>
        <w:tc>
          <w:tcPr>
            <w:tcW w:w="1695" w:type="dxa"/>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单个项目</w:t>
            </w:r>
          </w:p>
        </w:tc>
        <w:tc>
          <w:tcPr>
            <w:tcW w:w="1635" w:type="dxa"/>
            <w:vAlign w:val="center"/>
          </w:tcPr>
          <w:p>
            <w:pPr>
              <w:snapToGrid w:val="0"/>
              <w:spacing w:line="400" w:lineRule="exact"/>
              <w:jc w:val="center"/>
              <w:rPr>
                <w:rFonts w:ascii="仿宋" w:hAnsi="仿宋" w:eastAsia="仿宋"/>
                <w:b/>
                <w:szCs w:val="21"/>
              </w:rPr>
            </w:pPr>
          </w:p>
        </w:tc>
        <w:tc>
          <w:tcPr>
            <w:tcW w:w="1136"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97" w:type="dxa"/>
            <w:gridSpan w:val="5"/>
            <w:vAlign w:val="center"/>
          </w:tcPr>
          <w:p>
            <w:pPr>
              <w:spacing w:line="560" w:lineRule="exact"/>
              <w:rPr>
                <w:szCs w:val="21"/>
              </w:rPr>
            </w:pPr>
            <w:r>
              <w:rPr>
                <w:rFonts w:hint="eastAsia" w:ascii="仿宋" w:hAnsi="仿宋" w:eastAsia="仿宋" w:cs="仿宋"/>
                <w:bCs/>
                <w:spacing w:val="-4"/>
                <w:sz w:val="24"/>
                <w:szCs w:val="24"/>
              </w:rPr>
              <w:t>单价合计（大写）：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846" w:type="dxa"/>
            <w:vAlign w:val="center"/>
          </w:tcPr>
          <w:p>
            <w:pPr>
              <w:jc w:val="left"/>
              <w:rPr>
                <w:rFonts w:ascii="宋体" w:hAnsi="宋体"/>
                <w:bCs/>
                <w:spacing w:val="-4"/>
                <w:sz w:val="28"/>
                <w:szCs w:val="28"/>
              </w:rPr>
            </w:pPr>
            <w:r>
              <w:rPr>
                <w:rFonts w:hint="eastAsia" w:ascii="仿宋" w:hAnsi="仿宋" w:eastAsia="仿宋"/>
                <w:b/>
                <w:sz w:val="24"/>
                <w:szCs w:val="24"/>
              </w:rPr>
              <w:t>备注</w:t>
            </w:r>
          </w:p>
        </w:tc>
        <w:tc>
          <w:tcPr>
            <w:tcW w:w="8751" w:type="dxa"/>
            <w:gridSpan w:val="4"/>
            <w:vAlign w:val="center"/>
          </w:tcPr>
          <w:p>
            <w:pPr>
              <w:spacing w:before="120" w:beforeLines="50" w:after="120" w:afterLines="5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pacing w:before="120" w:beforeLines="50" w:after="120" w:afterLines="5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pacing w:before="120" w:beforeLines="50" w:after="120" w:afterLines="50"/>
              <w:rPr>
                <w:rFonts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3.报价中不允许出现报价优惠等字样,投标总价合计金额应与明细报价汇总相等。投标总价不为零，报价明细表中部分产品、服务单价为零的，视作已包含在总价中。</w:t>
            </w:r>
          </w:p>
          <w:p>
            <w:pPr>
              <w:spacing w:before="120" w:beforeLines="50" w:after="120" w:afterLines="50"/>
              <w:rPr>
                <w:rFonts w:ascii="仿宋" w:hAnsi="仿宋" w:eastAsia="仿宋"/>
                <w:sz w:val="24"/>
                <w:szCs w:val="24"/>
              </w:rPr>
            </w:pPr>
            <w:r>
              <w:rPr>
                <w:rFonts w:hint="eastAsia" w:ascii="仿宋" w:hAnsi="仿宋" w:eastAsia="仿宋"/>
                <w:sz w:val="24"/>
                <w:szCs w:val="24"/>
              </w:rPr>
              <w:t>4.开标时，招标方在电子交易平台公开投标人的报价信息，投标人对报价信息进行确认。投标人对报价信息不予确认的不影响后续评标过程。</w:t>
            </w:r>
          </w:p>
          <w:p>
            <w:pPr>
              <w:spacing w:before="120" w:beforeLines="50" w:after="120" w:afterLines="50"/>
              <w:rPr>
                <w:rFonts w:ascii="仿宋" w:hAnsi="仿宋" w:eastAsia="仿宋"/>
                <w:b/>
                <w:bCs/>
                <w:sz w:val="24"/>
                <w:szCs w:val="24"/>
              </w:rPr>
            </w:pPr>
            <w:r>
              <w:rPr>
                <w:rFonts w:hint="eastAsia" w:ascii="仿宋" w:hAnsi="仿宋" w:eastAsia="仿宋"/>
                <w:b/>
                <w:bCs/>
                <w:sz w:val="24"/>
                <w:szCs w:val="24"/>
              </w:rPr>
              <w:t>5.（1）单个项目采购代理费用：不区分招标项目类别，根据预算规模（以招标人委托金额为准）分段报价，包含项目实施所需的全部费用，使用招标人或采购代理机构开评标以外的场地而产生的场地租赁费用、专家费用除外；一次性报价，不得更改。</w:t>
            </w:r>
          </w:p>
          <w:p>
            <w:pPr>
              <w:spacing w:before="120" w:beforeLines="50" w:after="120" w:afterLines="50"/>
              <w:rPr>
                <w:rFonts w:ascii="仿宋" w:hAnsi="仿宋" w:eastAsia="仿宋"/>
                <w:b/>
                <w:bCs/>
                <w:sz w:val="24"/>
                <w:szCs w:val="24"/>
              </w:rPr>
            </w:pPr>
            <w:r>
              <w:rPr>
                <w:rFonts w:hint="eastAsia" w:ascii="仿宋" w:hAnsi="仿宋" w:eastAsia="仿宋"/>
                <w:b/>
                <w:bCs/>
                <w:sz w:val="24"/>
                <w:szCs w:val="24"/>
              </w:rPr>
              <w:t>（2）单个项目的审查费用，不区分标段数量和预算规模，包含目实施所需的外部专家费用、差旅费用等全部费用；一次性报价，不得更改。</w:t>
            </w:r>
          </w:p>
        </w:tc>
      </w:tr>
    </w:tbl>
    <w:p>
      <w:pPr>
        <w:snapToGrid w:val="0"/>
        <w:spacing w:line="400" w:lineRule="exact"/>
        <w:ind w:firstLine="482"/>
        <w:jc w:val="left"/>
        <w:rPr>
          <w:rFonts w:ascii="仿宋" w:hAnsi="仿宋" w:eastAsia="仿宋" w:cs="仿宋"/>
          <w:color w:val="000000" w:themeColor="text1"/>
          <w:sz w:val="24"/>
          <w:szCs w:val="24"/>
          <w14:textFill>
            <w14:solidFill>
              <w14:schemeClr w14:val="tx1"/>
            </w14:solidFill>
          </w14:textFill>
        </w:rPr>
      </w:pPr>
    </w:p>
    <w:p>
      <w:pPr>
        <w:snapToGrid w:val="0"/>
        <w:spacing w:line="4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授权代表签名：</w:t>
      </w:r>
      <w:r>
        <w:rPr>
          <w:rFonts w:hint="eastAsia" w:ascii="仿宋" w:hAnsi="仿宋" w:eastAsia="仿宋" w:cs="仿宋"/>
          <w:color w:val="000000" w:themeColor="text1"/>
          <w:sz w:val="28"/>
          <w:szCs w:val="28"/>
          <w:u w:val="single"/>
          <w:lang w:bidi="ar"/>
          <w14:textFill>
            <w14:solidFill>
              <w14:schemeClr w14:val="tx1"/>
            </w14:solidFill>
          </w14:textFill>
        </w:rPr>
        <w:t xml:space="preserve">            </w:t>
      </w:r>
      <w:r>
        <w:rPr>
          <w:rFonts w:hint="eastAsia" w:ascii="仿宋" w:hAnsi="仿宋" w:eastAsia="仿宋" w:cs="仿宋"/>
          <w:color w:val="000000" w:themeColor="text1"/>
          <w:sz w:val="28"/>
          <w:szCs w:val="28"/>
          <w:lang w:bidi="ar"/>
          <w14:textFill>
            <w14:solidFill>
              <w14:schemeClr w14:val="tx1"/>
            </w14:solidFill>
          </w14:textFill>
        </w:rPr>
        <w:t xml:space="preserve">                  日期：</w:t>
      </w:r>
      <w:r>
        <w:rPr>
          <w:rFonts w:hint="eastAsia" w:ascii="仿宋" w:hAnsi="仿宋" w:eastAsia="仿宋" w:cs="仿宋"/>
          <w:color w:val="000000" w:themeColor="text1"/>
          <w:sz w:val="28"/>
          <w:szCs w:val="28"/>
          <w:u w:val="single"/>
          <w:lang w:bidi="ar"/>
          <w14:textFill>
            <w14:solidFill>
              <w14:schemeClr w14:val="tx1"/>
            </w14:solidFill>
          </w14:textFill>
        </w:rPr>
        <w:t xml:space="preserve">           </w:t>
      </w:r>
    </w:p>
    <w:p/>
    <w:p/>
    <w:sectPr>
      <w:headerReference r:id="rId11" w:type="first"/>
      <w:footerReference r:id="rId14" w:type="first"/>
      <w:headerReference r:id="rId10" w:type="default"/>
      <w:footerReference r:id="rId12" w:type="default"/>
      <w:footerReference r:id="rId13"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8"/>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45</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nS7Rp4QEAALsDAAAOAAAA&#10;AAAAAAEAIAAAAB4BAABkcnMvZTJvRG9jLnhtbFBLBQYAAAAABgAGAFkBAABxBQAAAAA=&#10;">
              <v:fill on="f" focussize="0,0"/>
              <v:stroke on="f"/>
              <v:imagedata o:title=""/>
              <o:lock v:ext="edit" aspectratio="f"/>
              <v:textbox inset="0mm,0mm,0mm,0mm" style="mso-fit-shape-to-text:t;">
                <w:txbxContent>
                  <w:p>
                    <w:pPr>
                      <w:pStyle w:val="38"/>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45</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sz w:val="24"/>
        <w:szCs w:val="24"/>
      </w:rPr>
    </w:sdtEndPr>
    <w:sdtContent>
      <w:p>
        <w:pPr>
          <w:pStyle w:val="38"/>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仿宋" w:hAnsi="仿宋" w:eastAsia="仿宋" w:cs="仿宋"/>
        <w:sz w:val="24"/>
        <w:szCs w:val="24"/>
      </w:rPr>
    </w:pPr>
    <w:r>
      <w:rPr>
        <w:rStyle w:val="66"/>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PAGE  </w:instrText>
    </w:r>
    <w:r>
      <w:rPr>
        <w:rFonts w:hint="eastAsia" w:ascii="仿宋" w:hAnsi="仿宋" w:eastAsia="仿宋" w:cs="仿宋"/>
        <w:sz w:val="24"/>
        <w:szCs w:val="24"/>
      </w:rPr>
      <w:fldChar w:fldCharType="separate"/>
    </w:r>
    <w:r>
      <w:rPr>
        <w:rStyle w:val="66"/>
        <w:rFonts w:ascii="仿宋" w:hAnsi="仿宋" w:eastAsia="仿宋" w:cs="仿宋"/>
        <w:sz w:val="24"/>
        <w:szCs w:val="24"/>
      </w:rPr>
      <w:t>88</w:t>
    </w:r>
    <w:r>
      <w:rPr>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p>
    <w:pPr>
      <w:pStyle w:val="38"/>
      <w:ind w:right="720" w:firstLine="180" w:firstLineChars="100"/>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PAGE  </w:instrText>
    </w:r>
    <w:r>
      <w:rPr>
        <w:rFonts w:hint="eastAsia" w:ascii="仿宋" w:hAnsi="仿宋" w:eastAsia="仿宋" w:cs="仿宋"/>
        <w:sz w:val="24"/>
        <w:szCs w:val="24"/>
      </w:rPr>
      <w:fldChar w:fldCharType="separate"/>
    </w:r>
    <w:r>
      <w:rPr>
        <w:rStyle w:val="66"/>
        <w:rFonts w:hint="eastAsia" w:ascii="仿宋" w:hAnsi="仿宋" w:eastAsia="仿宋" w:cs="仿宋"/>
        <w:sz w:val="24"/>
        <w:szCs w:val="24"/>
      </w:rPr>
      <w:t>61</w:t>
    </w:r>
    <w:r>
      <w:rPr>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2849204"/>
    <w:multiLevelType w:val="singleLevel"/>
    <w:tmpl w:val="02849204"/>
    <w:lvl w:ilvl="0" w:tentative="0">
      <w:start w:val="3"/>
      <w:numFmt w:val="chineseCounting"/>
      <w:suff w:val="nothing"/>
      <w:lvlText w:val="%1、"/>
      <w:lvlJc w:val="left"/>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8DF1D80"/>
    <w:multiLevelType w:val="multilevel"/>
    <w:tmpl w:val="28DF1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79243C07"/>
    <w:multiLevelType w:val="multilevel"/>
    <w:tmpl w:val="79243C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9546DE1"/>
    <w:multiLevelType w:val="multilevel"/>
    <w:tmpl w:val="79546D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2"/>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23"/>
  </w:num>
  <w:num w:numId="9">
    <w:abstractNumId w:val="28"/>
    <w:lvlOverride w:ilvl="0">
      <w:startOverride w:val="1"/>
    </w:lvlOverride>
  </w:num>
  <w:num w:numId="10">
    <w:abstractNumId w:val="9"/>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26"/>
  </w:num>
  <w:num w:numId="15">
    <w:abstractNumId w:val="20"/>
  </w:num>
  <w:num w:numId="16">
    <w:abstractNumId w:val="17"/>
  </w:num>
  <w:num w:numId="17">
    <w:abstractNumId w:val="4"/>
  </w:num>
  <w:num w:numId="18">
    <w:abstractNumId w:val="24"/>
  </w:num>
  <w:num w:numId="19">
    <w:abstractNumId w:val="6"/>
  </w:num>
  <w:num w:numId="20">
    <w:abstractNumId w:val="14"/>
  </w:num>
  <w:num w:numId="21">
    <w:abstractNumId w:val="12"/>
  </w:num>
  <w:num w:numId="22">
    <w:abstractNumId w:val="21"/>
  </w:num>
  <w:num w:numId="23">
    <w:abstractNumId w:val="7"/>
  </w:num>
  <w:num w:numId="24">
    <w:abstractNumId w:val="29"/>
  </w:num>
  <w:num w:numId="25">
    <w:abstractNumId w:val="3"/>
  </w:num>
  <w:num w:numId="26">
    <w:abstractNumId w:val="27"/>
  </w:num>
  <w:num w:numId="27">
    <w:abstractNumId w:val="22"/>
  </w:num>
  <w:num w:numId="28">
    <w:abstractNumId w:val="11"/>
  </w:num>
  <w:num w:numId="29">
    <w:abstractNumId w:val="25"/>
  </w:num>
  <w:num w:numId="30">
    <w:abstractNumId w:val="8"/>
  </w:num>
  <w:num w:numId="31">
    <w:abstractNumId w:val="31"/>
  </w:num>
  <w:num w:numId="32">
    <w:abstractNumId w:val="3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ZmJlMWE5NDI4NzE1Y2RkZTI4NTE3MmU5OGJhMWU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3D945586"/>
    <w:rsid w:val="3DD71007"/>
    <w:rsid w:val="6031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qFormat="1" w:uiPriority="39" w:name="toc 7"/>
    <w:lsdException w:uiPriority="39" w:name="toc 8"/>
    <w:lsdException w:qFormat="1"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qFormat="1" w:uiPriority="99" w:name="List 3"/>
    <w:lsdException w:uiPriority="99" w:name="List 4"/>
    <w:lsdException w:uiPriority="99" w:name="List 5"/>
    <w:lsdException w:uiPriority="99" w:name="List Bullet 2"/>
    <w:lsdException w:uiPriority="99" w:name="List Bullet 3"/>
    <w:lsdException w:qFormat="1"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autoRedefine/>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autoRedefine/>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5"/>
    <w:autoRedefine/>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unhideWhenUsed/>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autoRedefine/>
    <w:semiHidden/>
    <w:unhideWhenUsed/>
    <w:qFormat/>
    <w:uiPriority w:val="39"/>
    <w:pPr>
      <w:ind w:left="1260"/>
      <w:jc w:val="left"/>
    </w:pPr>
    <w:rPr>
      <w:rFonts w:ascii="Times New Roman" w:hAnsi="Times New Roman"/>
      <w:sz w:val="18"/>
      <w:szCs w:val="18"/>
    </w:rPr>
  </w:style>
  <w:style w:type="paragraph" w:styleId="13">
    <w:name w:val="List Number 2"/>
    <w:basedOn w:val="1"/>
    <w:autoRedefine/>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autoRedefine/>
    <w:semiHidden/>
    <w:unhideWhenUsed/>
    <w:qFormat/>
    <w:uiPriority w:val="99"/>
    <w:pPr>
      <w:numPr>
        <w:ilvl w:val="0"/>
        <w:numId w:val="2"/>
      </w:numPr>
    </w:pPr>
    <w:rPr>
      <w:rFonts w:ascii="Times New Roman" w:hAnsi="Times New Roman"/>
      <w:szCs w:val="24"/>
    </w:rPr>
  </w:style>
  <w:style w:type="paragraph" w:styleId="16">
    <w:name w:val="List Number"/>
    <w:basedOn w:val="1"/>
    <w:autoRedefine/>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semiHidden/>
    <w:unhideWhenUsed/>
    <w:qFormat/>
    <w:uiPriority w:val="99"/>
    <w:pPr>
      <w:ind w:firstLine="420"/>
    </w:pPr>
    <w:rPr>
      <w:szCs w:val="20"/>
    </w:rPr>
  </w:style>
  <w:style w:type="paragraph" w:styleId="18">
    <w:name w:val="caption"/>
    <w:basedOn w:val="1"/>
    <w:next w:val="1"/>
    <w:link w:val="107"/>
    <w:autoRedefine/>
    <w:semiHidden/>
    <w:unhideWhenUsed/>
    <w:qFormat/>
    <w:uiPriority w:val="35"/>
    <w:pPr>
      <w:spacing w:before="152" w:after="160"/>
    </w:pPr>
    <w:rPr>
      <w:rFonts w:ascii="Arial" w:hAnsi="Arial" w:eastAsia="黑体"/>
      <w:sz w:val="20"/>
      <w:szCs w:val="20"/>
    </w:rPr>
  </w:style>
  <w:style w:type="paragraph" w:styleId="19">
    <w:name w:val="List Bullet"/>
    <w:basedOn w:val="1"/>
    <w:autoRedefine/>
    <w:semiHidden/>
    <w:unhideWhenUsed/>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semiHidden/>
    <w:unhideWhenUsed/>
    <w:uiPriority w:val="99"/>
    <w:rPr>
      <w:rFonts w:ascii="宋体"/>
      <w:sz w:val="18"/>
      <w:szCs w:val="18"/>
    </w:rPr>
  </w:style>
  <w:style w:type="paragraph" w:styleId="21">
    <w:name w:val="annotation text"/>
    <w:basedOn w:val="1"/>
    <w:link w:val="82"/>
    <w:autoRedefine/>
    <w:semiHidden/>
    <w:unhideWhenUsed/>
    <w:uiPriority w:val="99"/>
    <w:pPr>
      <w:jc w:val="left"/>
    </w:pPr>
  </w:style>
  <w:style w:type="paragraph" w:styleId="22">
    <w:name w:val="Salutation"/>
    <w:basedOn w:val="1"/>
    <w:next w:val="1"/>
    <w:link w:val="83"/>
    <w:autoRedefine/>
    <w:semiHidden/>
    <w:unhideWhenUsed/>
    <w:uiPriority w:val="99"/>
    <w:rPr>
      <w:rFonts w:ascii="宋体" w:hAnsi="Times New Roman"/>
      <w:b/>
      <w:sz w:val="28"/>
      <w:szCs w:val="20"/>
    </w:rPr>
  </w:style>
  <w:style w:type="paragraph" w:styleId="23">
    <w:name w:val="Body Text 3"/>
    <w:basedOn w:val="1"/>
    <w:link w:val="84"/>
    <w:autoRedefine/>
    <w:semiHidden/>
    <w:unhideWhenUsed/>
    <w:uiPriority w:val="99"/>
    <w:pPr>
      <w:snapToGrid w:val="0"/>
      <w:spacing w:before="50" w:after="50"/>
    </w:pPr>
    <w:rPr>
      <w:rFonts w:ascii="Times New Roman" w:hAnsi="宋体" w:eastAsia="仿宋_GB2312"/>
      <w:b/>
      <w:bCs/>
      <w:sz w:val="24"/>
      <w:szCs w:val="20"/>
    </w:rPr>
  </w:style>
  <w:style w:type="paragraph" w:styleId="24">
    <w:name w:val="Body Text"/>
    <w:basedOn w:val="1"/>
    <w:link w:val="85"/>
    <w:autoRedefine/>
    <w:semiHidden/>
    <w:unhideWhenUsed/>
    <w:uiPriority w:val="99"/>
    <w:pPr>
      <w:spacing w:after="120"/>
    </w:pPr>
    <w:rPr>
      <w:sz w:val="28"/>
      <w:szCs w:val="24"/>
    </w:rPr>
  </w:style>
  <w:style w:type="paragraph" w:styleId="25">
    <w:name w:val="Body Text Indent"/>
    <w:basedOn w:val="1"/>
    <w:link w:val="86"/>
    <w:autoRedefine/>
    <w:semiHidden/>
    <w:unhideWhenUsed/>
    <w:uiPriority w:val="99"/>
    <w:pPr>
      <w:spacing w:line="200" w:lineRule="exact"/>
      <w:ind w:firstLine="301"/>
    </w:pPr>
    <w:rPr>
      <w:rFonts w:ascii="宋体" w:hAnsi="Courier New"/>
      <w:spacing w:val="-4"/>
      <w:sz w:val="18"/>
      <w:szCs w:val="20"/>
    </w:rPr>
  </w:style>
  <w:style w:type="paragraph" w:styleId="26">
    <w:name w:val="List Number 3"/>
    <w:basedOn w:val="1"/>
    <w:autoRedefine/>
    <w:semiHidden/>
    <w:unhideWhenUsed/>
    <w:uiPriority w:val="99"/>
    <w:pPr>
      <w:numPr>
        <w:ilvl w:val="0"/>
        <w:numId w:val="3"/>
      </w:numPr>
    </w:pPr>
    <w:rPr>
      <w:rFonts w:ascii="Times New Roman" w:hAnsi="Times New Roman"/>
      <w:szCs w:val="24"/>
    </w:rPr>
  </w:style>
  <w:style w:type="paragraph" w:styleId="27">
    <w:name w:val="List 2"/>
    <w:basedOn w:val="1"/>
    <w:autoRedefine/>
    <w:semiHidden/>
    <w:unhideWhenUsed/>
    <w:uiPriority w:val="99"/>
    <w:pPr>
      <w:ind w:left="100" w:leftChars="200" w:hanging="200" w:hangingChars="200"/>
    </w:pPr>
    <w:rPr>
      <w:rFonts w:ascii="Times New Roman" w:hAnsi="Times New Roman"/>
      <w:sz w:val="28"/>
      <w:szCs w:val="24"/>
    </w:rPr>
  </w:style>
  <w:style w:type="paragraph" w:styleId="28">
    <w:name w:val="List Bullet 2"/>
    <w:basedOn w:val="1"/>
    <w:autoRedefine/>
    <w:semiHidden/>
    <w:unhideWhenUsed/>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autoRedefine/>
    <w:semiHidden/>
    <w:unhideWhenUsed/>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autoRedefine/>
    <w:semiHidden/>
    <w:unhideWhenUsed/>
    <w:uiPriority w:val="39"/>
    <w:pPr>
      <w:ind w:left="840" w:leftChars="400"/>
    </w:pPr>
  </w:style>
  <w:style w:type="paragraph" w:styleId="31">
    <w:name w:val="Plain Text"/>
    <w:basedOn w:val="1"/>
    <w:link w:val="87"/>
    <w:autoRedefine/>
    <w:semiHidden/>
    <w:unhideWhenUsed/>
    <w:uiPriority w:val="99"/>
    <w:pPr>
      <w:spacing w:beforeLines="50" w:afterLines="50" w:line="400" w:lineRule="exact"/>
    </w:pPr>
    <w:rPr>
      <w:rFonts w:ascii="宋体" w:hAnsi="Courier New"/>
      <w:sz w:val="24"/>
      <w:szCs w:val="24"/>
    </w:rPr>
  </w:style>
  <w:style w:type="paragraph" w:styleId="32">
    <w:name w:val="List Bullet 5"/>
    <w:basedOn w:val="1"/>
    <w:autoRedefine/>
    <w:semiHidden/>
    <w:unhideWhenUsed/>
    <w:uiPriority w:val="99"/>
    <w:pPr>
      <w:numPr>
        <w:ilvl w:val="0"/>
        <w:numId w:val="4"/>
      </w:numPr>
    </w:pPr>
    <w:rPr>
      <w:rFonts w:ascii="Times New Roman" w:hAnsi="Times New Roman"/>
      <w:szCs w:val="24"/>
    </w:rPr>
  </w:style>
  <w:style w:type="paragraph" w:styleId="33">
    <w:name w:val="toc 8"/>
    <w:basedOn w:val="1"/>
    <w:next w:val="1"/>
    <w:autoRedefine/>
    <w:semiHidden/>
    <w:unhideWhenUsed/>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semiHidden/>
    <w:unhideWhenUsed/>
    <w:uiPriority w:val="99"/>
    <w:pPr>
      <w:ind w:left="2500" w:leftChars="2500"/>
    </w:pPr>
    <w:rPr>
      <w:rFonts w:eastAsia="楷体_GB2312"/>
      <w:sz w:val="32"/>
      <w:szCs w:val="20"/>
    </w:rPr>
  </w:style>
  <w:style w:type="paragraph" w:styleId="35">
    <w:name w:val="Body Text Indent 2"/>
    <w:basedOn w:val="1"/>
    <w:link w:val="89"/>
    <w:autoRedefine/>
    <w:semiHidden/>
    <w:unhideWhenUsed/>
    <w:uiPriority w:val="99"/>
    <w:pPr>
      <w:snapToGrid w:val="0"/>
      <w:ind w:firstLine="542" w:firstLineChars="225"/>
    </w:pPr>
    <w:rPr>
      <w:rFonts w:ascii="仿宋_GB2312" w:hAnsi="宋体"/>
      <w:b/>
      <w:bCs/>
      <w:color w:val="000000"/>
      <w:sz w:val="24"/>
      <w:szCs w:val="24"/>
    </w:rPr>
  </w:style>
  <w:style w:type="paragraph" w:styleId="36">
    <w:name w:val="endnote text"/>
    <w:basedOn w:val="1"/>
    <w:link w:val="90"/>
    <w:autoRedefine/>
    <w:semiHidden/>
    <w:unhideWhenUsed/>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1"/>
    <w:autoRedefine/>
    <w:semiHidden/>
    <w:unhideWhenUsed/>
    <w:uiPriority w:val="99"/>
    <w:rPr>
      <w:sz w:val="18"/>
      <w:szCs w:val="18"/>
    </w:rPr>
  </w:style>
  <w:style w:type="paragraph" w:styleId="38">
    <w:name w:val="footer"/>
    <w:basedOn w:val="1"/>
    <w:link w:val="245"/>
    <w:autoRedefine/>
    <w:semiHidden/>
    <w:unhideWhenUsed/>
    <w:uiPriority w:val="99"/>
    <w:pPr>
      <w:tabs>
        <w:tab w:val="center" w:pos="4153"/>
        <w:tab w:val="right" w:pos="8306"/>
      </w:tabs>
      <w:snapToGrid w:val="0"/>
      <w:jc w:val="left"/>
    </w:pPr>
    <w:rPr>
      <w:sz w:val="18"/>
      <w:szCs w:val="18"/>
    </w:rPr>
  </w:style>
  <w:style w:type="paragraph" w:styleId="39">
    <w:name w:val="header"/>
    <w:basedOn w:val="1"/>
    <w:link w:val="379"/>
    <w:autoRedefine/>
    <w:semiHidden/>
    <w:unhideWhenUsed/>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semiHidden/>
    <w:unhideWhenUsed/>
    <w:uiPriority w:val="39"/>
    <w:pPr>
      <w:spacing w:before="240" w:after="240"/>
    </w:pPr>
    <w:rPr>
      <w:rFonts w:ascii="Times New Roman" w:hAnsi="Times New Roman" w:eastAsia="仿宋"/>
      <w:sz w:val="36"/>
      <w:szCs w:val="24"/>
    </w:rPr>
  </w:style>
  <w:style w:type="paragraph" w:styleId="41">
    <w:name w:val="toc 4"/>
    <w:basedOn w:val="1"/>
    <w:next w:val="1"/>
    <w:autoRedefine/>
    <w:semiHidden/>
    <w:unhideWhenUsed/>
    <w:uiPriority w:val="39"/>
    <w:pPr>
      <w:ind w:left="1260" w:leftChars="600"/>
    </w:pPr>
  </w:style>
  <w:style w:type="paragraph" w:styleId="42">
    <w:name w:val="Subtitle"/>
    <w:basedOn w:val="1"/>
    <w:link w:val="94"/>
    <w:autoRedefine/>
    <w:qFormat/>
    <w:uiPriority w:val="11"/>
    <w:pPr>
      <w:spacing w:afterLines="50"/>
      <w:jc w:val="center"/>
    </w:pPr>
    <w:rPr>
      <w:rFonts w:ascii="Times New Roman" w:hAnsi="Times New Roman" w:eastAsia="Times New Roman"/>
      <w:sz w:val="18"/>
      <w:szCs w:val="18"/>
    </w:rPr>
  </w:style>
  <w:style w:type="paragraph" w:styleId="43">
    <w:name w:val="List"/>
    <w:basedOn w:val="1"/>
    <w:autoRedefine/>
    <w:semiHidden/>
    <w:unhideWhenUsed/>
    <w:uiPriority w:val="99"/>
    <w:pPr>
      <w:ind w:left="200" w:hanging="200" w:hangingChars="200"/>
    </w:pPr>
    <w:rPr>
      <w:rFonts w:ascii="Times New Roman" w:hAnsi="Times New Roman"/>
      <w:sz w:val="28"/>
      <w:szCs w:val="24"/>
    </w:rPr>
  </w:style>
  <w:style w:type="paragraph" w:styleId="44">
    <w:name w:val="footnote text"/>
    <w:basedOn w:val="1"/>
    <w:link w:val="95"/>
    <w:autoRedefine/>
    <w:semiHidden/>
    <w:unhideWhenUsed/>
    <w:uiPriority w:val="99"/>
    <w:pPr>
      <w:snapToGrid w:val="0"/>
      <w:jc w:val="left"/>
    </w:pPr>
    <w:rPr>
      <w:sz w:val="18"/>
      <w:szCs w:val="18"/>
    </w:rPr>
  </w:style>
  <w:style w:type="paragraph" w:styleId="45">
    <w:name w:val="toc 6"/>
    <w:basedOn w:val="1"/>
    <w:next w:val="1"/>
    <w:autoRedefine/>
    <w:semiHidden/>
    <w:unhideWhenUsed/>
    <w:uiPriority w:val="39"/>
    <w:pPr>
      <w:ind w:left="1050"/>
      <w:jc w:val="left"/>
    </w:pPr>
    <w:rPr>
      <w:rFonts w:ascii="Times New Roman" w:hAnsi="Times New Roman"/>
      <w:sz w:val="18"/>
      <w:szCs w:val="18"/>
    </w:rPr>
  </w:style>
  <w:style w:type="paragraph" w:styleId="46">
    <w:name w:val="Body Text Indent 3"/>
    <w:basedOn w:val="1"/>
    <w:link w:val="96"/>
    <w:autoRedefine/>
    <w:semiHidden/>
    <w:unhideWhenUsed/>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autoRedefine/>
    <w:semiHidden/>
    <w:unhideWhenUsed/>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autoRedefine/>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autoRedefine/>
    <w:semiHidden/>
    <w:unhideWhenUsed/>
    <w:qFormat/>
    <w:uiPriority w:val="39"/>
    <w:pPr>
      <w:ind w:left="1680"/>
      <w:jc w:val="left"/>
    </w:pPr>
    <w:rPr>
      <w:rFonts w:ascii="Times New Roman" w:hAnsi="Times New Roman"/>
      <w:sz w:val="18"/>
      <w:szCs w:val="18"/>
    </w:rPr>
  </w:style>
  <w:style w:type="paragraph" w:styleId="50">
    <w:name w:val="Body Text 2"/>
    <w:basedOn w:val="1"/>
    <w:link w:val="97"/>
    <w:autoRedefine/>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semiHidden/>
    <w:unhideWhenUsed/>
    <w:qFormat/>
    <w:uiPriority w:val="99"/>
    <w:rPr>
      <w:rFonts w:ascii="Courier New" w:hAnsi="Courier New"/>
      <w:sz w:val="20"/>
      <w:szCs w:val="20"/>
    </w:rPr>
  </w:style>
  <w:style w:type="paragraph" w:styleId="53">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semiHidden/>
    <w:unhideWhenUsed/>
    <w:uiPriority w:val="99"/>
    <w:rPr>
      <w:rFonts w:ascii="Times New Roman" w:hAnsi="Times New Roman"/>
      <w:szCs w:val="20"/>
    </w:rPr>
  </w:style>
  <w:style w:type="paragraph" w:styleId="55">
    <w:name w:val="Title"/>
    <w:basedOn w:val="1"/>
    <w:link w:val="99"/>
    <w:autoRedefine/>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autoRedefine/>
    <w:semiHidden/>
    <w:unhideWhenUsed/>
    <w:qFormat/>
    <w:uiPriority w:val="99"/>
    <w:rPr>
      <w:b/>
      <w:bCs/>
    </w:rPr>
  </w:style>
  <w:style w:type="paragraph" w:styleId="57">
    <w:name w:val="Body Text First Indent"/>
    <w:basedOn w:val="24"/>
    <w:link w:val="102"/>
    <w:autoRedefine/>
    <w:semiHidden/>
    <w:unhideWhenUsed/>
    <w:qFormat/>
    <w:uiPriority w:val="99"/>
    <w:pPr>
      <w:ind w:firstLine="420" w:firstLineChars="100"/>
    </w:pPr>
    <w:rPr>
      <w:sz w:val="21"/>
      <w:szCs w:val="22"/>
    </w:rPr>
  </w:style>
  <w:style w:type="paragraph" w:styleId="58">
    <w:name w:val="Body Text First Indent 2"/>
    <w:basedOn w:val="25"/>
    <w:link w:val="964"/>
    <w:autoRedefine/>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22"/>
    <w:rPr>
      <w:b/>
      <w:bCs/>
    </w:rPr>
  </w:style>
  <w:style w:type="character" w:styleId="66">
    <w:name w:val="page number"/>
    <w:basedOn w:val="64"/>
    <w:autoRedefine/>
    <w:semiHidden/>
    <w:unhideWhenUsed/>
    <w:qFormat/>
    <w:uiPriority w:val="99"/>
  </w:style>
  <w:style w:type="character" w:styleId="67">
    <w:name w:val="FollowedHyperlink"/>
    <w:semiHidden/>
    <w:unhideWhenUsed/>
    <w:uiPriority w:val="99"/>
    <w:rPr>
      <w:color w:val="800080"/>
      <w:u w:val="single"/>
    </w:rPr>
  </w:style>
  <w:style w:type="character" w:styleId="68">
    <w:name w:val="Emphasis"/>
    <w:qFormat/>
    <w:uiPriority w:val="20"/>
    <w:rPr>
      <w:color w:val="CC0033"/>
    </w:rPr>
  </w:style>
  <w:style w:type="character" w:styleId="69">
    <w:name w:val="Hyperlink"/>
    <w:autoRedefine/>
    <w:semiHidden/>
    <w:unhideWhenUsed/>
    <w:uiPriority w:val="99"/>
    <w:rPr>
      <w:color w:val="0000FF"/>
      <w:u w:val="single"/>
    </w:rPr>
  </w:style>
  <w:style w:type="character" w:styleId="70">
    <w:name w:val="annotation reference"/>
    <w:autoRedefine/>
    <w:semiHidden/>
    <w:unhideWhenUsed/>
    <w:uiPriority w:val="99"/>
    <w:rPr>
      <w:sz w:val="21"/>
      <w:szCs w:val="21"/>
    </w:rPr>
  </w:style>
  <w:style w:type="character" w:styleId="71">
    <w:name w:val="footnote reference"/>
    <w:autoRedefine/>
    <w:semiHidden/>
    <w:unhideWhenUsed/>
    <w:uiPriority w:val="99"/>
    <w:rPr>
      <w:vertAlign w:val="superscript"/>
    </w:rPr>
  </w:style>
  <w:style w:type="character" w:customStyle="1" w:styleId="72">
    <w:name w:val="标题 1 字符"/>
    <w:basedOn w:val="64"/>
    <w:link w:val="2"/>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4"/>
    <w:autoRedefine/>
    <w:qFormat/>
    <w:uiPriority w:val="9"/>
    <w:rPr>
      <w:rFonts w:ascii="Calibri" w:hAnsi="Calibri" w:eastAsia="宋体" w:cs="Times New Roman"/>
      <w:b/>
      <w:bCs/>
      <w:sz w:val="32"/>
      <w:szCs w:val="32"/>
    </w:rPr>
  </w:style>
  <w:style w:type="character" w:customStyle="1" w:styleId="75">
    <w:name w:val="标题 4 字符"/>
    <w:basedOn w:val="64"/>
    <w:link w:val="5"/>
    <w:autoRedefine/>
    <w:qFormat/>
    <w:uiPriority w:val="0"/>
    <w:rPr>
      <w:rFonts w:ascii="Arial" w:hAnsi="Arial" w:eastAsia="黑体" w:cs="Times New Roman"/>
      <w:b/>
      <w:bCs/>
      <w:sz w:val="28"/>
      <w:szCs w:val="28"/>
    </w:rPr>
  </w:style>
  <w:style w:type="character" w:customStyle="1" w:styleId="76">
    <w:name w:val="标题 5 字符"/>
    <w:basedOn w:val="64"/>
    <w:link w:val="6"/>
    <w:autoRedefine/>
    <w:qFormat/>
    <w:uiPriority w:val="0"/>
    <w:rPr>
      <w:rFonts w:ascii="Calibri" w:hAnsi="Calibri" w:eastAsia="宋体" w:cs="Times New Roman"/>
      <w:b/>
      <w:bCs/>
      <w:sz w:val="28"/>
      <w:szCs w:val="28"/>
    </w:rPr>
  </w:style>
  <w:style w:type="character" w:customStyle="1" w:styleId="77">
    <w:name w:val="标题 6 字符"/>
    <w:basedOn w:val="64"/>
    <w:link w:val="7"/>
    <w:autoRedefine/>
    <w:qFormat/>
    <w:uiPriority w:val="0"/>
    <w:rPr>
      <w:rFonts w:ascii="Arial" w:hAnsi="Arial" w:eastAsia="黑体" w:cs="Times New Roman"/>
      <w:b/>
      <w:bCs/>
      <w:sz w:val="24"/>
      <w:szCs w:val="24"/>
    </w:rPr>
  </w:style>
  <w:style w:type="character" w:customStyle="1" w:styleId="78">
    <w:name w:val="标题 7 字符"/>
    <w:basedOn w:val="64"/>
    <w:link w:val="8"/>
    <w:autoRedefine/>
    <w:qFormat/>
    <w:uiPriority w:val="99"/>
    <w:rPr>
      <w:rFonts w:ascii="Calibri" w:hAnsi="Calibri" w:eastAsia="宋体" w:cs="Times New Roman"/>
      <w:b/>
      <w:bCs/>
      <w:sz w:val="24"/>
      <w:szCs w:val="24"/>
    </w:rPr>
  </w:style>
  <w:style w:type="character" w:customStyle="1" w:styleId="79">
    <w:name w:val="标题 8 字符"/>
    <w:basedOn w:val="64"/>
    <w:link w:val="9"/>
    <w:autoRedefine/>
    <w:qFormat/>
    <w:uiPriority w:val="99"/>
    <w:rPr>
      <w:rFonts w:ascii="Cambria" w:hAnsi="Cambria" w:eastAsia="宋体" w:cs="Times New Roman"/>
      <w:sz w:val="24"/>
      <w:szCs w:val="24"/>
    </w:rPr>
  </w:style>
  <w:style w:type="character" w:customStyle="1" w:styleId="80">
    <w:name w:val="标题 9 字符"/>
    <w:basedOn w:val="64"/>
    <w:link w:val="10"/>
    <w:autoRedefine/>
    <w:qFormat/>
    <w:uiPriority w:val="99"/>
    <w:rPr>
      <w:rFonts w:ascii="Cambria" w:hAnsi="Cambria" w:eastAsia="宋体" w:cs="Times New Roman"/>
      <w:szCs w:val="21"/>
    </w:rPr>
  </w:style>
  <w:style w:type="character" w:customStyle="1" w:styleId="81">
    <w:name w:val="文档结构图 字符"/>
    <w:basedOn w:val="64"/>
    <w:link w:val="20"/>
    <w:autoRedefine/>
    <w:qFormat/>
    <w:uiPriority w:val="99"/>
    <w:rPr>
      <w:rFonts w:ascii="宋体" w:hAnsi="Calibri" w:eastAsia="宋体" w:cs="Times New Roman"/>
      <w:sz w:val="18"/>
      <w:szCs w:val="18"/>
    </w:rPr>
  </w:style>
  <w:style w:type="character" w:customStyle="1" w:styleId="82">
    <w:name w:val="批注文字 字符1"/>
    <w:basedOn w:val="64"/>
    <w:link w:val="21"/>
    <w:autoRedefine/>
    <w:qFormat/>
    <w:uiPriority w:val="99"/>
    <w:rPr>
      <w:rFonts w:ascii="Calibri" w:hAnsi="Calibri" w:eastAsia="宋体" w:cs="Times New Roman"/>
    </w:rPr>
  </w:style>
  <w:style w:type="character" w:customStyle="1" w:styleId="83">
    <w:name w:val="称呼 字符"/>
    <w:basedOn w:val="64"/>
    <w:link w:val="22"/>
    <w:autoRedefine/>
    <w:qFormat/>
    <w:uiPriority w:val="99"/>
    <w:rPr>
      <w:rFonts w:ascii="宋体" w:hAnsi="Times New Roman" w:eastAsia="宋体" w:cs="Times New Roman"/>
      <w:b/>
      <w:sz w:val="28"/>
      <w:szCs w:val="20"/>
    </w:rPr>
  </w:style>
  <w:style w:type="character" w:customStyle="1" w:styleId="84">
    <w:name w:val="正文文本 3 字符"/>
    <w:basedOn w:val="64"/>
    <w:link w:val="23"/>
    <w:autoRedefine/>
    <w:qFormat/>
    <w:uiPriority w:val="99"/>
    <w:rPr>
      <w:rFonts w:ascii="Times New Roman" w:hAnsi="宋体" w:eastAsia="仿宋_GB2312" w:cs="Times New Roman"/>
      <w:b/>
      <w:bCs/>
      <w:sz w:val="24"/>
      <w:szCs w:val="20"/>
    </w:rPr>
  </w:style>
  <w:style w:type="character" w:customStyle="1" w:styleId="85">
    <w:name w:val="正文文本 字符1"/>
    <w:basedOn w:val="64"/>
    <w:link w:val="24"/>
    <w:autoRedefine/>
    <w:qFormat/>
    <w:uiPriority w:val="99"/>
    <w:rPr>
      <w:rFonts w:ascii="Calibri" w:hAnsi="Calibri" w:eastAsia="宋体" w:cs="Times New Roman"/>
      <w:sz w:val="28"/>
      <w:szCs w:val="24"/>
    </w:rPr>
  </w:style>
  <w:style w:type="character" w:customStyle="1" w:styleId="86">
    <w:name w:val="正文文本缩进 字符1"/>
    <w:basedOn w:val="64"/>
    <w:link w:val="25"/>
    <w:autoRedefine/>
    <w:qFormat/>
    <w:uiPriority w:val="99"/>
    <w:rPr>
      <w:rFonts w:ascii="宋体" w:hAnsi="Courier New" w:eastAsia="宋体" w:cs="Times New Roman"/>
      <w:spacing w:val="-4"/>
      <w:sz w:val="18"/>
      <w:szCs w:val="20"/>
    </w:rPr>
  </w:style>
  <w:style w:type="character" w:customStyle="1" w:styleId="87">
    <w:name w:val="纯文本 字符"/>
    <w:basedOn w:val="64"/>
    <w:link w:val="31"/>
    <w:autoRedefine/>
    <w:qFormat/>
    <w:uiPriority w:val="99"/>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99"/>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99"/>
    <w:rPr>
      <w:rFonts w:ascii="宋体" w:hAnsi="Calibri" w:eastAsia="宋体" w:cs="Times New Roman"/>
      <w:snapToGrid w:val="0"/>
      <w:kern w:val="0"/>
      <w:szCs w:val="20"/>
    </w:rPr>
  </w:style>
  <w:style w:type="character" w:customStyle="1" w:styleId="91">
    <w:name w:val="批注框文本 字符"/>
    <w:basedOn w:val="64"/>
    <w:link w:val="37"/>
    <w:autoRedefine/>
    <w:qFormat/>
    <w:uiPriority w:val="99"/>
    <w:rPr>
      <w:rFonts w:ascii="Calibri" w:hAnsi="Calibri" w:eastAsia="宋体" w:cs="Times New Roman"/>
      <w:sz w:val="18"/>
      <w:szCs w:val="18"/>
    </w:rPr>
  </w:style>
  <w:style w:type="character" w:customStyle="1" w:styleId="92">
    <w:name w:val="页脚 Char"/>
    <w:basedOn w:val="64"/>
    <w:link w:val="38"/>
    <w:autoRedefine/>
    <w:qFormat/>
    <w:uiPriority w:val="0"/>
    <w:rPr>
      <w:rFonts w:ascii="Calibri" w:hAnsi="Calibri" w:eastAsia="宋体" w:cs="Times New Roman"/>
      <w:sz w:val="18"/>
      <w:szCs w:val="18"/>
    </w:rPr>
  </w:style>
  <w:style w:type="character" w:customStyle="1" w:styleId="93">
    <w:name w:val="页眉 Char"/>
    <w:basedOn w:val="64"/>
    <w:link w:val="39"/>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1"/>
    <w:next w:val="21"/>
    <w:link w:val="100"/>
    <w:autoRedefine/>
    <w:qFormat/>
    <w:uiPriority w:val="99"/>
    <w:rPr>
      <w:b/>
      <w:bCs/>
    </w:rPr>
  </w:style>
  <w:style w:type="character" w:customStyle="1" w:styleId="102">
    <w:name w:val="正文首行缩进 字符"/>
    <w:basedOn w:val="85"/>
    <w:link w:val="57"/>
    <w:autoRedefine/>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99"/>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8"/>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autoRedefine/>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autoRedefine/>
    <w:qFormat/>
    <w:locked/>
    <w:uiPriority w:val="0"/>
    <w:rPr>
      <w:rFonts w:ascii="Calibri" w:hAnsi="Calibri" w:eastAsia="仿宋"/>
      <w:b/>
      <w:sz w:val="28"/>
      <w:szCs w:val="21"/>
    </w:rPr>
  </w:style>
  <w:style w:type="paragraph" w:customStyle="1" w:styleId="125">
    <w:name w:val="样式(-)"/>
    <w:basedOn w:val="126"/>
    <w:link w:val="124"/>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autoRedefine/>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autoRedefine/>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autoRedefine/>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autoRedefine/>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autoRedefine/>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autoRedefine/>
    <w:qFormat/>
    <w:uiPriority w:val="0"/>
    <w:rPr>
      <w:rFonts w:ascii="Times New Roman" w:hAnsi="Times New Roman" w:eastAsia="黑体"/>
      <w:sz w:val="24"/>
      <w:szCs w:val="24"/>
    </w:rPr>
  </w:style>
  <w:style w:type="paragraph" w:customStyle="1" w:styleId="142">
    <w:name w:val="Z图表"/>
    <w:basedOn w:val="18"/>
    <w:link w:val="141"/>
    <w:autoRedefine/>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autoRedefine/>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autoRedefine/>
    <w:qFormat/>
    <w:uiPriority w:val="0"/>
    <w:rPr>
      <w:rFonts w:ascii="Times New Roman" w:hAnsi="Times New Roman" w:eastAsia="黑体"/>
      <w:color w:val="000000"/>
      <w:sz w:val="24"/>
      <w:szCs w:val="24"/>
    </w:rPr>
  </w:style>
  <w:style w:type="paragraph" w:customStyle="1" w:styleId="148">
    <w:name w:val="ZJGIS图表"/>
    <w:basedOn w:val="1"/>
    <w:link w:val="147"/>
    <w:autoRedefine/>
    <w:qFormat/>
    <w:uiPriority w:val="0"/>
    <w:pPr>
      <w:jc w:val="center"/>
    </w:pPr>
    <w:rPr>
      <w:rFonts w:ascii="Times New Roman" w:hAnsi="Times New Roman" w:eastAsia="黑体" w:cstheme="minorBidi"/>
      <w:color w:val="000000"/>
      <w:sz w:val="24"/>
      <w:szCs w:val="24"/>
    </w:rPr>
  </w:style>
  <w:style w:type="character" w:customStyle="1" w:styleId="149">
    <w:name w:val="H1 Char2"/>
    <w:autoRedefine/>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autoRedefine/>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autoRedefine/>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autoRedefine/>
    <w:qFormat/>
    <w:uiPriority w:val="0"/>
    <w:rPr>
      <w:rFonts w:ascii="Times New Roman" w:hAnsi="Times New Roman"/>
      <w:sz w:val="24"/>
      <w:szCs w:val="24"/>
    </w:rPr>
  </w:style>
  <w:style w:type="paragraph" w:customStyle="1" w:styleId="157">
    <w:name w:val="ZJ正文"/>
    <w:basedOn w:val="1"/>
    <w:link w:val="156"/>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autoRedefine/>
    <w:qFormat/>
    <w:uiPriority w:val="0"/>
  </w:style>
  <w:style w:type="character" w:customStyle="1" w:styleId="159">
    <w:name w:val="p71"/>
    <w:autoRedefine/>
    <w:qFormat/>
    <w:uiPriority w:val="0"/>
    <w:rPr>
      <w:sz w:val="21"/>
    </w:rPr>
  </w:style>
  <w:style w:type="character" w:customStyle="1" w:styleId="160">
    <w:name w:val="文档结构图 Char1"/>
    <w:autoRedefine/>
    <w:qFormat/>
    <w:uiPriority w:val="0"/>
    <w:rPr>
      <w:rFonts w:ascii="宋体" w:hAnsi="Courier New" w:eastAsia="宋体"/>
      <w:sz w:val="21"/>
      <w:lang w:val="en-US" w:eastAsia="zh-CN" w:bidi="ar-SA"/>
    </w:rPr>
  </w:style>
  <w:style w:type="character" w:customStyle="1" w:styleId="161">
    <w:name w:val="样式 小四"/>
    <w:autoRedefine/>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autoRedefine/>
    <w:qFormat/>
    <w:uiPriority w:val="0"/>
    <w:rPr>
      <w:rFonts w:ascii="Times New Roman" w:hAnsi="Times New Roman"/>
      <w:sz w:val="24"/>
      <w:szCs w:val="21"/>
    </w:rPr>
  </w:style>
  <w:style w:type="paragraph" w:customStyle="1" w:styleId="165">
    <w:name w:val="粘贴正文"/>
    <w:link w:val="164"/>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autoRedefine/>
    <w:qFormat/>
    <w:uiPriority w:val="0"/>
    <w:rPr>
      <w:sz w:val="20"/>
      <w:szCs w:val="20"/>
    </w:rPr>
  </w:style>
  <w:style w:type="character" w:customStyle="1" w:styleId="167">
    <w:name w:val="Char Char7"/>
    <w:autoRedefine/>
    <w:qFormat/>
    <w:uiPriority w:val="0"/>
    <w:rPr>
      <w:rFonts w:eastAsia="宋体"/>
      <w:b/>
      <w:kern w:val="2"/>
      <w:sz w:val="32"/>
      <w:lang w:bidi="ar-SA"/>
    </w:rPr>
  </w:style>
  <w:style w:type="character" w:customStyle="1" w:styleId="168">
    <w:name w:val="Heading 2 Char"/>
    <w:autoRedefine/>
    <w:qFormat/>
    <w:uiPriority w:val="0"/>
    <w:rPr>
      <w:rFonts w:ascii="Cambria" w:hAnsi="Cambria" w:eastAsia="宋体" w:cs="Cambria"/>
      <w:b/>
      <w:bCs/>
      <w:sz w:val="32"/>
      <w:szCs w:val="32"/>
      <w:lang w:val="en-US" w:eastAsia="zh-CN" w:bidi="ar-SA"/>
    </w:rPr>
  </w:style>
  <w:style w:type="character" w:customStyle="1" w:styleId="169">
    <w:name w:val="maywed421"/>
    <w:autoRedefine/>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autoRedefine/>
    <w:qFormat/>
    <w:uiPriority w:val="0"/>
    <w:rPr>
      <w:rFonts w:hint="default"/>
      <w:spacing w:val="240"/>
      <w:sz w:val="18"/>
      <w:szCs w:val="18"/>
    </w:rPr>
  </w:style>
  <w:style w:type="character" w:customStyle="1" w:styleId="174">
    <w:name w:val="title14"/>
    <w:basedOn w:val="64"/>
    <w:autoRedefine/>
    <w:qFormat/>
    <w:uiPriority w:val="0"/>
  </w:style>
  <w:style w:type="character" w:customStyle="1" w:styleId="175">
    <w:name w:val="样式41"/>
    <w:autoRedefine/>
    <w:qFormat/>
    <w:uiPriority w:val="0"/>
    <w:rPr>
      <w:color w:val="3366CC"/>
      <w:sz w:val="21"/>
      <w:szCs w:val="21"/>
    </w:rPr>
  </w:style>
  <w:style w:type="character" w:customStyle="1" w:styleId="176">
    <w:name w:val="正文s Char"/>
    <w:link w:val="177"/>
    <w:autoRedefine/>
    <w:qFormat/>
    <w:uiPriority w:val="0"/>
    <w:rPr>
      <w:rFonts w:ascii="Arial" w:hAnsi="Arial"/>
    </w:rPr>
  </w:style>
  <w:style w:type="paragraph" w:customStyle="1" w:styleId="177">
    <w:name w:val="正文s"/>
    <w:basedOn w:val="1"/>
    <w:link w:val="176"/>
    <w:autoRedefine/>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autoRedefine/>
    <w:qFormat/>
    <w:uiPriority w:val="0"/>
    <w:rPr>
      <w:rFonts w:ascii="Calibri" w:hAnsi="Calibri" w:eastAsia="宋体" w:cs="Times New Roman"/>
      <w:szCs w:val="24"/>
    </w:rPr>
  </w:style>
  <w:style w:type="character" w:customStyle="1" w:styleId="179">
    <w:name w:val="b11_01b Char"/>
    <w:link w:val="180"/>
    <w:autoRedefine/>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autoRedefine/>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autoRedefine/>
    <w:qFormat/>
    <w:uiPriority w:val="0"/>
  </w:style>
  <w:style w:type="character" w:customStyle="1" w:styleId="184">
    <w:name w:val="文档正文1 Char Char"/>
    <w:autoRedefine/>
    <w:qFormat/>
    <w:uiPriority w:val="0"/>
    <w:rPr>
      <w:rFonts w:ascii="仿宋_GB2312" w:hAnsi="仿宋" w:eastAsia="仿宋_GB2312"/>
      <w:kern w:val="2"/>
      <w:sz w:val="30"/>
      <w:szCs w:val="30"/>
      <w:lang w:bidi="ar-SA"/>
    </w:rPr>
  </w:style>
  <w:style w:type="character" w:customStyle="1" w:styleId="185">
    <w:name w:val="加重文字 Char"/>
    <w:link w:val="186"/>
    <w:autoRedefine/>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autoRedefine/>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autoRedefine/>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autoRedefine/>
    <w:qFormat/>
    <w:uiPriority w:val="0"/>
    <w:rPr>
      <w:rFonts w:eastAsia="宋体"/>
      <w:kern w:val="2"/>
      <w:sz w:val="18"/>
      <w:szCs w:val="18"/>
      <w:lang w:val="en-US" w:eastAsia="zh-CN" w:bidi="ar-SA"/>
    </w:rPr>
  </w:style>
  <w:style w:type="character" w:customStyle="1" w:styleId="194">
    <w:name w:val="一级标题 Char Char"/>
    <w:autoRedefine/>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autoRedefine/>
    <w:qFormat/>
    <w:uiPriority w:val="0"/>
    <w:rPr>
      <w:rFonts w:hint="default" w:ascii="Arial" w:hAnsi="Arial" w:cs="Arial"/>
      <w:color w:val="666666"/>
      <w:sz w:val="18"/>
      <w:szCs w:val="18"/>
    </w:rPr>
  </w:style>
  <w:style w:type="character" w:customStyle="1" w:styleId="197">
    <w:name w:val="Title Char"/>
    <w:autoRedefine/>
    <w:qFormat/>
    <w:uiPriority w:val="0"/>
    <w:rPr>
      <w:rFonts w:ascii="Cambria" w:hAnsi="Cambria" w:eastAsia="宋体" w:cs="Cambria"/>
      <w:b/>
      <w:bCs/>
      <w:sz w:val="32"/>
      <w:szCs w:val="32"/>
      <w:lang w:val="en-US" w:eastAsia="zh-CN" w:bidi="ar-SA"/>
    </w:rPr>
  </w:style>
  <w:style w:type="character" w:customStyle="1" w:styleId="198">
    <w:name w:val="text_show1"/>
    <w:autoRedefine/>
    <w:qFormat/>
    <w:uiPriority w:val="0"/>
    <w:rPr>
      <w:color w:val="000000"/>
      <w:sz w:val="21"/>
      <w:szCs w:val="21"/>
      <w:u w:val="none"/>
    </w:rPr>
  </w:style>
  <w:style w:type="character" w:customStyle="1" w:styleId="199">
    <w:name w:val="标准文本 Char"/>
    <w:link w:val="187"/>
    <w:autoRedefine/>
    <w:qFormat/>
    <w:locked/>
    <w:uiPriority w:val="0"/>
    <w:rPr>
      <w:rFonts w:ascii="Calibri" w:hAnsi="Calibri" w:eastAsia="宋体" w:cs="Times New Roman"/>
      <w:sz w:val="24"/>
      <w:szCs w:val="24"/>
    </w:rPr>
  </w:style>
  <w:style w:type="character" w:customStyle="1" w:styleId="200">
    <w:name w:val="Char Char4"/>
    <w:autoRedefine/>
    <w:qFormat/>
    <w:uiPriority w:val="0"/>
    <w:rPr>
      <w:rFonts w:ascii="Calibri" w:hAnsi="Calibri" w:eastAsia="宋体"/>
      <w:sz w:val="18"/>
      <w:szCs w:val="18"/>
      <w:lang w:bidi="ar-SA"/>
    </w:rPr>
  </w:style>
  <w:style w:type="character" w:customStyle="1" w:styleId="201">
    <w:name w:val="Char Char141"/>
    <w:autoRedefine/>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autoRedefine/>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autoRedefine/>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autoRedefine/>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autoRedefine/>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autoRedefine/>
    <w:qFormat/>
    <w:locked/>
    <w:uiPriority w:val="99"/>
    <w:rPr>
      <w:rFonts w:ascii="Arial" w:hAnsi="Arial"/>
      <w:sz w:val="18"/>
      <w:szCs w:val="18"/>
    </w:rPr>
  </w:style>
  <w:style w:type="paragraph" w:customStyle="1" w:styleId="213">
    <w:name w:val="Item List in Table"/>
    <w:link w:val="212"/>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autoRedefine/>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autoRedefine/>
    <w:qFormat/>
    <w:uiPriority w:val="0"/>
    <w:rPr>
      <w:rFonts w:ascii="仿宋" w:hAnsi="仿宋" w:eastAsia="仿宋"/>
      <w:kern w:val="2"/>
      <w:sz w:val="28"/>
      <w:szCs w:val="21"/>
      <w:lang w:bidi="ar-SA"/>
    </w:rPr>
  </w:style>
  <w:style w:type="character" w:customStyle="1" w:styleId="225">
    <w:name w:val="表名 Char"/>
    <w:autoRedefine/>
    <w:qFormat/>
    <w:uiPriority w:val="0"/>
    <w:rPr>
      <w:rFonts w:ascii="Arial" w:hAnsi="Arial" w:eastAsia="黑体"/>
      <w:sz w:val="24"/>
      <w:szCs w:val="24"/>
    </w:rPr>
  </w:style>
  <w:style w:type="character" w:customStyle="1" w:styleId="226">
    <w:name w:val="ZJ图表 Char"/>
    <w:link w:val="227"/>
    <w:autoRedefine/>
    <w:qFormat/>
    <w:uiPriority w:val="0"/>
    <w:rPr>
      <w:rFonts w:ascii="Times New Roman" w:hAnsi="Times New Roman" w:eastAsia="黑体"/>
      <w:color w:val="000000"/>
      <w:sz w:val="24"/>
      <w:szCs w:val="24"/>
    </w:rPr>
  </w:style>
  <w:style w:type="paragraph" w:customStyle="1" w:styleId="227">
    <w:name w:val="ZJ图表"/>
    <w:basedOn w:val="8"/>
    <w:link w:val="226"/>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3"/>
    <w:autoRedefine/>
    <w:qFormat/>
    <w:uiPriority w:val="0"/>
    <w:rPr>
      <w:rFonts w:ascii="Arial" w:hAnsi="Arial" w:eastAsia="黑体" w:cs="Times New Roman"/>
      <w:b/>
      <w:bCs/>
      <w:sz w:val="32"/>
      <w:szCs w:val="32"/>
    </w:rPr>
  </w:style>
  <w:style w:type="character" w:customStyle="1" w:styleId="230">
    <w:name w:val="z-窗体底端 字符"/>
    <w:link w:val="231"/>
    <w:autoRedefine/>
    <w:qFormat/>
    <w:uiPriority w:val="0"/>
    <w:rPr>
      <w:rFonts w:ascii="Arial" w:hAnsi="Arial" w:cs="Arial"/>
      <w:vanish/>
      <w:sz w:val="16"/>
      <w:szCs w:val="16"/>
    </w:rPr>
  </w:style>
  <w:style w:type="paragraph" w:customStyle="1" w:styleId="231">
    <w:name w:val="z-窗体底端1"/>
    <w:basedOn w:val="1"/>
    <w:next w:val="1"/>
    <w:link w:val="230"/>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autoRedefine/>
    <w:qFormat/>
    <w:uiPriority w:val="0"/>
    <w:rPr>
      <w:rFonts w:hint="default" w:ascii="Arial" w:hAnsi="Arial"/>
      <w:b/>
      <w:color w:val="16344F"/>
      <w:spacing w:val="15"/>
      <w:sz w:val="18"/>
      <w:u w:val="none"/>
    </w:rPr>
  </w:style>
  <w:style w:type="character" w:customStyle="1" w:styleId="233">
    <w:name w:val="二级标题 Char Char"/>
    <w:autoRedefine/>
    <w:qFormat/>
    <w:uiPriority w:val="0"/>
    <w:rPr>
      <w:rFonts w:eastAsia="仿宋"/>
      <w:b/>
      <w:sz w:val="28"/>
      <w:lang w:val="en-US" w:eastAsia="zh-CN" w:bidi="ar-SA"/>
    </w:rPr>
  </w:style>
  <w:style w:type="character" w:customStyle="1" w:styleId="234">
    <w:name w:val="明显参考1"/>
    <w:autoRedefine/>
    <w:qFormat/>
    <w:uiPriority w:val="0"/>
    <w:rPr>
      <w:b/>
      <w:sz w:val="24"/>
      <w:u w:val="single"/>
    </w:rPr>
  </w:style>
  <w:style w:type="character" w:customStyle="1" w:styleId="235">
    <w:name w:val="中等深浅网格 11"/>
    <w:autoRedefine/>
    <w:semiHidden/>
    <w:qFormat/>
    <w:uiPriority w:val="0"/>
    <w:rPr>
      <w:color w:val="808080"/>
    </w:rPr>
  </w:style>
  <w:style w:type="character" w:customStyle="1" w:styleId="236">
    <w:name w:val="Char Char9"/>
    <w:autoRedefine/>
    <w:qFormat/>
    <w:uiPriority w:val="0"/>
    <w:rPr>
      <w:rFonts w:eastAsia="宋体"/>
      <w:b/>
      <w:kern w:val="44"/>
      <w:sz w:val="44"/>
      <w:lang w:bidi="ar-SA"/>
    </w:rPr>
  </w:style>
  <w:style w:type="character" w:customStyle="1" w:styleId="237">
    <w:name w:val="正文文本缩进 Char1"/>
    <w:autoRedefine/>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39">
    <w:name w:val="大标题 Char"/>
    <w:link w:val="240"/>
    <w:autoRedefine/>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autoRedefine/>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autoRedefine/>
    <w:qFormat/>
    <w:uiPriority w:val="0"/>
    <w:rPr>
      <w:szCs w:val="21"/>
    </w:rPr>
  </w:style>
  <w:style w:type="paragraph" w:customStyle="1" w:styleId="243">
    <w:name w:val="正文（首行缩进2字符）"/>
    <w:basedOn w:val="1"/>
    <w:link w:val="242"/>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autoRedefine/>
    <w:qFormat/>
    <w:uiPriority w:val="0"/>
    <w:rPr>
      <w:rFonts w:ascii="Courier New" w:hAnsi="Courier New"/>
      <w:color w:val="008000"/>
    </w:rPr>
  </w:style>
  <w:style w:type="character" w:customStyle="1" w:styleId="245">
    <w:name w:val="页脚 字符1"/>
    <w:link w:val="38"/>
    <w:autoRedefine/>
    <w:qFormat/>
    <w:uiPriority w:val="99"/>
    <w:rPr>
      <w:rFonts w:ascii="Calibri" w:hAnsi="Calibri" w:eastAsia="宋体" w:cs="Times New Roman"/>
      <w:sz w:val="18"/>
      <w:szCs w:val="18"/>
    </w:rPr>
  </w:style>
  <w:style w:type="character" w:customStyle="1" w:styleId="246">
    <w:name w:val="浅色网格 - 强调文字颜色 3 Char"/>
    <w:autoRedefine/>
    <w:qFormat/>
    <w:locked/>
    <w:uiPriority w:val="0"/>
    <w:rPr>
      <w:rFonts w:ascii="Calibri" w:hAnsi="Calibri" w:eastAsia="宋体" w:cs="Times New Roman"/>
    </w:rPr>
  </w:style>
  <w:style w:type="character" w:customStyle="1" w:styleId="247">
    <w:name w:val="Char Char21"/>
    <w:autoRedefine/>
    <w:qFormat/>
    <w:uiPriority w:val="0"/>
    <w:rPr>
      <w:rFonts w:ascii="宋体" w:hAnsi="Courier New" w:eastAsia="宋体"/>
      <w:sz w:val="21"/>
      <w:lang w:val="en-US" w:eastAsia="zh-CN" w:bidi="ar-SA"/>
    </w:rPr>
  </w:style>
  <w:style w:type="character" w:customStyle="1" w:styleId="248">
    <w:name w:val="H2 Char3"/>
    <w:autoRedefine/>
    <w:qFormat/>
    <w:uiPriority w:val="0"/>
    <w:rPr>
      <w:rFonts w:ascii="Arial" w:hAnsi="Arial" w:eastAsia="黑体"/>
      <w:b/>
      <w:bCs/>
      <w:kern w:val="2"/>
      <w:sz w:val="32"/>
      <w:szCs w:val="32"/>
      <w:lang w:val="en-US" w:eastAsia="zh-CN" w:bidi="ar-SA"/>
    </w:rPr>
  </w:style>
  <w:style w:type="character" w:customStyle="1" w:styleId="249">
    <w:name w:val="新昌图表 Char"/>
    <w:link w:val="250"/>
    <w:autoRedefine/>
    <w:qFormat/>
    <w:uiPriority w:val="0"/>
    <w:rPr>
      <w:rFonts w:ascii="Times New Roman" w:hAnsi="Times New Roman" w:eastAsia="黑体"/>
      <w:color w:val="000000"/>
      <w:sz w:val="24"/>
      <w:szCs w:val="24"/>
    </w:rPr>
  </w:style>
  <w:style w:type="paragraph" w:customStyle="1" w:styleId="250">
    <w:name w:val="新昌图表"/>
    <w:basedOn w:val="1"/>
    <w:link w:val="249"/>
    <w:autoRedefine/>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autoRedefine/>
    <w:qFormat/>
    <w:uiPriority w:val="0"/>
    <w:rPr>
      <w:rFonts w:ascii="Courier New" w:hAnsi="Courier New"/>
      <w:color w:val="00FF00"/>
      <w:sz w:val="40"/>
    </w:rPr>
  </w:style>
  <w:style w:type="character" w:customStyle="1" w:styleId="253">
    <w:name w:val="正文4 Char"/>
    <w:link w:val="254"/>
    <w:autoRedefine/>
    <w:qFormat/>
    <w:uiPriority w:val="99"/>
    <w:rPr>
      <w:rFonts w:ascii="Calibri" w:hAnsi="Calibri"/>
      <w:sz w:val="24"/>
      <w:szCs w:val="24"/>
    </w:rPr>
  </w:style>
  <w:style w:type="paragraph" w:customStyle="1" w:styleId="254">
    <w:name w:val="正文4"/>
    <w:basedOn w:val="1"/>
    <w:link w:val="253"/>
    <w:autoRedefine/>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autoRedefine/>
    <w:qFormat/>
    <w:uiPriority w:val="0"/>
    <w:rPr>
      <w:rFonts w:ascii="Arial" w:hAnsi="Arial" w:cs="Arial"/>
      <w:vanish/>
      <w:sz w:val="16"/>
      <w:szCs w:val="16"/>
    </w:rPr>
  </w:style>
  <w:style w:type="paragraph" w:customStyle="1" w:styleId="256">
    <w:name w:val="z-窗体顶端1"/>
    <w:basedOn w:val="1"/>
    <w:next w:val="1"/>
    <w:link w:val="255"/>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autoRedefine/>
    <w:qFormat/>
    <w:uiPriority w:val="0"/>
    <w:rPr>
      <w:rFonts w:ascii="Times New Roman" w:hAnsi="宋体"/>
      <w:sz w:val="24"/>
      <w:szCs w:val="24"/>
    </w:rPr>
  </w:style>
  <w:style w:type="paragraph" w:customStyle="1" w:styleId="258">
    <w:name w:val="衢州正文"/>
    <w:basedOn w:val="1"/>
    <w:link w:val="257"/>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autoRedefine/>
    <w:qFormat/>
    <w:uiPriority w:val="0"/>
    <w:rPr>
      <w:rFonts w:ascii="仿宋_GB2312" w:eastAsia="仿宋_GB2312"/>
      <w:kern w:val="2"/>
      <w:sz w:val="24"/>
      <w:szCs w:val="24"/>
      <w:lang w:val="en-US" w:eastAsia="zh-CN" w:bidi="ar-SA"/>
    </w:rPr>
  </w:style>
  <w:style w:type="character" w:customStyle="1" w:styleId="260">
    <w:name w:val="css21"/>
    <w:autoRedefine/>
    <w:qFormat/>
    <w:uiPriority w:val="0"/>
    <w:rPr>
      <w:sz w:val="18"/>
    </w:rPr>
  </w:style>
  <w:style w:type="character" w:customStyle="1" w:styleId="261">
    <w:name w:val="样式(-) Char Char"/>
    <w:autoRedefine/>
    <w:qFormat/>
    <w:uiPriority w:val="0"/>
    <w:rPr>
      <w:rFonts w:ascii="Calibri" w:hAnsi="Calibri" w:eastAsia="仿宋"/>
      <w:b/>
      <w:kern w:val="2"/>
      <w:sz w:val="28"/>
      <w:szCs w:val="21"/>
      <w:lang w:bidi="ar-SA"/>
    </w:rPr>
  </w:style>
  <w:style w:type="character" w:customStyle="1" w:styleId="262">
    <w:name w:val="列表1、 Char"/>
    <w:link w:val="263"/>
    <w:autoRedefine/>
    <w:qFormat/>
    <w:locked/>
    <w:uiPriority w:val="99"/>
    <w:rPr>
      <w:rFonts w:ascii="仿宋" w:hAnsi="仿宋" w:eastAsia="仿宋"/>
      <w:sz w:val="28"/>
      <w:szCs w:val="21"/>
    </w:rPr>
  </w:style>
  <w:style w:type="paragraph" w:customStyle="1" w:styleId="263">
    <w:name w:val="列表1、"/>
    <w:basedOn w:val="126"/>
    <w:link w:val="262"/>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autoRedefine/>
    <w:qFormat/>
    <w:uiPriority w:val="0"/>
    <w:rPr>
      <w:rFonts w:hint="default" w:ascii="Times New Roman" w:hAnsi="Times New Roman" w:cs="Times New Roman"/>
      <w:sz w:val="21"/>
      <w:szCs w:val="21"/>
    </w:rPr>
  </w:style>
  <w:style w:type="character" w:customStyle="1" w:styleId="266">
    <w:name w:val="Char Char511"/>
    <w:autoRedefine/>
    <w:qFormat/>
    <w:uiPriority w:val="0"/>
    <w:rPr>
      <w:rFonts w:ascii="Calibri" w:hAnsi="Calibri" w:eastAsia="宋体"/>
      <w:sz w:val="18"/>
      <w:szCs w:val="18"/>
      <w:lang w:bidi="ar-SA"/>
    </w:rPr>
  </w:style>
  <w:style w:type="character" w:customStyle="1" w:styleId="267">
    <w:name w:val="正文文字 Char"/>
    <w:autoRedefine/>
    <w:qFormat/>
    <w:uiPriority w:val="0"/>
    <w:rPr>
      <w:rFonts w:ascii="Arial" w:hAnsi="Arial" w:eastAsia="宋体"/>
      <w:kern w:val="2"/>
      <w:sz w:val="24"/>
      <w:lang w:val="en-US" w:eastAsia="zh-CN"/>
    </w:rPr>
  </w:style>
  <w:style w:type="character" w:customStyle="1" w:styleId="268">
    <w:name w:val="大标题 Char Char"/>
    <w:autoRedefine/>
    <w:qFormat/>
    <w:uiPriority w:val="0"/>
    <w:rPr>
      <w:b/>
      <w:sz w:val="28"/>
      <w:lang w:val="en-US" w:eastAsia="zh-CN" w:bidi="ar-SA"/>
    </w:rPr>
  </w:style>
  <w:style w:type="character" w:customStyle="1" w:styleId="269">
    <w:name w:val="华电 正文 Char"/>
    <w:link w:val="270"/>
    <w:autoRedefine/>
    <w:qFormat/>
    <w:uiPriority w:val="0"/>
    <w:rPr>
      <w:rFonts w:ascii="宋体" w:hAnsi="宋体" w:eastAsia="宋体"/>
      <w:sz w:val="22"/>
    </w:rPr>
  </w:style>
  <w:style w:type="paragraph" w:customStyle="1" w:styleId="270">
    <w:name w:val="华电 正文"/>
    <w:basedOn w:val="1"/>
    <w:link w:val="269"/>
    <w:autoRedefine/>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autoRedefine/>
    <w:qFormat/>
    <w:uiPriority w:val="0"/>
    <w:rPr>
      <w:rFonts w:ascii="宋体" w:eastAsia="仿宋_GB2312" w:cs="宋体"/>
      <w:color w:val="000000"/>
      <w:sz w:val="24"/>
    </w:rPr>
  </w:style>
  <w:style w:type="paragraph" w:customStyle="1" w:styleId="272">
    <w:name w:val="标准正文格式"/>
    <w:basedOn w:val="1"/>
    <w:link w:val="271"/>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autoRedefine/>
    <w:qFormat/>
    <w:uiPriority w:val="0"/>
    <w:rPr>
      <w:rFonts w:ascii="Calibri" w:hAnsi="Calibri" w:eastAsia="宋体"/>
      <w:b/>
      <w:bCs/>
      <w:kern w:val="2"/>
      <w:sz w:val="32"/>
      <w:szCs w:val="32"/>
      <w:lang w:val="en-US" w:eastAsia="zh-CN" w:bidi="ar-SA"/>
    </w:rPr>
  </w:style>
  <w:style w:type="character" w:customStyle="1" w:styleId="274">
    <w:name w:val="Indent Normal Char"/>
    <w:link w:val="275"/>
    <w:autoRedefine/>
    <w:qFormat/>
    <w:uiPriority w:val="0"/>
  </w:style>
  <w:style w:type="paragraph" w:customStyle="1" w:styleId="275">
    <w:name w:val="Indent Normal"/>
    <w:basedOn w:val="1"/>
    <w:link w:val="274"/>
    <w:autoRedefine/>
    <w:qFormat/>
    <w:uiPriority w:val="0"/>
    <w:pPr>
      <w:ind w:firstLine="420"/>
    </w:pPr>
    <w:rPr>
      <w:rFonts w:asciiTheme="minorHAnsi" w:hAnsiTheme="minorHAnsi" w:eastAsiaTheme="minorEastAsia" w:cstheme="minorBidi"/>
    </w:rPr>
  </w:style>
  <w:style w:type="character" w:customStyle="1" w:styleId="276">
    <w:name w:val="line1"/>
    <w:autoRedefine/>
    <w:qFormat/>
    <w:uiPriority w:val="0"/>
    <w:rPr>
      <w:spacing w:val="360"/>
      <w:u w:val="none"/>
    </w:rPr>
  </w:style>
  <w:style w:type="character" w:customStyle="1" w:styleId="277">
    <w:name w:val="point_normal1"/>
    <w:autoRedefine/>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autoRedefine/>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7"/>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autoRedefine/>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autoRedefine/>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autoRedefine/>
    <w:qFormat/>
    <w:uiPriority w:val="0"/>
    <w:rPr>
      <w:rFonts w:ascii="Verdana" w:hAnsi="Verdana" w:eastAsia="宋体"/>
      <w:b/>
      <w:bCs/>
      <w:color w:val="4A82CA"/>
      <w:sz w:val="17"/>
      <w:szCs w:val="17"/>
      <w:lang w:val="en-US" w:eastAsia="zh-CN" w:bidi="ar-SA"/>
    </w:rPr>
  </w:style>
  <w:style w:type="character" w:customStyle="1" w:styleId="313">
    <w:name w:val="方案正文 Char"/>
    <w:link w:val="314"/>
    <w:autoRedefine/>
    <w:qFormat/>
    <w:uiPriority w:val="0"/>
    <w:rPr>
      <w:rFonts w:ascii="Calibri" w:hAnsi="Calibri" w:eastAsia="仿宋_GB2312"/>
      <w:sz w:val="32"/>
      <w:szCs w:val="24"/>
    </w:rPr>
  </w:style>
  <w:style w:type="paragraph" w:customStyle="1" w:styleId="314">
    <w:name w:val="方案正文"/>
    <w:basedOn w:val="1"/>
    <w:link w:val="313"/>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autoRedefine/>
    <w:qFormat/>
    <w:uiPriority w:val="0"/>
    <w:rPr>
      <w:rFonts w:ascii="Arial" w:hAnsi="Arial" w:eastAsia="黑体"/>
      <w:b/>
      <w:bCs/>
      <w:kern w:val="2"/>
      <w:sz w:val="32"/>
      <w:szCs w:val="32"/>
      <w:lang w:val="en-US" w:eastAsia="zh-CN" w:bidi="ar-SA"/>
    </w:rPr>
  </w:style>
  <w:style w:type="character" w:customStyle="1" w:styleId="316">
    <w:name w:val="标准正文格式 Char Char"/>
    <w:autoRedefine/>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autoRedefine/>
    <w:qFormat/>
    <w:uiPriority w:val="0"/>
    <w:rPr>
      <w:rFonts w:ascii="宋体" w:hAnsi="Courier New" w:eastAsia="宋体"/>
      <w:sz w:val="21"/>
      <w:lang w:val="en-US" w:eastAsia="zh-CN" w:bidi="ar-SA"/>
    </w:rPr>
  </w:style>
  <w:style w:type="character" w:customStyle="1" w:styleId="319">
    <w:name w:val="投标正文 Char"/>
    <w:link w:val="320"/>
    <w:autoRedefine/>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autoRedefine/>
    <w:qFormat/>
    <w:uiPriority w:val="0"/>
    <w:rPr>
      <w:rFonts w:eastAsia="楷体_GB2312"/>
      <w:kern w:val="2"/>
      <w:sz w:val="32"/>
      <w:lang w:val="en-US" w:eastAsia="zh-CN" w:bidi="ar-SA"/>
    </w:rPr>
  </w:style>
  <w:style w:type="character" w:customStyle="1" w:styleId="322">
    <w:name w:val="正文0缩进 Char"/>
    <w:link w:val="323"/>
    <w:autoRedefine/>
    <w:qFormat/>
    <w:uiPriority w:val="0"/>
    <w:rPr>
      <w:rFonts w:ascii="宋体" w:hAnsi="宋体"/>
      <w:sz w:val="24"/>
      <w:szCs w:val="24"/>
    </w:rPr>
  </w:style>
  <w:style w:type="paragraph" w:customStyle="1" w:styleId="323">
    <w:name w:val="正文0缩进"/>
    <w:basedOn w:val="1"/>
    <w:link w:val="322"/>
    <w:autoRedefine/>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autoRedefine/>
    <w:qFormat/>
    <w:uiPriority w:val="0"/>
    <w:rPr>
      <w:rFonts w:ascii="新宋体" w:hAnsi="新宋体" w:eastAsia="新宋体"/>
      <w:sz w:val="24"/>
      <w:szCs w:val="24"/>
    </w:rPr>
  </w:style>
  <w:style w:type="paragraph" w:customStyle="1" w:styleId="325">
    <w:name w:val="表格中文字"/>
    <w:basedOn w:val="1"/>
    <w:link w:val="324"/>
    <w:autoRedefine/>
    <w:qFormat/>
    <w:uiPriority w:val="0"/>
    <w:pPr>
      <w:spacing w:line="288" w:lineRule="auto"/>
    </w:pPr>
    <w:rPr>
      <w:rFonts w:ascii="新宋体" w:hAnsi="新宋体" w:eastAsia="新宋体" w:cstheme="minorBidi"/>
      <w:sz w:val="24"/>
      <w:szCs w:val="24"/>
    </w:rPr>
  </w:style>
  <w:style w:type="character" w:styleId="326">
    <w:name w:val="Placeholder Text"/>
    <w:autoRedefine/>
    <w:qFormat/>
    <w:uiPriority w:val="99"/>
    <w:rPr>
      <w:color w:val="808080"/>
    </w:rPr>
  </w:style>
  <w:style w:type="character" w:customStyle="1" w:styleId="32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autoRedefine/>
    <w:qFormat/>
    <w:uiPriority w:val="0"/>
    <w:rPr>
      <w:rFonts w:ascii="Calibri" w:hAnsi="Calibri" w:eastAsia="楷体_GB2312"/>
      <w:kern w:val="2"/>
      <w:sz w:val="32"/>
      <w:lang w:val="en-US" w:eastAsia="zh-CN" w:bidi="ar-SA"/>
    </w:rPr>
  </w:style>
  <w:style w:type="character" w:customStyle="1" w:styleId="329">
    <w:name w:val="viewdoctitle"/>
    <w:basedOn w:val="64"/>
    <w:autoRedefine/>
    <w:qFormat/>
    <w:uiPriority w:val="0"/>
  </w:style>
  <w:style w:type="character" w:customStyle="1" w:styleId="330">
    <w:name w:val="black10"/>
    <w:basedOn w:val="64"/>
    <w:autoRedefine/>
    <w:qFormat/>
    <w:uiPriority w:val="0"/>
  </w:style>
  <w:style w:type="character" w:customStyle="1" w:styleId="331">
    <w:name w:val="Char Char1211"/>
    <w:autoRedefine/>
    <w:qFormat/>
    <w:uiPriority w:val="0"/>
    <w:rPr>
      <w:rFonts w:ascii="宋体" w:hAnsi="Courier New" w:eastAsia="宋体" w:cs="Times New Roman"/>
      <w:spacing w:val="-4"/>
      <w:sz w:val="18"/>
      <w:szCs w:val="20"/>
    </w:rPr>
  </w:style>
  <w:style w:type="character" w:customStyle="1" w:styleId="332">
    <w:name w:val="段 Char Char"/>
    <w:link w:val="333"/>
    <w:autoRedefine/>
    <w:qFormat/>
    <w:uiPriority w:val="0"/>
    <w:rPr>
      <w:rFonts w:ascii="宋体" w:hAnsi="Times New Roman"/>
    </w:rPr>
  </w:style>
  <w:style w:type="paragraph" w:customStyle="1" w:styleId="333">
    <w:name w:val="段"/>
    <w:link w:val="332"/>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autoRedefine/>
    <w:qFormat/>
    <w:uiPriority w:val="0"/>
  </w:style>
  <w:style w:type="character" w:customStyle="1" w:styleId="335">
    <w:name w:val="ZJGIS-四级标题 Char"/>
    <w:link w:val="336"/>
    <w:autoRedefine/>
    <w:qFormat/>
    <w:uiPriority w:val="99"/>
    <w:rPr>
      <w:rFonts w:ascii="Arial" w:hAnsi="Arial" w:eastAsia="仿宋_GB2312"/>
      <w:b/>
      <w:bCs/>
      <w:sz w:val="28"/>
      <w:szCs w:val="28"/>
    </w:rPr>
  </w:style>
  <w:style w:type="paragraph" w:customStyle="1" w:styleId="336">
    <w:name w:val="ZJGIS-四级标题"/>
    <w:basedOn w:val="5"/>
    <w:link w:val="335"/>
    <w:autoRedefine/>
    <w:qFormat/>
    <w:uiPriority w:val="99"/>
    <w:pPr>
      <w:numPr>
        <w:ilvl w:val="3"/>
        <w:numId w:val="10"/>
      </w:numPr>
      <w:spacing w:before="120" w:after="120" w:line="240" w:lineRule="auto"/>
    </w:pPr>
    <w:rPr>
      <w:rFonts w:eastAsia="仿宋_GB2312" w:cstheme="minorBidi"/>
    </w:rPr>
  </w:style>
  <w:style w:type="character" w:customStyle="1" w:styleId="337">
    <w:name w:val="不明显参考1"/>
    <w:autoRedefine/>
    <w:qFormat/>
    <w:uiPriority w:val="31"/>
    <w:rPr>
      <w:smallCaps/>
      <w:color w:val="C0504D"/>
      <w:u w:val="single"/>
    </w:rPr>
  </w:style>
  <w:style w:type="character" w:customStyle="1" w:styleId="338">
    <w:name w:val="样式 样式 正文首行缩进 + 首行缩进:  2 字符 + 首行缩进:  2 字符 Char"/>
    <w:link w:val="339"/>
    <w:autoRedefine/>
    <w:qFormat/>
    <w:uiPriority w:val="0"/>
    <w:rPr>
      <w:rFonts w:cs="宋体"/>
      <w:sz w:val="24"/>
    </w:rPr>
  </w:style>
  <w:style w:type="paragraph" w:customStyle="1" w:styleId="339">
    <w:name w:val="样式 样式 正文首行缩进 + 首行缩进:  2 字符 + 首行缩进:  2 字符"/>
    <w:basedOn w:val="1"/>
    <w:link w:val="338"/>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autoRedefine/>
    <w:qFormat/>
    <w:uiPriority w:val="0"/>
    <w:rPr>
      <w:rFonts w:ascii="Arial" w:hAnsi="Arial" w:eastAsia="黑体"/>
      <w:b/>
      <w:kern w:val="2"/>
      <w:sz w:val="32"/>
      <w:lang w:val="en-US" w:eastAsia="zh-CN" w:bidi="ar-SA"/>
    </w:rPr>
  </w:style>
  <w:style w:type="character" w:customStyle="1" w:styleId="341">
    <w:name w:val="b titlename wangputoptitle"/>
    <w:basedOn w:val="64"/>
    <w:autoRedefine/>
    <w:qFormat/>
    <w:uiPriority w:val="0"/>
  </w:style>
  <w:style w:type="character" w:customStyle="1" w:styleId="342">
    <w:name w:val="tw4winExternal"/>
    <w:autoRedefine/>
    <w:qFormat/>
    <w:uiPriority w:val="0"/>
    <w:rPr>
      <w:rFonts w:ascii="Courier New" w:hAnsi="Courier New"/>
      <w:color w:val="808080"/>
    </w:rPr>
  </w:style>
  <w:style w:type="character" w:customStyle="1" w:styleId="343">
    <w:name w:val="glossaryitem"/>
    <w:autoRedefine/>
    <w:qFormat/>
    <w:uiPriority w:val="0"/>
    <w:rPr>
      <w:u w:val="none"/>
    </w:rPr>
  </w:style>
  <w:style w:type="character" w:customStyle="1" w:styleId="344">
    <w:name w:val="title_emph1"/>
    <w:autoRedefine/>
    <w:qFormat/>
    <w:uiPriority w:val="0"/>
    <w:rPr>
      <w:rFonts w:hint="default" w:ascii="Arial" w:hAnsi="Arial" w:cs="Arial"/>
      <w:b/>
      <w:bCs/>
      <w:sz w:val="18"/>
      <w:szCs w:val="18"/>
    </w:rPr>
  </w:style>
  <w:style w:type="character" w:customStyle="1" w:styleId="345">
    <w:name w:val="Char Char1"/>
    <w:autoRedefine/>
    <w:qFormat/>
    <w:uiPriority w:val="0"/>
    <w:rPr>
      <w:kern w:val="2"/>
      <w:sz w:val="18"/>
      <w:szCs w:val="18"/>
    </w:rPr>
  </w:style>
  <w:style w:type="character" w:customStyle="1" w:styleId="346">
    <w:name w:val="正文段落 Char"/>
    <w:link w:val="347"/>
    <w:autoRedefine/>
    <w:qFormat/>
    <w:uiPriority w:val="0"/>
    <w:rPr>
      <w:rFonts w:ascii="Times New Roman" w:hAnsi="Times New Roman"/>
      <w:sz w:val="24"/>
    </w:rPr>
  </w:style>
  <w:style w:type="paragraph" w:customStyle="1" w:styleId="347">
    <w:name w:val="正文段落"/>
    <w:basedOn w:val="1"/>
    <w:link w:val="346"/>
    <w:autoRedefine/>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autoRedefine/>
    <w:qFormat/>
    <w:uiPriority w:val="0"/>
  </w:style>
  <w:style w:type="character" w:customStyle="1" w:styleId="349">
    <w:name w:val="样式 首行缩进:  2 字符 Char"/>
    <w:link w:val="350"/>
    <w:autoRedefine/>
    <w:qFormat/>
    <w:uiPriority w:val="99"/>
    <w:rPr>
      <w:rFonts w:ascii="宋体" w:hAnsi="宋体"/>
      <w:bCs/>
      <w:color w:val="000000"/>
      <w:sz w:val="24"/>
      <w:szCs w:val="24"/>
    </w:rPr>
  </w:style>
  <w:style w:type="paragraph" w:customStyle="1" w:styleId="350">
    <w:name w:val="样式 首行缩进:  2 字符"/>
    <w:basedOn w:val="1"/>
    <w:link w:val="349"/>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autoRedefine/>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autoRedefine/>
    <w:qFormat/>
    <w:uiPriority w:val="0"/>
    <w:rPr>
      <w:rFonts w:ascii="Arial" w:hAnsi="Arial" w:eastAsia="宋体"/>
      <w:sz w:val="24"/>
      <w:szCs w:val="24"/>
    </w:rPr>
  </w:style>
  <w:style w:type="paragraph" w:customStyle="1" w:styleId="353">
    <w:name w:val="大汉方案正文 Char"/>
    <w:basedOn w:val="1"/>
    <w:link w:val="352"/>
    <w:autoRedefine/>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autoRedefine/>
    <w:qFormat/>
    <w:uiPriority w:val="0"/>
    <w:rPr>
      <w:rFonts w:ascii="Times New Roman" w:hAnsi="Times New Roman" w:eastAsia="仿宋_GB2312"/>
      <w:szCs w:val="21"/>
    </w:rPr>
  </w:style>
  <w:style w:type="paragraph" w:customStyle="1" w:styleId="355">
    <w:name w:val="表格正文"/>
    <w:basedOn w:val="1"/>
    <w:link w:val="354"/>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autoRedefine/>
    <w:qFormat/>
    <w:uiPriority w:val="0"/>
    <w:rPr>
      <w:rFonts w:eastAsia="宋体" w:cs="宋体"/>
      <w:sz w:val="24"/>
    </w:rPr>
  </w:style>
  <w:style w:type="paragraph" w:customStyle="1" w:styleId="357">
    <w:name w:val="正文标准样式ty"/>
    <w:basedOn w:val="1"/>
    <w:link w:val="356"/>
    <w:autoRedefine/>
    <w:qFormat/>
    <w:uiPriority w:val="0"/>
    <w:pPr>
      <w:spacing w:line="360" w:lineRule="auto"/>
      <w:ind w:firstLine="480" w:firstLineChars="200"/>
    </w:pPr>
    <w:rPr>
      <w:rFonts w:cs="宋体" w:asciiTheme="minorHAnsi" w:hAnsiTheme="minorHAnsi"/>
      <w:sz w:val="24"/>
    </w:rPr>
  </w:style>
  <w:style w:type="character" w:customStyle="1" w:styleId="358">
    <w:name w:val="Char Char13"/>
    <w:autoRedefine/>
    <w:qFormat/>
    <w:uiPriority w:val="0"/>
    <w:rPr>
      <w:rFonts w:ascii="Calibri" w:hAnsi="Calibri" w:eastAsia="宋体" w:cs="Times New Roman"/>
      <w:sz w:val="18"/>
      <w:szCs w:val="18"/>
    </w:rPr>
  </w:style>
  <w:style w:type="character" w:customStyle="1" w:styleId="359">
    <w:name w:val="Char Char711"/>
    <w:autoRedefine/>
    <w:qFormat/>
    <w:uiPriority w:val="0"/>
    <w:rPr>
      <w:rFonts w:eastAsia="宋体"/>
      <w:b/>
      <w:kern w:val="2"/>
      <w:sz w:val="32"/>
      <w:lang w:bidi="ar-SA"/>
    </w:rPr>
  </w:style>
  <w:style w:type="character" w:customStyle="1" w:styleId="360">
    <w:name w:val="Char Char911"/>
    <w:autoRedefine/>
    <w:qFormat/>
    <w:uiPriority w:val="0"/>
    <w:rPr>
      <w:rFonts w:eastAsia="宋体"/>
      <w:b/>
      <w:kern w:val="44"/>
      <w:sz w:val="44"/>
      <w:lang w:bidi="ar-SA"/>
    </w:rPr>
  </w:style>
  <w:style w:type="character" w:customStyle="1" w:styleId="361">
    <w:name w:val="吉奥表格正文 Char"/>
    <w:link w:val="362"/>
    <w:autoRedefine/>
    <w:qFormat/>
    <w:uiPriority w:val="0"/>
    <w:rPr>
      <w:rFonts w:ascii="Times New Roman" w:hAnsi="Times New Roman" w:eastAsia="仿宋_GB2312"/>
      <w:szCs w:val="21"/>
    </w:rPr>
  </w:style>
  <w:style w:type="paragraph" w:customStyle="1" w:styleId="362">
    <w:name w:val="吉奥表格正文"/>
    <w:basedOn w:val="1"/>
    <w:link w:val="361"/>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autoRedefine/>
    <w:qFormat/>
    <w:locked/>
    <w:uiPriority w:val="0"/>
    <w:rPr>
      <w:rFonts w:ascii="宋体" w:hAnsi="宋体" w:cs="Arial"/>
      <w:lang w:eastAsia="en-US"/>
    </w:rPr>
  </w:style>
  <w:style w:type="paragraph" w:customStyle="1" w:styleId="364">
    <w:name w:val="+SymcPara"/>
    <w:link w:val="363"/>
    <w:autoRedefine/>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autoRedefine/>
    <w:qFormat/>
    <w:uiPriority w:val="0"/>
    <w:rPr>
      <w:rFonts w:ascii="宋体" w:hAnsi="宋体" w:eastAsia="仿宋_GB2312"/>
      <w:sz w:val="24"/>
      <w:lang w:val="en-US" w:eastAsia="zh-CN" w:bidi="ar-SA"/>
    </w:rPr>
  </w:style>
  <w:style w:type="character" w:customStyle="1" w:styleId="366">
    <w:name w:val="7.表小四 Char Char"/>
    <w:autoRedefine/>
    <w:qFormat/>
    <w:uiPriority w:val="0"/>
    <w:rPr>
      <w:rFonts w:ascii="宋体" w:hAnsi="宋体" w:eastAsia="宋体"/>
      <w:kern w:val="2"/>
      <w:sz w:val="24"/>
      <w:szCs w:val="24"/>
      <w:lang w:val="en-US" w:eastAsia="zh-CN" w:bidi="ar-SA"/>
    </w:rPr>
  </w:style>
  <w:style w:type="character" w:customStyle="1" w:styleId="367">
    <w:name w:val="ca-16"/>
    <w:basedOn w:val="64"/>
    <w:autoRedefine/>
    <w:qFormat/>
    <w:uiPriority w:val="0"/>
  </w:style>
  <w:style w:type="character" w:customStyle="1" w:styleId="368">
    <w:name w:val="正文（缩进） Char"/>
    <w:link w:val="369"/>
    <w:autoRedefine/>
    <w:qFormat/>
    <w:uiPriority w:val="0"/>
    <w:rPr>
      <w:sz w:val="24"/>
      <w:szCs w:val="24"/>
    </w:rPr>
  </w:style>
  <w:style w:type="paragraph" w:customStyle="1" w:styleId="369">
    <w:name w:val="正文（缩进）"/>
    <w:basedOn w:val="1"/>
    <w:link w:val="368"/>
    <w:autoRedefine/>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autoRedefine/>
    <w:qFormat/>
    <w:uiPriority w:val="0"/>
    <w:rPr>
      <w:rFonts w:ascii="仿宋_GB2312" w:hAnsi="仿宋" w:eastAsia="仿宋_GB2312"/>
      <w:sz w:val="30"/>
      <w:szCs w:val="30"/>
    </w:rPr>
  </w:style>
  <w:style w:type="paragraph" w:customStyle="1" w:styleId="371">
    <w:name w:val="文档正文1"/>
    <w:basedOn w:val="1"/>
    <w:link w:val="370"/>
    <w:autoRedefine/>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autoRedefine/>
    <w:qFormat/>
    <w:uiPriority w:val="0"/>
    <w:rPr>
      <w:rFonts w:ascii="Calibri" w:hAnsi="Calibri" w:eastAsia="宋体" w:cs="Times New Roman"/>
      <w:szCs w:val="20"/>
    </w:rPr>
  </w:style>
  <w:style w:type="character" w:customStyle="1" w:styleId="373">
    <w:name w:val="Indent Normal Char Char"/>
    <w:autoRedefine/>
    <w:qFormat/>
    <w:uiPriority w:val="0"/>
    <w:rPr>
      <w:kern w:val="2"/>
      <w:sz w:val="21"/>
      <w:lang w:bidi="ar-SA"/>
    </w:rPr>
  </w:style>
  <w:style w:type="character" w:customStyle="1" w:styleId="374">
    <w:name w:val="标题 4 Char1"/>
    <w:autoRedefine/>
    <w:qFormat/>
    <w:uiPriority w:val="0"/>
    <w:rPr>
      <w:rFonts w:ascii="Cambria" w:hAnsi="Cambria" w:eastAsia="宋体" w:cs="Times New Roman"/>
      <w:b/>
      <w:bCs/>
      <w:kern w:val="2"/>
      <w:sz w:val="28"/>
      <w:szCs w:val="28"/>
    </w:rPr>
  </w:style>
  <w:style w:type="character" w:customStyle="1" w:styleId="375">
    <w:name w:val="列出段落 Char Char"/>
    <w:autoRedefine/>
    <w:qFormat/>
    <w:uiPriority w:val="0"/>
    <w:rPr>
      <w:rFonts w:ascii="Calibri" w:hAnsi="Calibri" w:eastAsia="宋体"/>
      <w:kern w:val="2"/>
      <w:sz w:val="21"/>
      <w:szCs w:val="24"/>
      <w:lang w:val="en-US" w:eastAsia="zh-CN" w:bidi="ar-SA"/>
    </w:rPr>
  </w:style>
  <w:style w:type="character" w:customStyle="1" w:styleId="376">
    <w:name w:val="mark8"/>
    <w:autoRedefine/>
    <w:qFormat/>
    <w:uiPriority w:val="0"/>
    <w:rPr>
      <w:b/>
      <w:bCs/>
      <w:sz w:val="21"/>
      <w:szCs w:val="21"/>
    </w:rPr>
  </w:style>
  <w:style w:type="character" w:customStyle="1" w:styleId="377">
    <w:name w:val="paragraph1 Char"/>
    <w:link w:val="378"/>
    <w:autoRedefine/>
    <w:qFormat/>
    <w:uiPriority w:val="0"/>
    <w:rPr>
      <w:rFonts w:eastAsia="楷体_GB2312"/>
      <w:sz w:val="24"/>
    </w:rPr>
  </w:style>
  <w:style w:type="paragraph" w:customStyle="1" w:styleId="378">
    <w:name w:val="paragraph1"/>
    <w:basedOn w:val="1"/>
    <w:link w:val="377"/>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autoRedefine/>
    <w:qFormat/>
    <w:uiPriority w:val="99"/>
    <w:rPr>
      <w:rFonts w:ascii="Calibri" w:hAnsi="Calibri" w:eastAsia="宋体" w:cs="Times New Roman"/>
      <w:sz w:val="18"/>
      <w:szCs w:val="18"/>
    </w:rPr>
  </w:style>
  <w:style w:type="character" w:customStyle="1" w:styleId="380">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381">
    <w:name w:val="mark"/>
    <w:autoRedefine/>
    <w:qFormat/>
    <w:uiPriority w:val="0"/>
    <w:rPr>
      <w:rFonts w:cs="Times New Roman"/>
    </w:rPr>
  </w:style>
  <w:style w:type="character" w:customStyle="1" w:styleId="382">
    <w:name w:val="Char Char1311"/>
    <w:autoRedefine/>
    <w:qFormat/>
    <w:uiPriority w:val="0"/>
    <w:rPr>
      <w:rFonts w:ascii="Calibri" w:hAnsi="Calibri" w:eastAsia="宋体" w:cs="Times New Roman"/>
      <w:sz w:val="18"/>
      <w:szCs w:val="18"/>
    </w:rPr>
  </w:style>
  <w:style w:type="character" w:customStyle="1" w:styleId="383">
    <w:name w:val="Char2 Char"/>
    <w:autoRedefine/>
    <w:qFormat/>
    <w:uiPriority w:val="0"/>
    <w:rPr>
      <w:rFonts w:ascii="Verdana" w:hAnsi="宋体" w:eastAsia="宋体" w:cs="Times New Roman"/>
      <w:sz w:val="28"/>
      <w:szCs w:val="28"/>
    </w:rPr>
  </w:style>
  <w:style w:type="character" w:customStyle="1" w:styleId="384">
    <w:name w:val="正文 首行缩进:  2 字符 Char"/>
    <w:link w:val="385"/>
    <w:autoRedefine/>
    <w:qFormat/>
    <w:uiPriority w:val="0"/>
    <w:rPr>
      <w:rFonts w:cs="宋体"/>
      <w:sz w:val="24"/>
    </w:rPr>
  </w:style>
  <w:style w:type="paragraph" w:customStyle="1" w:styleId="385">
    <w:name w:val="正文 首行缩进:  2 字符"/>
    <w:basedOn w:val="1"/>
    <w:next w:val="1"/>
    <w:link w:val="384"/>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autoRedefine/>
    <w:qFormat/>
    <w:uiPriority w:val="0"/>
    <w:rPr>
      <w:color w:val="999999"/>
    </w:rPr>
  </w:style>
  <w:style w:type="character" w:customStyle="1" w:styleId="387">
    <w:name w:val="Char Char411"/>
    <w:autoRedefine/>
    <w:qFormat/>
    <w:uiPriority w:val="0"/>
    <w:rPr>
      <w:rFonts w:ascii="Calibri" w:hAnsi="Calibri" w:eastAsia="宋体"/>
      <w:sz w:val="18"/>
      <w:szCs w:val="18"/>
      <w:lang w:bidi="ar-SA"/>
    </w:rPr>
  </w:style>
  <w:style w:type="character" w:customStyle="1" w:styleId="388">
    <w:name w:val="华电 正文 Char Char"/>
    <w:autoRedefine/>
    <w:qFormat/>
    <w:uiPriority w:val="0"/>
    <w:rPr>
      <w:rFonts w:ascii="宋体" w:hAnsi="宋体" w:eastAsia="宋体"/>
      <w:sz w:val="22"/>
      <w:lang w:bidi="ar-SA"/>
    </w:rPr>
  </w:style>
  <w:style w:type="character" w:customStyle="1" w:styleId="389">
    <w:name w:val="Char Char"/>
    <w:autoRedefine/>
    <w:qFormat/>
    <w:uiPriority w:val="0"/>
    <w:rPr>
      <w:rFonts w:ascii="Arial" w:hAnsi="Arial" w:eastAsia="黑体"/>
      <w:b/>
      <w:bCs/>
      <w:kern w:val="2"/>
      <w:sz w:val="28"/>
      <w:szCs w:val="28"/>
      <w:lang w:val="en-US" w:eastAsia="zh-CN" w:bidi="ar-SA"/>
    </w:rPr>
  </w:style>
  <w:style w:type="paragraph" w:customStyle="1" w:styleId="390">
    <w:name w:val="表文字"/>
    <w:autoRedefine/>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autoRedefine/>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autoRedefine/>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autoRedefine/>
    <w:qFormat/>
    <w:uiPriority w:val="99"/>
    <w:pPr>
      <w:ind w:firstLine="480" w:firstLineChars="200"/>
    </w:pPr>
  </w:style>
  <w:style w:type="paragraph" w:customStyle="1" w:styleId="397">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autoRedefine/>
    <w:qFormat/>
    <w:uiPriority w:val="99"/>
    <w:pPr>
      <w:ind w:firstLine="420" w:firstLineChars="200"/>
    </w:pPr>
  </w:style>
  <w:style w:type="paragraph" w:customStyle="1" w:styleId="400">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2">
    <w:name w:val="xl76"/>
    <w:basedOn w:val="1"/>
    <w:autoRedefine/>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autoRedefine/>
    <w:qFormat/>
    <w:uiPriority w:val="99"/>
    <w:pPr>
      <w:spacing w:line="360" w:lineRule="auto"/>
    </w:pPr>
    <w:rPr>
      <w:rFonts w:ascii="Times New Roman" w:hAnsi="Times New Roman"/>
      <w:b/>
      <w:i/>
      <w:sz w:val="24"/>
      <w:szCs w:val="24"/>
      <w:u w:val="single"/>
    </w:rPr>
  </w:style>
  <w:style w:type="paragraph" w:customStyle="1" w:styleId="405">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autoRedefine/>
    <w:qFormat/>
    <w:uiPriority w:val="99"/>
    <w:pPr>
      <w:spacing w:after="120"/>
    </w:pPr>
    <w:rPr>
      <w:rFonts w:ascii="Times New Roman" w:hAnsi="Times New Roman"/>
      <w:sz w:val="28"/>
      <w:szCs w:val="24"/>
    </w:rPr>
  </w:style>
  <w:style w:type="paragraph" w:customStyle="1" w:styleId="407">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autoRedefine/>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autoRedefine/>
    <w:qFormat/>
    <w:uiPriority w:val="99"/>
    <w:pPr>
      <w:spacing w:line="360" w:lineRule="auto"/>
      <w:jc w:val="center"/>
    </w:pPr>
    <w:rPr>
      <w:rFonts w:ascii="宋体" w:hAnsi="宋体"/>
      <w:b/>
      <w:sz w:val="24"/>
      <w:szCs w:val="24"/>
    </w:rPr>
  </w:style>
  <w:style w:type="paragraph" w:customStyle="1" w:styleId="412">
    <w:name w:val="Char"/>
    <w:basedOn w:val="1"/>
    <w:autoRedefine/>
    <w:qFormat/>
    <w:uiPriority w:val="99"/>
    <w:rPr>
      <w:rFonts w:ascii="仿宋_GB2312" w:hAnsi="Times New Roman" w:eastAsia="仿宋_GB2312"/>
      <w:b/>
      <w:sz w:val="32"/>
      <w:szCs w:val="32"/>
    </w:rPr>
  </w:style>
  <w:style w:type="paragraph" w:customStyle="1" w:styleId="413">
    <w:name w:val="font11"/>
    <w:basedOn w:val="1"/>
    <w:autoRedefine/>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autoRedefine/>
    <w:qFormat/>
    <w:uiPriority w:val="99"/>
    <w:pPr>
      <w:adjustRightInd w:val="0"/>
      <w:snapToGrid w:val="0"/>
      <w:jc w:val="center"/>
    </w:pPr>
    <w:rPr>
      <w:rFonts w:ascii="宋体" w:hAnsi="宋体"/>
      <w:szCs w:val="21"/>
    </w:rPr>
  </w:style>
  <w:style w:type="paragraph" w:customStyle="1" w:styleId="416">
    <w:name w:val="正文浙江中烟安全"/>
    <w:basedOn w:val="1"/>
    <w:autoRedefine/>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autoRedefine/>
    <w:qFormat/>
    <w:uiPriority w:val="99"/>
    <w:pPr>
      <w:ind w:firstLine="480" w:firstLineChars="200"/>
    </w:pPr>
  </w:style>
  <w:style w:type="paragraph" w:customStyle="1" w:styleId="420">
    <w:name w:val="样式 正文文本缩进 + 仿宋_GB2312 小四 首行缩进:  0 厘米 行距: 1.5 倍行距"/>
    <w:basedOn w:val="25"/>
    <w:autoRedefine/>
    <w:qFormat/>
    <w:uiPriority w:val="99"/>
    <w:pPr>
      <w:spacing w:line="360" w:lineRule="auto"/>
      <w:ind w:firstLine="0"/>
    </w:pPr>
    <w:rPr>
      <w:rFonts w:ascii="仿宋_GB2312" w:hAnsi="Times New Roman" w:eastAsia="新宋体"/>
      <w:spacing w:val="0"/>
      <w:sz w:val="24"/>
    </w:rPr>
  </w:style>
  <w:style w:type="paragraph" w:customStyle="1" w:styleId="421">
    <w:name w:val="xl86"/>
    <w:basedOn w:val="1"/>
    <w:autoRedefine/>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autoRedefine/>
    <w:qFormat/>
    <w:uiPriority w:val="99"/>
    <w:pPr>
      <w:ind w:firstLine="562"/>
    </w:pPr>
    <w:rPr>
      <w:rFonts w:ascii="仿宋_GB2312" w:eastAsia="仿宋_GB2312"/>
      <w:b/>
      <w:sz w:val="28"/>
      <w:szCs w:val="28"/>
    </w:rPr>
  </w:style>
  <w:style w:type="paragraph" w:customStyle="1" w:styleId="423">
    <w:name w:val="图名"/>
    <w:basedOn w:val="18"/>
    <w:autoRedefine/>
    <w:qFormat/>
    <w:uiPriority w:val="99"/>
    <w:pPr>
      <w:spacing w:beforeLines="50" w:afterLines="50"/>
      <w:jc w:val="center"/>
    </w:pPr>
    <w:rPr>
      <w:rFonts w:ascii="Times New Roman" w:hAnsi="Times New Roman"/>
      <w:kern w:val="0"/>
      <w:sz w:val="24"/>
      <w:szCs w:val="24"/>
    </w:rPr>
  </w:style>
  <w:style w:type="paragraph" w:styleId="424">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autoRedefine/>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autoRedefine/>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autoRedefine/>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autoRedefine/>
    <w:qFormat/>
    <w:uiPriority w:val="99"/>
    <w:pPr>
      <w:spacing w:beforeLines="50" w:afterLines="50"/>
      <w:jc w:val="center"/>
    </w:pPr>
    <w:rPr>
      <w:rFonts w:ascii="黑体"/>
      <w:kern w:val="0"/>
      <w:sz w:val="24"/>
      <w:szCs w:val="24"/>
    </w:rPr>
  </w:style>
  <w:style w:type="paragraph" w:customStyle="1" w:styleId="434">
    <w:name w:val="Char Char Char"/>
    <w:basedOn w:val="1"/>
    <w:autoRedefine/>
    <w:qFormat/>
    <w:uiPriority w:val="99"/>
    <w:rPr>
      <w:rFonts w:ascii="Tahoma" w:hAnsi="Tahoma"/>
      <w:sz w:val="24"/>
      <w:szCs w:val="20"/>
    </w:rPr>
  </w:style>
  <w:style w:type="paragraph" w:customStyle="1" w:styleId="435">
    <w:name w:val="样式 样式 标题 4 + 段后: 0.5 行1"/>
    <w:basedOn w:val="436"/>
    <w:next w:val="36"/>
    <w:autoRedefine/>
    <w:qFormat/>
    <w:uiPriority w:val="99"/>
    <w:pPr>
      <w:numPr>
        <w:ilvl w:val="1"/>
        <w:numId w:val="5"/>
      </w:numPr>
      <w:tabs>
        <w:tab w:val="left" w:pos="2040"/>
      </w:tabs>
      <w:spacing w:after="120"/>
      <w:ind w:left="0" w:firstLine="0"/>
    </w:pPr>
  </w:style>
  <w:style w:type="paragraph" w:customStyle="1" w:styleId="436">
    <w:name w:val="样式 标题 4 + 段后: 0.5 行"/>
    <w:basedOn w:val="5"/>
    <w:autoRedefine/>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autoRedefine/>
    <w:qFormat/>
    <w:uiPriority w:val="99"/>
    <w:pPr>
      <w:ind w:left="1890" w:leftChars="900"/>
    </w:pPr>
    <w:rPr>
      <w:rFonts w:ascii="Times New Roman" w:hAnsi="Times New Roman"/>
      <w:sz w:val="24"/>
      <w:szCs w:val="24"/>
    </w:rPr>
  </w:style>
  <w:style w:type="paragraph" w:customStyle="1" w:styleId="440">
    <w:name w:val="linyang-正文"/>
    <w:basedOn w:val="1"/>
    <w:autoRedefine/>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autoRedefine/>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autoRedefine/>
    <w:qFormat/>
    <w:uiPriority w:val="99"/>
    <w:pPr>
      <w:shd w:val="clear" w:color="auto" w:fill="000080"/>
    </w:pPr>
    <w:rPr>
      <w:rFonts w:ascii="Tahoma" w:hAnsi="Tahoma" w:cs="Tahoma"/>
      <w:kern w:val="0"/>
      <w:szCs w:val="24"/>
    </w:rPr>
  </w:style>
  <w:style w:type="paragraph" w:customStyle="1" w:styleId="444">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autoRedefine/>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autoRedefine/>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autoRedefine/>
    <w:qFormat/>
    <w:uiPriority w:val="99"/>
    <w:pPr>
      <w:spacing w:after="120" w:line="360" w:lineRule="auto"/>
      <w:jc w:val="center"/>
    </w:pPr>
    <w:rPr>
      <w:rFonts w:ascii="Times New Roman" w:hAnsi="Times New Roman"/>
      <w:szCs w:val="21"/>
    </w:rPr>
  </w:style>
  <w:style w:type="paragraph" w:customStyle="1" w:styleId="452">
    <w:name w:val="P2"/>
    <w:basedOn w:val="1"/>
    <w:autoRedefine/>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autoRedefine/>
    <w:qFormat/>
    <w:uiPriority w:val="99"/>
    <w:pPr>
      <w:spacing w:beforeLines="0" w:afterLines="0" w:line="360" w:lineRule="auto"/>
    </w:pPr>
    <w:rPr>
      <w:b/>
      <w:sz w:val="30"/>
      <w:szCs w:val="20"/>
    </w:rPr>
  </w:style>
  <w:style w:type="paragraph" w:customStyle="1" w:styleId="455">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autoRedefine/>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autoRedefine/>
    <w:qFormat/>
    <w:uiPriority w:val="99"/>
    <w:rPr>
      <w:rFonts w:ascii="Arial" w:hAnsi="Arial"/>
      <w:sz w:val="30"/>
    </w:rPr>
  </w:style>
  <w:style w:type="paragraph" w:customStyle="1" w:styleId="458">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autoRedefine/>
    <w:qFormat/>
    <w:uiPriority w:val="99"/>
    <w:pPr>
      <w:ind w:firstLine="420"/>
    </w:pPr>
    <w:rPr>
      <w:rFonts w:ascii="Times New Roman" w:hAnsi="Times New Roman"/>
      <w:szCs w:val="20"/>
    </w:rPr>
  </w:style>
  <w:style w:type="paragraph" w:customStyle="1" w:styleId="469">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1">
    <w:name w:val="Char9"/>
    <w:basedOn w:val="1"/>
    <w:autoRedefine/>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autoRedefine/>
    <w:qFormat/>
    <w:uiPriority w:val="99"/>
    <w:rPr>
      <w:b/>
      <w:bCs/>
      <w:kern w:val="0"/>
      <w:sz w:val="20"/>
      <w:szCs w:val="20"/>
    </w:rPr>
  </w:style>
  <w:style w:type="paragraph" w:customStyle="1" w:styleId="474">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autoRedefine/>
    <w:qFormat/>
    <w:uiPriority w:val="99"/>
    <w:pPr>
      <w:tabs>
        <w:tab w:val="left" w:pos="1140"/>
      </w:tabs>
      <w:spacing w:after="120"/>
    </w:pPr>
    <w:rPr>
      <w:bCs/>
    </w:rPr>
  </w:style>
  <w:style w:type="paragraph" w:customStyle="1" w:styleId="476">
    <w:name w:val="样式 标题1"/>
    <w:basedOn w:val="477"/>
    <w:next w:val="478"/>
    <w:autoRedefine/>
    <w:qFormat/>
    <w:uiPriority w:val="99"/>
    <w:pPr>
      <w:tabs>
        <w:tab w:val="left" w:pos="1140"/>
      </w:tabs>
      <w:spacing w:after="50"/>
      <w:ind w:left="1140" w:hanging="720"/>
    </w:pPr>
    <w:rPr>
      <w:bCs w:val="0"/>
      <w:sz w:val="32"/>
    </w:rPr>
  </w:style>
  <w:style w:type="paragraph" w:customStyle="1" w:styleId="477">
    <w:name w:val="样式 标题 1 + 段后: 0.5 行"/>
    <w:basedOn w:val="2"/>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99"/>
    <w:pPr>
      <w:spacing w:after="120"/>
    </w:pPr>
  </w:style>
  <w:style w:type="paragraph" w:customStyle="1" w:styleId="479">
    <w:name w:val="样式 标题 2"/>
    <w:basedOn w:val="3"/>
    <w:next w:val="480"/>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autoRedefine/>
    <w:qFormat/>
    <w:uiPriority w:val="0"/>
    <w:pPr>
      <w:spacing w:after="120"/>
    </w:pPr>
  </w:style>
  <w:style w:type="paragraph" w:customStyle="1" w:styleId="481">
    <w:name w:val="样式 标题 3"/>
    <w:basedOn w:val="4"/>
    <w:next w:val="482"/>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autoRedefine/>
    <w:qFormat/>
    <w:uiPriority w:val="99"/>
    <w:pPr>
      <w:numPr>
        <w:numId w:val="0"/>
      </w:numPr>
      <w:tabs>
        <w:tab w:val="left" w:pos="864"/>
      </w:tabs>
      <w:spacing w:after="120"/>
      <w:ind w:left="864" w:hanging="864"/>
    </w:pPr>
  </w:style>
  <w:style w:type="paragraph" w:customStyle="1" w:styleId="485">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autoRedefine/>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autoRedefine/>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autoRedefine/>
    <w:qFormat/>
    <w:uiPriority w:val="99"/>
    <w:pPr>
      <w:spacing w:before="80" w:afterLines="50"/>
    </w:pPr>
    <w:rPr>
      <w:rFonts w:ascii="宋体" w:hAnsi="Times New Roman"/>
      <w:snapToGrid w:val="0"/>
      <w:kern w:val="0"/>
      <w:szCs w:val="20"/>
    </w:rPr>
  </w:style>
  <w:style w:type="paragraph" w:customStyle="1" w:styleId="490">
    <w:name w:val="4"/>
    <w:basedOn w:val="1"/>
    <w:autoRedefine/>
    <w:qFormat/>
    <w:uiPriority w:val="99"/>
  </w:style>
  <w:style w:type="paragraph" w:customStyle="1" w:styleId="491">
    <w:name w:val="ZJGIS-一级标题"/>
    <w:basedOn w:val="2"/>
    <w:autoRedefine/>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autoRedefine/>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autoRedefine/>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autoRedefine/>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autoRedefine/>
    <w:qFormat/>
    <w:uiPriority w:val="99"/>
    <w:pPr>
      <w:tabs>
        <w:tab w:val="left" w:pos="432"/>
      </w:tabs>
      <w:ind w:left="432" w:hanging="432"/>
    </w:pPr>
    <w:rPr>
      <w:rFonts w:ascii="Times New Roman" w:hAnsi="Times New Roman"/>
      <w:sz w:val="24"/>
      <w:szCs w:val="24"/>
    </w:rPr>
  </w:style>
  <w:style w:type="paragraph" w:customStyle="1" w:styleId="500">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autoRedefine/>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autoRedefine/>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autoRedefine/>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autoRedefine/>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autoRedefine/>
    <w:qFormat/>
    <w:uiPriority w:val="99"/>
    <w:rPr>
      <w:rFonts w:ascii="仿宋_GB2312" w:hAnsi="Times New Roman" w:eastAsia="仿宋_GB2312"/>
      <w:b/>
      <w:sz w:val="32"/>
      <w:szCs w:val="32"/>
    </w:rPr>
  </w:style>
  <w:style w:type="paragraph" w:customStyle="1" w:styleId="519">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autoRedefine/>
    <w:qFormat/>
    <w:uiPriority w:val="99"/>
    <w:pPr>
      <w:spacing w:after="60"/>
      <w:ind w:left="420" w:firstLine="200" w:firstLineChars="200"/>
    </w:pPr>
    <w:rPr>
      <w:rFonts w:ascii="Times New Roman" w:hAnsi="Times New Roman"/>
      <w:szCs w:val="24"/>
    </w:rPr>
  </w:style>
  <w:style w:type="paragraph" w:customStyle="1" w:styleId="521">
    <w:name w:val="xl114"/>
    <w:basedOn w:val="1"/>
    <w:autoRedefine/>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99"/>
    <w:pPr>
      <w:numPr>
        <w:ilvl w:val="0"/>
        <w:numId w:val="14"/>
      </w:numPr>
      <w:spacing w:line="400" w:lineRule="exact"/>
    </w:pPr>
    <w:rPr>
      <w:rFonts w:ascii="Arial" w:hAnsi="Arial"/>
      <w:szCs w:val="24"/>
    </w:rPr>
  </w:style>
  <w:style w:type="paragraph" w:customStyle="1" w:styleId="523">
    <w:name w:val="GP有序编号2级"/>
    <w:basedOn w:val="1"/>
    <w:autoRedefine/>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99"/>
    <w:pPr>
      <w:spacing w:after="120"/>
    </w:pPr>
  </w:style>
  <w:style w:type="paragraph" w:customStyle="1" w:styleId="526">
    <w:name w:val="标题 3Chapter X.X.X. + 段后: 0.5 行 + 段后: 0.5 行 + 段后: 0.5 行1"/>
    <w:basedOn w:val="527"/>
    <w:autoRedefine/>
    <w:qFormat/>
    <w:uiPriority w:val="99"/>
  </w:style>
  <w:style w:type="paragraph" w:customStyle="1" w:styleId="527">
    <w:name w:val="样式 样式 标题 3Chapter X.X.X. + 段后: 0.5 行 + 段后: 0.5 行"/>
    <w:basedOn w:val="528"/>
    <w:autoRedefine/>
    <w:qFormat/>
    <w:uiPriority w:val="99"/>
  </w:style>
  <w:style w:type="paragraph" w:customStyle="1" w:styleId="528">
    <w:name w:val="样式 标题 3Chapter X.X.X. + 段后: 0.5 行"/>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autoRedefine/>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99"/>
    <w:pPr>
      <w:tabs>
        <w:tab w:val="left" w:pos="720"/>
      </w:tabs>
      <w:ind w:hanging="720"/>
    </w:pPr>
  </w:style>
  <w:style w:type="paragraph" w:customStyle="1" w:styleId="535">
    <w:name w:val="S4-L15"/>
    <w:basedOn w:val="1"/>
    <w:autoRedefine/>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autoRedefine/>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99"/>
    <w:pPr>
      <w:tabs>
        <w:tab w:val="left" w:pos="432"/>
      </w:tabs>
      <w:ind w:left="432" w:hanging="432"/>
    </w:pPr>
    <w:rPr>
      <w:rFonts w:ascii="Tahoma" w:hAnsi="Tahoma"/>
      <w:sz w:val="24"/>
      <w:szCs w:val="20"/>
    </w:rPr>
  </w:style>
  <w:style w:type="paragraph" w:customStyle="1" w:styleId="542">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autoRedefine/>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autoRedefine/>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7">
    <w:name w:val="Char3"/>
    <w:basedOn w:val="1"/>
    <w:autoRedefine/>
    <w:qFormat/>
    <w:uiPriority w:val="99"/>
    <w:rPr>
      <w:rFonts w:ascii="仿宋_GB2312" w:hAnsi="Times New Roman" w:eastAsia="仿宋_GB2312"/>
      <w:b/>
      <w:sz w:val="32"/>
      <w:szCs w:val="20"/>
    </w:rPr>
  </w:style>
  <w:style w:type="paragraph" w:customStyle="1" w:styleId="548">
    <w:name w:val="此正文"/>
    <w:basedOn w:val="1"/>
    <w:autoRedefine/>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99"/>
    <w:pPr>
      <w:tabs>
        <w:tab w:val="left" w:pos="360"/>
      </w:tabs>
      <w:ind w:firstLine="420" w:firstLineChars="150"/>
    </w:pPr>
    <w:rPr>
      <w:rFonts w:ascii="Times New Roman" w:hAnsi="Times New Roman"/>
      <w:szCs w:val="20"/>
    </w:rPr>
  </w:style>
  <w:style w:type="paragraph" w:customStyle="1" w:styleId="551">
    <w:name w:val="Bullet 2"/>
    <w:basedOn w:val="24"/>
    <w:autoRedefine/>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99"/>
    <w:rPr>
      <w:rFonts w:ascii="仿宋_GB2312" w:hAnsi="Times New Roman" w:eastAsia="仿宋_GB2312"/>
      <w:b/>
      <w:sz w:val="32"/>
      <w:szCs w:val="32"/>
    </w:rPr>
  </w:style>
  <w:style w:type="paragraph" w:customStyle="1" w:styleId="557">
    <w:name w:val="xl73"/>
    <w:basedOn w:val="1"/>
    <w:autoRedefine/>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99"/>
    <w:rPr>
      <w:rFonts w:ascii="Tahoma" w:hAnsi="Tahoma"/>
      <w:sz w:val="24"/>
      <w:szCs w:val="20"/>
    </w:rPr>
  </w:style>
  <w:style w:type="paragraph" w:customStyle="1" w:styleId="559">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99"/>
  </w:style>
  <w:style w:type="paragraph" w:customStyle="1" w:styleId="564">
    <w:name w:val="标准有序列表（L1）"/>
    <w:basedOn w:val="17"/>
    <w:autoRedefine/>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6">
    <w:name w:val="_Style 11811"/>
    <w:basedOn w:val="1"/>
    <w:autoRedefine/>
    <w:qFormat/>
    <w:uiPriority w:val="99"/>
  </w:style>
  <w:style w:type="paragraph" w:customStyle="1" w:styleId="567">
    <w:name w:val="Char Char Char Char Char Char Char Char"/>
    <w:basedOn w:val="1"/>
    <w:autoRedefine/>
    <w:qFormat/>
    <w:uiPriority w:val="99"/>
    <w:pPr>
      <w:tabs>
        <w:tab w:val="left" w:pos="360"/>
      </w:tabs>
    </w:pPr>
    <w:rPr>
      <w:rFonts w:ascii="Times New Roman" w:hAnsi="Times New Roman"/>
      <w:sz w:val="24"/>
      <w:szCs w:val="24"/>
    </w:rPr>
  </w:style>
  <w:style w:type="paragraph" w:customStyle="1" w:styleId="568">
    <w:name w:val="xl66"/>
    <w:basedOn w:val="1"/>
    <w:autoRedefine/>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99"/>
    <w:pPr>
      <w:ind w:firstLine="420" w:firstLineChars="200"/>
    </w:pPr>
    <w:rPr>
      <w:szCs w:val="24"/>
    </w:rPr>
  </w:style>
  <w:style w:type="paragraph" w:customStyle="1" w:styleId="576">
    <w:name w:val="样式 标题 2 + 五号"/>
    <w:basedOn w:val="3"/>
    <w:autoRedefine/>
    <w:qFormat/>
    <w:uiPriority w:val="99"/>
    <w:pPr>
      <w:spacing w:before="0" w:after="0" w:line="240" w:lineRule="auto"/>
    </w:pPr>
    <w:rPr>
      <w:rFonts w:ascii="宋体" w:hAnsi="宋体" w:eastAsia="宋体"/>
      <w:sz w:val="21"/>
    </w:rPr>
  </w:style>
  <w:style w:type="paragraph" w:customStyle="1" w:styleId="577">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autoRedefine/>
    <w:qFormat/>
    <w:uiPriority w:val="99"/>
    <w:pPr>
      <w:spacing w:line="360" w:lineRule="auto"/>
    </w:pPr>
    <w:rPr>
      <w:sz w:val="24"/>
      <w:szCs w:val="24"/>
    </w:rPr>
  </w:style>
  <w:style w:type="paragraph" w:customStyle="1" w:styleId="579">
    <w:name w:val="Style-正文"/>
    <w:basedOn w:val="1"/>
    <w:autoRedefine/>
    <w:qFormat/>
    <w:uiPriority w:val="99"/>
    <w:pPr>
      <w:spacing w:line="360" w:lineRule="auto"/>
      <w:ind w:firstLine="420"/>
    </w:pPr>
    <w:rPr>
      <w:rFonts w:ascii="宋体" w:hAnsi="宋体"/>
      <w:sz w:val="24"/>
      <w:szCs w:val="24"/>
    </w:rPr>
  </w:style>
  <w:style w:type="paragraph" w:customStyle="1" w:styleId="580">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99"/>
    <w:rPr>
      <w:rFonts w:ascii="Times New Roman" w:hAnsi="Times New Roman"/>
      <w:szCs w:val="24"/>
    </w:rPr>
  </w:style>
  <w:style w:type="paragraph" w:customStyle="1" w:styleId="583">
    <w:name w:val="样式 标题 1 + 五号"/>
    <w:basedOn w:val="2"/>
    <w:autoRedefine/>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99"/>
    <w:rPr>
      <w:rFonts w:ascii="宋体" w:hAnsi="Courier New"/>
      <w:szCs w:val="20"/>
    </w:rPr>
  </w:style>
  <w:style w:type="paragraph" w:customStyle="1" w:styleId="586">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99"/>
    <w:rPr>
      <w:rFonts w:ascii="Tahoma" w:hAnsi="Tahoma"/>
      <w:sz w:val="24"/>
      <w:szCs w:val="20"/>
    </w:rPr>
  </w:style>
  <w:style w:type="paragraph" w:customStyle="1" w:styleId="590">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99"/>
    <w:pPr>
      <w:spacing w:after="120"/>
    </w:pPr>
  </w:style>
  <w:style w:type="paragraph" w:customStyle="1" w:styleId="592">
    <w:name w:val="样式 标题 2 + 宋体 小四 段前: 0 磅 段后: 0 磅 行距: 1.5 倍行距"/>
    <w:basedOn w:val="3"/>
    <w:autoRedefine/>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594">
    <w:name w:val="二级标题"/>
    <w:basedOn w:val="3"/>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99"/>
    <w:rPr>
      <w:rFonts w:ascii="宋体"/>
      <w:kern w:val="0"/>
      <w:sz w:val="18"/>
      <w:szCs w:val="18"/>
    </w:rPr>
  </w:style>
  <w:style w:type="paragraph" w:customStyle="1" w:styleId="596">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99"/>
    <w:pPr>
      <w:spacing w:after="120"/>
    </w:pPr>
    <w:rPr>
      <w:sz w:val="28"/>
      <w:szCs w:val="24"/>
    </w:rPr>
  </w:style>
  <w:style w:type="paragraph" w:customStyle="1" w:styleId="59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99"/>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99"/>
    <w:rPr>
      <w:rFonts w:ascii="宋体" w:hAnsi="宋体"/>
      <w:bCs/>
      <w:szCs w:val="21"/>
    </w:rPr>
  </w:style>
  <w:style w:type="paragraph" w:customStyle="1" w:styleId="604">
    <w:name w:val="SZF图"/>
    <w:basedOn w:val="1"/>
    <w:autoRedefine/>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99"/>
    <w:rPr>
      <w:rFonts w:ascii="Tahoma" w:hAnsi="Tahoma"/>
      <w:sz w:val="24"/>
      <w:szCs w:val="20"/>
    </w:rPr>
  </w:style>
  <w:style w:type="paragraph" w:customStyle="1" w:styleId="608">
    <w:name w:val="文档结构图2"/>
    <w:basedOn w:val="1"/>
    <w:autoRedefine/>
    <w:qFormat/>
    <w:uiPriority w:val="99"/>
    <w:rPr>
      <w:rFonts w:ascii="宋体"/>
      <w:kern w:val="0"/>
      <w:sz w:val="18"/>
      <w:szCs w:val="18"/>
    </w:rPr>
  </w:style>
  <w:style w:type="paragraph" w:customStyle="1" w:styleId="609">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autoRedefine/>
    <w:qFormat/>
    <w:uiPriority w:val="99"/>
    <w:pPr>
      <w:ind w:firstLine="480" w:firstLineChars="200"/>
    </w:pPr>
  </w:style>
  <w:style w:type="paragraph" w:customStyle="1" w:styleId="611">
    <w:name w:val="大汉正文"/>
    <w:basedOn w:val="1"/>
    <w:autoRedefine/>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99"/>
    <w:rPr>
      <w:sz w:val="18"/>
    </w:rPr>
  </w:style>
  <w:style w:type="paragraph" w:customStyle="1" w:styleId="613">
    <w:name w:val="IBM 正文"/>
    <w:basedOn w:val="1"/>
    <w:autoRedefine/>
    <w:qFormat/>
    <w:uiPriority w:val="99"/>
    <w:pPr>
      <w:spacing w:line="360" w:lineRule="atLeast"/>
    </w:pPr>
    <w:rPr>
      <w:rFonts w:ascii="Times New Roman" w:hAnsi="Times New Roman"/>
      <w:sz w:val="24"/>
      <w:szCs w:val="20"/>
    </w:rPr>
  </w:style>
  <w:style w:type="paragraph" w:customStyle="1" w:styleId="614">
    <w:name w:val="Char Char1 Char1"/>
    <w:basedOn w:val="1"/>
    <w:autoRedefine/>
    <w:qFormat/>
    <w:uiPriority w:val="99"/>
    <w:rPr>
      <w:rFonts w:ascii="仿宋_GB2312" w:hAnsi="Times New Roman" w:eastAsia="仿宋_GB2312"/>
      <w:b/>
      <w:sz w:val="32"/>
      <w:szCs w:val="32"/>
    </w:rPr>
  </w:style>
  <w:style w:type="paragraph" w:customStyle="1" w:styleId="61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7">
    <w:name w:val="页眉1"/>
    <w:basedOn w:val="1"/>
    <w:autoRedefine/>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19">
    <w:name w:val="Tabletext"/>
    <w:basedOn w:val="1"/>
    <w:autoRedefine/>
    <w:qFormat/>
    <w:uiPriority w:val="99"/>
    <w:pPr>
      <w:keepLines/>
      <w:spacing w:afterLines="50"/>
      <w:jc w:val="left"/>
    </w:pPr>
    <w:rPr>
      <w:rFonts w:ascii="宋体" w:hAnsi="Times New Roman"/>
      <w:snapToGrid w:val="0"/>
      <w:kern w:val="0"/>
      <w:szCs w:val="20"/>
    </w:rPr>
  </w:style>
  <w:style w:type="paragraph" w:customStyle="1" w:styleId="620">
    <w:name w:val="P3"/>
    <w:basedOn w:val="1"/>
    <w:autoRedefine/>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autoRedefine/>
    <w:qFormat/>
    <w:uiPriority w:val="99"/>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99"/>
    <w:pPr>
      <w:widowControl/>
      <w:jc w:val="left"/>
    </w:pPr>
    <w:rPr>
      <w:rFonts w:ascii="宋体" w:hAnsi="宋体" w:cs="宋体"/>
      <w:kern w:val="0"/>
      <w:szCs w:val="21"/>
    </w:rPr>
  </w:style>
  <w:style w:type="paragraph" w:customStyle="1" w:styleId="623">
    <w:name w:val="Char Char Char111"/>
    <w:basedOn w:val="1"/>
    <w:autoRedefine/>
    <w:qFormat/>
    <w:uiPriority w:val="99"/>
  </w:style>
  <w:style w:type="paragraph" w:customStyle="1" w:styleId="624">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autoRedefine/>
    <w:qFormat/>
    <w:uiPriority w:val="99"/>
    <w:pPr>
      <w:spacing w:line="360" w:lineRule="auto"/>
      <w:ind w:firstLine="0"/>
    </w:pPr>
    <w:rPr>
      <w:rFonts w:ascii="宋体" w:hAnsi="宋体" w:cs="宋体"/>
      <w:kern w:val="0"/>
    </w:rPr>
  </w:style>
  <w:style w:type="paragraph" w:customStyle="1" w:styleId="631">
    <w:name w:val="graytext"/>
    <w:basedOn w:val="1"/>
    <w:autoRedefine/>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autoRedefine/>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99"/>
    <w:rPr>
      <w:rFonts w:ascii="仿宋_GB2312" w:hAnsi="Times New Roman" w:eastAsia="仿宋_GB2312"/>
      <w:b/>
      <w:sz w:val="32"/>
      <w:szCs w:val="32"/>
    </w:rPr>
  </w:style>
  <w:style w:type="paragraph" w:customStyle="1" w:styleId="650">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autoRedefine/>
    <w:qFormat/>
    <w:uiPriority w:val="99"/>
    <w:pPr>
      <w:ind w:firstLine="420" w:firstLineChars="200"/>
    </w:pPr>
  </w:style>
  <w:style w:type="paragraph" w:customStyle="1" w:styleId="655">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autoRedefine/>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autoRedefine/>
    <w:qFormat/>
    <w:uiPriority w:val="99"/>
    <w:pPr>
      <w:suppressLineNumbers/>
      <w:suppressAutoHyphens/>
    </w:pPr>
    <w:rPr>
      <w:kern w:val="1"/>
      <w:sz w:val="21"/>
      <w:lang w:eastAsia="ar-SA"/>
    </w:rPr>
  </w:style>
  <w:style w:type="paragraph" w:customStyle="1" w:styleId="661">
    <w:name w:val="样式　标题4"/>
    <w:basedOn w:val="643"/>
    <w:next w:val="1"/>
    <w:autoRedefine/>
    <w:qFormat/>
    <w:uiPriority w:val="99"/>
    <w:pPr>
      <w:numPr>
        <w:ilvl w:val="0"/>
        <w:numId w:val="0"/>
      </w:numPr>
      <w:ind w:left="425" w:hanging="425"/>
    </w:pPr>
  </w:style>
  <w:style w:type="paragraph" w:customStyle="1" w:styleId="662">
    <w:name w:val="Char2 Char Char Char"/>
    <w:basedOn w:val="1"/>
    <w:autoRedefine/>
    <w:qFormat/>
    <w:uiPriority w:val="99"/>
    <w:rPr>
      <w:rFonts w:ascii="仿宋_GB2312" w:hAnsi="Times New Roman" w:eastAsia="仿宋_GB2312"/>
      <w:b/>
      <w:sz w:val="32"/>
      <w:szCs w:val="32"/>
    </w:rPr>
  </w:style>
  <w:style w:type="paragraph" w:customStyle="1" w:styleId="663">
    <w:name w:val="Paragraph4"/>
    <w:basedOn w:val="1"/>
    <w:autoRedefine/>
    <w:qFormat/>
    <w:uiPriority w:val="99"/>
    <w:pPr>
      <w:spacing w:before="80" w:afterLines="50"/>
      <w:ind w:left="2250"/>
    </w:pPr>
    <w:rPr>
      <w:rFonts w:ascii="宋体" w:hAnsi="Times New Roman"/>
      <w:snapToGrid w:val="0"/>
      <w:kern w:val="0"/>
      <w:szCs w:val="20"/>
    </w:rPr>
  </w:style>
  <w:style w:type="paragraph" w:customStyle="1" w:styleId="664">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next w:val="1"/>
    <w:autoRedefine/>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99"/>
    <w:rPr>
      <w:rFonts w:ascii="Tahoma" w:hAnsi="Tahoma"/>
      <w:sz w:val="24"/>
      <w:szCs w:val="20"/>
    </w:rPr>
  </w:style>
  <w:style w:type="paragraph" w:customStyle="1" w:styleId="676">
    <w:name w:val="样式1"/>
    <w:basedOn w:val="1"/>
    <w:autoRedefine/>
    <w:qFormat/>
    <w:uiPriority w:val="99"/>
    <w:pPr>
      <w:pBdr>
        <w:bottom w:val="single" w:color="auto" w:sz="4" w:space="1"/>
      </w:pBdr>
    </w:pPr>
    <w:rPr>
      <w:rFonts w:ascii="Times New Roman" w:hAnsi="Times New Roman"/>
      <w:szCs w:val="24"/>
    </w:rPr>
  </w:style>
  <w:style w:type="paragraph" w:customStyle="1" w:styleId="677">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autoRedefine/>
    <w:qFormat/>
    <w:uiPriority w:val="99"/>
    <w:rPr>
      <w:rFonts w:ascii="仿宋_GB2312" w:hAnsi="Times New Roman" w:eastAsia="仿宋_GB2312"/>
      <w:b/>
      <w:sz w:val="32"/>
      <w:szCs w:val="32"/>
    </w:rPr>
  </w:style>
  <w:style w:type="paragraph" w:customStyle="1" w:styleId="679">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autoRedefine/>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99"/>
    <w:pPr>
      <w:spacing w:after="120"/>
      <w:ind w:left="420" w:leftChars="200"/>
    </w:pPr>
    <w:rPr>
      <w:rFonts w:cs="黑体"/>
    </w:rPr>
  </w:style>
  <w:style w:type="paragraph" w:customStyle="1" w:styleId="686">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autoRedefine/>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autoRedefine/>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autoRedefine/>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autoRedefine/>
    <w:qFormat/>
    <w:uiPriority w:val="99"/>
    <w:pPr>
      <w:spacing w:beforeLines="0" w:afterLines="0" w:line="360" w:lineRule="auto"/>
      <w:jc w:val="left"/>
    </w:pPr>
    <w:rPr>
      <w:rFonts w:eastAsia="仿宋_GB2312" w:cs="Arial"/>
      <w:sz w:val="28"/>
      <w:szCs w:val="20"/>
    </w:rPr>
  </w:style>
  <w:style w:type="paragraph" w:customStyle="1" w:styleId="694">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autoRedefine/>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autoRedefine/>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autoRedefine/>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autoRedefine/>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autoRedefine/>
    <w:qFormat/>
    <w:uiPriority w:val="99"/>
    <w:pPr>
      <w:widowControl/>
      <w:ind w:left="75"/>
      <w:jc w:val="left"/>
    </w:pPr>
    <w:rPr>
      <w:rFonts w:ascii="Arial" w:hAnsi="Arial" w:cs="Arial"/>
      <w:b/>
      <w:bCs/>
      <w:kern w:val="0"/>
      <w:sz w:val="20"/>
      <w:szCs w:val="20"/>
    </w:rPr>
  </w:style>
  <w:style w:type="paragraph" w:customStyle="1" w:styleId="703">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99"/>
    <w:pPr>
      <w:tabs>
        <w:tab w:val="left" w:pos="432"/>
      </w:tabs>
      <w:ind w:left="432" w:hanging="432"/>
    </w:pPr>
    <w:rPr>
      <w:rFonts w:ascii="Times New Roman" w:hAnsi="Times New Roman"/>
      <w:sz w:val="24"/>
      <w:szCs w:val="24"/>
    </w:rPr>
  </w:style>
  <w:style w:type="paragraph" w:customStyle="1" w:styleId="705">
    <w:name w:val="二级."/>
    <w:basedOn w:val="3"/>
    <w:autoRedefine/>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autoRedefine/>
    <w:qFormat/>
    <w:uiPriority w:val="99"/>
    <w:pPr>
      <w:spacing w:line="360" w:lineRule="auto"/>
      <w:ind w:firstLine="480" w:firstLineChars="200"/>
    </w:pPr>
    <w:rPr>
      <w:rFonts w:ascii="Arial" w:hAnsi="Arial"/>
      <w:sz w:val="24"/>
      <w:szCs w:val="21"/>
    </w:rPr>
  </w:style>
  <w:style w:type="paragraph" w:customStyle="1" w:styleId="707">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autoRedefine/>
    <w:qFormat/>
    <w:uiPriority w:val="99"/>
    <w:rPr>
      <w:rFonts w:ascii="仿宋_GB2312" w:hAnsi="Times New Roman" w:eastAsia="仿宋_GB2312"/>
      <w:b/>
      <w:sz w:val="32"/>
      <w:szCs w:val="32"/>
    </w:rPr>
  </w:style>
  <w:style w:type="paragraph" w:customStyle="1" w:styleId="70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autoRedefine/>
    <w:qFormat/>
    <w:uiPriority w:val="99"/>
    <w:pPr>
      <w:ind w:firstLine="420" w:firstLineChars="200"/>
    </w:pPr>
  </w:style>
  <w:style w:type="paragraph" w:customStyle="1" w:styleId="711">
    <w:name w:val="Char Char Char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autoRedefine/>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autoRedefine/>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autoRedefine/>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autoRedefine/>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autoRedefine/>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autoRedefine/>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autoRedefine/>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99"/>
    <w:pPr>
      <w:spacing w:line="360" w:lineRule="auto"/>
    </w:pPr>
    <w:rPr>
      <w:rFonts w:ascii="Times New Roman" w:hAnsi="Times New Roman"/>
      <w:b/>
      <w:bCs/>
      <w:sz w:val="24"/>
      <w:szCs w:val="24"/>
    </w:rPr>
  </w:style>
  <w:style w:type="paragraph" w:customStyle="1" w:styleId="729">
    <w:name w:val="GP标题1"/>
    <w:basedOn w:val="1"/>
    <w:next w:val="1"/>
    <w:autoRedefine/>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autoRedefine/>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autoRedefine/>
    <w:qFormat/>
    <w:uiPriority w:val="99"/>
    <w:rPr>
      <w:rFonts w:ascii="Tahoma" w:hAnsi="Tahoma"/>
      <w:sz w:val="24"/>
      <w:szCs w:val="20"/>
    </w:rPr>
  </w:style>
  <w:style w:type="paragraph" w:customStyle="1" w:styleId="733">
    <w:name w:val="列表（编号二级）（绿盟科技）"/>
    <w:basedOn w:val="656"/>
    <w:autoRedefine/>
    <w:qFormat/>
    <w:uiPriority w:val="99"/>
    <w:pPr>
      <w:numPr>
        <w:ilvl w:val="1"/>
      </w:numPr>
      <w:spacing w:beforeLines="0"/>
      <w:ind w:left="1260"/>
    </w:pPr>
  </w:style>
  <w:style w:type="paragraph" w:customStyle="1" w:styleId="734">
    <w:name w:val="huide00"/>
    <w:basedOn w:val="1"/>
    <w:autoRedefine/>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autoRedefine/>
    <w:qFormat/>
    <w:uiPriority w:val="99"/>
    <w:pPr>
      <w:spacing w:before="80" w:afterLines="50"/>
      <w:ind w:left="1530"/>
    </w:pPr>
    <w:rPr>
      <w:rFonts w:ascii="宋体" w:hAnsi="Times New Roman"/>
      <w:snapToGrid w:val="0"/>
      <w:kern w:val="0"/>
      <w:szCs w:val="20"/>
    </w:rPr>
  </w:style>
  <w:style w:type="paragraph" w:customStyle="1" w:styleId="737">
    <w:name w:val="正文样式"/>
    <w:basedOn w:val="1"/>
    <w:autoRedefine/>
    <w:qFormat/>
    <w:uiPriority w:val="99"/>
    <w:pPr>
      <w:spacing w:line="360" w:lineRule="auto"/>
      <w:ind w:firstLine="200" w:firstLineChars="200"/>
    </w:pPr>
    <w:rPr>
      <w:rFonts w:ascii="宋体" w:hAnsi="Times New Roman"/>
      <w:sz w:val="24"/>
      <w:szCs w:val="24"/>
    </w:rPr>
  </w:style>
  <w:style w:type="paragraph" w:customStyle="1" w:styleId="738">
    <w:name w:val="xl9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autoRedefine/>
    <w:qFormat/>
    <w:uiPriority w:val="99"/>
    <w:pPr>
      <w:spacing w:after="0" w:line="415" w:lineRule="auto"/>
    </w:pPr>
    <w:rPr>
      <w:sz w:val="28"/>
      <w:szCs w:val="20"/>
    </w:rPr>
  </w:style>
  <w:style w:type="paragraph" w:customStyle="1" w:styleId="740">
    <w:name w:val="表格标题"/>
    <w:basedOn w:val="660"/>
    <w:autoRedefine/>
    <w:qFormat/>
    <w:uiPriority w:val="99"/>
    <w:pPr>
      <w:numPr>
        <w:ilvl w:val="0"/>
        <w:numId w:val="26"/>
      </w:numPr>
      <w:tabs>
        <w:tab w:val="clear" w:pos="360"/>
      </w:tabs>
      <w:ind w:left="0" w:firstLine="0"/>
      <w:jc w:val="center"/>
    </w:pPr>
    <w:rPr>
      <w:b/>
      <w:bCs/>
      <w:i/>
      <w:iCs/>
    </w:rPr>
  </w:style>
  <w:style w:type="paragraph" w:customStyle="1" w:styleId="741">
    <w:name w:val="_Style 1181"/>
    <w:basedOn w:val="1"/>
    <w:autoRedefine/>
    <w:qFormat/>
    <w:uiPriority w:val="99"/>
  </w:style>
  <w:style w:type="paragraph" w:customStyle="1" w:styleId="742">
    <w:name w:val="Char2"/>
    <w:basedOn w:val="1"/>
    <w:autoRedefine/>
    <w:qFormat/>
    <w:uiPriority w:val="99"/>
    <w:rPr>
      <w:rFonts w:ascii="仿宋_GB2312" w:hAnsi="Times New Roman" w:eastAsia="仿宋_GB2312"/>
      <w:b/>
      <w:sz w:val="32"/>
      <w:szCs w:val="20"/>
    </w:rPr>
  </w:style>
  <w:style w:type="paragraph" w:customStyle="1" w:styleId="743">
    <w:name w:val="ZJGIS-三级标题"/>
    <w:basedOn w:val="4"/>
    <w:autoRedefine/>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autoRedefine/>
    <w:qFormat/>
    <w:uiPriority w:val="99"/>
    <w:rPr>
      <w:rFonts w:ascii="Tahoma" w:hAnsi="Tahoma"/>
      <w:sz w:val="24"/>
      <w:szCs w:val="20"/>
    </w:rPr>
  </w:style>
  <w:style w:type="paragraph" w:customStyle="1" w:styleId="74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autoRedefine/>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autoRedefine/>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99"/>
    <w:rPr>
      <w:rFonts w:ascii="宋体" w:hAnsi="宋体"/>
      <w:szCs w:val="21"/>
    </w:rPr>
  </w:style>
  <w:style w:type="paragraph" w:customStyle="1" w:styleId="754">
    <w:name w:val="MM Title"/>
    <w:basedOn w:val="55"/>
    <w:autoRedefine/>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756">
    <w:name w:val="xl79"/>
    <w:basedOn w:val="1"/>
    <w:autoRedefine/>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autoRedefine/>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0">
    <w:name w:val="xl122"/>
    <w:basedOn w:val="1"/>
    <w:autoRedefine/>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autoRedefine/>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autoRedefine/>
    <w:qFormat/>
    <w:uiPriority w:val="99"/>
    <w:pPr>
      <w:numPr>
        <w:ilvl w:val="4"/>
        <w:numId w:val="29"/>
      </w:numPr>
    </w:pPr>
    <w:rPr>
      <w:rFonts w:eastAsia="黑体"/>
      <w:kern w:val="0"/>
      <w:sz w:val="24"/>
      <w:szCs w:val="20"/>
    </w:rPr>
  </w:style>
  <w:style w:type="paragraph" w:customStyle="1" w:styleId="763">
    <w:name w:val="Body"/>
    <w:basedOn w:val="1"/>
    <w:autoRedefine/>
    <w:qFormat/>
    <w:uiPriority w:val="99"/>
    <w:pPr>
      <w:widowControl/>
      <w:spacing w:before="120" w:afterLines="50"/>
    </w:pPr>
    <w:rPr>
      <w:rFonts w:ascii="宋体" w:hAnsi="Times New Roman"/>
      <w:snapToGrid w:val="0"/>
      <w:kern w:val="0"/>
      <w:szCs w:val="20"/>
    </w:rPr>
  </w:style>
  <w:style w:type="paragraph" w:customStyle="1" w:styleId="764">
    <w:name w:val="标准标题2"/>
    <w:basedOn w:val="3"/>
    <w:autoRedefine/>
    <w:qFormat/>
    <w:uiPriority w:val="99"/>
    <w:pPr>
      <w:spacing w:line="360" w:lineRule="auto"/>
    </w:pPr>
    <w:rPr>
      <w:rFonts w:eastAsia="仿宋_GB2312"/>
      <w:bCs w:val="0"/>
      <w:sz w:val="28"/>
    </w:rPr>
  </w:style>
  <w:style w:type="paragraph" w:customStyle="1" w:styleId="765">
    <w:name w:val="xl83"/>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autoRedefine/>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autoRedefine/>
    <w:qFormat/>
    <w:uiPriority w:val="99"/>
    <w:rPr>
      <w:rFonts w:ascii="Times New Roman" w:hAnsi="Times New Roman"/>
      <w:szCs w:val="20"/>
    </w:rPr>
  </w:style>
  <w:style w:type="paragraph" w:customStyle="1" w:styleId="776">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autoRedefine/>
    <w:qFormat/>
    <w:uiPriority w:val="99"/>
    <w:pPr>
      <w:tabs>
        <w:tab w:val="left" w:pos="432"/>
      </w:tabs>
      <w:ind w:left="432" w:hanging="432"/>
    </w:pPr>
    <w:rPr>
      <w:rFonts w:ascii="Tahoma" w:hAnsi="Tahoma"/>
      <w:sz w:val="24"/>
      <w:szCs w:val="20"/>
    </w:rPr>
  </w:style>
  <w:style w:type="paragraph" w:customStyle="1" w:styleId="779">
    <w:name w:val="Table Text"/>
    <w:basedOn w:val="1"/>
    <w:autoRedefine/>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autoRedefine/>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99"/>
    <w:pPr>
      <w:tabs>
        <w:tab w:val="left" w:pos="1200"/>
      </w:tabs>
      <w:ind w:left="1200" w:hanging="360"/>
    </w:pPr>
  </w:style>
  <w:style w:type="paragraph" w:customStyle="1" w:styleId="784">
    <w:name w:val="封面2级标题"/>
    <w:basedOn w:val="1"/>
    <w:next w:val="280"/>
    <w:autoRedefine/>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autoRedefine/>
    <w:qFormat/>
    <w:uiPriority w:val="34"/>
    <w:pPr>
      <w:ind w:firstLine="420" w:firstLineChars="200"/>
    </w:pPr>
  </w:style>
  <w:style w:type="paragraph" w:customStyle="1" w:styleId="786">
    <w:name w:val="样式 标题 3Chapter X.X.X. + 五号 段后: 0.5 行"/>
    <w:basedOn w:val="4"/>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autoRedefine/>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autoRedefine/>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autoRedefine/>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autoRedefine/>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autoRedefine/>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autoRedefine/>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autoRedefine/>
    <w:qFormat/>
    <w:uiPriority w:val="99"/>
    <w:pPr>
      <w:spacing w:line="360" w:lineRule="auto"/>
      <w:ind w:firstLine="0"/>
    </w:pPr>
    <w:rPr>
      <w:rFonts w:ascii="宋体" w:hAnsi="宋体" w:cs="宋体"/>
      <w:kern w:val="0"/>
    </w:rPr>
  </w:style>
  <w:style w:type="paragraph" w:customStyle="1" w:styleId="798">
    <w:name w:val="Char8"/>
    <w:basedOn w:val="1"/>
    <w:autoRedefine/>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99"/>
    <w:rPr>
      <w:rFonts w:ascii="Times New Roman" w:hAnsi="Times New Roman" w:eastAsia="仿宋_GB2312" w:cs="宋体"/>
      <w:sz w:val="24"/>
      <w:szCs w:val="20"/>
    </w:rPr>
  </w:style>
  <w:style w:type="paragraph" w:customStyle="1" w:styleId="800">
    <w:name w:val="ZJGIS-五级标题"/>
    <w:basedOn w:val="6"/>
    <w:autoRedefine/>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99"/>
    <w:pPr>
      <w:jc w:val="center"/>
    </w:pPr>
    <w:rPr>
      <w:rFonts w:ascii="Arial" w:hAnsi="Arial" w:eastAsia="黑体"/>
      <w:b/>
    </w:rPr>
  </w:style>
  <w:style w:type="paragraph" w:customStyle="1" w:styleId="803">
    <w:name w:val="吉奥封面(黑体小初)"/>
    <w:basedOn w:val="191"/>
    <w:autoRedefine/>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autoRedefine/>
    <w:qFormat/>
    <w:uiPriority w:val="99"/>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1"/>
    <w:link w:val="805"/>
    <w:autoRedefine/>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autoRedefine/>
    <w:qFormat/>
    <w:uiPriority w:val="99"/>
    <w:pPr>
      <w:widowControl/>
      <w:jc w:val="left"/>
    </w:pPr>
    <w:rPr>
      <w:rFonts w:ascii="宋体" w:hAnsi="Courier New"/>
    </w:rPr>
  </w:style>
  <w:style w:type="character" w:customStyle="1" w:styleId="810">
    <w:name w:val="列表段落 字符"/>
    <w:link w:val="811"/>
    <w:autoRedefine/>
    <w:qFormat/>
    <w:uiPriority w:val="0"/>
  </w:style>
  <w:style w:type="paragraph" w:customStyle="1" w:styleId="811">
    <w:name w:val="列表段落1"/>
    <w:basedOn w:val="1"/>
    <w:link w:val="810"/>
    <w:autoRedefine/>
    <w:qFormat/>
    <w:uiPriority w:val="0"/>
    <w:pPr>
      <w:ind w:firstLine="420" w:firstLineChars="200"/>
    </w:pPr>
    <w:rPr>
      <w:rFonts w:asciiTheme="minorHAnsi" w:hAnsiTheme="minorHAnsi" w:eastAsiaTheme="minorEastAsia" w:cstheme="minorBidi"/>
    </w:rPr>
  </w:style>
  <w:style w:type="character" w:customStyle="1" w:styleId="812">
    <w:name w:val="正 文 Char"/>
    <w:link w:val="813"/>
    <w:autoRedefine/>
    <w:qFormat/>
    <w:locked/>
    <w:uiPriority w:val="0"/>
    <w:rPr>
      <w:sz w:val="24"/>
      <w:szCs w:val="24"/>
    </w:rPr>
  </w:style>
  <w:style w:type="paragraph" w:customStyle="1" w:styleId="813">
    <w:name w:val="正 文"/>
    <w:basedOn w:val="1"/>
    <w:link w:val="812"/>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autoRedefine/>
    <w:qFormat/>
    <w:uiPriority w:val="0"/>
    <w:rPr>
      <w:rFonts w:hint="eastAsia" w:ascii="微软雅黑" w:hAnsi="微软雅黑" w:eastAsia="微软雅黑" w:cs="微软雅黑"/>
      <w:b/>
      <w:color w:val="000000"/>
      <w:sz w:val="24"/>
      <w:szCs w:val="24"/>
      <w:u w:val="none"/>
    </w:rPr>
  </w:style>
  <w:style w:type="character" w:customStyle="1" w:styleId="815">
    <w:name w:val="font21"/>
    <w:autoRedefine/>
    <w:qFormat/>
    <w:uiPriority w:val="0"/>
    <w:rPr>
      <w:rFonts w:hint="eastAsia" w:ascii="微软雅黑" w:hAnsi="微软雅黑" w:eastAsia="微软雅黑" w:cs="微软雅黑"/>
      <w:color w:val="000000"/>
      <w:sz w:val="16"/>
      <w:szCs w:val="16"/>
      <w:u w:val="none"/>
    </w:rPr>
  </w:style>
  <w:style w:type="character" w:customStyle="1" w:styleId="816">
    <w:name w:val="font51"/>
    <w:autoRedefine/>
    <w:qFormat/>
    <w:uiPriority w:val="0"/>
    <w:rPr>
      <w:rFonts w:hint="eastAsia" w:ascii="微软雅黑" w:hAnsi="微软雅黑" w:eastAsia="微软雅黑" w:cs="微软雅黑"/>
      <w:b/>
      <w:color w:val="000000"/>
      <w:sz w:val="16"/>
      <w:szCs w:val="16"/>
      <w:u w:val="none"/>
    </w:rPr>
  </w:style>
  <w:style w:type="character" w:customStyle="1" w:styleId="817">
    <w:name w:val="font31"/>
    <w:autoRedefine/>
    <w:qFormat/>
    <w:uiPriority w:val="0"/>
    <w:rPr>
      <w:rFonts w:hint="eastAsia" w:ascii="微软雅黑" w:hAnsi="微软雅黑" w:eastAsia="微软雅黑" w:cs="微软雅黑"/>
      <w:b/>
      <w:color w:val="000000"/>
      <w:sz w:val="16"/>
      <w:szCs w:val="16"/>
      <w:u w:val="none"/>
    </w:rPr>
  </w:style>
  <w:style w:type="character" w:customStyle="1" w:styleId="818">
    <w:name w:val="font41"/>
    <w:autoRedefine/>
    <w:qFormat/>
    <w:uiPriority w:val="0"/>
    <w:rPr>
      <w:rFonts w:hint="eastAsia" w:ascii="微软雅黑" w:hAnsi="微软雅黑" w:eastAsia="微软雅黑" w:cs="微软雅黑"/>
      <w:color w:val="000000"/>
      <w:sz w:val="16"/>
      <w:szCs w:val="16"/>
      <w:u w:val="none"/>
    </w:rPr>
  </w:style>
  <w:style w:type="character" w:customStyle="1" w:styleId="819">
    <w:name w:val="页脚 字符"/>
    <w:autoRedefine/>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autoRedefine/>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autoRedefine/>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autoRedefine/>
    <w:qFormat/>
    <w:uiPriority w:val="34"/>
    <w:pPr>
      <w:ind w:firstLine="420" w:firstLineChars="200"/>
    </w:pPr>
    <w:rPr>
      <w:rFonts w:ascii="Cambria" w:hAnsi="Cambria"/>
      <w:sz w:val="24"/>
      <w:szCs w:val="24"/>
    </w:rPr>
  </w:style>
  <w:style w:type="character" w:customStyle="1" w:styleId="852">
    <w:name w:val="正文360首行缩进 Char"/>
    <w:basedOn w:val="64"/>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autoRedefine/>
    <w:qFormat/>
    <w:uiPriority w:val="33"/>
    <w:rPr>
      <w:b/>
      <w:bCs/>
      <w:smallCaps/>
      <w:spacing w:val="5"/>
    </w:rPr>
  </w:style>
  <w:style w:type="paragraph" w:customStyle="1" w:styleId="855">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autoRedefine/>
    <w:qFormat/>
    <w:uiPriority w:val="0"/>
    <w:rPr>
      <w:b/>
      <w:sz w:val="24"/>
      <w:u w:val="single"/>
    </w:rPr>
  </w:style>
  <w:style w:type="character" w:customStyle="1" w:styleId="857">
    <w:name w:val="Char Char142"/>
    <w:autoRedefine/>
    <w:qFormat/>
    <w:locked/>
    <w:uiPriority w:val="0"/>
    <w:rPr>
      <w:rFonts w:ascii="楷体_GB2312" w:eastAsia="楷体_GB2312"/>
      <w:kern w:val="2"/>
      <w:sz w:val="32"/>
      <w:lang w:val="en-US" w:eastAsia="zh-CN" w:bidi="ar-SA"/>
    </w:rPr>
  </w:style>
  <w:style w:type="paragraph" w:customStyle="1" w:styleId="858">
    <w:name w:val="z-窗体顶端11"/>
    <w:basedOn w:val="1"/>
    <w:next w:val="1"/>
    <w:autoRedefine/>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autoRedefine/>
    <w:qFormat/>
    <w:uiPriority w:val="0"/>
    <w:rPr>
      <w:rFonts w:ascii="Calibri" w:hAnsi="Calibri" w:eastAsia="宋体"/>
      <w:sz w:val="18"/>
      <w:szCs w:val="18"/>
      <w:lang w:bidi="ar-SA"/>
    </w:rPr>
  </w:style>
  <w:style w:type="character" w:customStyle="1" w:styleId="860">
    <w:name w:val="Char Char61"/>
    <w:autoRedefine/>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autoRedefine/>
    <w:qFormat/>
    <w:uiPriority w:val="0"/>
    <w:rPr>
      <w:color w:val="808080"/>
    </w:rPr>
  </w:style>
  <w:style w:type="character" w:customStyle="1" w:styleId="864">
    <w:name w:val="Char Char121"/>
    <w:autoRedefine/>
    <w:qFormat/>
    <w:uiPriority w:val="0"/>
    <w:rPr>
      <w:rFonts w:ascii="宋体" w:hAnsi="Courier New" w:eastAsia="宋体" w:cs="Times New Roman"/>
      <w:spacing w:val="-4"/>
      <w:sz w:val="18"/>
      <w:szCs w:val="20"/>
    </w:rPr>
  </w:style>
  <w:style w:type="character" w:customStyle="1" w:styleId="865">
    <w:name w:val="不明显参考11"/>
    <w:autoRedefine/>
    <w:qFormat/>
    <w:uiPriority w:val="31"/>
    <w:rPr>
      <w:smallCaps/>
      <w:color w:val="C0504D"/>
      <w:u w:val="single"/>
    </w:rPr>
  </w:style>
  <w:style w:type="character" w:customStyle="1" w:styleId="866">
    <w:name w:val="Char Char31"/>
    <w:autoRedefine/>
    <w:qFormat/>
    <w:uiPriority w:val="0"/>
    <w:rPr>
      <w:rFonts w:ascii="Arial" w:hAnsi="Arial" w:eastAsia="黑体"/>
      <w:b/>
      <w:kern w:val="2"/>
      <w:sz w:val="32"/>
      <w:lang w:val="en-US" w:eastAsia="zh-CN" w:bidi="ar-SA"/>
    </w:rPr>
  </w:style>
  <w:style w:type="character" w:customStyle="1" w:styleId="867">
    <w:name w:val="Char Char71"/>
    <w:autoRedefine/>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autoRedefine/>
    <w:qFormat/>
    <w:uiPriority w:val="0"/>
    <w:rPr>
      <w:rFonts w:ascii="Calibri" w:hAnsi="Calibri" w:eastAsia="宋体" w:cs="Times New Roman"/>
      <w:sz w:val="18"/>
      <w:szCs w:val="18"/>
    </w:rPr>
  </w:style>
  <w:style w:type="character" w:customStyle="1" w:styleId="870">
    <w:name w:val="Char Char41"/>
    <w:autoRedefine/>
    <w:qFormat/>
    <w:uiPriority w:val="0"/>
    <w:rPr>
      <w:rFonts w:ascii="Calibri" w:hAnsi="Calibri" w:eastAsia="宋体"/>
      <w:sz w:val="18"/>
      <w:szCs w:val="18"/>
      <w:lang w:bidi="ar-SA"/>
    </w:rPr>
  </w:style>
  <w:style w:type="paragraph" w:customStyle="1" w:styleId="871">
    <w:name w:val="批注主题11"/>
    <w:basedOn w:val="21"/>
    <w:next w:val="21"/>
    <w:autoRedefine/>
    <w:qFormat/>
    <w:uiPriority w:val="99"/>
    <w:rPr>
      <w:b/>
      <w:bCs/>
      <w:kern w:val="0"/>
      <w:sz w:val="20"/>
      <w:szCs w:val="20"/>
    </w:rPr>
  </w:style>
  <w:style w:type="paragraph" w:customStyle="1" w:styleId="872">
    <w:name w:val="Char Char Char Char1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99"/>
    <w:rPr>
      <w:rFonts w:ascii="仿宋_GB2312" w:hAnsi="Times New Roman" w:eastAsia="仿宋_GB2312"/>
      <w:b/>
      <w:sz w:val="32"/>
      <w:szCs w:val="32"/>
    </w:rPr>
  </w:style>
  <w:style w:type="paragraph" w:customStyle="1" w:styleId="8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autoRedefine/>
    <w:qFormat/>
    <w:uiPriority w:val="99"/>
    <w:pPr>
      <w:tabs>
        <w:tab w:val="left" w:pos="432"/>
      </w:tabs>
      <w:ind w:left="432" w:hanging="432"/>
    </w:pPr>
    <w:rPr>
      <w:rFonts w:ascii="Tahoma" w:hAnsi="Tahoma"/>
      <w:sz w:val="24"/>
      <w:szCs w:val="20"/>
    </w:rPr>
  </w:style>
  <w:style w:type="paragraph" w:customStyle="1" w:styleId="877">
    <w:name w:val="Char Char Char11"/>
    <w:basedOn w:val="1"/>
    <w:autoRedefine/>
    <w:qFormat/>
    <w:uiPriority w:val="99"/>
  </w:style>
  <w:style w:type="paragraph" w:customStyle="1" w:styleId="878">
    <w:name w:val="Char111"/>
    <w:basedOn w:val="1"/>
    <w:autoRedefine/>
    <w:qFormat/>
    <w:uiPriority w:val="99"/>
    <w:rPr>
      <w:rFonts w:ascii="仿宋_GB2312" w:hAnsi="Times New Roman" w:eastAsia="仿宋_GB2312"/>
      <w:b/>
      <w:sz w:val="32"/>
      <w:szCs w:val="32"/>
    </w:rPr>
  </w:style>
  <w:style w:type="paragraph" w:customStyle="1" w:styleId="879">
    <w:name w:val="Char3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autoRedefine/>
    <w:qFormat/>
    <w:uiPriority w:val="99"/>
    <w:rPr>
      <w:rFonts w:ascii="仿宋_GB2312" w:hAnsi="Times New Roman" w:eastAsia="仿宋_GB2312"/>
      <w:b/>
      <w:sz w:val="32"/>
      <w:szCs w:val="32"/>
    </w:rPr>
  </w:style>
  <w:style w:type="paragraph" w:customStyle="1" w:styleId="883">
    <w:name w:val="正文文本缩进11"/>
    <w:basedOn w:val="1"/>
    <w:autoRedefine/>
    <w:qFormat/>
    <w:uiPriority w:val="99"/>
    <w:pPr>
      <w:spacing w:after="120"/>
      <w:ind w:left="420" w:leftChars="200"/>
    </w:pPr>
    <w:rPr>
      <w:rFonts w:cs="黑体"/>
    </w:rPr>
  </w:style>
  <w:style w:type="paragraph" w:customStyle="1" w:styleId="884">
    <w:name w:val="Char Char Char Char Char Char Char Char Char Char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autoRedefine/>
    <w:qFormat/>
    <w:uiPriority w:val="99"/>
    <w:rPr>
      <w:rFonts w:ascii="仿宋_GB2312" w:hAnsi="Times New Roman" w:eastAsia="仿宋_GB2312"/>
      <w:b/>
      <w:sz w:val="32"/>
      <w:szCs w:val="32"/>
    </w:rPr>
  </w:style>
  <w:style w:type="paragraph" w:customStyle="1" w:styleId="886">
    <w:name w:val="列出段落12"/>
    <w:basedOn w:val="1"/>
    <w:autoRedefine/>
    <w:qFormat/>
    <w:uiPriority w:val="99"/>
    <w:pPr>
      <w:ind w:firstLine="420" w:firstLineChars="200"/>
    </w:pPr>
  </w:style>
  <w:style w:type="paragraph" w:customStyle="1" w:styleId="887">
    <w:name w:val="Char Char Char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autoRedefine/>
    <w:qFormat/>
    <w:uiPriority w:val="99"/>
    <w:rPr>
      <w:rFonts w:ascii="Tahoma" w:hAnsi="Tahoma"/>
      <w:sz w:val="24"/>
      <w:szCs w:val="20"/>
    </w:rPr>
  </w:style>
  <w:style w:type="paragraph" w:customStyle="1" w:styleId="88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autoRedefine/>
    <w:qFormat/>
    <w:uiPriority w:val="99"/>
    <w:rPr>
      <w:rFonts w:ascii="Tahoma" w:hAnsi="Tahoma"/>
      <w:sz w:val="24"/>
      <w:szCs w:val="20"/>
    </w:rPr>
  </w:style>
  <w:style w:type="paragraph" w:customStyle="1" w:styleId="891">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autoRedefine/>
    <w:qFormat/>
    <w:uiPriority w:val="99"/>
    <w:pPr>
      <w:widowControl/>
      <w:spacing w:after="160" w:line="240" w:lineRule="exact"/>
      <w:jc w:val="left"/>
    </w:pPr>
    <w:rPr>
      <w:rFonts w:ascii="Times New Roman" w:hAnsi="Times New Roman"/>
      <w:szCs w:val="20"/>
    </w:rPr>
  </w:style>
  <w:style w:type="character" w:customStyle="1" w:styleId="893">
    <w:name w:val="Book Title"/>
    <w:autoRedefine/>
    <w:qFormat/>
    <w:uiPriority w:val="33"/>
    <w:rPr>
      <w:b/>
      <w:bCs/>
      <w:smallCaps/>
      <w:spacing w:val="5"/>
    </w:rPr>
  </w:style>
  <w:style w:type="character" w:customStyle="1" w:styleId="894">
    <w:name w:val="z-窗体底端 字符2"/>
    <w:link w:val="895"/>
    <w:autoRedefine/>
    <w:qFormat/>
    <w:uiPriority w:val="0"/>
    <w:rPr>
      <w:rFonts w:ascii="Arial" w:hAnsi="Arial" w:cs="Arial"/>
      <w:vanish/>
      <w:sz w:val="16"/>
      <w:szCs w:val="16"/>
    </w:rPr>
  </w:style>
  <w:style w:type="paragraph" w:customStyle="1" w:styleId="895">
    <w:name w:val="HTML Bottom of Form"/>
    <w:basedOn w:val="1"/>
    <w:next w:val="1"/>
    <w:link w:val="894"/>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autoRedefine/>
    <w:qFormat/>
    <w:uiPriority w:val="0"/>
    <w:rPr>
      <w:b/>
      <w:sz w:val="24"/>
      <w:u w:val="single"/>
    </w:rPr>
  </w:style>
  <w:style w:type="character" w:customStyle="1" w:styleId="897">
    <w:name w:val="z-窗体顶端 字符2"/>
    <w:link w:val="898"/>
    <w:autoRedefine/>
    <w:qFormat/>
    <w:uiPriority w:val="0"/>
    <w:rPr>
      <w:rFonts w:ascii="Arial" w:hAnsi="Arial" w:cs="Arial"/>
      <w:vanish/>
      <w:sz w:val="16"/>
      <w:szCs w:val="16"/>
    </w:rPr>
  </w:style>
  <w:style w:type="paragraph" w:customStyle="1" w:styleId="898">
    <w:name w:val="HTML Top of Form"/>
    <w:basedOn w:val="1"/>
    <w:next w:val="1"/>
    <w:link w:val="897"/>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autoRedefine/>
    <w:qFormat/>
    <w:uiPriority w:val="31"/>
    <w:rPr>
      <w:smallCaps/>
      <w:color w:val="C0504D"/>
      <w:u w:val="single"/>
    </w:rPr>
  </w:style>
  <w:style w:type="paragraph" w:customStyle="1" w:styleId="900">
    <w:name w:val="TOC Heading"/>
    <w:basedOn w:val="2"/>
    <w:next w:val="1"/>
    <w:autoRedefine/>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autoRedefine/>
    <w:semiHidden/>
    <w:qFormat/>
    <w:uiPriority w:val="99"/>
    <w:rPr>
      <w:rFonts w:ascii="Arial" w:hAnsi="Arial" w:eastAsia="宋体" w:cs="Arial"/>
      <w:vanish/>
      <w:sz w:val="16"/>
      <w:szCs w:val="16"/>
    </w:rPr>
  </w:style>
  <w:style w:type="character" w:customStyle="1" w:styleId="902">
    <w:name w:val="z-窗体顶端 Char1"/>
    <w:basedOn w:val="64"/>
    <w:autoRedefine/>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99"/>
    <w:pPr>
      <w:ind w:firstLine="420" w:firstLineChars="200"/>
    </w:pPr>
  </w:style>
  <w:style w:type="character" w:customStyle="1" w:styleId="905">
    <w:name w:val="content1"/>
    <w:autoRedefine/>
    <w:qFormat/>
    <w:uiPriority w:val="0"/>
    <w:rPr>
      <w:rFonts w:hint="default" w:ascii="Tahoma" w:hAnsi="Tahoma" w:cs="Tahoma"/>
      <w:sz w:val="21"/>
      <w:szCs w:val="21"/>
    </w:rPr>
  </w:style>
  <w:style w:type="character" w:customStyle="1" w:styleId="906">
    <w:name w:val="style25"/>
    <w:basedOn w:val="64"/>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autoRedefine/>
    <w:qFormat/>
    <w:uiPriority w:val="0"/>
    <w:rPr>
      <w:rFonts w:hint="default"/>
      <w:color w:val="0000FF"/>
      <w:sz w:val="21"/>
      <w:szCs w:val="21"/>
    </w:rPr>
  </w:style>
  <w:style w:type="character" w:customStyle="1" w:styleId="909">
    <w:name w:val="newstyle1"/>
    <w:autoRedefine/>
    <w:qFormat/>
    <w:uiPriority w:val="0"/>
    <w:rPr>
      <w:rFonts w:hint="default"/>
      <w:sz w:val="18"/>
      <w:szCs w:val="18"/>
    </w:rPr>
  </w:style>
  <w:style w:type="character" w:customStyle="1" w:styleId="910">
    <w:name w:val="center style5"/>
    <w:basedOn w:val="64"/>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autoRedefine/>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autoRedefine/>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autoRedefine/>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99"/>
    <w:pPr>
      <w:outlineLvl w:val="9"/>
    </w:pPr>
  </w:style>
  <w:style w:type="paragraph" w:customStyle="1" w:styleId="956">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autoRedefine/>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autoRedefine/>
    <w:qFormat/>
    <w:uiPriority w:val="0"/>
    <w:rPr>
      <w:rFonts w:ascii="Arial" w:hAnsi="Arial" w:cs="Arial"/>
      <w:vanish/>
      <w:sz w:val="16"/>
      <w:szCs w:val="16"/>
    </w:rPr>
  </w:style>
  <w:style w:type="character" w:customStyle="1" w:styleId="962">
    <w:name w:val="z-窗体顶端 字符1"/>
    <w:autoRedefine/>
    <w:qFormat/>
    <w:uiPriority w:val="0"/>
    <w:rPr>
      <w:rFonts w:ascii="Arial" w:hAnsi="Arial" w:cs="Arial"/>
      <w:vanish/>
      <w:sz w:val="16"/>
      <w:szCs w:val="16"/>
    </w:rPr>
  </w:style>
  <w:style w:type="character" w:customStyle="1" w:styleId="963">
    <w:name w:val="批注主题 字符"/>
    <w:basedOn w:val="82"/>
    <w:link w:val="56"/>
    <w:autoRedefine/>
    <w:qFormat/>
    <w:uiPriority w:val="99"/>
    <w:rPr>
      <w:rFonts w:ascii="Calibri" w:hAnsi="Calibri" w:eastAsia="宋体" w:cs="Times New Roman"/>
      <w:b/>
      <w:bCs/>
    </w:rPr>
  </w:style>
  <w:style w:type="character" w:customStyle="1" w:styleId="964">
    <w:name w:val="正文首行缩进 2 字符"/>
    <w:basedOn w:val="86"/>
    <w:link w:val="58"/>
    <w:autoRedefine/>
    <w:qFormat/>
    <w:uiPriority w:val="99"/>
    <w:rPr>
      <w:rFonts w:ascii="Times New Roman" w:hAnsi="Times New Roman" w:eastAsia="宋体" w:cs="Times New Roman"/>
      <w:spacing w:val="-4"/>
      <w:sz w:val="18"/>
      <w:szCs w:val="20"/>
    </w:rPr>
  </w:style>
  <w:style w:type="table" w:customStyle="1" w:styleId="965">
    <w:name w:val="浅色列表 - 着色 51"/>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autoRedefine/>
    <w:qFormat/>
    <w:uiPriority w:val="0"/>
    <w:rPr>
      <w:sz w:val="21"/>
      <w:szCs w:val="21"/>
    </w:rPr>
  </w:style>
  <w:style w:type="paragraph" w:customStyle="1" w:styleId="967">
    <w:name w:val="内容文本"/>
    <w:basedOn w:val="1"/>
    <w:autoRedefine/>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autoRedefine/>
    <w:qFormat/>
    <w:uiPriority w:val="99"/>
    <w:rPr>
      <w:rFonts w:eastAsia="宋体"/>
      <w:kern w:val="2"/>
      <w:sz w:val="28"/>
      <w:szCs w:val="24"/>
      <w:lang w:val="en-US" w:eastAsia="zh-CN" w:bidi="ar-SA"/>
    </w:rPr>
  </w:style>
  <w:style w:type="character" w:customStyle="1" w:styleId="969">
    <w:name w:val="批注文字 字符"/>
    <w:autoRedefine/>
    <w:qFormat/>
    <w:uiPriority w:val="99"/>
    <w:rPr>
      <w:kern w:val="2"/>
      <w:sz w:val="21"/>
      <w:szCs w:val="22"/>
    </w:rPr>
  </w:style>
  <w:style w:type="character" w:customStyle="1" w:styleId="970">
    <w:name w:val="正文文本缩进 字符"/>
    <w:autoRedefine/>
    <w:qFormat/>
    <w:uiPriority w:val="99"/>
    <w:rPr>
      <w:rFonts w:ascii="宋体" w:hAnsi="Courier New" w:eastAsia="宋体"/>
      <w:spacing w:val="-4"/>
      <w:kern w:val="2"/>
      <w:sz w:val="18"/>
      <w:lang w:val="en-US" w:eastAsia="zh-CN" w:bidi="ar-SA"/>
    </w:rPr>
  </w:style>
  <w:style w:type="character" w:customStyle="1" w:styleId="971">
    <w:name w:val="标题 字符1"/>
    <w:basedOn w:val="64"/>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4"/>
    <w:autoRedefine/>
    <w:qFormat/>
    <w:uiPriority w:val="11"/>
    <w:rPr>
      <w:b/>
      <w:bCs/>
      <w:kern w:val="28"/>
      <w:sz w:val="32"/>
      <w:szCs w:val="32"/>
    </w:rPr>
  </w:style>
  <w:style w:type="paragraph" w:customStyle="1" w:styleId="973">
    <w:name w:val="表格非标题文字"/>
    <w:link w:val="97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autoRedefine/>
    <w:qFormat/>
    <w:uiPriority w:val="0"/>
    <w:rPr>
      <w:rFonts w:ascii="Futura Bk" w:hAnsi="Futura Bk" w:eastAsia="宋体" w:cs="Times New Roman"/>
      <w:sz w:val="18"/>
      <w:szCs w:val="21"/>
    </w:rPr>
  </w:style>
  <w:style w:type="paragraph" w:customStyle="1" w:styleId="975">
    <w:name w:val="a2"/>
    <w:basedOn w:val="1"/>
    <w:autoRedefine/>
    <w:qFormat/>
    <w:uiPriority w:val="99"/>
    <w:pPr>
      <w:widowControl/>
      <w:spacing w:after="150"/>
      <w:jc w:val="left"/>
    </w:pPr>
    <w:rPr>
      <w:rFonts w:ascii="宋体" w:hAnsi="宋体" w:cs="宋体"/>
      <w:kern w:val="0"/>
      <w:sz w:val="24"/>
      <w:szCs w:val="24"/>
    </w:rPr>
  </w:style>
  <w:style w:type="table" w:customStyle="1" w:styleId="976">
    <w:name w:val="网格型1"/>
    <w:basedOn w:val="59"/>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autoRedefine/>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autoRedefine/>
    <w:qFormat/>
    <w:uiPriority w:val="0"/>
  </w:style>
  <w:style w:type="character" w:customStyle="1" w:styleId="981">
    <w:name w:val="书籍标题2"/>
    <w:autoRedefine/>
    <w:qFormat/>
    <w:uiPriority w:val="33"/>
    <w:rPr>
      <w:b/>
      <w:bCs/>
      <w:smallCaps/>
      <w:spacing w:val="5"/>
    </w:rPr>
  </w:style>
  <w:style w:type="paragraph" w:customStyle="1" w:styleId="982">
    <w:name w:val="z-窗体底端2"/>
    <w:basedOn w:val="1"/>
    <w:next w:val="1"/>
    <w:autoRedefine/>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autoRedefine/>
    <w:qFormat/>
    <w:uiPriority w:val="0"/>
    <w:rPr>
      <w:b/>
      <w:sz w:val="24"/>
      <w:u w:val="single"/>
    </w:rPr>
  </w:style>
  <w:style w:type="paragraph" w:customStyle="1" w:styleId="984">
    <w:name w:val="z-窗体顶端2"/>
    <w:basedOn w:val="1"/>
    <w:next w:val="1"/>
    <w:autoRedefine/>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autoRedefine/>
    <w:qFormat/>
    <w:uiPriority w:val="31"/>
    <w:rPr>
      <w:smallCaps/>
      <w:color w:val="C0504D"/>
      <w:u w:val="single"/>
    </w:rPr>
  </w:style>
  <w:style w:type="paragraph" w:customStyle="1" w:styleId="986">
    <w:name w:val="TOC 标题2"/>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autoRedefine/>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autoRedefine/>
    <w:semiHidden/>
    <w:qFormat/>
    <w:uiPriority w:val="0"/>
    <w:rPr>
      <w:rFonts w:ascii="Calibri" w:hAnsi="Calibri" w:eastAsia="宋体" w:cs="Times New Roman"/>
    </w:rPr>
  </w:style>
  <w:style w:type="character" w:customStyle="1" w:styleId="989">
    <w:name w:val="正文文本 2 字符1"/>
    <w:basedOn w:val="64"/>
    <w:autoRedefine/>
    <w:semiHidden/>
    <w:qFormat/>
    <w:uiPriority w:val="0"/>
    <w:rPr>
      <w:rFonts w:ascii="Calibri" w:hAnsi="Calibri" w:eastAsia="宋体" w:cs="Times New Roman"/>
    </w:rPr>
  </w:style>
  <w:style w:type="character" w:customStyle="1" w:styleId="990">
    <w:name w:val="纯文本 字符1"/>
    <w:basedOn w:val="64"/>
    <w:autoRedefine/>
    <w:semiHidden/>
    <w:qFormat/>
    <w:uiPriority w:val="99"/>
    <w:rPr>
      <w:rFonts w:hAnsi="Courier New" w:cs="Courier New" w:asciiTheme="minorEastAsia"/>
    </w:rPr>
  </w:style>
  <w:style w:type="table" w:customStyle="1" w:styleId="991">
    <w:name w:val="网格型2"/>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2">
    <w:name w:val="样式 3 10 磅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sub-title-info-items-item"/>
    <w:basedOn w:val="1"/>
    <w:autoRedefine/>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84</Pages>
  <Words>37563</Words>
  <Characters>39802</Characters>
  <Lines>1</Lines>
  <Paragraphs>1</Paragraphs>
  <TotalTime>4</TotalTime>
  <ScaleCrop>false</ScaleCrop>
  <LinksUpToDate>false</LinksUpToDate>
  <CharactersWithSpaces>41502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2023-04-28T04:31:00Z</dcterms:created>
  <dc:creator>张嫣</dc:creator>
  <cp:lastModifiedBy>D</cp:lastModifiedBy>
  <cp:lastPrinted>2021-01-25T02:12:00Z</cp:lastPrinted>
  <dcterms:modified xsi:type="dcterms:W3CDTF">2024-03-25T06:48:40Z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5779004BCADC46379D9B2902C27AC9CB_12</vt:lpwstr>
  </property>
</Properties>
</file>