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b/>
          <w:bCs/>
          <w:color w:val="000000" w:themeColor="text1"/>
          <w:sz w:val="52"/>
          <w:szCs w:val="52"/>
          <w14:textFill>
            <w14:solidFill>
              <w14:schemeClr w14:val="tx1"/>
            </w14:solidFill>
          </w14:textFill>
        </w:rPr>
      </w:pPr>
      <w:bookmarkStart w:id="0" w:name="PO_15528_PM002_1"/>
      <w:r>
        <w:rPr>
          <w:rFonts w:hint="eastAsia" w:ascii="宋体" w:hAnsi="宋体"/>
          <w:b/>
          <w:bCs/>
          <w:color w:val="000000" w:themeColor="text1"/>
          <w:sz w:val="52"/>
          <w:szCs w:val="52"/>
          <w14:textFill>
            <w14:solidFill>
              <w14:schemeClr w14:val="tx1"/>
            </w14:solidFill>
          </w14:textFill>
        </w:rPr>
        <w:t>浙江省教育厅（本级）2023年之江汇教育广场数字资源建设项目</w:t>
      </w:r>
      <w:bookmarkEnd w:id="0"/>
    </w:p>
    <w:p>
      <w:pPr>
        <w:spacing w:before="240" w:beforeLines="100" w:line="360" w:lineRule="auto"/>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14:textFill>
            <w14:solidFill>
              <w14:schemeClr w14:val="tx1"/>
            </w14:solidFill>
          </w14:textFill>
        </w:rPr>
        <w:t>ZZCG2023X-GK-153</w:t>
      </w:r>
      <w:bookmarkEnd w:id="1"/>
    </w:p>
    <w:p>
      <w:pPr>
        <w:spacing w:before="240" w:beforeLines="100" w:line="360" w:lineRule="auto"/>
        <w:jc w:val="center"/>
        <w:rPr>
          <w:rFonts w:ascii="宋体" w:hAnsi="宋体"/>
          <w:color w:val="000000" w:themeColor="text1"/>
          <w:sz w:val="36"/>
          <w:szCs w:val="36"/>
          <w14:textFill>
            <w14:solidFill>
              <w14:schemeClr w14:val="tx1"/>
            </w14:solidFill>
          </w14:textFill>
        </w:rPr>
      </w:pPr>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color w:val="000000" w:themeColor="text1"/>
          <w:sz w:val="32"/>
          <w:szCs w:val="32"/>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500" w:lineRule="exact"/>
        <w:ind w:right="532"/>
        <w:rPr>
          <w:rFonts w:ascii="宋体" w:hAnsi="宋体"/>
          <w:color w:val="000000" w:themeColor="text1"/>
          <w:sz w:val="36"/>
          <w:szCs w:val="36"/>
          <w14:textFill>
            <w14:solidFill>
              <w14:schemeClr w14:val="tx1"/>
            </w14:solidFill>
          </w14:textFill>
        </w:rPr>
      </w:pPr>
    </w:p>
    <w:p>
      <w:pPr>
        <w:spacing w:line="500" w:lineRule="exact"/>
        <w:ind w:right="532"/>
        <w:jc w:val="center"/>
        <w:rPr>
          <w:rFonts w:ascii="宋体" w:hAnsi="宋体"/>
          <w:color w:val="000000" w:themeColor="text1"/>
          <w:sz w:val="36"/>
          <w:szCs w:val="36"/>
          <w14:textFill>
            <w14:solidFill>
              <w14:schemeClr w14:val="tx1"/>
            </w14:solidFill>
          </w14:textFill>
        </w:rPr>
      </w:pPr>
    </w:p>
    <w:p>
      <w:pPr>
        <w:spacing w:line="500" w:lineRule="exact"/>
        <w:ind w:right="532"/>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jc w:val="center"/>
        <w:rPr>
          <w:rFonts w:ascii="宋体" w:hAnsi="宋体"/>
          <w:color w:val="000000" w:themeColor="text1"/>
          <w:sz w:val="36"/>
          <w:szCs w:val="36"/>
          <w14:textFill>
            <w14:solidFill>
              <w14:schemeClr w14:val="tx1"/>
            </w14:solidFill>
          </w14:textFill>
        </w:rPr>
      </w:pPr>
    </w:p>
    <w:p>
      <w:pPr>
        <w:wordWrap w:val="0"/>
        <w:spacing w:line="500" w:lineRule="exact"/>
        <w:ind w:right="-108"/>
        <w:jc w:val="center"/>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2"/>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41"/>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fldChar w:fldCharType="begin"/>
      </w:r>
      <w:r>
        <w:instrText xml:space="preserve"> HYPERLINK \l "_Toc2371" </w:instrText>
      </w:r>
      <w: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fldChar w:fldCharType="end"/>
      </w:r>
    </w:p>
    <w:p>
      <w:pPr>
        <w:pStyle w:val="41"/>
        <w:tabs>
          <w:tab w:val="right" w:leader="dot" w:pos="8312"/>
        </w:tabs>
      </w:pPr>
      <w:r>
        <w:fldChar w:fldCharType="begin"/>
      </w:r>
      <w:r>
        <w:instrText xml:space="preserve"> HYPERLINK \l "_Toc29498" </w:instrText>
      </w:r>
      <w:r>
        <w:fldChar w:fldCharType="separate"/>
      </w:r>
      <w:r>
        <w:rPr>
          <w:rFonts w:hint="eastAsia" w:ascii="仿宋" w:hAnsi="仿宋"/>
          <w:szCs w:val="36"/>
        </w:rPr>
        <w:t>第二章投标人须知</w:t>
      </w:r>
      <w:r>
        <w:tab/>
      </w:r>
      <w:r>
        <w:fldChar w:fldCharType="begin"/>
      </w:r>
      <w:r>
        <w:instrText xml:space="preserve"> PAGEREF _Toc29498 \h </w:instrText>
      </w:r>
      <w:r>
        <w:fldChar w:fldCharType="separate"/>
      </w:r>
      <w:r>
        <w:t>7</w:t>
      </w:r>
      <w:r>
        <w:fldChar w:fldCharType="end"/>
      </w:r>
      <w:r>
        <w:fldChar w:fldCharType="end"/>
      </w:r>
    </w:p>
    <w:p>
      <w:pPr>
        <w:pStyle w:val="41"/>
        <w:tabs>
          <w:tab w:val="right" w:leader="dot" w:pos="8312"/>
        </w:tabs>
      </w:pPr>
      <w:r>
        <w:fldChar w:fldCharType="begin"/>
      </w:r>
      <w:r>
        <w:instrText xml:space="preserve"> HYPERLINK \l "_Toc2834" </w:instrText>
      </w:r>
      <w: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27</w:t>
      </w:r>
      <w:r>
        <w:fldChar w:fldCharType="end"/>
      </w:r>
      <w:r>
        <w:fldChar w:fldCharType="end"/>
      </w:r>
    </w:p>
    <w:p>
      <w:pPr>
        <w:pStyle w:val="41"/>
        <w:tabs>
          <w:tab w:val="right" w:leader="dot" w:pos="8312"/>
        </w:tabs>
      </w:pPr>
      <w:r>
        <w:fldChar w:fldCharType="begin"/>
      </w:r>
      <w:r>
        <w:instrText xml:space="preserve"> HYPERLINK \l "_Toc24960" </w:instrText>
      </w:r>
      <w:r>
        <w:fldChar w:fldCharType="separate"/>
      </w:r>
      <w:r>
        <w:rPr>
          <w:rFonts w:hint="eastAsia" w:hAnsi="宋体"/>
          <w:szCs w:val="36"/>
        </w:rPr>
        <w:t>第四章招标需求</w:t>
      </w:r>
      <w:r>
        <w:tab/>
      </w:r>
      <w:r>
        <w:fldChar w:fldCharType="begin"/>
      </w:r>
      <w:r>
        <w:instrText xml:space="preserve"> PAGEREF _Toc24960 \h </w:instrText>
      </w:r>
      <w:r>
        <w:fldChar w:fldCharType="separate"/>
      </w:r>
      <w:r>
        <w:t>31</w:t>
      </w:r>
      <w:r>
        <w:fldChar w:fldCharType="end"/>
      </w:r>
      <w:r>
        <w:fldChar w:fldCharType="end"/>
      </w:r>
    </w:p>
    <w:p>
      <w:pPr>
        <w:pStyle w:val="41"/>
        <w:tabs>
          <w:tab w:val="right" w:leader="dot" w:pos="8312"/>
        </w:tabs>
      </w:pPr>
      <w:r>
        <w:fldChar w:fldCharType="begin"/>
      </w:r>
      <w:r>
        <w:instrText xml:space="preserve"> HYPERLINK \l "_Toc26308" </w:instrText>
      </w:r>
      <w: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43</w:t>
      </w:r>
      <w:r>
        <w:fldChar w:fldCharType="end"/>
      </w:r>
      <w:r>
        <w:fldChar w:fldCharType="end"/>
      </w:r>
    </w:p>
    <w:p>
      <w:pPr>
        <w:pStyle w:val="41"/>
        <w:tabs>
          <w:tab w:val="right" w:leader="dot" w:pos="8312"/>
        </w:tabs>
      </w:pPr>
      <w:r>
        <w:fldChar w:fldCharType="begin"/>
      </w:r>
      <w:r>
        <w:instrText xml:space="preserve"> HYPERLINK \l "_Toc22013" </w:instrText>
      </w:r>
      <w:r>
        <w:fldChar w:fldCharType="separate"/>
      </w:r>
      <w:r>
        <w:rPr>
          <w:rFonts w:hint="eastAsia" w:hAnsi="宋体"/>
          <w:szCs w:val="36"/>
        </w:rPr>
        <w:t>第六章投标文件格式附件</w:t>
      </w:r>
      <w:r>
        <w:tab/>
      </w:r>
      <w:r>
        <w:fldChar w:fldCharType="begin"/>
      </w:r>
      <w:r>
        <w:instrText xml:space="preserve"> PAGEREF _Toc22013 \h </w:instrText>
      </w:r>
      <w:r>
        <w:fldChar w:fldCharType="separate"/>
      </w:r>
      <w:r>
        <w:t>48</w:t>
      </w:r>
      <w:r>
        <w:fldChar w:fldCharType="end"/>
      </w:r>
      <w:r>
        <w:fldChar w:fldCharType="end"/>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2"/>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 公开招标采购公告</w:t>
      </w:r>
      <w:bookmarkEnd w:id="2"/>
    </w:p>
    <w:p>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ascii="仿宋" w:hAnsi="仿宋" w:eastAsia="仿宋" w:cs="Arial"/>
          <w:color w:val="000000" w:themeColor="text1"/>
          <w:sz w:val="30"/>
          <w:szCs w:val="30"/>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14:textFill>
            <w14:solidFill>
              <w14:schemeClr w14:val="tx1"/>
            </w14:solidFill>
          </w14:textFill>
        </w:rPr>
        <w:t>ZZCG2023X-GK-153</w:t>
      </w:r>
      <w:bookmarkEnd w:id="3"/>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14:textFill>
            <w14:solidFill>
              <w14:schemeClr w14:val="tx1"/>
            </w14:solidFill>
          </w14:textFill>
        </w:rPr>
        <w:t xml:space="preserve"> </w:t>
      </w:r>
    </w:p>
    <w:tbl>
      <w:tblPr>
        <w:tblStyle w:val="60"/>
        <w:tblW w:w="52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868"/>
        <w:gridCol w:w="915"/>
        <w:gridCol w:w="917"/>
        <w:gridCol w:w="138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标项序号</w:t>
            </w:r>
          </w:p>
        </w:tc>
        <w:tc>
          <w:tcPr>
            <w:tcW w:w="1611"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标项名称</w:t>
            </w:r>
          </w:p>
        </w:tc>
        <w:tc>
          <w:tcPr>
            <w:tcW w:w="514"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数量</w:t>
            </w:r>
          </w:p>
        </w:tc>
        <w:tc>
          <w:tcPr>
            <w:tcW w:w="515"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单位</w:t>
            </w:r>
          </w:p>
        </w:tc>
        <w:tc>
          <w:tcPr>
            <w:tcW w:w="775"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预算金额(万元)</w:t>
            </w:r>
          </w:p>
        </w:tc>
        <w:tc>
          <w:tcPr>
            <w:tcW w:w="1121"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1611"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浙江省教育厅（本级）2023年之江汇教育广场数字资源建设项目</w:t>
            </w:r>
          </w:p>
        </w:tc>
        <w:tc>
          <w:tcPr>
            <w:tcW w:w="514"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w:t>
            </w:r>
          </w:p>
        </w:tc>
        <w:tc>
          <w:tcPr>
            <w:tcW w:w="515"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批</w:t>
            </w:r>
          </w:p>
        </w:tc>
        <w:tc>
          <w:tcPr>
            <w:tcW w:w="775"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1500</w:t>
            </w:r>
          </w:p>
        </w:tc>
        <w:tc>
          <w:tcPr>
            <w:tcW w:w="1121" w:type="pct"/>
          </w:tcPr>
          <w:p>
            <w:pPr>
              <w:snapToGrid w:val="0"/>
              <w:spacing w:after="120" w:afterLines="50" w:line="460" w:lineRule="exact"/>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详见招标文件</w:t>
            </w:r>
          </w:p>
        </w:tc>
      </w:tr>
    </w:tbl>
    <w:p>
      <w:pPr>
        <w:snapToGrid w:val="0"/>
        <w:spacing w:after="120" w:afterLines="50" w:line="460" w:lineRule="exact"/>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 xml:space="preserve"> </w:t>
      </w:r>
      <w:bookmarkEnd w:id="4"/>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投标人的特定条件：无</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5" w:name="PO_15528_PM009"/>
      <w:r>
        <w:rPr>
          <w:rFonts w:hint="eastAsia" w:ascii="仿宋" w:hAnsi="仿宋" w:eastAsia="仿宋"/>
          <w:color w:val="000000" w:themeColor="text1"/>
          <w:kern w:val="0"/>
          <w:sz w:val="30"/>
          <w:szCs w:val="30"/>
          <w:lang w:eastAsia="zh-CN"/>
          <w14:textFill>
            <w14:solidFill>
              <w14:schemeClr w14:val="tx1"/>
            </w14:solidFill>
          </w14:textFill>
        </w:rPr>
        <w:t>2023-10-16 10:00:00</w:t>
      </w:r>
      <w:bookmarkEnd w:id="5"/>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2"/>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6" w:name="PO_15528_PM015"/>
      <w:r>
        <w:rPr>
          <w:rFonts w:hint="eastAsia" w:ascii="仿宋" w:hAnsi="仿宋" w:eastAsia="仿宋" w:cs="Arial"/>
          <w:color w:val="000000" w:themeColor="text1"/>
          <w:sz w:val="30"/>
          <w:szCs w:val="30"/>
          <w:lang w:eastAsia="zh-CN"/>
          <w14:textFill>
            <w14:solidFill>
              <w14:schemeClr w14:val="tx1"/>
            </w14:solidFill>
          </w14:textFill>
        </w:rPr>
        <w:t>2023-10-16 10:00:00</w:t>
      </w:r>
      <w:bookmarkEnd w:id="6"/>
      <w:r>
        <w:rPr>
          <w:rFonts w:hint="eastAsia" w:hAnsi="宋体"/>
          <w:b/>
          <w:color w:val="000000" w:themeColor="text1"/>
          <w:kern w:val="0"/>
          <w:sz w:val="28"/>
          <w:szCs w:val="28"/>
          <w14:textFill>
            <w14:solidFill>
              <w14:schemeClr w14:val="tx1"/>
            </w14:solidFill>
          </w14:textFill>
        </w:rPr>
        <w:t>。</w:t>
      </w:r>
    </w:p>
    <w:p>
      <w:pPr>
        <w:spacing w:line="480" w:lineRule="exact"/>
        <w:ind w:firstLine="560" w:firstLineChars="200"/>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spacing w:line="480" w:lineRule="exact"/>
        <w:ind w:firstLine="602" w:firstLineChars="200"/>
        <w:rPr>
          <w:rFonts w:ascii="仿宋" w:hAnsi="仿宋" w:eastAsia="仿宋"/>
          <w:b/>
          <w:bCs/>
          <w:color w:val="C00000"/>
          <w:sz w:val="30"/>
          <w:szCs w:val="30"/>
        </w:rPr>
      </w:pPr>
      <w:r>
        <w:rPr>
          <w:rFonts w:hint="eastAsia" w:ascii="仿宋" w:hAnsi="仿宋" w:eastAsia="仿宋"/>
          <w:b/>
          <w:bCs/>
          <w:color w:val="C00000"/>
          <w:sz w:val="30"/>
          <w:szCs w:val="30"/>
        </w:rPr>
        <w:t>本项目需提供演示文件，采用视频演示，以</w:t>
      </w:r>
      <w:r>
        <w:rPr>
          <w:rFonts w:ascii="仿宋" w:hAnsi="仿宋" w:eastAsia="仿宋"/>
          <w:b/>
          <w:bCs/>
          <w:color w:val="C00000"/>
          <w:sz w:val="30"/>
          <w:szCs w:val="30"/>
        </w:rPr>
        <w:t>U</w:t>
      </w:r>
      <w:r>
        <w:rPr>
          <w:rFonts w:hint="eastAsia" w:ascii="仿宋" w:hAnsi="仿宋" w:eastAsia="仿宋"/>
          <w:b/>
          <w:bCs/>
          <w:color w:val="C00000"/>
          <w:sz w:val="30"/>
          <w:szCs w:val="30"/>
        </w:rPr>
        <w:t>盘形式存储，并在投标截止时间前，通过邮寄方式，送达指定地点，逾期送达或未密封将被拒收。</w:t>
      </w:r>
    </w:p>
    <w:p>
      <w:pPr>
        <w:pStyle w:val="32"/>
        <w:adjustRightInd w:val="0"/>
        <w:snapToGrid w:val="0"/>
        <w:spacing w:before="120" w:after="120" w:line="500" w:lineRule="exact"/>
        <w:ind w:firstLine="605" w:firstLineChars="201"/>
        <w:rPr>
          <w:rFonts w:hAnsi="宋体"/>
          <w:color w:val="000000" w:themeColor="text1"/>
          <w:kern w:val="0"/>
          <w:sz w:val="28"/>
          <w:szCs w:val="28"/>
          <w14:textFill>
            <w14:solidFill>
              <w14:schemeClr w14:val="tx1"/>
            </w14:solidFill>
          </w14:textFill>
        </w:rPr>
      </w:pPr>
      <w:r>
        <w:rPr>
          <w:rFonts w:hint="eastAsia" w:ascii="仿宋" w:hAnsi="仿宋" w:eastAsia="仿宋"/>
          <w:b/>
          <w:bCs/>
          <w:color w:val="C00000"/>
          <w:sz w:val="30"/>
          <w:szCs w:val="30"/>
        </w:rPr>
        <w:t>演示U盘应当密封包装并在包装上标注演示U盘、项目名称、标项、供应商名称并加盖公章。未按文件要求提供演示U盘造成评审专家无法正常评审的风险由供应商自行承担。（演示U盘请单独封装）</w:t>
      </w:r>
    </w:p>
    <w:p>
      <w:pPr>
        <w:pStyle w:val="32"/>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2"/>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14:textFill>
            <w14:solidFill>
              <w14:schemeClr w14:val="tx1"/>
            </w14:solidFill>
          </w14:textFill>
        </w:rPr>
        <w:t>演示文件及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2"/>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7" w:name="PO_15528_PM015_1"/>
      <w:r>
        <w:rPr>
          <w:rFonts w:hint="eastAsia" w:ascii="宋体" w:hAnsi="宋体" w:cs="Arial"/>
          <w:b/>
          <w:color w:val="000000" w:themeColor="text1"/>
          <w:sz w:val="28"/>
          <w:szCs w:val="28"/>
          <w:lang w:eastAsia="zh-CN"/>
          <w14:textFill>
            <w14:solidFill>
              <w14:schemeClr w14:val="tx1"/>
            </w14:solidFill>
          </w14:textFill>
        </w:rPr>
        <w:t>2023-10-16 10:00:00</w:t>
      </w:r>
      <w:bookmarkEnd w:id="7"/>
      <w:r>
        <w:rPr>
          <w:rFonts w:hint="eastAsia" w:ascii="宋体" w:hAnsi="宋体" w:cs="Arial"/>
          <w:b/>
          <w:color w:val="000000" w:themeColor="text1"/>
          <w:sz w:val="28"/>
          <w:szCs w:val="28"/>
          <w14:textFill>
            <w14:solidFill>
              <w14:schemeClr w14:val="tx1"/>
            </w14:solidFill>
          </w14:textFill>
        </w:rPr>
        <w:t>时整在</w:t>
      </w:r>
      <w:bookmarkStart w:id="8"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西湖区浙江省杭州市西湖区宝石一路3号201开标室</w:t>
      </w:r>
      <w:bookmarkEnd w:id="8"/>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w:t>
            </w:r>
            <w:r>
              <w:rPr>
                <w:rFonts w:ascii="宋体" w:hAnsi="宋体" w:cs="宋体"/>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kern w:val="0"/>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69"/>
          <w:color w:val="000000" w:themeColor="text1"/>
          <w:sz w:val="28"/>
          <w:szCs w:val="28"/>
          <w14:textFill>
            <w14:solidFill>
              <w14:schemeClr w14:val="tx1"/>
            </w14:solidFill>
          </w14:textFill>
        </w:rPr>
        <w:t>http://zfcg.czt.zj.gov.cn/</w:t>
      </w:r>
      <w:r>
        <w:rPr>
          <w:rStyle w:val="69"/>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9" w:name="PO_15528_PM032"/>
            <w:r>
              <w:rPr>
                <w:rFonts w:hint="eastAsia" w:ascii="仿宋" w:hAnsi="仿宋" w:eastAsia="仿宋" w:cs="仿宋"/>
                <w:sz w:val="28"/>
                <w:szCs w:val="28"/>
              </w:rPr>
              <w:t>柯</w:t>
            </w:r>
            <w:bookmarkEnd w:id="9"/>
            <w:r>
              <w:rPr>
                <w:rFonts w:hint="eastAsia" w:ascii="仿宋" w:hAnsi="仿宋" w:eastAsia="仿宋" w:cs="仿宋"/>
                <w:sz w:val="28"/>
                <w:szCs w:val="28"/>
              </w:rPr>
              <w:t>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bookmarkStart w:id="10" w:name="PO_15528_PM033"/>
            <w:r>
              <w:rPr>
                <w:rFonts w:hint="eastAsia" w:ascii="仿宋" w:hAnsi="仿宋" w:eastAsia="仿宋" w:cs="仿宋"/>
                <w:sz w:val="28"/>
                <w:szCs w:val="28"/>
              </w:rPr>
              <w:t>0571-88901833</w:t>
            </w:r>
            <w:bookmarkEnd w:id="10"/>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四楼（采购二部）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商女士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w:t>
            </w:r>
            <w:r>
              <w:rPr>
                <w:rFonts w:hint="eastAsia" w:ascii="仿宋" w:hAnsi="仿宋" w:eastAsia="仿宋" w:cs="仿宋"/>
                <w:sz w:val="28"/>
                <w:szCs w:val="28"/>
              </w:rPr>
              <w:t>06</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0571-88907717</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360" w:lineRule="auto"/>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bookmarkStart w:id="47" w:name="_GoBack"/>
      <w:bookmarkEnd w:id="47"/>
      <w:r>
        <w:rPr>
          <w:rFonts w:hint="eastAsia" w:ascii="仿宋" w:hAnsi="仿宋" w:eastAsia="仿宋" w:cs="Arial"/>
          <w:b/>
          <w:bCs/>
          <w:color w:val="000000" w:themeColor="text1"/>
          <w:sz w:val="30"/>
          <w:szCs w:val="30"/>
          <w14:textFill>
            <w14:solidFill>
              <w14:schemeClr w14:val="tx1"/>
            </w14:solidFill>
          </w14:textFill>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bookmarkStart w:id="11" w:name="PO_TDCUS_ITEM_PRC_TABLE_1_1_2"/>
            <w:r>
              <w:rPr>
                <w:rFonts w:hint="eastAsia" w:ascii="仿宋_GB2312" w:hAnsi="仿宋" w:eastAsia="仿宋_GB2312"/>
                <w:color w:val="000000" w:themeColor="text1"/>
                <w:sz w:val="30"/>
                <w:szCs w:val="30"/>
                <w14:textFill>
                  <w14:solidFill>
                    <w14:schemeClr w14:val="tx1"/>
                  </w14:solidFill>
                </w14:textFill>
              </w:rPr>
              <w:t>采购单位</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浙江省教育厅（本级）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地址</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浙江省杭州市拱墅区文晖路321号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咨询事项</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lang w:val="en-US" w:eastAsia="zh-CN"/>
                <w14:textFill>
                  <w14:solidFill>
                    <w14:schemeClr w14:val="tx1"/>
                  </w14:solidFill>
                </w14:textFill>
              </w:rPr>
              <w:t>评分标准、</w:t>
            </w:r>
            <w:r>
              <w:rPr>
                <w:rFonts w:hint="eastAsia" w:ascii="仿宋_GB2312" w:hAnsi="仿宋" w:eastAsia="仿宋_GB2312"/>
                <w:color w:val="000000" w:themeColor="text1"/>
                <w:sz w:val="30"/>
                <w:szCs w:val="30"/>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联系人</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林老师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联系方式</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0571-88008795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传真</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备注</w:t>
            </w:r>
          </w:p>
        </w:tc>
        <w:tc>
          <w:tcPr>
            <w:tcW w:w="2500" w:type="pct"/>
          </w:tcPr>
          <w:p>
            <w:pPr>
              <w:snapToGrid w:val="0"/>
              <w:spacing w:line="440" w:lineRule="exact"/>
              <w:jc w:val="center"/>
              <w:rPr>
                <w:rFonts w:ascii="仿宋_GB2312" w:hAnsi="仿宋" w:eastAsia="仿宋_GB2312"/>
                <w:color w:val="000000" w:themeColor="text1"/>
                <w:sz w:val="30"/>
                <w:szCs w:val="30"/>
                <w14:textFill>
                  <w14:solidFill>
                    <w14:schemeClr w14:val="tx1"/>
                  </w14:solidFill>
                </w14:textFill>
              </w:rPr>
            </w:pPr>
          </w:p>
        </w:tc>
      </w:tr>
    </w:tbl>
    <w:p>
      <w:pPr>
        <w:snapToGrid w:val="0"/>
        <w:spacing w:line="440" w:lineRule="exact"/>
        <w:ind w:firstLine="600" w:firstLineChars="200"/>
        <w:jc w:val="center"/>
        <w:rPr>
          <w:rFonts w:ascii="仿宋_GB2312" w:hAnsi="仿宋" w:eastAsia="仿宋_GB2312"/>
          <w:color w:val="000000" w:themeColor="text1"/>
          <w:sz w:val="30"/>
          <w:szCs w:val="30"/>
          <w14:textFill>
            <w14:solidFill>
              <w14:schemeClr w14:val="tx1"/>
            </w14:solidFill>
          </w14:textFill>
        </w:rPr>
      </w:pPr>
      <w:r>
        <w:rPr>
          <w:rFonts w:hint="eastAsia" w:ascii="仿宋_GB2312" w:hAnsi="仿宋" w:eastAsia="仿宋_GB2312"/>
          <w:color w:val="000000" w:themeColor="text1"/>
          <w:sz w:val="30"/>
          <w:szCs w:val="30"/>
          <w14:textFill>
            <w14:solidFill>
              <w14:schemeClr w14:val="tx1"/>
            </w14:solidFill>
          </w14:textFill>
        </w:rPr>
        <w:t xml:space="preserve"> </w:t>
      </w:r>
      <w:bookmarkEnd w:id="11"/>
    </w:p>
    <w:p>
      <w:pPr>
        <w:snapToGrid w:val="0"/>
        <w:spacing w:line="360" w:lineRule="auto"/>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2"/>
        <w:tabs>
          <w:tab w:val="left" w:pos="220"/>
        </w:tabs>
        <w:spacing w:before="120" w:after="120" w:line="360" w:lineRule="auto"/>
        <w:outlineLvl w:val="0"/>
        <w:rPr>
          <w:rFonts w:hAnsi="宋体" w:cs="仿宋"/>
          <w:color w:val="000000" w:themeColor="text1"/>
          <w:sz w:val="28"/>
          <w:szCs w:val="28"/>
          <w14:textFill>
            <w14:solidFill>
              <w14:schemeClr w14:val="tx1"/>
            </w14:solidFill>
          </w14:textFill>
        </w:rPr>
      </w:pP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2" w:name="_Toc29498"/>
      <w:bookmarkStart w:id="13" w:name="_Toc496796636"/>
      <w:r>
        <w:rPr>
          <w:rFonts w:hint="eastAsia" w:ascii="仿宋" w:hAnsi="仿宋" w:eastAsia="仿宋"/>
          <w:b/>
          <w:color w:val="000000" w:themeColor="text1"/>
          <w:sz w:val="36"/>
          <w:szCs w:val="36"/>
          <w14:textFill>
            <w14:solidFill>
              <w14:schemeClr w14:val="tx1"/>
            </w14:solidFill>
          </w14:textFill>
        </w:rPr>
        <w:t>第二章</w:t>
      </w:r>
      <w:bookmarkStart w:id="14" w:name="投标人须知"/>
      <w:r>
        <w:rPr>
          <w:rFonts w:hint="eastAsia" w:ascii="仿宋" w:hAnsi="仿宋" w:eastAsia="仿宋"/>
          <w:b/>
          <w:color w:val="000000" w:themeColor="text1"/>
          <w:sz w:val="36"/>
          <w:szCs w:val="36"/>
          <w14:textFill>
            <w14:solidFill>
              <w14:schemeClr w14:val="tx1"/>
            </w14:solidFill>
          </w14:textFill>
        </w:rPr>
        <w:t xml:space="preserve"> 投标人须知</w:t>
      </w:r>
      <w:bookmarkEnd w:id="12"/>
      <w:bookmarkEnd w:id="13"/>
      <w:bookmarkEnd w:id="14"/>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59"/>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1"/>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项目属性（服务类）</w:t>
            </w:r>
          </w:p>
          <w:p>
            <w:pPr>
              <w:pStyle w:val="182"/>
              <w:numPr>
                <w:ilvl w:val="0"/>
                <w:numId w:val="31"/>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sz w:val="24"/>
                <w:szCs w:val="24"/>
              </w:rPr>
              <w:t>浙江省教育厅（本级）2023年之江汇教育广场数字资源建设项目</w:t>
            </w:r>
            <w:r>
              <w:rPr>
                <w:rFonts w:hint="eastAsia" w:ascii="仿宋" w:hAnsi="仿宋" w:eastAsia="仿宋"/>
                <w:b/>
                <w:color w:val="000000" w:themeColor="text1"/>
                <w:sz w:val="24"/>
                <w:szCs w:val="24"/>
                <w14:textFill>
                  <w14:solidFill>
                    <w14:schemeClr w14:val="tx1"/>
                  </w14:solidFill>
                </w14:textFill>
              </w:rPr>
              <w:t>，所属行业：软件和信息技术服务业</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10%  </w:t>
            </w:r>
            <w:r>
              <w:rPr>
                <w:rFonts w:hint="eastAsia" w:ascii="仿宋" w:hAnsi="仿宋" w:eastAsia="仿宋"/>
                <w:b/>
                <w:color w:val="000000" w:themeColor="text1"/>
                <w:sz w:val="24"/>
                <w:szCs w:val="24"/>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4%  </w:t>
            </w:r>
            <w:r>
              <w:rPr>
                <w:rFonts w:hint="eastAsia" w:ascii="仿宋" w:hAnsi="仿宋" w:eastAsia="仿宋"/>
                <w:b/>
                <w:color w:val="000000" w:themeColor="text1"/>
                <w:sz w:val="24"/>
                <w:szCs w:val="24"/>
                <w14:textFill>
                  <w14:solidFill>
                    <w14:schemeClr w14:val="tx1"/>
                  </w14:solidFill>
                </w14:textFill>
              </w:rPr>
              <w:t>的扣除，用扣除后的价格参加评审。</w:t>
            </w:r>
          </w:p>
          <w:p>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5" w:name="PO_15528_PM042"/>
            <w:r>
              <w:rPr>
                <w:rFonts w:hint="eastAsia" w:ascii="仿宋" w:hAnsi="仿宋" w:eastAsia="仿宋"/>
                <w:color w:val="000000" w:themeColor="text1"/>
                <w:sz w:val="24"/>
                <w:szCs w:val="24"/>
                <w14:textFill>
                  <w14:solidFill>
                    <w14:schemeClr w14:val="tx1"/>
                  </w14:solidFill>
                </w14:textFill>
              </w:rPr>
              <w:t>不允许进口产品</w:t>
            </w:r>
            <w:bookmarkEnd w:id="15"/>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6" w:name="PO_15528_PM044"/>
            <w:r>
              <w:rPr>
                <w:rFonts w:hint="eastAsia" w:ascii="仿宋_GB2312" w:hAnsi="仿宋" w:eastAsia="仿宋_GB2312"/>
                <w:bCs/>
                <w:color w:val="000000" w:themeColor="text1"/>
                <w:sz w:val="24"/>
                <w14:textFill>
                  <w14:solidFill>
                    <w14:schemeClr w14:val="tx1"/>
                  </w14:solidFill>
                </w14:textFill>
              </w:rPr>
              <w:t>允许分包</w:t>
            </w:r>
            <w:bookmarkEnd w:id="16"/>
            <w:r>
              <w:rPr>
                <w:rFonts w:hint="eastAsia" w:ascii="仿宋_GB2312" w:hAnsi="仿宋" w:eastAsia="仿宋_GB2312"/>
                <w:bCs/>
                <w:color w:val="000000" w:themeColor="text1"/>
                <w:sz w:val="24"/>
                <w14:textFill>
                  <w14:solidFill>
                    <w14:schemeClr w14:val="tx1"/>
                  </w14:solidFill>
                </w14:textFill>
              </w:rPr>
              <w:t>；非主体、非关键性工作允许分包。</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000000" w:themeColor="text1"/>
                <w:sz w:val="24"/>
                <w14:textFill>
                  <w14:solidFill>
                    <w14:schemeClr w14:val="tx1"/>
                  </w14:solidFill>
                </w14:textFill>
              </w:rPr>
            </w:pPr>
            <w:bookmarkStart w:id="17" w:name="PO_15528_PM007_1"/>
            <w:r>
              <w:rPr>
                <w:rFonts w:hint="eastAsia" w:ascii="仿宋_GB2312" w:hAnsi="仿宋" w:eastAsia="仿宋_GB2312"/>
                <w:bCs/>
                <w:color w:val="000000" w:themeColor="text1"/>
                <w:sz w:val="24"/>
                <w14:textFill>
                  <w14:solidFill>
                    <w14:schemeClr w14:val="tx1"/>
                  </w14:solidFill>
                </w14:textFill>
              </w:rPr>
              <w:t>允许联合体投标</w:t>
            </w:r>
            <w:bookmarkEnd w:id="17"/>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8" w:name="PO_15528_PM040"/>
            <w:r>
              <w:rPr>
                <w:rFonts w:hint="eastAsia" w:ascii="仿宋" w:hAnsi="仿宋" w:eastAsia="仿宋"/>
                <w:color w:val="000000" w:themeColor="text1"/>
                <w:sz w:val="24"/>
                <w:szCs w:val="24"/>
                <w14:textFill>
                  <w14:solidFill>
                    <w14:schemeClr w14:val="tx1"/>
                  </w14:solidFill>
                </w14:textFill>
              </w:rPr>
              <w:t>不组织现场踏勘</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9" w:name="PO_1000000445_PM041"/>
            <w:r>
              <w:rPr>
                <w:rFonts w:hint="eastAsia" w:ascii="仿宋" w:hAnsi="仿宋" w:eastAsia="仿宋"/>
                <w:color w:val="000000" w:themeColor="text1"/>
                <w:sz w:val="24"/>
                <w:szCs w:val="24"/>
                <w14:textFill>
                  <w14:solidFill>
                    <w14:schemeClr w14:val="tx1"/>
                  </w14:solidFill>
                </w14:textFill>
              </w:rPr>
              <w:t>进行演示</w:t>
            </w:r>
            <w:bookmarkEnd w:id="19"/>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3"/>
            <w:r>
              <w:rPr>
                <w:rFonts w:hint="eastAsia" w:ascii="仿宋" w:hAnsi="仿宋" w:eastAsia="仿宋"/>
                <w:color w:val="000000" w:themeColor="text1"/>
                <w:sz w:val="24"/>
                <w:szCs w:val="24"/>
                <w14:textFill>
                  <w14:solidFill>
                    <w14:schemeClr w14:val="tx1"/>
                  </w14:solidFill>
                </w14:textFill>
              </w:rPr>
              <w:t>不要求提供样品</w:t>
            </w:r>
            <w:bookmarkEnd w:id="20"/>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https://middle.zcygov.cn/v-settle-front/registry</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b/>
                <w:color w:val="000000" w:themeColor="text1"/>
                <w:sz w:val="24"/>
                <w:szCs w:val="24"/>
                <w14:textFill>
                  <w14:solidFill>
                    <w14:schemeClr w14:val="tx1"/>
                  </w14:solidFill>
                </w14:textFill>
              </w:rPr>
              <w:t>https://edu.zcygov.cn/luban/e-biding</w:t>
            </w:r>
            <w:r>
              <w:rPr>
                <w:rStyle w:val="69"/>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000000" w:themeColor="text1"/>
                <w:sz w:val="24"/>
                <w:szCs w:val="24"/>
                <w14:textFill>
                  <w14:solidFill>
                    <w14:schemeClr w14:val="tx1"/>
                  </w14:solidFill>
                </w14:textFill>
              </w:rPr>
              <w:t>http://www.zjzfcg.gov.cn</w:t>
            </w:r>
            <w:r>
              <w:rPr>
                <w:rStyle w:val="69"/>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2"/>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2"/>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2"/>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1.投标人认为采购文件使自己的权益受到损害的，可以自获取采购文件之日或者采购公告期限届满之日（公告期限届满后获取采购文件的，以公告期限届满之日为准）起7个工作日内，对采购文件需求</w:t>
      </w:r>
      <w:r>
        <w:rPr>
          <w:rFonts w:hint="eastAsia" w:ascii="仿宋" w:hAnsi="仿宋" w:eastAsia="仿宋"/>
          <w:bCs/>
          <w:color w:val="000000" w:themeColor="text1"/>
          <w:sz w:val="28"/>
          <w:szCs w:val="28"/>
          <w:lang w:val="en-US" w:eastAsia="zh-CN"/>
          <w14:textFill>
            <w14:solidFill>
              <w14:schemeClr w14:val="tx1"/>
            </w14:solidFill>
          </w14:textFill>
        </w:rPr>
        <w:t>及评分标准</w:t>
      </w:r>
      <w:r>
        <w:rPr>
          <w:rFonts w:hint="eastAsia" w:ascii="仿宋" w:hAnsi="仿宋" w:eastAsia="仿宋"/>
          <w:bCs/>
          <w:color w:val="000000" w:themeColor="text1"/>
          <w:sz w:val="28"/>
          <w:szCs w:val="28"/>
          <w14:textFill>
            <w14:solidFill>
              <w14:schemeClr w14:val="tx1"/>
            </w14:solidFill>
          </w14:textFill>
        </w:rPr>
        <w:t>的以书面形式向采购人提出质疑，对其他内容的以书面形式向采购人和招标方提出质疑。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2"/>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bCs/>
          <w:color w:val="000000" w:themeColor="text1"/>
          <w:sz w:val="28"/>
          <w:szCs w:val="28"/>
          <w14:textFill>
            <w14:solidFill>
              <w14:schemeClr w14:val="tx1"/>
            </w14:solidFill>
          </w14:textFill>
        </w:rPr>
        <w:t>http://zfcg.czt.zj.gov.cn/</w:t>
      </w:r>
      <w:r>
        <w:rPr>
          <w:rStyle w:val="69"/>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2"/>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2"/>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2"/>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69"/>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1"/>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18"/>
        <w:tabs>
          <w:tab w:val="clear" w:pos="454"/>
        </w:tabs>
        <w:snapToGrid w:val="0"/>
        <w:spacing w:before="120" w:beforeLines="50" w:after="156" w:line="460" w:lineRule="exact"/>
        <w:ind w:left="0"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18"/>
        <w:tabs>
          <w:tab w:val="clear" w:pos="454"/>
        </w:tabs>
        <w:snapToGrid w:val="0"/>
        <w:spacing w:before="120"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18"/>
        <w:tabs>
          <w:tab w:val="clear" w:pos="454"/>
        </w:tabs>
        <w:snapToGrid w:val="0"/>
        <w:spacing w:before="120" w:beforeLines="50" w:after="156" w:line="460" w:lineRule="exact"/>
        <w:ind w:left="0"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2"/>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2"/>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2"/>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2"/>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2"/>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2"/>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2"/>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2"/>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2"/>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2"/>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2"/>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2"/>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2"/>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2"/>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2"/>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2"/>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2"/>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2"/>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2"/>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2"/>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2"/>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2"/>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2"/>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2"/>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2"/>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2"/>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1" w:name="_Toc2834"/>
      <w:bookmarkStart w:id="22" w:name="_Toc496796637"/>
      <w:r>
        <w:rPr>
          <w:rFonts w:hint="eastAsia" w:hAnsi="宋体"/>
          <w:b/>
          <w:color w:val="000000" w:themeColor="text1"/>
          <w:sz w:val="36"/>
          <w:szCs w:val="36"/>
          <w14:textFill>
            <w14:solidFill>
              <w14:schemeClr w14:val="tx1"/>
            </w14:solidFill>
          </w14:textFill>
        </w:rPr>
        <w:t>第三章</w:t>
      </w:r>
      <w:bookmarkStart w:id="23" w:name="评标办法及评分标准"/>
      <w:r>
        <w:rPr>
          <w:rFonts w:hint="eastAsia" w:hAnsi="宋体"/>
          <w:b/>
          <w:color w:val="000000" w:themeColor="text1"/>
          <w:sz w:val="36"/>
          <w:szCs w:val="36"/>
          <w14:textFill>
            <w14:solidFill>
              <w14:schemeClr w14:val="tx1"/>
            </w14:solidFill>
          </w14:textFill>
        </w:rPr>
        <w:t xml:space="preserve"> 评标办法及评分标准</w:t>
      </w:r>
      <w:bookmarkEnd w:id="21"/>
      <w:bookmarkEnd w:id="22"/>
      <w:bookmarkEnd w:id="23"/>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4" w:name="_Toc496796638"/>
    </w:p>
    <w:tbl>
      <w:tblPr>
        <w:tblStyle w:val="60"/>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5"/>
        <w:gridCol w:w="4350"/>
        <w:gridCol w:w="700"/>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bookmarkStart w:id="25" w:name="PO_TDCUS_ITEM_SM_TABLE_1_1"/>
            <w:r>
              <w:rPr>
                <w:rFonts w:hint="eastAsia" w:ascii="仿宋" w:hAnsi="仿宋" w:eastAsia="仿宋"/>
                <w:sz w:val="24"/>
                <w:szCs w:val="24"/>
              </w:rPr>
              <w:t>序号</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评分类型</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评分标准</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分值</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报价</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(最低报价/投标报价)*最大分值</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20</w:t>
            </w:r>
          </w:p>
        </w:tc>
        <w:tc>
          <w:tcPr>
            <w:tcW w:w="1238" w:type="dxa"/>
          </w:tcPr>
          <w:p>
            <w:pPr>
              <w:widowControl/>
              <w:spacing w:before="120" w:beforeLines="50" w:after="120" w:afterLines="50" w:line="3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trPr>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投标单位对项目背景、业务现状、目标、需求的理解和分析，内容要素全面、科学合理贴近采购要求。</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（1）根据采购需求，项目方案总体实施框架合理，包含项目背景、项目任务、人员队伍等部分。最高得</w:t>
            </w:r>
            <w:r>
              <w:rPr>
                <w:rFonts w:ascii="仿宋" w:hAnsi="仿宋" w:eastAsia="仿宋"/>
                <w:sz w:val="24"/>
                <w:szCs w:val="24"/>
              </w:rPr>
              <w:t>2</w:t>
            </w:r>
            <w:r>
              <w:rPr>
                <w:rFonts w:hint="eastAsia" w:ascii="仿宋" w:hAnsi="仿宋" w:eastAsia="仿宋"/>
                <w:sz w:val="24"/>
                <w:szCs w:val="24"/>
              </w:rPr>
              <w:t>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（2）对项目现状把握透彻，分析到位。最高得2分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（3）项目工作思路清晰，数字课程资源、在线答疑服务、名师网络工作室、按用付费等任务组织正确，符合项目实际，全面、专业，切实可行。最高得</w:t>
            </w:r>
            <w:r>
              <w:rPr>
                <w:rFonts w:ascii="仿宋" w:hAnsi="仿宋" w:eastAsia="仿宋"/>
                <w:sz w:val="24"/>
                <w:szCs w:val="24"/>
              </w:rPr>
              <w:t>2</w:t>
            </w:r>
            <w:r>
              <w:rPr>
                <w:rFonts w:hint="eastAsia" w:ascii="仿宋" w:hAnsi="仿宋" w:eastAsia="仿宋"/>
                <w:sz w:val="24"/>
                <w:szCs w:val="24"/>
              </w:rPr>
              <w:t>分</w:t>
            </w:r>
          </w:p>
        </w:tc>
        <w:tc>
          <w:tcPr>
            <w:tcW w:w="700" w:type="dxa"/>
          </w:tcPr>
          <w:p>
            <w:pPr>
              <w:widowControl/>
              <w:spacing w:before="120" w:beforeLines="50" w:after="120" w:afterLines="50" w:line="340" w:lineRule="exact"/>
              <w:rPr>
                <w:rFonts w:ascii="仿宋" w:hAnsi="仿宋" w:eastAsia="仿宋"/>
                <w:sz w:val="24"/>
                <w:szCs w:val="24"/>
              </w:rPr>
            </w:pPr>
            <w:r>
              <w:rPr>
                <w:rFonts w:ascii="仿宋" w:hAnsi="仿宋" w:eastAsia="仿宋"/>
                <w:sz w:val="24"/>
                <w:szCs w:val="24"/>
              </w:rPr>
              <w:t>6</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整体工作阶段及进度安排合理性、关键时间节点把握及时准确性。</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（1）进度设定：以提高之江汇教育广场数字资源建设质量和师生使用满意度为重点目标，进度安排准确合理。最高得</w:t>
            </w:r>
            <w:r>
              <w:rPr>
                <w:rFonts w:ascii="仿宋" w:hAnsi="仿宋" w:eastAsia="仿宋"/>
                <w:sz w:val="24"/>
                <w:szCs w:val="24"/>
              </w:rPr>
              <w:t>3</w:t>
            </w:r>
            <w:r>
              <w:rPr>
                <w:rFonts w:hint="eastAsia" w:ascii="仿宋" w:hAnsi="仿宋" w:eastAsia="仿宋"/>
                <w:sz w:val="24"/>
                <w:szCs w:val="24"/>
              </w:rPr>
              <w:t>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（2）详细进度实施方案：包括时间、内容、范围、参与人群、流程、方式、目标、应对变化措施等，进度实施方案准确、有效。最高得</w:t>
            </w:r>
            <w:r>
              <w:rPr>
                <w:rFonts w:ascii="仿宋" w:hAnsi="仿宋" w:eastAsia="仿宋"/>
                <w:sz w:val="24"/>
                <w:szCs w:val="24"/>
              </w:rPr>
              <w:t>3</w:t>
            </w:r>
            <w:r>
              <w:rPr>
                <w:rFonts w:hint="eastAsia" w:ascii="仿宋" w:hAnsi="仿宋" w:eastAsia="仿宋"/>
                <w:sz w:val="24"/>
                <w:szCs w:val="24"/>
              </w:rPr>
              <w:t>分</w:t>
            </w:r>
          </w:p>
        </w:tc>
        <w:tc>
          <w:tcPr>
            <w:tcW w:w="700" w:type="dxa"/>
          </w:tcPr>
          <w:p>
            <w:pPr>
              <w:widowControl/>
              <w:spacing w:before="120" w:beforeLines="50" w:after="120" w:afterLines="50" w:line="340" w:lineRule="exact"/>
              <w:rPr>
                <w:rFonts w:ascii="仿宋" w:hAnsi="仿宋" w:eastAsia="仿宋"/>
                <w:sz w:val="24"/>
                <w:szCs w:val="24"/>
              </w:rPr>
            </w:pPr>
            <w:r>
              <w:rPr>
                <w:rFonts w:ascii="仿宋" w:hAnsi="仿宋" w:eastAsia="仿宋"/>
                <w:sz w:val="24"/>
                <w:szCs w:val="24"/>
              </w:rPr>
              <w:t>6</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3</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技术</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管理组织、经费安排和规范的全面性、专业性、可行性。</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（1）有能力开展资源承建团队的组织遴选，承建团队人员符合资源建设要求。最高得3分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（2）项目经费测算安排科学、合理。最高得2分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（3）在线答疑服务数据统计、名师网络工作室考核数据规则、按用付费数据统计与支付规则科学、合理。最高得3分</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8</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4</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项目质量保障（目标、措施和体系）针对性、专业性，项目成果交付的专业性、规范性、成熟性、业务需求符合程度。</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（1）课程资源建设、上传、审核发布机制规范、合理。最高得3分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（2）在线答疑服务组织保障措施有效。最高得2分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（3）名师网络工作室审核指导、监管、考核统计措施科学、全面。最高得</w:t>
            </w:r>
            <w:r>
              <w:rPr>
                <w:rFonts w:ascii="仿宋" w:hAnsi="仿宋" w:eastAsia="仿宋"/>
                <w:sz w:val="24"/>
                <w:szCs w:val="24"/>
              </w:rPr>
              <w:t>3</w:t>
            </w:r>
            <w:r>
              <w:rPr>
                <w:rFonts w:hint="eastAsia" w:ascii="仿宋" w:hAnsi="仿宋" w:eastAsia="仿宋"/>
                <w:sz w:val="24"/>
                <w:szCs w:val="24"/>
              </w:rPr>
              <w:t>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（4）提供1份开展师生资源使用满意度调查的方案，</w:t>
            </w:r>
            <w:r>
              <w:rPr>
                <w:rFonts w:ascii="仿宋" w:hAnsi="仿宋" w:eastAsia="仿宋"/>
                <w:sz w:val="24"/>
                <w:szCs w:val="24"/>
              </w:rPr>
              <w:t>1</w:t>
            </w:r>
            <w:r>
              <w:rPr>
                <w:rFonts w:hint="eastAsia" w:ascii="仿宋" w:hAnsi="仿宋" w:eastAsia="仿宋"/>
                <w:sz w:val="24"/>
                <w:szCs w:val="24"/>
              </w:rPr>
              <w:t>分；提供1份类似资源建设项目的师生使用满意度问卷调查报告，提供得1分。最高得2分</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10</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5</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数字教育资源在之江汇教育广场平台的教学服务与推广应用方案全面性、专业性、可行性。</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（1）支持提供师生开展课程浏览学习、在线答疑服务、按用付费数据统计。最高得</w:t>
            </w:r>
            <w:r>
              <w:rPr>
                <w:rFonts w:ascii="仿宋" w:hAnsi="仿宋" w:eastAsia="仿宋"/>
                <w:sz w:val="24"/>
                <w:szCs w:val="24"/>
              </w:rPr>
              <w:t>3</w:t>
            </w:r>
            <w:r>
              <w:rPr>
                <w:rFonts w:hint="eastAsia" w:ascii="仿宋" w:hAnsi="仿宋" w:eastAsia="仿宋"/>
                <w:sz w:val="24"/>
                <w:szCs w:val="24"/>
              </w:rPr>
              <w:t>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（2）课程资源与之江汇教育广场的平台的对接路径明确，具备可行性。最高得</w:t>
            </w:r>
            <w:r>
              <w:rPr>
                <w:rFonts w:ascii="仿宋" w:hAnsi="仿宋" w:eastAsia="仿宋"/>
                <w:sz w:val="24"/>
                <w:szCs w:val="24"/>
              </w:rPr>
              <w:t>2</w:t>
            </w:r>
            <w:r>
              <w:rPr>
                <w:rFonts w:hint="eastAsia" w:ascii="仿宋" w:hAnsi="仿宋" w:eastAsia="仿宋"/>
                <w:sz w:val="24"/>
                <w:szCs w:val="24"/>
              </w:rPr>
              <w:t>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（3）课程资源、名师直播活动、组团送教、答疑服务等宣传推广方案专业、可行。最高得</w:t>
            </w:r>
            <w:r>
              <w:rPr>
                <w:rFonts w:ascii="仿宋" w:hAnsi="仿宋" w:eastAsia="仿宋"/>
                <w:sz w:val="24"/>
                <w:szCs w:val="24"/>
              </w:rPr>
              <w:t>3</w:t>
            </w:r>
            <w:r>
              <w:rPr>
                <w:rFonts w:hint="eastAsia" w:ascii="仿宋" w:hAnsi="仿宋" w:eastAsia="仿宋"/>
                <w:sz w:val="24"/>
                <w:szCs w:val="24"/>
              </w:rPr>
              <w:t>分</w:t>
            </w:r>
          </w:p>
        </w:tc>
        <w:tc>
          <w:tcPr>
            <w:tcW w:w="700" w:type="dxa"/>
          </w:tcPr>
          <w:p>
            <w:pPr>
              <w:widowControl/>
              <w:spacing w:before="120" w:beforeLines="50" w:after="120" w:afterLines="50" w:line="340" w:lineRule="exact"/>
              <w:rPr>
                <w:rFonts w:ascii="仿宋" w:hAnsi="仿宋" w:eastAsia="仿宋"/>
                <w:sz w:val="24"/>
                <w:szCs w:val="24"/>
              </w:rPr>
            </w:pPr>
            <w:r>
              <w:rPr>
                <w:rFonts w:ascii="仿宋" w:hAnsi="仿宋" w:eastAsia="仿宋"/>
                <w:sz w:val="24"/>
                <w:szCs w:val="24"/>
              </w:rPr>
              <w:t>8</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6</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项目团队人员配置数量充足、职责分工明确，项目人员素质、工作经验、专业分布、工作经历、技术能力符合资质要求。</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（1）项目团队人员数量符合采购需求、职责分工明确。</w:t>
            </w:r>
            <w:r>
              <w:rPr>
                <w:rFonts w:ascii="仿宋" w:hAnsi="仿宋" w:eastAsia="仿宋"/>
                <w:sz w:val="24"/>
                <w:szCs w:val="24"/>
              </w:rPr>
              <w:t>2</w:t>
            </w:r>
            <w:r>
              <w:rPr>
                <w:rFonts w:hint="eastAsia" w:ascii="仿宋" w:hAnsi="仿宋" w:eastAsia="仿宋"/>
                <w:sz w:val="24"/>
                <w:szCs w:val="24"/>
              </w:rPr>
              <w:t>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（2）项目负责人具有中小学教师或社会科学研究领域正高级职称正高级职称，提供职称证书和社保证明，得</w:t>
            </w:r>
            <w:r>
              <w:rPr>
                <w:rFonts w:ascii="仿宋" w:hAnsi="仿宋" w:eastAsia="仿宋"/>
                <w:sz w:val="24"/>
                <w:szCs w:val="24"/>
              </w:rPr>
              <w:t>3</w:t>
            </w:r>
            <w:r>
              <w:rPr>
                <w:rFonts w:hint="eastAsia" w:ascii="仿宋" w:hAnsi="仿宋" w:eastAsia="仿宋"/>
                <w:sz w:val="24"/>
                <w:szCs w:val="24"/>
              </w:rPr>
              <w:t>分。项目负责人具有本项目相关的科研（如资源建设）能力，提供相关论文刊发目录页和论文正文首页证明，每篇论文1分，最高得1分。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（3）其他项目人员中具有副高及以上教师系列职称的，每人1分，最高得6分。提供职称证书和社保证明。</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（4）其他项目人员中具有副高及以上计算机技术与软件专业技术资格的，每人</w:t>
            </w:r>
            <w:r>
              <w:rPr>
                <w:rFonts w:ascii="仿宋" w:hAnsi="仿宋" w:eastAsia="仿宋"/>
                <w:sz w:val="24"/>
                <w:szCs w:val="24"/>
              </w:rPr>
              <w:t>1</w:t>
            </w:r>
            <w:r>
              <w:rPr>
                <w:rFonts w:hint="eastAsia" w:ascii="仿宋" w:hAnsi="仿宋" w:eastAsia="仿宋"/>
                <w:sz w:val="24"/>
                <w:szCs w:val="24"/>
              </w:rPr>
              <w:t>分，最高得</w:t>
            </w:r>
            <w:r>
              <w:rPr>
                <w:rFonts w:ascii="仿宋" w:hAnsi="仿宋" w:eastAsia="仿宋"/>
                <w:sz w:val="24"/>
                <w:szCs w:val="24"/>
              </w:rPr>
              <w:t>4</w:t>
            </w:r>
            <w:r>
              <w:rPr>
                <w:rFonts w:hint="eastAsia" w:ascii="仿宋" w:hAnsi="仿宋" w:eastAsia="仿宋"/>
                <w:sz w:val="24"/>
                <w:szCs w:val="24"/>
              </w:rPr>
              <w:t>分。提供专业技术资格证书和社保证明。</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7</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运维服务的响应情况，对于“浙里问学”服务运行、“名师网络工作室”服务运行、数字教育资源建设等过程中问题的应急处理（预案、响应时间、处理时间）方案及时性、合理性。最高得4分</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4</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8</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教师培训方案的可行性及合理性。</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（1）对课程资源承建教师团队提供必要的资源建设、上传培训，培训方案可行、合理。最高得3分</w:t>
            </w:r>
          </w:p>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（2）对参与在线答疑、名师网络工作室建设的教师提供平台操作指导等现场培训服务及远程培训，培训方案全面、合理。最高得3分</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6</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9</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pPr>
            <w:r>
              <w:rPr>
                <w:rFonts w:hint="eastAsia" w:ascii="仿宋" w:hAnsi="仿宋" w:eastAsia="仿宋"/>
                <w:sz w:val="24"/>
                <w:szCs w:val="24"/>
              </w:rPr>
              <w:t>提供类似的数字资源视频、文档展示，进行项目方案讲解，讲解内容要素、重亮点、逻辑思路，演示时间不超过10分钟（详见招标需求）。</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10</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10</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投标单位教育资源组织、研究、建设获奖情况，提供2020年1月1日以来，政府、教育相关部门颁发教育资源组织、研究的相关奖项、证书等证明材料。提供1个得</w:t>
            </w:r>
            <w:r>
              <w:rPr>
                <w:rFonts w:ascii="仿宋" w:hAnsi="仿宋" w:eastAsia="仿宋"/>
                <w:sz w:val="24"/>
                <w:szCs w:val="24"/>
              </w:rPr>
              <w:t>2</w:t>
            </w:r>
            <w:r>
              <w:rPr>
                <w:rFonts w:hint="eastAsia" w:ascii="仿宋" w:hAnsi="仿宋" w:eastAsia="仿宋"/>
                <w:sz w:val="24"/>
                <w:szCs w:val="24"/>
              </w:rPr>
              <w:t>分，最高得</w:t>
            </w:r>
            <w:r>
              <w:rPr>
                <w:rFonts w:ascii="仿宋" w:hAnsi="仿宋" w:eastAsia="仿宋"/>
                <w:sz w:val="24"/>
                <w:szCs w:val="24"/>
              </w:rPr>
              <w:t>4</w:t>
            </w:r>
            <w:r>
              <w:rPr>
                <w:rFonts w:hint="eastAsia" w:ascii="仿宋" w:hAnsi="仿宋" w:eastAsia="仿宋"/>
                <w:sz w:val="24"/>
                <w:szCs w:val="24"/>
              </w:rPr>
              <w:t>分，未提供的不得分。</w:t>
            </w:r>
          </w:p>
        </w:tc>
        <w:tc>
          <w:tcPr>
            <w:tcW w:w="700" w:type="dxa"/>
          </w:tcPr>
          <w:p>
            <w:pPr>
              <w:widowControl/>
              <w:spacing w:before="120" w:beforeLines="50" w:after="120" w:afterLines="50" w:line="340" w:lineRule="exact"/>
              <w:rPr>
                <w:rFonts w:ascii="仿宋" w:hAnsi="仿宋" w:eastAsia="仿宋"/>
                <w:sz w:val="24"/>
                <w:szCs w:val="24"/>
              </w:rPr>
            </w:pPr>
            <w:r>
              <w:rPr>
                <w:rFonts w:ascii="仿宋" w:hAnsi="仿宋" w:eastAsia="仿宋"/>
                <w:sz w:val="24"/>
                <w:szCs w:val="24"/>
              </w:rPr>
              <w:t>4</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11</w:t>
            </w:r>
          </w:p>
        </w:tc>
        <w:tc>
          <w:tcPr>
            <w:tcW w:w="1225"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商务资信</w:t>
            </w:r>
          </w:p>
        </w:tc>
        <w:tc>
          <w:tcPr>
            <w:tcW w:w="435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经验或业绩要求（详见商务要求表）。</w:t>
            </w:r>
          </w:p>
        </w:tc>
        <w:tc>
          <w:tcPr>
            <w:tcW w:w="700"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2</w:t>
            </w:r>
          </w:p>
        </w:tc>
        <w:tc>
          <w:tcPr>
            <w:tcW w:w="1238" w:type="dxa"/>
          </w:tcPr>
          <w:p>
            <w:pPr>
              <w:widowControl/>
              <w:spacing w:before="120" w:beforeLines="50" w:after="120" w:afterLines="50" w:line="340" w:lineRule="exact"/>
              <w:rPr>
                <w:rFonts w:ascii="仿宋" w:hAnsi="仿宋" w:eastAsia="仿宋"/>
                <w:sz w:val="24"/>
                <w:szCs w:val="24"/>
              </w:rPr>
            </w:pPr>
            <w:r>
              <w:rPr>
                <w:rFonts w:hint="eastAsia" w:ascii="仿宋" w:hAnsi="仿宋" w:eastAsia="仿宋"/>
                <w:sz w:val="24"/>
                <w:szCs w:val="24"/>
              </w:rPr>
              <w:t>客观分</w:t>
            </w:r>
          </w:p>
        </w:tc>
      </w:tr>
      <w:bookmarkEnd w:id="25"/>
    </w:tbl>
    <w:p>
      <w:pPr>
        <w:spacing w:after="240" w:afterLines="100" w:line="340" w:lineRule="exact"/>
        <w:jc w:val="center"/>
        <w:outlineLvl w:val="0"/>
        <w:rPr>
          <w:rFonts w:hAnsi="宋体"/>
          <w:b/>
          <w:color w:val="000000" w:themeColor="text1"/>
          <w:sz w:val="36"/>
          <w:szCs w:val="36"/>
          <w14:textFill>
            <w14:solidFill>
              <w14:schemeClr w14:val="tx1"/>
            </w14:solidFill>
          </w14:textFill>
        </w:rPr>
      </w:pPr>
    </w:p>
    <w:p/>
    <w:p>
      <w:pPr>
        <w:spacing w:after="240" w:afterLines="100" w:line="340" w:lineRule="exact"/>
        <w:jc w:val="center"/>
        <w:outlineLvl w:val="0"/>
        <w:rPr>
          <w:rFonts w:hAnsi="宋体"/>
          <w:b/>
          <w:color w:val="000000" w:themeColor="text1"/>
          <w:sz w:val="36"/>
          <w:szCs w:val="36"/>
          <w14:textFill>
            <w14:solidFill>
              <w14:schemeClr w14:val="tx1"/>
            </w14:solidFill>
          </w14:textFill>
        </w:rPr>
      </w:pPr>
      <w:bookmarkStart w:id="26" w:name="_Toc24960"/>
      <w:r>
        <w:rPr>
          <w:rFonts w:hint="eastAsia" w:hAnsi="宋体"/>
          <w:b/>
          <w:color w:val="000000" w:themeColor="text1"/>
          <w:sz w:val="36"/>
          <w:szCs w:val="36"/>
          <w14:textFill>
            <w14:solidFill>
              <w14:schemeClr w14:val="tx1"/>
            </w14:solidFill>
          </w14:textFill>
        </w:rPr>
        <w:t>第四章 招标需求</w:t>
      </w:r>
      <w:bookmarkEnd w:id="24"/>
      <w:bookmarkEnd w:id="26"/>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bookmarkStart w:id="27" w:name="_Toc496796639"/>
    </w:p>
    <w:p>
      <w:pPr>
        <w:pStyle w:val="32"/>
        <w:spacing w:before="120" w:after="120" w:line="520" w:lineRule="exact"/>
        <w:jc w:val="center"/>
        <w:outlineLvl w:val="0"/>
        <w:rPr>
          <w:rFonts w:hAnsi="宋体"/>
          <w:b/>
          <w:color w:val="000000" w:themeColor="text1"/>
          <w:sz w:val="36"/>
          <w:szCs w:val="36"/>
          <w14:textFill>
            <w14:solidFill>
              <w14:schemeClr w14:val="tx1"/>
            </w14:solidFill>
          </w14:textFill>
        </w:rPr>
      </w:pPr>
      <w:bookmarkStart w:id="28" w:name="PO_416_PM050"/>
      <w:r>
        <w:rPr>
          <w:rFonts w:hint="eastAsia" w:hAnsi="宋体"/>
          <w:b/>
          <w:color w:val="000000" w:themeColor="text1"/>
          <w:sz w:val="36"/>
          <w:szCs w:val="36"/>
          <w14:textFill>
            <w14:solidFill>
              <w14:schemeClr w14:val="tx1"/>
            </w14:solidFill>
          </w14:textFill>
        </w:rPr>
        <w:t xml:space="preserve"> </w:t>
      </w:r>
      <w:bookmarkEnd w:id="28"/>
    </w:p>
    <w:p>
      <w:pPr>
        <w:pStyle w:val="32"/>
        <w:spacing w:before="120" w:after="120" w:line="520" w:lineRule="exact"/>
        <w:jc w:val="both"/>
        <w:outlineLvl w:val="0"/>
        <w:rPr>
          <w:rFonts w:hAnsi="宋体"/>
          <w:b/>
          <w:color w:val="000000" w:themeColor="text1"/>
          <w:sz w:val="36"/>
          <w:szCs w:val="36"/>
          <w14:textFill>
            <w14:solidFill>
              <w14:schemeClr w14:val="tx1"/>
            </w14:solidFill>
          </w14:textFill>
        </w:rPr>
      </w:pPr>
    </w:p>
    <w:p>
      <w:pPr>
        <w:pStyle w:val="32"/>
        <w:spacing w:before="120" w:after="120" w:line="520" w:lineRule="exact"/>
        <w:jc w:val="center"/>
        <w:outlineLvl w:val="0"/>
        <w:rPr>
          <w:rFonts w:ascii="仿宋" w:hAnsi="仿宋" w:eastAsia="仿宋"/>
          <w:b/>
          <w:sz w:val="36"/>
          <w:szCs w:val="36"/>
        </w:rPr>
      </w:pPr>
      <w:r>
        <w:rPr>
          <w:rFonts w:hint="eastAsia" w:ascii="仿宋" w:hAnsi="仿宋" w:eastAsia="仿宋"/>
          <w:b/>
          <w:sz w:val="36"/>
          <w:szCs w:val="36"/>
        </w:rPr>
        <w:t>标项1:</w:t>
      </w:r>
      <w:bookmarkStart w:id="29" w:name="_Toc422137093"/>
      <w:bookmarkStart w:id="30" w:name="PO_TDCUS_ITEM_PB_REQ_FILE_1_1_0"/>
      <w:r>
        <w:rPr>
          <w:rFonts w:hint="eastAsia" w:ascii="仿宋" w:hAnsi="仿宋" w:eastAsia="仿宋"/>
          <w:b/>
          <w:sz w:val="36"/>
          <w:szCs w:val="36"/>
        </w:rPr>
        <w:t>浙江省教育厅（本级）2023年之江汇教育广场数字资源建设项目</w:t>
      </w:r>
    </w:p>
    <w:p>
      <w:pPr>
        <w:pStyle w:val="32"/>
        <w:spacing w:before="120" w:after="120" w:line="520" w:lineRule="exact"/>
        <w:jc w:val="center"/>
        <w:outlineLvl w:val="0"/>
        <w:rPr>
          <w:rFonts w:hAnsi="宋体"/>
          <w:b/>
          <w:sz w:val="36"/>
          <w:szCs w:val="36"/>
        </w:rPr>
      </w:pPr>
    </w:p>
    <w:p>
      <w:pPr>
        <w:spacing w:line="520" w:lineRule="exact"/>
        <w:ind w:firstLine="600" w:firstLineChars="200"/>
        <w:jc w:val="left"/>
        <w:outlineLvl w:val="1"/>
        <w:rPr>
          <w:rFonts w:ascii="黑体" w:hAnsi="黑体" w:eastAsia="黑体"/>
          <w:color w:val="000000"/>
          <w:kern w:val="0"/>
          <w:sz w:val="30"/>
          <w:szCs w:val="30"/>
        </w:rPr>
      </w:pPr>
      <w:r>
        <w:rPr>
          <w:rFonts w:hint="eastAsia" w:ascii="黑体" w:hAnsi="黑体" w:eastAsia="黑体"/>
          <w:color w:val="000000"/>
          <w:kern w:val="0"/>
          <w:sz w:val="30"/>
          <w:szCs w:val="30"/>
        </w:rPr>
        <w:t>一、</w:t>
      </w:r>
      <w:bookmarkEnd w:id="29"/>
      <w:bookmarkStart w:id="31" w:name="_Toc422137094"/>
      <w:r>
        <w:rPr>
          <w:rFonts w:hint="eastAsia" w:ascii="黑体" w:hAnsi="黑体" w:eastAsia="黑体"/>
          <w:color w:val="000000"/>
          <w:kern w:val="0"/>
          <w:sz w:val="30"/>
          <w:szCs w:val="30"/>
        </w:rPr>
        <w:t>采购需求</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2</w:t>
      </w:r>
      <w:r>
        <w:rPr>
          <w:rFonts w:ascii="仿宋_GB2312" w:eastAsia="仿宋_GB2312"/>
          <w:color w:val="000000"/>
          <w:kern w:val="0"/>
          <w:sz w:val="28"/>
          <w:szCs w:val="28"/>
        </w:rPr>
        <w:t>023</w:t>
      </w:r>
      <w:r>
        <w:rPr>
          <w:rFonts w:hint="eastAsia" w:ascii="仿宋_GB2312" w:eastAsia="仿宋_GB2312"/>
          <w:color w:val="000000"/>
          <w:kern w:val="0"/>
          <w:sz w:val="28"/>
          <w:szCs w:val="28"/>
        </w:rPr>
        <w:t>年之江汇教育广场数字资源建设项目包含提供“浙里问学”在线答疑服务，完成名师名校金课、素质教育拓展课程建设，完成名师网络工作室2</w:t>
      </w:r>
      <w:r>
        <w:rPr>
          <w:rFonts w:ascii="仿宋_GB2312" w:eastAsia="仿宋_GB2312"/>
          <w:color w:val="000000"/>
          <w:kern w:val="0"/>
          <w:sz w:val="28"/>
          <w:szCs w:val="28"/>
        </w:rPr>
        <w:t>022</w:t>
      </w:r>
      <w:r>
        <w:rPr>
          <w:rFonts w:hint="eastAsia" w:ascii="仿宋_GB2312" w:eastAsia="仿宋_GB2312"/>
          <w:color w:val="000000"/>
          <w:kern w:val="0"/>
          <w:sz w:val="28"/>
          <w:szCs w:val="28"/>
        </w:rPr>
        <w:t>学年考核，对于之江汇教育广场优质数字资源按使用情况付费等5个方面的建设。</w:t>
      </w:r>
      <w:r>
        <w:rPr>
          <w:rFonts w:hint="eastAsia" w:ascii="仿宋_GB2312" w:hAnsi="仿宋" w:eastAsia="仿宋_GB2312"/>
          <w:color w:val="000000"/>
          <w:sz w:val="28"/>
          <w:szCs w:val="28"/>
        </w:rPr>
        <w:t>通过征集开发、第三方引进等途径丰富之江汇教育广场资源内容，建成覆盖全学科全学段的体系化课程资源，面向课后服务场景开发一批素质教育拓展课程，开发在线教学服务类的新型教育资源，引导学生用好免费线上优质教育资源，面向学生和家长提供免费的在线互动答疑。建立优化资源共建共享机制，创新资源应用形式，通过名师网络工作室引领中小学教师专业能力提升。</w:t>
      </w:r>
    </w:p>
    <w:bookmarkEnd w:id="31"/>
    <w:p>
      <w:pPr>
        <w:spacing w:line="520" w:lineRule="exact"/>
        <w:ind w:firstLine="450" w:firstLineChars="150"/>
        <w:jc w:val="left"/>
        <w:outlineLvl w:val="2"/>
        <w:rPr>
          <w:rFonts w:ascii="黑体" w:hAnsi="黑体" w:eastAsia="黑体"/>
          <w:color w:val="000000"/>
          <w:kern w:val="0"/>
          <w:sz w:val="30"/>
          <w:szCs w:val="30"/>
        </w:rPr>
      </w:pPr>
      <w:r>
        <w:rPr>
          <w:rFonts w:hint="eastAsia" w:ascii="黑体" w:hAnsi="黑体" w:eastAsia="黑体"/>
          <w:color w:val="000000"/>
          <w:kern w:val="0"/>
          <w:sz w:val="30"/>
          <w:szCs w:val="30"/>
        </w:rPr>
        <w:t>（一）建设内容</w:t>
      </w:r>
    </w:p>
    <w:p>
      <w:pPr>
        <w:spacing w:line="520" w:lineRule="exact"/>
        <w:ind w:firstLine="600" w:firstLineChars="200"/>
        <w:outlineLvl w:val="3"/>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.1</w:t>
      </w:r>
      <w:r>
        <w:rPr>
          <w:rFonts w:hint="eastAsia" w:ascii="黑体" w:hAnsi="黑体" w:eastAsia="黑体"/>
          <w:sz w:val="30"/>
          <w:szCs w:val="30"/>
        </w:rPr>
        <w:t>建设名师名校金课</w:t>
      </w:r>
    </w:p>
    <w:p>
      <w:pPr>
        <w:pStyle w:val="26"/>
        <w:spacing w:line="520" w:lineRule="exact"/>
        <w:ind w:firstLine="560"/>
        <w:rPr>
          <w:rFonts w:ascii="仿宋_GB2312" w:hAnsi="Times New Roman" w:eastAsia="仿宋_GB2312"/>
          <w:color w:val="000000"/>
          <w:kern w:val="0"/>
          <w:szCs w:val="28"/>
        </w:rPr>
      </w:pPr>
      <w:r>
        <w:rPr>
          <w:rFonts w:hint="eastAsia" w:ascii="仿宋_GB2312" w:eastAsia="仿宋_GB2312"/>
          <w:color w:val="000000"/>
          <w:kern w:val="0"/>
          <w:szCs w:val="28"/>
        </w:rPr>
        <w:t>名师名校金课依据国家课程标准，针对浙江省内基础教育段使用的教材版本，完成教材节点的新课教学资源，供学生自主学习。建成导向正确、科学专业、高质量基础教育资源体系，促进教育教学资源质量提高。</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 xml:space="preserve">名师金课由浙江省内正高级教师、特级教师（省级名师网络工作室负责人）作为课程负责人，名校金课由省内信息化教学应用水平高、具有一定学科特色影响力的名校骨干教师作为课程负责人，分别组建 </w:t>
      </w:r>
      <w:r>
        <w:rPr>
          <w:rFonts w:ascii="仿宋_GB2312" w:eastAsia="仿宋_GB2312"/>
          <w:color w:val="000000"/>
          <w:kern w:val="0"/>
          <w:sz w:val="28"/>
          <w:szCs w:val="28"/>
        </w:rPr>
        <w:t>3</w:t>
      </w:r>
      <w:r>
        <w:rPr>
          <w:rFonts w:hint="eastAsia" w:ascii="仿宋_GB2312" w:eastAsia="仿宋_GB2312"/>
          <w:color w:val="000000"/>
          <w:kern w:val="0"/>
          <w:sz w:val="28"/>
          <w:szCs w:val="28"/>
        </w:rPr>
        <w:t>-7人的课程建设团队。组织课程建设团队根据国家课程方案和各学科课程标准，围绕一个册别或几个单元的教学重难点，配套学科单元内容设计，开发完成100门名师金课和50门名校金课，并全部在之江汇教育广场“课程中心”栏目上传与发布。</w:t>
      </w:r>
    </w:p>
    <w:p>
      <w:pPr>
        <w:pStyle w:val="26"/>
        <w:spacing w:line="520" w:lineRule="exact"/>
        <w:ind w:firstLine="560"/>
        <w:rPr>
          <w:rFonts w:ascii="仿宋_GB2312" w:eastAsia="仿宋_GB2312"/>
          <w:color w:val="000000"/>
          <w:kern w:val="0"/>
          <w:szCs w:val="28"/>
        </w:rPr>
      </w:pPr>
      <w:r>
        <w:rPr>
          <w:rFonts w:hint="eastAsia" w:ascii="仿宋_GB2312" w:eastAsia="仿宋_GB2312"/>
          <w:color w:val="000000"/>
          <w:kern w:val="0"/>
          <w:szCs w:val="28"/>
        </w:rPr>
        <w:t>名师名校金课资源以资源包方式呈现，每门课程不少于12个课时，每个课时资源包括微课视频、教学设计、课件、在线学习任务单、课后练习和必要的实验演示视频，单个微课视频时长：小学10-15分钟，中学15-20分钟。</w:t>
      </w:r>
    </w:p>
    <w:p>
      <w:pPr>
        <w:spacing w:line="520" w:lineRule="exact"/>
        <w:ind w:firstLine="600" w:firstLineChars="200"/>
        <w:outlineLvl w:val="3"/>
        <w:rPr>
          <w:rFonts w:ascii="黑体" w:hAnsi="黑体" w:eastAsia="黑体"/>
          <w:sz w:val="30"/>
          <w:szCs w:val="30"/>
        </w:rPr>
      </w:pPr>
      <w:r>
        <w:rPr>
          <w:rFonts w:ascii="黑体" w:hAnsi="黑体" w:eastAsia="黑体"/>
          <w:sz w:val="30"/>
          <w:szCs w:val="30"/>
        </w:rPr>
        <w:t>1.2</w:t>
      </w:r>
      <w:r>
        <w:rPr>
          <w:rFonts w:hint="eastAsia" w:ascii="黑体" w:hAnsi="黑体" w:eastAsia="黑体"/>
          <w:sz w:val="30"/>
          <w:szCs w:val="30"/>
        </w:rPr>
        <w:t>建设素质教育拓展课程</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面向课后拓展服务，促进学生德智体美劳全面发展，围绕品德修养、科学创造、体育运动、艺术育美、劳动实践五大类建设素质教育拓展课程资源，以培养学生的专项特长为主。内容要求有别于课堂教学资源，着重体现对课堂教学的拓展与补充，用于满足学生个性化学习需求，为进一步了解并逐步掌握某一类别的技能技法打下基础。</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采用征集、第三方引进相结合的方式，组织开发100门的素质教育拓展课程。每门课程不少于10个课时，每个课时内容包含微课视频、教学设计、教学课件、学习任务单，每个课时的微课视频时长10-15分钟。</w:t>
      </w:r>
    </w:p>
    <w:p>
      <w:pPr>
        <w:spacing w:line="520" w:lineRule="exact"/>
        <w:ind w:firstLine="600" w:firstLineChars="200"/>
        <w:outlineLvl w:val="3"/>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.3</w:t>
      </w:r>
      <w:r>
        <w:rPr>
          <w:rFonts w:hint="eastAsia" w:ascii="黑体" w:hAnsi="黑体" w:eastAsia="黑体"/>
          <w:sz w:val="30"/>
          <w:szCs w:val="30"/>
        </w:rPr>
        <w:t>开展数字资源按用付费</w:t>
      </w:r>
    </w:p>
    <w:p>
      <w:pPr>
        <w:spacing w:line="520" w:lineRule="exact"/>
        <w:ind w:firstLine="560" w:firstLineChars="200"/>
        <w:rPr>
          <w:rFonts w:ascii="仿宋_GB2312" w:eastAsia="仿宋_GB2312"/>
          <w:color w:val="000000"/>
          <w:kern w:val="0"/>
          <w:sz w:val="28"/>
          <w:szCs w:val="28"/>
        </w:rPr>
      </w:pPr>
      <w:r>
        <w:rPr>
          <w:rFonts w:ascii="仿宋_GB2312" w:eastAsia="仿宋_GB2312"/>
          <w:color w:val="000000"/>
          <w:kern w:val="0"/>
          <w:sz w:val="28"/>
          <w:szCs w:val="28"/>
        </w:rPr>
        <w:t>探索</w:t>
      </w:r>
      <w:r>
        <w:rPr>
          <w:rFonts w:hint="eastAsia" w:ascii="仿宋_GB2312" w:eastAsia="仿宋_GB2312"/>
          <w:color w:val="000000"/>
          <w:kern w:val="0"/>
          <w:sz w:val="28"/>
          <w:szCs w:val="28"/>
        </w:rPr>
        <w:t>数字教育资源按用付费政府采购模式，鼓励教师共建共享优质教育资源，通过之江汇教育广场组织教师开展1000门网络同步课程、3000个教材配套资源、4</w:t>
      </w:r>
      <w:r>
        <w:rPr>
          <w:rFonts w:ascii="仿宋_GB2312" w:eastAsia="仿宋_GB2312"/>
          <w:color w:val="000000"/>
          <w:kern w:val="0"/>
          <w:sz w:val="28"/>
          <w:szCs w:val="28"/>
        </w:rPr>
        <w:t>00</w:t>
      </w:r>
      <w:r>
        <w:rPr>
          <w:rFonts w:hint="eastAsia" w:ascii="仿宋_GB2312" w:eastAsia="仿宋_GB2312"/>
          <w:color w:val="000000"/>
          <w:kern w:val="0"/>
          <w:sz w:val="28"/>
          <w:szCs w:val="28"/>
        </w:rPr>
        <w:t>个精品教学空间等优质教育资源建设，制定按用付费经费结算和支付规则，根据资源使用情况，对于符合付费要求的数字教育资源提供者予以经费激励。</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网络同步课程主要针对课后服务教学应用场景，组织教师个人在之江汇教育广场开设网络同步课程，支持学生跨学校、跨区域参与网络同步学习。每门课程包含不少于12个课时的教学视频和相关教学资源，招收并指导不少于30名互联网学员开展教学互动，完成课程学习。</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教材配套资源包围绕小学、初中、高中各年级各学科教材节点，供学生自主学习。每课时微课视频小学10-15分钟、初中15-20分钟，配套资源包含微课视频、教学设计、教学课件、学习任务单、作业练习（含参考答案）和必要的实验演示视频。</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教师利用之江汇教育广场空间核心应用，开展教育教学活动，发布文章资源、使用网络学习空间教学端开展备授课教学活动等，并进行应用实践探究和推广宣传，形成空间应用案例。根据空间建设及应用影响力，遴选4</w:t>
      </w:r>
      <w:r>
        <w:rPr>
          <w:rFonts w:ascii="仿宋_GB2312" w:eastAsia="仿宋_GB2312"/>
          <w:color w:val="000000"/>
          <w:kern w:val="0"/>
          <w:sz w:val="28"/>
          <w:szCs w:val="28"/>
        </w:rPr>
        <w:t>00</w:t>
      </w:r>
      <w:r>
        <w:rPr>
          <w:rFonts w:hint="eastAsia" w:ascii="仿宋_GB2312" w:eastAsia="仿宋_GB2312"/>
          <w:color w:val="000000"/>
          <w:kern w:val="0"/>
          <w:sz w:val="28"/>
          <w:szCs w:val="28"/>
        </w:rPr>
        <w:t>个精品教学空间。</w:t>
      </w:r>
    </w:p>
    <w:p>
      <w:pPr>
        <w:spacing w:line="520" w:lineRule="exact"/>
        <w:ind w:firstLine="600" w:firstLineChars="200"/>
        <w:outlineLvl w:val="3"/>
        <w:rPr>
          <w:rFonts w:ascii="黑体" w:hAnsi="黑体" w:eastAsia="黑体"/>
          <w:sz w:val="30"/>
          <w:szCs w:val="30"/>
        </w:rPr>
      </w:pPr>
      <w:r>
        <w:rPr>
          <w:rFonts w:ascii="黑体" w:hAnsi="黑体" w:eastAsia="黑体"/>
          <w:sz w:val="30"/>
          <w:szCs w:val="30"/>
        </w:rPr>
        <w:t>1.4</w:t>
      </w:r>
      <w:r>
        <w:rPr>
          <w:rFonts w:hint="eastAsia" w:ascii="黑体" w:hAnsi="黑体" w:eastAsia="黑体"/>
          <w:sz w:val="30"/>
          <w:szCs w:val="30"/>
        </w:rPr>
        <w:t>建设名师网络工作室</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根据《浙江省教育厅办公室关于组织实施第四轮浙江省名师网络工作室项目的通知》</w:t>
      </w:r>
      <w:r>
        <w:rPr>
          <w:rFonts w:hint="eastAsia" w:ascii="仿宋_GB2312" w:eastAsia="仿宋_GB2312"/>
          <w:color w:val="000000" w:themeColor="text1"/>
          <w:kern w:val="0"/>
          <w:sz w:val="28"/>
          <w:szCs w:val="28"/>
          <w14:textFill>
            <w14:solidFill>
              <w14:schemeClr w14:val="tx1"/>
            </w14:solidFill>
          </w14:textFill>
        </w:rPr>
        <w:t>文件要</w:t>
      </w:r>
      <w:r>
        <w:rPr>
          <w:rFonts w:hint="eastAsia" w:ascii="仿宋_GB2312" w:eastAsia="仿宋_GB2312"/>
          <w:color w:val="000000"/>
          <w:kern w:val="0"/>
          <w:sz w:val="28"/>
          <w:szCs w:val="28"/>
        </w:rPr>
        <w:t>求，建设</w:t>
      </w:r>
      <w:r>
        <w:rPr>
          <w:rFonts w:ascii="仿宋_GB2312" w:eastAsia="仿宋_GB2312"/>
          <w:color w:val="000000"/>
          <w:kern w:val="0"/>
          <w:sz w:val="28"/>
          <w:szCs w:val="28"/>
        </w:rPr>
        <w:t>名师网络工作室至少300个</w:t>
      </w:r>
      <w:r>
        <w:rPr>
          <w:rFonts w:hint="eastAsia" w:ascii="仿宋_GB2312" w:eastAsia="仿宋_GB2312"/>
          <w:color w:val="000000"/>
          <w:kern w:val="0"/>
          <w:sz w:val="28"/>
          <w:szCs w:val="28"/>
        </w:rPr>
        <w:t>，做好名师网络工作室建设过程管理与培训、指导，提升名师直播活动、组团送教项目、优质数字资源建设的质量，以2022年6月至2023年6月期间作为2</w:t>
      </w:r>
      <w:r>
        <w:rPr>
          <w:rFonts w:ascii="仿宋_GB2312" w:eastAsia="仿宋_GB2312"/>
          <w:color w:val="000000"/>
          <w:kern w:val="0"/>
          <w:sz w:val="28"/>
          <w:szCs w:val="28"/>
        </w:rPr>
        <w:t>022</w:t>
      </w:r>
      <w:r>
        <w:rPr>
          <w:rFonts w:hint="eastAsia" w:ascii="仿宋_GB2312" w:eastAsia="仿宋_GB2312"/>
          <w:color w:val="000000"/>
          <w:kern w:val="0"/>
          <w:sz w:val="28"/>
          <w:szCs w:val="28"/>
        </w:rPr>
        <w:t>学年来对名师网络工作室进行考核</w:t>
      </w:r>
      <w:r>
        <w:rPr>
          <w:rFonts w:ascii="仿宋_GB2312" w:eastAsia="仿宋_GB2312"/>
          <w:color w:val="000000"/>
          <w:kern w:val="0"/>
          <w:sz w:val="28"/>
          <w:szCs w:val="28"/>
        </w:rPr>
        <w:t>与排名</w:t>
      </w:r>
      <w:r>
        <w:rPr>
          <w:rFonts w:hint="eastAsia" w:ascii="仿宋_GB2312" w:eastAsia="仿宋_GB2312"/>
          <w:color w:val="000000"/>
          <w:kern w:val="0"/>
          <w:sz w:val="28"/>
          <w:szCs w:val="28"/>
        </w:rPr>
        <w:t>。</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加强名师工作室建设过程管理与培训、指导。开展对名师网络工作室建设线上线下培训活动不少于6次，10月发布省级名师网络工作室建设引导手册。2022学年共建共享优质资源不少于6万个，研发名师金课等体系化教材配套资源课程300门，工作室新增访问量不低于2000万人次。</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提升名师直播活动、组团送教项目、优质数字资源建设的质量。完成名师直播活动不少于300场，完成组团送教活动不少于200场，培养山区海岛县及乡村学校的学科带头人不少于1000位。</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按照《浙江省名师网络工作室项目管理办公室关于印发浙江省第四轮名师网络工作室考核办法（2022-2025年）的通知》（浙名师网络办〔2022〕1号）要求，对名师网络工作室2</w:t>
      </w:r>
      <w:r>
        <w:rPr>
          <w:rFonts w:ascii="仿宋_GB2312" w:eastAsia="仿宋_GB2312"/>
          <w:color w:val="000000"/>
          <w:kern w:val="0"/>
          <w:sz w:val="28"/>
          <w:szCs w:val="28"/>
        </w:rPr>
        <w:t>022</w:t>
      </w:r>
      <w:r>
        <w:rPr>
          <w:rFonts w:hint="eastAsia" w:ascii="仿宋_GB2312" w:eastAsia="仿宋_GB2312"/>
          <w:color w:val="000000"/>
          <w:kern w:val="0"/>
          <w:sz w:val="28"/>
          <w:szCs w:val="28"/>
        </w:rPr>
        <w:t>学年</w:t>
      </w:r>
      <w:r>
        <w:rPr>
          <w:rFonts w:ascii="仿宋_GB2312" w:eastAsia="仿宋_GB2312"/>
          <w:color w:val="000000"/>
          <w:kern w:val="0"/>
          <w:sz w:val="28"/>
          <w:szCs w:val="28"/>
        </w:rPr>
        <w:t>的建设绩效</w:t>
      </w:r>
      <w:r>
        <w:rPr>
          <w:rFonts w:hint="eastAsia" w:ascii="仿宋_GB2312" w:eastAsia="仿宋_GB2312"/>
          <w:color w:val="000000"/>
          <w:kern w:val="0"/>
          <w:sz w:val="28"/>
          <w:szCs w:val="28"/>
        </w:rPr>
        <w:t>进行考核，对学年考核合格且排名在前300名的工作室分四挡给予不同标准的</w:t>
      </w:r>
      <w:r>
        <w:rPr>
          <w:rFonts w:ascii="仿宋_GB2312" w:eastAsia="仿宋_GB2312"/>
          <w:color w:val="000000"/>
          <w:kern w:val="0"/>
          <w:sz w:val="28"/>
          <w:szCs w:val="28"/>
        </w:rPr>
        <w:t>激励</w:t>
      </w:r>
      <w:r>
        <w:rPr>
          <w:rFonts w:hint="eastAsia" w:ascii="仿宋_GB2312" w:eastAsia="仿宋_GB2312"/>
          <w:color w:val="000000"/>
          <w:kern w:val="0"/>
          <w:sz w:val="28"/>
          <w:szCs w:val="28"/>
        </w:rPr>
        <w:t>经费</w:t>
      </w:r>
      <w:r>
        <w:rPr>
          <w:rFonts w:ascii="仿宋_GB2312" w:eastAsia="仿宋_GB2312"/>
          <w:color w:val="000000"/>
          <w:kern w:val="0"/>
          <w:sz w:val="28"/>
          <w:szCs w:val="28"/>
        </w:rPr>
        <w:t>；支付激励经费不少于400万，</w:t>
      </w:r>
      <w:r>
        <w:rPr>
          <w:rFonts w:hint="eastAsia" w:ascii="仿宋_GB2312" w:eastAsia="仿宋_GB2312"/>
          <w:color w:val="000000"/>
          <w:kern w:val="0"/>
          <w:sz w:val="28"/>
          <w:szCs w:val="28"/>
        </w:rPr>
        <w:t>其中排名1-50 名为第一档，51-100 名为第二档；101-200 名为第三档，201-300 名为第四档。</w:t>
      </w:r>
    </w:p>
    <w:p>
      <w:pPr>
        <w:spacing w:line="520" w:lineRule="exact"/>
        <w:ind w:firstLine="600" w:firstLineChars="200"/>
        <w:outlineLvl w:val="3"/>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.5</w:t>
      </w:r>
      <w:r>
        <w:rPr>
          <w:rFonts w:hint="eastAsia" w:ascii="黑体" w:hAnsi="黑体" w:eastAsia="黑体"/>
          <w:sz w:val="30"/>
          <w:szCs w:val="30"/>
        </w:rPr>
        <w:t>提供“浙里问学”在线答疑服务</w:t>
      </w:r>
    </w:p>
    <w:p>
      <w:pPr>
        <w:pStyle w:val="26"/>
        <w:spacing w:line="520" w:lineRule="exact"/>
        <w:ind w:firstLine="560"/>
        <w:rPr>
          <w:rFonts w:ascii="仿宋_GB2312" w:hAnsi="仿宋" w:eastAsia="仿宋_GB2312"/>
          <w:color w:val="000000"/>
          <w:szCs w:val="28"/>
        </w:rPr>
      </w:pPr>
      <w:r>
        <w:rPr>
          <w:rFonts w:hint="eastAsia" w:ascii="仿宋_GB2312" w:hAnsi="仿宋" w:eastAsia="仿宋_GB2312"/>
          <w:color w:val="000000"/>
          <w:szCs w:val="28"/>
        </w:rPr>
        <w:t>基于省教育厅研发推出的“浙里问学”在线答疑服务系统，</w:t>
      </w:r>
      <w:r>
        <w:rPr>
          <w:rFonts w:hint="eastAsia" w:ascii="仿宋_GB2312" w:eastAsia="仿宋_GB2312"/>
          <w:color w:val="000000"/>
          <w:kern w:val="0"/>
          <w:szCs w:val="28"/>
        </w:rPr>
        <w:t>组织名师、学科骨干教师团队和技术力量开展“浙里问学”在线教学指导和答疑，面向全省义务教育段学生、家长群体提供名师答疑和志愿者答疑免费在线服务。</w:t>
      </w:r>
      <w:r>
        <w:rPr>
          <w:rFonts w:hint="eastAsia" w:ascii="仿宋_GB2312" w:hAnsi="仿宋" w:eastAsia="仿宋_GB2312"/>
          <w:color w:val="000000"/>
          <w:szCs w:val="28"/>
        </w:rPr>
        <w:t>组织正高级教师、特级教师、省市县教坛新秀等学科骨干教师团队开展公开答疑服务，并面向全省招募在职中小学教师志愿者组成不少于2</w:t>
      </w:r>
      <w:r>
        <w:rPr>
          <w:rFonts w:ascii="仿宋_GB2312" w:hAnsi="仿宋" w:eastAsia="仿宋_GB2312"/>
          <w:color w:val="000000"/>
          <w:szCs w:val="28"/>
        </w:rPr>
        <w:t>000</w:t>
      </w:r>
      <w:r>
        <w:rPr>
          <w:rFonts w:hint="eastAsia" w:ascii="仿宋_GB2312" w:hAnsi="仿宋" w:eastAsia="仿宋_GB2312"/>
          <w:color w:val="000000"/>
          <w:szCs w:val="28"/>
        </w:rPr>
        <w:t>名的服务团队，为有问学求教需求的学生提供“一对一”的常态化免费在线答疑服务，涵盖学科知识、体育锻炼、艺术技能、心理咨询等内容，答疑次数不少于5万次。提供“A</w:t>
      </w:r>
      <w:r>
        <w:rPr>
          <w:rFonts w:ascii="仿宋_GB2312" w:hAnsi="仿宋" w:eastAsia="仿宋_GB2312"/>
          <w:color w:val="000000"/>
          <w:szCs w:val="28"/>
        </w:rPr>
        <w:t>I</w:t>
      </w:r>
      <w:r>
        <w:rPr>
          <w:rFonts w:hint="eastAsia" w:ascii="仿宋_GB2312" w:hAnsi="仿宋" w:eastAsia="仿宋_GB2312"/>
          <w:color w:val="000000"/>
          <w:szCs w:val="28"/>
        </w:rPr>
        <w:t>智能”答疑服务，通过对学生提问的文字、图片等进行智能识别，</w:t>
      </w:r>
      <w:r>
        <w:rPr>
          <w:rFonts w:hint="eastAsia" w:ascii="仿宋_GB2312" w:eastAsia="仿宋_GB2312"/>
          <w:color w:val="000000"/>
          <w:kern w:val="0"/>
          <w:szCs w:val="28"/>
        </w:rPr>
        <w:t>向提问者自动推送与问题相似的问题解答思路、学习视频等，提升答疑体验与效率。</w:t>
      </w:r>
      <w:r>
        <w:rPr>
          <w:rFonts w:hint="eastAsia" w:ascii="仿宋_GB2312" w:hAnsi="仿宋" w:eastAsia="仿宋_GB2312"/>
          <w:color w:val="000000"/>
          <w:szCs w:val="28"/>
        </w:rPr>
        <w:t>综合答题数量、质量和学生满意度等情况，为参与在线答疑服务的教师予以经费激励。</w:t>
      </w:r>
      <w:r>
        <w:rPr>
          <w:rFonts w:ascii="仿宋_GB2312" w:hAnsi="仿宋" w:eastAsia="仿宋_GB2312"/>
          <w:color w:val="000000"/>
          <w:szCs w:val="28"/>
        </w:rPr>
        <w:t xml:space="preserve"> </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从学段学科、知识点图谱、区域分布维度对答疑情况进行深度分析，形成在线答疑服务季度、年度数据分析报告。运营“浙里问学”微信公众账号，把“浙里问学”在线答疑服务安排进行数字化整合包装，进行日常运行保障工作，发布宣传推文、回复用户问题留言等。</w:t>
      </w:r>
    </w:p>
    <w:p>
      <w:pPr>
        <w:pStyle w:val="26"/>
        <w:spacing w:line="520" w:lineRule="exact"/>
        <w:ind w:firstLine="600"/>
        <w:outlineLvl w:val="2"/>
        <w:rPr>
          <w:rFonts w:ascii="黑体" w:hAnsi="黑体" w:eastAsia="黑体"/>
          <w:color w:val="000000"/>
          <w:kern w:val="0"/>
          <w:sz w:val="30"/>
          <w:szCs w:val="30"/>
        </w:rPr>
      </w:pPr>
      <w:r>
        <w:rPr>
          <w:rFonts w:hint="eastAsia" w:ascii="黑体" w:hAnsi="黑体" w:eastAsia="黑体"/>
          <w:color w:val="000000"/>
          <w:kern w:val="0"/>
          <w:sz w:val="30"/>
          <w:szCs w:val="30"/>
        </w:rPr>
        <w:t>（二）建设要求</w:t>
      </w:r>
    </w:p>
    <w:p>
      <w:pPr>
        <w:spacing w:line="520" w:lineRule="exact"/>
        <w:ind w:firstLine="560" w:firstLineChars="200"/>
        <w:rPr>
          <w:rFonts w:ascii="仿宋_GB2312" w:eastAsia="仿宋_GB2312"/>
          <w:color w:val="000000"/>
          <w:kern w:val="0"/>
          <w:sz w:val="28"/>
          <w:szCs w:val="28"/>
        </w:rPr>
      </w:pPr>
      <w:r>
        <w:rPr>
          <w:rFonts w:hint="eastAsia" w:ascii="仿宋_GB2312" w:eastAsia="仿宋_GB2312"/>
          <w:color w:val="000000"/>
          <w:kern w:val="0"/>
          <w:sz w:val="28"/>
          <w:szCs w:val="28"/>
        </w:rPr>
        <w:t>本次项目建设开发的资源均上线发布在之江汇教育广场平台，供师生选用学习，为全省师生提供在线教育教学和在线答疑服务。建设要求如下：</w:t>
      </w:r>
    </w:p>
    <w:p>
      <w:pPr>
        <w:spacing w:line="520" w:lineRule="exact"/>
        <w:ind w:firstLine="600" w:firstLineChars="200"/>
        <w:outlineLvl w:val="3"/>
        <w:rPr>
          <w:rFonts w:ascii="黑体" w:hAnsi="黑体" w:eastAsia="黑体"/>
          <w:sz w:val="32"/>
          <w:szCs w:val="32"/>
        </w:rPr>
      </w:pPr>
      <w:bookmarkStart w:id="32" w:name="_Toc422137097"/>
      <w:r>
        <w:rPr>
          <w:rFonts w:hint="eastAsia" w:ascii="黑体" w:hAnsi="黑体" w:eastAsia="黑体"/>
          <w:sz w:val="30"/>
          <w:szCs w:val="30"/>
        </w:rPr>
        <w:t>2</w:t>
      </w:r>
      <w:r>
        <w:rPr>
          <w:rFonts w:ascii="黑体" w:hAnsi="黑体" w:eastAsia="黑体"/>
          <w:sz w:val="30"/>
          <w:szCs w:val="30"/>
        </w:rPr>
        <w:t>.1</w:t>
      </w:r>
      <w:r>
        <w:rPr>
          <w:rFonts w:hint="eastAsia" w:ascii="黑体" w:hAnsi="黑体" w:eastAsia="黑体"/>
          <w:sz w:val="30"/>
          <w:szCs w:val="30"/>
        </w:rPr>
        <w:t>课程资源建设要求</w:t>
      </w:r>
    </w:p>
    <w:bookmarkEnd w:id="32"/>
    <w:p>
      <w:pPr>
        <w:spacing w:line="520" w:lineRule="exact"/>
        <w:ind w:firstLine="548" w:firstLineChars="196"/>
        <w:rPr>
          <w:rFonts w:eastAsia="仿宋_GB2312"/>
          <w:color w:val="000000"/>
          <w:sz w:val="28"/>
          <w:szCs w:val="28"/>
        </w:rPr>
      </w:pPr>
      <w:bookmarkStart w:id="33" w:name="_Toc422137101"/>
      <w:r>
        <w:rPr>
          <w:rFonts w:eastAsia="仿宋_GB2312"/>
          <w:color w:val="000000"/>
          <w:sz w:val="28"/>
          <w:szCs w:val="28"/>
        </w:rPr>
        <w:t>名师名校金课、素质教育拓展课程、</w:t>
      </w:r>
      <w:r>
        <w:rPr>
          <w:rFonts w:hint="eastAsia" w:eastAsia="仿宋_GB2312"/>
          <w:color w:val="000000"/>
          <w:sz w:val="28"/>
          <w:szCs w:val="28"/>
        </w:rPr>
        <w:t>教材配套资源等课程资源</w:t>
      </w:r>
      <w:r>
        <w:rPr>
          <w:rFonts w:eastAsia="仿宋_GB2312"/>
          <w:color w:val="000000"/>
          <w:sz w:val="28"/>
          <w:szCs w:val="28"/>
        </w:rPr>
        <w:t>建设</w:t>
      </w:r>
      <w:r>
        <w:rPr>
          <w:rFonts w:hint="eastAsia" w:eastAsia="仿宋_GB2312"/>
          <w:color w:val="000000"/>
          <w:sz w:val="28"/>
          <w:szCs w:val="28"/>
        </w:rPr>
        <w:t>需要</w:t>
      </w:r>
      <w:r>
        <w:rPr>
          <w:rFonts w:eastAsia="仿宋_GB2312"/>
          <w:color w:val="000000"/>
          <w:sz w:val="28"/>
          <w:szCs w:val="28"/>
        </w:rPr>
        <w:t>符合以下要求：</w:t>
      </w:r>
    </w:p>
    <w:p>
      <w:pPr>
        <w:pStyle w:val="182"/>
        <w:spacing w:line="520" w:lineRule="exact"/>
        <w:ind w:left="424" w:leftChars="202" w:firstLine="141" w:firstLineChars="50"/>
        <w:outlineLvl w:val="4"/>
        <w:rPr>
          <w:rFonts w:ascii="仿宋" w:hAnsi="仿宋" w:eastAsia="仿宋" w:cs="仿宋"/>
          <w:b/>
          <w:bCs/>
          <w:color w:val="000000"/>
          <w:sz w:val="28"/>
          <w:szCs w:val="28"/>
        </w:rPr>
      </w:pPr>
      <w:r>
        <w:rPr>
          <w:rFonts w:ascii="仿宋" w:hAnsi="仿宋" w:eastAsia="仿宋" w:cs="仿宋"/>
          <w:b/>
          <w:bCs/>
          <w:color w:val="000000"/>
          <w:sz w:val="28"/>
          <w:szCs w:val="28"/>
        </w:rPr>
        <w:t>2.1.1</w:t>
      </w:r>
      <w:r>
        <w:rPr>
          <w:rFonts w:hint="eastAsia" w:ascii="仿宋" w:hAnsi="仿宋" w:eastAsia="仿宋" w:cs="仿宋"/>
          <w:b/>
          <w:bCs/>
          <w:color w:val="000000"/>
          <w:sz w:val="28"/>
          <w:szCs w:val="28"/>
        </w:rPr>
        <w:t>课程资源技术要求</w:t>
      </w:r>
    </w:p>
    <w:p>
      <w:pPr>
        <w:spacing w:line="520" w:lineRule="exact"/>
        <w:ind w:firstLine="548" w:firstLineChars="196"/>
        <w:rPr>
          <w:rFonts w:eastAsia="仿宋_GB2312"/>
          <w:color w:val="000000"/>
          <w:sz w:val="28"/>
          <w:szCs w:val="28"/>
        </w:rPr>
      </w:pPr>
      <w:r>
        <w:rPr>
          <w:rFonts w:hint="eastAsia" w:eastAsia="仿宋_GB2312"/>
          <w:color w:val="000000"/>
          <w:sz w:val="28"/>
          <w:szCs w:val="28"/>
        </w:rPr>
        <w:t>资源类型涵盖微课视频、教学课件、教学设计、学习任务单、作业练习等。</w:t>
      </w:r>
    </w:p>
    <w:p>
      <w:pPr>
        <w:spacing w:line="520" w:lineRule="exact"/>
        <w:ind w:firstLine="548" w:firstLineChars="196"/>
        <w:rPr>
          <w:rFonts w:eastAsia="仿宋_GB2312"/>
          <w:color w:val="000000"/>
          <w:sz w:val="28"/>
          <w:szCs w:val="28"/>
        </w:rPr>
      </w:pPr>
      <w:r>
        <w:rPr>
          <w:rFonts w:hint="eastAsia" w:eastAsia="仿宋_GB2312"/>
          <w:color w:val="000000"/>
          <w:sz w:val="28"/>
          <w:szCs w:val="28"/>
        </w:rPr>
        <w:t>（1）微课视频</w:t>
      </w:r>
    </w:p>
    <w:p>
      <w:pPr>
        <w:spacing w:line="520" w:lineRule="exact"/>
        <w:ind w:firstLine="548" w:firstLineChars="196"/>
        <w:rPr>
          <w:rFonts w:eastAsia="仿宋_GB2312"/>
          <w:color w:val="000000"/>
          <w:sz w:val="28"/>
          <w:szCs w:val="28"/>
        </w:rPr>
      </w:pPr>
      <w:r>
        <w:rPr>
          <w:rFonts w:hint="eastAsia" w:eastAsia="仿宋_GB2312"/>
          <w:color w:val="000000"/>
          <w:sz w:val="28"/>
          <w:szCs w:val="28"/>
        </w:rPr>
        <w:t>微课视频要符合《数字教材 中小学数字教材元数据》《数字教材 中小学数字教材质量要求和检测方法》中有关要求，注重视频质量和青少年近视防控工作。</w:t>
      </w:r>
    </w:p>
    <w:p>
      <w:pPr>
        <w:spacing w:line="520" w:lineRule="exact"/>
        <w:ind w:firstLine="548" w:firstLineChars="196"/>
        <w:rPr>
          <w:rFonts w:eastAsia="仿宋_GB2312"/>
          <w:color w:val="000000"/>
          <w:sz w:val="28"/>
          <w:szCs w:val="28"/>
        </w:rPr>
      </w:pPr>
      <w:r>
        <w:rPr>
          <w:rFonts w:hint="eastAsia" w:eastAsia="仿宋_GB2312"/>
          <w:color w:val="000000"/>
          <w:sz w:val="28"/>
          <w:szCs w:val="28"/>
        </w:rPr>
        <w:t>学科知识类微课视频要求有教师真人出镜，授课教师画面和P</w:t>
      </w:r>
      <w:r>
        <w:rPr>
          <w:rFonts w:eastAsia="仿宋_GB2312"/>
          <w:color w:val="000000"/>
          <w:sz w:val="28"/>
          <w:szCs w:val="28"/>
        </w:rPr>
        <w:t>PT</w:t>
      </w:r>
      <w:r>
        <w:rPr>
          <w:rFonts w:hint="eastAsia" w:eastAsia="仿宋_GB2312"/>
          <w:color w:val="000000"/>
          <w:sz w:val="28"/>
          <w:szCs w:val="28"/>
        </w:rPr>
        <w:t>全屏画面适当切换，</w:t>
      </w:r>
      <w:r>
        <w:rPr>
          <w:rFonts w:eastAsia="仿宋_GB2312"/>
          <w:color w:val="000000"/>
          <w:sz w:val="28"/>
          <w:szCs w:val="28"/>
        </w:rPr>
        <w:t>PPT</w:t>
      </w:r>
      <w:r>
        <w:rPr>
          <w:rFonts w:hint="eastAsia" w:eastAsia="仿宋_GB2312"/>
          <w:color w:val="000000"/>
          <w:sz w:val="28"/>
          <w:szCs w:val="28"/>
        </w:rPr>
        <w:t>模板统一。微课视频要包含片头，时长5秒，文字信息包括：教材版本、学科、年级、课名、主讲教师等信息。视频画面的比例为16∶9，大小不超过1G，编码格式H.264/25帧，分辨率1920*1080P，码率8Mbps，音频ACC编码、码率128Kbps。单个微课视频时长：小学10-15分钟，中学15-20分钟。</w:t>
      </w:r>
    </w:p>
    <w:p>
      <w:pPr>
        <w:spacing w:line="520" w:lineRule="exact"/>
        <w:ind w:firstLine="548" w:firstLineChars="196"/>
        <w:rPr>
          <w:rFonts w:eastAsia="仿宋_GB2312"/>
          <w:color w:val="000000"/>
          <w:sz w:val="28"/>
          <w:szCs w:val="28"/>
        </w:rPr>
      </w:pPr>
      <w:r>
        <w:rPr>
          <w:rFonts w:hint="eastAsia" w:eastAsia="仿宋_GB2312"/>
          <w:color w:val="000000"/>
          <w:sz w:val="28"/>
          <w:szCs w:val="28"/>
        </w:rPr>
        <w:t>课后服务类微课视频</w:t>
      </w:r>
      <w:r>
        <w:rPr>
          <w:rFonts w:eastAsia="仿宋_GB2312"/>
          <w:color w:val="000000"/>
          <w:sz w:val="28"/>
          <w:szCs w:val="28"/>
        </w:rPr>
        <w:t>可</w:t>
      </w:r>
      <w:r>
        <w:rPr>
          <w:rFonts w:hint="eastAsia" w:eastAsia="仿宋_GB2312"/>
          <w:color w:val="000000"/>
          <w:sz w:val="28"/>
          <w:szCs w:val="28"/>
        </w:rPr>
        <w:t>采用</w:t>
      </w:r>
      <w:r>
        <w:rPr>
          <w:rFonts w:eastAsia="仿宋_GB2312"/>
          <w:color w:val="000000"/>
          <w:sz w:val="28"/>
          <w:szCs w:val="28"/>
        </w:rPr>
        <w:t>虚拟动画、真人实景等多样化的表现形式，</w:t>
      </w:r>
      <w:r>
        <w:rPr>
          <w:rFonts w:hint="eastAsia" w:eastAsia="仿宋_GB2312"/>
          <w:color w:val="000000"/>
          <w:sz w:val="28"/>
          <w:szCs w:val="28"/>
        </w:rPr>
        <w:t>增强教学的交互性和可视性</w:t>
      </w:r>
      <w:r>
        <w:rPr>
          <w:rFonts w:eastAsia="仿宋_GB2312"/>
          <w:color w:val="000000"/>
          <w:sz w:val="28"/>
          <w:szCs w:val="28"/>
        </w:rPr>
        <w:t>。避免教学或讲座式的全程出镜方式，包括不得</w:t>
      </w:r>
      <w:r>
        <w:rPr>
          <w:rFonts w:hint="eastAsia" w:eastAsia="仿宋_GB2312"/>
          <w:color w:val="000000"/>
          <w:sz w:val="28"/>
          <w:szCs w:val="28"/>
        </w:rPr>
        <w:t>以画中画的形式出镜。视频画面的比例为16∶9，大小不超过1G，编码格式H.264/25帧，分辨率1920*1080P，码率8Mbps，音频ACC编码、码率128Kbps。每个课时的微课视频时长10-15分钟。</w:t>
      </w:r>
    </w:p>
    <w:p>
      <w:pPr>
        <w:spacing w:line="520" w:lineRule="exact"/>
        <w:ind w:firstLine="548" w:firstLineChars="196"/>
        <w:rPr>
          <w:rFonts w:eastAsia="仿宋_GB2312"/>
          <w:color w:val="000000"/>
          <w:sz w:val="28"/>
          <w:szCs w:val="28"/>
        </w:rPr>
      </w:pPr>
      <w:r>
        <w:rPr>
          <w:rFonts w:hint="eastAsia" w:eastAsia="仿宋_GB2312"/>
          <w:color w:val="000000"/>
          <w:sz w:val="28"/>
          <w:szCs w:val="28"/>
        </w:rPr>
        <w:t>（2）教学课件</w:t>
      </w:r>
    </w:p>
    <w:p>
      <w:pPr>
        <w:spacing w:line="520" w:lineRule="exact"/>
        <w:ind w:firstLine="548" w:firstLineChars="196"/>
        <w:rPr>
          <w:rFonts w:eastAsia="仿宋_GB2312"/>
          <w:color w:val="000000"/>
          <w:sz w:val="28"/>
          <w:szCs w:val="28"/>
        </w:rPr>
      </w:pPr>
      <w:r>
        <w:rPr>
          <w:rFonts w:hint="eastAsia" w:eastAsia="仿宋_GB2312"/>
          <w:color w:val="000000"/>
          <w:sz w:val="28"/>
          <w:szCs w:val="28"/>
        </w:rPr>
        <w:t>教学课件及其嵌入的媒体素材应确保内容科学，政治方向正确，质量清晰，课件画面比例1</w:t>
      </w:r>
      <w:r>
        <w:rPr>
          <w:rFonts w:eastAsia="仿宋_GB2312"/>
          <w:color w:val="000000"/>
          <w:sz w:val="28"/>
          <w:szCs w:val="28"/>
        </w:rPr>
        <w:t>6</w:t>
      </w:r>
      <w:r>
        <w:rPr>
          <w:rFonts w:hint="eastAsia" w:eastAsia="仿宋_GB2312"/>
          <w:color w:val="000000"/>
          <w:sz w:val="28"/>
          <w:szCs w:val="28"/>
        </w:rPr>
        <w:t>：9，大小不超过1</w:t>
      </w:r>
      <w:r>
        <w:rPr>
          <w:rFonts w:eastAsia="仿宋_GB2312"/>
          <w:color w:val="000000"/>
          <w:sz w:val="28"/>
          <w:szCs w:val="28"/>
        </w:rPr>
        <w:t>00M。</w:t>
      </w:r>
      <w:r>
        <w:rPr>
          <w:rFonts w:hint="eastAsia" w:eastAsia="仿宋_GB2312"/>
          <w:color w:val="000000"/>
          <w:sz w:val="28"/>
          <w:szCs w:val="28"/>
        </w:rPr>
        <w:t>引用的媒体资源无版权问题，不含任何广告，引用网络视频等资料注明出处和来源。</w:t>
      </w:r>
    </w:p>
    <w:p>
      <w:pPr>
        <w:spacing w:line="520" w:lineRule="exact"/>
        <w:ind w:firstLine="548" w:firstLineChars="196"/>
        <w:rPr>
          <w:rFonts w:eastAsia="仿宋_GB2312"/>
          <w:color w:val="000000"/>
          <w:sz w:val="28"/>
          <w:szCs w:val="28"/>
        </w:rPr>
      </w:pPr>
      <w:r>
        <w:rPr>
          <w:rFonts w:hint="eastAsia" w:eastAsia="仿宋_GB2312"/>
          <w:color w:val="000000"/>
          <w:sz w:val="28"/>
          <w:szCs w:val="28"/>
        </w:rPr>
        <w:t>（3）文档</w:t>
      </w:r>
    </w:p>
    <w:p>
      <w:pPr>
        <w:spacing w:line="520" w:lineRule="exact"/>
        <w:ind w:firstLine="548" w:firstLineChars="196"/>
        <w:rPr>
          <w:rFonts w:eastAsia="仿宋_GB2312"/>
          <w:color w:val="000000"/>
          <w:sz w:val="28"/>
          <w:szCs w:val="28"/>
        </w:rPr>
      </w:pPr>
      <w:r>
        <w:rPr>
          <w:rFonts w:hint="eastAsia" w:eastAsia="仿宋_GB2312"/>
          <w:color w:val="000000"/>
          <w:sz w:val="28"/>
          <w:szCs w:val="28"/>
        </w:rPr>
        <w:t>教学设计、学习任务单、作业练习等以文本的形式呈现，大小不超过1</w:t>
      </w:r>
      <w:r>
        <w:rPr>
          <w:rFonts w:eastAsia="仿宋_GB2312"/>
          <w:color w:val="000000"/>
          <w:sz w:val="28"/>
          <w:szCs w:val="28"/>
        </w:rPr>
        <w:t>00M</w:t>
      </w:r>
      <w:r>
        <w:rPr>
          <w:rFonts w:hint="eastAsia" w:eastAsia="仿宋_GB2312"/>
          <w:color w:val="000000"/>
          <w:sz w:val="28"/>
          <w:szCs w:val="28"/>
        </w:rPr>
        <w:t>。教学设计应至少包含教学目标、教学内容和教学过程等，学习任务单内容应包括学习目标、学习任务、学习准备、学习方式等，作业练习应与学习目标相一致。</w:t>
      </w:r>
    </w:p>
    <w:p>
      <w:pPr>
        <w:spacing w:line="520" w:lineRule="exact"/>
        <w:ind w:firstLine="548" w:firstLineChars="196"/>
        <w:rPr>
          <w:rFonts w:eastAsia="仿宋_GB2312"/>
          <w:color w:val="000000"/>
          <w:sz w:val="28"/>
          <w:szCs w:val="28"/>
        </w:rPr>
      </w:pPr>
      <w:r>
        <w:rPr>
          <w:rFonts w:hint="eastAsia" w:eastAsia="仿宋_GB2312"/>
          <w:color w:val="000000"/>
          <w:sz w:val="28"/>
          <w:szCs w:val="28"/>
        </w:rPr>
        <w:t>（4）其他技术要求</w:t>
      </w:r>
    </w:p>
    <w:p>
      <w:pPr>
        <w:spacing w:line="520" w:lineRule="exact"/>
        <w:ind w:firstLine="548" w:firstLineChars="196"/>
        <w:rPr>
          <w:rFonts w:eastAsia="仿宋_GB2312"/>
          <w:color w:val="000000"/>
          <w:sz w:val="28"/>
          <w:szCs w:val="28"/>
        </w:rPr>
      </w:pPr>
      <w:r>
        <w:rPr>
          <w:rFonts w:hint="eastAsia" w:eastAsia="仿宋_GB2312"/>
          <w:color w:val="000000"/>
          <w:sz w:val="28"/>
          <w:szCs w:val="28"/>
        </w:rPr>
        <w:t>教师语言规范，录制视音频时讲解的语速和语言内容适当，录制微课所用课件画面不小于1920×1080、画质清晰，同一门课程的课件采用相同的PPT模板。</w:t>
      </w:r>
    </w:p>
    <w:p>
      <w:pPr>
        <w:pStyle w:val="182"/>
        <w:spacing w:line="520" w:lineRule="exact"/>
        <w:ind w:firstLine="644" w:firstLineChars="229"/>
        <w:outlineLvl w:val="4"/>
        <w:rPr>
          <w:rFonts w:ascii="仿宋" w:hAnsi="仿宋" w:eastAsia="仿宋"/>
          <w:b/>
          <w:color w:val="000000"/>
          <w:sz w:val="28"/>
          <w:szCs w:val="28"/>
          <w:lang w:eastAsia="zh-Hans"/>
        </w:rPr>
      </w:pPr>
      <w:r>
        <w:rPr>
          <w:rFonts w:ascii="仿宋" w:hAnsi="仿宋" w:eastAsia="仿宋"/>
          <w:b/>
          <w:color w:val="000000"/>
          <w:sz w:val="28"/>
          <w:szCs w:val="28"/>
          <w:lang w:eastAsia="zh-Hans"/>
        </w:rPr>
        <w:t>2.1.2</w:t>
      </w:r>
      <w:r>
        <w:rPr>
          <w:rFonts w:hint="eastAsia" w:ascii="仿宋" w:hAnsi="仿宋" w:eastAsia="仿宋"/>
          <w:b/>
          <w:color w:val="000000"/>
          <w:sz w:val="28"/>
          <w:szCs w:val="28"/>
          <w:lang w:eastAsia="zh-Hans"/>
        </w:rPr>
        <w:t>课程资源培训要求</w:t>
      </w:r>
    </w:p>
    <w:p>
      <w:pPr>
        <w:spacing w:line="520" w:lineRule="exact"/>
        <w:ind w:firstLine="548" w:firstLineChars="196"/>
        <w:rPr>
          <w:rFonts w:eastAsia="仿宋_GB2312"/>
          <w:color w:val="000000"/>
          <w:sz w:val="28"/>
          <w:szCs w:val="28"/>
        </w:rPr>
      </w:pPr>
      <w:r>
        <w:rPr>
          <w:rFonts w:hint="eastAsia" w:eastAsia="仿宋_GB2312"/>
          <w:color w:val="000000"/>
          <w:sz w:val="28"/>
          <w:szCs w:val="28"/>
        </w:rPr>
        <w:t>为参与承建的教师个人或团队提供不少于5次线上线下的资源建设与开发培训，参与培训教师</w:t>
      </w:r>
      <w:r>
        <w:rPr>
          <w:rFonts w:eastAsia="仿宋_GB2312"/>
          <w:color w:val="000000"/>
          <w:sz w:val="28"/>
          <w:szCs w:val="28"/>
        </w:rPr>
        <w:t>总</w:t>
      </w:r>
      <w:r>
        <w:rPr>
          <w:rFonts w:hint="eastAsia" w:eastAsia="仿宋_GB2312"/>
          <w:color w:val="000000"/>
          <w:sz w:val="28"/>
          <w:szCs w:val="28"/>
        </w:rPr>
        <w:t>数不少于1</w:t>
      </w:r>
      <w:r>
        <w:rPr>
          <w:rFonts w:eastAsia="仿宋_GB2312"/>
          <w:color w:val="000000"/>
          <w:sz w:val="28"/>
          <w:szCs w:val="28"/>
        </w:rPr>
        <w:t>000</w:t>
      </w:r>
      <w:r>
        <w:rPr>
          <w:rFonts w:hint="eastAsia" w:eastAsia="仿宋_GB2312"/>
          <w:color w:val="000000"/>
          <w:sz w:val="28"/>
          <w:szCs w:val="28"/>
        </w:rPr>
        <w:t>人。</w:t>
      </w:r>
    </w:p>
    <w:p>
      <w:pPr>
        <w:pStyle w:val="182"/>
        <w:spacing w:line="520" w:lineRule="exact"/>
        <w:ind w:firstLine="644" w:firstLineChars="229"/>
        <w:outlineLvl w:val="4"/>
        <w:rPr>
          <w:rFonts w:ascii="仿宋" w:hAnsi="仿宋" w:eastAsia="仿宋"/>
          <w:b/>
          <w:color w:val="000000"/>
          <w:sz w:val="28"/>
          <w:szCs w:val="28"/>
          <w:lang w:eastAsia="zh-Hans"/>
        </w:rPr>
      </w:pPr>
      <w:r>
        <w:rPr>
          <w:rFonts w:ascii="仿宋" w:hAnsi="仿宋" w:eastAsia="仿宋"/>
          <w:b/>
          <w:color w:val="000000"/>
          <w:sz w:val="28"/>
          <w:szCs w:val="28"/>
          <w:lang w:eastAsia="zh-Hans"/>
        </w:rPr>
        <w:t>2.1.3</w:t>
      </w:r>
      <w:r>
        <w:rPr>
          <w:rFonts w:hint="eastAsia" w:ascii="仿宋" w:hAnsi="仿宋" w:eastAsia="仿宋"/>
          <w:b/>
          <w:color w:val="000000"/>
          <w:sz w:val="28"/>
          <w:szCs w:val="28"/>
          <w:lang w:eastAsia="zh-Hans"/>
        </w:rPr>
        <w:t>课程资源审核与发布要求</w:t>
      </w:r>
    </w:p>
    <w:p>
      <w:pPr>
        <w:spacing w:line="520" w:lineRule="exact"/>
        <w:ind w:firstLine="548" w:firstLineChars="196"/>
        <w:rPr>
          <w:rFonts w:eastAsia="仿宋_GB2312"/>
          <w:color w:val="000000"/>
          <w:sz w:val="28"/>
          <w:szCs w:val="28"/>
        </w:rPr>
      </w:pPr>
      <w:r>
        <w:rPr>
          <w:rFonts w:hint="eastAsia" w:eastAsia="仿宋_GB2312"/>
          <w:color w:val="000000"/>
          <w:sz w:val="28"/>
          <w:szCs w:val="28"/>
        </w:rPr>
        <w:t>中标方需要提供不少于1</w:t>
      </w:r>
      <w:r>
        <w:rPr>
          <w:rFonts w:eastAsia="仿宋_GB2312"/>
          <w:color w:val="000000"/>
          <w:sz w:val="28"/>
          <w:szCs w:val="28"/>
        </w:rPr>
        <w:t>0</w:t>
      </w:r>
      <w:r>
        <w:rPr>
          <w:rFonts w:hint="eastAsia" w:eastAsia="仿宋_GB2312"/>
          <w:color w:val="000000"/>
          <w:sz w:val="28"/>
          <w:szCs w:val="28"/>
        </w:rPr>
        <w:t>个课时的样例资源，经采购人确认同意后，组织开展课程资源建设。数字教育课程资源落实“上线必审”原则，要以市县教研员、市级及以上教坛新秀、学科骨干教师、专业技术人员等组建专家审核队伍，对于资源建设内容进行过程指导，对所建课程资源进行学科和技术审核。通过专家审核后，符合要求的资源在之江汇教育广场平台上发布展示，资源内容无政治性、科学性等错误。</w:t>
      </w:r>
    </w:p>
    <w:p>
      <w:pPr>
        <w:spacing w:line="520" w:lineRule="exact"/>
        <w:ind w:firstLine="640" w:firstLineChars="200"/>
        <w:outlineLvl w:val="3"/>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.2</w:t>
      </w:r>
      <w:r>
        <w:rPr>
          <w:rFonts w:hint="eastAsia" w:ascii="黑体" w:hAnsi="黑体" w:eastAsia="黑体"/>
          <w:sz w:val="32"/>
          <w:szCs w:val="32"/>
        </w:rPr>
        <w:t>教学服务要求</w:t>
      </w:r>
    </w:p>
    <w:p>
      <w:pPr>
        <w:pStyle w:val="182"/>
        <w:spacing w:line="520" w:lineRule="exact"/>
        <w:ind w:firstLine="644" w:firstLineChars="229"/>
        <w:outlineLvl w:val="4"/>
        <w:rPr>
          <w:rFonts w:ascii="仿宋" w:hAnsi="仿宋" w:eastAsia="仿宋"/>
          <w:b/>
          <w:color w:val="000000"/>
          <w:sz w:val="28"/>
          <w:szCs w:val="28"/>
          <w:lang w:eastAsia="zh-Hans"/>
        </w:rPr>
      </w:pPr>
      <w:r>
        <w:rPr>
          <w:rFonts w:ascii="仿宋" w:hAnsi="仿宋" w:eastAsia="仿宋"/>
          <w:b/>
          <w:color w:val="000000"/>
          <w:sz w:val="28"/>
          <w:szCs w:val="28"/>
          <w:lang w:eastAsia="zh-Hans"/>
        </w:rPr>
        <w:t>2.2.1</w:t>
      </w:r>
      <w:r>
        <w:rPr>
          <w:rFonts w:hint="eastAsia" w:ascii="仿宋" w:hAnsi="仿宋" w:eastAsia="仿宋"/>
          <w:b/>
          <w:color w:val="000000"/>
          <w:sz w:val="28"/>
          <w:szCs w:val="28"/>
          <w:lang w:eastAsia="zh-Hans"/>
        </w:rPr>
        <w:t>名师网络工作室服务</w:t>
      </w:r>
      <w:r>
        <w:rPr>
          <w:rFonts w:ascii="仿宋" w:hAnsi="仿宋" w:eastAsia="仿宋"/>
          <w:b/>
          <w:color w:val="000000"/>
          <w:sz w:val="28"/>
          <w:szCs w:val="28"/>
          <w:lang w:eastAsia="zh-Hans"/>
        </w:rPr>
        <w:t>要求</w:t>
      </w:r>
    </w:p>
    <w:p>
      <w:pPr>
        <w:pStyle w:val="182"/>
        <w:spacing w:line="520" w:lineRule="exact"/>
        <w:ind w:firstLine="560"/>
        <w:rPr>
          <w:rFonts w:eastAsia="仿宋_GB2312"/>
          <w:color w:val="000000"/>
          <w:sz w:val="28"/>
          <w:szCs w:val="28"/>
        </w:rPr>
      </w:pPr>
      <w:r>
        <w:rPr>
          <w:rFonts w:eastAsia="仿宋_GB2312"/>
          <w:color w:val="000000"/>
          <w:sz w:val="28"/>
          <w:szCs w:val="28"/>
        </w:rPr>
        <w:t>做好名师网络工作室实施方案、学年计划、特色项目方案等审核与指导，建立每个工作室的</w:t>
      </w:r>
      <w:r>
        <w:rPr>
          <w:rFonts w:hint="eastAsia" w:eastAsia="仿宋_GB2312"/>
          <w:color w:val="000000"/>
          <w:sz w:val="28"/>
          <w:szCs w:val="28"/>
        </w:rPr>
        <w:t>管</w:t>
      </w:r>
      <w:r>
        <w:rPr>
          <w:rFonts w:eastAsia="仿宋_GB2312"/>
          <w:color w:val="000000"/>
          <w:sz w:val="28"/>
          <w:szCs w:val="28"/>
        </w:rPr>
        <w:t>理档案</w:t>
      </w:r>
      <w:r>
        <w:rPr>
          <w:rFonts w:hint="eastAsia" w:eastAsia="仿宋_GB2312"/>
          <w:color w:val="000000"/>
          <w:sz w:val="28"/>
          <w:szCs w:val="28"/>
        </w:rPr>
        <w:t>，</w:t>
      </w:r>
      <w:r>
        <w:rPr>
          <w:rFonts w:eastAsia="仿宋_GB2312"/>
          <w:color w:val="000000"/>
          <w:sz w:val="28"/>
          <w:szCs w:val="28"/>
        </w:rPr>
        <w:t>监管省级名师工作室的信息安全</w:t>
      </w:r>
      <w:r>
        <w:rPr>
          <w:rFonts w:hint="eastAsia" w:eastAsia="仿宋_GB2312"/>
          <w:color w:val="000000"/>
          <w:sz w:val="28"/>
          <w:szCs w:val="28"/>
        </w:rPr>
        <w:t>。</w:t>
      </w:r>
      <w:r>
        <w:rPr>
          <w:rFonts w:eastAsia="仿宋_GB2312"/>
          <w:color w:val="000000"/>
          <w:sz w:val="28"/>
          <w:szCs w:val="28"/>
        </w:rPr>
        <w:t>开展针对性的培训</w:t>
      </w:r>
      <w:r>
        <w:rPr>
          <w:rFonts w:hint="eastAsia" w:eastAsia="仿宋_GB2312"/>
          <w:color w:val="000000"/>
          <w:sz w:val="28"/>
          <w:szCs w:val="28"/>
        </w:rPr>
        <w:t>，</w:t>
      </w:r>
      <w:r>
        <w:rPr>
          <w:rFonts w:eastAsia="仿宋_GB2312"/>
          <w:color w:val="000000"/>
          <w:sz w:val="28"/>
          <w:szCs w:val="28"/>
        </w:rPr>
        <w:t>围绕工作室建设与应用的需求开展有关技术应用、资源建设、网络研修、课题研究等培训活动</w:t>
      </w:r>
      <w:r>
        <w:rPr>
          <w:rFonts w:hint="eastAsia" w:eastAsia="仿宋_GB2312"/>
          <w:color w:val="000000"/>
          <w:sz w:val="28"/>
          <w:szCs w:val="28"/>
        </w:rPr>
        <w:t>。</w:t>
      </w:r>
      <w:r>
        <w:rPr>
          <w:rFonts w:eastAsia="仿宋_GB2312"/>
          <w:color w:val="000000"/>
          <w:sz w:val="28"/>
          <w:szCs w:val="28"/>
        </w:rPr>
        <w:t>组织名师网络工作室开展对山区26县及海岛县的帮扶送教活动，持续跟进2个特色帮扶项目，培育成效明显的案例至少3个，提交项目总结报告1份。</w:t>
      </w:r>
      <w:r>
        <w:rPr>
          <w:rFonts w:hint="eastAsia" w:eastAsia="仿宋_GB2312"/>
          <w:color w:val="000000"/>
          <w:sz w:val="28"/>
          <w:szCs w:val="28"/>
        </w:rPr>
        <w:t>定期</w:t>
      </w:r>
      <w:r>
        <w:rPr>
          <w:rFonts w:eastAsia="仿宋_GB2312"/>
          <w:color w:val="000000"/>
          <w:sz w:val="28"/>
          <w:szCs w:val="28"/>
        </w:rPr>
        <w:t>做一次工作室建设应用数据与案例的梳理与分析，发布工作简报</w:t>
      </w:r>
      <w:r>
        <w:rPr>
          <w:rFonts w:hint="eastAsia" w:eastAsia="仿宋_GB2312"/>
          <w:color w:val="000000"/>
          <w:sz w:val="28"/>
          <w:szCs w:val="28"/>
        </w:rPr>
        <w:t>，完成</w:t>
      </w:r>
      <w:r>
        <w:rPr>
          <w:rFonts w:eastAsia="仿宋_GB2312"/>
          <w:color w:val="000000"/>
          <w:sz w:val="28"/>
          <w:szCs w:val="28"/>
        </w:rPr>
        <w:t>2022学年名师网络工作室发展报告。</w:t>
      </w:r>
    </w:p>
    <w:p>
      <w:pPr>
        <w:pStyle w:val="182"/>
        <w:spacing w:line="520" w:lineRule="exact"/>
        <w:ind w:firstLine="644" w:firstLineChars="229"/>
        <w:outlineLvl w:val="4"/>
        <w:rPr>
          <w:rFonts w:ascii="仿宋" w:hAnsi="仿宋" w:eastAsia="仿宋"/>
          <w:b/>
          <w:color w:val="000000"/>
          <w:sz w:val="28"/>
          <w:szCs w:val="28"/>
          <w:lang w:eastAsia="zh-Hans"/>
        </w:rPr>
      </w:pPr>
      <w:r>
        <w:rPr>
          <w:rFonts w:ascii="仿宋" w:hAnsi="仿宋" w:eastAsia="仿宋"/>
          <w:b/>
          <w:color w:val="000000"/>
          <w:sz w:val="28"/>
          <w:szCs w:val="28"/>
          <w:lang w:eastAsia="zh-Hans"/>
        </w:rPr>
        <w:t>2.2.2</w:t>
      </w:r>
      <w:r>
        <w:rPr>
          <w:rFonts w:hint="eastAsia" w:ascii="仿宋" w:hAnsi="仿宋" w:eastAsia="仿宋"/>
          <w:b/>
          <w:color w:val="000000"/>
          <w:sz w:val="28"/>
          <w:szCs w:val="28"/>
          <w:lang w:eastAsia="zh-Hans"/>
        </w:rPr>
        <w:t>在线答疑服务要求</w:t>
      </w:r>
    </w:p>
    <w:p>
      <w:pPr>
        <w:spacing w:line="520" w:lineRule="exact"/>
        <w:ind w:firstLine="560" w:firstLineChars="200"/>
        <w:rPr>
          <w:rFonts w:eastAsia="仿宋_GB2312"/>
          <w:color w:val="000000"/>
          <w:sz w:val="28"/>
          <w:szCs w:val="28"/>
        </w:rPr>
      </w:pPr>
      <w:r>
        <w:rPr>
          <w:rFonts w:hint="eastAsia" w:eastAsia="仿宋_GB2312"/>
          <w:color w:val="000000"/>
          <w:sz w:val="28"/>
          <w:szCs w:val="28"/>
        </w:rPr>
        <w:t>基于“浙里问学”免费在线答疑服务系统，组织对接志愿者教师和名师为全省有需求的义务教育段学生和家长提供一对一的在线答疑服务。加强答疑教师团队的组织与管理，注重教师解答即时性，关于名师答疑服务、志愿者答疑服务各提交1份操作手册文档，对于参与服务的教师开展不少于2次的线上线下在线答疑服务培训。同时，迭代更新平台答疑服务性能，提供稳定、便捷的用户答疑体验，</w:t>
      </w:r>
      <w:r>
        <w:rPr>
          <w:rFonts w:eastAsia="仿宋_GB2312"/>
          <w:color w:val="000000"/>
          <w:sz w:val="28"/>
          <w:szCs w:val="28"/>
        </w:rPr>
        <w:t>监管</w:t>
      </w:r>
      <w:r>
        <w:rPr>
          <w:rFonts w:hint="eastAsia" w:eastAsia="仿宋_GB2312"/>
          <w:color w:val="000000"/>
          <w:sz w:val="28"/>
          <w:szCs w:val="28"/>
        </w:rPr>
        <w:t>“浙里问学”在线答疑服务系统</w:t>
      </w:r>
      <w:r>
        <w:rPr>
          <w:rFonts w:eastAsia="仿宋_GB2312"/>
          <w:color w:val="000000"/>
          <w:sz w:val="28"/>
          <w:szCs w:val="28"/>
        </w:rPr>
        <w:t>的信息安全，确保不出现信息安全事故</w:t>
      </w:r>
      <w:r>
        <w:rPr>
          <w:rFonts w:hint="eastAsia" w:eastAsia="仿宋_GB2312"/>
          <w:color w:val="000000"/>
          <w:sz w:val="28"/>
          <w:szCs w:val="28"/>
        </w:rPr>
        <w:t>。“浙里问学”微信公众号宣传推文不少1</w:t>
      </w:r>
      <w:r>
        <w:rPr>
          <w:rFonts w:eastAsia="仿宋_GB2312"/>
          <w:color w:val="000000"/>
          <w:sz w:val="28"/>
          <w:szCs w:val="28"/>
        </w:rPr>
        <w:t>0</w:t>
      </w:r>
      <w:r>
        <w:rPr>
          <w:rFonts w:hint="eastAsia" w:eastAsia="仿宋_GB2312"/>
          <w:color w:val="000000"/>
          <w:sz w:val="28"/>
          <w:szCs w:val="28"/>
        </w:rPr>
        <w:t>篇，完成“浙里问学”在线答疑服务情况年度总结报告。</w:t>
      </w:r>
    </w:p>
    <w:p>
      <w:pPr>
        <w:spacing w:line="520" w:lineRule="exact"/>
        <w:ind w:firstLine="640" w:firstLineChars="200"/>
        <w:outlineLvl w:val="3"/>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.3</w:t>
      </w:r>
      <w:r>
        <w:rPr>
          <w:rFonts w:hint="eastAsia" w:ascii="黑体" w:hAnsi="黑体" w:eastAsia="黑体"/>
          <w:sz w:val="32"/>
          <w:szCs w:val="32"/>
        </w:rPr>
        <w:t>资源使用满意度要求</w:t>
      </w:r>
    </w:p>
    <w:p>
      <w:pPr>
        <w:spacing w:line="520" w:lineRule="exact"/>
        <w:ind w:firstLine="560" w:firstLineChars="200"/>
        <w:rPr>
          <w:rFonts w:eastAsia="仿宋_GB2312"/>
          <w:color w:val="000000"/>
          <w:sz w:val="28"/>
          <w:szCs w:val="28"/>
        </w:rPr>
      </w:pPr>
      <w:r>
        <w:rPr>
          <w:rFonts w:hint="eastAsia" w:eastAsia="仿宋_GB2312"/>
          <w:color w:val="000000"/>
          <w:sz w:val="28"/>
          <w:szCs w:val="28"/>
        </w:rPr>
        <w:t>开展课程资源使用指导与应用推广，名师名校金课、素质教育拓展课程资源学习人次不少于5</w:t>
      </w:r>
      <w:r>
        <w:rPr>
          <w:rFonts w:eastAsia="仿宋_GB2312"/>
          <w:color w:val="000000"/>
          <w:sz w:val="28"/>
          <w:szCs w:val="28"/>
        </w:rPr>
        <w:t>0</w:t>
      </w:r>
      <w:r>
        <w:rPr>
          <w:rFonts w:hint="eastAsia" w:eastAsia="仿宋_GB2312"/>
          <w:color w:val="000000"/>
          <w:sz w:val="28"/>
          <w:szCs w:val="28"/>
        </w:rPr>
        <w:t>万，“浙里问学”有效答疑次数不少于5万次。制定2</w:t>
      </w:r>
      <w:r>
        <w:rPr>
          <w:rFonts w:eastAsia="仿宋_GB2312"/>
          <w:color w:val="000000"/>
          <w:sz w:val="28"/>
          <w:szCs w:val="28"/>
        </w:rPr>
        <w:t>023</w:t>
      </w:r>
      <w:r>
        <w:rPr>
          <w:rFonts w:hint="eastAsia" w:eastAsia="仿宋_GB2312"/>
          <w:color w:val="000000"/>
          <w:sz w:val="28"/>
          <w:szCs w:val="28"/>
        </w:rPr>
        <w:t>年之江汇教育广场数字资源建设项目的调查问卷，面向省内中小学师生发放问卷，有效回收问卷量要求不少于5</w:t>
      </w:r>
      <w:r>
        <w:rPr>
          <w:rFonts w:eastAsia="仿宋_GB2312"/>
          <w:color w:val="000000"/>
          <w:sz w:val="28"/>
          <w:szCs w:val="28"/>
        </w:rPr>
        <w:t>00</w:t>
      </w:r>
      <w:r>
        <w:rPr>
          <w:rFonts w:hint="eastAsia" w:eastAsia="仿宋_GB2312"/>
          <w:color w:val="000000"/>
          <w:sz w:val="28"/>
          <w:szCs w:val="28"/>
        </w:rPr>
        <w:t>份，师生资源使用满意度不低于8</w:t>
      </w:r>
      <w:r>
        <w:rPr>
          <w:rFonts w:eastAsia="仿宋_GB2312"/>
          <w:color w:val="000000"/>
          <w:sz w:val="28"/>
          <w:szCs w:val="28"/>
        </w:rPr>
        <w:t>0%</w:t>
      </w:r>
      <w:r>
        <w:rPr>
          <w:rFonts w:hint="eastAsia" w:eastAsia="仿宋_GB2312"/>
          <w:color w:val="000000"/>
          <w:sz w:val="28"/>
          <w:szCs w:val="28"/>
        </w:rPr>
        <w:t>。</w:t>
      </w:r>
    </w:p>
    <w:p>
      <w:pPr>
        <w:pStyle w:val="182"/>
        <w:spacing w:line="520" w:lineRule="exact"/>
        <w:ind w:left="424" w:leftChars="202" w:firstLine="150" w:firstLineChars="50"/>
        <w:outlineLvl w:val="2"/>
        <w:rPr>
          <w:rFonts w:ascii="黑体" w:hAnsi="黑体" w:eastAsia="黑体"/>
          <w:color w:val="000000"/>
          <w:sz w:val="30"/>
          <w:szCs w:val="30"/>
        </w:rPr>
      </w:pPr>
      <w:r>
        <w:rPr>
          <w:rFonts w:hint="eastAsia" w:ascii="黑体" w:hAnsi="黑体" w:eastAsia="黑体"/>
          <w:color w:val="000000"/>
          <w:sz w:val="30"/>
          <w:szCs w:val="30"/>
        </w:rPr>
        <w:t>（三）资源版权要求</w:t>
      </w:r>
    </w:p>
    <w:p>
      <w:pPr>
        <w:spacing w:line="520" w:lineRule="exact"/>
        <w:ind w:firstLine="560" w:firstLineChars="200"/>
        <w:rPr>
          <w:rFonts w:ascii="仿宋_GB2312" w:hAnsi="仿宋" w:eastAsia="仿宋_GB2312"/>
          <w:sz w:val="28"/>
          <w:szCs w:val="28"/>
        </w:rPr>
      </w:pPr>
      <w:r>
        <w:rPr>
          <w:rFonts w:hint="eastAsia" w:eastAsia="仿宋_GB2312"/>
          <w:color w:val="000000"/>
          <w:sz w:val="28"/>
          <w:szCs w:val="28"/>
        </w:rPr>
        <w:t>（1）2023年之江汇教育广场数字资源建设项目工作，需严格遵守《中华人民共和国著作权法》及相关法规的有关规定，采购人</w:t>
      </w:r>
      <w:r>
        <w:rPr>
          <w:rFonts w:hint="eastAsia" w:ascii="仿宋_GB2312" w:hAnsi="仿宋" w:eastAsia="仿宋_GB2312"/>
          <w:sz w:val="28"/>
          <w:szCs w:val="28"/>
        </w:rPr>
        <w:t>拥有本项目所建资源网络传播权、出版发行权。</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rPr>
        <w:t>（2）中标方须保证所供资源符合国家有关规定。并保证所供资源具有合法的版权或使用权，本项目资源如在本项目范围内使用过程中出现版权或使用权纠纷，由中标方负责，采购人不承担任何责任。</w:t>
      </w:r>
    </w:p>
    <w:p>
      <w:pPr>
        <w:spacing w:line="520" w:lineRule="exact"/>
        <w:ind w:firstLine="560" w:firstLineChars="200"/>
        <w:rPr>
          <w:rFonts w:eastAsia="仿宋_GB2312"/>
          <w:color w:val="000000"/>
          <w:sz w:val="28"/>
          <w:szCs w:val="28"/>
        </w:rPr>
      </w:pPr>
      <w:r>
        <w:rPr>
          <w:rFonts w:hint="eastAsia" w:eastAsia="仿宋_GB2312"/>
          <w:color w:val="000000"/>
          <w:sz w:val="28"/>
          <w:szCs w:val="28"/>
        </w:rPr>
        <w:t>（3）中标方相关工作人员出现违法、违规、违反社会道德及有反意识形态等情况，采购人有权解除合同，中标方退回采购人已支付的所有款项，并赔偿采购人一切损失。</w:t>
      </w:r>
    </w:p>
    <w:p>
      <w:pPr>
        <w:spacing w:line="520" w:lineRule="exact"/>
        <w:ind w:firstLine="560" w:firstLineChars="200"/>
        <w:rPr>
          <w:rFonts w:eastAsia="仿宋_GB2312"/>
          <w:color w:val="000000"/>
          <w:sz w:val="28"/>
          <w:szCs w:val="28"/>
        </w:rPr>
      </w:pPr>
      <w:r>
        <w:rPr>
          <w:rFonts w:hint="eastAsia" w:eastAsia="仿宋_GB2312"/>
          <w:color w:val="000000"/>
          <w:sz w:val="28"/>
          <w:szCs w:val="28"/>
        </w:rPr>
        <w:t>（4）中标方不得擅自向第三方透露本项目所有相关内容，也不得将本项目素材及成片用于商业活动，一切因此而产生的法律责任由中标方自行负责。</w:t>
      </w:r>
    </w:p>
    <w:p>
      <w:pPr>
        <w:spacing w:line="520" w:lineRule="exact"/>
        <w:ind w:firstLine="640" w:firstLineChars="200"/>
        <w:outlineLvl w:val="2"/>
        <w:rPr>
          <w:rFonts w:ascii="黑体" w:hAnsi="黑体" w:eastAsia="黑体"/>
          <w:sz w:val="32"/>
          <w:szCs w:val="32"/>
        </w:rPr>
      </w:pPr>
      <w:r>
        <w:rPr>
          <w:rFonts w:hint="eastAsia" w:ascii="黑体" w:hAnsi="黑体" w:eastAsia="黑体"/>
          <w:sz w:val="32"/>
          <w:szCs w:val="32"/>
        </w:rPr>
        <w:t>（四）人员队伍要求</w:t>
      </w:r>
    </w:p>
    <w:p>
      <w:pPr>
        <w:spacing w:line="520" w:lineRule="exact"/>
        <w:ind w:firstLine="548" w:firstLineChars="196"/>
        <w:rPr>
          <w:rFonts w:eastAsia="仿宋_GB2312"/>
          <w:color w:val="000000"/>
          <w:sz w:val="28"/>
          <w:szCs w:val="28"/>
        </w:rPr>
      </w:pPr>
      <w:r>
        <w:rPr>
          <w:rFonts w:hint="eastAsia" w:eastAsia="仿宋_GB2312"/>
          <w:color w:val="000000"/>
          <w:sz w:val="28"/>
          <w:szCs w:val="28"/>
        </w:rPr>
        <w:t>本项目要求提供团队人员数量不少于1</w:t>
      </w:r>
      <w:r>
        <w:rPr>
          <w:rFonts w:eastAsia="仿宋_GB2312"/>
          <w:color w:val="000000"/>
          <w:sz w:val="28"/>
          <w:szCs w:val="28"/>
        </w:rPr>
        <w:t>0</w:t>
      </w:r>
      <w:r>
        <w:rPr>
          <w:rFonts w:hint="eastAsia" w:eastAsia="仿宋_GB2312"/>
          <w:color w:val="000000"/>
          <w:sz w:val="28"/>
          <w:szCs w:val="28"/>
        </w:rPr>
        <w:t>人</w:t>
      </w:r>
      <w:r>
        <w:rPr>
          <w:rFonts w:eastAsia="仿宋_GB2312"/>
          <w:color w:val="000000"/>
          <w:sz w:val="28"/>
          <w:szCs w:val="28"/>
        </w:rPr>
        <w:t>，</w:t>
      </w:r>
      <w:r>
        <w:rPr>
          <w:rFonts w:hint="eastAsia" w:eastAsia="仿宋_GB2312"/>
          <w:color w:val="000000"/>
          <w:sz w:val="28"/>
          <w:szCs w:val="28"/>
        </w:rPr>
        <w:t>项目负责人要求具有中小学教师或社会科学研究领域正高级职称，熟悉省内在线教育教学现状，具有数字教育资源开发经验与研究能力。参与名师名校金</w:t>
      </w:r>
      <w:r>
        <w:rPr>
          <w:rFonts w:eastAsia="仿宋_GB2312"/>
          <w:color w:val="000000"/>
          <w:sz w:val="28"/>
          <w:szCs w:val="28"/>
        </w:rPr>
        <w:t>课</w:t>
      </w:r>
      <w:r>
        <w:rPr>
          <w:rFonts w:hint="eastAsia" w:eastAsia="仿宋_GB2312"/>
          <w:color w:val="000000"/>
          <w:sz w:val="28"/>
          <w:szCs w:val="28"/>
        </w:rPr>
        <w:t>、素质拓展课</w:t>
      </w:r>
      <w:r>
        <w:rPr>
          <w:rFonts w:eastAsia="仿宋_GB2312"/>
          <w:color w:val="000000"/>
          <w:sz w:val="28"/>
          <w:szCs w:val="28"/>
        </w:rPr>
        <w:t>程</w:t>
      </w:r>
      <w:r>
        <w:rPr>
          <w:rFonts w:hint="eastAsia" w:eastAsia="仿宋_GB2312"/>
          <w:color w:val="000000"/>
          <w:sz w:val="28"/>
          <w:szCs w:val="28"/>
        </w:rPr>
        <w:t>、网络同步课程等课程</w:t>
      </w:r>
      <w:r>
        <w:rPr>
          <w:rFonts w:eastAsia="仿宋_GB2312"/>
          <w:color w:val="000000"/>
          <w:sz w:val="28"/>
          <w:szCs w:val="28"/>
        </w:rPr>
        <w:t>资源建设</w:t>
      </w:r>
      <w:r>
        <w:rPr>
          <w:rFonts w:hint="eastAsia" w:eastAsia="仿宋_GB2312"/>
          <w:color w:val="000000"/>
          <w:sz w:val="28"/>
          <w:szCs w:val="28"/>
        </w:rPr>
        <w:t>的人员要求</w:t>
      </w:r>
      <w:r>
        <w:rPr>
          <w:rFonts w:eastAsia="仿宋_GB2312"/>
          <w:color w:val="000000"/>
          <w:sz w:val="28"/>
          <w:szCs w:val="28"/>
        </w:rPr>
        <w:t>对教育教学有一定的</w:t>
      </w:r>
      <w:r>
        <w:rPr>
          <w:rFonts w:hint="eastAsia" w:eastAsia="仿宋_GB2312"/>
          <w:color w:val="000000"/>
          <w:sz w:val="28"/>
          <w:szCs w:val="28"/>
        </w:rPr>
        <w:t>了解</w:t>
      </w:r>
      <w:r>
        <w:rPr>
          <w:rFonts w:eastAsia="仿宋_GB2312"/>
          <w:color w:val="000000"/>
          <w:sz w:val="28"/>
          <w:szCs w:val="28"/>
        </w:rPr>
        <w:t>，</w:t>
      </w:r>
      <w:r>
        <w:rPr>
          <w:rFonts w:hint="eastAsia" w:eastAsia="仿宋_GB2312"/>
          <w:color w:val="000000"/>
          <w:sz w:val="28"/>
          <w:szCs w:val="28"/>
        </w:rPr>
        <w:t>具有副高及以上教师职称不少于6人，</w:t>
      </w:r>
      <w:r>
        <w:rPr>
          <w:rFonts w:eastAsia="仿宋_GB2312"/>
          <w:color w:val="000000"/>
          <w:sz w:val="28"/>
          <w:szCs w:val="28"/>
        </w:rPr>
        <w:t>负责</w:t>
      </w:r>
      <w:r>
        <w:rPr>
          <w:rFonts w:hint="eastAsia" w:eastAsia="仿宋_GB2312"/>
          <w:color w:val="000000"/>
          <w:sz w:val="28"/>
          <w:szCs w:val="28"/>
        </w:rPr>
        <w:t>对参与课程资源建设开发的教师团队、社会机构等组织遴选，符合建设要求的纳入资源建设队伍，并组织开展课程资源建设开发培训、课时资源上传培训、资源专家审核等。参与“浙里问学”在线答疑服务、名师网络工作室项目的人员要求有名师网络工作室建设、答疑服务组织等信息系统项目管理方面的相关知识及经验，具有副高及以上计算机技术与软件专业技术资格的不少于4人，能够与用户进行良好的沟通，解答功能操作等使用问题。</w:t>
      </w:r>
    </w:p>
    <w:p>
      <w:pPr>
        <w:spacing w:line="520" w:lineRule="exact"/>
        <w:ind w:firstLine="640" w:firstLineChars="200"/>
        <w:outlineLvl w:val="2"/>
        <w:rPr>
          <w:rFonts w:ascii="黑体" w:hAnsi="黑体" w:eastAsia="黑体"/>
          <w:sz w:val="32"/>
          <w:szCs w:val="32"/>
        </w:rPr>
      </w:pPr>
      <w:r>
        <w:rPr>
          <w:rFonts w:hint="eastAsia" w:ascii="黑体" w:hAnsi="黑体" w:eastAsia="黑体"/>
          <w:sz w:val="32"/>
          <w:szCs w:val="32"/>
        </w:rPr>
        <w:t>（五）项目验收要求</w:t>
      </w:r>
    </w:p>
    <w:p>
      <w:pPr>
        <w:spacing w:line="52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签订合同后</w:t>
      </w:r>
      <w:r>
        <w:rPr>
          <w:rFonts w:ascii="仿宋_GB2312" w:hAnsi="仿宋" w:eastAsia="仿宋_GB2312"/>
          <w:color w:val="000000"/>
          <w:sz w:val="28"/>
          <w:szCs w:val="28"/>
        </w:rPr>
        <w:t>2</w:t>
      </w:r>
      <w:r>
        <w:rPr>
          <w:rFonts w:hint="eastAsia" w:ascii="仿宋_GB2312" w:hAnsi="仿宋" w:eastAsia="仿宋_GB2312"/>
          <w:color w:val="000000"/>
          <w:sz w:val="28"/>
          <w:szCs w:val="28"/>
        </w:rPr>
        <w:t>个月内开展“浙里问学”志愿者教师答疑、“A</w:t>
      </w:r>
      <w:r>
        <w:rPr>
          <w:rFonts w:ascii="仿宋_GB2312" w:hAnsi="仿宋" w:eastAsia="仿宋_GB2312"/>
          <w:color w:val="000000"/>
          <w:sz w:val="28"/>
          <w:szCs w:val="28"/>
        </w:rPr>
        <w:t>I</w:t>
      </w:r>
      <w:r>
        <w:rPr>
          <w:rFonts w:hint="eastAsia" w:ascii="仿宋_GB2312" w:hAnsi="仿宋" w:eastAsia="仿宋_GB2312"/>
          <w:color w:val="000000"/>
          <w:sz w:val="28"/>
          <w:szCs w:val="28"/>
        </w:rPr>
        <w:t>智能</w:t>
      </w:r>
      <w:r>
        <w:rPr>
          <w:rFonts w:ascii="仿宋_GB2312" w:hAnsi="仿宋" w:eastAsia="仿宋_GB2312"/>
          <w:color w:val="000000"/>
          <w:sz w:val="28"/>
          <w:szCs w:val="28"/>
        </w:rPr>
        <w:t>+</w:t>
      </w:r>
      <w:r>
        <w:rPr>
          <w:rFonts w:hint="eastAsia" w:ascii="仿宋_GB2312" w:hAnsi="仿宋" w:eastAsia="仿宋_GB2312"/>
          <w:color w:val="000000"/>
          <w:sz w:val="28"/>
          <w:szCs w:val="28"/>
        </w:rPr>
        <w:t>志愿者”答疑，</w:t>
      </w:r>
      <w:r>
        <w:rPr>
          <w:rFonts w:ascii="仿宋_GB2312" w:hAnsi="仿宋" w:eastAsia="仿宋_GB2312"/>
          <w:color w:val="000000"/>
          <w:sz w:val="28"/>
          <w:szCs w:val="28"/>
        </w:rPr>
        <w:t>答疑问题数不少于2万；</w:t>
      </w:r>
      <w:r>
        <w:rPr>
          <w:rFonts w:hint="eastAsia" w:ascii="仿宋_GB2312" w:hAnsi="仿宋" w:eastAsia="仿宋_GB2312"/>
          <w:color w:val="000000"/>
          <w:sz w:val="28"/>
          <w:szCs w:val="28"/>
        </w:rPr>
        <w:t>组织不少于2次的课程建设培训，完成1</w:t>
      </w:r>
      <w:r>
        <w:rPr>
          <w:rFonts w:ascii="仿宋_GB2312" w:hAnsi="仿宋" w:eastAsia="仿宋_GB2312"/>
          <w:color w:val="000000"/>
          <w:sz w:val="28"/>
          <w:szCs w:val="28"/>
        </w:rPr>
        <w:t>50</w:t>
      </w:r>
      <w:r>
        <w:rPr>
          <w:rFonts w:hint="eastAsia" w:ascii="仿宋_GB2312" w:hAnsi="仿宋" w:eastAsia="仿宋_GB2312"/>
          <w:color w:val="000000"/>
          <w:sz w:val="28"/>
          <w:szCs w:val="28"/>
        </w:rPr>
        <w:t>门名师名校金课和1</w:t>
      </w:r>
      <w:r>
        <w:rPr>
          <w:rFonts w:ascii="仿宋_GB2312" w:hAnsi="仿宋" w:eastAsia="仿宋_GB2312"/>
          <w:color w:val="000000"/>
          <w:sz w:val="28"/>
          <w:szCs w:val="28"/>
        </w:rPr>
        <w:t>00</w:t>
      </w:r>
      <w:r>
        <w:rPr>
          <w:rFonts w:hint="eastAsia" w:ascii="仿宋_GB2312" w:hAnsi="仿宋" w:eastAsia="仿宋_GB2312"/>
          <w:color w:val="000000"/>
          <w:sz w:val="28"/>
          <w:szCs w:val="28"/>
        </w:rPr>
        <w:t>门素质教育拓展课程建设，</w:t>
      </w:r>
      <w:r>
        <w:rPr>
          <w:rFonts w:ascii="仿宋_GB2312" w:hAnsi="仿宋" w:eastAsia="仿宋_GB2312"/>
          <w:color w:val="000000"/>
          <w:sz w:val="28"/>
          <w:szCs w:val="28"/>
        </w:rPr>
        <w:t>学习人次不少于20万；建成不少于300个省级名师网络工作室，</w:t>
      </w:r>
      <w:r>
        <w:rPr>
          <w:rFonts w:hint="eastAsia" w:ascii="仿宋_GB2312" w:hAnsi="仿宋" w:eastAsia="仿宋_GB2312"/>
          <w:color w:val="000000"/>
          <w:sz w:val="28"/>
          <w:szCs w:val="28"/>
        </w:rPr>
        <w:t>完成2</w:t>
      </w:r>
      <w:r>
        <w:rPr>
          <w:rFonts w:ascii="仿宋_GB2312" w:hAnsi="仿宋" w:eastAsia="仿宋_GB2312"/>
          <w:color w:val="000000"/>
          <w:sz w:val="28"/>
          <w:szCs w:val="28"/>
        </w:rPr>
        <w:t>022</w:t>
      </w:r>
      <w:r>
        <w:rPr>
          <w:rFonts w:hint="eastAsia" w:ascii="仿宋_GB2312" w:hAnsi="仿宋" w:eastAsia="仿宋_GB2312"/>
          <w:color w:val="000000"/>
          <w:sz w:val="28"/>
          <w:szCs w:val="28"/>
        </w:rPr>
        <w:t>学年名师网络工作室考核</w:t>
      </w:r>
      <w:r>
        <w:rPr>
          <w:rFonts w:ascii="仿宋_GB2312" w:hAnsi="仿宋" w:eastAsia="仿宋_GB2312"/>
          <w:color w:val="000000"/>
          <w:sz w:val="28"/>
          <w:szCs w:val="28"/>
        </w:rPr>
        <w:t>；</w:t>
      </w:r>
      <w:r>
        <w:rPr>
          <w:rFonts w:hint="eastAsia" w:ascii="仿宋_GB2312" w:hAnsi="仿宋" w:eastAsia="仿宋_GB2312"/>
          <w:color w:val="000000"/>
          <w:sz w:val="28"/>
          <w:szCs w:val="28"/>
        </w:rPr>
        <w:t>制定发布数字资源按用付费规则。由采购人组织初验，</w:t>
      </w:r>
      <w:r>
        <w:rPr>
          <w:rFonts w:hint="eastAsia" w:eastAsia="仿宋_GB2312"/>
          <w:color w:val="000000"/>
          <w:sz w:val="28"/>
          <w:szCs w:val="28"/>
        </w:rPr>
        <w:t>并出具验收回复单</w:t>
      </w:r>
      <w:r>
        <w:rPr>
          <w:rFonts w:hint="eastAsia" w:ascii="仿宋_GB2312" w:hAnsi="仿宋" w:eastAsia="仿宋_GB2312"/>
          <w:color w:val="000000"/>
          <w:sz w:val="28"/>
          <w:szCs w:val="28"/>
        </w:rPr>
        <w:t>。</w:t>
      </w:r>
    </w:p>
    <w:p>
      <w:pPr>
        <w:spacing w:line="520" w:lineRule="exact"/>
        <w:ind w:firstLine="560" w:firstLineChars="200"/>
        <w:rPr>
          <w:rFonts w:eastAsia="仿宋_GB2312"/>
          <w:color w:val="000000"/>
          <w:sz w:val="28"/>
          <w:szCs w:val="28"/>
        </w:rPr>
      </w:pPr>
      <w:r>
        <w:rPr>
          <w:rFonts w:hint="eastAsia" w:ascii="仿宋_GB2312" w:hAnsi="仿宋" w:eastAsia="仿宋_GB2312"/>
          <w:color w:val="000000"/>
          <w:sz w:val="28"/>
          <w:szCs w:val="28"/>
        </w:rPr>
        <w:t>签订合同后</w:t>
      </w:r>
      <w:r>
        <w:rPr>
          <w:rFonts w:ascii="仿宋_GB2312" w:hAnsi="仿宋" w:eastAsia="仿宋_GB2312"/>
          <w:color w:val="000000"/>
          <w:sz w:val="28"/>
          <w:szCs w:val="28"/>
        </w:rPr>
        <w:t>4</w:t>
      </w:r>
      <w:r>
        <w:rPr>
          <w:rFonts w:hint="eastAsia" w:ascii="仿宋_GB2312" w:hAnsi="仿宋" w:eastAsia="仿宋_GB2312"/>
          <w:color w:val="000000"/>
          <w:sz w:val="28"/>
          <w:szCs w:val="28"/>
        </w:rPr>
        <w:t>个月内招募志愿者教师不少于2</w:t>
      </w:r>
      <w:r>
        <w:rPr>
          <w:rFonts w:ascii="仿宋_GB2312" w:hAnsi="仿宋" w:eastAsia="仿宋_GB2312"/>
          <w:color w:val="000000"/>
          <w:sz w:val="28"/>
          <w:szCs w:val="28"/>
        </w:rPr>
        <w:t>000</w:t>
      </w:r>
      <w:r>
        <w:rPr>
          <w:rFonts w:hint="eastAsia" w:ascii="仿宋_GB2312" w:hAnsi="仿宋" w:eastAsia="仿宋_GB2312"/>
          <w:color w:val="000000"/>
          <w:sz w:val="28"/>
          <w:szCs w:val="28"/>
        </w:rPr>
        <w:t>人，答疑不少于5万次，完成所有课程资源审核与上线发布，学习人次不少于5</w:t>
      </w:r>
      <w:r>
        <w:rPr>
          <w:rFonts w:ascii="仿宋_GB2312" w:hAnsi="仿宋" w:eastAsia="仿宋_GB2312"/>
          <w:color w:val="000000"/>
          <w:sz w:val="28"/>
          <w:szCs w:val="28"/>
        </w:rPr>
        <w:t>0</w:t>
      </w:r>
      <w:r>
        <w:rPr>
          <w:rFonts w:hint="eastAsia" w:ascii="仿宋_GB2312" w:hAnsi="仿宋" w:eastAsia="仿宋_GB2312"/>
          <w:color w:val="000000"/>
          <w:sz w:val="28"/>
          <w:szCs w:val="28"/>
        </w:rPr>
        <w:t>万，公布纳入数字资源按用付费的名单，数字资源</w:t>
      </w:r>
      <w:r>
        <w:rPr>
          <w:rFonts w:hint="eastAsia" w:ascii="仿宋_GB2312" w:eastAsia="仿宋_GB2312"/>
          <w:color w:val="000000"/>
          <w:kern w:val="0"/>
          <w:sz w:val="28"/>
          <w:szCs w:val="28"/>
        </w:rPr>
        <w:t>师生使用满意度达80%以上</w:t>
      </w:r>
      <w:r>
        <w:rPr>
          <w:rFonts w:hint="eastAsia" w:ascii="仿宋_GB2312" w:hAnsi="仿宋" w:eastAsia="仿宋_GB2312"/>
          <w:color w:val="000000"/>
          <w:sz w:val="28"/>
          <w:szCs w:val="28"/>
        </w:rPr>
        <w:t>，</w:t>
      </w:r>
      <w:r>
        <w:rPr>
          <w:rFonts w:hint="eastAsia" w:eastAsia="仿宋_GB2312"/>
          <w:color w:val="000000"/>
          <w:sz w:val="28"/>
          <w:szCs w:val="28"/>
        </w:rPr>
        <w:t>由采购人组织终验，并出具验收回复单。如验收中发现课程达不到验收标准或合同规定的有关要求，中标方必须及时予以调整修改，直到验收合格为止。</w:t>
      </w:r>
    </w:p>
    <w:p>
      <w:pPr>
        <w:spacing w:line="520" w:lineRule="exact"/>
        <w:ind w:firstLine="560" w:firstLineChars="200"/>
        <w:rPr>
          <w:rFonts w:eastAsia="仿宋_GB2312"/>
          <w:color w:val="000000"/>
          <w:sz w:val="28"/>
          <w:szCs w:val="28"/>
        </w:rPr>
      </w:pPr>
      <w:r>
        <w:rPr>
          <w:rFonts w:hint="eastAsia" w:eastAsia="仿宋_GB2312"/>
          <w:color w:val="000000"/>
          <w:sz w:val="28"/>
          <w:szCs w:val="28"/>
        </w:rPr>
        <w:t>本项目由第三方监理单位全程监管，中标方在实施过程中需遵守监理单位的要求并提供相关文档。监理费用由中标方承担。</w:t>
      </w:r>
    </w:p>
    <w:p>
      <w:pPr>
        <w:spacing w:line="520" w:lineRule="exact"/>
        <w:ind w:firstLine="640" w:firstLineChars="200"/>
        <w:outlineLvl w:val="2"/>
        <w:rPr>
          <w:rFonts w:ascii="黑体" w:hAnsi="黑体" w:eastAsia="黑体"/>
          <w:sz w:val="32"/>
          <w:szCs w:val="32"/>
        </w:rPr>
      </w:pPr>
      <w:r>
        <w:rPr>
          <w:rFonts w:hint="eastAsia" w:ascii="黑体" w:hAnsi="黑体" w:eastAsia="黑体"/>
          <w:sz w:val="32"/>
          <w:szCs w:val="32"/>
        </w:rPr>
        <w:t>（六）演示讲解要求</w:t>
      </w:r>
    </w:p>
    <w:p>
      <w:pPr>
        <w:spacing w:line="520" w:lineRule="exact"/>
        <w:ind w:firstLine="560" w:firstLineChars="200"/>
        <w:rPr>
          <w:rFonts w:eastAsia="仿宋_GB2312"/>
          <w:color w:val="000000"/>
          <w:sz w:val="28"/>
          <w:szCs w:val="28"/>
        </w:rPr>
      </w:pPr>
      <w:r>
        <w:rPr>
          <w:rFonts w:hint="eastAsia" w:eastAsia="仿宋_GB2312"/>
          <w:color w:val="000000"/>
          <w:sz w:val="28"/>
          <w:szCs w:val="28"/>
        </w:rPr>
        <w:t>提供类似课程视频、文档等材料进行演示，采用视频演示，以</w:t>
      </w:r>
      <w:r>
        <w:rPr>
          <w:rFonts w:eastAsia="仿宋_GB2312"/>
          <w:color w:val="000000"/>
          <w:sz w:val="28"/>
          <w:szCs w:val="28"/>
        </w:rPr>
        <w:t>U</w:t>
      </w:r>
      <w:r>
        <w:rPr>
          <w:rFonts w:hint="eastAsia" w:eastAsia="仿宋_GB2312"/>
          <w:color w:val="000000"/>
          <w:sz w:val="28"/>
          <w:szCs w:val="28"/>
        </w:rPr>
        <w:t>盘形式存储。讲解建设方案内容要素、重亮点、逻辑思路，包括“浙里问学”在线答疑服务组织实施</w:t>
      </w:r>
      <w:r>
        <w:rPr>
          <w:rFonts w:eastAsia="仿宋_GB2312"/>
          <w:color w:val="000000"/>
          <w:sz w:val="28"/>
          <w:szCs w:val="28"/>
        </w:rPr>
        <w:t>、</w:t>
      </w:r>
      <w:r>
        <w:rPr>
          <w:rFonts w:hint="eastAsia" w:eastAsia="仿宋_GB2312"/>
          <w:color w:val="000000"/>
          <w:sz w:val="28"/>
          <w:szCs w:val="28"/>
        </w:rPr>
        <w:t>名师名校金课资源案例</w:t>
      </w:r>
      <w:r>
        <w:rPr>
          <w:rFonts w:eastAsia="仿宋_GB2312"/>
          <w:color w:val="000000"/>
          <w:sz w:val="28"/>
          <w:szCs w:val="28"/>
        </w:rPr>
        <w:t>、</w:t>
      </w:r>
      <w:r>
        <w:rPr>
          <w:rFonts w:hint="eastAsia" w:eastAsia="仿宋_GB2312"/>
          <w:color w:val="000000"/>
          <w:sz w:val="28"/>
          <w:szCs w:val="28"/>
        </w:rPr>
        <w:t>名师网络工作室组建模式与建设方案</w:t>
      </w:r>
      <w:r>
        <w:rPr>
          <w:rFonts w:eastAsia="仿宋_GB2312"/>
          <w:color w:val="000000"/>
          <w:sz w:val="28"/>
          <w:szCs w:val="28"/>
        </w:rPr>
        <w:t>、</w:t>
      </w:r>
      <w:r>
        <w:rPr>
          <w:rFonts w:hint="eastAsia" w:eastAsia="仿宋_GB2312"/>
          <w:color w:val="000000"/>
          <w:sz w:val="28"/>
          <w:szCs w:val="28"/>
        </w:rPr>
        <w:t>数字资源按用付费数据统计等。</w:t>
      </w:r>
      <w:r>
        <w:rPr>
          <w:rFonts w:eastAsia="仿宋_GB2312"/>
          <w:b/>
          <w:bCs/>
          <w:color w:val="000000"/>
          <w:sz w:val="28"/>
          <w:szCs w:val="28"/>
        </w:rPr>
        <w:t>演示时间不超过10分钟。</w:t>
      </w:r>
      <w:r>
        <w:rPr>
          <w:rFonts w:hint="eastAsia" w:eastAsia="仿宋_GB2312"/>
          <w:b/>
          <w:bCs/>
          <w:color w:val="000000"/>
          <w:sz w:val="28"/>
          <w:szCs w:val="28"/>
        </w:rPr>
        <w:t>纯PPT演示不得分。</w:t>
      </w:r>
    </w:p>
    <w:p>
      <w:pPr>
        <w:spacing w:line="520" w:lineRule="exact"/>
        <w:ind w:firstLine="560" w:firstLineChars="200"/>
        <w:rPr>
          <w:rFonts w:eastAsia="仿宋_GB2312"/>
          <w:color w:val="000000"/>
          <w:sz w:val="28"/>
          <w:szCs w:val="28"/>
        </w:rPr>
      </w:pPr>
      <w:r>
        <w:rPr>
          <w:rFonts w:hint="eastAsia" w:eastAsia="仿宋_GB2312"/>
          <w:color w:val="000000"/>
          <w:sz w:val="28"/>
          <w:szCs w:val="28"/>
        </w:rPr>
        <w:t>（1）演示“浙里问学”在线答疑服务轮值名师答疑服务案例、“AI智能”答疑介绍、答疑服务数据分析报告、答疑数据统计记录。每提供1个得0.5分，最高2分。</w:t>
      </w:r>
    </w:p>
    <w:p>
      <w:pPr>
        <w:spacing w:line="520" w:lineRule="exact"/>
        <w:ind w:firstLine="560" w:firstLineChars="200"/>
        <w:rPr>
          <w:rFonts w:hint="eastAsia" w:eastAsia="仿宋_GB2312"/>
          <w:color w:val="000000"/>
          <w:sz w:val="28"/>
          <w:szCs w:val="28"/>
        </w:rPr>
      </w:pPr>
      <w:r>
        <w:rPr>
          <w:rFonts w:hint="eastAsia" w:eastAsia="仿宋_GB2312"/>
          <w:color w:val="000000"/>
          <w:sz w:val="28"/>
          <w:szCs w:val="28"/>
        </w:rPr>
        <w:t>（2）演示名师名校金课组织流程，得1分。提供不少于3个省内正高级教师或特级教师的课程申报建设方案（须由课程负责人所在单位盖章），得1分。提供不少于3个配套课程样例（视频、文档）资源展示，得1分。最高3分。</w:t>
      </w:r>
    </w:p>
    <w:p>
      <w:pPr>
        <w:spacing w:line="520" w:lineRule="exact"/>
        <w:ind w:firstLine="560" w:firstLineChars="200"/>
        <w:rPr>
          <w:rFonts w:eastAsia="仿宋_GB2312"/>
          <w:color w:val="000000"/>
          <w:sz w:val="28"/>
          <w:szCs w:val="28"/>
        </w:rPr>
      </w:pPr>
      <w:r>
        <w:rPr>
          <w:rFonts w:hint="eastAsia" w:eastAsia="仿宋_GB2312"/>
          <w:color w:val="000000"/>
          <w:sz w:val="28"/>
          <w:szCs w:val="28"/>
        </w:rPr>
        <w:t>（3）演示名师网络工作室组织模式，得1分。演示名师网络工作室考核数据统计机制，得1分。提供不少于3个省级名师网络工作室三年的建设方案（须由名师所在单位盖章），得1分。最高3分。</w:t>
      </w:r>
    </w:p>
    <w:p>
      <w:pPr>
        <w:spacing w:line="520" w:lineRule="exact"/>
        <w:ind w:firstLine="560" w:firstLineChars="200"/>
        <w:rPr>
          <w:rFonts w:ascii="黑体" w:hAnsi="黑体" w:eastAsia="黑体"/>
          <w:color w:val="000000"/>
          <w:sz w:val="30"/>
          <w:szCs w:val="30"/>
        </w:rPr>
      </w:pPr>
      <w:r>
        <w:rPr>
          <w:rFonts w:hint="eastAsia" w:eastAsia="仿宋_GB2312"/>
          <w:color w:val="000000"/>
          <w:sz w:val="28"/>
          <w:szCs w:val="28"/>
        </w:rPr>
        <w:t>（4）演示课程资源上传、审核发布后台，得1分。演示网络同步课程、教材配套资源等数字资源按用付费应用数据统计后台，得1分。最高2分。</w:t>
      </w:r>
    </w:p>
    <w:p>
      <w:pPr>
        <w:tabs>
          <w:tab w:val="left" w:pos="-3060"/>
        </w:tabs>
        <w:snapToGrid w:val="0"/>
        <w:spacing w:line="520" w:lineRule="exact"/>
        <w:ind w:firstLine="600" w:firstLineChars="200"/>
        <w:outlineLvl w:val="1"/>
        <w:rPr>
          <w:rFonts w:ascii="仿宋" w:hAnsi="仿宋" w:eastAsia="仿宋"/>
          <w:b/>
          <w:bCs/>
          <w:sz w:val="28"/>
          <w:szCs w:val="28"/>
        </w:rPr>
      </w:pPr>
      <w:r>
        <w:rPr>
          <w:rFonts w:hint="eastAsia" w:ascii="黑体" w:hAnsi="黑体" w:eastAsia="黑体"/>
          <w:color w:val="000000"/>
          <w:sz w:val="30"/>
          <w:szCs w:val="30"/>
        </w:rPr>
        <w:t>二、资信及商务服务要求</w:t>
      </w:r>
      <w:bookmarkEnd w:id="30"/>
      <w:bookmarkEnd w:id="33"/>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881"/>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lang w:eastAsia="zh-Hans"/>
              </w:rPr>
            </w:pPr>
            <w:r>
              <w:rPr>
                <w:rFonts w:ascii="仿宋" w:hAnsi="仿宋" w:eastAsia="仿宋"/>
                <w:sz w:val="28"/>
                <w:szCs w:val="28"/>
                <w:lang w:eastAsia="zh-Hans"/>
              </w:rPr>
              <w:t>签订合同后4个月内，完成项目</w:t>
            </w:r>
            <w:r>
              <w:rPr>
                <w:rFonts w:hint="eastAsia" w:ascii="仿宋" w:hAnsi="仿宋" w:eastAsia="仿宋"/>
                <w:sz w:val="28"/>
                <w:szCs w:val="28"/>
                <w:lang w:eastAsia="zh-Hans"/>
              </w:rPr>
              <w:t>建设与验收</w:t>
            </w:r>
            <w:r>
              <w:rPr>
                <w:rFonts w:ascii="仿宋" w:hAnsi="仿宋" w:eastAsia="仿宋"/>
                <w:sz w:val="28"/>
                <w:szCs w:val="28"/>
                <w:lang w:eastAsia="zh-Hans"/>
              </w:rPr>
              <w:t>。</w:t>
            </w:r>
            <w:r>
              <w:rPr>
                <w:rFonts w:hint="eastAsia" w:ascii="仿宋" w:hAnsi="仿宋" w:eastAsia="仿宋"/>
                <w:sz w:val="28"/>
                <w:szCs w:val="28"/>
                <w:lang w:eastAsia="zh-Hans"/>
              </w:rPr>
              <w:t>地点：浙江省杭州市拱墅区文晖路321号浙江省教育厅。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8"/>
                <w:szCs w:val="28"/>
              </w:rPr>
            </w:pPr>
            <w:r>
              <w:rPr>
                <w:rFonts w:hint="eastAsia" w:ascii="仿宋" w:hAnsi="仿宋" w:eastAsia="仿宋"/>
                <w:b/>
                <w:bCs/>
                <w:sz w:val="28"/>
                <w:szCs w:val="28"/>
              </w:rPr>
              <w:t>预付款方式：</w:t>
            </w:r>
          </w:p>
          <w:p>
            <w:pPr>
              <w:rPr>
                <w:rFonts w:ascii="仿宋" w:hAnsi="仿宋" w:eastAsia="仿宋"/>
                <w:sz w:val="28"/>
                <w:szCs w:val="28"/>
                <w:lang w:eastAsia="zh-Hans"/>
              </w:rPr>
            </w:pPr>
            <w:r>
              <w:rPr>
                <w:rFonts w:hint="eastAsia" w:ascii="仿宋" w:hAnsi="仿宋" w:eastAsia="仿宋"/>
                <w:sz w:val="28"/>
                <w:szCs w:val="28"/>
                <w:lang w:eastAsia="zh-Hans"/>
              </w:rPr>
              <w:t>1.如果中标单位是中小企业，采购人在合同生效以及具备实施条件（提供</w:t>
            </w:r>
            <w:r>
              <w:rPr>
                <w:rFonts w:ascii="仿宋" w:hAnsi="仿宋" w:eastAsia="仿宋"/>
                <w:sz w:val="28"/>
                <w:szCs w:val="28"/>
                <w:lang w:eastAsia="zh-Hans"/>
              </w:rPr>
              <w:t>不少于10个</w:t>
            </w:r>
            <w:r>
              <w:rPr>
                <w:rFonts w:hint="eastAsia" w:ascii="仿宋" w:hAnsi="仿宋" w:eastAsia="仿宋"/>
                <w:sz w:val="28"/>
                <w:szCs w:val="28"/>
                <w:lang w:eastAsia="zh-Hans"/>
              </w:rPr>
              <w:t>课时样例资源并经采购人认可）后7个工作日内支付合同总额的20%（本项目实施以人工投入为主）作为预付款；初验通过后支付合同总额的</w:t>
            </w:r>
            <w:r>
              <w:rPr>
                <w:rFonts w:hint="eastAsia" w:ascii="仿宋" w:hAnsi="仿宋" w:eastAsia="仿宋"/>
                <w:sz w:val="28"/>
                <w:szCs w:val="28"/>
                <w:lang w:val="en-US" w:eastAsia="zh-CN"/>
              </w:rPr>
              <w:t>5</w:t>
            </w:r>
            <w:r>
              <w:rPr>
                <w:rFonts w:hint="eastAsia" w:ascii="仿宋" w:hAnsi="仿宋" w:eastAsia="仿宋"/>
                <w:sz w:val="28"/>
                <w:szCs w:val="28"/>
                <w:lang w:eastAsia="zh-Hans"/>
              </w:rPr>
              <w:t>0%；项目终验通过后支付合同剩余款项。</w:t>
            </w:r>
          </w:p>
          <w:p>
            <w:pPr>
              <w:rPr>
                <w:rFonts w:ascii="仿宋" w:hAnsi="仿宋" w:eastAsia="仿宋"/>
                <w:sz w:val="28"/>
                <w:szCs w:val="28"/>
                <w:lang w:eastAsia="zh-Hans"/>
              </w:rPr>
            </w:pPr>
            <w:r>
              <w:rPr>
                <w:rFonts w:hint="eastAsia" w:ascii="仿宋" w:hAnsi="仿宋" w:eastAsia="仿宋"/>
                <w:sz w:val="28"/>
                <w:szCs w:val="28"/>
                <w:lang w:eastAsia="zh-Hans"/>
              </w:rPr>
              <w:t>2.如果中标单位不是中小企业，不约定预付款。初验通过后，由采购人在7个工作日内支付合同总额的</w:t>
            </w:r>
            <w:r>
              <w:rPr>
                <w:rFonts w:hint="eastAsia" w:ascii="仿宋" w:hAnsi="仿宋" w:eastAsia="仿宋"/>
                <w:sz w:val="28"/>
                <w:szCs w:val="28"/>
                <w:lang w:val="en-US" w:eastAsia="zh-CN"/>
              </w:rPr>
              <w:t>7</w:t>
            </w:r>
            <w:r>
              <w:rPr>
                <w:rFonts w:ascii="仿宋" w:hAnsi="仿宋" w:eastAsia="仿宋"/>
                <w:sz w:val="28"/>
                <w:szCs w:val="28"/>
                <w:lang w:eastAsia="zh-Hans"/>
              </w:rPr>
              <w:t>0</w:t>
            </w:r>
            <w:r>
              <w:rPr>
                <w:rFonts w:hint="eastAsia" w:ascii="仿宋" w:hAnsi="仿宋" w:eastAsia="仿宋"/>
                <w:sz w:val="28"/>
                <w:szCs w:val="28"/>
                <w:lang w:eastAsia="zh-Hans"/>
              </w:rPr>
              <w:t>%；项目终验通过后支付合同剩余款项。</w:t>
            </w:r>
          </w:p>
          <w:p>
            <w:pPr>
              <w:rPr>
                <w:rFonts w:ascii="仿宋" w:hAnsi="仿宋" w:eastAsia="仿宋"/>
                <w:b/>
                <w:bCs/>
                <w:sz w:val="28"/>
                <w:szCs w:val="28"/>
              </w:rPr>
            </w:pPr>
            <w:r>
              <w:rPr>
                <w:rFonts w:hint="eastAsia" w:ascii="仿宋" w:hAnsi="仿宋" w:eastAsia="仿宋"/>
                <w:b/>
                <w:bCs/>
                <w:sz w:val="28"/>
                <w:szCs w:val="28"/>
              </w:rPr>
              <w:t>履约保证金：</w:t>
            </w:r>
          </w:p>
          <w:p>
            <w:pPr>
              <w:rPr>
                <w:rFonts w:ascii="仿宋" w:hAnsi="仿宋" w:eastAsia="仿宋"/>
                <w:sz w:val="28"/>
                <w:szCs w:val="28"/>
              </w:rPr>
            </w:pPr>
            <w:r>
              <w:rPr>
                <w:rFonts w:hint="eastAsia" w:ascii="仿宋" w:hAnsi="仿宋" w:eastAsia="仿宋"/>
                <w:sz w:val="28"/>
                <w:szCs w:val="28"/>
                <w:lang w:eastAsia="zh-Hans"/>
              </w:rPr>
              <w:t>中标单位需要提供合同总额的1%作为履约保证金，中标单位应当以支票、汇票、本票等非现金形式提交，也可以以银行、保险公司出具保函形式提交。(对于年度内发生重大事故的，经确认为服务疏忽造成的将没收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8"/>
                <w:szCs w:val="28"/>
              </w:rPr>
            </w:pPr>
            <w:r>
              <w:rPr>
                <w:rFonts w:hint="eastAsia" w:ascii="仿宋" w:hAnsi="仿宋" w:eastAsia="仿宋" w:cs="仿宋_GB2312"/>
                <w:b/>
                <w:sz w:val="28"/>
                <w:szCs w:val="28"/>
              </w:rPr>
              <w:t>验收要求</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lang w:eastAsia="zh-Hans"/>
              </w:rPr>
            </w:pPr>
            <w:r>
              <w:rPr>
                <w:rFonts w:hint="eastAsia" w:ascii="仿宋" w:hAnsi="仿宋" w:eastAsia="仿宋"/>
                <w:sz w:val="28"/>
                <w:szCs w:val="28"/>
              </w:rPr>
              <w:t xml:space="preserve">1. </w:t>
            </w:r>
            <w:r>
              <w:rPr>
                <w:rFonts w:hint="eastAsia" w:ascii="仿宋" w:hAnsi="仿宋" w:eastAsia="仿宋"/>
                <w:sz w:val="28"/>
                <w:szCs w:val="28"/>
                <w:lang w:eastAsia="zh-Hans"/>
              </w:rPr>
              <w:t>签订合同后2个月内开展“浙里问学”志愿者教师答疑、“AI智能+志愿者”答疑，答疑问题数不少于2万；组织不少于2次的课程建设培训，完成150门名师名校金课和100门素质教育拓展课程建设，学习人次不少于20万；建成不少于300个省级名师网络工作室，完成2022学年名师网络工作室考核；制定发布数字资源按用付费规则。经监理单位确认无误后，由省教育厅组织项目初验。</w:t>
            </w:r>
          </w:p>
          <w:p>
            <w:pPr>
              <w:rPr>
                <w:rFonts w:ascii="仿宋" w:hAnsi="仿宋" w:eastAsia="仿宋"/>
                <w:sz w:val="28"/>
                <w:szCs w:val="28"/>
              </w:rPr>
            </w:pPr>
            <w:r>
              <w:rPr>
                <w:rFonts w:hint="eastAsia" w:ascii="仿宋" w:hAnsi="仿宋" w:eastAsia="仿宋"/>
                <w:sz w:val="28"/>
                <w:szCs w:val="28"/>
                <w:lang w:eastAsia="zh-Hans"/>
              </w:rPr>
              <w:t>2.</w:t>
            </w:r>
            <w:r>
              <w:rPr>
                <w:rFonts w:hint="eastAsia" w:ascii="仿宋" w:hAnsi="仿宋" w:eastAsia="仿宋"/>
                <w:sz w:val="28"/>
                <w:szCs w:val="28"/>
              </w:rPr>
              <w:t xml:space="preserve"> </w:t>
            </w:r>
            <w:r>
              <w:rPr>
                <w:rFonts w:hint="eastAsia" w:ascii="仿宋" w:hAnsi="仿宋" w:eastAsia="仿宋"/>
                <w:sz w:val="28"/>
                <w:szCs w:val="28"/>
                <w:lang w:eastAsia="zh-Hans"/>
              </w:rPr>
              <w:t>签订合同后4个月内招募志愿者教师不少于2000人，答疑不少于5万次，完成所有课程资源审核与上线发布，学习人次不少于50万，公布纳入数字资源按用付费的名单，数字资源师生使用满意度达80%以上，由省教育厅组织项目终验。</w:t>
            </w:r>
          </w:p>
          <w:p>
            <w:pPr>
              <w:rPr>
                <w:rFonts w:ascii="仿宋" w:hAnsi="仿宋" w:eastAsia="仿宋"/>
                <w:sz w:val="28"/>
                <w:szCs w:val="28"/>
                <w:lang w:eastAsia="zh-Hans"/>
              </w:rPr>
            </w:pPr>
            <w:r>
              <w:rPr>
                <w:rFonts w:hint="eastAsia" w:ascii="仿宋" w:hAnsi="仿宋" w:eastAsia="仿宋"/>
                <w:sz w:val="28"/>
                <w:szCs w:val="28"/>
              </w:rPr>
              <w:t>3.验收过程中产生的费用由采购人承担。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99"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 w:hAnsi="仿宋" w:eastAsia="仿宋"/>
                <w:b/>
                <w:sz w:val="24"/>
                <w:szCs w:val="24"/>
              </w:rPr>
            </w:pPr>
          </w:p>
          <w:p>
            <w:pPr>
              <w:spacing w:line="460" w:lineRule="exact"/>
              <w:jc w:val="center"/>
              <w:rPr>
                <w:rFonts w:ascii="仿宋" w:hAnsi="仿宋" w:eastAsia="仿宋"/>
                <w:b/>
                <w:sz w:val="24"/>
                <w:szCs w:val="24"/>
              </w:rPr>
            </w:pPr>
          </w:p>
          <w:p>
            <w:pPr>
              <w:spacing w:line="460" w:lineRule="exact"/>
              <w:jc w:val="center"/>
              <w:rPr>
                <w:rFonts w:ascii="仿宋" w:hAnsi="仿宋" w:eastAsia="仿宋"/>
                <w:b/>
                <w:sz w:val="24"/>
                <w:szCs w:val="24"/>
              </w:rPr>
            </w:pPr>
          </w:p>
          <w:p>
            <w:pPr>
              <w:spacing w:line="460" w:lineRule="exact"/>
              <w:jc w:val="center"/>
              <w:rPr>
                <w:rFonts w:ascii="仿宋" w:hAnsi="仿宋" w:eastAsia="仿宋"/>
                <w:b/>
                <w:sz w:val="24"/>
                <w:szCs w:val="24"/>
              </w:rPr>
            </w:pPr>
          </w:p>
          <w:p>
            <w:pPr>
              <w:spacing w:line="460" w:lineRule="exact"/>
              <w:jc w:val="center"/>
              <w:rPr>
                <w:rFonts w:ascii="仿宋" w:hAnsi="仿宋" w:eastAsia="仿宋"/>
                <w:b/>
                <w:sz w:val="24"/>
                <w:szCs w:val="24"/>
              </w:rPr>
            </w:pPr>
          </w:p>
          <w:p>
            <w:pPr>
              <w:snapToGrid w:val="0"/>
              <w:jc w:val="center"/>
              <w:rPr>
                <w:rFonts w:ascii="仿宋" w:hAnsi="仿宋" w:eastAsia="仿宋" w:cs="仿宋_GB2312"/>
                <w:b/>
                <w:sz w:val="28"/>
                <w:szCs w:val="28"/>
              </w:rPr>
            </w:pPr>
            <w:r>
              <w:rPr>
                <w:rFonts w:hint="eastAsia" w:ascii="仿宋" w:hAnsi="仿宋" w:eastAsia="仿宋" w:cs="仿宋_GB2312"/>
                <w:b/>
                <w:sz w:val="28"/>
                <w:szCs w:val="28"/>
              </w:rPr>
              <w:t>售后</w:t>
            </w:r>
          </w:p>
          <w:p>
            <w:pPr>
              <w:snapToGrid w:val="0"/>
              <w:jc w:val="center"/>
              <w:rPr>
                <w:rFonts w:ascii="仿宋" w:hAnsi="仿宋" w:eastAsia="仿宋" w:cs="仿宋_GB2312"/>
                <w:b/>
                <w:sz w:val="28"/>
                <w:szCs w:val="28"/>
              </w:rPr>
            </w:pPr>
            <w:r>
              <w:rPr>
                <w:rFonts w:hint="eastAsia" w:ascii="仿宋" w:hAnsi="仿宋" w:eastAsia="仿宋" w:cs="仿宋_GB2312"/>
                <w:b/>
                <w:sz w:val="28"/>
                <w:szCs w:val="28"/>
              </w:rPr>
              <w:t>服务</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1.服务期内提供因用户使用需要对课程进行的无偿修改完善服务。</w:t>
            </w:r>
          </w:p>
          <w:p>
            <w:pPr>
              <w:rPr>
                <w:rFonts w:ascii="仿宋" w:hAnsi="仿宋" w:eastAsia="仿宋"/>
                <w:sz w:val="28"/>
                <w:szCs w:val="28"/>
              </w:rPr>
            </w:pPr>
            <w:r>
              <w:rPr>
                <w:rFonts w:hint="eastAsia" w:ascii="仿宋" w:hAnsi="仿宋" w:eastAsia="仿宋"/>
                <w:sz w:val="28"/>
                <w:szCs w:val="28"/>
              </w:rPr>
              <w:t>2.中标方要提交课程资源开发与应用情况的相关报告，并持续跟踪课程资源应用情况、回访，每季度一报。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lang w:eastAsia="zh-Hans"/>
              </w:rPr>
              <w:t>投标方</w:t>
            </w:r>
            <w:r>
              <w:rPr>
                <w:rFonts w:hint="eastAsia" w:ascii="仿宋" w:hAnsi="仿宋" w:eastAsia="仿宋"/>
                <w:sz w:val="28"/>
                <w:szCs w:val="28"/>
              </w:rPr>
              <w:t>为用户提供资源建设开发及平台上传操作培训。</w:t>
            </w:r>
          </w:p>
          <w:p>
            <w:pPr>
              <w:rPr>
                <w:rFonts w:ascii="仿宋" w:hAnsi="仿宋" w:eastAsia="仿宋"/>
                <w:sz w:val="28"/>
                <w:szCs w:val="28"/>
              </w:rPr>
            </w:pPr>
            <w:r>
              <w:rPr>
                <w:rFonts w:hint="eastAsia" w:ascii="仿宋" w:hAnsi="仿宋" w:eastAsia="仿宋"/>
                <w:sz w:val="28"/>
                <w:szCs w:val="28"/>
              </w:rPr>
              <w:t>培训内容：</w:t>
            </w:r>
          </w:p>
          <w:p>
            <w:pPr>
              <w:rPr>
                <w:rFonts w:ascii="仿宋" w:hAnsi="仿宋" w:eastAsia="仿宋"/>
                <w:sz w:val="28"/>
                <w:szCs w:val="28"/>
              </w:rPr>
            </w:pPr>
            <w:r>
              <w:rPr>
                <w:rFonts w:hint="eastAsia" w:ascii="仿宋" w:hAnsi="仿宋" w:eastAsia="仿宋"/>
                <w:sz w:val="28"/>
                <w:szCs w:val="28"/>
              </w:rPr>
              <w:t>1.对课程资源承建教师团队提供必要的资源建设培训服务；</w:t>
            </w:r>
          </w:p>
          <w:p>
            <w:pPr>
              <w:rPr>
                <w:rFonts w:ascii="仿宋" w:hAnsi="仿宋" w:eastAsia="仿宋"/>
                <w:sz w:val="28"/>
                <w:szCs w:val="28"/>
              </w:rPr>
            </w:pPr>
            <w:r>
              <w:rPr>
                <w:rFonts w:hint="eastAsia" w:ascii="仿宋" w:hAnsi="仿宋" w:eastAsia="仿宋"/>
                <w:sz w:val="28"/>
                <w:szCs w:val="28"/>
              </w:rPr>
              <w:t>2.对课程资源的平台上传操作提供现场培训服务及远程培训服务等。</w:t>
            </w:r>
          </w:p>
          <w:p>
            <w:pPr>
              <w:rPr>
                <w:rFonts w:ascii="仿宋" w:hAnsi="仿宋" w:eastAsia="仿宋"/>
                <w:sz w:val="28"/>
                <w:szCs w:val="28"/>
              </w:rPr>
            </w:pPr>
            <w:r>
              <w:rPr>
                <w:rFonts w:hint="eastAsia" w:ascii="仿宋" w:hAnsi="仿宋" w:eastAsia="仿宋"/>
                <w:sz w:val="28"/>
                <w:szCs w:val="28"/>
              </w:rPr>
              <w:t>培训形式：根据采购人的要求提供不少于5次线上线下培训，培训总人数不少于1000人（培训费用由供应商承担）。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99"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_GB2312"/>
                <w:b/>
                <w:sz w:val="28"/>
                <w:szCs w:val="28"/>
              </w:rPr>
            </w:pPr>
            <w:r>
              <w:rPr>
                <w:rFonts w:hint="eastAsia" w:ascii="仿宋" w:hAnsi="仿宋" w:eastAsia="仿宋" w:cs="仿宋_GB2312"/>
                <w:b/>
                <w:sz w:val="28"/>
                <w:szCs w:val="28"/>
              </w:rPr>
              <w:t>履约</w:t>
            </w:r>
          </w:p>
          <w:p>
            <w:pPr>
              <w:snapToGrid w:val="0"/>
              <w:jc w:val="center"/>
              <w:rPr>
                <w:rFonts w:ascii="仿宋" w:hAnsi="仿宋" w:eastAsia="仿宋" w:cs="仿宋_GB2312"/>
                <w:b/>
                <w:sz w:val="28"/>
                <w:szCs w:val="28"/>
              </w:rPr>
            </w:pPr>
            <w:r>
              <w:rPr>
                <w:rFonts w:hint="eastAsia" w:ascii="仿宋" w:hAnsi="仿宋" w:eastAsia="仿宋" w:cs="仿宋_GB2312"/>
                <w:b/>
                <w:sz w:val="28"/>
                <w:szCs w:val="28"/>
              </w:rPr>
              <w:t>能力</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本项目要求提供团队人员数量不少于10人，项目负责人要求具有中小学教师或社会科学研究领域正高级职称，熟悉省内在线教育教学现状，具有数字教育资源开发经验与研究能力。参与名师名校金课、素质拓展课程、网络同步课程等课程资源建设的人员要求对教育教学有一定的了解，具有副高及以上教师职称不少于6人，负责对参与课程资源建设开发的教师团队、社会机构等组织遴选，符合建设要求的纳入资源建设队伍，并组织开展课程资源建设开发培训、课时资源上传培训、资源专家审核等。参与“浙里问学”在线答疑服务、名师网络工作室项目的人员要求有名师网络工作室建设、答疑服务组织等信息系统项目管理方面的相关知识及经验，具有副高及以上计算机技术与软件专业技术资格的不少于4人，能够与用户进行良好的沟通，解答功能操作等使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0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vAlign w:val="center"/>
          </w:tcPr>
          <w:p>
            <w:pPr>
              <w:pStyle w:val="23"/>
              <w:jc w:val="both"/>
              <w:rPr>
                <w:rFonts w:ascii="仿宋" w:hAnsi="仿宋" w:eastAsia="仿宋"/>
                <w:sz w:val="28"/>
                <w:szCs w:val="28"/>
              </w:rPr>
            </w:pPr>
            <w:r>
              <w:rPr>
                <w:rFonts w:hint="eastAsia" w:ascii="仿宋" w:hAnsi="仿宋" w:eastAsia="仿宋"/>
                <w:sz w:val="28"/>
                <w:szCs w:val="28"/>
              </w:rPr>
              <w:t>提供2020年1月1日以来，投标单位具有项目类似开发成果的，提供1个类似项目合同、数字教育资源建设成果（课程等）出版合同或数字教育资源建设成果（课程等）出版物，得1分，最高得2分，未提供的不得分。</w:t>
            </w:r>
          </w:p>
        </w:tc>
      </w:tr>
    </w:tbl>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bookmarkStart w:id="34" w:name="_Toc26308"/>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p>
    <w:p>
      <w:pPr>
        <w:pStyle w:val="32"/>
        <w:spacing w:before="120" w:after="120" w:line="360" w:lineRule="auto"/>
        <w:outlineLvl w:val="0"/>
        <w:rPr>
          <w:rFonts w:hAnsi="宋体"/>
          <w:b/>
          <w:color w:val="000000" w:themeColor="text1"/>
          <w:sz w:val="36"/>
          <w:szCs w:val="36"/>
          <w14:textFill>
            <w14:solidFill>
              <w14:schemeClr w14:val="tx1"/>
            </w14:solidFill>
          </w14:textFill>
        </w:rPr>
      </w:pP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 浙江省政府采购合同主要条款指引</w:t>
      </w:r>
      <w:bookmarkEnd w:id="27"/>
      <w:bookmarkEnd w:id="34"/>
    </w:p>
    <w:p>
      <w:pPr>
        <w:rPr>
          <w:color w:val="000000" w:themeColor="text1"/>
          <w14:textFill>
            <w14:solidFill>
              <w14:schemeClr w14:val="tx1"/>
            </w14:solidFill>
          </w14:textFill>
        </w:rPr>
      </w:pPr>
    </w:p>
    <w:p>
      <w:pPr>
        <w:pStyle w:val="32"/>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32"/>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2"/>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2"/>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2"/>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189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2"/>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2"/>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2"/>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2"/>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2"/>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2"/>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2"/>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2"/>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2"/>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付款方式：（根据采购文件“第四部分商务要求表付款条件”内容填写）</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2"/>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2"/>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甲方收到乙方提供的发票，结合验收情况，验收合格的，在15日内将采购资金支付到乙方约定账户。</w:t>
      </w: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2"/>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2"/>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2"/>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2"/>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2"/>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2"/>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2"/>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2"/>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5" w:name="_Toc22013"/>
      <w:r>
        <w:rPr>
          <w:rFonts w:hint="eastAsia" w:hAnsi="宋体"/>
          <w:b/>
          <w:color w:val="000000" w:themeColor="text1"/>
          <w:sz w:val="36"/>
          <w:szCs w:val="36"/>
          <w14:textFill>
            <w14:solidFill>
              <w14:schemeClr w14:val="tx1"/>
            </w14:solidFill>
          </w14:textFill>
        </w:rPr>
        <w:t>第六章 投标文件格式附件</w:t>
      </w:r>
      <w:bookmarkEnd w:id="35"/>
    </w:p>
    <w:p>
      <w:pPr>
        <w:pStyle w:val="32"/>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2"/>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color w:val="000000" w:themeColor="text1"/>
          <w:sz w:val="30"/>
          <w:szCs w:val="30"/>
          <w14:textFill>
            <w14:solidFill>
              <w14:schemeClr w14:val="tx1"/>
            </w14:solidFill>
          </w14:textFill>
        </w:rPr>
      </w:pPr>
    </w:p>
    <w:p>
      <w:pPr>
        <w:snapToGrid w:val="0"/>
        <w:spacing w:before="120" w:beforeLines="50" w:after="5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ascii="仿宋" w:hAnsi="仿宋" w:eastAsia="仿宋"/>
          <w:color w:val="000000" w:themeColor="text1"/>
          <w:sz w:val="48"/>
          <w:szCs w:val="48"/>
          <w14:textFill>
            <w14:solidFill>
              <w14:schemeClr w14:val="tx1"/>
            </w14:solidFill>
          </w14:textFill>
        </w:rPr>
      </w:pPr>
      <w:bookmarkStart w:id="36" w:name="PO_1000000445_PM002_2"/>
      <w:r>
        <w:rPr>
          <w:rFonts w:hint="eastAsia" w:ascii="仿宋" w:hAnsi="仿宋" w:eastAsia="仿宋"/>
          <w:b/>
          <w:color w:val="000000" w:themeColor="text1"/>
          <w:spacing w:val="40"/>
          <w:sz w:val="48"/>
          <w:szCs w:val="48"/>
          <w14:textFill>
            <w14:solidFill>
              <w14:schemeClr w14:val="tx1"/>
            </w14:solidFill>
          </w14:textFill>
        </w:rPr>
        <w:t>浙江省教育厅（本级）2023年之江汇教育广场数字资源建设项目</w:t>
      </w:r>
      <w:bookmarkEnd w:id="36"/>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7" w:name="PO_15528_PM001_2"/>
      <w:r>
        <w:rPr>
          <w:rFonts w:hint="eastAsia" w:ascii="仿宋" w:hAnsi="仿宋" w:eastAsia="仿宋"/>
          <w:color w:val="000000" w:themeColor="text1"/>
          <w:sz w:val="36"/>
          <w:szCs w:val="36"/>
          <w14:textFill>
            <w14:solidFill>
              <w14:schemeClr w14:val="tx1"/>
            </w14:solidFill>
          </w14:textFill>
        </w:rPr>
        <w:t>ZZCG2023X-GK-153</w:t>
      </w:r>
      <w:bookmarkEnd w:id="37"/>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pPr>
        <w:snapToGrid w:val="0"/>
        <w:spacing w:before="50" w:after="50"/>
        <w:rPr>
          <w:rFonts w:ascii="仿宋" w:hAnsi="仿宋" w:eastAsia="仿宋"/>
          <w:sz w:val="30"/>
          <w:szCs w:val="30"/>
        </w:rPr>
      </w:pP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（1）声明书 (格式见附件2)；</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（4）联合投标协议书（以联合体形式投标的须提供，格式见附件4）;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w:t>
      </w:r>
      <w:r>
        <w:rPr>
          <w:rFonts w:hint="eastAsia" w:ascii="仿宋" w:hAnsi="仿宋" w:eastAsia="仿宋"/>
          <w:bCs/>
          <w:sz w:val="30"/>
          <w:szCs w:val="30"/>
        </w:rPr>
        <w:t>监狱企业证明文件</w:t>
      </w:r>
      <w:r>
        <w:rPr>
          <w:rFonts w:hint="eastAsia" w:ascii="仿宋" w:hAnsi="仿宋" w:eastAsia="仿宋"/>
          <w:sz w:val="30"/>
          <w:szCs w:val="30"/>
        </w:rPr>
        <w:t>（若需要）；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5"/>
        <w:snapToGrid w:val="0"/>
        <w:spacing w:after="120"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widowControl/>
        <w:jc w:val="left"/>
        <w:rPr>
          <w:rFonts w:ascii="仿宋" w:hAnsi="仿宋" w:eastAsia="仿宋"/>
          <w:bCs/>
          <w:sz w:val="28"/>
          <w:szCs w:val="28"/>
        </w:rPr>
      </w:pPr>
      <w:r>
        <w:rPr>
          <w:rFonts w:ascii="仿宋" w:hAnsi="仿宋" w:eastAsia="仿宋"/>
          <w:bCs/>
          <w:sz w:val="28"/>
          <w:szCs w:val="28"/>
        </w:rPr>
        <w:br w:type="page"/>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pPr>
        <w:snapToGrid w:val="0"/>
        <w:spacing w:line="460" w:lineRule="exact"/>
        <w:ind w:firstLine="446" w:firstLineChars="148"/>
        <w:jc w:val="left"/>
        <w:outlineLvl w:val="1"/>
        <w:rPr>
          <w:rFonts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 xml:space="preserve"> 投标人的特定条件证明材料：</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pPr>
        <w:snapToGrid w:val="0"/>
        <w:spacing w:line="460" w:lineRule="exact"/>
        <w:ind w:firstLine="446" w:firstLineChars="148"/>
        <w:jc w:val="left"/>
        <w:outlineLvl w:val="1"/>
        <w:rPr>
          <w:rFonts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pPr>
        <w:snapToGrid w:val="0"/>
        <w:spacing w:line="460" w:lineRule="exact"/>
        <w:ind w:firstLine="444" w:firstLineChars="148"/>
        <w:jc w:val="left"/>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pPr>
        <w:snapToGrid w:val="0"/>
        <w:spacing w:line="460" w:lineRule="exact"/>
        <w:ind w:firstLine="461" w:firstLineChars="148"/>
        <w:jc w:val="left"/>
        <w:outlineLvl w:val="1"/>
        <w:rPr>
          <w:rFonts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pPr>
        <w:snapToGrid w:val="0"/>
        <w:spacing w:line="460" w:lineRule="exact"/>
        <w:ind w:firstLine="446" w:firstLineChars="148"/>
        <w:jc w:val="left"/>
        <w:outlineLvl w:val="1"/>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pPr>
        <w:snapToGrid w:val="0"/>
        <w:spacing w:line="460" w:lineRule="exact"/>
        <w:ind w:firstLine="444" w:firstLineChars="148"/>
        <w:jc w:val="left"/>
        <w:outlineLvl w:val="1"/>
        <w:rPr>
          <w:rFonts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pPr>
        <w:pStyle w:val="32"/>
        <w:snapToGrid w:val="0"/>
        <w:spacing w:before="120" w:after="120" w:line="240" w:lineRule="auto"/>
        <w:rPr>
          <w:rFonts w:ascii="仿宋" w:hAnsi="仿宋" w:eastAsia="仿宋"/>
          <w:sz w:val="30"/>
          <w:szCs w:val="30"/>
        </w:rPr>
      </w:pPr>
    </w:p>
    <w:p>
      <w:pPr>
        <w:pStyle w:val="32"/>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我方愿意参加贵方组织的</w:t>
      </w:r>
      <w:bookmarkStart w:id="38" w:name="PO_3000002632_PM002"/>
      <w:r>
        <w:rPr>
          <w:rFonts w:hint="eastAsia" w:ascii="仿宋" w:hAnsi="仿宋" w:eastAsia="仿宋"/>
          <w:b/>
          <w:sz w:val="30"/>
          <w:szCs w:val="30"/>
          <w:u w:val="single"/>
        </w:rPr>
        <w:t>浙江省教育厅（本级）2023年之江汇教育广场数字资源建设项目</w:t>
      </w:r>
      <w:bookmarkEnd w:id="38"/>
      <w:r>
        <w:rPr>
          <w:rFonts w:hint="eastAsia" w:ascii="仿宋" w:hAnsi="仿宋" w:eastAsia="仿宋"/>
          <w:sz w:val="30"/>
          <w:szCs w:val="30"/>
          <w:u w:val="single"/>
        </w:rPr>
        <w:t>（编号为</w:t>
      </w:r>
      <w:bookmarkStart w:id="39" w:name="PO_15528_PM001_3"/>
      <w:r>
        <w:rPr>
          <w:rFonts w:hint="eastAsia" w:ascii="仿宋" w:hAnsi="仿宋" w:eastAsia="仿宋"/>
          <w:sz w:val="30"/>
          <w:szCs w:val="30"/>
          <w:u w:val="single"/>
        </w:rPr>
        <w:t>ZZCG2023X-GK-153</w:t>
      </w:r>
      <w:bookmarkEnd w:id="39"/>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rPr>
      </w:pP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bookmarkStart w:id="40" w:name="PO_3000002632_PM002_1"/>
      <w:r>
        <w:rPr>
          <w:rFonts w:hint="eastAsia" w:ascii="仿宋" w:hAnsi="仿宋" w:eastAsia="仿宋"/>
          <w:b/>
          <w:sz w:val="30"/>
          <w:szCs w:val="30"/>
          <w:u w:val="single"/>
        </w:rPr>
        <w:t>浙江省教育厅（本级）2023年之江汇教育广场数字资源建设项目</w:t>
      </w:r>
      <w:bookmarkEnd w:id="40"/>
      <w:r>
        <w:rPr>
          <w:rFonts w:hint="eastAsia" w:ascii="仿宋" w:hAnsi="仿宋" w:eastAsia="仿宋"/>
          <w:sz w:val="30"/>
          <w:szCs w:val="30"/>
        </w:rPr>
        <w:t xml:space="preserve"> 项目编号：</w:t>
      </w:r>
      <w:bookmarkStart w:id="41" w:name="PO_3000002632_PM001"/>
      <w:r>
        <w:rPr>
          <w:rFonts w:hint="eastAsia" w:ascii="仿宋" w:hAnsi="仿宋" w:eastAsia="仿宋"/>
          <w:b/>
          <w:sz w:val="30"/>
          <w:szCs w:val="30"/>
          <w:u w:val="single"/>
        </w:rPr>
        <w:t>ZZCG2023X-GK-153</w:t>
      </w:r>
      <w:bookmarkEnd w:id="41"/>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widowControl/>
        <w:jc w:val="left"/>
        <w:rPr>
          <w:rFonts w:hAnsi="宋体" w:cs="宋体"/>
          <w:bCs/>
          <w:sz w:val="24"/>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widowControl/>
        <w:jc w:val="left"/>
        <w:rPr>
          <w:rFonts w:hAnsi="宋体" w:cs="宋体"/>
          <w:bCs/>
          <w:sz w:val="24"/>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z w:val="30"/>
          <w:szCs w:val="30"/>
        </w:rPr>
      </w:pPr>
    </w:p>
    <w:p>
      <w:pPr>
        <w:tabs>
          <w:tab w:val="left" w:pos="606"/>
        </w:tabs>
        <w:spacing w:line="360" w:lineRule="exact"/>
        <w:rPr>
          <w:rFonts w:ascii="仿宋" w:hAnsi="仿宋" w:eastAsia="仿宋"/>
          <w:spacing w:val="20"/>
          <w:sz w:val="30"/>
          <w:szCs w:val="30"/>
        </w:rPr>
      </w:pPr>
      <w:r>
        <w:rPr>
          <w:rFonts w:hint="eastAsia" w:ascii="仿宋" w:hAnsi="仿宋" w:eastAsia="仿宋"/>
          <w:sz w:val="30"/>
          <w:szCs w:val="30"/>
        </w:rPr>
        <w:t>附件4：</w:t>
      </w:r>
    </w:p>
    <w:p>
      <w:pPr>
        <w:pStyle w:val="19"/>
        <w:overflowPunct w:val="0"/>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42" w:name="PO_3000002632_PM001_1"/>
      <w:r>
        <w:rPr>
          <w:rFonts w:hint="eastAsia" w:ascii="仿宋" w:hAnsi="仿宋" w:eastAsia="仿宋"/>
          <w:b/>
          <w:sz w:val="30"/>
          <w:szCs w:val="30"/>
          <w:u w:val="single"/>
        </w:rPr>
        <w:t>ZZCG2023X-GK-153</w:t>
      </w:r>
      <w:bookmarkEnd w:id="42"/>
      <w:r>
        <w:rPr>
          <w:rFonts w:hint="eastAsia" w:ascii="仿宋" w:hAnsi="仿宋" w:eastAsia="仿宋"/>
          <w:sz w:val="30"/>
          <w:szCs w:val="30"/>
        </w:rPr>
        <w:t>的招标活动联合进行投标之事宜，达成如下协议：</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9"/>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9"/>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9"/>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9"/>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9"/>
        <w:overflowPunct w:val="0"/>
        <w:spacing w:line="460" w:lineRule="exact"/>
        <w:rPr>
          <w:rFonts w:ascii="仿宋" w:hAnsi="仿宋" w:eastAsia="仿宋"/>
          <w:sz w:val="30"/>
          <w:szCs w:val="30"/>
        </w:rPr>
      </w:pPr>
    </w:p>
    <w:p>
      <w:pPr>
        <w:pStyle w:val="19"/>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 联合投标各方均予以认可并遵守。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pStyle w:val="19"/>
        <w:overflowPunct w:val="0"/>
        <w:spacing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p>
          <w:p>
            <w:pPr>
              <w:pStyle w:val="19"/>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2"/>
        <w:spacing w:before="156" w:after="156"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widowControl/>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3" w:name="PO_1000000445_PM002"/>
      <w:r>
        <w:rPr>
          <w:rFonts w:hint="eastAsia" w:ascii="仿宋" w:hAnsi="仿宋" w:eastAsia="仿宋"/>
          <w:b/>
          <w:color w:val="000000" w:themeColor="text1"/>
          <w:spacing w:val="40"/>
          <w:sz w:val="52"/>
          <w:szCs w:val="52"/>
          <w14:textFill>
            <w14:solidFill>
              <w14:schemeClr w14:val="tx1"/>
            </w14:solidFill>
          </w14:textFill>
        </w:rPr>
        <w:t>浙江省教育厅（本级）2023年之江汇教育广场数字资源建设项目</w:t>
      </w:r>
      <w:bookmarkEnd w:id="43"/>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4" w:name="PO_15528_PM001_4"/>
      <w:r>
        <w:rPr>
          <w:rFonts w:hint="eastAsia" w:ascii="仿宋" w:hAnsi="仿宋" w:eastAsia="仿宋"/>
          <w:color w:val="000000" w:themeColor="text1"/>
          <w:sz w:val="36"/>
          <w:szCs w:val="36"/>
          <w14:textFill>
            <w14:solidFill>
              <w14:schemeClr w14:val="tx1"/>
            </w14:solidFill>
          </w14:textFill>
        </w:rPr>
        <w:t>ZZCG2023X-GK-153</w:t>
      </w:r>
      <w:bookmarkEnd w:id="44"/>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附件8：</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附件9：</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20"/>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20"/>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nil"/>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3"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5"/>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5"/>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2"/>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1" w:gutter="0"/>
          <w:pgNumType w:fmt="decimal"/>
          <w:cols w:space="720" w:num="1"/>
        </w:sect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pPr>
        <w:pStyle w:val="20"/>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pPr>
              <w:snapToGrid w:val="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pPr>
        <w:pStyle w:val="20"/>
        <w:snapToGrid w:val="0"/>
        <w:spacing w:before="240"/>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pPr>
        <w:widowControl/>
        <w:jc w:val="left"/>
        <w:rPr>
          <w:rFonts w:ascii="仿宋" w:hAnsi="仿宋" w:eastAsia="仿宋"/>
          <w:color w:val="000000" w:themeColor="text1"/>
          <w:kern w:val="0"/>
          <w:sz w:val="30"/>
          <w:szCs w:val="30"/>
          <w14:textFill>
            <w14:solidFill>
              <w14:schemeClr w14:val="tx1"/>
            </w14:solidFill>
          </w14:textFill>
        </w:rPr>
        <w:sectPr>
          <w:pgSz w:w="16838" w:h="11906" w:orient="landscape"/>
          <w:pgMar w:top="1797" w:right="1474" w:bottom="1797" w:left="1247" w:header="851" w:footer="851" w:gutter="0"/>
          <w:pgNumType w:fmt="decimal"/>
          <w:cols w:space="720" w:num="1"/>
        </w:sectPr>
      </w:pPr>
    </w:p>
    <w:p>
      <w:pPr>
        <w:snapToGrid w:val="0"/>
        <w:spacing w:before="156"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附件14</w:t>
      </w:r>
      <w:r>
        <w:rPr>
          <w:rFonts w:hint="eastAsia" w:ascii="仿宋" w:hAnsi="仿宋" w:eastAsia="仿宋"/>
          <w:b/>
          <w:color w:val="000000" w:themeColor="text1"/>
          <w:sz w:val="30"/>
          <w:szCs w:val="30"/>
          <w14:textFill>
            <w14:solidFill>
              <w14:schemeClr w14:val="tx1"/>
            </w14:solidFill>
          </w14:textFill>
        </w:rPr>
        <w:t xml:space="preserve">：                                    </w:t>
      </w:r>
    </w:p>
    <w:p>
      <w:pPr>
        <w:spacing w:before="312" w:beforeLines="100" w:line="240" w:lineRule="atLeast"/>
        <w:jc w:val="center"/>
        <w:rPr>
          <w:rFonts w:ascii="仿宋" w:hAnsi="仿宋" w:eastAsia="仿宋"/>
          <w:b/>
          <w:color w:val="000000" w:themeColor="text1"/>
          <w:spacing w:val="40"/>
          <w:sz w:val="52"/>
          <w:szCs w:val="52"/>
          <w14:textFill>
            <w14:solidFill>
              <w14:schemeClr w14:val="tx1"/>
            </w14:solidFill>
          </w14:textFill>
        </w:rPr>
      </w:pPr>
      <w:bookmarkStart w:id="45" w:name="PO_1000000445_PM002_1"/>
      <w:r>
        <w:rPr>
          <w:rFonts w:hint="eastAsia" w:ascii="仿宋" w:hAnsi="仿宋" w:eastAsia="仿宋"/>
          <w:b/>
          <w:color w:val="000000" w:themeColor="text1"/>
          <w:spacing w:val="40"/>
          <w:sz w:val="52"/>
          <w:szCs w:val="52"/>
          <w14:textFill>
            <w14:solidFill>
              <w14:schemeClr w14:val="tx1"/>
            </w14:solidFill>
          </w14:textFill>
        </w:rPr>
        <w:t>浙江省教育厅（本级）2023年之江汇教育广场数字资源建设项目</w:t>
      </w:r>
      <w:bookmarkEnd w:id="45"/>
    </w:p>
    <w:p>
      <w:pPr>
        <w:spacing w:before="312"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6" w:name="PO_1000000445_PM001"/>
      <w:r>
        <w:rPr>
          <w:rFonts w:hint="eastAsia" w:ascii="仿宋" w:hAnsi="仿宋" w:eastAsia="仿宋"/>
          <w:b/>
          <w:color w:val="000000" w:themeColor="text1"/>
          <w:sz w:val="36"/>
          <w:szCs w:val="36"/>
          <w14:textFill>
            <w14:solidFill>
              <w14:schemeClr w14:val="tx1"/>
            </w14:solidFill>
          </w14:textFill>
        </w:rPr>
        <w:t>ZZCG2023X-GK-153</w:t>
      </w:r>
      <w:bookmarkEnd w:id="46"/>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pStyle w:val="35"/>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（1）开标一览表（见附件15）；</w:t>
      </w:r>
    </w:p>
    <w:p>
      <w:pPr>
        <w:pStyle w:val="35"/>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snapToGrid w:val="0"/>
        <w:spacing w:line="460" w:lineRule="exact"/>
        <w:jc w:val="left"/>
        <w:rPr>
          <w:rFonts w:ascii="仿宋" w:hAnsi="仿宋" w:eastAsia="仿宋"/>
        </w:rPr>
      </w:pPr>
      <w:r>
        <w:rPr>
          <w:rFonts w:hint="eastAsia" w:ascii="仿宋" w:hAnsi="仿宋" w:eastAsia="仿宋"/>
          <w:sz w:val="30"/>
          <w:szCs w:val="30"/>
        </w:rPr>
        <w:t>（3）中小企业声明函（若需要，格式见附件16）；</w:t>
      </w:r>
    </w:p>
    <w:p>
      <w:pPr>
        <w:snapToGrid w:val="0"/>
        <w:spacing w:line="460" w:lineRule="exact"/>
        <w:jc w:val="left"/>
        <w:rPr>
          <w:rFonts w:ascii="仿宋" w:hAnsi="仿宋" w:eastAsia="仿宋"/>
          <w:sz w:val="30"/>
          <w:szCs w:val="30"/>
        </w:rPr>
      </w:pPr>
      <w:r>
        <w:rPr>
          <w:rFonts w:hint="eastAsia" w:ascii="仿宋" w:hAnsi="仿宋" w:eastAsia="仿宋"/>
          <w:sz w:val="30"/>
          <w:szCs w:val="30"/>
        </w:rPr>
        <w:t>（4）残疾人福利企业声明函（若需要，格式见附件17）。</w:t>
      </w:r>
    </w:p>
    <w:p/>
    <w:p>
      <w:pPr>
        <w:pStyle w:val="32"/>
        <w:snapToGrid w:val="0"/>
        <w:spacing w:before="156" w:after="156"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附件15：</w:t>
      </w:r>
    </w:p>
    <w:p>
      <w:pPr>
        <w:pStyle w:val="32"/>
        <w:snapToGrid w:val="0"/>
        <w:spacing w:before="156" w:after="156"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2"/>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规格</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4"/>
          <w:szCs w:val="24"/>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2"/>
        <w:snapToGrid w:val="0"/>
        <w:spacing w:before="156" w:after="156" w:line="240" w:lineRule="auto"/>
        <w:ind w:firstLine="1084" w:firstLineChars="300"/>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2"/>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w:t>
            </w:r>
          </w:p>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13"/>
                <w:szCs w:val="13"/>
                <w14:textFill>
                  <w14:solidFill>
                    <w14:schemeClr w14:val="tx1"/>
                  </w14:solidFill>
                </w14:textFill>
              </w:rPr>
            </w:pPr>
            <w:r>
              <w:rPr>
                <w:rFonts w:hint="eastAsia" w:ascii="仿宋" w:hAnsi="仿宋" w:eastAsia="仿宋"/>
                <w:b/>
                <w:color w:val="000000" w:themeColor="text1"/>
                <w:sz w:val="13"/>
                <w:szCs w:val="13"/>
                <w14:textFill>
                  <w14:solidFill>
                    <w14:schemeClr w14:val="tx1"/>
                  </w14:solidFill>
                </w14:textFill>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b/>
                <w:color w:val="000000" w:themeColor="text1"/>
                <w:sz w:val="24"/>
                <w:szCs w:val="24"/>
                <w14:textFill>
                  <w14:solidFill>
                    <w14:schemeClr w14:val="tx1"/>
                  </w14:solidFill>
                </w14:textFill>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pStyle w:val="32"/>
        <w:snapToGrid w:val="0"/>
        <w:spacing w:before="156" w:after="156" w:line="240" w:lineRule="auto"/>
        <w:jc w:val="center"/>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pPr>
        <w:pStyle w:val="32"/>
        <w:snapToGrid w:val="0"/>
        <w:spacing w:before="156" w:after="156"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pPr>
        <w:snapToGrid w:val="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color w:val="000000" w:themeColor="text1"/>
          <w:sz w:val="28"/>
          <w:szCs w:val="28"/>
          <w14:textFill>
            <w14:solidFill>
              <w14:schemeClr w14:val="tx1"/>
            </w14:solidFill>
          </w14:textFill>
        </w:rPr>
      </w:pPr>
    </w:p>
    <w:p>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rPr>
          <w:rFonts w:ascii="仿宋" w:hAnsi="仿宋" w:eastAsia="仿宋"/>
          <w:b/>
          <w:color w:val="000000" w:themeColor="text1"/>
          <w:sz w:val="24"/>
          <w:szCs w:val="24"/>
          <w:u w:val="single"/>
          <w14:textFill>
            <w14:solidFill>
              <w14:schemeClr w14:val="tx1"/>
            </w14:solidFill>
          </w14:textFill>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工程项目名称</w:t>
            </w:r>
          </w:p>
        </w:tc>
        <w:tc>
          <w:tcPr>
            <w:tcW w:w="99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是否中小企业</w:t>
            </w: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12"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2.报价要求：项目费用包括项目实施所需的工程费、工时费、服务费、运输费、安装调试费、税费及其他一切费用。</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开标时，现场工作人员当众拆封，并宣布投标人名称、投标总价合计金额。</w:t>
            </w:r>
          </w:p>
          <w:p>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pPr>
        <w:pStyle w:val="41"/>
        <w:spacing w:after="120"/>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snapToGrid w:val="0"/>
        <w:spacing w:line="360" w:lineRule="auto"/>
        <w:rPr>
          <w:rFonts w:ascii="仿宋" w:hAnsi="仿宋" w:eastAsia="仿宋"/>
          <w:color w:val="000000" w:themeColor="text1"/>
          <w:sz w:val="30"/>
          <w:szCs w:val="30"/>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before="50" w:after="50"/>
        <w:jc w:val="left"/>
        <w:rPr>
          <w:rFonts w:ascii="仿宋" w:hAnsi="仿宋" w:eastAsia="仿宋"/>
          <w:sz w:val="30"/>
          <w:szCs w:val="30"/>
        </w:rPr>
      </w:pPr>
      <w:r>
        <w:rPr>
          <w:rFonts w:hint="eastAsia" w:ascii="仿宋" w:hAnsi="仿宋" w:eastAsia="仿宋"/>
          <w:sz w:val="30"/>
          <w:szCs w:val="30"/>
        </w:rPr>
        <w:t>附件16：</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widowControl/>
        <w:jc w:val="left"/>
        <w:rPr>
          <w:rFonts w:ascii="仿宋" w:hAnsi="仿宋" w:eastAsia="仿宋"/>
          <w:b/>
          <w:sz w:val="36"/>
          <w:szCs w:val="36"/>
        </w:rPr>
      </w:pPr>
      <w:r>
        <w:rPr>
          <w:rFonts w:hint="eastAsia" w:ascii="仿宋" w:hAnsi="仿宋" w:eastAsia="仿宋"/>
          <w:b/>
          <w:kern w:val="0"/>
          <w:sz w:val="36"/>
          <w:szCs w:val="36"/>
        </w:rPr>
        <w:br w:type="page"/>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 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（采购文件中明确的所属行业）</w:t>
      </w:r>
      <w:r>
        <w:rPr>
          <w:rFonts w:hint="eastAsia" w:ascii="仿宋" w:hAnsi="仿宋" w:eastAsia="仿宋"/>
          <w:sz w:val="28"/>
          <w:szCs w:val="28"/>
        </w:rPr>
        <w:t>；承建（承接）企业为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hint="eastAsia"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2"/>
        <w:spacing w:before="156" w:after="156"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p>
    <w:p>
      <w:pPr>
        <w:jc w:val="left"/>
        <w:rPr>
          <w:rFonts w:ascii="仿宋" w:hAnsi="仿宋" w:eastAsia="仿宋"/>
        </w:rPr>
      </w:pPr>
      <w:r>
        <w:rPr>
          <w:rFonts w:hint="eastAsia" w:ascii="仿宋" w:hAnsi="仿宋" w:eastAsia="仿宋"/>
          <w:sz w:val="30"/>
          <w:szCs w:val="30"/>
        </w:rPr>
        <w:t>附件17：</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
    <w:sectPr>
      <w:headerReference r:id="rId6" w:type="first"/>
      <w:footerReference r:id="rId9" w:type="first"/>
      <w:headerReference r:id="rId5" w:type="default"/>
      <w:footerReference r:id="rId7" w:type="default"/>
      <w:footerReference r:id="rId8"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720" w:firstLine="180" w:firstLineChars="10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75</w:t>
                    </w:r>
                    <w: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outside" w:y="1"/>
      <w:rPr>
        <w:rStyle w:val="66"/>
      </w:rPr>
    </w:pPr>
    <w:r>
      <w:fldChar w:fldCharType="begin"/>
    </w:r>
    <w:r>
      <w:rPr>
        <w:rStyle w:val="66"/>
      </w:rPr>
      <w:instrText xml:space="preserve">PAGE  </w:instrText>
    </w:r>
    <w:r>
      <w:fldChar w:fldCharType="end"/>
    </w:r>
  </w:p>
  <w:p>
    <w:pPr>
      <w:pStyle w:val="39"/>
      <w:ind w:right="360" w:firstLine="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7"/>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3"/>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7"/>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6CB35687"/>
    <w:multiLevelType w:val="multilevel"/>
    <w:tmpl w:val="6CB35687"/>
    <w:lvl w:ilvl="0" w:tentative="0">
      <w:start w:val="1"/>
      <w:numFmt w:val="upperRoman"/>
      <w:pStyle w:val="994"/>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29">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9"/>
  </w:num>
  <w:num w:numId="25">
    <w:abstractNumId w:val="3"/>
  </w:num>
  <w:num w:numId="26">
    <w:abstractNumId w:val="25"/>
  </w:num>
  <w:num w:numId="27">
    <w:abstractNumId w:val="20"/>
  </w:num>
  <w:num w:numId="28">
    <w:abstractNumId w:val="10"/>
  </w:num>
  <w:num w:numId="29">
    <w:abstractNumId w:val="23"/>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1YjdhMjgwNDdhMjkxYmZiYzg1ZGJhYmFmYjE4Zjc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0FD3EEC"/>
    <w:rsid w:val="04A44F09"/>
    <w:rsid w:val="26637109"/>
    <w:rsid w:val="6B0C66B7"/>
    <w:rsid w:val="71A122E6"/>
    <w:rsid w:val="73C4187C"/>
    <w:rsid w:val="7F90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name="Normal Indent"/>
    <w:lsdException w:qFormat="1"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semiHidden="0"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5">
    <w:name w:val="heading 2"/>
    <w:basedOn w:val="1"/>
    <w:next w:val="1"/>
    <w:link w:val="229"/>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74"/>
    <w:qFormat/>
    <w:uiPriority w:val="9"/>
    <w:pPr>
      <w:keepNext/>
      <w:keepLines/>
      <w:spacing w:before="260" w:after="260" w:line="416" w:lineRule="auto"/>
      <w:outlineLvl w:val="2"/>
    </w:pPr>
    <w:rPr>
      <w:b/>
      <w:bCs/>
      <w:sz w:val="32"/>
      <w:szCs w:val="32"/>
    </w:rPr>
  </w:style>
  <w:style w:type="paragraph" w:styleId="7">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6"/>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1"/>
    <w:link w:val="86"/>
    <w:semiHidden/>
    <w:unhideWhenUsed/>
    <w:qFormat/>
    <w:uiPriority w:val="99"/>
    <w:pPr>
      <w:spacing w:line="200" w:lineRule="exact"/>
      <w:ind w:firstLine="301"/>
    </w:pPr>
    <w:rPr>
      <w:rFonts w:ascii="宋体" w:hAnsi="Courier New"/>
      <w:spacing w:val="-4"/>
      <w:sz w:val="18"/>
      <w:szCs w:val="20"/>
    </w:rPr>
  </w:style>
  <w:style w:type="paragraph" w:styleId="13">
    <w:name w:val="List 3"/>
    <w:basedOn w:val="1"/>
    <w:semiHidden/>
    <w:unhideWhenUsed/>
    <w:qFormat/>
    <w:uiPriority w:val="99"/>
    <w:pPr>
      <w:ind w:left="100" w:leftChars="400" w:hanging="200" w:hangingChars="200"/>
    </w:pPr>
    <w:rPr>
      <w:rFonts w:ascii="Times New Roman" w:hAnsi="Times New Roman"/>
      <w:szCs w:val="20"/>
    </w:rPr>
  </w:style>
  <w:style w:type="paragraph" w:styleId="14">
    <w:name w:val="toc 7"/>
    <w:basedOn w:val="1"/>
    <w:next w:val="1"/>
    <w:unhideWhenUsed/>
    <w:qFormat/>
    <w:uiPriority w:val="0"/>
    <w:pPr>
      <w:ind w:left="1260"/>
      <w:jc w:val="left"/>
    </w:pPr>
    <w:rPr>
      <w:rFonts w:ascii="Times New Roman" w:hAnsi="Times New Roman"/>
      <w:sz w:val="18"/>
      <w:szCs w:val="18"/>
    </w:rPr>
  </w:style>
  <w:style w:type="paragraph" w:styleId="15">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6">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7">
    <w:name w:val="List Bullet 4"/>
    <w:basedOn w:val="1"/>
    <w:semiHidden/>
    <w:unhideWhenUsed/>
    <w:qFormat/>
    <w:uiPriority w:val="99"/>
    <w:pPr>
      <w:numPr>
        <w:ilvl w:val="0"/>
        <w:numId w:val="2"/>
      </w:numPr>
    </w:pPr>
    <w:rPr>
      <w:rFonts w:ascii="Times New Roman" w:hAnsi="Times New Roman"/>
      <w:szCs w:val="24"/>
    </w:rPr>
  </w:style>
  <w:style w:type="paragraph" w:styleId="18">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9">
    <w:name w:val="Normal Indent"/>
    <w:basedOn w:val="1"/>
    <w:link w:val="372"/>
    <w:semiHidden/>
    <w:unhideWhenUsed/>
    <w:qFormat/>
    <w:uiPriority w:val="99"/>
    <w:pPr>
      <w:ind w:firstLine="420"/>
    </w:pPr>
    <w:rPr>
      <w:szCs w:val="20"/>
    </w:rPr>
  </w:style>
  <w:style w:type="paragraph" w:styleId="20">
    <w:name w:val="caption"/>
    <w:basedOn w:val="1"/>
    <w:next w:val="1"/>
    <w:link w:val="107"/>
    <w:semiHidden/>
    <w:unhideWhenUsed/>
    <w:qFormat/>
    <w:uiPriority w:val="35"/>
    <w:pPr>
      <w:spacing w:before="152" w:after="160"/>
    </w:pPr>
    <w:rPr>
      <w:rFonts w:ascii="Arial" w:hAnsi="Arial" w:eastAsia="黑体"/>
      <w:sz w:val="20"/>
      <w:szCs w:val="20"/>
    </w:rPr>
  </w:style>
  <w:style w:type="paragraph" w:styleId="21">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2">
    <w:name w:val="Document Map"/>
    <w:basedOn w:val="1"/>
    <w:link w:val="81"/>
    <w:qFormat/>
    <w:uiPriority w:val="0"/>
    <w:rPr>
      <w:rFonts w:ascii="宋体"/>
      <w:sz w:val="18"/>
      <w:szCs w:val="18"/>
    </w:rPr>
  </w:style>
  <w:style w:type="paragraph" w:styleId="23">
    <w:name w:val="annotation text"/>
    <w:basedOn w:val="1"/>
    <w:link w:val="969"/>
    <w:unhideWhenUsed/>
    <w:qFormat/>
    <w:uiPriority w:val="99"/>
    <w:pPr>
      <w:jc w:val="left"/>
    </w:pPr>
  </w:style>
  <w:style w:type="paragraph" w:styleId="24">
    <w:name w:val="Salutation"/>
    <w:basedOn w:val="1"/>
    <w:next w:val="1"/>
    <w:link w:val="83"/>
    <w:semiHidden/>
    <w:unhideWhenUsed/>
    <w:qFormat/>
    <w:uiPriority w:val="99"/>
    <w:rPr>
      <w:rFonts w:ascii="宋体" w:hAnsi="Times New Roman"/>
      <w:b/>
      <w:sz w:val="28"/>
      <w:szCs w:val="20"/>
    </w:rPr>
  </w:style>
  <w:style w:type="paragraph" w:styleId="25">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6">
    <w:name w:val="Body Text"/>
    <w:basedOn w:val="1"/>
    <w:link w:val="968"/>
    <w:qFormat/>
    <w:uiPriority w:val="0"/>
    <w:pPr>
      <w:spacing w:after="120"/>
    </w:pPr>
    <w:rPr>
      <w:sz w:val="28"/>
      <w:szCs w:val="24"/>
    </w:rPr>
  </w:style>
  <w:style w:type="paragraph" w:styleId="27">
    <w:name w:val="List Number 3"/>
    <w:basedOn w:val="1"/>
    <w:semiHidden/>
    <w:unhideWhenUsed/>
    <w:qFormat/>
    <w:uiPriority w:val="99"/>
    <w:pPr>
      <w:numPr>
        <w:ilvl w:val="0"/>
        <w:numId w:val="3"/>
      </w:numPr>
    </w:pPr>
    <w:rPr>
      <w:rFonts w:ascii="Times New Roman" w:hAnsi="Times New Roman"/>
      <w:szCs w:val="24"/>
    </w:rPr>
  </w:style>
  <w:style w:type="paragraph" w:styleId="28">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9">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30">
    <w:name w:val="toc 5"/>
    <w:basedOn w:val="1"/>
    <w:next w:val="1"/>
    <w:unhideWhenUsed/>
    <w:qFormat/>
    <w:uiPriority w:val="0"/>
    <w:pPr>
      <w:spacing w:afterLines="50"/>
      <w:ind w:left="840"/>
      <w:jc w:val="left"/>
    </w:pPr>
    <w:rPr>
      <w:rFonts w:ascii="Times New Roman" w:hAnsi="Times New Roman"/>
      <w:snapToGrid w:val="0"/>
      <w:kern w:val="0"/>
      <w:sz w:val="18"/>
      <w:szCs w:val="18"/>
    </w:rPr>
  </w:style>
  <w:style w:type="paragraph" w:styleId="31">
    <w:name w:val="toc 3"/>
    <w:basedOn w:val="1"/>
    <w:next w:val="1"/>
    <w:unhideWhenUsed/>
    <w:qFormat/>
    <w:uiPriority w:val="39"/>
    <w:pPr>
      <w:ind w:left="840" w:leftChars="400"/>
    </w:pPr>
  </w:style>
  <w:style w:type="paragraph" w:styleId="32">
    <w:name w:val="Plain Text"/>
    <w:basedOn w:val="1"/>
    <w:link w:val="87"/>
    <w:qFormat/>
    <w:uiPriority w:val="0"/>
    <w:pPr>
      <w:spacing w:beforeLines="50" w:afterLines="50" w:line="400" w:lineRule="exact"/>
    </w:pPr>
    <w:rPr>
      <w:rFonts w:ascii="宋体" w:hAnsi="Courier New"/>
      <w:sz w:val="24"/>
      <w:szCs w:val="24"/>
    </w:rPr>
  </w:style>
  <w:style w:type="paragraph" w:styleId="33">
    <w:name w:val="List Bullet 5"/>
    <w:basedOn w:val="1"/>
    <w:semiHidden/>
    <w:unhideWhenUsed/>
    <w:qFormat/>
    <w:uiPriority w:val="99"/>
    <w:pPr>
      <w:numPr>
        <w:ilvl w:val="0"/>
        <w:numId w:val="4"/>
      </w:numPr>
    </w:pPr>
    <w:rPr>
      <w:rFonts w:ascii="Times New Roman" w:hAnsi="Times New Roman"/>
      <w:szCs w:val="24"/>
    </w:rPr>
  </w:style>
  <w:style w:type="paragraph" w:styleId="34">
    <w:name w:val="toc 8"/>
    <w:basedOn w:val="1"/>
    <w:next w:val="1"/>
    <w:unhideWhenUsed/>
    <w:qFormat/>
    <w:uiPriority w:val="0"/>
    <w:pPr>
      <w:spacing w:afterLines="50"/>
      <w:ind w:left="1470"/>
      <w:jc w:val="left"/>
    </w:pPr>
    <w:rPr>
      <w:rFonts w:ascii="Times New Roman" w:hAnsi="Times New Roman"/>
      <w:snapToGrid w:val="0"/>
      <w:kern w:val="0"/>
      <w:sz w:val="18"/>
      <w:szCs w:val="18"/>
    </w:rPr>
  </w:style>
  <w:style w:type="paragraph" w:styleId="35">
    <w:name w:val="Date"/>
    <w:basedOn w:val="1"/>
    <w:next w:val="1"/>
    <w:link w:val="88"/>
    <w:unhideWhenUsed/>
    <w:qFormat/>
    <w:uiPriority w:val="99"/>
    <w:pPr>
      <w:ind w:left="2500" w:leftChars="2500"/>
    </w:pPr>
    <w:rPr>
      <w:rFonts w:eastAsia="楷体_GB2312"/>
      <w:sz w:val="32"/>
      <w:szCs w:val="20"/>
    </w:rPr>
  </w:style>
  <w:style w:type="paragraph" w:styleId="36">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7">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8">
    <w:name w:val="Balloon Text"/>
    <w:basedOn w:val="1"/>
    <w:link w:val="91"/>
    <w:unhideWhenUsed/>
    <w:qFormat/>
    <w:uiPriority w:val="99"/>
    <w:rPr>
      <w:sz w:val="18"/>
      <w:szCs w:val="18"/>
    </w:rPr>
  </w:style>
  <w:style w:type="paragraph" w:styleId="39">
    <w:name w:val="footer"/>
    <w:basedOn w:val="1"/>
    <w:link w:val="819"/>
    <w:unhideWhenUsed/>
    <w:qFormat/>
    <w:uiPriority w:val="0"/>
    <w:pPr>
      <w:tabs>
        <w:tab w:val="center" w:pos="4153"/>
        <w:tab w:val="right" w:pos="8306"/>
      </w:tabs>
      <w:snapToGrid w:val="0"/>
      <w:jc w:val="left"/>
    </w:pPr>
    <w:rPr>
      <w:sz w:val="18"/>
      <w:szCs w:val="18"/>
    </w:rPr>
  </w:style>
  <w:style w:type="paragraph" w:styleId="40">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1">
    <w:name w:val="toc 1"/>
    <w:basedOn w:val="1"/>
    <w:next w:val="1"/>
    <w:unhideWhenUsed/>
    <w:qFormat/>
    <w:uiPriority w:val="39"/>
    <w:pPr>
      <w:spacing w:before="240" w:after="240"/>
    </w:pPr>
    <w:rPr>
      <w:rFonts w:ascii="Times New Roman" w:hAnsi="Times New Roman" w:eastAsia="仿宋"/>
      <w:sz w:val="36"/>
      <w:szCs w:val="24"/>
    </w:rPr>
  </w:style>
  <w:style w:type="paragraph" w:styleId="42">
    <w:name w:val="toc 4"/>
    <w:basedOn w:val="1"/>
    <w:next w:val="1"/>
    <w:unhideWhenUsed/>
    <w:qFormat/>
    <w:uiPriority w:val="0"/>
    <w:pPr>
      <w:ind w:left="1260" w:leftChars="600"/>
    </w:pPr>
  </w:style>
  <w:style w:type="paragraph" w:styleId="43">
    <w:name w:val="Subtitle"/>
    <w:basedOn w:val="1"/>
    <w:next w:val="1"/>
    <w:link w:val="94"/>
    <w:qFormat/>
    <w:uiPriority w:val="11"/>
    <w:pPr>
      <w:spacing w:afterLines="50"/>
      <w:jc w:val="center"/>
    </w:pPr>
    <w:rPr>
      <w:rFonts w:ascii="Times New Roman" w:hAnsi="Times New Roman" w:eastAsia="Times New Roman"/>
      <w:sz w:val="18"/>
      <w:szCs w:val="18"/>
    </w:rPr>
  </w:style>
  <w:style w:type="paragraph" w:styleId="44">
    <w:name w:val="List"/>
    <w:basedOn w:val="1"/>
    <w:semiHidden/>
    <w:unhideWhenUsed/>
    <w:qFormat/>
    <w:uiPriority w:val="99"/>
    <w:pPr>
      <w:ind w:left="200" w:hanging="200" w:hangingChars="200"/>
    </w:pPr>
    <w:rPr>
      <w:rFonts w:ascii="Times New Roman" w:hAnsi="Times New Roman"/>
      <w:sz w:val="28"/>
      <w:szCs w:val="24"/>
    </w:rPr>
  </w:style>
  <w:style w:type="paragraph" w:styleId="45">
    <w:name w:val="footnote text"/>
    <w:basedOn w:val="1"/>
    <w:link w:val="95"/>
    <w:semiHidden/>
    <w:unhideWhenUsed/>
    <w:qFormat/>
    <w:uiPriority w:val="99"/>
    <w:pPr>
      <w:snapToGrid w:val="0"/>
      <w:jc w:val="left"/>
    </w:pPr>
    <w:rPr>
      <w:sz w:val="18"/>
      <w:szCs w:val="18"/>
    </w:rPr>
  </w:style>
  <w:style w:type="paragraph" w:styleId="46">
    <w:name w:val="toc 6"/>
    <w:basedOn w:val="1"/>
    <w:next w:val="1"/>
    <w:unhideWhenUsed/>
    <w:qFormat/>
    <w:uiPriority w:val="0"/>
    <w:pPr>
      <w:ind w:left="1050"/>
      <w:jc w:val="left"/>
    </w:pPr>
    <w:rPr>
      <w:rFonts w:ascii="Times New Roman" w:hAnsi="Times New Roman"/>
      <w:sz w:val="18"/>
      <w:szCs w:val="18"/>
    </w:rPr>
  </w:style>
  <w:style w:type="paragraph" w:styleId="47">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8">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9">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0">
    <w:name w:val="toc 9"/>
    <w:basedOn w:val="1"/>
    <w:next w:val="1"/>
    <w:unhideWhenUsed/>
    <w:qFormat/>
    <w:uiPriority w:val="0"/>
    <w:pPr>
      <w:ind w:left="1680"/>
      <w:jc w:val="left"/>
    </w:pPr>
    <w:rPr>
      <w:rFonts w:ascii="Times New Roman" w:hAnsi="Times New Roman"/>
      <w:sz w:val="18"/>
      <w:szCs w:val="18"/>
    </w:rPr>
  </w:style>
  <w:style w:type="paragraph" w:styleId="51">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2">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3">
    <w:name w:val="HTML Preformatted"/>
    <w:basedOn w:val="1"/>
    <w:link w:val="98"/>
    <w:semiHidden/>
    <w:unhideWhenUsed/>
    <w:qFormat/>
    <w:uiPriority w:val="99"/>
    <w:rPr>
      <w:rFonts w:ascii="Courier New" w:hAnsi="Courier New"/>
      <w:sz w:val="20"/>
      <w:szCs w:val="20"/>
    </w:rPr>
  </w:style>
  <w:style w:type="paragraph" w:styleId="5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5">
    <w:name w:val="index 1"/>
    <w:basedOn w:val="1"/>
    <w:next w:val="1"/>
    <w:semiHidden/>
    <w:unhideWhenUsed/>
    <w:qFormat/>
    <w:uiPriority w:val="99"/>
    <w:rPr>
      <w:rFonts w:ascii="Times New Roman" w:hAnsi="Times New Roman"/>
      <w:szCs w:val="20"/>
    </w:rPr>
  </w:style>
  <w:style w:type="paragraph" w:styleId="56">
    <w:name w:val="Title"/>
    <w:basedOn w:val="1"/>
    <w:next w:val="1"/>
    <w:link w:val="99"/>
    <w:qFormat/>
    <w:uiPriority w:val="10"/>
    <w:pPr>
      <w:spacing w:before="240" w:after="60"/>
      <w:jc w:val="center"/>
      <w:outlineLvl w:val="0"/>
    </w:pPr>
    <w:rPr>
      <w:rFonts w:ascii="Arial" w:hAnsi="Arial"/>
      <w:b/>
      <w:bCs/>
      <w:sz w:val="32"/>
      <w:szCs w:val="32"/>
    </w:rPr>
  </w:style>
  <w:style w:type="paragraph" w:styleId="57">
    <w:name w:val="annotation subject"/>
    <w:basedOn w:val="23"/>
    <w:next w:val="23"/>
    <w:link w:val="963"/>
    <w:unhideWhenUsed/>
    <w:qFormat/>
    <w:uiPriority w:val="99"/>
    <w:rPr>
      <w:b/>
      <w:bCs/>
    </w:rPr>
  </w:style>
  <w:style w:type="paragraph" w:styleId="58">
    <w:name w:val="Body Text First Indent"/>
    <w:basedOn w:val="26"/>
    <w:link w:val="102"/>
    <w:semiHidden/>
    <w:unhideWhenUsed/>
    <w:qFormat/>
    <w:uiPriority w:val="99"/>
    <w:pPr>
      <w:ind w:firstLine="420" w:firstLineChars="100"/>
    </w:pPr>
    <w:rPr>
      <w:sz w:val="21"/>
      <w:szCs w:val="22"/>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4"/>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6"/>
    <w:qFormat/>
    <w:uiPriority w:val="9"/>
    <w:rPr>
      <w:rFonts w:ascii="Calibri" w:hAnsi="Calibri" w:eastAsia="宋体" w:cs="Times New Roman"/>
      <w:b/>
      <w:bCs/>
      <w:sz w:val="32"/>
      <w:szCs w:val="32"/>
    </w:rPr>
  </w:style>
  <w:style w:type="character" w:customStyle="1" w:styleId="75">
    <w:name w:val="标题 4 字符"/>
    <w:basedOn w:val="64"/>
    <w:link w:val="7"/>
    <w:qFormat/>
    <w:uiPriority w:val="0"/>
    <w:rPr>
      <w:rFonts w:ascii="Arial" w:hAnsi="Arial" w:eastAsia="黑体" w:cs="Times New Roman"/>
      <w:b/>
      <w:bCs/>
      <w:sz w:val="28"/>
      <w:szCs w:val="28"/>
    </w:rPr>
  </w:style>
  <w:style w:type="character" w:customStyle="1" w:styleId="76">
    <w:name w:val="标题 5 字符"/>
    <w:basedOn w:val="64"/>
    <w:link w:val="8"/>
    <w:qFormat/>
    <w:uiPriority w:val="0"/>
    <w:rPr>
      <w:rFonts w:ascii="Calibri" w:hAnsi="Calibri" w:eastAsia="宋体" w:cs="Times New Roman"/>
      <w:b/>
      <w:bCs/>
      <w:sz w:val="28"/>
      <w:szCs w:val="28"/>
    </w:rPr>
  </w:style>
  <w:style w:type="character" w:customStyle="1" w:styleId="77">
    <w:name w:val="标题 6 字符"/>
    <w:basedOn w:val="64"/>
    <w:link w:val="9"/>
    <w:qFormat/>
    <w:uiPriority w:val="0"/>
    <w:rPr>
      <w:rFonts w:ascii="Arial" w:hAnsi="Arial" w:eastAsia="黑体" w:cs="Times New Roman"/>
      <w:b/>
      <w:bCs/>
      <w:sz w:val="24"/>
      <w:szCs w:val="24"/>
    </w:rPr>
  </w:style>
  <w:style w:type="character" w:customStyle="1" w:styleId="78">
    <w:name w:val="标题 7 字符"/>
    <w:basedOn w:val="64"/>
    <w:link w:val="10"/>
    <w:qFormat/>
    <w:uiPriority w:val="99"/>
    <w:rPr>
      <w:rFonts w:ascii="Calibri" w:hAnsi="Calibri" w:eastAsia="宋体" w:cs="Times New Roman"/>
      <w:b/>
      <w:bCs/>
      <w:sz w:val="24"/>
      <w:szCs w:val="24"/>
    </w:rPr>
  </w:style>
  <w:style w:type="character" w:customStyle="1" w:styleId="79">
    <w:name w:val="标题 8 字符"/>
    <w:basedOn w:val="64"/>
    <w:link w:val="11"/>
    <w:qFormat/>
    <w:uiPriority w:val="99"/>
    <w:rPr>
      <w:rFonts w:ascii="Cambria" w:hAnsi="Cambria" w:eastAsia="宋体" w:cs="Times New Roman"/>
      <w:sz w:val="24"/>
      <w:szCs w:val="24"/>
    </w:rPr>
  </w:style>
  <w:style w:type="character" w:customStyle="1" w:styleId="80">
    <w:name w:val="标题 9 字符"/>
    <w:basedOn w:val="64"/>
    <w:link w:val="12"/>
    <w:qFormat/>
    <w:uiPriority w:val="99"/>
    <w:rPr>
      <w:rFonts w:ascii="Cambria" w:hAnsi="Cambria" w:eastAsia="宋体" w:cs="Times New Roman"/>
      <w:szCs w:val="21"/>
    </w:rPr>
  </w:style>
  <w:style w:type="character" w:customStyle="1" w:styleId="81">
    <w:name w:val="文档结构图 字符"/>
    <w:basedOn w:val="64"/>
    <w:link w:val="22"/>
    <w:qFormat/>
    <w:uiPriority w:val="99"/>
    <w:rPr>
      <w:rFonts w:ascii="宋体" w:hAnsi="Calibri" w:eastAsia="宋体" w:cs="Times New Roman"/>
      <w:sz w:val="18"/>
      <w:szCs w:val="18"/>
    </w:rPr>
  </w:style>
  <w:style w:type="character" w:customStyle="1" w:styleId="82">
    <w:name w:val="批注文字 字符1"/>
    <w:basedOn w:val="64"/>
    <w:link w:val="23"/>
    <w:qFormat/>
    <w:uiPriority w:val="99"/>
    <w:rPr>
      <w:rFonts w:ascii="Calibri" w:hAnsi="Calibri" w:eastAsia="宋体" w:cs="Times New Roman"/>
    </w:rPr>
  </w:style>
  <w:style w:type="character" w:customStyle="1" w:styleId="83">
    <w:name w:val="称呼 字符"/>
    <w:basedOn w:val="64"/>
    <w:link w:val="24"/>
    <w:qFormat/>
    <w:uiPriority w:val="99"/>
    <w:rPr>
      <w:rFonts w:ascii="宋体" w:hAnsi="Times New Roman" w:eastAsia="宋体" w:cs="Times New Roman"/>
      <w:b/>
      <w:sz w:val="28"/>
      <w:szCs w:val="20"/>
    </w:rPr>
  </w:style>
  <w:style w:type="character" w:customStyle="1" w:styleId="84">
    <w:name w:val="正文文本 3 字符"/>
    <w:basedOn w:val="64"/>
    <w:link w:val="25"/>
    <w:qFormat/>
    <w:uiPriority w:val="99"/>
    <w:rPr>
      <w:rFonts w:ascii="Times New Roman" w:hAnsi="宋体" w:eastAsia="仿宋_GB2312" w:cs="Times New Roman"/>
      <w:b/>
      <w:bCs/>
      <w:sz w:val="24"/>
      <w:szCs w:val="20"/>
    </w:rPr>
  </w:style>
  <w:style w:type="character" w:customStyle="1" w:styleId="85">
    <w:name w:val="正文文本 字符1"/>
    <w:basedOn w:val="64"/>
    <w:link w:val="26"/>
    <w:qFormat/>
    <w:uiPriority w:val="99"/>
    <w:rPr>
      <w:rFonts w:ascii="Calibri" w:hAnsi="Calibri" w:eastAsia="宋体" w:cs="Times New Roman"/>
      <w:sz w:val="28"/>
      <w:szCs w:val="24"/>
    </w:rPr>
  </w:style>
  <w:style w:type="character" w:customStyle="1" w:styleId="86">
    <w:name w:val="正文文本缩进 字符1"/>
    <w:basedOn w:val="64"/>
    <w:link w:val="3"/>
    <w:qFormat/>
    <w:uiPriority w:val="99"/>
    <w:rPr>
      <w:rFonts w:ascii="宋体" w:hAnsi="Courier New" w:eastAsia="宋体" w:cs="Times New Roman"/>
      <w:spacing w:val="-4"/>
      <w:sz w:val="18"/>
      <w:szCs w:val="20"/>
    </w:rPr>
  </w:style>
  <w:style w:type="character" w:customStyle="1" w:styleId="87">
    <w:name w:val="纯文本 字符"/>
    <w:basedOn w:val="64"/>
    <w:link w:val="32"/>
    <w:qFormat/>
    <w:uiPriority w:val="99"/>
    <w:rPr>
      <w:rFonts w:ascii="宋体" w:hAnsi="Courier New" w:eastAsia="宋体" w:cs="Times New Roman"/>
      <w:sz w:val="24"/>
      <w:szCs w:val="24"/>
    </w:rPr>
  </w:style>
  <w:style w:type="character" w:customStyle="1" w:styleId="88">
    <w:name w:val="日期 字符"/>
    <w:basedOn w:val="64"/>
    <w:link w:val="35"/>
    <w:qFormat/>
    <w:uiPriority w:val="0"/>
    <w:rPr>
      <w:rFonts w:ascii="Calibri" w:hAnsi="Calibri" w:eastAsia="楷体_GB2312" w:cs="Times New Roman"/>
      <w:sz w:val="32"/>
      <w:szCs w:val="20"/>
    </w:rPr>
  </w:style>
  <w:style w:type="character" w:customStyle="1" w:styleId="89">
    <w:name w:val="正文文本缩进 2 字符"/>
    <w:basedOn w:val="64"/>
    <w:link w:val="36"/>
    <w:qFormat/>
    <w:uiPriority w:val="99"/>
    <w:rPr>
      <w:rFonts w:ascii="仿宋_GB2312" w:hAnsi="宋体" w:eastAsia="宋体" w:cs="Times New Roman"/>
      <w:b/>
      <w:bCs/>
      <w:color w:val="000000"/>
      <w:sz w:val="24"/>
      <w:szCs w:val="24"/>
    </w:rPr>
  </w:style>
  <w:style w:type="character" w:customStyle="1" w:styleId="90">
    <w:name w:val="尾注文本 字符"/>
    <w:basedOn w:val="64"/>
    <w:link w:val="37"/>
    <w:qFormat/>
    <w:uiPriority w:val="99"/>
    <w:rPr>
      <w:rFonts w:ascii="宋体" w:hAnsi="Calibri" w:eastAsia="宋体" w:cs="Times New Roman"/>
      <w:snapToGrid w:val="0"/>
      <w:kern w:val="0"/>
      <w:szCs w:val="20"/>
    </w:rPr>
  </w:style>
  <w:style w:type="character" w:customStyle="1" w:styleId="91">
    <w:name w:val="批注框文本 字符"/>
    <w:basedOn w:val="64"/>
    <w:link w:val="38"/>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3"/>
    <w:qFormat/>
    <w:uiPriority w:val="11"/>
    <w:rPr>
      <w:rFonts w:ascii="Times New Roman" w:hAnsi="Times New Roman" w:eastAsia="Times New Roman" w:cs="Times New Roman"/>
      <w:sz w:val="18"/>
      <w:szCs w:val="18"/>
    </w:rPr>
  </w:style>
  <w:style w:type="character" w:customStyle="1" w:styleId="95">
    <w:name w:val="脚注文本 字符"/>
    <w:basedOn w:val="64"/>
    <w:link w:val="45"/>
    <w:qFormat/>
    <w:uiPriority w:val="99"/>
    <w:rPr>
      <w:rFonts w:ascii="Calibri" w:hAnsi="Calibri" w:eastAsia="宋体" w:cs="Times New Roman"/>
      <w:sz w:val="18"/>
      <w:szCs w:val="18"/>
    </w:rPr>
  </w:style>
  <w:style w:type="character" w:customStyle="1" w:styleId="96">
    <w:name w:val="正文文本缩进 3 字符"/>
    <w:basedOn w:val="64"/>
    <w:link w:val="47"/>
    <w:qFormat/>
    <w:uiPriority w:val="99"/>
    <w:rPr>
      <w:rFonts w:ascii="仿宋_GB2312" w:hAnsi="宋体" w:eastAsia="仿宋_GB2312" w:cs="Times New Roman"/>
      <w:color w:val="000000"/>
      <w:sz w:val="24"/>
      <w:szCs w:val="24"/>
    </w:rPr>
  </w:style>
  <w:style w:type="character" w:customStyle="1" w:styleId="97">
    <w:name w:val="正文文本 2 字符"/>
    <w:basedOn w:val="64"/>
    <w:link w:val="51"/>
    <w:qFormat/>
    <w:uiPriority w:val="0"/>
    <w:rPr>
      <w:rFonts w:ascii="宋体" w:hAnsi="宋体" w:eastAsia="宋体" w:cs="Times New Roman"/>
      <w:color w:val="000000"/>
      <w:sz w:val="24"/>
      <w:szCs w:val="24"/>
    </w:rPr>
  </w:style>
  <w:style w:type="character" w:customStyle="1" w:styleId="98">
    <w:name w:val="HTML 预设格式 字符"/>
    <w:basedOn w:val="64"/>
    <w:link w:val="53"/>
    <w:qFormat/>
    <w:uiPriority w:val="99"/>
    <w:rPr>
      <w:rFonts w:ascii="Courier New" w:hAnsi="Courier New" w:eastAsia="宋体" w:cs="Times New Roman"/>
      <w:sz w:val="20"/>
      <w:szCs w:val="20"/>
    </w:rPr>
  </w:style>
  <w:style w:type="character" w:customStyle="1" w:styleId="99">
    <w:name w:val="标题 字符"/>
    <w:basedOn w:val="64"/>
    <w:link w:val="56"/>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3"/>
    <w:next w:val="23"/>
    <w:link w:val="100"/>
    <w:qFormat/>
    <w:uiPriority w:val="99"/>
    <w:rPr>
      <w:b/>
      <w:bCs/>
    </w:rPr>
  </w:style>
  <w:style w:type="character" w:customStyle="1" w:styleId="102">
    <w:name w:val="正文首行缩进 字符"/>
    <w:basedOn w:val="85"/>
    <w:link w:val="58"/>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20"/>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0"/>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7"/>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10"/>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5"/>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9"/>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9"/>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7"/>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9"/>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0"/>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5"/>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7"/>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6"/>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3"/>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20"/>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0"/>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7"/>
    <w:qFormat/>
    <w:uiPriority w:val="99"/>
    <w:pPr>
      <w:numPr>
        <w:ilvl w:val="1"/>
        <w:numId w:val="5"/>
      </w:numPr>
      <w:tabs>
        <w:tab w:val="left" w:pos="2040"/>
      </w:tabs>
      <w:spacing w:after="120"/>
      <w:ind w:left="0" w:firstLine="0"/>
    </w:pPr>
  </w:style>
  <w:style w:type="paragraph" w:customStyle="1" w:styleId="436">
    <w:name w:val="样式 标题 4 + 段后: 0.5 行"/>
    <w:basedOn w:val="7"/>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5"/>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2"/>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6"/>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2"/>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6"/>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9"/>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3"/>
    <w:next w:val="23"/>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4"/>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5"/>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6"/>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4"/>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4"/>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4"/>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8"/>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6"/>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6"/>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5"/>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9"/>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5"/>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9"/>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4"/>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4"/>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5"/>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5"/>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6"/>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7"/>
    <w:next w:val="7"/>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8"/>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4"/>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6"/>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6"/>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2"/>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6"/>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5"/>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6"/>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8"/>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8"/>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5"/>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6"/>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6"/>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9"/>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5"/>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6"/>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6"/>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5"/>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7"/>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8"/>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6"/>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2"/>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link w:val="39"/>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3"/>
    <w:next w:val="23"/>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4"/>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4"/>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7"/>
    <w:qFormat/>
    <w:uiPriority w:val="99"/>
    <w:rPr>
      <w:rFonts w:ascii="Calibri" w:hAnsi="Calibri" w:eastAsia="宋体" w:cs="Times New Roman"/>
      <w:b/>
      <w:bCs/>
    </w:rPr>
  </w:style>
  <w:style w:type="character" w:customStyle="1" w:styleId="964">
    <w:name w:val="正文首行缩进 2 字符"/>
    <w:basedOn w:val="86"/>
    <w:link w:val="2"/>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link w:val="26"/>
    <w:qFormat/>
    <w:uiPriority w:val="99"/>
    <w:rPr>
      <w:rFonts w:eastAsia="宋体"/>
      <w:kern w:val="2"/>
      <w:sz w:val="28"/>
      <w:szCs w:val="24"/>
      <w:lang w:val="en-US" w:eastAsia="zh-CN" w:bidi="ar-SA"/>
    </w:rPr>
  </w:style>
  <w:style w:type="character" w:customStyle="1" w:styleId="969">
    <w:name w:val="批注文字 字符"/>
    <w:link w:val="23"/>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4"/>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4"/>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2">
    <w:name w:val="标准正文"/>
    <w:basedOn w:val="1"/>
    <w:qFormat/>
    <w:uiPriority w:val="0"/>
    <w:pPr>
      <w:snapToGrid w:val="0"/>
      <w:spacing w:line="312" w:lineRule="auto"/>
      <w:ind w:firstLine="482"/>
    </w:pPr>
    <w:rPr>
      <w:rFonts w:ascii="Times New Roman" w:hAnsi="Times New Roman"/>
      <w:sz w:val="24"/>
      <w:szCs w:val="20"/>
    </w:rPr>
  </w:style>
  <w:style w:type="character" w:customStyle="1" w:styleId="993">
    <w:name w:val="正文文本 Char1"/>
    <w:semiHidden/>
    <w:qFormat/>
    <w:uiPriority w:val="99"/>
    <w:rPr>
      <w:rFonts w:ascii="Times New Roman" w:hAnsi="Times New Roman" w:eastAsia="宋体" w:cs="Times New Roman"/>
      <w:kern w:val="2"/>
      <w:sz w:val="21"/>
      <w:lang w:val="en-US" w:eastAsia="zh-CN" w:bidi="ar-SA"/>
    </w:rPr>
  </w:style>
  <w:style w:type="paragraph" w:customStyle="1" w:styleId="994">
    <w:name w:val="内容with编号"/>
    <w:basedOn w:val="1"/>
    <w:qFormat/>
    <w:uiPriority w:val="0"/>
    <w:pPr>
      <w:widowControl/>
      <w:numPr>
        <w:ilvl w:val="0"/>
        <w:numId w:val="30"/>
      </w:numPr>
      <w:tabs>
        <w:tab w:val="left" w:pos="987"/>
      </w:tabs>
      <w:spacing w:line="360" w:lineRule="auto"/>
    </w:pPr>
    <w:rPr>
      <w:rFonts w:ascii="宋体" w:hAnsi="Times New Roman"/>
      <w:kern w:val="0"/>
      <w:sz w:val="24"/>
      <w:szCs w:val="20"/>
    </w:rPr>
  </w:style>
  <w:style w:type="character" w:customStyle="1" w:styleId="995">
    <w:name w:val="hezhiqiang"/>
    <w:semiHidden/>
    <w:qFormat/>
    <w:uiPriority w:val="0"/>
    <w:rPr>
      <w:rFonts w:ascii="Arial" w:hAnsi="Arial" w:eastAsia="宋体" w:cs="Arial"/>
      <w:color w:val="auto"/>
      <w:sz w:val="18"/>
      <w:szCs w:val="20"/>
      <w:lang w:val="en-US" w:eastAsia="zh-CN" w:bidi="ar-SA"/>
    </w:rPr>
  </w:style>
  <w:style w:type="paragraph" w:customStyle="1" w:styleId="996">
    <w:name w:val="图示描述"/>
    <w:basedOn w:val="1"/>
    <w:qFormat/>
    <w:uiPriority w:val="0"/>
    <w:pPr>
      <w:spacing w:before="100" w:beforeAutospacing="1" w:after="100" w:afterAutospacing="1"/>
      <w:jc w:val="center"/>
    </w:pPr>
    <w:rPr>
      <w:rFonts w:ascii="Times New Roman" w:hAnsi="Times New Roman" w:cs="宋体"/>
      <w:b/>
      <w:bCs/>
      <w:sz w:val="18"/>
      <w:szCs w:val="20"/>
    </w:rPr>
  </w:style>
  <w:style w:type="paragraph" w:customStyle="1" w:styleId="997">
    <w:name w:val="正文表标题"/>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998">
    <w:name w:val="首页标题"/>
    <w:basedOn w:val="1"/>
    <w:qFormat/>
    <w:uiPriority w:val="0"/>
    <w:pPr>
      <w:spacing w:before="100" w:beforeAutospacing="1" w:after="100" w:afterAutospacing="1"/>
      <w:jc w:val="center"/>
    </w:pPr>
    <w:rPr>
      <w:rFonts w:ascii="宋体" w:hAnsi="宋体" w:cs="宋体"/>
      <w:b/>
      <w:bCs/>
      <w:sz w:val="44"/>
      <w:szCs w:val="20"/>
    </w:rPr>
  </w:style>
  <w:style w:type="paragraph" w:customStyle="1" w:styleId="999">
    <w:name w:val="目录标题"/>
    <w:next w:val="1"/>
    <w:qFormat/>
    <w:uiPriority w:val="0"/>
    <w:pPr>
      <w:spacing w:before="120" w:after="120" w:line="600" w:lineRule="exact"/>
      <w:ind w:left="301"/>
      <w:jc w:val="center"/>
    </w:pPr>
    <w:rPr>
      <w:rFonts w:ascii="宋体" w:hAnsi="宋体" w:eastAsia="宋体" w:cs="Times New Roman"/>
      <w:b/>
      <w:sz w:val="36"/>
      <w:szCs w:val="96"/>
      <w:lang w:val="en-US" w:eastAsia="zh-CN" w:bidi="ar-SA"/>
    </w:rPr>
  </w:style>
  <w:style w:type="character" w:customStyle="1" w:styleId="1000">
    <w:name w:val="正文文本首行缩进 字符"/>
    <w:qFormat/>
    <w:uiPriority w:val="0"/>
    <w:rPr>
      <w:rFonts w:hint="eastAsia"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32622</Words>
  <Characters>34371</Characters>
  <Lines>64</Lines>
  <Paragraphs>18</Paragraphs>
  <TotalTime>2</TotalTime>
  <ScaleCrop>false</ScaleCrop>
  <LinksUpToDate>false</LinksUpToDate>
  <CharactersWithSpaces>36488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2023-09-01T03:49:00Z</dcterms:created>
  <dc:creator>jtj</dc:creator>
  <cp:lastModifiedBy>K</cp:lastModifiedBy>
  <cp:lastPrinted>2023-06-14T16:16:00Z</cp:lastPrinted>
  <dcterms:modified xsi:type="dcterms:W3CDTF">2023-09-21T01:29:30Z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FE4F2841552D4900AB20A619428CFF03</vt:lpwstr>
  </property>
  <property fmtid="{D5CDD505-2E9C-101B-9397-08002B2CF9AE}" pid="4" name="woTemplateTypoMode" linkTarget="0">
    <vt:lpwstr>web</vt:lpwstr>
  </property>
  <property fmtid="{D5CDD505-2E9C-101B-9397-08002B2CF9AE}" pid="5" name="woTemplate" linkTarget="0">
    <vt:i4>1</vt:i4>
  </property>
</Properties>
</file>