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jc w:val="center"/>
        <w:rPr>
          <w:rFonts w:ascii="宋体" w:hAnsi="宋体"/>
          <w:b/>
          <w:bCs/>
          <w:color w:val="000000" w:themeColor="text1"/>
          <w:sz w:val="52"/>
          <w:szCs w:val="52"/>
          <w14:textFill>
            <w14:solidFill>
              <w14:schemeClr w14:val="tx1"/>
            </w14:solidFill>
          </w14:textFill>
        </w:rPr>
      </w:pPr>
      <w:bookmarkStart w:id="0" w:name="PO_15528_PM002_1"/>
      <w:r>
        <w:rPr>
          <w:rFonts w:hint="eastAsia" w:ascii="宋体" w:hAnsi="宋体"/>
          <w:b/>
          <w:bCs/>
          <w:color w:val="000000" w:themeColor="text1"/>
          <w:sz w:val="52"/>
          <w:szCs w:val="52"/>
          <w14:textFill>
            <w14:solidFill>
              <w14:schemeClr w14:val="tx1"/>
            </w14:solidFill>
          </w14:textFill>
        </w:rPr>
        <w:t>浙江省教育厅（本级）2023年之江汇教育广场数字资源建设项目</w:t>
      </w:r>
      <w:bookmarkEnd w:id="0"/>
    </w:p>
    <w:p>
      <w:pPr>
        <w:spacing w:before="240" w:beforeLines="100" w:line="360" w:lineRule="auto"/>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项目编号：</w:t>
      </w:r>
      <w:bookmarkStart w:id="1" w:name="PO_15528_PM001"/>
      <w:r>
        <w:rPr>
          <w:rFonts w:hint="eastAsia" w:ascii="宋体" w:hAnsi="宋体"/>
          <w:color w:val="000000" w:themeColor="text1"/>
          <w:sz w:val="36"/>
          <w:szCs w:val="36"/>
          <w14:textFill>
            <w14:solidFill>
              <w14:schemeClr w14:val="tx1"/>
            </w14:solidFill>
          </w14:textFill>
        </w:rPr>
        <w:t>ZZCG2023X-GK-153</w:t>
      </w:r>
      <w:bookmarkEnd w:id="1"/>
    </w:p>
    <w:p>
      <w:pPr>
        <w:spacing w:before="240" w:beforeLines="100" w:line="360" w:lineRule="auto"/>
        <w:jc w:val="center"/>
        <w:rPr>
          <w:rFonts w:ascii="宋体" w:hAnsi="宋体"/>
          <w:color w:val="000000" w:themeColor="text1"/>
          <w:sz w:val="36"/>
          <w:szCs w:val="36"/>
          <w14:textFill>
            <w14:solidFill>
              <w14:schemeClr w14:val="tx1"/>
            </w14:solidFill>
          </w14:textFill>
        </w:rPr>
      </w:pPr>
    </w:p>
    <w:p>
      <w:pPr>
        <w:spacing w:before="240" w:beforeLines="100" w:after="100" w:afterAutospacing="1" w:line="800" w:lineRule="exact"/>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公</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开</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 xml:space="preserve">招 </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标</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宋体" w:hAnsi="宋体"/>
          <w:color w:val="000000" w:themeColor="text1"/>
          <w:sz w:val="32"/>
          <w:szCs w:val="32"/>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件</w:t>
      </w:r>
    </w:p>
    <w:p>
      <w:pPr>
        <w:spacing w:line="500" w:lineRule="exact"/>
        <w:ind w:right="532"/>
        <w:rPr>
          <w:rFonts w:ascii="宋体" w:hAnsi="宋体"/>
          <w:color w:val="000000" w:themeColor="text1"/>
          <w:sz w:val="36"/>
          <w:szCs w:val="36"/>
          <w14:textFill>
            <w14:solidFill>
              <w14:schemeClr w14:val="tx1"/>
            </w14:solidFill>
          </w14:textFill>
        </w:rPr>
      </w:pPr>
    </w:p>
    <w:p>
      <w:pPr>
        <w:spacing w:line="500" w:lineRule="exact"/>
        <w:ind w:right="532"/>
        <w:jc w:val="center"/>
        <w:rPr>
          <w:rFonts w:ascii="宋体" w:hAnsi="宋体"/>
          <w:color w:val="000000" w:themeColor="text1"/>
          <w:sz w:val="36"/>
          <w:szCs w:val="36"/>
          <w14:textFill>
            <w14:solidFill>
              <w14:schemeClr w14:val="tx1"/>
            </w14:solidFill>
          </w14:textFill>
        </w:rPr>
      </w:pPr>
    </w:p>
    <w:p>
      <w:pPr>
        <w:spacing w:line="500" w:lineRule="exact"/>
        <w:ind w:right="532"/>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浙 江 省 政 府 采 购 中 心</w:t>
      </w:r>
    </w:p>
    <w:p>
      <w:pPr>
        <w:spacing w:line="500" w:lineRule="exact"/>
        <w:ind w:right="532"/>
        <w:jc w:val="center"/>
        <w:rPr>
          <w:rFonts w:ascii="宋体" w:hAnsi="宋体"/>
          <w:color w:val="000000" w:themeColor="text1"/>
          <w:sz w:val="36"/>
          <w:szCs w:val="36"/>
          <w14:textFill>
            <w14:solidFill>
              <w14:schemeClr w14:val="tx1"/>
            </w14:solidFill>
          </w14:textFill>
        </w:rPr>
      </w:pPr>
    </w:p>
    <w:p>
      <w:pPr>
        <w:wordWrap w:val="0"/>
        <w:spacing w:line="500" w:lineRule="exact"/>
        <w:ind w:right="-108"/>
        <w:jc w:val="center"/>
        <w:rPr>
          <w:rFonts w:hAnsi="宋体"/>
          <w:b/>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地    址：杭州市西湖区宝石一路3号</w:t>
      </w: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目</w:t>
      </w:r>
      <w:r>
        <w:rPr>
          <w:rFonts w:hAnsi="宋体"/>
          <w:b/>
          <w:color w:val="000000" w:themeColor="text1"/>
          <w:sz w:val="36"/>
          <w:szCs w:val="36"/>
          <w14:textFill>
            <w14:solidFill>
              <w14:schemeClr w14:val="tx1"/>
            </w14:solidFill>
          </w14:textFill>
        </w:rPr>
        <w:t xml:space="preserve">     </w:t>
      </w:r>
      <w:r>
        <w:rPr>
          <w:rFonts w:hint="eastAsia" w:hAnsi="宋体"/>
          <w:b/>
          <w:color w:val="000000" w:themeColor="text1"/>
          <w:sz w:val="36"/>
          <w:szCs w:val="36"/>
          <w14:textFill>
            <w14:solidFill>
              <w14:schemeClr w14:val="tx1"/>
            </w14:solidFill>
          </w14:textFill>
        </w:rPr>
        <w:t>录</w:t>
      </w:r>
    </w:p>
    <w:p>
      <w:pPr>
        <w:pStyle w:val="32"/>
        <w:spacing w:before="120" w:after="120" w:line="360" w:lineRule="auto"/>
        <w:jc w:val="center"/>
        <w:rPr>
          <w:rFonts w:hAnsi="宋体" w:eastAsia="仿宋_GB2312"/>
          <w:color w:val="000000" w:themeColor="text1"/>
          <w:sz w:val="32"/>
          <w:szCs w:val="32"/>
          <w14:textFill>
            <w14:solidFill>
              <w14:schemeClr w14:val="tx1"/>
            </w14:solidFill>
          </w14:textFill>
        </w:rPr>
      </w:pPr>
    </w:p>
    <w:p>
      <w:pPr>
        <w:pStyle w:val="41"/>
        <w:tabs>
          <w:tab w:val="right" w:leader="dot" w:pos="8312"/>
        </w:tabs>
      </w:pPr>
      <w:r>
        <w:rPr>
          <w:rFonts w:hint="eastAsia" w:ascii="宋体" w:hAnsi="宋体" w:eastAsia="仿宋_GB2312"/>
          <w:color w:val="000000" w:themeColor="text1"/>
          <w:sz w:val="30"/>
          <w:szCs w:val="30"/>
          <w14:textFill>
            <w14:solidFill>
              <w14:schemeClr w14:val="tx1"/>
            </w14:solidFill>
          </w14:textFill>
        </w:rPr>
        <w:fldChar w:fldCharType="begin"/>
      </w:r>
      <w:r>
        <w:rPr>
          <w:rFonts w:hint="eastAsia" w:ascii="宋体" w:hAnsi="宋体" w:eastAsia="仿宋_GB2312"/>
          <w:color w:val="000000" w:themeColor="text1"/>
          <w:sz w:val="30"/>
          <w:szCs w:val="30"/>
          <w14:textFill>
            <w14:solidFill>
              <w14:schemeClr w14:val="tx1"/>
            </w14:solidFill>
          </w14:textFill>
        </w:rPr>
        <w:instrText xml:space="preserve"> TOC \o "1-1" \h \z \u </w:instrText>
      </w:r>
      <w:r>
        <w:rPr>
          <w:rFonts w:hint="eastAsia" w:ascii="宋体" w:hAnsi="宋体" w:eastAsia="仿宋_GB2312"/>
          <w:color w:val="000000" w:themeColor="text1"/>
          <w:sz w:val="30"/>
          <w:szCs w:val="30"/>
          <w14:textFill>
            <w14:solidFill>
              <w14:schemeClr w14:val="tx1"/>
            </w14:solidFill>
          </w14:textFill>
        </w:rPr>
        <w:fldChar w:fldCharType="separate"/>
      </w:r>
      <w:r>
        <w:fldChar w:fldCharType="begin"/>
      </w:r>
      <w:r>
        <w:instrText xml:space="preserve"> HYPERLINK \l "_Toc2371" </w:instrText>
      </w:r>
      <w:r>
        <w:fldChar w:fldCharType="separate"/>
      </w:r>
      <w:r>
        <w:rPr>
          <w:rFonts w:hint="eastAsia" w:hAnsi="宋体"/>
          <w:szCs w:val="36"/>
        </w:rPr>
        <w:t>第一章公开招标采购公告</w:t>
      </w:r>
      <w:r>
        <w:tab/>
      </w:r>
      <w:r>
        <w:fldChar w:fldCharType="begin"/>
      </w:r>
      <w:r>
        <w:instrText xml:space="preserve"> PAGEREF _Toc2371 \h </w:instrText>
      </w:r>
      <w:r>
        <w:fldChar w:fldCharType="separate"/>
      </w:r>
      <w:r>
        <w:t>3</w:t>
      </w:r>
      <w:r>
        <w:fldChar w:fldCharType="end"/>
      </w:r>
      <w:r>
        <w:fldChar w:fldCharType="end"/>
      </w:r>
    </w:p>
    <w:p>
      <w:pPr>
        <w:pStyle w:val="41"/>
        <w:tabs>
          <w:tab w:val="right" w:leader="dot" w:pos="8312"/>
        </w:tabs>
      </w:pPr>
      <w:r>
        <w:fldChar w:fldCharType="begin"/>
      </w:r>
      <w:r>
        <w:instrText xml:space="preserve"> HYPERLINK \l "_Toc29498" </w:instrText>
      </w:r>
      <w:r>
        <w:fldChar w:fldCharType="separate"/>
      </w:r>
      <w:r>
        <w:rPr>
          <w:rFonts w:hint="eastAsia" w:ascii="仿宋" w:hAnsi="仿宋"/>
          <w:szCs w:val="36"/>
        </w:rPr>
        <w:t>第二章投标人须知</w:t>
      </w:r>
      <w:r>
        <w:tab/>
      </w:r>
      <w:r>
        <w:fldChar w:fldCharType="begin"/>
      </w:r>
      <w:r>
        <w:instrText xml:space="preserve"> PAGEREF _Toc29498 \h </w:instrText>
      </w:r>
      <w:r>
        <w:fldChar w:fldCharType="separate"/>
      </w:r>
      <w:r>
        <w:t>7</w:t>
      </w:r>
      <w:r>
        <w:fldChar w:fldCharType="end"/>
      </w:r>
      <w:r>
        <w:fldChar w:fldCharType="end"/>
      </w:r>
    </w:p>
    <w:p>
      <w:pPr>
        <w:pStyle w:val="41"/>
        <w:tabs>
          <w:tab w:val="right" w:leader="dot" w:pos="8312"/>
        </w:tabs>
      </w:pPr>
      <w:r>
        <w:fldChar w:fldCharType="begin"/>
      </w:r>
      <w:r>
        <w:instrText xml:space="preserve"> HYPERLINK \l "_Toc2834" </w:instrText>
      </w:r>
      <w:r>
        <w:fldChar w:fldCharType="separate"/>
      </w:r>
      <w:r>
        <w:rPr>
          <w:rFonts w:hint="eastAsia" w:hAnsi="宋体"/>
          <w:szCs w:val="36"/>
        </w:rPr>
        <w:t>第三章评标办法及评分标准</w:t>
      </w:r>
      <w:r>
        <w:tab/>
      </w:r>
      <w:r>
        <w:fldChar w:fldCharType="begin"/>
      </w:r>
      <w:r>
        <w:instrText xml:space="preserve"> PAGEREF _Toc2834 \h </w:instrText>
      </w:r>
      <w:r>
        <w:fldChar w:fldCharType="separate"/>
      </w:r>
      <w:r>
        <w:t>27</w:t>
      </w:r>
      <w:r>
        <w:fldChar w:fldCharType="end"/>
      </w:r>
      <w:r>
        <w:fldChar w:fldCharType="end"/>
      </w:r>
    </w:p>
    <w:p>
      <w:pPr>
        <w:pStyle w:val="41"/>
        <w:tabs>
          <w:tab w:val="right" w:leader="dot" w:pos="8312"/>
        </w:tabs>
      </w:pPr>
      <w:r>
        <w:fldChar w:fldCharType="begin"/>
      </w:r>
      <w:r>
        <w:instrText xml:space="preserve"> HYPERLINK \l "_Toc24960" </w:instrText>
      </w:r>
      <w:r>
        <w:fldChar w:fldCharType="separate"/>
      </w:r>
      <w:r>
        <w:rPr>
          <w:rFonts w:hint="eastAsia" w:hAnsi="宋体"/>
          <w:szCs w:val="36"/>
        </w:rPr>
        <w:t>第四章招标需求</w:t>
      </w:r>
      <w:r>
        <w:tab/>
      </w:r>
      <w:r>
        <w:fldChar w:fldCharType="begin"/>
      </w:r>
      <w:r>
        <w:instrText xml:space="preserve"> PAGEREF _Toc24960 \h </w:instrText>
      </w:r>
      <w:r>
        <w:fldChar w:fldCharType="separate"/>
      </w:r>
      <w:r>
        <w:t>31</w:t>
      </w:r>
      <w:r>
        <w:fldChar w:fldCharType="end"/>
      </w:r>
      <w:r>
        <w:fldChar w:fldCharType="end"/>
      </w:r>
    </w:p>
    <w:p>
      <w:pPr>
        <w:pStyle w:val="41"/>
        <w:tabs>
          <w:tab w:val="right" w:leader="dot" w:pos="8312"/>
        </w:tabs>
      </w:pPr>
      <w:r>
        <w:fldChar w:fldCharType="begin"/>
      </w:r>
      <w:r>
        <w:instrText xml:space="preserve"> HYPERLINK \l "_Toc26308" </w:instrText>
      </w:r>
      <w:r>
        <w:fldChar w:fldCharType="separate"/>
      </w:r>
      <w:r>
        <w:rPr>
          <w:rFonts w:hint="eastAsia" w:hAnsi="宋体"/>
          <w:szCs w:val="36"/>
        </w:rPr>
        <w:t>第五章浙江省政府采购合同主要条款指引</w:t>
      </w:r>
      <w:r>
        <w:tab/>
      </w:r>
      <w:r>
        <w:fldChar w:fldCharType="begin"/>
      </w:r>
      <w:r>
        <w:instrText xml:space="preserve"> PAGEREF _Toc26308 \h </w:instrText>
      </w:r>
      <w:r>
        <w:fldChar w:fldCharType="separate"/>
      </w:r>
      <w:r>
        <w:t>43</w:t>
      </w:r>
      <w:r>
        <w:fldChar w:fldCharType="end"/>
      </w:r>
      <w:r>
        <w:fldChar w:fldCharType="end"/>
      </w:r>
    </w:p>
    <w:p>
      <w:pPr>
        <w:pStyle w:val="41"/>
        <w:tabs>
          <w:tab w:val="right" w:leader="dot" w:pos="8312"/>
        </w:tabs>
      </w:pPr>
      <w:r>
        <w:fldChar w:fldCharType="begin"/>
      </w:r>
      <w:r>
        <w:instrText xml:space="preserve"> HYPERLINK \l "_Toc22013" </w:instrText>
      </w:r>
      <w:r>
        <w:fldChar w:fldCharType="separate"/>
      </w:r>
      <w:r>
        <w:rPr>
          <w:rFonts w:hint="eastAsia" w:hAnsi="宋体"/>
          <w:szCs w:val="36"/>
        </w:rPr>
        <w:t>第六章投标文件格式附件</w:t>
      </w:r>
      <w:r>
        <w:tab/>
      </w:r>
      <w:r>
        <w:fldChar w:fldCharType="begin"/>
      </w:r>
      <w:r>
        <w:instrText xml:space="preserve"> PAGEREF _Toc22013 \h </w:instrText>
      </w:r>
      <w:r>
        <w:fldChar w:fldCharType="separate"/>
      </w:r>
      <w:r>
        <w:t>48</w:t>
      </w:r>
      <w:r>
        <w:fldChar w:fldCharType="end"/>
      </w:r>
      <w:r>
        <w:fldChar w:fldCharType="end"/>
      </w:r>
    </w:p>
    <w:p>
      <w:pPr>
        <w:spacing w:before="120" w:beforeLines="50" w:line="480" w:lineRule="exact"/>
        <w:ind w:left="165"/>
        <w:rPr>
          <w:rFonts w:ascii="宋体" w:hAnsi="宋体" w:eastAsia="仿宋_GB2312"/>
          <w:color w:val="000000" w:themeColor="text1"/>
          <w:sz w:val="30"/>
          <w:szCs w:val="30"/>
          <w14:textFill>
            <w14:solidFill>
              <w14:schemeClr w14:val="tx1"/>
            </w14:solidFill>
          </w14:textFill>
        </w:rPr>
      </w:pPr>
      <w:r>
        <w:rPr>
          <w:rFonts w:hint="eastAsia" w:ascii="宋体" w:hAnsi="宋体" w:eastAsia="仿宋_GB2312"/>
          <w:color w:val="000000" w:themeColor="text1"/>
          <w:szCs w:val="30"/>
          <w14:textFill>
            <w14:solidFill>
              <w14:schemeClr w14:val="tx1"/>
            </w14:solidFill>
          </w14:textFill>
        </w:rPr>
        <w:fldChar w:fldCharType="end"/>
      </w:r>
    </w:p>
    <w:p>
      <w:pPr>
        <w:pStyle w:val="32"/>
        <w:spacing w:before="120" w:after="120" w:line="360" w:lineRule="auto"/>
        <w:ind w:firstLine="640"/>
        <w:jc w:val="center"/>
        <w:outlineLvl w:val="0"/>
        <w:rPr>
          <w:rFonts w:hAnsi="宋体"/>
          <w:b/>
          <w:color w:val="000000" w:themeColor="text1"/>
          <w:sz w:val="36"/>
          <w:szCs w:val="36"/>
          <w14:textFill>
            <w14:solidFill>
              <w14:schemeClr w14:val="tx1"/>
            </w14:solidFill>
          </w14:textFill>
        </w:rPr>
      </w:pPr>
      <w:r>
        <w:rPr>
          <w:rFonts w:hint="eastAsia" w:hAnsi="宋体" w:eastAsia="仿宋_GB2312"/>
          <w:color w:val="000000" w:themeColor="text1"/>
          <w:kern w:val="0"/>
          <w:sz w:val="32"/>
          <w:szCs w:val="32"/>
          <w14:textFill>
            <w14:solidFill>
              <w14:schemeClr w14:val="tx1"/>
            </w14:solidFill>
          </w14:textFill>
        </w:rPr>
        <w:br w:type="page"/>
      </w:r>
      <w:bookmarkStart w:id="2" w:name="_Toc2371"/>
      <w:r>
        <w:rPr>
          <w:rFonts w:hint="eastAsia" w:hAnsi="宋体"/>
          <w:b/>
          <w:color w:val="000000" w:themeColor="text1"/>
          <w:sz w:val="36"/>
          <w:szCs w:val="36"/>
          <w14:textFill>
            <w14:solidFill>
              <w14:schemeClr w14:val="tx1"/>
            </w14:solidFill>
          </w14:textFill>
        </w:rPr>
        <w:t>第一章 公开招标采购公告</w:t>
      </w:r>
      <w:bookmarkEnd w:id="2"/>
    </w:p>
    <w:p>
      <w:pPr>
        <w:pStyle w:val="397"/>
        <w:widowControl w:val="0"/>
        <w:spacing w:after="120" w:line="460" w:lineRule="exact"/>
        <w:ind w:firstLine="56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themeColor="text1"/>
          <w:sz w:val="30"/>
          <w:szCs w:val="30"/>
          <w14:textFill>
            <w14:solidFill>
              <w14:schemeClr w14:val="tx1"/>
            </w14:solidFill>
          </w14:textFill>
        </w:rPr>
        <w:t>：</w:t>
      </w:r>
    </w:p>
    <w:p>
      <w:pPr>
        <w:snapToGrid w:val="0"/>
        <w:spacing w:line="460" w:lineRule="exact"/>
        <w:ind w:firstLine="600" w:firstLineChars="200"/>
        <w:rPr>
          <w:rFonts w:ascii="仿宋" w:hAnsi="仿宋" w:eastAsia="仿宋" w:cs="Arial"/>
          <w:color w:val="000000" w:themeColor="text1"/>
          <w:sz w:val="30"/>
          <w:szCs w:val="30"/>
          <w14:textFill>
            <w14:solidFill>
              <w14:schemeClr w14:val="tx1"/>
            </w14:solidFill>
          </w14:textFill>
        </w:rPr>
      </w:pPr>
      <w:r>
        <w:rPr>
          <w:rFonts w:hint="eastAsia" w:ascii="仿宋" w:hAnsi="仿宋" w:eastAsia="仿宋" w:cs="Arial"/>
          <w:color w:val="000000" w:themeColor="text1"/>
          <w:sz w:val="30"/>
          <w:szCs w:val="30"/>
          <w14:textFill>
            <w14:solidFill>
              <w14:schemeClr w14:val="tx1"/>
            </w14:solidFill>
          </w14:textFill>
        </w:rPr>
        <w:t>一、</w:t>
      </w:r>
      <w:r>
        <w:rPr>
          <w:rFonts w:hint="eastAsia" w:ascii="仿宋" w:hAnsi="仿宋" w:eastAsia="仿宋" w:cs="Arial"/>
          <w:b/>
          <w:bCs/>
          <w:color w:val="000000" w:themeColor="text1"/>
          <w:sz w:val="30"/>
          <w:szCs w:val="30"/>
          <w14:textFill>
            <w14:solidFill>
              <w14:schemeClr w14:val="tx1"/>
            </w14:solidFill>
          </w14:textFill>
        </w:rPr>
        <w:t>项目编号：</w:t>
      </w:r>
      <w:bookmarkStart w:id="3" w:name="PO_15528_PM001_1"/>
      <w:r>
        <w:rPr>
          <w:rFonts w:hint="eastAsia" w:ascii="仿宋" w:hAnsi="仿宋" w:eastAsia="仿宋" w:cs="Arial"/>
          <w:b/>
          <w:bCs/>
          <w:color w:val="000000" w:themeColor="text1"/>
          <w:sz w:val="30"/>
          <w:szCs w:val="30"/>
          <w14:textFill>
            <w14:solidFill>
              <w14:schemeClr w14:val="tx1"/>
            </w14:solidFill>
          </w14:textFill>
        </w:rPr>
        <w:t>ZZCG2023X-GK-153</w:t>
      </w:r>
      <w:bookmarkEnd w:id="3"/>
    </w:p>
    <w:p>
      <w:pPr>
        <w:snapToGrid w:val="0"/>
        <w:spacing w:after="120" w:afterLines="50"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二、</w:t>
      </w:r>
      <w:r>
        <w:rPr>
          <w:rFonts w:hint="eastAsia" w:ascii="仿宋" w:hAnsi="仿宋" w:eastAsia="仿宋" w:cs="Arial"/>
          <w:b/>
          <w:color w:val="000000" w:themeColor="text1"/>
          <w:sz w:val="28"/>
          <w:szCs w:val="28"/>
          <w14:textFill>
            <w14:solidFill>
              <w14:schemeClr w14:val="tx1"/>
            </w14:solidFill>
          </w14:textFill>
        </w:rPr>
        <w:t>公告期限：5个工作日</w:t>
      </w:r>
    </w:p>
    <w:p>
      <w:pPr>
        <w:snapToGrid w:val="0"/>
        <w:spacing w:after="120" w:afterLines="50" w:line="460" w:lineRule="exact"/>
        <w:ind w:firstLine="60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三、</w:t>
      </w:r>
      <w:r>
        <w:rPr>
          <w:rFonts w:hint="eastAsia" w:ascii="仿宋" w:hAnsi="仿宋" w:eastAsia="仿宋" w:cs="Arial"/>
          <w:b/>
          <w:color w:val="000000" w:themeColor="text1"/>
          <w:sz w:val="28"/>
          <w:szCs w:val="28"/>
          <w14:textFill>
            <w14:solidFill>
              <w14:schemeClr w14:val="tx1"/>
            </w14:solidFill>
          </w14:textFill>
        </w:rPr>
        <w:t>采购项目内容、数量及预算</w:t>
      </w:r>
      <w:bookmarkStart w:id="4" w:name="PO_15528_PM004"/>
      <w:r>
        <w:rPr>
          <w:rFonts w:hint="eastAsia" w:ascii="仿宋" w:hAnsi="仿宋" w:eastAsia="仿宋" w:cs="Arial"/>
          <w:b/>
          <w:color w:val="000000" w:themeColor="text1"/>
          <w:sz w:val="28"/>
          <w:szCs w:val="28"/>
          <w14:textFill>
            <w14:solidFill>
              <w14:schemeClr w14:val="tx1"/>
            </w14:solidFill>
          </w14:textFill>
        </w:rPr>
        <w:t xml:space="preserve"> </w:t>
      </w:r>
    </w:p>
    <w:tbl>
      <w:tblPr>
        <w:tblStyle w:val="60"/>
        <w:tblW w:w="52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2868"/>
        <w:gridCol w:w="915"/>
        <w:gridCol w:w="917"/>
        <w:gridCol w:w="138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标项序号</w:t>
            </w:r>
          </w:p>
        </w:tc>
        <w:tc>
          <w:tcPr>
            <w:tcW w:w="1611"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标项名称</w:t>
            </w:r>
          </w:p>
        </w:tc>
        <w:tc>
          <w:tcPr>
            <w:tcW w:w="514"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数量</w:t>
            </w:r>
          </w:p>
        </w:tc>
        <w:tc>
          <w:tcPr>
            <w:tcW w:w="515"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单位</w:t>
            </w:r>
          </w:p>
        </w:tc>
        <w:tc>
          <w:tcPr>
            <w:tcW w:w="775"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预算金额(万元)</w:t>
            </w:r>
          </w:p>
        </w:tc>
        <w:tc>
          <w:tcPr>
            <w:tcW w:w="1121"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1</w:t>
            </w:r>
          </w:p>
        </w:tc>
        <w:tc>
          <w:tcPr>
            <w:tcW w:w="1611"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浙江省教育厅（本级）2023年之江汇教育广场数字资源建设项目</w:t>
            </w:r>
          </w:p>
        </w:tc>
        <w:tc>
          <w:tcPr>
            <w:tcW w:w="514"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1</w:t>
            </w:r>
          </w:p>
        </w:tc>
        <w:tc>
          <w:tcPr>
            <w:tcW w:w="515"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批</w:t>
            </w:r>
          </w:p>
        </w:tc>
        <w:tc>
          <w:tcPr>
            <w:tcW w:w="775"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1500</w:t>
            </w:r>
          </w:p>
        </w:tc>
        <w:tc>
          <w:tcPr>
            <w:tcW w:w="1121" w:type="pct"/>
          </w:tcPr>
          <w:p>
            <w:pPr>
              <w:snapToGrid w:val="0"/>
              <w:spacing w:after="120" w:afterLines="50" w:line="460" w:lineRule="exact"/>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详见招标文件</w:t>
            </w:r>
          </w:p>
        </w:tc>
      </w:tr>
    </w:tbl>
    <w:p>
      <w:pPr>
        <w:snapToGrid w:val="0"/>
        <w:spacing w:after="120" w:afterLines="50" w:line="460" w:lineRule="exact"/>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 xml:space="preserve"> </w:t>
      </w:r>
      <w:bookmarkEnd w:id="4"/>
    </w:p>
    <w:p>
      <w:pPr>
        <w:snapToGrid w:val="0"/>
        <w:spacing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四、合格投标人的资格要求</w:t>
      </w:r>
    </w:p>
    <w:p>
      <w:pPr>
        <w:snapToGrid w:val="0"/>
        <w:spacing w:line="460" w:lineRule="exact"/>
        <w:ind w:firstLine="560" w:firstLineChars="200"/>
        <w:rPr>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cs="Arial"/>
          <w:bCs/>
          <w:color w:val="000000" w:themeColor="text1"/>
          <w:sz w:val="28"/>
          <w:szCs w:val="28"/>
          <w14:textFill>
            <w14:solidFill>
              <w14:schemeClr w14:val="tx1"/>
            </w14:solidFill>
          </w14:textFill>
        </w:rPr>
        <w:t>符合《中华人民共和国政府采购法》第二十二条规定,且未被</w:t>
      </w:r>
      <w:r>
        <w:rPr>
          <w:rFonts w:hint="eastAsia" w:ascii="仿宋" w:hAnsi="仿宋" w:eastAsia="仿宋"/>
          <w:color w:val="000000" w:themeColor="text1"/>
          <w:sz w:val="28"/>
          <w:szCs w:val="28"/>
          <w14:textFill>
            <w14:solidFill>
              <w14:schemeClr w14:val="tx1"/>
            </w14:solidFill>
          </w14:textFill>
        </w:rPr>
        <w:t>“信用中国”（www.creditchina.gov.cn）、中国政府采购网（www.ccgp.gov.cn）列入失信被执行人、重大税收违法案件当事人名单、政府采购严重违法失信行为记录名单。</w:t>
      </w:r>
    </w:p>
    <w:p>
      <w:pPr>
        <w:snapToGrid w:val="0"/>
        <w:spacing w:line="500" w:lineRule="exact"/>
        <w:ind w:firstLine="60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投标人的特定条件：无</w:t>
      </w:r>
    </w:p>
    <w:p>
      <w:pPr>
        <w:snapToGrid w:val="0"/>
        <w:spacing w:line="500" w:lineRule="exact"/>
        <w:ind w:firstLine="562" w:firstLineChars="200"/>
        <w:rPr>
          <w:rFonts w:ascii="宋体" w:hAnsi="宋体" w:cs="Arial"/>
          <w:b/>
          <w:bCs/>
          <w:color w:val="000000" w:themeColor="text1"/>
          <w:sz w:val="28"/>
          <w:szCs w:val="28"/>
          <w14:textFill>
            <w14:solidFill>
              <w14:schemeClr w14:val="tx1"/>
            </w14:solidFill>
          </w14:textFill>
        </w:rPr>
      </w:pPr>
      <w:r>
        <w:rPr>
          <w:rFonts w:hint="eastAsia" w:ascii="宋体" w:hAnsi="宋体" w:cs="仿宋"/>
          <w:b/>
          <w:bCs/>
          <w:color w:val="000000" w:themeColor="text1"/>
          <w:kern w:val="0"/>
          <w:sz w:val="28"/>
          <w:szCs w:val="28"/>
          <w:lang w:val="zh-CN"/>
          <w14:textFill>
            <w14:solidFill>
              <w14:schemeClr w14:val="tx1"/>
            </w14:solidFill>
          </w14:textFill>
        </w:rPr>
        <w:t>五、获取采购文件</w:t>
      </w:r>
    </w:p>
    <w:p>
      <w:pPr>
        <w:snapToGrid w:val="0"/>
        <w:spacing w:line="500" w:lineRule="exact"/>
        <w:ind w:firstLine="560" w:firstLineChars="20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1.获取时间：</w:t>
      </w:r>
      <w:r>
        <w:rPr>
          <w:rFonts w:hint="eastAsia" w:ascii="仿宋" w:hAnsi="仿宋" w:eastAsia="仿宋"/>
          <w:color w:val="000000" w:themeColor="text1"/>
          <w:kern w:val="0"/>
          <w:sz w:val="30"/>
          <w:szCs w:val="30"/>
          <w14:textFill>
            <w14:solidFill>
              <w14:schemeClr w14:val="tx1"/>
            </w14:solidFill>
          </w14:textFill>
        </w:rPr>
        <w:t xml:space="preserve">[项目采购-报名开始日期] 至 </w:t>
      </w:r>
      <w:bookmarkStart w:id="5" w:name="PO_15528_PM009"/>
      <w:r>
        <w:rPr>
          <w:rFonts w:hint="eastAsia" w:ascii="仿宋" w:hAnsi="仿宋" w:eastAsia="仿宋"/>
          <w:color w:val="000000" w:themeColor="text1"/>
          <w:kern w:val="0"/>
          <w:sz w:val="30"/>
          <w:szCs w:val="30"/>
          <w:lang w:eastAsia="zh-CN"/>
          <w14:textFill>
            <w14:solidFill>
              <w14:schemeClr w14:val="tx1"/>
            </w14:solidFill>
          </w14:textFill>
        </w:rPr>
        <w:t>2023-10-16 10:00:00</w:t>
      </w:r>
      <w:bookmarkEnd w:id="5"/>
      <w:r>
        <w:rPr>
          <w:rFonts w:hint="eastAsia" w:ascii="宋体" w:hAnsi="宋体"/>
          <w:color w:val="000000" w:themeColor="text1"/>
          <w:kern w:val="0"/>
          <w:sz w:val="28"/>
          <w:szCs w:val="28"/>
          <w14:textFill>
            <w14:solidFill>
              <w14:schemeClr w14:val="tx1"/>
            </w14:solidFill>
          </w14:textFill>
        </w:rPr>
        <w:t>。</w:t>
      </w:r>
    </w:p>
    <w:p>
      <w:pPr>
        <w:autoSpaceDE w:val="0"/>
        <w:autoSpaceDN w:val="0"/>
        <w:adjustRightInd w:val="0"/>
        <w:snapToGrid w:val="0"/>
        <w:spacing w:line="500" w:lineRule="exact"/>
        <w:ind w:firstLine="600"/>
        <w:rPr>
          <w:rFonts w:ascii="宋体" w:hAnsi="宋体" w:cs="仿宋"/>
          <w:color w:val="000000" w:themeColor="text1"/>
          <w:kern w:val="0"/>
          <w:sz w:val="28"/>
          <w:szCs w:val="28"/>
          <w:lang w:val="zh-CN"/>
          <w14:textFill>
            <w14:solidFill>
              <w14:schemeClr w14:val="tx1"/>
            </w14:solidFill>
          </w14:textFill>
        </w:rPr>
      </w:pPr>
      <w:r>
        <w:rPr>
          <w:rFonts w:hint="eastAsia" w:ascii="宋体" w:hAnsi="宋体" w:cs="仿宋"/>
          <w:color w:val="000000" w:themeColor="text1"/>
          <w:kern w:val="0"/>
          <w:sz w:val="28"/>
          <w:szCs w:val="28"/>
          <w:lang w:val="zh-CN"/>
          <w14:textFill>
            <w14:solidFill>
              <w14:schemeClr w14:val="tx1"/>
            </w14:solidFill>
          </w14:textFill>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themeColor="text1"/>
          <w:sz w:val="28"/>
          <w:szCs w:val="28"/>
          <w14:textFill>
            <w14:solidFill>
              <w14:schemeClr w14:val="tx1"/>
            </w14:solidFill>
          </w14:textFill>
        </w:rPr>
        <w:t>http://zfcg.czt.zj.gov.cn/</w:t>
      </w:r>
      <w:r>
        <w:rPr>
          <w:rStyle w:val="69"/>
          <w:color w:val="000000" w:themeColor="text1"/>
          <w:sz w:val="28"/>
          <w:szCs w:val="28"/>
          <w14:textFill>
            <w14:solidFill>
              <w14:schemeClr w14:val="tx1"/>
            </w14:solidFill>
          </w14:textFill>
        </w:rPr>
        <w:fldChar w:fldCharType="end"/>
      </w:r>
      <w:r>
        <w:rPr>
          <w:rFonts w:hint="eastAsia" w:ascii="宋体" w:hAnsi="宋体" w:cs="仿宋"/>
          <w:color w:val="000000" w:themeColor="text1"/>
          <w:kern w:val="0"/>
          <w:sz w:val="28"/>
          <w:szCs w:val="28"/>
          <w:lang w:val="zh-CN"/>
          <w14:textFill>
            <w14:solidFill>
              <w14:schemeClr w14:val="tx1"/>
            </w14:solidFill>
          </w14:textFill>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themeColor="text1"/>
          <w:kern w:val="0"/>
          <w:sz w:val="28"/>
          <w:szCs w:val="28"/>
          <w:lang w:val="zh-CN"/>
          <w14:textFill>
            <w14:solidFill>
              <w14:schemeClr w14:val="tx1"/>
            </w14:solidFill>
          </w14:textFill>
        </w:rPr>
      </w:pPr>
      <w:r>
        <w:rPr>
          <w:rFonts w:hint="eastAsia" w:ascii="宋体" w:hAnsi="宋体" w:cs="仿宋"/>
          <w:color w:val="000000" w:themeColor="text1"/>
          <w:kern w:val="0"/>
          <w:sz w:val="28"/>
          <w:szCs w:val="28"/>
          <w:lang w:val="zh-CN"/>
          <w14:textFill>
            <w14:solidFill>
              <w14:schemeClr w14:val="tx1"/>
            </w14:solidFill>
          </w14:textFill>
        </w:rPr>
        <w:t>3.招标文件免费获取。</w:t>
      </w:r>
    </w:p>
    <w:p>
      <w:pPr>
        <w:snapToGrid w:val="0"/>
        <w:spacing w:line="500" w:lineRule="exact"/>
        <w:ind w:firstLine="562" w:firstLineChars="200"/>
        <w:rPr>
          <w:rFonts w:ascii="宋体" w:hAnsi="宋体"/>
          <w:b/>
          <w:color w:val="000000" w:themeColor="text1"/>
          <w:kern w:val="0"/>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六、投标截止时间、地点和形式</w:t>
      </w:r>
    </w:p>
    <w:p>
      <w:pPr>
        <w:pStyle w:val="32"/>
        <w:adjustRightInd w:val="0"/>
        <w:snapToGrid w:val="0"/>
        <w:spacing w:before="120" w:after="120" w:line="500" w:lineRule="exact"/>
        <w:ind w:firstLine="565" w:firstLineChars="201"/>
        <w:rPr>
          <w:rFonts w:hAnsi="宋体"/>
          <w:color w:val="000000" w:themeColor="text1"/>
          <w:kern w:val="0"/>
          <w:sz w:val="28"/>
          <w:szCs w:val="28"/>
          <w14:textFill>
            <w14:solidFill>
              <w14:schemeClr w14:val="tx1"/>
            </w14:solidFill>
          </w14:textFill>
        </w:rPr>
      </w:pPr>
      <w:r>
        <w:rPr>
          <w:rFonts w:hint="eastAsia" w:hAnsi="宋体"/>
          <w:b/>
          <w:color w:val="000000" w:themeColor="text1"/>
          <w:kern w:val="0"/>
          <w:sz w:val="28"/>
          <w:szCs w:val="28"/>
          <w14:textFill>
            <w14:solidFill>
              <w14:schemeClr w14:val="tx1"/>
            </w14:solidFill>
          </w14:textFill>
        </w:rPr>
        <w:t>投标截止时间：</w:t>
      </w:r>
      <w:bookmarkStart w:id="6" w:name="PO_15528_PM015"/>
      <w:r>
        <w:rPr>
          <w:rFonts w:hint="eastAsia" w:ascii="仿宋" w:hAnsi="仿宋" w:eastAsia="仿宋" w:cs="Arial"/>
          <w:color w:val="000000" w:themeColor="text1"/>
          <w:sz w:val="30"/>
          <w:szCs w:val="30"/>
          <w:lang w:eastAsia="zh-CN"/>
          <w14:textFill>
            <w14:solidFill>
              <w14:schemeClr w14:val="tx1"/>
            </w14:solidFill>
          </w14:textFill>
        </w:rPr>
        <w:t>2023-10-16 10:00:00</w:t>
      </w:r>
      <w:bookmarkEnd w:id="6"/>
      <w:r>
        <w:rPr>
          <w:rFonts w:hint="eastAsia" w:hAnsi="宋体"/>
          <w:b/>
          <w:color w:val="000000" w:themeColor="text1"/>
          <w:kern w:val="0"/>
          <w:sz w:val="28"/>
          <w:szCs w:val="28"/>
          <w14:textFill>
            <w14:solidFill>
              <w14:schemeClr w14:val="tx1"/>
            </w14:solidFill>
          </w14:textFill>
        </w:rPr>
        <w:t>。</w:t>
      </w:r>
    </w:p>
    <w:p>
      <w:pPr>
        <w:spacing w:line="480" w:lineRule="exact"/>
        <w:ind w:firstLine="560" w:firstLineChars="200"/>
        <w:rPr>
          <w:rFonts w:hAnsi="宋体"/>
          <w:color w:val="000000" w:themeColor="text1"/>
          <w:kern w:val="0"/>
          <w:sz w:val="28"/>
          <w:szCs w:val="28"/>
          <w14:textFill>
            <w14:solidFill>
              <w14:schemeClr w14:val="tx1"/>
            </w14:solidFill>
          </w14:textFill>
        </w:rPr>
      </w:pPr>
      <w:r>
        <w:rPr>
          <w:rFonts w:hint="eastAsia" w:hAnsi="宋体"/>
          <w:color w:val="000000" w:themeColor="text1"/>
          <w:kern w:val="0"/>
          <w:sz w:val="28"/>
          <w:szCs w:val="28"/>
          <w14:textFill>
            <w14:solidFill>
              <w14:schemeClr w14:val="tx1"/>
            </w14:solidFill>
          </w14:textFill>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spacing w:line="480" w:lineRule="exact"/>
        <w:ind w:firstLine="602" w:firstLineChars="200"/>
        <w:rPr>
          <w:rFonts w:ascii="仿宋" w:hAnsi="仿宋" w:eastAsia="仿宋"/>
          <w:b/>
          <w:bCs/>
          <w:color w:val="C00000"/>
          <w:sz w:val="30"/>
          <w:szCs w:val="30"/>
        </w:rPr>
      </w:pPr>
      <w:r>
        <w:rPr>
          <w:rFonts w:hint="eastAsia" w:ascii="仿宋" w:hAnsi="仿宋" w:eastAsia="仿宋"/>
          <w:b/>
          <w:bCs/>
          <w:color w:val="C00000"/>
          <w:sz w:val="30"/>
          <w:szCs w:val="30"/>
        </w:rPr>
        <w:t>本项目需提供演示文件，采用视频演示，以</w:t>
      </w:r>
      <w:r>
        <w:rPr>
          <w:rFonts w:ascii="仿宋" w:hAnsi="仿宋" w:eastAsia="仿宋"/>
          <w:b/>
          <w:bCs/>
          <w:color w:val="C00000"/>
          <w:sz w:val="30"/>
          <w:szCs w:val="30"/>
        </w:rPr>
        <w:t>U</w:t>
      </w:r>
      <w:r>
        <w:rPr>
          <w:rFonts w:hint="eastAsia" w:ascii="仿宋" w:hAnsi="仿宋" w:eastAsia="仿宋"/>
          <w:b/>
          <w:bCs/>
          <w:color w:val="C00000"/>
          <w:sz w:val="30"/>
          <w:szCs w:val="30"/>
        </w:rPr>
        <w:t>盘形式存储，并在投标截止时间前，通过邮寄方式，送达指定地点，逾期送达或未密封将被拒收。</w:t>
      </w:r>
    </w:p>
    <w:p>
      <w:pPr>
        <w:pStyle w:val="32"/>
        <w:adjustRightInd w:val="0"/>
        <w:snapToGrid w:val="0"/>
        <w:spacing w:before="120" w:after="120" w:line="500" w:lineRule="exact"/>
        <w:ind w:firstLine="605" w:firstLineChars="201"/>
        <w:rPr>
          <w:rFonts w:hAnsi="宋体"/>
          <w:color w:val="000000" w:themeColor="text1"/>
          <w:kern w:val="0"/>
          <w:sz w:val="28"/>
          <w:szCs w:val="28"/>
          <w14:textFill>
            <w14:solidFill>
              <w14:schemeClr w14:val="tx1"/>
            </w14:solidFill>
          </w14:textFill>
        </w:rPr>
      </w:pPr>
      <w:r>
        <w:rPr>
          <w:rFonts w:hint="eastAsia" w:ascii="仿宋" w:hAnsi="仿宋" w:eastAsia="仿宋"/>
          <w:b/>
          <w:bCs/>
          <w:color w:val="C00000"/>
          <w:sz w:val="30"/>
          <w:szCs w:val="30"/>
        </w:rPr>
        <w:t>演示U盘应当密封包装并在包装上标注演示U盘、项目名称、标项、供应商名称并加盖公章。未按文件要求提供演示U盘造成评审专家无法正常评审的风险由供应商自行承担。（演示U盘请单独封装）</w:t>
      </w:r>
    </w:p>
    <w:p>
      <w:pPr>
        <w:pStyle w:val="32"/>
        <w:adjustRightInd w:val="0"/>
        <w:snapToGrid w:val="0"/>
        <w:spacing w:before="120" w:after="120" w:line="500" w:lineRule="exact"/>
        <w:ind w:firstLine="562" w:firstLineChars="201"/>
        <w:rPr>
          <w:rFonts w:hAnsi="宋体"/>
          <w:color w:val="000000" w:themeColor="text1"/>
          <w:kern w:val="0"/>
          <w:sz w:val="28"/>
          <w:szCs w:val="28"/>
          <w14:textFill>
            <w14:solidFill>
              <w14:schemeClr w14:val="tx1"/>
            </w14:solidFill>
          </w14:textFill>
        </w:rPr>
      </w:pPr>
      <w:r>
        <w:rPr>
          <w:rFonts w:hint="eastAsia" w:hAnsi="宋体"/>
          <w:color w:val="000000" w:themeColor="text1"/>
          <w:kern w:val="0"/>
          <w:sz w:val="28"/>
          <w:szCs w:val="28"/>
          <w14:textFill>
            <w14:solidFill>
              <w14:schemeClr w14:val="tx1"/>
            </w14:solidFill>
          </w14:textFill>
        </w:rPr>
        <w:t>如认为需要，投标人可以选择递交备份投标文件，采用数据电文形式，以U盘或DVD光盘形式存储，并在投标截止时间前，通过邮寄方式，送达指定地点，逾期送达或未密封将被拒收。</w:t>
      </w:r>
    </w:p>
    <w:p>
      <w:pPr>
        <w:pStyle w:val="32"/>
        <w:adjustRightInd w:val="0"/>
        <w:snapToGrid w:val="0"/>
        <w:spacing w:before="120" w:after="120" w:line="500" w:lineRule="exact"/>
        <w:ind w:firstLine="562" w:firstLineChars="201"/>
        <w:rPr>
          <w:rFonts w:hAnsi="宋体" w:cstheme="minorBidi"/>
          <w:color w:val="000000" w:themeColor="text1"/>
          <w:kern w:val="0"/>
          <w:sz w:val="28"/>
          <w:szCs w:val="28"/>
          <w14:textFill>
            <w14:solidFill>
              <w14:schemeClr w14:val="tx1"/>
            </w14:solidFill>
          </w14:textFill>
        </w:rPr>
      </w:pPr>
      <w:r>
        <w:rPr>
          <w:rFonts w:hint="eastAsia" w:hAnsi="宋体" w:cstheme="minorBidi"/>
          <w:color w:val="000000" w:themeColor="text1"/>
          <w:kern w:val="0"/>
          <w:sz w:val="28"/>
          <w:szCs w:val="28"/>
          <w14:textFill>
            <w14:solidFill>
              <w14:schemeClr w14:val="tx1"/>
            </w14:solidFill>
          </w14:textFill>
        </w:rPr>
        <w:t>演示文件及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2"/>
        <w:adjustRightInd w:val="0"/>
        <w:snapToGrid w:val="0"/>
        <w:spacing w:before="120" w:after="120" w:line="500" w:lineRule="exact"/>
        <w:ind w:firstLine="565" w:firstLineChars="201"/>
        <w:rPr>
          <w:rFonts w:hAnsi="宋体"/>
          <w:b/>
          <w:color w:val="000000" w:themeColor="text1"/>
          <w:kern w:val="0"/>
          <w:sz w:val="28"/>
          <w:szCs w:val="28"/>
          <w14:textFill>
            <w14:solidFill>
              <w14:schemeClr w14:val="tx1"/>
            </w14:solidFill>
          </w14:textFill>
        </w:rPr>
      </w:pPr>
      <w:r>
        <w:rPr>
          <w:rFonts w:hint="eastAsia" w:hAnsi="宋体"/>
          <w:b/>
          <w:color w:val="000000" w:themeColor="text1"/>
          <w:kern w:val="0"/>
          <w:sz w:val="28"/>
          <w:szCs w:val="28"/>
          <w14:textFill>
            <w14:solidFill>
              <w14:schemeClr w14:val="tx1"/>
            </w14:solidFill>
          </w14:textFill>
        </w:rPr>
        <w:t>本项目拒绝接受纸质投标文件。</w:t>
      </w:r>
    </w:p>
    <w:p>
      <w:pPr>
        <w:snapToGrid w:val="0"/>
        <w:spacing w:line="500" w:lineRule="exact"/>
        <w:ind w:firstLine="562" w:firstLineChars="200"/>
        <w:rPr>
          <w:rFonts w:ascii="宋体" w:hAnsi="宋体" w:cs="Arial"/>
          <w:b/>
          <w:bCs/>
          <w:color w:val="000000" w:themeColor="text1"/>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七、开标时间及地点：</w:t>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本次招标将于</w:t>
      </w:r>
      <w:bookmarkStart w:id="7" w:name="PO_15528_PM015_1"/>
      <w:r>
        <w:rPr>
          <w:rFonts w:hint="eastAsia" w:ascii="宋体" w:hAnsi="宋体" w:cs="Arial"/>
          <w:b/>
          <w:color w:val="000000" w:themeColor="text1"/>
          <w:sz w:val="28"/>
          <w:szCs w:val="28"/>
          <w:lang w:eastAsia="zh-CN"/>
          <w14:textFill>
            <w14:solidFill>
              <w14:schemeClr w14:val="tx1"/>
            </w14:solidFill>
          </w14:textFill>
        </w:rPr>
        <w:t>2023-10-16 10:00:00</w:t>
      </w:r>
      <w:bookmarkEnd w:id="7"/>
      <w:r>
        <w:rPr>
          <w:rFonts w:hint="eastAsia" w:ascii="宋体" w:hAnsi="宋体" w:cs="Arial"/>
          <w:b/>
          <w:color w:val="000000" w:themeColor="text1"/>
          <w:sz w:val="28"/>
          <w:szCs w:val="28"/>
          <w14:textFill>
            <w14:solidFill>
              <w14:schemeClr w14:val="tx1"/>
            </w14:solidFill>
          </w14:textFill>
        </w:rPr>
        <w:t>时整在</w:t>
      </w:r>
      <w:bookmarkStart w:id="8" w:name="PO_15528_PM016_1"/>
      <w:r>
        <w:rPr>
          <w:rFonts w:hint="eastAsia" w:ascii="宋体" w:hAnsi="宋体" w:cs="Arial"/>
          <w:b/>
          <w:color w:val="000000" w:themeColor="text1"/>
          <w:sz w:val="28"/>
          <w:szCs w:val="28"/>
          <w:lang w:eastAsia="zh-CN"/>
          <w14:textFill>
            <w14:solidFill>
              <w14:schemeClr w14:val="tx1"/>
            </w14:solidFill>
          </w14:textFill>
        </w:rPr>
        <w:t>西湖区浙江省杭州市西湖区宝石一路3号201开标室</w:t>
      </w:r>
      <w:bookmarkEnd w:id="8"/>
      <w:r>
        <w:rPr>
          <w:rFonts w:hint="eastAsia" w:ascii="宋体" w:hAnsi="宋体" w:cs="Arial"/>
          <w:b/>
          <w:color w:val="000000" w:themeColor="text1"/>
          <w:sz w:val="28"/>
          <w:szCs w:val="28"/>
          <w14:textFill>
            <w14:solidFill>
              <w14:schemeClr w14:val="tx1"/>
            </w14:solidFill>
          </w14:textFill>
        </w:rPr>
        <w:t>开标。</w:t>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本项目实行“不见面开评标”，投标人无须派人员到现场出席开标会议。</w:t>
      </w:r>
    </w:p>
    <w:tbl>
      <w:tblPr>
        <w:tblStyle w:val="9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201开标室：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202开标室：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0571-8890779</w:t>
            </w:r>
            <w:r>
              <w:rPr>
                <w:rFonts w:ascii="宋体" w:hAnsi="宋体" w:cs="宋体"/>
                <w:color w:val="000000" w:themeColor="text1"/>
                <w:kern w:val="0"/>
                <w:sz w:val="28"/>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203开标室：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w:t>
            </w:r>
            <w:r>
              <w:rPr>
                <w:rFonts w:ascii="宋体" w:hAnsi="宋体" w:cs="宋体"/>
                <w:color w:val="000000" w:themeColor="text1"/>
                <w:kern w:val="0"/>
                <w:sz w:val="28"/>
                <w:szCs w:val="28"/>
                <w14:textFill>
                  <w14:solidFill>
                    <w14:schemeClr w14:val="tx1"/>
                  </w14:solidFill>
                </w14:textFill>
              </w:rPr>
              <w:t>1816</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301会议室：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302会议室：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0571-88907720</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303会议室：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306会议室：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0571-88907751</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p>
        </w:tc>
      </w:tr>
    </w:tbl>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八、电子交易平台的网络地址和登录方法</w:t>
      </w:r>
    </w:p>
    <w:p>
      <w:pPr>
        <w:snapToGrid w:val="0"/>
        <w:spacing w:line="500" w:lineRule="exact"/>
        <w:ind w:firstLine="562" w:firstLineChars="200"/>
        <w:rPr>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（一）网络地址：</w:t>
      </w:r>
      <w:r>
        <w:rPr>
          <w:rFonts w:hint="eastAsia" w:ascii="宋体" w:hAnsi="宋体" w:cs="仿宋"/>
          <w:color w:val="000000" w:themeColor="text1"/>
          <w:sz w:val="28"/>
          <w:szCs w:val="28"/>
          <w14:textFill>
            <w14:solidFill>
              <w14:schemeClr w14:val="tx1"/>
            </w14:solidFill>
          </w14:textFill>
        </w:rPr>
        <w:t xml:space="preserve">浙江政府采购网 </w:t>
      </w:r>
      <w:r>
        <w:fldChar w:fldCharType="begin"/>
      </w:r>
      <w:r>
        <w:instrText xml:space="preserve"> HYPERLINK "http://zfcg.czt.zj.gov.cn/" </w:instrText>
      </w:r>
      <w:r>
        <w:fldChar w:fldCharType="separate"/>
      </w:r>
      <w:r>
        <w:rPr>
          <w:rStyle w:val="69"/>
          <w:color w:val="000000" w:themeColor="text1"/>
          <w:sz w:val="28"/>
          <w:szCs w:val="28"/>
          <w14:textFill>
            <w14:solidFill>
              <w14:schemeClr w14:val="tx1"/>
            </w14:solidFill>
          </w14:textFill>
        </w:rPr>
        <w:t>http://zfcg.czt.zj.gov.cn/</w:t>
      </w:r>
      <w:r>
        <w:rPr>
          <w:rStyle w:val="69"/>
          <w:color w:val="000000" w:themeColor="text1"/>
          <w:sz w:val="28"/>
          <w:szCs w:val="28"/>
          <w14:textFill>
            <w14:solidFill>
              <w14:schemeClr w14:val="tx1"/>
            </w14:solidFill>
          </w14:textFill>
        </w:rPr>
        <w:fldChar w:fldCharType="end"/>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（二）登录方法：</w:t>
      </w:r>
      <w:r>
        <w:rPr>
          <w:rFonts w:hint="eastAsia" w:ascii="宋体" w:hAnsi="宋体" w:cs="Arial"/>
          <w:color w:val="000000" w:themeColor="text1"/>
          <w:sz w:val="28"/>
          <w:szCs w:val="28"/>
          <w14:textFill>
            <w14:solidFill>
              <w14:schemeClr w14:val="tx1"/>
            </w14:solidFill>
          </w14:textFill>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themeColor="text1"/>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九、其他：</w:t>
      </w:r>
    </w:p>
    <w:p>
      <w:pPr>
        <w:snapToGrid w:val="0"/>
        <w:spacing w:line="44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（https://edu.zcygov.cn/live?utm=a0018.2ef5001f.0.0.1939d340e5db11ea867fb57c149ddb61）自行提前学习</w:t>
      </w:r>
      <w:r>
        <w:rPr>
          <w:rFonts w:hint="eastAsia" w:ascii="宋体" w:hAnsi="宋体" w:cs="Arial"/>
          <w:color w:val="000000" w:themeColor="text1"/>
          <w:sz w:val="28"/>
          <w:szCs w:val="28"/>
          <w14:textFill>
            <w14:solidFill>
              <w14:schemeClr w14:val="tx1"/>
            </w14:solidFill>
          </w14:textFill>
        </w:rPr>
        <w:t>。</w:t>
      </w: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9" w:name="PO_15528_PM032"/>
            <w:r>
              <w:rPr>
                <w:rFonts w:hint="eastAsia" w:ascii="仿宋" w:hAnsi="仿宋" w:eastAsia="仿宋" w:cs="仿宋"/>
                <w:sz w:val="28"/>
                <w:szCs w:val="28"/>
              </w:rPr>
              <w:t>柯</w:t>
            </w:r>
            <w:bookmarkEnd w:id="9"/>
            <w:r>
              <w:rPr>
                <w:rFonts w:hint="eastAsia" w:ascii="仿宋" w:hAnsi="仿宋" w:eastAsia="仿宋" w:cs="仿宋"/>
                <w:sz w:val="28"/>
                <w:szCs w:val="28"/>
              </w:rPr>
              <w:t>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0" w:name="PO_15528_PM033"/>
            <w:r>
              <w:rPr>
                <w:rFonts w:hint="eastAsia" w:ascii="仿宋" w:hAnsi="仿宋" w:eastAsia="仿宋" w:cs="仿宋"/>
                <w:sz w:val="28"/>
                <w:szCs w:val="28"/>
              </w:rPr>
              <w:t>0571-88901833</w:t>
            </w:r>
            <w:bookmarkEnd w:id="10"/>
          </w:p>
        </w:tc>
        <w:tc>
          <w:tcPr>
            <w:tcW w:w="2066"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四楼（采购二部）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商女士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w:t>
            </w:r>
            <w:r>
              <w:rPr>
                <w:rFonts w:hint="eastAsia" w:ascii="仿宋" w:hAnsi="仿宋" w:eastAsia="仿宋" w:cs="仿宋"/>
                <w:sz w:val="28"/>
                <w:szCs w:val="28"/>
              </w:rPr>
              <w:t>06</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邵女士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0571-88907750</w:t>
            </w:r>
          </w:p>
        </w:tc>
        <w:tc>
          <w:tcPr>
            <w:tcW w:w="2066"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95763</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360" w:lineRule="auto"/>
        <w:ind w:firstLine="602" w:firstLineChars="200"/>
        <w:rPr>
          <w:rFonts w:hint="eastAsia" w:ascii="仿宋" w:hAnsi="仿宋" w:eastAsia="仿宋" w:cs="Arial"/>
          <w:b/>
          <w:bCs/>
          <w:color w:val="000000" w:themeColor="text1"/>
          <w:sz w:val="30"/>
          <w:szCs w:val="30"/>
          <w14:textFill>
            <w14:solidFill>
              <w14:schemeClr w14:val="tx1"/>
            </w14:solidFill>
          </w14:textFill>
        </w:rPr>
      </w:pPr>
    </w:p>
    <w:p>
      <w:pPr>
        <w:snapToGrid w:val="0"/>
        <w:spacing w:line="360" w:lineRule="auto"/>
        <w:ind w:firstLine="602" w:firstLineChars="200"/>
        <w:rPr>
          <w:rFonts w:ascii="仿宋" w:hAnsi="仿宋" w:eastAsia="仿宋" w:cs="Arial"/>
          <w:b/>
          <w:bCs/>
          <w:color w:val="000000" w:themeColor="text1"/>
          <w:sz w:val="30"/>
          <w:szCs w:val="30"/>
          <w14:textFill>
            <w14:solidFill>
              <w14:schemeClr w14:val="tx1"/>
            </w14:solidFill>
          </w14:textFill>
        </w:rPr>
      </w:pPr>
      <w:bookmarkStart w:id="47" w:name="_GoBack"/>
      <w:bookmarkEnd w:id="47"/>
      <w:r>
        <w:rPr>
          <w:rFonts w:hint="eastAsia" w:ascii="仿宋" w:hAnsi="仿宋" w:eastAsia="仿宋" w:cs="Arial"/>
          <w:b/>
          <w:bCs/>
          <w:color w:val="000000" w:themeColor="text1"/>
          <w:sz w:val="30"/>
          <w:szCs w:val="30"/>
          <w14:textFill>
            <w14:solidFill>
              <w14:schemeClr w14:val="tx1"/>
            </w14:solidFill>
          </w14:textFill>
        </w:rPr>
        <w:t>十一、采购需求咨询</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bookmarkStart w:id="11" w:name="PO_TDCUS_ITEM_PRC_TABLE_1_1_2"/>
            <w:r>
              <w:rPr>
                <w:rFonts w:hint="eastAsia" w:ascii="仿宋_GB2312" w:hAnsi="仿宋" w:eastAsia="仿宋_GB2312"/>
                <w:color w:val="000000" w:themeColor="text1"/>
                <w:sz w:val="30"/>
                <w:szCs w:val="30"/>
                <w14:textFill>
                  <w14:solidFill>
                    <w14:schemeClr w14:val="tx1"/>
                  </w14:solidFill>
                </w14:textFill>
              </w:rPr>
              <w:t>采购单位</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浙江省教育厅（本级）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地址</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浙江省杭州市拱墅区文晖路321号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咨询事项</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lang w:val="en-US" w:eastAsia="zh-CN"/>
                <w14:textFill>
                  <w14:solidFill>
                    <w14:schemeClr w14:val="tx1"/>
                  </w14:solidFill>
                </w14:textFill>
              </w:rPr>
              <w:t>评分标准、</w:t>
            </w:r>
            <w:r>
              <w:rPr>
                <w:rFonts w:hint="eastAsia" w:ascii="仿宋_GB2312" w:hAnsi="仿宋" w:eastAsia="仿宋_GB2312"/>
                <w:color w:val="000000" w:themeColor="text1"/>
                <w:sz w:val="30"/>
                <w:szCs w:val="30"/>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联系人</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林老师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联系方式</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0571-88008795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传真</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备注</w:t>
            </w:r>
          </w:p>
        </w:tc>
        <w:tc>
          <w:tcPr>
            <w:tcW w:w="2500" w:type="pct"/>
          </w:tcPr>
          <w:p>
            <w:pPr>
              <w:snapToGrid w:val="0"/>
              <w:spacing w:line="440" w:lineRule="exact"/>
              <w:jc w:val="center"/>
              <w:rPr>
                <w:rFonts w:ascii="仿宋_GB2312" w:hAnsi="仿宋" w:eastAsia="仿宋_GB2312"/>
                <w:color w:val="000000" w:themeColor="text1"/>
                <w:sz w:val="30"/>
                <w:szCs w:val="30"/>
                <w14:textFill>
                  <w14:solidFill>
                    <w14:schemeClr w14:val="tx1"/>
                  </w14:solidFill>
                </w14:textFill>
              </w:rPr>
            </w:pPr>
          </w:p>
        </w:tc>
      </w:tr>
    </w:tbl>
    <w:p>
      <w:pPr>
        <w:snapToGrid w:val="0"/>
        <w:spacing w:line="440" w:lineRule="exact"/>
        <w:ind w:firstLine="600" w:firstLineChars="200"/>
        <w:jc w:val="center"/>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 xml:space="preserve"> </w:t>
      </w:r>
      <w:bookmarkEnd w:id="11"/>
    </w:p>
    <w:p>
      <w:pPr>
        <w:snapToGrid w:val="0"/>
        <w:spacing w:line="360" w:lineRule="auto"/>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十二、同级政府采购监督管理部门</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名    称：浙江省财政厅政府采购监管处、浙江省政府采购行政裁决服务中心（杭州）</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地   址：杭州市上城区四季青街道新业路市民之家G03办公室</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传   真：/</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联系人 ：朱女士、王女士</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监督投诉电话：0571-85252453</w:t>
      </w:r>
    </w:p>
    <w:p>
      <w:pPr>
        <w:snapToGrid w:val="0"/>
        <w:spacing w:line="440" w:lineRule="exact"/>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预算金额未达100万元的采购项目，由采购人处理采购争议。</w:t>
      </w:r>
    </w:p>
    <w:p>
      <w:pPr>
        <w:pStyle w:val="32"/>
        <w:tabs>
          <w:tab w:val="left" w:pos="220"/>
        </w:tabs>
        <w:spacing w:before="120" w:after="120" w:line="360" w:lineRule="auto"/>
        <w:outlineLvl w:val="0"/>
        <w:rPr>
          <w:rFonts w:hAnsi="宋体" w:cs="仿宋"/>
          <w:color w:val="000000" w:themeColor="text1"/>
          <w:sz w:val="28"/>
          <w:szCs w:val="28"/>
          <w14:textFill>
            <w14:solidFill>
              <w14:schemeClr w14:val="tx1"/>
            </w14:solidFill>
          </w14:textFill>
        </w:rPr>
      </w:pPr>
    </w:p>
    <w:p>
      <w:pPr>
        <w:pStyle w:val="32"/>
        <w:spacing w:before="120" w:after="120" w:line="360" w:lineRule="auto"/>
        <w:jc w:val="center"/>
        <w:outlineLvl w:val="0"/>
        <w:rPr>
          <w:rFonts w:hAnsi="宋体"/>
          <w:b/>
          <w:color w:val="000000" w:themeColor="text1"/>
          <w:sz w:val="36"/>
          <w:szCs w:val="36"/>
          <w14:textFill>
            <w14:solidFill>
              <w14:schemeClr w14:val="tx1"/>
            </w14:solidFill>
          </w14:textFill>
        </w:rPr>
      </w:pPr>
      <w:r>
        <w:rPr>
          <w:rFonts w:hint="eastAsia"/>
          <w:color w:val="000000" w:themeColor="text1"/>
          <w14:textFill>
            <w14:solidFill>
              <w14:schemeClr w14:val="tx1"/>
            </w14:solidFill>
          </w14:textFill>
        </w:rPr>
        <w:br w:type="page"/>
      </w:r>
      <w:bookmarkStart w:id="12" w:name="_Toc29498"/>
      <w:bookmarkStart w:id="13" w:name="_Toc496796636"/>
      <w:r>
        <w:rPr>
          <w:rFonts w:hint="eastAsia" w:ascii="仿宋" w:hAnsi="仿宋" w:eastAsia="仿宋"/>
          <w:b/>
          <w:color w:val="000000" w:themeColor="text1"/>
          <w:sz w:val="36"/>
          <w:szCs w:val="36"/>
          <w14:textFill>
            <w14:solidFill>
              <w14:schemeClr w14:val="tx1"/>
            </w14:solidFill>
          </w14:textFill>
        </w:rPr>
        <w:t>第二章</w:t>
      </w:r>
      <w:bookmarkStart w:id="14" w:name="投标人须知"/>
      <w:r>
        <w:rPr>
          <w:rFonts w:hint="eastAsia" w:ascii="仿宋" w:hAnsi="仿宋" w:eastAsia="仿宋"/>
          <w:b/>
          <w:color w:val="000000" w:themeColor="text1"/>
          <w:sz w:val="36"/>
          <w:szCs w:val="36"/>
          <w14:textFill>
            <w14:solidFill>
              <w14:schemeClr w14:val="tx1"/>
            </w14:solidFill>
          </w14:textFill>
        </w:rPr>
        <w:t xml:space="preserve"> 投标人须知</w:t>
      </w:r>
      <w:bookmarkEnd w:id="12"/>
      <w:bookmarkEnd w:id="13"/>
      <w:bookmarkEnd w:id="14"/>
    </w:p>
    <w:p>
      <w:pPr>
        <w:snapToGri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根据《政府采购促进中小企业发展管理办法》财库〔2020〕46号文件的规定，本项目</w:t>
            </w:r>
            <w:r>
              <w:rPr>
                <w:rFonts w:hint="eastAsia" w:ascii="仿宋" w:hAnsi="仿宋" w:eastAsia="仿宋"/>
                <w:b/>
                <w:color w:val="000000" w:themeColor="text1"/>
                <w:sz w:val="24"/>
                <w:szCs w:val="24"/>
                <w:u w:val="single"/>
                <w14:textFill>
                  <w14:solidFill>
                    <w14:schemeClr w14:val="tx1"/>
                  </w14:solidFill>
                </w14:textFill>
              </w:rPr>
              <w:t>不</w:t>
            </w:r>
            <w:r>
              <w:rPr>
                <w:rFonts w:hint="eastAsia" w:ascii="仿宋" w:hAnsi="仿宋" w:eastAsia="仿宋"/>
                <w:b/>
                <w:color w:val="000000" w:themeColor="text1"/>
                <w:sz w:val="24"/>
                <w:szCs w:val="24"/>
                <w14:textFill>
                  <w14:solidFill>
                    <w14:schemeClr w14:val="tx1"/>
                  </w14:solidFill>
                </w14:textFill>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1"/>
              </w:numPr>
              <w:snapToGrid w:val="0"/>
              <w:spacing w:line="460" w:lineRule="exact"/>
              <w:ind w:firstLineChars="0"/>
              <w:rPr>
                <w:rFonts w:ascii="仿宋" w:hAnsi="仿宋" w:eastAsia="仿宋"/>
                <w:b/>
                <w:color w:val="000000" w:themeColor="text1"/>
                <w:sz w:val="24"/>
                <w:szCs w:val="24"/>
                <w:u w:val="single"/>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项目属性（服务类）</w:t>
            </w:r>
          </w:p>
          <w:p>
            <w:pPr>
              <w:pStyle w:val="182"/>
              <w:numPr>
                <w:ilvl w:val="0"/>
                <w:numId w:val="31"/>
              </w:numPr>
              <w:snapToGrid w:val="0"/>
              <w:spacing w:line="460" w:lineRule="exact"/>
              <w:ind w:firstLineChars="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中小企业划分标准所属行业（具体根据《中小企业划型标准规定》执行）</w:t>
            </w:r>
          </w:p>
          <w:p>
            <w:pPr>
              <w:snapToGrid w:val="0"/>
              <w:spacing w:line="460" w:lineRule="exact"/>
              <w:ind w:left="6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采购标的：</w:t>
            </w:r>
            <w:r>
              <w:rPr>
                <w:rFonts w:hint="eastAsia" w:ascii="仿宋" w:hAnsi="仿宋" w:eastAsia="仿宋"/>
                <w:b/>
                <w:sz w:val="24"/>
                <w:szCs w:val="24"/>
              </w:rPr>
              <w:t>浙江省教育厅（本级）2023年之江汇教育广场数字资源建设项目</w:t>
            </w:r>
            <w:r>
              <w:rPr>
                <w:rFonts w:hint="eastAsia" w:ascii="仿宋" w:hAnsi="仿宋" w:eastAsia="仿宋"/>
                <w:b/>
                <w:color w:val="000000" w:themeColor="text1"/>
                <w:sz w:val="24"/>
                <w:szCs w:val="24"/>
                <w14:textFill>
                  <w14:solidFill>
                    <w14:schemeClr w14:val="tx1"/>
                  </w14:solidFill>
                </w14:textFill>
              </w:rPr>
              <w:t>，所属行业：软件和信息技术服务业</w:t>
            </w:r>
          </w:p>
          <w:p>
            <w:pPr>
              <w:snapToGrid w:val="0"/>
              <w:spacing w:line="460" w:lineRule="exact"/>
              <w:ind w:firstLine="602" w:firstLineChars="250"/>
              <w:rPr>
                <w:rFonts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3.根据财库〔2020〕46号的相关规定，在评审时对符合本办法规定的小微企业报价给予</w:t>
            </w:r>
            <w:r>
              <w:rPr>
                <w:rFonts w:hint="eastAsia" w:ascii="仿宋" w:hAnsi="仿宋" w:eastAsia="仿宋"/>
                <w:b/>
                <w:color w:val="000000" w:themeColor="text1"/>
                <w:sz w:val="24"/>
                <w:szCs w:val="24"/>
                <w:u w:val="single"/>
                <w14:textFill>
                  <w14:solidFill>
                    <w14:schemeClr w14:val="tx1"/>
                  </w14:solidFill>
                </w14:textFill>
              </w:rPr>
              <w:t xml:space="preserve">  10%  </w:t>
            </w:r>
            <w:r>
              <w:rPr>
                <w:rFonts w:hint="eastAsia" w:ascii="仿宋" w:hAnsi="仿宋" w:eastAsia="仿宋"/>
                <w:b/>
                <w:color w:val="000000" w:themeColor="text1"/>
                <w:sz w:val="24"/>
                <w:szCs w:val="24"/>
                <w14:textFill>
                  <w14:solidFill>
                    <w14:schemeClr w14:val="tx1"/>
                  </w14:solidFill>
                </w14:textFill>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themeColor="text1"/>
                <w:sz w:val="24"/>
                <w:szCs w:val="24"/>
                <w:u w:val="single"/>
                <w14:textFill>
                  <w14:solidFill>
                    <w14:schemeClr w14:val="tx1"/>
                  </w14:solidFill>
                </w14:textFill>
              </w:rPr>
              <w:t xml:space="preserve">  4%  </w:t>
            </w:r>
            <w:r>
              <w:rPr>
                <w:rFonts w:hint="eastAsia" w:ascii="仿宋" w:hAnsi="仿宋" w:eastAsia="仿宋"/>
                <w:b/>
                <w:color w:val="000000" w:themeColor="text1"/>
                <w:sz w:val="24"/>
                <w:szCs w:val="24"/>
                <w14:textFill>
                  <w14:solidFill>
                    <w14:schemeClr w14:val="tx1"/>
                  </w14:solidFill>
                </w14:textFill>
              </w:rPr>
              <w:t>的扣除，用扣除后的价格参加评审。</w:t>
            </w:r>
          </w:p>
          <w:p>
            <w:pPr>
              <w:snapToGrid w:val="0"/>
              <w:spacing w:line="460" w:lineRule="exact"/>
              <w:ind w:firstLine="602" w:firstLineChars="25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themeColor="text1"/>
                <w:sz w:val="24"/>
                <w:szCs w:val="24"/>
                <w14:textFill>
                  <w14:solidFill>
                    <w14:schemeClr w14:val="tx1"/>
                  </w14:solidFill>
                </w14:textFill>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促进绿色发展有关政策</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themeColor="text1"/>
                <w:sz w:val="24"/>
                <w:szCs w:val="24"/>
                <w14:textFill>
                  <w14:solidFill>
                    <w14:schemeClr w14:val="tx1"/>
                  </w14:solidFill>
                </w14:textFill>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首台套政策</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15" w:name="PO_15528_PM042"/>
            <w:r>
              <w:rPr>
                <w:rFonts w:hint="eastAsia" w:ascii="仿宋" w:hAnsi="仿宋" w:eastAsia="仿宋"/>
                <w:color w:val="000000" w:themeColor="text1"/>
                <w:sz w:val="24"/>
                <w:szCs w:val="24"/>
                <w14:textFill>
                  <w14:solidFill>
                    <w14:schemeClr w14:val="tx1"/>
                  </w14:solidFill>
                </w14:textFill>
              </w:rPr>
              <w:t>不允许进口产品</w:t>
            </w:r>
            <w:bookmarkEnd w:id="15"/>
            <w:r>
              <w:rPr>
                <w:rFonts w:hint="eastAsia" w:ascii="仿宋" w:hAnsi="仿宋" w:eastAsia="仿宋"/>
                <w:color w:val="000000" w:themeColor="text1"/>
                <w:sz w:val="24"/>
                <w:szCs w:val="24"/>
                <w14:textFill>
                  <w14:solidFill>
                    <w14:schemeClr w14:val="tx1"/>
                  </w14:solidFill>
                </w14:textFill>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转包：否</w:t>
            </w:r>
          </w:p>
          <w:p>
            <w:pPr>
              <w:snapToGrid w:val="0"/>
              <w:spacing w:line="460" w:lineRule="exac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分包：</w:t>
            </w:r>
            <w:bookmarkStart w:id="16" w:name="PO_15528_PM044"/>
            <w:r>
              <w:rPr>
                <w:rFonts w:hint="eastAsia" w:ascii="仿宋_GB2312" w:hAnsi="仿宋" w:eastAsia="仿宋_GB2312"/>
                <w:bCs/>
                <w:color w:val="000000" w:themeColor="text1"/>
                <w:sz w:val="24"/>
                <w14:textFill>
                  <w14:solidFill>
                    <w14:schemeClr w14:val="tx1"/>
                  </w14:solidFill>
                </w14:textFill>
              </w:rPr>
              <w:t>允许分包</w:t>
            </w:r>
            <w:bookmarkEnd w:id="16"/>
            <w:r>
              <w:rPr>
                <w:rFonts w:hint="eastAsia" w:ascii="仿宋_GB2312" w:hAnsi="仿宋" w:eastAsia="仿宋_GB2312"/>
                <w:bCs/>
                <w:color w:val="000000" w:themeColor="text1"/>
                <w:sz w:val="24"/>
                <w14:textFill>
                  <w14:solidFill>
                    <w14:schemeClr w14:val="tx1"/>
                  </w14:solidFill>
                </w14:textFill>
              </w:rPr>
              <w:t>；非主体、非关键性工作允许分包。</w:t>
            </w:r>
          </w:p>
          <w:p>
            <w:pPr>
              <w:spacing w:line="500" w:lineRule="exact"/>
              <w:jc w:val="lef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color w:val="000000" w:themeColor="text1"/>
                <w:sz w:val="24"/>
                <w14:textFill>
                  <w14:solidFill>
                    <w14:schemeClr w14:val="tx1"/>
                  </w14:solidFill>
                </w14:textFill>
              </w:rPr>
            </w:pPr>
            <w:bookmarkStart w:id="17" w:name="PO_15528_PM007_1"/>
            <w:r>
              <w:rPr>
                <w:rFonts w:hint="eastAsia" w:ascii="仿宋_GB2312" w:hAnsi="仿宋" w:eastAsia="仿宋_GB2312"/>
                <w:bCs/>
                <w:color w:val="000000" w:themeColor="text1"/>
                <w:sz w:val="24"/>
                <w14:textFill>
                  <w14:solidFill>
                    <w14:schemeClr w14:val="tx1"/>
                  </w14:solidFill>
                </w14:textFill>
              </w:rPr>
              <w:t>允许联合体投标</w:t>
            </w:r>
            <w:bookmarkEnd w:id="17"/>
            <w:r>
              <w:rPr>
                <w:rFonts w:hint="eastAsia" w:ascii="仿宋_GB2312" w:hAnsi="仿宋" w:eastAsia="仿宋_GB2312"/>
                <w:bCs/>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18" w:name="PO_15528_PM040"/>
            <w:r>
              <w:rPr>
                <w:rFonts w:hint="eastAsia" w:ascii="仿宋" w:hAnsi="仿宋" w:eastAsia="仿宋"/>
                <w:color w:val="000000" w:themeColor="text1"/>
                <w:sz w:val="24"/>
                <w:szCs w:val="24"/>
                <w14:textFill>
                  <w14:solidFill>
                    <w14:schemeClr w14:val="tx1"/>
                  </w14:solidFill>
                </w14:textFill>
              </w:rPr>
              <w:t>不组织现场踏勘</w:t>
            </w:r>
            <w:bookmarkEnd w:id="18"/>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19" w:name="PO_1000000445_PM041"/>
            <w:r>
              <w:rPr>
                <w:rFonts w:hint="eastAsia" w:ascii="仿宋" w:hAnsi="仿宋" w:eastAsia="仿宋"/>
                <w:color w:val="000000" w:themeColor="text1"/>
                <w:sz w:val="24"/>
                <w:szCs w:val="24"/>
                <w14:textFill>
                  <w14:solidFill>
                    <w14:schemeClr w14:val="tx1"/>
                  </w14:solidFill>
                </w14:textFill>
              </w:rPr>
              <w:t>进行演示</w:t>
            </w:r>
            <w:bookmarkEnd w:id="19"/>
            <w:r>
              <w:rPr>
                <w:rFonts w:hint="eastAsia" w:ascii="仿宋" w:hAnsi="仿宋" w:eastAsia="仿宋"/>
                <w:color w:val="000000" w:themeColor="text1"/>
                <w:sz w:val="24"/>
                <w:szCs w:val="24"/>
                <w14:textFill>
                  <w14:solidFill>
                    <w14:schemeClr w14:val="tx1"/>
                  </w14:solidFill>
                </w14:textFill>
              </w:rPr>
              <w:t>。</w:t>
            </w:r>
            <w:r>
              <w:rPr>
                <w:rFonts w:hint="eastAsia" w:ascii="仿宋_GB2312" w:hAnsi="仿宋" w:eastAsia="仿宋_GB2312"/>
                <w:bCs/>
                <w:color w:val="000000" w:themeColor="text1"/>
                <w:sz w:val="24"/>
                <w14:textFill>
                  <w14:solidFill>
                    <w14:schemeClr w14:val="tx1"/>
                  </w14:solidFill>
                </w14:textFill>
              </w:rPr>
              <w:t>演示顺序原则上按投标文件“解密时间从早到晚”顺序，演示要求详见招标需求。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20" w:name="PO_1000000445_PM043"/>
            <w:r>
              <w:rPr>
                <w:rFonts w:hint="eastAsia" w:ascii="仿宋" w:hAnsi="仿宋" w:eastAsia="仿宋"/>
                <w:color w:val="000000" w:themeColor="text1"/>
                <w:sz w:val="24"/>
                <w:szCs w:val="24"/>
                <w14:textFill>
                  <w14:solidFill>
                    <w14:schemeClr w14:val="tx1"/>
                  </w14:solidFill>
                </w14:textFill>
              </w:rPr>
              <w:t>不要求提供样品</w:t>
            </w:r>
            <w:bookmarkEnd w:id="20"/>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投标文件均由资格文件、技术商务文件、报价文件组成。</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第一步：供应商登记</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themeColor="text1"/>
                <w:sz w:val="24"/>
                <w:szCs w:val="24"/>
                <w14:textFill>
                  <w14:solidFill>
                    <w14:schemeClr w14:val="tx1"/>
                  </w14:solidFill>
                </w14:textFill>
              </w:rPr>
              <w:t>https://middle.zcygov.cn/v-settle-front/registry</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第二步：申请CA</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第三步：下载客户端</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themeColor="text1"/>
                <w:sz w:val="24"/>
                <w:szCs w:val="24"/>
                <w14:textFill>
                  <w14:solidFill>
                    <w14:schemeClr w14:val="tx1"/>
                  </w14:solidFill>
                </w14:textFill>
              </w:rPr>
              <w:t>http://zfcg.czt.zj.gov.cn/bidClientTemplate/2019-09-24/12975.html</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第四步：具体流程</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themeColor="text1"/>
                <w:sz w:val="24"/>
                <w:szCs w:val="24"/>
                <w14:textFill>
                  <w14:solidFill>
                    <w14:schemeClr w14:val="tx1"/>
                  </w14:solidFill>
                </w14:textFill>
              </w:rPr>
              <w:t>https://edu.zcygov.cn/luban/e-biding</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提醒：</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请各投标人合理安排时间，尽快完成第一、二、三步骤，避免影响投标。</w:t>
            </w:r>
          </w:p>
          <w:p>
            <w:pPr>
              <w:spacing w:line="400" w:lineRule="exact"/>
              <w:jc w:val="left"/>
              <w:rPr>
                <w:rFonts w:ascii="仿宋" w:hAnsi="仿宋" w:eastAsia="仿宋"/>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投标文件的接收以本项目公告要求的时间、地点和“第二章”的“投标文件的编制”等要求为准。</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投标人递交备份投标文件，出现下列情况之一的，将被拒收：</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1、未按规定密封或标记的；</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2、由于包装不妥，在送交途中严重破损或失散的；</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投标撤销（撤回）</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1</w:t>
            </w:r>
            <w:r>
              <w:rPr>
                <w:rFonts w:ascii="仿宋_GB2312" w:hAnsi="仿宋" w:eastAsia="仿宋_GB2312"/>
                <w:bCs/>
                <w:color w:val="000000" w:themeColor="text1"/>
                <w:sz w:val="24"/>
                <w14:textFill>
                  <w14:solidFill>
                    <w14:schemeClr w14:val="tx1"/>
                  </w14:solidFill>
                </w14:textFill>
              </w:rPr>
              <w:t>.</w:t>
            </w:r>
            <w:r>
              <w:rPr>
                <w:rFonts w:hint="eastAsia" w:ascii="仿宋_GB2312" w:hAnsi="仿宋" w:eastAsia="仿宋_GB2312"/>
                <w:bCs/>
                <w:color w:val="000000" w:themeColor="text1"/>
                <w:sz w:val="24"/>
                <w14:textFill>
                  <w14:solidFill>
                    <w14:schemeClr w14:val="tx1"/>
                  </w14:solidFill>
                </w14:textFill>
              </w:rPr>
              <w:t>在投标截止时间起至投标有效期届满，供应商投标文件不可撤销。</w:t>
            </w:r>
          </w:p>
          <w:p>
            <w:pPr>
              <w:autoSpaceDE w:val="0"/>
              <w:autoSpaceDN w:val="0"/>
              <w:snapToGrid w:val="0"/>
              <w:jc w:val="left"/>
              <w:textAlignment w:val="bottom"/>
              <w:rPr>
                <w:rFonts w:ascii="仿宋" w:hAnsi="仿宋" w:eastAsia="仿宋"/>
                <w:b/>
                <w:color w:val="000000" w:themeColor="text1"/>
                <w:sz w:val="24"/>
                <w:szCs w:val="24"/>
                <w14:textFill>
                  <w14:solidFill>
                    <w14:schemeClr w14:val="tx1"/>
                  </w14:solidFill>
                </w14:textFill>
              </w:rPr>
            </w:pPr>
            <w:r>
              <w:rPr>
                <w:rFonts w:ascii="仿宋_GB2312" w:hAnsi="仿宋" w:eastAsia="仿宋_GB2312"/>
                <w:bCs/>
                <w:color w:val="000000" w:themeColor="text1"/>
                <w:sz w:val="24"/>
                <w14:textFill>
                  <w14:solidFill>
                    <w14:schemeClr w14:val="tx1"/>
                  </w14:solidFill>
                </w14:textFill>
              </w:rPr>
              <w:t>2.</w:t>
            </w:r>
            <w:r>
              <w:rPr>
                <w:rFonts w:hint="eastAsia" w:ascii="仿宋_GB2312" w:hAnsi="仿宋" w:eastAsia="仿宋_GB2312"/>
                <w:bCs/>
                <w:color w:val="000000" w:themeColor="text1"/>
                <w:sz w:val="24"/>
                <w14:textFill>
                  <w14:solidFill>
                    <w14:schemeClr w14:val="tx1"/>
                  </w14:solidFill>
                </w14:textFill>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中标供应商确定之日起2个工作日内，将在</w:t>
            </w:r>
            <w:r>
              <w:rPr>
                <w:rFonts w:hint="eastAsia" w:ascii="仿宋" w:hAnsi="仿宋" w:eastAsia="仿宋" w:cs="Arial"/>
                <w:color w:val="000000" w:themeColor="text1"/>
                <w:sz w:val="24"/>
                <w:szCs w:val="24"/>
                <w14:textFill>
                  <w14:solidFill>
                    <w14:schemeClr w14:val="tx1"/>
                  </w14:solidFill>
                </w14:textFill>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themeColor="text1"/>
                <w:sz w:val="24"/>
                <w:szCs w:val="24"/>
                <w14:textFill>
                  <w14:solidFill>
                    <w14:schemeClr w14:val="tx1"/>
                  </w14:solidFill>
                </w14:textFill>
              </w:rPr>
              <w:t>http://www.zjzfcg.gov.cn</w:t>
            </w:r>
            <w:r>
              <w:rPr>
                <w:rStyle w:val="69"/>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cs="Arial"/>
                <w:color w:val="000000" w:themeColor="text1"/>
                <w:sz w:val="24"/>
                <w:szCs w:val="24"/>
                <w14:textFill>
                  <w14:solidFill>
                    <w14:schemeClr w14:val="tx1"/>
                  </w14:solidFill>
                </w14:textFill>
              </w:rPr>
              <w:t>)发布</w:t>
            </w:r>
            <w:r>
              <w:rPr>
                <w:rFonts w:hint="eastAsia" w:ascii="仿宋" w:hAnsi="仿宋" w:eastAsia="仿宋"/>
                <w:color w:val="000000" w:themeColor="text1"/>
                <w:sz w:val="24"/>
                <w:szCs w:val="24"/>
                <w14:textFill>
                  <w14:solidFill>
                    <w14:schemeClr w14:val="tx1"/>
                  </w14:solidFill>
                </w14:textFill>
              </w:rPr>
              <w:t>中标公告</w:t>
            </w:r>
            <w:r>
              <w:rPr>
                <w:rFonts w:hint="eastAsia" w:ascii="仿宋" w:hAnsi="仿宋" w:eastAsia="仿宋"/>
                <w:b/>
                <w:color w:val="000000" w:themeColor="text1"/>
                <w:sz w:val="24"/>
                <w:szCs w:val="24"/>
                <w14:textFill>
                  <w14:solidFill>
                    <w14:schemeClr w14:val="tx1"/>
                  </w14:solidFill>
                </w14:textFill>
              </w:rPr>
              <w:t>（中标人为中小企业的，其声明函将随中标结果同时公告）</w:t>
            </w:r>
            <w:r>
              <w:rPr>
                <w:rFonts w:hint="eastAsia" w:ascii="仿宋" w:hAnsi="仿宋" w:eastAsia="仿宋"/>
                <w:color w:val="000000" w:themeColor="text1"/>
                <w:sz w:val="24"/>
                <w:szCs w:val="24"/>
                <w14:textFill>
                  <w14:solidFill>
                    <w14:schemeClr w14:val="tx1"/>
                  </w14:solidFill>
                </w14:textFill>
              </w:rPr>
              <w:t>，公告期限为1个工作日</w:t>
            </w:r>
            <w:r>
              <w:rPr>
                <w:rFonts w:hint="eastAsia" w:ascii="仿宋" w:hAnsi="仿宋" w:eastAsia="仿宋" w:cs="Arial"/>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国库集中支付（采购人自行支付）详见各标项的商务要求表。</w:t>
            </w:r>
          </w:p>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themeColor="text1"/>
                <w:sz w:val="24"/>
                <w14:textFill>
                  <w14:solidFill>
                    <w14:schemeClr w14:val="tx1"/>
                  </w14:solidFill>
                </w14:textFill>
              </w:rPr>
              <w:t>《浙江省财政厅关于进一步加大政府采购支持中小企业力度助力扎实稳住经济的通知》</w:t>
            </w:r>
            <w:r>
              <w:rPr>
                <w:rFonts w:hint="eastAsia" w:ascii="仿宋_GB2312" w:hAnsi="仿宋" w:eastAsia="仿宋_GB2312"/>
                <w:bCs/>
                <w:color w:val="000000" w:themeColor="text1"/>
                <w:sz w:val="24"/>
                <w14:textFill>
                  <w14:solidFill>
                    <w14:schemeClr w14:val="tx1"/>
                  </w14:solidFill>
                </w14:textFill>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cs="Arial"/>
                <w:color w:val="000000" w:themeColor="text1"/>
                <w:sz w:val="24"/>
                <w:szCs w:val="24"/>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本招标文件的解释权属于浙江省政府采购中心。</w:t>
            </w:r>
          </w:p>
        </w:tc>
      </w:tr>
    </w:tbl>
    <w:p>
      <w:pPr>
        <w:pStyle w:val="32"/>
        <w:snapToGrid w:val="0"/>
        <w:spacing w:before="240" w:beforeLines="100" w:after="240" w:afterLines="100" w:line="360" w:lineRule="auto"/>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_GB2312"/>
          <w:color w:val="000000" w:themeColor="text1"/>
          <w:kern w:val="0"/>
          <w:sz w:val="30"/>
          <w:szCs w:val="30"/>
          <w14:textFill>
            <w14:solidFill>
              <w14:schemeClr w14:val="tx1"/>
            </w14:solidFill>
          </w14:textFill>
        </w:rPr>
        <w:br w:type="page"/>
      </w:r>
      <w:r>
        <w:rPr>
          <w:rFonts w:hint="eastAsia" w:ascii="仿宋" w:hAnsi="仿宋" w:eastAsia="仿宋"/>
          <w:b/>
          <w:bCs/>
          <w:color w:val="000000" w:themeColor="text1"/>
          <w:sz w:val="28"/>
          <w:szCs w:val="28"/>
          <w14:textFill>
            <w14:solidFill>
              <w14:schemeClr w14:val="tx1"/>
            </w14:solidFill>
          </w14:textFill>
        </w:rPr>
        <w:t>一、总  则</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（一）适用范围</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（二）定义 </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1.招标方：指组织本项目采购的浙江省政府采购中心。</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2.投标人：指响应招标、参加投标竞争的法人、其他组织或者自然人。</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5.服务：指招标文件规定投标人须承担的劳务以及其他类似的义务。</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6.项目：指投标人按招标文件规定向采购人提供的需求总称。</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7.电子交易平台:指政府采购项目电子交易平台，即政采云平台。</w:t>
      </w:r>
    </w:p>
    <w:p>
      <w:pPr>
        <w:spacing w:line="360" w:lineRule="auto"/>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（三）投标人及委托有关说明</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1.如授权代表不是法定代表人，须有法定代表人出具的授权委托书</w:t>
      </w:r>
      <w:r>
        <w:rPr>
          <w:rFonts w:hint="eastAsia" w:ascii="仿宋" w:hAnsi="仿宋" w:eastAsia="仿宋"/>
          <w:b/>
          <w:bCs/>
          <w:color w:val="000000" w:themeColor="text1"/>
          <w:sz w:val="28"/>
          <w:szCs w:val="28"/>
          <w14:textFill>
            <w14:solidFill>
              <w14:schemeClr w14:val="tx1"/>
            </w14:solidFill>
          </w14:textFill>
        </w:rPr>
        <w:t>（格式见附件）。</w:t>
      </w:r>
      <w:r>
        <w:rPr>
          <w:rFonts w:hint="eastAsia" w:ascii="仿宋" w:hAnsi="仿宋" w:eastAsia="仿宋"/>
          <w:bCs/>
          <w:color w:val="000000" w:themeColor="text1"/>
          <w:sz w:val="28"/>
          <w:szCs w:val="28"/>
          <w14:textFill>
            <w14:solidFill>
              <w14:schemeClr w14:val="tx1"/>
            </w14:solidFill>
          </w14:textFill>
        </w:rPr>
        <w:t>投标人委派不在本单位缴纳社保的人员作为授权代表的，应当在投标文件中，说明具体原因、授权代表缴纳社保的单位，并附列该授权代表缴纳社保清单。</w:t>
      </w:r>
    </w:p>
    <w:p>
      <w:pPr>
        <w:pStyle w:val="32"/>
        <w:snapToGrid w:val="0"/>
        <w:spacing w:beforeLines="0" w:after="120"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3.单位负责人为同一人或者存在直接控股、管理关系的不同供应商，不得参加同一合同项下的政府采购活动。</w:t>
      </w:r>
    </w:p>
    <w:p>
      <w:pPr>
        <w:pStyle w:val="32"/>
        <w:snapToGrid w:val="0"/>
        <w:spacing w:beforeLines="0" w:after="120"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（四）投标费用</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（五）质疑</w:t>
      </w:r>
    </w:p>
    <w:p>
      <w:pPr>
        <w:snapToGrid w:val="0"/>
        <w:spacing w:line="460" w:lineRule="exact"/>
        <w:ind w:firstLine="700" w:firstLineChars="25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1.投标人认为采购文件使自己的权益受到损害的，可以自获取采购文件之日或者采购公告期限届满之日（公告期限届满后获取采购文件的，以公告期限届满之日为准）起7个工作日内，对采购文件需求</w:t>
      </w:r>
      <w:r>
        <w:rPr>
          <w:rFonts w:hint="eastAsia" w:ascii="仿宋" w:hAnsi="仿宋" w:eastAsia="仿宋"/>
          <w:bCs/>
          <w:color w:val="000000" w:themeColor="text1"/>
          <w:sz w:val="28"/>
          <w:szCs w:val="28"/>
          <w:lang w:val="en-US" w:eastAsia="zh-CN"/>
          <w14:textFill>
            <w14:solidFill>
              <w14:schemeClr w14:val="tx1"/>
            </w14:solidFill>
          </w14:textFill>
        </w:rPr>
        <w:t>及评分标准</w:t>
      </w:r>
      <w:r>
        <w:rPr>
          <w:rFonts w:hint="eastAsia" w:ascii="仿宋" w:hAnsi="仿宋" w:eastAsia="仿宋"/>
          <w:bCs/>
          <w:color w:val="000000" w:themeColor="text1"/>
          <w:sz w:val="28"/>
          <w:szCs w:val="28"/>
          <w14:textFill>
            <w14:solidFill>
              <w14:schemeClr w14:val="tx1"/>
            </w14:solidFill>
          </w14:textFill>
        </w:rPr>
        <w:t>的以书面形式向采购人提出质疑，对其他内容的以书面形式向采购人和招标方提出质疑。</w:t>
      </w:r>
    </w:p>
    <w:p>
      <w:pPr>
        <w:snapToGrid w:val="0"/>
        <w:spacing w:line="460" w:lineRule="exact"/>
        <w:ind w:firstLine="700" w:firstLineChars="25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2"/>
        <w:snapToGrid w:val="0"/>
        <w:spacing w:beforeLines="0" w:after="120"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3</w:t>
      </w:r>
      <w:r>
        <w:rPr>
          <w:rFonts w:hint="eastAsia" w:ascii="仿宋" w:hAnsi="仿宋" w:eastAsia="仿宋"/>
          <w:bCs/>
          <w:color w:val="000000" w:themeColor="text1"/>
          <w:sz w:val="28"/>
          <w:szCs w:val="28"/>
          <w14:textFill>
            <w14:solidFill>
              <w14:schemeClr w14:val="tx1"/>
            </w14:solidFill>
          </w14:textFill>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themeColor="text1"/>
          <w:sz w:val="28"/>
          <w:szCs w:val="28"/>
          <w14:textFill>
            <w14:solidFill>
              <w14:schemeClr w14:val="tx1"/>
            </w14:solidFill>
          </w14:textFill>
        </w:rPr>
        <w:t>http://zfcg.czt.zj.gov.cn/</w:t>
      </w:r>
      <w:r>
        <w:rPr>
          <w:rStyle w:val="69"/>
          <w:rFonts w:hint="eastAsia" w:ascii="仿宋" w:hAnsi="仿宋" w:eastAsia="仿宋"/>
          <w:bCs/>
          <w:color w:val="000000" w:themeColor="text1"/>
          <w:sz w:val="28"/>
          <w:szCs w:val="28"/>
          <w14:textFill>
            <w14:solidFill>
              <w14:schemeClr w14:val="tx1"/>
            </w14:solidFill>
          </w14:textFill>
        </w:rPr>
        <w:fldChar w:fldCharType="end"/>
      </w:r>
      <w:r>
        <w:rPr>
          <w:rFonts w:hint="eastAsia" w:ascii="仿宋" w:hAnsi="仿宋" w:eastAsia="仿宋"/>
          <w:bCs/>
          <w:color w:val="000000" w:themeColor="text1"/>
          <w:sz w:val="28"/>
          <w:szCs w:val="28"/>
          <w14:textFill>
            <w14:solidFill>
              <w14:schemeClr w14:val="tx1"/>
            </w14:solidFill>
          </w14:textFill>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质疑函应当包括下列内容：</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b.质疑项目的名称、编号；</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d.事实依据；</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e.必要的法律依据；</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f.提出质疑的日期。</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4.</w:t>
      </w:r>
      <w:r>
        <w:rPr>
          <w:rFonts w:hint="eastAsia" w:ascii="仿宋" w:hAnsi="仿宋" w:eastAsia="仿宋"/>
          <w:bCs/>
          <w:color w:val="000000" w:themeColor="text1"/>
          <w:sz w:val="28"/>
          <w:szCs w:val="28"/>
          <w14:textFill>
            <w14:solidFill>
              <w14:schemeClr w14:val="tx1"/>
            </w14:solidFill>
          </w14:textFill>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（六）招标文件的澄清与修改 </w:t>
      </w:r>
    </w:p>
    <w:p>
      <w:pPr>
        <w:pStyle w:val="32"/>
        <w:snapToGrid w:val="0"/>
        <w:spacing w:before="120" w:after="120" w:line="460" w:lineRule="exact"/>
        <w:ind w:firstLine="560"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themeColor="text1"/>
          <w:sz w:val="28"/>
          <w:szCs w:val="28"/>
          <w14:textFill>
            <w14:solidFill>
              <w14:schemeClr w14:val="tx1"/>
            </w14:solidFill>
          </w14:textFill>
        </w:rPr>
        <w:t>逾期提出招标方将不予受理。</w:t>
      </w:r>
    </w:p>
    <w:p>
      <w:pPr>
        <w:pStyle w:val="32"/>
        <w:snapToGrid w:val="0"/>
        <w:spacing w:before="120" w:after="120"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2.招标方主动进行的澄清、修改：招标方无论出于何种原因，均可主动对招标文件中的相关事项，用补充文件等方式进行澄清和修改。</w:t>
      </w:r>
    </w:p>
    <w:p>
      <w:pPr>
        <w:pStyle w:val="32"/>
        <w:snapToGrid w:val="0"/>
        <w:spacing w:before="120" w:after="120"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pStyle w:val="32"/>
        <w:snapToGrid w:val="0"/>
        <w:spacing w:before="240" w:beforeLines="100" w:after="240" w:afterLines="100" w:line="360" w:lineRule="auto"/>
        <w:jc w:val="center"/>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二、投标文件的编制</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（一）投标文件编制工具</w:t>
      </w:r>
    </w:p>
    <w:p>
      <w:pPr>
        <w:pStyle w:val="32"/>
        <w:adjustRightInd w:val="0"/>
        <w:snapToGrid w:val="0"/>
        <w:spacing w:before="120" w:after="120" w:line="500" w:lineRule="exact"/>
        <w:ind w:firstLine="565" w:firstLineChars="20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themeColor="text1"/>
          <w:sz w:val="28"/>
          <w:szCs w:val="28"/>
          <w14:textFill>
            <w14:solidFill>
              <w14:schemeClr w14:val="tx1"/>
            </w14:solidFill>
          </w14:textFill>
        </w:rPr>
        <w:t>http://zfcg.czt.zj.gov.cn/bidClientTemplate/2019-09-24/12975.html</w:t>
      </w:r>
      <w:r>
        <w:rPr>
          <w:rStyle w:val="69"/>
          <w:rFonts w:hint="eastAsia" w:ascii="仿宋" w:hAnsi="仿宋" w:eastAsia="仿宋"/>
          <w:b/>
          <w:bCs/>
          <w:color w:val="000000" w:themeColor="text1"/>
          <w:sz w:val="28"/>
          <w:szCs w:val="28"/>
          <w14:textFill>
            <w14:solidFill>
              <w14:schemeClr w14:val="tx1"/>
            </w14:solidFill>
          </w14:textFill>
        </w:rPr>
        <w:fldChar w:fldCharType="end"/>
      </w:r>
      <w:r>
        <w:rPr>
          <w:rFonts w:hint="eastAsia" w:ascii="仿宋" w:hAnsi="仿宋" w:eastAsia="仿宋"/>
          <w:b/>
          <w:bCs/>
          <w:color w:val="000000" w:themeColor="text1"/>
          <w:sz w:val="28"/>
          <w:szCs w:val="28"/>
          <w14:textFill>
            <w14:solidFill>
              <w14:schemeClr w14:val="tx1"/>
            </w14:solidFill>
          </w14:textFill>
        </w:rPr>
        <w:t>，请自行下载并安装。</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（二）投标文件的组成</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电子投标文件每个标项由资格文件、技术商务文件、投标报价文件三部份组成，具体详见“第六章  投标文件格式附件”。备份投标文件的组成和内容等同电子投标文件。</w:t>
      </w:r>
    </w:p>
    <w:p>
      <w:pPr>
        <w:pStyle w:val="51"/>
        <w:widowControl w:val="0"/>
        <w:spacing w:after="120" w:line="460" w:lineRule="exact"/>
        <w:ind w:firstLine="562" w:firstLineChars="200"/>
        <w:jc w:val="both"/>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（三）投标文件的效力</w:t>
      </w:r>
    </w:p>
    <w:p>
      <w:pPr>
        <w:adjustRightInd w:val="0"/>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（四）投标文件的语言及计量</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2.投标计量单位，招标文件已有明确规定的，使用招标文件规定的计量单位；招标文件没有规定的，应采用中华人民共和国法定计量单位（货币单位：人民币元），否则将作无效标处理。</w:t>
      </w:r>
    </w:p>
    <w:p>
      <w:pPr>
        <w:pStyle w:val="18"/>
        <w:tabs>
          <w:tab w:val="clear" w:pos="454"/>
        </w:tabs>
        <w:snapToGrid w:val="0"/>
        <w:spacing w:before="120" w:beforeLines="50" w:after="156" w:line="460" w:lineRule="exact"/>
        <w:ind w:left="0"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（五）投标文件的有效期</w:t>
      </w:r>
    </w:p>
    <w:p>
      <w:pPr>
        <w:pStyle w:val="18"/>
        <w:tabs>
          <w:tab w:val="clear" w:pos="454"/>
        </w:tabs>
        <w:snapToGrid w:val="0"/>
        <w:spacing w:before="120" w:beforeLines="50" w:after="156" w:line="460" w:lineRule="exact"/>
        <w:ind w:left="0"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1.自投标截止日起90天内投标文件应保持有效。有效期不足的投标文件将作无效标处理。</w:t>
      </w:r>
    </w:p>
    <w:p>
      <w:pPr>
        <w:pStyle w:val="18"/>
        <w:tabs>
          <w:tab w:val="clear" w:pos="454"/>
        </w:tabs>
        <w:snapToGrid w:val="0"/>
        <w:spacing w:before="120" w:beforeLines="50" w:after="156" w:line="460" w:lineRule="exact"/>
        <w:ind w:left="0"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（六）投标文件的签署和包装</w:t>
      </w:r>
    </w:p>
    <w:p>
      <w:pPr>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1.电子投标文件部分： </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2.投标人选择递交备份投标文件的，备份投标文件另须满足以下条件：</w:t>
      </w:r>
    </w:p>
    <w:p>
      <w:pPr>
        <w:pStyle w:val="32"/>
        <w:adjustRightInd w:val="0"/>
        <w:snapToGrid w:val="0"/>
        <w:spacing w:before="120" w:after="120" w:line="50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（1）储存形式：U盘、DVD </w:t>
      </w:r>
    </w:p>
    <w:p>
      <w:pPr>
        <w:pStyle w:val="32"/>
        <w:adjustRightInd w:val="0"/>
        <w:snapToGrid w:val="0"/>
        <w:spacing w:before="120" w:after="120" w:line="500" w:lineRule="exact"/>
        <w:ind w:firstLine="557" w:firstLineChars="198"/>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（七）投标报价</w:t>
      </w:r>
    </w:p>
    <w:p>
      <w:pPr>
        <w:tabs>
          <w:tab w:val="left" w:pos="525"/>
        </w:tabs>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2"/>
        <w:snapToGrid w:val="0"/>
        <w:spacing w:before="120" w:after="120"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报价应包含项目所需全部产品、服务，不得缺漏，是履行合同的最终价格（含货款、标准附件、备品备件、专用工具、包装、运输、装卸、保险、税金、货到就位以及安装、调试、培训、保修等一切税金和费用）。</w:t>
      </w:r>
    </w:p>
    <w:p>
      <w:pPr>
        <w:pStyle w:val="32"/>
        <w:snapToGrid w:val="0"/>
        <w:spacing w:before="120" w:after="120"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3.投标报价金额到元为止，如投标报价总价出现角、分，将被抹除。</w:t>
      </w:r>
    </w:p>
    <w:p>
      <w:pPr>
        <w:pStyle w:val="32"/>
        <w:snapToGrid w:val="0"/>
        <w:spacing w:before="120" w:after="120"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4.资格文件、技术商务文件中不得出现投标报价信息，否则按无效标处理。</w:t>
      </w:r>
    </w:p>
    <w:p>
      <w:pPr>
        <w:pStyle w:val="32"/>
        <w:snapToGrid w:val="0"/>
        <w:spacing w:before="120" w:after="120"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（八）串通投标认定</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有下列情形之一的，视为投标人串通投标，其投标无效：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1.不同投标人的投标文件由同一单位或者个人编制或同一I</w:t>
      </w:r>
      <w:r>
        <w:rPr>
          <w:rFonts w:ascii="仿宋" w:hAnsi="仿宋" w:eastAsia="仿宋"/>
          <w:bCs/>
          <w:color w:val="000000" w:themeColor="text1"/>
          <w:sz w:val="28"/>
          <w:szCs w:val="28"/>
          <w14:textFill>
            <w14:solidFill>
              <w14:schemeClr w14:val="tx1"/>
            </w14:solidFill>
          </w14:textFill>
        </w:rPr>
        <w:t>P</w:t>
      </w:r>
      <w:r>
        <w:rPr>
          <w:rFonts w:hint="eastAsia" w:ascii="仿宋" w:hAnsi="仿宋" w:eastAsia="仿宋"/>
          <w:bCs/>
          <w:color w:val="000000" w:themeColor="text1"/>
          <w:sz w:val="28"/>
          <w:szCs w:val="28"/>
          <w14:textFill>
            <w14:solidFill>
              <w14:schemeClr w14:val="tx1"/>
            </w14:solidFill>
          </w14:textFill>
        </w:rPr>
        <w:t>地址上传；</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2.不同投标人委托同一单位或者个人办理投标事宜；</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4.不同投标人的投标文件异常一致或者投标报价呈规律性差异；</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5.不同投标人的投标文件相互混装；</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（九）投标无效的情形</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在评审时，如发现下列情形之一的，投标文件将被视为无效：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1.投标人未能提供合格的资格文件、投标有效期不足的；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3.仅提供备份投标文件的；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4.电子投标文件解密失败，且未在规定时间内提交备份投标文件的；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6.投标文件未按招标文件要求签署、盖章的；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7.与招标文件有重大偏离、未满足带“▲”号实质性指标的投标文件；</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9</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未提供样品或提供样品不满足采购需求实质性条件的；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10</w:t>
      </w:r>
      <w:r>
        <w:rPr>
          <w:rFonts w:hint="eastAsia" w:ascii="仿宋" w:hAnsi="仿宋" w:eastAsia="仿宋"/>
          <w:bCs/>
          <w:color w:val="000000" w:themeColor="text1"/>
          <w:sz w:val="28"/>
          <w:szCs w:val="28"/>
          <w14:textFill>
            <w14:solidFill>
              <w14:schemeClr w14:val="tx1"/>
            </w14:solidFill>
          </w14:textFill>
        </w:rPr>
        <w:t>.投标报价超出招标文件中规定的预算金额或者最高限价的；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1</w:t>
      </w:r>
      <w:r>
        <w:rPr>
          <w:rFonts w:hint="eastAsia" w:ascii="仿宋" w:hAnsi="仿宋" w:eastAsia="仿宋"/>
          <w:bCs/>
          <w:color w:val="000000" w:themeColor="text1"/>
          <w:sz w:val="28"/>
          <w:szCs w:val="28"/>
          <w14:textFill>
            <w14:solidFill>
              <w14:schemeClr w14:val="tx1"/>
            </w14:solidFill>
          </w14:textFill>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2</w:t>
      </w:r>
      <w:r>
        <w:rPr>
          <w:rFonts w:hint="eastAsia" w:ascii="仿宋" w:hAnsi="仿宋" w:eastAsia="仿宋"/>
          <w:bCs/>
          <w:color w:val="000000" w:themeColor="text1"/>
          <w:sz w:val="28"/>
          <w:szCs w:val="28"/>
          <w14:textFill>
            <w14:solidFill>
              <w14:schemeClr w14:val="tx1"/>
            </w14:solidFill>
          </w14:textFill>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3</w:t>
      </w:r>
      <w:r>
        <w:rPr>
          <w:rFonts w:hint="eastAsia" w:ascii="仿宋" w:hAnsi="仿宋" w:eastAsia="仿宋"/>
          <w:bCs/>
          <w:color w:val="000000" w:themeColor="text1"/>
          <w:sz w:val="28"/>
          <w:szCs w:val="28"/>
          <w14:textFill>
            <w14:solidFill>
              <w14:schemeClr w14:val="tx1"/>
            </w14:solidFill>
          </w14:textFill>
        </w:rPr>
        <w:t>.投标人不接受报价文件中修正后的报价的；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4</w:t>
      </w:r>
      <w:r>
        <w:rPr>
          <w:rFonts w:hint="eastAsia" w:ascii="仿宋" w:hAnsi="仿宋" w:eastAsia="仿宋"/>
          <w:bCs/>
          <w:color w:val="000000" w:themeColor="text1"/>
          <w:sz w:val="28"/>
          <w:szCs w:val="28"/>
          <w14:textFill>
            <w14:solidFill>
              <w14:schemeClr w14:val="tx1"/>
            </w14:solidFill>
          </w14:textFill>
        </w:rPr>
        <w:t>.未按本章“二、投标文件的编制”第七点投标报价要求报价的；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5</w:t>
      </w:r>
      <w:r>
        <w:rPr>
          <w:rFonts w:hint="eastAsia" w:ascii="仿宋" w:hAnsi="仿宋" w:eastAsia="仿宋"/>
          <w:bCs/>
          <w:color w:val="000000" w:themeColor="text1"/>
          <w:sz w:val="28"/>
          <w:szCs w:val="28"/>
          <w14:textFill>
            <w14:solidFill>
              <w14:schemeClr w14:val="tx1"/>
            </w14:solidFill>
          </w14:textFill>
        </w:rPr>
        <w:t>.投标文件含有采购人不能接受的附加条件的；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6</w:t>
      </w:r>
      <w:r>
        <w:rPr>
          <w:rFonts w:hint="eastAsia" w:ascii="仿宋" w:hAnsi="仿宋" w:eastAsia="仿宋"/>
          <w:bCs/>
          <w:color w:val="000000" w:themeColor="text1"/>
          <w:sz w:val="28"/>
          <w:szCs w:val="28"/>
          <w14:textFill>
            <w14:solidFill>
              <w14:schemeClr w14:val="tx1"/>
            </w14:solidFill>
          </w14:textFill>
        </w:rPr>
        <w:t>.投标人被视为串通投标的；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7</w:t>
      </w:r>
      <w:r>
        <w:rPr>
          <w:rFonts w:hint="eastAsia" w:ascii="仿宋" w:hAnsi="仿宋" w:eastAsia="仿宋"/>
          <w:bCs/>
          <w:color w:val="000000" w:themeColor="text1"/>
          <w:sz w:val="28"/>
          <w:szCs w:val="28"/>
          <w14:textFill>
            <w14:solidFill>
              <w14:schemeClr w14:val="tx1"/>
            </w14:solidFill>
          </w14:textFill>
        </w:rPr>
        <w:t>.不符合法律、法规和本招标文件规定的其他实质性要求的。</w:t>
      </w:r>
    </w:p>
    <w:p>
      <w:pPr>
        <w:pStyle w:val="32"/>
        <w:snapToGrid w:val="0"/>
        <w:spacing w:beforeLines="0" w:after="120" w:line="460" w:lineRule="exact"/>
        <w:ind w:left="759" w:leftChars="228" w:hanging="280" w:hangingChars="1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（十）错误修正</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2.大写金额和小写金额不一致的，以大写金额为准；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4.总价金额与按单价汇总金额不一致的，以单价金额计算结果为准。</w:t>
      </w:r>
    </w:p>
    <w:p>
      <w:pPr>
        <w:snapToGrid w:val="0"/>
        <w:spacing w:line="460" w:lineRule="exact"/>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（十一）采购过程中的异常情况及处理措施</w:t>
      </w:r>
    </w:p>
    <w:p>
      <w:pPr>
        <w:pStyle w:val="32"/>
        <w:adjustRightInd w:val="0"/>
        <w:snapToGrid w:val="0"/>
        <w:spacing w:before="120" w:after="120" w:line="500" w:lineRule="exact"/>
        <w:ind w:firstLine="565" w:firstLineChars="20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1.电子交易平台发生故障而无法登录访问的；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2.电子交易平台应用或数据库出现错误，不能进行正常操作的；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3.电子交易平台发现严重安全漏洞，有潜在泄密危险的；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4.病毒发作导致不能进行正常操作的；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5.其他无法保证电子交易的公平、公正和安全的情况。</w:t>
      </w:r>
    </w:p>
    <w:p>
      <w:pPr>
        <w:spacing w:line="440" w:lineRule="exact"/>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出现前款规定情形，不影响采购公平、公正性的，招标方可以待上述情形消除后继续组织电子交易活动，也可以决定某些环节以纸质形式进行；影响或可能影响采购公平、公正性的，应当重新采购。</w:t>
      </w:r>
    </w:p>
    <w:p>
      <w:pPr>
        <w:pStyle w:val="32"/>
        <w:snapToGrid w:val="0"/>
        <w:spacing w:before="240" w:beforeLines="100" w:after="240"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三、开、评标程序及评标委员会的评审程序</w:t>
      </w:r>
    </w:p>
    <w:p>
      <w:pPr>
        <w:pStyle w:val="32"/>
        <w:snapToGrid w:val="0"/>
        <w:spacing w:before="120" w:after="120"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（一）组织开标</w:t>
      </w:r>
    </w:p>
    <w:p>
      <w:pPr>
        <w:pStyle w:val="32"/>
        <w:snapToGrid w:val="0"/>
        <w:spacing w:before="120" w:after="120"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招标方将按照招标文件规定的时间、地点和程序组织开标，各投标人授权代表及相关人员</w:t>
      </w:r>
      <w:r>
        <w:rPr>
          <w:rFonts w:hint="eastAsia" w:ascii="仿宋" w:hAnsi="仿宋" w:eastAsia="仿宋"/>
          <w:b/>
          <w:bCs/>
          <w:color w:val="000000" w:themeColor="text1"/>
          <w:sz w:val="28"/>
          <w:szCs w:val="28"/>
          <w14:textFill>
            <w14:solidFill>
              <w14:schemeClr w14:val="tx1"/>
            </w14:solidFill>
          </w14:textFill>
        </w:rPr>
        <w:t>均应当准时在线参加</w:t>
      </w:r>
      <w:r>
        <w:rPr>
          <w:rFonts w:hint="eastAsia" w:ascii="仿宋" w:hAnsi="仿宋" w:eastAsia="仿宋"/>
          <w:bCs/>
          <w:color w:val="000000" w:themeColor="text1"/>
          <w:sz w:val="28"/>
          <w:szCs w:val="28"/>
          <w14:textFill>
            <w14:solidFill>
              <w14:schemeClr w14:val="tx1"/>
            </w14:solidFill>
          </w14:textFill>
        </w:rPr>
        <w:t>，无关人员不得进入开标现场。</w:t>
      </w:r>
      <w:r>
        <w:rPr>
          <w:rFonts w:hint="eastAsia" w:ascii="仿宋" w:hAnsi="仿宋" w:eastAsia="仿宋"/>
          <w:b/>
          <w:bCs/>
          <w:color w:val="000000" w:themeColor="text1"/>
          <w:sz w:val="28"/>
          <w:szCs w:val="28"/>
          <w14:textFill>
            <w14:solidFill>
              <w14:schemeClr w14:val="tx1"/>
            </w14:solidFill>
          </w14:textFill>
        </w:rPr>
        <w:t>投标人如未准时在线参加的</w:t>
      </w:r>
      <w:r>
        <w:rPr>
          <w:rFonts w:hint="eastAsia" w:ascii="仿宋" w:hAnsi="仿宋" w:eastAsia="仿宋"/>
          <w:bCs/>
          <w:color w:val="000000" w:themeColor="text1"/>
          <w:sz w:val="28"/>
          <w:szCs w:val="28"/>
          <w14:textFill>
            <w14:solidFill>
              <w14:schemeClr w14:val="tx1"/>
            </w14:solidFill>
          </w14:textFill>
        </w:rPr>
        <w:t>，事后不得对采购相关人员、开标过程和开标结果提出异议。</w:t>
      </w:r>
    </w:p>
    <w:p>
      <w:pPr>
        <w:pStyle w:val="32"/>
        <w:snapToGrid w:val="0"/>
        <w:spacing w:before="120" w:after="120"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 落实工作场地、设施，检查录音录像采集设备运行情况，验证电子交易平台是否能正常登录，并开启直播（如直播信号出现问题，不影响项目开标程序）。</w:t>
      </w:r>
    </w:p>
    <w:p>
      <w:pPr>
        <w:pStyle w:val="32"/>
        <w:snapToGrid w:val="0"/>
        <w:spacing w:before="120" w:after="120"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6.招标方在电子交易平台开启投标人的报价文件信息，投标人对报价信息进行确认。投标人对报价信息不予确认的不影响后续评标过程。</w:t>
      </w:r>
    </w:p>
    <w:p>
      <w:pPr>
        <w:pStyle w:val="32"/>
        <w:snapToGrid w:val="0"/>
        <w:spacing w:before="120" w:after="120"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8.在电子交易平台上公布评审结果。</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特别说明：政采云公司如对电子化开标及评审程序有调整的，按调整后的程序操作。</w:t>
      </w:r>
    </w:p>
    <w:p>
      <w:pPr>
        <w:pStyle w:val="32"/>
        <w:snapToGrid w:val="0"/>
        <w:spacing w:before="120" w:after="120"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（二）组织评标程序</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招标方将按照招标文件规定的时间、地点和程序组织评标，各评审专家及相关人员应参加评审活动并接受核验、签到，无关人员不得进入评审现场。</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1、开启开标场地录音录像采集设备，并确保正常运行。</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2、按规定统一收缴、保存评标现场相关人员通讯工具。</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3、介绍评审现场的人员情况，宣布评审工作纪律，告知评审人员应当回避情形；组织推选评标委员会组长。</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4、宣读提交投标文件的供应商名单，组织评标委员会各位成员签订纸质形式的《政府采购评审人员廉洁自律承诺书》。</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5、采购人可以在评标前说明项目背景和采购需求，说明内容不得含有歧视性、倾向性意见，不得超出招标文件所述范围。说明应当提交书面材料，并随采购文件一并存档。</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7、采购人代表对投标人资格文件进行审查并</w:t>
      </w:r>
      <w:r>
        <w:rPr>
          <w:rFonts w:hint="eastAsia" w:ascii="仿宋" w:hAnsi="仿宋" w:eastAsia="仿宋"/>
          <w:color w:val="000000" w:themeColor="text1"/>
          <w:sz w:val="28"/>
          <w:szCs w:val="28"/>
          <w14:textFill>
            <w14:solidFill>
              <w14:schemeClr w14:val="tx1"/>
            </w14:solidFill>
          </w14:textFill>
        </w:rPr>
        <w:t>以开标当日为准</w:t>
      </w:r>
      <w:r>
        <w:rPr>
          <w:rFonts w:hint="eastAsia" w:ascii="仿宋" w:hAnsi="仿宋" w:eastAsia="仿宋"/>
          <w:bCs/>
          <w:color w:val="000000" w:themeColor="text1"/>
          <w:sz w:val="28"/>
          <w:szCs w:val="28"/>
          <w14:textFill>
            <w14:solidFill>
              <w14:schemeClr w14:val="tx1"/>
            </w14:solidFill>
          </w14:textFill>
        </w:rPr>
        <w:t>对投标人“信用中国”网站（www.creditchina.gov.cn）、中国政府采购网（www.ccgp.gov.cn）信用记录情况进行核实，资格不符合的，应组织相关投标人代表进行陈述、澄清或申辩。</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9、做好评审现场相关记录，协助评标委员会组长做好评审报告起草、有关内容电脑文字录入等工作，并要求评标委员会各成员签字确认。</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10、评审结束后，招标方应对评标委员会各成员的专业水平、职业道德、遵纪守法等情况进行评价；同时按规定向评审专家发放评审费，并交还评审人员及其他现场相关人员的通讯工具。</w:t>
      </w:r>
    </w:p>
    <w:p>
      <w:pPr>
        <w:pStyle w:val="32"/>
        <w:snapToGrid w:val="0"/>
        <w:spacing w:before="120" w:after="120" w:line="460" w:lineRule="exact"/>
        <w:ind w:firstLine="551"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11、招标方将在《中标公告》中，公开评标委员会对每个投标人的《评分明细》以及《得分汇总表》情况。</w:t>
      </w:r>
      <w:r>
        <w:rPr>
          <w:rFonts w:ascii="Calibri" w:hAnsi="Calibri" w:eastAsia="仿宋" w:cs="Calibri"/>
          <w:b/>
          <w:bCs/>
          <w:color w:val="000000" w:themeColor="text1"/>
          <w:sz w:val="28"/>
          <w:szCs w:val="28"/>
          <w14:textFill>
            <w14:solidFill>
              <w14:schemeClr w14:val="tx1"/>
            </w14:solidFill>
          </w14:textFill>
        </w:rPr>
        <w:t> </w:t>
      </w:r>
      <w:r>
        <w:rPr>
          <w:rFonts w:hint="eastAsia" w:ascii="仿宋" w:hAnsi="仿宋" w:eastAsia="仿宋"/>
          <w:b/>
          <w:bCs/>
          <w:color w:val="000000" w:themeColor="text1"/>
          <w:sz w:val="28"/>
          <w:szCs w:val="28"/>
          <w14:textFill>
            <w14:solidFill>
              <w14:schemeClr w14:val="tx1"/>
            </w14:solidFill>
          </w14:textFill>
        </w:rPr>
        <w:tab/>
      </w:r>
    </w:p>
    <w:p>
      <w:pPr>
        <w:pStyle w:val="32"/>
        <w:snapToGrid w:val="0"/>
        <w:spacing w:before="120" w:after="120"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（三）评审程序</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1、在评审专家中推选评标委员会组长。</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3、评审人员对各投标人投标文件的有效性、符合性、完整性和响应程度进行审查，确定是否对招标文件作出实质性响应。</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4、评审人员按招标文件规定的评审方法和评审标准，依法独立对投标人投标文件进行评估、比较，并给予评价或打分，不受任何单位和个人的干预。</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7、评标委员会根据评审汇总情况和招标文件规定确定中标候选供应商排序名单。 </w:t>
      </w:r>
    </w:p>
    <w:p>
      <w:pPr>
        <w:pStyle w:val="32"/>
        <w:snapToGrid w:val="0"/>
        <w:spacing w:before="120" w:after="120"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8、起草评审报告，所有评审人员须在评审报告上签字确认。</w:t>
      </w:r>
    </w:p>
    <w:p>
      <w:pPr>
        <w:pStyle w:val="32"/>
        <w:snapToGrid w:val="0"/>
        <w:spacing w:before="240" w:beforeLines="100" w:after="240" w:afterLines="100" w:line="360" w:lineRule="auto"/>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四、评审原则</w:t>
      </w:r>
    </w:p>
    <w:p>
      <w:pPr>
        <w:pStyle w:val="32"/>
        <w:snapToGrid w:val="0"/>
        <w:spacing w:before="120" w:after="120"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2"/>
        <w:snapToGrid w:val="0"/>
        <w:spacing w:before="120" w:after="120"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2"/>
        <w:snapToGrid w:val="0"/>
        <w:spacing w:before="120" w:after="120"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2"/>
        <w:snapToGrid w:val="0"/>
        <w:spacing w:before="120" w:after="120"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2"/>
        <w:snapToGrid w:val="0"/>
        <w:spacing w:before="120" w:after="120"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非单一产品采购项目，采购人应当根据采购项目技术构成、产品价格比重等合理确定核心产品，并在招标文件中载明。多家投标人提供的核心产品品牌相同的，按前款规定处理。</w:t>
      </w:r>
    </w:p>
    <w:p>
      <w:pPr>
        <w:pStyle w:val="32"/>
        <w:snapToGrid w:val="0"/>
        <w:spacing w:before="120" w:after="120"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2"/>
        <w:snapToGrid w:val="0"/>
        <w:spacing w:before="240" w:beforeLines="100" w:after="240"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五、确定中标供应商的原则</w:t>
      </w:r>
    </w:p>
    <w:p>
      <w:pPr>
        <w:pStyle w:val="32"/>
        <w:snapToGrid w:val="0"/>
        <w:spacing w:before="120" w:after="120"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1.项目由评标委员会根据第三章《评标办法与评分标准》规定提出中标候选人排序。</w:t>
      </w:r>
    </w:p>
    <w:p>
      <w:pPr>
        <w:pStyle w:val="32"/>
        <w:snapToGrid w:val="0"/>
        <w:spacing w:before="120" w:after="120"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hAnsi="宋体" w:cstheme="minorBidi"/>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2"/>
        <w:snapToGrid w:val="0"/>
        <w:spacing w:before="120" w:after="120"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themeColor="text1"/>
          <w:sz w:val="28"/>
          <w:szCs w:val="28"/>
          <w14:textFill>
            <w14:solidFill>
              <w14:schemeClr w14:val="tx1"/>
            </w14:solidFill>
          </w14:textFill>
        </w:rPr>
        <w:t>。</w:t>
      </w:r>
    </w:p>
    <w:p>
      <w:pPr>
        <w:pStyle w:val="32"/>
        <w:snapToGrid w:val="0"/>
        <w:spacing w:before="240" w:beforeLines="100" w:after="240"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六、合同授予</w:t>
      </w:r>
    </w:p>
    <w:p>
      <w:pPr>
        <w:snapToGrid w:val="0"/>
        <w:spacing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（一）签订合同</w:t>
      </w:r>
    </w:p>
    <w:p>
      <w:pPr>
        <w:snapToGrid w:val="0"/>
        <w:spacing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2.中标人拖延、拒签合同的,将被取消中标资格。</w:t>
      </w:r>
    </w:p>
    <w:p>
      <w:pPr>
        <w:snapToGrid w:val="0"/>
        <w:spacing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snapToGrid w:val="0"/>
        <w:spacing w:before="120" w:after="120"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（二）履约保证金</w:t>
      </w:r>
    </w:p>
    <w:p>
      <w:pPr>
        <w:pStyle w:val="32"/>
        <w:snapToGrid w:val="0"/>
        <w:spacing w:before="240" w:beforeLines="100" w:after="240" w:afterLines="10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2"/>
        <w:snapToGrid w:val="0"/>
        <w:spacing w:before="120" w:after="120" w:line="460" w:lineRule="exact"/>
        <w:ind w:firstLine="554" w:firstLineChars="19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2.按合同约定办理履约保证金退还手续。</w:t>
      </w:r>
    </w:p>
    <w:p>
      <w:pPr>
        <w:pStyle w:val="32"/>
        <w:snapToGrid w:val="0"/>
        <w:spacing w:before="240" w:beforeLines="100" w:after="240"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七、货款的结算</w:t>
      </w:r>
    </w:p>
    <w:p>
      <w:pPr>
        <w:pStyle w:val="32"/>
        <w:snapToGrid w:val="0"/>
        <w:spacing w:before="120" w:after="12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货款由采购人按采购文件规定的付款方式自行支付。纳入国库集中支付的，按照国库集中支付有关规定付款。</w:t>
      </w:r>
    </w:p>
    <w:p>
      <w:pPr>
        <w:pStyle w:val="32"/>
        <w:snapToGrid w:val="0"/>
        <w:spacing w:before="120" w:after="12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资金支付进度：采购人对于满足合同约定支付条件的，自收到发票后7个工作日内将资金支付到合同约定的供应商账户。迟延支付中小企业款项的，供应商可要求采购人支付逾期利息。</w:t>
      </w:r>
    </w:p>
    <w:p>
      <w:pPr>
        <w:pStyle w:val="32"/>
        <w:snapToGrid w:val="0"/>
        <w:spacing w:before="120" w:after="12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themeColor="text1"/>
          <w:sz w:val="28"/>
          <w:szCs w:val="28"/>
          <w14:textFill>
            <w14:solidFill>
              <w14:schemeClr w14:val="tx1"/>
            </w14:solidFill>
          </w14:textFill>
        </w:rPr>
        <w:t>浙江省财政厅关于进一步加大政府采购支持中小企业力度助力扎实稳住经济的通知</w:t>
      </w:r>
      <w:r>
        <w:rPr>
          <w:rFonts w:hint="eastAsia" w:ascii="仿宋" w:hAnsi="仿宋" w:eastAsia="仿宋"/>
          <w:color w:val="000000" w:themeColor="text1"/>
          <w:sz w:val="28"/>
          <w:szCs w:val="28"/>
          <w14:textFill>
            <w14:solidFill>
              <w14:schemeClr w14:val="tx1"/>
            </w14:solidFill>
          </w14:textFill>
        </w:rPr>
        <w:t>》等相关规范，对预付款支付要求如下：</w:t>
      </w:r>
    </w:p>
    <w:p>
      <w:pPr>
        <w:pStyle w:val="32"/>
        <w:snapToGrid w:val="0"/>
        <w:spacing w:before="120" w:after="12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1.对中小企业合同预付款比例原则上不低于合同金额的40％，不高于合同金额的70%；</w:t>
      </w:r>
    </w:p>
    <w:p>
      <w:pPr>
        <w:pStyle w:val="32"/>
        <w:snapToGrid w:val="0"/>
        <w:spacing w:before="120" w:after="12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2.项目分年安排预算的，每年预付款比例不低于项目年度计划支付资金额的40％，不高于年度计划支付资金额的70%；</w:t>
      </w:r>
    </w:p>
    <w:p>
      <w:pPr>
        <w:pStyle w:val="32"/>
        <w:snapToGrid w:val="0"/>
        <w:spacing w:before="120" w:after="12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3.采购项目实施以人工投入为主的，可适当降低预付款比例，但不得低于20%。</w:t>
      </w:r>
    </w:p>
    <w:p>
      <w:pPr>
        <w:pStyle w:val="32"/>
        <w:snapToGrid w:val="0"/>
        <w:spacing w:before="120" w:after="12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4.对供应商为大型企业的项目或者以人工投入为主且实行按月定期结算支付款项的项目，预付款可低于上述比例或者不约定预付款。</w:t>
      </w:r>
    </w:p>
    <w:p>
      <w:pPr>
        <w:pStyle w:val="32"/>
        <w:snapToGrid w:val="0"/>
        <w:spacing w:before="120" w:after="12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备注：在签订合同时，供应商明确表示无需预付款或者主动要求降低预付款比例的，采购单位可不适用前述预付款比例的规定。</w:t>
      </w:r>
    </w:p>
    <w:p>
      <w:pPr>
        <w:pStyle w:val="32"/>
        <w:spacing w:before="120" w:after="120" w:line="360" w:lineRule="auto"/>
        <w:jc w:val="center"/>
        <w:outlineLvl w:val="0"/>
        <w:rPr>
          <w:rFonts w:hAnsi="宋体"/>
          <w:b/>
          <w:color w:val="000000" w:themeColor="text1"/>
          <w:sz w:val="36"/>
          <w:szCs w:val="36"/>
          <w14:textFill>
            <w14:solidFill>
              <w14:schemeClr w14:val="tx1"/>
            </w14:solidFill>
          </w14:textFill>
        </w:rPr>
      </w:pPr>
      <w:r>
        <w:rPr>
          <w:rFonts w:hint="eastAsia" w:hAnsi="宋体"/>
          <w:b/>
          <w:color w:val="000000" w:themeColor="text1"/>
          <w:kern w:val="0"/>
          <w:sz w:val="36"/>
          <w:szCs w:val="36"/>
          <w14:textFill>
            <w14:solidFill>
              <w14:schemeClr w14:val="tx1"/>
            </w14:solidFill>
          </w14:textFill>
        </w:rPr>
        <w:br w:type="page"/>
      </w:r>
      <w:bookmarkStart w:id="21" w:name="_Toc2834"/>
      <w:bookmarkStart w:id="22" w:name="_Toc496796637"/>
      <w:r>
        <w:rPr>
          <w:rFonts w:hint="eastAsia" w:hAnsi="宋体"/>
          <w:b/>
          <w:color w:val="000000" w:themeColor="text1"/>
          <w:sz w:val="36"/>
          <w:szCs w:val="36"/>
          <w14:textFill>
            <w14:solidFill>
              <w14:schemeClr w14:val="tx1"/>
            </w14:solidFill>
          </w14:textFill>
        </w:rPr>
        <w:t>第三章</w:t>
      </w:r>
      <w:bookmarkStart w:id="23" w:name="评标办法及评分标准"/>
      <w:r>
        <w:rPr>
          <w:rFonts w:hint="eastAsia" w:hAnsi="宋体"/>
          <w:b/>
          <w:color w:val="000000" w:themeColor="text1"/>
          <w:sz w:val="36"/>
          <w:szCs w:val="36"/>
          <w14:textFill>
            <w14:solidFill>
              <w14:schemeClr w14:val="tx1"/>
            </w14:solidFill>
          </w14:textFill>
        </w:rPr>
        <w:t xml:space="preserve"> 评标办法及评分标准</w:t>
      </w:r>
      <w:bookmarkEnd w:id="21"/>
      <w:bookmarkEnd w:id="22"/>
      <w:bookmarkEnd w:id="23"/>
    </w:p>
    <w:p>
      <w:pPr>
        <w:spacing w:before="120" w:beforeLines="50" w:after="120" w:afterLines="50" w:line="460" w:lineRule="exact"/>
        <w:ind w:firstLine="42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一、总则</w:t>
      </w:r>
    </w:p>
    <w:p>
      <w:pPr>
        <w:spacing w:before="120" w:beforeLines="50" w:after="120" w:afterLines="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20" w:beforeLines="50" w:after="120" w:afterLines="50" w:line="460" w:lineRule="exact"/>
        <w:ind w:firstLine="590" w:firstLineChars="196"/>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二、分值的计算</w:t>
      </w:r>
    </w:p>
    <w:p>
      <w:pPr>
        <w:spacing w:before="120" w:beforeLines="50" w:after="120" w:afterLines="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投标人评标</w:t>
      </w:r>
      <w:r>
        <w:rPr>
          <w:rFonts w:hint="eastAsia" w:ascii="仿宋" w:hAnsi="仿宋" w:eastAsia="仿宋"/>
          <w:bCs/>
          <w:color w:val="000000" w:themeColor="text1"/>
          <w:sz w:val="30"/>
          <w:szCs w:val="30"/>
          <w14:textFill>
            <w14:solidFill>
              <w14:schemeClr w14:val="tx1"/>
            </w14:solidFill>
          </w14:textFill>
        </w:rPr>
        <w:t>综合得分=价格分+(技术分+资信商务及其他分)</w:t>
      </w:r>
    </w:p>
    <w:p>
      <w:pPr>
        <w:spacing w:before="120" w:beforeLines="50" w:after="120" w:afterLines="50" w:line="460" w:lineRule="exact"/>
        <w:ind w:firstLine="602" w:firstLineChars="200"/>
        <w:rPr>
          <w:rFonts w:ascii="仿宋" w:hAnsi="仿宋" w:eastAsia="仿宋"/>
          <w:b/>
          <w:bCs/>
          <w:color w:val="000000" w:themeColor="text1"/>
          <w:sz w:val="30"/>
          <w:szCs w:val="30"/>
          <w14:textFill>
            <w14:solidFill>
              <w14:schemeClr w14:val="tx1"/>
            </w14:solidFill>
          </w14:textFill>
        </w:rPr>
      </w:pPr>
    </w:p>
    <w:p>
      <w:pPr>
        <w:spacing w:before="120" w:beforeLines="50" w:after="120" w:afterLines="50" w:line="460" w:lineRule="exact"/>
        <w:ind w:firstLine="602" w:firstLineChars="200"/>
        <w:rPr>
          <w:rFonts w:ascii="仿宋" w:hAnsi="仿宋" w:eastAsia="仿宋"/>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特别提醒：</w:t>
      </w:r>
      <w:r>
        <w:rPr>
          <w:rFonts w:hint="eastAsia" w:ascii="仿宋" w:hAnsi="仿宋" w:eastAsia="仿宋"/>
          <w:bCs/>
          <w:color w:val="000000" w:themeColor="text1"/>
          <w:sz w:val="30"/>
          <w:szCs w:val="30"/>
          <w14:textFill>
            <w14:solidFill>
              <w14:schemeClr w14:val="tx1"/>
            </w14:solidFill>
          </w14:textFill>
        </w:rPr>
        <w:t>评标委员会对每个投标人的评分明细以及得分汇总表情况在中标公告中公布。</w:t>
      </w:r>
    </w:p>
    <w:p>
      <w:pPr>
        <w:spacing w:before="120" w:beforeLines="50" w:after="120" w:afterLines="50" w:line="460" w:lineRule="exact"/>
        <w:rPr>
          <w:rFonts w:ascii="仿宋" w:hAnsi="仿宋" w:eastAsiaTheme="minorEastAsia"/>
          <w:bCs/>
          <w:color w:val="000000" w:themeColor="text1"/>
          <w:sz w:val="30"/>
          <w:szCs w:val="30"/>
          <w14:textFill>
            <w14:solidFill>
              <w14:schemeClr w14:val="tx1"/>
            </w14:solidFill>
          </w14:textFill>
        </w:rPr>
      </w:pPr>
    </w:p>
    <w:p>
      <w:pPr>
        <w:spacing w:before="120" w:beforeLines="50" w:after="120" w:afterLines="50" w:line="320" w:lineRule="exact"/>
        <w:rPr>
          <w:rFonts w:ascii="仿宋" w:hAnsi="仿宋" w:eastAsia="仿宋_GB2312"/>
          <w:b/>
          <w:color w:val="000000" w:themeColor="text1"/>
          <w:sz w:val="30"/>
          <w:szCs w:val="30"/>
          <w14:textFill>
            <w14:solidFill>
              <w14:schemeClr w14:val="tx1"/>
            </w14:solidFill>
          </w14:textFill>
        </w:rPr>
      </w:pPr>
      <w:r>
        <w:rPr>
          <w:rFonts w:hint="eastAsia" w:ascii="仿宋" w:hAnsi="仿宋" w:eastAsia="仿宋_GB2312"/>
          <w:bCs/>
          <w:color w:val="000000" w:themeColor="text1"/>
          <w:kern w:val="0"/>
          <w:sz w:val="30"/>
          <w:szCs w:val="30"/>
          <w14:textFill>
            <w14:solidFill>
              <w14:schemeClr w14:val="tx1"/>
            </w14:solidFill>
          </w14:textFill>
        </w:rPr>
        <w:br w:type="page"/>
      </w:r>
      <w:r>
        <w:rPr>
          <w:rFonts w:hint="eastAsia" w:ascii="仿宋" w:hAnsi="仿宋" w:eastAsia="仿宋_GB2312"/>
          <w:b/>
          <w:color w:val="000000" w:themeColor="text1"/>
          <w:sz w:val="32"/>
          <w:szCs w:val="32"/>
          <w14:textFill>
            <w14:solidFill>
              <w14:schemeClr w14:val="tx1"/>
            </w14:solidFill>
          </w14:textFill>
        </w:rPr>
        <w:t>三、评标内容及标</w:t>
      </w:r>
      <w:r>
        <w:rPr>
          <w:rFonts w:hint="eastAsia" w:ascii="仿宋" w:hAnsi="仿宋" w:eastAsia="仿宋_GB2312"/>
          <w:b/>
          <w:color w:val="000000" w:themeColor="text1"/>
          <w:sz w:val="30"/>
          <w:szCs w:val="30"/>
          <w14:textFill>
            <w14:solidFill>
              <w14:schemeClr w14:val="tx1"/>
            </w14:solidFill>
          </w14:textFill>
        </w:rPr>
        <w:t>准</w:t>
      </w:r>
      <w:bookmarkStart w:id="24" w:name="_Toc496796638"/>
    </w:p>
    <w:tbl>
      <w:tblPr>
        <w:tblStyle w:val="60"/>
        <w:tblW w:w="8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5"/>
        <w:gridCol w:w="4350"/>
        <w:gridCol w:w="70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bookmarkStart w:id="25" w:name="PO_TDCUS_ITEM_SM_TABLE_1_1"/>
            <w:r>
              <w:rPr>
                <w:rFonts w:hint="eastAsia" w:ascii="仿宋" w:hAnsi="仿宋" w:eastAsia="仿宋"/>
                <w:sz w:val="24"/>
                <w:szCs w:val="24"/>
              </w:rPr>
              <w:t>序号</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评分类型</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评分标准</w:t>
            </w:r>
          </w:p>
        </w:tc>
        <w:tc>
          <w:tcPr>
            <w:tcW w:w="70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分值</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报价</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(最低报价/投标报价)*最大分值</w:t>
            </w:r>
          </w:p>
        </w:tc>
        <w:tc>
          <w:tcPr>
            <w:tcW w:w="70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20</w:t>
            </w:r>
          </w:p>
        </w:tc>
        <w:tc>
          <w:tcPr>
            <w:tcW w:w="1238" w:type="dxa"/>
          </w:tcPr>
          <w:p>
            <w:pPr>
              <w:widowControl/>
              <w:spacing w:before="120" w:beforeLines="50" w:after="120" w:afterLines="50" w:line="34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9" w:hRule="atLeast"/>
        </w:trPr>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技术</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投标单位对项目背景、业务现状、目标、需求的理解和分析，内容要素全面、科学合理贴近采购要求。</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（1）根据采购需求，项目方案总体实施框架合理，包含项目背景、项目任务、人员队伍等部分。最高得</w:t>
            </w:r>
            <w:r>
              <w:rPr>
                <w:rFonts w:ascii="仿宋" w:hAnsi="仿宋" w:eastAsia="仿宋"/>
                <w:sz w:val="24"/>
                <w:szCs w:val="24"/>
              </w:rPr>
              <w:t>2</w:t>
            </w:r>
            <w:r>
              <w:rPr>
                <w:rFonts w:hint="eastAsia" w:ascii="仿宋" w:hAnsi="仿宋" w:eastAsia="仿宋"/>
                <w:sz w:val="24"/>
                <w:szCs w:val="24"/>
              </w:rPr>
              <w:t>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（2）对项目现状把握透彻，分析到位。最高得2分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（3）项目工作思路清晰，数字课程资源、在线答疑服务、名师网络工作室、按用付费等任务组织正确，符合项目实际，全面、专业，切实可行。最高得</w:t>
            </w:r>
            <w:r>
              <w:rPr>
                <w:rFonts w:ascii="仿宋" w:hAnsi="仿宋" w:eastAsia="仿宋"/>
                <w:sz w:val="24"/>
                <w:szCs w:val="24"/>
              </w:rPr>
              <w:t>2</w:t>
            </w:r>
            <w:r>
              <w:rPr>
                <w:rFonts w:hint="eastAsia" w:ascii="仿宋" w:hAnsi="仿宋" w:eastAsia="仿宋"/>
                <w:sz w:val="24"/>
                <w:szCs w:val="24"/>
              </w:rPr>
              <w:t>分</w:t>
            </w:r>
          </w:p>
        </w:tc>
        <w:tc>
          <w:tcPr>
            <w:tcW w:w="700" w:type="dxa"/>
          </w:tcPr>
          <w:p>
            <w:pPr>
              <w:widowControl/>
              <w:spacing w:before="120" w:beforeLines="50" w:after="120" w:afterLines="50" w:line="340" w:lineRule="exact"/>
              <w:rPr>
                <w:rFonts w:ascii="仿宋" w:hAnsi="仿宋" w:eastAsia="仿宋"/>
                <w:sz w:val="24"/>
                <w:szCs w:val="24"/>
              </w:rPr>
            </w:pPr>
            <w:r>
              <w:rPr>
                <w:rFonts w:ascii="仿宋" w:hAnsi="仿宋" w:eastAsia="仿宋"/>
                <w:sz w:val="24"/>
                <w:szCs w:val="24"/>
              </w:rPr>
              <w:t>6</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2</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技术</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整体工作阶段及进度安排合理性、关键时间节点把握及时准确性。</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（1）进度设定：以提高之江汇教育广场数字资源建设质量和师生使用满意度为重点目标，进度安排准确合理。最高得</w:t>
            </w:r>
            <w:r>
              <w:rPr>
                <w:rFonts w:ascii="仿宋" w:hAnsi="仿宋" w:eastAsia="仿宋"/>
                <w:sz w:val="24"/>
                <w:szCs w:val="24"/>
              </w:rPr>
              <w:t>3</w:t>
            </w:r>
            <w:r>
              <w:rPr>
                <w:rFonts w:hint="eastAsia" w:ascii="仿宋" w:hAnsi="仿宋" w:eastAsia="仿宋"/>
                <w:sz w:val="24"/>
                <w:szCs w:val="24"/>
              </w:rPr>
              <w:t>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（2）详细进度实施方案：包括时间、内容、范围、参与人群、流程、方式、目标、应对变化措施等，进度实施方案准确、有效。最高得</w:t>
            </w:r>
            <w:r>
              <w:rPr>
                <w:rFonts w:ascii="仿宋" w:hAnsi="仿宋" w:eastAsia="仿宋"/>
                <w:sz w:val="24"/>
                <w:szCs w:val="24"/>
              </w:rPr>
              <w:t>3</w:t>
            </w:r>
            <w:r>
              <w:rPr>
                <w:rFonts w:hint="eastAsia" w:ascii="仿宋" w:hAnsi="仿宋" w:eastAsia="仿宋"/>
                <w:sz w:val="24"/>
                <w:szCs w:val="24"/>
              </w:rPr>
              <w:t>分</w:t>
            </w:r>
          </w:p>
        </w:tc>
        <w:tc>
          <w:tcPr>
            <w:tcW w:w="700" w:type="dxa"/>
          </w:tcPr>
          <w:p>
            <w:pPr>
              <w:widowControl/>
              <w:spacing w:before="120" w:beforeLines="50" w:after="120" w:afterLines="50" w:line="340" w:lineRule="exact"/>
              <w:rPr>
                <w:rFonts w:ascii="仿宋" w:hAnsi="仿宋" w:eastAsia="仿宋"/>
                <w:sz w:val="24"/>
                <w:szCs w:val="24"/>
              </w:rPr>
            </w:pPr>
            <w:r>
              <w:rPr>
                <w:rFonts w:ascii="仿宋" w:hAnsi="仿宋" w:eastAsia="仿宋"/>
                <w:sz w:val="24"/>
                <w:szCs w:val="24"/>
              </w:rPr>
              <w:t>6</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3</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技术</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管理组织、经费安排和规范的全面性、专业性、可行性。</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（1）有能力开展资源承建团队的组织遴选，承建团队人员符合资源建设要求。最高得3分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（2）项目经费测算安排科学、合理。最高得2分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（3）在线答疑服务数据统计、名师网络工作室考核数据规则、按用付费数据统计与支付规则科学、合理。最高得3分</w:t>
            </w:r>
          </w:p>
        </w:tc>
        <w:tc>
          <w:tcPr>
            <w:tcW w:w="70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8</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4</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商务资信</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项目质量保障（目标、措施和体系）针对性、专业性，项目成果交付的专业性、规范性、成熟性、业务需求符合程度。</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（1）课程资源建设、上传、审核发布机制规范、合理。最高得3分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（2）在线答疑服务组织保障措施有效。最高得2分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（3）名师网络工作室审核指导、监管、考核统计措施科学、全面。最高得</w:t>
            </w:r>
            <w:r>
              <w:rPr>
                <w:rFonts w:ascii="仿宋" w:hAnsi="仿宋" w:eastAsia="仿宋"/>
                <w:sz w:val="24"/>
                <w:szCs w:val="24"/>
              </w:rPr>
              <w:t>3</w:t>
            </w:r>
            <w:r>
              <w:rPr>
                <w:rFonts w:hint="eastAsia" w:ascii="仿宋" w:hAnsi="仿宋" w:eastAsia="仿宋"/>
                <w:sz w:val="24"/>
                <w:szCs w:val="24"/>
              </w:rPr>
              <w:t>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（4）提供1份开展师生资源使用满意度调查的方案，</w:t>
            </w:r>
            <w:r>
              <w:rPr>
                <w:rFonts w:ascii="仿宋" w:hAnsi="仿宋" w:eastAsia="仿宋"/>
                <w:sz w:val="24"/>
                <w:szCs w:val="24"/>
              </w:rPr>
              <w:t>1</w:t>
            </w:r>
            <w:r>
              <w:rPr>
                <w:rFonts w:hint="eastAsia" w:ascii="仿宋" w:hAnsi="仿宋" w:eastAsia="仿宋"/>
                <w:sz w:val="24"/>
                <w:szCs w:val="24"/>
              </w:rPr>
              <w:t>分；提供1份类似资源建设项目的师生使用满意度问卷调查报告，提供得1分。最高得2分</w:t>
            </w:r>
          </w:p>
        </w:tc>
        <w:tc>
          <w:tcPr>
            <w:tcW w:w="70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10</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5</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商务资信</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数字教育资源在之江汇教育广场平台的教学服务与推广应用方案全面性、专业性、可行性。</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（1）支持提供师生开展课程浏览学习、在线答疑服务、按用付费数据统计。最高得</w:t>
            </w:r>
            <w:r>
              <w:rPr>
                <w:rFonts w:ascii="仿宋" w:hAnsi="仿宋" w:eastAsia="仿宋"/>
                <w:sz w:val="24"/>
                <w:szCs w:val="24"/>
              </w:rPr>
              <w:t>3</w:t>
            </w:r>
            <w:r>
              <w:rPr>
                <w:rFonts w:hint="eastAsia" w:ascii="仿宋" w:hAnsi="仿宋" w:eastAsia="仿宋"/>
                <w:sz w:val="24"/>
                <w:szCs w:val="24"/>
              </w:rPr>
              <w:t>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（2）课程资源与之江汇教育广场的平台的对接路径明确，具备可行性。最高得</w:t>
            </w:r>
            <w:r>
              <w:rPr>
                <w:rFonts w:ascii="仿宋" w:hAnsi="仿宋" w:eastAsia="仿宋"/>
                <w:sz w:val="24"/>
                <w:szCs w:val="24"/>
              </w:rPr>
              <w:t>2</w:t>
            </w:r>
            <w:r>
              <w:rPr>
                <w:rFonts w:hint="eastAsia" w:ascii="仿宋" w:hAnsi="仿宋" w:eastAsia="仿宋"/>
                <w:sz w:val="24"/>
                <w:szCs w:val="24"/>
              </w:rPr>
              <w:t>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（3）课程资源、名师直播活动、组团送教、答疑服务等宣传推广方案专业、可行。最高得</w:t>
            </w:r>
            <w:r>
              <w:rPr>
                <w:rFonts w:ascii="仿宋" w:hAnsi="仿宋" w:eastAsia="仿宋"/>
                <w:sz w:val="24"/>
                <w:szCs w:val="24"/>
              </w:rPr>
              <w:t>3</w:t>
            </w:r>
            <w:r>
              <w:rPr>
                <w:rFonts w:hint="eastAsia" w:ascii="仿宋" w:hAnsi="仿宋" w:eastAsia="仿宋"/>
                <w:sz w:val="24"/>
                <w:szCs w:val="24"/>
              </w:rPr>
              <w:t>分</w:t>
            </w:r>
          </w:p>
        </w:tc>
        <w:tc>
          <w:tcPr>
            <w:tcW w:w="700" w:type="dxa"/>
          </w:tcPr>
          <w:p>
            <w:pPr>
              <w:widowControl/>
              <w:spacing w:before="120" w:beforeLines="50" w:after="120" w:afterLines="50" w:line="340" w:lineRule="exact"/>
              <w:rPr>
                <w:rFonts w:ascii="仿宋" w:hAnsi="仿宋" w:eastAsia="仿宋"/>
                <w:sz w:val="24"/>
                <w:szCs w:val="24"/>
              </w:rPr>
            </w:pPr>
            <w:r>
              <w:rPr>
                <w:rFonts w:ascii="仿宋" w:hAnsi="仿宋" w:eastAsia="仿宋"/>
                <w:sz w:val="24"/>
                <w:szCs w:val="24"/>
              </w:rPr>
              <w:t>8</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6</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商务资信</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项目团队人员配置数量充足、职责分工明确，项目人员素质、工作经验、专业分布、工作经历、技术能力符合资质要求。</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（1）项目团队人员数量符合采购需求、职责分工明确。</w:t>
            </w:r>
            <w:r>
              <w:rPr>
                <w:rFonts w:ascii="仿宋" w:hAnsi="仿宋" w:eastAsia="仿宋"/>
                <w:sz w:val="24"/>
                <w:szCs w:val="24"/>
              </w:rPr>
              <w:t>2</w:t>
            </w:r>
            <w:r>
              <w:rPr>
                <w:rFonts w:hint="eastAsia" w:ascii="仿宋" w:hAnsi="仿宋" w:eastAsia="仿宋"/>
                <w:sz w:val="24"/>
                <w:szCs w:val="24"/>
              </w:rPr>
              <w:t>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（2）项目负责人具有中小学教师或社会科学研究领域正高级职称正高级职称，提供职称证书和社保证明，得</w:t>
            </w:r>
            <w:r>
              <w:rPr>
                <w:rFonts w:ascii="仿宋" w:hAnsi="仿宋" w:eastAsia="仿宋"/>
                <w:sz w:val="24"/>
                <w:szCs w:val="24"/>
              </w:rPr>
              <w:t>3</w:t>
            </w:r>
            <w:r>
              <w:rPr>
                <w:rFonts w:hint="eastAsia" w:ascii="仿宋" w:hAnsi="仿宋" w:eastAsia="仿宋"/>
                <w:sz w:val="24"/>
                <w:szCs w:val="24"/>
              </w:rPr>
              <w:t>分。项目负责人具有本项目相关的科研（如资源建设）能力，提供相关论文刊发目录页和论文正文首页证明，每篇论文1分，最高得1分。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（3）其他项目人员中具有副高及以上教师系列职称的，每人1分，最高得6分。提供职称证书和社保证明。</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（4）其他项目人员中具有副高及以上计算机技术与软件专业技术资格的，每人</w:t>
            </w:r>
            <w:r>
              <w:rPr>
                <w:rFonts w:ascii="仿宋" w:hAnsi="仿宋" w:eastAsia="仿宋"/>
                <w:sz w:val="24"/>
                <w:szCs w:val="24"/>
              </w:rPr>
              <w:t>1</w:t>
            </w:r>
            <w:r>
              <w:rPr>
                <w:rFonts w:hint="eastAsia" w:ascii="仿宋" w:hAnsi="仿宋" w:eastAsia="仿宋"/>
                <w:sz w:val="24"/>
                <w:szCs w:val="24"/>
              </w:rPr>
              <w:t>分，最高得</w:t>
            </w:r>
            <w:r>
              <w:rPr>
                <w:rFonts w:ascii="仿宋" w:hAnsi="仿宋" w:eastAsia="仿宋"/>
                <w:sz w:val="24"/>
                <w:szCs w:val="24"/>
              </w:rPr>
              <w:t>4</w:t>
            </w:r>
            <w:r>
              <w:rPr>
                <w:rFonts w:hint="eastAsia" w:ascii="仿宋" w:hAnsi="仿宋" w:eastAsia="仿宋"/>
                <w:sz w:val="24"/>
                <w:szCs w:val="24"/>
              </w:rPr>
              <w:t>分。提供专业技术资格证书和社保证明。</w:t>
            </w:r>
          </w:p>
        </w:tc>
        <w:tc>
          <w:tcPr>
            <w:tcW w:w="70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7</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商务资信</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运维服务的响应情况，对于“浙里问学”服务运行、“名师网络工作室”服务运行、数字教育资源建设等过程中问题的应急处理（预案、响应时间、处理时间）方案及时性、合理性。最高得4分</w:t>
            </w:r>
          </w:p>
        </w:tc>
        <w:tc>
          <w:tcPr>
            <w:tcW w:w="70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4</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8</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商务资信</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教师培训方案的可行性及合理性。</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（1）对课程资源承建教师团队提供必要的资源建设、上传培训，培训方案可行、合理。最高得3分</w:t>
            </w:r>
          </w:p>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（2）对参与在线答疑、名师网络工作室建设的教师提供平台操作指导等现场培训服务及远程培训，培训方案全面、合理。最高得3分</w:t>
            </w:r>
          </w:p>
        </w:tc>
        <w:tc>
          <w:tcPr>
            <w:tcW w:w="70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6</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9</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商务资信</w:t>
            </w:r>
          </w:p>
        </w:tc>
        <w:tc>
          <w:tcPr>
            <w:tcW w:w="4350" w:type="dxa"/>
          </w:tcPr>
          <w:p>
            <w:pPr>
              <w:widowControl/>
              <w:spacing w:before="120" w:beforeLines="50" w:after="120" w:afterLines="50" w:line="340" w:lineRule="exact"/>
            </w:pPr>
            <w:r>
              <w:rPr>
                <w:rFonts w:hint="eastAsia" w:ascii="仿宋" w:hAnsi="仿宋" w:eastAsia="仿宋"/>
                <w:sz w:val="24"/>
                <w:szCs w:val="24"/>
              </w:rPr>
              <w:t>提供类似的数字资源视频、文档展示，进行项目方案讲解，讲解内容要素、重亮点、逻辑思路，演示时间不超过10分钟（详见招标需求）。</w:t>
            </w:r>
          </w:p>
        </w:tc>
        <w:tc>
          <w:tcPr>
            <w:tcW w:w="70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10</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10</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商务资信</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投标单位教育资源组织、研究、建设获奖情况，提供2020年1月1日以来，政府、教育相关部门颁发教育资源组织、研究的相关奖项、证书等证明材料。提供1个得</w:t>
            </w:r>
            <w:r>
              <w:rPr>
                <w:rFonts w:ascii="仿宋" w:hAnsi="仿宋" w:eastAsia="仿宋"/>
                <w:sz w:val="24"/>
                <w:szCs w:val="24"/>
              </w:rPr>
              <w:t>2</w:t>
            </w:r>
            <w:r>
              <w:rPr>
                <w:rFonts w:hint="eastAsia" w:ascii="仿宋" w:hAnsi="仿宋" w:eastAsia="仿宋"/>
                <w:sz w:val="24"/>
                <w:szCs w:val="24"/>
              </w:rPr>
              <w:t>分，最高得</w:t>
            </w:r>
            <w:r>
              <w:rPr>
                <w:rFonts w:ascii="仿宋" w:hAnsi="仿宋" w:eastAsia="仿宋"/>
                <w:sz w:val="24"/>
                <w:szCs w:val="24"/>
              </w:rPr>
              <w:t>4</w:t>
            </w:r>
            <w:r>
              <w:rPr>
                <w:rFonts w:hint="eastAsia" w:ascii="仿宋" w:hAnsi="仿宋" w:eastAsia="仿宋"/>
                <w:sz w:val="24"/>
                <w:szCs w:val="24"/>
              </w:rPr>
              <w:t>分，未提供的不得分。</w:t>
            </w:r>
          </w:p>
        </w:tc>
        <w:tc>
          <w:tcPr>
            <w:tcW w:w="700" w:type="dxa"/>
          </w:tcPr>
          <w:p>
            <w:pPr>
              <w:widowControl/>
              <w:spacing w:before="120" w:beforeLines="50" w:after="120" w:afterLines="50" w:line="340" w:lineRule="exact"/>
              <w:rPr>
                <w:rFonts w:ascii="仿宋" w:hAnsi="仿宋" w:eastAsia="仿宋"/>
                <w:sz w:val="24"/>
                <w:szCs w:val="24"/>
              </w:rPr>
            </w:pPr>
            <w:r>
              <w:rPr>
                <w:rFonts w:ascii="仿宋" w:hAnsi="仿宋" w:eastAsia="仿宋"/>
                <w:sz w:val="24"/>
                <w:szCs w:val="24"/>
              </w:rPr>
              <w:t>4</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11</w:t>
            </w:r>
          </w:p>
        </w:tc>
        <w:tc>
          <w:tcPr>
            <w:tcW w:w="1225"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商务资信</w:t>
            </w:r>
          </w:p>
        </w:tc>
        <w:tc>
          <w:tcPr>
            <w:tcW w:w="435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经验或业绩要求（详见商务要求表）。</w:t>
            </w:r>
          </w:p>
        </w:tc>
        <w:tc>
          <w:tcPr>
            <w:tcW w:w="700"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2</w:t>
            </w:r>
          </w:p>
        </w:tc>
        <w:tc>
          <w:tcPr>
            <w:tcW w:w="1238" w:type="dxa"/>
          </w:tcPr>
          <w:p>
            <w:pPr>
              <w:widowControl/>
              <w:spacing w:before="120" w:beforeLines="50" w:after="120" w:afterLines="50" w:line="340" w:lineRule="exact"/>
              <w:rPr>
                <w:rFonts w:ascii="仿宋" w:hAnsi="仿宋" w:eastAsia="仿宋"/>
                <w:sz w:val="24"/>
                <w:szCs w:val="24"/>
              </w:rPr>
            </w:pPr>
            <w:r>
              <w:rPr>
                <w:rFonts w:hint="eastAsia" w:ascii="仿宋" w:hAnsi="仿宋" w:eastAsia="仿宋"/>
                <w:sz w:val="24"/>
                <w:szCs w:val="24"/>
              </w:rPr>
              <w:t>客观分</w:t>
            </w:r>
          </w:p>
        </w:tc>
      </w:tr>
      <w:bookmarkEnd w:id="25"/>
    </w:tbl>
    <w:p>
      <w:pPr>
        <w:spacing w:after="240" w:afterLines="100" w:line="340" w:lineRule="exact"/>
        <w:jc w:val="center"/>
        <w:outlineLvl w:val="0"/>
        <w:rPr>
          <w:rFonts w:hAnsi="宋体"/>
          <w:b/>
          <w:color w:val="000000" w:themeColor="text1"/>
          <w:sz w:val="36"/>
          <w:szCs w:val="36"/>
          <w14:textFill>
            <w14:solidFill>
              <w14:schemeClr w14:val="tx1"/>
            </w14:solidFill>
          </w14:textFill>
        </w:rPr>
      </w:pPr>
    </w:p>
    <w:p/>
    <w:p>
      <w:pPr>
        <w:spacing w:after="240" w:afterLines="100" w:line="340" w:lineRule="exact"/>
        <w:jc w:val="center"/>
        <w:outlineLvl w:val="0"/>
        <w:rPr>
          <w:rFonts w:hAnsi="宋体"/>
          <w:b/>
          <w:color w:val="000000" w:themeColor="text1"/>
          <w:sz w:val="36"/>
          <w:szCs w:val="36"/>
          <w14:textFill>
            <w14:solidFill>
              <w14:schemeClr w14:val="tx1"/>
            </w14:solidFill>
          </w14:textFill>
        </w:rPr>
      </w:pPr>
      <w:bookmarkStart w:id="26" w:name="_Toc24960"/>
      <w:r>
        <w:rPr>
          <w:rFonts w:hint="eastAsia" w:hAnsi="宋体"/>
          <w:b/>
          <w:color w:val="000000" w:themeColor="text1"/>
          <w:sz w:val="36"/>
          <w:szCs w:val="36"/>
          <w14:textFill>
            <w14:solidFill>
              <w14:schemeClr w14:val="tx1"/>
            </w14:solidFill>
          </w14:textFill>
        </w:rPr>
        <w:t>第四章 招标需求</w:t>
      </w:r>
      <w:bookmarkEnd w:id="24"/>
      <w:bookmarkEnd w:id="26"/>
    </w:p>
    <w:p>
      <w:pPr>
        <w:snapToGrid w:val="0"/>
        <w:spacing w:before="120" w:beforeLines="50" w:after="120" w:afterLines="50"/>
        <w:rPr>
          <w:rFonts w:ascii="宋体" w:hAnsi="宋体" w:eastAsiaTheme="minorEastAsia"/>
          <w:b/>
          <w:color w:val="000000" w:themeColor="text1"/>
          <w:spacing w:val="40"/>
          <w:kern w:val="0"/>
          <w:sz w:val="36"/>
          <w:szCs w:val="36"/>
          <w14:textFill>
            <w14:solidFill>
              <w14:schemeClr w14:val="tx1"/>
            </w14:solidFill>
          </w14:textFill>
        </w:rPr>
      </w:pPr>
    </w:p>
    <w:p>
      <w:pPr>
        <w:snapToGrid w:val="0"/>
        <w:spacing w:before="120" w:beforeLines="50" w:after="120" w:afterLines="50"/>
        <w:rPr>
          <w:rFonts w:ascii="仿宋" w:hAnsi="仿宋" w:eastAsia="仿宋"/>
          <w:b/>
          <w:color w:val="000000" w:themeColor="text1"/>
          <w:spacing w:val="40"/>
          <w:kern w:val="0"/>
          <w:sz w:val="28"/>
          <w:szCs w:val="28"/>
          <w14:textFill>
            <w14:solidFill>
              <w14:schemeClr w14:val="tx1"/>
            </w14:solidFill>
          </w14:textFill>
        </w:rPr>
      </w:pPr>
      <w:r>
        <w:rPr>
          <w:rFonts w:hint="eastAsia" w:ascii="仿宋" w:hAnsi="仿宋" w:eastAsia="仿宋"/>
          <w:b/>
          <w:color w:val="000000" w:themeColor="text1"/>
          <w:spacing w:val="40"/>
          <w:kern w:val="0"/>
          <w:sz w:val="28"/>
          <w:szCs w:val="28"/>
          <w14:textFill>
            <w14:solidFill>
              <w14:schemeClr w14:val="tx1"/>
            </w14:solidFill>
          </w14:textFill>
        </w:rPr>
        <w:t>特别说明：</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themeColor="text1"/>
          <w:sz w:val="30"/>
          <w:szCs w:val="30"/>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3.核心产品在各标项内容中明确，如出现同品牌情况的，评标委员会根据评审原则第4条规定执行</w:t>
      </w:r>
      <w:r>
        <w:rPr>
          <w:rFonts w:hint="eastAsia" w:ascii="仿宋" w:hAnsi="仿宋" w:eastAsia="仿宋_GB2312"/>
          <w:b/>
          <w:color w:val="000000" w:themeColor="text1"/>
          <w:sz w:val="30"/>
          <w:szCs w:val="30"/>
          <w14:textFill>
            <w14:solidFill>
              <w14:schemeClr w14:val="tx1"/>
            </w14:solidFill>
          </w14:textFill>
        </w:rPr>
        <w:t>。</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5</w:t>
      </w:r>
      <w:r>
        <w:rPr>
          <w:rFonts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14:textFill>
            <w14:solidFill>
              <w14:schemeClr w14:val="tx1"/>
            </w14:solidFill>
          </w14:textFill>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cs="Arial"/>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6.</w:t>
      </w:r>
      <w:r>
        <w:rPr>
          <w:rFonts w:hint="eastAsia" w:ascii="仿宋" w:hAnsi="仿宋" w:eastAsia="仿宋"/>
          <w:b/>
          <w:color w:val="000000" w:themeColor="text1"/>
          <w:sz w:val="28"/>
          <w:szCs w:val="28"/>
          <w14:textFill>
            <w14:solidFill>
              <w14:schemeClr w14:val="tx1"/>
            </w14:solidFill>
          </w14:textFill>
        </w:rPr>
        <w:t>供应商承诺提供赠品、回扣、采购预算中本身不包含的其他商品或服务，视作无效承诺。</w:t>
      </w:r>
      <w:bookmarkStart w:id="27" w:name="_Toc496796639"/>
    </w:p>
    <w:p>
      <w:pPr>
        <w:pStyle w:val="32"/>
        <w:spacing w:before="120" w:after="120" w:line="520" w:lineRule="exact"/>
        <w:jc w:val="center"/>
        <w:outlineLvl w:val="0"/>
        <w:rPr>
          <w:rFonts w:hAnsi="宋体"/>
          <w:b/>
          <w:color w:val="000000" w:themeColor="text1"/>
          <w:sz w:val="36"/>
          <w:szCs w:val="36"/>
          <w14:textFill>
            <w14:solidFill>
              <w14:schemeClr w14:val="tx1"/>
            </w14:solidFill>
          </w14:textFill>
        </w:rPr>
      </w:pPr>
      <w:bookmarkStart w:id="28" w:name="PO_416_PM050"/>
      <w:r>
        <w:rPr>
          <w:rFonts w:hint="eastAsia" w:hAnsi="宋体"/>
          <w:b/>
          <w:color w:val="000000" w:themeColor="text1"/>
          <w:sz w:val="36"/>
          <w:szCs w:val="36"/>
          <w14:textFill>
            <w14:solidFill>
              <w14:schemeClr w14:val="tx1"/>
            </w14:solidFill>
          </w14:textFill>
        </w:rPr>
        <w:t xml:space="preserve"> </w:t>
      </w:r>
      <w:bookmarkEnd w:id="28"/>
    </w:p>
    <w:p>
      <w:pPr>
        <w:pStyle w:val="32"/>
        <w:spacing w:before="120" w:after="120" w:line="520" w:lineRule="exact"/>
        <w:jc w:val="both"/>
        <w:outlineLvl w:val="0"/>
        <w:rPr>
          <w:rFonts w:hAnsi="宋体"/>
          <w:b/>
          <w:color w:val="000000" w:themeColor="text1"/>
          <w:sz w:val="36"/>
          <w:szCs w:val="36"/>
          <w14:textFill>
            <w14:solidFill>
              <w14:schemeClr w14:val="tx1"/>
            </w14:solidFill>
          </w14:textFill>
        </w:rPr>
      </w:pPr>
    </w:p>
    <w:p>
      <w:pPr>
        <w:pStyle w:val="32"/>
        <w:spacing w:before="120" w:after="120" w:line="520" w:lineRule="exact"/>
        <w:jc w:val="center"/>
        <w:outlineLvl w:val="0"/>
        <w:rPr>
          <w:rFonts w:ascii="仿宋" w:hAnsi="仿宋" w:eastAsia="仿宋"/>
          <w:b/>
          <w:sz w:val="36"/>
          <w:szCs w:val="36"/>
        </w:rPr>
      </w:pPr>
      <w:r>
        <w:rPr>
          <w:rFonts w:hint="eastAsia" w:ascii="仿宋" w:hAnsi="仿宋" w:eastAsia="仿宋"/>
          <w:b/>
          <w:sz w:val="36"/>
          <w:szCs w:val="36"/>
        </w:rPr>
        <w:t>标项1:</w:t>
      </w:r>
      <w:bookmarkStart w:id="29" w:name="_Toc422137093"/>
      <w:bookmarkStart w:id="30" w:name="PO_TDCUS_ITEM_PB_REQ_FILE_1_1_0"/>
      <w:r>
        <w:rPr>
          <w:rFonts w:hint="eastAsia" w:ascii="仿宋" w:hAnsi="仿宋" w:eastAsia="仿宋"/>
          <w:b/>
          <w:sz w:val="36"/>
          <w:szCs w:val="36"/>
        </w:rPr>
        <w:t>浙江省教育厅（本级）2023年之江汇教育广场数字资源建设项目</w:t>
      </w:r>
    </w:p>
    <w:p>
      <w:pPr>
        <w:pStyle w:val="32"/>
        <w:spacing w:before="120" w:after="120" w:line="520" w:lineRule="exact"/>
        <w:jc w:val="center"/>
        <w:outlineLvl w:val="0"/>
        <w:rPr>
          <w:rFonts w:hAnsi="宋体"/>
          <w:b/>
          <w:sz w:val="36"/>
          <w:szCs w:val="36"/>
        </w:rPr>
      </w:pPr>
    </w:p>
    <w:p>
      <w:pPr>
        <w:spacing w:line="520" w:lineRule="exact"/>
        <w:ind w:firstLine="600" w:firstLineChars="200"/>
        <w:jc w:val="left"/>
        <w:outlineLvl w:val="1"/>
        <w:rPr>
          <w:rFonts w:ascii="黑体" w:hAnsi="黑体" w:eastAsia="黑体"/>
          <w:color w:val="000000"/>
          <w:kern w:val="0"/>
          <w:sz w:val="30"/>
          <w:szCs w:val="30"/>
        </w:rPr>
      </w:pPr>
      <w:r>
        <w:rPr>
          <w:rFonts w:hint="eastAsia" w:ascii="黑体" w:hAnsi="黑体" w:eastAsia="黑体"/>
          <w:color w:val="000000"/>
          <w:kern w:val="0"/>
          <w:sz w:val="30"/>
          <w:szCs w:val="30"/>
        </w:rPr>
        <w:t>一、</w:t>
      </w:r>
      <w:bookmarkEnd w:id="29"/>
      <w:bookmarkStart w:id="31" w:name="_Toc422137094"/>
      <w:r>
        <w:rPr>
          <w:rFonts w:hint="eastAsia" w:ascii="黑体" w:hAnsi="黑体" w:eastAsia="黑体"/>
          <w:color w:val="000000"/>
          <w:kern w:val="0"/>
          <w:sz w:val="30"/>
          <w:szCs w:val="30"/>
        </w:rPr>
        <w:t>采购需求</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2</w:t>
      </w:r>
      <w:r>
        <w:rPr>
          <w:rFonts w:ascii="仿宋_GB2312" w:eastAsia="仿宋_GB2312"/>
          <w:color w:val="000000"/>
          <w:kern w:val="0"/>
          <w:sz w:val="28"/>
          <w:szCs w:val="28"/>
        </w:rPr>
        <w:t>023</w:t>
      </w:r>
      <w:r>
        <w:rPr>
          <w:rFonts w:hint="eastAsia" w:ascii="仿宋_GB2312" w:eastAsia="仿宋_GB2312"/>
          <w:color w:val="000000"/>
          <w:kern w:val="0"/>
          <w:sz w:val="28"/>
          <w:szCs w:val="28"/>
        </w:rPr>
        <w:t>年之江汇教育广场数字资源建设项目包含提供“浙里问学”在线答疑服务，完成名师名校金课、素质教育拓展课程建设，完成名师网络工作室2</w:t>
      </w:r>
      <w:r>
        <w:rPr>
          <w:rFonts w:ascii="仿宋_GB2312" w:eastAsia="仿宋_GB2312"/>
          <w:color w:val="000000"/>
          <w:kern w:val="0"/>
          <w:sz w:val="28"/>
          <w:szCs w:val="28"/>
        </w:rPr>
        <w:t>022</w:t>
      </w:r>
      <w:r>
        <w:rPr>
          <w:rFonts w:hint="eastAsia" w:ascii="仿宋_GB2312" w:eastAsia="仿宋_GB2312"/>
          <w:color w:val="000000"/>
          <w:kern w:val="0"/>
          <w:sz w:val="28"/>
          <w:szCs w:val="28"/>
        </w:rPr>
        <w:t>学年考核，对于之江汇教育广场优质数字资源按使用情况付费等5个方面的建设。</w:t>
      </w:r>
      <w:r>
        <w:rPr>
          <w:rFonts w:hint="eastAsia" w:ascii="仿宋_GB2312" w:hAnsi="仿宋" w:eastAsia="仿宋_GB2312"/>
          <w:color w:val="000000"/>
          <w:sz w:val="28"/>
          <w:szCs w:val="28"/>
        </w:rPr>
        <w:t>通过征集开发、第三方引进等途径丰富之江汇教育广场资源内容，建成覆盖全学科全学段的体系化课程资源，面向课后服务场景开发一批素质教育拓展课程，开发在线教学服务类的新型教育资源，引导学生用好免费线上优质教育资源，面向学生和家长提供免费的在线互动答疑。建立优化资源共建共享机制，创新资源应用形式，通过名师网络工作室引领中小学教师专业能力提升。</w:t>
      </w:r>
    </w:p>
    <w:bookmarkEnd w:id="31"/>
    <w:p>
      <w:pPr>
        <w:spacing w:line="520" w:lineRule="exact"/>
        <w:ind w:firstLine="450" w:firstLineChars="150"/>
        <w:jc w:val="left"/>
        <w:outlineLvl w:val="2"/>
        <w:rPr>
          <w:rFonts w:ascii="黑体" w:hAnsi="黑体" w:eastAsia="黑体"/>
          <w:color w:val="000000"/>
          <w:kern w:val="0"/>
          <w:sz w:val="30"/>
          <w:szCs w:val="30"/>
        </w:rPr>
      </w:pPr>
      <w:r>
        <w:rPr>
          <w:rFonts w:hint="eastAsia" w:ascii="黑体" w:hAnsi="黑体" w:eastAsia="黑体"/>
          <w:color w:val="000000"/>
          <w:kern w:val="0"/>
          <w:sz w:val="30"/>
          <w:szCs w:val="30"/>
        </w:rPr>
        <w:t>（一）建设内容</w:t>
      </w:r>
    </w:p>
    <w:p>
      <w:pPr>
        <w:spacing w:line="520" w:lineRule="exact"/>
        <w:ind w:firstLine="600" w:firstLineChars="200"/>
        <w:outlineLvl w:val="3"/>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.1</w:t>
      </w:r>
      <w:r>
        <w:rPr>
          <w:rFonts w:hint="eastAsia" w:ascii="黑体" w:hAnsi="黑体" w:eastAsia="黑体"/>
          <w:sz w:val="30"/>
          <w:szCs w:val="30"/>
        </w:rPr>
        <w:t>建设名师名校金课</w:t>
      </w:r>
    </w:p>
    <w:p>
      <w:pPr>
        <w:pStyle w:val="26"/>
        <w:spacing w:line="520" w:lineRule="exact"/>
        <w:ind w:firstLine="560"/>
        <w:rPr>
          <w:rFonts w:ascii="仿宋_GB2312" w:hAnsi="Times New Roman" w:eastAsia="仿宋_GB2312"/>
          <w:color w:val="000000"/>
          <w:kern w:val="0"/>
          <w:szCs w:val="28"/>
        </w:rPr>
      </w:pPr>
      <w:r>
        <w:rPr>
          <w:rFonts w:hint="eastAsia" w:ascii="仿宋_GB2312" w:eastAsia="仿宋_GB2312"/>
          <w:color w:val="000000"/>
          <w:kern w:val="0"/>
          <w:szCs w:val="28"/>
        </w:rPr>
        <w:t>名师名校金课依据国家课程标准，针对浙江省内基础教育段使用的教材版本，完成教材节点的新课教学资源，供学生自主学习。建成导向正确、科学专业、高质量基础教育资源体系，促进教育教学资源质量提高。</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 xml:space="preserve">名师金课由浙江省内正高级教师、特级教师（省级名师网络工作室负责人）作为课程负责人，名校金课由省内信息化教学应用水平高、具有一定学科特色影响力的名校骨干教师作为课程负责人，分别组建 </w:t>
      </w:r>
      <w:r>
        <w:rPr>
          <w:rFonts w:ascii="仿宋_GB2312" w:eastAsia="仿宋_GB2312"/>
          <w:color w:val="000000"/>
          <w:kern w:val="0"/>
          <w:sz w:val="28"/>
          <w:szCs w:val="28"/>
        </w:rPr>
        <w:t>3</w:t>
      </w:r>
      <w:r>
        <w:rPr>
          <w:rFonts w:hint="eastAsia" w:ascii="仿宋_GB2312" w:eastAsia="仿宋_GB2312"/>
          <w:color w:val="000000"/>
          <w:kern w:val="0"/>
          <w:sz w:val="28"/>
          <w:szCs w:val="28"/>
        </w:rPr>
        <w:t>-7人的课程建设团队。组织课程建设团队根据国家课程方案和各学科课程标准，围绕一个册别或几个单元的教学重难点，配套学科单元内容设计，开发完成100门名师金课和50门名校金课，并全部在之江汇教育广场“课程中心”栏目上传与发布。</w:t>
      </w:r>
    </w:p>
    <w:p>
      <w:pPr>
        <w:pStyle w:val="26"/>
        <w:spacing w:line="520" w:lineRule="exact"/>
        <w:ind w:firstLine="560"/>
        <w:rPr>
          <w:rFonts w:ascii="仿宋_GB2312" w:eastAsia="仿宋_GB2312"/>
          <w:color w:val="000000"/>
          <w:kern w:val="0"/>
          <w:szCs w:val="28"/>
        </w:rPr>
      </w:pPr>
      <w:r>
        <w:rPr>
          <w:rFonts w:hint="eastAsia" w:ascii="仿宋_GB2312" w:eastAsia="仿宋_GB2312"/>
          <w:color w:val="000000"/>
          <w:kern w:val="0"/>
          <w:szCs w:val="28"/>
        </w:rPr>
        <w:t>名师名校金课资源以资源包方式呈现，每门课程不少于12个课时，每个课时资源包括微课视频、教学设计、课件、在线学习任务单、课后练习和必要的实验演示视频，单个微课视频时长：小学10-15分钟，中学15-20分钟。</w:t>
      </w:r>
    </w:p>
    <w:p>
      <w:pPr>
        <w:spacing w:line="520" w:lineRule="exact"/>
        <w:ind w:firstLine="600" w:firstLineChars="200"/>
        <w:outlineLvl w:val="3"/>
        <w:rPr>
          <w:rFonts w:ascii="黑体" w:hAnsi="黑体" w:eastAsia="黑体"/>
          <w:sz w:val="30"/>
          <w:szCs w:val="30"/>
        </w:rPr>
      </w:pPr>
      <w:r>
        <w:rPr>
          <w:rFonts w:ascii="黑体" w:hAnsi="黑体" w:eastAsia="黑体"/>
          <w:sz w:val="30"/>
          <w:szCs w:val="30"/>
        </w:rPr>
        <w:t>1.2</w:t>
      </w:r>
      <w:r>
        <w:rPr>
          <w:rFonts w:hint="eastAsia" w:ascii="黑体" w:hAnsi="黑体" w:eastAsia="黑体"/>
          <w:sz w:val="30"/>
          <w:szCs w:val="30"/>
        </w:rPr>
        <w:t>建设素质教育拓展课程</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面向课后拓展服务，促进学生德智体美劳全面发展，围绕品德修养、科学创造、体育运动、艺术育美、劳动实践五大类建设素质教育拓展课程资源，以培养学生的专项特长为主。内容要求有别于课堂教学资源，着重体现对课堂教学的拓展与补充，用于满足学生个性化学习需求，为进一步了解并逐步掌握某一类别的技能技法打下基础。</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采用征集、第三方引进相结合的方式，组织开发100门的素质教育拓展课程。每门课程不少于10个课时，每个课时内容包含微课视频、教学设计、教学课件、学习任务单，每个课时的微课视频时长10-15分钟。</w:t>
      </w:r>
    </w:p>
    <w:p>
      <w:pPr>
        <w:spacing w:line="520" w:lineRule="exact"/>
        <w:ind w:firstLine="600" w:firstLineChars="200"/>
        <w:outlineLvl w:val="3"/>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.3</w:t>
      </w:r>
      <w:r>
        <w:rPr>
          <w:rFonts w:hint="eastAsia" w:ascii="黑体" w:hAnsi="黑体" w:eastAsia="黑体"/>
          <w:sz w:val="30"/>
          <w:szCs w:val="30"/>
        </w:rPr>
        <w:t>开展数字资源按用付费</w:t>
      </w:r>
    </w:p>
    <w:p>
      <w:pPr>
        <w:spacing w:line="520" w:lineRule="exact"/>
        <w:ind w:firstLine="560" w:firstLineChars="200"/>
        <w:rPr>
          <w:rFonts w:ascii="仿宋_GB2312" w:eastAsia="仿宋_GB2312"/>
          <w:color w:val="000000"/>
          <w:kern w:val="0"/>
          <w:sz w:val="28"/>
          <w:szCs w:val="28"/>
        </w:rPr>
      </w:pPr>
      <w:r>
        <w:rPr>
          <w:rFonts w:ascii="仿宋_GB2312" w:eastAsia="仿宋_GB2312"/>
          <w:color w:val="000000"/>
          <w:kern w:val="0"/>
          <w:sz w:val="28"/>
          <w:szCs w:val="28"/>
        </w:rPr>
        <w:t>探索</w:t>
      </w:r>
      <w:r>
        <w:rPr>
          <w:rFonts w:hint="eastAsia" w:ascii="仿宋_GB2312" w:eastAsia="仿宋_GB2312"/>
          <w:color w:val="000000"/>
          <w:kern w:val="0"/>
          <w:sz w:val="28"/>
          <w:szCs w:val="28"/>
        </w:rPr>
        <w:t>数字教育资源按用付费政府采购模式，鼓励教师共建共享优质教育资源，通过之江汇教育广场组织教师开展1000门网络同步课程、3000个教材配套资源、4</w:t>
      </w:r>
      <w:r>
        <w:rPr>
          <w:rFonts w:ascii="仿宋_GB2312" w:eastAsia="仿宋_GB2312"/>
          <w:color w:val="000000"/>
          <w:kern w:val="0"/>
          <w:sz w:val="28"/>
          <w:szCs w:val="28"/>
        </w:rPr>
        <w:t>00</w:t>
      </w:r>
      <w:r>
        <w:rPr>
          <w:rFonts w:hint="eastAsia" w:ascii="仿宋_GB2312" w:eastAsia="仿宋_GB2312"/>
          <w:color w:val="000000"/>
          <w:kern w:val="0"/>
          <w:sz w:val="28"/>
          <w:szCs w:val="28"/>
        </w:rPr>
        <w:t>个精品教学空间等优质教育资源建设，制定按用付费经费结算和支付规则，根据资源使用情况，对于符合付费要求的数字教育资源提供者予以经费激励。</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网络同步课程主要针对课后服务教学应用场景，组织教师个人在之江汇教育广场开设网络同步课程，支持学生跨学校、跨区域参与网络同步学习。每门课程包含不少于12个课时的教学视频和相关教学资源，招收并指导不少于30名互联网学员开展教学互动，完成课程学习。</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教材配套资源包围绕小学、初中、高中各年级各学科教材节点，供学生自主学习。每课时微课视频小学10-15分钟、初中15-20分钟，配套资源包含微课视频、教学设计、教学课件、学习任务单、作业练习（含参考答案）和必要的实验演示视频。</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教师利用之江汇教育广场空间核心应用，开展教育教学活动，发布文章资源、使用网络学习空间教学端开展备授课教学活动等，并进行应用实践探究和推广宣传，形成空间应用案例。根据空间建设及应用影响力，遴选4</w:t>
      </w:r>
      <w:r>
        <w:rPr>
          <w:rFonts w:ascii="仿宋_GB2312" w:eastAsia="仿宋_GB2312"/>
          <w:color w:val="000000"/>
          <w:kern w:val="0"/>
          <w:sz w:val="28"/>
          <w:szCs w:val="28"/>
        </w:rPr>
        <w:t>00</w:t>
      </w:r>
      <w:r>
        <w:rPr>
          <w:rFonts w:hint="eastAsia" w:ascii="仿宋_GB2312" w:eastAsia="仿宋_GB2312"/>
          <w:color w:val="000000"/>
          <w:kern w:val="0"/>
          <w:sz w:val="28"/>
          <w:szCs w:val="28"/>
        </w:rPr>
        <w:t>个精品教学空间。</w:t>
      </w:r>
    </w:p>
    <w:p>
      <w:pPr>
        <w:spacing w:line="520" w:lineRule="exact"/>
        <w:ind w:firstLine="600" w:firstLineChars="200"/>
        <w:outlineLvl w:val="3"/>
        <w:rPr>
          <w:rFonts w:ascii="黑体" w:hAnsi="黑体" w:eastAsia="黑体"/>
          <w:sz w:val="30"/>
          <w:szCs w:val="30"/>
        </w:rPr>
      </w:pPr>
      <w:r>
        <w:rPr>
          <w:rFonts w:ascii="黑体" w:hAnsi="黑体" w:eastAsia="黑体"/>
          <w:sz w:val="30"/>
          <w:szCs w:val="30"/>
        </w:rPr>
        <w:t>1.4</w:t>
      </w:r>
      <w:r>
        <w:rPr>
          <w:rFonts w:hint="eastAsia" w:ascii="黑体" w:hAnsi="黑体" w:eastAsia="黑体"/>
          <w:sz w:val="30"/>
          <w:szCs w:val="30"/>
        </w:rPr>
        <w:t>建设名师网络工作室</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根据《浙江省教育厅办公室关于组织实施第四轮浙江省名师网络工作室项目的通知》</w:t>
      </w:r>
      <w:r>
        <w:rPr>
          <w:rFonts w:hint="eastAsia" w:ascii="仿宋_GB2312" w:eastAsia="仿宋_GB2312"/>
          <w:color w:val="000000" w:themeColor="text1"/>
          <w:kern w:val="0"/>
          <w:sz w:val="28"/>
          <w:szCs w:val="28"/>
          <w14:textFill>
            <w14:solidFill>
              <w14:schemeClr w14:val="tx1"/>
            </w14:solidFill>
          </w14:textFill>
        </w:rPr>
        <w:t>文件要</w:t>
      </w:r>
      <w:r>
        <w:rPr>
          <w:rFonts w:hint="eastAsia" w:ascii="仿宋_GB2312" w:eastAsia="仿宋_GB2312"/>
          <w:color w:val="000000"/>
          <w:kern w:val="0"/>
          <w:sz w:val="28"/>
          <w:szCs w:val="28"/>
        </w:rPr>
        <w:t>求，建设</w:t>
      </w:r>
      <w:r>
        <w:rPr>
          <w:rFonts w:ascii="仿宋_GB2312" w:eastAsia="仿宋_GB2312"/>
          <w:color w:val="000000"/>
          <w:kern w:val="0"/>
          <w:sz w:val="28"/>
          <w:szCs w:val="28"/>
        </w:rPr>
        <w:t>名师网络工作室至少300个</w:t>
      </w:r>
      <w:r>
        <w:rPr>
          <w:rFonts w:hint="eastAsia" w:ascii="仿宋_GB2312" w:eastAsia="仿宋_GB2312"/>
          <w:color w:val="000000"/>
          <w:kern w:val="0"/>
          <w:sz w:val="28"/>
          <w:szCs w:val="28"/>
        </w:rPr>
        <w:t>，做好名师网络工作室建设过程管理与培训、指导，提升名师直播活动、组团送教项目、优质数字资源建设的质量，以2022年6月至2023年6月期间作为2</w:t>
      </w:r>
      <w:r>
        <w:rPr>
          <w:rFonts w:ascii="仿宋_GB2312" w:eastAsia="仿宋_GB2312"/>
          <w:color w:val="000000"/>
          <w:kern w:val="0"/>
          <w:sz w:val="28"/>
          <w:szCs w:val="28"/>
        </w:rPr>
        <w:t>022</w:t>
      </w:r>
      <w:r>
        <w:rPr>
          <w:rFonts w:hint="eastAsia" w:ascii="仿宋_GB2312" w:eastAsia="仿宋_GB2312"/>
          <w:color w:val="000000"/>
          <w:kern w:val="0"/>
          <w:sz w:val="28"/>
          <w:szCs w:val="28"/>
        </w:rPr>
        <w:t>学年来对名师网络工作室进行考核</w:t>
      </w:r>
      <w:r>
        <w:rPr>
          <w:rFonts w:ascii="仿宋_GB2312" w:eastAsia="仿宋_GB2312"/>
          <w:color w:val="000000"/>
          <w:kern w:val="0"/>
          <w:sz w:val="28"/>
          <w:szCs w:val="28"/>
        </w:rPr>
        <w:t>与排名</w:t>
      </w:r>
      <w:r>
        <w:rPr>
          <w:rFonts w:hint="eastAsia" w:ascii="仿宋_GB2312" w:eastAsia="仿宋_GB2312"/>
          <w:color w:val="000000"/>
          <w:kern w:val="0"/>
          <w:sz w:val="28"/>
          <w:szCs w:val="28"/>
        </w:rPr>
        <w:t>。</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加强名师工作室建设过程管理与培训、指导。开展对名师网络工作室建设线上线下培训活动不少于6次，10月发布省级名师网络工作室建设引导手册。2022学年共建共享优质资源不少于6万个，研发名师金课等体系化教材配套资源课程300门，工作室新增访问量不低于2000万人次。</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提升名师直播活动、组团送教项目、优质数字资源建设的质量。完成名师直播活动不少于300场，完成组团送教活动不少于200场，培养山区海岛县及乡村学校的学科带头人不少于1000位。</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按照《浙江省名师网络工作室项目管理办公室关于印发浙江省第四轮名师网络工作室考核办法（2022-2025年）的通知》（浙名师网络办〔2022〕1号）要求，对名师网络工作室2</w:t>
      </w:r>
      <w:r>
        <w:rPr>
          <w:rFonts w:ascii="仿宋_GB2312" w:eastAsia="仿宋_GB2312"/>
          <w:color w:val="000000"/>
          <w:kern w:val="0"/>
          <w:sz w:val="28"/>
          <w:szCs w:val="28"/>
        </w:rPr>
        <w:t>022</w:t>
      </w:r>
      <w:r>
        <w:rPr>
          <w:rFonts w:hint="eastAsia" w:ascii="仿宋_GB2312" w:eastAsia="仿宋_GB2312"/>
          <w:color w:val="000000"/>
          <w:kern w:val="0"/>
          <w:sz w:val="28"/>
          <w:szCs w:val="28"/>
        </w:rPr>
        <w:t>学年</w:t>
      </w:r>
      <w:r>
        <w:rPr>
          <w:rFonts w:ascii="仿宋_GB2312" w:eastAsia="仿宋_GB2312"/>
          <w:color w:val="000000"/>
          <w:kern w:val="0"/>
          <w:sz w:val="28"/>
          <w:szCs w:val="28"/>
        </w:rPr>
        <w:t>的建设绩效</w:t>
      </w:r>
      <w:r>
        <w:rPr>
          <w:rFonts w:hint="eastAsia" w:ascii="仿宋_GB2312" w:eastAsia="仿宋_GB2312"/>
          <w:color w:val="000000"/>
          <w:kern w:val="0"/>
          <w:sz w:val="28"/>
          <w:szCs w:val="28"/>
        </w:rPr>
        <w:t>进行考核，对学年考核合格且排名在前300名的工作室分四挡给予不同标准的</w:t>
      </w:r>
      <w:r>
        <w:rPr>
          <w:rFonts w:ascii="仿宋_GB2312" w:eastAsia="仿宋_GB2312"/>
          <w:color w:val="000000"/>
          <w:kern w:val="0"/>
          <w:sz w:val="28"/>
          <w:szCs w:val="28"/>
        </w:rPr>
        <w:t>激励</w:t>
      </w:r>
      <w:r>
        <w:rPr>
          <w:rFonts w:hint="eastAsia" w:ascii="仿宋_GB2312" w:eastAsia="仿宋_GB2312"/>
          <w:color w:val="000000"/>
          <w:kern w:val="0"/>
          <w:sz w:val="28"/>
          <w:szCs w:val="28"/>
        </w:rPr>
        <w:t>经费</w:t>
      </w:r>
      <w:r>
        <w:rPr>
          <w:rFonts w:ascii="仿宋_GB2312" w:eastAsia="仿宋_GB2312"/>
          <w:color w:val="000000"/>
          <w:kern w:val="0"/>
          <w:sz w:val="28"/>
          <w:szCs w:val="28"/>
        </w:rPr>
        <w:t>；支付激励经费不少于400万，</w:t>
      </w:r>
      <w:r>
        <w:rPr>
          <w:rFonts w:hint="eastAsia" w:ascii="仿宋_GB2312" w:eastAsia="仿宋_GB2312"/>
          <w:color w:val="000000"/>
          <w:kern w:val="0"/>
          <w:sz w:val="28"/>
          <w:szCs w:val="28"/>
        </w:rPr>
        <w:t>其中排名1-50 名为第一档，51-100 名为第二档；101-200 名为第三档，201-300 名为第四档。</w:t>
      </w:r>
    </w:p>
    <w:p>
      <w:pPr>
        <w:spacing w:line="520" w:lineRule="exact"/>
        <w:ind w:firstLine="600" w:firstLineChars="200"/>
        <w:outlineLvl w:val="3"/>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.5</w:t>
      </w:r>
      <w:r>
        <w:rPr>
          <w:rFonts w:hint="eastAsia" w:ascii="黑体" w:hAnsi="黑体" w:eastAsia="黑体"/>
          <w:sz w:val="30"/>
          <w:szCs w:val="30"/>
        </w:rPr>
        <w:t>提供“浙里问学”在线答疑服务</w:t>
      </w:r>
    </w:p>
    <w:p>
      <w:pPr>
        <w:pStyle w:val="26"/>
        <w:spacing w:line="520" w:lineRule="exact"/>
        <w:ind w:firstLine="560"/>
        <w:rPr>
          <w:rFonts w:ascii="仿宋_GB2312" w:hAnsi="仿宋" w:eastAsia="仿宋_GB2312"/>
          <w:color w:val="000000"/>
          <w:szCs w:val="28"/>
        </w:rPr>
      </w:pPr>
      <w:r>
        <w:rPr>
          <w:rFonts w:hint="eastAsia" w:ascii="仿宋_GB2312" w:hAnsi="仿宋" w:eastAsia="仿宋_GB2312"/>
          <w:color w:val="000000"/>
          <w:szCs w:val="28"/>
        </w:rPr>
        <w:t>基于省教育厅研发推出的“浙里问学”在线答疑服务系统，</w:t>
      </w:r>
      <w:r>
        <w:rPr>
          <w:rFonts w:hint="eastAsia" w:ascii="仿宋_GB2312" w:eastAsia="仿宋_GB2312"/>
          <w:color w:val="000000"/>
          <w:kern w:val="0"/>
          <w:szCs w:val="28"/>
        </w:rPr>
        <w:t>组织名师、学科骨干教师团队和技术力量开展“浙里问学”在线教学指导和答疑，面向全省义务教育段学生、家长群体提供名师答疑和志愿者答疑免费在线服务。</w:t>
      </w:r>
      <w:r>
        <w:rPr>
          <w:rFonts w:hint="eastAsia" w:ascii="仿宋_GB2312" w:hAnsi="仿宋" w:eastAsia="仿宋_GB2312"/>
          <w:color w:val="000000"/>
          <w:szCs w:val="28"/>
        </w:rPr>
        <w:t>组织正高级教师、特级教师、省市县教坛新秀等学科骨干教师团队开展公开答疑服务，并面向全省招募在职中小学教师志愿者组成不少于2</w:t>
      </w:r>
      <w:r>
        <w:rPr>
          <w:rFonts w:ascii="仿宋_GB2312" w:hAnsi="仿宋" w:eastAsia="仿宋_GB2312"/>
          <w:color w:val="000000"/>
          <w:szCs w:val="28"/>
        </w:rPr>
        <w:t>000</w:t>
      </w:r>
      <w:r>
        <w:rPr>
          <w:rFonts w:hint="eastAsia" w:ascii="仿宋_GB2312" w:hAnsi="仿宋" w:eastAsia="仿宋_GB2312"/>
          <w:color w:val="000000"/>
          <w:szCs w:val="28"/>
        </w:rPr>
        <w:t>名的服务团队，为有问学求教需求的学生提供“一对一”的常态化免费在线答疑服务，涵盖学科知识、体育锻炼、艺术技能、心理咨询等内容，答疑次数不少于5万次。提供“A</w:t>
      </w:r>
      <w:r>
        <w:rPr>
          <w:rFonts w:ascii="仿宋_GB2312" w:hAnsi="仿宋" w:eastAsia="仿宋_GB2312"/>
          <w:color w:val="000000"/>
          <w:szCs w:val="28"/>
        </w:rPr>
        <w:t>I</w:t>
      </w:r>
      <w:r>
        <w:rPr>
          <w:rFonts w:hint="eastAsia" w:ascii="仿宋_GB2312" w:hAnsi="仿宋" w:eastAsia="仿宋_GB2312"/>
          <w:color w:val="000000"/>
          <w:szCs w:val="28"/>
        </w:rPr>
        <w:t>智能”答疑服务，通过对学生提问的文字、图片等进行智能识别，</w:t>
      </w:r>
      <w:r>
        <w:rPr>
          <w:rFonts w:hint="eastAsia" w:ascii="仿宋_GB2312" w:eastAsia="仿宋_GB2312"/>
          <w:color w:val="000000"/>
          <w:kern w:val="0"/>
          <w:szCs w:val="28"/>
        </w:rPr>
        <w:t>向提问者自动推送与问题相似的问题解答思路、学习视频等，提升答疑体验与效率。</w:t>
      </w:r>
      <w:r>
        <w:rPr>
          <w:rFonts w:hint="eastAsia" w:ascii="仿宋_GB2312" w:hAnsi="仿宋" w:eastAsia="仿宋_GB2312"/>
          <w:color w:val="000000"/>
          <w:szCs w:val="28"/>
        </w:rPr>
        <w:t>综合答题数量、质量和学生满意度等情况，为参与在线答疑服务的教师予以经费激励。</w:t>
      </w:r>
      <w:r>
        <w:rPr>
          <w:rFonts w:ascii="仿宋_GB2312" w:hAnsi="仿宋" w:eastAsia="仿宋_GB2312"/>
          <w:color w:val="000000"/>
          <w:szCs w:val="28"/>
        </w:rPr>
        <w:t xml:space="preserve"> </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从学段学科、知识点图谱、区域分布维度对答疑情况进行深度分析，形成在线答疑服务季度、年度数据分析报告。运营“浙里问学”微信公众账号，把“浙里问学”在线答疑服务安排进行数字化整合包装，进行日常运行保障工作，发布宣传推文、回复用户问题留言等。</w:t>
      </w:r>
    </w:p>
    <w:p>
      <w:pPr>
        <w:pStyle w:val="26"/>
        <w:spacing w:line="520" w:lineRule="exact"/>
        <w:ind w:firstLine="600"/>
        <w:outlineLvl w:val="2"/>
        <w:rPr>
          <w:rFonts w:ascii="黑体" w:hAnsi="黑体" w:eastAsia="黑体"/>
          <w:color w:val="000000"/>
          <w:kern w:val="0"/>
          <w:sz w:val="30"/>
          <w:szCs w:val="30"/>
        </w:rPr>
      </w:pPr>
      <w:r>
        <w:rPr>
          <w:rFonts w:hint="eastAsia" w:ascii="黑体" w:hAnsi="黑体" w:eastAsia="黑体"/>
          <w:color w:val="000000"/>
          <w:kern w:val="0"/>
          <w:sz w:val="30"/>
          <w:szCs w:val="30"/>
        </w:rPr>
        <w:t>（二）建设要求</w:t>
      </w:r>
    </w:p>
    <w:p>
      <w:pPr>
        <w:spacing w:line="52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本次项目建设开发的资源均上线发布在之江汇教育广场平台，供师生选用学习，为全省师生提供在线教育教学和在线答疑服务。建设要求如下：</w:t>
      </w:r>
    </w:p>
    <w:p>
      <w:pPr>
        <w:spacing w:line="520" w:lineRule="exact"/>
        <w:ind w:firstLine="600" w:firstLineChars="200"/>
        <w:outlineLvl w:val="3"/>
        <w:rPr>
          <w:rFonts w:ascii="黑体" w:hAnsi="黑体" w:eastAsia="黑体"/>
          <w:sz w:val="32"/>
          <w:szCs w:val="32"/>
        </w:rPr>
      </w:pPr>
      <w:bookmarkStart w:id="32" w:name="_Toc422137097"/>
      <w:r>
        <w:rPr>
          <w:rFonts w:hint="eastAsia" w:ascii="黑体" w:hAnsi="黑体" w:eastAsia="黑体"/>
          <w:sz w:val="30"/>
          <w:szCs w:val="30"/>
        </w:rPr>
        <w:t>2</w:t>
      </w:r>
      <w:r>
        <w:rPr>
          <w:rFonts w:ascii="黑体" w:hAnsi="黑体" w:eastAsia="黑体"/>
          <w:sz w:val="30"/>
          <w:szCs w:val="30"/>
        </w:rPr>
        <w:t>.1</w:t>
      </w:r>
      <w:r>
        <w:rPr>
          <w:rFonts w:hint="eastAsia" w:ascii="黑体" w:hAnsi="黑体" w:eastAsia="黑体"/>
          <w:sz w:val="30"/>
          <w:szCs w:val="30"/>
        </w:rPr>
        <w:t>课程资源建设要求</w:t>
      </w:r>
    </w:p>
    <w:bookmarkEnd w:id="32"/>
    <w:p>
      <w:pPr>
        <w:spacing w:line="520" w:lineRule="exact"/>
        <w:ind w:firstLine="548" w:firstLineChars="196"/>
        <w:rPr>
          <w:rFonts w:eastAsia="仿宋_GB2312"/>
          <w:color w:val="000000"/>
          <w:sz w:val="28"/>
          <w:szCs w:val="28"/>
        </w:rPr>
      </w:pPr>
      <w:bookmarkStart w:id="33" w:name="_Toc422137101"/>
      <w:r>
        <w:rPr>
          <w:rFonts w:eastAsia="仿宋_GB2312"/>
          <w:color w:val="000000"/>
          <w:sz w:val="28"/>
          <w:szCs w:val="28"/>
        </w:rPr>
        <w:t>名师名校金课、素质教育拓展课程、</w:t>
      </w:r>
      <w:r>
        <w:rPr>
          <w:rFonts w:hint="eastAsia" w:eastAsia="仿宋_GB2312"/>
          <w:color w:val="000000"/>
          <w:sz w:val="28"/>
          <w:szCs w:val="28"/>
        </w:rPr>
        <w:t>教材配套资源等课程资源</w:t>
      </w:r>
      <w:r>
        <w:rPr>
          <w:rFonts w:eastAsia="仿宋_GB2312"/>
          <w:color w:val="000000"/>
          <w:sz w:val="28"/>
          <w:szCs w:val="28"/>
        </w:rPr>
        <w:t>建设</w:t>
      </w:r>
      <w:r>
        <w:rPr>
          <w:rFonts w:hint="eastAsia" w:eastAsia="仿宋_GB2312"/>
          <w:color w:val="000000"/>
          <w:sz w:val="28"/>
          <w:szCs w:val="28"/>
        </w:rPr>
        <w:t>需要</w:t>
      </w:r>
      <w:r>
        <w:rPr>
          <w:rFonts w:eastAsia="仿宋_GB2312"/>
          <w:color w:val="000000"/>
          <w:sz w:val="28"/>
          <w:szCs w:val="28"/>
        </w:rPr>
        <w:t>符合以下要求：</w:t>
      </w:r>
    </w:p>
    <w:p>
      <w:pPr>
        <w:pStyle w:val="182"/>
        <w:spacing w:line="520" w:lineRule="exact"/>
        <w:ind w:left="424" w:leftChars="202" w:firstLine="141" w:firstLineChars="50"/>
        <w:outlineLvl w:val="4"/>
        <w:rPr>
          <w:rFonts w:ascii="仿宋" w:hAnsi="仿宋" w:eastAsia="仿宋" w:cs="仿宋"/>
          <w:b/>
          <w:bCs/>
          <w:color w:val="000000"/>
          <w:sz w:val="28"/>
          <w:szCs w:val="28"/>
        </w:rPr>
      </w:pPr>
      <w:r>
        <w:rPr>
          <w:rFonts w:ascii="仿宋" w:hAnsi="仿宋" w:eastAsia="仿宋" w:cs="仿宋"/>
          <w:b/>
          <w:bCs/>
          <w:color w:val="000000"/>
          <w:sz w:val="28"/>
          <w:szCs w:val="28"/>
        </w:rPr>
        <w:t>2.1.1</w:t>
      </w:r>
      <w:r>
        <w:rPr>
          <w:rFonts w:hint="eastAsia" w:ascii="仿宋" w:hAnsi="仿宋" w:eastAsia="仿宋" w:cs="仿宋"/>
          <w:b/>
          <w:bCs/>
          <w:color w:val="000000"/>
          <w:sz w:val="28"/>
          <w:szCs w:val="28"/>
        </w:rPr>
        <w:t>课程资源技术要求</w:t>
      </w:r>
    </w:p>
    <w:p>
      <w:pPr>
        <w:spacing w:line="520" w:lineRule="exact"/>
        <w:ind w:firstLine="548" w:firstLineChars="196"/>
        <w:rPr>
          <w:rFonts w:eastAsia="仿宋_GB2312"/>
          <w:color w:val="000000"/>
          <w:sz w:val="28"/>
          <w:szCs w:val="28"/>
        </w:rPr>
      </w:pPr>
      <w:r>
        <w:rPr>
          <w:rFonts w:hint="eastAsia" w:eastAsia="仿宋_GB2312"/>
          <w:color w:val="000000"/>
          <w:sz w:val="28"/>
          <w:szCs w:val="28"/>
        </w:rPr>
        <w:t>资源类型涵盖微课视频、教学课件、教学设计、学习任务单、作业练习等。</w:t>
      </w:r>
    </w:p>
    <w:p>
      <w:pPr>
        <w:spacing w:line="520" w:lineRule="exact"/>
        <w:ind w:firstLine="548" w:firstLineChars="196"/>
        <w:rPr>
          <w:rFonts w:eastAsia="仿宋_GB2312"/>
          <w:color w:val="000000"/>
          <w:sz w:val="28"/>
          <w:szCs w:val="28"/>
        </w:rPr>
      </w:pPr>
      <w:r>
        <w:rPr>
          <w:rFonts w:hint="eastAsia" w:eastAsia="仿宋_GB2312"/>
          <w:color w:val="000000"/>
          <w:sz w:val="28"/>
          <w:szCs w:val="28"/>
        </w:rPr>
        <w:t>（1）微课视频</w:t>
      </w:r>
    </w:p>
    <w:p>
      <w:pPr>
        <w:spacing w:line="520" w:lineRule="exact"/>
        <w:ind w:firstLine="548" w:firstLineChars="196"/>
        <w:rPr>
          <w:rFonts w:eastAsia="仿宋_GB2312"/>
          <w:color w:val="000000"/>
          <w:sz w:val="28"/>
          <w:szCs w:val="28"/>
        </w:rPr>
      </w:pPr>
      <w:r>
        <w:rPr>
          <w:rFonts w:hint="eastAsia" w:eastAsia="仿宋_GB2312"/>
          <w:color w:val="000000"/>
          <w:sz w:val="28"/>
          <w:szCs w:val="28"/>
        </w:rPr>
        <w:t>微课视频要符合《数字教材 中小学数字教材元数据》《数字教材 中小学数字教材质量要求和检测方法》中有关要求，注重视频质量和青少年近视防控工作。</w:t>
      </w:r>
    </w:p>
    <w:p>
      <w:pPr>
        <w:spacing w:line="520" w:lineRule="exact"/>
        <w:ind w:firstLine="548" w:firstLineChars="196"/>
        <w:rPr>
          <w:rFonts w:eastAsia="仿宋_GB2312"/>
          <w:color w:val="000000"/>
          <w:sz w:val="28"/>
          <w:szCs w:val="28"/>
        </w:rPr>
      </w:pPr>
      <w:r>
        <w:rPr>
          <w:rFonts w:hint="eastAsia" w:eastAsia="仿宋_GB2312"/>
          <w:color w:val="000000"/>
          <w:sz w:val="28"/>
          <w:szCs w:val="28"/>
        </w:rPr>
        <w:t>学科知识类微课视频要求有教师真人出镜，授课教师画面和P</w:t>
      </w:r>
      <w:r>
        <w:rPr>
          <w:rFonts w:eastAsia="仿宋_GB2312"/>
          <w:color w:val="000000"/>
          <w:sz w:val="28"/>
          <w:szCs w:val="28"/>
        </w:rPr>
        <w:t>PT</w:t>
      </w:r>
      <w:r>
        <w:rPr>
          <w:rFonts w:hint="eastAsia" w:eastAsia="仿宋_GB2312"/>
          <w:color w:val="000000"/>
          <w:sz w:val="28"/>
          <w:szCs w:val="28"/>
        </w:rPr>
        <w:t>全屏画面适当切换，</w:t>
      </w:r>
      <w:r>
        <w:rPr>
          <w:rFonts w:eastAsia="仿宋_GB2312"/>
          <w:color w:val="000000"/>
          <w:sz w:val="28"/>
          <w:szCs w:val="28"/>
        </w:rPr>
        <w:t>PPT</w:t>
      </w:r>
      <w:r>
        <w:rPr>
          <w:rFonts w:hint="eastAsia" w:eastAsia="仿宋_GB2312"/>
          <w:color w:val="000000"/>
          <w:sz w:val="28"/>
          <w:szCs w:val="28"/>
        </w:rPr>
        <w:t>模板统一。微课视频要包含片头，时长5秒，文字信息包括：教材版本、学科、年级、课名、主讲教师等信息。视频画面的比例为16∶9，大小不超过1G，编码格式H.264/25帧，分辨率1920*1080P，码率8Mbps，音频ACC编码、码率128Kbps。单个微课视频时长：小学10-15分钟，中学15-20分钟。</w:t>
      </w:r>
    </w:p>
    <w:p>
      <w:pPr>
        <w:spacing w:line="520" w:lineRule="exact"/>
        <w:ind w:firstLine="548" w:firstLineChars="196"/>
        <w:rPr>
          <w:rFonts w:eastAsia="仿宋_GB2312"/>
          <w:color w:val="000000"/>
          <w:sz w:val="28"/>
          <w:szCs w:val="28"/>
        </w:rPr>
      </w:pPr>
      <w:r>
        <w:rPr>
          <w:rFonts w:hint="eastAsia" w:eastAsia="仿宋_GB2312"/>
          <w:color w:val="000000"/>
          <w:sz w:val="28"/>
          <w:szCs w:val="28"/>
        </w:rPr>
        <w:t>课后服务类微课视频</w:t>
      </w:r>
      <w:r>
        <w:rPr>
          <w:rFonts w:eastAsia="仿宋_GB2312"/>
          <w:color w:val="000000"/>
          <w:sz w:val="28"/>
          <w:szCs w:val="28"/>
        </w:rPr>
        <w:t>可</w:t>
      </w:r>
      <w:r>
        <w:rPr>
          <w:rFonts w:hint="eastAsia" w:eastAsia="仿宋_GB2312"/>
          <w:color w:val="000000"/>
          <w:sz w:val="28"/>
          <w:szCs w:val="28"/>
        </w:rPr>
        <w:t>采用</w:t>
      </w:r>
      <w:r>
        <w:rPr>
          <w:rFonts w:eastAsia="仿宋_GB2312"/>
          <w:color w:val="000000"/>
          <w:sz w:val="28"/>
          <w:szCs w:val="28"/>
        </w:rPr>
        <w:t>虚拟动画、真人实景等多样化的表现形式，</w:t>
      </w:r>
      <w:r>
        <w:rPr>
          <w:rFonts w:hint="eastAsia" w:eastAsia="仿宋_GB2312"/>
          <w:color w:val="000000"/>
          <w:sz w:val="28"/>
          <w:szCs w:val="28"/>
        </w:rPr>
        <w:t>增强教学的交互性和可视性</w:t>
      </w:r>
      <w:r>
        <w:rPr>
          <w:rFonts w:eastAsia="仿宋_GB2312"/>
          <w:color w:val="000000"/>
          <w:sz w:val="28"/>
          <w:szCs w:val="28"/>
        </w:rPr>
        <w:t>。避免教学或讲座式的全程出镜方式，包括不得</w:t>
      </w:r>
      <w:r>
        <w:rPr>
          <w:rFonts w:hint="eastAsia" w:eastAsia="仿宋_GB2312"/>
          <w:color w:val="000000"/>
          <w:sz w:val="28"/>
          <w:szCs w:val="28"/>
        </w:rPr>
        <w:t>以画中画的形式出镜。视频画面的比例为16∶9，大小不超过1G，编码格式H.264/25帧，分辨率1920*1080P，码率8Mbps，音频ACC编码、码率128Kbps。每个课时的微课视频时长10-15分钟。</w:t>
      </w:r>
    </w:p>
    <w:p>
      <w:pPr>
        <w:spacing w:line="520" w:lineRule="exact"/>
        <w:ind w:firstLine="548" w:firstLineChars="196"/>
        <w:rPr>
          <w:rFonts w:eastAsia="仿宋_GB2312"/>
          <w:color w:val="000000"/>
          <w:sz w:val="28"/>
          <w:szCs w:val="28"/>
        </w:rPr>
      </w:pPr>
      <w:r>
        <w:rPr>
          <w:rFonts w:hint="eastAsia" w:eastAsia="仿宋_GB2312"/>
          <w:color w:val="000000"/>
          <w:sz w:val="28"/>
          <w:szCs w:val="28"/>
        </w:rPr>
        <w:t>（2）教学课件</w:t>
      </w:r>
    </w:p>
    <w:p>
      <w:pPr>
        <w:spacing w:line="520" w:lineRule="exact"/>
        <w:ind w:firstLine="548" w:firstLineChars="196"/>
        <w:rPr>
          <w:rFonts w:eastAsia="仿宋_GB2312"/>
          <w:color w:val="000000"/>
          <w:sz w:val="28"/>
          <w:szCs w:val="28"/>
        </w:rPr>
      </w:pPr>
      <w:r>
        <w:rPr>
          <w:rFonts w:hint="eastAsia" w:eastAsia="仿宋_GB2312"/>
          <w:color w:val="000000"/>
          <w:sz w:val="28"/>
          <w:szCs w:val="28"/>
        </w:rPr>
        <w:t>教学课件及其嵌入的媒体素材应确保内容科学，政治方向正确，质量清晰，课件画面比例1</w:t>
      </w:r>
      <w:r>
        <w:rPr>
          <w:rFonts w:eastAsia="仿宋_GB2312"/>
          <w:color w:val="000000"/>
          <w:sz w:val="28"/>
          <w:szCs w:val="28"/>
        </w:rPr>
        <w:t>6</w:t>
      </w:r>
      <w:r>
        <w:rPr>
          <w:rFonts w:hint="eastAsia" w:eastAsia="仿宋_GB2312"/>
          <w:color w:val="000000"/>
          <w:sz w:val="28"/>
          <w:szCs w:val="28"/>
        </w:rPr>
        <w:t>：9，大小不超过1</w:t>
      </w:r>
      <w:r>
        <w:rPr>
          <w:rFonts w:eastAsia="仿宋_GB2312"/>
          <w:color w:val="000000"/>
          <w:sz w:val="28"/>
          <w:szCs w:val="28"/>
        </w:rPr>
        <w:t>00M。</w:t>
      </w:r>
      <w:r>
        <w:rPr>
          <w:rFonts w:hint="eastAsia" w:eastAsia="仿宋_GB2312"/>
          <w:color w:val="000000"/>
          <w:sz w:val="28"/>
          <w:szCs w:val="28"/>
        </w:rPr>
        <w:t>引用的媒体资源无版权问题，不含任何广告，引用网络视频等资料注明出处和来源。</w:t>
      </w:r>
    </w:p>
    <w:p>
      <w:pPr>
        <w:spacing w:line="520" w:lineRule="exact"/>
        <w:ind w:firstLine="548" w:firstLineChars="196"/>
        <w:rPr>
          <w:rFonts w:eastAsia="仿宋_GB2312"/>
          <w:color w:val="000000"/>
          <w:sz w:val="28"/>
          <w:szCs w:val="28"/>
        </w:rPr>
      </w:pPr>
      <w:r>
        <w:rPr>
          <w:rFonts w:hint="eastAsia" w:eastAsia="仿宋_GB2312"/>
          <w:color w:val="000000"/>
          <w:sz w:val="28"/>
          <w:szCs w:val="28"/>
        </w:rPr>
        <w:t>（3）文档</w:t>
      </w:r>
    </w:p>
    <w:p>
      <w:pPr>
        <w:spacing w:line="520" w:lineRule="exact"/>
        <w:ind w:firstLine="548" w:firstLineChars="196"/>
        <w:rPr>
          <w:rFonts w:eastAsia="仿宋_GB2312"/>
          <w:color w:val="000000"/>
          <w:sz w:val="28"/>
          <w:szCs w:val="28"/>
        </w:rPr>
      </w:pPr>
      <w:r>
        <w:rPr>
          <w:rFonts w:hint="eastAsia" w:eastAsia="仿宋_GB2312"/>
          <w:color w:val="000000"/>
          <w:sz w:val="28"/>
          <w:szCs w:val="28"/>
        </w:rPr>
        <w:t>教学设计、学习任务单、作业练习等以文本的形式呈现，大小不超过1</w:t>
      </w:r>
      <w:r>
        <w:rPr>
          <w:rFonts w:eastAsia="仿宋_GB2312"/>
          <w:color w:val="000000"/>
          <w:sz w:val="28"/>
          <w:szCs w:val="28"/>
        </w:rPr>
        <w:t>00M</w:t>
      </w:r>
      <w:r>
        <w:rPr>
          <w:rFonts w:hint="eastAsia" w:eastAsia="仿宋_GB2312"/>
          <w:color w:val="000000"/>
          <w:sz w:val="28"/>
          <w:szCs w:val="28"/>
        </w:rPr>
        <w:t>。教学设计应至少包含教学目标、教学内容和教学过程等，学习任务单内容应包括学习目标、学习任务、学习准备、学习方式等，作业练习应与学习目标相一致。</w:t>
      </w:r>
    </w:p>
    <w:p>
      <w:pPr>
        <w:spacing w:line="520" w:lineRule="exact"/>
        <w:ind w:firstLine="548" w:firstLineChars="196"/>
        <w:rPr>
          <w:rFonts w:eastAsia="仿宋_GB2312"/>
          <w:color w:val="000000"/>
          <w:sz w:val="28"/>
          <w:szCs w:val="28"/>
        </w:rPr>
      </w:pPr>
      <w:r>
        <w:rPr>
          <w:rFonts w:hint="eastAsia" w:eastAsia="仿宋_GB2312"/>
          <w:color w:val="000000"/>
          <w:sz w:val="28"/>
          <w:szCs w:val="28"/>
        </w:rPr>
        <w:t>（4）其他技术要求</w:t>
      </w:r>
    </w:p>
    <w:p>
      <w:pPr>
        <w:spacing w:line="520" w:lineRule="exact"/>
        <w:ind w:firstLine="548" w:firstLineChars="196"/>
        <w:rPr>
          <w:rFonts w:eastAsia="仿宋_GB2312"/>
          <w:color w:val="000000"/>
          <w:sz w:val="28"/>
          <w:szCs w:val="28"/>
        </w:rPr>
      </w:pPr>
      <w:r>
        <w:rPr>
          <w:rFonts w:hint="eastAsia" w:eastAsia="仿宋_GB2312"/>
          <w:color w:val="000000"/>
          <w:sz w:val="28"/>
          <w:szCs w:val="28"/>
        </w:rPr>
        <w:t>教师语言规范，录制视音频时讲解的语速和语言内容适当，录制微课所用课件画面不小于1920×1080、画质清晰，同一门课程的课件采用相同的PPT模板。</w:t>
      </w:r>
    </w:p>
    <w:p>
      <w:pPr>
        <w:pStyle w:val="182"/>
        <w:spacing w:line="520" w:lineRule="exact"/>
        <w:ind w:firstLine="644" w:firstLineChars="229"/>
        <w:outlineLvl w:val="4"/>
        <w:rPr>
          <w:rFonts w:ascii="仿宋" w:hAnsi="仿宋" w:eastAsia="仿宋"/>
          <w:b/>
          <w:color w:val="000000"/>
          <w:sz w:val="28"/>
          <w:szCs w:val="28"/>
          <w:lang w:eastAsia="zh-Hans"/>
        </w:rPr>
      </w:pPr>
      <w:r>
        <w:rPr>
          <w:rFonts w:ascii="仿宋" w:hAnsi="仿宋" w:eastAsia="仿宋"/>
          <w:b/>
          <w:color w:val="000000"/>
          <w:sz w:val="28"/>
          <w:szCs w:val="28"/>
          <w:lang w:eastAsia="zh-Hans"/>
        </w:rPr>
        <w:t>2.1.2</w:t>
      </w:r>
      <w:r>
        <w:rPr>
          <w:rFonts w:hint="eastAsia" w:ascii="仿宋" w:hAnsi="仿宋" w:eastAsia="仿宋"/>
          <w:b/>
          <w:color w:val="000000"/>
          <w:sz w:val="28"/>
          <w:szCs w:val="28"/>
          <w:lang w:eastAsia="zh-Hans"/>
        </w:rPr>
        <w:t>课程资源培训要求</w:t>
      </w:r>
    </w:p>
    <w:p>
      <w:pPr>
        <w:spacing w:line="520" w:lineRule="exact"/>
        <w:ind w:firstLine="548" w:firstLineChars="196"/>
        <w:rPr>
          <w:rFonts w:eastAsia="仿宋_GB2312"/>
          <w:color w:val="000000"/>
          <w:sz w:val="28"/>
          <w:szCs w:val="28"/>
        </w:rPr>
      </w:pPr>
      <w:r>
        <w:rPr>
          <w:rFonts w:hint="eastAsia" w:eastAsia="仿宋_GB2312"/>
          <w:color w:val="000000"/>
          <w:sz w:val="28"/>
          <w:szCs w:val="28"/>
        </w:rPr>
        <w:t>为参与承建的教师个人或团队提供不少于5次线上线下的资源建设与开发培训，参与培训教师</w:t>
      </w:r>
      <w:r>
        <w:rPr>
          <w:rFonts w:eastAsia="仿宋_GB2312"/>
          <w:color w:val="000000"/>
          <w:sz w:val="28"/>
          <w:szCs w:val="28"/>
        </w:rPr>
        <w:t>总</w:t>
      </w:r>
      <w:r>
        <w:rPr>
          <w:rFonts w:hint="eastAsia" w:eastAsia="仿宋_GB2312"/>
          <w:color w:val="000000"/>
          <w:sz w:val="28"/>
          <w:szCs w:val="28"/>
        </w:rPr>
        <w:t>数不少于1</w:t>
      </w:r>
      <w:r>
        <w:rPr>
          <w:rFonts w:eastAsia="仿宋_GB2312"/>
          <w:color w:val="000000"/>
          <w:sz w:val="28"/>
          <w:szCs w:val="28"/>
        </w:rPr>
        <w:t>000</w:t>
      </w:r>
      <w:r>
        <w:rPr>
          <w:rFonts w:hint="eastAsia" w:eastAsia="仿宋_GB2312"/>
          <w:color w:val="000000"/>
          <w:sz w:val="28"/>
          <w:szCs w:val="28"/>
        </w:rPr>
        <w:t>人。</w:t>
      </w:r>
    </w:p>
    <w:p>
      <w:pPr>
        <w:pStyle w:val="182"/>
        <w:spacing w:line="520" w:lineRule="exact"/>
        <w:ind w:firstLine="644" w:firstLineChars="229"/>
        <w:outlineLvl w:val="4"/>
        <w:rPr>
          <w:rFonts w:ascii="仿宋" w:hAnsi="仿宋" w:eastAsia="仿宋"/>
          <w:b/>
          <w:color w:val="000000"/>
          <w:sz w:val="28"/>
          <w:szCs w:val="28"/>
          <w:lang w:eastAsia="zh-Hans"/>
        </w:rPr>
      </w:pPr>
      <w:r>
        <w:rPr>
          <w:rFonts w:ascii="仿宋" w:hAnsi="仿宋" w:eastAsia="仿宋"/>
          <w:b/>
          <w:color w:val="000000"/>
          <w:sz w:val="28"/>
          <w:szCs w:val="28"/>
          <w:lang w:eastAsia="zh-Hans"/>
        </w:rPr>
        <w:t>2.1.3</w:t>
      </w:r>
      <w:r>
        <w:rPr>
          <w:rFonts w:hint="eastAsia" w:ascii="仿宋" w:hAnsi="仿宋" w:eastAsia="仿宋"/>
          <w:b/>
          <w:color w:val="000000"/>
          <w:sz w:val="28"/>
          <w:szCs w:val="28"/>
          <w:lang w:eastAsia="zh-Hans"/>
        </w:rPr>
        <w:t>课程资源审核与发布要求</w:t>
      </w:r>
    </w:p>
    <w:p>
      <w:pPr>
        <w:spacing w:line="520" w:lineRule="exact"/>
        <w:ind w:firstLine="548" w:firstLineChars="196"/>
        <w:rPr>
          <w:rFonts w:eastAsia="仿宋_GB2312"/>
          <w:color w:val="000000"/>
          <w:sz w:val="28"/>
          <w:szCs w:val="28"/>
        </w:rPr>
      </w:pPr>
      <w:r>
        <w:rPr>
          <w:rFonts w:hint="eastAsia" w:eastAsia="仿宋_GB2312"/>
          <w:color w:val="000000"/>
          <w:sz w:val="28"/>
          <w:szCs w:val="28"/>
        </w:rPr>
        <w:t>中标方需要提供不少于1</w:t>
      </w:r>
      <w:r>
        <w:rPr>
          <w:rFonts w:eastAsia="仿宋_GB2312"/>
          <w:color w:val="000000"/>
          <w:sz w:val="28"/>
          <w:szCs w:val="28"/>
        </w:rPr>
        <w:t>0</w:t>
      </w:r>
      <w:r>
        <w:rPr>
          <w:rFonts w:hint="eastAsia" w:eastAsia="仿宋_GB2312"/>
          <w:color w:val="000000"/>
          <w:sz w:val="28"/>
          <w:szCs w:val="28"/>
        </w:rPr>
        <w:t>个课时的样例资源，经采购人确认同意后，组织开展课程资源建设。数字教育课程资源落实“上线必审”原则，要以市县教研员、市级及以上教坛新秀、学科骨干教师、专业技术人员等组建专家审核队伍，对于资源建设内容进行过程指导，对所建课程资源进行学科和技术审核。通过专家审核后，符合要求的资源在之江汇教育广场平台上发布展示，资源内容无政治性、科学性等错误。</w:t>
      </w:r>
    </w:p>
    <w:p>
      <w:pPr>
        <w:spacing w:line="520" w:lineRule="exact"/>
        <w:ind w:firstLine="640" w:firstLineChars="200"/>
        <w:outlineLvl w:val="3"/>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.2</w:t>
      </w:r>
      <w:r>
        <w:rPr>
          <w:rFonts w:hint="eastAsia" w:ascii="黑体" w:hAnsi="黑体" w:eastAsia="黑体"/>
          <w:sz w:val="32"/>
          <w:szCs w:val="32"/>
        </w:rPr>
        <w:t>教学服务要求</w:t>
      </w:r>
    </w:p>
    <w:p>
      <w:pPr>
        <w:pStyle w:val="182"/>
        <w:spacing w:line="520" w:lineRule="exact"/>
        <w:ind w:firstLine="644" w:firstLineChars="229"/>
        <w:outlineLvl w:val="4"/>
        <w:rPr>
          <w:rFonts w:ascii="仿宋" w:hAnsi="仿宋" w:eastAsia="仿宋"/>
          <w:b/>
          <w:color w:val="000000"/>
          <w:sz w:val="28"/>
          <w:szCs w:val="28"/>
          <w:lang w:eastAsia="zh-Hans"/>
        </w:rPr>
      </w:pPr>
      <w:r>
        <w:rPr>
          <w:rFonts w:ascii="仿宋" w:hAnsi="仿宋" w:eastAsia="仿宋"/>
          <w:b/>
          <w:color w:val="000000"/>
          <w:sz w:val="28"/>
          <w:szCs w:val="28"/>
          <w:lang w:eastAsia="zh-Hans"/>
        </w:rPr>
        <w:t>2.2.1</w:t>
      </w:r>
      <w:r>
        <w:rPr>
          <w:rFonts w:hint="eastAsia" w:ascii="仿宋" w:hAnsi="仿宋" w:eastAsia="仿宋"/>
          <w:b/>
          <w:color w:val="000000"/>
          <w:sz w:val="28"/>
          <w:szCs w:val="28"/>
          <w:lang w:eastAsia="zh-Hans"/>
        </w:rPr>
        <w:t>名师网络工作室服务</w:t>
      </w:r>
      <w:r>
        <w:rPr>
          <w:rFonts w:ascii="仿宋" w:hAnsi="仿宋" w:eastAsia="仿宋"/>
          <w:b/>
          <w:color w:val="000000"/>
          <w:sz w:val="28"/>
          <w:szCs w:val="28"/>
          <w:lang w:eastAsia="zh-Hans"/>
        </w:rPr>
        <w:t>要求</w:t>
      </w:r>
    </w:p>
    <w:p>
      <w:pPr>
        <w:pStyle w:val="182"/>
        <w:spacing w:line="520" w:lineRule="exact"/>
        <w:ind w:firstLine="560"/>
        <w:rPr>
          <w:rFonts w:eastAsia="仿宋_GB2312"/>
          <w:color w:val="000000"/>
          <w:sz w:val="28"/>
          <w:szCs w:val="28"/>
        </w:rPr>
      </w:pPr>
      <w:r>
        <w:rPr>
          <w:rFonts w:eastAsia="仿宋_GB2312"/>
          <w:color w:val="000000"/>
          <w:sz w:val="28"/>
          <w:szCs w:val="28"/>
        </w:rPr>
        <w:t>做好名师网络工作室实施方案、学年计划、特色项目方案等审核与指导，建立每个工作室的</w:t>
      </w:r>
      <w:r>
        <w:rPr>
          <w:rFonts w:hint="eastAsia" w:eastAsia="仿宋_GB2312"/>
          <w:color w:val="000000"/>
          <w:sz w:val="28"/>
          <w:szCs w:val="28"/>
        </w:rPr>
        <w:t>管</w:t>
      </w:r>
      <w:r>
        <w:rPr>
          <w:rFonts w:eastAsia="仿宋_GB2312"/>
          <w:color w:val="000000"/>
          <w:sz w:val="28"/>
          <w:szCs w:val="28"/>
        </w:rPr>
        <w:t>理档案</w:t>
      </w:r>
      <w:r>
        <w:rPr>
          <w:rFonts w:hint="eastAsia" w:eastAsia="仿宋_GB2312"/>
          <w:color w:val="000000"/>
          <w:sz w:val="28"/>
          <w:szCs w:val="28"/>
        </w:rPr>
        <w:t>，</w:t>
      </w:r>
      <w:r>
        <w:rPr>
          <w:rFonts w:eastAsia="仿宋_GB2312"/>
          <w:color w:val="000000"/>
          <w:sz w:val="28"/>
          <w:szCs w:val="28"/>
        </w:rPr>
        <w:t>监管省级名师工作室的信息安全</w:t>
      </w:r>
      <w:r>
        <w:rPr>
          <w:rFonts w:hint="eastAsia" w:eastAsia="仿宋_GB2312"/>
          <w:color w:val="000000"/>
          <w:sz w:val="28"/>
          <w:szCs w:val="28"/>
        </w:rPr>
        <w:t>。</w:t>
      </w:r>
      <w:r>
        <w:rPr>
          <w:rFonts w:eastAsia="仿宋_GB2312"/>
          <w:color w:val="000000"/>
          <w:sz w:val="28"/>
          <w:szCs w:val="28"/>
        </w:rPr>
        <w:t>开展针对性的培训</w:t>
      </w:r>
      <w:r>
        <w:rPr>
          <w:rFonts w:hint="eastAsia" w:eastAsia="仿宋_GB2312"/>
          <w:color w:val="000000"/>
          <w:sz w:val="28"/>
          <w:szCs w:val="28"/>
        </w:rPr>
        <w:t>，</w:t>
      </w:r>
      <w:r>
        <w:rPr>
          <w:rFonts w:eastAsia="仿宋_GB2312"/>
          <w:color w:val="000000"/>
          <w:sz w:val="28"/>
          <w:szCs w:val="28"/>
        </w:rPr>
        <w:t>围绕工作室建设与应用的需求开展有关技术应用、资源建设、网络研修、课题研究等培训活动</w:t>
      </w:r>
      <w:r>
        <w:rPr>
          <w:rFonts w:hint="eastAsia" w:eastAsia="仿宋_GB2312"/>
          <w:color w:val="000000"/>
          <w:sz w:val="28"/>
          <w:szCs w:val="28"/>
        </w:rPr>
        <w:t>。</w:t>
      </w:r>
      <w:r>
        <w:rPr>
          <w:rFonts w:eastAsia="仿宋_GB2312"/>
          <w:color w:val="000000"/>
          <w:sz w:val="28"/>
          <w:szCs w:val="28"/>
        </w:rPr>
        <w:t>组织名师网络工作室开展对山区26县及海岛县的帮扶送教活动，持续跟进2个特色帮扶项目，培育成效明显的案例至少3个，提交项目总结报告1份。</w:t>
      </w:r>
      <w:r>
        <w:rPr>
          <w:rFonts w:hint="eastAsia" w:eastAsia="仿宋_GB2312"/>
          <w:color w:val="000000"/>
          <w:sz w:val="28"/>
          <w:szCs w:val="28"/>
        </w:rPr>
        <w:t>定期</w:t>
      </w:r>
      <w:r>
        <w:rPr>
          <w:rFonts w:eastAsia="仿宋_GB2312"/>
          <w:color w:val="000000"/>
          <w:sz w:val="28"/>
          <w:szCs w:val="28"/>
        </w:rPr>
        <w:t>做一次工作室建设应用数据与案例的梳理与分析，发布工作简报</w:t>
      </w:r>
      <w:r>
        <w:rPr>
          <w:rFonts w:hint="eastAsia" w:eastAsia="仿宋_GB2312"/>
          <w:color w:val="000000"/>
          <w:sz w:val="28"/>
          <w:szCs w:val="28"/>
        </w:rPr>
        <w:t>，完成</w:t>
      </w:r>
      <w:r>
        <w:rPr>
          <w:rFonts w:eastAsia="仿宋_GB2312"/>
          <w:color w:val="000000"/>
          <w:sz w:val="28"/>
          <w:szCs w:val="28"/>
        </w:rPr>
        <w:t>2022学年名师网络工作室发展报告。</w:t>
      </w:r>
    </w:p>
    <w:p>
      <w:pPr>
        <w:pStyle w:val="182"/>
        <w:spacing w:line="520" w:lineRule="exact"/>
        <w:ind w:firstLine="644" w:firstLineChars="229"/>
        <w:outlineLvl w:val="4"/>
        <w:rPr>
          <w:rFonts w:ascii="仿宋" w:hAnsi="仿宋" w:eastAsia="仿宋"/>
          <w:b/>
          <w:color w:val="000000"/>
          <w:sz w:val="28"/>
          <w:szCs w:val="28"/>
          <w:lang w:eastAsia="zh-Hans"/>
        </w:rPr>
      </w:pPr>
      <w:r>
        <w:rPr>
          <w:rFonts w:ascii="仿宋" w:hAnsi="仿宋" w:eastAsia="仿宋"/>
          <w:b/>
          <w:color w:val="000000"/>
          <w:sz w:val="28"/>
          <w:szCs w:val="28"/>
          <w:lang w:eastAsia="zh-Hans"/>
        </w:rPr>
        <w:t>2.2.2</w:t>
      </w:r>
      <w:r>
        <w:rPr>
          <w:rFonts w:hint="eastAsia" w:ascii="仿宋" w:hAnsi="仿宋" w:eastAsia="仿宋"/>
          <w:b/>
          <w:color w:val="000000"/>
          <w:sz w:val="28"/>
          <w:szCs w:val="28"/>
          <w:lang w:eastAsia="zh-Hans"/>
        </w:rPr>
        <w:t>在线答疑服务要求</w:t>
      </w:r>
    </w:p>
    <w:p>
      <w:pPr>
        <w:spacing w:line="520" w:lineRule="exact"/>
        <w:ind w:firstLine="560" w:firstLineChars="200"/>
        <w:rPr>
          <w:rFonts w:eastAsia="仿宋_GB2312"/>
          <w:color w:val="000000"/>
          <w:sz w:val="28"/>
          <w:szCs w:val="28"/>
        </w:rPr>
      </w:pPr>
      <w:r>
        <w:rPr>
          <w:rFonts w:hint="eastAsia" w:eastAsia="仿宋_GB2312"/>
          <w:color w:val="000000"/>
          <w:sz w:val="28"/>
          <w:szCs w:val="28"/>
        </w:rPr>
        <w:t>基于“浙里问学”免费在线答疑服务系统，组织对接志愿者教师和名师为全省有需求的义务教育段学生和家长提供一对一的在线答疑服务。加强答疑教师团队的组织与管理，注重教师解答即时性，关于名师答疑服务、志愿者答疑服务各提交1份操作手册文档，对于参与服务的教师开展不少于2次的线上线下在线答疑服务培训。同时，迭代更新平台答疑服务性能，提供稳定、便捷的用户答疑体验，</w:t>
      </w:r>
      <w:r>
        <w:rPr>
          <w:rFonts w:eastAsia="仿宋_GB2312"/>
          <w:color w:val="000000"/>
          <w:sz w:val="28"/>
          <w:szCs w:val="28"/>
        </w:rPr>
        <w:t>监管</w:t>
      </w:r>
      <w:r>
        <w:rPr>
          <w:rFonts w:hint="eastAsia" w:eastAsia="仿宋_GB2312"/>
          <w:color w:val="000000"/>
          <w:sz w:val="28"/>
          <w:szCs w:val="28"/>
        </w:rPr>
        <w:t>“浙里问学”在线答疑服务系统</w:t>
      </w:r>
      <w:r>
        <w:rPr>
          <w:rFonts w:eastAsia="仿宋_GB2312"/>
          <w:color w:val="000000"/>
          <w:sz w:val="28"/>
          <w:szCs w:val="28"/>
        </w:rPr>
        <w:t>的信息安全，确保不出现信息安全事故</w:t>
      </w:r>
      <w:r>
        <w:rPr>
          <w:rFonts w:hint="eastAsia" w:eastAsia="仿宋_GB2312"/>
          <w:color w:val="000000"/>
          <w:sz w:val="28"/>
          <w:szCs w:val="28"/>
        </w:rPr>
        <w:t>。“浙里问学”微信公众号宣传推文不少1</w:t>
      </w:r>
      <w:r>
        <w:rPr>
          <w:rFonts w:eastAsia="仿宋_GB2312"/>
          <w:color w:val="000000"/>
          <w:sz w:val="28"/>
          <w:szCs w:val="28"/>
        </w:rPr>
        <w:t>0</w:t>
      </w:r>
      <w:r>
        <w:rPr>
          <w:rFonts w:hint="eastAsia" w:eastAsia="仿宋_GB2312"/>
          <w:color w:val="000000"/>
          <w:sz w:val="28"/>
          <w:szCs w:val="28"/>
        </w:rPr>
        <w:t>篇，完成“浙里问学”在线答疑服务情况年度总结报告。</w:t>
      </w:r>
    </w:p>
    <w:p>
      <w:pPr>
        <w:spacing w:line="520" w:lineRule="exact"/>
        <w:ind w:firstLine="640" w:firstLineChars="200"/>
        <w:outlineLvl w:val="3"/>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.3</w:t>
      </w:r>
      <w:r>
        <w:rPr>
          <w:rFonts w:hint="eastAsia" w:ascii="黑体" w:hAnsi="黑体" w:eastAsia="黑体"/>
          <w:sz w:val="32"/>
          <w:szCs w:val="32"/>
        </w:rPr>
        <w:t>资源使用满意度要求</w:t>
      </w:r>
    </w:p>
    <w:p>
      <w:pPr>
        <w:spacing w:line="520" w:lineRule="exact"/>
        <w:ind w:firstLine="560" w:firstLineChars="200"/>
        <w:rPr>
          <w:rFonts w:eastAsia="仿宋_GB2312"/>
          <w:color w:val="000000"/>
          <w:sz w:val="28"/>
          <w:szCs w:val="28"/>
        </w:rPr>
      </w:pPr>
      <w:r>
        <w:rPr>
          <w:rFonts w:hint="eastAsia" w:eastAsia="仿宋_GB2312"/>
          <w:color w:val="000000"/>
          <w:sz w:val="28"/>
          <w:szCs w:val="28"/>
        </w:rPr>
        <w:t>开展课程资源使用指导与应用推广，名师名校金课、素质教育拓展课程资源学习人次不少于5</w:t>
      </w:r>
      <w:r>
        <w:rPr>
          <w:rFonts w:eastAsia="仿宋_GB2312"/>
          <w:color w:val="000000"/>
          <w:sz w:val="28"/>
          <w:szCs w:val="28"/>
        </w:rPr>
        <w:t>0</w:t>
      </w:r>
      <w:r>
        <w:rPr>
          <w:rFonts w:hint="eastAsia" w:eastAsia="仿宋_GB2312"/>
          <w:color w:val="000000"/>
          <w:sz w:val="28"/>
          <w:szCs w:val="28"/>
        </w:rPr>
        <w:t>万，“浙里问学”有效答疑次数不少于5万次。制定2</w:t>
      </w:r>
      <w:r>
        <w:rPr>
          <w:rFonts w:eastAsia="仿宋_GB2312"/>
          <w:color w:val="000000"/>
          <w:sz w:val="28"/>
          <w:szCs w:val="28"/>
        </w:rPr>
        <w:t>023</w:t>
      </w:r>
      <w:r>
        <w:rPr>
          <w:rFonts w:hint="eastAsia" w:eastAsia="仿宋_GB2312"/>
          <w:color w:val="000000"/>
          <w:sz w:val="28"/>
          <w:szCs w:val="28"/>
        </w:rPr>
        <w:t>年之江汇教育广场数字资源建设项目的调查问卷，面向省内中小学师生发放问卷，有效回收问卷量要求不少于5</w:t>
      </w:r>
      <w:r>
        <w:rPr>
          <w:rFonts w:eastAsia="仿宋_GB2312"/>
          <w:color w:val="000000"/>
          <w:sz w:val="28"/>
          <w:szCs w:val="28"/>
        </w:rPr>
        <w:t>00</w:t>
      </w:r>
      <w:r>
        <w:rPr>
          <w:rFonts w:hint="eastAsia" w:eastAsia="仿宋_GB2312"/>
          <w:color w:val="000000"/>
          <w:sz w:val="28"/>
          <w:szCs w:val="28"/>
        </w:rPr>
        <w:t>份，师生资源使用满意度不低于8</w:t>
      </w:r>
      <w:r>
        <w:rPr>
          <w:rFonts w:eastAsia="仿宋_GB2312"/>
          <w:color w:val="000000"/>
          <w:sz w:val="28"/>
          <w:szCs w:val="28"/>
        </w:rPr>
        <w:t>0%</w:t>
      </w:r>
      <w:r>
        <w:rPr>
          <w:rFonts w:hint="eastAsia" w:eastAsia="仿宋_GB2312"/>
          <w:color w:val="000000"/>
          <w:sz w:val="28"/>
          <w:szCs w:val="28"/>
        </w:rPr>
        <w:t>。</w:t>
      </w:r>
    </w:p>
    <w:p>
      <w:pPr>
        <w:pStyle w:val="182"/>
        <w:spacing w:line="520" w:lineRule="exact"/>
        <w:ind w:left="424" w:leftChars="202" w:firstLine="150" w:firstLineChars="50"/>
        <w:outlineLvl w:val="2"/>
        <w:rPr>
          <w:rFonts w:ascii="黑体" w:hAnsi="黑体" w:eastAsia="黑体"/>
          <w:color w:val="000000"/>
          <w:sz w:val="30"/>
          <w:szCs w:val="30"/>
        </w:rPr>
      </w:pPr>
      <w:r>
        <w:rPr>
          <w:rFonts w:hint="eastAsia" w:ascii="黑体" w:hAnsi="黑体" w:eastAsia="黑体"/>
          <w:color w:val="000000"/>
          <w:sz w:val="30"/>
          <w:szCs w:val="30"/>
        </w:rPr>
        <w:t>（三）资源版权要求</w:t>
      </w:r>
    </w:p>
    <w:p>
      <w:pPr>
        <w:spacing w:line="520" w:lineRule="exact"/>
        <w:ind w:firstLine="560" w:firstLineChars="200"/>
        <w:rPr>
          <w:rFonts w:ascii="仿宋_GB2312" w:hAnsi="仿宋" w:eastAsia="仿宋_GB2312"/>
          <w:sz w:val="28"/>
          <w:szCs w:val="28"/>
        </w:rPr>
      </w:pPr>
      <w:r>
        <w:rPr>
          <w:rFonts w:hint="eastAsia" w:eastAsia="仿宋_GB2312"/>
          <w:color w:val="000000"/>
          <w:sz w:val="28"/>
          <w:szCs w:val="28"/>
        </w:rPr>
        <w:t>（1）2023年之江汇教育广场数字资源建设项目工作，需严格遵守《中华人民共和国著作权法》及相关法规的有关规定，采购人</w:t>
      </w:r>
      <w:r>
        <w:rPr>
          <w:rFonts w:hint="eastAsia" w:ascii="仿宋_GB2312" w:hAnsi="仿宋" w:eastAsia="仿宋_GB2312"/>
          <w:sz w:val="28"/>
          <w:szCs w:val="28"/>
        </w:rPr>
        <w:t>拥有本项目所建资源网络传播权、出版发行权。</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（2）中标方须保证所供资源符合国家有关规定。并保证所供资源具有合法的版权或使用权，本项目资源如在本项目范围内使用过程中出现版权或使用权纠纷，由中标方负责，采购人不承担任何责任。</w:t>
      </w:r>
    </w:p>
    <w:p>
      <w:pPr>
        <w:spacing w:line="520" w:lineRule="exact"/>
        <w:ind w:firstLine="560" w:firstLineChars="200"/>
        <w:rPr>
          <w:rFonts w:eastAsia="仿宋_GB2312"/>
          <w:color w:val="000000"/>
          <w:sz w:val="28"/>
          <w:szCs w:val="28"/>
        </w:rPr>
      </w:pPr>
      <w:r>
        <w:rPr>
          <w:rFonts w:hint="eastAsia" w:eastAsia="仿宋_GB2312"/>
          <w:color w:val="000000"/>
          <w:sz w:val="28"/>
          <w:szCs w:val="28"/>
        </w:rPr>
        <w:t>（3）中标方相关工作人员出现违法、违规、违反社会道德及有反意识形态等情况，采购人有权解除合同，中标方退回采购人已支付的所有款项，并赔偿采购人一切损失。</w:t>
      </w:r>
    </w:p>
    <w:p>
      <w:pPr>
        <w:spacing w:line="520" w:lineRule="exact"/>
        <w:ind w:firstLine="560" w:firstLineChars="200"/>
        <w:rPr>
          <w:rFonts w:eastAsia="仿宋_GB2312"/>
          <w:color w:val="000000"/>
          <w:sz w:val="28"/>
          <w:szCs w:val="28"/>
        </w:rPr>
      </w:pPr>
      <w:r>
        <w:rPr>
          <w:rFonts w:hint="eastAsia" w:eastAsia="仿宋_GB2312"/>
          <w:color w:val="000000"/>
          <w:sz w:val="28"/>
          <w:szCs w:val="28"/>
        </w:rPr>
        <w:t>（4）中标方不得擅自向第三方透露本项目所有相关内容，也不得将本项目素材及成片用于商业活动，一切因此而产生的法律责任由中标方自行负责。</w:t>
      </w:r>
    </w:p>
    <w:p>
      <w:pPr>
        <w:spacing w:line="520" w:lineRule="exact"/>
        <w:ind w:firstLine="640" w:firstLineChars="200"/>
        <w:outlineLvl w:val="2"/>
        <w:rPr>
          <w:rFonts w:ascii="黑体" w:hAnsi="黑体" w:eastAsia="黑体"/>
          <w:sz w:val="32"/>
          <w:szCs w:val="32"/>
        </w:rPr>
      </w:pPr>
      <w:r>
        <w:rPr>
          <w:rFonts w:hint="eastAsia" w:ascii="黑体" w:hAnsi="黑体" w:eastAsia="黑体"/>
          <w:sz w:val="32"/>
          <w:szCs w:val="32"/>
        </w:rPr>
        <w:t>（四）人员队伍要求</w:t>
      </w:r>
    </w:p>
    <w:p>
      <w:pPr>
        <w:spacing w:line="520" w:lineRule="exact"/>
        <w:ind w:firstLine="548" w:firstLineChars="196"/>
        <w:rPr>
          <w:rFonts w:eastAsia="仿宋_GB2312"/>
          <w:color w:val="000000"/>
          <w:sz w:val="28"/>
          <w:szCs w:val="28"/>
        </w:rPr>
      </w:pPr>
      <w:r>
        <w:rPr>
          <w:rFonts w:hint="eastAsia" w:eastAsia="仿宋_GB2312"/>
          <w:color w:val="000000"/>
          <w:sz w:val="28"/>
          <w:szCs w:val="28"/>
        </w:rPr>
        <w:t>本项目要求提供团队人员数量不少于1</w:t>
      </w:r>
      <w:r>
        <w:rPr>
          <w:rFonts w:eastAsia="仿宋_GB2312"/>
          <w:color w:val="000000"/>
          <w:sz w:val="28"/>
          <w:szCs w:val="28"/>
        </w:rPr>
        <w:t>0</w:t>
      </w:r>
      <w:r>
        <w:rPr>
          <w:rFonts w:hint="eastAsia" w:eastAsia="仿宋_GB2312"/>
          <w:color w:val="000000"/>
          <w:sz w:val="28"/>
          <w:szCs w:val="28"/>
        </w:rPr>
        <w:t>人</w:t>
      </w:r>
      <w:r>
        <w:rPr>
          <w:rFonts w:eastAsia="仿宋_GB2312"/>
          <w:color w:val="000000"/>
          <w:sz w:val="28"/>
          <w:szCs w:val="28"/>
        </w:rPr>
        <w:t>，</w:t>
      </w:r>
      <w:r>
        <w:rPr>
          <w:rFonts w:hint="eastAsia" w:eastAsia="仿宋_GB2312"/>
          <w:color w:val="000000"/>
          <w:sz w:val="28"/>
          <w:szCs w:val="28"/>
        </w:rPr>
        <w:t>项目负责人要求具有中小学教师或社会科学研究领域正高级职称，熟悉省内在线教育教学现状，具有数字教育资源开发经验与研究能力。参与名师名校金</w:t>
      </w:r>
      <w:r>
        <w:rPr>
          <w:rFonts w:eastAsia="仿宋_GB2312"/>
          <w:color w:val="000000"/>
          <w:sz w:val="28"/>
          <w:szCs w:val="28"/>
        </w:rPr>
        <w:t>课</w:t>
      </w:r>
      <w:r>
        <w:rPr>
          <w:rFonts w:hint="eastAsia" w:eastAsia="仿宋_GB2312"/>
          <w:color w:val="000000"/>
          <w:sz w:val="28"/>
          <w:szCs w:val="28"/>
        </w:rPr>
        <w:t>、素质拓展课</w:t>
      </w:r>
      <w:r>
        <w:rPr>
          <w:rFonts w:eastAsia="仿宋_GB2312"/>
          <w:color w:val="000000"/>
          <w:sz w:val="28"/>
          <w:szCs w:val="28"/>
        </w:rPr>
        <w:t>程</w:t>
      </w:r>
      <w:r>
        <w:rPr>
          <w:rFonts w:hint="eastAsia" w:eastAsia="仿宋_GB2312"/>
          <w:color w:val="000000"/>
          <w:sz w:val="28"/>
          <w:szCs w:val="28"/>
        </w:rPr>
        <w:t>、网络同步课程等课程</w:t>
      </w:r>
      <w:r>
        <w:rPr>
          <w:rFonts w:eastAsia="仿宋_GB2312"/>
          <w:color w:val="000000"/>
          <w:sz w:val="28"/>
          <w:szCs w:val="28"/>
        </w:rPr>
        <w:t>资源建设</w:t>
      </w:r>
      <w:r>
        <w:rPr>
          <w:rFonts w:hint="eastAsia" w:eastAsia="仿宋_GB2312"/>
          <w:color w:val="000000"/>
          <w:sz w:val="28"/>
          <w:szCs w:val="28"/>
        </w:rPr>
        <w:t>的人员要求</w:t>
      </w:r>
      <w:r>
        <w:rPr>
          <w:rFonts w:eastAsia="仿宋_GB2312"/>
          <w:color w:val="000000"/>
          <w:sz w:val="28"/>
          <w:szCs w:val="28"/>
        </w:rPr>
        <w:t>对教育教学有一定的</w:t>
      </w:r>
      <w:r>
        <w:rPr>
          <w:rFonts w:hint="eastAsia" w:eastAsia="仿宋_GB2312"/>
          <w:color w:val="000000"/>
          <w:sz w:val="28"/>
          <w:szCs w:val="28"/>
        </w:rPr>
        <w:t>了解</w:t>
      </w:r>
      <w:r>
        <w:rPr>
          <w:rFonts w:eastAsia="仿宋_GB2312"/>
          <w:color w:val="000000"/>
          <w:sz w:val="28"/>
          <w:szCs w:val="28"/>
        </w:rPr>
        <w:t>，</w:t>
      </w:r>
      <w:r>
        <w:rPr>
          <w:rFonts w:hint="eastAsia" w:eastAsia="仿宋_GB2312"/>
          <w:color w:val="000000"/>
          <w:sz w:val="28"/>
          <w:szCs w:val="28"/>
        </w:rPr>
        <w:t>具有副高及以上教师职称不少于6人，</w:t>
      </w:r>
      <w:r>
        <w:rPr>
          <w:rFonts w:eastAsia="仿宋_GB2312"/>
          <w:color w:val="000000"/>
          <w:sz w:val="28"/>
          <w:szCs w:val="28"/>
        </w:rPr>
        <w:t>负责</w:t>
      </w:r>
      <w:r>
        <w:rPr>
          <w:rFonts w:hint="eastAsia" w:eastAsia="仿宋_GB2312"/>
          <w:color w:val="000000"/>
          <w:sz w:val="28"/>
          <w:szCs w:val="28"/>
        </w:rPr>
        <w:t>对参与课程资源建设开发的教师团队、社会机构等组织遴选，符合建设要求的纳入资源建设队伍，并组织开展课程资源建设开发培训、课时资源上传培训、资源专家审核等。参与“浙里问学”在线答疑服务、名师网络工作室项目的人员要求有名师网络工作室建设、答疑服务组织等信息系统项目管理方面的相关知识及经验，具有副高及以上计算机技术与软件专业技术资格的不少于4人，能够与用户进行良好的沟通，解答功能操作等使用问题。</w:t>
      </w:r>
    </w:p>
    <w:p>
      <w:pPr>
        <w:spacing w:line="520" w:lineRule="exact"/>
        <w:ind w:firstLine="640" w:firstLineChars="200"/>
        <w:outlineLvl w:val="2"/>
        <w:rPr>
          <w:rFonts w:ascii="黑体" w:hAnsi="黑体" w:eastAsia="黑体"/>
          <w:sz w:val="32"/>
          <w:szCs w:val="32"/>
        </w:rPr>
      </w:pPr>
      <w:r>
        <w:rPr>
          <w:rFonts w:hint="eastAsia" w:ascii="黑体" w:hAnsi="黑体" w:eastAsia="黑体"/>
          <w:sz w:val="32"/>
          <w:szCs w:val="32"/>
        </w:rPr>
        <w:t>（五）项目验收要求</w:t>
      </w:r>
    </w:p>
    <w:p>
      <w:pPr>
        <w:spacing w:line="52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签订合同后</w:t>
      </w:r>
      <w:r>
        <w:rPr>
          <w:rFonts w:ascii="仿宋_GB2312" w:hAnsi="仿宋" w:eastAsia="仿宋_GB2312"/>
          <w:color w:val="000000"/>
          <w:sz w:val="28"/>
          <w:szCs w:val="28"/>
        </w:rPr>
        <w:t>2</w:t>
      </w:r>
      <w:r>
        <w:rPr>
          <w:rFonts w:hint="eastAsia" w:ascii="仿宋_GB2312" w:hAnsi="仿宋" w:eastAsia="仿宋_GB2312"/>
          <w:color w:val="000000"/>
          <w:sz w:val="28"/>
          <w:szCs w:val="28"/>
        </w:rPr>
        <w:t>个月内开展“浙里问学”志愿者教师答疑、“A</w:t>
      </w:r>
      <w:r>
        <w:rPr>
          <w:rFonts w:ascii="仿宋_GB2312" w:hAnsi="仿宋" w:eastAsia="仿宋_GB2312"/>
          <w:color w:val="000000"/>
          <w:sz w:val="28"/>
          <w:szCs w:val="28"/>
        </w:rPr>
        <w:t>I</w:t>
      </w:r>
      <w:r>
        <w:rPr>
          <w:rFonts w:hint="eastAsia" w:ascii="仿宋_GB2312" w:hAnsi="仿宋" w:eastAsia="仿宋_GB2312"/>
          <w:color w:val="000000"/>
          <w:sz w:val="28"/>
          <w:szCs w:val="28"/>
        </w:rPr>
        <w:t>智能</w:t>
      </w:r>
      <w:r>
        <w:rPr>
          <w:rFonts w:ascii="仿宋_GB2312" w:hAnsi="仿宋" w:eastAsia="仿宋_GB2312"/>
          <w:color w:val="000000"/>
          <w:sz w:val="28"/>
          <w:szCs w:val="28"/>
        </w:rPr>
        <w:t>+</w:t>
      </w:r>
      <w:r>
        <w:rPr>
          <w:rFonts w:hint="eastAsia" w:ascii="仿宋_GB2312" w:hAnsi="仿宋" w:eastAsia="仿宋_GB2312"/>
          <w:color w:val="000000"/>
          <w:sz w:val="28"/>
          <w:szCs w:val="28"/>
        </w:rPr>
        <w:t>志愿者”答疑，</w:t>
      </w:r>
      <w:r>
        <w:rPr>
          <w:rFonts w:ascii="仿宋_GB2312" w:hAnsi="仿宋" w:eastAsia="仿宋_GB2312"/>
          <w:color w:val="000000"/>
          <w:sz w:val="28"/>
          <w:szCs w:val="28"/>
        </w:rPr>
        <w:t>答疑问题数不少于2万；</w:t>
      </w:r>
      <w:r>
        <w:rPr>
          <w:rFonts w:hint="eastAsia" w:ascii="仿宋_GB2312" w:hAnsi="仿宋" w:eastAsia="仿宋_GB2312"/>
          <w:color w:val="000000"/>
          <w:sz w:val="28"/>
          <w:szCs w:val="28"/>
        </w:rPr>
        <w:t>组织不少于2次的课程建设培训，完成1</w:t>
      </w:r>
      <w:r>
        <w:rPr>
          <w:rFonts w:ascii="仿宋_GB2312" w:hAnsi="仿宋" w:eastAsia="仿宋_GB2312"/>
          <w:color w:val="000000"/>
          <w:sz w:val="28"/>
          <w:szCs w:val="28"/>
        </w:rPr>
        <w:t>50</w:t>
      </w:r>
      <w:r>
        <w:rPr>
          <w:rFonts w:hint="eastAsia" w:ascii="仿宋_GB2312" w:hAnsi="仿宋" w:eastAsia="仿宋_GB2312"/>
          <w:color w:val="000000"/>
          <w:sz w:val="28"/>
          <w:szCs w:val="28"/>
        </w:rPr>
        <w:t>门名师名校金课和1</w:t>
      </w:r>
      <w:r>
        <w:rPr>
          <w:rFonts w:ascii="仿宋_GB2312" w:hAnsi="仿宋" w:eastAsia="仿宋_GB2312"/>
          <w:color w:val="000000"/>
          <w:sz w:val="28"/>
          <w:szCs w:val="28"/>
        </w:rPr>
        <w:t>00</w:t>
      </w:r>
      <w:r>
        <w:rPr>
          <w:rFonts w:hint="eastAsia" w:ascii="仿宋_GB2312" w:hAnsi="仿宋" w:eastAsia="仿宋_GB2312"/>
          <w:color w:val="000000"/>
          <w:sz w:val="28"/>
          <w:szCs w:val="28"/>
        </w:rPr>
        <w:t>门素质教育拓展课程建设，</w:t>
      </w:r>
      <w:r>
        <w:rPr>
          <w:rFonts w:ascii="仿宋_GB2312" w:hAnsi="仿宋" w:eastAsia="仿宋_GB2312"/>
          <w:color w:val="000000"/>
          <w:sz w:val="28"/>
          <w:szCs w:val="28"/>
        </w:rPr>
        <w:t>学习人次不少于20万；建成不少于300个省级名师网络工作室，</w:t>
      </w:r>
      <w:r>
        <w:rPr>
          <w:rFonts w:hint="eastAsia" w:ascii="仿宋_GB2312" w:hAnsi="仿宋" w:eastAsia="仿宋_GB2312"/>
          <w:color w:val="000000"/>
          <w:sz w:val="28"/>
          <w:szCs w:val="28"/>
        </w:rPr>
        <w:t>完成2</w:t>
      </w:r>
      <w:r>
        <w:rPr>
          <w:rFonts w:ascii="仿宋_GB2312" w:hAnsi="仿宋" w:eastAsia="仿宋_GB2312"/>
          <w:color w:val="000000"/>
          <w:sz w:val="28"/>
          <w:szCs w:val="28"/>
        </w:rPr>
        <w:t>022</w:t>
      </w:r>
      <w:r>
        <w:rPr>
          <w:rFonts w:hint="eastAsia" w:ascii="仿宋_GB2312" w:hAnsi="仿宋" w:eastAsia="仿宋_GB2312"/>
          <w:color w:val="000000"/>
          <w:sz w:val="28"/>
          <w:szCs w:val="28"/>
        </w:rPr>
        <w:t>学年名师网络工作室考核</w:t>
      </w:r>
      <w:r>
        <w:rPr>
          <w:rFonts w:ascii="仿宋_GB2312" w:hAnsi="仿宋" w:eastAsia="仿宋_GB2312"/>
          <w:color w:val="000000"/>
          <w:sz w:val="28"/>
          <w:szCs w:val="28"/>
        </w:rPr>
        <w:t>；</w:t>
      </w:r>
      <w:r>
        <w:rPr>
          <w:rFonts w:hint="eastAsia" w:ascii="仿宋_GB2312" w:hAnsi="仿宋" w:eastAsia="仿宋_GB2312"/>
          <w:color w:val="000000"/>
          <w:sz w:val="28"/>
          <w:szCs w:val="28"/>
        </w:rPr>
        <w:t>制定发布数字资源按用付费规则。由采购人组织初验，</w:t>
      </w:r>
      <w:r>
        <w:rPr>
          <w:rFonts w:hint="eastAsia" w:eastAsia="仿宋_GB2312"/>
          <w:color w:val="000000"/>
          <w:sz w:val="28"/>
          <w:szCs w:val="28"/>
        </w:rPr>
        <w:t>并出具验收回复单</w:t>
      </w:r>
      <w:r>
        <w:rPr>
          <w:rFonts w:hint="eastAsia" w:ascii="仿宋_GB2312" w:hAnsi="仿宋" w:eastAsia="仿宋_GB2312"/>
          <w:color w:val="000000"/>
          <w:sz w:val="28"/>
          <w:szCs w:val="28"/>
        </w:rPr>
        <w:t>。</w:t>
      </w:r>
    </w:p>
    <w:p>
      <w:pPr>
        <w:spacing w:line="520" w:lineRule="exact"/>
        <w:ind w:firstLine="560" w:firstLineChars="200"/>
        <w:rPr>
          <w:rFonts w:eastAsia="仿宋_GB2312"/>
          <w:color w:val="000000"/>
          <w:sz w:val="28"/>
          <w:szCs w:val="28"/>
        </w:rPr>
      </w:pPr>
      <w:r>
        <w:rPr>
          <w:rFonts w:hint="eastAsia" w:ascii="仿宋_GB2312" w:hAnsi="仿宋" w:eastAsia="仿宋_GB2312"/>
          <w:color w:val="000000"/>
          <w:sz w:val="28"/>
          <w:szCs w:val="28"/>
        </w:rPr>
        <w:t>签订合同后</w:t>
      </w:r>
      <w:r>
        <w:rPr>
          <w:rFonts w:ascii="仿宋_GB2312" w:hAnsi="仿宋" w:eastAsia="仿宋_GB2312"/>
          <w:color w:val="000000"/>
          <w:sz w:val="28"/>
          <w:szCs w:val="28"/>
        </w:rPr>
        <w:t>4</w:t>
      </w:r>
      <w:r>
        <w:rPr>
          <w:rFonts w:hint="eastAsia" w:ascii="仿宋_GB2312" w:hAnsi="仿宋" w:eastAsia="仿宋_GB2312"/>
          <w:color w:val="000000"/>
          <w:sz w:val="28"/>
          <w:szCs w:val="28"/>
        </w:rPr>
        <w:t>个月内招募志愿者教师不少于2</w:t>
      </w:r>
      <w:r>
        <w:rPr>
          <w:rFonts w:ascii="仿宋_GB2312" w:hAnsi="仿宋" w:eastAsia="仿宋_GB2312"/>
          <w:color w:val="000000"/>
          <w:sz w:val="28"/>
          <w:szCs w:val="28"/>
        </w:rPr>
        <w:t>000</w:t>
      </w:r>
      <w:r>
        <w:rPr>
          <w:rFonts w:hint="eastAsia" w:ascii="仿宋_GB2312" w:hAnsi="仿宋" w:eastAsia="仿宋_GB2312"/>
          <w:color w:val="000000"/>
          <w:sz w:val="28"/>
          <w:szCs w:val="28"/>
        </w:rPr>
        <w:t>人，答疑不少于5万次，完成所有课程资源审核与上线发布，学习人次不少于5</w:t>
      </w:r>
      <w:r>
        <w:rPr>
          <w:rFonts w:ascii="仿宋_GB2312" w:hAnsi="仿宋" w:eastAsia="仿宋_GB2312"/>
          <w:color w:val="000000"/>
          <w:sz w:val="28"/>
          <w:szCs w:val="28"/>
        </w:rPr>
        <w:t>0</w:t>
      </w:r>
      <w:r>
        <w:rPr>
          <w:rFonts w:hint="eastAsia" w:ascii="仿宋_GB2312" w:hAnsi="仿宋" w:eastAsia="仿宋_GB2312"/>
          <w:color w:val="000000"/>
          <w:sz w:val="28"/>
          <w:szCs w:val="28"/>
        </w:rPr>
        <w:t>万，公布纳入数字资源按用付费的名单，数字资源</w:t>
      </w:r>
      <w:r>
        <w:rPr>
          <w:rFonts w:hint="eastAsia" w:ascii="仿宋_GB2312" w:eastAsia="仿宋_GB2312"/>
          <w:color w:val="000000"/>
          <w:kern w:val="0"/>
          <w:sz w:val="28"/>
          <w:szCs w:val="28"/>
        </w:rPr>
        <w:t>师生使用满意度达80%以上</w:t>
      </w:r>
      <w:r>
        <w:rPr>
          <w:rFonts w:hint="eastAsia" w:ascii="仿宋_GB2312" w:hAnsi="仿宋" w:eastAsia="仿宋_GB2312"/>
          <w:color w:val="000000"/>
          <w:sz w:val="28"/>
          <w:szCs w:val="28"/>
        </w:rPr>
        <w:t>，</w:t>
      </w:r>
      <w:r>
        <w:rPr>
          <w:rFonts w:hint="eastAsia" w:eastAsia="仿宋_GB2312"/>
          <w:color w:val="000000"/>
          <w:sz w:val="28"/>
          <w:szCs w:val="28"/>
        </w:rPr>
        <w:t>由采购人组织终验，并出具验收回复单。如验收中发现课程达不到验收标准或合同规定的有关要求，中标方必须及时予以调整修改，直到验收合格为止。</w:t>
      </w:r>
    </w:p>
    <w:p>
      <w:pPr>
        <w:spacing w:line="520" w:lineRule="exact"/>
        <w:ind w:firstLine="560" w:firstLineChars="200"/>
        <w:rPr>
          <w:rFonts w:eastAsia="仿宋_GB2312"/>
          <w:color w:val="000000"/>
          <w:sz w:val="28"/>
          <w:szCs w:val="28"/>
        </w:rPr>
      </w:pPr>
      <w:r>
        <w:rPr>
          <w:rFonts w:hint="eastAsia" w:eastAsia="仿宋_GB2312"/>
          <w:color w:val="000000"/>
          <w:sz w:val="28"/>
          <w:szCs w:val="28"/>
        </w:rPr>
        <w:t>本项目由第三方监理单位全程监管，中标方在实施过程中需遵守监理单位的要求并提供相关文档。监理费用由中标方承担。</w:t>
      </w:r>
    </w:p>
    <w:p>
      <w:pPr>
        <w:spacing w:line="520" w:lineRule="exact"/>
        <w:ind w:firstLine="640" w:firstLineChars="200"/>
        <w:outlineLvl w:val="2"/>
        <w:rPr>
          <w:rFonts w:ascii="黑体" w:hAnsi="黑体" w:eastAsia="黑体"/>
          <w:sz w:val="32"/>
          <w:szCs w:val="32"/>
        </w:rPr>
      </w:pPr>
      <w:r>
        <w:rPr>
          <w:rFonts w:hint="eastAsia" w:ascii="黑体" w:hAnsi="黑体" w:eastAsia="黑体"/>
          <w:sz w:val="32"/>
          <w:szCs w:val="32"/>
        </w:rPr>
        <w:t>（六）演示讲解要求</w:t>
      </w:r>
    </w:p>
    <w:p>
      <w:pPr>
        <w:spacing w:line="520" w:lineRule="exact"/>
        <w:ind w:firstLine="560" w:firstLineChars="200"/>
        <w:rPr>
          <w:rFonts w:eastAsia="仿宋_GB2312"/>
          <w:color w:val="000000"/>
          <w:sz w:val="28"/>
          <w:szCs w:val="28"/>
        </w:rPr>
      </w:pPr>
      <w:r>
        <w:rPr>
          <w:rFonts w:hint="eastAsia" w:eastAsia="仿宋_GB2312"/>
          <w:color w:val="000000"/>
          <w:sz w:val="28"/>
          <w:szCs w:val="28"/>
        </w:rPr>
        <w:t>提供类似课程视频、文档等材料进行演示，采用视频演示，以</w:t>
      </w:r>
      <w:r>
        <w:rPr>
          <w:rFonts w:eastAsia="仿宋_GB2312"/>
          <w:color w:val="000000"/>
          <w:sz w:val="28"/>
          <w:szCs w:val="28"/>
        </w:rPr>
        <w:t>U</w:t>
      </w:r>
      <w:r>
        <w:rPr>
          <w:rFonts w:hint="eastAsia" w:eastAsia="仿宋_GB2312"/>
          <w:color w:val="000000"/>
          <w:sz w:val="28"/>
          <w:szCs w:val="28"/>
        </w:rPr>
        <w:t>盘形式存储。讲解建设方案内容要素、重亮点、逻辑思路，包括“浙里问学”在线答疑服务组织实施</w:t>
      </w:r>
      <w:r>
        <w:rPr>
          <w:rFonts w:eastAsia="仿宋_GB2312"/>
          <w:color w:val="000000"/>
          <w:sz w:val="28"/>
          <w:szCs w:val="28"/>
        </w:rPr>
        <w:t>、</w:t>
      </w:r>
      <w:r>
        <w:rPr>
          <w:rFonts w:hint="eastAsia" w:eastAsia="仿宋_GB2312"/>
          <w:color w:val="000000"/>
          <w:sz w:val="28"/>
          <w:szCs w:val="28"/>
        </w:rPr>
        <w:t>名师名校金课资源案例</w:t>
      </w:r>
      <w:r>
        <w:rPr>
          <w:rFonts w:eastAsia="仿宋_GB2312"/>
          <w:color w:val="000000"/>
          <w:sz w:val="28"/>
          <w:szCs w:val="28"/>
        </w:rPr>
        <w:t>、</w:t>
      </w:r>
      <w:r>
        <w:rPr>
          <w:rFonts w:hint="eastAsia" w:eastAsia="仿宋_GB2312"/>
          <w:color w:val="000000"/>
          <w:sz w:val="28"/>
          <w:szCs w:val="28"/>
        </w:rPr>
        <w:t>名师网络工作室组建模式与建设方案</w:t>
      </w:r>
      <w:r>
        <w:rPr>
          <w:rFonts w:eastAsia="仿宋_GB2312"/>
          <w:color w:val="000000"/>
          <w:sz w:val="28"/>
          <w:szCs w:val="28"/>
        </w:rPr>
        <w:t>、</w:t>
      </w:r>
      <w:r>
        <w:rPr>
          <w:rFonts w:hint="eastAsia" w:eastAsia="仿宋_GB2312"/>
          <w:color w:val="000000"/>
          <w:sz w:val="28"/>
          <w:szCs w:val="28"/>
        </w:rPr>
        <w:t>数字资源按用付费数据统计等。</w:t>
      </w:r>
      <w:r>
        <w:rPr>
          <w:rFonts w:eastAsia="仿宋_GB2312"/>
          <w:b/>
          <w:bCs/>
          <w:color w:val="000000"/>
          <w:sz w:val="28"/>
          <w:szCs w:val="28"/>
        </w:rPr>
        <w:t>演示时间不超过10分钟。</w:t>
      </w:r>
      <w:r>
        <w:rPr>
          <w:rFonts w:hint="eastAsia" w:eastAsia="仿宋_GB2312"/>
          <w:b/>
          <w:bCs/>
          <w:color w:val="000000"/>
          <w:sz w:val="28"/>
          <w:szCs w:val="28"/>
        </w:rPr>
        <w:t>纯PPT演示不得分。</w:t>
      </w:r>
    </w:p>
    <w:p>
      <w:pPr>
        <w:spacing w:line="520" w:lineRule="exact"/>
        <w:ind w:firstLine="560" w:firstLineChars="200"/>
        <w:rPr>
          <w:rFonts w:eastAsia="仿宋_GB2312"/>
          <w:color w:val="000000"/>
          <w:sz w:val="28"/>
          <w:szCs w:val="28"/>
        </w:rPr>
      </w:pPr>
      <w:r>
        <w:rPr>
          <w:rFonts w:hint="eastAsia" w:eastAsia="仿宋_GB2312"/>
          <w:color w:val="000000"/>
          <w:sz w:val="28"/>
          <w:szCs w:val="28"/>
        </w:rPr>
        <w:t>（1）演示“浙里问学”在线答疑服务轮值名师答疑服务案例、“AI智能”答疑介绍、答疑服务数据分析报告、答疑数据统计记录。每提供1个得0.5分，最高2分。</w:t>
      </w:r>
    </w:p>
    <w:p>
      <w:pPr>
        <w:spacing w:line="520" w:lineRule="exact"/>
        <w:ind w:firstLine="560" w:firstLineChars="200"/>
        <w:rPr>
          <w:rFonts w:hint="eastAsia" w:eastAsia="仿宋_GB2312"/>
          <w:color w:val="000000"/>
          <w:sz w:val="28"/>
          <w:szCs w:val="28"/>
        </w:rPr>
      </w:pPr>
      <w:r>
        <w:rPr>
          <w:rFonts w:hint="eastAsia" w:eastAsia="仿宋_GB2312"/>
          <w:color w:val="000000"/>
          <w:sz w:val="28"/>
          <w:szCs w:val="28"/>
        </w:rPr>
        <w:t>（2）演示名师名校金课组织流程，得1分。提供不少于3个省内正高级教师或特级教师的课程申报建设方案（须由课程负责人所在单位盖章），得1分。提供不少于3个配套课程样例（视频、文档）资源展示，得1分。最高3分。</w:t>
      </w:r>
    </w:p>
    <w:p>
      <w:pPr>
        <w:spacing w:line="520" w:lineRule="exact"/>
        <w:ind w:firstLine="560" w:firstLineChars="200"/>
        <w:rPr>
          <w:rFonts w:eastAsia="仿宋_GB2312"/>
          <w:color w:val="000000"/>
          <w:sz w:val="28"/>
          <w:szCs w:val="28"/>
        </w:rPr>
      </w:pPr>
      <w:r>
        <w:rPr>
          <w:rFonts w:hint="eastAsia" w:eastAsia="仿宋_GB2312"/>
          <w:color w:val="000000"/>
          <w:sz w:val="28"/>
          <w:szCs w:val="28"/>
        </w:rPr>
        <w:t>（3）演示名师网络工作室组织模式，得1分。演示名师网络工作室考核数据统计机制，得1分。提供不少于3个省级名师网络工作室三年的建设方案（须由名师所在单位盖章），得1分。最高3分。</w:t>
      </w:r>
    </w:p>
    <w:p>
      <w:pPr>
        <w:spacing w:line="520" w:lineRule="exact"/>
        <w:ind w:firstLine="560" w:firstLineChars="200"/>
        <w:rPr>
          <w:rFonts w:ascii="黑体" w:hAnsi="黑体" w:eastAsia="黑体"/>
          <w:color w:val="000000"/>
          <w:sz w:val="30"/>
          <w:szCs w:val="30"/>
        </w:rPr>
      </w:pPr>
      <w:r>
        <w:rPr>
          <w:rFonts w:hint="eastAsia" w:eastAsia="仿宋_GB2312"/>
          <w:color w:val="000000"/>
          <w:sz w:val="28"/>
          <w:szCs w:val="28"/>
        </w:rPr>
        <w:t>（4）演示课程资源上传、审核发布后台，得1分。演示网络同步课程、教材配套资源等数字资源按用付费应用数据统计后台，得1分。最高2分。</w:t>
      </w:r>
    </w:p>
    <w:p>
      <w:pPr>
        <w:tabs>
          <w:tab w:val="left" w:pos="-3060"/>
        </w:tabs>
        <w:snapToGrid w:val="0"/>
        <w:spacing w:line="520" w:lineRule="exact"/>
        <w:ind w:firstLine="600" w:firstLineChars="200"/>
        <w:outlineLvl w:val="1"/>
        <w:rPr>
          <w:rFonts w:ascii="仿宋" w:hAnsi="仿宋" w:eastAsia="仿宋"/>
          <w:b/>
          <w:bCs/>
          <w:sz w:val="28"/>
          <w:szCs w:val="28"/>
        </w:rPr>
      </w:pPr>
      <w:r>
        <w:rPr>
          <w:rFonts w:hint="eastAsia" w:ascii="黑体" w:hAnsi="黑体" w:eastAsia="黑体"/>
          <w:color w:val="000000"/>
          <w:sz w:val="30"/>
          <w:szCs w:val="30"/>
        </w:rPr>
        <w:t>二、资信及商务服务要求</w:t>
      </w:r>
      <w:bookmarkEnd w:id="30"/>
      <w:bookmarkEnd w:id="33"/>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88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lang w:eastAsia="zh-Hans"/>
              </w:rPr>
            </w:pPr>
            <w:r>
              <w:rPr>
                <w:rFonts w:ascii="仿宋" w:hAnsi="仿宋" w:eastAsia="仿宋"/>
                <w:sz w:val="28"/>
                <w:szCs w:val="28"/>
                <w:lang w:eastAsia="zh-Hans"/>
              </w:rPr>
              <w:t>签订合同后4个月内，完成项目</w:t>
            </w:r>
            <w:r>
              <w:rPr>
                <w:rFonts w:hint="eastAsia" w:ascii="仿宋" w:hAnsi="仿宋" w:eastAsia="仿宋"/>
                <w:sz w:val="28"/>
                <w:szCs w:val="28"/>
                <w:lang w:eastAsia="zh-Hans"/>
              </w:rPr>
              <w:t>建设与验收</w:t>
            </w:r>
            <w:r>
              <w:rPr>
                <w:rFonts w:ascii="仿宋" w:hAnsi="仿宋" w:eastAsia="仿宋"/>
                <w:sz w:val="28"/>
                <w:szCs w:val="28"/>
                <w:lang w:eastAsia="zh-Hans"/>
              </w:rPr>
              <w:t>。</w:t>
            </w:r>
            <w:r>
              <w:rPr>
                <w:rFonts w:hint="eastAsia" w:ascii="仿宋" w:hAnsi="仿宋" w:eastAsia="仿宋"/>
                <w:sz w:val="28"/>
                <w:szCs w:val="28"/>
                <w:lang w:eastAsia="zh-Hans"/>
              </w:rPr>
              <w:t>地点：浙江省杭州市拱墅区文晖路321号浙江省教育厅。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8"/>
                <w:szCs w:val="28"/>
              </w:rPr>
            </w:pPr>
            <w:r>
              <w:rPr>
                <w:rFonts w:hint="eastAsia" w:ascii="仿宋" w:hAnsi="仿宋" w:eastAsia="仿宋"/>
                <w:b/>
                <w:bCs/>
                <w:sz w:val="28"/>
                <w:szCs w:val="28"/>
              </w:rPr>
              <w:t>预付款方式：</w:t>
            </w:r>
          </w:p>
          <w:p>
            <w:pPr>
              <w:rPr>
                <w:rFonts w:ascii="仿宋" w:hAnsi="仿宋" w:eastAsia="仿宋"/>
                <w:sz w:val="28"/>
                <w:szCs w:val="28"/>
                <w:lang w:eastAsia="zh-Hans"/>
              </w:rPr>
            </w:pPr>
            <w:r>
              <w:rPr>
                <w:rFonts w:hint="eastAsia" w:ascii="仿宋" w:hAnsi="仿宋" w:eastAsia="仿宋"/>
                <w:sz w:val="28"/>
                <w:szCs w:val="28"/>
                <w:lang w:eastAsia="zh-Hans"/>
              </w:rPr>
              <w:t>1.如果中标单位是中小企业，采购人在合同生效以及具备实施条件（提供</w:t>
            </w:r>
            <w:r>
              <w:rPr>
                <w:rFonts w:ascii="仿宋" w:hAnsi="仿宋" w:eastAsia="仿宋"/>
                <w:sz w:val="28"/>
                <w:szCs w:val="28"/>
                <w:lang w:eastAsia="zh-Hans"/>
              </w:rPr>
              <w:t>不少于10个</w:t>
            </w:r>
            <w:r>
              <w:rPr>
                <w:rFonts w:hint="eastAsia" w:ascii="仿宋" w:hAnsi="仿宋" w:eastAsia="仿宋"/>
                <w:sz w:val="28"/>
                <w:szCs w:val="28"/>
                <w:lang w:eastAsia="zh-Hans"/>
              </w:rPr>
              <w:t>课时样例资源并经采购人认可）后7个工作日内支付合同总额的20%（本项目实施以人工投入为主）作为预付款；初验通过后支付合同总额的</w:t>
            </w:r>
            <w:r>
              <w:rPr>
                <w:rFonts w:hint="eastAsia" w:ascii="仿宋" w:hAnsi="仿宋" w:eastAsia="仿宋"/>
                <w:sz w:val="28"/>
                <w:szCs w:val="28"/>
                <w:lang w:val="en-US" w:eastAsia="zh-CN"/>
              </w:rPr>
              <w:t>5</w:t>
            </w:r>
            <w:r>
              <w:rPr>
                <w:rFonts w:hint="eastAsia" w:ascii="仿宋" w:hAnsi="仿宋" w:eastAsia="仿宋"/>
                <w:sz w:val="28"/>
                <w:szCs w:val="28"/>
                <w:lang w:eastAsia="zh-Hans"/>
              </w:rPr>
              <w:t>0%；项目终验通过后支付合同剩余款项。</w:t>
            </w:r>
          </w:p>
          <w:p>
            <w:pPr>
              <w:rPr>
                <w:rFonts w:ascii="仿宋" w:hAnsi="仿宋" w:eastAsia="仿宋"/>
                <w:sz w:val="28"/>
                <w:szCs w:val="28"/>
                <w:lang w:eastAsia="zh-Hans"/>
              </w:rPr>
            </w:pPr>
            <w:r>
              <w:rPr>
                <w:rFonts w:hint="eastAsia" w:ascii="仿宋" w:hAnsi="仿宋" w:eastAsia="仿宋"/>
                <w:sz w:val="28"/>
                <w:szCs w:val="28"/>
                <w:lang w:eastAsia="zh-Hans"/>
              </w:rPr>
              <w:t>2.如果中标单位不是中小企业，不约定预付款。初验通过后，由采购人在7个工作日内支付合同总额的</w:t>
            </w:r>
            <w:r>
              <w:rPr>
                <w:rFonts w:hint="eastAsia" w:ascii="仿宋" w:hAnsi="仿宋" w:eastAsia="仿宋"/>
                <w:sz w:val="28"/>
                <w:szCs w:val="28"/>
                <w:lang w:val="en-US" w:eastAsia="zh-CN"/>
              </w:rPr>
              <w:t>7</w:t>
            </w:r>
            <w:r>
              <w:rPr>
                <w:rFonts w:ascii="仿宋" w:hAnsi="仿宋" w:eastAsia="仿宋"/>
                <w:sz w:val="28"/>
                <w:szCs w:val="28"/>
                <w:lang w:eastAsia="zh-Hans"/>
              </w:rPr>
              <w:t>0</w:t>
            </w:r>
            <w:r>
              <w:rPr>
                <w:rFonts w:hint="eastAsia" w:ascii="仿宋" w:hAnsi="仿宋" w:eastAsia="仿宋"/>
                <w:sz w:val="28"/>
                <w:szCs w:val="28"/>
                <w:lang w:eastAsia="zh-Hans"/>
              </w:rPr>
              <w:t>%；项目终验通过后支付合同剩余款项。</w:t>
            </w:r>
          </w:p>
          <w:p>
            <w:pPr>
              <w:rPr>
                <w:rFonts w:ascii="仿宋" w:hAnsi="仿宋" w:eastAsia="仿宋"/>
                <w:b/>
                <w:bCs/>
                <w:sz w:val="28"/>
                <w:szCs w:val="28"/>
              </w:rPr>
            </w:pPr>
            <w:r>
              <w:rPr>
                <w:rFonts w:hint="eastAsia" w:ascii="仿宋" w:hAnsi="仿宋" w:eastAsia="仿宋"/>
                <w:b/>
                <w:bCs/>
                <w:sz w:val="28"/>
                <w:szCs w:val="28"/>
              </w:rPr>
              <w:t>履约保证金：</w:t>
            </w:r>
          </w:p>
          <w:p>
            <w:pPr>
              <w:rPr>
                <w:rFonts w:ascii="仿宋" w:hAnsi="仿宋" w:eastAsia="仿宋"/>
                <w:sz w:val="28"/>
                <w:szCs w:val="28"/>
              </w:rPr>
            </w:pPr>
            <w:r>
              <w:rPr>
                <w:rFonts w:hint="eastAsia" w:ascii="仿宋" w:hAnsi="仿宋" w:eastAsia="仿宋"/>
                <w:sz w:val="28"/>
                <w:szCs w:val="28"/>
                <w:lang w:eastAsia="zh-Hans"/>
              </w:rPr>
              <w:t>中标单位需要提供合同总额的1%作为履约保证金，中标单位应当以支票、汇票、本票等非现金形式提交，也可以以银行、保险公司出具保函形式提交。(对于年度内发生重大事故的，经确认为服务疏忽造成的将没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b/>
                <w:sz w:val="28"/>
                <w:szCs w:val="28"/>
              </w:rPr>
            </w:pPr>
            <w:r>
              <w:rPr>
                <w:rFonts w:hint="eastAsia" w:ascii="仿宋" w:hAnsi="仿宋" w:eastAsia="仿宋" w:cs="仿宋_GB2312"/>
                <w:b/>
                <w:sz w:val="28"/>
                <w:szCs w:val="28"/>
              </w:rPr>
              <w:t>验收要求</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lang w:eastAsia="zh-Hans"/>
              </w:rPr>
            </w:pPr>
            <w:r>
              <w:rPr>
                <w:rFonts w:hint="eastAsia" w:ascii="仿宋" w:hAnsi="仿宋" w:eastAsia="仿宋"/>
                <w:sz w:val="28"/>
                <w:szCs w:val="28"/>
              </w:rPr>
              <w:t xml:space="preserve">1. </w:t>
            </w:r>
            <w:r>
              <w:rPr>
                <w:rFonts w:hint="eastAsia" w:ascii="仿宋" w:hAnsi="仿宋" w:eastAsia="仿宋"/>
                <w:sz w:val="28"/>
                <w:szCs w:val="28"/>
                <w:lang w:eastAsia="zh-Hans"/>
              </w:rPr>
              <w:t>签订合同后2个月内开展“浙里问学”志愿者教师答疑、“AI智能+志愿者”答疑，答疑问题数不少于2万；组织不少于2次的课程建设培训，完成150门名师名校金课和100门素质教育拓展课程建设，学习人次不少于20万；建成不少于300个省级名师网络工作室，完成2022学年名师网络工作室考核；制定发布数字资源按用付费规则。经监理单位确认无误后，由省教育厅组织项目初验。</w:t>
            </w:r>
          </w:p>
          <w:p>
            <w:pPr>
              <w:rPr>
                <w:rFonts w:ascii="仿宋" w:hAnsi="仿宋" w:eastAsia="仿宋"/>
                <w:sz w:val="28"/>
                <w:szCs w:val="28"/>
              </w:rPr>
            </w:pPr>
            <w:r>
              <w:rPr>
                <w:rFonts w:hint="eastAsia" w:ascii="仿宋" w:hAnsi="仿宋" w:eastAsia="仿宋"/>
                <w:sz w:val="28"/>
                <w:szCs w:val="28"/>
                <w:lang w:eastAsia="zh-Hans"/>
              </w:rPr>
              <w:t>2.</w:t>
            </w:r>
            <w:r>
              <w:rPr>
                <w:rFonts w:hint="eastAsia" w:ascii="仿宋" w:hAnsi="仿宋" w:eastAsia="仿宋"/>
                <w:sz w:val="28"/>
                <w:szCs w:val="28"/>
              </w:rPr>
              <w:t xml:space="preserve"> </w:t>
            </w:r>
            <w:r>
              <w:rPr>
                <w:rFonts w:hint="eastAsia" w:ascii="仿宋" w:hAnsi="仿宋" w:eastAsia="仿宋"/>
                <w:sz w:val="28"/>
                <w:szCs w:val="28"/>
                <w:lang w:eastAsia="zh-Hans"/>
              </w:rPr>
              <w:t>签订合同后4个月内招募志愿者教师不少于2000人，答疑不少于5万次，完成所有课程资源审核与上线发布，学习人次不少于50万，公布纳入数字资源按用付费的名单，数字资源师生使用满意度达80%以上，由省教育厅组织项目终验。</w:t>
            </w:r>
          </w:p>
          <w:p>
            <w:pPr>
              <w:rPr>
                <w:rFonts w:ascii="仿宋" w:hAnsi="仿宋" w:eastAsia="仿宋"/>
                <w:sz w:val="28"/>
                <w:szCs w:val="28"/>
                <w:lang w:eastAsia="zh-Hans"/>
              </w:rPr>
            </w:pPr>
            <w:r>
              <w:rPr>
                <w:rFonts w:hint="eastAsia" w:ascii="仿宋" w:hAnsi="仿宋" w:eastAsia="仿宋"/>
                <w:sz w:val="28"/>
                <w:szCs w:val="28"/>
              </w:rPr>
              <w:t>3.验收过程中产生的费用由采购人承担。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099" w:type="dxa"/>
            <w:vMerge w:val="restart"/>
            <w:tcBorders>
              <w:top w:val="single" w:color="auto" w:sz="4" w:space="0"/>
              <w:left w:val="single" w:color="auto" w:sz="4" w:space="0"/>
              <w:right w:val="single" w:color="auto" w:sz="4" w:space="0"/>
            </w:tcBorders>
            <w:vAlign w:val="center"/>
          </w:tcPr>
          <w:p>
            <w:pPr>
              <w:spacing w:line="460" w:lineRule="exact"/>
              <w:jc w:val="center"/>
              <w:rPr>
                <w:rFonts w:ascii="仿宋" w:hAnsi="仿宋" w:eastAsia="仿宋"/>
                <w:b/>
                <w:sz w:val="24"/>
                <w:szCs w:val="24"/>
              </w:rPr>
            </w:pPr>
          </w:p>
          <w:p>
            <w:pPr>
              <w:spacing w:line="460" w:lineRule="exact"/>
              <w:jc w:val="center"/>
              <w:rPr>
                <w:rFonts w:ascii="仿宋" w:hAnsi="仿宋" w:eastAsia="仿宋"/>
                <w:b/>
                <w:sz w:val="24"/>
                <w:szCs w:val="24"/>
              </w:rPr>
            </w:pPr>
          </w:p>
          <w:p>
            <w:pPr>
              <w:spacing w:line="460" w:lineRule="exact"/>
              <w:jc w:val="center"/>
              <w:rPr>
                <w:rFonts w:ascii="仿宋" w:hAnsi="仿宋" w:eastAsia="仿宋"/>
                <w:b/>
                <w:sz w:val="24"/>
                <w:szCs w:val="24"/>
              </w:rPr>
            </w:pPr>
          </w:p>
          <w:p>
            <w:pPr>
              <w:spacing w:line="460" w:lineRule="exact"/>
              <w:jc w:val="center"/>
              <w:rPr>
                <w:rFonts w:ascii="仿宋" w:hAnsi="仿宋" w:eastAsia="仿宋"/>
                <w:b/>
                <w:sz w:val="24"/>
                <w:szCs w:val="24"/>
              </w:rPr>
            </w:pPr>
          </w:p>
          <w:p>
            <w:pPr>
              <w:spacing w:line="460" w:lineRule="exact"/>
              <w:jc w:val="center"/>
              <w:rPr>
                <w:rFonts w:ascii="仿宋" w:hAnsi="仿宋" w:eastAsia="仿宋"/>
                <w:b/>
                <w:sz w:val="24"/>
                <w:szCs w:val="24"/>
              </w:rPr>
            </w:pPr>
          </w:p>
          <w:p>
            <w:pPr>
              <w:snapToGrid w:val="0"/>
              <w:jc w:val="center"/>
              <w:rPr>
                <w:rFonts w:ascii="仿宋" w:hAnsi="仿宋" w:eastAsia="仿宋" w:cs="仿宋_GB2312"/>
                <w:b/>
                <w:sz w:val="28"/>
                <w:szCs w:val="28"/>
              </w:rPr>
            </w:pPr>
            <w:r>
              <w:rPr>
                <w:rFonts w:hint="eastAsia" w:ascii="仿宋" w:hAnsi="仿宋" w:eastAsia="仿宋" w:cs="仿宋_GB2312"/>
                <w:b/>
                <w:sz w:val="28"/>
                <w:szCs w:val="28"/>
              </w:rPr>
              <w:t>售后</w:t>
            </w:r>
          </w:p>
          <w:p>
            <w:pPr>
              <w:snapToGrid w:val="0"/>
              <w:jc w:val="center"/>
              <w:rPr>
                <w:rFonts w:ascii="仿宋" w:hAnsi="仿宋" w:eastAsia="仿宋" w:cs="仿宋_GB2312"/>
                <w:b/>
                <w:sz w:val="28"/>
                <w:szCs w:val="28"/>
              </w:rPr>
            </w:pPr>
            <w:r>
              <w:rPr>
                <w:rFonts w:hint="eastAsia" w:ascii="仿宋" w:hAnsi="仿宋" w:eastAsia="仿宋" w:cs="仿宋_GB2312"/>
                <w:b/>
                <w:sz w:val="28"/>
                <w:szCs w:val="28"/>
              </w:rPr>
              <w:t>服务</w:t>
            </w:r>
          </w:p>
        </w:tc>
        <w:tc>
          <w:tcPr>
            <w:tcW w:w="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1.服务期内提供因用户使用需要对课程进行的无偿修改完善服务。</w:t>
            </w:r>
          </w:p>
          <w:p>
            <w:pPr>
              <w:rPr>
                <w:rFonts w:ascii="仿宋" w:hAnsi="仿宋" w:eastAsia="仿宋"/>
                <w:sz w:val="28"/>
                <w:szCs w:val="28"/>
              </w:rPr>
            </w:pPr>
            <w:r>
              <w:rPr>
                <w:rFonts w:hint="eastAsia" w:ascii="仿宋" w:hAnsi="仿宋" w:eastAsia="仿宋"/>
                <w:sz w:val="28"/>
                <w:szCs w:val="28"/>
              </w:rPr>
              <w:t>2.中标方要提交课程资源开发与应用情况的相关报告，并持续跟踪课程资源应用情况、回访，每季度一报。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b/>
                <w:sz w:val="28"/>
                <w:szCs w:val="28"/>
              </w:rPr>
            </w:pPr>
          </w:p>
        </w:tc>
        <w:tc>
          <w:tcPr>
            <w:tcW w:w="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lang w:eastAsia="zh-Hans"/>
              </w:rPr>
              <w:t>投标方</w:t>
            </w:r>
            <w:r>
              <w:rPr>
                <w:rFonts w:hint="eastAsia" w:ascii="仿宋" w:hAnsi="仿宋" w:eastAsia="仿宋"/>
                <w:sz w:val="28"/>
                <w:szCs w:val="28"/>
              </w:rPr>
              <w:t>为用户提供资源建设开发及平台上传操作培训。</w:t>
            </w:r>
          </w:p>
          <w:p>
            <w:pPr>
              <w:rPr>
                <w:rFonts w:ascii="仿宋" w:hAnsi="仿宋" w:eastAsia="仿宋"/>
                <w:sz w:val="28"/>
                <w:szCs w:val="28"/>
              </w:rPr>
            </w:pPr>
            <w:r>
              <w:rPr>
                <w:rFonts w:hint="eastAsia" w:ascii="仿宋" w:hAnsi="仿宋" w:eastAsia="仿宋"/>
                <w:sz w:val="28"/>
                <w:szCs w:val="28"/>
              </w:rPr>
              <w:t>培训内容：</w:t>
            </w:r>
          </w:p>
          <w:p>
            <w:pPr>
              <w:rPr>
                <w:rFonts w:ascii="仿宋" w:hAnsi="仿宋" w:eastAsia="仿宋"/>
                <w:sz w:val="28"/>
                <w:szCs w:val="28"/>
              </w:rPr>
            </w:pPr>
            <w:r>
              <w:rPr>
                <w:rFonts w:hint="eastAsia" w:ascii="仿宋" w:hAnsi="仿宋" w:eastAsia="仿宋"/>
                <w:sz w:val="28"/>
                <w:szCs w:val="28"/>
              </w:rPr>
              <w:t>1.对课程资源承建教师团队提供必要的资源建设培训服务；</w:t>
            </w:r>
          </w:p>
          <w:p>
            <w:pPr>
              <w:rPr>
                <w:rFonts w:ascii="仿宋" w:hAnsi="仿宋" w:eastAsia="仿宋"/>
                <w:sz w:val="28"/>
                <w:szCs w:val="28"/>
              </w:rPr>
            </w:pPr>
            <w:r>
              <w:rPr>
                <w:rFonts w:hint="eastAsia" w:ascii="仿宋" w:hAnsi="仿宋" w:eastAsia="仿宋"/>
                <w:sz w:val="28"/>
                <w:szCs w:val="28"/>
              </w:rPr>
              <w:t>2.对课程资源的平台上传操作提供现场培训服务及远程培训服务等。</w:t>
            </w:r>
          </w:p>
          <w:p>
            <w:pPr>
              <w:rPr>
                <w:rFonts w:ascii="仿宋" w:hAnsi="仿宋" w:eastAsia="仿宋"/>
                <w:sz w:val="28"/>
                <w:szCs w:val="28"/>
              </w:rPr>
            </w:pPr>
            <w:r>
              <w:rPr>
                <w:rFonts w:hint="eastAsia" w:ascii="仿宋" w:hAnsi="仿宋" w:eastAsia="仿宋"/>
                <w:sz w:val="28"/>
                <w:szCs w:val="28"/>
              </w:rPr>
              <w:t>培训形式：根据采购人的要求提供不少于5次线上线下培训，培训总人数不少于1000人（培训费用由供应商承担）。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b/>
                <w:sz w:val="28"/>
                <w:szCs w:val="28"/>
              </w:rPr>
            </w:pPr>
            <w:r>
              <w:rPr>
                <w:rFonts w:hint="eastAsia" w:ascii="仿宋" w:hAnsi="仿宋" w:eastAsia="仿宋" w:cs="仿宋_GB2312"/>
                <w:b/>
                <w:sz w:val="28"/>
                <w:szCs w:val="28"/>
              </w:rPr>
              <w:t>履约</w:t>
            </w:r>
          </w:p>
          <w:p>
            <w:pPr>
              <w:snapToGrid w:val="0"/>
              <w:jc w:val="center"/>
              <w:rPr>
                <w:rFonts w:ascii="仿宋" w:hAnsi="仿宋" w:eastAsia="仿宋" w:cs="仿宋_GB2312"/>
                <w:b/>
                <w:sz w:val="28"/>
                <w:szCs w:val="28"/>
              </w:rPr>
            </w:pPr>
            <w:r>
              <w:rPr>
                <w:rFonts w:hint="eastAsia" w:ascii="仿宋" w:hAnsi="仿宋" w:eastAsia="仿宋" w:cs="仿宋_GB2312"/>
                <w:b/>
                <w:sz w:val="28"/>
                <w:szCs w:val="28"/>
              </w:rPr>
              <w:t>能力</w:t>
            </w:r>
          </w:p>
        </w:tc>
        <w:tc>
          <w:tcPr>
            <w:tcW w:w="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本项目要求提供团队人员数量不少于10人，项目负责人要求具有中小学教师或社会科学研究领域正高级职称，熟悉省内在线教育教学现状，具有数字教育资源开发经验与研究能力。参与名师名校金课、素质拓展课程、网络同步课程等课程资源建设的人员要求对教育教学有一定的了解，具有副高及以上教师职称不少于6人，负责对参与课程资源建设开发的教师团队、社会机构等组织遴选，符合建设要求的纳入资源建设队伍，并组织开展课程资源建设开发培训、课时资源上传培训、资源专家审核等。参与“浙里问学”在线答疑服务、名师网络工作室项目的人员要求有名师网络工作室建设、答疑服务组织等信息系统项目管理方面的相关知识及经验，具有副高及以上计算机技术与软件专业技术资格的不少于4人，能够与用户进行良好的沟通，解答功能操作等使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b/>
                <w:sz w:val="28"/>
                <w:szCs w:val="28"/>
              </w:rPr>
            </w:pPr>
          </w:p>
        </w:tc>
        <w:tc>
          <w:tcPr>
            <w:tcW w:w="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tcBorders>
              <w:top w:val="single" w:color="auto" w:sz="4" w:space="0"/>
              <w:left w:val="single" w:color="auto" w:sz="4" w:space="0"/>
              <w:bottom w:val="single" w:color="auto" w:sz="4" w:space="0"/>
              <w:right w:val="single" w:color="auto" w:sz="4" w:space="0"/>
            </w:tcBorders>
            <w:vAlign w:val="center"/>
          </w:tcPr>
          <w:p>
            <w:pPr>
              <w:pStyle w:val="23"/>
              <w:jc w:val="both"/>
              <w:rPr>
                <w:rFonts w:ascii="仿宋" w:hAnsi="仿宋" w:eastAsia="仿宋"/>
                <w:sz w:val="28"/>
                <w:szCs w:val="28"/>
              </w:rPr>
            </w:pPr>
            <w:r>
              <w:rPr>
                <w:rFonts w:hint="eastAsia" w:ascii="仿宋" w:hAnsi="仿宋" w:eastAsia="仿宋"/>
                <w:sz w:val="28"/>
                <w:szCs w:val="28"/>
              </w:rPr>
              <w:t>提供2020年1月1日以来，投标单位具有项目类似开发成果的，提供1个类似项目合同、数字教育资源建设成果（课程等）出版合同或数字教育资源建设成果（课程等）出版物，得1分，最高得2分，未提供的不得分。</w:t>
            </w:r>
          </w:p>
        </w:tc>
      </w:tr>
    </w:tbl>
    <w:p>
      <w:pPr>
        <w:pStyle w:val="32"/>
        <w:spacing w:before="120" w:after="120" w:line="360" w:lineRule="auto"/>
        <w:jc w:val="center"/>
        <w:outlineLvl w:val="0"/>
        <w:rPr>
          <w:rFonts w:hAnsi="宋体"/>
          <w:b/>
          <w:color w:val="000000" w:themeColor="text1"/>
          <w:sz w:val="36"/>
          <w:szCs w:val="36"/>
          <w14:textFill>
            <w14:solidFill>
              <w14:schemeClr w14:val="tx1"/>
            </w14:solidFill>
          </w14:textFill>
        </w:rPr>
      </w:pPr>
      <w:bookmarkStart w:id="34" w:name="_Toc26308"/>
    </w:p>
    <w:p>
      <w:pPr>
        <w:pStyle w:val="32"/>
        <w:spacing w:before="120" w:after="120" w:line="360" w:lineRule="auto"/>
        <w:jc w:val="center"/>
        <w:outlineLvl w:val="0"/>
        <w:rPr>
          <w:rFonts w:hAnsi="宋体"/>
          <w:b/>
          <w:color w:val="000000" w:themeColor="text1"/>
          <w:sz w:val="36"/>
          <w:szCs w:val="36"/>
          <w14:textFill>
            <w14:solidFill>
              <w14:schemeClr w14:val="tx1"/>
            </w14:solidFill>
          </w14:textFill>
        </w:rPr>
      </w:pPr>
    </w:p>
    <w:p>
      <w:pPr>
        <w:pStyle w:val="32"/>
        <w:spacing w:before="120" w:after="120" w:line="360" w:lineRule="auto"/>
        <w:jc w:val="center"/>
        <w:outlineLvl w:val="0"/>
        <w:rPr>
          <w:rFonts w:hAnsi="宋体"/>
          <w:b/>
          <w:color w:val="000000" w:themeColor="text1"/>
          <w:sz w:val="36"/>
          <w:szCs w:val="36"/>
          <w14:textFill>
            <w14:solidFill>
              <w14:schemeClr w14:val="tx1"/>
            </w14:solidFill>
          </w14:textFill>
        </w:rPr>
      </w:pPr>
    </w:p>
    <w:p>
      <w:pPr>
        <w:pStyle w:val="32"/>
        <w:spacing w:before="120" w:after="120" w:line="360" w:lineRule="auto"/>
        <w:jc w:val="center"/>
        <w:outlineLvl w:val="0"/>
        <w:rPr>
          <w:rFonts w:hAnsi="宋体"/>
          <w:b/>
          <w:color w:val="000000" w:themeColor="text1"/>
          <w:sz w:val="36"/>
          <w:szCs w:val="36"/>
          <w14:textFill>
            <w14:solidFill>
              <w14:schemeClr w14:val="tx1"/>
            </w14:solidFill>
          </w14:textFill>
        </w:rPr>
      </w:pPr>
    </w:p>
    <w:p>
      <w:pPr>
        <w:pStyle w:val="32"/>
        <w:spacing w:before="120" w:after="120" w:line="360" w:lineRule="auto"/>
        <w:jc w:val="center"/>
        <w:outlineLvl w:val="0"/>
        <w:rPr>
          <w:rFonts w:hAnsi="宋体"/>
          <w:b/>
          <w:color w:val="000000" w:themeColor="text1"/>
          <w:sz w:val="36"/>
          <w:szCs w:val="36"/>
          <w14:textFill>
            <w14:solidFill>
              <w14:schemeClr w14:val="tx1"/>
            </w14:solidFill>
          </w14:textFill>
        </w:rPr>
      </w:pPr>
    </w:p>
    <w:p>
      <w:pPr>
        <w:pStyle w:val="32"/>
        <w:spacing w:before="120" w:after="120" w:line="360" w:lineRule="auto"/>
        <w:outlineLvl w:val="0"/>
        <w:rPr>
          <w:rFonts w:hAnsi="宋体"/>
          <w:b/>
          <w:color w:val="000000" w:themeColor="text1"/>
          <w:sz w:val="36"/>
          <w:szCs w:val="36"/>
          <w14:textFill>
            <w14:solidFill>
              <w14:schemeClr w14:val="tx1"/>
            </w14:solidFill>
          </w14:textFill>
        </w:rPr>
      </w:pPr>
    </w:p>
    <w:p>
      <w:pPr>
        <w:pStyle w:val="32"/>
        <w:spacing w:before="120" w:after="120" w:line="360" w:lineRule="auto"/>
        <w:jc w:val="center"/>
        <w:outlineLvl w:val="0"/>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第五章 浙江省政府采购合同主要条款指引</w:t>
      </w:r>
      <w:bookmarkEnd w:id="27"/>
      <w:bookmarkEnd w:id="34"/>
    </w:p>
    <w:p>
      <w:pPr>
        <w:rPr>
          <w:color w:val="000000" w:themeColor="text1"/>
          <w14:textFill>
            <w14:solidFill>
              <w14:schemeClr w14:val="tx1"/>
            </w14:solidFill>
          </w14:textFill>
        </w:rPr>
      </w:pPr>
    </w:p>
    <w:p>
      <w:pPr>
        <w:pStyle w:val="32"/>
        <w:snapToGrid w:val="0"/>
        <w:spacing w:before="120" w:after="120" w:line="360" w:lineRule="auto"/>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合同编号：        </w:t>
      </w:r>
    </w:p>
    <w:p>
      <w:pPr>
        <w:pStyle w:val="32"/>
        <w:snapToGrid w:val="0"/>
        <w:spacing w:before="120" w:after="120" w:line="360" w:lineRule="auto"/>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确认书号：</w:t>
      </w:r>
    </w:p>
    <w:p>
      <w:pPr>
        <w:spacing w:line="520" w:lineRule="exact"/>
        <w:ind w:firstLine="301" w:firstLineChars="100"/>
        <w:rPr>
          <w:rFonts w:ascii="仿宋" w:hAnsi="仿宋" w:eastAsia="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甲方</w:t>
      </w:r>
      <w:r>
        <w:rPr>
          <w:rFonts w:hint="eastAsia" w:ascii="仿宋" w:hAnsi="仿宋" w:eastAsia="仿宋"/>
          <w:color w:val="000000" w:themeColor="text1"/>
          <w:sz w:val="30"/>
          <w:szCs w:val="30"/>
          <w14:textFill>
            <w14:solidFill>
              <w14:schemeClr w14:val="tx1"/>
            </w14:solidFill>
          </w14:textFill>
        </w:rPr>
        <w:t xml:space="preserve">（采购人）： </w:t>
      </w:r>
    </w:p>
    <w:p>
      <w:pPr>
        <w:spacing w:line="520" w:lineRule="exact"/>
        <w:ind w:firstLine="301" w:firstLineChars="100"/>
        <w:rPr>
          <w:rFonts w:ascii="仿宋" w:hAnsi="仿宋" w:eastAsia="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乙方</w:t>
      </w:r>
      <w:r>
        <w:rPr>
          <w:rFonts w:hint="eastAsia" w:ascii="仿宋" w:hAnsi="仿宋" w:eastAsia="仿宋"/>
          <w:color w:val="000000" w:themeColor="text1"/>
          <w:sz w:val="30"/>
          <w:szCs w:val="30"/>
          <w14:textFill>
            <w14:solidFill>
              <w14:schemeClr w14:val="tx1"/>
            </w14:solidFill>
          </w14:textFill>
        </w:rPr>
        <w:t xml:space="preserve">（供应商）： </w:t>
      </w:r>
    </w:p>
    <w:p>
      <w:pPr>
        <w:pStyle w:val="32"/>
        <w:adjustRightInd w:val="0"/>
        <w:snapToGrid w:val="0"/>
        <w:spacing w:before="120" w:after="120" w:line="460" w:lineRule="exact"/>
        <w:ind w:firstLine="594"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甲、乙双方根据浙江省政府采购中心关于</w:t>
      </w:r>
      <w:r>
        <w:rPr>
          <w:rFonts w:hint="eastAsia" w:ascii="仿宋" w:hAnsi="仿宋" w:eastAsia="仿宋"/>
          <w:color w:val="000000" w:themeColor="text1"/>
          <w:sz w:val="30"/>
          <w:szCs w:val="30"/>
          <w14:textFill>
            <w14:solidFill>
              <w14:schemeClr w14:val="tx1"/>
            </w14:solidFill>
          </w14:textFill>
        </w:rPr>
        <w:t>项目编号为      的</w:t>
      </w:r>
      <w:r>
        <w:rPr>
          <w:rFonts w:hint="eastAsia" w:ascii="仿宋" w:hAnsi="仿宋" w:eastAsia="仿宋"/>
          <w:snapToGrid w:val="0"/>
          <w:color w:val="000000" w:themeColor="text1"/>
          <w:sz w:val="30"/>
          <w:szCs w:val="30"/>
          <w14:textFill>
            <w14:solidFill>
              <w14:schemeClr w14:val="tx1"/>
            </w14:solidFill>
          </w14:textFill>
        </w:rPr>
        <w:t>（标项及名称）项目公开招标的结果，签署本合同。</w:t>
      </w:r>
    </w:p>
    <w:p>
      <w:pPr>
        <w:pStyle w:val="32"/>
        <w:adjustRightInd w:val="0"/>
        <w:snapToGrid w:val="0"/>
        <w:spacing w:before="120" w:after="120" w:line="460" w:lineRule="exact"/>
        <w:ind w:firstLine="641" w:firstLineChars="213"/>
        <w:rPr>
          <w:rFonts w:ascii="仿宋" w:hAnsi="仿宋" w:eastAsia="仿宋"/>
          <w:b/>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一、项目内容</w:t>
      </w:r>
      <w:r>
        <w:rPr>
          <w:rFonts w:hint="eastAsia" w:ascii="仿宋" w:hAnsi="仿宋" w:eastAsia="仿宋"/>
          <w:b/>
          <w:color w:val="000000" w:themeColor="text1"/>
          <w:sz w:val="30"/>
          <w:szCs w:val="30"/>
          <w14:textFill>
            <w14:solidFill>
              <w14:schemeClr w14:val="tx1"/>
            </w14:solidFill>
          </w14:textFill>
        </w:rPr>
        <w:t>及合同价格</w:t>
      </w:r>
    </w:p>
    <w:p>
      <w:pPr>
        <w:pStyle w:val="32"/>
        <w:adjustRightInd w:val="0"/>
        <w:snapToGrid w:val="0"/>
        <w:spacing w:before="120" w:after="120" w:line="460" w:lineRule="exact"/>
        <w:ind w:firstLine="639" w:firstLineChars="213"/>
        <w:jc w:val="righ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ind w:left="-108"/>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ind w:left="-108"/>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color w:val="000000" w:themeColor="text1"/>
                <w:sz w:val="30"/>
                <w:szCs w:val="30"/>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000000" w:themeColor="text1"/>
                <w:kern w:val="2"/>
                <w:sz w:val="30"/>
                <w:szCs w:val="30"/>
                <w14:textFill>
                  <w14:solidFill>
                    <w14:schemeClr w14:val="tx1"/>
                  </w14:solidFill>
                </w14:textFill>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1890"/>
              <w:rPr>
                <w:rFonts w:ascii="仿宋" w:hAnsi="仿宋" w:eastAsia="仿宋"/>
                <w:color w:val="000000" w:themeColor="text1"/>
                <w:kern w:val="2"/>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ind w:firstLine="639" w:firstLineChars="213"/>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            计</w:t>
            </w:r>
          </w:p>
        </w:tc>
        <w:tc>
          <w:tcPr>
            <w:tcW w:w="1080"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ind w:firstLine="639" w:firstLineChars="213"/>
              <w:jc w:val="center"/>
              <w:rPr>
                <w:rFonts w:ascii="仿宋" w:hAnsi="仿宋" w:eastAsia="仿宋"/>
                <w:color w:val="000000" w:themeColor="text1"/>
                <w:sz w:val="30"/>
                <w:szCs w:val="30"/>
                <w14:textFill>
                  <w14:solidFill>
                    <w14:schemeClr w14:val="tx1"/>
                  </w14:solidFill>
                </w14:textFill>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000000" w:themeColor="text1"/>
                <w:kern w:val="2"/>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合同总价大写：                              小写：￥</w:t>
            </w:r>
          </w:p>
        </w:tc>
      </w:tr>
    </w:tbl>
    <w:p>
      <w:pPr>
        <w:pStyle w:val="32"/>
        <w:snapToGrid w:val="0"/>
        <w:spacing w:before="120" w:beforeLines="0" w:after="120" w:line="460" w:lineRule="exact"/>
        <w:ind w:left="-178" w:leftChars="-85" w:firstLine="639" w:firstLineChars="213"/>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注：1.项目具体技术需求及采购人地址等详见招标文件、投标文件以及询标记录。</w:t>
      </w:r>
    </w:p>
    <w:p>
      <w:pPr>
        <w:spacing w:line="460" w:lineRule="exact"/>
        <w:ind w:firstLine="639" w:firstLineChars="213"/>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2.以上合同总价包含项目达到预期使用效果所需的一切费用。</w:t>
      </w:r>
    </w:p>
    <w:p>
      <w:pPr>
        <w:pStyle w:val="32"/>
        <w:adjustRightInd w:val="0"/>
        <w:snapToGrid w:val="0"/>
        <w:spacing w:before="120" w:after="120"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二、技术资料</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1.乙方应按招标文件规定的时间向甲方提供使用项目的有关技术资料。</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adjustRightInd w:val="0"/>
        <w:snapToGrid w:val="0"/>
        <w:spacing w:before="120" w:after="120" w:line="460" w:lineRule="exact"/>
        <w:ind w:firstLine="596"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三、知识产权</w:t>
      </w:r>
    </w:p>
    <w:p>
      <w:pPr>
        <w:pStyle w:val="32"/>
        <w:adjustRightInd w:val="0"/>
        <w:snapToGrid w:val="0"/>
        <w:spacing w:before="120" w:after="120" w:line="460" w:lineRule="exact"/>
        <w:ind w:firstLine="639" w:firstLineChars="213"/>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乙方应保证所提供的货物或其任何一部分均不会侵犯任何第三方的知识产权</w:t>
      </w:r>
      <w:r>
        <w:rPr>
          <w:rFonts w:hint="eastAsia" w:ascii="仿宋" w:hAnsi="仿宋" w:eastAsia="仿宋"/>
          <w:bCs/>
          <w:snapToGrid w:val="0"/>
          <w:color w:val="000000" w:themeColor="text1"/>
          <w:sz w:val="30"/>
          <w:szCs w:val="30"/>
          <w14:textFill>
            <w14:solidFill>
              <w14:schemeClr w14:val="tx1"/>
            </w14:solidFill>
          </w14:textFill>
        </w:rPr>
        <w:t>。</w:t>
      </w:r>
    </w:p>
    <w:p>
      <w:pPr>
        <w:pStyle w:val="32"/>
        <w:adjustRightInd w:val="0"/>
        <w:snapToGrid w:val="0"/>
        <w:spacing w:before="120" w:after="120" w:line="460" w:lineRule="exact"/>
        <w:ind w:firstLine="596" w:firstLineChars="198"/>
        <w:rPr>
          <w:rFonts w:ascii="仿宋" w:hAnsi="仿宋" w:eastAsia="仿宋"/>
          <w:snapToGrid w:val="0"/>
          <w:color w:val="000000" w:themeColor="text1"/>
          <w:sz w:val="30"/>
          <w:szCs w:val="30"/>
          <w:u w:val="single"/>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四、产权担保</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u w:val="single"/>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乙方保证所交付的货物的所有权完全属于乙方且无任何抵押、查封等产权瑕疵。</w:t>
      </w:r>
    </w:p>
    <w:p>
      <w:pPr>
        <w:pStyle w:val="32"/>
        <w:adjustRightInd w:val="0"/>
        <w:snapToGrid w:val="0"/>
        <w:spacing w:before="120" w:after="120" w:line="460" w:lineRule="exact"/>
        <w:ind w:firstLine="596"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五、转包或分包</w:t>
      </w:r>
    </w:p>
    <w:p>
      <w:pPr>
        <w:adjustRightInd w:val="0"/>
        <w:snapToGrid w:val="0"/>
        <w:spacing w:before="120" w:beforeLines="50" w:after="120" w:afterLines="50" w:line="460" w:lineRule="exact"/>
        <w:ind w:firstLine="639"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不允许转包。</w:t>
      </w:r>
    </w:p>
    <w:p>
      <w:pPr>
        <w:adjustRightInd w:val="0"/>
        <w:snapToGrid w:val="0"/>
        <w:spacing w:before="120" w:beforeLines="50" w:after="120" w:afterLines="50" w:line="460" w:lineRule="exact"/>
        <w:ind w:firstLine="639" w:firstLineChars="213"/>
        <w:rPr>
          <w:rFonts w:ascii="仿宋" w:hAnsi="仿宋" w:eastAsia="仿宋"/>
          <w:snapToGrid w:val="0"/>
          <w:color w:val="000000" w:themeColor="text1"/>
          <w:kern w:val="0"/>
          <w:sz w:val="30"/>
          <w:szCs w:val="30"/>
          <w:u w:val="single"/>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允许分包部分</w:t>
      </w:r>
      <w:r>
        <w:rPr>
          <w:rFonts w:hint="eastAsia" w:ascii="仿宋" w:hAnsi="仿宋" w:eastAsia="仿宋"/>
          <w:snapToGrid w:val="0"/>
          <w:color w:val="000000" w:themeColor="text1"/>
          <w:kern w:val="0"/>
          <w:sz w:val="30"/>
          <w:szCs w:val="30"/>
          <w:u w:val="single"/>
          <w14:textFill>
            <w14:solidFill>
              <w14:schemeClr w14:val="tx1"/>
            </w14:solidFill>
          </w14:textFill>
        </w:rPr>
        <w:t xml:space="preserve">               。</w:t>
      </w:r>
    </w:p>
    <w:p>
      <w:pPr>
        <w:adjustRightInd w:val="0"/>
        <w:snapToGrid w:val="0"/>
        <w:spacing w:before="120" w:beforeLines="50" w:after="120" w:afterLines="50" w:line="460" w:lineRule="exact"/>
        <w:ind w:firstLine="600" w:firstLineChars="200"/>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如乙方将项目转包或将不允许分包部分就行了分包，甲方有权解除合同，没收履约保证金并追究乙方的违约责任。</w:t>
      </w:r>
    </w:p>
    <w:p>
      <w:pPr>
        <w:pStyle w:val="32"/>
        <w:adjustRightInd w:val="0"/>
        <w:snapToGrid w:val="0"/>
        <w:spacing w:before="120" w:after="120" w:line="460" w:lineRule="exact"/>
        <w:ind w:firstLine="641"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六、质保期和履约保证金</w:t>
      </w:r>
    </w:p>
    <w:p>
      <w:pPr>
        <w:pStyle w:val="32"/>
        <w:adjustRightInd w:val="0"/>
        <w:snapToGrid w:val="0"/>
        <w:spacing w:before="120" w:after="120" w:line="460" w:lineRule="exact"/>
        <w:ind w:firstLine="600" w:firstLineChars="200"/>
        <w:jc w:val="left"/>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1.质保期年。（自项目验收合格交付使用之日起计）</w:t>
      </w:r>
    </w:p>
    <w:p>
      <w:pPr>
        <w:pStyle w:val="32"/>
        <w:adjustRightInd w:val="0"/>
        <w:snapToGrid w:val="0"/>
        <w:spacing w:before="120" w:after="120" w:line="460" w:lineRule="exact"/>
        <w:ind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2.履约保证金元。[履约保证金交至采购人处，在合同约定交货验收合格满（   ）个月之日起5个工作日内无息退还]</w:t>
      </w:r>
    </w:p>
    <w:p>
      <w:pPr>
        <w:pStyle w:val="32"/>
        <w:adjustRightInd w:val="0"/>
        <w:snapToGrid w:val="0"/>
        <w:spacing w:before="120" w:after="120"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七、项目工期及实施地点</w:t>
      </w:r>
    </w:p>
    <w:p>
      <w:pPr>
        <w:pStyle w:val="32"/>
        <w:adjustRightInd w:val="0"/>
        <w:snapToGrid w:val="0"/>
        <w:spacing w:before="120" w:after="120" w:line="460" w:lineRule="exact"/>
        <w:ind w:firstLine="639" w:firstLineChars="213"/>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1.交货期：</w:t>
      </w:r>
    </w:p>
    <w:p>
      <w:pPr>
        <w:pStyle w:val="32"/>
        <w:adjustRightInd w:val="0"/>
        <w:snapToGrid w:val="0"/>
        <w:spacing w:before="120" w:after="120" w:line="460" w:lineRule="exact"/>
        <w:ind w:firstLine="639"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2.实施地点：</w:t>
      </w:r>
    </w:p>
    <w:p>
      <w:pPr>
        <w:pStyle w:val="32"/>
        <w:adjustRightInd w:val="0"/>
        <w:snapToGrid w:val="0"/>
        <w:spacing w:before="120" w:after="120"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八、货款支付</w:t>
      </w:r>
    </w:p>
    <w:p>
      <w:pPr>
        <w:spacing w:line="360" w:lineRule="auto"/>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 xml:space="preserve"> 付款方式：（根据采购文件“第四部分商务要求表付款条件”内容填写）</w:t>
      </w:r>
    </w:p>
    <w:p>
      <w:pPr>
        <w:adjustRightInd w:val="0"/>
        <w:snapToGrid w:val="0"/>
        <w:spacing w:before="120" w:beforeLines="50" w:after="120" w:afterLines="50" w:line="460" w:lineRule="exact"/>
        <w:ind w:firstLine="641" w:firstLineChars="213"/>
        <w:rPr>
          <w:rFonts w:ascii="仿宋" w:hAnsi="仿宋" w:eastAsia="仿宋"/>
          <w:b/>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kern w:val="0"/>
          <w:sz w:val="30"/>
          <w:szCs w:val="30"/>
          <w14:textFill>
            <w14:solidFill>
              <w14:schemeClr w14:val="tx1"/>
            </w14:solidFill>
          </w14:textFill>
        </w:rPr>
        <w:t>九、税费</w:t>
      </w:r>
    </w:p>
    <w:p>
      <w:pPr>
        <w:adjustRightInd w:val="0"/>
        <w:snapToGrid w:val="0"/>
        <w:spacing w:before="120" w:beforeLines="50" w:after="120" w:afterLines="50" w:line="460" w:lineRule="exact"/>
        <w:ind w:firstLine="639"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本合同执行中相关的一切税费均由乙方负担。</w:t>
      </w:r>
    </w:p>
    <w:p>
      <w:pPr>
        <w:pStyle w:val="32"/>
        <w:adjustRightInd w:val="0"/>
        <w:snapToGrid w:val="0"/>
        <w:spacing w:before="120" w:after="120" w:line="460" w:lineRule="exact"/>
        <w:ind w:firstLine="596" w:firstLineChars="198"/>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十、质量保证及售后服务</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w:t>
      </w:r>
    </w:p>
    <w:p>
      <w:pPr>
        <w:pStyle w:val="32"/>
        <w:adjustRightInd w:val="0"/>
        <w:snapToGrid w:val="0"/>
        <w:spacing w:before="120" w:after="120"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十一、调试和验收</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详见招标文件、投标文件。</w:t>
      </w:r>
    </w:p>
    <w:p>
      <w:pPr>
        <w:pStyle w:val="32"/>
        <w:adjustRightInd w:val="0"/>
        <w:snapToGrid w:val="0"/>
        <w:spacing w:before="120" w:after="120"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十二、货物包装</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详见招标文件、投标文件。</w:t>
      </w:r>
    </w:p>
    <w:p>
      <w:pPr>
        <w:pStyle w:val="32"/>
        <w:adjustRightInd w:val="0"/>
        <w:snapToGrid w:val="0"/>
        <w:spacing w:before="120" w:after="120"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十三、违约责任</w:t>
      </w:r>
    </w:p>
    <w:p>
      <w:pPr>
        <w:pStyle w:val="32"/>
        <w:adjustRightInd w:val="0"/>
        <w:snapToGrid w:val="0"/>
        <w:spacing w:before="120" w:after="120"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1.甲方无正当理由拒收验收项目的，甲方向乙方偿付拒收合同总价的百分之五违约金。</w:t>
      </w:r>
    </w:p>
    <w:p>
      <w:pPr>
        <w:pStyle w:val="32"/>
        <w:adjustRightInd w:val="0"/>
        <w:snapToGrid w:val="0"/>
        <w:spacing w:before="120" w:after="120" w:line="460" w:lineRule="exact"/>
        <w:ind w:left="1"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2. 甲方收到乙方提供的发票，结合验收情况，验收合格的，在15日内将采购资金支付到乙方约定账户。</w:t>
      </w:r>
    </w:p>
    <w:p>
      <w:pPr>
        <w:pStyle w:val="32"/>
        <w:adjustRightInd w:val="0"/>
        <w:snapToGrid w:val="0"/>
        <w:spacing w:before="120" w:after="120"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甲方无故逾期验收和办理合同款项支付手续的,甲方应按逾期付款总额每日万分之五向乙方支付违约金。</w:t>
      </w:r>
    </w:p>
    <w:p>
      <w:pPr>
        <w:pStyle w:val="32"/>
        <w:adjustRightInd w:val="0"/>
        <w:snapToGrid w:val="0"/>
        <w:spacing w:before="120" w:after="120"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2"/>
        <w:adjustRightInd w:val="0"/>
        <w:snapToGrid w:val="0"/>
        <w:spacing w:before="120" w:after="120"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adjustRightInd w:val="0"/>
        <w:snapToGrid w:val="0"/>
        <w:spacing w:before="120" w:after="120"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5.解除合同应按《浙江省政府采购合同暂行办法》向财政备案。</w:t>
      </w:r>
    </w:p>
    <w:p>
      <w:pPr>
        <w:pStyle w:val="32"/>
        <w:adjustRightInd w:val="0"/>
        <w:snapToGrid w:val="0"/>
        <w:spacing w:before="120" w:after="120"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十四、不可抗力事件处理</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1.在合同有效期内，任何一方因不可抗力事件导致不能履行合同，则合同履行期可延长，其延长期与不可抗力影响期相同。</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2.不可抗力事件发生后，应立即通知对方，并寄送有关权威机构出具的证明。</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3.不可抗力事件延续120天以上，双方应通过友好协商，确定是否继续履行合同。</w:t>
      </w:r>
    </w:p>
    <w:p>
      <w:pPr>
        <w:pStyle w:val="32"/>
        <w:adjustRightInd w:val="0"/>
        <w:snapToGrid w:val="0"/>
        <w:spacing w:before="120" w:after="120"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十五、诉讼</w:t>
      </w:r>
    </w:p>
    <w:p>
      <w:pPr>
        <w:pStyle w:val="32"/>
        <w:adjustRightInd w:val="0"/>
        <w:snapToGrid w:val="0"/>
        <w:spacing w:before="120" w:after="120" w:line="460" w:lineRule="exact"/>
        <w:ind w:left="2"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双方在执行合同中所发生的一切争议，应通过协商解决。如协商不成，可向甲方所在地法院起诉。</w:t>
      </w:r>
    </w:p>
    <w:p>
      <w:pPr>
        <w:pStyle w:val="32"/>
        <w:adjustRightInd w:val="0"/>
        <w:snapToGrid w:val="0"/>
        <w:spacing w:before="120" w:after="120"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十六、合同生效及其它</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1.合同经甲、乙两方签名并加盖单位公章后生效。</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2.合同执行中涉及采购资金和采购内容修改或补充的，须双方经财政部门审批，并签书面补充协议，经报政府采购监督管理部门备案后，方可作为主合同不可分割的一部分。</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3.招标文件、投标文件与本合同具有同等法律效力。</w:t>
      </w:r>
    </w:p>
    <w:p>
      <w:pPr>
        <w:pStyle w:val="32"/>
        <w:adjustRightInd w:val="0"/>
        <w:snapToGrid w:val="0"/>
        <w:spacing w:before="120" w:after="120" w:line="460" w:lineRule="exact"/>
        <w:ind w:firstLine="59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adjustRightInd w:val="0"/>
        <w:snapToGrid w:val="0"/>
        <w:spacing w:before="120" w:after="120" w:line="460" w:lineRule="exact"/>
        <w:ind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5.本合同未尽事宜，遵照《中华人民共和国民法典》有关条文执行。</w:t>
      </w:r>
    </w:p>
    <w:p>
      <w:pPr>
        <w:pStyle w:val="32"/>
        <w:adjustRightInd w:val="0"/>
        <w:snapToGrid w:val="0"/>
        <w:spacing w:before="120" w:beforeLines="0" w:after="120" w:line="460" w:lineRule="exact"/>
        <w:ind w:left="2" w:leftChars="1"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6.本合同一式四份，具有同等法律效力，甲、乙两方各执二份。</w:t>
      </w:r>
    </w:p>
    <w:p>
      <w:pPr>
        <w:pStyle w:val="32"/>
        <w:adjustRightInd w:val="0"/>
        <w:snapToGrid w:val="0"/>
        <w:spacing w:before="120" w:after="120"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p>
    <w:p>
      <w:pPr>
        <w:pStyle w:val="32"/>
        <w:adjustRightInd w:val="0"/>
        <w:snapToGrid w:val="0"/>
        <w:spacing w:before="120" w:after="120"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甲方（盖章）：                                   </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地址：                                   </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法定（授权）代表人：                   </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签名日期：     年   月   日           </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乙方（盖章）：</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地址： </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开户行：</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开户帐号：</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法定（授权）代表人：</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签名日期：      年   月   日</w:t>
      </w:r>
    </w:p>
    <w:p>
      <w:pPr>
        <w:pStyle w:val="32"/>
        <w:adjustRightInd w:val="0"/>
        <w:snapToGrid w:val="0"/>
        <w:spacing w:before="120" w:after="120" w:line="460" w:lineRule="exact"/>
        <w:ind w:firstLine="639" w:firstLineChars="213"/>
        <w:rPr>
          <w:rFonts w:ascii="仿宋" w:hAnsi="仿宋" w:eastAsia="仿宋"/>
          <w:snapToGrid w:val="0"/>
          <w:color w:val="000000" w:themeColor="text1"/>
          <w:sz w:val="30"/>
          <w:szCs w:val="30"/>
          <w14:textFill>
            <w14:solidFill>
              <w14:schemeClr w14:val="tx1"/>
            </w14:solidFill>
          </w14:textFill>
        </w:rPr>
      </w:pPr>
    </w:p>
    <w:p>
      <w:pPr>
        <w:rPr>
          <w:color w:val="000000" w:themeColor="text1"/>
          <w:szCs w:val="30"/>
          <w14:textFill>
            <w14:solidFill>
              <w14:schemeClr w14:val="tx1"/>
            </w14:solidFill>
          </w14:textFill>
        </w:rPr>
      </w:pPr>
    </w:p>
    <w:p>
      <w:pPr>
        <w:pStyle w:val="32"/>
        <w:spacing w:before="120" w:after="120" w:line="360" w:lineRule="auto"/>
        <w:jc w:val="center"/>
        <w:outlineLvl w:val="0"/>
        <w:rPr>
          <w:rFonts w:hAnsi="宋体"/>
          <w:b/>
          <w:color w:val="000000" w:themeColor="text1"/>
          <w:sz w:val="36"/>
          <w:szCs w:val="36"/>
          <w14:textFill>
            <w14:solidFill>
              <w14:schemeClr w14:val="tx1"/>
            </w14:solidFill>
          </w14:textFill>
        </w:rPr>
      </w:pPr>
      <w:r>
        <w:rPr>
          <w:rFonts w:hint="eastAsia" w:ascii="仿宋_GB2312" w:eastAsia="仿宋_GB2312"/>
          <w:snapToGrid w:val="0"/>
          <w:color w:val="000000" w:themeColor="text1"/>
          <w:kern w:val="0"/>
          <w:sz w:val="30"/>
          <w:szCs w:val="30"/>
          <w14:textFill>
            <w14:solidFill>
              <w14:schemeClr w14:val="tx1"/>
            </w14:solidFill>
          </w14:textFill>
        </w:rPr>
        <w:br w:type="page"/>
      </w:r>
      <w:bookmarkStart w:id="35" w:name="_Toc22013"/>
      <w:r>
        <w:rPr>
          <w:rFonts w:hint="eastAsia" w:hAnsi="宋体"/>
          <w:b/>
          <w:color w:val="000000" w:themeColor="text1"/>
          <w:sz w:val="36"/>
          <w:szCs w:val="36"/>
          <w14:textFill>
            <w14:solidFill>
              <w14:schemeClr w14:val="tx1"/>
            </w14:solidFill>
          </w14:textFill>
        </w:rPr>
        <w:t>第六章 投标文件格式附件</w:t>
      </w:r>
      <w:bookmarkEnd w:id="35"/>
    </w:p>
    <w:p>
      <w:pPr>
        <w:pStyle w:val="32"/>
        <w:spacing w:before="120" w:after="120" w:line="360" w:lineRule="auto"/>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2"/>
        <w:adjustRightInd w:val="0"/>
        <w:snapToGrid w:val="0"/>
        <w:spacing w:before="120" w:after="120"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snapToGrid w:val="0"/>
        <w:spacing w:before="120" w:beforeLines="50" w:after="50"/>
        <w:rPr>
          <w:rFonts w:ascii="仿宋" w:hAnsi="仿宋" w:eastAsia="仿宋"/>
          <w:color w:val="000000" w:themeColor="text1"/>
          <w:sz w:val="30"/>
          <w:szCs w:val="30"/>
          <w14:textFill>
            <w14:solidFill>
              <w14:schemeClr w14:val="tx1"/>
            </w14:solidFill>
          </w14:textFill>
        </w:rPr>
      </w:pPr>
    </w:p>
    <w:p>
      <w:pPr>
        <w:snapToGrid w:val="0"/>
        <w:spacing w:before="120" w:beforeLines="50" w:after="50"/>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b/>
          <w:color w:val="000000" w:themeColor="text1"/>
          <w:sz w:val="30"/>
          <w:szCs w:val="30"/>
          <w14:textFill>
            <w14:solidFill>
              <w14:schemeClr w14:val="tx1"/>
            </w14:solidFill>
          </w14:textFill>
        </w:rPr>
        <w:t xml:space="preserve">：                                          </w:t>
      </w:r>
    </w:p>
    <w:p>
      <w:pPr>
        <w:spacing w:before="240" w:beforeLines="100" w:line="240" w:lineRule="atLeast"/>
        <w:jc w:val="center"/>
        <w:rPr>
          <w:rFonts w:ascii="仿宋" w:hAnsi="仿宋" w:eastAsia="仿宋"/>
          <w:color w:val="000000" w:themeColor="text1"/>
          <w:sz w:val="48"/>
          <w:szCs w:val="48"/>
          <w14:textFill>
            <w14:solidFill>
              <w14:schemeClr w14:val="tx1"/>
            </w14:solidFill>
          </w14:textFill>
        </w:rPr>
      </w:pPr>
      <w:bookmarkStart w:id="36" w:name="PO_1000000445_PM002_2"/>
      <w:r>
        <w:rPr>
          <w:rFonts w:hint="eastAsia" w:ascii="仿宋" w:hAnsi="仿宋" w:eastAsia="仿宋"/>
          <w:b/>
          <w:color w:val="000000" w:themeColor="text1"/>
          <w:spacing w:val="40"/>
          <w:sz w:val="48"/>
          <w:szCs w:val="48"/>
          <w14:textFill>
            <w14:solidFill>
              <w14:schemeClr w14:val="tx1"/>
            </w14:solidFill>
          </w14:textFill>
        </w:rPr>
        <w:t>浙江省教育厅（本级）2023年之江汇教育广场数字资源建设项目</w:t>
      </w:r>
      <w:bookmarkEnd w:id="36"/>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37" w:name="PO_15528_PM001_2"/>
      <w:r>
        <w:rPr>
          <w:rFonts w:hint="eastAsia" w:ascii="仿宋" w:hAnsi="仿宋" w:eastAsia="仿宋"/>
          <w:color w:val="000000" w:themeColor="text1"/>
          <w:sz w:val="36"/>
          <w:szCs w:val="36"/>
          <w14:textFill>
            <w14:solidFill>
              <w14:schemeClr w14:val="tx1"/>
            </w14:solidFill>
          </w14:textFill>
        </w:rPr>
        <w:t>ZZCG2023X-GK-153</w:t>
      </w:r>
      <w:bookmarkEnd w:id="37"/>
      <w:r>
        <w:rPr>
          <w:rFonts w:hint="eastAsia" w:ascii="仿宋" w:hAnsi="仿宋" w:eastAsia="仿宋"/>
          <w:color w:val="000000" w:themeColor="text1"/>
          <w:sz w:val="36"/>
          <w:szCs w:val="36"/>
          <w14:textFill>
            <w14:solidFill>
              <w14:schemeClr w14:val="tx1"/>
            </w14:solidFill>
          </w14:textFill>
        </w:rPr>
        <w:t>（标项  ）</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资</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格</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b/>
          <w:bCs/>
          <w:sz w:val="36"/>
          <w:szCs w:val="36"/>
        </w:rPr>
      </w:pPr>
      <w:r>
        <w:rPr>
          <w:rFonts w:hint="eastAsia" w:ascii="仿宋" w:hAnsi="仿宋" w:eastAsia="仿宋"/>
          <w:b/>
          <w:color w:val="000000" w:themeColor="text1"/>
          <w:kern w:val="0"/>
          <w:sz w:val="36"/>
          <w:szCs w:val="36"/>
          <w14:textFill>
            <w14:solidFill>
              <w14:schemeClr w14:val="tx1"/>
            </w14:solidFill>
          </w14:textFill>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w:t>
      </w:r>
      <w:r>
        <w:rPr>
          <w:rFonts w:hint="eastAsia" w:ascii="仿宋" w:hAnsi="仿宋" w:eastAsia="仿宋"/>
          <w:bCs/>
          <w:sz w:val="30"/>
          <w:szCs w:val="30"/>
        </w:rPr>
        <w:t>监狱企业证明文件</w:t>
      </w:r>
      <w:r>
        <w:rPr>
          <w:rFonts w:hint="eastAsia" w:ascii="仿宋" w:hAnsi="仿宋" w:eastAsia="仿宋"/>
          <w:sz w:val="30"/>
          <w:szCs w:val="30"/>
        </w:rPr>
        <w:t>（若需要）；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5"/>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2"/>
        <w:snapToGrid w:val="0"/>
        <w:spacing w:before="120" w:after="120" w:line="240" w:lineRule="auto"/>
        <w:rPr>
          <w:rFonts w:ascii="仿宋" w:hAnsi="仿宋" w:eastAsia="仿宋"/>
          <w:sz w:val="30"/>
          <w:szCs w:val="30"/>
        </w:rPr>
      </w:pPr>
    </w:p>
    <w:p>
      <w:pPr>
        <w:pStyle w:val="32"/>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38" w:name="PO_3000002632_PM002"/>
      <w:r>
        <w:rPr>
          <w:rFonts w:hint="eastAsia" w:ascii="仿宋" w:hAnsi="仿宋" w:eastAsia="仿宋"/>
          <w:b/>
          <w:sz w:val="30"/>
          <w:szCs w:val="30"/>
          <w:u w:val="single"/>
        </w:rPr>
        <w:t>浙江省教育厅（本级）2023年之江汇教育广场数字资源建设项目</w:t>
      </w:r>
      <w:bookmarkEnd w:id="38"/>
      <w:r>
        <w:rPr>
          <w:rFonts w:hint="eastAsia" w:ascii="仿宋" w:hAnsi="仿宋" w:eastAsia="仿宋"/>
          <w:sz w:val="30"/>
          <w:szCs w:val="30"/>
          <w:u w:val="single"/>
        </w:rPr>
        <w:t>（编号为</w:t>
      </w:r>
      <w:bookmarkStart w:id="39" w:name="PO_15528_PM001_3"/>
      <w:r>
        <w:rPr>
          <w:rFonts w:hint="eastAsia" w:ascii="仿宋" w:hAnsi="仿宋" w:eastAsia="仿宋"/>
          <w:sz w:val="30"/>
          <w:szCs w:val="30"/>
          <w:u w:val="single"/>
        </w:rPr>
        <w:t>ZZCG2023X-GK-153</w:t>
      </w:r>
      <w:bookmarkEnd w:id="39"/>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rPr>
      </w:pPr>
    </w:p>
    <w:p>
      <w:pPr>
        <w:snapToGrid w:val="0"/>
        <w:spacing w:before="120" w:beforeLines="50" w:after="50" w:line="460" w:lineRule="exact"/>
        <w:ind w:right="600" w:firstLine="150" w:firstLineChars="50"/>
        <w:rPr>
          <w:rFonts w:ascii="仿宋" w:hAnsi="仿宋" w:eastAsia="仿宋"/>
          <w:sz w:val="30"/>
          <w:szCs w:val="30"/>
        </w:rPr>
      </w:pP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40" w:name="PO_3000002632_PM002_1"/>
      <w:r>
        <w:rPr>
          <w:rFonts w:hint="eastAsia" w:ascii="仿宋" w:hAnsi="仿宋" w:eastAsia="仿宋"/>
          <w:b/>
          <w:sz w:val="30"/>
          <w:szCs w:val="30"/>
          <w:u w:val="single"/>
        </w:rPr>
        <w:t>浙江省教育厅（本级）2023年之江汇教育广场数字资源建设项目</w:t>
      </w:r>
      <w:bookmarkEnd w:id="40"/>
      <w:r>
        <w:rPr>
          <w:rFonts w:hint="eastAsia" w:ascii="仿宋" w:hAnsi="仿宋" w:eastAsia="仿宋"/>
          <w:sz w:val="30"/>
          <w:szCs w:val="30"/>
        </w:rPr>
        <w:t xml:space="preserve"> 项目编号：</w:t>
      </w:r>
      <w:bookmarkStart w:id="41" w:name="PO_3000002632_PM001"/>
      <w:r>
        <w:rPr>
          <w:rFonts w:hint="eastAsia" w:ascii="仿宋" w:hAnsi="仿宋" w:eastAsia="仿宋"/>
          <w:b/>
          <w:sz w:val="30"/>
          <w:szCs w:val="30"/>
          <w:u w:val="single"/>
        </w:rPr>
        <w:t>ZZCG2023X-GK-153</w:t>
      </w:r>
      <w:bookmarkEnd w:id="41"/>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ascii="仿宋" w:hAnsi="仿宋" w:eastAsia="仿宋"/>
          <w:sz w:val="30"/>
          <w:szCs w:val="30"/>
        </w:rPr>
      </w:pPr>
    </w:p>
    <w:p>
      <w:pPr>
        <w:tabs>
          <w:tab w:val="left" w:pos="606"/>
        </w:tabs>
        <w:spacing w:line="360" w:lineRule="exact"/>
        <w:rPr>
          <w:rFonts w:ascii="仿宋" w:hAnsi="仿宋" w:eastAsia="仿宋"/>
          <w:sz w:val="30"/>
          <w:szCs w:val="30"/>
        </w:rPr>
      </w:pPr>
    </w:p>
    <w:p>
      <w:pPr>
        <w:tabs>
          <w:tab w:val="left" w:pos="606"/>
        </w:tabs>
        <w:spacing w:line="360" w:lineRule="exact"/>
        <w:rPr>
          <w:rFonts w:ascii="仿宋" w:hAnsi="仿宋" w:eastAsia="仿宋"/>
          <w:sz w:val="30"/>
          <w:szCs w:val="30"/>
        </w:rPr>
      </w:pPr>
    </w:p>
    <w:p>
      <w:pPr>
        <w:tabs>
          <w:tab w:val="left" w:pos="606"/>
        </w:tabs>
        <w:spacing w:line="360" w:lineRule="exact"/>
        <w:rPr>
          <w:rFonts w:ascii="仿宋" w:hAnsi="仿宋" w:eastAsia="仿宋"/>
          <w:sz w:val="30"/>
          <w:szCs w:val="30"/>
        </w:rPr>
      </w:pPr>
    </w:p>
    <w:p>
      <w:pPr>
        <w:tabs>
          <w:tab w:val="left" w:pos="606"/>
        </w:tabs>
        <w:spacing w:line="360" w:lineRule="exact"/>
        <w:rPr>
          <w:rFonts w:ascii="仿宋" w:hAnsi="仿宋" w:eastAsia="仿宋"/>
          <w:sz w:val="30"/>
          <w:szCs w:val="30"/>
        </w:rPr>
      </w:pPr>
    </w:p>
    <w:p>
      <w:pPr>
        <w:tabs>
          <w:tab w:val="left" w:pos="606"/>
        </w:tabs>
        <w:spacing w:line="360" w:lineRule="exact"/>
        <w:rPr>
          <w:rFonts w:ascii="仿宋" w:hAnsi="仿宋" w:eastAsia="仿宋"/>
          <w:spacing w:val="20"/>
          <w:sz w:val="30"/>
          <w:szCs w:val="30"/>
        </w:rPr>
      </w:pPr>
      <w:r>
        <w:rPr>
          <w:rFonts w:hint="eastAsia" w:ascii="仿宋" w:hAnsi="仿宋" w:eastAsia="仿宋"/>
          <w:sz w:val="30"/>
          <w:szCs w:val="30"/>
        </w:rPr>
        <w:t>附件4：</w:t>
      </w:r>
    </w:p>
    <w:p>
      <w:pPr>
        <w:pStyle w:val="19"/>
        <w:overflowPunct w:val="0"/>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2" w:name="PO_3000002632_PM001_1"/>
      <w:r>
        <w:rPr>
          <w:rFonts w:hint="eastAsia" w:ascii="仿宋" w:hAnsi="仿宋" w:eastAsia="仿宋"/>
          <w:b/>
          <w:sz w:val="30"/>
          <w:szCs w:val="30"/>
          <w:u w:val="single"/>
        </w:rPr>
        <w:t>ZZCG2023X-GK-153</w:t>
      </w:r>
      <w:bookmarkEnd w:id="42"/>
      <w:r>
        <w:rPr>
          <w:rFonts w:hint="eastAsia" w:ascii="仿宋" w:hAnsi="仿宋" w:eastAsia="仿宋"/>
          <w:sz w:val="30"/>
          <w:szCs w:val="30"/>
        </w:rPr>
        <w:t>的招标活动联合进行投标之事宜，达成如下协议：</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9"/>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9"/>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9"/>
        <w:overflowPunct w:val="0"/>
        <w:spacing w:line="460" w:lineRule="exact"/>
        <w:rPr>
          <w:rFonts w:ascii="仿宋" w:hAnsi="仿宋" w:eastAsia="仿宋"/>
          <w:sz w:val="30"/>
          <w:szCs w:val="30"/>
        </w:rPr>
      </w:pPr>
    </w:p>
    <w:p>
      <w:pPr>
        <w:pStyle w:val="19"/>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9"/>
        <w:overflowPunct w:val="0"/>
        <w:spacing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2"/>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widowControl/>
        <w:jc w:val="left"/>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附件7</w:t>
      </w:r>
      <w:r>
        <w:rPr>
          <w:rFonts w:hint="eastAsia" w:ascii="仿宋" w:hAnsi="仿宋" w:eastAsia="仿宋"/>
          <w:b/>
          <w:color w:val="000000" w:themeColor="text1"/>
          <w:sz w:val="30"/>
          <w:szCs w:val="30"/>
          <w14:textFill>
            <w14:solidFill>
              <w14:schemeClr w14:val="tx1"/>
            </w14:solidFill>
          </w14:textFill>
        </w:rPr>
        <w:t xml:space="preserve">：                                     </w:t>
      </w:r>
    </w:p>
    <w:p>
      <w:pPr>
        <w:spacing w:before="240" w:beforeLines="100" w:line="240" w:lineRule="atLeast"/>
        <w:jc w:val="center"/>
        <w:rPr>
          <w:rFonts w:ascii="仿宋" w:hAnsi="仿宋" w:eastAsia="仿宋"/>
          <w:b/>
          <w:color w:val="000000" w:themeColor="text1"/>
          <w:spacing w:val="40"/>
          <w:sz w:val="52"/>
          <w:szCs w:val="52"/>
          <w14:textFill>
            <w14:solidFill>
              <w14:schemeClr w14:val="tx1"/>
            </w14:solidFill>
          </w14:textFill>
        </w:rPr>
      </w:pPr>
      <w:bookmarkStart w:id="43" w:name="PO_1000000445_PM002"/>
      <w:r>
        <w:rPr>
          <w:rFonts w:hint="eastAsia" w:ascii="仿宋" w:hAnsi="仿宋" w:eastAsia="仿宋"/>
          <w:b/>
          <w:color w:val="000000" w:themeColor="text1"/>
          <w:spacing w:val="40"/>
          <w:sz w:val="52"/>
          <w:szCs w:val="52"/>
          <w14:textFill>
            <w14:solidFill>
              <w14:schemeClr w14:val="tx1"/>
            </w14:solidFill>
          </w14:textFill>
        </w:rPr>
        <w:t>浙江省教育厅（本级）2023年之江汇教育广场数字资源建设项目</w:t>
      </w:r>
      <w:bookmarkEnd w:id="43"/>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44" w:name="PO_15528_PM001_4"/>
      <w:r>
        <w:rPr>
          <w:rFonts w:hint="eastAsia" w:ascii="仿宋" w:hAnsi="仿宋" w:eastAsia="仿宋"/>
          <w:color w:val="000000" w:themeColor="text1"/>
          <w:sz w:val="36"/>
          <w:szCs w:val="36"/>
          <w14:textFill>
            <w14:solidFill>
              <w14:schemeClr w14:val="tx1"/>
            </w14:solidFill>
          </w14:textFill>
        </w:rPr>
        <w:t>ZZCG2023X-GK-153</w:t>
      </w:r>
      <w:bookmarkEnd w:id="44"/>
      <w:r>
        <w:rPr>
          <w:rFonts w:hint="eastAsia" w:ascii="仿宋" w:hAnsi="仿宋" w:eastAsia="仿宋"/>
          <w:color w:val="000000" w:themeColor="text1"/>
          <w:sz w:val="36"/>
          <w:szCs w:val="36"/>
          <w14:textFill>
            <w14:solidFill>
              <w14:schemeClr w14:val="tx1"/>
            </w14:solidFill>
          </w14:textFill>
        </w:rPr>
        <w:t>（标项  ）</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技</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术</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及</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商</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务</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b/>
          <w:bCs/>
          <w:color w:val="000000" w:themeColor="text1"/>
          <w:sz w:val="36"/>
          <w:szCs w:val="36"/>
          <w14:textFill>
            <w14:solidFill>
              <w14:schemeClr w14:val="tx1"/>
            </w14:solidFill>
          </w14:textFill>
        </w:rPr>
      </w:pPr>
      <w:r>
        <w:rPr>
          <w:rFonts w:hint="eastAsia" w:ascii="仿宋" w:hAnsi="仿宋" w:eastAsia="仿宋"/>
          <w:color w:val="000000" w:themeColor="text1"/>
          <w:kern w:val="0"/>
          <w:sz w:val="36"/>
          <w:szCs w:val="36"/>
          <w14:textFill>
            <w14:solidFill>
              <w14:schemeClr w14:val="tx1"/>
            </w14:solidFill>
          </w14:textFill>
        </w:rPr>
        <w:br w:type="page"/>
      </w:r>
      <w:r>
        <w:rPr>
          <w:rFonts w:hint="eastAsia" w:ascii="仿宋" w:hAnsi="仿宋" w:eastAsia="仿宋"/>
          <w:color w:val="000000" w:themeColor="text1"/>
          <w:sz w:val="36"/>
          <w:szCs w:val="36"/>
          <w14:textFill>
            <w14:solidFill>
              <w14:schemeClr w14:val="tx1"/>
            </w14:solidFill>
          </w14:textFill>
        </w:rPr>
        <w:t>2、</w:t>
      </w:r>
      <w:r>
        <w:rPr>
          <w:rFonts w:hint="eastAsia" w:ascii="仿宋" w:hAnsi="仿宋" w:eastAsia="仿宋"/>
          <w:b/>
          <w:bCs/>
          <w:color w:val="000000" w:themeColor="text1"/>
          <w:sz w:val="36"/>
          <w:szCs w:val="36"/>
          <w14:textFill>
            <w14:solidFill>
              <w14:schemeClr w14:val="tx1"/>
            </w14:solidFill>
          </w14:textFill>
        </w:rPr>
        <w:t>技术及商务文件目录</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（1）评分对应表（格式见附件，主要用于评委对应评分内容）</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（2）投标项目明细清单（含货物、服务等）；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（3）技术响应表（格式见附件）；</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（6）列入政府采购节能环保清单的证明资料（若有）；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（7）商务响应表（格式见附件）；</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（9）技术培训计划（若有）；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（11）案例的业绩证明（投标人业绩情况一览表、合同复印件等）；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（12）投标人认为需要的其他文件资料。</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附件8：</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评分对应表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20"/>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附件9：</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投标项目明细清单</w:t>
      </w:r>
    </w:p>
    <w:p>
      <w:pPr>
        <w:snapToGrid w:val="0"/>
        <w:spacing w:before="50" w:after="120" w:afterLines="50"/>
        <w:rPr>
          <w:rFonts w:ascii="仿宋" w:hAnsi="仿宋" w:eastAsia="仿宋"/>
          <w:b/>
          <w:color w:val="000000" w:themeColor="text1"/>
          <w:spacing w:val="40"/>
          <w:kern w:val="0"/>
          <w:sz w:val="36"/>
          <w:szCs w:val="36"/>
          <w14:textFill>
            <w14:solidFill>
              <w14:schemeClr w14:val="tx1"/>
            </w14:solidFill>
          </w14:textFill>
        </w:rPr>
      </w:pPr>
    </w:p>
    <w:p>
      <w:pPr>
        <w:pStyle w:val="20"/>
        <w:snapToGrid w:val="0"/>
        <w:rPr>
          <w:rFonts w:ascii="仿宋" w:hAnsi="仿宋" w:eastAsia="仿宋"/>
          <w:color w:val="000000" w:themeColor="text1"/>
          <w:kern w:val="0"/>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p>
      <w:pPr>
        <w:pStyle w:val="20"/>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规格</w:t>
            </w:r>
          </w:p>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单位及</w:t>
            </w:r>
          </w:p>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themeColor="text1"/>
          <w:sz w:val="30"/>
          <w:szCs w:val="30"/>
          <w14:textFill>
            <w14:solidFill>
              <w14:schemeClr w14:val="tx1"/>
            </w14:solidFill>
          </w14:textFill>
        </w:rPr>
      </w:pPr>
    </w:p>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附件10：</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技 术 响 应 表</w:t>
      </w:r>
    </w:p>
    <w:p>
      <w:pPr>
        <w:snapToGrid w:val="0"/>
        <w:spacing w:before="50" w:after="120" w:afterLines="50"/>
        <w:rPr>
          <w:rFonts w:ascii="仿宋" w:hAnsi="仿宋" w:eastAsia="仿宋"/>
          <w:b/>
          <w:color w:val="000000" w:themeColor="text1"/>
          <w:sz w:val="32"/>
          <w:szCs w:val="32"/>
          <w14:textFill>
            <w14:solidFill>
              <w14:schemeClr w14:val="tx1"/>
            </w14:solidFill>
          </w14:textFill>
        </w:rPr>
      </w:pPr>
    </w:p>
    <w:p>
      <w:pPr>
        <w:pStyle w:val="20"/>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nil"/>
              <w:right w:val="single" w:color="auto" w:sz="4" w:space="0"/>
            </w:tcBorders>
          </w:tcPr>
          <w:p>
            <w:pPr>
              <w:pStyle w:val="32"/>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bl>
    <w:p>
      <w:pPr>
        <w:pStyle w:val="25"/>
        <w:rPr>
          <w:rFonts w:ascii="仿宋" w:hAnsi="仿宋" w:eastAsia="仿宋"/>
          <w:color w:val="000000" w:themeColor="text1"/>
          <w:spacing w:val="20"/>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注：投标人应根据投标设备的性能指标、对照招标文件要求在“偏离情况”栏注明“正偏离”、“负偏离”或“无偏离”。</w:t>
      </w: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          日 期：</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附件11：</w:t>
      </w:r>
    </w:p>
    <w:p>
      <w:pPr>
        <w:snapToGrid w:val="0"/>
        <w:spacing w:before="50" w:after="120" w:afterLines="50"/>
        <w:jc w:val="center"/>
        <w:rPr>
          <w:rFonts w:ascii="仿宋" w:hAnsi="仿宋" w:eastAsia="仿宋"/>
          <w:b/>
          <w:color w:val="000000" w:themeColor="text1"/>
          <w:kern w:val="0"/>
          <w:sz w:val="36"/>
          <w:szCs w:val="36"/>
          <w14:textFill>
            <w14:solidFill>
              <w14:schemeClr w14:val="tx1"/>
            </w14:solidFill>
          </w14:textFill>
        </w:rPr>
      </w:pPr>
      <w:r>
        <w:rPr>
          <w:rFonts w:hint="eastAsia" w:ascii="仿宋" w:hAnsi="仿宋" w:eastAsia="仿宋"/>
          <w:b/>
          <w:color w:val="000000" w:themeColor="text1"/>
          <w:kern w:val="0"/>
          <w:sz w:val="36"/>
          <w:szCs w:val="36"/>
          <w14:textFill>
            <w14:solidFill>
              <w14:schemeClr w14:val="tx1"/>
            </w14:solidFill>
          </w14:textFill>
        </w:rPr>
        <w:t>项目组人员清单</w:t>
      </w:r>
    </w:p>
    <w:p>
      <w:pPr>
        <w:snapToGrid w:val="0"/>
        <w:spacing w:before="120" w:beforeLines="50" w:after="50"/>
        <w:rPr>
          <w:rFonts w:ascii="仿宋" w:hAnsi="仿宋" w:eastAsia="仿宋"/>
          <w:b/>
          <w:color w:val="000000" w:themeColor="text1"/>
          <w:sz w:val="30"/>
          <w:szCs w:val="30"/>
          <w14:textFill>
            <w14:solidFill>
              <w14:schemeClr w14:val="tx1"/>
            </w14:solidFill>
          </w14:textFill>
        </w:rPr>
      </w:pPr>
    </w:p>
    <w:p>
      <w:pPr>
        <w:pStyle w:val="20"/>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专业技</w:t>
            </w:r>
          </w:p>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证书</w:t>
            </w:r>
          </w:p>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劳动合</w:t>
            </w:r>
          </w:p>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pStyle w:val="35"/>
              <w:snapToGrid w:val="0"/>
              <w:spacing w:before="120" w:beforeLines="50" w:after="120" w:line="460" w:lineRule="exact"/>
              <w:ind w:left="5250"/>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bl>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snapToGrid w:val="0"/>
        <w:spacing w:before="50" w:after="50" w:line="460" w:lineRule="exact"/>
        <w:rPr>
          <w:rFonts w:ascii="仿宋" w:hAnsi="仿宋" w:eastAsia="仿宋"/>
          <w:color w:val="000000" w:themeColor="text1"/>
          <w:spacing w:val="20"/>
          <w:sz w:val="30"/>
          <w:szCs w:val="30"/>
          <w:u w:val="single"/>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 日  期：</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pStyle w:val="32"/>
        <w:snapToGrid w:val="0"/>
        <w:spacing w:before="120" w:after="120" w:line="460" w:lineRule="exact"/>
        <w:rPr>
          <w:rFonts w:ascii="仿宋" w:hAnsi="仿宋" w:eastAsia="仿宋"/>
          <w:color w:val="000000" w:themeColor="text1"/>
          <w:sz w:val="30"/>
          <w:szCs w:val="30"/>
          <w14:textFill>
            <w14:solidFill>
              <w14:schemeClr w14:val="tx1"/>
            </w14:solidFill>
          </w14:textFill>
        </w:rPr>
      </w:pP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附件12：</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商务响应表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20"/>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项目</w:t>
            </w:r>
          </w:p>
        </w:tc>
        <w:tc>
          <w:tcPr>
            <w:tcW w:w="269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是否</w:t>
            </w:r>
          </w:p>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响应</w:t>
            </w:r>
          </w:p>
        </w:tc>
        <w:tc>
          <w:tcPr>
            <w:tcW w:w="301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项目工期（交货期）及地点</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付款条件</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违约责任及争议解决方式</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项目维护计划</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响应情况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技术培训</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投标人技术力量情况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经验或业绩要求</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tc>
        <w:tc>
          <w:tcPr>
            <w:tcW w:w="269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widowControl/>
        <w:jc w:val="left"/>
        <w:rPr>
          <w:rFonts w:ascii="仿宋" w:hAnsi="仿宋" w:eastAsia="仿宋"/>
          <w:color w:val="000000" w:themeColor="text1"/>
          <w:kern w:val="0"/>
          <w:sz w:val="30"/>
          <w:szCs w:val="30"/>
          <w14:textFill>
            <w14:solidFill>
              <w14:schemeClr w14:val="tx1"/>
            </w14:solidFill>
          </w14:textFill>
        </w:rPr>
        <w:sectPr>
          <w:footerReference r:id="rId3" w:type="default"/>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附件13：</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投标人业绩情况一览表</w:t>
      </w:r>
    </w:p>
    <w:p>
      <w:pPr>
        <w:pStyle w:val="20"/>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合同</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金额</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采购单位联系人及</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验收</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提供投标人同类项目合同复印件、用户验收报告（如有）。</w:t>
            </w:r>
          </w:p>
        </w:tc>
      </w:tr>
    </w:tbl>
    <w:p>
      <w:pPr>
        <w:pStyle w:val="20"/>
        <w:snapToGrid w:val="0"/>
        <w:spacing w:before="24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w:t>
      </w:r>
      <w:r>
        <w:rPr>
          <w:rFonts w:hint="eastAsia" w:ascii="仿宋" w:hAnsi="仿宋" w:eastAsia="仿宋"/>
          <w:color w:val="000000" w:themeColor="text1"/>
          <w:sz w:val="30"/>
          <w:szCs w:val="30"/>
          <w:u w:val="single"/>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时  间：</w:t>
      </w:r>
    </w:p>
    <w:p>
      <w:pPr>
        <w:widowControl/>
        <w:jc w:val="left"/>
        <w:rPr>
          <w:rFonts w:ascii="仿宋" w:hAnsi="仿宋" w:eastAsia="仿宋"/>
          <w:color w:val="000000" w:themeColor="text1"/>
          <w:kern w:val="0"/>
          <w:sz w:val="30"/>
          <w:szCs w:val="30"/>
          <w14:textFill>
            <w14:solidFill>
              <w14:schemeClr w14:val="tx1"/>
            </w14:solidFill>
          </w14:textFill>
        </w:rPr>
        <w:sectPr>
          <w:pgSz w:w="16838" w:h="11906" w:orient="landscape"/>
          <w:pgMar w:top="1797" w:right="1474" w:bottom="1797" w:left="1247" w:header="851" w:footer="851" w:gutter="0"/>
          <w:pgNumType w:fmt="decimal"/>
          <w:cols w:space="720" w:num="1"/>
        </w:sectPr>
      </w:pPr>
    </w:p>
    <w:p>
      <w:pPr>
        <w:snapToGrid w:val="0"/>
        <w:spacing w:before="156"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附件14</w:t>
      </w:r>
      <w:r>
        <w:rPr>
          <w:rFonts w:hint="eastAsia" w:ascii="仿宋" w:hAnsi="仿宋" w:eastAsia="仿宋"/>
          <w:b/>
          <w:color w:val="000000" w:themeColor="text1"/>
          <w:sz w:val="30"/>
          <w:szCs w:val="30"/>
          <w14:textFill>
            <w14:solidFill>
              <w14:schemeClr w14:val="tx1"/>
            </w14:solidFill>
          </w14:textFill>
        </w:rPr>
        <w:t xml:space="preserve">：                                    </w:t>
      </w:r>
    </w:p>
    <w:p>
      <w:pPr>
        <w:spacing w:before="312" w:beforeLines="100" w:line="240" w:lineRule="atLeast"/>
        <w:jc w:val="center"/>
        <w:rPr>
          <w:rFonts w:ascii="仿宋" w:hAnsi="仿宋" w:eastAsia="仿宋"/>
          <w:b/>
          <w:color w:val="000000" w:themeColor="text1"/>
          <w:spacing w:val="40"/>
          <w:sz w:val="52"/>
          <w:szCs w:val="52"/>
          <w14:textFill>
            <w14:solidFill>
              <w14:schemeClr w14:val="tx1"/>
            </w14:solidFill>
          </w14:textFill>
        </w:rPr>
      </w:pPr>
      <w:bookmarkStart w:id="45" w:name="PO_1000000445_PM002_1"/>
      <w:r>
        <w:rPr>
          <w:rFonts w:hint="eastAsia" w:ascii="仿宋" w:hAnsi="仿宋" w:eastAsia="仿宋"/>
          <w:b/>
          <w:color w:val="000000" w:themeColor="text1"/>
          <w:spacing w:val="40"/>
          <w:sz w:val="52"/>
          <w:szCs w:val="52"/>
          <w14:textFill>
            <w14:solidFill>
              <w14:schemeClr w14:val="tx1"/>
            </w14:solidFill>
          </w14:textFill>
        </w:rPr>
        <w:t>浙江省教育厅（本级）2023年之江汇教育广场数字资源建设项目</w:t>
      </w:r>
      <w:bookmarkEnd w:id="45"/>
    </w:p>
    <w:p>
      <w:pPr>
        <w:spacing w:before="312"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46" w:name="PO_1000000445_PM001"/>
      <w:r>
        <w:rPr>
          <w:rFonts w:hint="eastAsia" w:ascii="仿宋" w:hAnsi="仿宋" w:eastAsia="仿宋"/>
          <w:b/>
          <w:color w:val="000000" w:themeColor="text1"/>
          <w:sz w:val="36"/>
          <w:szCs w:val="36"/>
          <w14:textFill>
            <w14:solidFill>
              <w14:schemeClr w14:val="tx1"/>
            </w14:solidFill>
          </w14:textFill>
        </w:rPr>
        <w:t>ZZCG2023X-GK-153</w:t>
      </w:r>
      <w:bookmarkEnd w:id="46"/>
      <w:r>
        <w:rPr>
          <w:rFonts w:hint="eastAsia" w:ascii="仿宋" w:hAnsi="仿宋" w:eastAsia="仿宋"/>
          <w:color w:val="000000" w:themeColor="text1"/>
          <w:sz w:val="36"/>
          <w:szCs w:val="36"/>
          <w14:textFill>
            <w14:solidFill>
              <w14:schemeClr w14:val="tx1"/>
            </w14:solidFill>
          </w14:textFill>
        </w:rPr>
        <w:t>（标项  ）</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报</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价</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500" w:lineRule="exact"/>
        <w:ind w:right="532"/>
        <w:jc w:val="center"/>
        <w:rPr>
          <w:rFonts w:ascii="仿宋" w:hAnsi="仿宋" w:eastAsia="仿宋"/>
          <w:color w:val="000000" w:themeColor="text1"/>
          <w:sz w:val="36"/>
          <w:szCs w:val="36"/>
          <w14:textFill>
            <w14:solidFill>
              <w14:schemeClr w14:val="tx1"/>
            </w14:solidFill>
          </w14:textFill>
        </w:rPr>
      </w:pPr>
    </w:p>
    <w:p>
      <w:pPr>
        <w:spacing w:line="5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pStyle w:val="35"/>
        <w:snapToGrid w:val="0"/>
        <w:spacing w:after="120"/>
        <w:ind w:left="0" w:leftChars="0"/>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kern w:val="0"/>
          <w:sz w:val="36"/>
          <w:szCs w:val="36"/>
          <w14:textFill>
            <w14:solidFill>
              <w14:schemeClr w14:val="tx1"/>
            </w14:solidFill>
          </w14:textFill>
        </w:rPr>
        <w:br w:type="page"/>
      </w:r>
      <w:r>
        <w:rPr>
          <w:rFonts w:hint="eastAsia" w:ascii="仿宋" w:hAnsi="仿宋" w:eastAsia="仿宋"/>
          <w:color w:val="000000" w:themeColor="text1"/>
          <w:sz w:val="36"/>
          <w:szCs w:val="36"/>
          <w14:textFill>
            <w14:solidFill>
              <w14:schemeClr w14:val="tx1"/>
            </w14:solidFill>
          </w14:textFill>
        </w:rPr>
        <w:t>3、</w:t>
      </w:r>
      <w:r>
        <w:rPr>
          <w:rFonts w:hint="eastAsia" w:ascii="仿宋" w:hAnsi="仿宋" w:eastAsia="仿宋"/>
          <w:b/>
          <w:color w:val="000000" w:themeColor="text1"/>
          <w:sz w:val="36"/>
          <w:szCs w:val="36"/>
          <w14:textFill>
            <w14:solidFill>
              <w14:schemeClr w14:val="tx1"/>
            </w14:solidFill>
          </w14:textFill>
        </w:rPr>
        <w:t>报价文件目录</w:t>
      </w:r>
    </w:p>
    <w:p>
      <w:pPr>
        <w:rPr>
          <w:rFonts w:ascii="仿宋" w:hAnsi="仿宋" w:eastAsia="仿宋"/>
          <w:color w:val="000000" w:themeColor="text1"/>
          <w14:textFill>
            <w14:solidFill>
              <w14:schemeClr w14:val="tx1"/>
            </w14:solidFill>
          </w14:textFill>
        </w:rPr>
      </w:pPr>
    </w:p>
    <w:p>
      <w:pPr>
        <w:pStyle w:val="35"/>
        <w:snapToGrid w:val="0"/>
        <w:spacing w:after="120" w:line="460" w:lineRule="exact"/>
        <w:ind w:left="0" w:left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（1）开标一览表（见附件15）；</w:t>
      </w:r>
    </w:p>
    <w:p>
      <w:pPr>
        <w:pStyle w:val="35"/>
        <w:snapToGrid w:val="0"/>
        <w:spacing w:after="120" w:line="460" w:lineRule="exact"/>
        <w:ind w:left="0" w:left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（2）投标人针对报价需要说明的其他文件和说明（格式自拟）；</w:t>
      </w:r>
    </w:p>
    <w:p>
      <w:pPr>
        <w:snapToGrid w:val="0"/>
        <w:spacing w:line="460" w:lineRule="exact"/>
        <w:jc w:val="left"/>
        <w:rPr>
          <w:rFonts w:ascii="仿宋" w:hAnsi="仿宋" w:eastAsia="仿宋"/>
        </w:rPr>
      </w:pPr>
      <w:r>
        <w:rPr>
          <w:rFonts w:hint="eastAsia" w:ascii="仿宋" w:hAnsi="仿宋" w:eastAsia="仿宋"/>
          <w:sz w:val="30"/>
          <w:szCs w:val="30"/>
        </w:rPr>
        <w:t>（3）中小企业声明函（若需要，格式见附件16）；</w:t>
      </w:r>
    </w:p>
    <w:p>
      <w:pPr>
        <w:snapToGrid w:val="0"/>
        <w:spacing w:line="460" w:lineRule="exact"/>
        <w:jc w:val="left"/>
        <w:rPr>
          <w:rFonts w:ascii="仿宋" w:hAnsi="仿宋" w:eastAsia="仿宋"/>
          <w:sz w:val="30"/>
          <w:szCs w:val="30"/>
        </w:rPr>
      </w:pPr>
      <w:r>
        <w:rPr>
          <w:rFonts w:hint="eastAsia" w:ascii="仿宋" w:hAnsi="仿宋" w:eastAsia="仿宋"/>
          <w:sz w:val="30"/>
          <w:szCs w:val="30"/>
        </w:rPr>
        <w:t>（4）残疾人福利企业声明函（若需要，格式见附件17）。</w:t>
      </w:r>
    </w:p>
    <w:p/>
    <w:p>
      <w:pPr>
        <w:pStyle w:val="32"/>
        <w:snapToGrid w:val="0"/>
        <w:spacing w:before="156" w:after="156" w:line="240" w:lineRule="auto"/>
        <w:jc w:val="left"/>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附件15：</w:t>
      </w:r>
    </w:p>
    <w:p>
      <w:pPr>
        <w:pStyle w:val="32"/>
        <w:snapToGrid w:val="0"/>
        <w:spacing w:before="156" w:after="156" w:line="240" w:lineRule="auto"/>
        <w:ind w:firstLine="1084" w:firstLineChars="300"/>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2"/>
        <w:snapToGrid w:val="0"/>
        <w:spacing w:before="156" w:after="156"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b/>
          <w:color w:val="000000" w:themeColor="text1"/>
          <w:sz w:val="24"/>
          <w:szCs w:val="24"/>
          <w:u w:val="single"/>
          <w14:textFill>
            <w14:solidFill>
              <w14:schemeClr w14:val="tx1"/>
            </w14:solidFill>
          </w14:textFill>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货物</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规格</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r>
              <w:rPr>
                <w:rFonts w:hint="eastAsia" w:ascii="仿宋" w:hAnsi="仿宋" w:eastAsia="仿宋"/>
                <w:b/>
                <w:color w:val="000000" w:themeColor="text1"/>
                <w:sz w:val="24"/>
                <w:szCs w:val="24"/>
                <w14:textFill>
                  <w14:solidFill>
                    <w14:schemeClr w14:val="tx1"/>
                  </w14:solidFill>
                </w14:textFill>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themeColor="text1"/>
          <w:sz w:val="24"/>
          <w:szCs w:val="24"/>
          <w14:textFill>
            <w14:solidFill>
              <w14:schemeClr w14:val="tx1"/>
            </w14:solidFill>
          </w14:textFill>
        </w:rPr>
      </w:pPr>
    </w:p>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pStyle w:val="32"/>
        <w:snapToGrid w:val="0"/>
        <w:spacing w:before="156" w:after="156" w:line="240" w:lineRule="auto"/>
        <w:ind w:firstLine="1084" w:firstLineChars="300"/>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2"/>
        <w:snapToGrid w:val="0"/>
        <w:spacing w:before="156" w:after="156"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13"/>
                <w:szCs w:val="13"/>
                <w14:textFill>
                  <w14:solidFill>
                    <w14:schemeClr w14:val="tx1"/>
                  </w14:solidFill>
                </w14:textFill>
              </w:rPr>
            </w:pPr>
            <w:r>
              <w:rPr>
                <w:rFonts w:hint="eastAsia" w:ascii="仿宋" w:hAnsi="仿宋" w:eastAsia="仿宋"/>
                <w:b/>
                <w:color w:val="000000" w:themeColor="text1"/>
                <w:sz w:val="13"/>
                <w:szCs w:val="13"/>
                <w14:textFill>
                  <w14:solidFill>
                    <w14:schemeClr w14:val="tx1"/>
                  </w14:solidFill>
                </w14:textFill>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w:t>
            </w:r>
            <w:r>
              <w:rPr>
                <w:rFonts w:hint="eastAsia" w:ascii="仿宋" w:hAnsi="仿宋" w:eastAsia="仿宋"/>
                <w:b/>
                <w:color w:val="000000" w:themeColor="text1"/>
                <w:sz w:val="24"/>
                <w:szCs w:val="24"/>
                <w14:textFill>
                  <w14:solidFill>
                    <w14:schemeClr w14:val="tx1"/>
                  </w14:solidFill>
                </w14:textFill>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pStyle w:val="32"/>
        <w:snapToGrid w:val="0"/>
        <w:spacing w:before="156" w:after="156" w:line="240" w:lineRule="auto"/>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2"/>
        <w:snapToGrid w:val="0"/>
        <w:spacing w:before="156" w:after="156"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b/>
          <w:color w:val="000000" w:themeColor="text1"/>
          <w:sz w:val="24"/>
          <w:szCs w:val="24"/>
          <w:u w:val="single"/>
          <w14:textFill>
            <w14:solidFill>
              <w14:schemeClr w14:val="tx1"/>
            </w14:solidFill>
          </w14:textFill>
        </w:rPr>
      </w:pPr>
    </w:p>
    <w:tbl>
      <w:tblPr>
        <w:tblStyle w:val="59"/>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工程项目名称</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是否中小企业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512"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开标时，现场工作人员当众拆封，并宣布投标人名称、投标总价合计金额。</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widowControl/>
        <w:tabs>
          <w:tab w:val="center" w:pos="4755"/>
          <w:tab w:val="right" w:pos="9070"/>
        </w:tabs>
        <w:jc w:val="left"/>
        <w:rPr>
          <w:rFonts w:ascii="宋体" w:cs="Arial"/>
          <w:color w:val="000000" w:themeColor="text1"/>
          <w:kern w:val="0"/>
          <w:sz w:val="18"/>
          <w:szCs w:val="18"/>
          <w14:textFill>
            <w14:solidFill>
              <w14:schemeClr w14:val="tx1"/>
            </w14:solidFill>
          </w14:textFill>
        </w:rPr>
      </w:pPr>
    </w:p>
    <w:p>
      <w:pPr>
        <w:pStyle w:val="41"/>
        <w:spacing w:after="120"/>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before="50" w:after="50"/>
        <w:jc w:val="left"/>
        <w:rPr>
          <w:rFonts w:ascii="仿宋" w:hAnsi="仿宋" w:eastAsia="仿宋"/>
          <w:sz w:val="30"/>
          <w:szCs w:val="30"/>
        </w:rPr>
      </w:pPr>
      <w:r>
        <w:rPr>
          <w:rFonts w:hint="eastAsia" w:ascii="仿宋" w:hAnsi="仿宋" w:eastAsia="仿宋"/>
          <w:sz w:val="30"/>
          <w:szCs w:val="30"/>
        </w:rPr>
        <w:t>附件16：</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2"/>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2"/>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sectPr>
          <w:footerReference r:id="rId4" w:type="default"/>
          <w:pgSz w:w="11906" w:h="16838"/>
          <w:pgMar w:top="1440" w:right="1800" w:bottom="1440" w:left="1800" w:header="851" w:footer="992" w:gutter="0"/>
          <w:pgNumType w:fmt="decimal"/>
          <w:cols w:space="425" w:num="1"/>
          <w:docGrid w:type="lines" w:linePitch="312" w:charSpace="0"/>
        </w:sectPr>
      </w:pPr>
    </w:p>
    <w:p>
      <w:pPr>
        <w:jc w:val="left"/>
        <w:rPr>
          <w:rFonts w:ascii="仿宋" w:hAnsi="仿宋" w:eastAsia="仿宋"/>
        </w:rPr>
      </w:pPr>
      <w:r>
        <w:rPr>
          <w:rFonts w:hint="eastAsia" w:ascii="仿宋" w:hAnsi="仿宋" w:eastAsia="仿宋"/>
          <w:sz w:val="30"/>
          <w:szCs w:val="30"/>
        </w:rPr>
        <w:t>附件17：</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
    <w:sectPr>
      <w:headerReference r:id="rId6" w:type="first"/>
      <w:footerReference r:id="rId9" w:type="first"/>
      <w:headerReference r:id="rId5" w:type="default"/>
      <w:footerReference r:id="rId7" w:type="default"/>
      <w:footerReference r:id="rId8"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720" w:firstLine="180" w:firstLineChars="10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75</w:t>
                    </w:r>
                    <w:r>
                      <w:fldChar w:fldCharType="end"/>
                    </w:r>
                  </w:p>
                </w:txbxContent>
              </v:textbox>
            </v:shape>
          </w:pict>
        </mc:Fallback>
      </mc:AlternateConten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Pr>
    </w:pPr>
    <w:r>
      <w:fldChar w:fldCharType="begin"/>
    </w:r>
    <w:r>
      <w:rPr>
        <w:rStyle w:val="66"/>
      </w:rPr>
      <w:instrText xml:space="preserve">PAGE  </w:instrText>
    </w:r>
    <w:r>
      <w:fldChar w:fldCharType="end"/>
    </w:r>
  </w:p>
  <w:p>
    <w:pPr>
      <w:pStyle w:val="39"/>
      <w:ind w:right="360" w:firstLine="360"/>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6"/>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6CB35687"/>
    <w:multiLevelType w:val="multilevel"/>
    <w:tmpl w:val="6CB35687"/>
    <w:lvl w:ilvl="0" w:tentative="0">
      <w:start w:val="1"/>
      <w:numFmt w:val="upperRoman"/>
      <w:pStyle w:val="994"/>
      <w:lvlText w:val="第 %1 条"/>
      <w:lvlJc w:val="left"/>
      <w:pPr>
        <w:ind w:left="0" w:firstLine="0"/>
      </w:pPr>
    </w:lvl>
    <w:lvl w:ilvl="1" w:tentative="0">
      <w:start w:val="1"/>
      <w:numFmt w:val="decimalZero"/>
      <w:isLgl/>
      <w:lvlText w:val="节 %1.%2"/>
      <w:lvlJc w:val="left"/>
      <w:pPr>
        <w:ind w:left="0" w:firstLine="0"/>
      </w:pPr>
    </w:lvl>
    <w:lvl w:ilvl="2" w:tentative="0">
      <w:start w:val="1"/>
      <w:numFmt w:val="lowerLetter"/>
      <w:lvlText w:val="(%3)"/>
      <w:lvlJc w:val="left"/>
      <w:pPr>
        <w:ind w:left="720" w:hanging="432"/>
      </w:pPr>
    </w:lvl>
    <w:lvl w:ilvl="3" w:tentative="0">
      <w:start w:val="1"/>
      <w:numFmt w:val="lowerRoman"/>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lvlText w:val="%7)"/>
      <w:lvlJc w:val="right"/>
      <w:pPr>
        <w:ind w:left="1296" w:hanging="288"/>
      </w:pPr>
    </w:lvl>
    <w:lvl w:ilvl="7" w:tentative="0">
      <w:start w:val="1"/>
      <w:numFmt w:val="lowerLetter"/>
      <w:lvlText w:val="%8."/>
      <w:lvlJc w:val="left"/>
      <w:pPr>
        <w:ind w:left="1440" w:hanging="432"/>
      </w:pPr>
    </w:lvl>
    <w:lvl w:ilvl="8" w:tentative="0">
      <w:start w:val="1"/>
      <w:numFmt w:val="lowerRoman"/>
      <w:lvlText w:val="%9."/>
      <w:lvlJc w:val="right"/>
      <w:pPr>
        <w:ind w:left="1584" w:hanging="144"/>
      </w:p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0"/>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9"/>
  </w:num>
  <w:num w:numId="25">
    <w:abstractNumId w:val="3"/>
  </w:num>
  <w:num w:numId="26">
    <w:abstractNumId w:val="25"/>
  </w:num>
  <w:num w:numId="27">
    <w:abstractNumId w:val="20"/>
  </w:num>
  <w:num w:numId="28">
    <w:abstractNumId w:val="10"/>
  </w:num>
  <w:num w:numId="29">
    <w:abstractNumId w:val="23"/>
  </w:num>
  <w:num w:numId="30">
    <w:abstractNumId w:val="2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1YjdhMjgwNDdhMjkxYmZiYzg1ZGJhYmFmYjE4Zjc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04A44F09"/>
    <w:rsid w:val="26637109"/>
    <w:rsid w:val="6B0C66B7"/>
    <w:rsid w:val="71A122E6"/>
    <w:rsid w:val="73C4187C"/>
    <w:rsid w:val="7F90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99" w:name="Normal Indent"/>
    <w:lsdException w:qFormat="1"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semiHidden="0"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72"/>
    <w:qFormat/>
    <w:uiPriority w:val="9"/>
    <w:pPr>
      <w:autoSpaceDE w:val="0"/>
      <w:autoSpaceDN w:val="0"/>
      <w:adjustRightInd w:val="0"/>
      <w:spacing w:line="360" w:lineRule="auto"/>
      <w:jc w:val="center"/>
      <w:outlineLvl w:val="0"/>
    </w:pPr>
    <w:rPr>
      <w:rFonts w:eastAsia="隶书"/>
      <w:b/>
      <w:bCs/>
      <w:kern w:val="0"/>
      <w:sz w:val="36"/>
      <w:szCs w:val="36"/>
    </w:rPr>
  </w:style>
  <w:style w:type="paragraph" w:styleId="5">
    <w:name w:val="heading 2"/>
    <w:basedOn w:val="1"/>
    <w:next w:val="1"/>
    <w:link w:val="229"/>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74"/>
    <w:qFormat/>
    <w:uiPriority w:val="9"/>
    <w:pPr>
      <w:keepNext/>
      <w:keepLines/>
      <w:spacing w:before="260" w:after="260" w:line="416" w:lineRule="auto"/>
      <w:outlineLvl w:val="2"/>
    </w:pPr>
    <w:rPr>
      <w:b/>
      <w:bCs/>
      <w:sz w:val="32"/>
      <w:szCs w:val="32"/>
    </w:rPr>
  </w:style>
  <w:style w:type="paragraph" w:styleId="7">
    <w:name w:val="heading 4"/>
    <w:basedOn w:val="1"/>
    <w:next w:val="1"/>
    <w:link w:val="75"/>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6"/>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9">
    <w:name w:val="heading 6"/>
    <w:basedOn w:val="1"/>
    <w:next w:val="1"/>
    <w:link w:val="77"/>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78"/>
    <w:qFormat/>
    <w:uiPriority w:val="0"/>
    <w:pPr>
      <w:keepNext/>
      <w:keepLines/>
      <w:tabs>
        <w:tab w:val="left" w:pos="0"/>
      </w:tabs>
      <w:spacing w:before="240" w:after="64" w:line="320" w:lineRule="auto"/>
      <w:ind w:left="1296" w:hanging="1296"/>
      <w:outlineLvl w:val="6"/>
    </w:pPr>
    <w:rPr>
      <w:b/>
      <w:bCs/>
      <w:sz w:val="24"/>
      <w:szCs w:val="24"/>
    </w:rPr>
  </w:style>
  <w:style w:type="paragraph" w:styleId="11">
    <w:name w:val="heading 8"/>
    <w:basedOn w:val="1"/>
    <w:next w:val="1"/>
    <w:link w:val="79"/>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2">
    <w:name w:val="heading 9"/>
    <w:basedOn w:val="1"/>
    <w:next w:val="1"/>
    <w:link w:val="80"/>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964"/>
    <w:semiHidden/>
    <w:unhideWhenUsed/>
    <w:qFormat/>
    <w:uiPriority w:val="99"/>
    <w:pPr>
      <w:spacing w:after="120" w:line="240" w:lineRule="auto"/>
      <w:ind w:left="420" w:leftChars="200" w:firstLine="420" w:firstLineChars="200"/>
    </w:pPr>
    <w:rPr>
      <w:rFonts w:ascii="Times New Roman" w:hAnsi="Times New Roman"/>
      <w:spacing w:val="0"/>
      <w:sz w:val="21"/>
    </w:rPr>
  </w:style>
  <w:style w:type="paragraph" w:styleId="3">
    <w:name w:val="Body Text Indent"/>
    <w:basedOn w:val="1"/>
    <w:next w:val="1"/>
    <w:link w:val="86"/>
    <w:semiHidden/>
    <w:unhideWhenUsed/>
    <w:qFormat/>
    <w:uiPriority w:val="99"/>
    <w:pPr>
      <w:spacing w:line="200" w:lineRule="exact"/>
      <w:ind w:firstLine="301"/>
    </w:pPr>
    <w:rPr>
      <w:rFonts w:ascii="宋体" w:hAnsi="Courier New"/>
      <w:spacing w:val="-4"/>
      <w:sz w:val="18"/>
      <w:szCs w:val="20"/>
    </w:rPr>
  </w:style>
  <w:style w:type="paragraph" w:styleId="13">
    <w:name w:val="List 3"/>
    <w:basedOn w:val="1"/>
    <w:semiHidden/>
    <w:unhideWhenUsed/>
    <w:qFormat/>
    <w:uiPriority w:val="99"/>
    <w:pPr>
      <w:ind w:left="100" w:leftChars="400" w:hanging="200" w:hangingChars="200"/>
    </w:pPr>
    <w:rPr>
      <w:rFonts w:ascii="Times New Roman" w:hAnsi="Times New Roman"/>
      <w:szCs w:val="20"/>
    </w:rPr>
  </w:style>
  <w:style w:type="paragraph" w:styleId="14">
    <w:name w:val="toc 7"/>
    <w:basedOn w:val="1"/>
    <w:next w:val="1"/>
    <w:unhideWhenUsed/>
    <w:qFormat/>
    <w:uiPriority w:val="0"/>
    <w:pPr>
      <w:ind w:left="1260"/>
      <w:jc w:val="left"/>
    </w:pPr>
    <w:rPr>
      <w:rFonts w:ascii="Times New Roman" w:hAnsi="Times New Roman"/>
      <w:sz w:val="18"/>
      <w:szCs w:val="18"/>
    </w:rPr>
  </w:style>
  <w:style w:type="paragraph" w:styleId="15">
    <w:name w:val="List Number 2"/>
    <w:basedOn w:val="1"/>
    <w:semiHidden/>
    <w:unhideWhenUsed/>
    <w:qFormat/>
    <w:uiPriority w:val="99"/>
    <w:pPr>
      <w:tabs>
        <w:tab w:val="left" w:pos="432"/>
        <w:tab w:val="left" w:pos="567"/>
      </w:tabs>
      <w:ind w:left="432" w:hanging="432"/>
    </w:pPr>
    <w:rPr>
      <w:rFonts w:ascii="Times New Roman" w:hAnsi="Times New Roman"/>
      <w:sz w:val="28"/>
      <w:szCs w:val="20"/>
    </w:rPr>
  </w:style>
  <w:style w:type="paragraph" w:styleId="16">
    <w:name w:val="table of authorities"/>
    <w:basedOn w:val="1"/>
    <w:next w:val="1"/>
    <w:semiHidden/>
    <w:unhideWhenUsed/>
    <w:qFormat/>
    <w:uiPriority w:val="99"/>
    <w:pPr>
      <w:numPr>
        <w:ilvl w:val="0"/>
        <w:numId w:val="1"/>
      </w:numPr>
      <w:ind w:left="200" w:leftChars="200"/>
    </w:pPr>
    <w:rPr>
      <w:rFonts w:ascii="Times New Roman" w:hAnsi="Times New Roman"/>
      <w:sz w:val="18"/>
      <w:szCs w:val="24"/>
    </w:rPr>
  </w:style>
  <w:style w:type="paragraph" w:styleId="17">
    <w:name w:val="List Bullet 4"/>
    <w:basedOn w:val="1"/>
    <w:semiHidden/>
    <w:unhideWhenUsed/>
    <w:qFormat/>
    <w:uiPriority w:val="99"/>
    <w:pPr>
      <w:numPr>
        <w:ilvl w:val="0"/>
        <w:numId w:val="2"/>
      </w:numPr>
    </w:pPr>
    <w:rPr>
      <w:rFonts w:ascii="Times New Roman" w:hAnsi="Times New Roman"/>
      <w:szCs w:val="24"/>
    </w:rPr>
  </w:style>
  <w:style w:type="paragraph" w:styleId="18">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9">
    <w:name w:val="Normal Indent"/>
    <w:basedOn w:val="1"/>
    <w:link w:val="372"/>
    <w:semiHidden/>
    <w:unhideWhenUsed/>
    <w:qFormat/>
    <w:uiPriority w:val="99"/>
    <w:pPr>
      <w:ind w:firstLine="420"/>
    </w:pPr>
    <w:rPr>
      <w:szCs w:val="20"/>
    </w:rPr>
  </w:style>
  <w:style w:type="paragraph" w:styleId="20">
    <w:name w:val="caption"/>
    <w:basedOn w:val="1"/>
    <w:next w:val="1"/>
    <w:link w:val="107"/>
    <w:semiHidden/>
    <w:unhideWhenUsed/>
    <w:qFormat/>
    <w:uiPriority w:val="35"/>
    <w:pPr>
      <w:spacing w:before="152" w:after="160"/>
    </w:pPr>
    <w:rPr>
      <w:rFonts w:ascii="Arial" w:hAnsi="Arial" w:eastAsia="黑体"/>
      <w:sz w:val="20"/>
      <w:szCs w:val="20"/>
    </w:rPr>
  </w:style>
  <w:style w:type="paragraph" w:styleId="21">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2">
    <w:name w:val="Document Map"/>
    <w:basedOn w:val="1"/>
    <w:link w:val="81"/>
    <w:qFormat/>
    <w:uiPriority w:val="0"/>
    <w:rPr>
      <w:rFonts w:ascii="宋体"/>
      <w:sz w:val="18"/>
      <w:szCs w:val="18"/>
    </w:rPr>
  </w:style>
  <w:style w:type="paragraph" w:styleId="23">
    <w:name w:val="annotation text"/>
    <w:basedOn w:val="1"/>
    <w:link w:val="969"/>
    <w:unhideWhenUsed/>
    <w:qFormat/>
    <w:uiPriority w:val="99"/>
    <w:pPr>
      <w:jc w:val="left"/>
    </w:pPr>
  </w:style>
  <w:style w:type="paragraph" w:styleId="24">
    <w:name w:val="Salutation"/>
    <w:basedOn w:val="1"/>
    <w:next w:val="1"/>
    <w:link w:val="83"/>
    <w:semiHidden/>
    <w:unhideWhenUsed/>
    <w:qFormat/>
    <w:uiPriority w:val="99"/>
    <w:rPr>
      <w:rFonts w:ascii="宋体" w:hAnsi="Times New Roman"/>
      <w:b/>
      <w:sz w:val="28"/>
      <w:szCs w:val="20"/>
    </w:rPr>
  </w:style>
  <w:style w:type="paragraph" w:styleId="25">
    <w:name w:val="Body Text 3"/>
    <w:basedOn w:val="1"/>
    <w:link w:val="84"/>
    <w:semiHidden/>
    <w:unhideWhenUsed/>
    <w:qFormat/>
    <w:uiPriority w:val="99"/>
    <w:pPr>
      <w:snapToGrid w:val="0"/>
      <w:spacing w:before="50" w:after="50"/>
    </w:pPr>
    <w:rPr>
      <w:rFonts w:ascii="Times New Roman" w:hAnsi="宋体" w:eastAsia="仿宋_GB2312"/>
      <w:b/>
      <w:bCs/>
      <w:sz w:val="24"/>
      <w:szCs w:val="20"/>
    </w:rPr>
  </w:style>
  <w:style w:type="paragraph" w:styleId="26">
    <w:name w:val="Body Text"/>
    <w:basedOn w:val="1"/>
    <w:link w:val="968"/>
    <w:qFormat/>
    <w:uiPriority w:val="0"/>
    <w:pPr>
      <w:spacing w:after="120"/>
    </w:pPr>
    <w:rPr>
      <w:sz w:val="28"/>
      <w:szCs w:val="24"/>
    </w:rPr>
  </w:style>
  <w:style w:type="paragraph" w:styleId="27">
    <w:name w:val="List Number 3"/>
    <w:basedOn w:val="1"/>
    <w:semiHidden/>
    <w:unhideWhenUsed/>
    <w:qFormat/>
    <w:uiPriority w:val="99"/>
    <w:pPr>
      <w:numPr>
        <w:ilvl w:val="0"/>
        <w:numId w:val="3"/>
      </w:numPr>
    </w:pPr>
    <w:rPr>
      <w:rFonts w:ascii="Times New Roman" w:hAnsi="Times New Roman"/>
      <w:szCs w:val="24"/>
    </w:rPr>
  </w:style>
  <w:style w:type="paragraph" w:styleId="28">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9">
    <w:name w:val="List Bullet 2"/>
    <w:basedOn w:val="1"/>
    <w:semiHidden/>
    <w:unhideWhenUsed/>
    <w:qFormat/>
    <w:uiPriority w:val="99"/>
    <w:pPr>
      <w:tabs>
        <w:tab w:val="left" w:pos="780"/>
      </w:tabs>
      <w:ind w:left="780" w:leftChars="200" w:hanging="360" w:hangingChars="200"/>
    </w:pPr>
    <w:rPr>
      <w:rFonts w:ascii="Times New Roman" w:hAnsi="Times New Roman"/>
      <w:szCs w:val="24"/>
    </w:rPr>
  </w:style>
  <w:style w:type="paragraph" w:styleId="30">
    <w:name w:val="toc 5"/>
    <w:basedOn w:val="1"/>
    <w:next w:val="1"/>
    <w:unhideWhenUsed/>
    <w:qFormat/>
    <w:uiPriority w:val="0"/>
    <w:pPr>
      <w:spacing w:afterLines="50"/>
      <w:ind w:left="840"/>
      <w:jc w:val="left"/>
    </w:pPr>
    <w:rPr>
      <w:rFonts w:ascii="Times New Roman" w:hAnsi="Times New Roman"/>
      <w:snapToGrid w:val="0"/>
      <w:kern w:val="0"/>
      <w:sz w:val="18"/>
      <w:szCs w:val="18"/>
    </w:rPr>
  </w:style>
  <w:style w:type="paragraph" w:styleId="31">
    <w:name w:val="toc 3"/>
    <w:basedOn w:val="1"/>
    <w:next w:val="1"/>
    <w:unhideWhenUsed/>
    <w:qFormat/>
    <w:uiPriority w:val="39"/>
    <w:pPr>
      <w:ind w:left="840" w:leftChars="400"/>
    </w:pPr>
  </w:style>
  <w:style w:type="paragraph" w:styleId="32">
    <w:name w:val="Plain Text"/>
    <w:basedOn w:val="1"/>
    <w:link w:val="87"/>
    <w:qFormat/>
    <w:uiPriority w:val="0"/>
    <w:pPr>
      <w:spacing w:beforeLines="50" w:afterLines="50" w:line="400" w:lineRule="exact"/>
    </w:pPr>
    <w:rPr>
      <w:rFonts w:ascii="宋体" w:hAnsi="Courier New"/>
      <w:sz w:val="24"/>
      <w:szCs w:val="24"/>
    </w:rPr>
  </w:style>
  <w:style w:type="paragraph" w:styleId="33">
    <w:name w:val="List Bullet 5"/>
    <w:basedOn w:val="1"/>
    <w:semiHidden/>
    <w:unhideWhenUsed/>
    <w:qFormat/>
    <w:uiPriority w:val="99"/>
    <w:pPr>
      <w:numPr>
        <w:ilvl w:val="0"/>
        <w:numId w:val="4"/>
      </w:numPr>
    </w:pPr>
    <w:rPr>
      <w:rFonts w:ascii="Times New Roman" w:hAnsi="Times New Roman"/>
      <w:szCs w:val="24"/>
    </w:rPr>
  </w:style>
  <w:style w:type="paragraph" w:styleId="34">
    <w:name w:val="toc 8"/>
    <w:basedOn w:val="1"/>
    <w:next w:val="1"/>
    <w:unhideWhenUsed/>
    <w:qFormat/>
    <w:uiPriority w:val="0"/>
    <w:pPr>
      <w:spacing w:afterLines="50"/>
      <w:ind w:left="1470"/>
      <w:jc w:val="left"/>
    </w:pPr>
    <w:rPr>
      <w:rFonts w:ascii="Times New Roman" w:hAnsi="Times New Roman"/>
      <w:snapToGrid w:val="0"/>
      <w:kern w:val="0"/>
      <w:sz w:val="18"/>
      <w:szCs w:val="18"/>
    </w:rPr>
  </w:style>
  <w:style w:type="paragraph" w:styleId="35">
    <w:name w:val="Date"/>
    <w:basedOn w:val="1"/>
    <w:next w:val="1"/>
    <w:link w:val="88"/>
    <w:unhideWhenUsed/>
    <w:qFormat/>
    <w:uiPriority w:val="99"/>
    <w:pPr>
      <w:ind w:left="2500" w:leftChars="2500"/>
    </w:pPr>
    <w:rPr>
      <w:rFonts w:eastAsia="楷体_GB2312"/>
      <w:sz w:val="32"/>
      <w:szCs w:val="20"/>
    </w:rPr>
  </w:style>
  <w:style w:type="paragraph" w:styleId="36">
    <w:name w:val="Body Text Indent 2"/>
    <w:basedOn w:val="1"/>
    <w:link w:val="89"/>
    <w:semiHidden/>
    <w:unhideWhenUsed/>
    <w:qFormat/>
    <w:uiPriority w:val="99"/>
    <w:pPr>
      <w:snapToGrid w:val="0"/>
      <w:ind w:firstLine="542" w:firstLineChars="225"/>
    </w:pPr>
    <w:rPr>
      <w:rFonts w:ascii="仿宋_GB2312" w:hAnsi="宋体"/>
      <w:b/>
      <w:bCs/>
      <w:color w:val="000000"/>
      <w:sz w:val="24"/>
      <w:szCs w:val="24"/>
    </w:rPr>
  </w:style>
  <w:style w:type="paragraph" w:styleId="37">
    <w:name w:val="endnote text"/>
    <w:basedOn w:val="1"/>
    <w:link w:val="90"/>
    <w:semiHidden/>
    <w:unhideWhenUsed/>
    <w:qFormat/>
    <w:uiPriority w:val="99"/>
    <w:pPr>
      <w:numPr>
        <w:ilvl w:val="0"/>
        <w:numId w:val="5"/>
      </w:numPr>
      <w:snapToGrid w:val="0"/>
      <w:spacing w:afterLines="50"/>
      <w:jc w:val="left"/>
    </w:pPr>
    <w:rPr>
      <w:rFonts w:ascii="宋体"/>
      <w:snapToGrid w:val="0"/>
      <w:kern w:val="0"/>
      <w:szCs w:val="20"/>
    </w:rPr>
  </w:style>
  <w:style w:type="paragraph" w:styleId="38">
    <w:name w:val="Balloon Text"/>
    <w:basedOn w:val="1"/>
    <w:link w:val="91"/>
    <w:unhideWhenUsed/>
    <w:qFormat/>
    <w:uiPriority w:val="99"/>
    <w:rPr>
      <w:sz w:val="18"/>
      <w:szCs w:val="18"/>
    </w:rPr>
  </w:style>
  <w:style w:type="paragraph" w:styleId="39">
    <w:name w:val="footer"/>
    <w:basedOn w:val="1"/>
    <w:link w:val="819"/>
    <w:unhideWhenUsed/>
    <w:qFormat/>
    <w:uiPriority w:val="0"/>
    <w:pPr>
      <w:tabs>
        <w:tab w:val="center" w:pos="4153"/>
        <w:tab w:val="right" w:pos="8306"/>
      </w:tabs>
      <w:snapToGrid w:val="0"/>
      <w:jc w:val="left"/>
    </w:pPr>
    <w:rPr>
      <w:sz w:val="18"/>
      <w:szCs w:val="18"/>
    </w:rPr>
  </w:style>
  <w:style w:type="paragraph" w:styleId="40">
    <w:name w:val="header"/>
    <w:basedOn w:val="1"/>
    <w:link w:val="379"/>
    <w:unhideWhenUsed/>
    <w:qFormat/>
    <w:uiPriority w:val="0"/>
    <w:pPr>
      <w:pBdr>
        <w:bottom w:val="single" w:color="auto" w:sz="6" w:space="1"/>
      </w:pBdr>
      <w:tabs>
        <w:tab w:val="center" w:pos="4153"/>
        <w:tab w:val="right" w:pos="8306"/>
      </w:tabs>
      <w:snapToGrid w:val="0"/>
      <w:jc w:val="center"/>
    </w:pPr>
    <w:rPr>
      <w:sz w:val="18"/>
      <w:szCs w:val="18"/>
    </w:rPr>
  </w:style>
  <w:style w:type="paragraph" w:styleId="41">
    <w:name w:val="toc 1"/>
    <w:basedOn w:val="1"/>
    <w:next w:val="1"/>
    <w:unhideWhenUsed/>
    <w:qFormat/>
    <w:uiPriority w:val="39"/>
    <w:pPr>
      <w:spacing w:before="240" w:after="240"/>
    </w:pPr>
    <w:rPr>
      <w:rFonts w:ascii="Times New Roman" w:hAnsi="Times New Roman" w:eastAsia="仿宋"/>
      <w:sz w:val="36"/>
      <w:szCs w:val="24"/>
    </w:rPr>
  </w:style>
  <w:style w:type="paragraph" w:styleId="42">
    <w:name w:val="toc 4"/>
    <w:basedOn w:val="1"/>
    <w:next w:val="1"/>
    <w:unhideWhenUsed/>
    <w:qFormat/>
    <w:uiPriority w:val="0"/>
    <w:pPr>
      <w:ind w:left="1260" w:leftChars="600"/>
    </w:pPr>
  </w:style>
  <w:style w:type="paragraph" w:styleId="43">
    <w:name w:val="Subtitle"/>
    <w:basedOn w:val="1"/>
    <w:next w:val="1"/>
    <w:link w:val="94"/>
    <w:qFormat/>
    <w:uiPriority w:val="11"/>
    <w:pPr>
      <w:spacing w:afterLines="50"/>
      <w:jc w:val="center"/>
    </w:pPr>
    <w:rPr>
      <w:rFonts w:ascii="Times New Roman" w:hAnsi="Times New Roman" w:eastAsia="Times New Roman"/>
      <w:sz w:val="18"/>
      <w:szCs w:val="18"/>
    </w:rPr>
  </w:style>
  <w:style w:type="paragraph" w:styleId="44">
    <w:name w:val="List"/>
    <w:basedOn w:val="1"/>
    <w:semiHidden/>
    <w:unhideWhenUsed/>
    <w:qFormat/>
    <w:uiPriority w:val="99"/>
    <w:pPr>
      <w:ind w:left="200" w:hanging="200" w:hangingChars="200"/>
    </w:pPr>
    <w:rPr>
      <w:rFonts w:ascii="Times New Roman" w:hAnsi="Times New Roman"/>
      <w:sz w:val="28"/>
      <w:szCs w:val="24"/>
    </w:rPr>
  </w:style>
  <w:style w:type="paragraph" w:styleId="45">
    <w:name w:val="footnote text"/>
    <w:basedOn w:val="1"/>
    <w:link w:val="95"/>
    <w:semiHidden/>
    <w:unhideWhenUsed/>
    <w:qFormat/>
    <w:uiPriority w:val="99"/>
    <w:pPr>
      <w:snapToGrid w:val="0"/>
      <w:jc w:val="left"/>
    </w:pPr>
    <w:rPr>
      <w:sz w:val="18"/>
      <w:szCs w:val="18"/>
    </w:rPr>
  </w:style>
  <w:style w:type="paragraph" w:styleId="46">
    <w:name w:val="toc 6"/>
    <w:basedOn w:val="1"/>
    <w:next w:val="1"/>
    <w:unhideWhenUsed/>
    <w:qFormat/>
    <w:uiPriority w:val="0"/>
    <w:pPr>
      <w:ind w:left="1050"/>
      <w:jc w:val="left"/>
    </w:pPr>
    <w:rPr>
      <w:rFonts w:ascii="Times New Roman" w:hAnsi="Times New Roman"/>
      <w:sz w:val="18"/>
      <w:szCs w:val="18"/>
    </w:rPr>
  </w:style>
  <w:style w:type="paragraph" w:styleId="47">
    <w:name w:val="Body Text Indent 3"/>
    <w:basedOn w:val="1"/>
    <w:link w:val="96"/>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unhideWhenUsed/>
    <w:qFormat/>
    <w:uiPriority w:val="0"/>
    <w:pPr>
      <w:ind w:left="1680"/>
      <w:jc w:val="left"/>
    </w:pPr>
    <w:rPr>
      <w:rFonts w:ascii="Times New Roman" w:hAnsi="Times New Roman"/>
      <w:sz w:val="18"/>
      <w:szCs w:val="18"/>
    </w:rPr>
  </w:style>
  <w:style w:type="paragraph" w:styleId="51">
    <w:name w:val="Body Text 2"/>
    <w:basedOn w:val="1"/>
    <w:link w:val="97"/>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2">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3">
    <w:name w:val="HTML Preformatted"/>
    <w:basedOn w:val="1"/>
    <w:link w:val="98"/>
    <w:semiHidden/>
    <w:unhideWhenUsed/>
    <w:qFormat/>
    <w:uiPriority w:val="99"/>
    <w:rPr>
      <w:rFonts w:ascii="Courier New" w:hAnsi="Courier New"/>
      <w:sz w:val="20"/>
      <w:szCs w:val="20"/>
    </w:rPr>
  </w:style>
  <w:style w:type="paragraph" w:styleId="5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semiHidden/>
    <w:unhideWhenUsed/>
    <w:qFormat/>
    <w:uiPriority w:val="99"/>
    <w:rPr>
      <w:rFonts w:ascii="Times New Roman" w:hAnsi="Times New Roman"/>
      <w:szCs w:val="20"/>
    </w:rPr>
  </w:style>
  <w:style w:type="paragraph" w:styleId="56">
    <w:name w:val="Title"/>
    <w:basedOn w:val="1"/>
    <w:next w:val="1"/>
    <w:link w:val="99"/>
    <w:qFormat/>
    <w:uiPriority w:val="10"/>
    <w:pPr>
      <w:spacing w:before="240" w:after="60"/>
      <w:jc w:val="center"/>
      <w:outlineLvl w:val="0"/>
    </w:pPr>
    <w:rPr>
      <w:rFonts w:ascii="Arial" w:hAnsi="Arial"/>
      <w:b/>
      <w:bCs/>
      <w:sz w:val="32"/>
      <w:szCs w:val="32"/>
    </w:rPr>
  </w:style>
  <w:style w:type="paragraph" w:styleId="57">
    <w:name w:val="annotation subject"/>
    <w:basedOn w:val="23"/>
    <w:next w:val="23"/>
    <w:link w:val="963"/>
    <w:unhideWhenUsed/>
    <w:qFormat/>
    <w:uiPriority w:val="99"/>
    <w:rPr>
      <w:b/>
      <w:bCs/>
    </w:rPr>
  </w:style>
  <w:style w:type="paragraph" w:styleId="58">
    <w:name w:val="Body Text First Indent"/>
    <w:basedOn w:val="26"/>
    <w:link w:val="102"/>
    <w:semiHidden/>
    <w:unhideWhenUsed/>
    <w:qFormat/>
    <w:uiPriority w:val="99"/>
    <w:pPr>
      <w:ind w:firstLine="420" w:firstLineChars="100"/>
    </w:pPr>
    <w:rPr>
      <w:sz w:val="21"/>
      <w:szCs w:val="22"/>
    </w:rPr>
  </w:style>
  <w:style w:type="table" w:styleId="60">
    <w:name w:val="Table Grid"/>
    <w:basedOn w:val="5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0"/>
  </w:style>
  <w:style w:type="character" w:styleId="67">
    <w:name w:val="FollowedHyperlink"/>
    <w:semiHidden/>
    <w:unhideWhenUsed/>
    <w:qFormat/>
    <w:uiPriority w:val="99"/>
    <w:rPr>
      <w:color w:val="800080"/>
      <w:u w:val="single"/>
    </w:rPr>
  </w:style>
  <w:style w:type="character" w:styleId="68">
    <w:name w:val="Emphasis"/>
    <w:qFormat/>
    <w:uiPriority w:val="20"/>
    <w:rPr>
      <w:color w:val="CC0033"/>
    </w:rPr>
  </w:style>
  <w:style w:type="character" w:styleId="69">
    <w:name w:val="Hyperlink"/>
    <w:unhideWhenUsed/>
    <w:qFormat/>
    <w:uiPriority w:val="99"/>
    <w:rPr>
      <w:color w:val="0000FF"/>
      <w:u w:val="single"/>
    </w:rPr>
  </w:style>
  <w:style w:type="character" w:styleId="70">
    <w:name w:val="annotation reference"/>
    <w:unhideWhenUsed/>
    <w:qFormat/>
    <w:uiPriority w:val="99"/>
    <w:rPr>
      <w:sz w:val="21"/>
      <w:szCs w:val="21"/>
    </w:rPr>
  </w:style>
  <w:style w:type="character" w:styleId="71">
    <w:name w:val="footnote reference"/>
    <w:semiHidden/>
    <w:unhideWhenUsed/>
    <w:qFormat/>
    <w:uiPriority w:val="99"/>
    <w:rPr>
      <w:vertAlign w:val="superscript"/>
    </w:rPr>
  </w:style>
  <w:style w:type="character" w:customStyle="1" w:styleId="72">
    <w:name w:val="标题 1 字符"/>
    <w:basedOn w:val="64"/>
    <w:link w:val="4"/>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6"/>
    <w:qFormat/>
    <w:uiPriority w:val="9"/>
    <w:rPr>
      <w:rFonts w:ascii="Calibri" w:hAnsi="Calibri" w:eastAsia="宋体" w:cs="Times New Roman"/>
      <w:b/>
      <w:bCs/>
      <w:sz w:val="32"/>
      <w:szCs w:val="32"/>
    </w:rPr>
  </w:style>
  <w:style w:type="character" w:customStyle="1" w:styleId="75">
    <w:name w:val="标题 4 字符"/>
    <w:basedOn w:val="64"/>
    <w:link w:val="7"/>
    <w:qFormat/>
    <w:uiPriority w:val="0"/>
    <w:rPr>
      <w:rFonts w:ascii="Arial" w:hAnsi="Arial" w:eastAsia="黑体" w:cs="Times New Roman"/>
      <w:b/>
      <w:bCs/>
      <w:sz w:val="28"/>
      <w:szCs w:val="28"/>
    </w:rPr>
  </w:style>
  <w:style w:type="character" w:customStyle="1" w:styleId="76">
    <w:name w:val="标题 5 字符"/>
    <w:basedOn w:val="64"/>
    <w:link w:val="8"/>
    <w:qFormat/>
    <w:uiPriority w:val="0"/>
    <w:rPr>
      <w:rFonts w:ascii="Calibri" w:hAnsi="Calibri" w:eastAsia="宋体" w:cs="Times New Roman"/>
      <w:b/>
      <w:bCs/>
      <w:sz w:val="28"/>
      <w:szCs w:val="28"/>
    </w:rPr>
  </w:style>
  <w:style w:type="character" w:customStyle="1" w:styleId="77">
    <w:name w:val="标题 6 字符"/>
    <w:basedOn w:val="64"/>
    <w:link w:val="9"/>
    <w:qFormat/>
    <w:uiPriority w:val="0"/>
    <w:rPr>
      <w:rFonts w:ascii="Arial" w:hAnsi="Arial" w:eastAsia="黑体" w:cs="Times New Roman"/>
      <w:b/>
      <w:bCs/>
      <w:sz w:val="24"/>
      <w:szCs w:val="24"/>
    </w:rPr>
  </w:style>
  <w:style w:type="character" w:customStyle="1" w:styleId="78">
    <w:name w:val="标题 7 字符"/>
    <w:basedOn w:val="64"/>
    <w:link w:val="10"/>
    <w:qFormat/>
    <w:uiPriority w:val="99"/>
    <w:rPr>
      <w:rFonts w:ascii="Calibri" w:hAnsi="Calibri" w:eastAsia="宋体" w:cs="Times New Roman"/>
      <w:b/>
      <w:bCs/>
      <w:sz w:val="24"/>
      <w:szCs w:val="24"/>
    </w:rPr>
  </w:style>
  <w:style w:type="character" w:customStyle="1" w:styleId="79">
    <w:name w:val="标题 8 字符"/>
    <w:basedOn w:val="64"/>
    <w:link w:val="11"/>
    <w:qFormat/>
    <w:uiPriority w:val="99"/>
    <w:rPr>
      <w:rFonts w:ascii="Cambria" w:hAnsi="Cambria" w:eastAsia="宋体" w:cs="Times New Roman"/>
      <w:sz w:val="24"/>
      <w:szCs w:val="24"/>
    </w:rPr>
  </w:style>
  <w:style w:type="character" w:customStyle="1" w:styleId="80">
    <w:name w:val="标题 9 字符"/>
    <w:basedOn w:val="64"/>
    <w:link w:val="12"/>
    <w:qFormat/>
    <w:uiPriority w:val="99"/>
    <w:rPr>
      <w:rFonts w:ascii="Cambria" w:hAnsi="Cambria" w:eastAsia="宋体" w:cs="Times New Roman"/>
      <w:szCs w:val="21"/>
    </w:rPr>
  </w:style>
  <w:style w:type="character" w:customStyle="1" w:styleId="81">
    <w:name w:val="文档结构图 字符"/>
    <w:basedOn w:val="64"/>
    <w:link w:val="22"/>
    <w:qFormat/>
    <w:uiPriority w:val="99"/>
    <w:rPr>
      <w:rFonts w:ascii="宋体" w:hAnsi="Calibri" w:eastAsia="宋体" w:cs="Times New Roman"/>
      <w:sz w:val="18"/>
      <w:szCs w:val="18"/>
    </w:rPr>
  </w:style>
  <w:style w:type="character" w:customStyle="1" w:styleId="82">
    <w:name w:val="批注文字 字符1"/>
    <w:basedOn w:val="64"/>
    <w:link w:val="23"/>
    <w:qFormat/>
    <w:uiPriority w:val="99"/>
    <w:rPr>
      <w:rFonts w:ascii="Calibri" w:hAnsi="Calibri" w:eastAsia="宋体" w:cs="Times New Roman"/>
    </w:rPr>
  </w:style>
  <w:style w:type="character" w:customStyle="1" w:styleId="83">
    <w:name w:val="称呼 字符"/>
    <w:basedOn w:val="64"/>
    <w:link w:val="24"/>
    <w:qFormat/>
    <w:uiPriority w:val="99"/>
    <w:rPr>
      <w:rFonts w:ascii="宋体" w:hAnsi="Times New Roman" w:eastAsia="宋体" w:cs="Times New Roman"/>
      <w:b/>
      <w:sz w:val="28"/>
      <w:szCs w:val="20"/>
    </w:rPr>
  </w:style>
  <w:style w:type="character" w:customStyle="1" w:styleId="84">
    <w:name w:val="正文文本 3 字符"/>
    <w:basedOn w:val="64"/>
    <w:link w:val="25"/>
    <w:qFormat/>
    <w:uiPriority w:val="99"/>
    <w:rPr>
      <w:rFonts w:ascii="Times New Roman" w:hAnsi="宋体" w:eastAsia="仿宋_GB2312" w:cs="Times New Roman"/>
      <w:b/>
      <w:bCs/>
      <w:sz w:val="24"/>
      <w:szCs w:val="20"/>
    </w:rPr>
  </w:style>
  <w:style w:type="character" w:customStyle="1" w:styleId="85">
    <w:name w:val="正文文本 字符1"/>
    <w:basedOn w:val="64"/>
    <w:link w:val="26"/>
    <w:qFormat/>
    <w:uiPriority w:val="99"/>
    <w:rPr>
      <w:rFonts w:ascii="Calibri" w:hAnsi="Calibri" w:eastAsia="宋体" w:cs="Times New Roman"/>
      <w:sz w:val="28"/>
      <w:szCs w:val="24"/>
    </w:rPr>
  </w:style>
  <w:style w:type="character" w:customStyle="1" w:styleId="86">
    <w:name w:val="正文文本缩进 字符1"/>
    <w:basedOn w:val="64"/>
    <w:link w:val="3"/>
    <w:qFormat/>
    <w:uiPriority w:val="99"/>
    <w:rPr>
      <w:rFonts w:ascii="宋体" w:hAnsi="Courier New" w:eastAsia="宋体" w:cs="Times New Roman"/>
      <w:spacing w:val="-4"/>
      <w:sz w:val="18"/>
      <w:szCs w:val="20"/>
    </w:rPr>
  </w:style>
  <w:style w:type="character" w:customStyle="1" w:styleId="87">
    <w:name w:val="纯文本 字符"/>
    <w:basedOn w:val="64"/>
    <w:link w:val="32"/>
    <w:qFormat/>
    <w:uiPriority w:val="99"/>
    <w:rPr>
      <w:rFonts w:ascii="宋体" w:hAnsi="Courier New" w:eastAsia="宋体" w:cs="Times New Roman"/>
      <w:sz w:val="24"/>
      <w:szCs w:val="24"/>
    </w:rPr>
  </w:style>
  <w:style w:type="character" w:customStyle="1" w:styleId="88">
    <w:name w:val="日期 字符"/>
    <w:basedOn w:val="64"/>
    <w:link w:val="35"/>
    <w:qFormat/>
    <w:uiPriority w:val="0"/>
    <w:rPr>
      <w:rFonts w:ascii="Calibri" w:hAnsi="Calibri" w:eastAsia="楷体_GB2312" w:cs="Times New Roman"/>
      <w:sz w:val="32"/>
      <w:szCs w:val="20"/>
    </w:rPr>
  </w:style>
  <w:style w:type="character" w:customStyle="1" w:styleId="89">
    <w:name w:val="正文文本缩进 2 字符"/>
    <w:basedOn w:val="64"/>
    <w:link w:val="36"/>
    <w:qFormat/>
    <w:uiPriority w:val="99"/>
    <w:rPr>
      <w:rFonts w:ascii="仿宋_GB2312" w:hAnsi="宋体" w:eastAsia="宋体" w:cs="Times New Roman"/>
      <w:b/>
      <w:bCs/>
      <w:color w:val="000000"/>
      <w:sz w:val="24"/>
      <w:szCs w:val="24"/>
    </w:rPr>
  </w:style>
  <w:style w:type="character" w:customStyle="1" w:styleId="90">
    <w:name w:val="尾注文本 字符"/>
    <w:basedOn w:val="64"/>
    <w:link w:val="37"/>
    <w:qFormat/>
    <w:uiPriority w:val="99"/>
    <w:rPr>
      <w:rFonts w:ascii="宋体" w:hAnsi="Calibri" w:eastAsia="宋体" w:cs="Times New Roman"/>
      <w:snapToGrid w:val="0"/>
      <w:kern w:val="0"/>
      <w:szCs w:val="20"/>
    </w:rPr>
  </w:style>
  <w:style w:type="character" w:customStyle="1" w:styleId="91">
    <w:name w:val="批注框文本 字符"/>
    <w:basedOn w:val="64"/>
    <w:link w:val="38"/>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3"/>
    <w:qFormat/>
    <w:uiPriority w:val="11"/>
    <w:rPr>
      <w:rFonts w:ascii="Times New Roman" w:hAnsi="Times New Roman" w:eastAsia="Times New Roman" w:cs="Times New Roman"/>
      <w:sz w:val="18"/>
      <w:szCs w:val="18"/>
    </w:rPr>
  </w:style>
  <w:style w:type="character" w:customStyle="1" w:styleId="95">
    <w:name w:val="脚注文本 字符"/>
    <w:basedOn w:val="64"/>
    <w:link w:val="45"/>
    <w:qFormat/>
    <w:uiPriority w:val="99"/>
    <w:rPr>
      <w:rFonts w:ascii="Calibri" w:hAnsi="Calibri" w:eastAsia="宋体" w:cs="Times New Roman"/>
      <w:sz w:val="18"/>
      <w:szCs w:val="18"/>
    </w:rPr>
  </w:style>
  <w:style w:type="character" w:customStyle="1" w:styleId="96">
    <w:name w:val="正文文本缩进 3 字符"/>
    <w:basedOn w:val="64"/>
    <w:link w:val="47"/>
    <w:qFormat/>
    <w:uiPriority w:val="99"/>
    <w:rPr>
      <w:rFonts w:ascii="仿宋_GB2312" w:hAnsi="宋体" w:eastAsia="仿宋_GB2312" w:cs="Times New Roman"/>
      <w:color w:val="000000"/>
      <w:sz w:val="24"/>
      <w:szCs w:val="24"/>
    </w:rPr>
  </w:style>
  <w:style w:type="character" w:customStyle="1" w:styleId="97">
    <w:name w:val="正文文本 2 字符"/>
    <w:basedOn w:val="64"/>
    <w:link w:val="51"/>
    <w:qFormat/>
    <w:uiPriority w:val="0"/>
    <w:rPr>
      <w:rFonts w:ascii="宋体" w:hAnsi="宋体" w:eastAsia="宋体" w:cs="Times New Roman"/>
      <w:color w:val="000000"/>
      <w:sz w:val="24"/>
      <w:szCs w:val="24"/>
    </w:rPr>
  </w:style>
  <w:style w:type="character" w:customStyle="1" w:styleId="98">
    <w:name w:val="HTML 预设格式 字符"/>
    <w:basedOn w:val="64"/>
    <w:link w:val="53"/>
    <w:qFormat/>
    <w:uiPriority w:val="99"/>
    <w:rPr>
      <w:rFonts w:ascii="Courier New" w:hAnsi="Courier New" w:eastAsia="宋体" w:cs="Times New Roman"/>
      <w:sz w:val="20"/>
      <w:szCs w:val="20"/>
    </w:rPr>
  </w:style>
  <w:style w:type="character" w:customStyle="1" w:styleId="99">
    <w:name w:val="标题 字符"/>
    <w:basedOn w:val="64"/>
    <w:link w:val="56"/>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3"/>
    <w:next w:val="23"/>
    <w:link w:val="100"/>
    <w:qFormat/>
    <w:uiPriority w:val="99"/>
    <w:rPr>
      <w:b/>
      <w:bCs/>
    </w:rPr>
  </w:style>
  <w:style w:type="character" w:customStyle="1" w:styleId="102">
    <w:name w:val="正文首行缩进 字符"/>
    <w:basedOn w:val="85"/>
    <w:link w:val="58"/>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20"/>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20"/>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7"/>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10"/>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5"/>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9"/>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9"/>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7"/>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9"/>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40"/>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5"/>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7"/>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6"/>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3"/>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20"/>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20"/>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7"/>
    <w:qFormat/>
    <w:uiPriority w:val="99"/>
    <w:pPr>
      <w:numPr>
        <w:ilvl w:val="1"/>
        <w:numId w:val="5"/>
      </w:numPr>
      <w:tabs>
        <w:tab w:val="left" w:pos="2040"/>
      </w:tabs>
      <w:spacing w:after="120"/>
      <w:ind w:left="0" w:firstLine="0"/>
    </w:pPr>
  </w:style>
  <w:style w:type="paragraph" w:customStyle="1" w:styleId="436">
    <w:name w:val="样式 标题 4 + 段后: 0.5 行"/>
    <w:basedOn w:val="7"/>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5"/>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5"/>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2"/>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6"/>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2"/>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6"/>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9"/>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3"/>
    <w:next w:val="23"/>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4"/>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5"/>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6"/>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4"/>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4"/>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4"/>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8"/>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6"/>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6"/>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6"/>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5"/>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9"/>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5"/>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9"/>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4"/>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4"/>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5"/>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5"/>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6"/>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7"/>
    <w:next w:val="7"/>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8"/>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4"/>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6"/>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6"/>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2"/>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6"/>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5"/>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6"/>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8"/>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8"/>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5"/>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6"/>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6"/>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9"/>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5"/>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6"/>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6"/>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5"/>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7"/>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8"/>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6"/>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2"/>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link w:val="39"/>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3"/>
    <w:next w:val="23"/>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4"/>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7"/>
    <w:qFormat/>
    <w:uiPriority w:val="99"/>
    <w:rPr>
      <w:rFonts w:ascii="Calibri" w:hAnsi="Calibri" w:eastAsia="宋体" w:cs="Times New Roman"/>
      <w:b/>
      <w:bCs/>
    </w:rPr>
  </w:style>
  <w:style w:type="character" w:customStyle="1" w:styleId="964">
    <w:name w:val="正文首行缩进 2 字符"/>
    <w:basedOn w:val="86"/>
    <w:link w:val="2"/>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link w:val="26"/>
    <w:qFormat/>
    <w:uiPriority w:val="99"/>
    <w:rPr>
      <w:rFonts w:eastAsia="宋体"/>
      <w:kern w:val="2"/>
      <w:sz w:val="28"/>
      <w:szCs w:val="24"/>
      <w:lang w:val="en-US" w:eastAsia="zh-CN" w:bidi="ar-SA"/>
    </w:rPr>
  </w:style>
  <w:style w:type="character" w:customStyle="1" w:styleId="969">
    <w:name w:val="批注文字 字符"/>
    <w:link w:val="23"/>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4"/>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4"/>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2">
    <w:name w:val="标准正文"/>
    <w:basedOn w:val="1"/>
    <w:qFormat/>
    <w:uiPriority w:val="0"/>
    <w:pPr>
      <w:snapToGrid w:val="0"/>
      <w:spacing w:line="312" w:lineRule="auto"/>
      <w:ind w:firstLine="482"/>
    </w:pPr>
    <w:rPr>
      <w:rFonts w:ascii="Times New Roman" w:hAnsi="Times New Roman"/>
      <w:sz w:val="24"/>
      <w:szCs w:val="20"/>
    </w:rPr>
  </w:style>
  <w:style w:type="character" w:customStyle="1" w:styleId="993">
    <w:name w:val="正文文本 Char1"/>
    <w:semiHidden/>
    <w:qFormat/>
    <w:uiPriority w:val="99"/>
    <w:rPr>
      <w:rFonts w:ascii="Times New Roman" w:hAnsi="Times New Roman" w:eastAsia="宋体" w:cs="Times New Roman"/>
      <w:kern w:val="2"/>
      <w:sz w:val="21"/>
      <w:lang w:val="en-US" w:eastAsia="zh-CN" w:bidi="ar-SA"/>
    </w:rPr>
  </w:style>
  <w:style w:type="paragraph" w:customStyle="1" w:styleId="994">
    <w:name w:val="内容with编号"/>
    <w:basedOn w:val="1"/>
    <w:qFormat/>
    <w:uiPriority w:val="0"/>
    <w:pPr>
      <w:widowControl/>
      <w:numPr>
        <w:ilvl w:val="0"/>
        <w:numId w:val="30"/>
      </w:numPr>
      <w:tabs>
        <w:tab w:val="left" w:pos="987"/>
      </w:tabs>
      <w:spacing w:line="360" w:lineRule="auto"/>
    </w:pPr>
    <w:rPr>
      <w:rFonts w:ascii="宋体" w:hAnsi="Times New Roman"/>
      <w:kern w:val="0"/>
      <w:sz w:val="24"/>
      <w:szCs w:val="20"/>
    </w:rPr>
  </w:style>
  <w:style w:type="character" w:customStyle="1" w:styleId="995">
    <w:name w:val="hezhiqiang"/>
    <w:semiHidden/>
    <w:qFormat/>
    <w:uiPriority w:val="0"/>
    <w:rPr>
      <w:rFonts w:ascii="Arial" w:hAnsi="Arial" w:eastAsia="宋体" w:cs="Arial"/>
      <w:color w:val="auto"/>
      <w:sz w:val="18"/>
      <w:szCs w:val="20"/>
      <w:lang w:val="en-US" w:eastAsia="zh-CN" w:bidi="ar-SA"/>
    </w:rPr>
  </w:style>
  <w:style w:type="paragraph" w:customStyle="1" w:styleId="996">
    <w:name w:val="图示描述"/>
    <w:basedOn w:val="1"/>
    <w:qFormat/>
    <w:uiPriority w:val="0"/>
    <w:pPr>
      <w:spacing w:before="100" w:beforeAutospacing="1" w:after="100" w:afterAutospacing="1"/>
      <w:jc w:val="center"/>
    </w:pPr>
    <w:rPr>
      <w:rFonts w:ascii="Times New Roman" w:hAnsi="Times New Roman" w:cs="宋体"/>
      <w:b/>
      <w:bCs/>
      <w:sz w:val="18"/>
      <w:szCs w:val="20"/>
    </w:rPr>
  </w:style>
  <w:style w:type="paragraph" w:customStyle="1" w:styleId="997">
    <w:name w:val="正文表标题"/>
    <w:qFormat/>
    <w:uiPriority w:val="0"/>
    <w:pPr>
      <w:spacing w:before="156" w:beforeLines="50" w:after="156" w:afterLines="50"/>
      <w:jc w:val="center"/>
    </w:pPr>
    <w:rPr>
      <w:rFonts w:ascii="黑体" w:hAnsi="Times New Roman" w:eastAsia="黑体" w:cs="Times New Roman"/>
      <w:sz w:val="21"/>
      <w:lang w:val="en-US" w:eastAsia="zh-CN" w:bidi="ar-SA"/>
    </w:rPr>
  </w:style>
  <w:style w:type="paragraph" w:customStyle="1" w:styleId="998">
    <w:name w:val="首页标题"/>
    <w:basedOn w:val="1"/>
    <w:qFormat/>
    <w:uiPriority w:val="0"/>
    <w:pPr>
      <w:spacing w:before="100" w:beforeAutospacing="1" w:after="100" w:afterAutospacing="1"/>
      <w:jc w:val="center"/>
    </w:pPr>
    <w:rPr>
      <w:rFonts w:ascii="宋体" w:hAnsi="宋体" w:cs="宋体"/>
      <w:b/>
      <w:bCs/>
      <w:sz w:val="44"/>
      <w:szCs w:val="20"/>
    </w:rPr>
  </w:style>
  <w:style w:type="paragraph" w:customStyle="1" w:styleId="999">
    <w:name w:val="目录标题"/>
    <w:next w:val="1"/>
    <w:qFormat/>
    <w:uiPriority w:val="0"/>
    <w:pPr>
      <w:spacing w:before="120" w:after="120" w:line="600" w:lineRule="exact"/>
      <w:ind w:left="301"/>
      <w:jc w:val="center"/>
    </w:pPr>
    <w:rPr>
      <w:rFonts w:ascii="宋体" w:hAnsi="宋体" w:eastAsia="宋体" w:cs="Times New Roman"/>
      <w:b/>
      <w:sz w:val="36"/>
      <w:szCs w:val="96"/>
      <w:lang w:val="en-US" w:eastAsia="zh-CN" w:bidi="ar-SA"/>
    </w:rPr>
  </w:style>
  <w:style w:type="character" w:customStyle="1" w:styleId="1000">
    <w:name w:val="正文文本首行缩进 字符"/>
    <w:qFormat/>
    <w:uiPriority w:val="0"/>
    <w:rPr>
      <w:rFonts w:hint="eastAsia"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32622</Words>
  <Characters>34371</Characters>
  <Lines>64</Lines>
  <Paragraphs>18</Paragraphs>
  <TotalTime>2</TotalTime>
  <ScaleCrop>false</ScaleCrop>
  <LinksUpToDate>false</LinksUpToDate>
  <CharactersWithSpaces>36488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2023-09-01T03:49:00Z</dcterms:created>
  <dc:creator>jtj</dc:creator>
  <cp:lastModifiedBy>K</cp:lastModifiedBy>
  <cp:lastPrinted>2023-06-14T16:16:00Z</cp:lastPrinted>
  <dcterms:modified xsi:type="dcterms:W3CDTF">2023-09-21T01:29:30Z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FE4F2841552D4900AB20A619428CFF03</vt:lpwstr>
  </property>
  <property fmtid="{D5CDD505-2E9C-101B-9397-08002B2CF9AE}" pid="4" name="woTemplateTypoMode" linkTarget="0">
    <vt:lpwstr>web</vt:lpwstr>
  </property>
  <property fmtid="{D5CDD505-2E9C-101B-9397-08002B2CF9AE}" pid="5" name="woTemplate" linkTarget="0">
    <vt:i4>1</vt:i4>
  </property>
</Properties>
</file>