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int="eastAsia" w:ascii="宋体" w:hAnsi="宋体"/>
          <w:b/>
          <w:bCs/>
          <w:color w:val="000000"/>
          <w:sz w:val="44"/>
          <w:szCs w:val="44"/>
        </w:rPr>
      </w:pPr>
      <w:bookmarkStart w:id="0" w:name="PO_15528_PM002_1"/>
      <w:r>
        <w:rPr>
          <w:rFonts w:hint="eastAsia" w:ascii="宋体" w:hAnsi="宋体"/>
          <w:b/>
          <w:bCs/>
          <w:color w:val="000000"/>
          <w:sz w:val="44"/>
          <w:szCs w:val="44"/>
        </w:rPr>
        <w:t>2023年度浙江省大气复合污染立体监测网络功能性站位运维项目</w:t>
      </w:r>
      <w:bookmarkEnd w:id="0"/>
    </w:p>
    <w:p>
      <w:pPr>
        <w:spacing w:before="240" w:beforeLines="100" w:line="360" w:lineRule="auto"/>
        <w:jc w:val="center"/>
        <w:rPr>
          <w:rFonts w:hint="eastAsia"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ZZCG2023Z-GK-104</w:t>
      </w:r>
      <w:bookmarkEnd w:id="1"/>
    </w:p>
    <w:p>
      <w:pPr>
        <w:spacing w:before="240"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Times New Roman" w:hAnsi="宋体"/>
          <w:b/>
          <w:color w:val="000000"/>
          <w:sz w:val="36"/>
          <w:szCs w:val="36"/>
        </w:rPr>
      </w:pPr>
      <w:r>
        <w:rPr>
          <w:rFonts w:hint="eastAsia" w:ascii="宋体" w:hAnsi="宋体"/>
          <w:color w:val="000000"/>
          <w:sz w:val="36"/>
          <w:szCs w:val="36"/>
        </w:rPr>
        <w:t>地    址：杭州市西湖区宝石一路3号</w:t>
      </w:r>
    </w:p>
    <w:p>
      <w:pPr>
        <w:spacing w:line="500" w:lineRule="exact"/>
        <w:ind w:right="-108" w:firstLine="3072" w:firstLineChars="850"/>
        <w:rPr>
          <w:rFonts w:ascii="Times New Roman" w:hAnsi="宋体"/>
          <w:b/>
          <w:color w:val="000000"/>
          <w:sz w:val="36"/>
          <w:szCs w:val="36"/>
        </w:rPr>
      </w:pPr>
    </w:p>
    <w:p>
      <w:pPr>
        <w:spacing w:line="500" w:lineRule="exact"/>
        <w:ind w:right="-108" w:firstLine="3072" w:firstLineChars="850"/>
        <w:rPr>
          <w:rFonts w:ascii="Times New Roman" w:hAnsi="宋体"/>
          <w:b/>
          <w:color w:val="000000"/>
          <w:sz w:val="36"/>
          <w:szCs w:val="36"/>
        </w:rPr>
      </w:pPr>
    </w:p>
    <w:p>
      <w:pPr>
        <w:spacing w:line="500" w:lineRule="exact"/>
        <w:ind w:right="-108" w:firstLine="3072" w:firstLineChars="850"/>
        <w:rPr>
          <w:rFonts w:ascii="Times New Roman" w:hAnsi="宋体"/>
          <w:b/>
          <w:color w:val="000000"/>
          <w:sz w:val="36"/>
          <w:szCs w:val="36"/>
        </w:rPr>
      </w:pPr>
    </w:p>
    <w:p>
      <w:pPr>
        <w:spacing w:line="500" w:lineRule="exact"/>
        <w:ind w:right="-108" w:firstLine="3072" w:firstLineChars="850"/>
        <w:rPr>
          <w:rFonts w:ascii="Times New Roman" w:hAnsi="宋体"/>
          <w:b/>
          <w:color w:val="000000"/>
          <w:sz w:val="36"/>
          <w:szCs w:val="36"/>
        </w:rPr>
      </w:pPr>
    </w:p>
    <w:p>
      <w:pPr>
        <w:spacing w:line="500" w:lineRule="exact"/>
        <w:ind w:right="-108" w:firstLine="3072" w:firstLineChars="850"/>
        <w:rPr>
          <w:rFonts w:ascii="Times New Roman" w:hAnsi="宋体"/>
          <w:b/>
          <w:color w:val="000000"/>
          <w:sz w:val="36"/>
          <w:szCs w:val="36"/>
        </w:rPr>
      </w:pPr>
    </w:p>
    <w:p>
      <w:pPr>
        <w:spacing w:line="500" w:lineRule="exact"/>
        <w:ind w:right="-108" w:firstLine="3072" w:firstLineChars="850"/>
        <w:rPr>
          <w:rFonts w:ascii="Times New Roman" w:hAnsi="宋体"/>
          <w:b/>
          <w:color w:val="000000"/>
          <w:sz w:val="36"/>
          <w:szCs w:val="36"/>
        </w:rPr>
      </w:pPr>
    </w:p>
    <w:p>
      <w:pPr>
        <w:spacing w:line="500" w:lineRule="exact"/>
        <w:ind w:right="-108" w:firstLine="3072" w:firstLineChars="850"/>
        <w:rPr>
          <w:rFonts w:ascii="Times New Roman" w:hAnsi="宋体"/>
          <w:b/>
          <w:color w:val="000000"/>
          <w:sz w:val="36"/>
          <w:szCs w:val="36"/>
        </w:rPr>
      </w:pPr>
      <w:r>
        <w:rPr>
          <w:rFonts w:hint="eastAsia" w:ascii="Times New Roman" w:hAnsi="宋体"/>
          <w:b/>
          <w:color w:val="000000"/>
          <w:sz w:val="36"/>
          <w:szCs w:val="36"/>
        </w:rPr>
        <w:t>目</w:t>
      </w:r>
      <w:r>
        <w:rPr>
          <w:rFonts w:ascii="Times New Roman" w:hAnsi="宋体"/>
          <w:b/>
          <w:color w:val="000000"/>
          <w:sz w:val="36"/>
          <w:szCs w:val="36"/>
        </w:rPr>
        <w:t xml:space="preserve">     </w:t>
      </w:r>
      <w:r>
        <w:rPr>
          <w:rFonts w:hint="eastAsia" w:ascii="Times New Roman" w:hAnsi="宋体"/>
          <w:b/>
          <w:color w:val="000000"/>
          <w:sz w:val="36"/>
          <w:szCs w:val="36"/>
        </w:rPr>
        <w:t>录</w:t>
      </w:r>
    </w:p>
    <w:p>
      <w:pPr>
        <w:widowControl w:val="0"/>
        <w:spacing w:before="120" w:beforeLines="50" w:after="120" w:afterLines="50" w:line="360" w:lineRule="auto"/>
        <w:jc w:val="center"/>
        <w:rPr>
          <w:rFonts w:ascii="宋体" w:hAnsi="宋体" w:eastAsia="仿宋_GB2312" w:cs="Times New Roman"/>
          <w:color w:val="000000"/>
          <w:kern w:val="2"/>
          <w:sz w:val="32"/>
          <w:szCs w:val="32"/>
          <w:lang w:val="en-US" w:eastAsia="zh-CN" w:bidi="ar-SA"/>
        </w:rPr>
      </w:pPr>
    </w:p>
    <w:p>
      <w:pPr>
        <w:widowControl w:val="0"/>
        <w:tabs>
          <w:tab w:val="right" w:leader="dot" w:pos="8312"/>
        </w:tabs>
        <w:spacing w:before="240" w:after="240"/>
        <w:jc w:val="both"/>
        <w:rPr>
          <w:rFonts w:ascii="Times New Roman" w:hAnsi="Times New Roman" w:eastAsia="仿宋" w:cs="Times New Roman"/>
          <w:kern w:val="2"/>
          <w:sz w:val="36"/>
          <w:szCs w:val="24"/>
          <w:lang w:val="en-US" w:eastAsia="zh-CN" w:bidi="ar-SA"/>
        </w:rPr>
      </w:pPr>
      <w:r>
        <w:rPr>
          <w:rFonts w:hint="eastAsia" w:ascii="宋体" w:hAnsi="宋体" w:eastAsia="仿宋_GB2312" w:cs="Times New Roman"/>
          <w:color w:val="000000"/>
          <w:kern w:val="2"/>
          <w:sz w:val="30"/>
          <w:szCs w:val="30"/>
          <w:lang w:val="en-US" w:eastAsia="zh-CN" w:bidi="ar-SA"/>
        </w:rPr>
        <w:fldChar w:fldCharType="begin"/>
      </w:r>
      <w:r>
        <w:rPr>
          <w:rFonts w:hint="eastAsia" w:ascii="宋体" w:hAnsi="宋体" w:eastAsia="仿宋_GB2312" w:cs="Times New Roman"/>
          <w:color w:val="000000"/>
          <w:kern w:val="2"/>
          <w:sz w:val="30"/>
          <w:szCs w:val="30"/>
          <w:lang w:val="en-US" w:eastAsia="zh-CN" w:bidi="ar-SA"/>
        </w:rPr>
        <w:instrText xml:space="preserve"> TOC \o "1-1" \h \z \u </w:instrText>
      </w:r>
      <w:r>
        <w:rPr>
          <w:rFonts w:hint="eastAsia" w:ascii="宋体" w:hAnsi="宋体" w:eastAsia="仿宋_GB2312" w:cs="Times New Roman"/>
          <w:color w:val="000000"/>
          <w:kern w:val="2"/>
          <w:sz w:val="30"/>
          <w:szCs w:val="30"/>
          <w:lang w:val="en-US" w:eastAsia="zh-CN" w:bidi="ar-SA"/>
        </w:rPr>
        <w:fldChar w:fldCharType="separate"/>
      </w:r>
      <w:r>
        <w:rPr>
          <w:rFonts w:hint="eastAsia" w:ascii="宋体" w:hAnsi="宋体" w:eastAsia="仿宋_GB2312" w:cs="Times New Roman"/>
          <w:color w:val="000000"/>
          <w:kern w:val="2"/>
          <w:sz w:val="36"/>
          <w:szCs w:val="30"/>
          <w:lang w:val="en-US" w:eastAsia="zh-CN" w:bidi="ar-SA"/>
        </w:rPr>
        <w:fldChar w:fldCharType="begin"/>
      </w:r>
      <w:r>
        <w:rPr>
          <w:rFonts w:hint="eastAsia" w:ascii="宋体" w:hAnsi="宋体" w:eastAsia="仿宋_GB2312" w:cs="Times New Roman"/>
          <w:kern w:val="2"/>
          <w:sz w:val="36"/>
          <w:szCs w:val="30"/>
          <w:lang w:val="en-US" w:eastAsia="zh-CN" w:bidi="ar-SA"/>
        </w:rPr>
        <w:instrText xml:space="preserve"> HYPERLINK \l _Toc2371 </w:instrText>
      </w:r>
      <w:r>
        <w:rPr>
          <w:rFonts w:hint="eastAsia" w:ascii="宋体" w:hAnsi="宋体" w:eastAsia="仿宋_GB2312" w:cs="Times New Roman"/>
          <w:kern w:val="2"/>
          <w:sz w:val="36"/>
          <w:szCs w:val="30"/>
          <w:lang w:val="en-US" w:eastAsia="zh-CN" w:bidi="ar-SA"/>
        </w:rPr>
        <w:fldChar w:fldCharType="separate"/>
      </w:r>
      <w:r>
        <w:rPr>
          <w:rFonts w:hint="eastAsia" w:ascii="Times New Roman" w:hAnsi="宋体" w:eastAsia="仿宋" w:cs="Times New Roman"/>
          <w:kern w:val="2"/>
          <w:sz w:val="36"/>
          <w:szCs w:val="36"/>
          <w:lang w:val="en-US" w:eastAsia="zh-CN" w:bidi="ar-SA"/>
        </w:rPr>
        <w:t>第一章公开招标采购公告</w:t>
      </w:r>
      <w:r>
        <w:rPr>
          <w:rFonts w:ascii="Times New Roman" w:hAnsi="Times New Roman" w:eastAsia="仿宋" w:cs="Times New Roman"/>
          <w:kern w:val="2"/>
          <w:sz w:val="36"/>
          <w:szCs w:val="24"/>
          <w:lang w:val="en-US" w:eastAsia="zh-CN" w:bidi="ar-SA"/>
        </w:rPr>
        <w:tab/>
      </w:r>
      <w:r>
        <w:rPr>
          <w:rFonts w:ascii="Times New Roman" w:hAnsi="Times New Roman" w:eastAsia="仿宋" w:cs="Times New Roman"/>
          <w:kern w:val="2"/>
          <w:sz w:val="36"/>
          <w:szCs w:val="24"/>
          <w:lang w:val="en-US" w:eastAsia="zh-CN" w:bidi="ar-SA"/>
        </w:rPr>
        <w:fldChar w:fldCharType="begin"/>
      </w:r>
      <w:r>
        <w:rPr>
          <w:rFonts w:ascii="Times New Roman" w:hAnsi="Times New Roman" w:eastAsia="仿宋" w:cs="Times New Roman"/>
          <w:kern w:val="2"/>
          <w:sz w:val="36"/>
          <w:szCs w:val="24"/>
          <w:lang w:val="en-US" w:eastAsia="zh-CN" w:bidi="ar-SA"/>
        </w:rPr>
        <w:instrText xml:space="preserve"> PAGEREF _Toc2371 \h </w:instrText>
      </w:r>
      <w:r>
        <w:rPr>
          <w:rFonts w:ascii="Times New Roman" w:hAnsi="Times New Roman" w:eastAsia="仿宋" w:cs="Times New Roman"/>
          <w:kern w:val="2"/>
          <w:sz w:val="36"/>
          <w:szCs w:val="24"/>
          <w:lang w:val="en-US" w:eastAsia="zh-CN" w:bidi="ar-SA"/>
        </w:rPr>
        <w:fldChar w:fldCharType="separate"/>
      </w:r>
      <w:r>
        <w:rPr>
          <w:rFonts w:ascii="Times New Roman" w:hAnsi="Times New Roman" w:eastAsia="仿宋" w:cs="Times New Roman"/>
          <w:kern w:val="2"/>
          <w:sz w:val="36"/>
          <w:szCs w:val="24"/>
          <w:lang w:val="en-US" w:eastAsia="zh-CN" w:bidi="ar-SA"/>
        </w:rPr>
        <w:t>3</w:t>
      </w:r>
      <w:r>
        <w:rPr>
          <w:rFonts w:ascii="Times New Roman" w:hAnsi="Times New Roman" w:eastAsia="仿宋" w:cs="Times New Roman"/>
          <w:kern w:val="2"/>
          <w:sz w:val="36"/>
          <w:szCs w:val="24"/>
          <w:lang w:val="en-US" w:eastAsia="zh-CN" w:bidi="ar-SA"/>
        </w:rPr>
        <w:fldChar w:fldCharType="end"/>
      </w:r>
      <w:r>
        <w:rPr>
          <w:rFonts w:hint="eastAsia" w:ascii="宋体" w:hAnsi="宋体" w:eastAsia="仿宋_GB2312" w:cs="Times New Roman"/>
          <w:color w:val="000000"/>
          <w:kern w:val="2"/>
          <w:sz w:val="36"/>
          <w:szCs w:val="30"/>
          <w:lang w:val="en-US" w:eastAsia="zh-CN" w:bidi="ar-SA"/>
        </w:rPr>
        <w:fldChar w:fldCharType="end"/>
      </w:r>
    </w:p>
    <w:p>
      <w:pPr>
        <w:widowControl w:val="0"/>
        <w:tabs>
          <w:tab w:val="right" w:leader="dot" w:pos="8312"/>
        </w:tabs>
        <w:spacing w:before="240" w:after="240"/>
        <w:jc w:val="both"/>
        <w:rPr>
          <w:rFonts w:ascii="Times New Roman" w:hAnsi="Times New Roman" w:eastAsia="仿宋" w:cs="Times New Roman"/>
          <w:kern w:val="2"/>
          <w:sz w:val="36"/>
          <w:szCs w:val="24"/>
          <w:lang w:val="en-US" w:eastAsia="zh-CN" w:bidi="ar-SA"/>
        </w:rPr>
      </w:pPr>
      <w:r>
        <w:rPr>
          <w:rFonts w:hint="eastAsia" w:ascii="宋体" w:hAnsi="宋体" w:eastAsia="仿宋_GB2312" w:cs="Times New Roman"/>
          <w:color w:val="000000"/>
          <w:kern w:val="2"/>
          <w:sz w:val="36"/>
          <w:szCs w:val="30"/>
          <w:lang w:val="en-US" w:eastAsia="zh-CN" w:bidi="ar-SA"/>
        </w:rPr>
        <w:fldChar w:fldCharType="begin"/>
      </w:r>
      <w:r>
        <w:rPr>
          <w:rFonts w:hint="eastAsia" w:ascii="宋体" w:hAnsi="宋体" w:eastAsia="仿宋_GB2312" w:cs="Times New Roman"/>
          <w:kern w:val="2"/>
          <w:sz w:val="36"/>
          <w:szCs w:val="30"/>
          <w:lang w:val="en-US" w:eastAsia="zh-CN" w:bidi="ar-SA"/>
        </w:rPr>
        <w:instrText xml:space="preserve"> HYPERLINK \l _Toc29498 </w:instrText>
      </w:r>
      <w:r>
        <w:rPr>
          <w:rFonts w:hint="eastAsia" w:ascii="宋体" w:hAnsi="宋体" w:eastAsia="仿宋_GB2312" w:cs="Times New Roman"/>
          <w:kern w:val="2"/>
          <w:sz w:val="36"/>
          <w:szCs w:val="30"/>
          <w:lang w:val="en-US" w:eastAsia="zh-CN" w:bidi="ar-SA"/>
        </w:rPr>
        <w:fldChar w:fldCharType="separate"/>
      </w:r>
      <w:r>
        <w:rPr>
          <w:rFonts w:hint="eastAsia" w:ascii="仿宋" w:hAnsi="仿宋" w:eastAsia="仿宋" w:cs="Times New Roman"/>
          <w:kern w:val="2"/>
          <w:sz w:val="36"/>
          <w:szCs w:val="36"/>
          <w:lang w:val="en-US" w:eastAsia="zh-CN" w:bidi="ar-SA"/>
        </w:rPr>
        <w:t>第二章投标人须知</w:t>
      </w:r>
      <w:r>
        <w:rPr>
          <w:rFonts w:ascii="Times New Roman" w:hAnsi="Times New Roman" w:eastAsia="仿宋" w:cs="Times New Roman"/>
          <w:kern w:val="2"/>
          <w:sz w:val="36"/>
          <w:szCs w:val="24"/>
          <w:lang w:val="en-US" w:eastAsia="zh-CN" w:bidi="ar-SA"/>
        </w:rPr>
        <w:tab/>
      </w:r>
      <w:r>
        <w:rPr>
          <w:rFonts w:ascii="Times New Roman" w:hAnsi="Times New Roman" w:eastAsia="仿宋" w:cs="Times New Roman"/>
          <w:kern w:val="2"/>
          <w:sz w:val="36"/>
          <w:szCs w:val="24"/>
          <w:lang w:val="en-US" w:eastAsia="zh-CN" w:bidi="ar-SA"/>
        </w:rPr>
        <w:fldChar w:fldCharType="begin"/>
      </w:r>
      <w:r>
        <w:rPr>
          <w:rFonts w:ascii="Times New Roman" w:hAnsi="Times New Roman" w:eastAsia="仿宋" w:cs="Times New Roman"/>
          <w:kern w:val="2"/>
          <w:sz w:val="36"/>
          <w:szCs w:val="24"/>
          <w:lang w:val="en-US" w:eastAsia="zh-CN" w:bidi="ar-SA"/>
        </w:rPr>
        <w:instrText xml:space="preserve"> PAGEREF _Toc29498 \h </w:instrText>
      </w:r>
      <w:r>
        <w:rPr>
          <w:rFonts w:ascii="Times New Roman" w:hAnsi="Times New Roman" w:eastAsia="仿宋" w:cs="Times New Roman"/>
          <w:kern w:val="2"/>
          <w:sz w:val="36"/>
          <w:szCs w:val="24"/>
          <w:lang w:val="en-US" w:eastAsia="zh-CN" w:bidi="ar-SA"/>
        </w:rPr>
        <w:fldChar w:fldCharType="separate"/>
      </w:r>
      <w:r>
        <w:rPr>
          <w:rFonts w:ascii="Times New Roman" w:hAnsi="Times New Roman" w:eastAsia="仿宋" w:cs="Times New Roman"/>
          <w:kern w:val="2"/>
          <w:sz w:val="36"/>
          <w:szCs w:val="24"/>
          <w:lang w:val="en-US" w:eastAsia="zh-CN" w:bidi="ar-SA"/>
        </w:rPr>
        <w:t>8</w:t>
      </w:r>
      <w:r>
        <w:rPr>
          <w:rFonts w:ascii="Times New Roman" w:hAnsi="Times New Roman" w:eastAsia="仿宋" w:cs="Times New Roman"/>
          <w:kern w:val="2"/>
          <w:sz w:val="36"/>
          <w:szCs w:val="24"/>
          <w:lang w:val="en-US" w:eastAsia="zh-CN" w:bidi="ar-SA"/>
        </w:rPr>
        <w:fldChar w:fldCharType="end"/>
      </w:r>
      <w:r>
        <w:rPr>
          <w:rFonts w:hint="eastAsia" w:ascii="宋体" w:hAnsi="宋体" w:eastAsia="仿宋_GB2312" w:cs="Times New Roman"/>
          <w:color w:val="000000"/>
          <w:kern w:val="2"/>
          <w:sz w:val="36"/>
          <w:szCs w:val="30"/>
          <w:lang w:val="en-US" w:eastAsia="zh-CN" w:bidi="ar-SA"/>
        </w:rPr>
        <w:fldChar w:fldCharType="end"/>
      </w:r>
    </w:p>
    <w:p>
      <w:pPr>
        <w:widowControl w:val="0"/>
        <w:tabs>
          <w:tab w:val="right" w:leader="dot" w:pos="8312"/>
        </w:tabs>
        <w:spacing w:before="240" w:after="240"/>
        <w:jc w:val="both"/>
        <w:rPr>
          <w:rFonts w:ascii="Times New Roman" w:hAnsi="Times New Roman" w:eastAsia="仿宋" w:cs="Times New Roman"/>
          <w:kern w:val="2"/>
          <w:sz w:val="36"/>
          <w:szCs w:val="24"/>
          <w:lang w:val="en-US" w:eastAsia="zh-CN" w:bidi="ar-SA"/>
        </w:rPr>
      </w:pPr>
      <w:r>
        <w:rPr>
          <w:rFonts w:hint="eastAsia" w:ascii="宋体" w:hAnsi="宋体" w:eastAsia="仿宋_GB2312" w:cs="Times New Roman"/>
          <w:color w:val="000000"/>
          <w:kern w:val="2"/>
          <w:sz w:val="36"/>
          <w:szCs w:val="30"/>
          <w:lang w:val="en-US" w:eastAsia="zh-CN" w:bidi="ar-SA"/>
        </w:rPr>
        <w:fldChar w:fldCharType="begin"/>
      </w:r>
      <w:r>
        <w:rPr>
          <w:rFonts w:hint="eastAsia" w:ascii="宋体" w:hAnsi="宋体" w:eastAsia="仿宋_GB2312" w:cs="Times New Roman"/>
          <w:kern w:val="2"/>
          <w:sz w:val="36"/>
          <w:szCs w:val="30"/>
          <w:lang w:val="en-US" w:eastAsia="zh-CN" w:bidi="ar-SA"/>
        </w:rPr>
        <w:instrText xml:space="preserve"> HYPERLINK \l _Toc2834 </w:instrText>
      </w:r>
      <w:r>
        <w:rPr>
          <w:rFonts w:hint="eastAsia" w:ascii="宋体" w:hAnsi="宋体" w:eastAsia="仿宋_GB2312" w:cs="Times New Roman"/>
          <w:kern w:val="2"/>
          <w:sz w:val="36"/>
          <w:szCs w:val="30"/>
          <w:lang w:val="en-US" w:eastAsia="zh-CN" w:bidi="ar-SA"/>
        </w:rPr>
        <w:fldChar w:fldCharType="separate"/>
      </w:r>
      <w:r>
        <w:rPr>
          <w:rFonts w:hint="eastAsia" w:ascii="Times New Roman" w:hAnsi="宋体" w:eastAsia="仿宋" w:cs="Times New Roman"/>
          <w:kern w:val="2"/>
          <w:sz w:val="36"/>
          <w:szCs w:val="36"/>
          <w:lang w:val="en-US" w:eastAsia="zh-CN" w:bidi="ar-SA"/>
        </w:rPr>
        <w:t>第三章评标办法及评分标准</w:t>
      </w:r>
      <w:r>
        <w:rPr>
          <w:rFonts w:ascii="Times New Roman" w:hAnsi="Times New Roman" w:eastAsia="仿宋" w:cs="Times New Roman"/>
          <w:kern w:val="2"/>
          <w:sz w:val="36"/>
          <w:szCs w:val="24"/>
          <w:lang w:val="en-US" w:eastAsia="zh-CN" w:bidi="ar-SA"/>
        </w:rPr>
        <w:tab/>
      </w:r>
      <w:r>
        <w:rPr>
          <w:rFonts w:ascii="Times New Roman" w:hAnsi="Times New Roman" w:eastAsia="仿宋" w:cs="Times New Roman"/>
          <w:kern w:val="2"/>
          <w:sz w:val="36"/>
          <w:szCs w:val="24"/>
          <w:lang w:val="en-US" w:eastAsia="zh-CN" w:bidi="ar-SA"/>
        </w:rPr>
        <w:fldChar w:fldCharType="begin"/>
      </w:r>
      <w:r>
        <w:rPr>
          <w:rFonts w:ascii="Times New Roman" w:hAnsi="Times New Roman" w:eastAsia="仿宋" w:cs="Times New Roman"/>
          <w:kern w:val="2"/>
          <w:sz w:val="36"/>
          <w:szCs w:val="24"/>
          <w:lang w:val="en-US" w:eastAsia="zh-CN" w:bidi="ar-SA"/>
        </w:rPr>
        <w:instrText xml:space="preserve"> PAGEREF _Toc2834 \h </w:instrText>
      </w:r>
      <w:r>
        <w:rPr>
          <w:rFonts w:ascii="Times New Roman" w:hAnsi="Times New Roman" w:eastAsia="仿宋" w:cs="Times New Roman"/>
          <w:kern w:val="2"/>
          <w:sz w:val="36"/>
          <w:szCs w:val="24"/>
          <w:lang w:val="en-US" w:eastAsia="zh-CN" w:bidi="ar-SA"/>
        </w:rPr>
        <w:fldChar w:fldCharType="separate"/>
      </w:r>
      <w:r>
        <w:rPr>
          <w:rFonts w:ascii="Times New Roman" w:hAnsi="Times New Roman" w:eastAsia="仿宋" w:cs="Times New Roman"/>
          <w:kern w:val="2"/>
          <w:sz w:val="36"/>
          <w:szCs w:val="24"/>
          <w:lang w:val="en-US" w:eastAsia="zh-CN" w:bidi="ar-SA"/>
        </w:rPr>
        <w:t>2</w:t>
      </w:r>
      <w:r>
        <w:rPr>
          <w:rFonts w:hint="eastAsia" w:ascii="Times New Roman" w:hAnsi="Times New Roman" w:eastAsia="仿宋" w:cs="Times New Roman"/>
          <w:kern w:val="2"/>
          <w:sz w:val="36"/>
          <w:szCs w:val="24"/>
          <w:lang w:val="en-US" w:eastAsia="zh-CN" w:bidi="ar-SA"/>
        </w:rPr>
        <w:t>8</w:t>
      </w:r>
      <w:r>
        <w:rPr>
          <w:rFonts w:ascii="Times New Roman" w:hAnsi="Times New Roman" w:eastAsia="仿宋" w:cs="Times New Roman"/>
          <w:kern w:val="2"/>
          <w:sz w:val="36"/>
          <w:szCs w:val="24"/>
          <w:lang w:val="en-US" w:eastAsia="zh-CN" w:bidi="ar-SA"/>
        </w:rPr>
        <w:fldChar w:fldCharType="end"/>
      </w:r>
      <w:r>
        <w:rPr>
          <w:rFonts w:hint="eastAsia" w:ascii="宋体" w:hAnsi="宋体" w:eastAsia="仿宋_GB2312" w:cs="Times New Roman"/>
          <w:color w:val="000000"/>
          <w:kern w:val="2"/>
          <w:sz w:val="36"/>
          <w:szCs w:val="30"/>
          <w:lang w:val="en-US" w:eastAsia="zh-CN" w:bidi="ar-SA"/>
        </w:rPr>
        <w:fldChar w:fldCharType="end"/>
      </w:r>
    </w:p>
    <w:p>
      <w:pPr>
        <w:widowControl w:val="0"/>
        <w:tabs>
          <w:tab w:val="right" w:leader="dot" w:pos="8312"/>
        </w:tabs>
        <w:spacing w:before="240" w:after="240"/>
        <w:jc w:val="both"/>
        <w:rPr>
          <w:rFonts w:ascii="Times New Roman" w:hAnsi="Times New Roman" w:eastAsia="仿宋" w:cs="Times New Roman"/>
          <w:kern w:val="2"/>
          <w:sz w:val="36"/>
          <w:szCs w:val="24"/>
          <w:lang w:val="en-US" w:eastAsia="zh-CN" w:bidi="ar-SA"/>
        </w:rPr>
      </w:pPr>
      <w:r>
        <w:rPr>
          <w:rFonts w:hint="eastAsia" w:ascii="宋体" w:hAnsi="宋体" w:eastAsia="仿宋_GB2312" w:cs="Times New Roman"/>
          <w:color w:val="000000"/>
          <w:kern w:val="2"/>
          <w:sz w:val="36"/>
          <w:szCs w:val="30"/>
          <w:lang w:val="en-US" w:eastAsia="zh-CN" w:bidi="ar-SA"/>
        </w:rPr>
        <w:fldChar w:fldCharType="begin"/>
      </w:r>
      <w:r>
        <w:rPr>
          <w:rFonts w:hint="eastAsia" w:ascii="宋体" w:hAnsi="宋体" w:eastAsia="仿宋_GB2312" w:cs="Times New Roman"/>
          <w:kern w:val="2"/>
          <w:sz w:val="36"/>
          <w:szCs w:val="30"/>
          <w:lang w:val="en-US" w:eastAsia="zh-CN" w:bidi="ar-SA"/>
        </w:rPr>
        <w:instrText xml:space="preserve"> HYPERLINK \l _Toc24960 </w:instrText>
      </w:r>
      <w:r>
        <w:rPr>
          <w:rFonts w:hint="eastAsia" w:ascii="宋体" w:hAnsi="宋体" w:eastAsia="仿宋_GB2312" w:cs="Times New Roman"/>
          <w:kern w:val="2"/>
          <w:sz w:val="36"/>
          <w:szCs w:val="30"/>
          <w:lang w:val="en-US" w:eastAsia="zh-CN" w:bidi="ar-SA"/>
        </w:rPr>
        <w:fldChar w:fldCharType="separate"/>
      </w:r>
      <w:r>
        <w:rPr>
          <w:rFonts w:hint="eastAsia" w:ascii="Times New Roman" w:hAnsi="宋体" w:eastAsia="仿宋" w:cs="Times New Roman"/>
          <w:kern w:val="2"/>
          <w:sz w:val="36"/>
          <w:szCs w:val="36"/>
          <w:lang w:val="en-US" w:eastAsia="zh-CN" w:bidi="ar-SA"/>
        </w:rPr>
        <w:t>第四章招标需求</w:t>
      </w:r>
      <w:r>
        <w:rPr>
          <w:rFonts w:ascii="Times New Roman" w:hAnsi="Times New Roman" w:eastAsia="仿宋" w:cs="Times New Roman"/>
          <w:kern w:val="2"/>
          <w:sz w:val="36"/>
          <w:szCs w:val="24"/>
          <w:lang w:val="en-US" w:eastAsia="zh-CN" w:bidi="ar-SA"/>
        </w:rPr>
        <w:tab/>
      </w:r>
      <w:r>
        <w:rPr>
          <w:rFonts w:ascii="Times New Roman" w:hAnsi="Times New Roman" w:eastAsia="仿宋" w:cs="Times New Roman"/>
          <w:kern w:val="2"/>
          <w:sz w:val="36"/>
          <w:szCs w:val="24"/>
          <w:lang w:val="en-US" w:eastAsia="zh-CN" w:bidi="ar-SA"/>
        </w:rPr>
        <w:fldChar w:fldCharType="begin"/>
      </w:r>
      <w:r>
        <w:rPr>
          <w:rFonts w:ascii="Times New Roman" w:hAnsi="Times New Roman" w:eastAsia="仿宋" w:cs="Times New Roman"/>
          <w:kern w:val="2"/>
          <w:sz w:val="36"/>
          <w:szCs w:val="24"/>
          <w:lang w:val="en-US" w:eastAsia="zh-CN" w:bidi="ar-SA"/>
        </w:rPr>
        <w:instrText xml:space="preserve"> PAGEREF _Toc24960 \h </w:instrText>
      </w:r>
      <w:r>
        <w:rPr>
          <w:rFonts w:ascii="Times New Roman" w:hAnsi="Times New Roman" w:eastAsia="仿宋" w:cs="Times New Roman"/>
          <w:kern w:val="2"/>
          <w:sz w:val="36"/>
          <w:szCs w:val="24"/>
          <w:lang w:val="en-US" w:eastAsia="zh-CN" w:bidi="ar-SA"/>
        </w:rPr>
        <w:fldChar w:fldCharType="separate"/>
      </w:r>
      <w:r>
        <w:rPr>
          <w:rFonts w:ascii="Times New Roman" w:hAnsi="Times New Roman" w:eastAsia="仿宋" w:cs="Times New Roman"/>
          <w:kern w:val="2"/>
          <w:sz w:val="36"/>
          <w:szCs w:val="24"/>
          <w:lang w:val="en-US" w:eastAsia="zh-CN" w:bidi="ar-SA"/>
        </w:rPr>
        <w:t>3</w:t>
      </w:r>
      <w:r>
        <w:rPr>
          <w:rFonts w:hint="eastAsia" w:ascii="Times New Roman" w:hAnsi="Times New Roman" w:eastAsia="仿宋" w:cs="Times New Roman"/>
          <w:kern w:val="2"/>
          <w:sz w:val="36"/>
          <w:szCs w:val="24"/>
          <w:lang w:val="en-US" w:eastAsia="zh-CN" w:bidi="ar-SA"/>
        </w:rPr>
        <w:t>1</w:t>
      </w:r>
      <w:r>
        <w:rPr>
          <w:rFonts w:ascii="Times New Roman" w:hAnsi="Times New Roman" w:eastAsia="仿宋" w:cs="Times New Roman"/>
          <w:kern w:val="2"/>
          <w:sz w:val="36"/>
          <w:szCs w:val="24"/>
          <w:lang w:val="en-US" w:eastAsia="zh-CN" w:bidi="ar-SA"/>
        </w:rPr>
        <w:fldChar w:fldCharType="end"/>
      </w:r>
      <w:r>
        <w:rPr>
          <w:rFonts w:hint="eastAsia" w:ascii="宋体" w:hAnsi="宋体" w:eastAsia="仿宋_GB2312" w:cs="Times New Roman"/>
          <w:color w:val="000000"/>
          <w:kern w:val="2"/>
          <w:sz w:val="36"/>
          <w:szCs w:val="30"/>
          <w:lang w:val="en-US" w:eastAsia="zh-CN" w:bidi="ar-SA"/>
        </w:rPr>
        <w:fldChar w:fldCharType="end"/>
      </w:r>
    </w:p>
    <w:p>
      <w:pPr>
        <w:widowControl w:val="0"/>
        <w:tabs>
          <w:tab w:val="right" w:leader="dot" w:pos="8312"/>
        </w:tabs>
        <w:spacing w:before="240" w:after="240"/>
        <w:jc w:val="both"/>
        <w:rPr>
          <w:rFonts w:ascii="Times New Roman" w:hAnsi="Times New Roman" w:eastAsia="仿宋" w:cs="Times New Roman"/>
          <w:kern w:val="2"/>
          <w:sz w:val="36"/>
          <w:szCs w:val="24"/>
          <w:lang w:val="en-US" w:eastAsia="zh-CN" w:bidi="ar-SA"/>
        </w:rPr>
      </w:pPr>
      <w:r>
        <w:rPr>
          <w:rFonts w:hint="eastAsia" w:ascii="宋体" w:hAnsi="宋体" w:eastAsia="仿宋_GB2312" w:cs="Times New Roman"/>
          <w:color w:val="000000"/>
          <w:kern w:val="2"/>
          <w:sz w:val="36"/>
          <w:szCs w:val="30"/>
          <w:lang w:val="en-US" w:eastAsia="zh-CN" w:bidi="ar-SA"/>
        </w:rPr>
        <w:fldChar w:fldCharType="begin"/>
      </w:r>
      <w:r>
        <w:rPr>
          <w:rFonts w:hint="eastAsia" w:ascii="宋体" w:hAnsi="宋体" w:eastAsia="仿宋_GB2312" w:cs="Times New Roman"/>
          <w:kern w:val="2"/>
          <w:sz w:val="36"/>
          <w:szCs w:val="30"/>
          <w:lang w:val="en-US" w:eastAsia="zh-CN" w:bidi="ar-SA"/>
        </w:rPr>
        <w:instrText xml:space="preserve"> HYPERLINK \l _Toc26308 </w:instrText>
      </w:r>
      <w:r>
        <w:rPr>
          <w:rFonts w:hint="eastAsia" w:ascii="宋体" w:hAnsi="宋体" w:eastAsia="仿宋_GB2312" w:cs="Times New Roman"/>
          <w:kern w:val="2"/>
          <w:sz w:val="36"/>
          <w:szCs w:val="30"/>
          <w:lang w:val="en-US" w:eastAsia="zh-CN" w:bidi="ar-SA"/>
        </w:rPr>
        <w:fldChar w:fldCharType="separate"/>
      </w:r>
      <w:r>
        <w:rPr>
          <w:rFonts w:hint="eastAsia" w:ascii="Times New Roman" w:hAnsi="宋体" w:eastAsia="仿宋" w:cs="Times New Roman"/>
          <w:kern w:val="2"/>
          <w:sz w:val="36"/>
          <w:szCs w:val="36"/>
          <w:lang w:val="en-US" w:eastAsia="zh-CN" w:bidi="ar-SA"/>
        </w:rPr>
        <w:t>第五章浙江省政府采购合同主要条款指引</w:t>
      </w:r>
      <w:r>
        <w:rPr>
          <w:rFonts w:ascii="Times New Roman" w:hAnsi="Times New Roman" w:eastAsia="仿宋" w:cs="Times New Roman"/>
          <w:kern w:val="2"/>
          <w:sz w:val="36"/>
          <w:szCs w:val="24"/>
          <w:lang w:val="en-US" w:eastAsia="zh-CN" w:bidi="ar-SA"/>
        </w:rPr>
        <w:tab/>
      </w:r>
      <w:r>
        <w:rPr>
          <w:rFonts w:ascii="Times New Roman" w:hAnsi="Times New Roman" w:eastAsia="仿宋" w:cs="Times New Roman"/>
          <w:kern w:val="2"/>
          <w:sz w:val="36"/>
          <w:szCs w:val="24"/>
          <w:lang w:val="en-US" w:eastAsia="zh-CN" w:bidi="ar-SA"/>
        </w:rPr>
        <w:fldChar w:fldCharType="begin"/>
      </w:r>
      <w:r>
        <w:rPr>
          <w:rFonts w:ascii="Times New Roman" w:hAnsi="Times New Roman" w:eastAsia="仿宋" w:cs="Times New Roman"/>
          <w:kern w:val="2"/>
          <w:sz w:val="36"/>
          <w:szCs w:val="24"/>
          <w:lang w:val="en-US" w:eastAsia="zh-CN" w:bidi="ar-SA"/>
        </w:rPr>
        <w:instrText xml:space="preserve"> PAGEREF _Toc26308 \h </w:instrText>
      </w:r>
      <w:r>
        <w:rPr>
          <w:rFonts w:ascii="Times New Roman" w:hAnsi="Times New Roman" w:eastAsia="仿宋" w:cs="Times New Roman"/>
          <w:kern w:val="2"/>
          <w:sz w:val="36"/>
          <w:szCs w:val="24"/>
          <w:lang w:val="en-US" w:eastAsia="zh-CN" w:bidi="ar-SA"/>
        </w:rPr>
        <w:fldChar w:fldCharType="separate"/>
      </w:r>
      <w:r>
        <w:rPr>
          <w:rFonts w:ascii="Times New Roman" w:hAnsi="Times New Roman" w:eastAsia="仿宋" w:cs="Times New Roman"/>
          <w:kern w:val="2"/>
          <w:sz w:val="36"/>
          <w:szCs w:val="24"/>
          <w:lang w:val="en-US" w:eastAsia="zh-CN" w:bidi="ar-SA"/>
        </w:rPr>
        <w:t>6</w:t>
      </w:r>
      <w:r>
        <w:rPr>
          <w:rFonts w:hint="eastAsia" w:ascii="Times New Roman" w:hAnsi="Times New Roman" w:eastAsia="仿宋" w:cs="Times New Roman"/>
          <w:kern w:val="2"/>
          <w:sz w:val="36"/>
          <w:szCs w:val="24"/>
          <w:lang w:val="en-US" w:eastAsia="zh-CN" w:bidi="ar-SA"/>
        </w:rPr>
        <w:t>3</w:t>
      </w:r>
      <w:r>
        <w:rPr>
          <w:rFonts w:ascii="Times New Roman" w:hAnsi="Times New Roman" w:eastAsia="仿宋" w:cs="Times New Roman"/>
          <w:kern w:val="2"/>
          <w:sz w:val="36"/>
          <w:szCs w:val="24"/>
          <w:lang w:val="en-US" w:eastAsia="zh-CN" w:bidi="ar-SA"/>
        </w:rPr>
        <w:fldChar w:fldCharType="end"/>
      </w:r>
      <w:r>
        <w:rPr>
          <w:rFonts w:hint="eastAsia" w:ascii="宋体" w:hAnsi="宋体" w:eastAsia="仿宋_GB2312" w:cs="Times New Roman"/>
          <w:color w:val="000000"/>
          <w:kern w:val="2"/>
          <w:sz w:val="36"/>
          <w:szCs w:val="30"/>
          <w:lang w:val="en-US" w:eastAsia="zh-CN" w:bidi="ar-SA"/>
        </w:rPr>
        <w:fldChar w:fldCharType="end"/>
      </w:r>
    </w:p>
    <w:p>
      <w:pPr>
        <w:widowControl w:val="0"/>
        <w:tabs>
          <w:tab w:val="right" w:leader="dot" w:pos="8312"/>
        </w:tabs>
        <w:spacing w:before="240" w:after="240"/>
        <w:jc w:val="both"/>
        <w:rPr>
          <w:rFonts w:hint="default" w:ascii="Times New Roman" w:hAnsi="Times New Roman" w:eastAsia="仿宋" w:cs="Times New Roman"/>
          <w:kern w:val="2"/>
          <w:sz w:val="36"/>
          <w:szCs w:val="24"/>
          <w:lang w:val="en-US" w:eastAsia="zh-CN" w:bidi="ar-SA"/>
        </w:rPr>
      </w:pPr>
      <w:r>
        <w:rPr>
          <w:rFonts w:hint="eastAsia" w:ascii="宋体" w:hAnsi="宋体" w:eastAsia="仿宋_GB2312" w:cs="Times New Roman"/>
          <w:color w:val="000000"/>
          <w:kern w:val="2"/>
          <w:sz w:val="36"/>
          <w:szCs w:val="30"/>
          <w:lang w:val="en-US" w:eastAsia="zh-CN" w:bidi="ar-SA"/>
        </w:rPr>
        <w:fldChar w:fldCharType="begin"/>
      </w:r>
      <w:r>
        <w:rPr>
          <w:rFonts w:hint="eastAsia" w:ascii="宋体" w:hAnsi="宋体" w:eastAsia="仿宋_GB2312" w:cs="Times New Roman"/>
          <w:kern w:val="2"/>
          <w:sz w:val="36"/>
          <w:szCs w:val="30"/>
          <w:lang w:val="en-US" w:eastAsia="zh-CN" w:bidi="ar-SA"/>
        </w:rPr>
        <w:instrText xml:space="preserve"> HYPERLINK \l _Toc22013 </w:instrText>
      </w:r>
      <w:r>
        <w:rPr>
          <w:rFonts w:hint="eastAsia" w:ascii="宋体" w:hAnsi="宋体" w:eastAsia="仿宋_GB2312" w:cs="Times New Roman"/>
          <w:kern w:val="2"/>
          <w:sz w:val="36"/>
          <w:szCs w:val="30"/>
          <w:lang w:val="en-US" w:eastAsia="zh-CN" w:bidi="ar-SA"/>
        </w:rPr>
        <w:fldChar w:fldCharType="separate"/>
      </w:r>
      <w:r>
        <w:rPr>
          <w:rFonts w:hint="eastAsia" w:ascii="Times New Roman" w:hAnsi="宋体" w:eastAsia="仿宋" w:cs="Times New Roman"/>
          <w:kern w:val="2"/>
          <w:sz w:val="36"/>
          <w:szCs w:val="36"/>
          <w:lang w:val="en-US" w:eastAsia="zh-CN" w:bidi="ar-SA"/>
        </w:rPr>
        <w:t>第六章投标文件格式附件</w:t>
      </w:r>
      <w:r>
        <w:rPr>
          <w:rFonts w:ascii="Times New Roman" w:hAnsi="Times New Roman" w:eastAsia="仿宋" w:cs="Times New Roman"/>
          <w:kern w:val="2"/>
          <w:sz w:val="36"/>
          <w:szCs w:val="24"/>
          <w:lang w:val="en-US" w:eastAsia="zh-CN" w:bidi="ar-SA"/>
        </w:rPr>
        <w:tab/>
      </w:r>
      <w:r>
        <w:rPr>
          <w:rFonts w:hint="eastAsia" w:ascii="Times New Roman" w:hAnsi="Times New Roman" w:eastAsia="仿宋" w:cs="Times New Roman"/>
          <w:kern w:val="2"/>
          <w:sz w:val="36"/>
          <w:szCs w:val="24"/>
          <w:lang w:val="en-US" w:eastAsia="zh-CN" w:bidi="ar-SA"/>
        </w:rPr>
        <w:t>6</w:t>
      </w:r>
      <w:r>
        <w:rPr>
          <w:rFonts w:hint="eastAsia" w:ascii="宋体" w:hAnsi="宋体" w:eastAsia="仿宋_GB2312" w:cs="Times New Roman"/>
          <w:color w:val="000000"/>
          <w:kern w:val="2"/>
          <w:sz w:val="36"/>
          <w:szCs w:val="30"/>
          <w:lang w:val="en-US" w:eastAsia="zh-CN" w:bidi="ar-SA"/>
        </w:rPr>
        <w:fldChar w:fldCharType="end"/>
      </w:r>
      <w:r>
        <w:rPr>
          <w:rFonts w:hint="eastAsia" w:ascii="宋体" w:hAnsi="宋体" w:eastAsia="仿宋_GB2312" w:cs="Times New Roman"/>
          <w:color w:val="000000"/>
          <w:kern w:val="2"/>
          <w:sz w:val="36"/>
          <w:szCs w:val="30"/>
          <w:lang w:val="en-US" w:eastAsia="zh-CN" w:bidi="ar-SA"/>
        </w:rPr>
        <w:t>8</w:t>
      </w:r>
    </w:p>
    <w:p>
      <w:pPr>
        <w:spacing w:before="120"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widowControl w:val="0"/>
        <w:spacing w:before="120" w:beforeLines="50" w:after="120" w:afterLines="50" w:line="360" w:lineRule="auto"/>
        <w:ind w:firstLine="640"/>
        <w:jc w:val="center"/>
        <w:outlineLvl w:val="0"/>
        <w:rPr>
          <w:rFonts w:ascii="宋体" w:hAnsi="宋体" w:eastAsia="宋体" w:cs="Times New Roman"/>
          <w:b/>
          <w:color w:val="000000"/>
          <w:kern w:val="2"/>
          <w:sz w:val="36"/>
          <w:szCs w:val="36"/>
          <w:lang w:val="en-US" w:eastAsia="zh-CN" w:bidi="ar-SA"/>
        </w:rPr>
      </w:pPr>
      <w:r>
        <w:rPr>
          <w:rFonts w:hint="eastAsia" w:ascii="宋体" w:hAnsi="宋体" w:eastAsia="仿宋_GB2312" w:cs="Times New Roman"/>
          <w:color w:val="000000"/>
          <w:kern w:val="0"/>
          <w:sz w:val="32"/>
          <w:szCs w:val="32"/>
          <w:lang w:val="en-US" w:eastAsia="zh-CN" w:bidi="ar-SA"/>
        </w:rPr>
        <w:br w:type="page"/>
      </w:r>
      <w:bookmarkStart w:id="2" w:name="_Toc2371"/>
      <w:r>
        <w:rPr>
          <w:rFonts w:hint="eastAsia" w:ascii="宋体" w:hAnsi="宋体" w:eastAsia="宋体" w:cs="Times New Roman"/>
          <w:b/>
          <w:color w:val="000000"/>
          <w:kern w:val="2"/>
          <w:sz w:val="36"/>
          <w:szCs w:val="36"/>
          <w:lang w:val="en-US" w:eastAsia="zh-CN" w:bidi="ar-SA"/>
        </w:rPr>
        <w:t>第一章公开招标采购公告</w:t>
      </w:r>
      <w:bookmarkEnd w:id="2"/>
    </w:p>
    <w:p>
      <w:pPr>
        <w:widowControl w:val="0"/>
        <w:snapToGrid w:val="0"/>
        <w:spacing w:after="120" w:afterLines="50" w:line="460" w:lineRule="exact"/>
        <w:ind w:firstLine="560" w:firstLineChars="200"/>
        <w:jc w:val="both"/>
        <w:rPr>
          <w:rFonts w:ascii="仿宋" w:hAnsi="仿宋" w:eastAsia="仿宋" w:cs="Times New Roman"/>
          <w:color w:val="000000"/>
          <w:kern w:val="0"/>
          <w:sz w:val="30"/>
          <w:szCs w:val="30"/>
          <w:lang w:val="en-US" w:eastAsia="zh-CN" w:bidi="ar-SA"/>
        </w:rPr>
      </w:pPr>
      <w:r>
        <w:rPr>
          <w:rFonts w:hint="eastAsia" w:ascii="仿宋" w:hAnsi="仿宋" w:eastAsia="仿宋" w:cs="Times New Roman"/>
          <w:color w:val="000000"/>
          <w:kern w:val="0"/>
          <w:sz w:val="28"/>
          <w:szCs w:val="28"/>
          <w:lang w:val="en-US" w:eastAsia="zh-CN" w:bidi="ar-SA"/>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Times New Roman"/>
          <w:color w:val="000000"/>
          <w:kern w:val="0"/>
          <w:sz w:val="30"/>
          <w:szCs w:val="30"/>
          <w:lang w:val="en-US" w:eastAsia="zh-CN" w:bidi="ar-SA"/>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ZZCG2023Z-GK-104</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20" w:afterLines="50" w:line="460" w:lineRule="exact"/>
        <w:ind w:firstLine="602" w:firstLineChars="200"/>
        <w:rPr>
          <w:rFonts w:hint="eastAsia"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3683"/>
        <w:gridCol w:w="733"/>
        <w:gridCol w:w="583"/>
        <w:gridCol w:w="117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36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73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数量</w:t>
            </w:r>
          </w:p>
        </w:tc>
        <w:tc>
          <w:tcPr>
            <w:tcW w:w="5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单位</w:t>
            </w:r>
          </w:p>
        </w:tc>
        <w:tc>
          <w:tcPr>
            <w:tcW w:w="1171"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1860"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36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2023年度浙江省大气复合污染立体监测网络功能性站位运维项目标项一</w:t>
            </w:r>
          </w:p>
        </w:tc>
        <w:tc>
          <w:tcPr>
            <w:tcW w:w="73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5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1171"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293.9</w:t>
            </w:r>
          </w:p>
        </w:tc>
        <w:tc>
          <w:tcPr>
            <w:tcW w:w="1860"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w:t>
            </w:r>
          </w:p>
        </w:tc>
        <w:tc>
          <w:tcPr>
            <w:tcW w:w="36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2023年度浙江省大气复合污染立体监测网络功能性站位运维项目标项二</w:t>
            </w:r>
          </w:p>
        </w:tc>
        <w:tc>
          <w:tcPr>
            <w:tcW w:w="73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5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1171"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284.1</w:t>
            </w:r>
          </w:p>
        </w:tc>
        <w:tc>
          <w:tcPr>
            <w:tcW w:w="1860"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3</w:t>
            </w:r>
          </w:p>
        </w:tc>
        <w:tc>
          <w:tcPr>
            <w:tcW w:w="36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2023年度浙江省大气复合污染立体监测网络功能性站位运维项目标项三</w:t>
            </w:r>
          </w:p>
        </w:tc>
        <w:tc>
          <w:tcPr>
            <w:tcW w:w="73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5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1171"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293.4</w:t>
            </w:r>
          </w:p>
        </w:tc>
        <w:tc>
          <w:tcPr>
            <w:tcW w:w="1860"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4</w:t>
            </w:r>
          </w:p>
        </w:tc>
        <w:tc>
          <w:tcPr>
            <w:tcW w:w="36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2023年度浙江省大气复合污染立体监测网络功能性站位运维项目标项四</w:t>
            </w:r>
          </w:p>
        </w:tc>
        <w:tc>
          <w:tcPr>
            <w:tcW w:w="73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5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1171"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316</w:t>
            </w:r>
          </w:p>
        </w:tc>
        <w:tc>
          <w:tcPr>
            <w:tcW w:w="1860"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5</w:t>
            </w:r>
          </w:p>
        </w:tc>
        <w:tc>
          <w:tcPr>
            <w:tcW w:w="36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2023年度浙江省大气复合污染立体监测网络功能性站位运维项目标项五</w:t>
            </w:r>
          </w:p>
        </w:tc>
        <w:tc>
          <w:tcPr>
            <w:tcW w:w="73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583"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1171"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283</w:t>
            </w:r>
          </w:p>
        </w:tc>
        <w:tc>
          <w:tcPr>
            <w:tcW w:w="1860" w:type="dxa"/>
            <w:noWrap w:val="0"/>
            <w:vAlign w:val="top"/>
          </w:tcPr>
          <w:p>
            <w:pPr>
              <w:snapToGrid w:val="0"/>
              <w:spacing w:after="120"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bl>
    <w:p>
      <w:pPr>
        <w:snapToGrid w:val="0"/>
        <w:spacing w:after="120"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 xml:space="preserve"> </w:t>
      </w:r>
      <w:bookmarkEnd w:id="4"/>
    </w:p>
    <w:p>
      <w:pPr>
        <w:snapToGrid w:val="0"/>
        <w:spacing w:line="460" w:lineRule="exact"/>
        <w:ind w:firstLine="602" w:firstLineChars="200"/>
        <w:rPr>
          <w:rFonts w:hint="eastAsia" w:ascii="仿宋" w:hAnsi="仿宋" w:eastAsia="仿宋" w:cs="Arial"/>
          <w:b/>
          <w:bCs/>
          <w:color w:val="C00000"/>
          <w:sz w:val="30"/>
          <w:szCs w:val="30"/>
        </w:rPr>
      </w:pPr>
      <w:r>
        <w:rPr>
          <w:rFonts w:hint="eastAsia" w:ascii="仿宋" w:hAnsi="仿宋" w:eastAsia="仿宋" w:cs="Arial"/>
          <w:b/>
          <w:bCs/>
          <w:color w:val="C00000"/>
          <w:sz w:val="30"/>
          <w:szCs w:val="30"/>
        </w:rPr>
        <w:t>中标原则：该项目所有标项供应商均可同时参与投标，评标委员会按标项1-5的顺序进行评审，并推荐各标项最高得分的投标人为中标候选人，若标项二最高得分的投标人在标项一中已被推荐，则推荐评审得分第二名的供应商为标项二的中标候选人；以此类推。</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项目说明：</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2023年度浙江省大气复合污染立体监测网络功能性站点运行维护项目预算金额为1470.4万元，共分为5个标项，此项目为服务类业务，项目实施地点覆盖全省多个设区城市，运维团队需要具有专业的大气仪器维护技术力量、较多的专业技术人员，如一个公司中标多个标段，将难以保证响应时间及运维质量。为提升功能站运维质量，本项目拟限定1个运维公司只能中标1个标项。</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rPr>
        <w:t>标项1:本项目专门面向中小企业，请单独上传《中小企业声明函》。</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标项2:本项目专门面向中小企业，请单独上传《中小企业声明函》。</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标项4:本项目专门面向中小企业，请单独上传《中小企业声明函》。</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标项5:本项目专门面向中小企业，请单独上传《中小企业声明函》。</w:t>
      </w:r>
      <w:bookmarkEnd w:id="5"/>
    </w:p>
    <w:p>
      <w:pPr>
        <w:snapToGrid w:val="0"/>
        <w:spacing w:line="500" w:lineRule="exact"/>
        <w:ind w:firstLine="602" w:firstLineChars="200"/>
        <w:rPr>
          <w:rFonts w:hint="eastAsia" w:ascii="仿宋" w:hAnsi="仿宋" w:eastAsia="仿宋" w:cs="Arial"/>
          <w:b/>
          <w:bCs/>
          <w:color w:val="FFFFFF"/>
          <w:sz w:val="30"/>
          <w:szCs w:val="30"/>
        </w:rPr>
      </w:pPr>
      <w:bookmarkStart w:id="6" w:name="PO_15528_PM007"/>
      <w:r>
        <w:rPr>
          <w:rFonts w:hint="eastAsia" w:ascii="仿宋" w:hAnsi="仿宋" w:eastAsia="仿宋" w:cs="Arial"/>
          <w:b/>
          <w:bCs/>
          <w:color w:val="000000"/>
          <w:sz w:val="30"/>
          <w:szCs w:val="30"/>
        </w:rPr>
        <w:t>标项1至标项5:</w:t>
      </w:r>
      <w:r>
        <w:rPr>
          <w:rFonts w:hint="eastAsia" w:ascii="仿宋" w:hAnsi="仿宋" w:eastAsia="仿宋" w:cs="Arial"/>
          <w:b/>
          <w:bCs/>
          <w:sz w:val="30"/>
          <w:szCs w:val="30"/>
        </w:rPr>
        <w:t>不允许联合体投标</w:t>
      </w:r>
      <w:bookmarkEnd w:id="6"/>
      <w:r>
        <w:rPr>
          <w:rFonts w:hint="eastAsia" w:ascii="仿宋" w:hAnsi="仿宋" w:eastAsia="仿宋" w:cs="Arial"/>
          <w:b/>
          <w:bCs/>
          <w:color w:val="FFFFFF"/>
          <w:sz w:val="30"/>
          <w:szCs w:val="30"/>
        </w:rPr>
        <w:t>项目说明：</w:t>
      </w:r>
    </w:p>
    <w:p>
      <w:pPr>
        <w:snapToGrid w:val="0"/>
        <w:spacing w:line="500" w:lineRule="exact"/>
        <w:ind w:firstLine="602" w:firstLineChars="200"/>
        <w:rPr>
          <w:rFonts w:hint="eastAsia" w:ascii="仿宋" w:hAnsi="仿宋" w:eastAsia="仿宋" w:cs="Arial"/>
          <w:b/>
          <w:bCs/>
          <w:color w:val="C00000"/>
          <w:sz w:val="30"/>
          <w:szCs w:val="30"/>
        </w:rPr>
      </w:pPr>
      <w:r>
        <w:rPr>
          <w:rFonts w:hint="eastAsia" w:ascii="仿宋" w:hAnsi="仿宋" w:eastAsia="仿宋" w:cs="Arial"/>
          <w:b/>
          <w:bCs/>
          <w:color w:val="C00000"/>
          <w:sz w:val="30"/>
          <w:szCs w:val="30"/>
        </w:rPr>
        <w:t>项目说明：</w:t>
      </w:r>
    </w:p>
    <w:p>
      <w:pPr>
        <w:snapToGrid w:val="0"/>
        <w:spacing w:line="500" w:lineRule="exact"/>
        <w:ind w:firstLine="602" w:firstLineChars="200"/>
        <w:rPr>
          <w:rFonts w:hint="eastAsia" w:ascii="仿宋" w:hAnsi="仿宋" w:eastAsia="仿宋" w:cs="Arial"/>
          <w:b/>
          <w:bCs/>
          <w:color w:val="C00000"/>
          <w:sz w:val="30"/>
          <w:szCs w:val="30"/>
        </w:rPr>
      </w:pPr>
      <w:r>
        <w:rPr>
          <w:rFonts w:hint="eastAsia" w:ascii="仿宋" w:hAnsi="仿宋" w:eastAsia="仿宋" w:cs="Arial"/>
          <w:b/>
          <w:bCs/>
          <w:color w:val="C00000"/>
          <w:sz w:val="30"/>
          <w:szCs w:val="30"/>
        </w:rPr>
        <w:t>2023年度浙江省大气复合污染立体监测网络功能性站点运行维护项目预算金额为1470.4万元，共分为5个标项，此项目为服务类业务，运维团队需要具有专业的大气仪器维护技术力量；同时该项目作为延续性项目，每月涉及运维考核打分，需要明确责任，为避免后续项目责任纠纷，不允许联合体投标和分包。</w:t>
      </w:r>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2023-09-13 09:00:00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rPr>
          <w:rFonts w:ascii="Times New Roman" w:hAnsi="Times New Roman"/>
          <w:color w:val="000000"/>
        </w:rPr>
        <w:fldChar w:fldCharType="begin"/>
      </w:r>
      <w:r>
        <w:rPr>
          <w:rFonts w:ascii="Times New Roman" w:hAnsi="Times New Roman"/>
          <w:color w:val="000000"/>
        </w:rPr>
        <w:instrText xml:space="preserve"> HYPERLINK "http://zfcg.czt.zj.gov.cn/" </w:instrText>
      </w:r>
      <w:r>
        <w:rPr>
          <w:rFonts w:ascii="Times New Roman" w:hAnsi="Times New Roman"/>
          <w:color w:val="000000"/>
        </w:rPr>
        <w:fldChar w:fldCharType="separate"/>
      </w:r>
      <w:r>
        <w:rPr>
          <w:rStyle w:val="69"/>
          <w:rFonts w:ascii="Times New Roman" w:hAnsi="Times New Roman"/>
          <w:color w:val="000000"/>
          <w:sz w:val="28"/>
          <w:szCs w:val="28"/>
        </w:rPr>
        <w:t>http://zfcg.czt.zj.gov.cn/</w:t>
      </w:r>
      <w:r>
        <w:rPr>
          <w:rFonts w:ascii="Times New Roman" w:hAnsi="Times New Roman"/>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widowControl w:val="0"/>
        <w:adjustRightInd w:val="0"/>
        <w:snapToGrid w:val="0"/>
        <w:spacing w:before="120" w:beforeLines="50" w:after="120" w:afterLines="50" w:line="500" w:lineRule="exact"/>
        <w:ind w:firstLine="565" w:firstLineChars="201"/>
        <w:jc w:val="both"/>
        <w:rPr>
          <w:rFonts w:ascii="宋体" w:hAnsi="宋体" w:eastAsia="宋体" w:cs="Times New Roman"/>
          <w:color w:val="000000"/>
          <w:kern w:val="0"/>
          <w:sz w:val="28"/>
          <w:szCs w:val="28"/>
          <w:lang w:val="en-US" w:eastAsia="zh-CN" w:bidi="ar-SA"/>
        </w:rPr>
      </w:pPr>
      <w:r>
        <w:rPr>
          <w:rFonts w:hint="eastAsia" w:ascii="宋体" w:hAnsi="宋体" w:eastAsia="宋体" w:cs="Times New Roman"/>
          <w:b/>
          <w:color w:val="000000"/>
          <w:kern w:val="0"/>
          <w:sz w:val="28"/>
          <w:szCs w:val="28"/>
          <w:lang w:val="en-US" w:eastAsia="zh-CN" w:bidi="ar-SA"/>
        </w:rPr>
        <w:t>投标截止时间：</w:t>
      </w:r>
      <w:bookmarkStart w:id="8" w:name="PO_15528_PM015"/>
      <w:r>
        <w:rPr>
          <w:rFonts w:hint="eastAsia" w:ascii="仿宋" w:hAnsi="仿宋" w:eastAsia="仿宋" w:cs="Arial"/>
          <w:color w:val="000000"/>
          <w:kern w:val="2"/>
          <w:sz w:val="30"/>
          <w:szCs w:val="30"/>
          <w:lang w:val="en-US" w:eastAsia="zh-CN" w:bidi="ar-SA"/>
        </w:rPr>
        <w:t>2023-09-13 09:00:00</w:t>
      </w:r>
      <w:bookmarkEnd w:id="8"/>
      <w:r>
        <w:rPr>
          <w:rFonts w:hint="eastAsia" w:ascii="宋体" w:hAnsi="宋体" w:eastAsia="宋体" w:cs="Times New Roman"/>
          <w:b/>
          <w:color w:val="000000"/>
          <w:kern w:val="0"/>
          <w:sz w:val="28"/>
          <w:szCs w:val="28"/>
          <w:lang w:val="en-US" w:eastAsia="zh-CN" w:bidi="ar-SA"/>
        </w:rPr>
        <w:t>。</w:t>
      </w:r>
    </w:p>
    <w:p>
      <w:pPr>
        <w:widowControl w:val="0"/>
        <w:adjustRightInd w:val="0"/>
        <w:snapToGrid w:val="0"/>
        <w:spacing w:before="120" w:beforeLines="50" w:after="120" w:afterLines="50" w:line="500" w:lineRule="exact"/>
        <w:ind w:firstLine="562" w:firstLineChars="201"/>
        <w:jc w:val="both"/>
        <w:rPr>
          <w:rFonts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widowControl w:val="0"/>
        <w:adjustRightInd w:val="0"/>
        <w:snapToGrid w:val="0"/>
        <w:spacing w:before="120" w:beforeLines="50" w:after="120" w:afterLines="50" w:line="500" w:lineRule="exact"/>
        <w:ind w:firstLine="562" w:firstLineChars="201"/>
        <w:jc w:val="both"/>
        <w:rPr>
          <w:rFonts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如认为需要，投标人可以选择递交备份投标文件，采用数据电文形式，以U盘或DVD光盘形式存储，并在投标截止时间前，通过邮寄方式，送达指定地点，逾期送达或未密封将被拒收。</w:t>
      </w:r>
    </w:p>
    <w:p>
      <w:pPr>
        <w:widowControl w:val="0"/>
        <w:adjustRightInd w:val="0"/>
        <w:snapToGrid w:val="0"/>
        <w:spacing w:before="120" w:beforeLines="50" w:after="120" w:afterLines="50" w:line="500" w:lineRule="exact"/>
        <w:ind w:firstLine="562" w:firstLineChars="201"/>
        <w:jc w:val="both"/>
        <w:rPr>
          <w:rFonts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widowControl w:val="0"/>
        <w:adjustRightInd w:val="0"/>
        <w:snapToGrid w:val="0"/>
        <w:spacing w:before="120" w:beforeLines="50" w:after="120" w:afterLines="50" w:line="500" w:lineRule="exact"/>
        <w:ind w:firstLine="565" w:firstLineChars="201"/>
        <w:jc w:val="both"/>
        <w:rPr>
          <w:rFonts w:ascii="宋体" w:hAnsi="宋体" w:eastAsia="宋体" w:cs="Times New Roman"/>
          <w:b/>
          <w:color w:val="000000"/>
          <w:kern w:val="0"/>
          <w:sz w:val="28"/>
          <w:szCs w:val="28"/>
          <w:lang w:val="en-US" w:eastAsia="zh-CN" w:bidi="ar-SA"/>
        </w:rPr>
      </w:pPr>
      <w:r>
        <w:rPr>
          <w:rFonts w:hint="eastAsia" w:ascii="宋体" w:hAnsi="宋体" w:eastAsia="宋体" w:cs="Times New Roman"/>
          <w:b/>
          <w:color w:val="000000"/>
          <w:kern w:val="0"/>
          <w:sz w:val="28"/>
          <w:szCs w:val="28"/>
          <w:lang w:val="en-US" w:eastAsia="zh-CN" w:bidi="ar-SA"/>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2023-09-13 09:00:00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西湖区宝石一路3号202开标室</w:t>
      </w:r>
      <w:bookmarkEnd w:id="10"/>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rFonts w:ascii="Times New Roman" w:hAnsi="Times New Roman"/>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rPr>
          <w:rFonts w:ascii="Times New Roman" w:hAnsi="Times New Roman"/>
          <w:color w:val="000000"/>
        </w:rPr>
        <w:fldChar w:fldCharType="begin"/>
      </w:r>
      <w:r>
        <w:rPr>
          <w:rFonts w:ascii="Times New Roman" w:hAnsi="Times New Roman"/>
          <w:color w:val="000000"/>
        </w:rPr>
        <w:instrText xml:space="preserve"> HYPERLINK "http://zfcg.czt.zj.gov.cn/" </w:instrText>
      </w:r>
      <w:r>
        <w:rPr>
          <w:rFonts w:ascii="Times New Roman" w:hAnsi="Times New Roman"/>
          <w:color w:val="000000"/>
        </w:rPr>
        <w:fldChar w:fldCharType="separate"/>
      </w:r>
      <w:r>
        <w:rPr>
          <w:rStyle w:val="69"/>
          <w:rFonts w:ascii="Times New Roman" w:hAnsi="Times New Roman"/>
          <w:color w:val="000000"/>
          <w:sz w:val="28"/>
          <w:szCs w:val="28"/>
        </w:rPr>
        <w:t>http://zfcg.czt.zj.gov.cn/</w:t>
      </w:r>
      <w:r>
        <w:rPr>
          <w:rFonts w:ascii="Times New Roman" w:hAnsi="Times New Roman"/>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8114"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2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64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1" w:name="PO_15528_PM032"/>
            <w:r>
              <w:rPr>
                <w:rFonts w:hint="eastAsia" w:ascii="仿宋" w:hAnsi="仿宋" w:eastAsia="仿宋" w:cs="仿宋"/>
                <w:color w:val="000000"/>
                <w:sz w:val="28"/>
                <w:szCs w:val="28"/>
              </w:rPr>
              <w:t>朱智胤</w:t>
            </w:r>
            <w:bookmarkEnd w:id="11"/>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2" w:name="PO_15528_PM033"/>
            <w:r>
              <w:rPr>
                <w:rFonts w:hint="eastAsia" w:ascii="仿宋" w:hAnsi="仿宋" w:eastAsia="仿宋" w:cs="仿宋"/>
                <w:color w:val="000000"/>
                <w:sz w:val="28"/>
                <w:szCs w:val="28"/>
              </w:rPr>
              <w:t>0571-88901127</w:t>
            </w:r>
            <w:bookmarkEnd w:id="12"/>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3" w:name="PO_15528_PM034"/>
            <w:r>
              <w:rPr>
                <w:rFonts w:hint="eastAsia" w:ascii="仿宋" w:hAnsi="仿宋" w:eastAsia="仿宋" w:cs="仿宋"/>
                <w:color w:val="000000"/>
                <w:sz w:val="28"/>
                <w:szCs w:val="28"/>
              </w:rPr>
              <w:t xml:space="preserve"> </w:t>
            </w:r>
            <w:bookmarkEnd w:id="13"/>
          </w:p>
        </w:tc>
        <w:tc>
          <w:tcPr>
            <w:tcW w:w="264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w:t>
            </w:r>
            <w:bookmarkStart w:id="14" w:name="PO_409_PM001385"/>
            <w:r>
              <w:rPr>
                <w:rFonts w:hint="eastAsia" w:ascii="仿宋" w:hAnsi="仿宋" w:eastAsia="仿宋" w:cs="仿宋"/>
                <w:color w:val="000000"/>
                <w:sz w:val="28"/>
                <w:szCs w:val="28"/>
              </w:rPr>
              <w:t xml:space="preserve"> </w:t>
            </w:r>
            <w:bookmarkEnd w:id="14"/>
            <w:r>
              <w:rPr>
                <w:rFonts w:hint="eastAsia" w:ascii="仿宋" w:hAnsi="仿宋" w:eastAsia="仿宋" w:cs="仿宋"/>
                <w:color w:val="000000"/>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商红娟</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0571-88907706</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高媛沁</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0571-88907717</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rPr>
          <w:rFonts w:hint="eastAsia" w:ascii="仿宋_GB2312" w:hAnsi="仿宋" w:eastAsia="仿宋_GB2312"/>
          <w:color w:val="000000"/>
          <w:sz w:val="30"/>
          <w:szCs w:val="30"/>
        </w:rPr>
      </w:pPr>
      <w:bookmarkStart w:id="15" w:name="PO_TDCUS_ITEM_PRC_TITLE_1_2"/>
      <w:r>
        <w:rPr>
          <w:rFonts w:hint="eastAsia" w:ascii="仿宋_GB2312" w:hAnsi="仿宋" w:eastAsia="仿宋_GB2312"/>
          <w:color w:val="000000"/>
          <w:sz w:val="30"/>
          <w:szCs w:val="30"/>
        </w:rPr>
        <w:t>标项1</w:t>
      </w:r>
      <w:bookmarkEnd w:id="15"/>
      <w:bookmarkStart w:id="16" w:name="PO_TDCUS_ITEM_PRC_TABLE_1_1_2"/>
      <w:r>
        <w:rPr>
          <w:rFonts w:hint="eastAsia" w:ascii="仿宋_GB2312" w:hAnsi="仿宋" w:eastAsia="仿宋_GB2312"/>
          <w:color w:val="000000"/>
          <w:sz w:val="30"/>
          <w:szCs w:val="30"/>
        </w:rPr>
        <w:t xml:space="preserve">至标项5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浙江省生态环境监测中心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学院路117号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陈微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0571-89921950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4264" w:type="dxa"/>
            <w:noWrap w:val="0"/>
            <w:vAlign w:val="top"/>
          </w:tcPr>
          <w:p>
            <w:pPr>
              <w:snapToGrid w:val="0"/>
              <w:spacing w:line="440" w:lineRule="exact"/>
              <w:jc w:val="center"/>
              <w:rPr>
                <w:rFonts w:hint="eastAsia" w:ascii="仿宋_GB2312" w:hAnsi="仿宋" w:eastAsia="仿宋_GB2312"/>
                <w:color w:val="000000"/>
                <w:sz w:val="30"/>
                <w:szCs w:val="30"/>
              </w:rPr>
            </w:pPr>
          </w:p>
        </w:tc>
      </w:tr>
      <w:bookmarkEnd w:id="16"/>
    </w:tbl>
    <w:p>
      <w:pPr>
        <w:snapToGrid w:val="0"/>
        <w:spacing w:line="440" w:lineRule="exact"/>
        <w:rPr>
          <w:rFonts w:ascii="仿宋" w:hAnsi="仿宋" w:eastAsia="仿宋" w:cs="Arial"/>
          <w:b/>
          <w:bCs/>
          <w:color w:val="000000"/>
          <w:sz w:val="30"/>
          <w:szCs w:val="30"/>
        </w:rPr>
      </w:pPr>
      <w:r>
        <w:rPr>
          <w:rFonts w:hint="eastAsia" w:ascii="仿宋_GB2312" w:hAnsi="仿宋" w:eastAsia="仿宋_GB2312"/>
          <w:color w:val="000000"/>
          <w:sz w:val="30"/>
          <w:szCs w:val="30"/>
        </w:rPr>
        <w:t xml:space="preserve">  </w:t>
      </w: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hint="eastAsia" w:ascii="仿宋" w:hAnsi="仿宋" w:eastAsia="仿宋" w:cs="Times New Roman"/>
          <w:b/>
          <w:color w:val="000000"/>
          <w:kern w:val="2"/>
          <w:sz w:val="36"/>
          <w:szCs w:val="36"/>
          <w:lang w:val="en-US" w:eastAsia="zh-CN" w:bidi="ar-SA"/>
        </w:rPr>
      </w:pPr>
      <w:r>
        <w:rPr>
          <w:rFonts w:hint="eastAsia" w:ascii="宋体" w:hAnsi="宋体" w:cs="仿宋"/>
          <w:color w:val="000000"/>
          <w:sz w:val="28"/>
          <w:szCs w:val="28"/>
        </w:rPr>
        <w:t>预算金额未达100万元的采购项目，由采购人处理采购争议。</w:t>
      </w:r>
      <w:bookmarkStart w:id="17" w:name="_Toc29498"/>
      <w:bookmarkStart w:id="18" w:name="_Toc496796636"/>
    </w:p>
    <w:p>
      <w:pPr>
        <w:widowControl w:val="0"/>
        <w:spacing w:before="120" w:beforeLines="50" w:after="120" w:afterLines="50" w:line="360" w:lineRule="auto"/>
        <w:jc w:val="center"/>
        <w:outlineLvl w:val="0"/>
        <w:rPr>
          <w:rFonts w:ascii="宋体" w:hAnsi="宋体" w:eastAsia="宋体" w:cs="Times New Roman"/>
          <w:b/>
          <w:color w:val="000000"/>
          <w:kern w:val="2"/>
          <w:sz w:val="36"/>
          <w:szCs w:val="36"/>
          <w:lang w:val="en-US" w:eastAsia="zh-CN" w:bidi="ar-SA"/>
        </w:rPr>
      </w:pPr>
      <w:r>
        <w:rPr>
          <w:rFonts w:hint="eastAsia" w:ascii="仿宋" w:hAnsi="仿宋" w:eastAsia="仿宋" w:cs="Times New Roman"/>
          <w:b/>
          <w:color w:val="000000"/>
          <w:kern w:val="2"/>
          <w:sz w:val="36"/>
          <w:szCs w:val="36"/>
          <w:lang w:val="en-US" w:eastAsia="zh-CN" w:bidi="ar-SA"/>
        </w:rPr>
        <w:t>第二章</w:t>
      </w:r>
      <w:bookmarkStart w:id="19" w:name="投标人须知"/>
      <w:r>
        <w:rPr>
          <w:rFonts w:hint="eastAsia" w:ascii="仿宋" w:hAnsi="仿宋" w:eastAsia="仿宋" w:cs="Times New Roman"/>
          <w:b/>
          <w:color w:val="000000"/>
          <w:kern w:val="2"/>
          <w:sz w:val="36"/>
          <w:szCs w:val="36"/>
          <w:lang w:val="en-US" w:eastAsia="zh-CN" w:bidi="ar-SA"/>
        </w:rPr>
        <w:t xml:space="preserve">   投标人须知</w:t>
      </w:r>
      <w:bookmarkEnd w:id="17"/>
      <w:bookmarkEnd w:id="18"/>
      <w:bookmarkEnd w:id="19"/>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根据《政府采购促进中小企业发展管理办法》财库〔2020〕46号文件的规定，本项目标项1、标项2、标项4、标项5</w:t>
            </w:r>
            <w:r>
              <w:rPr>
                <w:rFonts w:hint="eastAsia" w:ascii="仿宋" w:hAnsi="仿宋" w:eastAsia="仿宋"/>
                <w:b/>
                <w:color w:val="000000"/>
                <w:sz w:val="24"/>
                <w:szCs w:val="24"/>
                <w:u w:val="single"/>
              </w:rPr>
              <w:t>是</w:t>
            </w:r>
            <w:r>
              <w:rPr>
                <w:rFonts w:hint="eastAsia" w:ascii="仿宋" w:hAnsi="仿宋" w:eastAsia="仿宋"/>
                <w:b/>
                <w:color w:val="000000"/>
                <w:sz w:val="24"/>
                <w:szCs w:val="24"/>
              </w:rPr>
              <w:t>属于预留份额专门面向中小企业采购的项目；标项3不属于预留份额专门面向中小企业采购的项目。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0"/>
              </w:numPr>
              <w:snapToGrid w:val="0"/>
              <w:spacing w:line="460" w:lineRule="exact"/>
              <w:ind w:left="960" w:hanging="360" w:firstLineChars="0"/>
              <w:jc w:val="both"/>
              <w:rPr>
                <w:rFonts w:ascii="仿宋" w:hAnsi="仿宋" w:eastAsia="仿宋" w:cs="Times New Roman"/>
                <w:b/>
                <w:color w:val="000000"/>
                <w:kern w:val="2"/>
                <w:sz w:val="24"/>
                <w:szCs w:val="24"/>
                <w:u w:val="single"/>
                <w:lang w:val="en-US" w:eastAsia="zh-CN" w:bidi="ar-SA"/>
              </w:rPr>
            </w:pPr>
            <w:r>
              <w:rPr>
                <w:rFonts w:hint="eastAsia" w:ascii="仿宋" w:hAnsi="仿宋" w:eastAsia="仿宋" w:cs="Times New Roman"/>
                <w:b/>
                <w:color w:val="000000"/>
                <w:kern w:val="2"/>
                <w:sz w:val="24"/>
                <w:szCs w:val="24"/>
                <w:lang w:val="en-US" w:eastAsia="zh-CN" w:bidi="ar-SA"/>
              </w:rPr>
              <w:t>项目属性（服务类）</w:t>
            </w:r>
          </w:p>
          <w:p>
            <w:pPr>
              <w:widowControl w:val="0"/>
              <w:numPr>
                <w:ilvl w:val="0"/>
                <w:numId w:val="30"/>
              </w:numPr>
              <w:snapToGrid w:val="0"/>
              <w:spacing w:line="460" w:lineRule="exact"/>
              <w:ind w:left="960" w:hanging="360" w:firstLineChars="0"/>
              <w:jc w:val="both"/>
              <w:rPr>
                <w:rFonts w:ascii="仿宋" w:hAnsi="仿宋" w:eastAsia="仿宋" w:cs="Times New Roman"/>
                <w:b/>
                <w:color w:val="000000"/>
                <w:kern w:val="2"/>
                <w:sz w:val="24"/>
                <w:szCs w:val="24"/>
                <w:lang w:val="en-US" w:eastAsia="zh-CN" w:bidi="ar-SA"/>
              </w:rPr>
            </w:pPr>
            <w:r>
              <w:rPr>
                <w:rFonts w:hint="eastAsia" w:ascii="仿宋" w:hAnsi="仿宋" w:eastAsia="仿宋" w:cs="Times New Roman"/>
                <w:b/>
                <w:color w:val="000000"/>
                <w:kern w:val="2"/>
                <w:sz w:val="24"/>
                <w:szCs w:val="24"/>
                <w:lang w:val="en-US" w:eastAsia="zh-CN" w:bidi="ar-SA"/>
              </w:rPr>
              <w:t>中小企业划分标准所属行业（具体根据《中小企业划型标准规定》执行）</w:t>
            </w:r>
          </w:p>
          <w:p>
            <w:pPr>
              <w:snapToGrid w:val="0"/>
              <w:spacing w:line="460" w:lineRule="exact"/>
              <w:ind w:left="600"/>
              <w:rPr>
                <w:rFonts w:hint="eastAsia" w:ascii="仿宋" w:hAnsi="仿宋" w:eastAsia="仿宋" w:cs="Arial"/>
                <w:b/>
                <w:color w:val="000000"/>
                <w:sz w:val="24"/>
                <w:szCs w:val="24"/>
              </w:rPr>
            </w:pPr>
            <w:r>
              <w:rPr>
                <w:rFonts w:hint="eastAsia" w:ascii="仿宋" w:hAnsi="仿宋" w:eastAsia="仿宋"/>
                <w:b/>
                <w:color w:val="000000"/>
                <w:sz w:val="24"/>
                <w:szCs w:val="24"/>
              </w:rPr>
              <w:t>采购标的：标项1、</w:t>
            </w:r>
            <w:r>
              <w:rPr>
                <w:rFonts w:hint="eastAsia" w:ascii="仿宋" w:hAnsi="仿宋" w:eastAsia="仿宋" w:cs="Arial"/>
                <w:b/>
                <w:color w:val="000000"/>
                <w:sz w:val="24"/>
                <w:szCs w:val="24"/>
              </w:rPr>
              <w:t>2023年度浙江省大气复合污染立体监测网络功能性站位运维项目标项一；</w:t>
            </w:r>
          </w:p>
          <w:p>
            <w:pPr>
              <w:snapToGrid w:val="0"/>
              <w:spacing w:line="460" w:lineRule="exact"/>
              <w:ind w:left="600"/>
              <w:rPr>
                <w:rFonts w:hint="eastAsia" w:ascii="仿宋" w:hAnsi="仿宋" w:eastAsia="仿宋" w:cs="Arial"/>
                <w:b/>
                <w:color w:val="000000"/>
                <w:sz w:val="24"/>
                <w:szCs w:val="24"/>
              </w:rPr>
            </w:pPr>
            <w:r>
              <w:rPr>
                <w:rFonts w:hint="eastAsia" w:ascii="仿宋" w:hAnsi="仿宋" w:eastAsia="仿宋" w:cs="Arial"/>
                <w:b/>
                <w:color w:val="000000"/>
                <w:sz w:val="24"/>
                <w:szCs w:val="24"/>
              </w:rPr>
              <w:t>标项2、2023年度浙江省大气复合污染立体监测网络功能性站位运维项目标项二；</w:t>
            </w:r>
          </w:p>
          <w:p>
            <w:pPr>
              <w:snapToGrid w:val="0"/>
              <w:spacing w:line="460" w:lineRule="exact"/>
              <w:ind w:left="600"/>
              <w:rPr>
                <w:rFonts w:hint="eastAsia" w:ascii="仿宋" w:hAnsi="仿宋" w:eastAsia="仿宋" w:cs="Arial"/>
                <w:b/>
                <w:color w:val="000000"/>
                <w:sz w:val="24"/>
                <w:szCs w:val="24"/>
              </w:rPr>
            </w:pPr>
            <w:r>
              <w:rPr>
                <w:rFonts w:hint="eastAsia" w:ascii="仿宋" w:hAnsi="仿宋" w:eastAsia="仿宋" w:cs="Arial"/>
                <w:b/>
                <w:color w:val="000000"/>
                <w:sz w:val="24"/>
                <w:szCs w:val="24"/>
              </w:rPr>
              <w:t>标项3、2023年度浙江省大气复合污染立体监测网络功能性站位运维项目标项三；</w:t>
            </w:r>
          </w:p>
          <w:p>
            <w:pPr>
              <w:snapToGrid w:val="0"/>
              <w:spacing w:line="460" w:lineRule="exact"/>
              <w:ind w:left="600"/>
              <w:rPr>
                <w:rFonts w:hint="eastAsia" w:ascii="仿宋" w:hAnsi="仿宋" w:eastAsia="仿宋" w:cs="Arial"/>
                <w:b/>
                <w:color w:val="000000"/>
                <w:sz w:val="24"/>
                <w:szCs w:val="24"/>
              </w:rPr>
            </w:pPr>
            <w:r>
              <w:rPr>
                <w:rFonts w:hint="eastAsia" w:ascii="仿宋" w:hAnsi="仿宋" w:eastAsia="仿宋" w:cs="Arial"/>
                <w:b/>
                <w:color w:val="000000"/>
                <w:sz w:val="24"/>
                <w:szCs w:val="24"/>
              </w:rPr>
              <w:t>标项4、2023年度浙江省大气复合污染立体监测网络功能性站位运维项目标项四；</w:t>
            </w:r>
          </w:p>
          <w:p>
            <w:pPr>
              <w:snapToGrid w:val="0"/>
              <w:spacing w:line="460" w:lineRule="exact"/>
              <w:ind w:left="600"/>
              <w:rPr>
                <w:rFonts w:ascii="仿宋" w:hAnsi="仿宋" w:eastAsia="仿宋" w:cs="Arial"/>
                <w:b/>
                <w:color w:val="000000"/>
                <w:sz w:val="28"/>
                <w:szCs w:val="28"/>
              </w:rPr>
            </w:pPr>
            <w:r>
              <w:rPr>
                <w:rFonts w:hint="eastAsia" w:ascii="仿宋" w:hAnsi="仿宋" w:eastAsia="仿宋" w:cs="Arial"/>
                <w:b/>
                <w:color w:val="000000"/>
                <w:sz w:val="24"/>
                <w:szCs w:val="24"/>
              </w:rPr>
              <w:t>标项5、2023年度浙江省大气复合污染立体监测网络功能性站位运维项目标项五；</w:t>
            </w:r>
          </w:p>
          <w:p>
            <w:pPr>
              <w:snapToGrid w:val="0"/>
              <w:spacing w:line="460" w:lineRule="exact"/>
              <w:ind w:left="600"/>
              <w:rPr>
                <w:rFonts w:hint="eastAsia" w:ascii="仿宋" w:hAnsi="仿宋" w:eastAsia="仿宋" w:cs="Arial"/>
                <w:b/>
                <w:color w:val="000000"/>
                <w:sz w:val="28"/>
                <w:szCs w:val="28"/>
              </w:rPr>
            </w:pPr>
            <w:r>
              <w:rPr>
                <w:rFonts w:hint="eastAsia" w:ascii="仿宋" w:hAnsi="仿宋" w:eastAsia="仿宋"/>
                <w:b/>
                <w:color w:val="000000"/>
                <w:sz w:val="24"/>
                <w:szCs w:val="24"/>
              </w:rPr>
              <w:t>所属行业：</w:t>
            </w:r>
            <w:r>
              <w:rPr>
                <w:rFonts w:hint="eastAsia" w:ascii="仿宋" w:hAnsi="仿宋" w:eastAsia="仿宋" w:cs="Arial"/>
                <w:b/>
                <w:color w:val="000000"/>
                <w:sz w:val="24"/>
                <w:szCs w:val="24"/>
              </w:rPr>
              <w:t>其他未列明行业</w:t>
            </w:r>
            <w:r>
              <w:rPr>
                <w:rFonts w:hint="eastAsia" w:ascii="仿宋" w:hAnsi="仿宋" w:eastAsia="仿宋" w:cs="Arial"/>
                <w:b/>
                <w:color w:val="000000"/>
                <w:sz w:val="28"/>
                <w:szCs w:val="28"/>
              </w:rPr>
              <w:t>；</w:t>
            </w:r>
          </w:p>
          <w:p>
            <w:pPr>
              <w:snapToGrid w:val="0"/>
              <w:spacing w:line="460" w:lineRule="exact"/>
              <w:ind w:firstLine="482" w:firstLineChars="200"/>
              <w:rPr>
                <w:rFonts w:ascii="仿宋" w:hAnsi="仿宋" w:eastAsia="仿宋"/>
                <w:b/>
                <w:strike/>
                <w:color w:val="000000"/>
                <w:sz w:val="24"/>
                <w:szCs w:val="24"/>
              </w:rPr>
            </w:pPr>
            <w:r>
              <w:rPr>
                <w:rFonts w:hint="eastAsia" w:ascii="仿宋" w:hAnsi="仿宋" w:eastAsia="仿宋"/>
                <w:b/>
                <w:color w:val="000000"/>
                <w:sz w:val="24"/>
                <w:szCs w:val="24"/>
              </w:rPr>
              <w:t>3.标项3：根据财库〔2020〕46号的相关规定，在评审时对符合本办法规定的小微企业报价给予</w:t>
            </w:r>
            <w:r>
              <w:rPr>
                <w:rFonts w:hint="eastAsia" w:ascii="仿宋" w:hAnsi="仿宋" w:eastAsia="仿宋"/>
                <w:b/>
                <w:color w:val="000000"/>
                <w:sz w:val="24"/>
                <w:szCs w:val="24"/>
                <w:u w:val="single"/>
              </w:rPr>
              <w:t xml:space="preserve"> 10%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w:t>
            </w:r>
            <w:r>
              <w:rPr>
                <w:rFonts w:hint="eastAsia" w:ascii="仿宋" w:hAnsi="仿宋" w:eastAsia="仿宋"/>
                <w:b/>
                <w:color w:val="000000"/>
                <w:sz w:val="24"/>
                <w:szCs w:val="24"/>
              </w:rPr>
              <w:t>4%的扣除，用扣除后的价格参加评审。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0" w:name="PO_15528_PM042"/>
            <w:r>
              <w:rPr>
                <w:rFonts w:hint="eastAsia" w:ascii="仿宋" w:hAnsi="仿宋" w:eastAsia="仿宋"/>
                <w:color w:val="000000"/>
                <w:sz w:val="24"/>
                <w:szCs w:val="24"/>
              </w:rPr>
              <w:t>不允许进口产品</w:t>
            </w:r>
            <w:bookmarkEnd w:id="20"/>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w:t>
            </w:r>
            <w:r>
              <w:rPr>
                <w:rFonts w:hint="eastAsia" w:ascii="仿宋_GB2312" w:hAnsi="仿宋" w:eastAsia="仿宋_GB2312"/>
                <w:bCs/>
                <w:color w:val="000000"/>
                <w:sz w:val="24"/>
                <w:highlight w:val="none"/>
              </w:rPr>
              <w:t>否       分包：</w:t>
            </w:r>
            <w:bookmarkStart w:id="21" w:name="PO_15528_PM044"/>
            <w:r>
              <w:rPr>
                <w:rFonts w:hint="eastAsia" w:ascii="仿宋_GB2312" w:hAnsi="仿宋" w:eastAsia="仿宋_GB2312"/>
                <w:bCs/>
                <w:color w:val="000000"/>
                <w:sz w:val="24"/>
                <w:highlight w:val="none"/>
              </w:rPr>
              <w:t>不允许分包</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2" w:name="PO_15528_PM007_1"/>
            <w:r>
              <w:rPr>
                <w:rFonts w:hint="eastAsia" w:ascii="仿宋_GB2312" w:hAnsi="仿宋" w:eastAsia="仿宋_GB2312"/>
                <w:bCs/>
                <w:color w:val="000000"/>
                <w:sz w:val="24"/>
                <w:highlight w:val="none"/>
              </w:rPr>
              <w:t>标项1至标项5:不允许联合体投标</w:t>
            </w:r>
            <w:bookmarkEnd w:id="22"/>
            <w:r>
              <w:rPr>
                <w:rFonts w:hint="eastAsia" w:ascii="仿宋_GB2312" w:hAnsi="仿宋" w:eastAsia="仿宋_GB2312"/>
                <w:bCs/>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5528_PM040"/>
            <w:r>
              <w:rPr>
                <w:rFonts w:hint="eastAsia" w:ascii="仿宋" w:hAnsi="仿宋" w:eastAsia="仿宋"/>
                <w:color w:val="000000"/>
                <w:sz w:val="24"/>
                <w:szCs w:val="24"/>
              </w:rPr>
              <w:t>不组织现场踏勘</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1"/>
            <w:r>
              <w:rPr>
                <w:rFonts w:hint="eastAsia" w:ascii="仿宋" w:hAnsi="仿宋" w:eastAsia="仿宋"/>
                <w:color w:val="000000"/>
                <w:sz w:val="24"/>
                <w:szCs w:val="24"/>
              </w:rPr>
              <w:t>不进行演示</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5" w:name="PO_1000000445_PM043"/>
            <w:r>
              <w:rPr>
                <w:rFonts w:hint="eastAsia" w:ascii="仿宋" w:hAnsi="仿宋" w:eastAsia="仿宋"/>
                <w:color w:val="000000"/>
                <w:sz w:val="24"/>
                <w:szCs w:val="24"/>
              </w:rPr>
              <w:t>不要求提供样品</w:t>
            </w:r>
            <w:bookmarkEnd w:id="25"/>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rPr>
                <w:rFonts w:ascii="Times New Roman" w:hAnsi="Times New Roman"/>
                <w:color w:val="000000"/>
              </w:rPr>
              <w:fldChar w:fldCharType="begin"/>
            </w:r>
            <w:r>
              <w:rPr>
                <w:rFonts w:ascii="Times New Roman" w:hAnsi="Times New Roman"/>
                <w:color w:val="000000"/>
              </w:rPr>
              <w:instrText xml:space="preserve"> HYPERLINK "https://middle.zcygov.cn/v-settle-front/registry" </w:instrText>
            </w:r>
            <w:r>
              <w:rPr>
                <w:rFonts w:ascii="Times New Roman" w:hAnsi="Times New Roman"/>
                <w:color w:val="000000"/>
              </w:rPr>
              <w:fldChar w:fldCharType="separate"/>
            </w:r>
            <w:r>
              <w:rPr>
                <w:rStyle w:val="69"/>
                <w:rFonts w:hint="eastAsia" w:ascii="仿宋" w:hAnsi="仿宋" w:eastAsia="仿宋"/>
                <w:b/>
                <w:color w:val="000000"/>
                <w:sz w:val="24"/>
                <w:szCs w:val="24"/>
              </w:rPr>
              <w:t>https://middle.zcygov.cn/v-settle-front/registry</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rPr>
                <w:rFonts w:ascii="Times New Roman" w:hAnsi="Times New Roman"/>
                <w:color w:val="000000"/>
              </w:rPr>
              <w:fldChar w:fldCharType="begin"/>
            </w:r>
            <w:r>
              <w:rPr>
                <w:rFonts w:ascii="Times New Roman" w:hAnsi="Times New Roman"/>
                <w:color w:val="000000"/>
              </w:rPr>
              <w:instrText xml:space="preserve"> HYPERLINK "http://zfcg.czt.zj.gov.cn/bidClientTemplate/2019-09-24/12975.html" </w:instrText>
            </w:r>
            <w:r>
              <w:rPr>
                <w:rFonts w:ascii="Times New Roman" w:hAnsi="Times New Roman"/>
                <w:color w:val="000000"/>
              </w:rPr>
              <w:fldChar w:fldCharType="separate"/>
            </w:r>
            <w:r>
              <w:rPr>
                <w:rStyle w:val="69"/>
                <w:rFonts w:hint="eastAsia" w:ascii="仿宋" w:hAnsi="仿宋" w:eastAsia="仿宋"/>
                <w:b/>
                <w:color w:val="000000"/>
                <w:sz w:val="24"/>
                <w:szCs w:val="24"/>
              </w:rPr>
              <w:t>http://zfcg.czt.zj.gov.cn/bidClientTemplate/2019-09-24/12975.html</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rPr>
                <w:rFonts w:ascii="Times New Roman" w:hAnsi="Times New Roman"/>
                <w:color w:val="000000"/>
              </w:rPr>
              <w:fldChar w:fldCharType="begin"/>
            </w:r>
            <w:r>
              <w:rPr>
                <w:rFonts w:ascii="Times New Roman" w:hAnsi="Times New Roman"/>
                <w:color w:val="000000"/>
              </w:rPr>
              <w:instrText xml:space="preserve"> HYPERLINK "https://edu.zcygov.cn/luban/e-biding" </w:instrText>
            </w:r>
            <w:r>
              <w:rPr>
                <w:rFonts w:ascii="Times New Roman" w:hAnsi="Times New Roman"/>
                <w:color w:val="000000"/>
              </w:rPr>
              <w:fldChar w:fldCharType="separate"/>
            </w:r>
            <w:r>
              <w:rPr>
                <w:rStyle w:val="69"/>
                <w:rFonts w:hint="eastAsia" w:ascii="仿宋" w:hAnsi="仿宋" w:eastAsia="仿宋"/>
                <w:b/>
                <w:color w:val="000000"/>
                <w:sz w:val="24"/>
                <w:szCs w:val="24"/>
              </w:rPr>
              <w:t>https://edu.zcygov.cn/luban/e-biding</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rPr>
                <w:rFonts w:ascii="Times New Roman" w:hAnsi="Times New Roman"/>
                <w:color w:val="000000"/>
              </w:rPr>
              <w:fldChar w:fldCharType="begin"/>
            </w:r>
            <w:r>
              <w:rPr>
                <w:rFonts w:ascii="Times New Roman" w:hAnsi="Times New Roman"/>
                <w:color w:val="000000"/>
              </w:rPr>
              <w:instrText xml:space="preserve"> HYPERLINK "http://www.zjzfcg.gov.cn/new" </w:instrText>
            </w:r>
            <w:r>
              <w:rPr>
                <w:rFonts w:ascii="Times New Roman" w:hAnsi="Times New Roman"/>
                <w:color w:val="000000"/>
              </w:rPr>
              <w:fldChar w:fldCharType="separate"/>
            </w:r>
            <w:r>
              <w:rPr>
                <w:rStyle w:val="69"/>
                <w:rFonts w:hint="eastAsia" w:ascii="仿宋" w:hAnsi="仿宋" w:eastAsia="仿宋"/>
                <w:color w:val="000000"/>
                <w:sz w:val="24"/>
                <w:szCs w:val="24"/>
              </w:rPr>
              <w:t>http://www.zjzfcg.gov.cn</w:t>
            </w:r>
            <w:r>
              <w:rPr>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widowControl w:val="0"/>
        <w:snapToGrid w:val="0"/>
        <w:spacing w:before="240" w:beforeLines="100" w:after="240" w:afterLines="100" w:line="360" w:lineRule="auto"/>
        <w:jc w:val="center"/>
        <w:rPr>
          <w:rFonts w:ascii="仿宋" w:hAnsi="仿宋" w:eastAsia="仿宋" w:cs="Times New Roman"/>
          <w:b/>
          <w:bCs/>
          <w:color w:val="000000"/>
          <w:kern w:val="2"/>
          <w:sz w:val="28"/>
          <w:szCs w:val="28"/>
          <w:lang w:val="en-US" w:eastAsia="zh-CN" w:bidi="ar-SA"/>
        </w:rPr>
      </w:pPr>
      <w:r>
        <w:rPr>
          <w:rFonts w:hint="eastAsia" w:ascii="仿宋" w:hAnsi="仿宋" w:eastAsia="仿宋_GB2312" w:cs="Times New Roman"/>
          <w:color w:val="000000"/>
          <w:kern w:val="0"/>
          <w:sz w:val="30"/>
          <w:szCs w:val="30"/>
          <w:lang w:val="en-US" w:eastAsia="zh-CN" w:bidi="ar-SA"/>
        </w:rPr>
        <w:br w:type="page"/>
      </w:r>
      <w:r>
        <w:rPr>
          <w:rFonts w:hint="eastAsia" w:ascii="仿宋" w:hAnsi="仿宋" w:eastAsia="仿宋" w:cs="Times New Roman"/>
          <w:b/>
          <w:bCs/>
          <w:color w:val="000000"/>
          <w:kern w:val="2"/>
          <w:sz w:val="28"/>
          <w:szCs w:val="28"/>
          <w:lang w:val="en-US" w:eastAsia="zh-CN" w:bidi="ar-SA"/>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widowControl w:val="0"/>
        <w:snapToGrid w:val="0"/>
        <w:spacing w:beforeLines="0" w:after="120" w:afterLines="50" w:line="460" w:lineRule="exact"/>
        <w:ind w:left="2" w:leftChars="1"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widowControl w:val="0"/>
        <w:snapToGrid w:val="0"/>
        <w:spacing w:beforeLines="0" w:after="120" w:afterLines="50" w:line="460" w:lineRule="exact"/>
        <w:ind w:left="2" w:leftChars="1"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widowControl w:val="0"/>
        <w:snapToGrid w:val="0"/>
        <w:spacing w:beforeLines="0" w:after="120" w:afterLines="50" w:line="460" w:lineRule="exact"/>
        <w:ind w:left="2" w:leftChars="1" w:firstLine="560" w:firstLineChars="200"/>
        <w:jc w:val="both"/>
        <w:rPr>
          <w:rFonts w:ascii="仿宋" w:hAnsi="仿宋" w:eastAsia="仿宋" w:cs="Times New Roman"/>
          <w:bCs/>
          <w:color w:val="000000"/>
          <w:kern w:val="2"/>
          <w:sz w:val="28"/>
          <w:szCs w:val="28"/>
          <w:lang w:val="en-US" w:eastAsia="zh-CN" w:bidi="ar-SA"/>
        </w:rPr>
      </w:pPr>
      <w:r>
        <w:rPr>
          <w:rFonts w:ascii="仿宋" w:hAnsi="仿宋" w:eastAsia="仿宋" w:cs="Times New Roman"/>
          <w:bCs/>
          <w:color w:val="000000"/>
          <w:kern w:val="2"/>
          <w:sz w:val="28"/>
          <w:szCs w:val="28"/>
          <w:lang w:val="en-US" w:eastAsia="zh-CN" w:bidi="ar-SA"/>
        </w:rPr>
        <w:t>3</w:t>
      </w:r>
      <w:r>
        <w:rPr>
          <w:rFonts w:hint="eastAsia" w:ascii="仿宋" w:hAnsi="仿宋" w:eastAsia="仿宋" w:cs="Times New Roman"/>
          <w:bCs/>
          <w:color w:val="000000"/>
          <w:kern w:val="2"/>
          <w:sz w:val="28"/>
          <w:szCs w:val="28"/>
          <w:lang w:val="en-US" w:eastAsia="zh-CN" w:bidi="ar-SA"/>
        </w:rPr>
        <w:t>.质疑应当以书面形式提出，格式见《政府采购质疑和投诉办法》（财政部令第94号）附件范本，下载网址：浙江政府采购网(</w:t>
      </w:r>
      <w:r>
        <w:rPr>
          <w:rFonts w:ascii="宋体" w:hAnsi="Courier New" w:eastAsia="宋体" w:cs="Times New Roman"/>
          <w:color w:val="000000"/>
          <w:kern w:val="2"/>
          <w:sz w:val="24"/>
          <w:szCs w:val="24"/>
          <w:lang w:val="en-US" w:eastAsia="zh-CN" w:bidi="ar-SA"/>
        </w:rPr>
        <w:fldChar w:fldCharType="begin"/>
      </w:r>
      <w:r>
        <w:rPr>
          <w:rFonts w:ascii="宋体" w:hAnsi="Courier New" w:eastAsia="宋体" w:cs="Times New Roman"/>
          <w:color w:val="000000"/>
          <w:kern w:val="2"/>
          <w:sz w:val="24"/>
          <w:szCs w:val="24"/>
          <w:lang w:val="en-US" w:eastAsia="zh-CN" w:bidi="ar-SA"/>
        </w:rPr>
        <w:instrText xml:space="preserve"> HYPERLINK "http://zfcg.czt.zj.gov.cn/" </w:instrText>
      </w:r>
      <w:r>
        <w:rPr>
          <w:rFonts w:ascii="宋体" w:hAnsi="Courier New" w:eastAsia="宋体" w:cs="Times New Roman"/>
          <w:color w:val="000000"/>
          <w:kern w:val="2"/>
          <w:sz w:val="24"/>
          <w:szCs w:val="24"/>
          <w:lang w:val="en-US" w:eastAsia="zh-CN" w:bidi="ar-SA"/>
        </w:rPr>
        <w:fldChar w:fldCharType="separate"/>
      </w:r>
      <w:r>
        <w:rPr>
          <w:rStyle w:val="69"/>
          <w:rFonts w:hint="eastAsia" w:ascii="仿宋" w:hAnsi="仿宋" w:eastAsia="仿宋" w:cs="Times New Roman"/>
          <w:bCs/>
          <w:color w:val="000000"/>
          <w:kern w:val="2"/>
          <w:sz w:val="28"/>
          <w:szCs w:val="28"/>
          <w:lang w:val="en-US" w:eastAsia="zh-CN" w:bidi="ar-SA"/>
        </w:rPr>
        <w:t>http://zfcg.czt.zj.gov.cn/</w:t>
      </w:r>
      <w:r>
        <w:rPr>
          <w:rFonts w:hint="eastAsia" w:ascii="仿宋" w:hAnsi="仿宋" w:eastAsia="仿宋" w:cs="Times New Roman"/>
          <w:bCs/>
          <w:color w:val="000000"/>
          <w:kern w:val="2"/>
          <w:sz w:val="28"/>
          <w:szCs w:val="28"/>
          <w:lang w:val="en-US" w:eastAsia="zh-CN" w:bidi="ar-SA"/>
        </w:rPr>
        <w:fldChar w:fldCharType="end"/>
      </w:r>
      <w:r>
        <w:rPr>
          <w:rFonts w:hint="eastAsia" w:ascii="仿宋" w:hAnsi="仿宋" w:eastAsia="仿宋" w:cs="Times New Roman"/>
          <w:bCs/>
          <w:color w:val="000000"/>
          <w:kern w:val="2"/>
          <w:sz w:val="28"/>
          <w:szCs w:val="28"/>
          <w:lang w:val="en-US" w:eastAsia="zh-CN" w:bidi="ar-SA"/>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widowControl w:val="0"/>
        <w:snapToGrid w:val="0"/>
        <w:spacing w:before="120" w:beforeLines="50" w:after="120" w:afterLines="50" w:line="460" w:lineRule="exact"/>
        <w:ind w:firstLine="560" w:firstLineChars="200"/>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Times New Roman"/>
          <w:b/>
          <w:bCs/>
          <w:color w:val="000000"/>
          <w:kern w:val="2"/>
          <w:sz w:val="28"/>
          <w:szCs w:val="28"/>
          <w:lang w:val="en-US" w:eastAsia="zh-CN" w:bidi="ar-SA"/>
        </w:rPr>
        <w:t>逾期提出招标方将不予受理。</w:t>
      </w:r>
    </w:p>
    <w:p>
      <w:pPr>
        <w:widowControl w:val="0"/>
        <w:snapToGrid w:val="0"/>
        <w:spacing w:before="120" w:beforeLines="50" w:after="120" w:afterLines="50" w:line="460" w:lineRule="exact"/>
        <w:ind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2.招标方主动进行的澄清、修改：招标方无论出于何种原因，均可主动对招标文件中的相关事项，用补充文件等方式进行澄清和修改。</w:t>
      </w:r>
    </w:p>
    <w:p>
      <w:pPr>
        <w:widowControl w:val="0"/>
        <w:snapToGrid w:val="0"/>
        <w:spacing w:before="120" w:beforeLines="50" w:after="120" w:afterLines="50" w:line="460" w:lineRule="exact"/>
        <w:ind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3.招标文件澄清、答复、修改、补充的内容为招标文件的组成部分。当招标文件与招标文件的答复、澄清、修改、补充通知就同一内容的表述不一致时，以最后发出的书面文件为准。</w:t>
      </w:r>
    </w:p>
    <w:p>
      <w:pPr>
        <w:widowControl w:val="0"/>
        <w:snapToGrid w:val="0"/>
        <w:spacing w:before="240" w:beforeLines="100" w:after="240" w:afterLines="100" w:line="360" w:lineRule="auto"/>
        <w:jc w:val="center"/>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widowControl w:val="0"/>
        <w:adjustRightInd w:val="0"/>
        <w:snapToGrid w:val="0"/>
        <w:spacing w:before="120" w:beforeLines="50" w:after="120" w:afterLines="50" w:line="500" w:lineRule="exact"/>
        <w:ind w:firstLine="565" w:firstLineChars="201"/>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投标文件编制工具为政采云电子交易客户端，下载网址：</w:t>
      </w:r>
      <w:r>
        <w:rPr>
          <w:rFonts w:ascii="宋体" w:hAnsi="Courier New" w:eastAsia="宋体" w:cs="Times New Roman"/>
          <w:color w:val="000000"/>
          <w:kern w:val="2"/>
          <w:sz w:val="24"/>
          <w:szCs w:val="24"/>
          <w:lang w:val="en-US" w:eastAsia="zh-CN" w:bidi="ar-SA"/>
        </w:rPr>
        <w:fldChar w:fldCharType="begin"/>
      </w:r>
      <w:r>
        <w:rPr>
          <w:rFonts w:ascii="宋体" w:hAnsi="Courier New" w:eastAsia="宋体" w:cs="Times New Roman"/>
          <w:color w:val="000000"/>
          <w:kern w:val="2"/>
          <w:sz w:val="24"/>
          <w:szCs w:val="24"/>
          <w:lang w:val="en-US" w:eastAsia="zh-CN" w:bidi="ar-SA"/>
        </w:rPr>
        <w:instrText xml:space="preserve"> HYPERLINK "http://zfcg.czt.zj.gov.cn/bidClientTemplate/2019-09-24/12975.html" </w:instrText>
      </w:r>
      <w:r>
        <w:rPr>
          <w:rFonts w:ascii="宋体" w:hAnsi="Courier New" w:eastAsia="宋体" w:cs="Times New Roman"/>
          <w:color w:val="000000"/>
          <w:kern w:val="2"/>
          <w:sz w:val="24"/>
          <w:szCs w:val="24"/>
          <w:lang w:val="en-US" w:eastAsia="zh-CN" w:bidi="ar-SA"/>
        </w:rPr>
        <w:fldChar w:fldCharType="separate"/>
      </w:r>
      <w:r>
        <w:rPr>
          <w:rStyle w:val="69"/>
          <w:rFonts w:hint="eastAsia" w:ascii="仿宋" w:hAnsi="仿宋" w:eastAsia="仿宋" w:cs="Times New Roman"/>
          <w:b/>
          <w:bCs/>
          <w:color w:val="000000"/>
          <w:kern w:val="2"/>
          <w:sz w:val="28"/>
          <w:szCs w:val="28"/>
          <w:lang w:val="en-US" w:eastAsia="zh-CN" w:bidi="ar-SA"/>
        </w:rPr>
        <w:t>http://zfcg.czt.zj.gov.cn/bidClientTemplate/2019-09-24/12975.html</w:t>
      </w:r>
      <w:r>
        <w:rPr>
          <w:rFonts w:hint="eastAsia" w:ascii="仿宋" w:hAnsi="仿宋" w:eastAsia="仿宋" w:cs="Times New Roman"/>
          <w:b/>
          <w:bCs/>
          <w:color w:val="000000"/>
          <w:kern w:val="2"/>
          <w:sz w:val="28"/>
          <w:szCs w:val="28"/>
          <w:lang w:val="en-US" w:eastAsia="zh-CN" w:bidi="ar-SA"/>
        </w:rPr>
        <w:fldChar w:fldCharType="end"/>
      </w:r>
      <w:r>
        <w:rPr>
          <w:rFonts w:hint="eastAsia" w:ascii="仿宋" w:hAnsi="仿宋" w:eastAsia="仿宋" w:cs="Times New Roman"/>
          <w:b/>
          <w:bCs/>
          <w:color w:val="000000"/>
          <w:kern w:val="2"/>
          <w:sz w:val="28"/>
          <w:szCs w:val="28"/>
          <w:lang w:val="en-US" w:eastAsia="zh-CN" w:bidi="ar-SA"/>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widowControl w:val="0"/>
        <w:snapToGrid w:val="0"/>
        <w:spacing w:before="50" w:after="120" w:afterLines="50" w:line="460" w:lineRule="exact"/>
        <w:ind w:firstLine="562"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widowControl w:val="0"/>
        <w:numPr>
          <w:ilvl w:val="0"/>
          <w:numId w:val="31"/>
        </w:numPr>
        <w:tabs>
          <w:tab w:val="left" w:pos="720"/>
          <w:tab w:val="clear" w:pos="360"/>
        </w:tabs>
        <w:snapToGrid w:val="0"/>
        <w:spacing w:before="120" w:beforeLines="50" w:after="120" w:line="460" w:lineRule="exact"/>
        <w:ind w:left="0"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（五）投标文件的有效期</w:t>
      </w:r>
    </w:p>
    <w:p>
      <w:pPr>
        <w:widowControl w:val="0"/>
        <w:numPr>
          <w:ilvl w:val="0"/>
          <w:numId w:val="31"/>
        </w:numPr>
        <w:tabs>
          <w:tab w:val="left" w:pos="720"/>
          <w:tab w:val="clear" w:pos="360"/>
        </w:tabs>
        <w:snapToGrid w:val="0"/>
        <w:spacing w:before="120" w:beforeLines="50" w:after="120" w:line="460" w:lineRule="exact"/>
        <w:ind w:left="0"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1.自投标截止日起90天内投标文件应保持有效。有效期不足的投标文件将作无效标处理。</w:t>
      </w:r>
    </w:p>
    <w:p>
      <w:pPr>
        <w:widowControl w:val="0"/>
        <w:numPr>
          <w:ilvl w:val="0"/>
          <w:numId w:val="31"/>
        </w:numPr>
        <w:tabs>
          <w:tab w:val="left" w:pos="720"/>
          <w:tab w:val="clear" w:pos="360"/>
        </w:tabs>
        <w:snapToGrid w:val="0"/>
        <w:spacing w:before="120" w:beforeLines="50" w:after="120" w:line="460" w:lineRule="exact"/>
        <w:ind w:left="0"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widowControl w:val="0"/>
        <w:adjustRightInd w:val="0"/>
        <w:snapToGrid w:val="0"/>
        <w:spacing w:before="120" w:beforeLines="50" w:after="120" w:afterLines="50" w:line="500" w:lineRule="exact"/>
        <w:ind w:firstLine="562" w:firstLineChars="200"/>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 xml:space="preserve">（1）储存形式：U盘、DVD </w:t>
      </w:r>
    </w:p>
    <w:p>
      <w:pPr>
        <w:widowControl w:val="0"/>
        <w:adjustRightInd w:val="0"/>
        <w:snapToGrid w:val="0"/>
        <w:spacing w:before="120" w:beforeLines="50" w:after="120" w:afterLines="50" w:line="500" w:lineRule="exact"/>
        <w:ind w:firstLine="557" w:firstLineChars="198"/>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widowControl w:val="0"/>
        <w:snapToGrid w:val="0"/>
        <w:spacing w:before="120" w:beforeLines="50" w:after="120" w:afterLines="50" w:line="460" w:lineRule="exact"/>
        <w:ind w:firstLine="560" w:firstLineChars="200"/>
        <w:jc w:val="left"/>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投标报价应包含项目所需全部产品、服务，不得缺漏，是履行合同的最终价格（含货款、标准附件、备品备件、专用工具、包装、运输、装卸、保险、税金、货到就位以及安装、调试、培训、保修等一切税金和费用）。</w:t>
      </w:r>
    </w:p>
    <w:p>
      <w:pPr>
        <w:widowControl w:val="0"/>
        <w:snapToGrid w:val="0"/>
        <w:spacing w:before="120" w:beforeLines="50" w:after="120" w:afterLines="50" w:line="460" w:lineRule="exact"/>
        <w:ind w:firstLine="560" w:firstLineChars="200"/>
        <w:jc w:val="left"/>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3.投标报价金额到元为止，如投标报价总价出现角、分，将被抹除。</w:t>
      </w:r>
    </w:p>
    <w:p>
      <w:pPr>
        <w:widowControl w:val="0"/>
        <w:snapToGrid w:val="0"/>
        <w:spacing w:before="120" w:beforeLines="50" w:after="120" w:afterLines="50" w:line="460" w:lineRule="exact"/>
        <w:ind w:firstLine="560" w:firstLineChars="200"/>
        <w:jc w:val="left"/>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4.资格文件、技术商务文件中不得出现投标报价信息，否则按无效标处理。</w:t>
      </w:r>
    </w:p>
    <w:p>
      <w:pPr>
        <w:widowControl w:val="0"/>
        <w:snapToGrid w:val="0"/>
        <w:spacing w:before="120" w:beforeLines="50" w:after="120" w:afterLines="50" w:line="460" w:lineRule="exact"/>
        <w:ind w:firstLine="560" w:firstLineChars="200"/>
        <w:jc w:val="left"/>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widowControl w:val="0"/>
        <w:snapToGrid w:val="0"/>
        <w:spacing w:beforeLines="0" w:after="120" w:afterLines="50" w:line="460" w:lineRule="exact"/>
        <w:ind w:left="759" w:leftChars="228" w:hanging="280" w:hangingChars="1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widowControl w:val="0"/>
        <w:adjustRightInd w:val="0"/>
        <w:snapToGrid w:val="0"/>
        <w:spacing w:before="120" w:beforeLines="50" w:after="120" w:afterLines="50" w:line="500" w:lineRule="exact"/>
        <w:ind w:firstLine="565" w:firstLineChars="201"/>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widowControl w:val="0"/>
        <w:snapToGrid w:val="0"/>
        <w:spacing w:before="240" w:beforeLines="100" w:after="240" w:afterLines="100" w:line="360" w:lineRule="auto"/>
        <w:jc w:val="center"/>
        <w:rPr>
          <w:rFonts w:ascii="仿宋" w:hAnsi="仿宋" w:eastAsia="仿宋" w:cs="Times New Roman"/>
          <w:b/>
          <w:color w:val="000000"/>
          <w:kern w:val="2"/>
          <w:sz w:val="30"/>
          <w:szCs w:val="30"/>
          <w:lang w:val="en-US" w:eastAsia="zh-CN" w:bidi="ar-SA"/>
        </w:rPr>
      </w:pPr>
      <w:r>
        <w:rPr>
          <w:rFonts w:hint="eastAsia" w:ascii="仿宋" w:hAnsi="仿宋" w:eastAsia="仿宋" w:cs="Times New Roman"/>
          <w:b/>
          <w:color w:val="000000"/>
          <w:kern w:val="2"/>
          <w:sz w:val="30"/>
          <w:szCs w:val="30"/>
          <w:lang w:val="en-US" w:eastAsia="zh-CN" w:bidi="ar-SA"/>
        </w:rPr>
        <w:t>三、开、评标程序及评标委员会的评审程序</w:t>
      </w:r>
    </w:p>
    <w:p>
      <w:pPr>
        <w:widowControl w:val="0"/>
        <w:snapToGrid w:val="0"/>
        <w:spacing w:before="120" w:beforeLines="50" w:after="120" w:afterLines="50" w:line="460" w:lineRule="exact"/>
        <w:ind w:firstLine="551" w:firstLineChars="196"/>
        <w:jc w:val="both"/>
        <w:rPr>
          <w:rFonts w:ascii="仿宋" w:hAnsi="仿宋" w:eastAsia="仿宋" w:cs="Times New Roman"/>
          <w:b/>
          <w:color w:val="000000"/>
          <w:kern w:val="2"/>
          <w:sz w:val="28"/>
          <w:szCs w:val="28"/>
          <w:lang w:val="en-US" w:eastAsia="zh-CN" w:bidi="ar-SA"/>
        </w:rPr>
      </w:pPr>
      <w:r>
        <w:rPr>
          <w:rFonts w:hint="eastAsia" w:ascii="仿宋" w:hAnsi="仿宋" w:eastAsia="仿宋" w:cs="Times New Roman"/>
          <w:b/>
          <w:color w:val="000000"/>
          <w:kern w:val="2"/>
          <w:sz w:val="28"/>
          <w:szCs w:val="28"/>
          <w:lang w:val="en-US" w:eastAsia="zh-CN" w:bidi="ar-SA"/>
        </w:rPr>
        <w:t>（一）组织开标</w:t>
      </w:r>
    </w:p>
    <w:p>
      <w:pPr>
        <w:widowControl w:val="0"/>
        <w:snapToGrid w:val="0"/>
        <w:spacing w:before="120" w:beforeLines="50" w:after="120" w:afterLines="50" w:line="460" w:lineRule="exact"/>
        <w:ind w:firstLine="560" w:firstLineChars="200"/>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招标方将按照招标文件规定的时间、地点和程序组织开标，各投标人授权代表及相关人员</w:t>
      </w:r>
      <w:r>
        <w:rPr>
          <w:rFonts w:hint="eastAsia" w:ascii="仿宋" w:hAnsi="仿宋" w:eastAsia="仿宋" w:cs="Times New Roman"/>
          <w:b/>
          <w:bCs/>
          <w:color w:val="000000"/>
          <w:kern w:val="2"/>
          <w:sz w:val="28"/>
          <w:szCs w:val="28"/>
          <w:lang w:val="en-US" w:eastAsia="zh-CN" w:bidi="ar-SA"/>
        </w:rPr>
        <w:t>均应当准时在线参加</w:t>
      </w:r>
      <w:r>
        <w:rPr>
          <w:rFonts w:hint="eastAsia" w:ascii="仿宋" w:hAnsi="仿宋" w:eastAsia="仿宋" w:cs="Times New Roman"/>
          <w:bCs/>
          <w:color w:val="000000"/>
          <w:kern w:val="2"/>
          <w:sz w:val="28"/>
          <w:szCs w:val="28"/>
          <w:lang w:val="en-US" w:eastAsia="zh-CN" w:bidi="ar-SA"/>
        </w:rPr>
        <w:t>，无关人员不得进入开标现场。</w:t>
      </w:r>
      <w:r>
        <w:rPr>
          <w:rFonts w:hint="eastAsia" w:ascii="仿宋" w:hAnsi="仿宋" w:eastAsia="仿宋" w:cs="Times New Roman"/>
          <w:b/>
          <w:bCs/>
          <w:color w:val="000000"/>
          <w:kern w:val="2"/>
          <w:sz w:val="28"/>
          <w:szCs w:val="28"/>
          <w:lang w:val="en-US" w:eastAsia="zh-CN" w:bidi="ar-SA"/>
        </w:rPr>
        <w:t>投标人如未准时在线参加的</w:t>
      </w:r>
      <w:r>
        <w:rPr>
          <w:rFonts w:hint="eastAsia" w:ascii="仿宋" w:hAnsi="仿宋" w:eastAsia="仿宋" w:cs="Times New Roman"/>
          <w:bCs/>
          <w:color w:val="000000"/>
          <w:kern w:val="2"/>
          <w:sz w:val="28"/>
          <w:szCs w:val="28"/>
          <w:lang w:val="en-US" w:eastAsia="zh-CN" w:bidi="ar-SA"/>
        </w:rPr>
        <w:t>，事后不得对采购相关人员、开标过程和开标结果提出异议。</w:t>
      </w:r>
    </w:p>
    <w:p>
      <w:pPr>
        <w:widowControl w:val="0"/>
        <w:snapToGrid w:val="0"/>
        <w:spacing w:before="120" w:beforeLines="50" w:after="120" w:afterLines="50" w:line="460" w:lineRule="exact"/>
        <w:ind w:firstLine="562" w:firstLineChars="200"/>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1. 落实工作场地、设施，检查录音录像采集设备运行情况，验证电子交易平台是否能正常登录，并开启直播（如直播信号出现问题，不影响项目开标程序）。</w:t>
      </w:r>
    </w:p>
    <w:p>
      <w:pPr>
        <w:widowControl w:val="0"/>
        <w:snapToGrid w:val="0"/>
        <w:spacing w:before="120" w:beforeLines="50" w:after="120" w:afterLines="50" w:line="460" w:lineRule="exact"/>
        <w:ind w:firstLine="562" w:firstLineChars="200"/>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widowControl w:val="0"/>
        <w:snapToGrid w:val="0"/>
        <w:spacing w:before="120" w:beforeLines="50" w:after="120" w:afterLines="50" w:line="460" w:lineRule="exact"/>
        <w:ind w:firstLine="551" w:firstLineChars="196"/>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widowControl w:val="0"/>
        <w:snapToGrid w:val="0"/>
        <w:spacing w:before="120" w:beforeLines="50" w:after="120" w:afterLines="50" w:line="460" w:lineRule="exact"/>
        <w:ind w:firstLine="562" w:firstLineChars="200"/>
        <w:jc w:val="both"/>
        <w:rPr>
          <w:rFonts w:ascii="仿宋" w:hAnsi="仿宋" w:eastAsia="仿宋" w:cs="Times New Roman"/>
          <w:b/>
          <w:color w:val="000000"/>
          <w:kern w:val="2"/>
          <w:sz w:val="28"/>
          <w:szCs w:val="28"/>
          <w:lang w:val="en-US" w:eastAsia="zh-CN" w:bidi="ar-SA"/>
        </w:rPr>
      </w:pPr>
      <w:r>
        <w:rPr>
          <w:rFonts w:hint="eastAsia" w:ascii="仿宋" w:hAnsi="仿宋" w:eastAsia="仿宋" w:cs="Times New Roman"/>
          <w:b/>
          <w:color w:val="000000"/>
          <w:kern w:val="2"/>
          <w:sz w:val="28"/>
          <w:szCs w:val="28"/>
          <w:lang w:val="en-US" w:eastAsia="zh-CN" w:bidi="ar-SA"/>
        </w:rPr>
        <w:t>（二）组织评标程序</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招标方将按照招标文件规定的时间、地点和程序组织评标，各评审专家及相关人员应参加评审活动并接受核验、签到，无关人员不得进入评审现场。</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1、开启开标场地录音录像采集设备，并确保正常运行。</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2、按规定统一收缴、保存评标现场相关人员通讯工具。</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3、介绍评审现场的人员情况，宣布评审工作纪律，告知评审人员应当回避情形；组织推选评标委员会组长。</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4、宣读提交投标文件的供应商名单，组织评标委员会各位成员签订纸质形式的《政府采购评审人员廉洁自律承诺书》。</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5、采购人可以在评标前说明项目背景和采购需求，说明内容不得含有歧视性、倾向性意见，不得超出招标文件所述范围。说明应当提交书面材料，并随采购文件一并存档。</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7、采购人代表对投标人资格文件进行审查并</w:t>
      </w:r>
      <w:r>
        <w:rPr>
          <w:rFonts w:hint="eastAsia" w:ascii="仿宋" w:hAnsi="仿宋" w:eastAsia="仿宋" w:cs="Times New Roman"/>
          <w:color w:val="000000"/>
          <w:kern w:val="2"/>
          <w:sz w:val="28"/>
          <w:szCs w:val="28"/>
          <w:lang w:val="en-US" w:eastAsia="zh-CN" w:bidi="ar-SA"/>
        </w:rPr>
        <w:t>以开标当日为准</w:t>
      </w:r>
      <w:r>
        <w:rPr>
          <w:rFonts w:hint="eastAsia" w:ascii="仿宋" w:hAnsi="仿宋" w:eastAsia="仿宋" w:cs="Times New Roman"/>
          <w:bCs/>
          <w:color w:val="000000"/>
          <w:kern w:val="2"/>
          <w:sz w:val="28"/>
          <w:szCs w:val="28"/>
          <w:lang w:val="en-US" w:eastAsia="zh-CN" w:bidi="ar-SA"/>
        </w:rPr>
        <w:t>对投标人“信用中国”网站（www.creditchina.gov.cn）、中国政府采购网（www.ccgp.gov.cn）信用记录情况进行核实，资格不符合的，应组织相关投标人代表进行陈述、澄清或申辩。</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9、做好评审现场相关记录，协助评标委员会组长做好评审报告起草、有关内容电脑文字录入等工作，并要求评标委员会各成员签字确认。</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10、评审结束后，招标方应对评标委员会各成员的专业水平、职业道德、遵纪守法等情况进行评价；同时按规定向评审专家发放评审费，并交还评审人员及其他现场相关人员的通讯工具。</w:t>
      </w:r>
    </w:p>
    <w:p>
      <w:pPr>
        <w:widowControl w:val="0"/>
        <w:snapToGrid w:val="0"/>
        <w:spacing w:before="120" w:beforeLines="50" w:after="120" w:afterLines="50" w:line="460" w:lineRule="exact"/>
        <w:ind w:firstLine="551"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11、招标方将在《中标公告》中，公开评标委员会对每个投标人的《评分明细》以及《得分汇总表》情况。</w:t>
      </w:r>
      <w:r>
        <w:rPr>
          <w:rFonts w:ascii="Calibri" w:hAnsi="Calibri" w:eastAsia="仿宋" w:cs="Calibri"/>
          <w:b/>
          <w:bCs/>
          <w:color w:val="000000"/>
          <w:kern w:val="2"/>
          <w:sz w:val="28"/>
          <w:szCs w:val="28"/>
          <w:lang w:val="en-US" w:eastAsia="zh-CN" w:bidi="ar-SA"/>
        </w:rPr>
        <w:t> </w:t>
      </w:r>
      <w:r>
        <w:rPr>
          <w:rFonts w:hint="eastAsia" w:ascii="仿宋" w:hAnsi="仿宋" w:eastAsia="仿宋" w:cs="Times New Roman"/>
          <w:b/>
          <w:bCs/>
          <w:color w:val="000000"/>
          <w:kern w:val="2"/>
          <w:sz w:val="28"/>
          <w:szCs w:val="28"/>
          <w:lang w:val="en-US" w:eastAsia="zh-CN" w:bidi="ar-SA"/>
        </w:rPr>
        <w:tab/>
      </w:r>
    </w:p>
    <w:p>
      <w:pPr>
        <w:widowControl w:val="0"/>
        <w:snapToGrid w:val="0"/>
        <w:spacing w:before="120" w:beforeLines="50" w:after="120" w:afterLines="50" w:line="460" w:lineRule="exact"/>
        <w:ind w:firstLine="562" w:firstLineChars="200"/>
        <w:jc w:val="both"/>
        <w:rPr>
          <w:rFonts w:ascii="仿宋" w:hAnsi="仿宋" w:eastAsia="仿宋" w:cs="Times New Roman"/>
          <w:b/>
          <w:color w:val="000000"/>
          <w:kern w:val="2"/>
          <w:sz w:val="28"/>
          <w:szCs w:val="28"/>
          <w:lang w:val="en-US" w:eastAsia="zh-CN" w:bidi="ar-SA"/>
        </w:rPr>
      </w:pPr>
      <w:r>
        <w:rPr>
          <w:rFonts w:hint="eastAsia" w:ascii="仿宋" w:hAnsi="仿宋" w:eastAsia="仿宋" w:cs="Times New Roman"/>
          <w:b/>
          <w:color w:val="000000"/>
          <w:kern w:val="2"/>
          <w:sz w:val="28"/>
          <w:szCs w:val="28"/>
          <w:lang w:val="en-US" w:eastAsia="zh-CN" w:bidi="ar-SA"/>
        </w:rPr>
        <w:t>（三）评审程序</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1、在评审专家中推选评标委员会组长。</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3、评审人员对各投标人投标文件的有效性、符合性、完整性和响应程度进行审查，确定是否对招标文件作出实质性响应。</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4、评审人员按招标文件规定的评审方法和评审标准，依法独立对投标人投标文件进行评估、比较，并给予评价或打分，不受任何单位和个人的干预。</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 xml:space="preserve">7、评标委员会根据评审汇总情况和招标文件规定确定中标候选供应商排序名单。 </w:t>
      </w:r>
    </w:p>
    <w:p>
      <w:pPr>
        <w:widowControl w:val="0"/>
        <w:snapToGrid w:val="0"/>
        <w:spacing w:before="120" w:beforeLines="50" w:after="120" w:afterLines="50" w:line="460" w:lineRule="exact"/>
        <w:ind w:firstLine="548" w:firstLineChars="196"/>
        <w:jc w:val="both"/>
        <w:rPr>
          <w:rFonts w:ascii="仿宋" w:hAnsi="仿宋" w:eastAsia="仿宋" w:cs="Times New Roman"/>
          <w:bCs/>
          <w:color w:val="000000"/>
          <w:kern w:val="2"/>
          <w:sz w:val="28"/>
          <w:szCs w:val="28"/>
          <w:lang w:val="en-US" w:eastAsia="zh-CN" w:bidi="ar-SA"/>
        </w:rPr>
      </w:pPr>
      <w:r>
        <w:rPr>
          <w:rFonts w:hint="eastAsia" w:ascii="仿宋" w:hAnsi="仿宋" w:eastAsia="仿宋" w:cs="Times New Roman"/>
          <w:bCs/>
          <w:color w:val="000000"/>
          <w:kern w:val="2"/>
          <w:sz w:val="28"/>
          <w:szCs w:val="28"/>
          <w:lang w:val="en-US" w:eastAsia="zh-CN" w:bidi="ar-SA"/>
        </w:rPr>
        <w:t>8、起草评审报告，所有评审人员须在评审报告上签字确认。</w:t>
      </w:r>
    </w:p>
    <w:p>
      <w:pPr>
        <w:widowControl w:val="0"/>
        <w:snapToGrid w:val="0"/>
        <w:spacing w:before="240" w:beforeLines="100" w:after="240" w:afterLines="100" w:line="360" w:lineRule="auto"/>
        <w:jc w:val="center"/>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四、评审原则</w:t>
      </w:r>
    </w:p>
    <w:p>
      <w:pPr>
        <w:widowControl w:val="0"/>
        <w:snapToGrid w:val="0"/>
        <w:spacing w:before="120" w:beforeLines="50" w:after="120" w:afterLines="50" w:line="460" w:lineRule="exact"/>
        <w:ind w:firstLine="562" w:firstLineChars="200"/>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1.评标委员会必须公平、公正、客观，不带任何倾向性和启发性；不得向外界透露任何与评标有关的内容；任何单位和个人不得干扰、影响评标的正常进行；评标委员会及有关工作人员不得私下与投标人接触。</w:t>
      </w:r>
    </w:p>
    <w:p>
      <w:pPr>
        <w:widowControl w:val="0"/>
        <w:snapToGrid w:val="0"/>
        <w:spacing w:before="120" w:beforeLines="50" w:after="120" w:afterLines="50" w:line="460" w:lineRule="exact"/>
        <w:ind w:firstLine="551" w:firstLineChars="196"/>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widowControl w:val="0"/>
        <w:snapToGrid w:val="0"/>
        <w:spacing w:before="120" w:beforeLines="50" w:after="120" w:afterLines="50" w:line="460" w:lineRule="exact"/>
        <w:ind w:firstLine="551" w:firstLineChars="196"/>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widowControl w:val="0"/>
        <w:snapToGrid w:val="0"/>
        <w:spacing w:before="120" w:beforeLines="50" w:after="120" w:afterLines="50" w:line="460" w:lineRule="exact"/>
        <w:ind w:firstLine="551" w:firstLineChars="196"/>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val="0"/>
        <w:snapToGrid w:val="0"/>
        <w:spacing w:before="120" w:beforeLines="50" w:after="120" w:afterLines="50" w:line="460" w:lineRule="exact"/>
        <w:ind w:firstLine="551" w:firstLineChars="196"/>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非单一产品采购项目，采购人应当根据采购项目技术构成、产品价格比重等合理确定核心产品，并在招标文件中载明。多家投标人提供的核心产品品牌相同的，按前款规定处理。</w:t>
      </w:r>
    </w:p>
    <w:p>
      <w:pPr>
        <w:widowControl w:val="0"/>
        <w:snapToGrid w:val="0"/>
        <w:spacing w:before="120" w:beforeLines="50" w:after="120" w:afterLines="50" w:line="460" w:lineRule="exact"/>
        <w:ind w:firstLine="551" w:firstLineChars="196"/>
        <w:jc w:val="both"/>
        <w:rPr>
          <w:rFonts w:ascii="仿宋" w:hAnsi="仿宋" w:eastAsia="仿宋" w:cs="Times New Roman"/>
          <w:b/>
          <w:bCs/>
          <w:color w:val="000000"/>
          <w:kern w:val="2"/>
          <w:sz w:val="28"/>
          <w:szCs w:val="28"/>
          <w:lang w:val="en-US" w:eastAsia="zh-CN" w:bidi="ar-SA"/>
        </w:rPr>
      </w:pPr>
      <w:r>
        <w:rPr>
          <w:rFonts w:hint="eastAsia" w:ascii="仿宋" w:hAnsi="仿宋" w:eastAsia="仿宋" w:cs="Times New Roman"/>
          <w:b/>
          <w:bCs/>
          <w:color w:val="000000"/>
          <w:kern w:val="2"/>
          <w:sz w:val="28"/>
          <w:szCs w:val="28"/>
          <w:lang w:val="en-US" w:eastAsia="zh-CN" w:bidi="ar-SA"/>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snapToGrid w:val="0"/>
        <w:spacing w:before="240" w:beforeLines="100" w:after="240" w:afterLines="100" w:line="360" w:lineRule="auto"/>
        <w:jc w:val="center"/>
        <w:rPr>
          <w:rFonts w:ascii="仿宋" w:hAnsi="仿宋" w:eastAsia="仿宋" w:cs="Times New Roman"/>
          <w:b/>
          <w:color w:val="000000"/>
          <w:kern w:val="2"/>
          <w:sz w:val="30"/>
          <w:szCs w:val="30"/>
          <w:lang w:val="en-US" w:eastAsia="zh-CN" w:bidi="ar-SA"/>
        </w:rPr>
      </w:pPr>
      <w:r>
        <w:rPr>
          <w:rFonts w:hint="eastAsia" w:ascii="仿宋" w:hAnsi="仿宋" w:eastAsia="仿宋" w:cs="Times New Roman"/>
          <w:b/>
          <w:color w:val="000000"/>
          <w:kern w:val="2"/>
          <w:sz w:val="30"/>
          <w:szCs w:val="30"/>
          <w:lang w:val="en-US" w:eastAsia="zh-CN" w:bidi="ar-SA"/>
        </w:rPr>
        <w:t>五、确定中标供应商的原则</w:t>
      </w:r>
    </w:p>
    <w:p>
      <w:pPr>
        <w:widowControl w:val="0"/>
        <w:snapToGrid w:val="0"/>
        <w:spacing w:before="120" w:beforeLines="50" w:after="120" w:afterLines="50" w:line="460" w:lineRule="exact"/>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 xml:space="preserve"> 1.项目由评标委员会根据第三章《评标办法与评分标准》规定提出中标候选人排序。</w:t>
      </w:r>
    </w:p>
    <w:p>
      <w:pPr>
        <w:widowControl w:val="0"/>
        <w:snapToGrid w:val="0"/>
        <w:spacing w:before="120" w:beforeLines="50" w:after="120" w:afterLines="50" w:line="460" w:lineRule="exact"/>
        <w:ind w:firstLine="560" w:firstLineChars="200"/>
        <w:jc w:val="both"/>
        <w:rPr>
          <w:rFonts w:ascii="仿宋" w:hAnsi="仿宋" w:eastAsia="仿宋"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 xml:space="preserve"> </w:t>
      </w:r>
      <w:r>
        <w:rPr>
          <w:rFonts w:hint="eastAsia" w:ascii="仿宋" w:hAnsi="仿宋" w:eastAsia="仿宋" w:cs="Times New Roman"/>
          <w:color w:val="000000"/>
          <w:kern w:val="2"/>
          <w:sz w:val="28"/>
          <w:szCs w:val="28"/>
          <w:lang w:val="en-US" w:eastAsia="zh-CN" w:bidi="ar-SA"/>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widowControl w:val="0"/>
        <w:snapToGrid w:val="0"/>
        <w:spacing w:before="120" w:beforeLines="50" w:after="120" w:afterLines="50" w:line="460" w:lineRule="exact"/>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kern w:val="2"/>
          <w:sz w:val="28"/>
          <w:szCs w:val="28"/>
          <w:lang w:val="en-US" w:eastAsia="zh-CN" w:bidi="ar-SA"/>
        </w:rPr>
        <w:t>。</w:t>
      </w:r>
    </w:p>
    <w:p>
      <w:pPr>
        <w:widowControl w:val="0"/>
        <w:snapToGrid w:val="0"/>
        <w:spacing w:before="240" w:beforeLines="100" w:after="240" w:afterLines="100" w:line="360" w:lineRule="auto"/>
        <w:jc w:val="center"/>
        <w:rPr>
          <w:rFonts w:ascii="仿宋" w:hAnsi="仿宋" w:eastAsia="仿宋" w:cs="Times New Roman"/>
          <w:b/>
          <w:color w:val="000000"/>
          <w:kern w:val="2"/>
          <w:sz w:val="30"/>
          <w:szCs w:val="30"/>
          <w:lang w:val="en-US" w:eastAsia="zh-CN" w:bidi="ar-SA"/>
        </w:rPr>
      </w:pPr>
      <w:r>
        <w:rPr>
          <w:rFonts w:hint="eastAsia" w:ascii="仿宋" w:hAnsi="仿宋" w:eastAsia="仿宋" w:cs="Times New Roman"/>
          <w:b/>
          <w:color w:val="000000"/>
          <w:kern w:val="2"/>
          <w:sz w:val="30"/>
          <w:szCs w:val="30"/>
          <w:lang w:val="en-US" w:eastAsia="zh-CN" w:bidi="ar-SA"/>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val="0"/>
        <w:snapToGrid w:val="0"/>
        <w:spacing w:before="120" w:beforeLines="50" w:after="120" w:afterLines="50" w:line="460" w:lineRule="exact"/>
        <w:ind w:firstLine="551" w:firstLineChars="196"/>
        <w:jc w:val="both"/>
        <w:rPr>
          <w:rFonts w:ascii="仿宋" w:hAnsi="仿宋" w:eastAsia="仿宋" w:cs="Times New Roman"/>
          <w:b/>
          <w:color w:val="000000"/>
          <w:kern w:val="2"/>
          <w:sz w:val="28"/>
          <w:szCs w:val="28"/>
          <w:lang w:val="en-US" w:eastAsia="zh-CN" w:bidi="ar-SA"/>
        </w:rPr>
      </w:pPr>
      <w:r>
        <w:rPr>
          <w:rFonts w:hint="eastAsia" w:ascii="仿宋" w:hAnsi="仿宋" w:eastAsia="仿宋" w:cs="Times New Roman"/>
          <w:b/>
          <w:color w:val="000000"/>
          <w:kern w:val="2"/>
          <w:sz w:val="28"/>
          <w:szCs w:val="28"/>
          <w:lang w:val="en-US" w:eastAsia="zh-CN" w:bidi="ar-SA"/>
        </w:rPr>
        <w:t>（二）履约保证金</w:t>
      </w:r>
    </w:p>
    <w:p>
      <w:pPr>
        <w:widowControl w:val="0"/>
        <w:snapToGrid w:val="0"/>
        <w:spacing w:before="240" w:beforeLines="100" w:after="240" w:afterLines="10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widowControl w:val="0"/>
        <w:snapToGrid w:val="0"/>
        <w:spacing w:before="120" w:beforeLines="50" w:after="120" w:afterLines="50" w:line="460" w:lineRule="exact"/>
        <w:ind w:firstLine="554" w:firstLineChars="198"/>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2.按合同约定办理履约保证金退还手续。</w:t>
      </w:r>
    </w:p>
    <w:p>
      <w:pPr>
        <w:widowControl w:val="0"/>
        <w:snapToGrid w:val="0"/>
        <w:spacing w:before="240" w:beforeLines="100" w:after="240" w:afterLines="100" w:line="360" w:lineRule="auto"/>
        <w:jc w:val="center"/>
        <w:rPr>
          <w:rFonts w:ascii="仿宋" w:hAnsi="仿宋" w:eastAsia="仿宋" w:cs="Times New Roman"/>
          <w:b/>
          <w:color w:val="000000"/>
          <w:kern w:val="2"/>
          <w:sz w:val="30"/>
          <w:szCs w:val="30"/>
          <w:lang w:val="en-US" w:eastAsia="zh-CN" w:bidi="ar-SA"/>
        </w:rPr>
      </w:pPr>
      <w:r>
        <w:rPr>
          <w:rFonts w:hint="eastAsia" w:ascii="仿宋" w:hAnsi="仿宋" w:eastAsia="仿宋" w:cs="Times New Roman"/>
          <w:b/>
          <w:color w:val="000000"/>
          <w:kern w:val="2"/>
          <w:sz w:val="30"/>
          <w:szCs w:val="30"/>
          <w:lang w:val="en-US" w:eastAsia="zh-CN" w:bidi="ar-SA"/>
        </w:rPr>
        <w:t>七、货款的结算</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货款由采购人按采购文件规定的付款方式自行支付。纳入国库集中支付的，按照国库集中支付有关规定付款。</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资金支付进度：采购人对于满足合同约定支付条件的，自收到发票后7个工作日内将资金支付到合同约定的供应商账户。迟延支付中小企业款项的，供应商可要求采购人支付逾期利息。</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s="Times New Roman"/>
          <w:color w:val="000000"/>
          <w:kern w:val="2"/>
          <w:sz w:val="28"/>
          <w:szCs w:val="28"/>
          <w:lang w:val="en-US" w:eastAsia="zh-CN" w:bidi="ar-SA"/>
        </w:rPr>
        <w:t>浙江省财政厅关于进一步加大政府采购支持中小企业力度助力扎实稳住经济的通知</w:t>
      </w:r>
      <w:r>
        <w:rPr>
          <w:rFonts w:hint="eastAsia" w:ascii="仿宋" w:hAnsi="仿宋" w:eastAsia="仿宋" w:cs="Times New Roman"/>
          <w:color w:val="000000"/>
          <w:kern w:val="2"/>
          <w:sz w:val="28"/>
          <w:szCs w:val="28"/>
          <w:lang w:val="en-US" w:eastAsia="zh-CN" w:bidi="ar-SA"/>
        </w:rPr>
        <w:t>》等相关规范，对预付款支付要求如下：</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1.对中小企业合同预付款比例原则上不低于合同金额的40％，不高于合同金额的70%；</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2.项目分年安排预算的，每年预付款比例不低于项目年度计划支付资金额的40％，不高于年度计划支付资金额的70%；</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3.采购项目实施以人工投入为主的，可适当降低预付款比例，但不得低于20%。</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4.对供应商为大型企业的项目或者以人工投入为主且实行按月定期结算支付款项的项目，预付款可低于上述比例或者不约定预付款。</w:t>
      </w:r>
    </w:p>
    <w:p>
      <w:pPr>
        <w:widowControl w:val="0"/>
        <w:snapToGrid w:val="0"/>
        <w:spacing w:before="120" w:beforeLines="50" w:after="120" w:afterLines="50" w:line="360" w:lineRule="auto"/>
        <w:ind w:firstLine="560" w:firstLineChars="200"/>
        <w:jc w:val="both"/>
        <w:rPr>
          <w:rFonts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备注：在签订合同时，供应商明确表示无需预付款或者主动要求降低预付款比例的，采购单位可不适用前述预付款比例的规定。</w:t>
      </w:r>
    </w:p>
    <w:p>
      <w:pPr>
        <w:widowControl w:val="0"/>
        <w:spacing w:before="120" w:beforeLines="50" w:after="120" w:afterLines="50" w:line="360" w:lineRule="auto"/>
        <w:jc w:val="center"/>
        <w:outlineLvl w:val="0"/>
        <w:rPr>
          <w:rFonts w:ascii="宋体" w:hAnsi="宋体" w:eastAsia="宋体" w:cs="Times New Roman"/>
          <w:b/>
          <w:color w:val="000000"/>
          <w:kern w:val="2"/>
          <w:sz w:val="36"/>
          <w:szCs w:val="36"/>
          <w:lang w:val="en-US" w:eastAsia="zh-CN" w:bidi="ar-SA"/>
        </w:rPr>
      </w:pPr>
      <w:r>
        <w:rPr>
          <w:rFonts w:hint="eastAsia" w:ascii="宋体" w:hAnsi="宋体" w:eastAsia="宋体" w:cs="Times New Roman"/>
          <w:b/>
          <w:color w:val="000000"/>
          <w:kern w:val="0"/>
          <w:sz w:val="36"/>
          <w:szCs w:val="36"/>
          <w:lang w:val="en-US" w:eastAsia="zh-CN" w:bidi="ar-SA"/>
        </w:rPr>
        <w:br w:type="page"/>
      </w:r>
      <w:bookmarkStart w:id="26" w:name="_Toc496796637"/>
      <w:bookmarkStart w:id="27" w:name="_Toc2834"/>
      <w:r>
        <w:rPr>
          <w:rFonts w:hint="eastAsia" w:ascii="宋体" w:hAnsi="宋体" w:eastAsia="宋体" w:cs="Times New Roman"/>
          <w:b/>
          <w:color w:val="000000"/>
          <w:kern w:val="2"/>
          <w:sz w:val="36"/>
          <w:szCs w:val="36"/>
          <w:lang w:val="en-US" w:eastAsia="zh-CN" w:bidi="ar-SA"/>
        </w:rPr>
        <w:t>第三章</w:t>
      </w:r>
      <w:bookmarkStart w:id="28" w:name="评标办法及评分标准"/>
      <w:r>
        <w:rPr>
          <w:rFonts w:hint="eastAsia" w:ascii="宋体" w:hAnsi="宋体" w:eastAsia="宋体" w:cs="Times New Roman"/>
          <w:b/>
          <w:color w:val="000000"/>
          <w:kern w:val="2"/>
          <w:sz w:val="36"/>
          <w:szCs w:val="36"/>
          <w:lang w:val="en-US" w:eastAsia="zh-CN" w:bidi="ar-SA"/>
        </w:rPr>
        <w:t xml:space="preserve">   评标办法及评分标准</w:t>
      </w:r>
      <w:bookmarkEnd w:id="26"/>
      <w:bookmarkEnd w:id="27"/>
      <w:bookmarkEnd w:id="28"/>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color w:val="000000"/>
          <w:sz w:val="30"/>
          <w:szCs w:val="30"/>
        </w:rPr>
      </w:pPr>
    </w:p>
    <w:p>
      <w:pPr>
        <w:spacing w:before="120" w:beforeLines="50" w:after="120"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20" w:beforeLines="50" w:after="120" w:afterLines="50" w:line="460" w:lineRule="exact"/>
        <w:rPr>
          <w:rFonts w:ascii="仿宋" w:hAnsi="仿宋"/>
          <w:bCs/>
          <w:color w:val="000000"/>
          <w:sz w:val="30"/>
          <w:szCs w:val="30"/>
        </w:rPr>
      </w:pPr>
    </w:p>
    <w:p>
      <w:pPr>
        <w:widowControl/>
        <w:jc w:val="left"/>
        <w:rPr>
          <w:rFonts w:ascii="仿宋" w:hAnsi="仿宋" w:eastAsia="仿宋_GB2312"/>
          <w:b/>
          <w:sz w:val="30"/>
          <w:szCs w:val="30"/>
        </w:rPr>
      </w:pPr>
      <w:r>
        <w:rPr>
          <w:rFonts w:hint="eastAsia" w:ascii="仿宋" w:hAnsi="仿宋" w:eastAsia="仿宋_GB2312"/>
          <w:bCs/>
          <w:color w:val="000000"/>
          <w:kern w:val="0"/>
          <w:sz w:val="30"/>
          <w:szCs w:val="30"/>
        </w:rPr>
        <w:br w:type="page"/>
      </w:r>
      <w:bookmarkStart w:id="29" w:name="_Toc496796638"/>
      <w:r>
        <w:rPr>
          <w:rFonts w:hint="eastAsia" w:ascii="仿宋" w:hAnsi="仿宋" w:eastAsia="仿宋_GB2312"/>
          <w:b/>
          <w:sz w:val="32"/>
          <w:szCs w:val="32"/>
        </w:rPr>
        <w:t>三、评标内容及标</w:t>
      </w:r>
      <w:r>
        <w:rPr>
          <w:rFonts w:hint="eastAsia" w:ascii="仿宋" w:hAnsi="仿宋" w:eastAsia="仿宋_GB2312"/>
          <w:b/>
          <w:sz w:val="30"/>
          <w:szCs w:val="30"/>
        </w:rPr>
        <w:t>准</w:t>
      </w:r>
    </w:p>
    <w:p>
      <w:pPr>
        <w:spacing w:before="120" w:beforeLines="50" w:after="120" w:afterLines="50" w:line="320" w:lineRule="exact"/>
        <w:rPr>
          <w:rFonts w:ascii="仿宋_GB2312" w:hAnsi="宋体" w:eastAsia="仿宋_GB2312"/>
          <w:b/>
          <w:sz w:val="32"/>
          <w:szCs w:val="32"/>
        </w:rPr>
      </w:pPr>
      <w:r>
        <w:rPr>
          <w:rFonts w:hint="eastAsia" w:ascii="仿宋" w:hAnsi="仿宋" w:eastAsia="仿宋_GB2312"/>
          <w:b/>
          <w:sz w:val="30"/>
          <w:szCs w:val="30"/>
        </w:rPr>
        <w:t>标项1至标项5：</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45"/>
        <w:gridCol w:w="5715"/>
        <w:gridCol w:w="79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评分类型</w:t>
            </w:r>
          </w:p>
        </w:tc>
        <w:tc>
          <w:tcPr>
            <w:tcW w:w="571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评分标准</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分值</w:t>
            </w:r>
          </w:p>
        </w:tc>
        <w:tc>
          <w:tcPr>
            <w:tcW w:w="1191"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hint="eastAsia" w:ascii="Times New Roman" w:hAnsi="Times New Roman" w:eastAsia="仿宋_GB2312"/>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报价</w:t>
            </w:r>
          </w:p>
        </w:tc>
        <w:tc>
          <w:tcPr>
            <w:tcW w:w="5715" w:type="dxa"/>
            <w:noWrap w:val="0"/>
            <w:vAlign w:val="top"/>
          </w:tcPr>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(最低报价/投标报价)*最大分值</w:t>
            </w:r>
            <w:r>
              <w:rPr>
                <w:rFonts w:hint="eastAsia" w:ascii="Times New Roman" w:hAnsi="Times New Roman" w:eastAsia="仿宋_GB2312"/>
                <w:sz w:val="28"/>
                <w:szCs w:val="28"/>
              </w:rPr>
              <w:t>。</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技术</w:t>
            </w:r>
          </w:p>
        </w:tc>
        <w:tc>
          <w:tcPr>
            <w:tcW w:w="5715" w:type="dxa"/>
            <w:noWrap w:val="0"/>
            <w:vAlign w:val="top"/>
          </w:tcPr>
          <w:p>
            <w:pPr>
              <w:numPr>
                <w:ilvl w:val="0"/>
                <w:numId w:val="32"/>
              </w:num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根据投标人对本项目的总体理解：针对本项目重难点的分析，2分；针对本项目的解决方案，3分。</w:t>
            </w:r>
          </w:p>
          <w:p>
            <w:pPr>
              <w:spacing w:before="120" w:beforeLines="50" w:after="120" w:afterLines="50" w:line="340" w:lineRule="exact"/>
              <w:rPr>
                <w:rFonts w:hint="eastAsia" w:ascii="Times New Roman" w:hAnsi="Times New Roman" w:eastAsia="仿宋_GB2312"/>
                <w:sz w:val="28"/>
                <w:szCs w:val="28"/>
                <w:lang w:eastAsia="zh-CN"/>
              </w:rPr>
            </w:pPr>
            <w:r>
              <w:rPr>
                <w:rFonts w:ascii="Times New Roman" w:hAnsi="Times New Roman" w:eastAsia="仿宋_GB2312"/>
                <w:sz w:val="28"/>
                <w:szCs w:val="28"/>
              </w:rPr>
              <w:t xml:space="preserve"> 2、对本项目服务工作的进度计划安排科学、合理、全面，</w:t>
            </w:r>
            <w:r>
              <w:rPr>
                <w:rFonts w:hint="eastAsia" w:ascii="Times New Roman" w:hAnsi="Times New Roman" w:eastAsia="仿宋_GB2312"/>
                <w:sz w:val="28"/>
                <w:szCs w:val="28"/>
              </w:rPr>
              <w:t>5分</w:t>
            </w:r>
            <w:r>
              <w:rPr>
                <w:rFonts w:hint="eastAsia" w:ascii="Times New Roman" w:hAnsi="Times New Roman" w:eastAsia="仿宋_GB2312"/>
                <w:sz w:val="28"/>
                <w:szCs w:val="28"/>
                <w:lang w:eastAsia="zh-CN"/>
              </w:rPr>
              <w:t>。</w:t>
            </w:r>
          </w:p>
          <w:p>
            <w:pPr>
              <w:spacing w:before="120" w:beforeLines="50" w:after="120" w:afterLines="50" w:line="340" w:lineRule="exact"/>
              <w:rPr>
                <w:rFonts w:hint="eastAsia" w:ascii="Times New Roman" w:hAnsi="Times New Roman" w:eastAsia="仿宋_GB2312"/>
                <w:sz w:val="28"/>
                <w:szCs w:val="28"/>
                <w:lang w:eastAsia="zh-CN"/>
              </w:rPr>
            </w:pPr>
            <w:r>
              <w:rPr>
                <w:rFonts w:ascii="Times New Roman" w:hAnsi="Times New Roman" w:eastAsia="仿宋_GB2312"/>
                <w:sz w:val="28"/>
                <w:szCs w:val="28"/>
              </w:rPr>
              <w:t>3、保证服务质量的措施</w:t>
            </w:r>
            <w:r>
              <w:rPr>
                <w:rFonts w:hint="eastAsia" w:ascii="Times New Roman" w:hAnsi="Times New Roman" w:eastAsia="仿宋_GB2312"/>
                <w:sz w:val="28"/>
                <w:szCs w:val="28"/>
              </w:rPr>
              <w:t>，根据质量措施安排科学</w:t>
            </w:r>
            <w:r>
              <w:rPr>
                <w:rFonts w:ascii="Times New Roman" w:hAnsi="Times New Roman" w:eastAsia="仿宋_GB2312"/>
                <w:sz w:val="28"/>
                <w:szCs w:val="28"/>
              </w:rPr>
              <w:t>、合理、全面</w:t>
            </w:r>
            <w:r>
              <w:rPr>
                <w:rFonts w:hint="eastAsia" w:ascii="Times New Roman" w:hAnsi="Times New Roman" w:eastAsia="仿宋_GB2312"/>
                <w:sz w:val="28"/>
                <w:szCs w:val="28"/>
              </w:rPr>
              <w:t>等情况得分，共</w:t>
            </w:r>
            <w:r>
              <w:rPr>
                <w:rFonts w:ascii="Times New Roman" w:hAnsi="Times New Roman" w:eastAsia="仿宋_GB2312"/>
                <w:sz w:val="28"/>
                <w:szCs w:val="28"/>
              </w:rPr>
              <w:t>5分</w:t>
            </w:r>
            <w:r>
              <w:rPr>
                <w:rFonts w:hint="eastAsia" w:ascii="Times New Roman" w:hAnsi="Times New Roman" w:eastAsia="仿宋_GB2312"/>
                <w:sz w:val="28"/>
                <w:szCs w:val="28"/>
                <w:lang w:eastAsia="zh-CN"/>
              </w:rPr>
              <w:t>。</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15</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技术</w:t>
            </w:r>
          </w:p>
        </w:tc>
        <w:tc>
          <w:tcPr>
            <w:tcW w:w="5715" w:type="dxa"/>
            <w:noWrap w:val="0"/>
            <w:vAlign w:val="top"/>
          </w:tcPr>
          <w:p>
            <w:p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运维实施方案：</w:t>
            </w:r>
          </w:p>
          <w:p>
            <w:p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项目运维及数据核查计划，根据计划</w:t>
            </w:r>
            <w:r>
              <w:rPr>
                <w:rFonts w:ascii="Times New Roman" w:hAnsi="Times New Roman" w:eastAsia="仿宋_GB2312"/>
                <w:sz w:val="28"/>
                <w:szCs w:val="28"/>
              </w:rPr>
              <w:t>安排科学、合理、全面</w:t>
            </w:r>
            <w:r>
              <w:rPr>
                <w:rFonts w:hint="eastAsia" w:ascii="Times New Roman" w:hAnsi="Times New Roman" w:eastAsia="仿宋_GB2312"/>
                <w:sz w:val="28"/>
                <w:szCs w:val="28"/>
              </w:rPr>
              <w:t>情况得分，</w:t>
            </w:r>
            <w:r>
              <w:rPr>
                <w:rFonts w:ascii="Times New Roman" w:hAnsi="Times New Roman" w:eastAsia="仿宋_GB2312"/>
                <w:sz w:val="28"/>
                <w:szCs w:val="28"/>
              </w:rPr>
              <w:t>5分。</w:t>
            </w:r>
          </w:p>
          <w:p>
            <w:p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2、项目涉及仪器的作业指导书的完整性和合理性</w:t>
            </w:r>
            <w:r>
              <w:rPr>
                <w:rFonts w:hint="eastAsia" w:ascii="Times New Roman" w:hAnsi="Times New Roman" w:eastAsia="仿宋_GB2312"/>
                <w:sz w:val="28"/>
                <w:szCs w:val="28"/>
              </w:rPr>
              <w:t>，</w:t>
            </w:r>
            <w:r>
              <w:rPr>
                <w:rFonts w:ascii="Times New Roman" w:hAnsi="Times New Roman" w:eastAsia="仿宋_GB2312"/>
                <w:sz w:val="28"/>
                <w:szCs w:val="28"/>
              </w:rPr>
              <w:t>5分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设备</w:t>
            </w:r>
            <w:r>
              <w:rPr>
                <w:rFonts w:ascii="Times New Roman" w:hAnsi="Times New Roman" w:eastAsia="仿宋_GB2312"/>
                <w:sz w:val="28"/>
                <w:szCs w:val="28"/>
              </w:rPr>
              <w:t>系统性能调优配置，2</w:t>
            </w:r>
            <w:r>
              <w:rPr>
                <w:rFonts w:hint="eastAsia" w:ascii="Times New Roman" w:hAnsi="Times New Roman" w:eastAsia="仿宋_GB2312"/>
                <w:sz w:val="28"/>
                <w:szCs w:val="28"/>
              </w:rPr>
              <w:t>分；</w:t>
            </w:r>
            <w:r>
              <w:rPr>
                <w:rFonts w:ascii="Times New Roman" w:hAnsi="Times New Roman" w:eastAsia="仿宋_GB2312"/>
                <w:sz w:val="28"/>
                <w:szCs w:val="28"/>
              </w:rPr>
              <w:t>软硬件缺陷修复升级更新优化方案</w:t>
            </w:r>
            <w:r>
              <w:rPr>
                <w:rFonts w:hint="eastAsia" w:ascii="Times New Roman" w:hAnsi="Times New Roman" w:eastAsia="仿宋_GB2312"/>
                <w:sz w:val="28"/>
                <w:szCs w:val="28"/>
              </w:rPr>
              <w:t>，</w:t>
            </w:r>
            <w:r>
              <w:rPr>
                <w:rFonts w:ascii="Times New Roman" w:hAnsi="Times New Roman" w:eastAsia="仿宋_GB2312"/>
                <w:sz w:val="28"/>
                <w:szCs w:val="28"/>
              </w:rPr>
              <w:t>3分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4、应急处置</w:t>
            </w:r>
            <w:r>
              <w:rPr>
                <w:rFonts w:hint="eastAsia" w:ascii="Times New Roman" w:hAnsi="Times New Roman" w:eastAsia="仿宋_GB2312"/>
                <w:sz w:val="28"/>
                <w:szCs w:val="28"/>
              </w:rPr>
              <w:t>：</w:t>
            </w:r>
            <w:r>
              <w:rPr>
                <w:rFonts w:ascii="Times New Roman" w:hAnsi="Times New Roman" w:eastAsia="仿宋_GB2312"/>
                <w:sz w:val="28"/>
                <w:szCs w:val="28"/>
              </w:rPr>
              <w:t xml:space="preserve">应急方案、保障人员配备 </w:t>
            </w:r>
            <w:r>
              <w:rPr>
                <w:rFonts w:hint="eastAsia" w:ascii="Times New Roman" w:hAnsi="Times New Roman" w:eastAsia="仿宋_GB2312"/>
                <w:sz w:val="28"/>
                <w:szCs w:val="28"/>
              </w:rPr>
              <w:t>，根据应急处置方案</w:t>
            </w:r>
            <w:r>
              <w:rPr>
                <w:rFonts w:ascii="Times New Roman" w:hAnsi="Times New Roman" w:eastAsia="仿宋_GB2312"/>
                <w:sz w:val="28"/>
                <w:szCs w:val="28"/>
              </w:rPr>
              <w:t>科学、合理、全面</w:t>
            </w:r>
            <w:r>
              <w:rPr>
                <w:rFonts w:hint="eastAsia" w:ascii="Times New Roman" w:hAnsi="Times New Roman" w:eastAsia="仿宋_GB2312"/>
                <w:sz w:val="28"/>
                <w:szCs w:val="28"/>
              </w:rPr>
              <w:t>，人员配备情况得分，共</w:t>
            </w:r>
            <w:r>
              <w:rPr>
                <w:rFonts w:ascii="Times New Roman" w:hAnsi="Times New Roman" w:eastAsia="仿宋_GB2312"/>
                <w:sz w:val="28"/>
                <w:szCs w:val="28"/>
              </w:rPr>
              <w:t>5分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5、重大活动、节假日保障：方案，人员配备</w:t>
            </w:r>
            <w:r>
              <w:rPr>
                <w:rFonts w:hint="eastAsia" w:ascii="Times New Roman" w:hAnsi="Times New Roman" w:eastAsia="仿宋_GB2312"/>
                <w:sz w:val="28"/>
                <w:szCs w:val="28"/>
              </w:rPr>
              <w:t>，根据方案</w:t>
            </w:r>
            <w:r>
              <w:rPr>
                <w:rFonts w:ascii="Times New Roman" w:hAnsi="Times New Roman" w:eastAsia="仿宋_GB2312"/>
                <w:sz w:val="28"/>
                <w:szCs w:val="28"/>
              </w:rPr>
              <w:t>科学、合理、全面</w:t>
            </w:r>
            <w:r>
              <w:rPr>
                <w:rFonts w:hint="eastAsia" w:ascii="Times New Roman" w:hAnsi="Times New Roman" w:eastAsia="仿宋_GB2312"/>
                <w:sz w:val="28"/>
                <w:szCs w:val="28"/>
              </w:rPr>
              <w:t>情况得分，</w:t>
            </w:r>
            <w:r>
              <w:rPr>
                <w:rFonts w:ascii="Times New Roman" w:hAnsi="Times New Roman" w:eastAsia="仿宋_GB2312"/>
                <w:sz w:val="28"/>
                <w:szCs w:val="28"/>
              </w:rPr>
              <w:t>5分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6、在规定时间内不能解决故障，甲方有权寻求第三方协助，由此产生费用由乙方承担的承诺5分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、防范人为干扰监测：根据防范人为干扰巡查及内部管理制度、处理方案的完整性和合理性得分， 5分。</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35</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技术</w:t>
            </w:r>
          </w:p>
        </w:tc>
        <w:tc>
          <w:tcPr>
            <w:tcW w:w="5715" w:type="dxa"/>
            <w:noWrap w:val="0"/>
            <w:vAlign w:val="top"/>
          </w:tcPr>
          <w:p>
            <w:p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备品备件情况：</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1、备件库的管理情况等5分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2、应急备机情况5分</w:t>
            </w:r>
            <w:r>
              <w:rPr>
                <w:rFonts w:hint="eastAsia" w:ascii="Times New Roman" w:hAnsi="Times New Roman" w:eastAsia="仿宋_GB2312"/>
                <w:sz w:val="28"/>
                <w:szCs w:val="28"/>
              </w:rPr>
              <w:t>；·</w:t>
            </w:r>
          </w:p>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3、具有相关性的备件产品清单（型号、数量）</w:t>
            </w:r>
            <w:r>
              <w:rPr>
                <w:rFonts w:hint="eastAsia" w:ascii="Times New Roman" w:hAnsi="Times New Roman" w:eastAsia="仿宋_GB2312"/>
                <w:sz w:val="28"/>
                <w:szCs w:val="28"/>
              </w:rPr>
              <w:t>、备机、或相应设备生产、研发能力</w:t>
            </w:r>
            <w:r>
              <w:rPr>
                <w:rFonts w:ascii="Times New Roman" w:hAnsi="Times New Roman" w:eastAsia="仿宋_GB2312"/>
                <w:sz w:val="28"/>
                <w:szCs w:val="28"/>
              </w:rPr>
              <w:t>5分</w:t>
            </w:r>
            <w:r>
              <w:rPr>
                <w:rFonts w:hint="eastAsia" w:ascii="Times New Roman" w:hAnsi="Times New Roman" w:eastAsia="仿宋_GB2312"/>
                <w:sz w:val="28"/>
                <w:szCs w:val="28"/>
              </w:rPr>
              <w:t>。</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15</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技术</w:t>
            </w:r>
          </w:p>
        </w:tc>
        <w:tc>
          <w:tcPr>
            <w:tcW w:w="5715" w:type="dxa"/>
            <w:noWrap w:val="0"/>
            <w:vAlign w:val="top"/>
          </w:tcPr>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运维质量管理和流程规范程度（管理制度、流程图、记录、表单）5分</w:t>
            </w:r>
            <w:r>
              <w:rPr>
                <w:rFonts w:hint="eastAsia" w:ascii="Times New Roman" w:hAnsi="Times New Roman" w:eastAsia="仿宋_GB2312"/>
                <w:sz w:val="28"/>
                <w:szCs w:val="28"/>
              </w:rPr>
              <w:t>。</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商务资信</w:t>
            </w:r>
          </w:p>
        </w:tc>
        <w:tc>
          <w:tcPr>
            <w:tcW w:w="5715" w:type="dxa"/>
            <w:noWrap w:val="0"/>
            <w:vAlign w:val="top"/>
          </w:tcPr>
          <w:p>
            <w:pPr>
              <w:spacing w:before="120" w:beforeLines="50" w:after="120" w:afterLines="50" w:line="340" w:lineRule="exact"/>
              <w:rPr>
                <w:rFonts w:hint="eastAsia" w:ascii="Times New Roman" w:hAnsi="Times New Roman" w:eastAsia="仿宋_GB2312"/>
                <w:sz w:val="28"/>
                <w:szCs w:val="28"/>
              </w:rPr>
            </w:pPr>
            <w:r>
              <w:rPr>
                <w:rFonts w:hint="eastAsia" w:ascii="Times New Roman" w:hAnsi="Times New Roman" w:eastAsia="仿宋_GB2312"/>
                <w:sz w:val="28"/>
                <w:szCs w:val="28"/>
              </w:rPr>
              <w:t>项目运维人员组成及实施要求。包括车辆情况、项目负责人、技术团队、数据审核人员等：详见商务要求表履约能力。</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12</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94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商务资信</w:t>
            </w:r>
          </w:p>
        </w:tc>
        <w:tc>
          <w:tcPr>
            <w:tcW w:w="5715" w:type="dxa"/>
            <w:noWrap w:val="0"/>
            <w:vAlign w:val="top"/>
          </w:tcPr>
          <w:p>
            <w:pPr>
              <w:spacing w:before="120" w:beforeLines="50" w:after="120" w:afterLines="50" w:line="340" w:lineRule="exact"/>
              <w:rPr>
                <w:rFonts w:ascii="Times New Roman" w:hAnsi="Times New Roman" w:eastAsia="仿宋_GB2312"/>
                <w:sz w:val="28"/>
                <w:szCs w:val="28"/>
              </w:rPr>
            </w:pPr>
            <w:r>
              <w:rPr>
                <w:rFonts w:hint="eastAsia" w:ascii="Times New Roman" w:hAnsi="Times New Roman" w:eastAsia="仿宋_GB2312"/>
                <w:sz w:val="28"/>
                <w:szCs w:val="28"/>
              </w:rPr>
              <w:t>投标人通过</w:t>
            </w:r>
            <w:r>
              <w:rPr>
                <w:rFonts w:ascii="Times New Roman" w:hAnsi="Times New Roman" w:eastAsia="仿宋_GB2312"/>
                <w:sz w:val="28"/>
                <w:szCs w:val="28"/>
              </w:rPr>
              <w:t>ISO9001质量管理体系认证、ISO14001环境认证体系、ISO27001信息安全管理体系认证、ISO20000信息技术服务管理体系认证，分别提供有效期内的认证证书材料证明，每提供一份得1分，最高得4分。</w:t>
            </w:r>
          </w:p>
          <w:p>
            <w:pPr>
              <w:spacing w:before="120" w:beforeLines="50" w:after="120" w:afterLines="50" w:line="340" w:lineRule="exact"/>
              <w:rPr>
                <w:rFonts w:ascii="Times New Roman" w:hAnsi="Times New Roman" w:eastAsia="仿宋_GB2312"/>
                <w:sz w:val="28"/>
                <w:szCs w:val="28"/>
              </w:rPr>
            </w:pPr>
            <w:r>
              <w:rPr>
                <w:rFonts w:hint="eastAsia" w:ascii="Times New Roman" w:hAnsi="Times New Roman" w:eastAsia="仿宋_GB2312"/>
                <w:sz w:val="28"/>
                <w:szCs w:val="28"/>
              </w:rPr>
              <w:t>注：提供相关证书复印件并加盖投标人单位公章，相关证书须在有效期内，否则不得分。</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945" w:type="dxa"/>
            <w:noWrap w:val="0"/>
            <w:vAlign w:val="top"/>
          </w:tcPr>
          <w:p>
            <w:p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商务资信</w:t>
            </w:r>
          </w:p>
        </w:tc>
        <w:tc>
          <w:tcPr>
            <w:tcW w:w="5715" w:type="dxa"/>
            <w:noWrap w:val="0"/>
            <w:vAlign w:val="top"/>
          </w:tcPr>
          <w:p>
            <w:pPr>
              <w:spacing w:before="120" w:beforeLines="50" w:after="120" w:afterLines="50" w:line="340" w:lineRule="exact"/>
              <w:rPr>
                <w:rFonts w:hint="eastAsia" w:ascii="Times New Roman" w:hAnsi="Times New Roman" w:eastAsia="仿宋_GB2312"/>
                <w:sz w:val="28"/>
                <w:szCs w:val="28"/>
              </w:rPr>
            </w:pPr>
            <w:r>
              <w:rPr>
                <w:rFonts w:ascii="Times New Roman" w:hAnsi="Times New Roman" w:eastAsia="仿宋_GB2312"/>
                <w:sz w:val="28"/>
                <w:szCs w:val="28"/>
              </w:rPr>
              <w:t>运维响应时间</w:t>
            </w:r>
            <w:r>
              <w:rPr>
                <w:rFonts w:hint="eastAsia" w:ascii="Times New Roman" w:hAnsi="Times New Roman" w:eastAsia="仿宋_GB2312"/>
                <w:sz w:val="28"/>
                <w:szCs w:val="28"/>
              </w:rPr>
              <w:t>承诺。</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945" w:type="dxa"/>
            <w:noWrap w:val="0"/>
            <w:vAlign w:val="top"/>
          </w:tcPr>
          <w:p>
            <w:pPr>
              <w:spacing w:before="120" w:beforeLines="50" w:after="120" w:afterLines="50" w:line="340" w:lineRule="exact"/>
              <w:rPr>
                <w:rFonts w:ascii="Times New Roman" w:hAnsi="Times New Roman" w:eastAsia="仿宋_GB2312"/>
                <w:sz w:val="28"/>
                <w:szCs w:val="28"/>
              </w:rPr>
            </w:pPr>
            <w:r>
              <w:rPr>
                <w:rFonts w:ascii="Times New Roman" w:hAnsi="Times New Roman" w:eastAsia="仿宋_GB2312"/>
                <w:sz w:val="28"/>
                <w:szCs w:val="28"/>
              </w:rPr>
              <w:t>商务资信</w:t>
            </w:r>
          </w:p>
        </w:tc>
        <w:tc>
          <w:tcPr>
            <w:tcW w:w="5715" w:type="dxa"/>
            <w:noWrap w:val="0"/>
            <w:vAlign w:val="top"/>
          </w:tcPr>
          <w:p>
            <w:pPr>
              <w:spacing w:before="120" w:beforeLines="50" w:after="120" w:afterLines="50" w:line="340" w:lineRule="exact"/>
              <w:rPr>
                <w:rFonts w:ascii="Times New Roman" w:hAnsi="Times New Roman" w:eastAsia="仿宋_GB2312"/>
                <w:sz w:val="28"/>
                <w:szCs w:val="28"/>
              </w:rPr>
            </w:pPr>
            <w:r>
              <w:rPr>
                <w:rFonts w:hint="eastAsia" w:ascii="Times New Roman" w:hAnsi="Times New Roman" w:eastAsia="仿宋_GB2312"/>
                <w:sz w:val="28"/>
                <w:szCs w:val="28"/>
              </w:rPr>
              <w:t>提供2</w:t>
            </w:r>
            <w:r>
              <w:rPr>
                <w:rFonts w:ascii="Times New Roman" w:hAnsi="Times New Roman" w:eastAsia="仿宋_GB2312"/>
                <w:sz w:val="28"/>
                <w:szCs w:val="28"/>
              </w:rPr>
              <w:t>019</w:t>
            </w:r>
            <w:r>
              <w:rPr>
                <w:rFonts w:hint="eastAsia" w:ascii="Times New Roman" w:hAnsi="Times New Roman" w:eastAsia="仿宋_GB2312"/>
                <w:sz w:val="28"/>
                <w:szCs w:val="28"/>
              </w:rPr>
              <w:t>年1月1日起至今，</w:t>
            </w:r>
            <w:r>
              <w:rPr>
                <w:rFonts w:ascii="Times New Roman" w:hAnsi="Times New Roman" w:eastAsia="仿宋_GB2312"/>
                <w:sz w:val="28"/>
                <w:szCs w:val="28"/>
              </w:rPr>
              <w:t>同类项目</w:t>
            </w:r>
            <w:r>
              <w:rPr>
                <w:rFonts w:hint="eastAsia" w:ascii="Times New Roman" w:hAnsi="Times New Roman" w:eastAsia="仿宋_GB2312"/>
                <w:sz w:val="28"/>
                <w:szCs w:val="28"/>
              </w:rPr>
              <w:t>建设或运维</w:t>
            </w:r>
            <w:r>
              <w:rPr>
                <w:rFonts w:ascii="Times New Roman" w:hAnsi="Times New Roman" w:eastAsia="仿宋_GB2312"/>
                <w:sz w:val="28"/>
                <w:szCs w:val="28"/>
              </w:rPr>
              <w:t>案例合同复印件，每提供一个得一分</w:t>
            </w:r>
            <w:r>
              <w:rPr>
                <w:rFonts w:hint="eastAsia" w:ascii="Times New Roman" w:hAnsi="Times New Roman" w:eastAsia="仿宋_GB2312"/>
                <w:sz w:val="28"/>
                <w:szCs w:val="28"/>
              </w:rPr>
              <w:t>，共1分（区域站或超级站）。</w:t>
            </w:r>
          </w:p>
          <w:p>
            <w:pPr>
              <w:spacing w:before="120" w:beforeLines="50" w:after="120" w:afterLines="50" w:line="340" w:lineRule="exact"/>
              <w:rPr>
                <w:rFonts w:ascii="Times New Roman" w:hAnsi="Times New Roman" w:eastAsia="仿宋_GB2312"/>
                <w:sz w:val="28"/>
                <w:szCs w:val="28"/>
              </w:rPr>
            </w:pPr>
            <w:r>
              <w:rPr>
                <w:rFonts w:hint="eastAsia" w:ascii="Times New Roman" w:hAnsi="Times New Roman" w:eastAsia="仿宋_GB2312"/>
                <w:sz w:val="28"/>
                <w:szCs w:val="28"/>
              </w:rPr>
              <w:t>注：提供项目中标通知书、合同及验收意见复印件并加盖投标人公章，否则不得分。</w:t>
            </w:r>
          </w:p>
        </w:tc>
        <w:tc>
          <w:tcPr>
            <w:tcW w:w="795" w:type="dxa"/>
            <w:noWrap w:val="0"/>
            <w:vAlign w:val="top"/>
          </w:tcPr>
          <w:p>
            <w:pPr>
              <w:spacing w:before="120" w:beforeLines="50" w:after="120" w:afterLines="50" w:line="34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191" w:type="dxa"/>
            <w:noWrap w:val="0"/>
            <w:vAlign w:val="top"/>
          </w:tcPr>
          <w:p>
            <w:pPr>
              <w:spacing w:before="120" w:beforeLines="50" w:after="120" w:afterLines="50" w:line="3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客观分</w:t>
            </w:r>
          </w:p>
        </w:tc>
      </w:tr>
    </w:tbl>
    <w:p>
      <w:pPr>
        <w:spacing w:after="240" w:afterLines="100" w:line="340" w:lineRule="exact"/>
        <w:outlineLvl w:val="0"/>
        <w:rPr>
          <w:rFonts w:ascii="Times New Roman" w:hAnsi="宋体"/>
          <w:b/>
          <w:color w:val="000000"/>
          <w:sz w:val="36"/>
          <w:szCs w:val="36"/>
        </w:rPr>
      </w:pPr>
    </w:p>
    <w:p>
      <w:pPr>
        <w:spacing w:after="240" w:afterLines="100" w:line="340" w:lineRule="exact"/>
        <w:jc w:val="center"/>
        <w:outlineLvl w:val="0"/>
        <w:rPr>
          <w:rFonts w:hint="eastAsia" w:ascii="Times New Roman" w:hAnsi="宋体"/>
          <w:b/>
          <w:color w:val="000000"/>
          <w:sz w:val="36"/>
          <w:szCs w:val="36"/>
        </w:rPr>
      </w:pPr>
      <w:bookmarkStart w:id="30" w:name="_Toc24960"/>
    </w:p>
    <w:p>
      <w:pPr>
        <w:spacing w:after="240" w:afterLines="100" w:line="340" w:lineRule="exact"/>
        <w:jc w:val="center"/>
        <w:outlineLvl w:val="0"/>
        <w:rPr>
          <w:rFonts w:hint="eastAsia" w:ascii="Times New Roman" w:hAnsi="宋体"/>
          <w:b/>
          <w:color w:val="000000"/>
          <w:sz w:val="36"/>
          <w:szCs w:val="36"/>
        </w:rPr>
      </w:pPr>
    </w:p>
    <w:p>
      <w:pPr>
        <w:spacing w:after="240" w:afterLines="100" w:line="340" w:lineRule="exact"/>
        <w:jc w:val="center"/>
        <w:outlineLvl w:val="0"/>
        <w:rPr>
          <w:rFonts w:hint="eastAsia" w:ascii="Times New Roman" w:hAnsi="宋体"/>
          <w:b/>
          <w:color w:val="000000"/>
          <w:sz w:val="36"/>
          <w:szCs w:val="36"/>
        </w:rPr>
      </w:pPr>
    </w:p>
    <w:p>
      <w:pPr>
        <w:spacing w:after="240" w:afterLines="100" w:line="340" w:lineRule="exact"/>
        <w:jc w:val="center"/>
        <w:outlineLvl w:val="0"/>
        <w:rPr>
          <w:rFonts w:hint="eastAsia" w:ascii="Times New Roman" w:hAnsi="宋体"/>
          <w:b/>
          <w:color w:val="000000"/>
          <w:sz w:val="36"/>
          <w:szCs w:val="36"/>
        </w:rPr>
      </w:pPr>
    </w:p>
    <w:p>
      <w:pPr>
        <w:spacing w:after="240" w:afterLines="100" w:line="340" w:lineRule="exact"/>
        <w:jc w:val="center"/>
        <w:outlineLvl w:val="0"/>
        <w:rPr>
          <w:rFonts w:hint="eastAsia" w:ascii="Times New Roman" w:hAnsi="宋体"/>
          <w:b/>
          <w:color w:val="000000"/>
          <w:sz w:val="36"/>
          <w:szCs w:val="36"/>
        </w:rPr>
      </w:pPr>
    </w:p>
    <w:p>
      <w:pPr>
        <w:spacing w:after="240" w:afterLines="100" w:line="340" w:lineRule="exact"/>
        <w:jc w:val="center"/>
        <w:outlineLvl w:val="0"/>
        <w:rPr>
          <w:rFonts w:hint="eastAsia" w:ascii="Times New Roman" w:hAnsi="宋体"/>
          <w:b/>
          <w:color w:val="000000"/>
          <w:sz w:val="36"/>
          <w:szCs w:val="36"/>
        </w:rPr>
      </w:pPr>
    </w:p>
    <w:p>
      <w:pPr>
        <w:spacing w:after="240" w:afterLines="100" w:line="340" w:lineRule="exact"/>
        <w:jc w:val="both"/>
        <w:outlineLvl w:val="0"/>
        <w:rPr>
          <w:rFonts w:hint="eastAsia" w:ascii="Times New Roman" w:hAnsi="宋体"/>
          <w:b/>
          <w:color w:val="000000"/>
          <w:sz w:val="36"/>
          <w:szCs w:val="36"/>
        </w:rPr>
      </w:pPr>
    </w:p>
    <w:p>
      <w:pPr>
        <w:spacing w:after="240" w:afterLines="100" w:line="340" w:lineRule="exact"/>
        <w:jc w:val="center"/>
        <w:outlineLvl w:val="0"/>
        <w:rPr>
          <w:rFonts w:ascii="Times New Roman" w:hAnsi="宋体"/>
          <w:b/>
          <w:color w:val="000000"/>
          <w:sz w:val="36"/>
          <w:szCs w:val="36"/>
        </w:rPr>
      </w:pPr>
      <w:r>
        <w:rPr>
          <w:rFonts w:hint="eastAsia" w:ascii="Times New Roman" w:hAnsi="宋体"/>
          <w:b/>
          <w:color w:val="000000"/>
          <w:sz w:val="36"/>
          <w:szCs w:val="36"/>
        </w:rPr>
        <w:t>第四章招标需求</w:t>
      </w:r>
      <w:bookmarkEnd w:id="29"/>
      <w:bookmarkEnd w:id="30"/>
    </w:p>
    <w:p>
      <w:pPr>
        <w:snapToGrid w:val="0"/>
        <w:spacing w:before="120" w:beforeLines="50" w:after="120" w:afterLines="50"/>
        <w:rPr>
          <w:rFonts w:ascii="宋体" w:hAnsi="宋体"/>
          <w:b/>
          <w:color w:val="000000"/>
          <w:spacing w:val="40"/>
          <w:kern w:val="0"/>
          <w:sz w:val="36"/>
          <w:szCs w:val="36"/>
        </w:rPr>
      </w:pPr>
    </w:p>
    <w:p>
      <w:pPr>
        <w:snapToGrid w:val="0"/>
        <w:spacing w:before="120" w:beforeLines="50" w:after="120"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hint="eastAsia"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bookmarkStart w:id="31" w:name="_Toc496796639"/>
    </w:p>
    <w:p>
      <w:pPr>
        <w:spacing w:line="360" w:lineRule="auto"/>
        <w:ind w:firstLine="562" w:firstLineChars="200"/>
        <w:rPr>
          <w:rFonts w:hint="eastAsia" w:ascii="仿宋" w:hAnsi="仿宋" w:eastAsia="仿宋"/>
          <w:b/>
          <w:color w:val="000000"/>
          <w:sz w:val="28"/>
          <w:szCs w:val="28"/>
        </w:rPr>
      </w:pPr>
    </w:p>
    <w:p>
      <w:pPr>
        <w:spacing w:line="360" w:lineRule="auto"/>
        <w:ind w:firstLine="562" w:firstLineChars="200"/>
        <w:rPr>
          <w:rFonts w:hint="eastAsia" w:ascii="仿宋" w:hAnsi="仿宋" w:eastAsia="仿宋"/>
          <w:b/>
          <w:color w:val="000000"/>
          <w:sz w:val="28"/>
          <w:szCs w:val="28"/>
        </w:rPr>
      </w:pPr>
    </w:p>
    <w:p>
      <w:pPr>
        <w:spacing w:line="360" w:lineRule="auto"/>
        <w:ind w:firstLine="562" w:firstLineChars="200"/>
        <w:rPr>
          <w:rFonts w:hint="eastAsia" w:ascii="仿宋" w:hAnsi="仿宋" w:eastAsia="仿宋"/>
          <w:b/>
          <w:color w:val="000000"/>
          <w:sz w:val="28"/>
          <w:szCs w:val="28"/>
        </w:rPr>
      </w:pPr>
    </w:p>
    <w:p>
      <w:pPr>
        <w:snapToGrid w:val="0"/>
        <w:spacing w:after="120" w:afterLines="50" w:line="460" w:lineRule="exact"/>
        <w:ind w:left="722" w:leftChars="172" w:hanging="361" w:hangingChars="100"/>
        <w:jc w:val="center"/>
        <w:rPr>
          <w:rFonts w:ascii="Times New Roman" w:hAnsi="Times New Roman" w:eastAsia="仿宋"/>
          <w:b/>
          <w:sz w:val="36"/>
          <w:szCs w:val="36"/>
        </w:rPr>
      </w:pPr>
      <w:bookmarkStart w:id="32" w:name="PO_TDCUS_ITEM_PB_REQ_FILE_1_1_0"/>
      <w:r>
        <w:rPr>
          <w:rFonts w:ascii="Times New Roman" w:hAnsi="Times New Roman" w:eastAsia="仿宋"/>
          <w:b/>
          <w:sz w:val="36"/>
          <w:szCs w:val="36"/>
        </w:rPr>
        <w:t>2023年度浙江省大气复合污染立体监测</w:t>
      </w:r>
    </w:p>
    <w:p>
      <w:pPr>
        <w:snapToGrid w:val="0"/>
        <w:spacing w:after="120" w:afterLines="50" w:line="460" w:lineRule="exact"/>
        <w:ind w:left="722" w:leftChars="172" w:hanging="361" w:hangingChars="100"/>
        <w:jc w:val="center"/>
        <w:rPr>
          <w:rFonts w:ascii="Times New Roman" w:hAnsi="Times New Roman" w:eastAsia="仿宋"/>
          <w:b/>
          <w:sz w:val="36"/>
          <w:szCs w:val="36"/>
        </w:rPr>
      </w:pPr>
      <w:r>
        <w:rPr>
          <w:rFonts w:ascii="Times New Roman" w:hAnsi="Times New Roman" w:eastAsia="仿宋"/>
          <w:b/>
          <w:sz w:val="36"/>
          <w:szCs w:val="36"/>
        </w:rPr>
        <w:t>网络功能性站点运行维护项目</w:t>
      </w:r>
    </w:p>
    <w:p>
      <w:pPr>
        <w:widowControl/>
        <w:jc w:val="left"/>
        <w:rPr>
          <w:rFonts w:ascii="宋体" w:hAnsi="宋体"/>
          <w:sz w:val="32"/>
          <w:szCs w:val="32"/>
        </w:rPr>
      </w:pPr>
    </w:p>
    <w:p>
      <w:pPr>
        <w:snapToGrid w:val="0"/>
        <w:spacing w:after="120" w:afterLines="50" w:line="460" w:lineRule="exact"/>
        <w:ind w:firstLine="562" w:firstLineChars="200"/>
        <w:rPr>
          <w:rFonts w:ascii="仿宋" w:hAnsi="仿宋" w:eastAsia="仿宋" w:cs="Arial"/>
          <w:b/>
          <w:sz w:val="28"/>
          <w:szCs w:val="28"/>
        </w:rPr>
      </w:pPr>
      <w:r>
        <w:rPr>
          <w:rFonts w:ascii="Times New Roman" w:hAnsi="Times New Roman" w:eastAsia="仿宋"/>
          <w:b/>
          <w:sz w:val="28"/>
          <w:szCs w:val="28"/>
        </w:rPr>
        <w:t>本项目由浙江省生态环境监测中心统一招标，浙江省海洋生态环境监测中心、杭州、宁波、温州、湖州、嘉兴、绍兴、金华、衢州、台州等驻市生态环境监测中心分别与中标单位签订合同，具体标项及使用单位预算下表。</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210"/>
        <w:gridCol w:w="834"/>
        <w:gridCol w:w="858"/>
        <w:gridCol w:w="1087"/>
        <w:gridCol w:w="237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标项</w:t>
            </w:r>
          </w:p>
        </w:tc>
        <w:tc>
          <w:tcPr>
            <w:tcW w:w="2210"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标项名称</w:t>
            </w:r>
          </w:p>
        </w:tc>
        <w:tc>
          <w:tcPr>
            <w:tcW w:w="834"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数量</w:t>
            </w:r>
          </w:p>
        </w:tc>
        <w:tc>
          <w:tcPr>
            <w:tcW w:w="858"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单位</w:t>
            </w:r>
          </w:p>
        </w:tc>
        <w:tc>
          <w:tcPr>
            <w:tcW w:w="1087"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总预算  (万元)</w:t>
            </w:r>
          </w:p>
        </w:tc>
        <w:tc>
          <w:tcPr>
            <w:tcW w:w="2370"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使用单位</w:t>
            </w:r>
          </w:p>
        </w:tc>
        <w:tc>
          <w:tcPr>
            <w:tcW w:w="1111" w:type="dxa"/>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分预算(万元)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1"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w:t>
            </w:r>
          </w:p>
        </w:tc>
        <w:tc>
          <w:tcPr>
            <w:tcW w:w="2210"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2023年度浙江省大气复合污染立体监测网络功能性站点运行维护标项一</w:t>
            </w:r>
          </w:p>
        </w:tc>
        <w:tc>
          <w:tcPr>
            <w:tcW w:w="834"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w:t>
            </w:r>
          </w:p>
        </w:tc>
        <w:tc>
          <w:tcPr>
            <w:tcW w:w="858"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年</w:t>
            </w:r>
          </w:p>
        </w:tc>
        <w:tc>
          <w:tcPr>
            <w:tcW w:w="1087" w:type="dxa"/>
            <w:vMerge w:val="restart"/>
            <w:noWrap w:val="0"/>
            <w:vAlign w:val="center"/>
          </w:tcPr>
          <w:p>
            <w:pPr>
              <w:widowControl/>
              <w:jc w:val="center"/>
              <w:rPr>
                <w:rFonts w:ascii="Times New Roman" w:hAnsi="Times New Roman" w:eastAsia="等线"/>
                <w:b/>
                <w:color w:val="000000"/>
                <w:sz w:val="28"/>
                <w:szCs w:val="28"/>
              </w:rPr>
            </w:pPr>
            <w:r>
              <w:rPr>
                <w:rFonts w:ascii="Times New Roman" w:hAnsi="Times New Roman" w:eastAsia="等线"/>
                <w:b/>
                <w:color w:val="000000"/>
                <w:sz w:val="28"/>
                <w:szCs w:val="28"/>
              </w:rPr>
              <w:t>293.9</w:t>
            </w: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浙江省杭州生态环境监测中心</w:t>
            </w:r>
          </w:p>
        </w:tc>
        <w:tc>
          <w:tcPr>
            <w:tcW w:w="1111" w:type="dxa"/>
            <w:noWrap w:val="0"/>
            <w:vAlign w:val="top"/>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浙江省湖州生态环境监测中心</w:t>
            </w:r>
          </w:p>
        </w:tc>
        <w:tc>
          <w:tcPr>
            <w:tcW w:w="1111" w:type="dxa"/>
            <w:noWrap w:val="0"/>
            <w:vAlign w:val="top"/>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浙江省嘉兴生态环境监测中心</w:t>
            </w:r>
          </w:p>
        </w:tc>
        <w:tc>
          <w:tcPr>
            <w:tcW w:w="1111" w:type="dxa"/>
            <w:noWrap w:val="0"/>
            <w:vAlign w:val="top"/>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浙江省金华生态环境监测中心</w:t>
            </w:r>
          </w:p>
        </w:tc>
        <w:tc>
          <w:tcPr>
            <w:tcW w:w="1111" w:type="dxa"/>
            <w:noWrap w:val="0"/>
            <w:vAlign w:val="top"/>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浙江省衢州生态环境监测中心</w:t>
            </w:r>
          </w:p>
        </w:tc>
        <w:tc>
          <w:tcPr>
            <w:tcW w:w="1111" w:type="dxa"/>
            <w:noWrap w:val="0"/>
            <w:vAlign w:val="top"/>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01"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2</w:t>
            </w:r>
          </w:p>
        </w:tc>
        <w:tc>
          <w:tcPr>
            <w:tcW w:w="2210"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2023年度浙江省大气复合污染立体监测网络功能性站点运行维护标项二</w:t>
            </w:r>
          </w:p>
        </w:tc>
        <w:tc>
          <w:tcPr>
            <w:tcW w:w="834"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w:t>
            </w:r>
          </w:p>
        </w:tc>
        <w:tc>
          <w:tcPr>
            <w:tcW w:w="858"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年</w:t>
            </w:r>
          </w:p>
        </w:tc>
        <w:tc>
          <w:tcPr>
            <w:tcW w:w="1087" w:type="dxa"/>
            <w:vMerge w:val="restart"/>
            <w:noWrap w:val="0"/>
            <w:vAlign w:val="center"/>
          </w:tcPr>
          <w:p>
            <w:pPr>
              <w:jc w:val="center"/>
              <w:rPr>
                <w:rFonts w:ascii="Times New Roman" w:hAnsi="Times New Roman" w:eastAsia="等线"/>
                <w:b/>
                <w:color w:val="000000"/>
                <w:sz w:val="28"/>
                <w:szCs w:val="28"/>
              </w:rPr>
            </w:pPr>
            <w:r>
              <w:rPr>
                <w:rFonts w:ascii="Times New Roman" w:hAnsi="Times New Roman" w:eastAsia="等线"/>
                <w:b/>
                <w:color w:val="000000"/>
                <w:sz w:val="28"/>
                <w:szCs w:val="28"/>
              </w:rPr>
              <w:t>284.1</w:t>
            </w: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浙江省杭州生态环境监测中心</w:t>
            </w:r>
          </w:p>
        </w:tc>
        <w:tc>
          <w:tcPr>
            <w:tcW w:w="1111" w:type="dxa"/>
            <w:noWrap w:val="0"/>
            <w:vAlign w:val="center"/>
          </w:tcPr>
          <w:p>
            <w:pPr>
              <w:widowControl/>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浙江省湖州生态环境监测中心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浙江省嘉兴生态环境监测中心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浙江省绍兴生态环境监测中心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浙江省衢州生态环境监测中心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1"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3</w:t>
            </w:r>
          </w:p>
        </w:tc>
        <w:tc>
          <w:tcPr>
            <w:tcW w:w="2210"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2023年度浙江省大气复合污染立体监测网络功能性站点运行维护标项三</w:t>
            </w:r>
          </w:p>
        </w:tc>
        <w:tc>
          <w:tcPr>
            <w:tcW w:w="834"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w:t>
            </w:r>
          </w:p>
        </w:tc>
        <w:tc>
          <w:tcPr>
            <w:tcW w:w="858"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年</w:t>
            </w:r>
          </w:p>
        </w:tc>
        <w:tc>
          <w:tcPr>
            <w:tcW w:w="1087" w:type="dxa"/>
            <w:vMerge w:val="restart"/>
            <w:noWrap w:val="0"/>
            <w:vAlign w:val="center"/>
          </w:tcPr>
          <w:p>
            <w:pPr>
              <w:jc w:val="center"/>
              <w:rPr>
                <w:rFonts w:ascii="Times New Roman" w:hAnsi="Times New Roman" w:eastAsia="等线"/>
                <w:b/>
                <w:color w:val="000000"/>
                <w:sz w:val="28"/>
                <w:szCs w:val="28"/>
              </w:rPr>
            </w:pPr>
            <w:r>
              <w:rPr>
                <w:rFonts w:ascii="Times New Roman" w:hAnsi="Times New Roman" w:eastAsia="等线"/>
                <w:b/>
                <w:color w:val="000000"/>
                <w:sz w:val="28"/>
                <w:szCs w:val="28"/>
              </w:rPr>
              <w:t>293.4</w:t>
            </w: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浙江省海洋生态环境监测中心</w:t>
            </w:r>
          </w:p>
        </w:tc>
        <w:tc>
          <w:tcPr>
            <w:tcW w:w="1111" w:type="dxa"/>
            <w:noWrap w:val="0"/>
            <w:vAlign w:val="center"/>
          </w:tcPr>
          <w:p>
            <w:pPr>
              <w:widowControl/>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浙江省宁波生态环境监测中心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浙江省温州生态环境监测中心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浙江省绍兴生态环境监测中心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浙江省金华生态环境监测中心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浙江省台州生态环境监测中心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1"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4</w:t>
            </w:r>
          </w:p>
        </w:tc>
        <w:tc>
          <w:tcPr>
            <w:tcW w:w="2210"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2023年度浙江省大气复合污染立体监测网络功能性站点运行维护标项四</w:t>
            </w:r>
          </w:p>
        </w:tc>
        <w:tc>
          <w:tcPr>
            <w:tcW w:w="834"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w:t>
            </w:r>
          </w:p>
        </w:tc>
        <w:tc>
          <w:tcPr>
            <w:tcW w:w="858"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年</w:t>
            </w:r>
          </w:p>
        </w:tc>
        <w:tc>
          <w:tcPr>
            <w:tcW w:w="1087" w:type="dxa"/>
            <w:vMerge w:val="restart"/>
            <w:noWrap w:val="0"/>
            <w:vAlign w:val="center"/>
          </w:tcPr>
          <w:p>
            <w:pPr>
              <w:jc w:val="center"/>
              <w:rPr>
                <w:rFonts w:ascii="Times New Roman" w:hAnsi="Times New Roman" w:eastAsia="等线"/>
                <w:b/>
                <w:color w:val="000000"/>
                <w:sz w:val="28"/>
                <w:szCs w:val="28"/>
              </w:rPr>
            </w:pPr>
            <w:r>
              <w:rPr>
                <w:rFonts w:ascii="Times New Roman" w:hAnsi="Times New Roman" w:eastAsia="等线"/>
                <w:b/>
                <w:color w:val="000000"/>
                <w:sz w:val="28"/>
                <w:szCs w:val="28"/>
              </w:rPr>
              <w:t>316</w:t>
            </w: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浙江省杭州生态环境监测中心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浙江省宁波生态环境监测中心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浙江省湖州生态环境监测中心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浙江省嘉兴生态环境监测中心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浙江省绍兴生态环境监测中心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浙江省金华生态环境监测中心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浙江省衢州生态环境监测中心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ascii="Times New Roman" w:hAnsi="Times New Roman" w:eastAsia="仿宋_GB2312"/>
                <w:sz w:val="28"/>
                <w:szCs w:val="28"/>
              </w:rPr>
              <w:t>浙江省台州生态环境监测中心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501"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hint="eastAsia" w:ascii="Times New Roman" w:hAnsi="Times New Roman" w:eastAsia="仿宋_GB2312"/>
                <w:b/>
                <w:sz w:val="28"/>
                <w:szCs w:val="28"/>
              </w:rPr>
              <w:t>5</w:t>
            </w:r>
          </w:p>
        </w:tc>
        <w:tc>
          <w:tcPr>
            <w:tcW w:w="2210"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2023年度浙江省大气复合污染立体监测网络功能性站点运行维护标项</w:t>
            </w:r>
            <w:r>
              <w:rPr>
                <w:rFonts w:hint="eastAsia" w:ascii="Times New Roman" w:hAnsi="Times New Roman" w:eastAsia="仿宋_GB2312"/>
                <w:b/>
                <w:sz w:val="28"/>
                <w:szCs w:val="28"/>
              </w:rPr>
              <w:t>五</w:t>
            </w:r>
          </w:p>
        </w:tc>
        <w:tc>
          <w:tcPr>
            <w:tcW w:w="834"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1</w:t>
            </w:r>
          </w:p>
        </w:tc>
        <w:tc>
          <w:tcPr>
            <w:tcW w:w="858" w:type="dxa"/>
            <w:vMerge w:val="restart"/>
            <w:noWrap w:val="0"/>
            <w:vAlign w:val="center"/>
          </w:tcPr>
          <w:p>
            <w:pPr>
              <w:snapToGrid w:val="0"/>
              <w:spacing w:after="120" w:afterLines="50" w:line="240" w:lineRule="auto"/>
              <w:jc w:val="center"/>
              <w:rPr>
                <w:rFonts w:ascii="Times New Roman" w:hAnsi="Times New Roman" w:eastAsia="仿宋_GB2312"/>
                <w:b/>
                <w:sz w:val="28"/>
                <w:szCs w:val="28"/>
              </w:rPr>
            </w:pPr>
            <w:r>
              <w:rPr>
                <w:rFonts w:ascii="Times New Roman" w:hAnsi="Times New Roman" w:eastAsia="仿宋_GB2312"/>
                <w:b/>
                <w:sz w:val="28"/>
                <w:szCs w:val="28"/>
              </w:rPr>
              <w:t>年</w:t>
            </w:r>
          </w:p>
        </w:tc>
        <w:tc>
          <w:tcPr>
            <w:tcW w:w="1087" w:type="dxa"/>
            <w:vMerge w:val="restart"/>
            <w:noWrap w:val="0"/>
            <w:vAlign w:val="center"/>
          </w:tcPr>
          <w:p>
            <w:pPr>
              <w:jc w:val="center"/>
              <w:rPr>
                <w:rFonts w:ascii="Times New Roman" w:hAnsi="Times New Roman" w:eastAsia="等线"/>
                <w:b/>
                <w:color w:val="000000"/>
                <w:sz w:val="28"/>
                <w:szCs w:val="28"/>
              </w:rPr>
            </w:pPr>
            <w:r>
              <w:rPr>
                <w:rFonts w:ascii="Times New Roman" w:hAnsi="Times New Roman" w:eastAsia="等线"/>
                <w:b/>
                <w:color w:val="000000"/>
                <w:sz w:val="28"/>
                <w:szCs w:val="28"/>
              </w:rPr>
              <w:t>283</w:t>
            </w: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浙江省海洋生态环境监测中心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浙江省杭州生态环境监测中心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浙江省宁波生态环境监测中心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浙江省温州生态环境监测中心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浙江省湖州生态环境监测中心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浙江省嘉兴生态环境监测中心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浙江省绍兴生态环境监测中心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浙江省金华生态环境监测中心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浙江省衢州生态环境监测中心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01"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2210"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34"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858" w:type="dxa"/>
            <w:vMerge w:val="continue"/>
            <w:noWrap w:val="0"/>
            <w:vAlign w:val="center"/>
          </w:tcPr>
          <w:p>
            <w:pPr>
              <w:snapToGrid w:val="0"/>
              <w:spacing w:after="120" w:afterLines="50" w:line="240" w:lineRule="auto"/>
              <w:jc w:val="center"/>
              <w:rPr>
                <w:rFonts w:ascii="Times New Roman" w:hAnsi="Times New Roman" w:eastAsia="仿宋_GB2312"/>
                <w:b/>
                <w:sz w:val="28"/>
                <w:szCs w:val="28"/>
              </w:rPr>
            </w:pPr>
          </w:p>
        </w:tc>
        <w:tc>
          <w:tcPr>
            <w:tcW w:w="1087" w:type="dxa"/>
            <w:vMerge w:val="continue"/>
            <w:noWrap w:val="0"/>
            <w:vAlign w:val="center"/>
          </w:tcPr>
          <w:p>
            <w:pPr>
              <w:jc w:val="center"/>
              <w:rPr>
                <w:rFonts w:ascii="Times New Roman" w:hAnsi="Times New Roman" w:eastAsia="等线"/>
                <w:b/>
                <w:color w:val="000000"/>
                <w:sz w:val="28"/>
                <w:szCs w:val="28"/>
              </w:rPr>
            </w:pPr>
          </w:p>
        </w:tc>
        <w:tc>
          <w:tcPr>
            <w:tcW w:w="2370" w:type="dxa"/>
            <w:noWrap w:val="0"/>
            <w:vAlign w:val="center"/>
          </w:tcPr>
          <w:p>
            <w:pPr>
              <w:widowControl/>
              <w:spacing w:line="240" w:lineRule="auto"/>
              <w:ind w:right="-90" w:rightChars="-43"/>
              <w:jc w:val="left"/>
              <w:textAlignment w:val="center"/>
              <w:rPr>
                <w:rFonts w:ascii="Times New Roman" w:hAnsi="Times New Roman" w:eastAsia="仿宋_GB2312"/>
                <w:sz w:val="28"/>
                <w:szCs w:val="28"/>
              </w:rPr>
            </w:pPr>
            <w:r>
              <w:rPr>
                <w:rFonts w:hint="eastAsia" w:ascii="Times New Roman" w:hAnsi="Times New Roman" w:eastAsia="仿宋_GB2312"/>
                <w:sz w:val="28"/>
                <w:szCs w:val="28"/>
              </w:rPr>
              <w:t>浙江省台州生态环境监测中心</w:t>
            </w:r>
          </w:p>
        </w:tc>
        <w:tc>
          <w:tcPr>
            <w:tcW w:w="1111" w:type="dxa"/>
            <w:noWrap w:val="0"/>
            <w:vAlign w:val="center"/>
          </w:tcPr>
          <w:p>
            <w:pPr>
              <w:jc w:val="center"/>
              <w:rPr>
                <w:rFonts w:ascii="Times New Roman" w:hAnsi="Times New Roman" w:eastAsia="等线"/>
                <w:b/>
                <w:color w:val="000000"/>
                <w:sz w:val="28"/>
                <w:szCs w:val="28"/>
              </w:rPr>
            </w:pPr>
            <w:r>
              <w:rPr>
                <w:rFonts w:hint="eastAsia" w:ascii="Times New Roman" w:hAnsi="Times New Roman" w:eastAsia="等线"/>
                <w:b/>
                <w:color w:val="000000"/>
                <w:sz w:val="28"/>
                <w:szCs w:val="28"/>
              </w:rPr>
              <w:t>15</w:t>
            </w:r>
          </w:p>
        </w:tc>
      </w:tr>
    </w:tbl>
    <w:p>
      <w:pPr>
        <w:snapToGrid w:val="0"/>
        <w:spacing w:after="120" w:afterLines="50" w:line="460" w:lineRule="exact"/>
        <w:ind w:left="162" w:leftChars="77"/>
        <w:jc w:val="left"/>
        <w:rPr>
          <w:rFonts w:ascii="Times New Roman" w:hAnsi="Times New Roman" w:eastAsia="仿宋_GB2312"/>
          <w:b/>
          <w:sz w:val="28"/>
          <w:szCs w:val="28"/>
        </w:rPr>
      </w:pPr>
      <w:r>
        <w:rPr>
          <w:rFonts w:ascii="Times New Roman" w:hAnsi="Times New Roman" w:eastAsia="仿宋_GB2312"/>
          <w:b/>
          <w:sz w:val="28"/>
          <w:szCs w:val="28"/>
        </w:rPr>
        <w:t>报价提醒：投标人只需针对各标项的总预算进行分类报价，无需按分预算进行报价。分预算仅用于计算各使用单位与中标方签订合同的实际金额，公式为合同额=中标价×分预算/总预算。</w:t>
      </w:r>
    </w:p>
    <w:p>
      <w:pPr>
        <w:snapToGrid w:val="0"/>
        <w:spacing w:after="120" w:afterLines="50" w:line="460" w:lineRule="exact"/>
        <w:ind w:left="162" w:leftChars="77"/>
        <w:jc w:val="left"/>
        <w:rPr>
          <w:rFonts w:ascii="Times New Roman" w:hAnsi="Times New Roman" w:eastAsia="仿宋_GB2312"/>
          <w:b/>
          <w:sz w:val="28"/>
          <w:szCs w:val="28"/>
        </w:rPr>
      </w:pPr>
    </w:p>
    <w:p>
      <w:pPr>
        <w:snapToGrid w:val="0"/>
        <w:spacing w:after="120" w:afterLines="50" w:line="460" w:lineRule="exact"/>
        <w:ind w:left="0" w:leftChars="0"/>
        <w:jc w:val="left"/>
        <w:rPr>
          <w:rFonts w:ascii="Times New Roman" w:hAnsi="Times New Roman" w:eastAsia="仿宋_GB2312"/>
          <w:b/>
          <w:sz w:val="28"/>
          <w:szCs w:val="28"/>
        </w:rPr>
      </w:pPr>
    </w:p>
    <w:p>
      <w:pPr>
        <w:spacing w:line="360" w:lineRule="auto"/>
        <w:ind w:firstLine="551" w:firstLineChars="196"/>
        <w:contextualSpacing/>
        <w:rPr>
          <w:rFonts w:ascii="Times New Roman" w:hAnsi="Times New Roman"/>
          <w:b/>
          <w:highlight w:val="yellow"/>
          <w:u w:val="single"/>
        </w:rPr>
      </w:pPr>
      <w:r>
        <w:rPr>
          <w:rFonts w:ascii="Times New Roman" w:hAnsi="Times New Roman" w:eastAsia="仿宋"/>
          <w:b/>
          <w:bCs/>
          <w:sz w:val="28"/>
          <w:szCs w:val="28"/>
        </w:rPr>
        <w:t>浙江省大气复合污染立体监测网络（以下简称“监测网络”）功能性站点包括2个超级站、12个区域站、2个背景站、2个移动站和自动称重系统，本次对上述站点2023年度运维工作进行招标，运维时间</w:t>
      </w:r>
      <w:r>
        <w:rPr>
          <w:rFonts w:hint="eastAsia" w:ascii="Times New Roman" w:hAnsi="Times New Roman" w:eastAsia="仿宋"/>
          <w:b/>
          <w:bCs/>
          <w:sz w:val="28"/>
          <w:szCs w:val="28"/>
        </w:rPr>
        <w:t>为</w:t>
      </w:r>
      <w:r>
        <w:rPr>
          <w:rFonts w:ascii="Times New Roman" w:hAnsi="Times New Roman" w:eastAsia="仿宋"/>
          <w:b/>
          <w:bCs/>
          <w:sz w:val="28"/>
          <w:szCs w:val="28"/>
        </w:rPr>
        <w:t>合同签订后</w:t>
      </w:r>
      <w:r>
        <w:rPr>
          <w:rFonts w:hint="eastAsia" w:ascii="Times New Roman" w:hAnsi="Times New Roman" w:eastAsia="仿宋"/>
          <w:b/>
          <w:bCs/>
          <w:sz w:val="28"/>
          <w:szCs w:val="28"/>
        </w:rPr>
        <w:t>1年</w:t>
      </w:r>
    </w:p>
    <w:tbl>
      <w:tblPr>
        <w:tblStyle w:val="59"/>
        <w:tblW w:w="0" w:type="auto"/>
        <w:jc w:val="center"/>
        <w:tblLayout w:type="fixed"/>
        <w:tblCellMar>
          <w:top w:w="0" w:type="dxa"/>
          <w:left w:w="108" w:type="dxa"/>
          <w:bottom w:w="0" w:type="dxa"/>
          <w:right w:w="108" w:type="dxa"/>
        </w:tblCellMar>
      </w:tblPr>
      <w:tblGrid>
        <w:gridCol w:w="675"/>
        <w:gridCol w:w="2494"/>
        <w:gridCol w:w="1543"/>
        <w:gridCol w:w="3706"/>
      </w:tblGrid>
      <w:tr>
        <w:tblPrEx>
          <w:tblCellMar>
            <w:top w:w="0" w:type="dxa"/>
            <w:left w:w="108" w:type="dxa"/>
            <w:bottom w:w="0" w:type="dxa"/>
            <w:right w:w="108" w:type="dxa"/>
          </w:tblCellMar>
        </w:tblPrEx>
        <w:trPr>
          <w:trHeight w:val="465" w:hRule="atLeast"/>
          <w:jc w:val="center"/>
        </w:trPr>
        <w:tc>
          <w:tcPr>
            <w:tcW w:w="675" w:type="dxa"/>
            <w:tcBorders>
              <w:top w:val="single" w:color="000000" w:sz="8" w:space="0"/>
              <w:left w:val="single" w:color="000000" w:sz="8" w:space="0"/>
              <w:bottom w:val="single" w:color="000000" w:sz="8" w:space="0"/>
              <w:right w:val="nil"/>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序号</w:t>
            </w:r>
          </w:p>
        </w:tc>
        <w:tc>
          <w:tcPr>
            <w:tcW w:w="2494" w:type="dxa"/>
            <w:tcBorders>
              <w:top w:val="single" w:color="000000" w:sz="8" w:space="0"/>
              <w:left w:val="single" w:color="000000" w:sz="8"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标项名称</w:t>
            </w:r>
          </w:p>
        </w:tc>
        <w:tc>
          <w:tcPr>
            <w:tcW w:w="1543" w:type="dxa"/>
            <w:tcBorders>
              <w:top w:val="single" w:color="000000" w:sz="8" w:space="0"/>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sz w:val="24"/>
                <w:szCs w:val="24"/>
              </w:rPr>
              <w:t>是否专门面向中小企业</w:t>
            </w:r>
          </w:p>
        </w:tc>
        <w:tc>
          <w:tcPr>
            <w:tcW w:w="3706" w:type="dxa"/>
            <w:tcBorders>
              <w:top w:val="single" w:color="000000" w:sz="8" w:space="0"/>
              <w:left w:val="single" w:color="auto" w:sz="4" w:space="0"/>
              <w:bottom w:val="single" w:color="000000" w:sz="8" w:space="0"/>
              <w:right w:val="single" w:color="auto" w:sz="4" w:space="0"/>
            </w:tcBorders>
            <w:noWrap w:val="0"/>
            <w:vAlign w:val="center"/>
          </w:tcPr>
          <w:p>
            <w:pPr>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关联站位</w:t>
            </w:r>
          </w:p>
        </w:tc>
      </w:tr>
      <w:tr>
        <w:tblPrEx>
          <w:tblCellMar>
            <w:top w:w="0" w:type="dxa"/>
            <w:left w:w="108" w:type="dxa"/>
            <w:bottom w:w="0" w:type="dxa"/>
            <w:right w:w="108" w:type="dxa"/>
          </w:tblCellMar>
        </w:tblPrEx>
        <w:trPr>
          <w:trHeight w:val="898" w:hRule="atLeast"/>
          <w:jc w:val="center"/>
        </w:trPr>
        <w:tc>
          <w:tcPr>
            <w:tcW w:w="675" w:type="dxa"/>
            <w:tcBorders>
              <w:top w:val="nil"/>
              <w:left w:val="single" w:color="000000" w:sz="8" w:space="0"/>
              <w:bottom w:val="nil"/>
              <w:right w:val="nil"/>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1</w:t>
            </w:r>
          </w:p>
        </w:tc>
        <w:tc>
          <w:tcPr>
            <w:tcW w:w="2494" w:type="dxa"/>
            <w:tcBorders>
              <w:top w:val="nil"/>
              <w:left w:val="single" w:color="000000" w:sz="8" w:space="0"/>
              <w:bottom w:val="single" w:color="000000" w:sz="8" w:space="0"/>
              <w:right w:val="single" w:color="auto" w:sz="4" w:space="0"/>
            </w:tcBorders>
            <w:noWrap w:val="0"/>
            <w:vAlign w:val="center"/>
          </w:tcPr>
          <w:p>
            <w:pPr>
              <w:widowControl/>
              <w:jc w:val="left"/>
              <w:textAlignment w:val="center"/>
              <w:rPr>
                <w:rFonts w:ascii="Times New Roman" w:hAnsi="Times New Roman" w:eastAsia="仿宋_GB2312"/>
                <w:sz w:val="24"/>
                <w:szCs w:val="24"/>
              </w:rPr>
            </w:pPr>
            <w:r>
              <w:rPr>
                <w:rFonts w:ascii="Times New Roman" w:hAnsi="Times New Roman" w:eastAsia="仿宋_GB2312"/>
                <w:sz w:val="24"/>
                <w:szCs w:val="24"/>
              </w:rPr>
              <w:t>2023年度浙江省大气复合污染立体监测网络功能性站点运行维护标项一</w:t>
            </w:r>
          </w:p>
        </w:tc>
        <w:tc>
          <w:tcPr>
            <w:tcW w:w="1543"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是</w:t>
            </w:r>
          </w:p>
        </w:tc>
        <w:tc>
          <w:tcPr>
            <w:tcW w:w="3706"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塘雅中学、善西、游埠小学、海宁、新塘港</w:t>
            </w:r>
          </w:p>
        </w:tc>
      </w:tr>
      <w:tr>
        <w:tblPrEx>
          <w:tblCellMar>
            <w:top w:w="0" w:type="dxa"/>
            <w:left w:w="108" w:type="dxa"/>
            <w:bottom w:w="0" w:type="dxa"/>
            <w:right w:w="108" w:type="dxa"/>
          </w:tblCellMar>
        </w:tblPrEx>
        <w:trPr>
          <w:trHeight w:val="840" w:hRule="atLeast"/>
          <w:jc w:val="center"/>
        </w:trPr>
        <w:tc>
          <w:tcPr>
            <w:tcW w:w="675" w:type="dxa"/>
            <w:tcBorders>
              <w:top w:val="single" w:color="000000" w:sz="8" w:space="0"/>
              <w:left w:val="single" w:color="000000" w:sz="8" w:space="0"/>
              <w:bottom w:val="nil"/>
              <w:right w:val="nil"/>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2</w:t>
            </w:r>
          </w:p>
        </w:tc>
        <w:tc>
          <w:tcPr>
            <w:tcW w:w="2494" w:type="dxa"/>
            <w:tcBorders>
              <w:top w:val="nil"/>
              <w:left w:val="single" w:color="000000" w:sz="8" w:space="0"/>
              <w:bottom w:val="single" w:color="000000" w:sz="8" w:space="0"/>
              <w:right w:val="single" w:color="auto" w:sz="4" w:space="0"/>
            </w:tcBorders>
            <w:noWrap w:val="0"/>
            <w:vAlign w:val="center"/>
          </w:tcPr>
          <w:p>
            <w:pPr>
              <w:widowControl/>
              <w:jc w:val="left"/>
              <w:textAlignment w:val="center"/>
              <w:rPr>
                <w:rFonts w:ascii="Times New Roman" w:hAnsi="Times New Roman" w:eastAsia="仿宋_GB2312"/>
                <w:sz w:val="24"/>
                <w:szCs w:val="24"/>
              </w:rPr>
            </w:pPr>
            <w:r>
              <w:rPr>
                <w:rFonts w:ascii="Times New Roman" w:hAnsi="Times New Roman" w:eastAsia="仿宋_GB2312"/>
                <w:sz w:val="24"/>
                <w:szCs w:val="24"/>
              </w:rPr>
              <w:t>2023年度浙江省大气复合污染立体监测网络功能性站点运行维护标项二</w:t>
            </w:r>
          </w:p>
        </w:tc>
        <w:tc>
          <w:tcPr>
            <w:tcW w:w="1543"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是</w:t>
            </w:r>
          </w:p>
        </w:tc>
        <w:tc>
          <w:tcPr>
            <w:tcW w:w="3706"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善西、海宁、新塘港、昌化、渔山、千岛湖、滨海新城、江山</w:t>
            </w:r>
          </w:p>
        </w:tc>
      </w:tr>
      <w:tr>
        <w:tblPrEx>
          <w:tblCellMar>
            <w:top w:w="0" w:type="dxa"/>
            <w:left w:w="108" w:type="dxa"/>
            <w:bottom w:w="0" w:type="dxa"/>
            <w:right w:w="108" w:type="dxa"/>
          </w:tblCellMar>
        </w:tblPrEx>
        <w:trPr>
          <w:trHeight w:val="966" w:hRule="atLeast"/>
          <w:jc w:val="center"/>
        </w:trPr>
        <w:tc>
          <w:tcPr>
            <w:tcW w:w="675" w:type="dxa"/>
            <w:tcBorders>
              <w:top w:val="single" w:color="000000" w:sz="8" w:space="0"/>
              <w:left w:val="single" w:color="000000" w:sz="8" w:space="0"/>
              <w:bottom w:val="single" w:color="000000" w:sz="8" w:space="0"/>
              <w:right w:val="nil"/>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3</w:t>
            </w:r>
          </w:p>
        </w:tc>
        <w:tc>
          <w:tcPr>
            <w:tcW w:w="2494" w:type="dxa"/>
            <w:tcBorders>
              <w:top w:val="nil"/>
              <w:left w:val="single" w:color="000000" w:sz="8" w:space="0"/>
              <w:bottom w:val="single" w:color="000000" w:sz="8" w:space="0"/>
              <w:right w:val="single" w:color="auto" w:sz="4" w:space="0"/>
            </w:tcBorders>
            <w:noWrap w:val="0"/>
            <w:vAlign w:val="center"/>
          </w:tcPr>
          <w:p>
            <w:pPr>
              <w:widowControl/>
              <w:jc w:val="left"/>
              <w:textAlignment w:val="center"/>
              <w:rPr>
                <w:rFonts w:ascii="Times New Roman" w:hAnsi="Times New Roman" w:eastAsia="仿宋_GB2312"/>
                <w:sz w:val="24"/>
                <w:szCs w:val="24"/>
              </w:rPr>
            </w:pPr>
            <w:r>
              <w:rPr>
                <w:rFonts w:ascii="Times New Roman" w:hAnsi="Times New Roman" w:eastAsia="仿宋_GB2312"/>
                <w:sz w:val="24"/>
                <w:szCs w:val="24"/>
              </w:rPr>
              <w:t>2023年度浙江省大气复合污染立体监测网络功能性站点运行维护标项三</w:t>
            </w:r>
          </w:p>
        </w:tc>
        <w:tc>
          <w:tcPr>
            <w:tcW w:w="1543"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否</w:t>
            </w:r>
          </w:p>
        </w:tc>
        <w:tc>
          <w:tcPr>
            <w:tcW w:w="3706"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塘雅中学、游埠小学、滕头村、杭州湾湿地、嵊泗、桥下、陈蔡水库、里石门水库</w:t>
            </w:r>
          </w:p>
        </w:tc>
      </w:tr>
      <w:tr>
        <w:tblPrEx>
          <w:tblCellMar>
            <w:top w:w="0" w:type="dxa"/>
            <w:left w:w="108" w:type="dxa"/>
            <w:bottom w:w="0" w:type="dxa"/>
            <w:right w:w="108" w:type="dxa"/>
          </w:tblCellMar>
        </w:tblPrEx>
        <w:trPr>
          <w:trHeight w:val="966" w:hRule="atLeast"/>
          <w:jc w:val="center"/>
        </w:trPr>
        <w:tc>
          <w:tcPr>
            <w:tcW w:w="675" w:type="dxa"/>
            <w:tcBorders>
              <w:top w:val="single" w:color="000000" w:sz="8" w:space="0"/>
              <w:left w:val="single" w:color="000000" w:sz="8" w:space="0"/>
              <w:bottom w:val="single" w:color="000000" w:sz="8" w:space="0"/>
              <w:right w:val="nil"/>
            </w:tcBorders>
            <w:noWrap w:val="0"/>
            <w:vAlign w:val="center"/>
          </w:tcPr>
          <w:p>
            <w:pPr>
              <w:widowControl/>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4</w:t>
            </w:r>
          </w:p>
        </w:tc>
        <w:tc>
          <w:tcPr>
            <w:tcW w:w="2494" w:type="dxa"/>
            <w:tcBorders>
              <w:top w:val="nil"/>
              <w:left w:val="single" w:color="000000" w:sz="8" w:space="0"/>
              <w:bottom w:val="single" w:color="000000" w:sz="8" w:space="0"/>
              <w:right w:val="single" w:color="auto" w:sz="4" w:space="0"/>
            </w:tcBorders>
            <w:noWrap w:val="0"/>
            <w:vAlign w:val="center"/>
          </w:tcPr>
          <w:p>
            <w:pPr>
              <w:widowControl/>
              <w:jc w:val="left"/>
              <w:textAlignment w:val="center"/>
              <w:rPr>
                <w:rFonts w:ascii="Times New Roman" w:hAnsi="Times New Roman" w:eastAsia="仿宋_GB2312"/>
                <w:sz w:val="24"/>
                <w:szCs w:val="24"/>
              </w:rPr>
            </w:pPr>
            <w:r>
              <w:rPr>
                <w:rFonts w:ascii="Times New Roman" w:hAnsi="Times New Roman" w:eastAsia="仿宋_GB2312"/>
                <w:sz w:val="24"/>
                <w:szCs w:val="24"/>
              </w:rPr>
              <w:t>2023年度浙江省大气复合污染立体监测网络功能性站点运行维护标项四</w:t>
            </w:r>
          </w:p>
        </w:tc>
        <w:tc>
          <w:tcPr>
            <w:tcW w:w="1543"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是</w:t>
            </w:r>
          </w:p>
        </w:tc>
        <w:tc>
          <w:tcPr>
            <w:tcW w:w="3706" w:type="dxa"/>
            <w:tcBorders>
              <w:top w:val="nil"/>
              <w:left w:val="single" w:color="auto" w:sz="4" w:space="0"/>
              <w:bottom w:val="single" w:color="000000" w:sz="8" w:space="0"/>
              <w:right w:val="single" w:color="auto" w:sz="4" w:space="0"/>
            </w:tcBorders>
            <w:noWrap w:val="0"/>
            <w:vAlign w:val="center"/>
          </w:tcPr>
          <w:p>
            <w:pPr>
              <w:widowControl/>
              <w:textAlignment w:val="center"/>
              <w:rPr>
                <w:rFonts w:ascii="Times New Roman" w:hAnsi="Times New Roman" w:eastAsia="仿宋"/>
                <w:color w:val="000000"/>
                <w:sz w:val="24"/>
                <w:szCs w:val="24"/>
              </w:rPr>
            </w:pPr>
            <w:r>
              <w:rPr>
                <w:rFonts w:ascii="Times New Roman" w:hAnsi="Times New Roman" w:eastAsia="仿宋"/>
                <w:color w:val="000000"/>
                <w:kern w:val="0"/>
                <w:sz w:val="24"/>
                <w:szCs w:val="24"/>
                <w:lang w:bidi="ar"/>
              </w:rPr>
              <w:t>善西、塘雅中学、滨海新城、陈蔡水库、滕头村、杭州湾湿地、千岛湖、里石门水库、游埠小学、海宁、新塘港、昌化、江山</w:t>
            </w:r>
          </w:p>
        </w:tc>
      </w:tr>
      <w:tr>
        <w:tblPrEx>
          <w:tblCellMar>
            <w:top w:w="0" w:type="dxa"/>
            <w:left w:w="108" w:type="dxa"/>
            <w:bottom w:w="0" w:type="dxa"/>
            <w:right w:w="108" w:type="dxa"/>
          </w:tblCellMar>
        </w:tblPrEx>
        <w:trPr>
          <w:trHeight w:val="979" w:hRule="atLeast"/>
          <w:jc w:val="center"/>
        </w:trPr>
        <w:tc>
          <w:tcPr>
            <w:tcW w:w="675" w:type="dxa"/>
            <w:tcBorders>
              <w:top w:val="nil"/>
              <w:left w:val="single" w:color="000000" w:sz="8" w:space="0"/>
              <w:bottom w:val="single" w:color="000000" w:sz="8" w:space="0"/>
              <w:right w:val="nil"/>
            </w:tcBorders>
            <w:noWrap w:val="0"/>
            <w:vAlign w:val="center"/>
          </w:tcPr>
          <w:p>
            <w:pPr>
              <w:widowControl/>
              <w:jc w:val="center"/>
              <w:textAlignment w:val="center"/>
              <w:rPr>
                <w:rFonts w:ascii="Times New Roman" w:hAnsi="Times New Roman" w:eastAsia="仿宋_GB2312"/>
                <w:sz w:val="24"/>
                <w:szCs w:val="24"/>
              </w:rPr>
            </w:pPr>
            <w:r>
              <w:rPr>
                <w:rFonts w:hint="eastAsia" w:ascii="Times New Roman" w:hAnsi="Times New Roman" w:eastAsia="仿宋_GB2312"/>
                <w:sz w:val="24"/>
                <w:szCs w:val="24"/>
              </w:rPr>
              <w:t>5</w:t>
            </w:r>
          </w:p>
        </w:tc>
        <w:tc>
          <w:tcPr>
            <w:tcW w:w="2494" w:type="dxa"/>
            <w:tcBorders>
              <w:top w:val="nil"/>
              <w:left w:val="single" w:color="000000" w:sz="8" w:space="0"/>
              <w:bottom w:val="single" w:color="000000" w:sz="8" w:space="0"/>
              <w:right w:val="single" w:color="auto" w:sz="4" w:space="0"/>
            </w:tcBorders>
            <w:noWrap w:val="0"/>
            <w:vAlign w:val="center"/>
          </w:tcPr>
          <w:p>
            <w:pPr>
              <w:widowControl/>
              <w:jc w:val="left"/>
              <w:textAlignment w:val="center"/>
              <w:rPr>
                <w:rFonts w:ascii="Times New Roman" w:hAnsi="Times New Roman" w:eastAsia="仿宋_GB2312"/>
                <w:sz w:val="24"/>
                <w:szCs w:val="24"/>
              </w:rPr>
            </w:pPr>
            <w:r>
              <w:rPr>
                <w:rFonts w:ascii="Times New Roman" w:hAnsi="Times New Roman" w:eastAsia="仿宋_GB2312"/>
                <w:sz w:val="24"/>
                <w:szCs w:val="24"/>
              </w:rPr>
              <w:t>2023年度浙江省大气复合污染立体监测网络功能性站点运行维护标项</w:t>
            </w:r>
            <w:r>
              <w:rPr>
                <w:rFonts w:hint="eastAsia" w:ascii="Times New Roman" w:hAnsi="Times New Roman" w:eastAsia="仿宋_GB2312"/>
                <w:sz w:val="24"/>
                <w:szCs w:val="24"/>
              </w:rPr>
              <w:t>五</w:t>
            </w:r>
          </w:p>
        </w:tc>
        <w:tc>
          <w:tcPr>
            <w:tcW w:w="1543" w:type="dxa"/>
            <w:tcBorders>
              <w:top w:val="nil"/>
              <w:left w:val="single" w:color="auto" w:sz="4" w:space="0"/>
              <w:bottom w:val="single" w:color="000000" w:sz="8" w:space="0"/>
              <w:right w:val="single" w:color="auto" w:sz="4" w:space="0"/>
            </w:tcBorders>
            <w:noWrap w:val="0"/>
            <w:vAlign w:val="center"/>
          </w:tcPr>
          <w:p>
            <w:pPr>
              <w:widowControl/>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是</w:t>
            </w:r>
          </w:p>
        </w:tc>
        <w:tc>
          <w:tcPr>
            <w:tcW w:w="3706" w:type="dxa"/>
            <w:tcBorders>
              <w:top w:val="nil"/>
              <w:left w:val="single" w:color="auto" w:sz="4" w:space="0"/>
              <w:bottom w:val="single" w:color="000000" w:sz="8" w:space="0"/>
              <w:right w:val="single" w:color="auto" w:sz="4" w:space="0"/>
            </w:tcBorders>
            <w:noWrap w:val="0"/>
            <w:vAlign w:val="center"/>
          </w:tcPr>
          <w:p>
            <w:pPr>
              <w:widowControl/>
              <w:textAlignment w:val="center"/>
              <w:rPr>
                <w:rFonts w:ascii="Times New Roman" w:hAnsi="Times New Roman" w:eastAsia="仿宋"/>
                <w:color w:val="000000"/>
                <w:kern w:val="0"/>
                <w:sz w:val="24"/>
                <w:szCs w:val="24"/>
                <w:lang w:bidi="ar"/>
              </w:rPr>
            </w:pPr>
            <w:r>
              <w:rPr>
                <w:rFonts w:ascii="Times New Roman" w:hAnsi="Times New Roman" w:eastAsia="仿宋"/>
                <w:color w:val="000000"/>
                <w:kern w:val="0"/>
                <w:sz w:val="24"/>
                <w:szCs w:val="24"/>
                <w:lang w:bidi="ar"/>
              </w:rPr>
              <w:t>善西、塘雅中学、滨海新城</w:t>
            </w:r>
            <w:r>
              <w:rPr>
                <w:rFonts w:hint="eastAsia" w:ascii="Times New Roman" w:hAnsi="Times New Roman" w:eastAsia="仿宋"/>
                <w:color w:val="000000"/>
                <w:kern w:val="0"/>
                <w:sz w:val="24"/>
                <w:szCs w:val="24"/>
                <w:lang w:bidi="ar"/>
              </w:rPr>
              <w:t>、</w:t>
            </w:r>
            <w:r>
              <w:rPr>
                <w:rFonts w:ascii="Times New Roman" w:hAnsi="Times New Roman" w:eastAsia="仿宋"/>
                <w:color w:val="000000"/>
                <w:kern w:val="0"/>
                <w:sz w:val="24"/>
                <w:szCs w:val="24"/>
                <w:lang w:bidi="ar"/>
              </w:rPr>
              <w:t>陈蔡水库、</w:t>
            </w:r>
            <w:r>
              <w:rPr>
                <w:rFonts w:hint="eastAsia" w:ascii="Times New Roman" w:hAnsi="Times New Roman" w:eastAsia="仿宋"/>
                <w:color w:val="000000"/>
                <w:kern w:val="0"/>
                <w:sz w:val="24"/>
                <w:szCs w:val="24"/>
                <w:lang w:bidi="ar"/>
              </w:rPr>
              <w:t>渔山、</w:t>
            </w:r>
            <w:r>
              <w:rPr>
                <w:rFonts w:ascii="Times New Roman" w:hAnsi="Times New Roman" w:eastAsia="仿宋"/>
                <w:color w:val="000000"/>
                <w:kern w:val="0"/>
                <w:sz w:val="24"/>
                <w:szCs w:val="24"/>
                <w:lang w:bidi="ar"/>
              </w:rPr>
              <w:t>滕头村、杭州湾湿地、千岛湖、里石门水库、游埠小学、海宁、新塘港、昌化、江山</w:t>
            </w:r>
            <w:r>
              <w:rPr>
                <w:rFonts w:hint="eastAsia" w:ascii="Times New Roman" w:hAnsi="Times New Roman" w:eastAsia="仿宋"/>
                <w:color w:val="000000"/>
                <w:kern w:val="0"/>
                <w:sz w:val="24"/>
                <w:szCs w:val="24"/>
                <w:lang w:bidi="ar"/>
              </w:rPr>
              <w:t>、桥下</w:t>
            </w:r>
          </w:p>
        </w:tc>
      </w:tr>
    </w:tbl>
    <w:p>
      <w:pPr>
        <w:spacing w:line="360" w:lineRule="auto"/>
        <w:contextualSpacing/>
        <w:jc w:val="left"/>
        <w:outlineLvl w:val="0"/>
        <w:rPr>
          <w:rFonts w:ascii="Times New Roman" w:hAnsi="Times New Roman"/>
          <w:b/>
          <w:bCs/>
          <w:sz w:val="22"/>
          <w:szCs w:val="24"/>
        </w:rPr>
      </w:pPr>
    </w:p>
    <w:p>
      <w:pPr>
        <w:spacing w:line="360" w:lineRule="auto"/>
        <w:contextualSpacing/>
        <w:jc w:val="left"/>
        <w:outlineLvl w:val="0"/>
        <w:rPr>
          <w:rFonts w:ascii="Times New Roman" w:hAnsi="Times New Roman"/>
          <w:b/>
          <w:bCs/>
          <w:sz w:val="28"/>
          <w:szCs w:val="32"/>
        </w:rPr>
      </w:pPr>
      <w:r>
        <w:rPr>
          <w:rFonts w:ascii="Times New Roman" w:hAnsi="Times New Roman"/>
          <w:b/>
          <w:bCs/>
          <w:sz w:val="28"/>
          <w:szCs w:val="32"/>
        </w:rPr>
        <w:t>一、各标项具体内容</w:t>
      </w:r>
    </w:p>
    <w:p>
      <w:pPr>
        <w:spacing w:line="440" w:lineRule="exact"/>
        <w:contextualSpacing/>
        <w:jc w:val="left"/>
        <w:outlineLvl w:val="1"/>
        <w:rPr>
          <w:rFonts w:ascii="Times New Roman" w:hAnsi="Times New Roman" w:eastAsia="仿宋"/>
          <w:b/>
          <w:sz w:val="28"/>
          <w:szCs w:val="32"/>
        </w:rPr>
      </w:pPr>
      <w:r>
        <w:rPr>
          <w:rFonts w:ascii="Times New Roman" w:hAnsi="Times New Roman" w:eastAsia="仿宋"/>
          <w:b/>
          <w:sz w:val="24"/>
          <w:szCs w:val="28"/>
        </w:rPr>
        <w:t>1</w:t>
      </w:r>
      <w:r>
        <w:rPr>
          <w:rFonts w:ascii="Times New Roman" w:hAnsi="Times New Roman" w:eastAsia="仿宋"/>
          <w:b/>
          <w:sz w:val="28"/>
          <w:szCs w:val="32"/>
        </w:rPr>
        <w:t>、标项一</w:t>
      </w:r>
    </w:p>
    <w:p>
      <w:pPr>
        <w:spacing w:line="440" w:lineRule="exact"/>
        <w:ind w:firstLine="560" w:firstLineChars="200"/>
        <w:contextualSpacing/>
        <w:jc w:val="left"/>
        <w:rPr>
          <w:rFonts w:ascii="Times New Roman" w:hAnsi="Times New Roman" w:eastAsia="仿宋"/>
          <w:sz w:val="28"/>
          <w:szCs w:val="32"/>
        </w:rPr>
      </w:pPr>
      <w:bookmarkStart w:id="33" w:name="OLE_LINK5"/>
      <w:r>
        <w:rPr>
          <w:rFonts w:ascii="Times New Roman" w:hAnsi="Times New Roman" w:eastAsia="仿宋"/>
          <w:sz w:val="28"/>
          <w:szCs w:val="32"/>
        </w:rPr>
        <w:t>对下列站点的仪器进行维护</w:t>
      </w:r>
      <w:bookmarkStart w:id="34" w:name="OLE_LINK3"/>
      <w:r>
        <w:rPr>
          <w:rFonts w:ascii="Times New Roman" w:hAnsi="Times New Roman" w:eastAsia="仿宋"/>
          <w:sz w:val="28"/>
          <w:szCs w:val="32"/>
        </w:rPr>
        <w:t>、维修</w:t>
      </w:r>
      <w:bookmarkStart w:id="35" w:name="OLE_LINK4"/>
      <w:r>
        <w:rPr>
          <w:rFonts w:ascii="Times New Roman" w:hAnsi="Times New Roman" w:eastAsia="仿宋"/>
          <w:sz w:val="28"/>
          <w:szCs w:val="32"/>
        </w:rPr>
        <w:t>、耗材</w:t>
      </w:r>
      <w:bookmarkEnd w:id="34"/>
      <w:bookmarkEnd w:id="35"/>
      <w:r>
        <w:rPr>
          <w:rFonts w:ascii="Times New Roman" w:hAnsi="Times New Roman" w:eastAsia="仿宋"/>
          <w:sz w:val="28"/>
          <w:szCs w:val="32"/>
        </w:rPr>
        <w:t>备品备件更换及数据初审。</w:t>
      </w:r>
    </w:p>
    <w:bookmarkEnd w:id="33"/>
    <w:tbl>
      <w:tblPr>
        <w:tblStyle w:val="59"/>
        <w:tblW w:w="0" w:type="auto"/>
        <w:tblInd w:w="0" w:type="dxa"/>
        <w:tblLayout w:type="fixed"/>
        <w:tblCellMar>
          <w:top w:w="0" w:type="dxa"/>
          <w:left w:w="108" w:type="dxa"/>
          <w:bottom w:w="0" w:type="dxa"/>
          <w:right w:w="108" w:type="dxa"/>
        </w:tblCellMar>
      </w:tblPr>
      <w:tblGrid>
        <w:gridCol w:w="1668"/>
        <w:gridCol w:w="2452"/>
        <w:gridCol w:w="2367"/>
        <w:gridCol w:w="2410"/>
      </w:tblGrid>
      <w:tr>
        <w:tblPrEx>
          <w:tblCellMar>
            <w:top w:w="0" w:type="dxa"/>
            <w:left w:w="108" w:type="dxa"/>
            <w:bottom w:w="0" w:type="dxa"/>
            <w:right w:w="108" w:type="dxa"/>
          </w:tblCellMar>
        </w:tblPrEx>
        <w:trPr>
          <w:trHeight w:val="284" w:hRule="atLeast"/>
        </w:trPr>
        <w:tc>
          <w:tcPr>
            <w:tcW w:w="1668" w:type="dxa"/>
            <w:tcBorders>
              <w:top w:val="single" w:color="000000" w:sz="8" w:space="0"/>
              <w:left w:val="single" w:color="auto" w:sz="4"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关联站位</w:t>
            </w:r>
          </w:p>
        </w:tc>
        <w:tc>
          <w:tcPr>
            <w:tcW w:w="2452" w:type="dxa"/>
            <w:tcBorders>
              <w:top w:val="single" w:color="000000" w:sz="8" w:space="0"/>
              <w:left w:val="single" w:color="000000" w:sz="8"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主要内容</w:t>
            </w:r>
          </w:p>
        </w:tc>
        <w:tc>
          <w:tcPr>
            <w:tcW w:w="2367" w:type="dxa"/>
            <w:tcBorders>
              <w:top w:val="single" w:color="000000" w:sz="8" w:space="0"/>
              <w:left w:val="single" w:color="000000" w:sz="8"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仪器型号</w:t>
            </w:r>
          </w:p>
        </w:tc>
        <w:tc>
          <w:tcPr>
            <w:tcW w:w="2410" w:type="dxa"/>
            <w:tcBorders>
              <w:top w:val="single" w:color="000000" w:sz="8" w:space="0"/>
              <w:left w:val="single" w:color="000000" w:sz="8"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厂家</w:t>
            </w:r>
          </w:p>
        </w:tc>
      </w:tr>
      <w:tr>
        <w:tblPrEx>
          <w:tblCellMar>
            <w:top w:w="0" w:type="dxa"/>
            <w:left w:w="108" w:type="dxa"/>
            <w:bottom w:w="0" w:type="dxa"/>
            <w:right w:w="108" w:type="dxa"/>
          </w:tblCellMar>
        </w:tblPrEx>
        <w:trPr>
          <w:trHeight w:val="284" w:hRule="atLeast"/>
        </w:trPr>
        <w:tc>
          <w:tcPr>
            <w:tcW w:w="1668" w:type="dxa"/>
            <w:vMerge w:val="restart"/>
            <w:tcBorders>
              <w:top w:val="single" w:color="000000" w:sz="8"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塘雅中学</w:t>
            </w:r>
          </w:p>
        </w:tc>
        <w:tc>
          <w:tcPr>
            <w:tcW w:w="2452" w:type="dxa"/>
            <w:tcBorders>
              <w:top w:val="single" w:color="000000" w:sz="8"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367" w:type="dxa"/>
            <w:tcBorders>
              <w:top w:val="single" w:color="000000" w:sz="8"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48i-TLE</w:t>
            </w:r>
          </w:p>
        </w:tc>
        <w:tc>
          <w:tcPr>
            <w:tcW w:w="2410" w:type="dxa"/>
            <w:tcBorders>
              <w:top w:val="single" w:color="000000" w:sz="8"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43i-TLE</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49i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17i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42i-TL</w:t>
            </w:r>
          </w:p>
        </w:tc>
        <w:tc>
          <w:tcPr>
            <w:tcW w:w="2410"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single" w:color="auto" w:sz="4"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42i-Y</w:t>
            </w:r>
          </w:p>
        </w:tc>
        <w:tc>
          <w:tcPr>
            <w:tcW w:w="2410" w:type="dxa"/>
            <w:tcBorders>
              <w:top w:val="single" w:color="auto" w:sz="4" w:space="0"/>
              <w:left w:val="nil"/>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SHARP 5030</w:t>
            </w:r>
          </w:p>
        </w:tc>
        <w:tc>
          <w:tcPr>
            <w:tcW w:w="2410" w:type="dxa"/>
            <w:tcBorders>
              <w:top w:val="nil"/>
              <w:left w:val="nil"/>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1405/1405F</w:t>
            </w:r>
          </w:p>
        </w:tc>
        <w:tc>
          <w:tcPr>
            <w:tcW w:w="2410"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CO2</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410i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甲烷/非甲烷</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55i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111和1160</w:t>
            </w:r>
          </w:p>
        </w:tc>
        <w:tc>
          <w:tcPr>
            <w:tcW w:w="2410"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URG9000B+ICS1100</w:t>
            </w:r>
          </w:p>
        </w:tc>
        <w:tc>
          <w:tcPr>
            <w:tcW w:w="2410"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restart"/>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善西</w:t>
            </w: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48i-TLE</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43i-TLE</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49i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17i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42i-TL</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42i-Y</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SHARP 5030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1405/1405F</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CO2</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410i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甲烷/非甲烷</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55i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111和1160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auto" w:sz="4"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URG9000B+ICS1100</w:t>
            </w:r>
          </w:p>
        </w:tc>
        <w:tc>
          <w:tcPr>
            <w:tcW w:w="2410"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restart"/>
            <w:tcBorders>
              <w:top w:val="single" w:color="auto" w:sz="4" w:space="0"/>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游埠小学</w:t>
            </w:r>
          </w:p>
        </w:tc>
        <w:tc>
          <w:tcPr>
            <w:tcW w:w="2452" w:type="dxa"/>
            <w:tcBorders>
              <w:top w:val="single" w:color="auto" w:sz="4" w:space="0"/>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367" w:type="dxa"/>
            <w:tcBorders>
              <w:top w:val="single" w:color="auto" w:sz="4" w:space="0"/>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48i-TLE</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auto" w:sz="4"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43i-TLE</w:t>
            </w:r>
          </w:p>
        </w:tc>
        <w:tc>
          <w:tcPr>
            <w:tcW w:w="2410"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49i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17i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42i-TL</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42i-Y</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SHARP 5030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111和1160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restart"/>
            <w:tcBorders>
              <w:top w:val="single" w:color="auto" w:sz="4" w:space="0"/>
              <w:left w:val="single" w:color="auto" w:sz="4" w:space="0"/>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东方学院</w:t>
            </w: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48i-TLE</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43i-TLE</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49i</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17i</w:t>
            </w:r>
          </w:p>
        </w:tc>
        <w:tc>
          <w:tcPr>
            <w:tcW w:w="2410"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single" w:color="auto" w:sz="4"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42i-TL</w:t>
            </w:r>
          </w:p>
        </w:tc>
        <w:tc>
          <w:tcPr>
            <w:tcW w:w="2410" w:type="dxa"/>
            <w:tcBorders>
              <w:top w:val="single" w:color="auto" w:sz="4" w:space="0"/>
              <w:left w:val="nil"/>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42i-Y</w:t>
            </w:r>
          </w:p>
        </w:tc>
        <w:tc>
          <w:tcPr>
            <w:tcW w:w="2410" w:type="dxa"/>
            <w:tcBorders>
              <w:top w:val="nil"/>
              <w:left w:val="nil"/>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single" w:color="auto" w:sz="4"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SHARP 5030</w:t>
            </w:r>
          </w:p>
        </w:tc>
        <w:tc>
          <w:tcPr>
            <w:tcW w:w="2410"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111和1160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tcBorders>
              <w:top w:val="nil"/>
              <w:left w:val="single" w:color="auto" w:sz="4" w:space="0"/>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昌化</w:t>
            </w: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URG9000B+ICS1100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tcBorders>
              <w:top w:val="nil"/>
              <w:left w:val="single" w:color="auto" w:sz="4" w:space="0"/>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石门镇中学</w:t>
            </w: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URG9000B+ICS1100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新塘港</w:t>
            </w:r>
          </w:p>
        </w:tc>
        <w:tc>
          <w:tcPr>
            <w:tcW w:w="2452" w:type="dxa"/>
            <w:tcBorders>
              <w:top w:val="nil"/>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367"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SHARP 5030i</w:t>
            </w:r>
          </w:p>
        </w:tc>
        <w:tc>
          <w:tcPr>
            <w:tcW w:w="2410"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p>
        </w:tc>
        <w:tc>
          <w:tcPr>
            <w:tcW w:w="2452"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367" w:type="dxa"/>
            <w:tcBorders>
              <w:top w:val="single" w:color="auto" w:sz="4" w:space="0"/>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p>
        </w:tc>
        <w:tc>
          <w:tcPr>
            <w:tcW w:w="2452" w:type="dxa"/>
            <w:tcBorders>
              <w:top w:val="single" w:color="auto" w:sz="4"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367"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ZF-PKU-GAC 6303</w:t>
            </w:r>
          </w:p>
        </w:tc>
        <w:tc>
          <w:tcPr>
            <w:tcW w:w="2410"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北京鹏宇</w:t>
            </w:r>
          </w:p>
        </w:tc>
      </w:tr>
      <w:tr>
        <w:tblPrEx>
          <w:tblCellMar>
            <w:top w:w="0" w:type="dxa"/>
            <w:left w:w="108" w:type="dxa"/>
            <w:bottom w:w="0" w:type="dxa"/>
            <w:right w:w="108" w:type="dxa"/>
          </w:tblCellMar>
        </w:tblPrEx>
        <w:trPr>
          <w:trHeight w:val="284" w:hRule="atLeast"/>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367"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111和1160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bl>
    <w:p>
      <w:pPr>
        <w:spacing w:line="360" w:lineRule="auto"/>
        <w:contextualSpacing/>
        <w:jc w:val="left"/>
        <w:rPr>
          <w:rFonts w:ascii="Times New Roman" w:hAnsi="Times New Roman" w:eastAsia="仿宋"/>
          <w:sz w:val="24"/>
          <w:szCs w:val="28"/>
        </w:rPr>
      </w:pPr>
    </w:p>
    <w:p>
      <w:pPr>
        <w:spacing w:line="360" w:lineRule="auto"/>
        <w:contextualSpacing/>
        <w:jc w:val="left"/>
        <w:outlineLvl w:val="1"/>
        <w:rPr>
          <w:rFonts w:ascii="Times New Roman" w:hAnsi="Times New Roman" w:eastAsia="仿宋"/>
          <w:b/>
          <w:sz w:val="28"/>
          <w:szCs w:val="32"/>
        </w:rPr>
      </w:pPr>
      <w:r>
        <w:rPr>
          <w:rFonts w:ascii="Times New Roman" w:hAnsi="Times New Roman" w:eastAsia="仿宋"/>
          <w:b/>
          <w:sz w:val="28"/>
          <w:szCs w:val="32"/>
        </w:rPr>
        <w:t>2、标项二</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包括善西、东方学院、新塘港、昌化、渔山、千岛湖温馨岛、滨海新城、石门镇中学功能性站点的的全年电费</w:t>
      </w:r>
      <w:r>
        <w:rPr>
          <w:rFonts w:hint="eastAsia" w:ascii="Times New Roman" w:hAnsi="Times New Roman" w:eastAsia="仿宋"/>
          <w:sz w:val="28"/>
          <w:szCs w:val="32"/>
        </w:rPr>
        <w:t>、</w:t>
      </w:r>
      <w:r>
        <w:rPr>
          <w:rFonts w:ascii="Times New Roman" w:hAnsi="Times New Roman" w:eastAsia="仿宋"/>
          <w:sz w:val="28"/>
          <w:szCs w:val="32"/>
        </w:rPr>
        <w:t>光纤租赁费</w:t>
      </w:r>
      <w:r>
        <w:rPr>
          <w:rFonts w:hint="eastAsia" w:ascii="Times New Roman" w:hAnsi="Times New Roman" w:eastAsia="仿宋"/>
          <w:sz w:val="28"/>
          <w:szCs w:val="32"/>
        </w:rPr>
        <w:t>和</w:t>
      </w:r>
      <w:r>
        <w:rPr>
          <w:rFonts w:ascii="Times New Roman" w:hAnsi="Times New Roman" w:eastAsia="仿宋"/>
          <w:sz w:val="28"/>
          <w:szCs w:val="32"/>
        </w:rPr>
        <w:t>站房集成和修缮等费用。</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负责下列站点的仪器进行维护、维修、耗材备品备件更换及数据初审。</w:t>
      </w:r>
    </w:p>
    <w:tbl>
      <w:tblPr>
        <w:tblStyle w:val="59"/>
        <w:tblW w:w="0" w:type="auto"/>
        <w:tblInd w:w="93" w:type="dxa"/>
        <w:tblLayout w:type="fixed"/>
        <w:tblCellMar>
          <w:top w:w="0" w:type="dxa"/>
          <w:left w:w="108" w:type="dxa"/>
          <w:bottom w:w="0" w:type="dxa"/>
          <w:right w:w="108" w:type="dxa"/>
        </w:tblCellMar>
      </w:tblPr>
      <w:tblGrid>
        <w:gridCol w:w="1771"/>
        <w:gridCol w:w="2497"/>
        <w:gridCol w:w="2126"/>
        <w:gridCol w:w="2410"/>
      </w:tblGrid>
      <w:tr>
        <w:tblPrEx>
          <w:tblCellMar>
            <w:top w:w="0" w:type="dxa"/>
            <w:left w:w="108" w:type="dxa"/>
            <w:bottom w:w="0" w:type="dxa"/>
            <w:right w:w="108" w:type="dxa"/>
          </w:tblCellMar>
        </w:tblPrEx>
        <w:trPr>
          <w:trHeight w:val="284" w:hRule="atLeast"/>
        </w:trPr>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关联站位</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主要内容</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仪器型号</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厂家</w:t>
            </w:r>
          </w:p>
        </w:tc>
      </w:tr>
      <w:tr>
        <w:tblPrEx>
          <w:tblCellMar>
            <w:top w:w="0" w:type="dxa"/>
            <w:left w:w="108" w:type="dxa"/>
            <w:bottom w:w="0" w:type="dxa"/>
            <w:right w:w="108" w:type="dxa"/>
          </w:tblCellMar>
        </w:tblPrEx>
        <w:trPr>
          <w:trHeight w:val="284" w:hRule="atLeast"/>
        </w:trPr>
        <w:tc>
          <w:tcPr>
            <w:tcW w:w="1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善西</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重金属</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XACT 625</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PALL</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 xml:space="preserve"> Aerodyne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AE-31-ER</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MAGEE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Sunset</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H2O2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AL2021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德国</w:t>
            </w:r>
            <w:r>
              <w:rPr>
                <w:rStyle w:val="816"/>
                <w:rFonts w:hint="default" w:ascii="Times New Roman" w:hAnsi="Times New Roman" w:eastAsia="仿宋"/>
                <w:color w:val="auto"/>
                <w:sz w:val="24"/>
                <w:szCs w:val="20"/>
              </w:rPr>
              <w:t>Aerolaser</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hint="default" w:ascii="Times New Roman" w:hAnsi="Times New Roman" w:eastAsia="仿宋"/>
                <w:color w:val="auto"/>
                <w:sz w:val="24"/>
                <w:szCs w:val="21"/>
                <w:u w:val="none"/>
              </w:rPr>
              <w:t>大气汞</w:t>
            </w:r>
            <w:r>
              <w:rPr>
                <w:rStyle w:val="816"/>
                <w:rFonts w:hint="default" w:ascii="Times New Roman" w:hAnsi="Times New Roman" w:eastAsia="仿宋"/>
                <w:color w:val="auto"/>
                <w:sz w:val="24"/>
                <w:szCs w:val="20"/>
              </w:rPr>
              <w:t>(Hg)</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2537X</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加拿大</w:t>
            </w:r>
            <w:r>
              <w:rPr>
                <w:rStyle w:val="816"/>
                <w:rFonts w:hint="default" w:ascii="Times New Roman" w:hAnsi="Times New Roman" w:eastAsia="仿宋"/>
                <w:color w:val="auto"/>
                <w:sz w:val="24"/>
                <w:szCs w:val="20"/>
              </w:rPr>
              <w:t>Tekran</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PAN</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PAN</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德国</w:t>
            </w:r>
            <w:r>
              <w:rPr>
                <w:rStyle w:val="816"/>
                <w:rFonts w:hint="default" w:ascii="Times New Roman" w:hAnsi="Times New Roman" w:eastAsia="仿宋"/>
                <w:color w:val="auto"/>
                <w:sz w:val="24"/>
                <w:szCs w:val="20"/>
              </w:rPr>
              <w:t>Metcon</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JNO2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JNO2</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德国</w:t>
            </w:r>
            <w:r>
              <w:rPr>
                <w:rStyle w:val="816"/>
                <w:rFonts w:hint="default" w:ascii="Times New Roman" w:hAnsi="Times New Roman" w:eastAsia="仿宋"/>
                <w:color w:val="auto"/>
                <w:sz w:val="24"/>
                <w:szCs w:val="20"/>
              </w:rPr>
              <w:t xml:space="preserve">  Metcon</w:t>
            </w:r>
          </w:p>
        </w:tc>
      </w:tr>
      <w:tr>
        <w:tblPrEx>
          <w:tblCellMar>
            <w:top w:w="0" w:type="dxa"/>
            <w:left w:w="108" w:type="dxa"/>
            <w:bottom w:w="0" w:type="dxa"/>
            <w:right w:w="108" w:type="dxa"/>
          </w:tblCellMar>
        </w:tblPrEx>
        <w:trPr>
          <w:trHeight w:val="284" w:hRule="atLeast"/>
        </w:trPr>
        <w:tc>
          <w:tcPr>
            <w:tcW w:w="17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东方学院</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Sunset</w:t>
            </w:r>
          </w:p>
        </w:tc>
      </w:tr>
      <w:tr>
        <w:tblPrEx>
          <w:tblCellMar>
            <w:top w:w="0" w:type="dxa"/>
            <w:left w:w="108" w:type="dxa"/>
            <w:bottom w:w="0" w:type="dxa"/>
            <w:right w:w="108" w:type="dxa"/>
          </w:tblCellMar>
        </w:tblPrEx>
        <w:trPr>
          <w:trHeight w:val="284" w:hRule="atLeast"/>
        </w:trPr>
        <w:tc>
          <w:tcPr>
            <w:tcW w:w="1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渔山</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hint="default" w:ascii="Times New Roman" w:hAnsi="Times New Roman" w:eastAsia="仿宋"/>
                <w:color w:val="auto"/>
                <w:sz w:val="24"/>
                <w:szCs w:val="21"/>
                <w:u w:val="none"/>
              </w:rPr>
              <w:t>PM1</w:t>
            </w:r>
            <w:r>
              <w:rPr>
                <w:rStyle w:val="814"/>
                <w:rFonts w:hint="default" w:ascii="Times New Roman" w:eastAsia="仿宋"/>
                <w:color w:val="auto"/>
                <w:szCs w:val="32"/>
              </w:rPr>
              <w:t>、</w:t>
            </w:r>
            <w:r>
              <w:rPr>
                <w:rStyle w:val="816"/>
                <w:rFonts w:hint="default" w:ascii="Times New Roman" w:hAnsi="Times New Roman" w:eastAsia="仿宋"/>
                <w:color w:val="auto"/>
                <w:sz w:val="24"/>
                <w:szCs w:val="20"/>
              </w:rPr>
              <w:t>PM2.5</w:t>
            </w:r>
            <w:r>
              <w:rPr>
                <w:rStyle w:val="814"/>
                <w:rFonts w:hint="default" w:ascii="Times New Roman" w:eastAsia="仿宋"/>
                <w:color w:val="auto"/>
                <w:szCs w:val="32"/>
              </w:rPr>
              <w:t>、</w:t>
            </w:r>
            <w:r>
              <w:rPr>
                <w:rStyle w:val="816"/>
                <w:rFonts w:hint="default" w:ascii="Times New Roman" w:hAnsi="Times New Roman" w:eastAsia="仿宋"/>
                <w:color w:val="auto"/>
                <w:sz w:val="24"/>
                <w:szCs w:val="20"/>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701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AE-31-ER</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MAGEE</w:t>
            </w:r>
          </w:p>
        </w:tc>
      </w:tr>
      <w:tr>
        <w:tblPrEx>
          <w:tblCellMar>
            <w:top w:w="0" w:type="dxa"/>
            <w:left w:w="108" w:type="dxa"/>
            <w:bottom w:w="0" w:type="dxa"/>
            <w:right w:w="108" w:type="dxa"/>
          </w:tblCellMar>
        </w:tblPrEx>
        <w:trPr>
          <w:trHeight w:val="284" w:hRule="atLeast"/>
        </w:trPr>
        <w:tc>
          <w:tcPr>
            <w:tcW w:w="1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昌化</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Style w:val="816"/>
                <w:rFonts w:hint="default" w:ascii="Times New Roman" w:hAnsi="Times New Roman" w:eastAsia="仿宋"/>
                <w:color w:val="auto"/>
                <w:sz w:val="24"/>
                <w:szCs w:val="20"/>
              </w:rPr>
              <w:t>PM1</w:t>
            </w:r>
            <w:r>
              <w:rPr>
                <w:rStyle w:val="814"/>
                <w:rFonts w:hint="default" w:ascii="Times New Roman" w:eastAsia="仿宋"/>
                <w:color w:val="auto"/>
                <w:szCs w:val="32"/>
              </w:rPr>
              <w:t>、</w:t>
            </w:r>
            <w:r>
              <w:rPr>
                <w:rStyle w:val="816"/>
                <w:rFonts w:hint="default" w:ascii="Times New Roman" w:hAnsi="Times New Roman" w:eastAsia="仿宋"/>
                <w:color w:val="auto"/>
                <w:sz w:val="24"/>
                <w:szCs w:val="20"/>
              </w:rPr>
              <w:t>PM2.5</w:t>
            </w:r>
            <w:r>
              <w:rPr>
                <w:rStyle w:val="814"/>
                <w:rFonts w:hint="default" w:ascii="Times New Roman" w:eastAsia="仿宋"/>
                <w:color w:val="auto"/>
                <w:szCs w:val="32"/>
              </w:rPr>
              <w:t>、</w:t>
            </w:r>
            <w:r>
              <w:rPr>
                <w:rStyle w:val="816"/>
                <w:rFonts w:hint="default" w:ascii="Times New Roman" w:hAnsi="Times New Roman" w:eastAsia="仿宋"/>
                <w:color w:val="auto"/>
                <w:sz w:val="24"/>
                <w:szCs w:val="20"/>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Sunset</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701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滨海新城</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PM2.5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 xml:space="preserve"> Aerodyne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Sunset</w:t>
            </w:r>
          </w:p>
        </w:tc>
      </w:tr>
      <w:tr>
        <w:tblPrEx>
          <w:tblCellMar>
            <w:top w:w="0" w:type="dxa"/>
            <w:left w:w="108" w:type="dxa"/>
            <w:bottom w:w="0" w:type="dxa"/>
            <w:right w:w="108" w:type="dxa"/>
          </w:tblCellMar>
        </w:tblPrEx>
        <w:trPr>
          <w:trHeight w:val="284" w:hRule="atLeast"/>
        </w:trPr>
        <w:tc>
          <w:tcPr>
            <w:tcW w:w="17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千岛湖温馨岛</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PM2.5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 xml:space="preserve"> Aerodyne</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Sunset</w:t>
            </w:r>
          </w:p>
        </w:tc>
      </w:tr>
      <w:tr>
        <w:tblPrEx>
          <w:tblCellMar>
            <w:top w:w="0" w:type="dxa"/>
            <w:left w:w="108" w:type="dxa"/>
            <w:bottom w:w="0" w:type="dxa"/>
            <w:right w:w="108" w:type="dxa"/>
          </w:tblCellMar>
        </w:tblPrEx>
        <w:trPr>
          <w:trHeight w:val="284" w:hRule="atLeast"/>
        </w:trPr>
        <w:tc>
          <w:tcPr>
            <w:tcW w:w="1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新塘港</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Times New Roman" w:hAnsi="Times New Roman" w:eastAsia="仿宋"/>
                <w:sz w:val="24"/>
                <w:szCs w:val="21"/>
              </w:rPr>
            </w:pPr>
            <w:r>
              <w:rPr>
                <w:rFonts w:ascii="Times New Roman" w:hAnsi="Times New Roman" w:eastAsia="仿宋"/>
                <w:kern w:val="0"/>
                <w:sz w:val="24"/>
                <w:szCs w:val="21"/>
              </w:rPr>
              <w:t>OCEC-100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聚光</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PAN</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PANS-1000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聚光</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JNO2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PFS-100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聚光</w:t>
            </w:r>
          </w:p>
        </w:tc>
      </w:tr>
      <w:tr>
        <w:tblPrEx>
          <w:tblCellMar>
            <w:top w:w="0" w:type="dxa"/>
            <w:left w:w="108" w:type="dxa"/>
            <w:bottom w:w="0" w:type="dxa"/>
            <w:right w:w="108" w:type="dxa"/>
          </w:tblCellMar>
        </w:tblPrEx>
        <w:trPr>
          <w:trHeight w:val="284" w:hRule="atLeast"/>
        </w:trPr>
        <w:tc>
          <w:tcPr>
            <w:tcW w:w="1771" w:type="dxa"/>
            <w:vMerge w:val="continue"/>
            <w:tcBorders>
              <w:top w:val="single" w:color="000000" w:sz="4" w:space="0"/>
              <w:left w:val="single" w:color="000000" w:sz="4" w:space="0"/>
              <w:bottom w:val="single" w:color="auto" w:sz="4" w:space="0"/>
              <w:right w:val="single" w:color="000000" w:sz="4" w:space="0"/>
            </w:tcBorders>
            <w:noWrap/>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重金属</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AMMS-100</w:t>
            </w:r>
          </w:p>
        </w:tc>
        <w:tc>
          <w:tcPr>
            <w:tcW w:w="241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聚光</w:t>
            </w:r>
          </w:p>
        </w:tc>
      </w:tr>
      <w:tr>
        <w:tblPrEx>
          <w:tblCellMar>
            <w:top w:w="0" w:type="dxa"/>
            <w:left w:w="108" w:type="dxa"/>
            <w:bottom w:w="0" w:type="dxa"/>
            <w:right w:w="108" w:type="dxa"/>
          </w:tblCellMar>
        </w:tblPrEx>
        <w:trPr>
          <w:trHeight w:val="284" w:hRule="atLeast"/>
        </w:trPr>
        <w:tc>
          <w:tcPr>
            <w:tcW w:w="1771" w:type="dxa"/>
            <w:vMerge w:val="restart"/>
            <w:tcBorders>
              <w:top w:val="single" w:color="auto" w:sz="4" w:space="0"/>
              <w:left w:val="single" w:color="auto" w:sz="4" w:space="0"/>
              <w:right w:val="single" w:color="auto" w:sz="4" w:space="0"/>
            </w:tcBorders>
            <w:noWrap/>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石门镇中学</w:t>
            </w:r>
          </w:p>
        </w:tc>
        <w:tc>
          <w:tcPr>
            <w:tcW w:w="249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美国Sunset</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 Aerodyne</w:t>
            </w:r>
          </w:p>
        </w:tc>
      </w:tr>
      <w:tr>
        <w:tblPrEx>
          <w:tblCellMar>
            <w:top w:w="0" w:type="dxa"/>
            <w:left w:w="108" w:type="dxa"/>
            <w:bottom w:w="0" w:type="dxa"/>
            <w:right w:w="108" w:type="dxa"/>
          </w:tblCellMar>
        </w:tblPrEx>
        <w:trPr>
          <w:trHeight w:val="284" w:hRule="atLeast"/>
        </w:trPr>
        <w:tc>
          <w:tcPr>
            <w:tcW w:w="1771" w:type="dxa"/>
            <w:vMerge w:val="continue"/>
            <w:tcBorders>
              <w:left w:val="single" w:color="auto" w:sz="4" w:space="0"/>
              <w:bottom w:val="single" w:color="auto" w:sz="2"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2"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126" w:type="dxa"/>
            <w:tcBorders>
              <w:top w:val="single" w:color="auto" w:sz="4" w:space="0"/>
              <w:left w:val="single" w:color="auto" w:sz="4" w:space="0"/>
              <w:bottom w:val="single" w:color="auto" w:sz="2"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701</w:t>
            </w:r>
          </w:p>
        </w:tc>
        <w:tc>
          <w:tcPr>
            <w:tcW w:w="2410" w:type="dxa"/>
            <w:tcBorders>
              <w:top w:val="single" w:color="auto" w:sz="4" w:space="0"/>
              <w:left w:val="single" w:color="auto" w:sz="4" w:space="0"/>
              <w:bottom w:val="single" w:color="auto" w:sz="2"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284" w:hRule="atLeast"/>
        </w:trPr>
        <w:tc>
          <w:tcPr>
            <w:tcW w:w="1771"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2个移动站</w:t>
            </w:r>
          </w:p>
        </w:tc>
        <w:tc>
          <w:tcPr>
            <w:tcW w:w="2497"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六参数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284" w:hRule="atLeast"/>
        </w:trPr>
        <w:tc>
          <w:tcPr>
            <w:tcW w:w="1771"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质控实验室</w:t>
            </w:r>
          </w:p>
        </w:tc>
        <w:tc>
          <w:tcPr>
            <w:tcW w:w="2497"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自动称重系统</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美国MTL</w:t>
            </w:r>
          </w:p>
        </w:tc>
      </w:tr>
    </w:tbl>
    <w:p>
      <w:pPr>
        <w:spacing w:line="360" w:lineRule="auto"/>
        <w:contextualSpacing/>
        <w:jc w:val="left"/>
        <w:rPr>
          <w:rFonts w:ascii="Times New Roman" w:hAnsi="Times New Roman" w:eastAsia="仿宋"/>
          <w:sz w:val="24"/>
          <w:szCs w:val="28"/>
        </w:rPr>
      </w:pPr>
    </w:p>
    <w:p>
      <w:pPr>
        <w:spacing w:line="360" w:lineRule="auto"/>
        <w:contextualSpacing/>
        <w:jc w:val="left"/>
        <w:outlineLvl w:val="1"/>
        <w:rPr>
          <w:rFonts w:ascii="Times New Roman" w:hAnsi="Times New Roman" w:eastAsia="仿宋"/>
          <w:b/>
          <w:sz w:val="28"/>
          <w:szCs w:val="32"/>
        </w:rPr>
      </w:pPr>
      <w:r>
        <w:rPr>
          <w:rFonts w:ascii="Times New Roman" w:hAnsi="Times New Roman" w:eastAsia="仿宋"/>
          <w:b/>
          <w:sz w:val="28"/>
          <w:szCs w:val="32"/>
        </w:rPr>
        <w:t>3、标项三</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包括塘雅中学、游埠小学、滕头村、杭州湾湿地、大养山、桥下、陈蔡水库、里石门水库功能性站点的的全年电费</w:t>
      </w:r>
      <w:r>
        <w:rPr>
          <w:rFonts w:hint="eastAsia" w:ascii="Times New Roman" w:hAnsi="Times New Roman" w:eastAsia="仿宋"/>
          <w:sz w:val="28"/>
          <w:szCs w:val="32"/>
        </w:rPr>
        <w:t>、</w:t>
      </w:r>
      <w:r>
        <w:rPr>
          <w:rFonts w:ascii="Times New Roman" w:hAnsi="Times New Roman" w:eastAsia="仿宋"/>
          <w:sz w:val="28"/>
          <w:szCs w:val="32"/>
        </w:rPr>
        <w:t>光纤租赁费</w:t>
      </w:r>
      <w:r>
        <w:rPr>
          <w:rFonts w:hint="eastAsia" w:ascii="Times New Roman" w:hAnsi="Times New Roman" w:eastAsia="仿宋"/>
          <w:sz w:val="28"/>
          <w:szCs w:val="32"/>
        </w:rPr>
        <w:t>和</w:t>
      </w:r>
      <w:r>
        <w:rPr>
          <w:rFonts w:ascii="Times New Roman" w:hAnsi="Times New Roman" w:eastAsia="仿宋"/>
          <w:sz w:val="28"/>
          <w:szCs w:val="32"/>
        </w:rPr>
        <w:t>站房集成和修缮等费用。</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负责下列站点的仪器进行维护、维修、耗材备品备件更换及数据初审。</w:t>
      </w:r>
    </w:p>
    <w:tbl>
      <w:tblPr>
        <w:tblStyle w:val="59"/>
        <w:tblW w:w="0" w:type="auto"/>
        <w:tblInd w:w="91" w:type="dxa"/>
        <w:tblLayout w:type="fixed"/>
        <w:tblCellMar>
          <w:top w:w="0" w:type="dxa"/>
          <w:left w:w="108" w:type="dxa"/>
          <w:bottom w:w="0" w:type="dxa"/>
          <w:right w:w="108" w:type="dxa"/>
        </w:tblCellMar>
      </w:tblPr>
      <w:tblGrid>
        <w:gridCol w:w="1773"/>
        <w:gridCol w:w="2497"/>
        <w:gridCol w:w="2126"/>
        <w:gridCol w:w="2410"/>
      </w:tblGrid>
      <w:tr>
        <w:tblPrEx>
          <w:tblCellMar>
            <w:top w:w="0" w:type="dxa"/>
            <w:left w:w="108" w:type="dxa"/>
            <w:bottom w:w="0" w:type="dxa"/>
            <w:right w:w="108" w:type="dxa"/>
          </w:tblCellMar>
        </w:tblPrEx>
        <w:trPr>
          <w:trHeight w:val="340" w:hRule="exact"/>
        </w:trPr>
        <w:tc>
          <w:tcPr>
            <w:tcW w:w="17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关联站位</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主要内容</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仪器型号</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厂家</w:t>
            </w:r>
          </w:p>
        </w:tc>
      </w:tr>
      <w:tr>
        <w:tblPrEx>
          <w:tblCellMar>
            <w:top w:w="0" w:type="dxa"/>
            <w:left w:w="108" w:type="dxa"/>
            <w:bottom w:w="0" w:type="dxa"/>
            <w:right w:w="108" w:type="dxa"/>
          </w:tblCellMar>
        </w:tblPrEx>
        <w:trPr>
          <w:trHeight w:val="340" w:hRule="exact"/>
        </w:trPr>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塘雅中学</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重金属</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XACT 625</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美国PALL</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 Aerodyne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AE-31-ER</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美国MAGEE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美国Sunset</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大气汞(Hg)</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2537X</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加拿大Tekran</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PAN</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PAN</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德国Metcon</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JNO2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JNO2</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德国  Metcon</w:t>
            </w:r>
          </w:p>
        </w:tc>
      </w:tr>
      <w:tr>
        <w:tblPrEx>
          <w:tblCellMar>
            <w:top w:w="0" w:type="dxa"/>
            <w:left w:w="108" w:type="dxa"/>
            <w:bottom w:w="0" w:type="dxa"/>
            <w:right w:w="108" w:type="dxa"/>
          </w:tblCellMar>
        </w:tblPrEx>
        <w:trPr>
          <w:trHeight w:val="340" w:hRule="exact"/>
        </w:trPr>
        <w:tc>
          <w:tcPr>
            <w:tcW w:w="17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游埠小学</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美国Sunset</w:t>
            </w:r>
          </w:p>
        </w:tc>
      </w:tr>
      <w:tr>
        <w:tblPrEx>
          <w:tblCellMar>
            <w:top w:w="0" w:type="dxa"/>
            <w:left w:w="108" w:type="dxa"/>
            <w:bottom w:w="0" w:type="dxa"/>
            <w:right w:w="108" w:type="dxa"/>
          </w:tblCellMar>
        </w:tblPrEx>
        <w:trPr>
          <w:trHeight w:val="340" w:hRule="exact"/>
        </w:trPr>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滕头村</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48i</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43i</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PM2.5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TE-5014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AE-31-ER</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美国Magee</w:t>
            </w:r>
          </w:p>
        </w:tc>
      </w:tr>
      <w:tr>
        <w:tblPrEx>
          <w:tblCellMar>
            <w:top w:w="0" w:type="dxa"/>
            <w:left w:w="108" w:type="dxa"/>
            <w:bottom w:w="0" w:type="dxa"/>
            <w:right w:w="108" w:type="dxa"/>
          </w:tblCellMar>
        </w:tblPrEx>
        <w:trPr>
          <w:trHeight w:val="340" w:hRule="exact"/>
        </w:trPr>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杭州湾湿地</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PM2.5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 Aerodyne</w:t>
            </w:r>
          </w:p>
        </w:tc>
      </w:tr>
      <w:tr>
        <w:tblPrEx>
          <w:tblCellMar>
            <w:top w:w="0" w:type="dxa"/>
            <w:left w:w="108" w:type="dxa"/>
            <w:bottom w:w="0" w:type="dxa"/>
            <w:right w:w="108" w:type="dxa"/>
          </w:tblCellMar>
        </w:tblPrEx>
        <w:trPr>
          <w:trHeight w:val="340" w:hRule="exact"/>
        </w:trPr>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桥下</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43i</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42i</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TE-5014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SHARP 5030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美国Thermo</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SYNSPEC-GC955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GC955-611/811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荷兰SYNSPEC</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美国Sunset</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 Aerodyne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701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sz w:val="24"/>
                <w:szCs w:val="21"/>
              </w:rPr>
              <w:t>大养山</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OPSIS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瑞典</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OPSIS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瑞典</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OPSIS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瑞典</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PM2.5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里石门水库</w:t>
            </w: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PM1、PM2.5、PM10</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美国METONE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美国Sunset</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 Aerodyne</w:t>
            </w:r>
          </w:p>
        </w:tc>
      </w:tr>
      <w:tr>
        <w:tblPrEx>
          <w:tblCellMar>
            <w:top w:w="0" w:type="dxa"/>
            <w:left w:w="108" w:type="dxa"/>
            <w:bottom w:w="0" w:type="dxa"/>
            <w:right w:w="108" w:type="dxa"/>
          </w:tblCellMar>
        </w:tblPrEx>
        <w:trPr>
          <w:trHeight w:val="340" w:hRule="exact"/>
        </w:trPr>
        <w:tc>
          <w:tcPr>
            <w:tcW w:w="1773"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零气发生器</w:t>
            </w:r>
          </w:p>
        </w:tc>
        <w:tc>
          <w:tcPr>
            <w:tcW w:w="212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701</w:t>
            </w:r>
          </w:p>
        </w:tc>
        <w:tc>
          <w:tcPr>
            <w:tcW w:w="241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美国API</w:t>
            </w:r>
          </w:p>
        </w:tc>
      </w:tr>
      <w:tr>
        <w:tblPrEx>
          <w:tblCellMar>
            <w:top w:w="0" w:type="dxa"/>
            <w:left w:w="108" w:type="dxa"/>
            <w:bottom w:w="0" w:type="dxa"/>
            <w:right w:w="108" w:type="dxa"/>
          </w:tblCellMar>
        </w:tblPrEx>
        <w:trPr>
          <w:trHeight w:val="340" w:hRule="exact"/>
        </w:trPr>
        <w:tc>
          <w:tcPr>
            <w:tcW w:w="1773"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陈蔡水库</w:t>
            </w:r>
          </w:p>
          <w:p>
            <w:pPr>
              <w:widowControl/>
              <w:spacing w:line="240" w:lineRule="auto"/>
              <w:jc w:val="center"/>
              <w:textAlignment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CO</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T300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SO2</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T100U</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O3</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T400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NOx</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PM2.5</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PM10</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BAM1020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b/>
                <w:bCs/>
                <w:sz w:val="24"/>
                <w:szCs w:val="21"/>
              </w:rPr>
            </w:pPr>
            <w:r>
              <w:rPr>
                <w:rFonts w:ascii="Times New Roman" w:hAnsi="Times New Roman" w:eastAsia="仿宋"/>
                <w:b/>
                <w:bCs/>
                <w:kern w:val="0"/>
                <w:sz w:val="24"/>
                <w:szCs w:val="21"/>
              </w:rPr>
              <w:t>美国</w:t>
            </w:r>
            <w:r>
              <w:rPr>
                <w:rStyle w:val="816"/>
                <w:rFonts w:hint="default" w:ascii="Times New Roman" w:hAnsi="Times New Roman" w:eastAsia="仿宋"/>
                <w:color w:val="auto"/>
                <w:sz w:val="24"/>
                <w:szCs w:val="20"/>
              </w:rPr>
              <w:t>METONE</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NOy</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T200U-NOy</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center"/>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NH3</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T201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API</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气溶胶化学成分组成监测</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ACSM</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 xml:space="preserve"> Aerodyne</w:t>
            </w:r>
          </w:p>
        </w:tc>
      </w:tr>
      <w:tr>
        <w:tblPrEx>
          <w:tblCellMar>
            <w:top w:w="0" w:type="dxa"/>
            <w:left w:w="108" w:type="dxa"/>
            <w:bottom w:w="0" w:type="dxa"/>
            <w:right w:w="108" w:type="dxa"/>
          </w:tblCellMar>
        </w:tblPrEx>
        <w:trPr>
          <w:trHeight w:val="340" w:hRule="exact"/>
        </w:trPr>
        <w:tc>
          <w:tcPr>
            <w:tcW w:w="1773" w:type="dxa"/>
            <w:vMerge w:val="continue"/>
            <w:tcBorders>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仿宋"/>
                <w:sz w:val="24"/>
                <w:szCs w:val="21"/>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EC/OC</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Lab Model-4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sz w:val="24"/>
                <w:szCs w:val="21"/>
              </w:rPr>
            </w:pPr>
            <w:r>
              <w:rPr>
                <w:rFonts w:ascii="Times New Roman" w:hAnsi="Times New Roman" w:eastAsia="仿宋"/>
                <w:kern w:val="0"/>
                <w:sz w:val="24"/>
                <w:szCs w:val="21"/>
              </w:rPr>
              <w:t>美国</w:t>
            </w:r>
            <w:r>
              <w:rPr>
                <w:rStyle w:val="816"/>
                <w:rFonts w:hint="default" w:ascii="Times New Roman" w:hAnsi="Times New Roman" w:eastAsia="仿宋"/>
                <w:color w:val="auto"/>
                <w:sz w:val="24"/>
                <w:szCs w:val="20"/>
              </w:rPr>
              <w:t>Sunset</w:t>
            </w:r>
          </w:p>
        </w:tc>
      </w:tr>
    </w:tbl>
    <w:p>
      <w:pPr>
        <w:spacing w:line="360" w:lineRule="auto"/>
        <w:contextualSpacing/>
        <w:jc w:val="left"/>
        <w:outlineLvl w:val="1"/>
        <w:rPr>
          <w:rFonts w:ascii="Times New Roman" w:hAnsi="Times New Roman" w:eastAsia="仿宋"/>
          <w:b/>
          <w:sz w:val="28"/>
          <w:szCs w:val="32"/>
        </w:rPr>
      </w:pPr>
      <w:r>
        <w:rPr>
          <w:rFonts w:ascii="Times New Roman" w:hAnsi="Times New Roman" w:eastAsia="仿宋"/>
          <w:b/>
          <w:sz w:val="28"/>
          <w:szCs w:val="32"/>
        </w:rPr>
        <w:t>4、标项四</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包括本次招标16个站点全年堡垒机数据接入费。</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负责下列站点的仪器进行维护、维修、耗材备品备件更换及数据初审。</w:t>
      </w:r>
    </w:p>
    <w:tbl>
      <w:tblPr>
        <w:tblStyle w:val="59"/>
        <w:tblW w:w="0" w:type="auto"/>
        <w:tblInd w:w="0" w:type="dxa"/>
        <w:tblLayout w:type="fixed"/>
        <w:tblCellMar>
          <w:top w:w="0" w:type="dxa"/>
          <w:left w:w="108" w:type="dxa"/>
          <w:bottom w:w="0" w:type="dxa"/>
          <w:right w:w="108" w:type="dxa"/>
        </w:tblCellMar>
      </w:tblPr>
      <w:tblGrid>
        <w:gridCol w:w="1849"/>
        <w:gridCol w:w="2512"/>
        <w:gridCol w:w="2126"/>
        <w:gridCol w:w="2410"/>
      </w:tblGrid>
      <w:tr>
        <w:tblPrEx>
          <w:tblCellMar>
            <w:top w:w="0" w:type="dxa"/>
            <w:left w:w="108" w:type="dxa"/>
            <w:bottom w:w="0" w:type="dxa"/>
            <w:right w:w="108" w:type="dxa"/>
          </w:tblCellMar>
        </w:tblPrEx>
        <w:trPr>
          <w:trHeight w:val="454" w:hRule="atLeast"/>
        </w:trPr>
        <w:tc>
          <w:tcPr>
            <w:tcW w:w="1849" w:type="dxa"/>
            <w:tcBorders>
              <w:top w:val="single" w:color="000000" w:sz="8" w:space="0"/>
              <w:left w:val="single" w:color="auto" w:sz="4" w:space="0"/>
              <w:bottom w:val="nil"/>
              <w:right w:val="single" w:color="000000" w:sz="8"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关联站位</w:t>
            </w:r>
          </w:p>
        </w:tc>
        <w:tc>
          <w:tcPr>
            <w:tcW w:w="2512" w:type="dxa"/>
            <w:tcBorders>
              <w:top w:val="single" w:color="000000" w:sz="8" w:space="0"/>
              <w:left w:val="nil"/>
              <w:bottom w:val="nil"/>
              <w:right w:val="nil"/>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主要内容</w:t>
            </w:r>
          </w:p>
        </w:tc>
        <w:tc>
          <w:tcPr>
            <w:tcW w:w="2126" w:type="dxa"/>
            <w:tcBorders>
              <w:top w:val="single" w:color="000000" w:sz="8" w:space="0"/>
              <w:left w:val="single" w:color="000000" w:sz="8" w:space="0"/>
              <w:bottom w:val="nil"/>
              <w:right w:val="nil"/>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仪器型号</w:t>
            </w:r>
          </w:p>
        </w:tc>
        <w:tc>
          <w:tcPr>
            <w:tcW w:w="2410" w:type="dxa"/>
            <w:tcBorders>
              <w:top w:val="single" w:color="000000" w:sz="8" w:space="0"/>
              <w:left w:val="single" w:color="000000" w:sz="8" w:space="0"/>
              <w:bottom w:val="nil"/>
              <w:right w:val="single" w:color="000000" w:sz="8"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厂家</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善西</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塘雅中学</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滨海新城</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陈蔡水库</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滕头村</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杭州湾湿地</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千岛湖温馨岛</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里石门水库</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游埠小学</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新塘港</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ZF-PKU-VOC1007</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北京鹏宇</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东方学院</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VOCs在线监测仪</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TH-300B GC-MS</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武汉天虹</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昌化</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SYNSPEC-GC955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GC955-611/811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荷兰SYNSPEC</w:t>
            </w:r>
          </w:p>
        </w:tc>
      </w:tr>
      <w:tr>
        <w:tblPrEx>
          <w:tblCellMar>
            <w:top w:w="0" w:type="dxa"/>
            <w:left w:w="108" w:type="dxa"/>
            <w:bottom w:w="0" w:type="dxa"/>
            <w:right w:w="108" w:type="dxa"/>
          </w:tblCellMar>
        </w:tblPrEx>
        <w:trPr>
          <w:trHeight w:val="454" w:hRule="atLeast"/>
        </w:trPr>
        <w:tc>
          <w:tcPr>
            <w:tcW w:w="18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石门镇中学</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SYNSPEC-GC955</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GC955-611/811</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kern w:val="0"/>
                <w:sz w:val="24"/>
                <w:szCs w:val="21"/>
              </w:rPr>
            </w:pPr>
            <w:r>
              <w:rPr>
                <w:rFonts w:ascii="Times New Roman" w:hAnsi="Times New Roman" w:eastAsia="仿宋"/>
                <w:kern w:val="0"/>
                <w:sz w:val="24"/>
                <w:szCs w:val="21"/>
              </w:rPr>
              <w:t>荷兰SYNSPEC</w:t>
            </w:r>
          </w:p>
        </w:tc>
      </w:tr>
    </w:tbl>
    <w:p>
      <w:pPr>
        <w:spacing w:line="360" w:lineRule="auto"/>
        <w:contextualSpacing/>
        <w:jc w:val="left"/>
        <w:outlineLvl w:val="1"/>
        <w:rPr>
          <w:rFonts w:ascii="Times New Roman" w:hAnsi="Times New Roman" w:eastAsia="仿宋"/>
          <w:b/>
          <w:sz w:val="28"/>
          <w:szCs w:val="32"/>
        </w:rPr>
      </w:pPr>
      <w:r>
        <w:rPr>
          <w:rFonts w:ascii="Times New Roman" w:hAnsi="Times New Roman" w:eastAsia="仿宋"/>
          <w:b/>
          <w:sz w:val="28"/>
          <w:szCs w:val="32"/>
        </w:rPr>
        <w:t>5、标项</w:t>
      </w:r>
      <w:r>
        <w:rPr>
          <w:rFonts w:hint="eastAsia" w:ascii="Times New Roman" w:hAnsi="Times New Roman" w:eastAsia="仿宋"/>
          <w:b/>
          <w:sz w:val="28"/>
          <w:szCs w:val="32"/>
        </w:rPr>
        <w:t>五</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color w:val="000000"/>
          <w:sz w:val="28"/>
          <w:szCs w:val="32"/>
        </w:rPr>
        <w:t>负责下列站点的仪器进行维护、维修、耗材备品备件更换及数据初审。</w:t>
      </w:r>
    </w:p>
    <w:tbl>
      <w:tblPr>
        <w:tblStyle w:val="59"/>
        <w:tblW w:w="0" w:type="auto"/>
        <w:tblInd w:w="0" w:type="dxa"/>
        <w:tblLayout w:type="fixed"/>
        <w:tblCellMar>
          <w:top w:w="0" w:type="dxa"/>
          <w:left w:w="108" w:type="dxa"/>
          <w:bottom w:w="0" w:type="dxa"/>
          <w:right w:w="108" w:type="dxa"/>
        </w:tblCellMar>
      </w:tblPr>
      <w:tblGrid>
        <w:gridCol w:w="1909"/>
        <w:gridCol w:w="2452"/>
        <w:gridCol w:w="2126"/>
        <w:gridCol w:w="2410"/>
      </w:tblGrid>
      <w:tr>
        <w:tblPrEx>
          <w:tblCellMar>
            <w:top w:w="0" w:type="dxa"/>
            <w:left w:w="108" w:type="dxa"/>
            <w:bottom w:w="0" w:type="dxa"/>
            <w:right w:w="108" w:type="dxa"/>
          </w:tblCellMar>
        </w:tblPrEx>
        <w:trPr>
          <w:trHeight w:val="284" w:hRule="atLeast"/>
        </w:trPr>
        <w:tc>
          <w:tcPr>
            <w:tcW w:w="1909" w:type="dxa"/>
            <w:tcBorders>
              <w:top w:val="single" w:color="000000" w:sz="8" w:space="0"/>
              <w:left w:val="single" w:color="auto" w:sz="4"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color w:val="000000"/>
                <w:sz w:val="24"/>
                <w:szCs w:val="21"/>
              </w:rPr>
            </w:pPr>
            <w:r>
              <w:rPr>
                <w:rFonts w:ascii="Times New Roman" w:hAnsi="Times New Roman" w:eastAsia="仿宋"/>
                <w:b/>
                <w:bCs/>
                <w:color w:val="000000"/>
                <w:kern w:val="0"/>
                <w:sz w:val="24"/>
                <w:szCs w:val="21"/>
              </w:rPr>
              <w:t>关联站位</w:t>
            </w:r>
          </w:p>
        </w:tc>
        <w:tc>
          <w:tcPr>
            <w:tcW w:w="2452" w:type="dxa"/>
            <w:tcBorders>
              <w:top w:val="single" w:color="000000" w:sz="8" w:space="0"/>
              <w:left w:val="single" w:color="000000" w:sz="8"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color w:val="000000"/>
                <w:sz w:val="24"/>
                <w:szCs w:val="21"/>
              </w:rPr>
            </w:pPr>
            <w:r>
              <w:rPr>
                <w:rFonts w:ascii="Times New Roman" w:hAnsi="Times New Roman" w:eastAsia="仿宋"/>
                <w:b/>
                <w:bCs/>
                <w:color w:val="000000"/>
                <w:kern w:val="0"/>
                <w:sz w:val="24"/>
                <w:szCs w:val="21"/>
              </w:rPr>
              <w:t>主要内容</w:t>
            </w:r>
          </w:p>
        </w:tc>
        <w:tc>
          <w:tcPr>
            <w:tcW w:w="2126" w:type="dxa"/>
            <w:tcBorders>
              <w:top w:val="single" w:color="000000" w:sz="8" w:space="0"/>
              <w:left w:val="single" w:color="000000" w:sz="8"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color w:val="000000"/>
                <w:sz w:val="24"/>
                <w:szCs w:val="21"/>
              </w:rPr>
            </w:pPr>
            <w:r>
              <w:rPr>
                <w:rFonts w:ascii="Times New Roman" w:hAnsi="Times New Roman" w:eastAsia="仿宋"/>
                <w:b/>
                <w:bCs/>
                <w:color w:val="000000"/>
                <w:kern w:val="0"/>
                <w:sz w:val="24"/>
                <w:szCs w:val="21"/>
              </w:rPr>
              <w:t>仪器型号</w:t>
            </w:r>
          </w:p>
        </w:tc>
        <w:tc>
          <w:tcPr>
            <w:tcW w:w="2410" w:type="dxa"/>
            <w:tcBorders>
              <w:top w:val="single" w:color="000000" w:sz="8" w:space="0"/>
              <w:left w:val="single" w:color="000000" w:sz="8" w:space="0"/>
              <w:bottom w:val="nil"/>
              <w:right w:val="single" w:color="000000" w:sz="8" w:space="0"/>
            </w:tcBorders>
            <w:noWrap w:val="0"/>
            <w:vAlign w:val="center"/>
          </w:tcPr>
          <w:p>
            <w:pPr>
              <w:widowControl/>
              <w:spacing w:line="240" w:lineRule="auto"/>
              <w:jc w:val="center"/>
              <w:textAlignment w:val="center"/>
              <w:rPr>
                <w:rFonts w:ascii="Times New Roman" w:hAnsi="Times New Roman" w:eastAsia="仿宋"/>
                <w:b/>
                <w:bCs/>
                <w:color w:val="000000"/>
                <w:sz w:val="24"/>
                <w:szCs w:val="21"/>
              </w:rPr>
            </w:pPr>
            <w:r>
              <w:rPr>
                <w:rFonts w:ascii="Times New Roman" w:hAnsi="Times New Roman" w:eastAsia="仿宋"/>
                <w:b/>
                <w:bCs/>
                <w:color w:val="000000"/>
                <w:kern w:val="0"/>
                <w:sz w:val="24"/>
                <w:szCs w:val="21"/>
              </w:rPr>
              <w:t>厂家</w:t>
            </w:r>
          </w:p>
        </w:tc>
      </w:tr>
      <w:tr>
        <w:tblPrEx>
          <w:tblCellMar>
            <w:top w:w="0" w:type="dxa"/>
            <w:left w:w="108" w:type="dxa"/>
            <w:bottom w:w="0" w:type="dxa"/>
            <w:right w:w="108" w:type="dxa"/>
          </w:tblCellMar>
        </w:tblPrEx>
        <w:trPr>
          <w:trHeight w:val="284" w:hRule="atLeast"/>
        </w:trPr>
        <w:tc>
          <w:tcPr>
            <w:tcW w:w="1909" w:type="dxa"/>
            <w:vMerge w:val="restart"/>
            <w:tcBorders>
              <w:top w:val="single" w:color="000000" w:sz="8"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塘雅中学</w:t>
            </w:r>
          </w:p>
        </w:tc>
        <w:tc>
          <w:tcPr>
            <w:tcW w:w="2452" w:type="dxa"/>
            <w:tcBorders>
              <w:top w:val="single" w:color="000000" w:sz="8"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000000" w:sz="8"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MPL-ATP</w:t>
            </w:r>
          </w:p>
        </w:tc>
        <w:tc>
          <w:tcPr>
            <w:tcW w:w="2410" w:type="dxa"/>
            <w:tcBorders>
              <w:top w:val="single" w:color="000000" w:sz="8"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中国安光所</w:t>
            </w:r>
          </w:p>
        </w:tc>
      </w:tr>
      <w:tr>
        <w:tblPrEx>
          <w:tblCellMar>
            <w:top w:w="0" w:type="dxa"/>
            <w:left w:w="108" w:type="dxa"/>
            <w:bottom w:w="0" w:type="dxa"/>
            <w:right w:w="108" w:type="dxa"/>
          </w:tblCellMar>
        </w:tblPrEx>
        <w:trPr>
          <w:trHeight w:val="284" w:hRule="atLeast"/>
        </w:trPr>
        <w:tc>
          <w:tcPr>
            <w:tcW w:w="1909"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风廓线</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CFL-03</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中国航天科工集团</w:t>
            </w:r>
          </w:p>
        </w:tc>
      </w:tr>
      <w:tr>
        <w:tblPrEx>
          <w:tblCellMar>
            <w:top w:w="0" w:type="dxa"/>
            <w:left w:w="108" w:type="dxa"/>
            <w:bottom w:w="0" w:type="dxa"/>
            <w:right w:w="108" w:type="dxa"/>
          </w:tblCellMar>
        </w:tblPrEx>
        <w:trPr>
          <w:trHeight w:val="284" w:hRule="atLeast"/>
        </w:trPr>
        <w:tc>
          <w:tcPr>
            <w:tcW w:w="1909"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稳定度</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SM200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瑞典OPSIS</w:t>
            </w:r>
          </w:p>
        </w:tc>
      </w:tr>
      <w:tr>
        <w:tblPrEx>
          <w:tblCellMar>
            <w:top w:w="0" w:type="dxa"/>
            <w:left w:w="108" w:type="dxa"/>
            <w:bottom w:w="0" w:type="dxa"/>
            <w:right w:w="108" w:type="dxa"/>
          </w:tblCellMar>
        </w:tblPrEx>
        <w:trPr>
          <w:trHeight w:val="284" w:hRule="atLeast"/>
        </w:trPr>
        <w:tc>
          <w:tcPr>
            <w:tcW w:w="1909"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continue"/>
            <w:tcBorders>
              <w:top w:val="single" w:color="000000" w:sz="8"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能见度仪</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Model 6000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top w:val="single" w:color="000000" w:sz="8" w:space="0"/>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single" w:color="auto" w:sz="4" w:space="0"/>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太阳光度计</w:t>
            </w:r>
          </w:p>
        </w:tc>
        <w:tc>
          <w:tcPr>
            <w:tcW w:w="2126"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CE318</w:t>
            </w:r>
          </w:p>
        </w:tc>
        <w:tc>
          <w:tcPr>
            <w:tcW w:w="2410" w:type="dxa"/>
            <w:tcBorders>
              <w:top w:val="single" w:color="auto" w:sz="4" w:space="0"/>
              <w:left w:val="nil"/>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法国CIMEL</w:t>
            </w:r>
          </w:p>
        </w:tc>
      </w:tr>
      <w:tr>
        <w:tblPrEx>
          <w:tblCellMar>
            <w:top w:w="0" w:type="dxa"/>
            <w:left w:w="108" w:type="dxa"/>
            <w:bottom w:w="0" w:type="dxa"/>
            <w:right w:w="108" w:type="dxa"/>
          </w:tblCellMar>
        </w:tblPrEx>
        <w:trPr>
          <w:trHeight w:val="284" w:hRule="atLeast"/>
        </w:trPr>
        <w:tc>
          <w:tcPr>
            <w:tcW w:w="1909" w:type="dxa"/>
            <w:vMerge w:val="continue"/>
            <w:tcBorders>
              <w:top w:val="single" w:color="000000" w:sz="8" w:space="0"/>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气象五参数</w:t>
            </w:r>
          </w:p>
        </w:tc>
        <w:tc>
          <w:tcPr>
            <w:tcW w:w="2126" w:type="dxa"/>
            <w:tcBorders>
              <w:top w:val="nil"/>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WS500-UMB</w:t>
            </w:r>
          </w:p>
        </w:tc>
        <w:tc>
          <w:tcPr>
            <w:tcW w:w="2410" w:type="dxa"/>
            <w:tcBorders>
              <w:top w:val="nil"/>
              <w:left w:val="nil"/>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restart"/>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善西</w:t>
            </w: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激光雷达</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MPL-ATP</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中国安光所</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风廓线</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CFL-03</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中国航天科工集团</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w:t>
            </w:r>
            <w:r>
              <w:rPr>
                <w:rStyle w:val="816"/>
                <w:rFonts w:hint="default" w:ascii="Times New Roman" w:hAnsi="Times New Roman" w:eastAsia="仿宋"/>
                <w:sz w:val="24"/>
                <w:szCs w:val="20"/>
              </w:rPr>
              <w:t>Ecotech</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能见度仪</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Model 6000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太阳光度计</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CE318</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法国CIMEL</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气象五参数监测仪</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WS500-UMB</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4" w:space="0"/>
              <w:left w:val="single" w:color="auto" w:sz="4" w:space="0"/>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游埠小学</w:t>
            </w:r>
          </w:p>
        </w:tc>
        <w:tc>
          <w:tcPr>
            <w:tcW w:w="2452" w:type="dxa"/>
            <w:tcBorders>
              <w:top w:val="single" w:color="auto" w:sz="4" w:space="0"/>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4" w:space="0"/>
              <w:left w:val="nil"/>
              <w:bottom w:val="single" w:color="auto" w:sz="4"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MPL-ATP</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中国安光所</w:t>
            </w:r>
          </w:p>
        </w:tc>
      </w:tr>
      <w:tr>
        <w:tblPrEx>
          <w:tblCellMar>
            <w:top w:w="0" w:type="dxa"/>
            <w:left w:w="108" w:type="dxa"/>
            <w:bottom w:w="0" w:type="dxa"/>
            <w:right w:w="108" w:type="dxa"/>
          </w:tblCellMar>
        </w:tblPrEx>
        <w:trPr>
          <w:trHeight w:val="284" w:hRule="atLeast"/>
        </w:trPr>
        <w:tc>
          <w:tcPr>
            <w:tcW w:w="1909" w:type="dxa"/>
            <w:vMerge w:val="continue"/>
            <w:tcBorders>
              <w:top w:val="single" w:color="auto" w:sz="4" w:space="0"/>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4" w:space="0"/>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能见度仪</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Model 6000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auto" w:sz="4" w:space="0"/>
              <w:right w:val="single" w:color="000000" w:sz="8"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气象五参数监测仪</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WS500-UMB</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4" w:space="0"/>
              <w:left w:val="single" w:color="auto" w:sz="4" w:space="0"/>
              <w:bottom w:val="single" w:color="000000" w:sz="8" w:space="0"/>
              <w:right w:val="single" w:color="auto" w:sz="4"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东方学院</w:t>
            </w: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MPL-ATP</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中国安光所</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w:t>
            </w:r>
            <w:r>
              <w:rPr>
                <w:rStyle w:val="816"/>
                <w:rFonts w:hint="default" w:ascii="Times New Roman" w:hAnsi="Times New Roman" w:eastAsia="仿宋"/>
                <w:sz w:val="24"/>
                <w:szCs w:val="20"/>
              </w:rPr>
              <w:t>Ecotech</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000000" w:sz="8" w:space="0"/>
              <w:right w:val="single" w:color="auto" w:sz="4"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single" w:color="auto" w:sz="4" w:space="0"/>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能见度仪</w:t>
            </w:r>
          </w:p>
        </w:tc>
        <w:tc>
          <w:tcPr>
            <w:tcW w:w="2126"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Model 6000</w:t>
            </w:r>
          </w:p>
        </w:tc>
        <w:tc>
          <w:tcPr>
            <w:tcW w:w="2410" w:type="dxa"/>
            <w:tcBorders>
              <w:top w:val="nil"/>
              <w:left w:val="nil"/>
              <w:bottom w:val="single" w:color="000000" w:sz="8"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top w:val="nil"/>
              <w:left w:val="single" w:color="auto" w:sz="4" w:space="0"/>
              <w:bottom w:val="single" w:color="auto" w:sz="2" w:space="0"/>
              <w:right w:val="single" w:color="auto" w:sz="4" w:space="0"/>
            </w:tcBorders>
            <w:noWrap w:val="0"/>
            <w:vAlign w:val="center"/>
          </w:tcPr>
          <w:p>
            <w:pPr>
              <w:spacing w:line="240" w:lineRule="auto"/>
              <w:jc w:val="center"/>
              <w:rPr>
                <w:rFonts w:ascii="Times New Roman" w:hAnsi="Times New Roman" w:eastAsia="仿宋"/>
                <w:color w:val="000000"/>
                <w:sz w:val="24"/>
                <w:szCs w:val="21"/>
              </w:rPr>
            </w:pPr>
          </w:p>
        </w:tc>
        <w:tc>
          <w:tcPr>
            <w:tcW w:w="2452" w:type="dxa"/>
            <w:tcBorders>
              <w:top w:val="nil"/>
              <w:left w:val="single" w:color="auto" w:sz="4" w:space="0"/>
              <w:bottom w:val="single" w:color="auto" w:sz="2"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气象五参数监测仪</w:t>
            </w:r>
          </w:p>
        </w:tc>
        <w:tc>
          <w:tcPr>
            <w:tcW w:w="2126" w:type="dxa"/>
            <w:tcBorders>
              <w:top w:val="nil"/>
              <w:left w:val="nil"/>
              <w:bottom w:val="single" w:color="auto" w:sz="2"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WS500-UMB</w:t>
            </w:r>
          </w:p>
        </w:tc>
        <w:tc>
          <w:tcPr>
            <w:tcW w:w="2410" w:type="dxa"/>
            <w:tcBorders>
              <w:top w:val="nil"/>
              <w:left w:val="nil"/>
              <w:bottom w:val="single" w:color="auto" w:sz="2" w:space="0"/>
              <w:right w:val="single" w:color="000000" w:sz="8" w:space="0"/>
            </w:tcBorders>
            <w:noWrap w:val="0"/>
            <w:vAlign w:val="center"/>
          </w:tcPr>
          <w:p>
            <w:pPr>
              <w:widowControl/>
              <w:spacing w:line="240" w:lineRule="auto"/>
              <w:jc w:val="center"/>
              <w:textAlignment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sz w:val="24"/>
                <w:szCs w:val="21"/>
              </w:rPr>
            </w:pPr>
            <w:r>
              <w:rPr>
                <w:rFonts w:ascii="Times New Roman" w:hAnsi="Times New Roman" w:eastAsia="仿宋"/>
                <w:color w:val="000000"/>
                <w:kern w:val="0"/>
                <w:sz w:val="24"/>
                <w:szCs w:val="21"/>
              </w:rPr>
              <w:t>渔山</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w:t>
            </w:r>
            <w:r>
              <w:rPr>
                <w:rStyle w:val="816"/>
                <w:rFonts w:hint="default" w:ascii="Times New Roman" w:hAnsi="Times New Roman" w:eastAsia="仿宋"/>
                <w:sz w:val="24"/>
                <w:szCs w:val="20"/>
              </w:rPr>
              <w:t>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昌化</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w:t>
            </w:r>
            <w:r>
              <w:rPr>
                <w:rStyle w:val="816"/>
                <w:rFonts w:hint="default" w:ascii="Times New Roman" w:hAnsi="Times New Roman" w:eastAsia="仿宋"/>
                <w:sz w:val="24"/>
                <w:szCs w:val="20"/>
              </w:rPr>
              <w:t>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滨海新城</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太阳光度计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CE318</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法国CIMEL</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w:t>
            </w:r>
            <w:r>
              <w:rPr>
                <w:rStyle w:val="816"/>
                <w:rFonts w:hint="default" w:ascii="Times New Roman" w:hAnsi="Times New Roman" w:eastAsia="仿宋"/>
                <w:sz w:val="24"/>
                <w:szCs w:val="20"/>
              </w:rPr>
              <w:t>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千岛湖温馨岛</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新塘港</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Ev-lidar</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北京怡孚</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臭氧雷达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Finder</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北京怡孚</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sz w:val="24"/>
                <w:szCs w:val="21"/>
              </w:rPr>
              <w:t>石门镇中学</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滕头村</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杭州湾湿地</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太阳光度计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CE318</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法国CIMEL</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hint="eastAsia" w:ascii="Times New Roman" w:hAnsi="Times New Roman" w:eastAsia="仿宋"/>
                <w:color w:val="000000"/>
                <w:sz w:val="24"/>
                <w:szCs w:val="21"/>
              </w:rPr>
              <w:t>桥下</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sz w:val="24"/>
                <w:szCs w:val="21"/>
              </w:rPr>
              <w:t>大养山</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r>
              <w:rPr>
                <w:rFonts w:ascii="Times New Roman" w:hAnsi="Times New Roman" w:eastAsia="仿宋"/>
                <w:color w:val="000000"/>
                <w:kern w:val="0"/>
                <w:sz w:val="24"/>
                <w:szCs w:val="21"/>
              </w:rPr>
              <w:t>里石门水库</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澳大利亚Ecotech</w:t>
            </w:r>
          </w:p>
        </w:tc>
      </w:tr>
      <w:tr>
        <w:tblPrEx>
          <w:tblCellMar>
            <w:top w:w="0" w:type="dxa"/>
            <w:left w:w="108" w:type="dxa"/>
            <w:bottom w:w="0" w:type="dxa"/>
            <w:right w:w="108" w:type="dxa"/>
          </w:tblCellMar>
        </w:tblPrEx>
        <w:trPr>
          <w:trHeight w:val="284" w:hRule="atLeast"/>
        </w:trPr>
        <w:tc>
          <w:tcPr>
            <w:tcW w:w="1909" w:type="dxa"/>
            <w:vMerge w:val="restart"/>
            <w:tcBorders>
              <w:top w:val="single" w:color="auto" w:sz="2" w:space="0"/>
              <w:left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kern w:val="0"/>
                <w:sz w:val="24"/>
                <w:szCs w:val="21"/>
              </w:rPr>
              <w:t>陈蔡水库</w:t>
            </w: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能见度仪</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Model 6000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 BELFORT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激光雷达</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MPL-4B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美国SigmaSpace</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气象五参数</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WS500-UMB</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德国Swarco-lufft</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太阳光度计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CE318</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法国CIMEL</w:t>
            </w:r>
          </w:p>
        </w:tc>
      </w:tr>
      <w:tr>
        <w:tblPrEx>
          <w:tblCellMar>
            <w:top w:w="0" w:type="dxa"/>
            <w:left w:w="108" w:type="dxa"/>
            <w:bottom w:w="0" w:type="dxa"/>
            <w:right w:w="108" w:type="dxa"/>
          </w:tblCellMar>
        </w:tblPrEx>
        <w:trPr>
          <w:trHeight w:val="284" w:hRule="atLeast"/>
        </w:trPr>
        <w:tc>
          <w:tcPr>
            <w:tcW w:w="1909" w:type="dxa"/>
            <w:vMerge w:val="continue"/>
            <w:tcBorders>
              <w:left w:val="single" w:color="auto" w:sz="2" w:space="0"/>
              <w:bottom w:val="single" w:color="auto" w:sz="2" w:space="0"/>
              <w:right w:val="single" w:color="auto" w:sz="2" w:space="0"/>
            </w:tcBorders>
            <w:noWrap w:val="0"/>
            <w:vAlign w:val="center"/>
          </w:tcPr>
          <w:p>
            <w:pPr>
              <w:spacing w:line="240" w:lineRule="auto"/>
              <w:jc w:val="center"/>
              <w:rPr>
                <w:rFonts w:ascii="Times New Roman" w:hAnsi="Times New Roman" w:eastAsia="仿宋"/>
                <w:color w:val="000000"/>
                <w:kern w:val="0"/>
                <w:sz w:val="24"/>
                <w:szCs w:val="21"/>
              </w:rPr>
            </w:pPr>
          </w:p>
        </w:tc>
        <w:tc>
          <w:tcPr>
            <w:tcW w:w="2452"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浊度计</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Aurora-3000</w:t>
            </w:r>
          </w:p>
        </w:tc>
        <w:tc>
          <w:tcPr>
            <w:tcW w:w="2410" w:type="dxa"/>
            <w:tcBorders>
              <w:top w:val="single" w:color="auto" w:sz="2" w:space="0"/>
              <w:left w:val="single" w:color="auto" w:sz="2" w:space="0"/>
              <w:bottom w:val="single" w:color="auto" w:sz="2" w:space="0"/>
              <w:right w:val="single" w:color="auto" w:sz="2" w:space="0"/>
            </w:tcBorders>
            <w:noWrap w:val="0"/>
            <w:vAlign w:val="center"/>
          </w:tcPr>
          <w:p>
            <w:pPr>
              <w:widowControl/>
              <w:spacing w:line="240" w:lineRule="auto"/>
              <w:jc w:val="center"/>
              <w:textAlignment w:val="center"/>
              <w:rPr>
                <w:rFonts w:ascii="Times New Roman" w:hAnsi="Times New Roman" w:eastAsia="仿宋"/>
                <w:color w:val="000000"/>
                <w:sz w:val="24"/>
                <w:szCs w:val="21"/>
              </w:rPr>
            </w:pPr>
            <w:r>
              <w:rPr>
                <w:rFonts w:ascii="Times New Roman" w:hAnsi="Times New Roman" w:eastAsia="仿宋"/>
                <w:color w:val="000000"/>
                <w:sz w:val="24"/>
                <w:szCs w:val="21"/>
              </w:rPr>
              <w:t>澳大利亚Ecotech</w:t>
            </w:r>
          </w:p>
        </w:tc>
      </w:tr>
    </w:tbl>
    <w:p>
      <w:pPr>
        <w:spacing w:line="460" w:lineRule="exact"/>
        <w:contextualSpacing/>
        <w:jc w:val="left"/>
        <w:outlineLvl w:val="0"/>
        <w:rPr>
          <w:rFonts w:ascii="Times New Roman" w:hAnsi="Times New Roman" w:eastAsia="仿宋"/>
          <w:sz w:val="28"/>
          <w:szCs w:val="32"/>
        </w:rPr>
      </w:pPr>
      <w:r>
        <w:rPr>
          <w:rFonts w:ascii="Times New Roman" w:hAnsi="Times New Roman" w:eastAsia="仿宋"/>
          <w:b/>
          <w:bCs/>
          <w:sz w:val="28"/>
          <w:szCs w:val="36"/>
        </w:rPr>
        <w:t>二、项目</w:t>
      </w:r>
      <w:r>
        <w:rPr>
          <w:rFonts w:ascii="Times New Roman" w:hAnsi="Times New Roman" w:eastAsia="仿宋"/>
          <w:b/>
          <w:sz w:val="28"/>
          <w:szCs w:val="32"/>
        </w:rPr>
        <w:t>原则</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保密性原则：对运维服务过程中获知的任何用户方系统信息均属秘密信息，不得泄露给第三方单位或个人，不得利用这些信息进行任何侵害用户方系统的行为。</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规范性原则：运维服务的实施必须由专业的技术服务人员依照规范的操作流程进行，对操作过程和结果要有相应的记录，提供完整的服务报告。</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可控性原则：运维服务的工具、方法和过程要在双方认可的范围之内，保证运维服务过程的可控性。</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稳定性原则：运维服务工作不能对现有业务的正常运行产生影响。</w:t>
      </w:r>
    </w:p>
    <w:p>
      <w:pPr>
        <w:spacing w:line="460" w:lineRule="exact"/>
        <w:contextualSpacing/>
        <w:jc w:val="left"/>
        <w:outlineLvl w:val="1"/>
        <w:rPr>
          <w:rFonts w:ascii="Times New Roman" w:hAnsi="Times New Roman" w:eastAsia="仿宋"/>
          <w:sz w:val="28"/>
          <w:szCs w:val="32"/>
        </w:rPr>
      </w:pPr>
      <w:r>
        <w:rPr>
          <w:rFonts w:ascii="Times New Roman" w:hAnsi="Times New Roman" w:eastAsia="仿宋"/>
          <w:b/>
          <w:bCs/>
          <w:sz w:val="28"/>
          <w:szCs w:val="36"/>
        </w:rPr>
        <w:t>三、</w:t>
      </w:r>
      <w:r>
        <w:rPr>
          <w:rFonts w:ascii="Times New Roman" w:hAnsi="Times New Roman" w:eastAsia="仿宋"/>
          <w:b/>
          <w:sz w:val="28"/>
          <w:szCs w:val="32"/>
        </w:rPr>
        <w:t>运维目标</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在合同期间，浙江省生态环境监测中心按照招标文件、承诺书、合同书内容之规定对运维公司进行管理和考核，对达不到运维要求或违规操作的，进行口头警告、全省通报，</w:t>
      </w:r>
      <w:r>
        <w:rPr>
          <w:rFonts w:hint="eastAsia" w:ascii="Times New Roman" w:hAnsi="Times New Roman" w:eastAsia="仿宋"/>
          <w:sz w:val="28"/>
          <w:szCs w:val="32"/>
        </w:rPr>
        <w:t>并建议采监处</w:t>
      </w:r>
      <w:r>
        <w:rPr>
          <w:rFonts w:ascii="Times New Roman" w:hAnsi="Times New Roman" w:eastAsia="仿宋"/>
          <w:sz w:val="28"/>
          <w:szCs w:val="32"/>
        </w:rPr>
        <w:t>终止运维合同、取消浙江境内运维资格、情节严重触犯刑律的移交司法部门依法处理。</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每月由浙江省生态环境监测中心组织对运维公司绩效(职责履行情况)进行考核，填写考核表。考核采取百分制、单站考核的方式进行。年度考核80分以下，为不合格，80-85分为合格，85-90分为良好，90分以上为优秀。考核情况纳入次年招标评分依据。</w:t>
      </w:r>
    </w:p>
    <w:p>
      <w:pPr>
        <w:spacing w:line="46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考核内容主要包括运行维护计划完成情况、仪器设备正常运行情况、巡检情况、有效数据获取率。</w:t>
      </w:r>
    </w:p>
    <w:p>
      <w:pPr>
        <w:widowControl/>
        <w:jc w:val="left"/>
        <w:rPr>
          <w:rFonts w:ascii="Times New Roman" w:hAnsi="Times New Roman" w:eastAsia="仿宋"/>
          <w:b/>
          <w:bCs/>
          <w:sz w:val="28"/>
          <w:szCs w:val="32"/>
        </w:rPr>
      </w:pPr>
      <w:r>
        <w:rPr>
          <w:rFonts w:ascii="Times New Roman" w:hAnsi="Times New Roman" w:eastAsia="仿宋"/>
          <w:b/>
          <w:bCs/>
          <w:sz w:val="28"/>
          <w:szCs w:val="32"/>
        </w:rPr>
        <w:br w:type="page"/>
      </w:r>
    </w:p>
    <w:p>
      <w:pPr>
        <w:spacing w:line="360" w:lineRule="auto"/>
        <w:contextualSpacing/>
        <w:jc w:val="center"/>
        <w:rPr>
          <w:rFonts w:ascii="Times New Roman" w:hAnsi="Times New Roman" w:eastAsia="仿宋"/>
          <w:b/>
          <w:bCs/>
          <w:sz w:val="28"/>
          <w:szCs w:val="32"/>
        </w:rPr>
      </w:pPr>
      <w:r>
        <w:rPr>
          <w:rFonts w:ascii="Times New Roman" w:hAnsi="Times New Roman" w:eastAsia="仿宋"/>
          <w:b/>
          <w:bCs/>
          <w:sz w:val="28"/>
          <w:szCs w:val="32"/>
        </w:rPr>
        <w:t>仪器年度运行质量目标</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860"/>
        <w:gridCol w:w="2531"/>
        <w:gridCol w:w="1834"/>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b/>
                <w:sz w:val="24"/>
                <w:szCs w:val="28"/>
              </w:rPr>
            </w:pPr>
            <w:r>
              <w:rPr>
                <w:rFonts w:ascii="Times New Roman" w:hAnsi="Times New Roman" w:eastAsia="仿宋"/>
                <w:b/>
                <w:sz w:val="24"/>
                <w:szCs w:val="28"/>
              </w:rPr>
              <w:t>设备名称</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b/>
                <w:sz w:val="24"/>
                <w:szCs w:val="28"/>
              </w:rPr>
            </w:pPr>
            <w:r>
              <w:rPr>
                <w:rFonts w:ascii="Times New Roman" w:hAnsi="Times New Roman" w:eastAsia="仿宋"/>
                <w:b/>
                <w:sz w:val="24"/>
                <w:szCs w:val="28"/>
              </w:rPr>
              <w:t>型号</w:t>
            </w:r>
          </w:p>
        </w:tc>
        <w:tc>
          <w:tcPr>
            <w:tcW w:w="1834" w:type="dxa"/>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b/>
                <w:sz w:val="24"/>
                <w:szCs w:val="28"/>
              </w:rPr>
            </w:pPr>
            <w:r>
              <w:rPr>
                <w:rFonts w:ascii="Times New Roman" w:hAnsi="Times New Roman" w:eastAsia="仿宋"/>
                <w:b/>
                <w:sz w:val="24"/>
                <w:szCs w:val="28"/>
              </w:rPr>
              <w:t>有效数据获取率</w:t>
            </w:r>
          </w:p>
        </w:tc>
        <w:tc>
          <w:tcPr>
            <w:tcW w:w="1947" w:type="dxa"/>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b/>
                <w:sz w:val="24"/>
                <w:szCs w:val="28"/>
              </w:rPr>
            </w:pPr>
            <w:r>
              <w:rPr>
                <w:rFonts w:ascii="Times New Roman" w:hAnsi="Times New Roman" w:eastAsia="仿宋"/>
                <w:b/>
                <w:sz w:val="24"/>
                <w:szCs w:val="28"/>
              </w:rPr>
              <w:t>运行期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NOx分析仪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42I</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CO分析仪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48I</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O3分析仪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49I</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NOY分析仪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42I-Y</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NH3分析仪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17I</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CO2分析仪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410I</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甲烷/非甲烷总烃分析仪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 55I</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85</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SO2分析仪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API T100U</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NOx分析仪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API T200U</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CO分析仪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API M300E</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O3分析仪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API T400E</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NOY分析仪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API T200U-NOy</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NH3分析仪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API T201U</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在线VOC监测仪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武汉天虹</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在线VOC监测仪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SYNSPEC-GC955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在线VOC监测仪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kern w:val="0"/>
                <w:sz w:val="24"/>
                <w:szCs w:val="21"/>
              </w:rPr>
              <w:t>ZF-PKU-VOC1007</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1"/>
              </w:rPr>
            </w:pPr>
            <w:r>
              <w:rPr>
                <w:rFonts w:ascii="Times New Roman" w:hAnsi="Times New Roman" w:eastAsia="仿宋"/>
                <w:sz w:val="24"/>
                <w:szCs w:val="21"/>
              </w:rPr>
              <w:t>80%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PAN分析仪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Metcon PAN</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highlight w:val="yellow"/>
              </w:rPr>
            </w:pPr>
            <w:r>
              <w:rPr>
                <w:rFonts w:ascii="Times New Roman" w:hAnsi="Times New Roman" w:eastAsia="仿宋"/>
                <w:sz w:val="24"/>
                <w:szCs w:val="28"/>
              </w:rPr>
              <w:t>JNO2</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Metcon JNO2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highlight w:val="yellow"/>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kern w:val="0"/>
                <w:sz w:val="24"/>
                <w:szCs w:val="21"/>
              </w:rPr>
              <w:t>PFS-100</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大气颗粒物阴阳离子在线监测系统</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URG9000B-ICS1100</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气溶胶化学成分在线监测仪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Aerodyne ACSM</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85%</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ZF-PKU-GAC 6303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85%</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有机碳/元素碳分析仪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Sunset ECOC</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90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OCEC-100</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1"/>
              </w:rPr>
            </w:pPr>
            <w:r>
              <w:rPr>
                <w:rFonts w:ascii="Times New Roman" w:hAnsi="Times New Roman" w:eastAsia="仿宋"/>
                <w:sz w:val="24"/>
                <w:szCs w:val="21"/>
              </w:rPr>
              <w:t>90%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黑碳仪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MAGEE AE31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浊度计</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澳大利亚ECOTECH Aurora 3000</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重金属监测仪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Pall Xact 625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AMMS-100</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1"/>
              </w:rPr>
              <w:t>80</w:t>
            </w:r>
            <w:r>
              <w:rPr>
                <w:rFonts w:ascii="Times New Roman" w:hAnsi="Times New Roman" w:eastAsia="仿宋"/>
                <w:sz w:val="24"/>
                <w:szCs w:val="28"/>
              </w:rPr>
              <w:t>%</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颗粒物自动分析仪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热电SHARP5030</w:t>
            </w:r>
          </w:p>
        </w:tc>
        <w:tc>
          <w:tcPr>
            <w:tcW w:w="1834"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热电SHARP5030i</w:t>
            </w:r>
          </w:p>
        </w:tc>
        <w:tc>
          <w:tcPr>
            <w:tcW w:w="1834"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BAM1020</w:t>
            </w:r>
          </w:p>
        </w:tc>
        <w:tc>
          <w:tcPr>
            <w:tcW w:w="1834"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美国METONE</w:t>
            </w:r>
          </w:p>
        </w:tc>
        <w:tc>
          <w:tcPr>
            <w:tcW w:w="1834"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颗粒物自动分析仪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热电1405/1405F</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环境大气汞(Hg)分析仪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Tekran2537X</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激光雷达1</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MPL-4B-IDS-532-AT型微脉冲激光雷达</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85%</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激光雷达2</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MPL-ATP</w:t>
            </w:r>
          </w:p>
        </w:tc>
        <w:tc>
          <w:tcPr>
            <w:tcW w:w="1834"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p>
            <w:pPr>
              <w:contextualSpacing/>
              <w:jc w:val="center"/>
              <w:rPr>
                <w:rFonts w:ascii="Times New Roman" w:hAnsi="Times New Roman" w:eastAsia="仿宋"/>
                <w:sz w:val="24"/>
                <w:szCs w:val="28"/>
              </w:rPr>
            </w:pPr>
            <w:r>
              <w:rPr>
                <w:rFonts w:ascii="Times New Roman" w:hAnsi="Times New Roman" w:eastAsia="仿宋"/>
                <w:sz w:val="24"/>
                <w:szCs w:val="28"/>
              </w:rPr>
              <w:t>85%</w:t>
            </w:r>
          </w:p>
        </w:tc>
        <w:tc>
          <w:tcPr>
            <w:tcW w:w="1947" w:type="dxa"/>
            <w:vMerge w:val="restart"/>
            <w:tcBorders>
              <w:top w:val="single" w:color="auto" w:sz="4" w:space="0"/>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中国安光所</w:t>
            </w:r>
          </w:p>
        </w:tc>
        <w:tc>
          <w:tcPr>
            <w:tcW w:w="1834"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continue"/>
            <w:tcBorders>
              <w:left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9" w:hRule="atLeast"/>
          <w:jc w:val="center"/>
        </w:trPr>
        <w:tc>
          <w:tcPr>
            <w:tcW w:w="2860"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北京怡孚</w:t>
            </w:r>
          </w:p>
        </w:tc>
        <w:tc>
          <w:tcPr>
            <w:tcW w:w="1834"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continue"/>
            <w:tcBorders>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臭氧雷达</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北京怡孚</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85%</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气象五参数</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WS500-UMB</w:t>
            </w:r>
          </w:p>
        </w:tc>
        <w:tc>
          <w:tcPr>
            <w:tcW w:w="1834"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上海路赋德</w:t>
            </w: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能见度监测仪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Model 6000</w:t>
            </w:r>
          </w:p>
        </w:tc>
        <w:tc>
          <w:tcPr>
            <w:tcW w:w="1834"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90%</w:t>
            </w:r>
          </w:p>
        </w:tc>
        <w:tc>
          <w:tcPr>
            <w:tcW w:w="1947"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美国belfort</w:t>
            </w: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风温廓线</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CFL-03、RASS</w:t>
            </w:r>
          </w:p>
        </w:tc>
        <w:tc>
          <w:tcPr>
            <w:tcW w:w="1834"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80%</w:t>
            </w:r>
          </w:p>
        </w:tc>
        <w:tc>
          <w:tcPr>
            <w:tcW w:w="1947" w:type="dxa"/>
            <w:vMerge w:val="restart"/>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中国航天科工集团</w:t>
            </w:r>
          </w:p>
        </w:tc>
        <w:tc>
          <w:tcPr>
            <w:tcW w:w="1834"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大气稳定度仪</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Opsis SM200</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2860"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地基太阳分光光度计</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CE318</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80%</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Times New Roman" w:hAnsi="Times New Roman" w:eastAsia="仿宋"/>
                <w:sz w:val="24"/>
                <w:szCs w:val="28"/>
              </w:rPr>
            </w:pPr>
            <w:r>
              <w:rPr>
                <w:rFonts w:ascii="Times New Roman" w:hAnsi="Times New Roman" w:eastAsia="仿宋"/>
                <w:sz w:val="24"/>
                <w:szCs w:val="28"/>
              </w:rPr>
              <w:t>全年</w:t>
            </w:r>
          </w:p>
        </w:tc>
      </w:tr>
    </w:tbl>
    <w:p>
      <w:pPr>
        <w:spacing w:line="440" w:lineRule="exact"/>
        <w:contextualSpacing/>
        <w:jc w:val="left"/>
        <w:outlineLvl w:val="1"/>
        <w:rPr>
          <w:rFonts w:ascii="Times New Roman" w:hAnsi="Times New Roman" w:eastAsia="仿宋"/>
          <w:b/>
          <w:bCs/>
          <w:sz w:val="28"/>
          <w:szCs w:val="36"/>
        </w:rPr>
      </w:pPr>
      <w:r>
        <w:rPr>
          <w:rFonts w:ascii="Times New Roman" w:hAnsi="Times New Roman" w:eastAsia="仿宋"/>
          <w:b/>
          <w:bCs/>
          <w:sz w:val="28"/>
          <w:szCs w:val="36"/>
        </w:rPr>
        <w:t>四、运维要求</w:t>
      </w:r>
    </w:p>
    <w:p>
      <w:pPr>
        <w:spacing w:line="440" w:lineRule="exact"/>
        <w:contextualSpacing/>
        <w:jc w:val="left"/>
        <w:outlineLvl w:val="1"/>
        <w:rPr>
          <w:rFonts w:ascii="Times New Roman" w:hAnsi="Times New Roman" w:eastAsia="仿宋"/>
          <w:b/>
          <w:sz w:val="28"/>
          <w:szCs w:val="32"/>
        </w:rPr>
      </w:pPr>
      <w:r>
        <w:rPr>
          <w:rFonts w:ascii="Times New Roman" w:hAnsi="Times New Roman" w:eastAsia="仿宋"/>
          <w:b/>
          <w:sz w:val="28"/>
          <w:szCs w:val="32"/>
        </w:rPr>
        <w:t>1、运维能力</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投标商自行提供运维方案，包括耗材更换以及日常运维计划。运行维护计划和耗材更换按照</w:t>
      </w:r>
      <w:r>
        <w:rPr>
          <w:rFonts w:ascii="Times New Roman" w:hAnsi="Times New Roman" w:eastAsia="仿宋"/>
          <w:sz w:val="28"/>
          <w:szCs w:val="28"/>
        </w:rPr>
        <w:t>《浙江省大气复合污染立体监测网络运行维护及质量管理手册》</w:t>
      </w:r>
      <w:r>
        <w:rPr>
          <w:rFonts w:ascii="Times New Roman" w:hAnsi="Times New Roman" w:eastAsia="仿宋"/>
          <w:sz w:val="28"/>
          <w:szCs w:val="32"/>
        </w:rPr>
        <w:t>执行，如数据有效率不能达标，应针对以其实际情况增加运维频次。</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运维技术人员须在正式运维前熟练操作其标项内所包含的仪器，因运维不当造成仪器损坏由该中标商承担相应责任并赔偿损失。用户有权对中标商安排的技术人员进行技术考核，如不能满足实际维护能力要求，不遵守管理制度，影响运维工作开展，用户有权要求更换技术人员，中标商在收到要求更换运维技术人员的文件两周之内进行更换。合同期内运维技术人员的一切开支由中标商负责（如食宿、差旅费等）。</w:t>
      </w:r>
    </w:p>
    <w:p>
      <w:pPr>
        <w:spacing w:line="440" w:lineRule="exact"/>
        <w:contextualSpacing/>
        <w:jc w:val="left"/>
        <w:outlineLvl w:val="1"/>
        <w:rPr>
          <w:rFonts w:ascii="Times New Roman" w:hAnsi="Times New Roman" w:eastAsia="仿宋"/>
          <w:b/>
          <w:sz w:val="28"/>
          <w:szCs w:val="32"/>
        </w:rPr>
      </w:pPr>
      <w:r>
        <w:rPr>
          <w:rFonts w:ascii="Times New Roman" w:hAnsi="Times New Roman" w:eastAsia="仿宋"/>
          <w:b/>
          <w:sz w:val="28"/>
          <w:szCs w:val="32"/>
        </w:rPr>
        <w:t>2、保密原则</w:t>
      </w:r>
    </w:p>
    <w:p>
      <w:pPr>
        <w:spacing w:line="440" w:lineRule="exact"/>
        <w:ind w:firstLine="560" w:firstLineChars="200"/>
        <w:contextualSpacing/>
        <w:jc w:val="left"/>
        <w:rPr>
          <w:rFonts w:ascii="Times New Roman" w:hAnsi="Times New Roman" w:eastAsia="仿宋"/>
          <w:b/>
          <w:bCs/>
          <w:sz w:val="28"/>
          <w:szCs w:val="36"/>
        </w:rPr>
      </w:pPr>
      <w:r>
        <w:rPr>
          <w:rFonts w:ascii="Times New Roman" w:hAnsi="Times New Roman" w:eastAsia="仿宋"/>
          <w:sz w:val="28"/>
          <w:szCs w:val="32"/>
        </w:rPr>
        <w:t>运维技术人员在维护期间须遵守用户的相应管理制度，并与用户签订保密协议。如因违反管理规定或保密协议，用户有权追究中标商及该名运维技术人员的相应责任并赔偿相应损失。</w:t>
      </w:r>
    </w:p>
    <w:p>
      <w:pPr>
        <w:spacing w:line="440" w:lineRule="exact"/>
        <w:contextualSpacing/>
        <w:jc w:val="left"/>
        <w:outlineLvl w:val="1"/>
        <w:rPr>
          <w:rFonts w:ascii="Times New Roman" w:hAnsi="Times New Roman" w:eastAsia="仿宋"/>
          <w:sz w:val="28"/>
          <w:szCs w:val="32"/>
        </w:rPr>
      </w:pPr>
      <w:r>
        <w:rPr>
          <w:rFonts w:ascii="Times New Roman" w:hAnsi="Times New Roman" w:eastAsia="仿宋"/>
          <w:b/>
          <w:bCs/>
          <w:sz w:val="28"/>
          <w:szCs w:val="36"/>
        </w:rPr>
        <w:t>3、</w:t>
      </w:r>
      <w:r>
        <w:rPr>
          <w:rFonts w:ascii="Times New Roman" w:hAnsi="Times New Roman" w:eastAsia="仿宋"/>
          <w:b/>
          <w:sz w:val="28"/>
          <w:szCs w:val="32"/>
        </w:rPr>
        <w:t>仪器故障处理</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当项目运维清单中设备发生故障时，须向</w:t>
      </w:r>
      <w:bookmarkStart w:id="36" w:name="OLE_LINK8"/>
      <w:r>
        <w:rPr>
          <w:rFonts w:ascii="Times New Roman" w:hAnsi="Times New Roman" w:eastAsia="仿宋"/>
          <w:sz w:val="28"/>
          <w:szCs w:val="32"/>
        </w:rPr>
        <w:t>浙江省生态环境监测中心</w:t>
      </w:r>
      <w:bookmarkEnd w:id="36"/>
      <w:r>
        <w:rPr>
          <w:rFonts w:ascii="Times New Roman" w:hAnsi="Times New Roman" w:eastAsia="仿宋"/>
          <w:sz w:val="28"/>
          <w:szCs w:val="32"/>
        </w:rPr>
        <w:t>报告，中标商须承担所有维修费用</w:t>
      </w:r>
      <w:bookmarkStart w:id="37" w:name="OLE_LINK7"/>
      <w:r>
        <w:rPr>
          <w:rFonts w:ascii="Times New Roman" w:hAnsi="Times New Roman" w:eastAsia="仿宋"/>
          <w:sz w:val="28"/>
          <w:szCs w:val="32"/>
        </w:rPr>
        <w:t>，故障须尽快解决，故障超过7天须说明原因并提供维修证明，维修时间最迟不得超过1个月，如在一个月内无法修复的设备，须提供相当性能、功能的整机或备件。</w:t>
      </w:r>
    </w:p>
    <w:bookmarkEnd w:id="37"/>
    <w:p>
      <w:pPr>
        <w:spacing w:line="440" w:lineRule="exact"/>
        <w:contextualSpacing/>
        <w:jc w:val="left"/>
        <w:outlineLvl w:val="1"/>
        <w:rPr>
          <w:rFonts w:ascii="Times New Roman" w:hAnsi="Times New Roman" w:eastAsia="仿宋"/>
          <w:sz w:val="28"/>
          <w:szCs w:val="32"/>
        </w:rPr>
      </w:pPr>
      <w:r>
        <w:rPr>
          <w:rFonts w:ascii="Times New Roman" w:hAnsi="Times New Roman" w:eastAsia="仿宋"/>
          <w:b/>
          <w:bCs/>
          <w:sz w:val="28"/>
          <w:szCs w:val="36"/>
        </w:rPr>
        <w:t>4、</w:t>
      </w:r>
      <w:r>
        <w:rPr>
          <w:rFonts w:ascii="Times New Roman" w:hAnsi="Times New Roman" w:eastAsia="仿宋"/>
          <w:b/>
          <w:sz w:val="28"/>
          <w:szCs w:val="32"/>
        </w:rPr>
        <w:t>运维记录</w:t>
      </w:r>
      <w:r>
        <w:rPr>
          <w:rFonts w:ascii="Times New Roman" w:hAnsi="Times New Roman" w:eastAsia="仿宋"/>
          <w:b/>
          <w:bCs/>
          <w:sz w:val="28"/>
          <w:szCs w:val="36"/>
        </w:rPr>
        <w:t>、耗材及配件</w:t>
      </w:r>
      <w:r>
        <w:rPr>
          <w:rFonts w:ascii="Times New Roman" w:hAnsi="Times New Roman" w:eastAsia="仿宋"/>
          <w:b/>
          <w:sz w:val="28"/>
          <w:szCs w:val="32"/>
        </w:rPr>
        <w:t>管理</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中标商须按照甲方的要求填写仪器运维表格，做好空气站运行管理记录和存档。每次到站房运维后须为每台仪器填写运维表格，包括仪器原始设置、报警、维修、更换、保养、仪器校准、标气使用、标液配置、采样管清洁等运行维护内容。填写完成后须上交给甲方。</w:t>
      </w:r>
    </w:p>
    <w:p>
      <w:pPr>
        <w:spacing w:line="440" w:lineRule="exact"/>
        <w:ind w:firstLine="560" w:firstLineChars="200"/>
        <w:contextualSpacing/>
        <w:jc w:val="left"/>
        <w:rPr>
          <w:rFonts w:ascii="Times New Roman" w:hAnsi="Times New Roman" w:eastAsia="仿宋"/>
          <w:sz w:val="28"/>
          <w:szCs w:val="32"/>
        </w:rPr>
      </w:pPr>
      <w:r>
        <w:rPr>
          <w:rFonts w:ascii="Times New Roman" w:hAnsi="Times New Roman" w:eastAsia="仿宋"/>
          <w:sz w:val="28"/>
          <w:szCs w:val="32"/>
        </w:rPr>
        <w:t>运维过程中的耗材、备品备件需采用原厂件，如确实采购不到原厂件的，需向业主方报备并采购具有相同技术指标的耗材或配件。每次更换下来的耗材、配件须保存好，标注更换日期，经甲方认可后方可处理。每季度提交一次运维报告，年度运维完成后提交总报告。</w:t>
      </w:r>
    </w:p>
    <w:p>
      <w:pPr>
        <w:spacing w:line="440" w:lineRule="exact"/>
        <w:contextualSpacing/>
        <w:jc w:val="left"/>
        <w:outlineLvl w:val="1"/>
        <w:rPr>
          <w:rFonts w:ascii="Times New Roman" w:hAnsi="Times New Roman" w:eastAsia="仿宋"/>
          <w:sz w:val="28"/>
          <w:szCs w:val="32"/>
        </w:rPr>
      </w:pPr>
      <w:r>
        <w:rPr>
          <w:rFonts w:ascii="Times New Roman" w:hAnsi="Times New Roman" w:eastAsia="仿宋"/>
          <w:b/>
          <w:bCs/>
          <w:sz w:val="28"/>
          <w:szCs w:val="36"/>
        </w:rPr>
        <w:t>5、</w:t>
      </w:r>
      <w:r>
        <w:rPr>
          <w:rFonts w:ascii="Times New Roman" w:hAnsi="Times New Roman" w:eastAsia="仿宋"/>
          <w:b/>
          <w:sz w:val="28"/>
          <w:szCs w:val="32"/>
        </w:rPr>
        <w:t>响应时间要求</w:t>
      </w:r>
    </w:p>
    <w:p>
      <w:pPr>
        <w:widowControl w:val="0"/>
        <w:numPr>
          <w:ilvl w:val="0"/>
          <w:numId w:val="33"/>
        </w:numPr>
        <w:spacing w:line="440" w:lineRule="exact"/>
        <w:ind w:firstLine="560" w:firstLineChars="200"/>
        <w:contextualSpacing/>
        <w:jc w:val="left"/>
        <w:rPr>
          <w:rFonts w:ascii="Times New Roman" w:hAnsi="Times New Roman" w:eastAsia="仿宋" w:cs="Times New Roman"/>
          <w:kern w:val="2"/>
          <w:sz w:val="28"/>
          <w:szCs w:val="32"/>
          <w:lang w:val="en-US" w:eastAsia="zh-CN" w:bidi="ar-SA"/>
        </w:rPr>
      </w:pPr>
      <w:r>
        <w:rPr>
          <w:rFonts w:ascii="Times New Roman" w:hAnsi="Times New Roman" w:eastAsia="仿宋" w:cs="Times New Roman"/>
          <w:kern w:val="2"/>
          <w:sz w:val="28"/>
          <w:szCs w:val="32"/>
          <w:lang w:val="en-US" w:eastAsia="zh-CN" w:bidi="ar-SA"/>
        </w:rPr>
        <w:t>当维保设备发生故障，产生异常数据或者无数据产生时，中标商须在4小时内响应，8小时内到达现场，12小时内修复；</w:t>
      </w:r>
    </w:p>
    <w:p>
      <w:pPr>
        <w:widowControl w:val="0"/>
        <w:numPr>
          <w:ilvl w:val="0"/>
          <w:numId w:val="33"/>
        </w:numPr>
        <w:spacing w:line="440" w:lineRule="exact"/>
        <w:ind w:firstLine="560" w:firstLineChars="200"/>
        <w:contextualSpacing/>
        <w:jc w:val="left"/>
        <w:rPr>
          <w:rFonts w:ascii="Times New Roman" w:hAnsi="Times New Roman" w:eastAsia="仿宋" w:cs="Times New Roman"/>
          <w:kern w:val="2"/>
          <w:sz w:val="28"/>
          <w:szCs w:val="32"/>
          <w:lang w:val="en-US" w:eastAsia="zh-CN" w:bidi="ar-SA"/>
        </w:rPr>
      </w:pPr>
      <w:r>
        <w:rPr>
          <w:rFonts w:ascii="Times New Roman" w:hAnsi="Times New Roman" w:eastAsia="仿宋" w:cs="Times New Roman"/>
          <w:kern w:val="2"/>
          <w:sz w:val="28"/>
          <w:szCs w:val="32"/>
          <w:lang w:val="en-US" w:eastAsia="zh-CN" w:bidi="ar-SA"/>
        </w:rPr>
        <w:t>当站房网络连接出问题，平台无数据时，中标商须在4小时内响应，8小时内到达现场，12小时内修复；</w:t>
      </w:r>
    </w:p>
    <w:p>
      <w:pPr>
        <w:widowControl w:val="0"/>
        <w:numPr>
          <w:ilvl w:val="0"/>
          <w:numId w:val="33"/>
        </w:numPr>
        <w:spacing w:line="440" w:lineRule="exact"/>
        <w:ind w:firstLine="560" w:firstLineChars="200"/>
        <w:contextualSpacing/>
        <w:jc w:val="left"/>
        <w:rPr>
          <w:rFonts w:ascii="Times New Roman" w:hAnsi="Times New Roman" w:eastAsia="仿宋" w:cs="Times New Roman"/>
          <w:kern w:val="2"/>
          <w:sz w:val="28"/>
          <w:szCs w:val="32"/>
          <w:lang w:val="en-US" w:eastAsia="zh-CN" w:bidi="ar-SA"/>
        </w:rPr>
      </w:pPr>
      <w:r>
        <w:rPr>
          <w:rFonts w:ascii="Times New Roman" w:hAnsi="Times New Roman" w:eastAsia="仿宋" w:cs="Times New Roman"/>
          <w:kern w:val="2"/>
          <w:sz w:val="28"/>
          <w:szCs w:val="32"/>
          <w:lang w:val="en-US" w:eastAsia="zh-CN" w:bidi="ar-SA"/>
        </w:rPr>
        <w:t>当站房发生断电现象时，中标商须在4小时内响应，8小时内到达现场，12小时内修复；</w:t>
      </w:r>
    </w:p>
    <w:p>
      <w:pPr>
        <w:spacing w:line="440" w:lineRule="exact"/>
        <w:contextualSpacing/>
        <w:jc w:val="left"/>
        <w:outlineLvl w:val="1"/>
        <w:rPr>
          <w:rFonts w:ascii="Times New Roman" w:hAnsi="Times New Roman" w:eastAsia="仿宋"/>
          <w:b/>
          <w:bCs/>
          <w:sz w:val="28"/>
          <w:szCs w:val="36"/>
        </w:rPr>
      </w:pPr>
      <w:r>
        <w:rPr>
          <w:rFonts w:ascii="Times New Roman" w:hAnsi="Times New Roman" w:eastAsia="仿宋"/>
          <w:b/>
          <w:bCs/>
          <w:sz w:val="28"/>
          <w:szCs w:val="36"/>
        </w:rPr>
        <w:t>6、各类仪器运维内容</w:t>
      </w:r>
    </w:p>
    <w:p>
      <w:pPr>
        <w:spacing w:line="440" w:lineRule="exact"/>
        <w:ind w:firstLine="560" w:firstLineChars="200"/>
        <w:contextualSpacing/>
        <w:jc w:val="left"/>
        <w:rPr>
          <w:rFonts w:ascii="Times New Roman" w:hAnsi="Times New Roman" w:eastAsia="仿宋"/>
          <w:sz w:val="28"/>
          <w:szCs w:val="28"/>
        </w:rPr>
      </w:pPr>
      <w:r>
        <w:rPr>
          <w:rFonts w:ascii="Times New Roman" w:hAnsi="Times New Roman" w:eastAsia="仿宋"/>
          <w:sz w:val="28"/>
          <w:szCs w:val="28"/>
        </w:rPr>
        <w:t>各类仪器的运维内容，严格按照《浙江省大气复合污染立体监测网络运行维护及质量管理手册》执行。</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38" w:name="_Toc5210"/>
      <w:bookmarkStart w:id="39" w:name="_Toc6113"/>
      <w:bookmarkStart w:id="40" w:name="_Toc417"/>
      <w:bookmarkStart w:id="41" w:name="_Toc8530"/>
      <w:bookmarkStart w:id="42" w:name="_Toc6031"/>
      <w:bookmarkStart w:id="43" w:name="_Toc451514021"/>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 SO</w:t>
      </w:r>
      <w:r>
        <w:rPr>
          <w:rFonts w:ascii="Times New Roman" w:hAnsi="Times New Roman" w:eastAsia="仿宋" w:cs="Times New Roman"/>
          <w:b/>
          <w:bCs/>
          <w:kern w:val="2"/>
          <w:sz w:val="28"/>
          <w:szCs w:val="44"/>
          <w:vertAlign w:val="subscript"/>
          <w:lang w:val="en-US" w:eastAsia="zh-CN" w:bidi="ar-SA"/>
        </w:rPr>
        <w:t>2</w:t>
      </w:r>
      <w:r>
        <w:rPr>
          <w:rFonts w:ascii="Times New Roman" w:hAnsi="Times New Roman" w:eastAsia="仿宋" w:cs="Times New Roman"/>
          <w:b/>
          <w:bCs/>
          <w:kern w:val="2"/>
          <w:sz w:val="28"/>
          <w:szCs w:val="44"/>
          <w:lang w:val="en-US" w:eastAsia="zh-CN" w:bidi="ar-SA"/>
        </w:rPr>
        <w:t>自动分析仪（TE43I、API T100U）</w:t>
      </w:r>
      <w:bookmarkEnd w:id="38"/>
      <w:bookmarkEnd w:id="39"/>
      <w:bookmarkEnd w:id="40"/>
      <w:bookmarkEnd w:id="41"/>
      <w:bookmarkEnd w:id="42"/>
      <w:bookmarkEnd w:id="43"/>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每日：查看仪器运行是否正常，是否存在报警</w:t>
      </w:r>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每周：a.零点检查；b. 跨度检查</w:t>
      </w:r>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两周：更换滤膜（污染严重时应增加频次）</w:t>
      </w:r>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每月：流量检查</w:t>
      </w:r>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季度：精密度检查</w:t>
      </w:r>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半年：5个点以上的多点校准</w:t>
      </w:r>
    </w:p>
    <w:p>
      <w:pPr>
        <w:numPr>
          <w:ilvl w:val="0"/>
          <w:numId w:val="34"/>
        </w:numPr>
        <w:spacing w:line="440" w:lineRule="exact"/>
        <w:ind w:left="360" w:hanging="360"/>
        <w:jc w:val="left"/>
        <w:rPr>
          <w:rFonts w:ascii="Times New Roman" w:hAnsi="Times New Roman" w:eastAsia="仿宋"/>
          <w:sz w:val="28"/>
          <w:szCs w:val="32"/>
        </w:rPr>
      </w:pPr>
      <w:r>
        <w:rPr>
          <w:rFonts w:ascii="Times New Roman" w:hAnsi="Times New Roman" w:eastAsia="仿宋"/>
          <w:sz w:val="28"/>
          <w:szCs w:val="32"/>
        </w:rPr>
        <w:t>每年：TE43I a. 更换标气、泵膜；</w:t>
      </w:r>
    </w:p>
    <w:p>
      <w:pPr>
        <w:spacing w:line="440" w:lineRule="exact"/>
        <w:ind w:left="359" w:leftChars="171" w:firstLine="1680" w:firstLineChars="600"/>
        <w:rPr>
          <w:rFonts w:ascii="Times New Roman" w:hAnsi="Times New Roman" w:eastAsia="仿宋"/>
          <w:sz w:val="28"/>
          <w:szCs w:val="32"/>
        </w:rPr>
      </w:pPr>
      <w:r>
        <w:rPr>
          <w:rFonts w:ascii="Times New Roman" w:hAnsi="Times New Roman" w:eastAsia="仿宋"/>
          <w:sz w:val="28"/>
          <w:szCs w:val="32"/>
        </w:rPr>
        <w:t xml:space="preserve">   b. 按需更换易耗件（紫外灯，紫外灯座，毛细管，泵等）。</w:t>
      </w:r>
    </w:p>
    <w:p>
      <w:pPr>
        <w:spacing w:line="440" w:lineRule="exact"/>
        <w:ind w:left="359" w:leftChars="171" w:firstLine="140" w:firstLineChars="50"/>
        <w:rPr>
          <w:rFonts w:ascii="Times New Roman" w:hAnsi="Times New Roman" w:eastAsia="仿宋"/>
          <w:sz w:val="28"/>
          <w:szCs w:val="32"/>
        </w:rPr>
      </w:pPr>
      <w:r>
        <w:rPr>
          <w:rFonts w:ascii="Times New Roman" w:hAnsi="Times New Roman" w:eastAsia="仿宋"/>
          <w:sz w:val="28"/>
          <w:szCs w:val="32"/>
        </w:rPr>
        <w:t xml:space="preserve"> API T100U a. 更换标气、泵膜、烧结过滤器、O型圈；</w:t>
      </w:r>
    </w:p>
    <w:p>
      <w:pPr>
        <w:spacing w:line="440" w:lineRule="exact"/>
        <w:ind w:left="359" w:leftChars="171" w:firstLine="1680" w:firstLineChars="600"/>
        <w:rPr>
          <w:rFonts w:ascii="Times New Roman" w:hAnsi="Times New Roman" w:eastAsia="仿宋"/>
          <w:sz w:val="28"/>
          <w:szCs w:val="32"/>
        </w:rPr>
      </w:pPr>
      <w:r>
        <w:rPr>
          <w:rFonts w:ascii="Times New Roman" w:hAnsi="Times New Roman" w:eastAsia="仿宋"/>
          <w:sz w:val="28"/>
          <w:szCs w:val="32"/>
        </w:rPr>
        <w:t>b. 按需更换易耗件（紫外灯电压驱动板，紫外灯等）。</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44" w:name="_Toc9823"/>
      <w:bookmarkStart w:id="45" w:name="_Toc4586"/>
      <w:bookmarkStart w:id="46" w:name="_Toc30069"/>
      <w:bookmarkStart w:id="47" w:name="_Toc451514022"/>
      <w:bookmarkStart w:id="48" w:name="_Toc8042"/>
      <w:bookmarkStart w:id="49" w:name="_Toc23725"/>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 NO</w:t>
      </w:r>
      <w:r>
        <w:rPr>
          <w:rFonts w:ascii="Times New Roman" w:hAnsi="Times New Roman" w:eastAsia="仿宋" w:cs="Times New Roman"/>
          <w:b/>
          <w:bCs/>
          <w:kern w:val="2"/>
          <w:sz w:val="28"/>
          <w:szCs w:val="44"/>
          <w:vertAlign w:val="subscript"/>
          <w:lang w:val="en-US" w:eastAsia="zh-CN" w:bidi="ar-SA"/>
        </w:rPr>
        <w:t>x</w:t>
      </w:r>
      <w:r>
        <w:rPr>
          <w:rFonts w:ascii="Times New Roman" w:hAnsi="Times New Roman" w:eastAsia="仿宋" w:cs="Times New Roman"/>
          <w:b/>
          <w:bCs/>
          <w:kern w:val="2"/>
          <w:sz w:val="28"/>
          <w:szCs w:val="44"/>
          <w:lang w:val="en-US" w:eastAsia="zh-CN" w:bidi="ar-SA"/>
        </w:rPr>
        <w:t>分析仪（TE42I、API T200U）</w:t>
      </w:r>
      <w:bookmarkEnd w:id="44"/>
      <w:bookmarkEnd w:id="45"/>
      <w:bookmarkEnd w:id="46"/>
      <w:bookmarkEnd w:id="47"/>
      <w:bookmarkEnd w:id="48"/>
      <w:bookmarkEnd w:id="49"/>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2）每周：a.零点检查；b. 跨度检查</w:t>
      </w:r>
    </w:p>
    <w:p>
      <w:pPr>
        <w:spacing w:line="440" w:lineRule="exact"/>
        <w:rPr>
          <w:rFonts w:ascii="Times New Roman" w:hAnsi="Times New Roman" w:eastAsia="仿宋"/>
          <w:sz w:val="28"/>
          <w:szCs w:val="32"/>
        </w:rPr>
      </w:pPr>
      <w:r>
        <w:rPr>
          <w:rFonts w:ascii="Times New Roman" w:hAnsi="Times New Roman" w:eastAsia="仿宋"/>
          <w:sz w:val="28"/>
          <w:szCs w:val="32"/>
        </w:rPr>
        <w:t>3）两周：更换滤膜（污染严重时应增加频次）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4）每月：流量检查</w:t>
      </w:r>
    </w:p>
    <w:p>
      <w:pPr>
        <w:spacing w:line="440" w:lineRule="exact"/>
        <w:rPr>
          <w:rFonts w:ascii="Times New Roman" w:hAnsi="Times New Roman" w:eastAsia="仿宋"/>
          <w:sz w:val="28"/>
          <w:szCs w:val="32"/>
        </w:rPr>
      </w:pPr>
      <w:r>
        <w:rPr>
          <w:rFonts w:ascii="Times New Roman" w:hAnsi="Times New Roman" w:eastAsia="仿宋"/>
          <w:sz w:val="28"/>
          <w:szCs w:val="32"/>
        </w:rPr>
        <w:t>5）季度：精密度检查</w:t>
      </w:r>
    </w:p>
    <w:p>
      <w:pPr>
        <w:spacing w:line="440" w:lineRule="exact"/>
        <w:rPr>
          <w:rFonts w:ascii="Times New Roman" w:hAnsi="Times New Roman" w:eastAsia="仿宋"/>
          <w:sz w:val="28"/>
          <w:szCs w:val="32"/>
        </w:rPr>
      </w:pPr>
      <w:r>
        <w:rPr>
          <w:rFonts w:ascii="Times New Roman" w:hAnsi="Times New Roman" w:eastAsia="仿宋"/>
          <w:sz w:val="28"/>
          <w:szCs w:val="32"/>
        </w:rPr>
        <w:t>6）半年： a.5个点以上的多点校准；b. 检查钼炉转化率</w:t>
      </w:r>
    </w:p>
    <w:p>
      <w:pPr>
        <w:spacing w:line="440" w:lineRule="exact"/>
        <w:rPr>
          <w:rFonts w:ascii="Times New Roman" w:hAnsi="Times New Roman" w:eastAsia="仿宋"/>
          <w:sz w:val="28"/>
          <w:szCs w:val="32"/>
        </w:rPr>
      </w:pPr>
      <w:r>
        <w:rPr>
          <w:rFonts w:ascii="Times New Roman" w:hAnsi="Times New Roman" w:eastAsia="仿宋"/>
          <w:sz w:val="28"/>
          <w:szCs w:val="32"/>
        </w:rPr>
        <w:t>7）每年：TE42I a. 更换标气、泵膜；</w:t>
      </w:r>
    </w:p>
    <w:p>
      <w:pPr>
        <w:spacing w:line="440" w:lineRule="exact"/>
        <w:ind w:left="2215" w:leftChars="855" w:hanging="420" w:hangingChars="150"/>
        <w:rPr>
          <w:rFonts w:ascii="Times New Roman" w:hAnsi="Times New Roman" w:eastAsia="仿宋"/>
          <w:sz w:val="28"/>
          <w:szCs w:val="32"/>
        </w:rPr>
      </w:pPr>
      <w:r>
        <w:rPr>
          <w:rFonts w:ascii="Times New Roman" w:hAnsi="Times New Roman" w:eastAsia="仿宋"/>
          <w:sz w:val="28"/>
          <w:szCs w:val="32"/>
        </w:rPr>
        <w:t xml:space="preserve">  b. 按需更换易耗件（4119毛细管、4127毛细管、O形圈、臭氧发生器、泵、冷堆）。</w:t>
      </w:r>
    </w:p>
    <w:p>
      <w:pPr>
        <w:spacing w:line="440" w:lineRule="exact"/>
        <w:ind w:left="359" w:leftChars="171" w:firstLine="140" w:firstLineChars="50"/>
        <w:rPr>
          <w:rFonts w:ascii="Times New Roman" w:hAnsi="Times New Roman" w:eastAsia="仿宋"/>
          <w:sz w:val="28"/>
          <w:szCs w:val="32"/>
        </w:rPr>
      </w:pPr>
      <w:r>
        <w:rPr>
          <w:rFonts w:ascii="Times New Roman" w:hAnsi="Times New Roman" w:eastAsia="仿宋"/>
          <w:sz w:val="28"/>
          <w:szCs w:val="32"/>
        </w:rPr>
        <w:t xml:space="preserve"> API T200U a. 更换标气、烧结过滤器、O型圈、滤光片；</w:t>
      </w:r>
    </w:p>
    <w:p>
      <w:pPr>
        <w:spacing w:line="440" w:lineRule="exact"/>
        <w:ind w:left="359" w:leftChars="171" w:firstLine="1680" w:firstLineChars="600"/>
        <w:rPr>
          <w:rFonts w:ascii="Times New Roman" w:hAnsi="Times New Roman" w:eastAsia="仿宋"/>
          <w:sz w:val="28"/>
          <w:szCs w:val="32"/>
        </w:rPr>
      </w:pPr>
      <w:r>
        <w:rPr>
          <w:rFonts w:ascii="Times New Roman" w:hAnsi="Times New Roman" w:eastAsia="仿宋"/>
          <w:sz w:val="28"/>
          <w:szCs w:val="32"/>
        </w:rPr>
        <w:t>b. 按需更换易耗件（泵维修组件、钼转化炉）。</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50" w:name="_Toc19061"/>
      <w:bookmarkStart w:id="51" w:name="_Toc25793"/>
      <w:bookmarkStart w:id="52" w:name="_Toc451514023"/>
      <w:bookmarkStart w:id="53" w:name="_Toc8089"/>
      <w:bookmarkStart w:id="54" w:name="_Toc24774"/>
      <w:bookmarkStart w:id="55" w:name="_Toc20573"/>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.3  CO分析仪（TE48I、API M300E）</w:t>
      </w:r>
      <w:bookmarkEnd w:id="50"/>
      <w:bookmarkEnd w:id="51"/>
      <w:bookmarkEnd w:id="52"/>
      <w:bookmarkEnd w:id="53"/>
      <w:bookmarkEnd w:id="54"/>
      <w:bookmarkEnd w:id="55"/>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2）每周：a.零点检查；b. 跨度检查</w:t>
      </w:r>
    </w:p>
    <w:p>
      <w:pPr>
        <w:spacing w:line="440" w:lineRule="exact"/>
        <w:rPr>
          <w:rFonts w:ascii="Times New Roman" w:hAnsi="Times New Roman" w:eastAsia="仿宋"/>
          <w:sz w:val="28"/>
          <w:szCs w:val="32"/>
        </w:rPr>
      </w:pPr>
      <w:r>
        <w:rPr>
          <w:rFonts w:ascii="Times New Roman" w:hAnsi="Times New Roman" w:eastAsia="仿宋"/>
          <w:sz w:val="28"/>
          <w:szCs w:val="32"/>
        </w:rPr>
        <w:t>3）两周：更换滤膜（污染严重时应增加频次）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4）每月：流量检查</w:t>
      </w:r>
    </w:p>
    <w:p>
      <w:pPr>
        <w:spacing w:line="440" w:lineRule="exact"/>
        <w:rPr>
          <w:rFonts w:ascii="Times New Roman" w:hAnsi="Times New Roman" w:eastAsia="仿宋"/>
          <w:sz w:val="28"/>
          <w:szCs w:val="32"/>
        </w:rPr>
      </w:pPr>
      <w:r>
        <w:rPr>
          <w:rFonts w:ascii="Times New Roman" w:hAnsi="Times New Roman" w:eastAsia="仿宋"/>
          <w:sz w:val="28"/>
          <w:szCs w:val="32"/>
        </w:rPr>
        <w:t>5）季度：精密度检查</w:t>
      </w:r>
    </w:p>
    <w:p>
      <w:pPr>
        <w:spacing w:line="440" w:lineRule="exact"/>
        <w:rPr>
          <w:rFonts w:ascii="Times New Roman" w:hAnsi="Times New Roman" w:eastAsia="仿宋"/>
          <w:sz w:val="28"/>
          <w:szCs w:val="32"/>
        </w:rPr>
      </w:pPr>
      <w:r>
        <w:rPr>
          <w:rFonts w:ascii="Times New Roman" w:hAnsi="Times New Roman" w:eastAsia="仿宋"/>
          <w:sz w:val="28"/>
          <w:szCs w:val="32"/>
        </w:rPr>
        <w:t>6）半年：5个点以上的多点校准</w:t>
      </w:r>
    </w:p>
    <w:p>
      <w:pPr>
        <w:spacing w:line="440" w:lineRule="exact"/>
        <w:rPr>
          <w:rFonts w:ascii="Times New Roman" w:hAnsi="Times New Roman" w:eastAsia="仿宋"/>
          <w:sz w:val="28"/>
          <w:szCs w:val="32"/>
        </w:rPr>
      </w:pPr>
      <w:r>
        <w:rPr>
          <w:rFonts w:ascii="Times New Roman" w:hAnsi="Times New Roman" w:eastAsia="仿宋"/>
          <w:sz w:val="28"/>
          <w:szCs w:val="32"/>
        </w:rPr>
        <w:t>7）每年：TE48I a. 更换标气、泵模、红外源；</w:t>
      </w:r>
    </w:p>
    <w:p>
      <w:pPr>
        <w:spacing w:line="440" w:lineRule="exact"/>
        <w:ind w:left="2215" w:leftChars="855" w:hanging="420" w:hangingChars="150"/>
        <w:rPr>
          <w:rFonts w:ascii="Times New Roman" w:hAnsi="Times New Roman" w:eastAsia="仿宋"/>
          <w:sz w:val="28"/>
          <w:szCs w:val="32"/>
        </w:rPr>
      </w:pPr>
      <w:r>
        <w:rPr>
          <w:rFonts w:ascii="Times New Roman" w:hAnsi="Times New Roman" w:eastAsia="仿宋"/>
          <w:sz w:val="28"/>
          <w:szCs w:val="32"/>
        </w:rPr>
        <w:t xml:space="preserve">  b. 按需更换易耗件（毛细管、泵）</w:t>
      </w:r>
    </w:p>
    <w:p>
      <w:pPr>
        <w:spacing w:line="440" w:lineRule="exact"/>
        <w:ind w:left="359" w:leftChars="171" w:firstLine="140" w:firstLineChars="50"/>
        <w:rPr>
          <w:rFonts w:ascii="Times New Roman" w:hAnsi="Times New Roman" w:eastAsia="仿宋"/>
          <w:sz w:val="28"/>
          <w:szCs w:val="32"/>
        </w:rPr>
      </w:pPr>
      <w:r>
        <w:rPr>
          <w:rFonts w:ascii="Times New Roman" w:hAnsi="Times New Roman" w:eastAsia="仿宋"/>
          <w:sz w:val="28"/>
          <w:szCs w:val="32"/>
        </w:rPr>
        <w:t xml:space="preserve"> API M300E a. 更换标气、烧结过滤器、O型圈、泵模；</w:t>
      </w:r>
    </w:p>
    <w:p>
      <w:pPr>
        <w:spacing w:line="440" w:lineRule="exact"/>
        <w:ind w:left="359" w:leftChars="171" w:firstLine="1680" w:firstLineChars="600"/>
        <w:rPr>
          <w:rFonts w:ascii="Times New Roman" w:hAnsi="Times New Roman" w:eastAsia="仿宋"/>
          <w:sz w:val="28"/>
          <w:szCs w:val="32"/>
        </w:rPr>
      </w:pPr>
      <w:r>
        <w:rPr>
          <w:rFonts w:ascii="Times New Roman" w:hAnsi="Times New Roman" w:eastAsia="仿宋"/>
          <w:sz w:val="28"/>
          <w:szCs w:val="32"/>
        </w:rPr>
        <w:t>b. 按需更换易耗件（红外灯源）。</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56" w:name="_Toc451514024"/>
      <w:bookmarkStart w:id="57" w:name="_Toc10894"/>
      <w:bookmarkStart w:id="58" w:name="_Toc15801"/>
      <w:bookmarkStart w:id="59" w:name="_Toc18270"/>
      <w:bookmarkStart w:id="60" w:name="_Toc12234"/>
      <w:bookmarkStart w:id="61" w:name="_Toc8490"/>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.4  O</w:t>
      </w:r>
      <w:r>
        <w:rPr>
          <w:rFonts w:ascii="Times New Roman" w:hAnsi="Times New Roman" w:eastAsia="仿宋" w:cs="Times New Roman"/>
          <w:b/>
          <w:bCs/>
          <w:kern w:val="2"/>
          <w:sz w:val="28"/>
          <w:szCs w:val="44"/>
          <w:vertAlign w:val="subscript"/>
          <w:lang w:val="en-US" w:eastAsia="zh-CN" w:bidi="ar-SA"/>
        </w:rPr>
        <w:t>3</w:t>
      </w:r>
      <w:r>
        <w:rPr>
          <w:rFonts w:ascii="Times New Roman" w:hAnsi="Times New Roman" w:eastAsia="仿宋" w:cs="Times New Roman"/>
          <w:b/>
          <w:bCs/>
          <w:kern w:val="2"/>
          <w:sz w:val="28"/>
          <w:szCs w:val="44"/>
          <w:lang w:val="en-US" w:eastAsia="zh-CN" w:bidi="ar-SA"/>
        </w:rPr>
        <w:t>分析仪（TE49I、API T400E）</w:t>
      </w:r>
      <w:bookmarkEnd w:id="56"/>
      <w:bookmarkEnd w:id="57"/>
      <w:bookmarkEnd w:id="58"/>
      <w:bookmarkEnd w:id="59"/>
      <w:bookmarkEnd w:id="60"/>
      <w:bookmarkEnd w:id="61"/>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2）每周：a.零点检查；b. 跨度检查</w:t>
      </w:r>
    </w:p>
    <w:p>
      <w:pPr>
        <w:spacing w:line="440" w:lineRule="exact"/>
        <w:rPr>
          <w:rFonts w:ascii="Times New Roman" w:hAnsi="Times New Roman" w:eastAsia="仿宋"/>
          <w:sz w:val="28"/>
          <w:szCs w:val="32"/>
        </w:rPr>
      </w:pPr>
      <w:r>
        <w:rPr>
          <w:rFonts w:ascii="Times New Roman" w:hAnsi="Times New Roman" w:eastAsia="仿宋"/>
          <w:sz w:val="28"/>
          <w:szCs w:val="32"/>
        </w:rPr>
        <w:t>3）两周：更换滤膜（污染严重时应增加频次）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4）季度：精密度检查</w:t>
      </w:r>
    </w:p>
    <w:p>
      <w:pPr>
        <w:spacing w:line="440" w:lineRule="exact"/>
        <w:rPr>
          <w:rFonts w:ascii="Times New Roman" w:hAnsi="Times New Roman" w:eastAsia="仿宋"/>
          <w:sz w:val="28"/>
          <w:szCs w:val="32"/>
        </w:rPr>
      </w:pPr>
      <w:r>
        <w:rPr>
          <w:rFonts w:ascii="Times New Roman" w:hAnsi="Times New Roman" w:eastAsia="仿宋"/>
          <w:sz w:val="28"/>
          <w:szCs w:val="32"/>
        </w:rPr>
        <w:t>5）半年：5个点以上的多点校准</w:t>
      </w:r>
    </w:p>
    <w:p>
      <w:pPr>
        <w:spacing w:line="440" w:lineRule="exact"/>
        <w:rPr>
          <w:rFonts w:ascii="Times New Roman" w:hAnsi="Times New Roman" w:eastAsia="仿宋"/>
          <w:sz w:val="28"/>
          <w:szCs w:val="32"/>
        </w:rPr>
      </w:pPr>
      <w:r>
        <w:rPr>
          <w:rFonts w:ascii="Times New Roman" w:hAnsi="Times New Roman" w:eastAsia="仿宋"/>
          <w:sz w:val="28"/>
          <w:szCs w:val="32"/>
        </w:rPr>
        <w:t>6）每年：TE49I a. 更换泵模；</w:t>
      </w:r>
    </w:p>
    <w:p>
      <w:pPr>
        <w:spacing w:line="440" w:lineRule="exact"/>
        <w:ind w:left="2215" w:leftChars="855" w:hanging="420" w:hangingChars="150"/>
        <w:rPr>
          <w:rFonts w:ascii="Times New Roman" w:hAnsi="Times New Roman" w:eastAsia="仿宋"/>
          <w:sz w:val="28"/>
          <w:szCs w:val="32"/>
        </w:rPr>
      </w:pPr>
      <w:r>
        <w:rPr>
          <w:rFonts w:ascii="Times New Roman" w:hAnsi="Times New Roman" w:eastAsia="仿宋"/>
          <w:sz w:val="28"/>
          <w:szCs w:val="32"/>
        </w:rPr>
        <w:t xml:space="preserve">  b. 按需更换易耗件（毛细管、泵）</w:t>
      </w:r>
    </w:p>
    <w:p>
      <w:pPr>
        <w:spacing w:line="440" w:lineRule="exact"/>
        <w:ind w:left="359" w:leftChars="171" w:firstLine="140" w:firstLineChars="50"/>
        <w:rPr>
          <w:rFonts w:ascii="Times New Roman" w:hAnsi="Times New Roman" w:eastAsia="仿宋"/>
          <w:sz w:val="28"/>
          <w:szCs w:val="32"/>
        </w:rPr>
      </w:pPr>
      <w:r>
        <w:rPr>
          <w:rFonts w:ascii="Times New Roman" w:hAnsi="Times New Roman" w:eastAsia="仿宋"/>
          <w:sz w:val="28"/>
          <w:szCs w:val="32"/>
        </w:rPr>
        <w:t xml:space="preserve"> API T400E a. 更换烧结过滤器、O型圈、泵模；</w:t>
      </w:r>
    </w:p>
    <w:p>
      <w:pPr>
        <w:spacing w:line="440" w:lineRule="exact"/>
        <w:ind w:left="359" w:leftChars="171" w:firstLine="1680" w:firstLineChars="600"/>
        <w:rPr>
          <w:rFonts w:ascii="Times New Roman" w:hAnsi="Times New Roman" w:eastAsia="仿宋"/>
          <w:sz w:val="28"/>
          <w:szCs w:val="32"/>
        </w:rPr>
      </w:pPr>
      <w:r>
        <w:rPr>
          <w:rFonts w:ascii="Times New Roman" w:hAnsi="Times New Roman" w:eastAsia="仿宋"/>
          <w:sz w:val="28"/>
          <w:szCs w:val="32"/>
        </w:rPr>
        <w:t>b. 按需更换易耗件（紫外灯（光具座））。</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62" w:name="_Toc5504"/>
      <w:bookmarkStart w:id="63" w:name="_Toc18897"/>
      <w:bookmarkStart w:id="64" w:name="_Toc20883"/>
      <w:bookmarkStart w:id="65" w:name="_Toc25368"/>
      <w:bookmarkStart w:id="66" w:name="_Toc451514025"/>
      <w:bookmarkStart w:id="67" w:name="_Toc32291"/>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.5  NH</w:t>
      </w:r>
      <w:r>
        <w:rPr>
          <w:rFonts w:ascii="Times New Roman" w:hAnsi="Times New Roman" w:eastAsia="仿宋" w:cs="Times New Roman"/>
          <w:b/>
          <w:bCs/>
          <w:kern w:val="2"/>
          <w:sz w:val="28"/>
          <w:szCs w:val="44"/>
          <w:vertAlign w:val="subscript"/>
          <w:lang w:val="en-US" w:eastAsia="zh-CN" w:bidi="ar-SA"/>
        </w:rPr>
        <w:t>3</w:t>
      </w:r>
      <w:r>
        <w:rPr>
          <w:rFonts w:ascii="Times New Roman" w:hAnsi="Times New Roman" w:eastAsia="仿宋" w:cs="Times New Roman"/>
          <w:b/>
          <w:bCs/>
          <w:kern w:val="2"/>
          <w:sz w:val="28"/>
          <w:szCs w:val="44"/>
          <w:lang w:val="en-US" w:eastAsia="zh-CN" w:bidi="ar-SA"/>
        </w:rPr>
        <w:t>分析仪（TE 17I、API T201U）</w:t>
      </w:r>
      <w:bookmarkEnd w:id="62"/>
      <w:bookmarkEnd w:id="63"/>
      <w:bookmarkEnd w:id="64"/>
      <w:bookmarkEnd w:id="65"/>
      <w:bookmarkEnd w:id="66"/>
      <w:bookmarkEnd w:id="67"/>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2）每周：a.零点检查；b. 跨度检查</w:t>
      </w:r>
    </w:p>
    <w:p>
      <w:pPr>
        <w:spacing w:line="440" w:lineRule="exact"/>
        <w:rPr>
          <w:rFonts w:ascii="Times New Roman" w:hAnsi="Times New Roman" w:eastAsia="仿宋"/>
          <w:sz w:val="28"/>
          <w:szCs w:val="32"/>
        </w:rPr>
      </w:pPr>
      <w:r>
        <w:rPr>
          <w:rFonts w:ascii="Times New Roman" w:hAnsi="Times New Roman" w:eastAsia="仿宋"/>
          <w:sz w:val="28"/>
          <w:szCs w:val="32"/>
        </w:rPr>
        <w:t>3）两周：TE 17I a.更换滤膜（污染严重时应增加频次）；b. 更换硅胶</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API T201U更换滤膜（污染严重时应增加频次）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4）每月：流量检查</w:t>
      </w:r>
    </w:p>
    <w:p>
      <w:pPr>
        <w:spacing w:line="440" w:lineRule="exact"/>
        <w:rPr>
          <w:rFonts w:ascii="Times New Roman" w:hAnsi="Times New Roman" w:eastAsia="仿宋"/>
          <w:sz w:val="28"/>
          <w:szCs w:val="32"/>
        </w:rPr>
      </w:pPr>
      <w:r>
        <w:rPr>
          <w:rFonts w:ascii="Times New Roman" w:hAnsi="Times New Roman" w:eastAsia="仿宋"/>
          <w:sz w:val="28"/>
          <w:szCs w:val="32"/>
        </w:rPr>
        <w:t>5）季度：精密度检查</w:t>
      </w:r>
    </w:p>
    <w:p>
      <w:pPr>
        <w:spacing w:line="440" w:lineRule="exact"/>
        <w:rPr>
          <w:rFonts w:ascii="Times New Roman" w:hAnsi="Times New Roman" w:eastAsia="仿宋"/>
          <w:sz w:val="28"/>
          <w:szCs w:val="32"/>
        </w:rPr>
      </w:pPr>
      <w:r>
        <w:rPr>
          <w:rFonts w:ascii="Times New Roman" w:hAnsi="Times New Roman" w:eastAsia="仿宋"/>
          <w:sz w:val="28"/>
          <w:szCs w:val="32"/>
        </w:rPr>
        <w:t>6）半年：a.5个点以上的多点校准；b. 检查钼炉转化率</w:t>
      </w:r>
    </w:p>
    <w:p>
      <w:pPr>
        <w:spacing w:line="440" w:lineRule="exact"/>
        <w:rPr>
          <w:rFonts w:ascii="Times New Roman" w:hAnsi="Times New Roman" w:eastAsia="仿宋"/>
          <w:sz w:val="28"/>
          <w:szCs w:val="32"/>
        </w:rPr>
      </w:pPr>
      <w:r>
        <w:rPr>
          <w:rFonts w:ascii="Times New Roman" w:hAnsi="Times New Roman" w:eastAsia="仿宋"/>
          <w:sz w:val="28"/>
          <w:szCs w:val="32"/>
        </w:rPr>
        <w:t>7）每年：TE 17I a. 更换标气、双头泵膜；</w:t>
      </w:r>
    </w:p>
    <w:p>
      <w:pPr>
        <w:spacing w:line="440" w:lineRule="exact"/>
        <w:ind w:left="2193" w:leftChars="911" w:hanging="280" w:hangingChars="100"/>
        <w:rPr>
          <w:rFonts w:ascii="Times New Roman" w:hAnsi="Times New Roman" w:eastAsia="仿宋"/>
          <w:sz w:val="28"/>
          <w:szCs w:val="32"/>
        </w:rPr>
      </w:pPr>
      <w:r>
        <w:rPr>
          <w:rFonts w:ascii="Times New Roman" w:hAnsi="Times New Roman" w:eastAsia="仿宋"/>
          <w:sz w:val="28"/>
          <w:szCs w:val="32"/>
        </w:rPr>
        <w:t xml:space="preserve">  b. 按需更换易耗件（4119毛细管、4127毛细管、O形圈、臭氧发生器、泵、冷堆）</w:t>
      </w:r>
    </w:p>
    <w:p>
      <w:pPr>
        <w:spacing w:line="440" w:lineRule="exact"/>
        <w:ind w:left="359" w:leftChars="171" w:firstLine="280" w:firstLineChars="100"/>
        <w:rPr>
          <w:rFonts w:ascii="Times New Roman" w:hAnsi="Times New Roman" w:eastAsia="仿宋"/>
          <w:sz w:val="28"/>
          <w:szCs w:val="32"/>
        </w:rPr>
      </w:pPr>
      <w:r>
        <w:rPr>
          <w:rFonts w:ascii="Times New Roman" w:hAnsi="Times New Roman" w:eastAsia="仿宋"/>
          <w:sz w:val="28"/>
          <w:szCs w:val="32"/>
        </w:rPr>
        <w:t xml:space="preserve"> API T201U a. 更换标气、烧结过滤器、O型圈、滤光片；</w:t>
      </w:r>
    </w:p>
    <w:p>
      <w:pPr>
        <w:spacing w:line="440" w:lineRule="exact"/>
        <w:ind w:left="359" w:leftChars="171" w:firstLine="1820" w:firstLineChars="650"/>
        <w:rPr>
          <w:rFonts w:ascii="Times New Roman" w:hAnsi="Times New Roman" w:eastAsia="仿宋"/>
          <w:sz w:val="28"/>
          <w:szCs w:val="32"/>
        </w:rPr>
      </w:pPr>
      <w:r>
        <w:rPr>
          <w:rFonts w:ascii="Times New Roman" w:hAnsi="Times New Roman" w:eastAsia="仿宋"/>
          <w:sz w:val="28"/>
          <w:szCs w:val="32"/>
        </w:rPr>
        <w:t>b. 按需更换易耗件（泵维修组件、钼转化炉）。</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68" w:name="_Toc451514026"/>
      <w:bookmarkStart w:id="69" w:name="_Toc11926"/>
      <w:bookmarkStart w:id="70" w:name="_Toc3366"/>
      <w:bookmarkStart w:id="71" w:name="_Toc22327"/>
      <w:bookmarkStart w:id="72" w:name="_Toc23904"/>
      <w:bookmarkStart w:id="73" w:name="_Toc7544"/>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.6  NO</w:t>
      </w:r>
      <w:r>
        <w:rPr>
          <w:rFonts w:ascii="Times New Roman" w:hAnsi="Times New Roman" w:eastAsia="仿宋" w:cs="Times New Roman"/>
          <w:b/>
          <w:bCs/>
          <w:kern w:val="2"/>
          <w:sz w:val="28"/>
          <w:szCs w:val="44"/>
          <w:vertAlign w:val="subscript"/>
          <w:lang w:val="en-US" w:eastAsia="zh-CN" w:bidi="ar-SA"/>
        </w:rPr>
        <w:t>y</w:t>
      </w:r>
      <w:r>
        <w:rPr>
          <w:rFonts w:ascii="Times New Roman" w:hAnsi="Times New Roman" w:eastAsia="仿宋" w:cs="Times New Roman"/>
          <w:b/>
          <w:bCs/>
          <w:kern w:val="2"/>
          <w:sz w:val="28"/>
          <w:szCs w:val="44"/>
          <w:lang w:val="en-US" w:eastAsia="zh-CN" w:bidi="ar-SA"/>
        </w:rPr>
        <w:t>分析仪（TE 42I-Y、API T200U-NOy）</w:t>
      </w:r>
      <w:bookmarkEnd w:id="68"/>
      <w:bookmarkEnd w:id="69"/>
      <w:bookmarkEnd w:id="70"/>
      <w:bookmarkEnd w:id="71"/>
      <w:bookmarkEnd w:id="72"/>
      <w:bookmarkEnd w:id="73"/>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2）每周：a.零点检查；b. 跨度检查</w:t>
      </w:r>
    </w:p>
    <w:p>
      <w:pPr>
        <w:spacing w:line="440" w:lineRule="exact"/>
        <w:rPr>
          <w:rFonts w:ascii="Times New Roman" w:hAnsi="Times New Roman" w:eastAsia="仿宋"/>
          <w:sz w:val="28"/>
          <w:szCs w:val="32"/>
        </w:rPr>
      </w:pPr>
      <w:r>
        <w:rPr>
          <w:rFonts w:ascii="Times New Roman" w:hAnsi="Times New Roman" w:eastAsia="仿宋"/>
          <w:sz w:val="28"/>
          <w:szCs w:val="32"/>
        </w:rPr>
        <w:t>3）两周：TE 42I-Y a.更换滤膜（污染严重时应增加频次）；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b. 更换硅胶</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API T200U-NOy更换滤膜（污染严重时应增加频次）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4）每月：流量检查</w:t>
      </w:r>
    </w:p>
    <w:p>
      <w:pPr>
        <w:spacing w:line="440" w:lineRule="exact"/>
        <w:rPr>
          <w:rFonts w:ascii="Times New Roman" w:hAnsi="Times New Roman" w:eastAsia="仿宋"/>
          <w:sz w:val="28"/>
          <w:szCs w:val="32"/>
        </w:rPr>
      </w:pPr>
      <w:r>
        <w:rPr>
          <w:rFonts w:ascii="Times New Roman" w:hAnsi="Times New Roman" w:eastAsia="仿宋"/>
          <w:sz w:val="28"/>
          <w:szCs w:val="32"/>
        </w:rPr>
        <w:t>5）季度：精密度检查</w:t>
      </w:r>
    </w:p>
    <w:p>
      <w:pPr>
        <w:spacing w:line="440" w:lineRule="exact"/>
        <w:rPr>
          <w:rFonts w:ascii="Times New Roman" w:hAnsi="Times New Roman" w:eastAsia="仿宋"/>
          <w:sz w:val="28"/>
          <w:szCs w:val="32"/>
        </w:rPr>
      </w:pPr>
      <w:r>
        <w:rPr>
          <w:rFonts w:ascii="Times New Roman" w:hAnsi="Times New Roman" w:eastAsia="仿宋"/>
          <w:sz w:val="28"/>
          <w:szCs w:val="32"/>
        </w:rPr>
        <w:t>6）半年：a.5个点以上的多点校准；b. 检查钼炉转化率</w:t>
      </w:r>
    </w:p>
    <w:p>
      <w:pPr>
        <w:spacing w:line="440" w:lineRule="exact"/>
        <w:rPr>
          <w:rFonts w:ascii="Times New Roman" w:hAnsi="Times New Roman" w:eastAsia="仿宋"/>
          <w:sz w:val="28"/>
          <w:szCs w:val="32"/>
        </w:rPr>
      </w:pPr>
      <w:r>
        <w:rPr>
          <w:rFonts w:ascii="Times New Roman" w:hAnsi="Times New Roman" w:eastAsia="仿宋"/>
          <w:sz w:val="28"/>
          <w:szCs w:val="32"/>
        </w:rPr>
        <w:t>7）每年：TE 42I-Y a. 更换标气、泵膜、双头泵膜；</w:t>
      </w:r>
    </w:p>
    <w:p>
      <w:pPr>
        <w:spacing w:line="440" w:lineRule="exact"/>
        <w:ind w:left="2155" w:leftChars="1026"/>
        <w:rPr>
          <w:rFonts w:ascii="Times New Roman" w:hAnsi="Times New Roman" w:eastAsia="仿宋"/>
          <w:sz w:val="28"/>
          <w:szCs w:val="32"/>
        </w:rPr>
      </w:pPr>
      <w:r>
        <w:rPr>
          <w:rFonts w:ascii="Times New Roman" w:hAnsi="Times New Roman" w:eastAsia="仿宋"/>
          <w:sz w:val="28"/>
          <w:szCs w:val="32"/>
        </w:rPr>
        <w:t xml:space="preserve">  b. 按需更换易耗件（4119毛细管、4127毛细管、O形圈、臭氧发生器、泵、冷堆）</w:t>
      </w:r>
    </w:p>
    <w:p>
      <w:pPr>
        <w:spacing w:line="440" w:lineRule="exact"/>
        <w:ind w:left="359" w:leftChars="171" w:firstLine="280" w:firstLineChars="100"/>
        <w:rPr>
          <w:rFonts w:ascii="Times New Roman" w:hAnsi="Times New Roman" w:eastAsia="仿宋"/>
          <w:sz w:val="28"/>
          <w:szCs w:val="32"/>
        </w:rPr>
      </w:pPr>
      <w:r>
        <w:rPr>
          <w:rFonts w:ascii="Times New Roman" w:hAnsi="Times New Roman" w:eastAsia="仿宋"/>
          <w:sz w:val="28"/>
          <w:szCs w:val="32"/>
        </w:rPr>
        <w:t xml:space="preserve"> API T200U-NOy a. 更换标气、烧结过滤器、O型圈、滤光片；</w:t>
      </w:r>
    </w:p>
    <w:p>
      <w:pPr>
        <w:spacing w:line="440" w:lineRule="exact"/>
        <w:ind w:left="359" w:leftChars="171" w:firstLine="2380" w:firstLineChars="850"/>
        <w:rPr>
          <w:rFonts w:ascii="Times New Roman" w:hAnsi="Times New Roman" w:eastAsia="仿宋"/>
          <w:sz w:val="28"/>
          <w:szCs w:val="32"/>
        </w:rPr>
      </w:pPr>
      <w:r>
        <w:rPr>
          <w:rFonts w:ascii="Times New Roman" w:hAnsi="Times New Roman" w:eastAsia="仿宋"/>
          <w:sz w:val="28"/>
          <w:szCs w:val="32"/>
        </w:rPr>
        <w:t>b. 按需更换易耗件（泵维修组件、钼转化炉）。</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74" w:name="_Toc10479"/>
      <w:bookmarkStart w:id="75" w:name="_Toc20325"/>
      <w:bookmarkStart w:id="76" w:name="_Toc20700"/>
      <w:bookmarkStart w:id="77" w:name="_Toc451514027"/>
      <w:bookmarkStart w:id="78" w:name="_Toc2185"/>
      <w:bookmarkStart w:id="79" w:name="_Toc14398"/>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.7  CO</w:t>
      </w:r>
      <w:r>
        <w:rPr>
          <w:rFonts w:ascii="Times New Roman" w:hAnsi="Times New Roman" w:eastAsia="仿宋" w:cs="Times New Roman"/>
          <w:b/>
          <w:bCs/>
          <w:kern w:val="2"/>
          <w:sz w:val="28"/>
          <w:szCs w:val="44"/>
          <w:vertAlign w:val="subscript"/>
          <w:lang w:val="en-US" w:eastAsia="zh-CN" w:bidi="ar-SA"/>
        </w:rPr>
        <w:t>2</w:t>
      </w:r>
      <w:r>
        <w:rPr>
          <w:rFonts w:ascii="Times New Roman" w:hAnsi="Times New Roman" w:eastAsia="仿宋" w:cs="Times New Roman"/>
          <w:b/>
          <w:bCs/>
          <w:kern w:val="2"/>
          <w:sz w:val="28"/>
          <w:szCs w:val="44"/>
          <w:lang w:val="en-US" w:eastAsia="zh-CN" w:bidi="ar-SA"/>
        </w:rPr>
        <w:t>分析仪(TE 410I)</w:t>
      </w:r>
      <w:bookmarkEnd w:id="74"/>
      <w:bookmarkEnd w:id="75"/>
      <w:bookmarkEnd w:id="76"/>
      <w:bookmarkEnd w:id="77"/>
      <w:bookmarkEnd w:id="78"/>
      <w:bookmarkEnd w:id="79"/>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2）每周：a.零点检查；b. 跨度检查</w:t>
      </w:r>
    </w:p>
    <w:p>
      <w:pPr>
        <w:spacing w:line="440" w:lineRule="exact"/>
        <w:rPr>
          <w:rFonts w:ascii="Times New Roman" w:hAnsi="Times New Roman" w:eastAsia="仿宋"/>
          <w:sz w:val="28"/>
          <w:szCs w:val="32"/>
        </w:rPr>
      </w:pPr>
      <w:r>
        <w:rPr>
          <w:rFonts w:ascii="Times New Roman" w:hAnsi="Times New Roman" w:eastAsia="仿宋"/>
          <w:sz w:val="28"/>
          <w:szCs w:val="32"/>
        </w:rPr>
        <w:t>3）两周：a.更换滤膜（污染严重时应增加频次）；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十天左右更换高纯氮气（99.999%）</w:t>
      </w:r>
    </w:p>
    <w:p>
      <w:pPr>
        <w:spacing w:line="440" w:lineRule="exact"/>
        <w:rPr>
          <w:rFonts w:ascii="Times New Roman" w:hAnsi="Times New Roman" w:eastAsia="仿宋"/>
          <w:sz w:val="28"/>
          <w:szCs w:val="32"/>
        </w:rPr>
      </w:pPr>
      <w:r>
        <w:rPr>
          <w:rFonts w:ascii="Times New Roman" w:hAnsi="Times New Roman" w:eastAsia="仿宋"/>
          <w:sz w:val="28"/>
          <w:szCs w:val="32"/>
        </w:rPr>
        <w:t>4）每月：流量检查</w:t>
      </w:r>
    </w:p>
    <w:p>
      <w:pPr>
        <w:spacing w:line="440" w:lineRule="exact"/>
        <w:rPr>
          <w:rFonts w:ascii="Times New Roman" w:hAnsi="Times New Roman" w:eastAsia="仿宋"/>
          <w:sz w:val="28"/>
          <w:szCs w:val="32"/>
        </w:rPr>
      </w:pPr>
      <w:r>
        <w:rPr>
          <w:rFonts w:ascii="Times New Roman" w:hAnsi="Times New Roman" w:eastAsia="仿宋"/>
          <w:sz w:val="28"/>
          <w:szCs w:val="32"/>
        </w:rPr>
        <w:t>5）季度：精密度检查</w:t>
      </w:r>
    </w:p>
    <w:p>
      <w:pPr>
        <w:spacing w:line="440" w:lineRule="exact"/>
        <w:rPr>
          <w:rFonts w:ascii="Times New Roman" w:hAnsi="Times New Roman" w:eastAsia="仿宋"/>
          <w:sz w:val="28"/>
          <w:szCs w:val="32"/>
        </w:rPr>
      </w:pPr>
      <w:r>
        <w:rPr>
          <w:rFonts w:ascii="Times New Roman" w:hAnsi="Times New Roman" w:eastAsia="仿宋"/>
          <w:sz w:val="28"/>
          <w:szCs w:val="32"/>
        </w:rPr>
        <w:t>6）半年：5个点以上的多点校准；</w:t>
      </w:r>
    </w:p>
    <w:p>
      <w:pPr>
        <w:spacing w:line="440" w:lineRule="exact"/>
        <w:rPr>
          <w:rFonts w:ascii="Times New Roman" w:hAnsi="Times New Roman" w:eastAsia="仿宋"/>
          <w:sz w:val="28"/>
          <w:szCs w:val="32"/>
        </w:rPr>
      </w:pPr>
      <w:r>
        <w:rPr>
          <w:rFonts w:ascii="Times New Roman" w:hAnsi="Times New Roman" w:eastAsia="仿宋"/>
          <w:sz w:val="28"/>
          <w:szCs w:val="32"/>
        </w:rPr>
        <w:t>7）每年：更换标气、泵膜。</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80" w:name="_Toc30208"/>
      <w:bookmarkStart w:id="81" w:name="_Toc10170"/>
      <w:bookmarkStart w:id="82" w:name="_Toc3666"/>
      <w:bookmarkStart w:id="83" w:name="_Toc15384"/>
      <w:bookmarkStart w:id="84" w:name="_Toc8168"/>
      <w:bookmarkStart w:id="85" w:name="_Toc451514028"/>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.8 甲烷/非甲烷总烃分析仪（TE 55I）</w:t>
      </w:r>
      <w:bookmarkEnd w:id="80"/>
      <w:bookmarkEnd w:id="81"/>
      <w:bookmarkEnd w:id="82"/>
      <w:bookmarkEnd w:id="83"/>
      <w:bookmarkEnd w:id="84"/>
      <w:bookmarkEnd w:id="85"/>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2）每周：a.零点检查；</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b.通标准气体进行单点校正；</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c.观察特征污染物位置进行峰窗检查</w:t>
      </w:r>
    </w:p>
    <w:p>
      <w:pPr>
        <w:spacing w:line="440" w:lineRule="exact"/>
        <w:rPr>
          <w:rFonts w:ascii="Times New Roman" w:hAnsi="Times New Roman" w:eastAsia="仿宋"/>
          <w:sz w:val="28"/>
          <w:szCs w:val="32"/>
        </w:rPr>
      </w:pPr>
      <w:r>
        <w:rPr>
          <w:rFonts w:ascii="Times New Roman" w:hAnsi="Times New Roman" w:eastAsia="仿宋"/>
          <w:sz w:val="28"/>
          <w:szCs w:val="32"/>
        </w:rPr>
        <w:t>3）两周：更换滤膜（污染严重时应增加频次）</w:t>
      </w:r>
    </w:p>
    <w:p>
      <w:pPr>
        <w:spacing w:line="440" w:lineRule="exact"/>
        <w:rPr>
          <w:rFonts w:ascii="Times New Roman" w:hAnsi="Times New Roman" w:eastAsia="仿宋"/>
          <w:sz w:val="28"/>
          <w:szCs w:val="32"/>
        </w:rPr>
      </w:pPr>
      <w:r>
        <w:rPr>
          <w:rFonts w:ascii="Times New Roman" w:hAnsi="Times New Roman" w:eastAsia="仿宋"/>
          <w:sz w:val="28"/>
          <w:szCs w:val="32"/>
        </w:rPr>
        <w:t>4）每月：a.更换高纯氮气；b. 流量检查</w:t>
      </w:r>
    </w:p>
    <w:p>
      <w:pPr>
        <w:spacing w:line="440" w:lineRule="exact"/>
        <w:rPr>
          <w:rFonts w:ascii="Times New Roman" w:hAnsi="Times New Roman" w:eastAsia="仿宋"/>
          <w:sz w:val="28"/>
          <w:szCs w:val="32"/>
        </w:rPr>
      </w:pPr>
      <w:r>
        <w:rPr>
          <w:rFonts w:ascii="Times New Roman" w:hAnsi="Times New Roman" w:eastAsia="仿宋"/>
          <w:sz w:val="28"/>
          <w:szCs w:val="32"/>
        </w:rPr>
        <w:t>5）半年：a.5个点以上的多点校准；b. 更换标气</w:t>
      </w:r>
    </w:p>
    <w:p>
      <w:pPr>
        <w:spacing w:line="440" w:lineRule="exact"/>
        <w:rPr>
          <w:rFonts w:ascii="Times New Roman" w:hAnsi="Times New Roman" w:eastAsia="仿宋"/>
          <w:sz w:val="28"/>
          <w:szCs w:val="32"/>
        </w:rPr>
      </w:pPr>
      <w:r>
        <w:rPr>
          <w:rFonts w:ascii="Times New Roman" w:hAnsi="Times New Roman" w:eastAsia="仿宋"/>
          <w:sz w:val="28"/>
          <w:szCs w:val="32"/>
        </w:rPr>
        <w:t>6）每年：a.更换泵膜；</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b.按需更换易耗件（泵，点火线圈，FID O形圈，热电偶，色谱柱，FID维修包，压力传感器，过滤器，过滤器垫圈，氢气发生器去离子包，氢气发生器吸附罐，氢气发生器电解池）</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86" w:name="_Toc29863"/>
      <w:bookmarkStart w:id="87" w:name="_Toc8281"/>
      <w:bookmarkStart w:id="88" w:name="_Toc14631"/>
      <w:bookmarkStart w:id="89" w:name="_Toc13866"/>
      <w:bookmarkStart w:id="90" w:name="_Toc451514029"/>
      <w:bookmarkStart w:id="91" w:name="_Toc12578"/>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.9 动态校准仪（TE146I、API T700）</w:t>
      </w:r>
      <w:bookmarkEnd w:id="86"/>
      <w:bookmarkEnd w:id="87"/>
      <w:bookmarkEnd w:id="88"/>
      <w:bookmarkEnd w:id="89"/>
      <w:bookmarkEnd w:id="90"/>
      <w:bookmarkEnd w:id="91"/>
    </w:p>
    <w:p>
      <w:pPr>
        <w:spacing w:line="440" w:lineRule="exact"/>
        <w:rPr>
          <w:rFonts w:ascii="Times New Roman" w:hAnsi="Times New Roman" w:eastAsia="仿宋"/>
          <w:sz w:val="28"/>
          <w:szCs w:val="32"/>
        </w:rPr>
      </w:pPr>
      <w:r>
        <w:rPr>
          <w:rFonts w:ascii="Times New Roman" w:hAnsi="Times New Roman" w:eastAsia="仿宋"/>
          <w:sz w:val="28"/>
          <w:szCs w:val="32"/>
        </w:rPr>
        <w:t>1）每月：a. 零气MFC质量流量单点检查；</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标气MFC质量流量单点检查。</w:t>
      </w:r>
    </w:p>
    <w:p>
      <w:pPr>
        <w:spacing w:line="440" w:lineRule="exact"/>
        <w:rPr>
          <w:rFonts w:ascii="Times New Roman" w:hAnsi="Times New Roman" w:eastAsia="仿宋"/>
          <w:sz w:val="28"/>
          <w:szCs w:val="32"/>
        </w:rPr>
      </w:pPr>
      <w:r>
        <w:rPr>
          <w:rFonts w:ascii="Times New Roman" w:hAnsi="Times New Roman" w:eastAsia="仿宋"/>
          <w:sz w:val="28"/>
          <w:szCs w:val="32"/>
        </w:rPr>
        <w:t>2）半年：a. 零气MFC质量流量多点校准；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标气MFC质量流量多点校准；</w:t>
      </w:r>
    </w:p>
    <w:p>
      <w:pPr>
        <w:spacing w:line="440" w:lineRule="exact"/>
        <w:rPr>
          <w:rFonts w:ascii="Times New Roman" w:hAnsi="Times New Roman" w:eastAsia="仿宋"/>
          <w:sz w:val="28"/>
          <w:szCs w:val="32"/>
        </w:rPr>
      </w:pPr>
      <w:r>
        <w:rPr>
          <w:rFonts w:ascii="Times New Roman" w:hAnsi="Times New Roman" w:eastAsia="仿宋"/>
          <w:sz w:val="28"/>
          <w:szCs w:val="32"/>
        </w:rPr>
        <w:t>2）每年：a. 对内置的臭氧发生器进行标准溯源；</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b.按需更换易耗件</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92" w:name="_Toc24139"/>
      <w:bookmarkStart w:id="93" w:name="_Toc9970"/>
      <w:bookmarkStart w:id="94" w:name="_Toc19268"/>
      <w:bookmarkStart w:id="95" w:name="_Toc6202"/>
      <w:bookmarkStart w:id="96" w:name="_Toc451514030"/>
      <w:bookmarkStart w:id="97" w:name="_Toc3908"/>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.10  零气发生器(TE 111、API T701H)</w:t>
      </w:r>
      <w:bookmarkEnd w:id="92"/>
      <w:bookmarkEnd w:id="93"/>
      <w:bookmarkEnd w:id="94"/>
      <w:bookmarkEnd w:id="95"/>
      <w:bookmarkEnd w:id="96"/>
      <w:bookmarkEnd w:id="97"/>
    </w:p>
    <w:p>
      <w:pPr>
        <w:spacing w:line="440" w:lineRule="exact"/>
        <w:rPr>
          <w:rFonts w:ascii="Times New Roman" w:hAnsi="Times New Roman" w:eastAsia="仿宋"/>
          <w:sz w:val="28"/>
          <w:szCs w:val="32"/>
        </w:rPr>
      </w:pPr>
      <w:r>
        <w:rPr>
          <w:rFonts w:ascii="Times New Roman" w:hAnsi="Times New Roman" w:eastAsia="仿宋"/>
          <w:sz w:val="28"/>
          <w:szCs w:val="32"/>
        </w:rPr>
        <w:t>1）半年：a. 更换活性炭；</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更换分子筛</w:t>
      </w:r>
    </w:p>
    <w:p>
      <w:pPr>
        <w:spacing w:line="440" w:lineRule="exact"/>
        <w:rPr>
          <w:rFonts w:ascii="Times New Roman" w:hAnsi="Times New Roman" w:eastAsia="仿宋"/>
          <w:sz w:val="28"/>
          <w:szCs w:val="32"/>
        </w:rPr>
      </w:pPr>
      <w:r>
        <w:rPr>
          <w:rFonts w:ascii="Times New Roman" w:hAnsi="Times New Roman" w:eastAsia="仿宋"/>
          <w:sz w:val="28"/>
          <w:szCs w:val="32"/>
        </w:rPr>
        <w:t>2）每年：按需更换易耗件</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98" w:name="_Toc27963"/>
      <w:bookmarkStart w:id="99" w:name="_Toc9951"/>
      <w:bookmarkStart w:id="100" w:name="_Toc29133"/>
      <w:bookmarkStart w:id="101" w:name="_Toc23300"/>
      <w:bookmarkStart w:id="102" w:name="_Toc451514031"/>
      <w:bookmarkStart w:id="103" w:name="_Toc27163"/>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.11  武汉天虹在线VOC监测仪</w:t>
      </w:r>
      <w:bookmarkEnd w:id="98"/>
      <w:bookmarkEnd w:id="99"/>
      <w:bookmarkEnd w:id="100"/>
      <w:bookmarkEnd w:id="101"/>
      <w:bookmarkEnd w:id="102"/>
      <w:bookmarkEnd w:id="103"/>
    </w:p>
    <w:p>
      <w:pPr>
        <w:spacing w:line="440" w:lineRule="exact"/>
        <w:rPr>
          <w:rFonts w:ascii="Times New Roman" w:hAnsi="Times New Roman" w:eastAsia="仿宋"/>
          <w:sz w:val="28"/>
          <w:szCs w:val="32"/>
        </w:rPr>
      </w:pPr>
      <w:r>
        <w:rPr>
          <w:rFonts w:ascii="Times New Roman" w:hAnsi="Times New Roman" w:eastAsia="仿宋"/>
          <w:sz w:val="28"/>
          <w:szCs w:val="32"/>
        </w:rPr>
        <w:t>1）每日：a.查看仪器运行是否正常，是否存在报警；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查看外标气测定数据，与实际浓度相对误差小于30%</w:t>
      </w:r>
    </w:p>
    <w:p>
      <w:pPr>
        <w:spacing w:line="440" w:lineRule="exact"/>
        <w:rPr>
          <w:rFonts w:ascii="Times New Roman" w:hAnsi="Times New Roman" w:eastAsia="仿宋"/>
          <w:sz w:val="28"/>
          <w:szCs w:val="32"/>
        </w:rPr>
      </w:pPr>
      <w:r>
        <w:rPr>
          <w:rFonts w:ascii="Times New Roman" w:hAnsi="Times New Roman" w:eastAsia="仿宋"/>
          <w:sz w:val="28"/>
          <w:szCs w:val="32"/>
        </w:rPr>
        <w:t>2）每周：a. 氮氢空一体机更换硅胶；</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添加氢空（氮）一体机的超纯水；</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观察内标响应值和外标数据，调整峰窗；</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d．更换采样过滤膜。</w:t>
      </w:r>
    </w:p>
    <w:p>
      <w:pPr>
        <w:spacing w:line="440" w:lineRule="exact"/>
        <w:rPr>
          <w:rFonts w:ascii="Times New Roman" w:hAnsi="Times New Roman" w:eastAsia="仿宋"/>
          <w:sz w:val="28"/>
          <w:szCs w:val="32"/>
        </w:rPr>
      </w:pPr>
      <w:r>
        <w:rPr>
          <w:rFonts w:ascii="Times New Roman" w:hAnsi="Times New Roman" w:eastAsia="仿宋"/>
          <w:sz w:val="28"/>
          <w:szCs w:val="32"/>
        </w:rPr>
        <w:t>3）两周：a. 氢空（氮）一体机更换活性炭；</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每十天左右更换二氧化碳去除管；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每十天左右更换内标；</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d．每十天左右更换外标。</w:t>
      </w:r>
    </w:p>
    <w:p>
      <w:pPr>
        <w:spacing w:line="440" w:lineRule="exact"/>
        <w:rPr>
          <w:rFonts w:ascii="Times New Roman" w:hAnsi="Times New Roman" w:eastAsia="仿宋"/>
          <w:sz w:val="28"/>
          <w:szCs w:val="32"/>
        </w:rPr>
      </w:pPr>
      <w:r>
        <w:rPr>
          <w:rFonts w:ascii="Times New Roman" w:hAnsi="Times New Roman" w:eastAsia="仿宋"/>
          <w:sz w:val="28"/>
          <w:szCs w:val="32"/>
        </w:rPr>
        <w:t>4）季度：a.更换MS灯丝；b.清洗冷凝器</w:t>
      </w:r>
    </w:p>
    <w:p>
      <w:pPr>
        <w:spacing w:line="440" w:lineRule="exact"/>
        <w:rPr>
          <w:rFonts w:ascii="Times New Roman" w:hAnsi="Times New Roman" w:eastAsia="仿宋"/>
          <w:sz w:val="28"/>
          <w:szCs w:val="32"/>
        </w:rPr>
      </w:pPr>
      <w:r>
        <w:rPr>
          <w:rFonts w:ascii="Times New Roman" w:hAnsi="Times New Roman" w:eastAsia="仿宋"/>
          <w:sz w:val="28"/>
          <w:szCs w:val="32"/>
        </w:rPr>
        <w:t>5）半年：a. 5个月左右更换高纯氦气；</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5个点以上的多点校准（每年校准3次）</w:t>
      </w:r>
    </w:p>
    <w:p>
      <w:pPr>
        <w:spacing w:line="440" w:lineRule="exact"/>
        <w:rPr>
          <w:rFonts w:ascii="Times New Roman" w:hAnsi="Times New Roman" w:eastAsia="仿宋"/>
          <w:sz w:val="28"/>
          <w:szCs w:val="32"/>
        </w:rPr>
      </w:pPr>
      <w:r>
        <w:rPr>
          <w:rFonts w:ascii="Times New Roman" w:hAnsi="Times New Roman" w:eastAsia="仿宋"/>
          <w:sz w:val="28"/>
          <w:szCs w:val="32"/>
        </w:rPr>
        <w:t>6）每年：a. 更换机械泵泵油；</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更换扩散泵泵油；</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c．按需更换易耗件（色谱柱，捕集柱，除水石英管，电子倍增器等）。</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04" w:name="_Toc9952"/>
      <w:bookmarkStart w:id="105" w:name="_Toc28395"/>
      <w:bookmarkStart w:id="106" w:name="_Toc451514032"/>
      <w:bookmarkStart w:id="107" w:name="_Toc2233"/>
      <w:bookmarkStart w:id="108" w:name="_Toc31808"/>
      <w:bookmarkStart w:id="109" w:name="_Toc13919"/>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.12 SYNSPEC-GC955在线VOC监测仪</w:t>
      </w:r>
      <w:bookmarkEnd w:id="104"/>
      <w:bookmarkEnd w:id="105"/>
      <w:bookmarkEnd w:id="106"/>
      <w:bookmarkEnd w:id="107"/>
      <w:bookmarkEnd w:id="108"/>
      <w:bookmarkEnd w:id="109"/>
    </w:p>
    <w:p>
      <w:pPr>
        <w:spacing w:line="440" w:lineRule="exact"/>
        <w:rPr>
          <w:rFonts w:ascii="Times New Roman" w:hAnsi="Times New Roman" w:eastAsia="仿宋"/>
          <w:sz w:val="28"/>
          <w:szCs w:val="32"/>
        </w:rPr>
      </w:pPr>
      <w:r>
        <w:rPr>
          <w:rFonts w:ascii="Times New Roman" w:hAnsi="Times New Roman" w:eastAsia="仿宋"/>
          <w:sz w:val="28"/>
          <w:szCs w:val="32"/>
        </w:rPr>
        <w:t>1）每日：查看仪器运行是否正常，是否存在报警</w:t>
      </w:r>
    </w:p>
    <w:p>
      <w:pPr>
        <w:spacing w:line="440" w:lineRule="exact"/>
        <w:rPr>
          <w:rFonts w:ascii="Times New Roman" w:hAnsi="Times New Roman" w:eastAsia="仿宋"/>
          <w:sz w:val="28"/>
          <w:szCs w:val="32"/>
        </w:rPr>
      </w:pPr>
      <w:r>
        <w:rPr>
          <w:rFonts w:ascii="Times New Roman" w:hAnsi="Times New Roman" w:eastAsia="仿宋"/>
          <w:sz w:val="28"/>
          <w:szCs w:val="32"/>
        </w:rPr>
        <w:t>2）每周：a. 观察特征污染物位置进行峰窗检查；</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b.单点校正；</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 添加氢气发生器中的超纯水；</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d. 更换滤膜。</w:t>
      </w:r>
    </w:p>
    <w:p>
      <w:pPr>
        <w:spacing w:line="440" w:lineRule="exact"/>
        <w:rPr>
          <w:rFonts w:ascii="Times New Roman" w:hAnsi="Times New Roman" w:eastAsia="仿宋"/>
          <w:sz w:val="28"/>
          <w:szCs w:val="32"/>
        </w:rPr>
      </w:pPr>
      <w:r>
        <w:rPr>
          <w:rFonts w:ascii="Times New Roman" w:hAnsi="Times New Roman" w:eastAsia="仿宋"/>
          <w:sz w:val="28"/>
          <w:szCs w:val="32"/>
        </w:rPr>
        <w:t>3）季度：5个点以上的多点校准</w:t>
      </w:r>
    </w:p>
    <w:p>
      <w:pPr>
        <w:spacing w:line="440" w:lineRule="exact"/>
        <w:rPr>
          <w:rFonts w:ascii="Times New Roman" w:hAnsi="Times New Roman" w:eastAsia="仿宋"/>
          <w:sz w:val="28"/>
          <w:szCs w:val="32"/>
        </w:rPr>
      </w:pPr>
      <w:r>
        <w:rPr>
          <w:rFonts w:ascii="Times New Roman" w:hAnsi="Times New Roman" w:eastAsia="仿宋"/>
          <w:sz w:val="28"/>
          <w:szCs w:val="32"/>
        </w:rPr>
        <w:t>4）每年：a. 更换标气、载气过滤器；</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b.按需更换易耗件（横隔膜、预浓缩管、PID灯，内部分析管路等）。</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10" w:name="_Toc30302"/>
      <w:bookmarkStart w:id="111" w:name="_Toc451514033"/>
      <w:bookmarkStart w:id="112" w:name="_Toc11052"/>
      <w:bookmarkStart w:id="113" w:name="_Toc2947"/>
      <w:bookmarkStart w:id="114" w:name="_Toc21843"/>
      <w:bookmarkStart w:id="115" w:name="_Toc4424"/>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 xml:space="preserve">.13 </w:t>
      </w:r>
      <w:r>
        <w:rPr>
          <w:rFonts w:ascii="Times New Roman" w:hAnsi="Times New Roman" w:eastAsia="仿宋" w:cs="Times New Roman"/>
          <w:b/>
          <w:bCs/>
          <w:kern w:val="2"/>
          <w:sz w:val="28"/>
          <w:szCs w:val="28"/>
          <w:lang w:val="en-US" w:eastAsia="zh-CN" w:bidi="ar-SA"/>
        </w:rPr>
        <w:t>气象五参数（WS500-UMB</w:t>
      </w:r>
      <w:r>
        <w:rPr>
          <w:rFonts w:ascii="Times New Roman" w:hAnsi="Times New Roman" w:eastAsia="仿宋" w:cs="Times New Roman"/>
          <w:b/>
          <w:bCs/>
          <w:kern w:val="2"/>
          <w:sz w:val="28"/>
          <w:szCs w:val="44"/>
          <w:lang w:val="en-US" w:eastAsia="zh-CN" w:bidi="ar-SA"/>
        </w:rPr>
        <w:t>）</w:t>
      </w:r>
      <w:bookmarkEnd w:id="110"/>
      <w:bookmarkEnd w:id="111"/>
      <w:bookmarkEnd w:id="112"/>
      <w:bookmarkEnd w:id="113"/>
      <w:bookmarkEnd w:id="114"/>
      <w:bookmarkEnd w:id="115"/>
    </w:p>
    <w:p>
      <w:pPr>
        <w:spacing w:line="440" w:lineRule="exact"/>
        <w:rPr>
          <w:rFonts w:ascii="Times New Roman" w:hAnsi="Times New Roman" w:eastAsia="仿宋"/>
          <w:sz w:val="28"/>
          <w:szCs w:val="32"/>
        </w:rPr>
      </w:pPr>
      <w:r>
        <w:rPr>
          <w:rFonts w:ascii="Times New Roman" w:hAnsi="Times New Roman" w:eastAsia="仿宋"/>
          <w:sz w:val="28"/>
          <w:szCs w:val="32"/>
        </w:rPr>
        <w:t>1）每周：记录一次仪器各显示状态参数</w:t>
      </w:r>
    </w:p>
    <w:p>
      <w:pPr>
        <w:spacing w:line="440" w:lineRule="exact"/>
        <w:rPr>
          <w:rFonts w:ascii="Times New Roman" w:hAnsi="Times New Roman" w:eastAsia="仿宋"/>
          <w:sz w:val="28"/>
          <w:szCs w:val="32"/>
        </w:rPr>
      </w:pPr>
      <w:r>
        <w:rPr>
          <w:rFonts w:ascii="Times New Roman" w:hAnsi="Times New Roman" w:eastAsia="仿宋"/>
          <w:sz w:val="28"/>
          <w:szCs w:val="32"/>
        </w:rPr>
        <w:t>2）季度：a. 做一次线性检查</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对仪器内部相关部件外部灰尘吹扫</w:t>
      </w:r>
    </w:p>
    <w:p>
      <w:pPr>
        <w:spacing w:line="440" w:lineRule="exact"/>
        <w:rPr>
          <w:rFonts w:ascii="Times New Roman" w:hAnsi="Times New Roman" w:eastAsia="仿宋"/>
          <w:sz w:val="28"/>
          <w:szCs w:val="32"/>
        </w:rPr>
      </w:pPr>
      <w:r>
        <w:rPr>
          <w:rFonts w:ascii="Times New Roman" w:hAnsi="Times New Roman" w:eastAsia="仿宋"/>
          <w:sz w:val="28"/>
          <w:szCs w:val="32"/>
        </w:rPr>
        <w:t>3）每年：对仪器压力传感器进行一次检查和校准</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16" w:name="_Toc3689"/>
      <w:bookmarkStart w:id="117" w:name="_Toc451514034"/>
      <w:bookmarkStart w:id="118" w:name="_Toc27642"/>
      <w:bookmarkStart w:id="119" w:name="_Toc17994"/>
      <w:bookmarkStart w:id="120" w:name="_Toc12469"/>
      <w:bookmarkStart w:id="121" w:name="_Toc21190"/>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.14 PAN分析仪（Metcon PAN）</w:t>
      </w:r>
      <w:bookmarkEnd w:id="116"/>
      <w:bookmarkEnd w:id="117"/>
      <w:bookmarkEnd w:id="118"/>
      <w:bookmarkEnd w:id="119"/>
      <w:bookmarkEnd w:id="120"/>
      <w:bookmarkEnd w:id="121"/>
    </w:p>
    <w:p>
      <w:pPr>
        <w:spacing w:line="440" w:lineRule="exact"/>
        <w:rPr>
          <w:rFonts w:ascii="Times New Roman" w:hAnsi="Times New Roman" w:eastAsia="仿宋"/>
          <w:sz w:val="28"/>
          <w:szCs w:val="32"/>
        </w:rPr>
      </w:pPr>
      <w:r>
        <w:rPr>
          <w:rFonts w:ascii="Times New Roman" w:hAnsi="Times New Roman" w:eastAsia="仿宋"/>
          <w:sz w:val="28"/>
          <w:szCs w:val="32"/>
        </w:rPr>
        <w:t>1）每日：每天检查仪器是否正常工作，自动积分是否正常</w:t>
      </w:r>
    </w:p>
    <w:p>
      <w:pPr>
        <w:spacing w:line="440" w:lineRule="exact"/>
        <w:rPr>
          <w:rFonts w:ascii="Times New Roman" w:hAnsi="Times New Roman" w:eastAsia="仿宋"/>
          <w:sz w:val="28"/>
          <w:szCs w:val="32"/>
        </w:rPr>
      </w:pPr>
      <w:r>
        <w:rPr>
          <w:rFonts w:ascii="Times New Roman" w:hAnsi="Times New Roman" w:eastAsia="仿宋"/>
          <w:sz w:val="28"/>
          <w:szCs w:val="32"/>
        </w:rPr>
        <w:t>2）每周：a. 更换采样粒子过滤器膜片；</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b.单点标定并对保留时间进行修正</w:t>
      </w:r>
    </w:p>
    <w:p>
      <w:pPr>
        <w:spacing w:line="440" w:lineRule="exact"/>
        <w:rPr>
          <w:rFonts w:ascii="Times New Roman" w:hAnsi="Times New Roman" w:eastAsia="仿宋"/>
          <w:sz w:val="28"/>
          <w:szCs w:val="32"/>
        </w:rPr>
      </w:pPr>
      <w:r>
        <w:rPr>
          <w:rFonts w:ascii="Times New Roman" w:hAnsi="Times New Roman" w:eastAsia="仿宋"/>
          <w:sz w:val="28"/>
          <w:szCs w:val="32"/>
        </w:rPr>
        <w:t>3）两周：a.硅胶管变色时更换；</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CuSO4·5H2O有三分之二变色时更换</w:t>
      </w:r>
    </w:p>
    <w:p>
      <w:pPr>
        <w:spacing w:line="440" w:lineRule="exact"/>
        <w:rPr>
          <w:rFonts w:ascii="Times New Roman" w:hAnsi="Times New Roman" w:eastAsia="仿宋"/>
          <w:sz w:val="28"/>
          <w:szCs w:val="32"/>
        </w:rPr>
      </w:pPr>
      <w:r>
        <w:rPr>
          <w:rFonts w:ascii="Times New Roman" w:hAnsi="Times New Roman" w:eastAsia="仿宋"/>
          <w:sz w:val="28"/>
          <w:szCs w:val="32"/>
        </w:rPr>
        <w:t>4）半年：a. 更换氧化剂；</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更换活性炭；</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c．5个点以上的多点校准</w:t>
      </w:r>
    </w:p>
    <w:p>
      <w:pPr>
        <w:spacing w:line="440" w:lineRule="exact"/>
        <w:rPr>
          <w:rFonts w:ascii="Times New Roman" w:hAnsi="Times New Roman" w:eastAsia="仿宋"/>
          <w:sz w:val="28"/>
          <w:szCs w:val="32"/>
        </w:rPr>
      </w:pPr>
      <w:r>
        <w:rPr>
          <w:rFonts w:ascii="Times New Roman" w:hAnsi="Times New Roman" w:eastAsia="仿宋"/>
          <w:sz w:val="28"/>
          <w:szCs w:val="32"/>
        </w:rPr>
        <w:t>5）每年：a. 更换高纯氮气；</w:t>
      </w:r>
    </w:p>
    <w:p>
      <w:pPr>
        <w:spacing w:line="440" w:lineRule="exact"/>
        <w:rPr>
          <w:rFonts w:ascii="Times New Roman" w:hAnsi="Times New Roman" w:eastAsia="仿宋"/>
          <w:sz w:val="28"/>
          <w:szCs w:val="32"/>
        </w:rPr>
      </w:pPr>
      <w:r>
        <w:rPr>
          <w:rFonts w:ascii="Times New Roman" w:hAnsi="Times New Roman" w:eastAsia="仿宋"/>
          <w:sz w:val="28"/>
          <w:szCs w:val="32"/>
        </w:rPr>
        <w:t>b. 更换合成空气</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c．更换NO标气(8L)</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22" w:name="_Toc334"/>
      <w:bookmarkStart w:id="123" w:name="_Toc13929"/>
      <w:bookmarkStart w:id="124" w:name="_Toc19721"/>
      <w:bookmarkStart w:id="125" w:name="_Toc451514035"/>
      <w:bookmarkStart w:id="126" w:name="_Toc1340"/>
      <w:bookmarkStart w:id="127" w:name="_Toc11860"/>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.15 CCD光化通道光谱仪（Metcon）</w:t>
      </w:r>
      <w:bookmarkEnd w:id="122"/>
      <w:bookmarkEnd w:id="123"/>
      <w:bookmarkEnd w:id="124"/>
      <w:bookmarkEnd w:id="125"/>
      <w:bookmarkEnd w:id="126"/>
      <w:bookmarkEnd w:id="127"/>
    </w:p>
    <w:p>
      <w:pPr>
        <w:spacing w:line="440" w:lineRule="exact"/>
        <w:rPr>
          <w:rFonts w:ascii="Times New Roman" w:hAnsi="Times New Roman" w:eastAsia="仿宋"/>
          <w:sz w:val="28"/>
          <w:szCs w:val="32"/>
        </w:rPr>
      </w:pPr>
      <w:r>
        <w:rPr>
          <w:rFonts w:ascii="Times New Roman" w:hAnsi="Times New Roman" w:eastAsia="仿宋"/>
          <w:sz w:val="28"/>
          <w:szCs w:val="32"/>
        </w:rPr>
        <w:t>1）每周：擦拭石英光学接收头，硅胶管变色时更换</w:t>
      </w:r>
    </w:p>
    <w:p>
      <w:pPr>
        <w:spacing w:line="440" w:lineRule="exact"/>
        <w:rPr>
          <w:rFonts w:ascii="Times New Roman" w:hAnsi="Times New Roman" w:eastAsia="仿宋"/>
          <w:sz w:val="28"/>
          <w:szCs w:val="32"/>
        </w:rPr>
      </w:pPr>
      <w:r>
        <w:rPr>
          <w:rFonts w:ascii="Times New Roman" w:hAnsi="Times New Roman" w:eastAsia="仿宋"/>
          <w:sz w:val="28"/>
          <w:szCs w:val="32"/>
        </w:rPr>
        <w:t>2）每年：返厂标定</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28" w:name="_Toc16306"/>
      <w:bookmarkStart w:id="129" w:name="_Toc20322"/>
      <w:bookmarkStart w:id="130" w:name="_Toc2850"/>
      <w:bookmarkStart w:id="131" w:name="_Toc31641"/>
      <w:bookmarkStart w:id="132" w:name="_Toc451514036"/>
      <w:bookmarkStart w:id="133" w:name="_Toc14988"/>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.16 有机碳/元素碳（OC/EC）在线分析仪（Sunset Lab Model-4、OCEC-100）</w:t>
      </w:r>
      <w:bookmarkEnd w:id="128"/>
      <w:bookmarkEnd w:id="129"/>
      <w:bookmarkEnd w:id="130"/>
      <w:bookmarkEnd w:id="131"/>
      <w:bookmarkEnd w:id="132"/>
      <w:bookmarkEnd w:id="133"/>
    </w:p>
    <w:p>
      <w:pPr>
        <w:spacing w:line="440" w:lineRule="exact"/>
        <w:rPr>
          <w:rFonts w:ascii="Times New Roman" w:hAnsi="Times New Roman" w:eastAsia="仿宋"/>
          <w:sz w:val="28"/>
          <w:szCs w:val="32"/>
        </w:rPr>
      </w:pPr>
      <w:r>
        <w:rPr>
          <w:rFonts w:ascii="Times New Roman" w:hAnsi="Times New Roman" w:eastAsia="仿宋"/>
          <w:sz w:val="28"/>
          <w:szCs w:val="32"/>
        </w:rPr>
        <w:t>1）每日：a. 查看样品和内标谱图；</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前炉和后炉炉温；</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c．载气和标气流量。</w:t>
      </w:r>
    </w:p>
    <w:p>
      <w:pPr>
        <w:spacing w:line="440" w:lineRule="exact"/>
        <w:rPr>
          <w:rFonts w:ascii="Times New Roman" w:hAnsi="Times New Roman" w:eastAsia="仿宋"/>
          <w:sz w:val="28"/>
          <w:szCs w:val="32"/>
        </w:rPr>
      </w:pPr>
      <w:r>
        <w:rPr>
          <w:rFonts w:ascii="Times New Roman" w:hAnsi="Times New Roman" w:eastAsia="仿宋"/>
          <w:sz w:val="28"/>
          <w:szCs w:val="32"/>
        </w:rPr>
        <w:t>2）每周：a. 观察所用气瓶压力，并及时更换气瓶；</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查看仪器空白，确认系统是否有气体泄漏；</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c．查看仪器采样流量，并确保其为8.0L/min左右(控制±5%内)；</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检查雨漏中是否有积水。</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 更换采样膜，执行烤炉程序后测试滤膜空白</w:t>
      </w:r>
    </w:p>
    <w:p>
      <w:pPr>
        <w:spacing w:line="440" w:lineRule="exact"/>
        <w:rPr>
          <w:rFonts w:ascii="Times New Roman" w:hAnsi="Times New Roman" w:eastAsia="仿宋"/>
          <w:sz w:val="28"/>
          <w:szCs w:val="32"/>
        </w:rPr>
      </w:pPr>
      <w:r>
        <w:rPr>
          <w:rFonts w:ascii="Times New Roman" w:hAnsi="Times New Roman" w:eastAsia="仿宋"/>
          <w:sz w:val="28"/>
          <w:szCs w:val="32"/>
        </w:rPr>
        <w:t>3）两周：a. 流量传感器的自动校准；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清洁切割头；</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单点核查：配置标准蔗糖溶液中间浓度进行核查，测试三次（相对误差&lt;5%）。</w:t>
      </w:r>
    </w:p>
    <w:p>
      <w:pPr>
        <w:spacing w:line="440" w:lineRule="exact"/>
        <w:rPr>
          <w:rFonts w:ascii="Times New Roman" w:hAnsi="Times New Roman" w:eastAsia="仿宋"/>
          <w:sz w:val="28"/>
          <w:szCs w:val="32"/>
        </w:rPr>
      </w:pPr>
      <w:r>
        <w:rPr>
          <w:rFonts w:ascii="Times New Roman" w:hAnsi="Times New Roman" w:eastAsia="仿宋"/>
          <w:sz w:val="28"/>
          <w:szCs w:val="32"/>
        </w:rPr>
        <w:t>4）每月：a. 配置标准蔗糖溶液，进行标定；</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清洗衬管内壁；</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c．外部流量检查或校准。</w:t>
      </w:r>
    </w:p>
    <w:p>
      <w:pPr>
        <w:spacing w:line="440" w:lineRule="exact"/>
        <w:rPr>
          <w:rFonts w:ascii="Times New Roman" w:hAnsi="Times New Roman" w:eastAsia="仿宋"/>
          <w:sz w:val="28"/>
          <w:szCs w:val="32"/>
        </w:rPr>
      </w:pPr>
      <w:r>
        <w:rPr>
          <w:rFonts w:ascii="Times New Roman" w:hAnsi="Times New Roman" w:eastAsia="仿宋"/>
          <w:sz w:val="28"/>
          <w:szCs w:val="32"/>
        </w:rPr>
        <w:t>5) 每季度：a. 更换有机溶蚀器内的碳膜；</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清理仪器后端采样入口；</w:t>
      </w:r>
    </w:p>
    <w:p>
      <w:pPr>
        <w:spacing w:line="440" w:lineRule="exact"/>
        <w:rPr>
          <w:rFonts w:ascii="Times New Roman" w:hAnsi="Times New Roman" w:eastAsia="仿宋"/>
          <w:sz w:val="28"/>
          <w:szCs w:val="32"/>
        </w:rPr>
      </w:pPr>
      <w:r>
        <w:rPr>
          <w:rFonts w:ascii="Times New Roman" w:hAnsi="Times New Roman" w:eastAsia="仿宋"/>
          <w:sz w:val="28"/>
          <w:szCs w:val="32"/>
        </w:rPr>
        <w:t>6）半年：a. 更换氦气；</w:t>
      </w:r>
    </w:p>
    <w:p>
      <w:pPr>
        <w:spacing w:line="440" w:lineRule="exact"/>
        <w:rPr>
          <w:rFonts w:ascii="Times New Roman" w:hAnsi="Times New Roman" w:eastAsia="仿宋"/>
          <w:sz w:val="28"/>
          <w:szCs w:val="32"/>
        </w:rPr>
      </w:pPr>
      <w:r>
        <w:rPr>
          <w:rFonts w:ascii="Times New Roman" w:hAnsi="Times New Roman" w:eastAsia="仿宋"/>
          <w:sz w:val="28"/>
          <w:szCs w:val="32"/>
        </w:rPr>
        <w:t>b. 更换氧气/氦气；</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c．更换甲烷/氦气。</w:t>
      </w:r>
    </w:p>
    <w:p>
      <w:pPr>
        <w:spacing w:line="440" w:lineRule="exact"/>
        <w:rPr>
          <w:rFonts w:ascii="Times New Roman" w:hAnsi="Times New Roman" w:eastAsia="仿宋"/>
          <w:sz w:val="28"/>
          <w:szCs w:val="32"/>
        </w:rPr>
      </w:pPr>
      <w:r>
        <w:rPr>
          <w:rFonts w:ascii="Times New Roman" w:hAnsi="Times New Roman" w:eastAsia="仿宋"/>
          <w:sz w:val="28"/>
          <w:szCs w:val="32"/>
        </w:rPr>
        <w:t>7）每年：a．维护或更换石英衬管；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维护或更换加热电炉丝；</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维护或更换热电偶;</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载气电磁阀;</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 维护或更换激光接收线</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f. 维护或更换仪器内连接软管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g. 全面校准与检查：多点核查、重复性、稳定性</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34" w:name="_Toc18342"/>
      <w:bookmarkStart w:id="135" w:name="_Toc451514037"/>
      <w:bookmarkStart w:id="136" w:name="_Toc21906"/>
      <w:bookmarkStart w:id="137" w:name="_Toc29151"/>
      <w:bookmarkStart w:id="138" w:name="_Toc8044"/>
      <w:bookmarkStart w:id="139" w:name="_Toc23835"/>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 xml:space="preserve">.17 </w:t>
      </w:r>
      <w:bookmarkEnd w:id="134"/>
      <w:bookmarkEnd w:id="135"/>
      <w:bookmarkEnd w:id="136"/>
      <w:bookmarkEnd w:id="137"/>
      <w:bookmarkEnd w:id="138"/>
      <w:bookmarkEnd w:id="139"/>
      <w:r>
        <w:rPr>
          <w:rFonts w:ascii="Times New Roman" w:hAnsi="Times New Roman" w:eastAsia="仿宋" w:cs="Times New Roman"/>
          <w:b/>
          <w:bCs/>
          <w:kern w:val="2"/>
          <w:sz w:val="28"/>
          <w:szCs w:val="28"/>
          <w:lang w:val="en-US" w:eastAsia="zh-CN" w:bidi="ar-SA"/>
        </w:rPr>
        <w:t xml:space="preserve"> OPSIS AR500光谱分析仪</w:t>
      </w:r>
    </w:p>
    <w:p>
      <w:pPr>
        <w:numPr>
          <w:ilvl w:val="0"/>
          <w:numId w:val="35"/>
        </w:numPr>
        <w:spacing w:line="440" w:lineRule="exact"/>
        <w:jc w:val="left"/>
        <w:rPr>
          <w:rFonts w:ascii="Times New Roman" w:hAnsi="Times New Roman" w:eastAsia="仿宋"/>
          <w:sz w:val="28"/>
          <w:szCs w:val="32"/>
        </w:rPr>
      </w:pPr>
      <w:r>
        <w:rPr>
          <w:rFonts w:ascii="Times New Roman" w:hAnsi="Times New Roman" w:eastAsia="仿宋"/>
          <w:sz w:val="28"/>
          <w:szCs w:val="32"/>
        </w:rPr>
        <w:t>每周：光强检查</w:t>
      </w:r>
    </w:p>
    <w:p>
      <w:pPr>
        <w:spacing w:line="440" w:lineRule="exact"/>
        <w:rPr>
          <w:rFonts w:ascii="Times New Roman" w:hAnsi="Times New Roman" w:eastAsia="仿宋"/>
          <w:sz w:val="28"/>
          <w:szCs w:val="32"/>
        </w:rPr>
      </w:pPr>
      <w:r>
        <w:rPr>
          <w:rFonts w:ascii="Times New Roman" w:hAnsi="Times New Roman" w:eastAsia="仿宋"/>
          <w:sz w:val="28"/>
          <w:szCs w:val="32"/>
        </w:rPr>
        <w:t>系统检查（差分轮、光栅定位、控制系统的准确性。）</w:t>
      </w:r>
    </w:p>
    <w:p>
      <w:pPr>
        <w:numPr>
          <w:ilvl w:val="0"/>
          <w:numId w:val="35"/>
        </w:numPr>
        <w:spacing w:line="440" w:lineRule="exact"/>
        <w:jc w:val="left"/>
        <w:rPr>
          <w:rFonts w:ascii="Times New Roman" w:hAnsi="Times New Roman" w:eastAsia="仿宋"/>
          <w:sz w:val="28"/>
          <w:szCs w:val="32"/>
        </w:rPr>
      </w:pPr>
      <w:r>
        <w:rPr>
          <w:rFonts w:ascii="Times New Roman" w:hAnsi="Times New Roman" w:eastAsia="仿宋"/>
          <w:sz w:val="28"/>
          <w:szCs w:val="32"/>
        </w:rPr>
        <w:t>每年：波长精确度检查</w:t>
      </w:r>
    </w:p>
    <w:p>
      <w:pPr>
        <w:spacing w:line="440" w:lineRule="exact"/>
        <w:rPr>
          <w:rFonts w:ascii="Times New Roman" w:hAnsi="Times New Roman" w:eastAsia="仿宋"/>
          <w:b/>
          <w:bCs/>
          <w:kern w:val="0"/>
          <w:sz w:val="28"/>
          <w:szCs w:val="44"/>
        </w:rPr>
      </w:pPr>
      <w:bookmarkStart w:id="140" w:name="_Toc24991"/>
      <w:bookmarkStart w:id="141" w:name="_Toc5073"/>
      <w:bookmarkStart w:id="142" w:name="_Toc25062"/>
      <w:bookmarkStart w:id="143" w:name="_Toc29988"/>
      <w:bookmarkStart w:id="144" w:name="_Toc451514038"/>
      <w:bookmarkStart w:id="145" w:name="_Toc8284"/>
      <w:r>
        <w:rPr>
          <w:rFonts w:ascii="Times New Roman" w:hAnsi="Times New Roman" w:eastAsia="仿宋"/>
          <w:b/>
          <w:bCs/>
          <w:kern w:val="0"/>
          <w:sz w:val="28"/>
          <w:szCs w:val="44"/>
        </w:rPr>
        <w:t>6.18 大气颗粒物阴阳离子在线监测系统(URG9000B-ICS1100、ZF-PKU-GAC6303)</w:t>
      </w:r>
      <w:bookmarkEnd w:id="140"/>
      <w:bookmarkEnd w:id="141"/>
      <w:bookmarkEnd w:id="142"/>
      <w:bookmarkEnd w:id="143"/>
      <w:bookmarkEnd w:id="144"/>
      <w:bookmarkEnd w:id="145"/>
    </w:p>
    <w:p>
      <w:pPr>
        <w:spacing w:line="440" w:lineRule="exact"/>
        <w:rPr>
          <w:rFonts w:ascii="Times New Roman" w:hAnsi="Times New Roman" w:eastAsia="仿宋"/>
          <w:sz w:val="28"/>
          <w:szCs w:val="32"/>
        </w:rPr>
      </w:pPr>
      <w:r>
        <w:rPr>
          <w:rFonts w:ascii="Times New Roman" w:hAnsi="Times New Roman" w:eastAsia="仿宋"/>
          <w:sz w:val="28"/>
          <w:szCs w:val="32"/>
        </w:rPr>
        <w:t>1）每日：a. 检查离子色谱压力是否稳定，且处于正常水平（大于1000psi）；</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检查抑制器电流是否正常设置；</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c．确认离子色谱基线平稳，谱图正常；</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Batch List中有足够一周以上分析的Sequence（序列）；</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 Batch Reporting设置正确，且处于开启状态;</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f. 确认抑制器Regen Out接口有气泡间隔液体均匀流出;</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g. 检查离子色谱组件是否有泄漏发生，修复泄漏的组件</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h. 检查去离子水/双氧水/阴阳离子淋洗液是否充足</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i. 检查废液瓶是否装满，并及时清空</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j. 真空泵采样流量3 L/min ，旁路流量17 L/min</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k. AIM软件上采样量为0.18 m3左右</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l. 确认AIM软件主界面正常显示刷新监测结果</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m. 检查Denuder膜状态，确认液体充满Denuder膜</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n. 确认液体充满注射器</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o. 确认冷凝水能及时被蠕动泵抽走</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p. URG内部的样品注射泵、注水泵、蠕动泵均处于匀速转动的状态</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2）每周：a. 检查溶剂管线是否有弯折或变色，捋顺弯折的管线，更换损坏或变色的管线；</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更换Particle在线过滤头，使用前新的过滤头先用无水乙醇活化，再用水清洗三次以上（用10mL注射器吸取液体注射）；</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c．添加去离子水，添加阴离子淋洗液，添加阳离子淋洗液；</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拆卸切割头和分离器进行清理维护，保持气流畅通</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 进行标准曲线中间浓度点检查，相对误差≤10%</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3）两周：a. 添加双氧水；</w:t>
      </w:r>
    </w:p>
    <w:p>
      <w:pPr>
        <w:spacing w:line="440" w:lineRule="exact"/>
        <w:rPr>
          <w:rFonts w:ascii="Times New Roman" w:hAnsi="Times New Roman" w:eastAsia="仿宋"/>
          <w:sz w:val="28"/>
          <w:szCs w:val="32"/>
        </w:rPr>
      </w:pPr>
      <w:r>
        <w:rPr>
          <w:rFonts w:ascii="Times New Roman" w:hAnsi="Times New Roman" w:eastAsia="仿宋"/>
          <w:sz w:val="28"/>
          <w:szCs w:val="32"/>
        </w:rPr>
        <w:t>b. 清空废液瓶</w:t>
      </w:r>
    </w:p>
    <w:p>
      <w:pPr>
        <w:spacing w:line="440" w:lineRule="exact"/>
        <w:rPr>
          <w:rFonts w:ascii="Times New Roman" w:hAnsi="Times New Roman" w:eastAsia="仿宋"/>
          <w:sz w:val="28"/>
          <w:szCs w:val="32"/>
        </w:rPr>
      </w:pPr>
      <w:r>
        <w:rPr>
          <w:rFonts w:ascii="Times New Roman" w:hAnsi="Times New Roman" w:eastAsia="仿宋"/>
          <w:sz w:val="28"/>
          <w:szCs w:val="32"/>
        </w:rPr>
        <w:t>4）每月：a. 校准离子色谱；</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更换溶蚀器（Denuder）膜：用十字小螺丝刀把溶蚀器的螺丝拧开，取下旧膜，将溶蚀器清洗干净，新膜用去离子水浸泡一小时，将两张膜分别贴在表面，小孔对齐，重新拧好。溶蚀器有两套交替使用；</w:t>
      </w:r>
    </w:p>
    <w:p>
      <w:pPr>
        <w:spacing w:line="440" w:lineRule="exact"/>
        <w:ind w:firstLine="980" w:firstLineChars="350"/>
        <w:rPr>
          <w:rFonts w:ascii="Times New Roman" w:hAnsi="Times New Roman" w:eastAsia="仿宋"/>
          <w:sz w:val="28"/>
          <w:szCs w:val="32"/>
        </w:rPr>
      </w:pPr>
      <w:r>
        <w:rPr>
          <w:rFonts w:ascii="Times New Roman" w:hAnsi="Times New Roman" w:eastAsia="仿宋"/>
          <w:sz w:val="28"/>
          <w:szCs w:val="32"/>
        </w:rPr>
        <w:t xml:space="preserve">  c．外部流量检查或校准</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5）两月：a. 更换蠕动泵的胶管；</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更换连接蠕动泵的透明Teflon管；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c．更换蒸汽发生器到在线Particle过滤头的Teflon透明胶管；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更换弯折或变色的管线；</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e．更换损坏的接头</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6）半年：a. 更换淋洗液瓶中的过滤头；</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校准电导池；</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c．校准真空泵组件；</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更换泵密封圈；</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e．维护系统的多个六通阀阀芯，用内六角拆下三个黑色螺丝，用超纯水超声清洗，根据情况使用通针处理；</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f. 阴、阳离子色谱柱每半年更换一次，色谱柱与保护柱需同时更换；</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g. 更换蠕动泵管和采样泵过滤器。</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7）每年：a. 更换色谱柱和抑制器；</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b. 维护进样阀，利用进样阀的维护工具（P/N057896）对进样阀进行维护；</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c．清洗或更换单向阀及阀芯（P/N045994）；</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更换系统的多个六通阀阀芯；</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e．更换真空采样泵</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f．更换一套5ml注射器</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46" w:name="_Toc12391"/>
      <w:bookmarkStart w:id="147" w:name="_Toc14971"/>
      <w:bookmarkStart w:id="148" w:name="_Toc3956"/>
      <w:bookmarkStart w:id="149" w:name="_Toc18634"/>
      <w:bookmarkStart w:id="150" w:name="_Toc13697"/>
      <w:bookmarkStart w:id="151" w:name="_Toc451514039"/>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.19  黑碳仪（MAGEE AE31）</w:t>
      </w:r>
      <w:bookmarkEnd w:id="146"/>
      <w:bookmarkEnd w:id="147"/>
      <w:bookmarkEnd w:id="148"/>
      <w:bookmarkEnd w:id="149"/>
      <w:bookmarkEnd w:id="150"/>
      <w:bookmarkEnd w:id="151"/>
    </w:p>
    <w:p>
      <w:pPr>
        <w:spacing w:line="440" w:lineRule="exact"/>
        <w:rPr>
          <w:rFonts w:ascii="Times New Roman" w:hAnsi="Times New Roman" w:eastAsia="仿宋"/>
          <w:sz w:val="28"/>
          <w:szCs w:val="32"/>
        </w:rPr>
      </w:pPr>
      <w:r>
        <w:rPr>
          <w:rFonts w:ascii="Times New Roman" w:hAnsi="Times New Roman" w:eastAsia="仿宋"/>
          <w:sz w:val="28"/>
          <w:szCs w:val="32"/>
        </w:rPr>
        <w:t>1）每周：a. 直观检查，绿灯=正常；</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检查并记录采样流量。正确的进气应该是4.0±0.3 lpm。有必要的话调节泵的阀门，记录调节后的值。</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2）两周：a. 清洗PM2.5旋风式粒径切割器；</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检查滤带，用完及时更换，每更换两次新滤带，更换一次旁路过滤器；</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c．检查使用过的滤带上的点，查看采样点边缘是否清晰；</w:t>
      </w:r>
    </w:p>
    <w:p>
      <w:pPr>
        <w:spacing w:line="440" w:lineRule="exact"/>
        <w:ind w:left="1497" w:leftChars="513" w:hanging="420" w:hangingChars="150"/>
        <w:rPr>
          <w:rFonts w:ascii="Times New Roman" w:hAnsi="Times New Roman" w:eastAsia="仿宋"/>
          <w:sz w:val="28"/>
          <w:szCs w:val="32"/>
        </w:rPr>
      </w:pPr>
      <w:r>
        <w:rPr>
          <w:rFonts w:ascii="Times New Roman" w:hAnsi="Times New Roman" w:eastAsia="仿宋"/>
          <w:sz w:val="28"/>
          <w:szCs w:val="32"/>
        </w:rPr>
        <w:t xml:space="preserve"> d. 检查磁盘，存满及时更换</w:t>
      </w:r>
    </w:p>
    <w:p>
      <w:pPr>
        <w:spacing w:line="440" w:lineRule="exact"/>
        <w:rPr>
          <w:rFonts w:ascii="Times New Roman" w:hAnsi="Times New Roman" w:eastAsia="仿宋"/>
          <w:sz w:val="28"/>
          <w:szCs w:val="32"/>
        </w:rPr>
      </w:pPr>
      <w:r>
        <w:rPr>
          <w:rFonts w:ascii="Times New Roman" w:hAnsi="Times New Roman" w:eastAsia="仿宋"/>
          <w:sz w:val="28"/>
          <w:szCs w:val="32"/>
        </w:rPr>
        <w:t>3）每月：做一次外部流量检查，若流量误差大于10%，校准流量计</w:t>
      </w:r>
    </w:p>
    <w:p>
      <w:pPr>
        <w:spacing w:line="440" w:lineRule="exact"/>
        <w:rPr>
          <w:rFonts w:ascii="Times New Roman" w:hAnsi="Times New Roman" w:eastAsia="仿宋"/>
          <w:sz w:val="28"/>
          <w:szCs w:val="32"/>
        </w:rPr>
      </w:pPr>
      <w:r>
        <w:rPr>
          <w:rFonts w:ascii="Times New Roman" w:hAnsi="Times New Roman" w:eastAsia="仿宋"/>
          <w:sz w:val="28"/>
          <w:szCs w:val="32"/>
        </w:rPr>
        <w:t>4）季度：更换颗粒物过滤器</w:t>
      </w:r>
    </w:p>
    <w:p>
      <w:pPr>
        <w:spacing w:line="440" w:lineRule="exact"/>
        <w:rPr>
          <w:rFonts w:ascii="Times New Roman" w:hAnsi="Times New Roman" w:eastAsia="仿宋"/>
          <w:sz w:val="28"/>
          <w:szCs w:val="32"/>
        </w:rPr>
      </w:pPr>
      <w:r>
        <w:rPr>
          <w:rFonts w:ascii="Times New Roman" w:hAnsi="Times New Roman" w:eastAsia="仿宋"/>
          <w:sz w:val="28"/>
          <w:szCs w:val="32"/>
        </w:rPr>
        <w:t>5）半年：清洁光学分析室</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52" w:name="_Toc451514040"/>
      <w:bookmarkStart w:id="153" w:name="_Toc15289"/>
      <w:bookmarkStart w:id="154" w:name="_Toc23528"/>
      <w:bookmarkStart w:id="155" w:name="_Toc16797"/>
      <w:bookmarkStart w:id="156" w:name="_Toc2392"/>
      <w:bookmarkStart w:id="157" w:name="_Toc27396"/>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.20 多角度吸收光度计（MAAP）碳黑监测仪</w:t>
      </w:r>
      <w:bookmarkEnd w:id="152"/>
      <w:bookmarkEnd w:id="153"/>
      <w:bookmarkEnd w:id="154"/>
      <w:bookmarkEnd w:id="155"/>
      <w:bookmarkEnd w:id="156"/>
      <w:bookmarkEnd w:id="157"/>
    </w:p>
    <w:p>
      <w:pPr>
        <w:spacing w:line="440" w:lineRule="exact"/>
        <w:rPr>
          <w:rFonts w:ascii="Times New Roman" w:hAnsi="Times New Roman" w:eastAsia="仿宋"/>
          <w:sz w:val="28"/>
          <w:szCs w:val="32"/>
        </w:rPr>
      </w:pPr>
      <w:r>
        <w:rPr>
          <w:rFonts w:ascii="Times New Roman" w:hAnsi="Times New Roman" w:eastAsia="仿宋"/>
          <w:sz w:val="28"/>
          <w:szCs w:val="32"/>
        </w:rPr>
        <w:t>1）季度：流量传感器校准</w:t>
      </w:r>
    </w:p>
    <w:p>
      <w:pPr>
        <w:spacing w:line="440" w:lineRule="exact"/>
        <w:rPr>
          <w:rFonts w:ascii="Times New Roman" w:hAnsi="Times New Roman" w:eastAsia="仿宋"/>
          <w:sz w:val="28"/>
          <w:szCs w:val="32"/>
        </w:rPr>
      </w:pPr>
      <w:r>
        <w:rPr>
          <w:rFonts w:ascii="Times New Roman" w:hAnsi="Times New Roman" w:eastAsia="仿宋"/>
          <w:sz w:val="28"/>
          <w:szCs w:val="32"/>
        </w:rPr>
        <w:t>2）每年：环境温度和压力传感器校准</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58" w:name="_Toc451514041"/>
      <w:bookmarkStart w:id="159" w:name="_Toc9051"/>
      <w:bookmarkStart w:id="160" w:name="_Toc7304"/>
      <w:bookmarkStart w:id="161" w:name="_Toc28538"/>
      <w:bookmarkStart w:id="162" w:name="_Toc5629"/>
      <w:bookmarkStart w:id="163" w:name="_Toc19514"/>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.21 气溶胶化学成分在线监测仪（Aerodyne ACSM）</w:t>
      </w:r>
      <w:bookmarkEnd w:id="158"/>
      <w:bookmarkEnd w:id="159"/>
      <w:bookmarkEnd w:id="160"/>
      <w:bookmarkEnd w:id="161"/>
      <w:bookmarkEnd w:id="162"/>
      <w:bookmarkEnd w:id="163"/>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2）每周：a. 检查流量是否正常，包括外置泵流量（3±0.1 L/min）和进样口压力；</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检查各部件、采样泵及其他泵是否有异响；</w:t>
      </w:r>
    </w:p>
    <w:p>
      <w:pPr>
        <w:spacing w:line="440" w:lineRule="exact"/>
        <w:ind w:left="1497" w:leftChars="513" w:hanging="420" w:hangingChars="150"/>
        <w:rPr>
          <w:rFonts w:ascii="Times New Roman" w:hAnsi="Times New Roman" w:eastAsia="仿宋"/>
          <w:sz w:val="28"/>
          <w:szCs w:val="32"/>
        </w:rPr>
      </w:pPr>
      <w:r>
        <w:rPr>
          <w:rFonts w:ascii="Times New Roman" w:hAnsi="Times New Roman" w:eastAsia="仿宋"/>
          <w:sz w:val="28"/>
          <w:szCs w:val="32"/>
        </w:rPr>
        <w:t>c．在Igor程序界面，点击Analysis选项卡，勾选Diagnostics，点击Plot，会弹出仪器运行的各项参数的时间序列图，检查各项参数是否正常：</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ü  Response Factor与出厂文件一致；</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ü进样口压力1.3左右；</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ü  airbeam值在20*10</w:t>
      </w:r>
      <w:r>
        <w:rPr>
          <w:rFonts w:ascii="Times New Roman" w:hAnsi="Times New Roman" w:eastAsia="仿宋"/>
          <w:sz w:val="28"/>
          <w:szCs w:val="32"/>
          <w:vertAlign w:val="superscript"/>
        </w:rPr>
        <w:t>-9</w:t>
      </w:r>
      <w:r>
        <w:rPr>
          <w:rFonts w:ascii="Times New Roman" w:hAnsi="Times New Roman" w:eastAsia="仿宋"/>
          <w:sz w:val="28"/>
          <w:szCs w:val="32"/>
        </w:rPr>
        <w:t>到100*10</w:t>
      </w:r>
      <w:r>
        <w:rPr>
          <w:rFonts w:ascii="Times New Roman" w:hAnsi="Times New Roman" w:eastAsia="仿宋"/>
          <w:sz w:val="28"/>
          <w:szCs w:val="32"/>
          <w:vertAlign w:val="superscript"/>
        </w:rPr>
        <w:t>-9</w:t>
      </w:r>
      <w:r>
        <w:rPr>
          <w:rFonts w:ascii="Times New Roman" w:hAnsi="Times New Roman" w:eastAsia="仿宋"/>
          <w:sz w:val="28"/>
          <w:szCs w:val="32"/>
        </w:rPr>
        <w:t>之间；</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ü蒸发器温度在600</w:t>
      </w:r>
      <w:r>
        <w:rPr>
          <w:rFonts w:hint="eastAsia" w:ascii="宋体" w:hAnsi="宋体" w:cs="宋体"/>
          <w:sz w:val="28"/>
          <w:szCs w:val="32"/>
        </w:rPr>
        <w:t>℃</w:t>
      </w:r>
      <w:r>
        <w:rPr>
          <w:rFonts w:ascii="Times New Roman" w:hAnsi="Times New Roman" w:eastAsia="仿宋"/>
          <w:sz w:val="28"/>
          <w:szCs w:val="32"/>
        </w:rPr>
        <w:t>左右。；</w:t>
      </w:r>
    </w:p>
    <w:p>
      <w:pPr>
        <w:spacing w:line="440" w:lineRule="exact"/>
        <w:ind w:left="1497" w:leftChars="513" w:hanging="420" w:hangingChars="150"/>
        <w:rPr>
          <w:rFonts w:ascii="Times New Roman" w:hAnsi="Times New Roman" w:eastAsia="仿宋"/>
          <w:sz w:val="28"/>
          <w:szCs w:val="32"/>
        </w:rPr>
      </w:pPr>
      <w:r>
        <w:rPr>
          <w:rFonts w:ascii="Times New Roman" w:hAnsi="Times New Roman" w:eastAsia="仿宋"/>
          <w:sz w:val="28"/>
          <w:szCs w:val="32"/>
        </w:rPr>
        <w:t>d. 若进样口压力下降到1.2以下，关闭进样阀门，清洗临界孔片（orifice）</w:t>
      </w:r>
    </w:p>
    <w:p>
      <w:pPr>
        <w:spacing w:line="440" w:lineRule="exact"/>
        <w:ind w:left="1497" w:leftChars="513" w:hanging="420" w:hangingChars="150"/>
        <w:rPr>
          <w:rFonts w:ascii="Times New Roman" w:hAnsi="Times New Roman" w:eastAsia="仿宋"/>
          <w:sz w:val="28"/>
          <w:szCs w:val="32"/>
        </w:rPr>
      </w:pPr>
      <w:r>
        <w:rPr>
          <w:rFonts w:ascii="Times New Roman" w:hAnsi="Times New Roman" w:eastAsia="仿宋"/>
          <w:sz w:val="28"/>
          <w:szCs w:val="32"/>
        </w:rPr>
        <w:t>e．当airbeam值下降至20*10</w:t>
      </w:r>
      <w:r>
        <w:rPr>
          <w:rFonts w:ascii="Times New Roman" w:hAnsi="Times New Roman" w:eastAsia="仿宋"/>
          <w:sz w:val="28"/>
          <w:szCs w:val="32"/>
          <w:vertAlign w:val="superscript"/>
        </w:rPr>
        <w:t>-9</w:t>
      </w:r>
      <w:r>
        <w:rPr>
          <w:rFonts w:ascii="Times New Roman" w:hAnsi="Times New Roman" w:eastAsia="仿宋"/>
          <w:sz w:val="28"/>
          <w:szCs w:val="32"/>
        </w:rPr>
        <w:t>以下，需要调整SEM电压</w:t>
      </w:r>
    </w:p>
    <w:p>
      <w:pPr>
        <w:spacing w:line="440" w:lineRule="exact"/>
        <w:rPr>
          <w:rFonts w:ascii="Times New Roman" w:hAnsi="Times New Roman" w:eastAsia="仿宋"/>
          <w:sz w:val="28"/>
          <w:szCs w:val="32"/>
        </w:rPr>
      </w:pPr>
      <w:r>
        <w:rPr>
          <w:rFonts w:ascii="Times New Roman" w:hAnsi="Times New Roman" w:eastAsia="仿宋"/>
          <w:sz w:val="28"/>
          <w:szCs w:val="32"/>
        </w:rPr>
        <w:t>3）两周：清理室外进样口切割器（cyclone），清洗时关闭进样阀门和采样泵</w:t>
      </w:r>
    </w:p>
    <w:p>
      <w:pPr>
        <w:spacing w:line="440" w:lineRule="exact"/>
        <w:rPr>
          <w:rFonts w:ascii="Times New Roman" w:hAnsi="Times New Roman" w:eastAsia="仿宋"/>
          <w:sz w:val="28"/>
          <w:szCs w:val="32"/>
        </w:rPr>
      </w:pPr>
      <w:r>
        <w:rPr>
          <w:rFonts w:ascii="Times New Roman" w:hAnsi="Times New Roman" w:eastAsia="仿宋"/>
          <w:sz w:val="28"/>
          <w:szCs w:val="32"/>
        </w:rPr>
        <w:t>4）每月：外部流量检查或校准</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5）半年：a. 每半年清洗风扇滤网；</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每半年清理机身；</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c．更换蓝色抽气泵膜片</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64" w:name="_Toc6092"/>
      <w:bookmarkStart w:id="165" w:name="_Toc25826"/>
      <w:bookmarkStart w:id="166" w:name="_Toc16793"/>
      <w:bookmarkStart w:id="167" w:name="_Toc23398"/>
      <w:bookmarkStart w:id="168" w:name="_Toc451514042"/>
      <w:bookmarkStart w:id="169" w:name="_Toc3681"/>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.22 浊度计（ECOTECH Aurora 3000）</w:t>
      </w:r>
      <w:bookmarkEnd w:id="164"/>
      <w:bookmarkEnd w:id="165"/>
      <w:bookmarkEnd w:id="166"/>
      <w:bookmarkEnd w:id="167"/>
      <w:bookmarkEnd w:id="168"/>
      <w:bookmarkEnd w:id="169"/>
    </w:p>
    <w:p>
      <w:pPr>
        <w:spacing w:line="440" w:lineRule="exact"/>
        <w:rPr>
          <w:rFonts w:ascii="Times New Roman" w:hAnsi="Times New Roman" w:eastAsia="仿宋"/>
          <w:sz w:val="28"/>
          <w:szCs w:val="32"/>
        </w:rPr>
      </w:pPr>
      <w:r>
        <w:rPr>
          <w:rFonts w:ascii="Times New Roman" w:hAnsi="Times New Roman" w:eastAsia="仿宋"/>
          <w:sz w:val="28"/>
          <w:szCs w:val="32"/>
        </w:rPr>
        <w:t>1）每日：检查仪器面板数据是否正常</w:t>
      </w:r>
    </w:p>
    <w:p>
      <w:pPr>
        <w:spacing w:line="440" w:lineRule="exact"/>
        <w:rPr>
          <w:rFonts w:ascii="Times New Roman" w:hAnsi="Times New Roman" w:eastAsia="仿宋"/>
          <w:sz w:val="28"/>
          <w:szCs w:val="32"/>
        </w:rPr>
      </w:pPr>
      <w:r>
        <w:rPr>
          <w:rFonts w:ascii="Times New Roman" w:hAnsi="Times New Roman" w:eastAsia="仿宋"/>
          <w:sz w:val="28"/>
          <w:szCs w:val="32"/>
        </w:rPr>
        <w:t>2）两周：清洗切割头</w:t>
      </w:r>
    </w:p>
    <w:p>
      <w:pPr>
        <w:spacing w:line="440" w:lineRule="exact"/>
        <w:rPr>
          <w:rFonts w:ascii="Times New Roman" w:hAnsi="Times New Roman" w:eastAsia="仿宋"/>
          <w:sz w:val="28"/>
          <w:szCs w:val="32"/>
        </w:rPr>
      </w:pPr>
      <w:r>
        <w:rPr>
          <w:rFonts w:ascii="Times New Roman" w:hAnsi="Times New Roman" w:eastAsia="仿宋"/>
          <w:sz w:val="28"/>
          <w:szCs w:val="32"/>
        </w:rPr>
        <w:t>3）每月：a. 零点和跨度校准；</w:t>
      </w:r>
    </w:p>
    <w:p>
      <w:pPr>
        <w:spacing w:line="440" w:lineRule="exact"/>
        <w:rPr>
          <w:rFonts w:ascii="Times New Roman" w:hAnsi="Times New Roman" w:eastAsia="仿宋"/>
          <w:sz w:val="28"/>
          <w:szCs w:val="32"/>
        </w:rPr>
      </w:pPr>
      <w:r>
        <w:rPr>
          <w:rFonts w:ascii="Times New Roman" w:hAnsi="Times New Roman" w:eastAsia="仿宋"/>
          <w:sz w:val="28"/>
          <w:szCs w:val="32"/>
        </w:rPr>
        <w:t>b. 外部流量检查或校准</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4）半年：a. 更换95%一次性过滤器（用于零气泵）；</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b. 更换99.5%一次性过滤器（用于零气/标气）；</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c．清洁光学分析室</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5）每年：a. 更换标气；</w:t>
      </w:r>
    </w:p>
    <w:p>
      <w:pPr>
        <w:spacing w:line="440" w:lineRule="exact"/>
        <w:ind w:left="1597" w:leftChars="227" w:hanging="1120" w:hangingChars="400"/>
        <w:rPr>
          <w:rFonts w:ascii="Times New Roman" w:hAnsi="Times New Roman" w:eastAsia="仿宋"/>
          <w:sz w:val="28"/>
          <w:szCs w:val="32"/>
        </w:rPr>
      </w:pPr>
      <w:r>
        <w:rPr>
          <w:rFonts w:ascii="Times New Roman" w:hAnsi="Times New Roman" w:eastAsia="仿宋"/>
          <w:sz w:val="28"/>
          <w:szCs w:val="32"/>
        </w:rPr>
        <w:t xml:space="preserve">     b. 按需更换易耗件（灯源O型圈、光电倍增管 V型环、采样泵、参考快门、快门螺线管）</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70" w:name="_Toc26371"/>
      <w:bookmarkStart w:id="171" w:name="_Toc27975"/>
      <w:bookmarkStart w:id="172" w:name="_Toc1124"/>
      <w:bookmarkStart w:id="173" w:name="_Toc451514043"/>
      <w:bookmarkStart w:id="174" w:name="_Toc26188"/>
      <w:bookmarkStart w:id="175" w:name="_Toc2466"/>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.23 重金属监测仪（Pall Xact 625、AMMS-100）</w:t>
      </w:r>
      <w:bookmarkEnd w:id="170"/>
      <w:bookmarkEnd w:id="171"/>
      <w:bookmarkEnd w:id="172"/>
      <w:bookmarkEnd w:id="173"/>
      <w:bookmarkEnd w:id="174"/>
      <w:bookmarkEnd w:id="175"/>
    </w:p>
    <w:p>
      <w:pPr>
        <w:spacing w:line="440" w:lineRule="exact"/>
        <w:rPr>
          <w:rFonts w:ascii="Times New Roman" w:hAnsi="Times New Roman" w:eastAsia="仿宋"/>
          <w:sz w:val="28"/>
          <w:szCs w:val="32"/>
        </w:rPr>
      </w:pPr>
      <w:r>
        <w:rPr>
          <w:rFonts w:ascii="Times New Roman" w:hAnsi="Times New Roman" w:eastAsia="仿宋"/>
          <w:sz w:val="28"/>
          <w:szCs w:val="32"/>
        </w:rPr>
        <w:t>1）每周：a. 查看数采和平台上数据是否正常</w:t>
      </w:r>
    </w:p>
    <w:p>
      <w:pPr>
        <w:spacing w:line="440" w:lineRule="exact"/>
        <w:rPr>
          <w:rFonts w:ascii="Times New Roman" w:hAnsi="Times New Roman" w:eastAsia="仿宋"/>
          <w:sz w:val="28"/>
          <w:szCs w:val="32"/>
        </w:rPr>
      </w:pPr>
      <w:r>
        <w:rPr>
          <w:rFonts w:ascii="Times New Roman" w:hAnsi="Times New Roman" w:eastAsia="仿宋"/>
          <w:sz w:val="28"/>
          <w:szCs w:val="32"/>
        </w:rPr>
        <w:t>b. 查看每小时Pd值是否接近</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 查看每天零点的QA量测是否正常，记录能阶校正的Cu、高值检测的Cr、Cd和Pb、以及质保流量值。</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2）每月：a. 进行手动空白检测；</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每小时采集一个样品，约24天左右更换一卷滤带。</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 检漏后，进行一次采样流量核查（流量偏差≤±5%）</w:t>
      </w:r>
    </w:p>
    <w:p>
      <w:pPr>
        <w:spacing w:line="440" w:lineRule="exact"/>
        <w:rPr>
          <w:rFonts w:ascii="Times New Roman" w:hAnsi="Times New Roman" w:eastAsia="仿宋"/>
          <w:sz w:val="28"/>
          <w:szCs w:val="32"/>
        </w:rPr>
      </w:pPr>
      <w:r>
        <w:rPr>
          <w:rFonts w:ascii="Times New Roman" w:hAnsi="Times New Roman" w:eastAsia="仿宋"/>
          <w:sz w:val="28"/>
          <w:szCs w:val="32"/>
        </w:rPr>
        <w:t>3）每季度：a. 进行流量、温度和压力校正；</w:t>
      </w:r>
    </w:p>
    <w:p>
      <w:pPr>
        <w:spacing w:line="440" w:lineRule="exact"/>
        <w:rPr>
          <w:rFonts w:ascii="Times New Roman" w:hAnsi="Times New Roman" w:eastAsia="仿宋"/>
          <w:sz w:val="28"/>
          <w:szCs w:val="32"/>
        </w:rPr>
      </w:pPr>
      <w:r>
        <w:rPr>
          <w:rFonts w:ascii="Times New Roman" w:hAnsi="Times New Roman" w:eastAsia="仿宋"/>
          <w:sz w:val="28"/>
          <w:szCs w:val="32"/>
        </w:rPr>
        <w:t>b. 检查QA Pd、QA高值和QA空白的数值，确保QA Pd进行每个样品的侦测，每24小时的QA高值，均在±5% 的范围内。</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 进行XRF每个能级2个元素（即6种）的校正。</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4）每年：a. 进行XRF所有元素的标准膜校正；</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检查粒状物检测设备的管路、包覆装置和组件，避免生锈和损坏。</w:t>
      </w:r>
    </w:p>
    <w:p>
      <w:pPr>
        <w:spacing w:line="440" w:lineRule="exact"/>
        <w:rPr>
          <w:rFonts w:ascii="Times New Roman" w:hAnsi="Times New Roman" w:eastAsia="仿宋"/>
          <w:sz w:val="28"/>
          <w:szCs w:val="32"/>
        </w:rPr>
      </w:pPr>
      <w:r>
        <w:rPr>
          <w:rFonts w:ascii="Times New Roman" w:hAnsi="Times New Roman" w:eastAsia="仿宋"/>
          <w:sz w:val="28"/>
          <w:szCs w:val="32"/>
        </w:rPr>
        <w:t>5) 安装或大修后校正：a. 进行手动空白检测；</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b. 进行能阶校正；</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 进行高值检测；</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d. 进行渗漏检测；</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e. 进行流量、温度和压力校正；</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f. 进行XRF所有元素的标准膜校正。</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76" w:name="_Toc31504"/>
      <w:bookmarkStart w:id="177" w:name="_Toc8579"/>
      <w:bookmarkStart w:id="178" w:name="_Toc18813"/>
      <w:bookmarkStart w:id="179" w:name="_Toc1814"/>
      <w:bookmarkStart w:id="180" w:name="_Toc451514044"/>
      <w:bookmarkStart w:id="181" w:name="_Toc28994"/>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.24  BAM1020颗粒物自动分析仪</w:t>
      </w:r>
      <w:bookmarkEnd w:id="176"/>
      <w:bookmarkEnd w:id="177"/>
      <w:bookmarkEnd w:id="178"/>
      <w:bookmarkEnd w:id="179"/>
      <w:bookmarkEnd w:id="180"/>
      <w:bookmarkEnd w:id="181"/>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2）每周：a. 查看仪器运行和联网状况；</w:t>
      </w:r>
    </w:p>
    <w:p>
      <w:pPr>
        <w:spacing w:line="440" w:lineRule="exact"/>
        <w:rPr>
          <w:rFonts w:ascii="Times New Roman" w:hAnsi="Times New Roman" w:eastAsia="仿宋"/>
          <w:sz w:val="28"/>
          <w:szCs w:val="32"/>
        </w:rPr>
      </w:pPr>
      <w:r>
        <w:rPr>
          <w:rFonts w:ascii="Times New Roman" w:hAnsi="Times New Roman" w:eastAsia="仿宋"/>
          <w:sz w:val="28"/>
          <w:szCs w:val="32"/>
        </w:rPr>
        <w:t>b. 检查纸带是否有破损或边缘不光滑的情况</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c．查看仪器上历史报警信息，与工控机历史数据进行对应，去除无效数据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3）两周：a. 精度检查；</w:t>
      </w:r>
    </w:p>
    <w:p>
      <w:pPr>
        <w:spacing w:line="440" w:lineRule="exact"/>
        <w:rPr>
          <w:rFonts w:ascii="Times New Roman" w:hAnsi="Times New Roman" w:eastAsia="仿宋"/>
          <w:sz w:val="28"/>
          <w:szCs w:val="32"/>
        </w:rPr>
      </w:pPr>
      <w:r>
        <w:rPr>
          <w:rFonts w:ascii="Times New Roman" w:hAnsi="Times New Roman" w:eastAsia="仿宋"/>
          <w:sz w:val="28"/>
          <w:szCs w:val="32"/>
        </w:rPr>
        <w:t>b. 清洗更换切割头</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4）每月：a. 流量检查及校准；</w:t>
      </w:r>
    </w:p>
    <w:p>
      <w:pPr>
        <w:spacing w:line="440" w:lineRule="exact"/>
        <w:rPr>
          <w:rFonts w:ascii="Times New Roman" w:hAnsi="Times New Roman" w:eastAsia="仿宋"/>
          <w:sz w:val="28"/>
          <w:szCs w:val="32"/>
        </w:rPr>
      </w:pPr>
      <w:r>
        <w:rPr>
          <w:rFonts w:ascii="Times New Roman" w:hAnsi="Times New Roman" w:eastAsia="仿宋"/>
          <w:sz w:val="28"/>
          <w:szCs w:val="32"/>
        </w:rPr>
        <w:t>b. 清洗喷嘴</w:t>
      </w:r>
    </w:p>
    <w:p>
      <w:pPr>
        <w:spacing w:line="440" w:lineRule="exact"/>
        <w:rPr>
          <w:rFonts w:ascii="Times New Roman" w:hAnsi="Times New Roman" w:eastAsia="仿宋"/>
          <w:sz w:val="28"/>
          <w:szCs w:val="32"/>
        </w:rPr>
      </w:pPr>
      <w:r>
        <w:rPr>
          <w:rFonts w:ascii="Times New Roman" w:hAnsi="Times New Roman" w:eastAsia="仿宋"/>
          <w:sz w:val="28"/>
          <w:szCs w:val="32"/>
        </w:rPr>
        <w:t>5）两月：更换纸带</w:t>
      </w:r>
    </w:p>
    <w:p>
      <w:pPr>
        <w:spacing w:line="440" w:lineRule="exact"/>
        <w:rPr>
          <w:rFonts w:ascii="Times New Roman" w:hAnsi="Times New Roman" w:eastAsia="仿宋"/>
          <w:sz w:val="28"/>
          <w:szCs w:val="32"/>
        </w:rPr>
      </w:pPr>
      <w:r>
        <w:rPr>
          <w:rFonts w:ascii="Times New Roman" w:hAnsi="Times New Roman" w:eastAsia="仿宋"/>
          <w:sz w:val="28"/>
          <w:szCs w:val="32"/>
        </w:rPr>
        <w:t>6）每年：a.温度与压力传感器校准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b.质量传感器校准</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c.更换泵配件</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d.更换流量计</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e.更换O型圈</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f.更换流量控制阀</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82" w:name="_Toc14215"/>
      <w:bookmarkStart w:id="183" w:name="_Toc17175"/>
      <w:bookmarkStart w:id="184" w:name="_Toc12087"/>
      <w:bookmarkStart w:id="185" w:name="_Toc22604"/>
      <w:bookmarkStart w:id="186" w:name="_Toc451514045"/>
      <w:bookmarkStart w:id="187" w:name="_Toc2489"/>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.25  FH62C14颗粒物连续监测仪</w:t>
      </w:r>
      <w:bookmarkEnd w:id="182"/>
      <w:bookmarkEnd w:id="183"/>
      <w:bookmarkEnd w:id="184"/>
      <w:bookmarkEnd w:id="185"/>
      <w:bookmarkEnd w:id="186"/>
      <w:bookmarkEnd w:id="187"/>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2）每周：a. 查看仪器运行和联网状况；</w:t>
      </w:r>
    </w:p>
    <w:p>
      <w:pPr>
        <w:spacing w:line="440" w:lineRule="exact"/>
        <w:rPr>
          <w:rFonts w:ascii="Times New Roman" w:hAnsi="Times New Roman" w:eastAsia="仿宋"/>
          <w:sz w:val="28"/>
          <w:szCs w:val="32"/>
        </w:rPr>
      </w:pPr>
      <w:r>
        <w:rPr>
          <w:rFonts w:ascii="Times New Roman" w:hAnsi="Times New Roman" w:eastAsia="仿宋"/>
          <w:sz w:val="28"/>
          <w:szCs w:val="32"/>
        </w:rPr>
        <w:t>b. 检查纸带是否有破损或边缘不光滑的情况</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c．查看仪器上历史报警信息，与工控机历史数据进行对应，去除无效数据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3）两周：a. 精度检查；</w:t>
      </w:r>
    </w:p>
    <w:p>
      <w:pPr>
        <w:spacing w:line="440" w:lineRule="exact"/>
        <w:rPr>
          <w:rFonts w:ascii="Times New Roman" w:hAnsi="Times New Roman" w:eastAsia="仿宋"/>
          <w:sz w:val="28"/>
          <w:szCs w:val="32"/>
        </w:rPr>
      </w:pPr>
      <w:r>
        <w:rPr>
          <w:rFonts w:ascii="Times New Roman" w:hAnsi="Times New Roman" w:eastAsia="仿宋"/>
          <w:sz w:val="28"/>
          <w:szCs w:val="32"/>
        </w:rPr>
        <w:t>b. 清洗更换切割头</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4）每月：a. 流量检查及校准；</w:t>
      </w:r>
    </w:p>
    <w:p>
      <w:pPr>
        <w:spacing w:line="440" w:lineRule="exact"/>
        <w:rPr>
          <w:rFonts w:ascii="Times New Roman" w:hAnsi="Times New Roman" w:eastAsia="仿宋"/>
          <w:sz w:val="28"/>
          <w:szCs w:val="32"/>
        </w:rPr>
      </w:pPr>
      <w:r>
        <w:rPr>
          <w:rFonts w:ascii="Times New Roman" w:hAnsi="Times New Roman" w:eastAsia="仿宋"/>
          <w:sz w:val="28"/>
          <w:szCs w:val="32"/>
        </w:rPr>
        <w:t>b. 清洗喷嘴</w:t>
      </w:r>
    </w:p>
    <w:p>
      <w:pPr>
        <w:spacing w:line="440" w:lineRule="exact"/>
        <w:rPr>
          <w:rFonts w:ascii="Times New Roman" w:hAnsi="Times New Roman" w:eastAsia="仿宋"/>
          <w:sz w:val="28"/>
          <w:szCs w:val="32"/>
        </w:rPr>
      </w:pPr>
      <w:r>
        <w:rPr>
          <w:rFonts w:ascii="Times New Roman" w:hAnsi="Times New Roman" w:eastAsia="仿宋"/>
          <w:sz w:val="28"/>
          <w:szCs w:val="32"/>
        </w:rPr>
        <w:t>5）每年：a.温度与压力传感器校准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b.质量传感器校准</w:t>
      </w:r>
    </w:p>
    <w:p>
      <w:pPr>
        <w:spacing w:line="440" w:lineRule="exact"/>
        <w:rPr>
          <w:rFonts w:ascii="Times New Roman" w:hAnsi="Times New Roman" w:eastAsia="仿宋"/>
          <w:sz w:val="28"/>
          <w:szCs w:val="32"/>
        </w:rPr>
      </w:pPr>
      <w:r>
        <w:rPr>
          <w:rFonts w:ascii="Times New Roman" w:hAnsi="Times New Roman" w:eastAsia="仿宋"/>
          <w:sz w:val="28"/>
          <w:szCs w:val="32"/>
        </w:rPr>
        <w:t>c. 按需更换易耗件</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88" w:name="_Toc19555"/>
      <w:bookmarkStart w:id="189" w:name="_Toc451514046"/>
      <w:bookmarkStart w:id="190" w:name="_Toc607"/>
      <w:bookmarkStart w:id="191" w:name="_Toc21612"/>
      <w:bookmarkStart w:id="192" w:name="_Toc1702"/>
      <w:bookmarkStart w:id="193" w:name="_Toc19870"/>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.26  SHARP5030颗粒物自动分析仪</w:t>
      </w:r>
      <w:bookmarkEnd w:id="188"/>
      <w:bookmarkEnd w:id="189"/>
      <w:bookmarkEnd w:id="190"/>
      <w:bookmarkEnd w:id="191"/>
      <w:bookmarkEnd w:id="192"/>
      <w:bookmarkEnd w:id="193"/>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2）每周：a. 查看仪器运行和联网状况；</w:t>
      </w:r>
    </w:p>
    <w:p>
      <w:pPr>
        <w:spacing w:line="440" w:lineRule="exact"/>
        <w:rPr>
          <w:rFonts w:ascii="Times New Roman" w:hAnsi="Times New Roman" w:eastAsia="仿宋"/>
          <w:sz w:val="28"/>
          <w:szCs w:val="32"/>
        </w:rPr>
      </w:pPr>
      <w:r>
        <w:rPr>
          <w:rFonts w:ascii="Times New Roman" w:hAnsi="Times New Roman" w:eastAsia="仿宋"/>
          <w:sz w:val="28"/>
          <w:szCs w:val="32"/>
        </w:rPr>
        <w:t>b. 检查纸带是否有破损或边缘不光滑的情况</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c．查看仪器上历史报警信息，与工控机历史数据进行对应，去除无效数据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3）两周：a. 精度检查；</w:t>
      </w:r>
    </w:p>
    <w:p>
      <w:pPr>
        <w:spacing w:line="440" w:lineRule="exact"/>
        <w:rPr>
          <w:rFonts w:ascii="Times New Roman" w:hAnsi="Times New Roman" w:eastAsia="仿宋"/>
          <w:sz w:val="28"/>
          <w:szCs w:val="32"/>
        </w:rPr>
      </w:pPr>
      <w:r>
        <w:rPr>
          <w:rFonts w:ascii="Times New Roman" w:hAnsi="Times New Roman" w:eastAsia="仿宋"/>
          <w:sz w:val="28"/>
          <w:szCs w:val="32"/>
        </w:rPr>
        <w:t>b. 清洗更换切割头</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4）每月：a. 流量检查及校准；</w:t>
      </w:r>
    </w:p>
    <w:p>
      <w:pPr>
        <w:spacing w:line="440" w:lineRule="exact"/>
        <w:rPr>
          <w:rFonts w:ascii="Times New Roman" w:hAnsi="Times New Roman" w:eastAsia="仿宋"/>
          <w:sz w:val="28"/>
          <w:szCs w:val="32"/>
        </w:rPr>
      </w:pPr>
      <w:r>
        <w:rPr>
          <w:rFonts w:ascii="Times New Roman" w:hAnsi="Times New Roman" w:eastAsia="仿宋"/>
          <w:sz w:val="28"/>
          <w:szCs w:val="32"/>
        </w:rPr>
        <w:t>b. 清洗喷嘴</w:t>
      </w:r>
    </w:p>
    <w:p>
      <w:pPr>
        <w:spacing w:line="440" w:lineRule="exact"/>
        <w:rPr>
          <w:rFonts w:ascii="Times New Roman" w:hAnsi="Times New Roman" w:eastAsia="仿宋"/>
          <w:sz w:val="28"/>
          <w:szCs w:val="32"/>
        </w:rPr>
      </w:pPr>
      <w:r>
        <w:rPr>
          <w:rFonts w:ascii="Times New Roman" w:hAnsi="Times New Roman" w:eastAsia="仿宋"/>
          <w:sz w:val="28"/>
          <w:szCs w:val="32"/>
        </w:rPr>
        <w:t>5）半年：a. 更换纸带</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浊度校准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标准膜校准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d．清洗反应室</w:t>
      </w:r>
    </w:p>
    <w:p>
      <w:pPr>
        <w:spacing w:line="440" w:lineRule="exact"/>
        <w:rPr>
          <w:rFonts w:ascii="Times New Roman" w:hAnsi="Times New Roman" w:eastAsia="仿宋"/>
          <w:sz w:val="28"/>
          <w:szCs w:val="32"/>
        </w:rPr>
      </w:pPr>
      <w:r>
        <w:rPr>
          <w:rFonts w:ascii="Times New Roman" w:hAnsi="Times New Roman" w:eastAsia="仿宋"/>
          <w:sz w:val="28"/>
          <w:szCs w:val="32"/>
        </w:rPr>
        <w:t>6）每年：a.温度与压力传感器校准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b.质量传感器校准</w:t>
      </w:r>
    </w:p>
    <w:p>
      <w:pPr>
        <w:spacing w:line="440" w:lineRule="exact"/>
        <w:rPr>
          <w:rFonts w:ascii="Times New Roman" w:hAnsi="Times New Roman" w:eastAsia="仿宋"/>
          <w:sz w:val="28"/>
          <w:szCs w:val="32"/>
        </w:rPr>
      </w:pPr>
      <w:r>
        <w:rPr>
          <w:rFonts w:ascii="Times New Roman" w:hAnsi="Times New Roman" w:eastAsia="仿宋"/>
          <w:sz w:val="28"/>
          <w:szCs w:val="32"/>
        </w:rPr>
        <w:t>c. 更换泵刮板</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d．更换泵过滤器</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e．更换O型圈</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194" w:name="_Toc16820"/>
      <w:bookmarkStart w:id="195" w:name="_Toc10878"/>
      <w:bookmarkStart w:id="196" w:name="_Toc21193"/>
      <w:bookmarkStart w:id="197" w:name="_Toc451514047"/>
      <w:bookmarkStart w:id="198" w:name="_Toc26910"/>
      <w:bookmarkStart w:id="199" w:name="_Toc12145"/>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.27  TEOM1405/1405F颗粒物自动分析仪</w:t>
      </w:r>
      <w:bookmarkEnd w:id="194"/>
      <w:bookmarkEnd w:id="195"/>
      <w:bookmarkEnd w:id="196"/>
      <w:bookmarkEnd w:id="197"/>
      <w:bookmarkEnd w:id="198"/>
      <w:bookmarkEnd w:id="199"/>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2）每周：a. 查看仪器运行和联网状况；</w:t>
      </w:r>
    </w:p>
    <w:p>
      <w:pPr>
        <w:spacing w:line="440" w:lineRule="exact"/>
        <w:rPr>
          <w:rFonts w:ascii="Times New Roman" w:hAnsi="Times New Roman" w:eastAsia="仿宋"/>
          <w:sz w:val="28"/>
          <w:szCs w:val="32"/>
        </w:rPr>
      </w:pPr>
      <w:r>
        <w:rPr>
          <w:rFonts w:ascii="Times New Roman" w:hAnsi="Times New Roman" w:eastAsia="仿宋"/>
          <w:sz w:val="28"/>
          <w:szCs w:val="32"/>
        </w:rPr>
        <w:t>b. 检查纸带是否有破损或边缘不光滑的情况</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 xml:space="preserve">         c．查看仪器上历史报警信息，与工控机历史数据进行对应，去除无效数据</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3）两周：a. 精度检查；</w:t>
      </w:r>
    </w:p>
    <w:p>
      <w:pPr>
        <w:spacing w:line="440" w:lineRule="exact"/>
        <w:rPr>
          <w:rFonts w:ascii="Times New Roman" w:hAnsi="Times New Roman" w:eastAsia="仿宋"/>
          <w:sz w:val="28"/>
          <w:szCs w:val="32"/>
        </w:rPr>
      </w:pPr>
      <w:r>
        <w:rPr>
          <w:rFonts w:ascii="Times New Roman" w:hAnsi="Times New Roman" w:eastAsia="仿宋"/>
          <w:sz w:val="28"/>
          <w:szCs w:val="32"/>
        </w:rPr>
        <w:t>b. 清洗更换切割头</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c．更换TEOM滤膜和47MM滤膜</w:t>
      </w:r>
    </w:p>
    <w:p>
      <w:pPr>
        <w:spacing w:line="440" w:lineRule="exact"/>
        <w:ind w:left="1680" w:hanging="1680" w:hangingChars="600"/>
        <w:rPr>
          <w:rFonts w:ascii="Times New Roman" w:hAnsi="Times New Roman" w:eastAsia="仿宋"/>
          <w:sz w:val="28"/>
          <w:szCs w:val="32"/>
        </w:rPr>
      </w:pPr>
      <w:r>
        <w:rPr>
          <w:rFonts w:ascii="Times New Roman" w:hAnsi="Times New Roman" w:eastAsia="仿宋"/>
          <w:sz w:val="28"/>
          <w:szCs w:val="32"/>
        </w:rPr>
        <w:t>4）每月：流量检查及校准</w:t>
      </w:r>
    </w:p>
    <w:p>
      <w:pPr>
        <w:spacing w:line="440" w:lineRule="exact"/>
        <w:rPr>
          <w:rFonts w:ascii="Times New Roman" w:hAnsi="Times New Roman" w:eastAsia="仿宋"/>
          <w:sz w:val="28"/>
          <w:szCs w:val="32"/>
        </w:rPr>
      </w:pPr>
      <w:r>
        <w:rPr>
          <w:rFonts w:ascii="Times New Roman" w:hAnsi="Times New Roman" w:eastAsia="仿宋"/>
          <w:sz w:val="28"/>
          <w:szCs w:val="32"/>
        </w:rPr>
        <w:t>5）两月：更换雨水分离器滤芯</w:t>
      </w:r>
    </w:p>
    <w:p>
      <w:pPr>
        <w:spacing w:line="440" w:lineRule="exact"/>
        <w:rPr>
          <w:rFonts w:ascii="Times New Roman" w:hAnsi="Times New Roman" w:eastAsia="仿宋"/>
          <w:sz w:val="28"/>
          <w:szCs w:val="32"/>
        </w:rPr>
      </w:pPr>
      <w:r>
        <w:rPr>
          <w:rFonts w:ascii="Times New Roman" w:hAnsi="Times New Roman" w:eastAsia="仿宋"/>
          <w:sz w:val="28"/>
          <w:szCs w:val="32"/>
        </w:rPr>
        <w:t>6）季度：a.更换在线滤膜</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b.切换阀V型密封圈</w:t>
      </w:r>
    </w:p>
    <w:p>
      <w:pPr>
        <w:spacing w:line="440" w:lineRule="exact"/>
        <w:rPr>
          <w:rFonts w:ascii="Times New Roman" w:hAnsi="Times New Roman" w:eastAsia="仿宋"/>
          <w:sz w:val="28"/>
          <w:szCs w:val="32"/>
        </w:rPr>
      </w:pPr>
      <w:r>
        <w:rPr>
          <w:rFonts w:ascii="Times New Roman" w:hAnsi="Times New Roman" w:eastAsia="仿宋"/>
          <w:sz w:val="28"/>
          <w:szCs w:val="32"/>
        </w:rPr>
        <w:t>7）半年：模拟量校准</w:t>
      </w:r>
    </w:p>
    <w:p>
      <w:pPr>
        <w:spacing w:line="440" w:lineRule="exact"/>
        <w:rPr>
          <w:rFonts w:ascii="Times New Roman" w:hAnsi="Times New Roman" w:eastAsia="仿宋"/>
          <w:sz w:val="28"/>
          <w:szCs w:val="32"/>
        </w:rPr>
      </w:pPr>
      <w:r>
        <w:rPr>
          <w:rFonts w:ascii="Times New Roman" w:hAnsi="Times New Roman" w:eastAsia="仿宋"/>
          <w:sz w:val="28"/>
          <w:szCs w:val="32"/>
        </w:rPr>
        <w:t>8）每年：a.温度与压力传感器校准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b.质量传感器校准</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c. 清理冷却器、转换阀、空气入口内的质量变送器</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d．更换泵、O型圈、振荡天平传感器V型密封圈</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00" w:name="_Toc21396"/>
      <w:bookmarkStart w:id="201" w:name="_Toc31081"/>
      <w:bookmarkStart w:id="202" w:name="_Toc3322"/>
      <w:bookmarkStart w:id="203" w:name="_Toc29090"/>
      <w:bookmarkStart w:id="204" w:name="_Toc18171"/>
      <w:bookmarkStart w:id="205" w:name="_Toc451514048"/>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.28 环境大气汞(Hg)分析仪（Tekran2537X）</w:t>
      </w:r>
      <w:bookmarkEnd w:id="200"/>
      <w:bookmarkEnd w:id="201"/>
      <w:bookmarkEnd w:id="202"/>
      <w:bookmarkEnd w:id="203"/>
      <w:bookmarkEnd w:id="204"/>
      <w:bookmarkEnd w:id="205"/>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2）每月：a. 外部流量检查或校准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更换颗粒物滤膜</w:t>
      </w:r>
    </w:p>
    <w:p>
      <w:pPr>
        <w:spacing w:line="440" w:lineRule="exact"/>
        <w:rPr>
          <w:rFonts w:ascii="Times New Roman" w:hAnsi="Times New Roman" w:eastAsia="仿宋"/>
          <w:sz w:val="28"/>
          <w:szCs w:val="32"/>
        </w:rPr>
      </w:pPr>
      <w:r>
        <w:rPr>
          <w:rFonts w:ascii="Times New Roman" w:hAnsi="Times New Roman" w:eastAsia="仿宋"/>
          <w:sz w:val="28"/>
          <w:szCs w:val="32"/>
        </w:rPr>
        <w:t>c. 紫外灯检查</w:t>
      </w:r>
    </w:p>
    <w:p>
      <w:pPr>
        <w:spacing w:line="440" w:lineRule="exact"/>
        <w:rPr>
          <w:rFonts w:ascii="Times New Roman" w:hAnsi="Times New Roman" w:eastAsia="仿宋"/>
          <w:sz w:val="28"/>
          <w:szCs w:val="32"/>
        </w:rPr>
      </w:pPr>
      <w:r>
        <w:rPr>
          <w:rFonts w:ascii="Times New Roman" w:hAnsi="Times New Roman" w:eastAsia="仿宋"/>
          <w:sz w:val="28"/>
          <w:szCs w:val="32"/>
        </w:rPr>
        <w:t xml:space="preserve">         d．氩气压力表检查</w:t>
      </w:r>
    </w:p>
    <w:p>
      <w:pPr>
        <w:spacing w:line="440" w:lineRule="exact"/>
        <w:rPr>
          <w:rFonts w:ascii="Times New Roman" w:hAnsi="Times New Roman" w:eastAsia="仿宋"/>
          <w:sz w:val="28"/>
          <w:szCs w:val="32"/>
        </w:rPr>
      </w:pPr>
      <w:r>
        <w:rPr>
          <w:rFonts w:ascii="Times New Roman" w:hAnsi="Times New Roman" w:eastAsia="仿宋"/>
          <w:sz w:val="28"/>
          <w:szCs w:val="32"/>
        </w:rPr>
        <w:t>3）两月：更换零气滤膜</w:t>
      </w:r>
    </w:p>
    <w:p>
      <w:pPr>
        <w:spacing w:line="440" w:lineRule="exact"/>
        <w:rPr>
          <w:rFonts w:ascii="Times New Roman" w:hAnsi="Times New Roman" w:eastAsia="仿宋"/>
          <w:sz w:val="28"/>
          <w:szCs w:val="32"/>
        </w:rPr>
      </w:pPr>
      <w:r>
        <w:rPr>
          <w:rFonts w:ascii="Times New Roman" w:hAnsi="Times New Roman" w:eastAsia="仿宋"/>
          <w:sz w:val="28"/>
          <w:szCs w:val="32"/>
        </w:rPr>
        <w:t>4）每年：a.更换富集金管</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b.更换零气过滤器</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c.维护或更换采样泵</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d.更换采样泵膜</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06" w:name="_Toc11376"/>
      <w:bookmarkStart w:id="207" w:name="_Toc32019"/>
      <w:bookmarkStart w:id="208" w:name="_Toc14725"/>
      <w:bookmarkStart w:id="209" w:name="_Toc9235"/>
      <w:bookmarkStart w:id="210" w:name="_Toc451514049"/>
      <w:bookmarkStart w:id="211" w:name="_Toc15517"/>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.29 大气稳定度仪(Opsis SM200)</w:t>
      </w:r>
      <w:bookmarkEnd w:id="206"/>
      <w:bookmarkEnd w:id="207"/>
      <w:bookmarkEnd w:id="208"/>
      <w:bookmarkEnd w:id="209"/>
      <w:bookmarkEnd w:id="210"/>
      <w:bookmarkEnd w:id="211"/>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2）每周：仪器状态检查</w:t>
      </w:r>
    </w:p>
    <w:p>
      <w:pPr>
        <w:spacing w:line="440" w:lineRule="exact"/>
        <w:rPr>
          <w:rFonts w:ascii="Times New Roman" w:hAnsi="Times New Roman" w:eastAsia="仿宋"/>
          <w:sz w:val="28"/>
          <w:szCs w:val="32"/>
        </w:rPr>
      </w:pPr>
      <w:r>
        <w:rPr>
          <w:rFonts w:ascii="Times New Roman" w:hAnsi="Times New Roman" w:eastAsia="仿宋"/>
          <w:sz w:val="28"/>
          <w:szCs w:val="32"/>
        </w:rPr>
        <w:t>3）每月：a.更换采样滤膜</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b.Beta和气路测试（自动）</w:t>
      </w:r>
    </w:p>
    <w:p>
      <w:pPr>
        <w:spacing w:line="440" w:lineRule="exact"/>
        <w:rPr>
          <w:rFonts w:ascii="Times New Roman" w:hAnsi="Times New Roman" w:eastAsia="仿宋"/>
          <w:sz w:val="28"/>
          <w:szCs w:val="32"/>
        </w:rPr>
      </w:pPr>
      <w:r>
        <w:rPr>
          <w:rFonts w:ascii="Times New Roman" w:hAnsi="Times New Roman" w:eastAsia="仿宋"/>
          <w:sz w:val="28"/>
          <w:szCs w:val="32"/>
        </w:rPr>
        <w:t>4）两月：采样头维护</w:t>
      </w:r>
    </w:p>
    <w:p>
      <w:pPr>
        <w:spacing w:line="440" w:lineRule="exact"/>
        <w:rPr>
          <w:rFonts w:ascii="Times New Roman" w:hAnsi="Times New Roman" w:eastAsia="仿宋"/>
          <w:sz w:val="28"/>
          <w:szCs w:val="32"/>
        </w:rPr>
      </w:pPr>
      <w:r>
        <w:rPr>
          <w:rFonts w:ascii="Times New Roman" w:hAnsi="Times New Roman" w:eastAsia="仿宋"/>
          <w:sz w:val="28"/>
          <w:szCs w:val="32"/>
        </w:rPr>
        <w:t>5）半年：对仪器内部各传感器状态进行检查</w:t>
      </w:r>
    </w:p>
    <w:p>
      <w:pPr>
        <w:spacing w:line="440" w:lineRule="exact"/>
        <w:rPr>
          <w:rFonts w:ascii="Times New Roman" w:hAnsi="Times New Roman" w:eastAsia="仿宋"/>
          <w:sz w:val="28"/>
          <w:szCs w:val="32"/>
        </w:rPr>
      </w:pPr>
      <w:r>
        <w:rPr>
          <w:rFonts w:ascii="Times New Roman" w:hAnsi="Times New Roman" w:eastAsia="仿宋"/>
          <w:sz w:val="28"/>
          <w:szCs w:val="32"/>
        </w:rPr>
        <w:t>6）每年：a. 更换泵膜</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流量校准</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12" w:name="_Toc3430"/>
      <w:bookmarkStart w:id="213" w:name="_Toc8540"/>
      <w:bookmarkStart w:id="214" w:name="_Toc32101"/>
      <w:bookmarkStart w:id="215" w:name="_Toc451514050"/>
      <w:bookmarkStart w:id="216" w:name="_Toc2711"/>
      <w:bookmarkStart w:id="217" w:name="_Toc13880"/>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.30 地基太阳分光光度计（气溶胶光学遥感仪）（CIMEL-CE318）</w:t>
      </w:r>
      <w:bookmarkEnd w:id="212"/>
      <w:bookmarkEnd w:id="213"/>
      <w:bookmarkEnd w:id="214"/>
      <w:bookmarkEnd w:id="215"/>
      <w:bookmarkEnd w:id="216"/>
      <w:bookmarkEnd w:id="217"/>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2）每周：仪器状态检查</w:t>
      </w:r>
    </w:p>
    <w:p>
      <w:pPr>
        <w:spacing w:line="440" w:lineRule="exact"/>
        <w:rPr>
          <w:rFonts w:ascii="Times New Roman" w:hAnsi="Times New Roman" w:eastAsia="仿宋"/>
          <w:sz w:val="28"/>
          <w:szCs w:val="32"/>
        </w:rPr>
      </w:pPr>
      <w:r>
        <w:rPr>
          <w:rFonts w:ascii="Times New Roman" w:hAnsi="Times New Roman" w:eastAsia="仿宋"/>
          <w:sz w:val="28"/>
          <w:szCs w:val="32"/>
        </w:rPr>
        <w:t>3）每季度：a. 光学观测头维护</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光学头皮带维护</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c.感雨器维护</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外部电池及线夹维护</w:t>
      </w:r>
    </w:p>
    <w:p>
      <w:pPr>
        <w:spacing w:line="440" w:lineRule="exact"/>
        <w:rPr>
          <w:rFonts w:ascii="Times New Roman" w:hAnsi="Times New Roman" w:eastAsia="仿宋"/>
          <w:sz w:val="28"/>
          <w:szCs w:val="32"/>
        </w:rPr>
      </w:pPr>
      <w:r>
        <w:rPr>
          <w:rFonts w:ascii="Times New Roman" w:hAnsi="Times New Roman" w:eastAsia="仿宋"/>
          <w:sz w:val="28"/>
          <w:szCs w:val="32"/>
        </w:rPr>
        <w:t>4）每年：a. 室外SUN定标</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室外SKY定标</w:t>
      </w:r>
    </w:p>
    <w:p>
      <w:pPr>
        <w:spacing w:line="440" w:lineRule="exact"/>
        <w:rPr>
          <w:rFonts w:ascii="Times New Roman" w:hAnsi="Times New Roman" w:eastAsia="仿宋"/>
          <w:sz w:val="28"/>
          <w:szCs w:val="32"/>
        </w:rPr>
      </w:pPr>
      <w:r>
        <w:rPr>
          <w:rFonts w:ascii="Times New Roman" w:hAnsi="Times New Roman" w:eastAsia="仿宋"/>
          <w:sz w:val="28"/>
          <w:szCs w:val="32"/>
        </w:rPr>
        <w:t>5) 三年：a. 主、辅CPU板维护</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光学头控制板、数据线维护</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18" w:name="_Toc3345"/>
      <w:bookmarkStart w:id="219" w:name="_Toc1692"/>
      <w:bookmarkStart w:id="220" w:name="_Toc25005"/>
      <w:bookmarkStart w:id="221" w:name="_Toc451514051"/>
      <w:bookmarkStart w:id="222" w:name="_Toc28896"/>
      <w:bookmarkStart w:id="223" w:name="_Toc27317"/>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.31 多轴差分吸收光谱仪（MAXDOAS-2000）</w:t>
      </w:r>
      <w:bookmarkEnd w:id="218"/>
      <w:bookmarkEnd w:id="219"/>
      <w:bookmarkEnd w:id="220"/>
      <w:bookmarkEnd w:id="221"/>
      <w:bookmarkEnd w:id="222"/>
      <w:bookmarkEnd w:id="223"/>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2）每周：仪器状态检查</w:t>
      </w:r>
    </w:p>
    <w:p>
      <w:pPr>
        <w:spacing w:line="440" w:lineRule="exact"/>
        <w:rPr>
          <w:rFonts w:ascii="Times New Roman" w:hAnsi="Times New Roman" w:eastAsia="仿宋"/>
          <w:sz w:val="28"/>
          <w:szCs w:val="32"/>
        </w:rPr>
      </w:pPr>
      <w:r>
        <w:rPr>
          <w:rFonts w:ascii="Times New Roman" w:hAnsi="Times New Roman" w:eastAsia="仿宋"/>
          <w:sz w:val="28"/>
          <w:szCs w:val="32"/>
        </w:rPr>
        <w:t>3)每季度：光学头线路维护</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24" w:name="_Toc28734"/>
      <w:bookmarkStart w:id="225" w:name="_Toc26004"/>
      <w:bookmarkStart w:id="226" w:name="_Toc451514052"/>
      <w:bookmarkStart w:id="227" w:name="_Toc9734"/>
      <w:bookmarkStart w:id="228" w:name="_Toc7439"/>
      <w:bookmarkStart w:id="229" w:name="_Toc12176"/>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.32 风温廓线监测仪（CFL-03、RASS   中国航天科工集团）</w:t>
      </w:r>
      <w:bookmarkEnd w:id="224"/>
      <w:bookmarkEnd w:id="225"/>
      <w:bookmarkEnd w:id="226"/>
      <w:bookmarkEnd w:id="227"/>
      <w:bookmarkEnd w:id="228"/>
      <w:bookmarkEnd w:id="229"/>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2）每周：a. 仪器状态检查</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查看天线底部，给暴露的金属部分上油</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存储数据文件，清洁数据目录和雷达计算机</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整理硬盘碎片</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 从天线和RASS声源清除堆积物</w:t>
      </w:r>
    </w:p>
    <w:p>
      <w:pPr>
        <w:spacing w:line="440" w:lineRule="exact"/>
        <w:rPr>
          <w:rFonts w:ascii="Times New Roman" w:hAnsi="Times New Roman" w:eastAsia="仿宋"/>
          <w:sz w:val="28"/>
          <w:szCs w:val="32"/>
        </w:rPr>
      </w:pPr>
      <w:r>
        <w:rPr>
          <w:rFonts w:ascii="Times New Roman" w:hAnsi="Times New Roman" w:eastAsia="仿宋"/>
          <w:sz w:val="28"/>
          <w:szCs w:val="32"/>
        </w:rPr>
        <w:t>3）每月：a. 清洁，肉眼检查室内设备，连接和打印纸张</w:t>
      </w:r>
    </w:p>
    <w:p>
      <w:pPr>
        <w:spacing w:line="440" w:lineRule="exact"/>
        <w:ind w:left="1357" w:leftChars="513" w:hanging="280" w:hangingChars="100"/>
        <w:rPr>
          <w:rFonts w:ascii="Times New Roman" w:hAnsi="Times New Roman" w:eastAsia="仿宋"/>
          <w:sz w:val="28"/>
          <w:szCs w:val="32"/>
        </w:rPr>
      </w:pPr>
      <w:r>
        <w:rPr>
          <w:rFonts w:ascii="Times New Roman" w:hAnsi="Times New Roman" w:eastAsia="仿宋"/>
          <w:sz w:val="28"/>
          <w:szCs w:val="32"/>
        </w:rPr>
        <w:t>b. 肉眼查看设备间，防护栏，拉线和天线支架，为暴露在外的金属上油</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c．肉眼查看RASS外壳，传感器，电缆连接，给暴露金属上油</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30" w:name="_Toc4197"/>
      <w:bookmarkStart w:id="231" w:name="_Toc451514053"/>
      <w:bookmarkStart w:id="232" w:name="_Toc3629"/>
      <w:bookmarkStart w:id="233" w:name="_Toc28242"/>
      <w:bookmarkStart w:id="234" w:name="_Toc13156"/>
      <w:bookmarkStart w:id="235" w:name="_Toc13473"/>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.33 激光雷达（MPL-4B-IDS-532-AT、MPL-ATP）</w:t>
      </w:r>
      <w:bookmarkEnd w:id="230"/>
      <w:bookmarkEnd w:id="231"/>
      <w:bookmarkEnd w:id="232"/>
      <w:bookmarkEnd w:id="233"/>
      <w:bookmarkEnd w:id="234"/>
      <w:bookmarkEnd w:id="235"/>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2）每周：a. 仪器状态检查</w:t>
      </w:r>
    </w:p>
    <w:p>
      <w:pPr>
        <w:spacing w:line="440" w:lineRule="exact"/>
        <w:ind w:left="1357" w:leftChars="513" w:hanging="280" w:hangingChars="100"/>
        <w:rPr>
          <w:rFonts w:ascii="Times New Roman" w:hAnsi="Times New Roman" w:eastAsia="仿宋"/>
          <w:sz w:val="28"/>
          <w:szCs w:val="32"/>
        </w:rPr>
      </w:pPr>
      <w:r>
        <w:rPr>
          <w:rFonts w:ascii="Times New Roman" w:hAnsi="Times New Roman" w:eastAsia="仿宋"/>
          <w:sz w:val="28"/>
          <w:szCs w:val="32"/>
        </w:rPr>
        <w:t>b. 检查消光系数的范围区间，消偏比的范围区间以及观测期间数据的连续性</w:t>
      </w:r>
    </w:p>
    <w:p>
      <w:pPr>
        <w:spacing w:line="440" w:lineRule="exact"/>
        <w:rPr>
          <w:rFonts w:ascii="Times New Roman" w:hAnsi="Times New Roman" w:eastAsia="仿宋"/>
          <w:sz w:val="28"/>
          <w:szCs w:val="32"/>
        </w:rPr>
      </w:pPr>
      <w:r>
        <w:rPr>
          <w:rFonts w:ascii="Times New Roman" w:hAnsi="Times New Roman" w:eastAsia="仿宋"/>
          <w:sz w:val="28"/>
          <w:szCs w:val="32"/>
        </w:rPr>
        <w:t>3）每月：对观测窗做简单的清洁</w:t>
      </w:r>
    </w:p>
    <w:p>
      <w:pPr>
        <w:spacing w:line="440" w:lineRule="exact"/>
        <w:rPr>
          <w:rFonts w:ascii="Times New Roman" w:hAnsi="Times New Roman" w:eastAsia="仿宋"/>
          <w:sz w:val="28"/>
          <w:szCs w:val="32"/>
        </w:rPr>
      </w:pPr>
      <w:r>
        <w:rPr>
          <w:rFonts w:ascii="Times New Roman" w:hAnsi="Times New Roman" w:eastAsia="仿宋"/>
          <w:sz w:val="28"/>
          <w:szCs w:val="32"/>
        </w:rPr>
        <w:t>4）季度：对激光器泵浦模块进行检查</w:t>
      </w:r>
    </w:p>
    <w:p>
      <w:pPr>
        <w:spacing w:line="440" w:lineRule="exact"/>
        <w:rPr>
          <w:rFonts w:ascii="Times New Roman" w:hAnsi="Times New Roman" w:eastAsia="仿宋"/>
          <w:sz w:val="28"/>
          <w:szCs w:val="32"/>
        </w:rPr>
      </w:pPr>
      <w:r>
        <w:rPr>
          <w:rFonts w:ascii="Times New Roman" w:hAnsi="Times New Roman" w:eastAsia="仿宋"/>
          <w:sz w:val="28"/>
          <w:szCs w:val="32"/>
        </w:rPr>
        <w:t>5）每年：a. 激光器脉冲能量检查与校准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 激光器泵浦源检查</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 光路稳定性检查</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 更换液晶片</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e. 更换激光泵浦二极管</w:t>
      </w:r>
    </w:p>
    <w:p>
      <w:pPr>
        <w:spacing w:line="440" w:lineRule="exact"/>
        <w:rPr>
          <w:rFonts w:ascii="Times New Roman" w:hAnsi="Times New Roman" w:eastAsia="仿宋"/>
          <w:b/>
          <w:bCs/>
          <w:kern w:val="0"/>
          <w:sz w:val="28"/>
          <w:szCs w:val="44"/>
        </w:rPr>
      </w:pPr>
      <w:r>
        <w:rPr>
          <w:rFonts w:ascii="Times New Roman" w:hAnsi="Times New Roman" w:eastAsia="仿宋"/>
          <w:b/>
          <w:bCs/>
          <w:kern w:val="0"/>
          <w:sz w:val="28"/>
          <w:szCs w:val="44"/>
        </w:rPr>
        <w:t>6.34 臭氧激光雷达</w:t>
      </w:r>
    </w:p>
    <w:p>
      <w:pPr>
        <w:spacing w:line="440" w:lineRule="exact"/>
        <w:rPr>
          <w:rFonts w:ascii="Times New Roman" w:hAnsi="Times New Roman" w:eastAsia="仿宋"/>
          <w:sz w:val="28"/>
          <w:szCs w:val="28"/>
        </w:rPr>
      </w:pPr>
      <w:r>
        <w:rPr>
          <w:rFonts w:ascii="Times New Roman" w:hAnsi="Times New Roman" w:eastAsia="仿宋"/>
          <w:sz w:val="28"/>
          <w:szCs w:val="28"/>
        </w:rPr>
        <w:t>1）每日定时监控</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技术人员每天查看雷达监测数据，并对站点进行远程管理和巡视</w:t>
      </w:r>
    </w:p>
    <w:p>
      <w:pPr>
        <w:spacing w:line="440" w:lineRule="exact"/>
        <w:rPr>
          <w:rFonts w:ascii="Times New Roman" w:hAnsi="Times New Roman" w:eastAsia="仿宋"/>
          <w:sz w:val="28"/>
          <w:szCs w:val="28"/>
        </w:rPr>
      </w:pPr>
      <w:r>
        <w:rPr>
          <w:rFonts w:ascii="Times New Roman" w:hAnsi="Times New Roman" w:eastAsia="仿宋"/>
          <w:sz w:val="28"/>
          <w:szCs w:val="28"/>
        </w:rPr>
        <w:t>2）每周定期巡检</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a.查看仪器及辅助设备的运行状态和主要技术参数，判断运行是否正常；</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b.根据实际需要及时更换设备耗材。</w:t>
      </w:r>
    </w:p>
    <w:p>
      <w:pPr>
        <w:spacing w:line="440" w:lineRule="exact"/>
        <w:rPr>
          <w:rFonts w:ascii="Times New Roman" w:hAnsi="Times New Roman" w:eastAsia="仿宋"/>
          <w:sz w:val="28"/>
          <w:szCs w:val="28"/>
        </w:rPr>
      </w:pPr>
      <w:r>
        <w:rPr>
          <w:rFonts w:ascii="Times New Roman" w:hAnsi="Times New Roman" w:eastAsia="仿宋"/>
          <w:sz w:val="28"/>
          <w:szCs w:val="28"/>
        </w:rPr>
        <w:t>3)每月服务项目</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a.检查透镜表面是否有磨损或破裂的现象，如发现异常，及时处理；</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b.检查激光器是否正常工作，进行激光器能量测试，查看光斑状态并根据光斑大小判断激光器是否正常，如发现异常，及时处理；</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c.检查数据的有效性和设备的参数设定及运行情况，检查数据及出图情况是否正常，如发现异常，及时处理；</w:t>
      </w:r>
    </w:p>
    <w:p>
      <w:pPr>
        <w:spacing w:line="440" w:lineRule="exact"/>
        <w:rPr>
          <w:rFonts w:ascii="Times New Roman" w:hAnsi="Times New Roman" w:eastAsia="仿宋"/>
          <w:sz w:val="28"/>
          <w:szCs w:val="28"/>
        </w:rPr>
      </w:pPr>
      <w:r>
        <w:rPr>
          <w:rFonts w:ascii="Times New Roman" w:hAnsi="Times New Roman" w:eastAsia="仿宋"/>
          <w:sz w:val="28"/>
          <w:szCs w:val="28"/>
        </w:rPr>
        <w:t>4)年度维护</w:t>
      </w:r>
    </w:p>
    <w:p>
      <w:pPr>
        <w:spacing w:line="440" w:lineRule="exact"/>
        <w:ind w:firstLine="560" w:firstLineChars="200"/>
        <w:rPr>
          <w:rFonts w:ascii="Times New Roman" w:hAnsi="Times New Roman" w:eastAsia="仿宋"/>
          <w:sz w:val="28"/>
          <w:szCs w:val="32"/>
        </w:rPr>
      </w:pPr>
      <w:r>
        <w:rPr>
          <w:rFonts w:ascii="Times New Roman" w:hAnsi="Times New Roman" w:eastAsia="仿宋"/>
          <w:sz w:val="28"/>
          <w:szCs w:val="28"/>
        </w:rPr>
        <w:t>每年对雷达系统进行一次专业维护，校准等服务；</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36" w:name="_Toc451514054"/>
      <w:bookmarkStart w:id="237" w:name="_Toc755"/>
      <w:bookmarkStart w:id="238" w:name="_Toc11888"/>
      <w:bookmarkStart w:id="239" w:name="_Toc20416"/>
      <w:bookmarkStart w:id="240" w:name="_Toc1632"/>
      <w:bookmarkStart w:id="241" w:name="_Toc28093"/>
      <w:r>
        <w:rPr>
          <w:rFonts w:ascii="Times New Roman" w:hAnsi="Times New Roman" w:eastAsia="仿宋" w:cs="Times New Roman"/>
          <w:b/>
          <w:bCs/>
          <w:kern w:val="2"/>
          <w:sz w:val="28"/>
          <w:szCs w:val="28"/>
          <w:lang w:val="en-US" w:eastAsia="zh-CN" w:bidi="ar-SA"/>
        </w:rPr>
        <w:t>6</w:t>
      </w:r>
      <w:r>
        <w:rPr>
          <w:rFonts w:ascii="Times New Roman" w:hAnsi="Times New Roman" w:eastAsia="仿宋" w:cs="Times New Roman"/>
          <w:b/>
          <w:bCs/>
          <w:kern w:val="2"/>
          <w:sz w:val="28"/>
          <w:szCs w:val="44"/>
          <w:lang w:val="en-US" w:eastAsia="zh-CN" w:bidi="ar-SA"/>
        </w:rPr>
        <w:t>.35 能见度监测仪（Model 6000美国belfort）</w:t>
      </w:r>
      <w:bookmarkEnd w:id="236"/>
      <w:bookmarkEnd w:id="237"/>
      <w:bookmarkEnd w:id="238"/>
      <w:bookmarkEnd w:id="239"/>
      <w:bookmarkEnd w:id="240"/>
      <w:bookmarkEnd w:id="241"/>
    </w:p>
    <w:p>
      <w:pPr>
        <w:spacing w:line="440" w:lineRule="exact"/>
        <w:rPr>
          <w:rFonts w:ascii="Times New Roman" w:hAnsi="Times New Roman" w:eastAsia="仿宋"/>
          <w:sz w:val="28"/>
          <w:szCs w:val="32"/>
        </w:rPr>
      </w:pPr>
      <w:r>
        <w:rPr>
          <w:rFonts w:ascii="Times New Roman" w:hAnsi="Times New Roman" w:eastAsia="仿宋"/>
          <w:sz w:val="28"/>
          <w:szCs w:val="32"/>
        </w:rPr>
        <w:t>1）每日：查看平台数据</w:t>
      </w:r>
    </w:p>
    <w:p>
      <w:pPr>
        <w:spacing w:line="440" w:lineRule="exact"/>
        <w:rPr>
          <w:rFonts w:ascii="Times New Roman" w:hAnsi="Times New Roman" w:eastAsia="仿宋"/>
          <w:sz w:val="28"/>
          <w:szCs w:val="32"/>
        </w:rPr>
      </w:pPr>
      <w:r>
        <w:rPr>
          <w:rFonts w:ascii="Times New Roman" w:hAnsi="Times New Roman" w:eastAsia="仿宋"/>
          <w:sz w:val="28"/>
          <w:szCs w:val="32"/>
        </w:rPr>
        <w:t>2）每周：记录一次仪器各显示状态参数</w:t>
      </w:r>
    </w:p>
    <w:p>
      <w:pPr>
        <w:spacing w:line="440" w:lineRule="exact"/>
        <w:rPr>
          <w:rFonts w:ascii="Times New Roman" w:hAnsi="Times New Roman" w:eastAsia="仿宋"/>
          <w:sz w:val="28"/>
          <w:szCs w:val="32"/>
        </w:rPr>
      </w:pPr>
      <w:r>
        <w:rPr>
          <w:rFonts w:ascii="Times New Roman" w:hAnsi="Times New Roman" w:eastAsia="仿宋"/>
          <w:sz w:val="28"/>
          <w:szCs w:val="32"/>
        </w:rPr>
        <w:t>3）每月：清洁探测器</w:t>
      </w:r>
    </w:p>
    <w:p>
      <w:pPr>
        <w:spacing w:line="440" w:lineRule="exact"/>
        <w:rPr>
          <w:rFonts w:ascii="Times New Roman" w:hAnsi="Times New Roman" w:eastAsia="仿宋"/>
          <w:sz w:val="28"/>
          <w:szCs w:val="32"/>
        </w:rPr>
      </w:pPr>
      <w:r>
        <w:rPr>
          <w:rFonts w:ascii="Times New Roman" w:hAnsi="Times New Roman" w:eastAsia="仿宋"/>
          <w:sz w:val="28"/>
          <w:szCs w:val="32"/>
        </w:rPr>
        <w:t>4）季度：对仪器内部相关部件外部灰尘吹扫</w:t>
      </w:r>
    </w:p>
    <w:p>
      <w:pPr>
        <w:spacing w:line="440" w:lineRule="exact"/>
        <w:rPr>
          <w:rFonts w:ascii="Times New Roman" w:hAnsi="Times New Roman" w:eastAsia="仿宋"/>
          <w:sz w:val="28"/>
          <w:szCs w:val="32"/>
        </w:rPr>
      </w:pPr>
      <w:r>
        <w:rPr>
          <w:rFonts w:ascii="Times New Roman" w:hAnsi="Times New Roman" w:eastAsia="仿宋"/>
          <w:sz w:val="28"/>
          <w:szCs w:val="32"/>
        </w:rPr>
        <w:t>5）每年：对仪器进行一次校准</w:t>
      </w:r>
    </w:p>
    <w:p>
      <w:pPr>
        <w:spacing w:line="440" w:lineRule="exact"/>
        <w:rPr>
          <w:rFonts w:ascii="Times New Roman" w:hAnsi="Times New Roman" w:eastAsia="仿宋"/>
          <w:sz w:val="28"/>
          <w:szCs w:val="32"/>
        </w:rPr>
      </w:pPr>
      <w:r>
        <w:rPr>
          <w:rFonts w:ascii="Times New Roman" w:hAnsi="Times New Roman" w:eastAsia="仿宋"/>
          <w:sz w:val="28"/>
          <w:szCs w:val="32"/>
        </w:rPr>
        <w:t>多点校准</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42" w:name="_Toc7966"/>
      <w:bookmarkStart w:id="243" w:name="_Toc451514057"/>
      <w:bookmarkStart w:id="244" w:name="_Toc23742"/>
      <w:bookmarkStart w:id="245" w:name="_Toc3075"/>
      <w:bookmarkStart w:id="246" w:name="_Toc13483"/>
      <w:bookmarkStart w:id="247" w:name="_Toc12086"/>
      <w:r>
        <w:rPr>
          <w:rFonts w:ascii="Times New Roman" w:hAnsi="Times New Roman" w:eastAsia="仿宋" w:cs="Times New Roman"/>
          <w:b/>
          <w:bCs/>
          <w:kern w:val="2"/>
          <w:sz w:val="28"/>
          <w:szCs w:val="44"/>
          <w:lang w:val="en-US" w:eastAsia="zh-CN" w:bidi="ar-SA"/>
        </w:rPr>
        <w:t>6.36 动力环境监测系统</w:t>
      </w:r>
      <w:bookmarkEnd w:id="242"/>
      <w:bookmarkEnd w:id="243"/>
      <w:bookmarkEnd w:id="244"/>
      <w:bookmarkEnd w:id="245"/>
      <w:bookmarkEnd w:id="246"/>
      <w:bookmarkEnd w:id="247"/>
    </w:p>
    <w:p>
      <w:pPr>
        <w:spacing w:line="440" w:lineRule="exact"/>
        <w:rPr>
          <w:rFonts w:ascii="Times New Roman" w:hAnsi="Times New Roman" w:eastAsia="仿宋"/>
          <w:sz w:val="28"/>
          <w:szCs w:val="32"/>
        </w:rPr>
      </w:pPr>
      <w:r>
        <w:rPr>
          <w:rFonts w:ascii="Times New Roman" w:hAnsi="Times New Roman" w:eastAsia="仿宋"/>
          <w:sz w:val="28"/>
          <w:szCs w:val="32"/>
        </w:rPr>
        <w:t>1）每周：a.远程查看监测主机是否正常</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b.远程查看网络端口是否正常</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c.远程查看连接传感器端口是否正常</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d.远程查看传感器是否正常</w:t>
      </w:r>
    </w:p>
    <w:p>
      <w:pPr>
        <w:spacing w:line="440" w:lineRule="exact"/>
        <w:rPr>
          <w:rFonts w:ascii="Times New Roman" w:hAnsi="Times New Roman" w:eastAsia="仿宋"/>
          <w:sz w:val="28"/>
          <w:szCs w:val="32"/>
        </w:rPr>
      </w:pPr>
      <w:r>
        <w:rPr>
          <w:rFonts w:ascii="Times New Roman" w:hAnsi="Times New Roman" w:eastAsia="仿宋"/>
          <w:sz w:val="28"/>
          <w:szCs w:val="32"/>
        </w:rPr>
        <w:t>2)两月：a.现场查看远程控制是否正常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b.现场查看指示灯是否正常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c.现场查看软件运行数据检查</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d.现场查看软件平台运行测试</w:t>
      </w:r>
    </w:p>
    <w:p>
      <w:pPr>
        <w:spacing w:line="440" w:lineRule="exact"/>
        <w:rPr>
          <w:rFonts w:ascii="Times New Roman" w:hAnsi="Times New Roman" w:eastAsia="仿宋"/>
          <w:sz w:val="28"/>
          <w:szCs w:val="32"/>
        </w:rPr>
      </w:pPr>
      <w:r>
        <w:rPr>
          <w:rFonts w:ascii="Times New Roman" w:hAnsi="Times New Roman" w:eastAsia="仿宋"/>
          <w:sz w:val="28"/>
          <w:szCs w:val="32"/>
        </w:rPr>
        <w:t>3)半年：a.监测主机是否正常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b.网络端口是否正常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c.连接传感器端口是否正常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d.传感器是否正常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e.远程控制是否正常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f.指示灯是否正常</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g.软件运行数据检查</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h.软件平台运行测试</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i.空气站点的软件平台的控制联调</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j.UPS蓄电池检测</w:t>
      </w:r>
    </w:p>
    <w:p>
      <w:pPr>
        <w:spacing w:line="440" w:lineRule="exact"/>
        <w:ind w:left="1400" w:hanging="1400" w:hangingChars="500"/>
        <w:rPr>
          <w:rFonts w:ascii="Times New Roman" w:hAnsi="Times New Roman" w:eastAsia="仿宋"/>
          <w:sz w:val="28"/>
          <w:szCs w:val="32"/>
        </w:rPr>
      </w:pPr>
      <w:r>
        <w:rPr>
          <w:rFonts w:ascii="Times New Roman" w:hAnsi="Times New Roman" w:eastAsia="仿宋"/>
          <w:sz w:val="28"/>
          <w:szCs w:val="32"/>
        </w:rPr>
        <w:t>4)每年：a.按需更换易耗件（温湿度传感器、烟感传感器、水浸传感器、电量仪传感器、空调控制传感器、人体红外传感器、电源、线缆）</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b.空气站点的软件平台的控制联调</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c.UPS蓄电池检测</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d.报警信息统计、数据统计</w:t>
      </w:r>
    </w:p>
    <w:p>
      <w:pPr>
        <w:spacing w:line="440" w:lineRule="exact"/>
        <w:ind w:firstLine="1120" w:firstLineChars="400"/>
        <w:rPr>
          <w:rFonts w:ascii="Times New Roman" w:hAnsi="Times New Roman" w:eastAsia="仿宋"/>
          <w:sz w:val="28"/>
          <w:szCs w:val="32"/>
        </w:rPr>
      </w:pPr>
      <w:r>
        <w:rPr>
          <w:rFonts w:ascii="Times New Roman" w:hAnsi="Times New Roman" w:eastAsia="仿宋"/>
          <w:sz w:val="28"/>
          <w:szCs w:val="32"/>
        </w:rPr>
        <w:t>e.整个系统的运维报告填写</w:t>
      </w:r>
    </w:p>
    <w:p>
      <w:pPr>
        <w:keepNext/>
        <w:keepLines/>
        <w:widowControl w:val="0"/>
        <w:spacing w:before="0" w:after="0" w:line="440" w:lineRule="exact"/>
        <w:jc w:val="left"/>
        <w:outlineLvl w:val="2"/>
        <w:rPr>
          <w:rFonts w:ascii="Times New Roman" w:hAnsi="Times New Roman" w:eastAsia="仿宋" w:cs="Times New Roman"/>
          <w:b/>
          <w:bCs/>
          <w:kern w:val="2"/>
          <w:sz w:val="28"/>
          <w:szCs w:val="44"/>
          <w:lang w:val="en-US" w:eastAsia="zh-CN" w:bidi="ar-SA"/>
        </w:rPr>
      </w:pPr>
      <w:bookmarkStart w:id="248" w:name="_Toc9587"/>
      <w:bookmarkStart w:id="249" w:name="_Toc16354"/>
      <w:bookmarkStart w:id="250" w:name="_Toc9342"/>
      <w:bookmarkStart w:id="251" w:name="_Toc30317"/>
      <w:bookmarkStart w:id="252" w:name="_Toc4909"/>
      <w:bookmarkStart w:id="253" w:name="_Toc451514058"/>
      <w:r>
        <w:rPr>
          <w:rFonts w:ascii="Times New Roman" w:hAnsi="Times New Roman" w:eastAsia="仿宋" w:cs="Times New Roman"/>
          <w:b/>
          <w:bCs/>
          <w:kern w:val="2"/>
          <w:sz w:val="28"/>
          <w:szCs w:val="28"/>
          <w:lang w:val="en-US" w:eastAsia="zh-CN" w:bidi="ar-SA"/>
        </w:rPr>
        <w:t>6.36</w:t>
      </w:r>
      <w:r>
        <w:rPr>
          <w:rFonts w:ascii="Times New Roman" w:hAnsi="Times New Roman" w:eastAsia="仿宋" w:cs="Times New Roman"/>
          <w:b/>
          <w:bCs/>
          <w:kern w:val="2"/>
          <w:sz w:val="28"/>
          <w:szCs w:val="44"/>
          <w:lang w:val="en-US" w:eastAsia="zh-CN" w:bidi="ar-SA"/>
        </w:rPr>
        <w:t>系统集成</w:t>
      </w:r>
      <w:bookmarkEnd w:id="248"/>
      <w:bookmarkEnd w:id="249"/>
      <w:bookmarkEnd w:id="250"/>
      <w:bookmarkEnd w:id="251"/>
      <w:bookmarkEnd w:id="252"/>
      <w:bookmarkEnd w:id="253"/>
    </w:p>
    <w:p>
      <w:pPr>
        <w:spacing w:line="440" w:lineRule="exact"/>
        <w:rPr>
          <w:rFonts w:ascii="Times New Roman" w:hAnsi="Times New Roman" w:eastAsia="仿宋"/>
          <w:sz w:val="28"/>
          <w:szCs w:val="32"/>
        </w:rPr>
      </w:pPr>
      <w:r>
        <w:rPr>
          <w:rFonts w:ascii="Times New Roman" w:hAnsi="Times New Roman" w:eastAsia="仿宋"/>
          <w:sz w:val="28"/>
          <w:szCs w:val="32"/>
        </w:rPr>
        <w:t>1）每周：a.空调现场清理</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b.工控机/超站服务器数据备份</w:t>
      </w:r>
    </w:p>
    <w:p>
      <w:pPr>
        <w:spacing w:line="440" w:lineRule="exact"/>
        <w:rPr>
          <w:rFonts w:ascii="Times New Roman" w:hAnsi="Times New Roman" w:eastAsia="仿宋"/>
          <w:sz w:val="28"/>
          <w:szCs w:val="32"/>
        </w:rPr>
      </w:pPr>
      <w:r>
        <w:rPr>
          <w:rFonts w:ascii="Times New Roman" w:hAnsi="Times New Roman" w:eastAsia="仿宋"/>
          <w:sz w:val="28"/>
          <w:szCs w:val="32"/>
        </w:rPr>
        <w:t>2）每年：a.空调加氟氯昂</w:t>
      </w:r>
    </w:p>
    <w:p>
      <w:pPr>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b.路由器/交换机升级</w:t>
      </w:r>
    </w:p>
    <w:p>
      <w:pPr>
        <w:tabs>
          <w:tab w:val="left" w:pos="420"/>
          <w:tab w:val="left" w:pos="765"/>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ind w:firstLine="1260" w:firstLineChars="450"/>
        <w:rPr>
          <w:rFonts w:ascii="Times New Roman" w:hAnsi="Times New Roman" w:eastAsia="仿宋"/>
          <w:sz w:val="28"/>
          <w:szCs w:val="32"/>
        </w:rPr>
      </w:pPr>
      <w:r>
        <w:rPr>
          <w:rFonts w:ascii="Times New Roman" w:hAnsi="Times New Roman" w:eastAsia="仿宋"/>
          <w:sz w:val="28"/>
          <w:szCs w:val="32"/>
        </w:rPr>
        <w:t>c.数据采集软件升级</w:t>
      </w:r>
    </w:p>
    <w:p>
      <w:pPr>
        <w:keepNext/>
        <w:keepLines/>
        <w:widowControl w:val="0"/>
        <w:spacing w:before="0" w:after="0" w:line="440" w:lineRule="exact"/>
        <w:jc w:val="left"/>
        <w:outlineLvl w:val="2"/>
        <w:rPr>
          <w:rFonts w:ascii="Times New Roman" w:hAnsi="Times New Roman" w:eastAsia="仿宋" w:cs="Times New Roman"/>
          <w:b/>
          <w:bCs/>
          <w:kern w:val="2"/>
          <w:sz w:val="28"/>
          <w:szCs w:val="28"/>
          <w:lang w:val="en-US" w:eastAsia="zh-CN" w:bidi="ar-SA"/>
        </w:rPr>
      </w:pPr>
      <w:r>
        <w:rPr>
          <w:rFonts w:ascii="Times New Roman" w:hAnsi="Times New Roman" w:eastAsia="仿宋" w:cs="Times New Roman"/>
          <w:b/>
          <w:bCs/>
          <w:kern w:val="2"/>
          <w:sz w:val="28"/>
          <w:szCs w:val="28"/>
          <w:lang w:val="en-US" w:eastAsia="zh-CN" w:bidi="ar-SA"/>
        </w:rPr>
        <w:t>6.37站房修缮</w:t>
      </w:r>
    </w:p>
    <w:p>
      <w:pPr>
        <w:tabs>
          <w:tab w:val="left" w:pos="420"/>
          <w:tab w:val="left" w:pos="765"/>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s>
        <w:spacing w:line="440" w:lineRule="exact"/>
        <w:rPr>
          <w:rFonts w:ascii="Times New Roman" w:hAnsi="Times New Roman" w:eastAsia="仿宋"/>
          <w:sz w:val="28"/>
          <w:szCs w:val="32"/>
        </w:rPr>
      </w:pPr>
      <w:r>
        <w:rPr>
          <w:rFonts w:ascii="Times New Roman" w:hAnsi="Times New Roman" w:eastAsia="仿宋"/>
          <w:sz w:val="28"/>
          <w:szCs w:val="32"/>
        </w:rPr>
        <w:t>每年：需对影响监测数据和自动站安全等情况站房进行修缮。</w:t>
      </w:r>
    </w:p>
    <w:p>
      <w:pPr>
        <w:spacing w:line="440" w:lineRule="exact"/>
        <w:contextualSpacing/>
        <w:jc w:val="left"/>
        <w:outlineLvl w:val="1"/>
        <w:rPr>
          <w:rFonts w:ascii="Times New Roman" w:hAnsi="Times New Roman" w:eastAsia="仿宋"/>
          <w:b/>
          <w:bCs/>
          <w:sz w:val="28"/>
          <w:szCs w:val="36"/>
        </w:rPr>
      </w:pPr>
      <w:r>
        <w:rPr>
          <w:rFonts w:ascii="Times New Roman" w:hAnsi="Times New Roman" w:eastAsia="仿宋"/>
          <w:b/>
          <w:bCs/>
          <w:sz w:val="28"/>
          <w:szCs w:val="36"/>
        </w:rPr>
        <w:t>7</w:t>
      </w:r>
      <w:r>
        <w:rPr>
          <w:rFonts w:hint="eastAsia" w:ascii="Times New Roman" w:hAnsi="Times New Roman" w:eastAsia="仿宋"/>
          <w:b/>
          <w:bCs/>
          <w:sz w:val="28"/>
          <w:szCs w:val="36"/>
        </w:rPr>
        <w:t>、防范人为干扰监测</w:t>
      </w:r>
    </w:p>
    <w:p>
      <w:pPr>
        <w:spacing w:line="360" w:lineRule="auto"/>
        <w:ind w:firstLine="560" w:firstLineChars="200"/>
        <w:rPr>
          <w:rFonts w:ascii="Times New Roman" w:hAnsi="Times New Roman" w:eastAsia="仿宋"/>
          <w:sz w:val="28"/>
          <w:szCs w:val="32"/>
        </w:rPr>
      </w:pPr>
      <w:r>
        <w:rPr>
          <w:rFonts w:hint="eastAsia" w:ascii="Times New Roman" w:hAnsi="Times New Roman" w:eastAsia="仿宋"/>
          <w:sz w:val="28"/>
          <w:szCs w:val="32"/>
        </w:rPr>
        <w:t>中标单位需建立本公司防范人为干扰监测的工作机制和制度，负责对监测设备、采样系统、视频系统、采集传输系统等日常巡视，发现并确认异常情况和原因后及时报送省中心。</w:t>
      </w:r>
    </w:p>
    <w:p>
      <w:pPr>
        <w:spacing w:line="360" w:lineRule="auto"/>
        <w:ind w:firstLine="560" w:firstLineChars="200"/>
        <w:rPr>
          <w:rFonts w:ascii="Times New Roman" w:hAnsi="Times New Roman" w:eastAsia="仿宋"/>
          <w:b/>
          <w:bCs/>
          <w:sz w:val="28"/>
          <w:szCs w:val="28"/>
        </w:rPr>
      </w:pPr>
      <w:r>
        <w:rPr>
          <w:rFonts w:hint="eastAsia" w:ascii="Times New Roman" w:hAnsi="Times New Roman" w:eastAsia="仿宋"/>
          <w:sz w:val="28"/>
          <w:szCs w:val="32"/>
        </w:rPr>
        <w:t>中标单位具有以下情形的，省中心及驻市中心有权追究其违约责任</w:t>
      </w:r>
      <w:r>
        <w:rPr>
          <w:rFonts w:ascii="Times New Roman" w:hAnsi="Times New Roman" w:eastAsia="仿宋"/>
          <w:sz w:val="28"/>
          <w:szCs w:val="32"/>
        </w:rPr>
        <w:t>,同时上报省</w:t>
      </w:r>
      <w:r>
        <w:rPr>
          <w:rFonts w:hint="eastAsia" w:ascii="Times New Roman" w:hAnsi="Times New Roman" w:eastAsia="仿宋"/>
          <w:sz w:val="28"/>
          <w:szCs w:val="32"/>
        </w:rPr>
        <w:t>厅并建议采监处终止服务合同</w:t>
      </w:r>
      <w:r>
        <w:rPr>
          <w:rFonts w:ascii="Times New Roman" w:hAnsi="Times New Roman" w:eastAsia="仿宋"/>
          <w:sz w:val="28"/>
          <w:szCs w:val="32"/>
        </w:rPr>
        <w:t>。</w:t>
      </w:r>
      <w:r>
        <w:rPr>
          <w:rFonts w:ascii="Times New Roman" w:hAnsi="Times New Roman" w:eastAsia="仿宋"/>
          <w:sz w:val="28"/>
          <w:szCs w:val="32"/>
        </w:rPr>
        <w:cr/>
      </w:r>
      <w:r>
        <w:rPr>
          <w:rFonts w:hint="eastAsia" w:ascii="Times New Roman" w:hAnsi="Times New Roman" w:eastAsia="仿宋"/>
          <w:sz w:val="28"/>
          <w:szCs w:val="32"/>
        </w:rPr>
        <w:t>1</w:t>
      </w:r>
      <w:r>
        <w:rPr>
          <w:rFonts w:ascii="Times New Roman" w:hAnsi="Times New Roman" w:eastAsia="仿宋"/>
          <w:sz w:val="28"/>
          <w:szCs w:val="32"/>
        </w:rPr>
        <w:t xml:space="preserve">）存在《环境监测数据弄虚作假行为判定及处理办法》中认定的篡改、伪造或者指使篡改、伪造监测数据行为的； </w:t>
      </w:r>
      <w:r>
        <w:rPr>
          <w:rFonts w:ascii="Times New Roman" w:hAnsi="Times New Roman" w:eastAsia="仿宋"/>
          <w:sz w:val="28"/>
          <w:szCs w:val="32"/>
        </w:rPr>
        <w:cr/>
      </w:r>
      <w:r>
        <w:rPr>
          <w:rFonts w:hint="eastAsia" w:ascii="Times New Roman" w:hAnsi="Times New Roman" w:eastAsia="仿宋"/>
          <w:sz w:val="28"/>
          <w:szCs w:val="32"/>
        </w:rPr>
        <w:t>2</w:t>
      </w:r>
      <w:r>
        <w:rPr>
          <w:rFonts w:ascii="Times New Roman" w:hAnsi="Times New Roman" w:eastAsia="仿宋"/>
          <w:sz w:val="28"/>
          <w:szCs w:val="32"/>
        </w:rPr>
        <w:t xml:space="preserve">）实施或强令、指使、授意他人实施修改参数，或者干扰采样致使监测数据严重失真的； </w:t>
      </w:r>
      <w:r>
        <w:rPr>
          <w:rFonts w:ascii="Times New Roman" w:hAnsi="Times New Roman" w:eastAsia="仿宋"/>
          <w:sz w:val="28"/>
          <w:szCs w:val="32"/>
        </w:rPr>
        <w:cr/>
      </w:r>
      <w:r>
        <w:rPr>
          <w:rFonts w:hint="eastAsia" w:ascii="Times New Roman" w:hAnsi="Times New Roman" w:eastAsia="仿宋"/>
          <w:sz w:val="28"/>
          <w:szCs w:val="32"/>
        </w:rPr>
        <w:t>3</w:t>
      </w:r>
      <w:r>
        <w:rPr>
          <w:rFonts w:ascii="Times New Roman" w:hAnsi="Times New Roman" w:eastAsia="仿宋"/>
          <w:sz w:val="28"/>
          <w:szCs w:val="32"/>
        </w:rPr>
        <w:t>）实施、参与或默认他人实施干扰自动监测设施、破坏环境质量监测系统的；</w:t>
      </w:r>
      <w:r>
        <w:rPr>
          <w:rFonts w:ascii="Times New Roman" w:hAnsi="Times New Roman" w:eastAsia="仿宋"/>
          <w:sz w:val="28"/>
          <w:szCs w:val="32"/>
        </w:rPr>
        <w:cr/>
      </w:r>
      <w:r>
        <w:rPr>
          <w:rFonts w:hint="eastAsia" w:ascii="Times New Roman" w:hAnsi="Times New Roman" w:eastAsia="仿宋"/>
          <w:sz w:val="28"/>
          <w:szCs w:val="32"/>
        </w:rPr>
        <w:t>4</w:t>
      </w:r>
      <w:r>
        <w:rPr>
          <w:rFonts w:ascii="Times New Roman" w:hAnsi="Times New Roman" w:eastAsia="仿宋"/>
          <w:sz w:val="28"/>
          <w:szCs w:val="32"/>
        </w:rPr>
        <w:t>）其他破坏环境质量监测系统的情形</w:t>
      </w:r>
      <w:r>
        <w:rPr>
          <w:rFonts w:ascii="Times New Roman" w:hAnsi="Times New Roman" w:eastAsia="仿宋"/>
          <w:sz w:val="28"/>
          <w:szCs w:val="32"/>
        </w:rPr>
        <w:cr/>
      </w:r>
    </w:p>
    <w:p>
      <w:pPr>
        <w:widowControl/>
        <w:jc w:val="left"/>
        <w:rPr>
          <w:rFonts w:ascii="宋体" w:hAnsi="宋体"/>
          <w:b/>
          <w:bCs/>
          <w:sz w:val="30"/>
          <w:szCs w:val="30"/>
        </w:rPr>
      </w:pPr>
      <w:r>
        <w:rPr>
          <w:rFonts w:hint="eastAsia" w:ascii="宋体" w:hAnsi="宋体"/>
          <w:b/>
          <w:bCs/>
          <w:sz w:val="30"/>
          <w:szCs w:val="30"/>
        </w:rPr>
        <w:t>标项1-</w:t>
      </w:r>
      <w:r>
        <w:rPr>
          <w:rFonts w:ascii="宋体" w:hAnsi="宋体"/>
          <w:b/>
          <w:bCs/>
          <w:sz w:val="30"/>
          <w:szCs w:val="30"/>
        </w:rPr>
        <w:t>5</w:t>
      </w:r>
      <w:r>
        <w:rPr>
          <w:rFonts w:hint="eastAsia" w:ascii="宋体" w:hAnsi="宋体"/>
          <w:b/>
          <w:bCs/>
          <w:sz w:val="30"/>
          <w:szCs w:val="30"/>
        </w:rPr>
        <w:t>：</w:t>
      </w:r>
      <w:r>
        <w:rPr>
          <w:rFonts w:ascii="宋体" w:hAnsi="宋体"/>
          <w:b/>
          <w:bCs/>
          <w:sz w:val="30"/>
          <w:szCs w:val="30"/>
        </w:rPr>
        <w:t>商务要求表</w:t>
      </w:r>
    </w:p>
    <w:tbl>
      <w:tblPr>
        <w:tblStyle w:val="59"/>
        <w:tblW w:w="0" w:type="auto"/>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56"/>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176" w:type="dxa"/>
            <w:gridSpan w:val="2"/>
            <w:noWrap w:val="0"/>
            <w:vAlign w:val="center"/>
          </w:tcPr>
          <w:p>
            <w:pPr>
              <w:snapToGrid w:val="0"/>
              <w:jc w:val="left"/>
              <w:rPr>
                <w:rFonts w:ascii="宋体" w:hAnsi="宋体"/>
                <w:b/>
                <w:sz w:val="28"/>
                <w:szCs w:val="28"/>
              </w:rPr>
            </w:pPr>
            <w:r>
              <w:rPr>
                <w:rFonts w:ascii="宋体" w:hAnsi="宋体"/>
                <w:b/>
                <w:sz w:val="28"/>
                <w:szCs w:val="28"/>
              </w:rPr>
              <w:t>▲项目工期（交货期）及地点</w:t>
            </w:r>
          </w:p>
        </w:tc>
        <w:tc>
          <w:tcPr>
            <w:tcW w:w="6775" w:type="dxa"/>
            <w:noWrap w:val="0"/>
            <w:vAlign w:val="center"/>
          </w:tcPr>
          <w:p>
            <w:pPr>
              <w:rPr>
                <w:rFonts w:ascii="仿宋_GB2312" w:hAnsi="宋体" w:eastAsia="仿宋_GB2312"/>
                <w:sz w:val="24"/>
                <w:szCs w:val="24"/>
              </w:rPr>
            </w:pPr>
            <w:r>
              <w:rPr>
                <w:rFonts w:hint="eastAsia" w:ascii="仿宋_GB2312" w:hAnsi="宋体" w:eastAsia="仿宋_GB2312"/>
                <w:sz w:val="24"/>
                <w:szCs w:val="24"/>
              </w:rPr>
              <w:t>合同签订后1年，浙江省大气复合污染立体监测网络的16个功能性站点及2个移动站和自动称重系统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176" w:type="dxa"/>
            <w:gridSpan w:val="2"/>
            <w:noWrap w:val="0"/>
            <w:vAlign w:val="center"/>
          </w:tcPr>
          <w:p>
            <w:pPr>
              <w:snapToGrid w:val="0"/>
              <w:jc w:val="left"/>
              <w:rPr>
                <w:rFonts w:ascii="宋体" w:hAnsi="宋体"/>
                <w:b/>
                <w:sz w:val="28"/>
                <w:szCs w:val="28"/>
              </w:rPr>
            </w:pPr>
            <w:r>
              <w:rPr>
                <w:rFonts w:ascii="宋体" w:hAnsi="宋体"/>
                <w:b/>
                <w:sz w:val="28"/>
                <w:szCs w:val="28"/>
              </w:rPr>
              <w:t>▲付款条件（明确是否需要履约保证金）</w:t>
            </w:r>
          </w:p>
        </w:tc>
        <w:tc>
          <w:tcPr>
            <w:tcW w:w="6775" w:type="dxa"/>
            <w:noWrap w:val="0"/>
            <w:vAlign w:val="center"/>
          </w:tcPr>
          <w:p>
            <w:pPr>
              <w:rPr>
                <w:rFonts w:ascii="仿宋_GB2312" w:hAnsi="宋体" w:eastAsia="仿宋_GB2312"/>
                <w:sz w:val="24"/>
                <w:szCs w:val="24"/>
              </w:rPr>
            </w:pPr>
            <w:r>
              <w:rPr>
                <w:rFonts w:hint="eastAsia" w:ascii="仿宋_GB2312" w:hAnsi="宋体" w:eastAsia="仿宋_GB2312"/>
                <w:sz w:val="24"/>
                <w:szCs w:val="24"/>
              </w:rPr>
              <w:t>合同签订后7个工作日内支付合同金额的40%，签订后半年支付合同金额30%，第三季度结束支付25%，项目结束经验收后支付至合同金额的100%。</w:t>
            </w:r>
          </w:p>
          <w:p>
            <w:pPr>
              <w:rPr>
                <w:rFonts w:ascii="仿宋_GB2312" w:hAnsi="宋体" w:eastAsia="仿宋_GB2312"/>
                <w:b/>
                <w:sz w:val="24"/>
                <w:szCs w:val="24"/>
              </w:rPr>
            </w:pPr>
            <w:r>
              <w:rPr>
                <w:rFonts w:hint="eastAsia" w:ascii="仿宋_GB2312" w:hAnsi="宋体" w:eastAsia="仿宋_GB2312"/>
                <w:sz w:val="24"/>
                <w:szCs w:val="24"/>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176" w:type="dxa"/>
            <w:gridSpan w:val="2"/>
            <w:noWrap w:val="0"/>
            <w:vAlign w:val="center"/>
          </w:tcPr>
          <w:p>
            <w:pPr>
              <w:snapToGrid w:val="0"/>
              <w:jc w:val="left"/>
              <w:rPr>
                <w:rFonts w:ascii="宋体" w:hAnsi="宋体"/>
                <w:b/>
                <w:sz w:val="28"/>
                <w:szCs w:val="28"/>
              </w:rPr>
            </w:pPr>
            <w:r>
              <w:rPr>
                <w:rFonts w:ascii="宋体" w:hAnsi="宋体"/>
                <w:b/>
                <w:sz w:val="28"/>
                <w:szCs w:val="28"/>
              </w:rPr>
              <w:t>违约责任及争议解决方式</w:t>
            </w:r>
          </w:p>
        </w:tc>
        <w:tc>
          <w:tcPr>
            <w:tcW w:w="6775" w:type="dxa"/>
            <w:noWrap w:val="0"/>
            <w:vAlign w:val="center"/>
          </w:tcPr>
          <w:p>
            <w:pPr>
              <w:rPr>
                <w:rFonts w:ascii="仿宋_GB2312" w:hAnsi="仿宋" w:eastAsia="仿宋_GB2312"/>
                <w:sz w:val="24"/>
                <w:szCs w:val="24"/>
              </w:rPr>
            </w:pPr>
            <w:r>
              <w:rPr>
                <w:rFonts w:hint="eastAsia" w:ascii="仿宋_GB2312" w:hAnsi="仿宋" w:eastAsia="仿宋_GB2312"/>
                <w:sz w:val="24"/>
                <w:szCs w:val="24"/>
              </w:rPr>
              <w:t>1.项目未通过验收的，视成交供应商违约，采购人有权要求解除合同。</w:t>
            </w:r>
          </w:p>
          <w:p>
            <w:pPr>
              <w:rPr>
                <w:rFonts w:ascii="仿宋_GB2312" w:hAnsi="宋体" w:eastAsia="仿宋_GB2312"/>
                <w:sz w:val="24"/>
                <w:szCs w:val="24"/>
              </w:rPr>
            </w:pPr>
            <w:r>
              <w:rPr>
                <w:rFonts w:hint="eastAsia" w:ascii="仿宋_GB2312" w:hAnsi="仿宋" w:eastAsia="仿宋_GB2312"/>
                <w:sz w:val="24"/>
                <w:szCs w:val="24"/>
              </w:rPr>
              <w:t>2.无特别说明，按“第五章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20" w:type="dxa"/>
            <w:vMerge w:val="restart"/>
            <w:noWrap w:val="0"/>
            <w:vAlign w:val="center"/>
          </w:tcPr>
          <w:p>
            <w:pPr>
              <w:snapToGrid w:val="0"/>
              <w:jc w:val="left"/>
              <w:rPr>
                <w:rFonts w:ascii="宋体" w:hAnsi="宋体"/>
                <w:b/>
                <w:sz w:val="28"/>
                <w:szCs w:val="28"/>
              </w:rPr>
            </w:pPr>
            <w:r>
              <w:rPr>
                <w:rFonts w:ascii="宋体" w:hAnsi="宋体"/>
                <w:b/>
                <w:sz w:val="28"/>
                <w:szCs w:val="28"/>
              </w:rPr>
              <w:t>售</w:t>
            </w:r>
          </w:p>
          <w:p>
            <w:pPr>
              <w:snapToGrid w:val="0"/>
              <w:jc w:val="left"/>
              <w:rPr>
                <w:rFonts w:ascii="宋体" w:hAnsi="宋体"/>
                <w:b/>
                <w:sz w:val="28"/>
                <w:szCs w:val="28"/>
              </w:rPr>
            </w:pPr>
            <w:r>
              <w:rPr>
                <w:rFonts w:ascii="宋体" w:hAnsi="宋体"/>
                <w:b/>
                <w:sz w:val="28"/>
                <w:szCs w:val="28"/>
              </w:rPr>
              <w:t>后</w:t>
            </w:r>
          </w:p>
          <w:p>
            <w:pPr>
              <w:snapToGrid w:val="0"/>
              <w:jc w:val="left"/>
              <w:rPr>
                <w:rFonts w:ascii="宋体" w:hAnsi="宋体"/>
                <w:b/>
                <w:sz w:val="28"/>
                <w:szCs w:val="28"/>
              </w:rPr>
            </w:pPr>
            <w:r>
              <w:rPr>
                <w:rFonts w:ascii="宋体" w:hAnsi="宋体"/>
                <w:b/>
                <w:sz w:val="28"/>
                <w:szCs w:val="28"/>
              </w:rPr>
              <w:t>服务</w:t>
            </w:r>
          </w:p>
        </w:tc>
        <w:tc>
          <w:tcPr>
            <w:tcW w:w="1456" w:type="dxa"/>
            <w:noWrap w:val="0"/>
            <w:vAlign w:val="center"/>
          </w:tcPr>
          <w:p>
            <w:pPr>
              <w:snapToGrid w:val="0"/>
              <w:jc w:val="left"/>
              <w:rPr>
                <w:rFonts w:ascii="宋体" w:hAnsi="宋体"/>
                <w:b/>
                <w:sz w:val="28"/>
                <w:szCs w:val="28"/>
              </w:rPr>
            </w:pPr>
            <w:r>
              <w:rPr>
                <w:rFonts w:ascii="宋体" w:hAnsi="宋体"/>
                <w:b/>
                <w:sz w:val="28"/>
                <w:szCs w:val="28"/>
              </w:rPr>
              <w:t>项目维护计划</w:t>
            </w:r>
          </w:p>
        </w:tc>
        <w:tc>
          <w:tcPr>
            <w:tcW w:w="6775" w:type="dxa"/>
            <w:noWrap w:val="0"/>
            <w:vAlign w:val="top"/>
          </w:tcPr>
          <w:p>
            <w:pPr>
              <w:adjustRightInd w:val="0"/>
              <w:snapToGrid w:val="0"/>
              <w:spacing w:line="480" w:lineRule="exact"/>
              <w:rPr>
                <w:rFonts w:ascii="仿宋_GB2312" w:hAnsi="宋体" w:eastAsia="仿宋_GB2312"/>
                <w:sz w:val="24"/>
                <w:szCs w:val="24"/>
              </w:rPr>
            </w:pPr>
            <w:r>
              <w:rPr>
                <w:rFonts w:hint="eastAsia" w:ascii="仿宋_GB2312" w:hAnsi="宋体" w:eastAsia="仿宋_GB2312"/>
                <w:sz w:val="24"/>
                <w:szCs w:val="24"/>
              </w:rPr>
              <w:t>合同签订后7个工作日内，提交详细的工作方案和计划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20" w:type="dxa"/>
            <w:vMerge w:val="continue"/>
            <w:noWrap w:val="0"/>
            <w:vAlign w:val="center"/>
          </w:tcPr>
          <w:p>
            <w:pPr>
              <w:snapToGrid w:val="0"/>
              <w:jc w:val="left"/>
              <w:rPr>
                <w:rFonts w:ascii="宋体" w:hAnsi="宋体"/>
                <w:b/>
                <w:sz w:val="28"/>
                <w:szCs w:val="28"/>
              </w:rPr>
            </w:pPr>
          </w:p>
        </w:tc>
        <w:tc>
          <w:tcPr>
            <w:tcW w:w="1456" w:type="dxa"/>
            <w:noWrap w:val="0"/>
            <w:vAlign w:val="center"/>
          </w:tcPr>
          <w:p>
            <w:pPr>
              <w:snapToGrid w:val="0"/>
              <w:jc w:val="left"/>
              <w:rPr>
                <w:rFonts w:ascii="宋体" w:hAnsi="宋体"/>
                <w:b/>
                <w:sz w:val="28"/>
                <w:szCs w:val="28"/>
              </w:rPr>
            </w:pPr>
            <w:r>
              <w:rPr>
                <w:rFonts w:ascii="宋体" w:hAnsi="宋体"/>
                <w:b/>
                <w:sz w:val="28"/>
                <w:szCs w:val="28"/>
              </w:rPr>
              <w:t>响应情况</w:t>
            </w:r>
          </w:p>
        </w:tc>
        <w:tc>
          <w:tcPr>
            <w:tcW w:w="6775" w:type="dxa"/>
            <w:noWrap w:val="0"/>
            <w:vAlign w:val="center"/>
          </w:tcPr>
          <w:p>
            <w:pPr>
              <w:spacing w:line="480" w:lineRule="exact"/>
              <w:rPr>
                <w:rFonts w:ascii="仿宋_GB2312" w:hAnsi="宋体" w:eastAsia="仿宋_GB2312"/>
                <w:sz w:val="24"/>
                <w:szCs w:val="24"/>
              </w:rPr>
            </w:pPr>
            <w:r>
              <w:rPr>
                <w:rFonts w:hint="eastAsia" w:ascii="仿宋_GB2312" w:hAnsi="宋体" w:eastAsia="仿宋_GB2312"/>
                <w:sz w:val="24"/>
                <w:szCs w:val="24"/>
              </w:rPr>
              <w:t>当发现异常数据或者无数据上传时，中标商须在4小时内响应，</w:t>
            </w:r>
            <w:r>
              <w:rPr>
                <w:rFonts w:ascii="仿宋_GB2312" w:hAnsi="宋体" w:eastAsia="仿宋_GB2312"/>
                <w:sz w:val="24"/>
                <w:szCs w:val="24"/>
              </w:rPr>
              <w:t>8</w:t>
            </w:r>
            <w:r>
              <w:rPr>
                <w:rFonts w:hint="eastAsia" w:ascii="仿宋_GB2312" w:hAnsi="宋体" w:eastAsia="仿宋_GB2312"/>
                <w:sz w:val="24"/>
                <w:szCs w:val="24"/>
              </w:rPr>
              <w:t>小时内到达现场，一般故障</w:t>
            </w:r>
            <w:r>
              <w:rPr>
                <w:rFonts w:ascii="仿宋_GB2312" w:hAnsi="宋体" w:eastAsia="仿宋_GB2312"/>
                <w:sz w:val="24"/>
                <w:szCs w:val="24"/>
              </w:rPr>
              <w:t>24</w:t>
            </w:r>
            <w:r>
              <w:rPr>
                <w:rFonts w:hint="eastAsia" w:ascii="仿宋_GB2312" w:hAnsi="宋体" w:eastAsia="仿宋_GB2312"/>
                <w:sz w:val="24"/>
                <w:szCs w:val="24"/>
              </w:rPr>
              <w:t>小时内修复，（2</w:t>
            </w:r>
            <w:r>
              <w:rPr>
                <w:rFonts w:ascii="仿宋_GB2312" w:hAnsi="宋体" w:eastAsia="仿宋_GB2312"/>
                <w:sz w:val="24"/>
                <w:szCs w:val="24"/>
              </w:rPr>
              <w:t>2</w:t>
            </w:r>
            <w:r>
              <w:rPr>
                <w:rFonts w:hint="eastAsia" w:ascii="仿宋_GB2312" w:hAnsi="宋体" w:eastAsia="仿宋_GB2312"/>
                <w:sz w:val="24"/>
                <w:szCs w:val="24"/>
              </w:rPr>
              <w:t>时至次日8时不计入考核），特殊情况视情况而定；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20" w:type="dxa"/>
            <w:vMerge w:val="restart"/>
            <w:noWrap w:val="0"/>
            <w:vAlign w:val="center"/>
          </w:tcPr>
          <w:p>
            <w:pPr>
              <w:snapToGrid w:val="0"/>
              <w:jc w:val="left"/>
              <w:rPr>
                <w:rFonts w:ascii="宋体" w:hAnsi="宋体"/>
                <w:b/>
                <w:sz w:val="28"/>
                <w:szCs w:val="28"/>
              </w:rPr>
            </w:pPr>
            <w:r>
              <w:rPr>
                <w:rFonts w:ascii="宋体" w:hAnsi="宋体"/>
                <w:b/>
                <w:sz w:val="28"/>
                <w:szCs w:val="28"/>
              </w:rPr>
              <w:t>履约能力</w:t>
            </w:r>
          </w:p>
        </w:tc>
        <w:tc>
          <w:tcPr>
            <w:tcW w:w="1456" w:type="dxa"/>
            <w:noWrap w:val="0"/>
            <w:vAlign w:val="center"/>
          </w:tcPr>
          <w:p>
            <w:pPr>
              <w:snapToGrid w:val="0"/>
              <w:jc w:val="left"/>
              <w:rPr>
                <w:rFonts w:ascii="宋体" w:hAnsi="宋体"/>
                <w:b/>
                <w:sz w:val="28"/>
                <w:szCs w:val="28"/>
              </w:rPr>
            </w:pPr>
            <w:r>
              <w:rPr>
                <w:rFonts w:hint="eastAsia" w:ascii="Times New Roman" w:hAnsi="Times New Roman" w:eastAsia="仿宋"/>
                <w:b/>
                <w:bCs/>
                <w:sz w:val="28"/>
                <w:szCs w:val="28"/>
              </w:rPr>
              <w:t>项目负责人</w:t>
            </w:r>
          </w:p>
        </w:tc>
        <w:tc>
          <w:tcPr>
            <w:tcW w:w="6775" w:type="dxa"/>
            <w:noWrap w:val="0"/>
            <w:vAlign w:val="center"/>
          </w:tcPr>
          <w:p>
            <w:pPr>
              <w:spacing w:line="400" w:lineRule="exact"/>
              <w:rPr>
                <w:rFonts w:ascii="仿宋_GB2312" w:hAnsi="Times New Roman" w:eastAsia="仿宋_GB2312"/>
                <w:sz w:val="24"/>
                <w:szCs w:val="24"/>
              </w:rPr>
            </w:pPr>
            <w:r>
              <w:rPr>
                <w:rFonts w:hint="eastAsia" w:ascii="仿宋_GB2312" w:hAnsi="Times New Roman" w:eastAsia="仿宋_GB2312"/>
                <w:sz w:val="24"/>
                <w:szCs w:val="24"/>
              </w:rPr>
              <w:t>1、具有环境监测主管部门颁发的常规环境空气质量六指标自动监测系统运维考核合格证；</w:t>
            </w:r>
          </w:p>
          <w:p>
            <w:pPr>
              <w:spacing w:line="400" w:lineRule="exact"/>
              <w:rPr>
                <w:rFonts w:ascii="仿宋_GB2312" w:hAnsi="Times New Roman" w:eastAsia="仿宋_GB2312"/>
                <w:sz w:val="24"/>
                <w:szCs w:val="24"/>
              </w:rPr>
            </w:pPr>
            <w:r>
              <w:rPr>
                <w:rFonts w:hint="eastAsia" w:ascii="仿宋_GB2312" w:hAnsi="Times New Roman" w:eastAsia="仿宋_GB2312"/>
                <w:sz w:val="24"/>
                <w:szCs w:val="24"/>
              </w:rPr>
              <w:t>2、具有环境监测主管部门颁发的超级站(同时包含ACSM、URG、OC/EC和激光雷达设备)运维考核合格证；</w:t>
            </w:r>
          </w:p>
          <w:p>
            <w:pPr>
              <w:spacing w:line="400" w:lineRule="exact"/>
              <w:rPr>
                <w:rFonts w:ascii="仿宋_GB2312" w:hAnsi="Times New Roman" w:eastAsia="仿宋_GB2312"/>
                <w:sz w:val="24"/>
                <w:szCs w:val="24"/>
              </w:rPr>
            </w:pPr>
            <w:r>
              <w:rPr>
                <w:rFonts w:hint="eastAsia" w:ascii="仿宋_GB2312" w:hAnsi="Times New Roman" w:eastAsia="仿宋_GB2312"/>
                <w:sz w:val="24"/>
                <w:szCs w:val="24"/>
              </w:rPr>
              <w:t>3、取得证书起需从事一年（含一年）以上运维工作。</w:t>
            </w:r>
          </w:p>
          <w:p>
            <w:pPr>
              <w:adjustRightInd w:val="0"/>
              <w:snapToGrid w:val="0"/>
              <w:spacing w:line="400" w:lineRule="exact"/>
              <w:rPr>
                <w:rFonts w:ascii="仿宋_GB2312" w:hAnsi="Times New Roman" w:eastAsia="仿宋_GB2312"/>
                <w:sz w:val="24"/>
                <w:szCs w:val="24"/>
              </w:rPr>
            </w:pPr>
            <w:r>
              <w:rPr>
                <w:rFonts w:hint="eastAsia" w:ascii="仿宋_GB2312" w:hAnsi="Times New Roman" w:eastAsia="仿宋_GB2312"/>
                <w:b/>
                <w:bCs/>
                <w:sz w:val="24"/>
                <w:szCs w:val="24"/>
              </w:rPr>
              <w:t>项目负责人</w:t>
            </w:r>
            <w:r>
              <w:rPr>
                <w:rFonts w:hint="eastAsia" w:ascii="仿宋_GB2312" w:hAnsi="Times New Roman" w:eastAsia="仿宋_GB2312"/>
                <w:sz w:val="24"/>
                <w:szCs w:val="24"/>
              </w:rPr>
              <w:t>同时具备以上三项条件的，得3分，否则不得分。</w:t>
            </w:r>
          </w:p>
          <w:p>
            <w:pPr>
              <w:spacing w:line="480" w:lineRule="exact"/>
              <w:rPr>
                <w:rFonts w:ascii="仿宋_GB2312" w:hAnsi="宋体" w:eastAsia="仿宋_GB2312"/>
                <w:b/>
                <w:kern w:val="0"/>
                <w:sz w:val="24"/>
                <w:szCs w:val="24"/>
                <w:u w:val="single"/>
              </w:rPr>
            </w:pPr>
            <w:r>
              <w:rPr>
                <w:rFonts w:hint="eastAsia" w:ascii="仿宋_GB2312" w:hAnsi="Times New Roman" w:eastAsia="仿宋_GB2312"/>
                <w:b/>
                <w:sz w:val="24"/>
                <w:szCs w:val="24"/>
                <w:u w:val="single"/>
              </w:rPr>
              <w:t>注：须提供证书复印件并加盖投标人单位公章。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20" w:type="dxa"/>
            <w:vMerge w:val="continue"/>
            <w:noWrap w:val="0"/>
            <w:vAlign w:val="center"/>
          </w:tcPr>
          <w:p>
            <w:pPr>
              <w:snapToGrid w:val="0"/>
              <w:jc w:val="left"/>
              <w:rPr>
                <w:rFonts w:ascii="宋体" w:hAnsi="宋体"/>
                <w:b/>
                <w:sz w:val="28"/>
                <w:szCs w:val="28"/>
              </w:rPr>
            </w:pPr>
          </w:p>
        </w:tc>
        <w:tc>
          <w:tcPr>
            <w:tcW w:w="1456" w:type="dxa"/>
            <w:noWrap w:val="0"/>
            <w:vAlign w:val="center"/>
          </w:tcPr>
          <w:p>
            <w:pPr>
              <w:snapToGrid w:val="0"/>
              <w:jc w:val="left"/>
              <w:rPr>
                <w:rFonts w:ascii="Times New Roman" w:hAnsi="Times New Roman" w:eastAsia="仿宋"/>
                <w:b/>
                <w:bCs/>
                <w:sz w:val="28"/>
                <w:szCs w:val="28"/>
              </w:rPr>
            </w:pPr>
            <w:r>
              <w:rPr>
                <w:rFonts w:hint="eastAsia" w:ascii="Times New Roman" w:hAnsi="Times New Roman" w:eastAsia="仿宋"/>
                <w:b/>
                <w:bCs/>
                <w:sz w:val="28"/>
                <w:szCs w:val="28"/>
              </w:rPr>
              <w:t>技术团队</w:t>
            </w:r>
          </w:p>
        </w:tc>
        <w:tc>
          <w:tcPr>
            <w:tcW w:w="6775" w:type="dxa"/>
            <w:noWrap w:val="0"/>
            <w:vAlign w:val="center"/>
          </w:tcPr>
          <w:p>
            <w:pPr>
              <w:spacing w:line="400" w:lineRule="exact"/>
              <w:rPr>
                <w:rFonts w:ascii="仿宋_GB2312" w:hAnsi="宋体" w:eastAsia="仿宋_GB2312" w:cs="宋体"/>
                <w:sz w:val="24"/>
                <w:szCs w:val="24"/>
              </w:rPr>
            </w:pPr>
            <w:r>
              <w:rPr>
                <w:rFonts w:hint="eastAsia" w:ascii="仿宋_GB2312" w:hAnsi="宋体" w:eastAsia="仿宋_GB2312" w:cs="仿宋"/>
                <w:b/>
                <w:bCs/>
                <w:sz w:val="24"/>
                <w:szCs w:val="24"/>
              </w:rPr>
              <w:t>技术团队成员</w:t>
            </w:r>
            <w:r>
              <w:rPr>
                <w:rFonts w:hint="eastAsia" w:ascii="仿宋_GB2312" w:hAnsi="宋体" w:eastAsia="仿宋_GB2312" w:cs="仿宋"/>
                <w:sz w:val="24"/>
                <w:szCs w:val="24"/>
              </w:rPr>
              <w:t>具有环境监测主管部门颁发的超级站</w:t>
            </w:r>
            <w:r>
              <w:rPr>
                <w:rFonts w:hint="eastAsia" w:ascii="仿宋_GB2312" w:hAnsi="宋体" w:eastAsia="仿宋_GB2312" w:cs="宋体"/>
                <w:sz w:val="24"/>
                <w:szCs w:val="24"/>
              </w:rPr>
              <w:t>(同时包含ACSM、URG、OC/EC和激光雷达设备)</w:t>
            </w:r>
            <w:r>
              <w:rPr>
                <w:rFonts w:hint="eastAsia" w:ascii="仿宋_GB2312" w:hAnsi="宋体" w:eastAsia="仿宋_GB2312" w:cs="仿宋"/>
                <w:sz w:val="24"/>
                <w:szCs w:val="24"/>
              </w:rPr>
              <w:t>运维考核合格证，每人得1分，</w:t>
            </w:r>
            <w:r>
              <w:rPr>
                <w:rFonts w:hint="eastAsia" w:ascii="仿宋_GB2312" w:hAnsi="宋体" w:eastAsia="仿宋_GB2312" w:cs="宋体"/>
                <w:sz w:val="24"/>
                <w:szCs w:val="24"/>
              </w:rPr>
              <w:t>本项最高4分。</w:t>
            </w:r>
          </w:p>
          <w:p>
            <w:pPr>
              <w:spacing w:line="400" w:lineRule="exact"/>
              <w:rPr>
                <w:rFonts w:ascii="仿宋_GB2312" w:hAnsi="Times New Roman" w:eastAsia="仿宋_GB2312"/>
                <w:b/>
                <w:sz w:val="24"/>
                <w:szCs w:val="24"/>
              </w:rPr>
            </w:pPr>
            <w:r>
              <w:rPr>
                <w:rFonts w:hint="eastAsia" w:ascii="仿宋_GB2312" w:hAnsi="宋体" w:eastAsia="仿宋_GB2312" w:cs="微软雅黑"/>
                <w:b/>
                <w:bCs/>
                <w:sz w:val="24"/>
                <w:szCs w:val="24"/>
                <w:u w:val="single"/>
              </w:rPr>
              <w:t>注：须提供证书复印件并加盖投标人单位公章。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720" w:type="dxa"/>
            <w:vMerge w:val="continue"/>
            <w:noWrap w:val="0"/>
            <w:vAlign w:val="center"/>
          </w:tcPr>
          <w:p>
            <w:pPr>
              <w:snapToGrid w:val="0"/>
              <w:jc w:val="left"/>
              <w:rPr>
                <w:rFonts w:ascii="宋体" w:hAnsi="宋体"/>
                <w:b/>
                <w:sz w:val="28"/>
                <w:szCs w:val="28"/>
              </w:rPr>
            </w:pPr>
          </w:p>
        </w:tc>
        <w:tc>
          <w:tcPr>
            <w:tcW w:w="1456" w:type="dxa"/>
            <w:noWrap w:val="0"/>
            <w:vAlign w:val="center"/>
          </w:tcPr>
          <w:p>
            <w:pPr>
              <w:snapToGrid w:val="0"/>
              <w:jc w:val="left"/>
              <w:rPr>
                <w:rFonts w:ascii="仿宋" w:hAnsi="仿宋" w:eastAsia="仿宋" w:cs="仿宋_GB2312"/>
                <w:b/>
                <w:sz w:val="24"/>
                <w:szCs w:val="24"/>
              </w:rPr>
            </w:pPr>
            <w:r>
              <w:rPr>
                <w:rFonts w:hint="eastAsia" w:ascii="Times New Roman" w:hAnsi="Times New Roman" w:eastAsia="仿宋"/>
                <w:b/>
                <w:bCs/>
                <w:sz w:val="28"/>
                <w:szCs w:val="28"/>
              </w:rPr>
              <w:t>数据审核人员</w:t>
            </w:r>
          </w:p>
        </w:tc>
        <w:tc>
          <w:tcPr>
            <w:tcW w:w="6775" w:type="dxa"/>
            <w:noWrap w:val="0"/>
            <w:vAlign w:val="center"/>
          </w:tcPr>
          <w:p>
            <w:pPr>
              <w:spacing w:line="400" w:lineRule="exact"/>
              <w:rPr>
                <w:rFonts w:ascii="仿宋_GB2312" w:hAnsi="宋体" w:eastAsia="仿宋_GB2312" w:cs="仿宋"/>
                <w:sz w:val="24"/>
                <w:szCs w:val="24"/>
              </w:rPr>
            </w:pPr>
            <w:r>
              <w:rPr>
                <w:rFonts w:hint="eastAsia" w:ascii="仿宋_GB2312" w:hAnsi="宋体" w:eastAsia="仿宋_GB2312" w:cs="仿宋"/>
                <w:sz w:val="24"/>
                <w:szCs w:val="24"/>
              </w:rPr>
              <w:t>投入数据审核人员具有类似区域站、超级站、城市颗粒物组分网、光化学网等项目特殊仪器数据审核经验，每个人得1分，最高得3分，提供主要参与项目的相关证明。</w:t>
            </w:r>
          </w:p>
          <w:p>
            <w:pPr>
              <w:spacing w:line="400" w:lineRule="exact"/>
              <w:rPr>
                <w:rFonts w:hint="eastAsia" w:ascii="仿宋_GB2312" w:hAnsi="宋体" w:eastAsia="仿宋_GB2312" w:cs="仿宋"/>
                <w:sz w:val="24"/>
                <w:szCs w:val="24"/>
              </w:rPr>
            </w:pPr>
            <w:r>
              <w:rPr>
                <w:rFonts w:hint="eastAsia" w:ascii="仿宋_GB2312" w:hAnsi="宋体" w:eastAsia="仿宋_GB2312" w:cs="微软雅黑"/>
                <w:b/>
                <w:bCs/>
                <w:sz w:val="24"/>
                <w:szCs w:val="24"/>
                <w:u w:val="single"/>
              </w:rPr>
              <w:t>注：须提供证书复印件并加盖投标人单位公章。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720" w:type="dxa"/>
            <w:vMerge w:val="continue"/>
            <w:noWrap w:val="0"/>
            <w:vAlign w:val="center"/>
          </w:tcPr>
          <w:p>
            <w:pPr>
              <w:snapToGrid w:val="0"/>
              <w:jc w:val="left"/>
              <w:rPr>
                <w:rFonts w:ascii="宋体" w:hAnsi="宋体"/>
                <w:b/>
                <w:sz w:val="28"/>
                <w:szCs w:val="28"/>
              </w:rPr>
            </w:pPr>
          </w:p>
        </w:tc>
        <w:tc>
          <w:tcPr>
            <w:tcW w:w="1456" w:type="dxa"/>
            <w:noWrap w:val="0"/>
            <w:vAlign w:val="center"/>
          </w:tcPr>
          <w:p>
            <w:pPr>
              <w:snapToGrid w:val="0"/>
              <w:jc w:val="left"/>
              <w:rPr>
                <w:rFonts w:ascii="宋体" w:hAnsi="宋体"/>
                <w:b/>
                <w:sz w:val="28"/>
                <w:szCs w:val="28"/>
              </w:rPr>
            </w:pPr>
            <w:r>
              <w:rPr>
                <w:rFonts w:hint="eastAsia" w:ascii="宋体" w:hAnsi="宋体"/>
                <w:b/>
                <w:sz w:val="28"/>
                <w:szCs w:val="28"/>
              </w:rPr>
              <w:t>车辆情况</w:t>
            </w:r>
          </w:p>
        </w:tc>
        <w:tc>
          <w:tcPr>
            <w:tcW w:w="6775" w:type="dxa"/>
            <w:noWrap w:val="0"/>
            <w:vAlign w:val="center"/>
          </w:tcPr>
          <w:p>
            <w:pPr>
              <w:snapToGrid w:val="0"/>
              <w:jc w:val="left"/>
              <w:rPr>
                <w:rFonts w:ascii="宋体" w:hAnsi="宋体"/>
                <w:b/>
                <w:sz w:val="28"/>
                <w:szCs w:val="28"/>
              </w:rPr>
            </w:pPr>
            <w:r>
              <w:rPr>
                <w:rFonts w:hint="eastAsia" w:ascii="仿宋_GB2312" w:hAnsi="Times New Roman" w:eastAsia="仿宋_GB2312"/>
                <w:sz w:val="24"/>
                <w:szCs w:val="24"/>
              </w:rPr>
              <w:t>共2分，具有运维专用车辆，每辆得1分，需提供行驶证复印件；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76" w:type="dxa"/>
            <w:gridSpan w:val="2"/>
            <w:noWrap w:val="0"/>
            <w:vAlign w:val="center"/>
          </w:tcPr>
          <w:p>
            <w:pPr>
              <w:snapToGrid w:val="0"/>
              <w:jc w:val="left"/>
              <w:rPr>
                <w:rFonts w:hint="eastAsia" w:ascii="宋体" w:hAnsi="宋体"/>
                <w:b/>
                <w:sz w:val="28"/>
                <w:szCs w:val="28"/>
              </w:rPr>
            </w:pPr>
            <w:r>
              <w:rPr>
                <w:rFonts w:ascii="宋体" w:hAnsi="宋体"/>
                <w:b/>
                <w:sz w:val="28"/>
                <w:szCs w:val="28"/>
              </w:rPr>
              <w:t>履约</w:t>
            </w:r>
            <w:r>
              <w:rPr>
                <w:rFonts w:hint="eastAsia" w:ascii="宋体" w:hAnsi="宋体"/>
                <w:b/>
                <w:sz w:val="28"/>
                <w:szCs w:val="28"/>
              </w:rPr>
              <w:t>人员要求</w:t>
            </w:r>
          </w:p>
        </w:tc>
        <w:tc>
          <w:tcPr>
            <w:tcW w:w="6775" w:type="dxa"/>
            <w:noWrap w:val="0"/>
            <w:vAlign w:val="center"/>
          </w:tcPr>
          <w:p>
            <w:pPr>
              <w:tabs>
                <w:tab w:val="left" w:pos="420"/>
                <w:tab w:val="left" w:pos="765"/>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hint="eastAsia" w:ascii="仿宋_GB2312" w:hAnsi="Times New Roman" w:eastAsia="仿宋_GB2312"/>
                <w:sz w:val="24"/>
                <w:szCs w:val="24"/>
              </w:rPr>
            </w:pPr>
            <w:r>
              <w:rPr>
                <w:rFonts w:hint="eastAsia" w:ascii="仿宋_GB2312" w:hAnsi="宋体" w:eastAsia="仿宋_GB2312" w:cs="仿宋"/>
                <w:sz w:val="24"/>
                <w:szCs w:val="24"/>
              </w:rPr>
              <w:t>项目实施过程中，中标方应严格按照标书中承诺提供的项目人员，不得随意更换。其中项目经理和技术负责人必须全程参与本项目的开发、实施过程，项目验收前无故不得更换。若有特殊原因需调整应在采购人审核同意后进行。</w:t>
            </w:r>
          </w:p>
        </w:tc>
      </w:tr>
    </w:tbl>
    <w:p>
      <w:pPr>
        <w:rPr>
          <w:rFonts w:ascii="Times New Roman" w:hAnsi="Times New Roman"/>
        </w:rPr>
      </w:pPr>
    </w:p>
    <w:bookmarkEnd w:id="32"/>
    <w:p>
      <w:pPr>
        <w:ind w:right="-110"/>
        <w:rPr>
          <w:rFonts w:ascii="宋体" w:hAnsi="宋体"/>
          <w:sz w:val="32"/>
          <w:szCs w:val="32"/>
        </w:rPr>
      </w:pPr>
      <w:bookmarkStart w:id="254" w:name="PO_TDCUS_ITEM_PB_REQ_FILE_2_1_0"/>
    </w:p>
    <w:p>
      <w:pPr>
        <w:widowControl/>
        <w:jc w:val="left"/>
        <w:rPr>
          <w:rFonts w:ascii="宋体" w:hAnsi="宋体"/>
          <w:sz w:val="32"/>
          <w:szCs w:val="32"/>
        </w:rPr>
      </w:pPr>
    </w:p>
    <w:p>
      <w:pPr>
        <w:rPr>
          <w:rFonts w:ascii="Times New Roman" w:hAnsi="Times New Roman"/>
        </w:rPr>
      </w:pPr>
    </w:p>
    <w:bookmarkEnd w:id="254"/>
    <w:p>
      <w:pPr>
        <w:widowControl/>
        <w:jc w:val="left"/>
        <w:rPr>
          <w:rFonts w:ascii="Times New Roman" w:hAnsi="Times New Roman" w:eastAsia="仿宋"/>
          <w:b/>
          <w:bCs/>
          <w:sz w:val="28"/>
          <w:szCs w:val="32"/>
        </w:rPr>
      </w:pPr>
      <w:bookmarkStart w:id="255" w:name="PO_TDCUS_ITEM_PB_REQ_FILE_3_1_0"/>
    </w:p>
    <w:bookmarkEnd w:id="255"/>
    <w:p>
      <w:pPr>
        <w:widowControl w:val="0"/>
        <w:spacing w:before="120" w:beforeLines="50" w:after="120" w:afterLines="50" w:line="360" w:lineRule="auto"/>
        <w:jc w:val="center"/>
        <w:outlineLvl w:val="0"/>
        <w:rPr>
          <w:rFonts w:ascii="宋体" w:hAnsi="宋体" w:eastAsia="宋体" w:cs="Times New Roman"/>
          <w:b/>
          <w:color w:val="000000"/>
          <w:kern w:val="2"/>
          <w:sz w:val="36"/>
          <w:szCs w:val="36"/>
          <w:lang w:val="en-US" w:eastAsia="zh-CN" w:bidi="ar-SA"/>
        </w:rPr>
      </w:pPr>
      <w:bookmarkStart w:id="256" w:name="_Toc26308"/>
      <w:r>
        <w:rPr>
          <w:rFonts w:hint="eastAsia" w:ascii="宋体" w:hAnsi="宋体" w:eastAsia="宋体" w:cs="Times New Roman"/>
          <w:b/>
          <w:color w:val="000000"/>
          <w:kern w:val="2"/>
          <w:sz w:val="36"/>
          <w:szCs w:val="36"/>
          <w:lang w:val="en-US" w:eastAsia="zh-CN" w:bidi="ar-SA"/>
        </w:rPr>
        <w:t>第五章浙江省政府采购合同主要条款指引</w:t>
      </w:r>
      <w:bookmarkEnd w:id="31"/>
      <w:bookmarkEnd w:id="256"/>
    </w:p>
    <w:p>
      <w:pPr>
        <w:rPr>
          <w:rFonts w:ascii="Times New Roman" w:hAnsi="Times New Roman"/>
          <w:color w:val="000000"/>
        </w:rPr>
      </w:pPr>
    </w:p>
    <w:p>
      <w:pPr>
        <w:widowControl w:val="0"/>
        <w:snapToGrid w:val="0"/>
        <w:spacing w:before="120" w:beforeLines="50" w:after="120" w:afterLines="50" w:line="360" w:lineRule="auto"/>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xml:space="preserve">                       合同编号：        </w:t>
      </w:r>
    </w:p>
    <w:p>
      <w:pPr>
        <w:widowControl w:val="0"/>
        <w:snapToGrid w:val="0"/>
        <w:spacing w:before="120" w:beforeLines="50" w:after="120" w:afterLines="50" w:line="360" w:lineRule="auto"/>
        <w:jc w:val="left"/>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widowControl w:val="0"/>
        <w:adjustRightInd w:val="0"/>
        <w:snapToGrid w:val="0"/>
        <w:spacing w:before="120" w:beforeLines="50" w:after="120" w:afterLines="50" w:line="460" w:lineRule="exact"/>
        <w:ind w:firstLine="594" w:firstLineChars="198"/>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甲、乙双方根据浙江省政府采购中心关于</w:t>
      </w:r>
      <w:r>
        <w:rPr>
          <w:rFonts w:hint="eastAsia" w:ascii="仿宋" w:hAnsi="仿宋" w:eastAsia="仿宋" w:cs="Times New Roman"/>
          <w:color w:val="000000"/>
          <w:kern w:val="2"/>
          <w:sz w:val="30"/>
          <w:szCs w:val="30"/>
          <w:lang w:val="en-US" w:eastAsia="zh-CN" w:bidi="ar-SA"/>
        </w:rPr>
        <w:t>项目编号为      的</w:t>
      </w:r>
      <w:r>
        <w:rPr>
          <w:rFonts w:hint="eastAsia" w:ascii="仿宋" w:hAnsi="仿宋" w:eastAsia="仿宋" w:cs="Times New Roman"/>
          <w:snapToGrid w:val="0"/>
          <w:color w:val="000000"/>
          <w:kern w:val="2"/>
          <w:sz w:val="30"/>
          <w:szCs w:val="30"/>
          <w:lang w:val="en-US" w:eastAsia="zh-CN" w:bidi="ar-SA"/>
        </w:rPr>
        <w:t>（标项及名称）项目公开招标的结果，签署本合同。</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一、项目内容</w:t>
      </w:r>
      <w:r>
        <w:rPr>
          <w:rFonts w:hint="eastAsia" w:ascii="仿宋" w:hAnsi="仿宋" w:eastAsia="仿宋" w:cs="Times New Roman"/>
          <w:b/>
          <w:color w:val="000000"/>
          <w:kern w:val="2"/>
          <w:sz w:val="30"/>
          <w:szCs w:val="30"/>
          <w:lang w:val="en-US" w:eastAsia="zh-CN" w:bidi="ar-SA"/>
        </w:rPr>
        <w:t>及合同价格</w:t>
      </w:r>
    </w:p>
    <w:p>
      <w:pPr>
        <w:widowControl w:val="0"/>
        <w:adjustRightInd w:val="0"/>
        <w:snapToGrid w:val="0"/>
        <w:spacing w:before="120" w:beforeLines="50" w:after="120" w:afterLines="50" w:line="460" w:lineRule="exact"/>
        <w:ind w:firstLine="639" w:firstLineChars="213"/>
        <w:jc w:val="right"/>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xml:space="preserve">金额单位：元 </w:t>
      </w:r>
    </w:p>
    <w:tbl>
      <w:tblPr>
        <w:tblStyle w:val="5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60" w:lineRule="exact"/>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项目名称</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60" w:lineRule="exact"/>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60" w:lineRule="exact"/>
              <w:ind w:left="-108"/>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60" w:lineRule="exact"/>
              <w:ind w:left="-108"/>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60" w:lineRule="exact"/>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widowControl/>
              <w:spacing w:after="120" w:line="460" w:lineRule="exact"/>
              <w:ind w:firstLine="639" w:firstLineChars="213"/>
              <w:jc w:val="left"/>
              <w:rPr>
                <w:rFonts w:ascii="仿宋" w:hAnsi="仿宋" w:eastAsia="仿宋" w:cs="Times New Roman"/>
                <w:snapToGrid w:val="0"/>
                <w:color w:val="000000"/>
                <w:kern w:val="2"/>
                <w:sz w:val="30"/>
                <w:szCs w:val="30"/>
                <w:lang w:val="en-US" w:eastAsia="zh-CN" w:bidi="ar-SA"/>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widowControl/>
              <w:spacing w:after="120" w:line="460" w:lineRule="exact"/>
              <w:ind w:left="570"/>
              <w:jc w:val="left"/>
              <w:rPr>
                <w:rFonts w:ascii="仿宋" w:hAnsi="仿宋" w:eastAsia="仿宋" w:cs="Times New Roman"/>
                <w:snapToGrid w:val="0"/>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460" w:lineRule="exact"/>
              <w:ind w:firstLine="639" w:firstLineChars="213"/>
              <w:jc w:val="center"/>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460" w:lineRule="exact"/>
              <w:ind w:firstLine="639" w:firstLineChars="213"/>
              <w:jc w:val="center"/>
              <w:rPr>
                <w:rFonts w:ascii="仿宋" w:hAnsi="仿宋" w:eastAsia="仿宋" w:cs="Times New Roman"/>
                <w:color w:val="000000"/>
                <w:kern w:val="2"/>
                <w:sz w:val="30"/>
                <w:szCs w:val="30"/>
                <w:lang w:val="en-US" w:eastAsia="zh-CN" w:bidi="ar-SA"/>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after="120" w:line="460" w:lineRule="exact"/>
              <w:ind w:firstLine="639" w:firstLineChars="213"/>
              <w:jc w:val="left"/>
              <w:rPr>
                <w:rFonts w:ascii="仿宋" w:hAnsi="仿宋" w:eastAsia="仿宋" w:cs="Times New Roman"/>
                <w:snapToGrid w:val="0"/>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460" w:lineRule="exact"/>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合同总价大写：                              小写：￥</w:t>
            </w:r>
          </w:p>
        </w:tc>
      </w:tr>
    </w:tbl>
    <w:p>
      <w:pPr>
        <w:widowControl w:val="0"/>
        <w:snapToGrid w:val="0"/>
        <w:spacing w:before="120" w:beforeLines="0" w:after="120" w:afterLines="50" w:line="460" w:lineRule="exact"/>
        <w:ind w:left="-178" w:leftChars="-85" w:firstLine="639" w:firstLineChars="213"/>
        <w:jc w:val="both"/>
        <w:rPr>
          <w:rFonts w:ascii="仿宋" w:hAnsi="仿宋" w:eastAsia="仿宋" w:cs="Times New Roman"/>
          <w:color w:val="000000"/>
          <w:kern w:val="0"/>
          <w:sz w:val="30"/>
          <w:szCs w:val="30"/>
          <w:lang w:val="en-US" w:eastAsia="zh-CN" w:bidi="ar-SA"/>
        </w:rPr>
      </w:pPr>
      <w:r>
        <w:rPr>
          <w:rFonts w:hint="eastAsia" w:ascii="仿宋" w:hAnsi="仿宋" w:eastAsia="仿宋" w:cs="Times New Roman"/>
          <w:color w:val="000000"/>
          <w:kern w:val="2"/>
          <w:sz w:val="30"/>
          <w:szCs w:val="30"/>
          <w:lang w:val="en-US" w:eastAsia="zh-CN" w:bidi="ar-SA"/>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二、技术资料</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1.乙方应按招标文件规定的时间向甲方提供使用项目的有关技术资料。</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adjustRightInd w:val="0"/>
        <w:snapToGrid w:val="0"/>
        <w:spacing w:before="120" w:beforeLines="50" w:after="120" w:afterLines="50" w:line="460" w:lineRule="exact"/>
        <w:ind w:firstLine="596" w:firstLineChars="198"/>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三、知识产权</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bCs/>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乙方应保证所提供的货物或其任何一部分均不会侵犯任何第三方的知识产权</w:t>
      </w:r>
      <w:r>
        <w:rPr>
          <w:rFonts w:hint="eastAsia" w:ascii="仿宋" w:hAnsi="仿宋" w:eastAsia="仿宋" w:cs="Times New Roman"/>
          <w:bCs/>
          <w:snapToGrid w:val="0"/>
          <w:color w:val="000000"/>
          <w:kern w:val="2"/>
          <w:sz w:val="30"/>
          <w:szCs w:val="30"/>
          <w:lang w:val="en-US" w:eastAsia="zh-CN" w:bidi="ar-SA"/>
        </w:rPr>
        <w:t>。</w:t>
      </w:r>
    </w:p>
    <w:p>
      <w:pPr>
        <w:widowControl w:val="0"/>
        <w:adjustRightInd w:val="0"/>
        <w:snapToGrid w:val="0"/>
        <w:spacing w:before="120" w:beforeLines="50" w:after="120" w:afterLines="50" w:line="460" w:lineRule="exact"/>
        <w:ind w:firstLine="596" w:firstLineChars="198"/>
        <w:jc w:val="both"/>
        <w:rPr>
          <w:rFonts w:ascii="仿宋" w:hAnsi="仿宋" w:eastAsia="仿宋" w:cs="Times New Roman"/>
          <w:snapToGrid w:val="0"/>
          <w:color w:val="000000"/>
          <w:kern w:val="2"/>
          <w:sz w:val="30"/>
          <w:szCs w:val="30"/>
          <w:u w:val="single"/>
          <w:lang w:val="en-US" w:eastAsia="zh-CN" w:bidi="ar-SA"/>
        </w:rPr>
      </w:pPr>
      <w:r>
        <w:rPr>
          <w:rFonts w:hint="eastAsia" w:ascii="仿宋" w:hAnsi="仿宋" w:eastAsia="仿宋" w:cs="Times New Roman"/>
          <w:b/>
          <w:snapToGrid w:val="0"/>
          <w:color w:val="000000"/>
          <w:kern w:val="2"/>
          <w:sz w:val="30"/>
          <w:szCs w:val="30"/>
          <w:lang w:val="en-US" w:eastAsia="zh-CN" w:bidi="ar-SA"/>
        </w:rPr>
        <w:t>四、产权担保</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u w:val="single"/>
          <w:lang w:val="en-US" w:eastAsia="zh-CN" w:bidi="ar-SA"/>
        </w:rPr>
      </w:pPr>
      <w:r>
        <w:rPr>
          <w:rFonts w:hint="eastAsia" w:ascii="仿宋" w:hAnsi="仿宋" w:eastAsia="仿宋" w:cs="Times New Roman"/>
          <w:snapToGrid w:val="0"/>
          <w:color w:val="000000"/>
          <w:kern w:val="2"/>
          <w:sz w:val="30"/>
          <w:szCs w:val="30"/>
          <w:lang w:val="en-US" w:eastAsia="zh-CN" w:bidi="ar-SA"/>
        </w:rPr>
        <w:t>乙方保证所交付的货物的所有权完全属于乙方且无任何抵押、查封等产权瑕疵。</w:t>
      </w:r>
    </w:p>
    <w:p>
      <w:pPr>
        <w:widowControl w:val="0"/>
        <w:adjustRightInd w:val="0"/>
        <w:snapToGrid w:val="0"/>
        <w:spacing w:before="120" w:beforeLines="50" w:after="120" w:afterLines="50" w:line="460" w:lineRule="exact"/>
        <w:ind w:firstLine="596" w:firstLineChars="198"/>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五、转包或分包</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snapToGrid w:val="0"/>
          <w:color w:val="000000"/>
          <w:kern w:val="0"/>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六、质保期和履约保证金</w:t>
      </w:r>
    </w:p>
    <w:p>
      <w:pPr>
        <w:widowControl w:val="0"/>
        <w:adjustRightInd w:val="0"/>
        <w:snapToGrid w:val="0"/>
        <w:spacing w:before="120" w:beforeLines="50" w:after="120" w:afterLines="50" w:line="460" w:lineRule="exact"/>
        <w:ind w:firstLine="600" w:firstLineChars="200"/>
        <w:jc w:val="left"/>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1.质保期年。（自项目验收合格交付使用之日起计）</w:t>
      </w:r>
    </w:p>
    <w:p>
      <w:pPr>
        <w:widowControl w:val="0"/>
        <w:adjustRightInd w:val="0"/>
        <w:snapToGrid w:val="0"/>
        <w:spacing w:before="120" w:beforeLines="50" w:after="120" w:afterLines="50" w:line="460" w:lineRule="exact"/>
        <w:ind w:firstLine="600" w:firstLineChars="200"/>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2.履约保证金元。[履约保证金交至采购人处，在合同约定交货验收合格满（   ）个月之日起5个工作日内无息退还]</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七、项目工期及实施地点</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bCs/>
          <w:snapToGrid w:val="0"/>
          <w:color w:val="000000"/>
          <w:kern w:val="2"/>
          <w:sz w:val="30"/>
          <w:szCs w:val="30"/>
          <w:lang w:val="en-US" w:eastAsia="zh-CN" w:bidi="ar-SA"/>
        </w:rPr>
      </w:pPr>
      <w:r>
        <w:rPr>
          <w:rFonts w:hint="eastAsia" w:ascii="仿宋" w:hAnsi="仿宋" w:eastAsia="仿宋" w:cs="Times New Roman"/>
          <w:bCs/>
          <w:snapToGrid w:val="0"/>
          <w:color w:val="000000"/>
          <w:kern w:val="2"/>
          <w:sz w:val="30"/>
          <w:szCs w:val="30"/>
          <w:lang w:val="en-US" w:eastAsia="zh-CN" w:bidi="ar-SA"/>
        </w:rPr>
        <w:t>1.交货期：</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Cs/>
          <w:snapToGrid w:val="0"/>
          <w:color w:val="000000"/>
          <w:kern w:val="2"/>
          <w:sz w:val="30"/>
          <w:szCs w:val="30"/>
          <w:lang w:val="en-US" w:eastAsia="zh-CN" w:bidi="ar-SA"/>
        </w:rPr>
        <w:t>2.实施地点：</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八、货款支付</w:t>
      </w:r>
    </w:p>
    <w:p>
      <w:pPr>
        <w:spacing w:line="360" w:lineRule="auto"/>
        <w:rPr>
          <w:rFonts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widowControl w:val="0"/>
        <w:adjustRightInd w:val="0"/>
        <w:snapToGrid w:val="0"/>
        <w:spacing w:before="120" w:beforeLines="50" w:after="120" w:afterLines="50" w:line="460" w:lineRule="exact"/>
        <w:ind w:firstLine="596" w:firstLineChars="198"/>
        <w:jc w:val="both"/>
        <w:rPr>
          <w:rFonts w:ascii="仿宋" w:hAnsi="仿宋" w:eastAsia="仿宋" w:cs="Times New Roman"/>
          <w:snapToGrid w:val="0"/>
          <w:color w:val="000000"/>
          <w:kern w:val="0"/>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十、质量保证及售后服务</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详见招标文件。</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十一、调试和验收</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详见招标文件、投标文件。</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十二、货物包装</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详见招标文件、投标文件。</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十三、违约责任</w:t>
      </w: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1.甲方无正当理由拒收验收项目的，甲方向乙方偿付拒收合同总价的百分之五违约金。</w:t>
      </w:r>
    </w:p>
    <w:p>
      <w:pPr>
        <w:widowControl w:val="0"/>
        <w:adjustRightInd w:val="0"/>
        <w:snapToGrid w:val="0"/>
        <w:spacing w:before="120" w:beforeLines="50" w:after="120" w:afterLines="50" w:line="460" w:lineRule="exact"/>
        <w:ind w:left="1"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2. 甲方收到乙方提供的发票，结合验收情况，验收合格的，在15日内将采购资金支付到乙方约定账户。</w:t>
      </w: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甲方无故逾期验收和办理合同款项支付手续的,甲方应按逾期付款总额每日万分之五向乙方支付违约金。</w:t>
      </w: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5.解除合同应按《浙江省政府采购合同暂行办法》向财政备案。</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十四、不可抗力事件处理</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1.在合同有效期内，任何一方因不可抗力事件导致不能履行合同，则合同履行期可延长，其延长期与不可抗力影响期相同。</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2.不可抗力事件发生后，应立即通知对方，并寄送有关权威机构出具的证明。</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3.不可抗力事件延续120天以上，双方应通过友好协商，确定是否继续履行合同。</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十五、诉讼</w:t>
      </w:r>
    </w:p>
    <w:p>
      <w:pPr>
        <w:widowControl w:val="0"/>
        <w:adjustRightInd w:val="0"/>
        <w:snapToGrid w:val="0"/>
        <w:spacing w:before="120" w:beforeLines="50" w:after="120" w:afterLines="50" w:line="460" w:lineRule="exact"/>
        <w:ind w:left="2"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双方在执行合同中所发生的一切争议，应通过协商解决。如协商不成，可向甲方所在地法院起诉。</w:t>
      </w:r>
    </w:p>
    <w:p>
      <w:pPr>
        <w:widowControl w:val="0"/>
        <w:adjustRightInd w:val="0"/>
        <w:snapToGrid w:val="0"/>
        <w:spacing w:before="120" w:beforeLines="50" w:after="120" w:afterLines="50" w:line="460" w:lineRule="exact"/>
        <w:ind w:firstLine="641" w:firstLineChars="213"/>
        <w:jc w:val="both"/>
        <w:rPr>
          <w:rFonts w:ascii="仿宋" w:hAnsi="仿宋" w:eastAsia="仿宋" w:cs="Times New Roman"/>
          <w:b/>
          <w:snapToGrid w:val="0"/>
          <w:color w:val="000000"/>
          <w:kern w:val="2"/>
          <w:sz w:val="30"/>
          <w:szCs w:val="30"/>
          <w:lang w:val="en-US" w:eastAsia="zh-CN" w:bidi="ar-SA"/>
        </w:rPr>
      </w:pPr>
      <w:r>
        <w:rPr>
          <w:rFonts w:hint="eastAsia" w:ascii="仿宋" w:hAnsi="仿宋" w:eastAsia="仿宋" w:cs="Times New Roman"/>
          <w:b/>
          <w:snapToGrid w:val="0"/>
          <w:color w:val="000000"/>
          <w:kern w:val="2"/>
          <w:sz w:val="30"/>
          <w:szCs w:val="30"/>
          <w:lang w:val="en-US" w:eastAsia="zh-CN" w:bidi="ar-SA"/>
        </w:rPr>
        <w:t>十六、合同生效及其它</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1.合同经甲、乙两方签名并加盖单位公章后生效。</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2.合同执行中涉及采购资金和采购内容修改或补充的，须双方经财政部门审批，并签书面补充协议，经报政府采购监督管理部门备案后，方可作为主合同不可分割的一部分。</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3.招标文件、投标文件与本合同具有同等法律效力。</w:t>
      </w:r>
    </w:p>
    <w:p>
      <w:pPr>
        <w:widowControl w:val="0"/>
        <w:adjustRightInd w:val="0"/>
        <w:snapToGrid w:val="0"/>
        <w:spacing w:before="120" w:beforeLines="50" w:after="120" w:afterLines="50" w:line="460" w:lineRule="exact"/>
        <w:ind w:firstLine="59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b/>
          <w:color w:val="000000"/>
          <w:kern w:val="2"/>
          <w:sz w:val="28"/>
          <w:szCs w:val="28"/>
          <w:lang w:val="en-US" w:eastAsia="zh-CN" w:bidi="ar-SA"/>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val="0"/>
        <w:adjustRightInd w:val="0"/>
        <w:snapToGrid w:val="0"/>
        <w:spacing w:before="120" w:beforeLines="50" w:after="120" w:afterLines="50" w:line="460" w:lineRule="exact"/>
        <w:ind w:firstLine="600" w:firstLineChars="200"/>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5.本合同未尽事宜，遵照《中华人民共和国民法典》有关条文执行。</w:t>
      </w:r>
    </w:p>
    <w:p>
      <w:pPr>
        <w:widowControl w:val="0"/>
        <w:adjustRightInd w:val="0"/>
        <w:snapToGrid w:val="0"/>
        <w:spacing w:before="120" w:beforeLines="0" w:after="120" w:afterLines="50" w:line="460" w:lineRule="exact"/>
        <w:ind w:left="2" w:leftChars="1" w:firstLine="600" w:firstLineChars="200"/>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6.本合同一式四份，具有同等法律效力，甲、乙两方各执二份。</w:t>
      </w: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p>
    <w:p>
      <w:pPr>
        <w:widowControl w:val="0"/>
        <w:adjustRightInd w:val="0"/>
        <w:snapToGrid w:val="0"/>
        <w:spacing w:before="120" w:beforeLines="50" w:after="120" w:afterLines="50" w:line="460" w:lineRule="exact"/>
        <w:ind w:left="1"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 xml:space="preserve">甲方（盖章）：                                   </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 xml:space="preserve">地址：                                   </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 xml:space="preserve">法定（授权）代表人：                   </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 xml:space="preserve">签名日期：     年   月   日           </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乙方（盖章）：</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 xml:space="preserve">地址： </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开户行：</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开户帐号：</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法定（授权）代表人：</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签名日期：      年   月   日</w:t>
      </w:r>
    </w:p>
    <w:p>
      <w:pPr>
        <w:widowControl w:val="0"/>
        <w:adjustRightInd w:val="0"/>
        <w:snapToGrid w:val="0"/>
        <w:spacing w:before="120" w:beforeLines="50" w:after="120" w:afterLines="50" w:line="460" w:lineRule="exact"/>
        <w:ind w:firstLine="639" w:firstLineChars="213"/>
        <w:jc w:val="both"/>
        <w:rPr>
          <w:rFonts w:ascii="仿宋" w:hAnsi="仿宋" w:eastAsia="仿宋" w:cs="Times New Roman"/>
          <w:snapToGrid w:val="0"/>
          <w:color w:val="000000"/>
          <w:kern w:val="2"/>
          <w:sz w:val="30"/>
          <w:szCs w:val="30"/>
          <w:lang w:val="en-US" w:eastAsia="zh-CN" w:bidi="ar-SA"/>
        </w:rPr>
      </w:pPr>
    </w:p>
    <w:p>
      <w:pPr>
        <w:rPr>
          <w:rFonts w:ascii="Times New Roman" w:hAnsi="Times New Roman"/>
          <w:color w:val="000000"/>
          <w:szCs w:val="30"/>
        </w:rPr>
      </w:pPr>
    </w:p>
    <w:p>
      <w:pPr>
        <w:widowControl w:val="0"/>
        <w:spacing w:before="120" w:beforeLines="50" w:after="120" w:afterLines="50" w:line="360" w:lineRule="auto"/>
        <w:jc w:val="center"/>
        <w:outlineLvl w:val="0"/>
        <w:rPr>
          <w:rFonts w:ascii="宋体" w:hAnsi="宋体" w:eastAsia="宋体" w:cs="Times New Roman"/>
          <w:b/>
          <w:color w:val="000000"/>
          <w:kern w:val="2"/>
          <w:sz w:val="36"/>
          <w:szCs w:val="36"/>
          <w:lang w:val="en-US" w:eastAsia="zh-CN" w:bidi="ar-SA"/>
        </w:rPr>
      </w:pPr>
      <w:r>
        <w:rPr>
          <w:rFonts w:hint="eastAsia" w:ascii="仿宋_GB2312" w:hAnsi="Courier New" w:eastAsia="仿宋_GB2312" w:cs="Times New Roman"/>
          <w:snapToGrid w:val="0"/>
          <w:color w:val="000000"/>
          <w:kern w:val="0"/>
          <w:sz w:val="30"/>
          <w:szCs w:val="30"/>
          <w:lang w:val="en-US" w:eastAsia="zh-CN" w:bidi="ar-SA"/>
        </w:rPr>
        <w:br w:type="page"/>
      </w:r>
      <w:bookmarkStart w:id="257" w:name="_Toc22013"/>
      <w:r>
        <w:rPr>
          <w:rFonts w:hint="eastAsia" w:ascii="宋体" w:hAnsi="宋体" w:eastAsia="宋体" w:cs="Times New Roman"/>
          <w:b/>
          <w:color w:val="000000"/>
          <w:kern w:val="2"/>
          <w:sz w:val="36"/>
          <w:szCs w:val="36"/>
          <w:lang w:val="en-US" w:eastAsia="zh-CN" w:bidi="ar-SA"/>
        </w:rPr>
        <w:t>第六章投标文件格式附件</w:t>
      </w:r>
      <w:bookmarkEnd w:id="257"/>
    </w:p>
    <w:p>
      <w:pPr>
        <w:widowControl w:val="0"/>
        <w:spacing w:before="120" w:beforeLines="50" w:after="120" w:afterLines="50" w:line="360" w:lineRule="auto"/>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widowControl w:val="0"/>
        <w:adjustRightInd w:val="0"/>
        <w:snapToGrid w:val="0"/>
        <w:spacing w:before="120" w:beforeLines="50" w:after="120" w:afterLines="50" w:line="460" w:lineRule="exact"/>
        <w:ind w:left="1" w:firstLine="770" w:firstLineChars="213"/>
        <w:jc w:val="center"/>
        <w:rPr>
          <w:rFonts w:ascii="宋体" w:hAnsi="宋体" w:eastAsia="仿宋_GB2312" w:cs="Times New Roman"/>
          <w:b/>
          <w:color w:val="000000"/>
          <w:kern w:val="2"/>
          <w:sz w:val="36"/>
          <w:szCs w:val="36"/>
          <w:lang w:val="en-US" w:eastAsia="zh-CN" w:bidi="ar-SA"/>
        </w:rPr>
      </w:pPr>
    </w:p>
    <w:p>
      <w:pPr>
        <w:snapToGrid w:val="0"/>
        <w:spacing w:before="120"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color w:val="000000"/>
          <w:sz w:val="36"/>
          <w:szCs w:val="36"/>
        </w:rPr>
      </w:pPr>
      <w:bookmarkStart w:id="258" w:name="PO_1000000445_PM002_2"/>
      <w:r>
        <w:rPr>
          <w:rFonts w:hint="eastAsia" w:ascii="仿宋" w:hAnsi="仿宋" w:eastAsia="仿宋"/>
          <w:b/>
          <w:color w:val="000000"/>
          <w:spacing w:val="40"/>
          <w:sz w:val="52"/>
          <w:szCs w:val="52"/>
        </w:rPr>
        <w:t>2023年度浙江省大气复合污染立体监测网络功能性站位运维项目</w:t>
      </w:r>
      <w:bookmarkEnd w:id="258"/>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259" w:name="PO_15528_PM001_2"/>
      <w:r>
        <w:rPr>
          <w:rFonts w:hint="eastAsia" w:ascii="仿宋" w:hAnsi="仿宋" w:eastAsia="仿宋"/>
          <w:color w:val="000000"/>
          <w:sz w:val="36"/>
          <w:szCs w:val="36"/>
        </w:rPr>
        <w:t>ZZCG2023Z-GK-104</w:t>
      </w:r>
      <w:bookmarkEnd w:id="259"/>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color w:val="000000"/>
          <w:sz w:val="36"/>
          <w:szCs w:val="36"/>
        </w:rPr>
      </w:pPr>
      <w:r>
        <w:rPr>
          <w:rFonts w:hint="eastAsia" w:ascii="仿宋" w:hAnsi="仿宋" w:eastAsia="仿宋"/>
          <w:b/>
          <w:color w:val="000000"/>
          <w:kern w:val="0"/>
          <w:sz w:val="36"/>
          <w:szCs w:val="36"/>
        </w:rPr>
        <w:br w:type="page"/>
      </w:r>
      <w:r>
        <w:rPr>
          <w:rFonts w:hint="eastAsia" w:ascii="仿宋" w:hAnsi="仿宋" w:eastAsia="仿宋"/>
          <w:b/>
          <w:color w:val="000000"/>
          <w:sz w:val="36"/>
          <w:szCs w:val="36"/>
        </w:rPr>
        <w:t>1、</w:t>
      </w:r>
      <w:r>
        <w:rPr>
          <w:rFonts w:hint="eastAsia" w:ascii="仿宋" w:hAnsi="仿宋" w:eastAsia="仿宋"/>
          <w:b/>
          <w:bCs/>
          <w:color w:val="000000"/>
          <w:sz w:val="36"/>
          <w:szCs w:val="36"/>
        </w:rPr>
        <w:t>资格文件目录</w:t>
      </w:r>
    </w:p>
    <w:p>
      <w:pPr>
        <w:snapToGrid w:val="0"/>
        <w:spacing w:before="50" w:after="50"/>
        <w:rPr>
          <w:rFonts w:ascii="仿宋" w:hAnsi="仿宋" w:eastAsia="仿宋"/>
          <w:color w:val="000000"/>
          <w:sz w:val="30"/>
          <w:szCs w:val="30"/>
        </w:rPr>
      </w:pP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（1）投标声明书 (格式见附件2，含重大违法记录声明)；</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（2）法定代表人授权委托书(格式见附件3)；</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（4）联合投标协议书（若需要，格式见附件4）;</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（5）联合投标授权委托书（若需要，格式见附件5）;</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（6）分包意向协议（若需要，格式见附件6）</w:t>
      </w:r>
    </w:p>
    <w:p>
      <w:pPr>
        <w:snapToGrid w:val="0"/>
        <w:spacing w:line="460" w:lineRule="exact"/>
        <w:ind w:firstLine="588" w:firstLineChars="196"/>
        <w:jc w:val="left"/>
        <w:rPr>
          <w:rFonts w:ascii="仿宋" w:hAnsi="仿宋" w:eastAsia="仿宋"/>
          <w:color w:val="000000"/>
        </w:rPr>
      </w:pPr>
      <w:r>
        <w:rPr>
          <w:rFonts w:hint="eastAsia" w:ascii="仿宋" w:hAnsi="仿宋" w:eastAsia="仿宋"/>
          <w:color w:val="000000"/>
          <w:sz w:val="30"/>
          <w:szCs w:val="30"/>
        </w:rPr>
        <w:t>（7）中小企业声明函（若需要，格式见附件7）；</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（8）残疾人福利企业声明函（若需要，格式见附件8）；</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（9）提供采购公告中符合</w:t>
      </w:r>
      <w:r>
        <w:rPr>
          <w:rFonts w:hint="eastAsia" w:ascii="仿宋" w:hAnsi="仿宋" w:eastAsia="仿宋"/>
          <w:bCs/>
          <w:color w:val="000000"/>
          <w:sz w:val="30"/>
          <w:szCs w:val="30"/>
        </w:rPr>
        <w:t>投标人特定条件要求的有效的</w:t>
      </w:r>
      <w:r>
        <w:rPr>
          <w:rFonts w:hint="eastAsia" w:ascii="仿宋" w:hAnsi="仿宋" w:eastAsia="仿宋"/>
          <w:color w:val="000000"/>
          <w:sz w:val="30"/>
          <w:szCs w:val="30"/>
        </w:rPr>
        <w:t>其他资质复印件并加盖公司公章及需要说明的资料。</w:t>
      </w:r>
    </w:p>
    <w:p>
      <w:pPr>
        <w:widowControl w:val="0"/>
        <w:snapToGrid w:val="0"/>
        <w:spacing w:after="120" w:line="460" w:lineRule="exact"/>
        <w:ind w:left="5250" w:leftChars="2500" w:firstLine="600" w:firstLineChars="200"/>
        <w:jc w:val="both"/>
        <w:rPr>
          <w:rFonts w:ascii="仿宋" w:hAnsi="仿宋" w:eastAsia="仿宋" w:cs="Times New Roman"/>
          <w:color w:val="000000"/>
          <w:kern w:val="2"/>
          <w:sz w:val="30"/>
          <w:szCs w:val="30"/>
          <w:lang w:val="en-US" w:eastAsia="zh-CN" w:bidi="ar-SA"/>
        </w:rPr>
      </w:pPr>
    </w:p>
    <w:p>
      <w:pPr>
        <w:snapToGrid w:val="0"/>
        <w:spacing w:line="460" w:lineRule="exact"/>
        <w:ind w:firstLine="588" w:firstLineChars="196"/>
        <w:jc w:val="left"/>
        <w:rPr>
          <w:rFonts w:ascii="仿宋" w:hAnsi="仿宋" w:eastAsia="仿宋"/>
          <w:color w:val="000000"/>
          <w:sz w:val="30"/>
          <w:szCs w:val="30"/>
        </w:rPr>
      </w:pPr>
    </w:p>
    <w:p>
      <w:pPr>
        <w:snapToGrid w:val="0"/>
        <w:spacing w:before="50" w:after="120" w:afterLines="50" w:line="460" w:lineRule="exact"/>
        <w:jc w:val="left"/>
        <w:rPr>
          <w:rFonts w:ascii="仿宋" w:hAnsi="仿宋" w:eastAsia="仿宋"/>
          <w:color w:val="000000"/>
          <w:sz w:val="30"/>
          <w:szCs w:val="30"/>
        </w:rPr>
      </w:pPr>
    </w:p>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附件2：</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 标 声 明 书</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sz w:val="30"/>
          <w:szCs w:val="30"/>
        </w:rPr>
        <w:t>致浙江省政府采购中心：</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系中华人民共和国合法企业，经营地址</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的法定代表人，我方愿意参加贵方组织的</w:t>
      </w:r>
      <w:r>
        <w:rPr>
          <w:rFonts w:hint="eastAsia" w:ascii="仿宋" w:hAnsi="仿宋" w:eastAsia="仿宋"/>
          <w:color w:val="000000"/>
          <w:sz w:val="30"/>
          <w:szCs w:val="30"/>
          <w:u w:val="single"/>
        </w:rPr>
        <w:t>（招标项目名称）（编号为</w:t>
      </w:r>
      <w:bookmarkStart w:id="260" w:name="PO_15528_PM001_3"/>
      <w:r>
        <w:rPr>
          <w:rFonts w:hint="eastAsia" w:ascii="仿宋" w:hAnsi="仿宋" w:eastAsia="仿宋"/>
          <w:color w:val="000000"/>
          <w:sz w:val="30"/>
          <w:szCs w:val="30"/>
          <w:u w:val="single"/>
        </w:rPr>
        <w:t>ZZCG2023Z-GK-104</w:t>
      </w:r>
      <w:bookmarkEnd w:id="260"/>
      <w:r>
        <w:rPr>
          <w:rFonts w:hint="eastAsia" w:ascii="仿宋" w:hAnsi="仿宋" w:eastAsia="仿宋"/>
          <w:color w:val="000000"/>
          <w:sz w:val="30"/>
          <w:szCs w:val="30"/>
          <w:u w:val="single"/>
        </w:rPr>
        <w:t>）</w:t>
      </w:r>
      <w:r>
        <w:rPr>
          <w:rFonts w:hint="eastAsia" w:ascii="仿宋" w:hAnsi="仿宋" w:eastAsia="仿宋"/>
          <w:color w:val="000000"/>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5.投标文件自开标日起有效期为90天。</w:t>
      </w:r>
    </w:p>
    <w:p>
      <w:pPr>
        <w:snapToGrid w:val="0"/>
        <w:spacing w:line="460" w:lineRule="exact"/>
        <w:ind w:firstLine="590" w:firstLineChars="196"/>
        <w:jc w:val="left"/>
        <w:rPr>
          <w:rFonts w:ascii="仿宋" w:hAnsi="仿宋" w:eastAsia="仿宋"/>
          <w:b/>
          <w:color w:val="000000"/>
          <w:sz w:val="30"/>
          <w:szCs w:val="30"/>
        </w:rPr>
      </w:pPr>
      <w:r>
        <w:rPr>
          <w:rFonts w:hint="eastAsia" w:ascii="仿宋" w:hAnsi="仿宋" w:eastAsia="仿宋"/>
          <w:b/>
          <w:color w:val="000000"/>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p>
    <w:p>
      <w:pPr>
        <w:snapToGrid w:val="0"/>
        <w:spacing w:before="120" w:beforeLines="50" w:after="50" w:line="460" w:lineRule="exact"/>
        <w:ind w:firstLine="150" w:firstLineChars="50"/>
        <w:rPr>
          <w:rFonts w:ascii="仿宋" w:hAnsi="仿宋" w:eastAsia="仿宋"/>
          <w:color w:val="000000"/>
          <w:sz w:val="30"/>
          <w:szCs w:val="30"/>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附件3：</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法定代表人授权委托书</w:t>
      </w:r>
    </w:p>
    <w:p>
      <w:pPr>
        <w:snapToGrid w:val="0"/>
        <w:spacing w:before="120" w:beforeLines="50" w:after="50"/>
        <w:jc w:val="center"/>
        <w:rPr>
          <w:rFonts w:ascii="仿宋" w:hAnsi="仿宋" w:eastAsia="仿宋"/>
          <w:b/>
          <w:color w:val="000000"/>
          <w:sz w:val="30"/>
          <w:szCs w:val="30"/>
        </w:rPr>
      </w:pPr>
    </w:p>
    <w:p>
      <w:pPr>
        <w:snapToGrid w:val="0"/>
        <w:spacing w:before="120" w:beforeLines="50" w:after="50" w:line="460" w:lineRule="exact"/>
        <w:rPr>
          <w:rFonts w:ascii="仿宋" w:hAnsi="仿宋" w:eastAsia="仿宋"/>
          <w:b/>
          <w:bCs/>
          <w:color w:val="000000"/>
          <w:sz w:val="30"/>
          <w:szCs w:val="30"/>
        </w:rPr>
      </w:pPr>
      <w:r>
        <w:rPr>
          <w:rFonts w:hint="eastAsia" w:ascii="仿宋" w:hAnsi="仿宋" w:eastAsia="仿宋"/>
          <w:bCs/>
          <w:color w:val="000000"/>
          <w:sz w:val="30"/>
          <w:szCs w:val="30"/>
        </w:rPr>
        <w:t>浙江省政府采购中心：</w:t>
      </w:r>
    </w:p>
    <w:p>
      <w:pPr>
        <w:snapToGrid w:val="0"/>
        <w:spacing w:before="120" w:beforeLines="50" w:after="50" w:line="460" w:lineRule="exact"/>
        <w:ind w:firstLine="900" w:firstLineChars="3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的法定代表人，现授权委托本单位在职职工</w:t>
      </w:r>
      <w:r>
        <w:rPr>
          <w:rFonts w:hint="eastAsia" w:ascii="仿宋" w:hAnsi="仿宋" w:eastAsia="仿宋"/>
          <w:color w:val="000000"/>
          <w:sz w:val="30"/>
          <w:szCs w:val="30"/>
          <w:u w:val="single"/>
        </w:rPr>
        <w:t xml:space="preserve"> （姓名）</w:t>
      </w:r>
      <w:r>
        <w:rPr>
          <w:rFonts w:hint="eastAsia" w:ascii="仿宋" w:hAnsi="仿宋" w:eastAsia="仿宋"/>
          <w:color w:val="000000"/>
          <w:sz w:val="30"/>
          <w:szCs w:val="30"/>
        </w:rPr>
        <w:t>为授权代表，以我方的名义参加项目编号：</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项目名称：</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授权代表无转委托权，特此委托。</w:t>
      </w:r>
    </w:p>
    <w:p>
      <w:pPr>
        <w:snapToGrid w:val="0"/>
        <w:spacing w:before="120" w:beforeLines="50" w:after="50" w:line="460" w:lineRule="exact"/>
        <w:ind w:firstLine="480"/>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职务：</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联系方式：</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邮箱：</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传真：</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授权代表身份证号码：</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职务：</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联系方式：</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ind w:firstLine="6150" w:firstLineChars="2050"/>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  期：</w:t>
      </w:r>
      <w:r>
        <w:rPr>
          <w:rFonts w:hint="eastAsia" w:ascii="仿宋" w:hAnsi="仿宋" w:eastAsia="仿宋"/>
          <w:color w:val="000000"/>
          <w:sz w:val="30"/>
          <w:szCs w:val="30"/>
          <w:u w:val="single"/>
        </w:rPr>
        <w:t xml:space="preserve">           </w:t>
      </w: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snapToGrid w:val="0"/>
        <w:spacing w:before="120" w:beforeLines="50" w:after="50" w:line="460" w:lineRule="exact"/>
        <w:rPr>
          <w:rFonts w:ascii="仿宋" w:hAnsi="仿宋" w:eastAsia="仿宋"/>
          <w:color w:val="000000"/>
          <w:sz w:val="30"/>
          <w:szCs w:val="30"/>
        </w:rPr>
      </w:pPr>
    </w:p>
    <w:p>
      <w:pPr>
        <w:tabs>
          <w:tab w:val="left" w:pos="606"/>
        </w:tabs>
        <w:rPr>
          <w:rFonts w:ascii="仿宋" w:hAnsi="仿宋" w:eastAsia="仿宋"/>
          <w:color w:val="000000"/>
          <w:spacing w:val="20"/>
          <w:sz w:val="30"/>
          <w:szCs w:val="30"/>
        </w:rPr>
      </w:pPr>
      <w:r>
        <w:rPr>
          <w:rFonts w:hint="eastAsia" w:ascii="仿宋" w:hAnsi="仿宋" w:eastAsia="仿宋"/>
          <w:color w:val="000000"/>
          <w:sz w:val="30"/>
          <w:szCs w:val="30"/>
        </w:rPr>
        <w:t>附件4：</w:t>
      </w:r>
      <w:bookmarkStart w:id="265" w:name="_GoBack"/>
      <w:bookmarkEnd w:id="265"/>
    </w:p>
    <w:p>
      <w:pPr>
        <w:widowControl w:val="0"/>
        <w:overflowPunct w:val="0"/>
        <w:spacing w:line="360" w:lineRule="auto"/>
        <w:ind w:firstLine="0"/>
        <w:jc w:val="center"/>
        <w:rPr>
          <w:rFonts w:ascii="仿宋" w:hAnsi="仿宋" w:eastAsia="仿宋" w:cs="Times New Roman"/>
          <w:b/>
          <w:color w:val="000000"/>
          <w:spacing w:val="40"/>
          <w:kern w:val="0"/>
          <w:sz w:val="30"/>
          <w:szCs w:val="30"/>
          <w:lang w:val="en-US" w:eastAsia="zh-CN" w:bidi="ar-SA"/>
        </w:rPr>
      </w:pPr>
      <w:r>
        <w:rPr>
          <w:rFonts w:hint="eastAsia" w:ascii="仿宋" w:hAnsi="仿宋" w:eastAsia="仿宋" w:cs="Times New Roman"/>
          <w:b/>
          <w:color w:val="000000"/>
          <w:spacing w:val="40"/>
          <w:kern w:val="0"/>
          <w:sz w:val="30"/>
          <w:szCs w:val="30"/>
          <w:lang w:val="en-US" w:eastAsia="zh-CN" w:bidi="ar-SA"/>
        </w:rPr>
        <w:t>联合投标协议书</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甲方：</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乙方：</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（如果有的话，可按甲、乙、丙、丁…序列增加）</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各方经协商，就响应 组织实施的编号为号的招标活动联合进行投标之事宜，达成如下协议：</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一、各方一致决定，以</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为主办人进行投标，并按照招标文件的规定分别提交资格文件。</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三、联合投标其余各方保证对主办人为响应本次招标而提供的产品和服务提供全部质量保证及售后服务支持。</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四、本次联合投标中，甲方承担的工作和义务为:</w:t>
      </w:r>
    </w:p>
    <w:p>
      <w:pPr>
        <w:widowControl w:val="0"/>
        <w:overflowPunct w:val="0"/>
        <w:spacing w:line="460" w:lineRule="exact"/>
        <w:ind w:firstLine="642" w:firstLineChars="214"/>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u w:val="single"/>
          <w:lang w:val="en-US" w:eastAsia="zh-CN" w:bidi="ar-SA"/>
        </w:rPr>
        <w:t xml:space="preserve">                                             </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乙方承担的工作和义务为：</w:t>
      </w:r>
    </w:p>
    <w:p>
      <w:pPr>
        <w:widowControl w:val="0"/>
        <w:overflowPunct w:val="0"/>
        <w:spacing w:line="460" w:lineRule="exact"/>
        <w:ind w:firstLine="642" w:firstLineChars="214"/>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u w:val="single"/>
          <w:lang w:val="en-US" w:eastAsia="zh-CN" w:bidi="ar-SA"/>
        </w:rPr>
        <w:t xml:space="preserve">                                             </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（甲方</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）的合同份额占到合同总金额</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%，（乙方</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）的合同份额占到合同总金额</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w:t>
      </w:r>
    </w:p>
    <w:p>
      <w:pPr>
        <w:widowControl w:val="0"/>
        <w:overflowPunct w:val="0"/>
        <w:spacing w:line="460" w:lineRule="exact"/>
        <w:ind w:firstLine="642" w:firstLineChars="214"/>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五、有关本次联合投标的其他事宜：</w:t>
      </w:r>
      <w:r>
        <w:rPr>
          <w:rFonts w:hint="eastAsia" w:ascii="仿宋" w:hAnsi="仿宋" w:eastAsia="仿宋" w:cs="Times New Roman"/>
          <w:color w:val="000000"/>
          <w:kern w:val="2"/>
          <w:sz w:val="30"/>
          <w:szCs w:val="30"/>
          <w:u w:val="single"/>
          <w:lang w:val="en-US" w:eastAsia="zh-CN" w:bidi="ar-SA"/>
        </w:rPr>
        <w:t xml:space="preserve">             </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六、本协议提交招标方后，联合投标各方不得以任何形式对上述实质内容进行修改或撤销。</w:t>
      </w:r>
    </w:p>
    <w:p>
      <w:pPr>
        <w:widowControl w:val="0"/>
        <w:overflowPunct w:val="0"/>
        <w:spacing w:line="460" w:lineRule="exact"/>
        <w:ind w:firstLine="642" w:firstLineChars="214"/>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七、本协议签约各方各持一份，并作为投标文件的一部分。</w:t>
      </w:r>
    </w:p>
    <w:tbl>
      <w:tblPr>
        <w:tblStyle w:val="59"/>
        <w:tblW w:w="0" w:type="auto"/>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甲方单位：</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（公章）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法定代表人：</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（签章）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日  期：</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年</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月</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日</w:t>
            </w:r>
          </w:p>
        </w:tc>
        <w:tc>
          <w:tcPr>
            <w:tcW w:w="4265" w:type="dxa"/>
            <w:noWrap w:val="0"/>
            <w:vAlign w:val="top"/>
          </w:tcPr>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乙方单位：</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（公章）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法定代表人：</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（签章）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日  期：</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年</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月</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日</w:t>
            </w:r>
          </w:p>
        </w:tc>
      </w:tr>
    </w:tbl>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0"/>
          <w:sz w:val="30"/>
          <w:szCs w:val="30"/>
          <w:lang w:val="en-US" w:eastAsia="zh-CN" w:bidi="ar-SA"/>
        </w:rPr>
        <w:br w:type="page"/>
      </w:r>
      <w:r>
        <w:rPr>
          <w:rFonts w:hint="eastAsia" w:ascii="仿宋" w:hAnsi="仿宋" w:eastAsia="仿宋" w:cs="Times New Roman"/>
          <w:color w:val="000000"/>
          <w:kern w:val="2"/>
          <w:sz w:val="30"/>
          <w:szCs w:val="30"/>
          <w:lang w:val="en-US" w:eastAsia="zh-CN" w:bidi="ar-SA"/>
        </w:rPr>
        <w:t>附件5：</w:t>
      </w:r>
    </w:p>
    <w:p>
      <w:pPr>
        <w:widowControl w:val="0"/>
        <w:overflowPunct w:val="0"/>
        <w:spacing w:line="460" w:lineRule="exact"/>
        <w:ind w:firstLine="420"/>
        <w:jc w:val="center"/>
        <w:rPr>
          <w:rFonts w:ascii="仿宋" w:hAnsi="仿宋" w:eastAsia="仿宋" w:cs="Times New Roman"/>
          <w:b/>
          <w:color w:val="000000"/>
          <w:kern w:val="2"/>
          <w:sz w:val="30"/>
          <w:szCs w:val="30"/>
          <w:lang w:val="en-US" w:eastAsia="zh-CN" w:bidi="ar-SA"/>
        </w:rPr>
      </w:pPr>
      <w:r>
        <w:rPr>
          <w:rFonts w:hint="eastAsia" w:ascii="仿宋" w:hAnsi="仿宋" w:eastAsia="仿宋" w:cs="Times New Roman"/>
          <w:b/>
          <w:color w:val="000000"/>
          <w:kern w:val="2"/>
          <w:sz w:val="30"/>
          <w:szCs w:val="30"/>
          <w:lang w:val="en-US" w:eastAsia="zh-CN" w:bidi="ar-SA"/>
        </w:rPr>
        <w:t>联合投标授权委托书</w:t>
      </w:r>
    </w:p>
    <w:p>
      <w:pPr>
        <w:widowControl w:val="0"/>
        <w:overflowPunct w:val="0"/>
        <w:spacing w:line="460" w:lineRule="exact"/>
        <w:ind w:firstLine="42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42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xml:space="preserve"> 本授权委托书声明：根据</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与签订的《联合投标协议书》的内容，主办人的法定代表人现授权</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为联合投标代理人，代理人在投标、开标、评标、合同谈判过程中所签署的一切文件和处理与这有关的一切事务， 联合投标各方均予以认可并遵守。</w:t>
      </w:r>
    </w:p>
    <w:p>
      <w:pPr>
        <w:widowControl w:val="0"/>
        <w:overflowPunct w:val="0"/>
        <w:spacing w:line="460" w:lineRule="exact"/>
        <w:ind w:firstLine="42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xml:space="preserve"> 特此委托。</w:t>
      </w:r>
    </w:p>
    <w:p>
      <w:pPr>
        <w:widowControl w:val="0"/>
        <w:overflowPunct w:val="0"/>
        <w:spacing w:line="460" w:lineRule="exact"/>
        <w:ind w:firstLine="42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600" w:firstLineChars="20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授权人（签名）：</w:t>
      </w:r>
      <w:r>
        <w:rPr>
          <w:rFonts w:hint="eastAsia" w:ascii="仿宋" w:hAnsi="仿宋" w:eastAsia="仿宋" w:cs="Times New Roman"/>
          <w:color w:val="000000"/>
          <w:kern w:val="2"/>
          <w:sz w:val="30"/>
          <w:szCs w:val="30"/>
          <w:u w:val="single"/>
          <w:lang w:val="en-US" w:eastAsia="zh-CN" w:bidi="ar-SA"/>
        </w:rPr>
        <w:t xml:space="preserve">               </w:t>
      </w:r>
    </w:p>
    <w:p>
      <w:pPr>
        <w:widowControl w:val="0"/>
        <w:overflowPunct w:val="0"/>
        <w:spacing w:line="460" w:lineRule="exact"/>
        <w:ind w:firstLine="600" w:firstLineChars="20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left="420" w:leftChars="200" w:firstLine="150" w:firstLineChars="5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日期：</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年</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月</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日</w:t>
      </w:r>
    </w:p>
    <w:p>
      <w:pPr>
        <w:widowControl w:val="0"/>
        <w:overflowPunct w:val="0"/>
        <w:spacing w:line="460" w:lineRule="exact"/>
        <w:ind w:firstLine="42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570" w:firstLineChars="19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授权代表（签名）；</w:t>
      </w:r>
      <w:r>
        <w:rPr>
          <w:rFonts w:hint="eastAsia" w:ascii="仿宋" w:hAnsi="仿宋" w:eastAsia="仿宋" w:cs="Times New Roman"/>
          <w:color w:val="000000"/>
          <w:kern w:val="2"/>
          <w:sz w:val="30"/>
          <w:szCs w:val="30"/>
          <w:u w:val="single"/>
          <w:lang w:val="en-US" w:eastAsia="zh-CN" w:bidi="ar-SA"/>
        </w:rPr>
        <w:t xml:space="preserve">              </w:t>
      </w:r>
    </w:p>
    <w:p>
      <w:pPr>
        <w:widowControl w:val="0"/>
        <w:overflowPunct w:val="0"/>
        <w:spacing w:line="460" w:lineRule="exact"/>
        <w:ind w:firstLine="570" w:firstLineChars="19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570" w:firstLineChars="19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日期：</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年</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月</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日</w:t>
      </w:r>
    </w:p>
    <w:p>
      <w:pPr>
        <w:tabs>
          <w:tab w:val="left" w:pos="606"/>
        </w:tabs>
        <w:spacing w:line="460" w:lineRule="exact"/>
        <w:rPr>
          <w:rFonts w:ascii="仿宋" w:hAnsi="仿宋" w:eastAsia="仿宋"/>
          <w:color w:val="000000"/>
          <w:spacing w:val="20"/>
          <w:sz w:val="30"/>
          <w:szCs w:val="30"/>
        </w:rPr>
      </w:pPr>
    </w:p>
    <w:p>
      <w:pPr>
        <w:tabs>
          <w:tab w:val="left" w:pos="606"/>
        </w:tabs>
        <w:spacing w:line="460" w:lineRule="exact"/>
        <w:rPr>
          <w:rFonts w:ascii="仿宋" w:hAnsi="仿宋" w:eastAsia="仿宋"/>
          <w:color w:val="000000"/>
          <w:spacing w:val="20"/>
          <w:sz w:val="30"/>
          <w:szCs w:val="30"/>
        </w:rPr>
      </w:pPr>
    </w:p>
    <w:tbl>
      <w:tblPr>
        <w:tblStyle w:val="59"/>
        <w:tblW w:w="0" w:type="auto"/>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联合体甲方单位：</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（公章）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法定代表人：</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（签章）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日  期：</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年</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月</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日</w:t>
            </w:r>
          </w:p>
        </w:tc>
        <w:tc>
          <w:tcPr>
            <w:tcW w:w="4265" w:type="dxa"/>
            <w:noWrap w:val="0"/>
            <w:vAlign w:val="top"/>
          </w:tcPr>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联合体乙方单位：</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（公章）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法定代表人：</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（签章）</w:t>
            </w: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p>
          <w:p>
            <w:pPr>
              <w:widowControl w:val="0"/>
              <w:overflowPunct w:val="0"/>
              <w:spacing w:line="460" w:lineRule="exact"/>
              <w:ind w:firstLine="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日  期：</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年</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月</w:t>
            </w:r>
            <w:r>
              <w:rPr>
                <w:rFonts w:hint="eastAsia" w:ascii="仿宋" w:hAnsi="仿宋" w:eastAsia="仿宋" w:cs="Times New Roman"/>
                <w:color w:val="000000"/>
                <w:kern w:val="2"/>
                <w:sz w:val="30"/>
                <w:szCs w:val="30"/>
                <w:u w:val="single"/>
                <w:lang w:val="en-US" w:eastAsia="zh-CN" w:bidi="ar-SA"/>
              </w:rPr>
              <w:t xml:space="preserve">  </w:t>
            </w:r>
            <w:r>
              <w:rPr>
                <w:rFonts w:hint="eastAsia" w:ascii="仿宋" w:hAnsi="仿宋" w:eastAsia="仿宋" w:cs="Times New Roman"/>
                <w:color w:val="000000"/>
                <w:kern w:val="2"/>
                <w:sz w:val="30"/>
                <w:szCs w:val="30"/>
                <w:lang w:val="en-US" w:eastAsia="zh-CN" w:bidi="ar-SA"/>
              </w:rPr>
              <w:t>日</w:t>
            </w:r>
          </w:p>
        </w:tc>
      </w:tr>
    </w:tbl>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附件6：</w:t>
      </w:r>
    </w:p>
    <w:p>
      <w:pPr>
        <w:spacing w:line="588" w:lineRule="exact"/>
        <w:jc w:val="center"/>
        <w:rPr>
          <w:rFonts w:ascii="仿宋_GB2312" w:hAnsi="Times New Roman" w:eastAsia="仿宋_GB2312"/>
          <w:b/>
          <w:color w:val="000000"/>
          <w:spacing w:val="6"/>
          <w:sz w:val="32"/>
          <w:szCs w:val="32"/>
        </w:rPr>
      </w:pPr>
      <w:r>
        <w:rPr>
          <w:rFonts w:hint="eastAsia" w:ascii="仿宋_GB2312" w:hAnsi="Times New Roman" w:eastAsia="仿宋_GB2312"/>
          <w:b/>
          <w:color w:val="000000"/>
          <w:spacing w:val="6"/>
          <w:sz w:val="32"/>
          <w:szCs w:val="32"/>
        </w:rPr>
        <w:t>分包意向协议</w:t>
      </w:r>
    </w:p>
    <w:p>
      <w:pPr>
        <w:widowControl w:val="0"/>
        <w:spacing w:after="120" w:line="400" w:lineRule="exact"/>
        <w:ind w:left="420" w:leftChars="200" w:firstLine="420" w:firstLineChars="200"/>
        <w:jc w:val="both"/>
        <w:rPr>
          <w:rFonts w:ascii="Times New Roman" w:hAnsi="Times New Roman" w:eastAsia="宋体" w:cs="Times New Roman"/>
          <w:color w:val="000000"/>
          <w:spacing w:val="0"/>
          <w:kern w:val="2"/>
          <w:sz w:val="21"/>
          <w:szCs w:val="20"/>
          <w:lang w:val="en-US" w:eastAsia="zh-CN" w:bidi="ar-SA"/>
        </w:rPr>
      </w:pP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w:t>
      </w:r>
      <w:r>
        <w:rPr>
          <w:rFonts w:hint="eastAsia" w:ascii="仿宋" w:hAnsi="仿宋" w:eastAsia="仿宋"/>
          <w:color w:val="000000"/>
          <w:sz w:val="28"/>
          <w:szCs w:val="28"/>
          <w:lang w:val="zh-CN"/>
        </w:rPr>
        <w:t>若成为</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项目名称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招标编号：   </w:t>
      </w:r>
      <w:r>
        <w:rPr>
          <w:rFonts w:hint="eastAsia" w:ascii="仿宋" w:hAnsi="仿宋" w:eastAsia="仿宋"/>
          <w:color w:val="000000"/>
          <w:sz w:val="28"/>
          <w:szCs w:val="28"/>
        </w:rPr>
        <w:t>）</w:t>
      </w:r>
      <w:r>
        <w:rPr>
          <w:rFonts w:hint="eastAsia" w:ascii="仿宋" w:hAnsi="仿宋" w:eastAsia="仿宋"/>
          <w:color w:val="000000"/>
          <w:sz w:val="28"/>
          <w:szCs w:val="28"/>
          <w:lang w:val="zh-CN"/>
        </w:rPr>
        <w:t>的中标供应商，将依法采取分包方式履行合同。</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）与（</w:t>
      </w:r>
      <w:r>
        <w:rPr>
          <w:rFonts w:hint="eastAsia" w:ascii="仿宋" w:hAnsi="仿宋" w:eastAsia="仿宋"/>
          <w:color w:val="000000"/>
          <w:sz w:val="28"/>
          <w:szCs w:val="28"/>
          <w:u w:val="single"/>
        </w:rPr>
        <w:t xml:space="preserve">所有分包供应商名称    </w:t>
      </w:r>
      <w:r>
        <w:rPr>
          <w:rFonts w:hint="eastAsia" w:ascii="仿宋" w:hAnsi="仿宋" w:eastAsia="仿宋"/>
          <w:color w:val="000000"/>
          <w:sz w:val="28"/>
          <w:szCs w:val="28"/>
        </w:rPr>
        <w:t>）达成分包意向协议</w:t>
      </w:r>
      <w:r>
        <w:rPr>
          <w:rFonts w:hint="eastAsia" w:ascii="仿宋" w:hAnsi="仿宋" w:eastAsia="仿宋"/>
          <w:color w:val="000000"/>
          <w:sz w:val="28"/>
          <w:szCs w:val="28"/>
          <w:lang w:val="zh-CN"/>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）负责签署投标文件，（</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）的所有承诺均认为代表了（</w:t>
      </w:r>
      <w:r>
        <w:rPr>
          <w:rFonts w:hint="eastAsia" w:ascii="仿宋" w:hAnsi="仿宋" w:eastAsia="仿宋"/>
          <w:color w:val="000000"/>
          <w:sz w:val="28"/>
          <w:szCs w:val="28"/>
          <w:u w:val="single"/>
        </w:rPr>
        <w:t xml:space="preserve">所有分包供应商名称       </w:t>
      </w:r>
      <w:r>
        <w:rPr>
          <w:rFonts w:hint="eastAsia" w:ascii="仿宋" w:hAnsi="仿宋" w:eastAsia="仿宋"/>
          <w:color w:val="000000"/>
          <w:sz w:val="28"/>
          <w:szCs w:val="28"/>
        </w:rPr>
        <w:t>）意愿。</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二、分包标的及数量</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投标人名称     </w:t>
      </w:r>
      <w:r>
        <w:rPr>
          <w:rFonts w:hint="eastAsia" w:ascii="仿宋" w:hAnsi="仿宋" w:eastAsia="仿宋"/>
          <w:color w:val="000000"/>
          <w:sz w:val="28"/>
          <w:szCs w:val="28"/>
        </w:rPr>
        <w:t>）</w:t>
      </w:r>
      <w:r>
        <w:rPr>
          <w:rFonts w:hint="eastAsia" w:ascii="仿宋" w:hAnsi="仿宋" w:eastAsia="仿宋"/>
          <w:color w:val="000000"/>
          <w:sz w:val="28"/>
          <w:szCs w:val="28"/>
          <w:lang w:val="zh-CN"/>
        </w:rPr>
        <w:t>将</w:t>
      </w:r>
      <w:r>
        <w:rPr>
          <w:rFonts w:hint="eastAsia" w:ascii="仿宋" w:hAnsi="仿宋" w:eastAsia="仿宋"/>
          <w:color w:val="000000"/>
          <w:sz w:val="28"/>
          <w:szCs w:val="28"/>
          <w:u w:val="single"/>
        </w:rPr>
        <w:t xml:space="preserve">   工作内容   </w:t>
      </w:r>
      <w:r>
        <w:rPr>
          <w:rFonts w:hint="eastAsia" w:ascii="仿宋" w:hAnsi="仿宋" w:eastAsia="仿宋"/>
          <w:color w:val="000000"/>
          <w:sz w:val="28"/>
          <w:szCs w:val="28"/>
        </w:rPr>
        <w:t>分包给（</w:t>
      </w:r>
      <w:r>
        <w:rPr>
          <w:rFonts w:hint="eastAsia" w:ascii="仿宋" w:hAnsi="仿宋" w:eastAsia="仿宋"/>
          <w:color w:val="000000"/>
          <w:sz w:val="28"/>
          <w:szCs w:val="28"/>
          <w:u w:val="single"/>
        </w:rPr>
        <w:t xml:space="preserve">分包供应商名称      </w:t>
      </w:r>
      <w:r>
        <w:rPr>
          <w:rFonts w:hint="eastAsia" w:ascii="仿宋" w:hAnsi="仿宋" w:eastAsia="仿宋"/>
          <w:color w:val="000000"/>
          <w:sz w:val="28"/>
          <w:szCs w:val="28"/>
        </w:rPr>
        <w:t>）</w:t>
      </w:r>
      <w:r>
        <w:rPr>
          <w:rFonts w:hint="eastAsia" w:ascii="仿宋" w:hAnsi="仿宋" w:eastAsia="仿宋"/>
          <w:color w:val="000000"/>
          <w:sz w:val="28"/>
          <w:szCs w:val="28"/>
          <w:lang w:val="zh-CN"/>
        </w:rPr>
        <w:t>，</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分包供应商名称       </w:t>
      </w:r>
      <w:r>
        <w:rPr>
          <w:rFonts w:hint="eastAsia" w:ascii="仿宋" w:hAnsi="仿宋" w:eastAsia="仿宋"/>
          <w:color w:val="000000"/>
          <w:sz w:val="28"/>
          <w:szCs w:val="28"/>
        </w:rPr>
        <w:t>），</w:t>
      </w:r>
      <w:r>
        <w:rPr>
          <w:rFonts w:hint="eastAsia" w:ascii="仿宋" w:hAnsi="仿宋" w:eastAsia="仿宋"/>
          <w:color w:val="000000"/>
          <w:sz w:val="28"/>
          <w:szCs w:val="28"/>
          <w:lang w:val="zh-CN"/>
        </w:rPr>
        <w:t>具备承</w:t>
      </w:r>
      <w:r>
        <w:rPr>
          <w:rFonts w:hint="eastAsia" w:ascii="仿宋" w:hAnsi="仿宋" w:eastAsia="仿宋"/>
          <w:color w:val="000000"/>
          <w:sz w:val="28"/>
          <w:szCs w:val="28"/>
        </w:rPr>
        <w:t>担</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zh-CN"/>
        </w:rPr>
        <w:t xml:space="preserve">工作内容  </w:t>
      </w:r>
      <w:r>
        <w:rPr>
          <w:rFonts w:hint="eastAsia" w:ascii="仿宋" w:hAnsi="仿宋" w:eastAsia="仿宋"/>
          <w:color w:val="000000"/>
          <w:sz w:val="28"/>
          <w:szCs w:val="28"/>
          <w:lang w:val="zh-CN"/>
        </w:rPr>
        <w:t>相应资质条件且不得再次分包；</w:t>
      </w:r>
    </w:p>
    <w:p>
      <w:pPr>
        <w:snapToGrid w:val="0"/>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w:t>
      </w:r>
    </w:p>
    <w:p>
      <w:pPr>
        <w:snapToGrid w:val="0"/>
        <w:spacing w:line="360" w:lineRule="exact"/>
        <w:ind w:left="840"/>
        <w:rPr>
          <w:rFonts w:ascii="仿宋" w:hAnsi="仿宋" w:eastAsia="仿宋"/>
          <w:color w:val="000000"/>
          <w:sz w:val="28"/>
          <w:szCs w:val="28"/>
        </w:rPr>
      </w:pPr>
      <w:r>
        <w:rPr>
          <w:rFonts w:hint="eastAsia" w:ascii="仿宋" w:hAnsi="仿宋" w:eastAsia="仿宋"/>
          <w:color w:val="000000"/>
          <w:sz w:val="28"/>
          <w:szCs w:val="28"/>
          <w:lang w:val="zh-CN"/>
        </w:rPr>
        <w:t>三、分包工作履行期限、地点、方式</w:t>
      </w:r>
      <w:r>
        <w:rPr>
          <w:rFonts w:hint="eastAsia" w:ascii="仿宋" w:hAnsi="仿宋" w:eastAsia="仿宋"/>
          <w:color w:val="000000"/>
          <w:sz w:val="28"/>
          <w:szCs w:val="28"/>
        </w:rPr>
        <w:t xml:space="preserve"> </w:t>
      </w:r>
    </w:p>
    <w:p>
      <w:pPr>
        <w:snapToGrid w:val="0"/>
        <w:spacing w:line="360" w:lineRule="exact"/>
        <w:rPr>
          <w:rFonts w:ascii="仿宋" w:hAnsi="仿宋" w:eastAsia="仿宋"/>
          <w:color w:val="000000"/>
          <w:sz w:val="28"/>
          <w:szCs w:val="28"/>
          <w:u w:val="single"/>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left="840"/>
        <w:rPr>
          <w:rFonts w:ascii="仿宋" w:hAnsi="仿宋" w:eastAsia="仿宋"/>
          <w:color w:val="000000"/>
          <w:sz w:val="28"/>
          <w:szCs w:val="28"/>
          <w:lang w:val="zh-CN"/>
        </w:rPr>
      </w:pPr>
      <w:r>
        <w:rPr>
          <w:rFonts w:hint="eastAsia" w:ascii="仿宋" w:hAnsi="仿宋" w:eastAsia="仿宋"/>
          <w:color w:val="000000"/>
          <w:sz w:val="28"/>
          <w:szCs w:val="28"/>
          <w:lang w:val="zh-CN"/>
        </w:rPr>
        <w:t xml:space="preserve">四、质量 </w:t>
      </w:r>
    </w:p>
    <w:p>
      <w:pPr>
        <w:snapToGrid w:val="0"/>
        <w:spacing w:line="360" w:lineRule="exact"/>
        <w:ind w:left="630" w:leftChars="300"/>
        <w:rPr>
          <w:rFonts w:ascii="仿宋" w:hAnsi="仿宋" w:eastAsia="仿宋"/>
          <w:color w:val="000000"/>
          <w:sz w:val="28"/>
          <w:szCs w:val="28"/>
          <w:u w:val="single"/>
          <w:lang w:val="zh-CN"/>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五、价款或者报酬</w:t>
      </w:r>
    </w:p>
    <w:p>
      <w:pPr>
        <w:snapToGrid w:val="0"/>
        <w:spacing w:line="360" w:lineRule="exact"/>
        <w:ind w:firstLine="840" w:firstLineChars="300"/>
        <w:rPr>
          <w:rFonts w:ascii="仿宋" w:hAnsi="仿宋" w:eastAsia="仿宋"/>
          <w:color w:val="000000"/>
          <w:sz w:val="28"/>
          <w:szCs w:val="28"/>
          <w:u w:val="single"/>
          <w:lang w:val="zh-CN"/>
        </w:rPr>
      </w:pP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六、违约责任</w:t>
      </w:r>
    </w:p>
    <w:p>
      <w:pPr>
        <w:snapToGrid w:val="0"/>
        <w:spacing w:line="360" w:lineRule="exact"/>
        <w:ind w:firstLine="840" w:firstLineChars="300"/>
        <w:rPr>
          <w:rFonts w:ascii="仿宋" w:hAnsi="仿宋" w:eastAsia="仿宋"/>
          <w:color w:val="000000"/>
          <w:sz w:val="28"/>
          <w:szCs w:val="28"/>
          <w:u w:val="single"/>
          <w:lang w:val="zh-CN"/>
        </w:rPr>
      </w:pP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 xml:space="preserve">七、争议解决的办法 </w:t>
      </w:r>
    </w:p>
    <w:p>
      <w:pPr>
        <w:snapToGrid w:val="0"/>
        <w:spacing w:line="360" w:lineRule="exact"/>
        <w:rPr>
          <w:rFonts w:ascii="仿宋" w:hAnsi="仿宋" w:eastAsia="仿宋"/>
          <w:color w:val="000000"/>
          <w:sz w:val="28"/>
          <w:szCs w:val="28"/>
          <w:u w:val="single"/>
          <w:lang w:val="zh-CN"/>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八、其他</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（分包供应商名称</w:t>
      </w:r>
      <w:r>
        <w:rPr>
          <w:rFonts w:hint="eastAsia" w:ascii="仿宋" w:hAnsi="仿宋" w:eastAsia="仿宋"/>
          <w:color w:val="000000"/>
          <w:sz w:val="28"/>
          <w:szCs w:val="28"/>
          <w:u w:val="single"/>
          <w:lang w:val="zh-CN"/>
        </w:rPr>
        <w:t xml:space="preserve">       </w:t>
      </w:r>
      <w:r>
        <w:rPr>
          <w:rFonts w:hint="eastAsia" w:ascii="仿宋" w:hAnsi="仿宋" w:eastAsia="仿宋"/>
          <w:color w:val="000000"/>
          <w:sz w:val="28"/>
          <w:szCs w:val="28"/>
          <w:lang w:val="zh-CN"/>
        </w:rPr>
        <w:t>）的合同份额占到合同总金额</w:t>
      </w:r>
      <w:r>
        <w:rPr>
          <w:rFonts w:hint="eastAsia" w:ascii="仿宋" w:hAnsi="仿宋" w:eastAsia="仿宋"/>
          <w:color w:val="000000"/>
          <w:sz w:val="28"/>
          <w:szCs w:val="28"/>
          <w:u w:val="single"/>
          <w:lang w:val="zh-CN"/>
        </w:rPr>
        <w:t xml:space="preserve">     </w:t>
      </w:r>
      <w:r>
        <w:rPr>
          <w:rFonts w:hint="eastAsia" w:ascii="仿宋" w:hAnsi="仿宋" w:eastAsia="仿宋"/>
          <w:color w:val="000000"/>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 xml:space="preserve">   </w:t>
      </w: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rPr>
        <w:t>投标人名称</w:t>
      </w:r>
      <w:r>
        <w:rPr>
          <w:rFonts w:hint="eastAsia" w:ascii="仿宋" w:hAnsi="仿宋" w:eastAsia="仿宋"/>
          <w:color w:val="000000"/>
          <w:sz w:val="28"/>
          <w:szCs w:val="28"/>
          <w:lang w:val="zh-CN"/>
        </w:rPr>
        <w:t>(</w:t>
      </w:r>
      <w:r>
        <w:rPr>
          <w:rFonts w:hint="eastAsia" w:ascii="仿宋" w:hAnsi="仿宋" w:eastAsia="仿宋"/>
          <w:color w:val="000000"/>
          <w:sz w:val="28"/>
          <w:szCs w:val="28"/>
        </w:rPr>
        <w:t>盖公章</w:t>
      </w:r>
      <w:r>
        <w:rPr>
          <w:rFonts w:hint="eastAsia" w:ascii="仿宋" w:hAnsi="仿宋" w:eastAsia="仿宋"/>
          <w:color w:val="000000"/>
          <w:sz w:val="28"/>
          <w:szCs w:val="28"/>
          <w:lang w:val="zh-CN"/>
        </w:rPr>
        <w:t>)：</w:t>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p>
    <w:p>
      <w:pPr>
        <w:snapToGrid w:val="0"/>
        <w:spacing w:line="360" w:lineRule="exact"/>
        <w:ind w:firstLine="840" w:firstLineChars="300"/>
        <w:rPr>
          <w:rFonts w:ascii="仿宋" w:hAnsi="仿宋" w:eastAsia="仿宋"/>
          <w:color w:val="000000"/>
          <w:sz w:val="28"/>
          <w:szCs w:val="28"/>
          <w:lang w:val="zh-CN"/>
        </w:rPr>
      </w:pPr>
    </w:p>
    <w:p>
      <w:pPr>
        <w:snapToGrid w:val="0"/>
        <w:spacing w:line="360" w:lineRule="exact"/>
        <w:ind w:firstLine="840" w:firstLineChars="300"/>
        <w:rPr>
          <w:rFonts w:ascii="仿宋" w:hAnsi="仿宋" w:eastAsia="仿宋"/>
          <w:color w:val="000000"/>
          <w:sz w:val="28"/>
          <w:szCs w:val="28"/>
          <w:lang w:val="zh-CN"/>
        </w:rPr>
      </w:pPr>
      <w:r>
        <w:rPr>
          <w:rFonts w:hint="eastAsia" w:ascii="仿宋" w:hAnsi="仿宋" w:eastAsia="仿宋"/>
          <w:color w:val="000000"/>
          <w:sz w:val="28"/>
          <w:szCs w:val="28"/>
          <w:lang w:val="zh-CN"/>
        </w:rPr>
        <w:t>分包供应商名称（</w:t>
      </w:r>
      <w:r>
        <w:rPr>
          <w:rFonts w:hint="eastAsia" w:ascii="仿宋" w:hAnsi="仿宋" w:eastAsia="仿宋"/>
          <w:color w:val="000000"/>
          <w:sz w:val="28"/>
          <w:szCs w:val="28"/>
        </w:rPr>
        <w:t>盖公章</w:t>
      </w:r>
      <w:r>
        <w:rPr>
          <w:rFonts w:hint="eastAsia" w:ascii="仿宋" w:hAnsi="仿宋" w:eastAsia="仿宋"/>
          <w:color w:val="000000"/>
          <w:sz w:val="28"/>
          <w:szCs w:val="28"/>
          <w:lang w:val="zh-CN"/>
        </w:rPr>
        <w:t>）：</w:t>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r>
        <w:rPr>
          <w:rFonts w:hint="eastAsia" w:ascii="仿宋" w:hAnsi="仿宋" w:eastAsia="仿宋"/>
          <w:color w:val="000000"/>
          <w:sz w:val="28"/>
          <w:szCs w:val="28"/>
          <w:u w:val="single"/>
          <w:lang w:val="zh-CN"/>
        </w:rPr>
        <w:tab/>
      </w:r>
    </w:p>
    <w:p>
      <w:pPr>
        <w:snapToGrid w:val="0"/>
        <w:spacing w:line="360" w:lineRule="exact"/>
        <w:ind w:firstLine="840" w:firstLineChars="300"/>
        <w:rPr>
          <w:rFonts w:ascii="仿宋" w:hAnsi="仿宋" w:eastAsia="仿宋"/>
          <w:color w:val="000000"/>
          <w:sz w:val="28"/>
          <w:szCs w:val="28"/>
        </w:rPr>
      </w:pPr>
      <w:r>
        <w:rPr>
          <w:rFonts w:hint="eastAsia" w:ascii="仿宋" w:hAnsi="仿宋" w:eastAsia="仿宋"/>
          <w:color w:val="000000"/>
          <w:sz w:val="28"/>
          <w:szCs w:val="28"/>
          <w:lang w:val="zh-CN"/>
        </w:rPr>
        <w:t>……</w:t>
      </w:r>
    </w:p>
    <w:p>
      <w:pPr>
        <w:snapToGrid w:val="0"/>
        <w:spacing w:line="400" w:lineRule="exact"/>
        <w:ind w:firstLine="840" w:firstLineChars="300"/>
        <w:rPr>
          <w:rFonts w:ascii="Times New Roman" w:hAnsi="Times New Roman"/>
          <w:color w:val="000000"/>
        </w:rPr>
      </w:pPr>
      <w:r>
        <w:rPr>
          <w:rFonts w:hint="eastAsia" w:ascii="仿宋" w:hAnsi="仿宋" w:eastAsia="仿宋"/>
          <w:color w:val="000000"/>
          <w:sz w:val="28"/>
          <w:szCs w:val="28"/>
          <w:lang w:val="zh-CN"/>
        </w:rPr>
        <w:t xml:space="preserve">                                 日期：</w:t>
      </w:r>
      <w:r>
        <w:rPr>
          <w:rFonts w:hint="eastAsia" w:ascii="仿宋" w:hAnsi="仿宋" w:eastAsia="仿宋"/>
          <w:color w:val="000000"/>
          <w:sz w:val="28"/>
          <w:szCs w:val="28"/>
          <w:u w:val="single"/>
          <w:lang w:val="zh-CN"/>
        </w:rPr>
        <w:t xml:space="preserve">  年  月   日</w:t>
      </w:r>
    </w:p>
    <w:p>
      <w:pPr>
        <w:snapToGrid w:val="0"/>
        <w:spacing w:before="50" w:after="50"/>
        <w:jc w:val="left"/>
        <w:rPr>
          <w:rFonts w:ascii="仿宋" w:hAnsi="仿宋" w:eastAsia="仿宋"/>
          <w:color w:val="000000"/>
          <w:sz w:val="30"/>
          <w:szCs w:val="30"/>
        </w:rPr>
      </w:pPr>
      <w:r>
        <w:rPr>
          <w:rFonts w:hint="eastAsia" w:ascii="仿宋" w:hAnsi="仿宋" w:eastAsia="仿宋"/>
          <w:color w:val="000000"/>
          <w:sz w:val="30"/>
          <w:szCs w:val="30"/>
        </w:rPr>
        <w:t>附件7：</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中小企业声明函（货物）</w:t>
      </w:r>
    </w:p>
    <w:p>
      <w:pPr>
        <w:snapToGrid w:val="0"/>
        <w:spacing w:line="360" w:lineRule="auto"/>
        <w:rPr>
          <w:rFonts w:ascii="仿宋" w:hAnsi="仿宋" w:eastAsia="仿宋"/>
          <w:color w:val="000000"/>
          <w:sz w:val="28"/>
          <w:szCs w:val="28"/>
        </w:rPr>
      </w:pP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本公司（联合体）郑重声明，根据《政府采购促进中小企业发展管理办法》（财库﹝2020﹞46 号）的规定，本公司（联合体）参加</w:t>
      </w:r>
      <w:r>
        <w:rPr>
          <w:rFonts w:hint="eastAsia" w:ascii="仿宋" w:hAnsi="仿宋" w:eastAsia="仿宋"/>
          <w:color w:val="000000"/>
          <w:sz w:val="28"/>
          <w:szCs w:val="28"/>
          <w:u w:val="single"/>
        </w:rPr>
        <w:t>（单位名称）</w:t>
      </w:r>
      <w:r>
        <w:rPr>
          <w:rFonts w:hint="eastAsia" w:ascii="仿宋" w:hAnsi="仿宋" w:eastAsia="仿宋"/>
          <w:color w:val="000000"/>
          <w:sz w:val="28"/>
          <w:szCs w:val="28"/>
        </w:rPr>
        <w:t>的</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，属于</w:t>
      </w:r>
      <w:r>
        <w:rPr>
          <w:rFonts w:hint="eastAsia" w:ascii="仿宋" w:hAnsi="仿宋" w:eastAsia="仿宋"/>
          <w:color w:val="000000"/>
          <w:sz w:val="28"/>
          <w:szCs w:val="28"/>
          <w:u w:val="single"/>
        </w:rPr>
        <w:t>（采购文件中明确的所属行业） 行业</w:t>
      </w:r>
      <w:r>
        <w:rPr>
          <w:rFonts w:hint="eastAsia" w:ascii="仿宋" w:hAnsi="仿宋" w:eastAsia="仿宋"/>
          <w:color w:val="000000"/>
          <w:sz w:val="28"/>
          <w:szCs w:val="28"/>
        </w:rPr>
        <w:t>；制造商为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w:t>
      </w:r>
      <w:r>
        <w:rPr>
          <w:rFonts w:hint="eastAsia" w:ascii="仿宋" w:hAnsi="仿宋" w:eastAsia="仿宋"/>
          <w:color w:val="000000"/>
          <w:sz w:val="28"/>
          <w:szCs w:val="28"/>
          <w:vertAlign w:val="superscript"/>
        </w:rPr>
        <w:t xml:space="preserve"> 1</w:t>
      </w:r>
      <w:r>
        <w:rPr>
          <w:rFonts w:hint="eastAsia" w:ascii="仿宋" w:hAnsi="仿宋" w:eastAsia="仿宋"/>
          <w:color w:val="000000"/>
          <w:sz w:val="28"/>
          <w:szCs w:val="28"/>
        </w:rPr>
        <w:t>，属于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2. </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 xml:space="preserve"> ，属于（</w:t>
      </w:r>
      <w:r>
        <w:rPr>
          <w:rFonts w:hint="eastAsia" w:ascii="仿宋" w:hAnsi="仿宋" w:eastAsia="仿宋"/>
          <w:color w:val="000000"/>
          <w:sz w:val="28"/>
          <w:szCs w:val="28"/>
          <w:u w:val="single"/>
        </w:rPr>
        <w:t xml:space="preserve">采购文件中明确的所属行业） </w:t>
      </w:r>
      <w:r>
        <w:rPr>
          <w:rFonts w:hint="eastAsia" w:ascii="仿宋" w:hAnsi="仿宋" w:eastAsia="仿宋"/>
          <w:color w:val="000000"/>
          <w:sz w:val="28"/>
          <w:szCs w:val="28"/>
        </w:rPr>
        <w:t>行业；制造商为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投标人名称（盖章）：</w:t>
      </w:r>
      <w:r>
        <w:rPr>
          <w:rFonts w:hint="eastAsia" w:ascii="仿宋" w:hAnsi="仿宋" w:eastAsia="仿宋"/>
          <w:color w:val="000000"/>
          <w:sz w:val="28"/>
          <w:szCs w:val="28"/>
          <w:u w:val="single"/>
        </w:rPr>
        <w:t xml:space="preserve">         </w:t>
      </w:r>
    </w:p>
    <w:p>
      <w:pPr>
        <w:wordWrap w:val="0"/>
        <w:snapToGrid w:val="0"/>
        <w:spacing w:line="360" w:lineRule="auto"/>
        <w:ind w:right="1120"/>
        <w:jc w:val="right"/>
        <w:rPr>
          <w:rFonts w:ascii="仿宋" w:hAnsi="仿宋" w:eastAsia="仿宋"/>
          <w:color w:val="000000"/>
          <w:sz w:val="28"/>
          <w:szCs w:val="28"/>
          <w:u w:val="single"/>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p>
    <w:p>
      <w:pPr>
        <w:widowControl w:val="0"/>
        <w:spacing w:before="120" w:beforeLines="50" w:after="120" w:afterLines="50" w:line="360" w:lineRule="auto"/>
        <w:jc w:val="both"/>
        <w:rPr>
          <w:rFonts w:ascii="Times New Roman" w:hAnsi="Times New Roman" w:eastAsia="宋体" w:cs="Times New Roman"/>
          <w:b/>
          <w:color w:val="000000"/>
          <w:kern w:val="2"/>
          <w:sz w:val="24"/>
          <w:szCs w:val="24"/>
          <w:lang w:val="en-US" w:eastAsia="zh-CN" w:bidi="ar-SA"/>
        </w:rPr>
      </w:pPr>
      <w:r>
        <w:rPr>
          <w:rFonts w:ascii="Times New Roman" w:hAnsi="Courier New" w:eastAsia="Times New Roman" w:cs="Times New Roman"/>
          <w:color w:val="000000"/>
          <w:kern w:val="2"/>
          <w:position w:val="6"/>
          <w:sz w:val="11"/>
          <w:szCs w:val="24"/>
          <w:lang w:val="en-US" w:eastAsia="zh-CN" w:bidi="ar-SA"/>
        </w:rPr>
        <w:t>1</w:t>
      </w:r>
      <w:r>
        <w:rPr>
          <w:rFonts w:hint="eastAsia" w:ascii="宋体" w:hAnsi="Courier New" w:eastAsia="宋体" w:cs="Times New Roman"/>
          <w:color w:val="000000"/>
          <w:kern w:val="2"/>
          <w:sz w:val="18"/>
          <w:szCs w:val="24"/>
          <w:lang w:val="en-US" w:eastAsia="zh-CN" w:bidi="ar-SA"/>
        </w:rPr>
        <w:t>从业人员、营业收入、资产总额填报上一年度数据，无上一年度数据的新成立企业可不填报。</w:t>
      </w:r>
    </w:p>
    <w:p>
      <w:pPr>
        <w:snapToGrid w:val="0"/>
        <w:spacing w:line="360" w:lineRule="auto"/>
        <w:jc w:val="right"/>
        <w:rPr>
          <w:rFonts w:ascii="仿宋" w:hAnsi="仿宋" w:eastAsia="仿宋"/>
          <w:color w:val="000000"/>
          <w:sz w:val="28"/>
          <w:szCs w:val="28"/>
        </w:rPr>
      </w:pPr>
    </w:p>
    <w:p>
      <w:pPr>
        <w:widowControl/>
        <w:jc w:val="left"/>
        <w:rPr>
          <w:rFonts w:ascii="仿宋" w:hAnsi="仿宋" w:eastAsia="仿宋"/>
          <w:b/>
          <w:color w:val="000000"/>
          <w:sz w:val="36"/>
          <w:szCs w:val="36"/>
        </w:rPr>
      </w:pPr>
      <w:r>
        <w:rPr>
          <w:rFonts w:hint="eastAsia" w:ascii="仿宋" w:hAnsi="仿宋" w:eastAsia="仿宋"/>
          <w:b/>
          <w:color w:val="000000"/>
          <w:kern w:val="0"/>
          <w:sz w:val="36"/>
          <w:szCs w:val="36"/>
        </w:rPr>
        <w:br w:type="page"/>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中小企业声明函（工程、服务）</w:t>
      </w:r>
    </w:p>
    <w:p>
      <w:pPr>
        <w:snapToGrid w:val="0"/>
        <w:spacing w:line="312" w:lineRule="auto"/>
        <w:ind w:firstLine="560" w:firstLineChars="200"/>
        <w:rPr>
          <w:rFonts w:ascii="仿宋" w:hAnsi="仿宋" w:eastAsia="仿宋"/>
          <w:color w:val="000000"/>
          <w:sz w:val="28"/>
          <w:szCs w:val="28"/>
        </w:rPr>
      </w:pP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本公司（联合体）郑重声明，根据《政府采购促进中小企业发展管理办法》（财库﹝2020﹞46 号）的规定，本公司（联合体）参加</w:t>
      </w:r>
      <w:r>
        <w:rPr>
          <w:rFonts w:hint="eastAsia" w:ascii="仿宋" w:hAnsi="仿宋" w:eastAsia="仿宋"/>
          <w:color w:val="000000"/>
          <w:sz w:val="28"/>
          <w:szCs w:val="28"/>
          <w:u w:val="single"/>
        </w:rPr>
        <w:t>（单位名称）</w:t>
      </w:r>
      <w:r>
        <w:rPr>
          <w:rFonts w:hint="eastAsia" w:ascii="仿宋" w:hAnsi="仿宋" w:eastAsia="仿宋"/>
          <w:color w:val="000000"/>
          <w:sz w:val="28"/>
          <w:szCs w:val="28"/>
        </w:rPr>
        <w:t>的</w:t>
      </w:r>
      <w:r>
        <w:rPr>
          <w:rFonts w:hint="eastAsia" w:ascii="仿宋" w:hAnsi="仿宋" w:eastAsia="仿宋"/>
          <w:color w:val="000000"/>
          <w:sz w:val="28"/>
          <w:szCs w:val="28"/>
          <w:u w:val="single"/>
        </w:rPr>
        <w:t>（项目名称）</w:t>
      </w:r>
      <w:r>
        <w:rPr>
          <w:rFonts w:hint="eastAsia" w:ascii="仿宋" w:hAnsi="仿宋" w:eastAsia="仿宋"/>
          <w:color w:val="000000"/>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，属于</w:t>
      </w:r>
      <w:r>
        <w:rPr>
          <w:rFonts w:hint="eastAsia" w:ascii="仿宋" w:hAnsi="仿宋" w:eastAsia="仿宋"/>
          <w:color w:val="000000"/>
          <w:sz w:val="28"/>
          <w:szCs w:val="28"/>
          <w:u w:val="single"/>
        </w:rPr>
        <w:t>（采购文件中明确的所属行业）</w:t>
      </w:r>
      <w:r>
        <w:rPr>
          <w:rFonts w:hint="eastAsia" w:ascii="仿宋" w:hAnsi="仿宋" w:eastAsia="仿宋"/>
          <w:color w:val="000000"/>
          <w:sz w:val="28"/>
          <w:szCs w:val="28"/>
        </w:rPr>
        <w:t>； 承建（承接）企业为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w:t>
      </w:r>
      <w:r>
        <w:rPr>
          <w:rFonts w:hint="eastAsia" w:ascii="仿宋" w:hAnsi="仿宋" w:eastAsia="仿宋"/>
          <w:color w:val="000000"/>
          <w:sz w:val="28"/>
          <w:szCs w:val="28"/>
          <w:vertAlign w:val="superscript"/>
        </w:rPr>
        <w:t xml:space="preserve"> 1</w:t>
      </w:r>
      <w:r>
        <w:rPr>
          <w:rFonts w:hint="eastAsia" w:ascii="仿宋" w:hAnsi="仿宋" w:eastAsia="仿宋"/>
          <w:color w:val="000000"/>
          <w:sz w:val="28"/>
          <w:szCs w:val="28"/>
        </w:rPr>
        <w:t>，属于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 xml:space="preserve">2. </w:t>
      </w:r>
      <w:r>
        <w:rPr>
          <w:rFonts w:hint="eastAsia" w:ascii="仿宋" w:hAnsi="仿宋" w:eastAsia="仿宋"/>
          <w:color w:val="000000"/>
          <w:sz w:val="28"/>
          <w:szCs w:val="28"/>
          <w:u w:val="single"/>
        </w:rPr>
        <w:t>（标的名称）</w:t>
      </w:r>
      <w:r>
        <w:rPr>
          <w:rFonts w:hint="eastAsia" w:ascii="仿宋" w:hAnsi="仿宋" w:eastAsia="仿宋"/>
          <w:color w:val="000000"/>
          <w:sz w:val="28"/>
          <w:szCs w:val="28"/>
        </w:rPr>
        <w:t xml:space="preserve"> ，属于</w:t>
      </w:r>
      <w:r>
        <w:rPr>
          <w:rFonts w:hint="eastAsia" w:ascii="仿宋" w:hAnsi="仿宋" w:eastAsia="仿宋"/>
          <w:color w:val="000000"/>
          <w:sz w:val="28"/>
          <w:szCs w:val="28"/>
          <w:u w:val="single"/>
        </w:rPr>
        <w:t>（采购文件中明确的所属行业）</w:t>
      </w:r>
      <w:r>
        <w:rPr>
          <w:rFonts w:hint="eastAsia" w:ascii="仿宋" w:hAnsi="仿宋" w:eastAsia="仿宋"/>
          <w:color w:val="000000"/>
          <w:sz w:val="28"/>
          <w:szCs w:val="28"/>
        </w:rPr>
        <w:t>；承建（承接）企业为</w:t>
      </w:r>
      <w:r>
        <w:rPr>
          <w:rFonts w:hint="eastAsia" w:ascii="仿宋" w:hAnsi="仿宋" w:eastAsia="仿宋"/>
          <w:color w:val="000000"/>
          <w:sz w:val="28"/>
          <w:szCs w:val="28"/>
          <w:u w:val="single"/>
        </w:rPr>
        <w:t>（企业名称）</w:t>
      </w:r>
      <w:r>
        <w:rPr>
          <w:rFonts w:hint="eastAsia" w:ascii="仿宋" w:hAnsi="仿宋" w:eastAsia="仿宋"/>
          <w:color w:val="000000"/>
          <w:sz w:val="28"/>
          <w:szCs w:val="28"/>
        </w:rPr>
        <w:t>，从业人员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人，营业收入为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万元，资产总额为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万元，属于</w:t>
      </w:r>
      <w:r>
        <w:rPr>
          <w:rFonts w:hint="eastAsia" w:ascii="仿宋" w:hAnsi="仿宋" w:eastAsia="仿宋"/>
          <w:color w:val="000000"/>
          <w:sz w:val="28"/>
          <w:szCs w:val="28"/>
          <w:u w:val="single"/>
        </w:rPr>
        <w:t>（中型企业、小型企业、微型企业）</w:t>
      </w:r>
      <w:r>
        <w:rPr>
          <w:rFonts w:hint="eastAsia" w:ascii="仿宋" w:hAnsi="仿宋" w:eastAsia="仿宋"/>
          <w:color w:val="000000"/>
          <w:sz w:val="28"/>
          <w:szCs w:val="28"/>
        </w:rPr>
        <w:t xml:space="preserve">； </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 xml:space="preserve">…… </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color w:val="000000"/>
          <w:sz w:val="28"/>
          <w:szCs w:val="28"/>
        </w:rPr>
      </w:pPr>
      <w:r>
        <w:rPr>
          <w:rFonts w:hint="eastAsia" w:ascii="仿宋" w:hAnsi="仿宋" w:eastAsia="仿宋"/>
          <w:color w:val="000000"/>
          <w:sz w:val="28"/>
          <w:szCs w:val="28"/>
        </w:rPr>
        <w:t>投标人名称（盖章）：</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snapToGrid w:val="0"/>
        <w:spacing w:line="312" w:lineRule="auto"/>
        <w:ind w:firstLine="4620" w:firstLineChars="1650"/>
        <w:rPr>
          <w:rFonts w:ascii="仿宋" w:hAnsi="仿宋" w:eastAsia="仿宋"/>
          <w:color w:val="000000"/>
          <w:sz w:val="28"/>
          <w:szCs w:val="28"/>
          <w:u w:val="single"/>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p>
    <w:p>
      <w:pPr>
        <w:widowControl w:val="0"/>
        <w:spacing w:before="120" w:beforeLines="50" w:after="120" w:afterLines="50" w:line="360" w:lineRule="auto"/>
        <w:jc w:val="both"/>
        <w:rPr>
          <w:rFonts w:ascii="Times New Roman" w:hAnsi="Times New Roman" w:eastAsia="宋体" w:cs="Times New Roman"/>
          <w:b/>
          <w:color w:val="000000"/>
          <w:kern w:val="2"/>
          <w:sz w:val="24"/>
          <w:szCs w:val="24"/>
          <w:lang w:val="en-US" w:eastAsia="zh-CN" w:bidi="ar-SA"/>
        </w:rPr>
      </w:pPr>
      <w:r>
        <w:rPr>
          <w:rFonts w:ascii="Times New Roman" w:hAnsi="Courier New" w:eastAsia="Times New Roman" w:cs="Times New Roman"/>
          <w:color w:val="000000"/>
          <w:kern w:val="2"/>
          <w:position w:val="6"/>
          <w:sz w:val="11"/>
          <w:szCs w:val="24"/>
          <w:lang w:val="en-US" w:eastAsia="zh-CN" w:bidi="ar-SA"/>
        </w:rPr>
        <w:t>1</w:t>
      </w:r>
      <w:r>
        <w:rPr>
          <w:rFonts w:hint="eastAsia" w:ascii="宋体" w:hAnsi="Courier New" w:eastAsia="宋体" w:cs="Times New Roman"/>
          <w:color w:val="000000"/>
          <w:kern w:val="2"/>
          <w:sz w:val="18"/>
          <w:szCs w:val="24"/>
          <w:lang w:val="en-US" w:eastAsia="zh-CN" w:bidi="ar-SA"/>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color w:val="000000"/>
          <w:sz w:val="28"/>
          <w:szCs w:val="28"/>
        </w:rPr>
      </w:pPr>
    </w:p>
    <w:p>
      <w:pPr>
        <w:snapToGrid w:val="0"/>
        <w:spacing w:line="312" w:lineRule="auto"/>
        <w:ind w:firstLine="753" w:firstLineChars="250"/>
        <w:jc w:val="center"/>
        <w:rPr>
          <w:rFonts w:ascii="仿宋" w:hAnsi="仿宋" w:eastAsia="仿宋"/>
          <w:b/>
          <w:color w:val="000000"/>
          <w:sz w:val="30"/>
          <w:szCs w:val="30"/>
        </w:rPr>
      </w:pPr>
    </w:p>
    <w:p>
      <w:pPr>
        <w:jc w:val="left"/>
        <w:rPr>
          <w:rFonts w:ascii="仿宋" w:hAnsi="仿宋" w:eastAsia="仿宋"/>
          <w:color w:val="000000"/>
        </w:rPr>
      </w:pPr>
      <w:r>
        <w:rPr>
          <w:rFonts w:hint="eastAsia" w:ascii="仿宋" w:hAnsi="仿宋" w:eastAsia="仿宋"/>
          <w:color w:val="000000"/>
          <w:sz w:val="30"/>
          <w:szCs w:val="30"/>
        </w:rPr>
        <w:t>附件8：</w:t>
      </w:r>
    </w:p>
    <w:p>
      <w:pPr>
        <w:rPr>
          <w:rFonts w:ascii="仿宋" w:hAnsi="仿宋" w:eastAsia="仿宋"/>
          <w:color w:val="000000"/>
        </w:rPr>
      </w:pPr>
    </w:p>
    <w:p>
      <w:pPr>
        <w:spacing w:line="588" w:lineRule="exact"/>
        <w:jc w:val="center"/>
        <w:rPr>
          <w:rFonts w:ascii="仿宋_GB2312" w:hAnsi="Times New Roman" w:eastAsia="仿宋_GB2312"/>
          <w:b/>
          <w:color w:val="000000"/>
          <w:spacing w:val="6"/>
          <w:sz w:val="32"/>
          <w:szCs w:val="32"/>
        </w:rPr>
      </w:pPr>
      <w:r>
        <w:rPr>
          <w:rFonts w:hint="eastAsia" w:ascii="仿宋_GB2312" w:hAnsi="Times New Roman" w:eastAsia="仿宋_GB2312"/>
          <w:b/>
          <w:color w:val="000000"/>
          <w:spacing w:val="6"/>
          <w:sz w:val="32"/>
          <w:szCs w:val="32"/>
        </w:rPr>
        <w:t>残疾人福利性单位声明函</w:t>
      </w:r>
    </w:p>
    <w:p>
      <w:pPr>
        <w:spacing w:line="588" w:lineRule="exact"/>
        <w:rPr>
          <w:rFonts w:ascii="仿宋_GB2312" w:hAnsi="Times New Roman" w:eastAsia="仿宋_GB2312"/>
          <w:b/>
          <w:color w:val="000000"/>
          <w:spacing w:val="6"/>
          <w:sz w:val="30"/>
          <w:szCs w:val="30"/>
        </w:rPr>
      </w:pPr>
    </w:p>
    <w:p>
      <w:pPr>
        <w:snapToGrid w:val="0"/>
        <w:spacing w:line="360" w:lineRule="auto"/>
        <w:ind w:firstLine="840" w:firstLineChars="300"/>
        <w:rPr>
          <w:rFonts w:ascii="仿宋" w:hAnsi="仿宋" w:eastAsia="仿宋"/>
          <w:color w:val="000000"/>
          <w:sz w:val="28"/>
          <w:szCs w:val="28"/>
        </w:rPr>
      </w:pPr>
      <w:r>
        <w:rPr>
          <w:rFonts w:hint="eastAsia" w:ascii="仿宋" w:hAnsi="仿宋" w:eastAsia="仿宋"/>
          <w:color w:val="000000"/>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000000"/>
          <w:sz w:val="28"/>
          <w:szCs w:val="28"/>
        </w:rPr>
      </w:pPr>
    </w:p>
    <w:p>
      <w:pPr>
        <w:spacing w:line="588" w:lineRule="exact"/>
        <w:ind w:firstLine="624" w:firstLineChars="200"/>
        <w:rPr>
          <w:rFonts w:ascii="仿宋_GB2312" w:hAnsi="Times New Roman" w:eastAsia="仿宋_GB2312"/>
          <w:color w:val="000000"/>
          <w:spacing w:val="6"/>
          <w:sz w:val="30"/>
          <w:szCs w:val="30"/>
        </w:rPr>
      </w:pPr>
    </w:p>
    <w:p>
      <w:pPr>
        <w:wordWrap w:val="0"/>
        <w:snapToGrid w:val="0"/>
        <w:spacing w:line="360" w:lineRule="auto"/>
        <w:ind w:firstLine="560" w:firstLineChars="200"/>
        <w:jc w:val="right"/>
        <w:rPr>
          <w:rFonts w:ascii="仿宋" w:hAnsi="仿宋" w:eastAsia="仿宋"/>
          <w:color w:val="000000"/>
          <w:sz w:val="28"/>
          <w:szCs w:val="28"/>
          <w:u w:val="single"/>
        </w:rPr>
      </w:pPr>
      <w:r>
        <w:rPr>
          <w:rFonts w:hint="eastAsia" w:ascii="仿宋" w:hAnsi="仿宋" w:eastAsia="仿宋"/>
          <w:color w:val="000000"/>
          <w:sz w:val="28"/>
          <w:szCs w:val="28"/>
        </w:rPr>
        <w:t xml:space="preserve">      投标人名称（盖章）：</w:t>
      </w:r>
      <w:r>
        <w:rPr>
          <w:rFonts w:hint="eastAsia" w:ascii="仿宋" w:hAnsi="仿宋" w:eastAsia="仿宋"/>
          <w:color w:val="000000"/>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r>
        <w:rPr>
          <w:rFonts w:hint="eastAsia" w:ascii="仿宋" w:hAnsi="仿宋" w:eastAsia="仿宋"/>
          <w:color w:val="000000"/>
          <w:sz w:val="28"/>
          <w:szCs w:val="28"/>
        </w:rPr>
        <w:t xml:space="preserve">       日  期：</w:t>
      </w:r>
      <w:r>
        <w:rPr>
          <w:rFonts w:hint="eastAsia" w:ascii="仿宋" w:hAnsi="仿宋" w:eastAsia="仿宋"/>
          <w:color w:val="000000"/>
          <w:sz w:val="28"/>
          <w:szCs w:val="28"/>
          <w:u w:val="single"/>
        </w:rPr>
        <w:t xml:space="preserve">       </w:t>
      </w:r>
    </w:p>
    <w:p>
      <w:pPr>
        <w:rPr>
          <w:rFonts w:ascii="Times New Roman" w:hAnsi="Times New Roman"/>
          <w:color w:val="000000"/>
        </w:rPr>
      </w:pPr>
    </w:p>
    <w:p>
      <w:pPr>
        <w:rPr>
          <w:rFonts w:ascii="Times New Roman" w:hAnsi="Times New Roman"/>
          <w:color w:val="000000"/>
        </w:rPr>
      </w:pPr>
    </w:p>
    <w:p>
      <w:pPr>
        <w:widowControl/>
        <w:jc w:val="left"/>
        <w:rPr>
          <w:rFonts w:ascii="仿宋" w:hAnsi="仿宋" w:eastAsia="仿宋"/>
          <w:color w:val="000000"/>
          <w:sz w:val="30"/>
          <w:szCs w:val="30"/>
        </w:rPr>
      </w:pPr>
    </w:p>
    <w:p>
      <w:pPr>
        <w:widowControl/>
        <w:jc w:val="left"/>
        <w:rPr>
          <w:rFonts w:ascii="仿宋" w:hAnsi="仿宋" w:eastAsia="仿宋"/>
          <w:color w:val="000000"/>
          <w:sz w:val="30"/>
          <w:szCs w:val="30"/>
        </w:rPr>
      </w:pPr>
      <w:r>
        <w:rPr>
          <w:rFonts w:hint="eastAsia" w:ascii="仿宋" w:hAnsi="仿宋" w:eastAsia="仿宋"/>
          <w:color w:val="000000"/>
          <w:kern w:val="0"/>
          <w:sz w:val="30"/>
          <w:szCs w:val="30"/>
        </w:rPr>
        <w:br w:type="page"/>
      </w: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261" w:name="PO_1000000445_PM002"/>
      <w:r>
        <w:rPr>
          <w:rFonts w:hint="eastAsia" w:ascii="仿宋" w:hAnsi="仿宋" w:eastAsia="仿宋"/>
          <w:b/>
          <w:color w:val="000000"/>
          <w:spacing w:val="40"/>
          <w:sz w:val="52"/>
          <w:szCs w:val="52"/>
        </w:rPr>
        <w:t>2023年度浙江省大气复合污染立体监测网络功能性站位运维项目</w:t>
      </w:r>
      <w:bookmarkEnd w:id="261"/>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262" w:name="PO_15528_PM001_4"/>
      <w:r>
        <w:rPr>
          <w:rFonts w:hint="eastAsia" w:ascii="仿宋" w:hAnsi="仿宋" w:eastAsia="仿宋"/>
          <w:color w:val="000000"/>
          <w:sz w:val="36"/>
          <w:szCs w:val="36"/>
        </w:rPr>
        <w:t>ZZCG2023Z-GK-104</w:t>
      </w:r>
      <w:bookmarkEnd w:id="262"/>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widowControl w:val="0"/>
        <w:snapToGrid w:val="0"/>
        <w:spacing w:before="152" w:after="16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widowControl w:val="0"/>
        <w:snapToGrid w:val="0"/>
        <w:spacing w:before="152" w:after="160"/>
        <w:jc w:val="both"/>
        <w:rPr>
          <w:rFonts w:ascii="仿宋" w:hAnsi="仿宋" w:eastAsia="仿宋" w:cs="Times New Roman"/>
          <w:color w:val="000000"/>
          <w:kern w:val="0"/>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投标人全称（公章）：                标项：</w:t>
      </w:r>
    </w:p>
    <w:p>
      <w:pPr>
        <w:widowControl w:val="0"/>
        <w:snapToGrid w:val="0"/>
        <w:spacing w:before="152" w:after="160"/>
        <w:jc w:val="both"/>
        <w:rPr>
          <w:rFonts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货物类</w:t>
      </w:r>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widowControl w:val="0"/>
        <w:snapToGrid w:val="0"/>
        <w:spacing w:before="152" w:after="16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00" w:lineRule="exact"/>
              <w:jc w:val="both"/>
              <w:outlineLvl w:val="0"/>
              <w:rPr>
                <w:rFonts w:ascii="仿宋" w:hAnsi="仿宋" w:eastAsia="仿宋" w:cs="Times New Roman"/>
                <w:color w:val="000000"/>
                <w:kern w:val="2"/>
                <w:sz w:val="30"/>
                <w:szCs w:val="30"/>
                <w:lang w:val="en-US" w:eastAsia="zh-CN" w:bidi="ar-SA"/>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00" w:lineRule="exact"/>
              <w:jc w:val="both"/>
              <w:outlineLvl w:val="0"/>
              <w:rPr>
                <w:rFonts w:ascii="仿宋" w:hAnsi="仿宋" w:eastAsia="仿宋" w:cs="Times New Roman"/>
                <w:color w:val="000000"/>
                <w:kern w:val="2"/>
                <w:sz w:val="30"/>
                <w:szCs w:val="30"/>
                <w:lang w:val="en-US" w:eastAsia="zh-CN" w:bidi="ar-SA"/>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rPr>
                <w:rFonts w:ascii="仿宋" w:hAnsi="仿宋" w:eastAsia="仿宋" w:cs="Times New Roman"/>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00" w:lineRule="exact"/>
              <w:jc w:val="both"/>
              <w:outlineLvl w:val="0"/>
              <w:rPr>
                <w:rFonts w:ascii="仿宋" w:hAnsi="仿宋" w:eastAsia="仿宋" w:cs="Times New Roman"/>
                <w:color w:val="000000"/>
                <w:kern w:val="2"/>
                <w:sz w:val="30"/>
                <w:szCs w:val="30"/>
                <w:lang w:val="en-US" w:eastAsia="zh-CN" w:bidi="ar-SA"/>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00" w:lineRule="exact"/>
              <w:jc w:val="both"/>
              <w:outlineLvl w:val="0"/>
              <w:rPr>
                <w:rFonts w:ascii="仿宋" w:hAnsi="仿宋" w:eastAsia="仿宋" w:cs="Times New Roman"/>
                <w:color w:val="000000"/>
                <w:kern w:val="2"/>
                <w:sz w:val="30"/>
                <w:szCs w:val="30"/>
                <w:lang w:val="en-US" w:eastAsia="zh-CN" w:bidi="ar-SA"/>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c>
          <w:tcPr>
            <w:tcW w:w="2424" w:type="dxa"/>
            <w:tcBorders>
              <w:top w:val="single" w:color="auto" w:sz="4" w:space="0"/>
              <w:left w:val="single" w:color="auto" w:sz="4" w:space="0"/>
              <w:bottom w:val="nil"/>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00" w:lineRule="exact"/>
              <w:jc w:val="both"/>
              <w:outlineLvl w:val="0"/>
              <w:rPr>
                <w:rFonts w:ascii="仿宋" w:hAnsi="仿宋" w:eastAsia="仿宋" w:cs="Times New Roman"/>
                <w:color w:val="000000"/>
                <w:kern w:val="2"/>
                <w:sz w:val="30"/>
                <w:szCs w:val="30"/>
                <w:lang w:val="en-US" w:eastAsia="zh-CN" w:bidi="ar-SA"/>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before="120" w:beforeLines="50" w:after="120" w:afterLines="50" w:line="400" w:lineRule="exact"/>
              <w:jc w:val="both"/>
              <w:outlineLvl w:val="0"/>
              <w:rPr>
                <w:rFonts w:ascii="仿宋" w:hAnsi="仿宋" w:eastAsia="仿宋" w:cs="Times New Roman"/>
                <w:color w:val="000000"/>
                <w:kern w:val="2"/>
                <w:sz w:val="30"/>
                <w:szCs w:val="30"/>
                <w:lang w:val="en-US" w:eastAsia="zh-CN" w:bidi="ar-SA"/>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afterLines="50" w:line="240" w:lineRule="auto"/>
              <w:jc w:val="both"/>
              <w:outlineLvl w:val="0"/>
              <w:rPr>
                <w:rFonts w:ascii="仿宋" w:hAnsi="仿宋" w:eastAsia="仿宋" w:cs="Times New Roman"/>
                <w:color w:val="000000"/>
                <w:kern w:val="2"/>
                <w:sz w:val="30"/>
                <w:szCs w:val="30"/>
                <w:lang w:val="en-US" w:eastAsia="zh-CN" w:bidi="ar-SA"/>
              </w:rPr>
            </w:pPr>
          </w:p>
        </w:tc>
      </w:tr>
    </w:tbl>
    <w:p>
      <w:pPr>
        <w:widowControl w:val="0"/>
        <w:snapToGrid w:val="0"/>
        <w:spacing w:before="50" w:after="50"/>
        <w:jc w:val="both"/>
        <w:rPr>
          <w:rFonts w:ascii="仿宋" w:hAnsi="仿宋" w:eastAsia="仿宋" w:cs="Times New Roman"/>
          <w:b/>
          <w:bCs/>
          <w:color w:val="000000"/>
          <w:spacing w:val="20"/>
          <w:kern w:val="0"/>
          <w:sz w:val="30"/>
          <w:szCs w:val="30"/>
          <w:lang w:val="en-US" w:eastAsia="zh-CN" w:bidi="ar-SA"/>
        </w:rPr>
      </w:pPr>
      <w:r>
        <w:rPr>
          <w:rFonts w:hint="eastAsia" w:ascii="仿宋" w:hAnsi="仿宋" w:eastAsia="仿宋" w:cs="Times New Roman"/>
          <w:b/>
          <w:bCs/>
          <w:color w:val="000000"/>
          <w:kern w:val="2"/>
          <w:sz w:val="30"/>
          <w:szCs w:val="30"/>
          <w:lang w:val="en-US" w:eastAsia="zh-CN" w:bidi="ar-SA"/>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widowControl w:val="0"/>
        <w:snapToGrid w:val="0"/>
        <w:spacing w:before="152" w:after="16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投标人全称（公章）：              标项：</w:t>
      </w:r>
    </w:p>
    <w:tbl>
      <w:tblPr>
        <w:tblStyle w:val="59"/>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widowControl w:val="0"/>
              <w:snapToGrid w:val="0"/>
              <w:spacing w:before="120" w:beforeLines="50" w:after="120" w:line="460" w:lineRule="exact"/>
              <w:ind w:left="5250" w:leftChars="2500"/>
              <w:jc w:val="both"/>
              <w:rPr>
                <w:rFonts w:ascii="仿宋" w:hAnsi="仿宋" w:eastAsia="仿宋" w:cs="Times New Roman"/>
                <w:b/>
                <w:bCs/>
                <w:color w:val="000000"/>
                <w:kern w:val="0"/>
                <w:sz w:val="30"/>
                <w:szCs w:val="30"/>
                <w:lang w:val="en-US" w:eastAsia="zh-CN"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widowControl w:val="0"/>
        <w:snapToGrid w:val="0"/>
        <w:spacing w:before="120" w:beforeLines="50" w:after="120" w:afterLines="50" w:line="460" w:lineRule="exact"/>
        <w:jc w:val="both"/>
        <w:rPr>
          <w:rFonts w:ascii="仿宋" w:hAnsi="仿宋" w:eastAsia="仿宋" w:cs="Times New Roman"/>
          <w:color w:val="000000"/>
          <w:kern w:val="2"/>
          <w:sz w:val="30"/>
          <w:szCs w:val="30"/>
          <w:lang w:val="en-US" w:eastAsia="zh-CN" w:bidi="ar-SA"/>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widowControl w:val="0"/>
        <w:snapToGrid w:val="0"/>
        <w:spacing w:before="152" w:after="16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widowControl w:val="0"/>
        <w:snapToGrid w:val="0"/>
        <w:spacing w:before="152" w:after="160"/>
        <w:jc w:val="both"/>
        <w:rPr>
          <w:rFonts w:ascii="仿宋" w:hAnsi="仿宋" w:eastAsia="仿宋" w:cs="Times New Roman"/>
          <w:color w:val="000000"/>
          <w:kern w:val="2"/>
          <w:sz w:val="30"/>
          <w:szCs w:val="30"/>
          <w:u w:val="single"/>
          <w:lang w:val="en-US" w:eastAsia="zh-CN" w:bidi="ar-SA"/>
        </w:rPr>
      </w:pPr>
      <w:r>
        <w:rPr>
          <w:rFonts w:hint="eastAsia" w:ascii="仿宋" w:hAnsi="仿宋" w:eastAsia="仿宋" w:cs="Times New Roman"/>
          <w:color w:val="000000"/>
          <w:kern w:val="2"/>
          <w:sz w:val="30"/>
          <w:szCs w:val="30"/>
          <w:lang w:val="en-US" w:eastAsia="zh-CN" w:bidi="ar-SA"/>
        </w:rPr>
        <w:t>投标人全称（公章）：</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3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1"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widowControl w:val="0"/>
        <w:snapToGrid w:val="0"/>
        <w:spacing w:before="240" w:after="160"/>
        <w:jc w:val="both"/>
        <w:rPr>
          <w:rFonts w:ascii="仿宋" w:hAnsi="仿宋" w:eastAsia="仿宋" w:cs="Times New Roman"/>
          <w:color w:val="000000"/>
          <w:kern w:val="0"/>
          <w:sz w:val="30"/>
          <w:szCs w:val="30"/>
          <w:lang w:val="en-US" w:eastAsia="zh-CN" w:bidi="ar-SA"/>
        </w:rPr>
      </w:pPr>
      <w:r>
        <w:rPr>
          <w:rFonts w:hint="eastAsia" w:ascii="仿宋" w:hAnsi="仿宋" w:eastAsia="仿宋" w:cs="Times New Roman"/>
          <w:color w:val="000000"/>
          <w:kern w:val="2"/>
          <w:sz w:val="30"/>
          <w:szCs w:val="30"/>
          <w:lang w:val="en-US" w:eastAsia="zh-CN" w:bidi="ar-SA"/>
        </w:rPr>
        <w:t>授权代表签名：</w:t>
      </w:r>
      <w:r>
        <w:rPr>
          <w:rFonts w:hint="eastAsia" w:ascii="仿宋" w:hAnsi="仿宋" w:eastAsia="仿宋" w:cs="Times New Roman"/>
          <w:color w:val="000000"/>
          <w:kern w:val="2"/>
          <w:sz w:val="30"/>
          <w:szCs w:val="30"/>
          <w:u w:val="single"/>
          <w:lang w:val="en-US" w:eastAsia="zh-CN" w:bidi="ar-SA"/>
        </w:rPr>
        <w:t>　　　　　</w:t>
      </w:r>
      <w:r>
        <w:rPr>
          <w:rFonts w:hint="eastAsia" w:ascii="仿宋" w:hAnsi="仿宋" w:eastAsia="仿宋" w:cs="Times New Roman"/>
          <w:color w:val="000000"/>
          <w:kern w:val="2"/>
          <w:sz w:val="30"/>
          <w:szCs w:val="30"/>
          <w:lang w:val="en-US" w:eastAsia="zh-CN" w:bidi="ar-SA"/>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263" w:name="PO_1000000445_PM002_1"/>
      <w:r>
        <w:rPr>
          <w:rFonts w:hint="eastAsia" w:ascii="仿宋" w:hAnsi="仿宋" w:eastAsia="仿宋"/>
          <w:b/>
          <w:color w:val="000000"/>
          <w:spacing w:val="40"/>
          <w:sz w:val="52"/>
          <w:szCs w:val="52"/>
        </w:rPr>
        <w:t>2023年度浙江省大气复合污染立体监测网络功能性站位运维项目</w:t>
      </w:r>
      <w:bookmarkEnd w:id="263"/>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264" w:name="PO_1000000445_PM001"/>
      <w:r>
        <w:rPr>
          <w:rFonts w:hint="eastAsia" w:ascii="仿宋" w:hAnsi="仿宋" w:eastAsia="仿宋"/>
          <w:b/>
          <w:color w:val="000000"/>
          <w:sz w:val="36"/>
          <w:szCs w:val="36"/>
        </w:rPr>
        <w:t>ZZCG2023Z-GK-104</w:t>
      </w:r>
      <w:bookmarkEnd w:id="264"/>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widowControl w:val="0"/>
        <w:snapToGrid w:val="0"/>
        <w:spacing w:after="120"/>
        <w:ind w:left="0" w:leftChars="0"/>
        <w:jc w:val="both"/>
        <w:rPr>
          <w:rFonts w:ascii="仿宋" w:hAnsi="仿宋" w:eastAsia="仿宋" w:cs="Times New Roman"/>
          <w:b/>
          <w:color w:val="000000"/>
          <w:kern w:val="2"/>
          <w:sz w:val="36"/>
          <w:szCs w:val="36"/>
          <w:lang w:val="en-US" w:eastAsia="zh-CN" w:bidi="ar-SA"/>
        </w:rPr>
      </w:pPr>
      <w:r>
        <w:rPr>
          <w:rFonts w:hint="eastAsia" w:ascii="仿宋" w:hAnsi="仿宋" w:eastAsia="仿宋" w:cs="Times New Roman"/>
          <w:color w:val="000000"/>
          <w:kern w:val="0"/>
          <w:sz w:val="36"/>
          <w:szCs w:val="36"/>
          <w:lang w:val="en-US" w:eastAsia="zh-CN" w:bidi="ar-SA"/>
        </w:rPr>
        <w:br w:type="page"/>
      </w:r>
      <w:r>
        <w:rPr>
          <w:rFonts w:hint="eastAsia" w:ascii="仿宋" w:hAnsi="仿宋" w:eastAsia="仿宋" w:cs="Times New Roman"/>
          <w:color w:val="000000"/>
          <w:kern w:val="2"/>
          <w:sz w:val="36"/>
          <w:szCs w:val="36"/>
          <w:lang w:val="en-US" w:eastAsia="zh-CN" w:bidi="ar-SA"/>
        </w:rPr>
        <w:t>3、</w:t>
      </w:r>
      <w:r>
        <w:rPr>
          <w:rFonts w:hint="eastAsia" w:ascii="仿宋" w:hAnsi="仿宋" w:eastAsia="仿宋" w:cs="Times New Roman"/>
          <w:b/>
          <w:color w:val="000000"/>
          <w:kern w:val="2"/>
          <w:sz w:val="36"/>
          <w:szCs w:val="36"/>
          <w:lang w:val="en-US" w:eastAsia="zh-CN" w:bidi="ar-SA"/>
        </w:rPr>
        <w:t>报价文件目录</w:t>
      </w:r>
    </w:p>
    <w:p>
      <w:pPr>
        <w:snapToGrid w:val="0"/>
        <w:spacing w:line="460" w:lineRule="exact"/>
        <w:jc w:val="left"/>
        <w:rPr>
          <w:rFonts w:hint="eastAsia" w:ascii="仿宋" w:hAnsi="仿宋" w:eastAsia="仿宋"/>
          <w:color w:val="000000"/>
          <w:sz w:val="30"/>
          <w:szCs w:val="30"/>
        </w:rPr>
      </w:pPr>
      <w:r>
        <w:rPr>
          <w:rFonts w:hint="eastAsia" w:ascii="仿宋" w:hAnsi="仿宋" w:eastAsia="仿宋"/>
          <w:color w:val="000000"/>
          <w:sz w:val="30"/>
          <w:szCs w:val="30"/>
        </w:rPr>
        <w:t>（1）开标一览表（见附件17）；</w:t>
      </w:r>
    </w:p>
    <w:p>
      <w:pPr>
        <w:snapToGrid w:val="0"/>
        <w:spacing w:line="460" w:lineRule="exact"/>
        <w:jc w:val="left"/>
        <w:rPr>
          <w:rFonts w:hint="eastAsia"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jc w:val="left"/>
        <w:rPr>
          <w:rFonts w:hint="eastAsia" w:ascii="仿宋" w:hAnsi="仿宋" w:eastAsia="仿宋"/>
          <w:color w:val="000000"/>
          <w:sz w:val="30"/>
          <w:szCs w:val="30"/>
        </w:rPr>
      </w:pPr>
      <w:r>
        <w:rPr>
          <w:rFonts w:hint="eastAsia" w:ascii="仿宋" w:hAnsi="仿宋" w:eastAsia="仿宋"/>
          <w:color w:val="000000"/>
          <w:sz w:val="30"/>
          <w:szCs w:val="30"/>
        </w:rPr>
        <w:t>（3）中小企业声明函（若需要，格式见附件7）；</w:t>
      </w:r>
    </w:p>
    <w:p>
      <w:pPr>
        <w:snapToGrid w:val="0"/>
        <w:spacing w:line="460" w:lineRule="exact"/>
        <w:jc w:val="left"/>
        <w:rPr>
          <w:rFonts w:hint="eastAsia" w:ascii="仿宋" w:hAnsi="仿宋" w:eastAsia="仿宋"/>
          <w:color w:val="000000"/>
          <w:sz w:val="30"/>
          <w:szCs w:val="30"/>
        </w:rPr>
      </w:pPr>
      <w:r>
        <w:rPr>
          <w:rFonts w:hint="eastAsia" w:ascii="仿宋" w:hAnsi="仿宋" w:eastAsia="仿宋"/>
          <w:color w:val="000000"/>
          <w:sz w:val="30"/>
          <w:szCs w:val="30"/>
        </w:rPr>
        <w:t>（4）残疾人福利企业声明函（若需要，格式见附件8）；</w:t>
      </w:r>
    </w:p>
    <w:p>
      <w:pPr>
        <w:snapToGrid w:val="0"/>
        <w:spacing w:line="460" w:lineRule="exact"/>
        <w:jc w:val="left"/>
        <w:rPr>
          <w:rFonts w:ascii="仿宋" w:hAnsi="仿宋" w:eastAsia="仿宋"/>
          <w:b/>
          <w:color w:val="000000"/>
          <w:sz w:val="36"/>
          <w:szCs w:val="36"/>
        </w:rPr>
      </w:pPr>
      <w:r>
        <w:rPr>
          <w:rFonts w:hint="eastAsia" w:ascii="仿宋" w:hAnsi="仿宋" w:eastAsia="仿宋"/>
          <w:color w:val="000000"/>
          <w:sz w:val="30"/>
          <w:szCs w:val="30"/>
        </w:rPr>
        <w:br w:type="page"/>
      </w:r>
      <w:r>
        <w:rPr>
          <w:rFonts w:hint="eastAsia" w:ascii="仿宋" w:hAnsi="仿宋" w:eastAsia="仿宋"/>
          <w:color w:val="000000"/>
          <w:sz w:val="30"/>
          <w:szCs w:val="30"/>
        </w:rPr>
        <w:t>附件17：</w:t>
      </w:r>
    </w:p>
    <w:p>
      <w:pPr>
        <w:widowControl w:val="0"/>
        <w:snapToGrid w:val="0"/>
        <w:spacing w:before="120" w:beforeLines="50" w:after="120" w:afterLines="50" w:line="240" w:lineRule="auto"/>
        <w:ind w:firstLine="1084" w:firstLineChars="300"/>
        <w:jc w:val="center"/>
        <w:rPr>
          <w:rFonts w:ascii="宋体" w:hAnsi="宋体" w:eastAsia="宋体" w:cs="Times New Roman"/>
          <w:b/>
          <w:color w:val="000000"/>
          <w:kern w:val="2"/>
          <w:sz w:val="36"/>
          <w:szCs w:val="36"/>
          <w:lang w:val="en-US" w:eastAsia="zh-CN" w:bidi="ar-SA"/>
        </w:rPr>
      </w:pPr>
      <w:r>
        <w:rPr>
          <w:rFonts w:hint="eastAsia" w:ascii="宋体" w:hAnsi="宋体" w:eastAsia="宋体" w:cs="Times New Roman"/>
          <w:b/>
          <w:color w:val="000000"/>
          <w:kern w:val="2"/>
          <w:sz w:val="36"/>
          <w:szCs w:val="36"/>
          <w:lang w:val="en-US" w:eastAsia="zh-CN" w:bidi="ar-SA"/>
        </w:rPr>
        <w:t>开 标 一 览 表</w:t>
      </w:r>
    </w:p>
    <w:p>
      <w:pPr>
        <w:widowControl w:val="0"/>
        <w:snapToGrid w:val="0"/>
        <w:spacing w:before="120" w:beforeLines="50" w:after="120" w:afterLines="50" w:line="240" w:lineRule="auto"/>
        <w:ind w:firstLine="1084" w:firstLineChars="300"/>
        <w:jc w:val="center"/>
        <w:rPr>
          <w:rFonts w:ascii="仿宋" w:hAnsi="仿宋" w:eastAsia="仿宋" w:cs="Times New Roman"/>
          <w:b/>
          <w:color w:val="000000"/>
          <w:kern w:val="2"/>
          <w:sz w:val="36"/>
          <w:szCs w:val="36"/>
          <w:lang w:val="en-US" w:eastAsia="zh-CN" w:bidi="ar-SA"/>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widowControl w:val="0"/>
        <w:snapToGrid w:val="0"/>
        <w:spacing w:before="120" w:beforeLines="50" w:after="120" w:afterLines="50" w:line="240" w:lineRule="auto"/>
        <w:ind w:firstLine="1084" w:firstLineChars="300"/>
        <w:jc w:val="center"/>
        <w:rPr>
          <w:rFonts w:ascii="宋体" w:hAnsi="宋体" w:eastAsia="宋体" w:cs="Times New Roman"/>
          <w:b/>
          <w:color w:val="000000"/>
          <w:kern w:val="2"/>
          <w:sz w:val="36"/>
          <w:szCs w:val="36"/>
          <w:lang w:val="en-US" w:eastAsia="zh-CN" w:bidi="ar-SA"/>
        </w:rPr>
      </w:pPr>
      <w:r>
        <w:rPr>
          <w:rFonts w:hint="eastAsia" w:ascii="宋体" w:hAnsi="宋体" w:eastAsia="宋体" w:cs="Times New Roman"/>
          <w:b/>
          <w:color w:val="000000"/>
          <w:kern w:val="2"/>
          <w:sz w:val="36"/>
          <w:szCs w:val="36"/>
          <w:lang w:val="en-US" w:eastAsia="zh-CN" w:bidi="ar-SA"/>
        </w:rPr>
        <w:t>开 标 一 览 表</w:t>
      </w:r>
    </w:p>
    <w:p>
      <w:pPr>
        <w:widowControl w:val="0"/>
        <w:snapToGrid w:val="0"/>
        <w:spacing w:before="120" w:beforeLines="50" w:after="120" w:afterLines="50" w:line="240" w:lineRule="auto"/>
        <w:ind w:firstLine="1084" w:firstLineChars="300"/>
        <w:jc w:val="center"/>
        <w:rPr>
          <w:rFonts w:ascii="仿宋" w:hAnsi="仿宋" w:eastAsia="仿宋" w:cs="Times New Roman"/>
          <w:b/>
          <w:color w:val="000000"/>
          <w:kern w:val="2"/>
          <w:sz w:val="36"/>
          <w:szCs w:val="36"/>
          <w:lang w:val="en-US" w:eastAsia="zh-CN" w:bidi="ar-SA"/>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widowControl w:val="0"/>
        <w:snapToGrid w:val="0"/>
        <w:spacing w:before="120" w:beforeLines="50" w:after="120" w:afterLines="50" w:line="240" w:lineRule="auto"/>
        <w:jc w:val="center"/>
        <w:rPr>
          <w:rFonts w:ascii="宋体" w:hAnsi="宋体" w:eastAsia="宋体" w:cs="Times New Roman"/>
          <w:b/>
          <w:color w:val="000000"/>
          <w:kern w:val="2"/>
          <w:sz w:val="36"/>
          <w:szCs w:val="36"/>
          <w:lang w:val="en-US" w:eastAsia="zh-CN" w:bidi="ar-SA"/>
        </w:rPr>
      </w:pPr>
      <w:r>
        <w:rPr>
          <w:rFonts w:hint="eastAsia" w:ascii="宋体" w:hAnsi="宋体" w:eastAsia="宋体" w:cs="Times New Roman"/>
          <w:b/>
          <w:color w:val="000000"/>
          <w:kern w:val="2"/>
          <w:sz w:val="36"/>
          <w:szCs w:val="36"/>
          <w:lang w:val="en-US" w:eastAsia="zh-CN" w:bidi="ar-SA"/>
        </w:rPr>
        <w:t>开 标 一 览 表</w:t>
      </w:r>
    </w:p>
    <w:p>
      <w:pPr>
        <w:widowControl w:val="0"/>
        <w:snapToGrid w:val="0"/>
        <w:spacing w:before="120" w:beforeLines="50" w:after="120" w:afterLines="50" w:line="240" w:lineRule="auto"/>
        <w:ind w:firstLine="1084" w:firstLineChars="300"/>
        <w:jc w:val="center"/>
        <w:rPr>
          <w:rFonts w:ascii="仿宋" w:hAnsi="仿宋" w:eastAsia="仿宋" w:cs="Times New Roman"/>
          <w:b/>
          <w:color w:val="000000"/>
          <w:kern w:val="2"/>
          <w:sz w:val="36"/>
          <w:szCs w:val="36"/>
          <w:lang w:val="en-US" w:eastAsia="zh-CN" w:bidi="ar-SA"/>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5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宋体" w:hAnsi="宋体" w:cs="宋体"/>
                <w:color w:val="000000"/>
                <w:kern w:val="0"/>
                <w:sz w:val="24"/>
              </w:rPr>
              <w:t>工程项目名称</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施工范围</w:t>
            </w:r>
          </w:p>
        </w:tc>
        <w:tc>
          <w:tcPr>
            <w:tcW w:w="993"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具体内容</w:t>
            </w:r>
          </w:p>
        </w:tc>
        <w:tc>
          <w:tcPr>
            <w:tcW w:w="993"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施工工期</w:t>
            </w:r>
          </w:p>
        </w:tc>
        <w:tc>
          <w:tcPr>
            <w:tcW w:w="85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单价（元）</w:t>
            </w:r>
          </w:p>
        </w:tc>
        <w:tc>
          <w:tcPr>
            <w:tcW w:w="142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4"/>
                <w:szCs w:val="24"/>
              </w:rPr>
            </w:pPr>
          </w:p>
        </w:tc>
        <w:tc>
          <w:tcPr>
            <w:tcW w:w="99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是否中小企业</w:t>
            </w:r>
          </w:p>
        </w:tc>
        <w:tc>
          <w:tcPr>
            <w:tcW w:w="142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8"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93"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1"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422" w:type="dxa"/>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27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9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5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18"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sz w:val="24"/>
                <w:szCs w:val="24"/>
              </w:rPr>
            </w:pPr>
            <w:r>
              <w:rPr>
                <w:rFonts w:hint="eastAsia" w:ascii="仿宋" w:hAnsi="仿宋" w:eastAsia="仿宋"/>
                <w:b/>
                <w:color w:val="000000"/>
                <w:sz w:val="24"/>
              </w:rPr>
              <w:t>4.</w:t>
            </w:r>
            <w:r>
              <w:rPr>
                <w:rFonts w:hint="eastAsia" w:ascii="仿宋" w:hAnsi="仿宋" w:eastAsia="仿宋"/>
                <w:color w:val="000000"/>
                <w:sz w:val="24"/>
                <w:szCs w:val="24"/>
              </w:rPr>
              <w:t>开标时，现场工作人员当众拆封，并宣布投标人名称、投标总价合计金额。</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widowControl/>
        <w:tabs>
          <w:tab w:val="center" w:pos="4755"/>
          <w:tab w:val="right" w:pos="9070"/>
        </w:tabs>
        <w:jc w:val="left"/>
        <w:rPr>
          <w:rFonts w:ascii="宋体" w:hAnsi="Times New Roman" w:cs="Arial"/>
          <w:color w:val="000000"/>
          <w:kern w:val="0"/>
          <w:sz w:val="18"/>
          <w:szCs w:val="18"/>
        </w:rPr>
      </w:pPr>
    </w:p>
    <w:p>
      <w:pPr>
        <w:widowControl w:val="0"/>
        <w:spacing w:before="240" w:after="120"/>
        <w:jc w:val="both"/>
        <w:rPr>
          <w:rFonts w:ascii="Times New Roman" w:hAnsi="Times New Roman" w:eastAsia="仿宋" w:cs="Times New Roman"/>
          <w:color w:val="000000"/>
          <w:kern w:val="2"/>
          <w:sz w:val="36"/>
          <w:szCs w:val="24"/>
          <w:lang w:val="en-US" w:eastAsia="zh-CN" w:bidi="ar-SA"/>
        </w:rPr>
      </w:pPr>
    </w:p>
    <w:p>
      <w:pPr>
        <w:rPr>
          <w:rFonts w:ascii="Times New Roman" w:hAnsi="Times New Roman"/>
          <w:color w:val="000000"/>
        </w:rPr>
      </w:pPr>
    </w:p>
    <w:p>
      <w:pPr>
        <w:snapToGrid w:val="0"/>
        <w:spacing w:line="360" w:lineRule="auto"/>
        <w:rPr>
          <w:rFonts w:ascii="仿宋" w:hAnsi="仿宋" w:eastAsia="仿宋"/>
          <w:color w:val="000000"/>
          <w:sz w:val="30"/>
          <w:szCs w:val="30"/>
        </w:rPr>
      </w:pPr>
    </w:p>
    <w:p>
      <w:pPr>
        <w:rPr>
          <w:rFonts w:ascii="Times New Roman" w:hAnsi="Times New Roman"/>
        </w:rPr>
      </w:pPr>
    </w:p>
    <w:p>
      <w:pPr>
        <w:rPr>
          <w:color w:val="000000" w:themeColor="text1"/>
          <w14:textFill>
            <w14:solidFill>
              <w14:schemeClr w14:val="tx1"/>
            </w14:solidFill>
          </w14:textFill>
        </w:rPr>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38</w:t>
                          </w:r>
                          <w:r>
                            <w:rPr>
                              <w:rFonts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38</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A5806"/>
    <w:multiLevelType w:val="singleLevel"/>
    <w:tmpl w:val="B1DA5806"/>
    <w:lvl w:ilvl="0" w:tentative="0">
      <w:start w:val="1"/>
      <w:numFmt w:val="decimal"/>
      <w:lvlText w:val="%1."/>
      <w:lvlJc w:val="left"/>
      <w:pPr>
        <w:tabs>
          <w:tab w:val="left" w:pos="360"/>
        </w:tabs>
        <w:ind w:left="360" w:hanging="360"/>
      </w:pPr>
    </w:lvl>
  </w:abstractNum>
  <w:abstractNum w:abstractNumId="1">
    <w:nsid w:val="FAFD5A40"/>
    <w:multiLevelType w:val="singleLevel"/>
    <w:tmpl w:val="FAFD5A40"/>
    <w:lvl w:ilvl="0" w:tentative="0">
      <w:start w:val="1"/>
      <w:numFmt w:val="decimal"/>
      <w:suff w:val="nothing"/>
      <w:lvlText w:val="%1、"/>
      <w:lvlJc w:val="left"/>
    </w:lvl>
  </w:abstractNum>
  <w:abstractNum w:abstractNumId="2">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3">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4">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5">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A956031"/>
    <w:multiLevelType w:val="multilevel"/>
    <w:tmpl w:val="2A956031"/>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1">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2">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3">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71DC5E6"/>
    <w:multiLevelType w:val="multilevel"/>
    <w:tmpl w:val="571DC5E6"/>
    <w:lvl w:ilvl="0" w:tentative="0">
      <w:start w:val="1"/>
      <w:numFmt w:val="decimal"/>
      <w:lvlText w:val="%1）"/>
      <w:lvlJc w:val="left"/>
      <w:pPr>
        <w:tabs>
          <w:tab w:val="left" w:pos="0"/>
        </w:tabs>
        <w:ind w:left="360" w:hanging="360"/>
      </w:pPr>
      <w:rPr>
        <w:rFonts w:hint="default" w:ascii="Times New Roman" w:hAnsi="Times New Roman" w:cs="Times New Roman"/>
      </w:rPr>
    </w:lvl>
    <w:lvl w:ilvl="1" w:tentative="0">
      <w:start w:val="1"/>
      <w:numFmt w:val="lowerLetter"/>
      <w:lvlText w:val="%2)"/>
      <w:lvlJc w:val="left"/>
      <w:pPr>
        <w:tabs>
          <w:tab w:val="left" w:pos="0"/>
        </w:tabs>
        <w:ind w:left="840" w:hanging="420"/>
      </w:pPr>
      <w:rPr>
        <w:rFonts w:hint="default" w:ascii="Times New Roman" w:hAnsi="Times New Roman" w:cs="Times New Roman"/>
      </w:rPr>
    </w:lvl>
    <w:lvl w:ilvl="2" w:tentative="0">
      <w:start w:val="1"/>
      <w:numFmt w:val="lowerRoman"/>
      <w:lvlText w:val="%3."/>
      <w:lvlJc w:val="right"/>
      <w:pPr>
        <w:tabs>
          <w:tab w:val="left" w:pos="0"/>
        </w:tabs>
        <w:ind w:left="1260" w:hanging="420"/>
      </w:pPr>
      <w:rPr>
        <w:rFonts w:hint="default" w:ascii="Times New Roman" w:hAnsi="Times New Roman" w:cs="Times New Roman"/>
      </w:rPr>
    </w:lvl>
    <w:lvl w:ilvl="3" w:tentative="0">
      <w:start w:val="1"/>
      <w:numFmt w:val="decimal"/>
      <w:lvlText w:val="%4."/>
      <w:lvlJc w:val="left"/>
      <w:pPr>
        <w:tabs>
          <w:tab w:val="left" w:pos="0"/>
        </w:tabs>
        <w:ind w:left="1680" w:hanging="420"/>
      </w:pPr>
      <w:rPr>
        <w:rFonts w:hint="default" w:ascii="Times New Roman" w:hAnsi="Times New Roman" w:cs="Times New Roman"/>
      </w:rPr>
    </w:lvl>
    <w:lvl w:ilvl="4" w:tentative="0">
      <w:start w:val="1"/>
      <w:numFmt w:val="lowerLetter"/>
      <w:lvlText w:val="%5)"/>
      <w:lvlJc w:val="left"/>
      <w:pPr>
        <w:tabs>
          <w:tab w:val="left" w:pos="0"/>
        </w:tabs>
        <w:ind w:left="2100" w:hanging="420"/>
      </w:pPr>
      <w:rPr>
        <w:rFonts w:hint="default" w:ascii="Times New Roman" w:hAnsi="Times New Roman" w:cs="Times New Roman"/>
      </w:rPr>
    </w:lvl>
    <w:lvl w:ilvl="5" w:tentative="0">
      <w:start w:val="1"/>
      <w:numFmt w:val="lowerRoman"/>
      <w:lvlText w:val="%6."/>
      <w:lvlJc w:val="right"/>
      <w:pPr>
        <w:tabs>
          <w:tab w:val="left" w:pos="0"/>
        </w:tabs>
        <w:ind w:left="2520" w:hanging="420"/>
      </w:pPr>
      <w:rPr>
        <w:rFonts w:hint="default" w:ascii="Times New Roman" w:hAnsi="Times New Roman" w:cs="Times New Roman"/>
      </w:rPr>
    </w:lvl>
    <w:lvl w:ilvl="6" w:tentative="0">
      <w:start w:val="1"/>
      <w:numFmt w:val="decimal"/>
      <w:lvlText w:val="%7."/>
      <w:lvlJc w:val="left"/>
      <w:pPr>
        <w:tabs>
          <w:tab w:val="left" w:pos="0"/>
        </w:tabs>
        <w:ind w:left="2940" w:hanging="420"/>
      </w:pPr>
      <w:rPr>
        <w:rFonts w:hint="default" w:ascii="Times New Roman" w:hAnsi="Times New Roman" w:cs="Times New Roman"/>
      </w:rPr>
    </w:lvl>
    <w:lvl w:ilvl="7" w:tentative="0">
      <w:start w:val="1"/>
      <w:numFmt w:val="lowerLetter"/>
      <w:lvlText w:val="%8)"/>
      <w:lvlJc w:val="left"/>
      <w:pPr>
        <w:tabs>
          <w:tab w:val="left" w:pos="0"/>
        </w:tabs>
        <w:ind w:left="3360" w:hanging="420"/>
      </w:pPr>
      <w:rPr>
        <w:rFonts w:hint="default" w:ascii="Times New Roman" w:hAnsi="Times New Roman" w:cs="Times New Roman"/>
      </w:rPr>
    </w:lvl>
    <w:lvl w:ilvl="8" w:tentative="0">
      <w:start w:val="1"/>
      <w:numFmt w:val="lowerRoman"/>
      <w:lvlText w:val="%9."/>
      <w:lvlJc w:val="right"/>
      <w:pPr>
        <w:tabs>
          <w:tab w:val="left" w:pos="0"/>
        </w:tabs>
        <w:ind w:left="3780" w:hanging="420"/>
      </w:pPr>
      <w:rPr>
        <w:rFonts w:hint="default" w:ascii="Times New Roman" w:hAnsi="Times New Roman" w:cs="Times New Roman"/>
      </w:rPr>
    </w:lvl>
  </w:abstractNum>
  <w:abstractNum w:abstractNumId="28">
    <w:nsid w:val="571DC5F1"/>
    <w:multiLevelType w:val="multilevel"/>
    <w:tmpl w:val="571DC5F1"/>
    <w:lvl w:ilvl="0" w:tentative="0">
      <w:start w:val="1"/>
      <w:numFmt w:val="decimal"/>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9">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1">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3">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4"/>
  </w:num>
  <w:num w:numId="2">
    <w:abstractNumId w:val="4"/>
  </w:num>
  <w:num w:numId="3">
    <w:abstractNumId w:val="2"/>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4"/>
  </w:num>
  <w:num w:numId="8">
    <w:abstractNumId w:val="24"/>
  </w:num>
  <w:num w:numId="9">
    <w:abstractNumId w:val="31"/>
    <w:lvlOverride w:ilvl="0">
      <w:startOverride w:val="1"/>
    </w:lvlOverride>
  </w:num>
  <w:num w:numId="10">
    <w:abstractNumId w:val="10"/>
  </w:num>
  <w:num w:numId="11">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29"/>
  </w:num>
  <w:num w:numId="15">
    <w:abstractNumId w:val="21"/>
  </w:num>
  <w:num w:numId="16">
    <w:abstractNumId w:val="18"/>
  </w:num>
  <w:num w:numId="17">
    <w:abstractNumId w:val="6"/>
  </w:num>
  <w:num w:numId="18">
    <w:abstractNumId w:val="25"/>
  </w:num>
  <w:num w:numId="19">
    <w:abstractNumId w:val="8"/>
  </w:num>
  <w:num w:numId="20">
    <w:abstractNumId w:val="15"/>
  </w:num>
  <w:num w:numId="21">
    <w:abstractNumId w:val="13"/>
  </w:num>
  <w:num w:numId="22">
    <w:abstractNumId w:val="22"/>
  </w:num>
  <w:num w:numId="23">
    <w:abstractNumId w:val="9"/>
  </w:num>
  <w:num w:numId="24">
    <w:abstractNumId w:val="33"/>
  </w:num>
  <w:num w:numId="25">
    <w:abstractNumId w:val="5"/>
  </w:num>
  <w:num w:numId="26">
    <w:abstractNumId w:val="30"/>
  </w:num>
  <w:num w:numId="27">
    <w:abstractNumId w:val="23"/>
  </w:num>
  <w:num w:numId="28">
    <w:abstractNumId w:val="12"/>
  </w:num>
  <w:num w:numId="29">
    <w:abstractNumId w:val="2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16"/>
  </w:num>
  <w:num w:numId="34">
    <w:abstractNumId w:val="27"/>
    <w:lvlOverride w:ilvl="0">
      <w:startOverride w:val="1"/>
    </w:lvlOverride>
  </w:num>
  <w:num w:numId="3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ZDZmMzc1NTY1MGJlNWZjMTk2MmJiYTc1NGE5MzgifQ=="/>
  </w:docVars>
  <w:rsids>
    <w:rsidRoot w:val="007B39CD"/>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052777A1"/>
    <w:rsid w:val="1E65645A"/>
    <w:rsid w:val="2089256C"/>
    <w:rsid w:val="27CB1413"/>
    <w:rsid w:val="3A674210"/>
    <w:rsid w:val="4FE70EAE"/>
    <w:rsid w:val="52930DE3"/>
    <w:rsid w:val="694E6E36"/>
    <w:rsid w:val="7FF9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39" w:name="toc 2"/>
    <w:lsdException w:qFormat="1" w:uiPriority="39" w:name="toc 3"/>
    <w:lsdException w:qFormat="1" w:uiPriority="39" w:name="toc 4"/>
    <w:lsdException w:qFormat="1" w:uiPriority="39" w:name="toc 5"/>
    <w:lsdException w:qFormat="1" w:uiPriority="39" w:name="toc 6"/>
    <w:lsdException w:uiPriority="39" w:name="toc 7"/>
    <w:lsdException w:qFormat="1" w:uiPriority="39" w:name="toc 8"/>
    <w:lsdException w:qFormat="1" w:uiPriority="39" w:name="toc 9"/>
    <w:lsdException w:qFormat="1" w:uiPriority="0"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0" w:name="page number"/>
    <w:lsdException w:uiPriority="99" w:name="endnote reference"/>
    <w:lsdException w:qFormat="1" w:uiPriority="99" w:name="endnote text"/>
    <w:lsdException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qFormat="1"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0" w:name="Body Text 2"/>
    <w:lsdException w:qFormat="1" w:uiPriority="0" w:name="Body Text 3"/>
    <w:lsdException w:qFormat="1" w:uiPriority="99" w:name="Body Text Indent 2"/>
    <w:lsdException w:qFormat="1"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uiPriority w:val="99"/>
    <w:pPr>
      <w:ind w:left="100" w:leftChars="400" w:hanging="200" w:hangingChars="200"/>
    </w:pPr>
    <w:rPr>
      <w:rFonts w:ascii="Times New Roman" w:hAnsi="Times New Roman"/>
      <w:szCs w:val="20"/>
    </w:rPr>
  </w:style>
  <w:style w:type="paragraph" w:styleId="12">
    <w:name w:val="toc 7"/>
    <w:basedOn w:val="1"/>
    <w:next w:val="1"/>
    <w:semiHidden/>
    <w:unhideWhenUsed/>
    <w:uiPriority w:val="39"/>
    <w:pPr>
      <w:ind w:left="1260"/>
      <w:jc w:val="left"/>
    </w:pPr>
    <w:rPr>
      <w:rFonts w:ascii="Times New Roman" w:hAnsi="Times New Roman"/>
      <w:sz w:val="18"/>
      <w:szCs w:val="18"/>
    </w:rPr>
  </w:style>
  <w:style w:type="paragraph" w:styleId="13">
    <w:name w:val="List Number 2"/>
    <w:basedOn w:val="1"/>
    <w:semiHidden/>
    <w:unhideWhenUsed/>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semiHidden/>
    <w:unhideWhenUsed/>
    <w:qFormat/>
    <w:uiPriority w:val="0"/>
    <w:pPr>
      <w:ind w:firstLine="420"/>
    </w:pPr>
    <w:rPr>
      <w:szCs w:val="20"/>
    </w:rPr>
  </w:style>
  <w:style w:type="paragraph" w:styleId="18">
    <w:name w:val="caption"/>
    <w:basedOn w:val="1"/>
    <w:next w:val="1"/>
    <w:link w:val="107"/>
    <w:semiHidden/>
    <w:unhideWhenUsed/>
    <w:qFormat/>
    <w:uiPriority w:val="0"/>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qFormat/>
    <w:uiPriority w:val="99"/>
    <w:rPr>
      <w:rFonts w:ascii="宋体"/>
      <w:sz w:val="18"/>
      <w:szCs w:val="18"/>
    </w:rPr>
  </w:style>
  <w:style w:type="paragraph" w:styleId="21">
    <w:name w:val="annotation text"/>
    <w:basedOn w:val="1"/>
    <w:link w:val="82"/>
    <w:semiHidden/>
    <w:unhideWhenUsed/>
    <w:qFormat/>
    <w:uiPriority w:val="99"/>
    <w:pPr>
      <w:jc w:val="left"/>
    </w:pPr>
  </w:style>
  <w:style w:type="paragraph" w:styleId="22">
    <w:name w:val="Salutation"/>
    <w:basedOn w:val="1"/>
    <w:next w:val="1"/>
    <w:link w:val="83"/>
    <w:semiHidden/>
    <w:unhideWhenUsed/>
    <w:qFormat/>
    <w:uiPriority w:val="99"/>
    <w:rPr>
      <w:rFonts w:ascii="宋体" w:hAnsi="Times New Roman"/>
      <w:b/>
      <w:sz w:val="28"/>
      <w:szCs w:val="20"/>
    </w:rPr>
  </w:style>
  <w:style w:type="paragraph" w:styleId="23">
    <w:name w:val="Body Text 3"/>
    <w:basedOn w:val="1"/>
    <w:link w:val="84"/>
    <w:semiHidden/>
    <w:unhideWhenUsed/>
    <w:qFormat/>
    <w:uiPriority w:val="0"/>
    <w:pPr>
      <w:snapToGrid w:val="0"/>
      <w:spacing w:before="50" w:after="50"/>
    </w:pPr>
    <w:rPr>
      <w:rFonts w:ascii="Times New Roman" w:hAnsi="宋体" w:eastAsia="仿宋_GB2312"/>
      <w:b/>
      <w:bCs/>
      <w:sz w:val="24"/>
      <w:szCs w:val="20"/>
    </w:rPr>
  </w:style>
  <w:style w:type="paragraph" w:styleId="24">
    <w:name w:val="Body Text"/>
    <w:basedOn w:val="1"/>
    <w:link w:val="968"/>
    <w:semiHidden/>
    <w:unhideWhenUsed/>
    <w:qFormat/>
    <w:uiPriority w:val="0"/>
    <w:pPr>
      <w:spacing w:after="120"/>
    </w:pPr>
    <w:rPr>
      <w:sz w:val="28"/>
      <w:szCs w:val="24"/>
    </w:rPr>
  </w:style>
  <w:style w:type="paragraph" w:styleId="25">
    <w:name w:val="Body Text Indent"/>
    <w:basedOn w:val="1"/>
    <w:link w:val="86"/>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qFormat/>
    <w:uiPriority w:val="39"/>
    <w:pPr>
      <w:ind w:left="840" w:leftChars="400"/>
    </w:pPr>
  </w:style>
  <w:style w:type="paragraph" w:styleId="31">
    <w:name w:val="Plain Text"/>
    <w:basedOn w:val="1"/>
    <w:link w:val="87"/>
    <w:semiHidden/>
    <w:unhideWhenUsed/>
    <w:qFormat/>
    <w:uiPriority w:val="99"/>
    <w:pPr>
      <w:spacing w:beforeLines="50" w:afterLines="50" w:line="400" w:lineRule="exact"/>
    </w:pPr>
    <w:rPr>
      <w:rFonts w:ascii="宋体" w:hAnsi="Courier New"/>
      <w:sz w:val="24"/>
      <w:szCs w:val="24"/>
    </w:rPr>
  </w:style>
  <w:style w:type="paragraph" w:styleId="32">
    <w:name w:val="List Bullet 5"/>
    <w:basedOn w:val="1"/>
    <w:semiHidden/>
    <w:unhideWhenUsed/>
    <w:qFormat/>
    <w:uiPriority w:val="99"/>
    <w:pPr>
      <w:numPr>
        <w:ilvl w:val="0"/>
        <w:numId w:val="4"/>
      </w:numPr>
    </w:pPr>
    <w:rPr>
      <w:rFonts w:ascii="Times New Roman" w:hAnsi="Times New Roman"/>
      <w:szCs w:val="24"/>
    </w:rPr>
  </w:style>
  <w:style w:type="paragraph" w:styleId="33">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semiHidden/>
    <w:unhideWhenUsed/>
    <w:qFormat/>
    <w:uiPriority w:val="99"/>
    <w:pPr>
      <w:ind w:left="2500" w:leftChars="2500"/>
    </w:pPr>
    <w:rPr>
      <w:rFonts w:eastAsia="楷体_GB2312"/>
      <w:sz w:val="32"/>
      <w:szCs w:val="20"/>
    </w:rPr>
  </w:style>
  <w:style w:type="paragraph" w:styleId="35">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semiHidden/>
    <w:unhideWhenUsed/>
    <w:qFormat/>
    <w:uiPriority w:val="99"/>
    <w:rPr>
      <w:sz w:val="18"/>
      <w:szCs w:val="18"/>
    </w:rPr>
  </w:style>
  <w:style w:type="paragraph" w:styleId="38">
    <w:name w:val="footer"/>
    <w:basedOn w:val="1"/>
    <w:link w:val="819"/>
    <w:semiHidden/>
    <w:unhideWhenUsed/>
    <w:qFormat/>
    <w:uiPriority w:val="99"/>
    <w:pPr>
      <w:tabs>
        <w:tab w:val="center" w:pos="4153"/>
        <w:tab w:val="right" w:pos="8306"/>
      </w:tabs>
      <w:snapToGrid w:val="0"/>
      <w:jc w:val="left"/>
    </w:pPr>
    <w:rPr>
      <w:sz w:val="18"/>
      <w:szCs w:val="18"/>
    </w:rPr>
  </w:style>
  <w:style w:type="paragraph" w:styleId="39">
    <w:name w:val="header"/>
    <w:basedOn w:val="1"/>
    <w:link w:val="37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qFormat/>
    <w:uiPriority w:val="0"/>
    <w:pPr>
      <w:spacing w:before="240" w:after="240"/>
    </w:pPr>
    <w:rPr>
      <w:rFonts w:ascii="Times New Roman" w:hAnsi="Times New Roman" w:eastAsia="仿宋"/>
      <w:sz w:val="36"/>
      <w:szCs w:val="24"/>
    </w:rPr>
  </w:style>
  <w:style w:type="paragraph" w:styleId="41">
    <w:name w:val="toc 4"/>
    <w:basedOn w:val="1"/>
    <w:next w:val="1"/>
    <w:semiHidden/>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qFormat/>
    <w:uiPriority w:val="99"/>
    <w:pPr>
      <w:snapToGrid w:val="0"/>
      <w:jc w:val="left"/>
    </w:pPr>
    <w:rPr>
      <w:sz w:val="18"/>
      <w:szCs w:val="18"/>
    </w:rPr>
  </w:style>
  <w:style w:type="paragraph" w:styleId="45">
    <w:name w:val="toc 6"/>
    <w:basedOn w:val="1"/>
    <w:next w:val="1"/>
    <w:semiHidden/>
    <w:unhideWhenUsed/>
    <w:qFormat/>
    <w:uiPriority w:val="39"/>
    <w:pPr>
      <w:ind w:left="1050"/>
      <w:jc w:val="left"/>
    </w:pPr>
    <w:rPr>
      <w:rFonts w:ascii="Times New Roman" w:hAnsi="Times New Roman"/>
      <w:sz w:val="18"/>
      <w:szCs w:val="18"/>
    </w:rPr>
  </w:style>
  <w:style w:type="paragraph" w:styleId="46">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qFormat/>
    <w:uiPriority w:val="39"/>
    <w:pPr>
      <w:ind w:left="1680"/>
      <w:jc w:val="left"/>
    </w:pPr>
    <w:rPr>
      <w:rFonts w:ascii="Times New Roman" w:hAnsi="Times New Roman"/>
      <w:sz w:val="18"/>
      <w:szCs w:val="18"/>
    </w:rPr>
  </w:style>
  <w:style w:type="paragraph" w:styleId="50">
    <w:name w:val="Body Text 2"/>
    <w:basedOn w:val="1"/>
    <w:link w:val="97"/>
    <w:semiHidden/>
    <w:unhideWhenUsed/>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qFormat/>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qFormat/>
    <w:uiPriority w:val="99"/>
    <w:rPr>
      <w:b/>
      <w:bCs/>
    </w:rPr>
  </w:style>
  <w:style w:type="paragraph" w:styleId="57">
    <w:name w:val="Body Text First Indent"/>
    <w:basedOn w:val="24"/>
    <w:link w:val="102"/>
    <w:semiHidden/>
    <w:unhideWhenUsed/>
    <w:qFormat/>
    <w:uiPriority w:val="99"/>
    <w:pPr>
      <w:ind w:firstLine="420" w:firstLineChars="100"/>
    </w:pPr>
    <w:rPr>
      <w:sz w:val="21"/>
      <w:szCs w:val="22"/>
    </w:rPr>
  </w:style>
  <w:style w:type="paragraph" w:styleId="58">
    <w:name w:val="Body Text First Indent 2"/>
    <w:basedOn w:val="25"/>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0"/>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semiHidden/>
    <w:unhideWhenUsed/>
    <w:qFormat/>
    <w:uiPriority w:val="0"/>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8"/>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basedOn w:val="64"/>
    <w:link w:val="24"/>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日期 字符1"/>
    <w:basedOn w:val="64"/>
    <w:semiHidden/>
    <w:uiPriority w:val="0"/>
    <w:rPr>
      <w:rFonts w:ascii="Calibri" w:hAnsi="Calibri" w:eastAsia="宋体" w:cs="Times New Roman"/>
    </w:rPr>
  </w:style>
  <w:style w:type="character" w:customStyle="1" w:styleId="982">
    <w:name w:val="正文文本 2 字符1"/>
    <w:basedOn w:val="64"/>
    <w:semiHidden/>
    <w:uiPriority w:val="0"/>
    <w:rPr>
      <w:rFonts w:ascii="Calibri" w:hAnsi="Calibri" w:eastAsia="宋体" w:cs="Times New Roman"/>
    </w:rPr>
  </w:style>
  <w:style w:type="character" w:customStyle="1" w:styleId="983">
    <w:name w:val="纯文本 字符1"/>
    <w:basedOn w:val="64"/>
    <w:semiHidden/>
    <w:qFormat/>
    <w:uiPriority w:val="99"/>
    <w:rPr>
      <w:rFonts w:hAnsi="Courier New" w:cs="Courier New" w:asciiTheme="minorEastAsia"/>
    </w:rPr>
  </w:style>
  <w:style w:type="table" w:customStyle="1" w:styleId="984">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5">
    <w:name w:val="font61"/>
    <w:basedOn w:val="64"/>
    <w:qFormat/>
    <w:uiPriority w:val="0"/>
    <w:rPr>
      <w:rFonts w:hint="default" w:ascii="Times New Roman" w:hAnsi="Times New Roman" w:cs="Times New Roman" w:eastAsiaTheme="minorEastAsia"/>
      <w:color w:val="000000"/>
      <w:kern w:val="2"/>
      <w:sz w:val="18"/>
      <w:szCs w:val="18"/>
      <w:u w:val="none"/>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38299</Words>
  <Characters>44595</Characters>
  <Lines>169</Lines>
  <Paragraphs>47</Paragraphs>
  <TotalTime>12</TotalTime>
  <ScaleCrop>false</ScaleCrop>
  <LinksUpToDate>false</LinksUpToDate>
  <CharactersWithSpaces>47734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2023-07-18T02:40:00Z</dcterms:created>
  <dc:creator>徐达</dc:creator>
  <cp:lastModifiedBy>123456</cp:lastModifiedBy>
  <cp:lastPrinted>2021-01-25T02:12:00Z</cp:lastPrinted>
  <dcterms:modified xsi:type="dcterms:W3CDTF">2023-08-23T08:54:18Z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D6813BD6BEB24BEEA7555F9E89754553_12</vt:lpwstr>
  </property>
</Properties>
</file>