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000000"/>
          <w:sz w:val="44"/>
          <w:szCs w:val="44"/>
        </w:rPr>
      </w:pPr>
      <w:bookmarkStart w:id="0" w:name="PO_15528_PM002_1"/>
      <w:bookmarkStart w:id="50" w:name="_GoBack"/>
      <w:bookmarkEnd w:id="50"/>
      <w:r>
        <w:rPr>
          <w:rFonts w:hint="eastAsia" w:asciiTheme="minorEastAsia" w:hAnsiTheme="minorEastAsia" w:eastAsiaTheme="minorEastAsia" w:cstheme="minorEastAsia"/>
          <w:color w:val="000000"/>
          <w:sz w:val="44"/>
          <w:szCs w:val="44"/>
        </w:rPr>
        <w:t>浙江省大数据发展管理局省电子政务网络运行维护及备份网络项目</w:t>
      </w:r>
      <w:bookmarkEnd w:id="0"/>
    </w:p>
    <w:p>
      <w:pPr>
        <w:spacing w:before="240" w:beforeLines="100" w:line="360" w:lineRule="auto"/>
        <w:jc w:val="center"/>
        <w:rPr>
          <w:rFonts w:cs="Times New Roman"/>
          <w:b/>
          <w:color w:val="000000"/>
          <w:spacing w:val="40"/>
          <w:sz w:val="84"/>
          <w:szCs w:val="84"/>
        </w:rPr>
      </w:pPr>
      <w:r>
        <w:rPr>
          <w:rFonts w:cs="Times New Roman"/>
          <w:color w:val="000000"/>
          <w:sz w:val="36"/>
          <w:szCs w:val="36"/>
        </w:rPr>
        <w:t>项目编号：</w:t>
      </w:r>
      <w:bookmarkStart w:id="1" w:name="PO_15528_PM001"/>
      <w:r>
        <w:rPr>
          <w:rFonts w:cs="Times New Roman"/>
          <w:color w:val="000000"/>
          <w:sz w:val="36"/>
          <w:szCs w:val="36"/>
        </w:rPr>
        <w:t>ZZCG2023T-GK-139</w:t>
      </w:r>
      <w:bookmarkEnd w:id="1"/>
    </w:p>
    <w:p>
      <w:pPr>
        <w:spacing w:before="240" w:beforeLines="100" w:after="100" w:afterAutospacing="1" w:line="800" w:lineRule="exact"/>
        <w:jc w:val="center"/>
        <w:rPr>
          <w:rFonts w:cs="Times New Roman"/>
          <w:b/>
          <w:color w:val="000000"/>
          <w:spacing w:val="40"/>
          <w:sz w:val="84"/>
          <w:szCs w:val="84"/>
        </w:rPr>
      </w:pPr>
      <w:r>
        <w:rPr>
          <w:rFonts w:cs="Times New Roman"/>
          <w:b/>
          <w:color w:val="000000"/>
          <w:spacing w:val="40"/>
          <w:sz w:val="84"/>
          <w:szCs w:val="84"/>
        </w:rPr>
        <w:t>公</w:t>
      </w:r>
    </w:p>
    <w:p>
      <w:pPr>
        <w:spacing w:after="100" w:afterAutospacing="1" w:line="800" w:lineRule="exact"/>
        <w:ind w:right="-108"/>
        <w:jc w:val="center"/>
        <w:rPr>
          <w:rFonts w:cs="Times New Roman"/>
          <w:b/>
          <w:color w:val="000000"/>
          <w:spacing w:val="40"/>
          <w:sz w:val="84"/>
          <w:szCs w:val="84"/>
        </w:rPr>
      </w:pPr>
      <w:r>
        <w:rPr>
          <w:rFonts w:cs="Times New Roman"/>
          <w:b/>
          <w:color w:val="000000"/>
          <w:spacing w:val="40"/>
          <w:sz w:val="84"/>
          <w:szCs w:val="84"/>
        </w:rPr>
        <w:t>开</w:t>
      </w:r>
    </w:p>
    <w:p>
      <w:pPr>
        <w:spacing w:after="100" w:afterAutospacing="1" w:line="800" w:lineRule="exact"/>
        <w:ind w:right="-108"/>
        <w:jc w:val="center"/>
        <w:rPr>
          <w:rFonts w:cs="Times New Roman"/>
          <w:b/>
          <w:color w:val="000000"/>
          <w:spacing w:val="40"/>
          <w:sz w:val="84"/>
          <w:szCs w:val="84"/>
        </w:rPr>
      </w:pPr>
      <w:r>
        <w:rPr>
          <w:rFonts w:cs="Times New Roman"/>
          <w:b/>
          <w:color w:val="000000"/>
          <w:spacing w:val="40"/>
          <w:sz w:val="84"/>
          <w:szCs w:val="84"/>
        </w:rPr>
        <w:t>招</w:t>
      </w:r>
    </w:p>
    <w:p>
      <w:pPr>
        <w:spacing w:after="100" w:afterAutospacing="1" w:line="800" w:lineRule="exact"/>
        <w:ind w:right="-108"/>
        <w:jc w:val="center"/>
        <w:rPr>
          <w:rFonts w:cs="Times New Roman"/>
          <w:b/>
          <w:color w:val="000000"/>
          <w:spacing w:val="40"/>
          <w:sz w:val="84"/>
          <w:szCs w:val="84"/>
        </w:rPr>
      </w:pPr>
      <w:r>
        <w:rPr>
          <w:rFonts w:cs="Times New Roman"/>
          <w:b/>
          <w:color w:val="000000"/>
          <w:spacing w:val="40"/>
          <w:sz w:val="84"/>
          <w:szCs w:val="84"/>
        </w:rPr>
        <w:t>标</w:t>
      </w:r>
    </w:p>
    <w:p>
      <w:pPr>
        <w:spacing w:after="100" w:afterAutospacing="1" w:line="800" w:lineRule="exact"/>
        <w:ind w:right="-108"/>
        <w:jc w:val="center"/>
        <w:rPr>
          <w:rFonts w:cs="Times New Roman"/>
          <w:b/>
          <w:color w:val="000000"/>
          <w:spacing w:val="40"/>
          <w:sz w:val="84"/>
          <w:szCs w:val="84"/>
        </w:rPr>
      </w:pPr>
      <w:r>
        <w:rPr>
          <w:rFonts w:cs="Times New Roman"/>
          <w:b/>
          <w:color w:val="000000"/>
          <w:spacing w:val="40"/>
          <w:sz w:val="84"/>
          <w:szCs w:val="84"/>
        </w:rPr>
        <w:t>文</w:t>
      </w:r>
    </w:p>
    <w:p>
      <w:pPr>
        <w:spacing w:after="100" w:afterAutospacing="1" w:line="800" w:lineRule="exact"/>
        <w:ind w:right="-108"/>
        <w:jc w:val="center"/>
        <w:rPr>
          <w:rFonts w:cs="Times New Roman"/>
          <w:b/>
          <w:color w:val="000000"/>
          <w:spacing w:val="40"/>
          <w:sz w:val="84"/>
          <w:szCs w:val="84"/>
        </w:rPr>
      </w:pPr>
      <w:r>
        <w:rPr>
          <w:rFonts w:cs="Times New Roman"/>
          <w:b/>
          <w:color w:val="000000"/>
          <w:spacing w:val="40"/>
          <w:sz w:val="84"/>
          <w:szCs w:val="84"/>
        </w:rPr>
        <w:t>件</w:t>
      </w:r>
    </w:p>
    <w:p>
      <w:pPr>
        <w:ind w:right="-110"/>
        <w:rPr>
          <w:rFonts w:cs="Times New Roman"/>
          <w:color w:val="000000"/>
          <w:sz w:val="32"/>
          <w:szCs w:val="32"/>
        </w:rPr>
      </w:pPr>
    </w:p>
    <w:p>
      <w:pPr>
        <w:ind w:right="-110"/>
        <w:rPr>
          <w:rFonts w:cs="Times New Roman"/>
          <w:color w:val="000000"/>
          <w:sz w:val="32"/>
          <w:szCs w:val="32"/>
        </w:rPr>
      </w:pPr>
    </w:p>
    <w:p>
      <w:pPr>
        <w:spacing w:line="500" w:lineRule="exact"/>
        <w:ind w:right="532" w:firstLine="540" w:firstLineChars="150"/>
        <w:jc w:val="center"/>
        <w:rPr>
          <w:rFonts w:cs="Times New Roman"/>
          <w:color w:val="000000"/>
          <w:sz w:val="36"/>
          <w:szCs w:val="36"/>
        </w:rPr>
      </w:pPr>
      <w:r>
        <w:rPr>
          <w:rFonts w:cs="Times New Roman"/>
          <w:color w:val="000000"/>
          <w:sz w:val="36"/>
          <w:szCs w:val="36"/>
        </w:rPr>
        <w:t>浙 江 省 政 府 采 购 中 心</w:t>
      </w:r>
    </w:p>
    <w:p>
      <w:pPr>
        <w:spacing w:line="500" w:lineRule="exact"/>
        <w:ind w:right="532"/>
        <w:rPr>
          <w:rFonts w:cs="Times New Roman"/>
          <w:color w:val="000000"/>
          <w:sz w:val="36"/>
          <w:szCs w:val="36"/>
        </w:rPr>
      </w:pPr>
    </w:p>
    <w:p>
      <w:pPr>
        <w:wordWrap w:val="0"/>
        <w:spacing w:line="500" w:lineRule="exact"/>
        <w:ind w:right="-108" w:firstLine="540" w:firstLineChars="150"/>
        <w:rPr>
          <w:rFonts w:cs="Times New Roman"/>
          <w:color w:val="000000"/>
          <w:sz w:val="36"/>
          <w:szCs w:val="36"/>
        </w:rPr>
      </w:pPr>
      <w:r>
        <w:rPr>
          <w:rFonts w:cs="Times New Roman"/>
          <w:color w:val="000000"/>
          <w:sz w:val="36"/>
          <w:szCs w:val="36"/>
        </w:rPr>
        <w:t>地    址：</w:t>
      </w:r>
      <w:r>
        <w:rPr>
          <w:rFonts w:hint="eastAsia" w:cs="Times New Roman"/>
          <w:color w:val="000000"/>
          <w:sz w:val="36"/>
          <w:szCs w:val="36"/>
          <w:lang w:val="en-US" w:eastAsia="zh-CN"/>
        </w:rPr>
        <w:t>浙江省</w:t>
      </w:r>
      <w:r>
        <w:rPr>
          <w:rFonts w:cs="Times New Roman"/>
          <w:color w:val="000000"/>
          <w:sz w:val="36"/>
          <w:szCs w:val="36"/>
        </w:rPr>
        <w:t>杭州市西湖区宝石一路3号</w:t>
      </w:r>
    </w:p>
    <w:p>
      <w:pPr>
        <w:wordWrap w:val="0"/>
        <w:spacing w:line="500" w:lineRule="exact"/>
        <w:ind w:right="-108" w:firstLine="540" w:firstLineChars="150"/>
        <w:rPr>
          <w:rFonts w:cs="Times New Roman"/>
          <w:color w:val="000000"/>
          <w:sz w:val="36"/>
          <w:szCs w:val="36"/>
        </w:rPr>
      </w:pPr>
    </w:p>
    <w:p>
      <w:pPr>
        <w:spacing w:after="240" w:afterLines="100" w:line="340" w:lineRule="exact"/>
        <w:jc w:val="center"/>
        <w:outlineLvl w:val="0"/>
        <w:rPr>
          <w:rFonts w:cs="Times New Roman"/>
          <w:b/>
          <w:color w:val="000000"/>
          <w:sz w:val="36"/>
          <w:szCs w:val="36"/>
        </w:rPr>
        <w:sectPr>
          <w:footerReference r:id="rId3" w:type="default"/>
          <w:pgSz w:w="11906" w:h="16838"/>
          <w:pgMar w:top="1474" w:right="1797" w:bottom="1247" w:left="1797" w:header="851" w:footer="851" w:gutter="0"/>
          <w:cols w:space="720" w:num="1"/>
        </w:sectPr>
      </w:pPr>
      <w:bookmarkStart w:id="2" w:name="_Toc24960"/>
      <w:bookmarkStart w:id="3" w:name="_Toc496796638"/>
    </w:p>
    <w:p>
      <w:pPr>
        <w:pStyle w:val="53"/>
        <w:widowControl w:val="0"/>
        <w:spacing w:before="120" w:beforeLines="50" w:beforeAutospacing="0" w:after="0" w:afterAutospacing="0" w:line="360" w:lineRule="auto"/>
        <w:ind w:firstLine="640"/>
        <w:jc w:val="center"/>
        <w:outlineLvl w:val="0"/>
        <w:rPr>
          <w:b/>
          <w:color w:val="000000"/>
          <w:sz w:val="36"/>
          <w:szCs w:val="36"/>
        </w:rPr>
      </w:pPr>
      <w:bookmarkStart w:id="4" w:name="_Toc2371"/>
      <w:r>
        <w:rPr>
          <w:rFonts w:hint="eastAsia" w:cs="Times New Roman"/>
          <w:b/>
          <w:color w:val="000000"/>
          <w:kern w:val="2"/>
          <w:sz w:val="36"/>
          <w:szCs w:val="36"/>
          <w:lang w:bidi="ar"/>
        </w:rPr>
        <w:t>第一章  公开招标采购公告</w:t>
      </w:r>
      <w:bookmarkEnd w:id="4"/>
    </w:p>
    <w:p>
      <w:pPr>
        <w:pStyle w:val="53"/>
        <w:widowControl w:val="0"/>
        <w:snapToGrid w:val="0"/>
        <w:spacing w:before="0" w:beforeAutospacing="0" w:after="0" w:afterAutospacing="0" w:line="460" w:lineRule="exact"/>
        <w:ind w:firstLine="560" w:firstLineChars="200"/>
        <w:jc w:val="both"/>
        <w:rPr>
          <w:rFonts w:hint="eastAsia" w:ascii="仿宋" w:hAnsi="仿宋" w:eastAsia="仿宋" w:cs="仿宋"/>
          <w:color w:val="000000"/>
          <w:sz w:val="30"/>
          <w:szCs w:val="30"/>
        </w:rPr>
      </w:pPr>
      <w:r>
        <w:rPr>
          <w:rFonts w:hint="eastAsia" w:ascii="仿宋" w:hAnsi="仿宋" w:eastAsia="仿宋" w:cs="仿宋"/>
          <w:color w:val="000000"/>
          <w:sz w:val="28"/>
          <w:szCs w:val="28"/>
          <w:lang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sz w:val="30"/>
          <w:szCs w:val="30"/>
          <w:lang w:bidi="ar"/>
        </w:rPr>
        <w:t>：</w:t>
      </w:r>
    </w:p>
    <w:p>
      <w:pPr>
        <w:snapToGrid w:val="0"/>
        <w:spacing w:line="460" w:lineRule="exact"/>
        <w:ind w:firstLine="600" w:firstLineChars="200"/>
        <w:rPr>
          <w:rFonts w:hint="eastAsia" w:ascii="仿宋" w:hAnsi="仿宋" w:eastAsia="仿宋" w:cs="Arial"/>
          <w:color w:val="000000"/>
          <w:sz w:val="30"/>
          <w:szCs w:val="30"/>
        </w:rPr>
      </w:pPr>
      <w:r>
        <w:rPr>
          <w:rFonts w:hint="eastAsia" w:ascii="仿宋" w:hAnsi="仿宋" w:eastAsia="仿宋" w:cs="Arial"/>
          <w:color w:val="000000"/>
          <w:sz w:val="30"/>
          <w:szCs w:val="30"/>
          <w:lang w:bidi="ar"/>
        </w:rPr>
        <w:t>一、</w:t>
      </w:r>
      <w:r>
        <w:rPr>
          <w:rFonts w:hint="eastAsia" w:ascii="仿宋" w:hAnsi="仿宋" w:eastAsia="仿宋" w:cs="Arial"/>
          <w:b/>
          <w:color w:val="000000"/>
          <w:sz w:val="30"/>
          <w:szCs w:val="30"/>
          <w:lang w:bidi="ar"/>
        </w:rPr>
        <w:t>项目编号：</w:t>
      </w:r>
      <w:bookmarkStart w:id="5" w:name="PO_15528_PM001_1"/>
      <w:r>
        <w:rPr>
          <w:rFonts w:hint="eastAsia" w:ascii="仿宋" w:hAnsi="仿宋" w:eastAsia="仿宋" w:cs="Arial"/>
          <w:b/>
          <w:color w:val="000000"/>
          <w:sz w:val="30"/>
          <w:szCs w:val="30"/>
          <w:lang w:bidi="ar"/>
        </w:rPr>
        <w:t>ZZCG2023T-GK-139</w:t>
      </w:r>
      <w:bookmarkEnd w:id="5"/>
    </w:p>
    <w:p>
      <w:pPr>
        <w:snapToGrid w:val="0"/>
        <w:spacing w:after="120" w:afterLines="50" w:line="460" w:lineRule="exact"/>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lang w:bidi="ar"/>
        </w:rPr>
        <w:t>二、</w:t>
      </w:r>
      <w:r>
        <w:rPr>
          <w:rFonts w:hint="eastAsia" w:ascii="仿宋" w:hAnsi="仿宋" w:eastAsia="仿宋" w:cs="Arial"/>
          <w:b/>
          <w:color w:val="000000"/>
          <w:sz w:val="28"/>
          <w:szCs w:val="28"/>
          <w:lang w:bidi="ar"/>
        </w:rPr>
        <w:t>公告期限：5个工作日</w:t>
      </w:r>
    </w:p>
    <w:p>
      <w:pPr>
        <w:snapToGrid w:val="0"/>
        <w:spacing w:after="120" w:afterLines="50" w:line="460" w:lineRule="exact"/>
        <w:ind w:firstLine="602" w:firstLineChars="200"/>
        <w:rPr>
          <w:rFonts w:hint="eastAsia" w:ascii="仿宋" w:hAnsi="仿宋" w:eastAsia="仿宋" w:cs="Arial"/>
          <w:b/>
          <w:color w:val="000000"/>
          <w:sz w:val="28"/>
          <w:szCs w:val="28"/>
        </w:rPr>
      </w:pPr>
      <w:r>
        <w:rPr>
          <w:rFonts w:hint="eastAsia" w:ascii="仿宋" w:hAnsi="仿宋" w:eastAsia="仿宋" w:cs="Arial"/>
          <w:b/>
          <w:color w:val="000000"/>
          <w:sz w:val="30"/>
          <w:szCs w:val="30"/>
          <w:lang w:bidi="ar"/>
        </w:rPr>
        <w:t>三、</w:t>
      </w:r>
      <w:r>
        <w:rPr>
          <w:rFonts w:hint="eastAsia" w:ascii="仿宋" w:hAnsi="仿宋" w:eastAsia="仿宋" w:cs="Arial"/>
          <w:b/>
          <w:color w:val="000000"/>
          <w:sz w:val="28"/>
          <w:szCs w:val="28"/>
          <w:lang w:bidi="ar"/>
        </w:rPr>
        <w:t>采购项目内容、数量及预算</w:t>
      </w:r>
      <w:bookmarkStart w:id="6" w:name="PO_15528_PM004"/>
      <w:r>
        <w:rPr>
          <w:rFonts w:hint="eastAsia" w:ascii="仿宋" w:hAnsi="仿宋" w:eastAsia="仿宋" w:cs="Arial"/>
          <w:b/>
          <w:color w:val="000000"/>
          <w:sz w:val="28"/>
          <w:szCs w:val="28"/>
          <w:lang w:bidi="ar"/>
        </w:rPr>
        <w:t xml:space="preserve"> </w:t>
      </w:r>
    </w:p>
    <w:tbl>
      <w:tblPr>
        <w:tblStyle w:val="5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120"/>
        <w:gridCol w:w="707"/>
        <w:gridCol w:w="707"/>
        <w:gridCol w:w="113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标项序号</w:t>
            </w:r>
          </w:p>
        </w:tc>
        <w:tc>
          <w:tcPr>
            <w:tcW w:w="1841"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标项名称</w:t>
            </w:r>
          </w:p>
        </w:tc>
        <w:tc>
          <w:tcPr>
            <w:tcW w:w="417"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数量</w:t>
            </w:r>
          </w:p>
        </w:tc>
        <w:tc>
          <w:tcPr>
            <w:tcW w:w="417"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单位</w:t>
            </w:r>
          </w:p>
        </w:tc>
        <w:tc>
          <w:tcPr>
            <w:tcW w:w="67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预算金额(万元)</w:t>
            </w:r>
          </w:p>
        </w:tc>
        <w:tc>
          <w:tcPr>
            <w:tcW w:w="1171"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1841"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省电子政务网络运行维护项目</w:t>
            </w:r>
          </w:p>
        </w:tc>
        <w:tc>
          <w:tcPr>
            <w:tcW w:w="417"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417"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项</w:t>
            </w:r>
          </w:p>
        </w:tc>
        <w:tc>
          <w:tcPr>
            <w:tcW w:w="67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1131</w:t>
            </w:r>
          </w:p>
        </w:tc>
        <w:tc>
          <w:tcPr>
            <w:tcW w:w="1171"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2</w:t>
            </w:r>
          </w:p>
        </w:tc>
        <w:tc>
          <w:tcPr>
            <w:tcW w:w="1841"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电子政务外网备份网络项目</w:t>
            </w:r>
          </w:p>
        </w:tc>
        <w:tc>
          <w:tcPr>
            <w:tcW w:w="417"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1</w:t>
            </w:r>
          </w:p>
        </w:tc>
        <w:tc>
          <w:tcPr>
            <w:tcW w:w="417"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项</w:t>
            </w:r>
          </w:p>
        </w:tc>
        <w:tc>
          <w:tcPr>
            <w:tcW w:w="67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512</w:t>
            </w:r>
          </w:p>
        </w:tc>
        <w:tc>
          <w:tcPr>
            <w:tcW w:w="1171"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afterLines="50" w:line="460" w:lineRule="exact"/>
              <w:jc w:val="center"/>
              <w:rPr>
                <w:rFonts w:hint="eastAsia" w:ascii="仿宋" w:hAnsi="仿宋" w:eastAsia="仿宋" w:cs="Arial"/>
                <w:b/>
                <w:color w:val="000000"/>
                <w:sz w:val="28"/>
                <w:szCs w:val="28"/>
              </w:rPr>
            </w:pPr>
            <w:r>
              <w:rPr>
                <w:rFonts w:hint="eastAsia" w:ascii="仿宋" w:hAnsi="仿宋" w:eastAsia="仿宋" w:cs="Arial"/>
                <w:b/>
                <w:color w:val="000000"/>
                <w:sz w:val="28"/>
                <w:szCs w:val="28"/>
              </w:rPr>
              <w:t>详见采购文件</w:t>
            </w:r>
          </w:p>
        </w:tc>
      </w:tr>
    </w:tbl>
    <w:p>
      <w:pPr>
        <w:snapToGrid w:val="0"/>
        <w:spacing w:line="500" w:lineRule="exact"/>
        <w:ind w:firstLine="560" w:firstLineChars="200"/>
        <w:jc w:val="left"/>
        <w:rPr>
          <w:rFonts w:hint="eastAsia" w:ascii="仿宋" w:hAnsi="仿宋" w:eastAsia="仿宋" w:cs="Arial"/>
          <w:b/>
          <w:color w:val="000000"/>
          <w:sz w:val="28"/>
          <w:szCs w:val="28"/>
        </w:rPr>
      </w:pPr>
      <w:r>
        <w:rPr>
          <w:rFonts w:hint="eastAsia" w:ascii="仿宋" w:hAnsi="仿宋" w:eastAsia="仿宋" w:cs="Arial"/>
          <w:bCs/>
          <w:sz w:val="28"/>
          <w:szCs w:val="28"/>
          <w:lang w:bidi="ar"/>
        </w:rPr>
        <w:t>注：本项目采购使用的基础电信网络，用于支撑全省各类政务数字化应用高效传输。标项1和标项2分别用于采购省政务外网主备平面链路、设备及配套服务，主备平面互为备份，提升全网可靠性，主备平面如由同一供应商中标承建，无法充分保证省政务外网高效可靠。因此本项目投标人可同时参加本项目两个标项的投标，但同一个投标人只能作为一个标项的中标人。评标委员会按照标项1、标项2的先后顺序依次评标，投标人若为标项1的中标候选人，则不再推荐为标项2的中标候选人。</w:t>
      </w:r>
      <w:bookmarkEnd w:id="6"/>
    </w:p>
    <w:p>
      <w:pPr>
        <w:snapToGrid w:val="0"/>
        <w:spacing w:line="460" w:lineRule="exact"/>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lang w:bidi="ar"/>
        </w:rPr>
        <w:t>四、合格投标人的资格要求</w:t>
      </w:r>
    </w:p>
    <w:p>
      <w:pPr>
        <w:snapToGrid w:val="0"/>
        <w:spacing w:line="460" w:lineRule="exact"/>
        <w:ind w:firstLine="560" w:firstLineChars="200"/>
        <w:rPr>
          <w:rFonts w:hint="eastAsia" w:ascii="仿宋" w:hAnsi="仿宋" w:eastAsia="仿宋" w:cs="Arial"/>
          <w:bCs/>
          <w:color w:val="000000"/>
          <w:sz w:val="28"/>
          <w:szCs w:val="28"/>
        </w:rPr>
      </w:pPr>
      <w:r>
        <w:rPr>
          <w:rFonts w:hint="eastAsia" w:ascii="仿宋" w:hAnsi="仿宋" w:eastAsia="仿宋" w:cs="Arial"/>
          <w:bCs/>
          <w:color w:val="000000"/>
          <w:sz w:val="28"/>
          <w:szCs w:val="28"/>
          <w:lang w:bidi="ar"/>
        </w:rPr>
        <w:t>符合《中华人民共和国政府采购法》第二十二条规定,且未被</w:t>
      </w:r>
      <w:r>
        <w:rPr>
          <w:rFonts w:hint="eastAsia" w:ascii="仿宋" w:hAnsi="仿宋" w:eastAsia="仿宋" w:cs="仿宋"/>
          <w:color w:val="000000"/>
          <w:sz w:val="28"/>
          <w:szCs w:val="28"/>
          <w:lang w:bidi="ar"/>
        </w:rPr>
        <w:t>“信用中国”（www.creditchina.gov.cn）、中国政府采购网（www.ccgp.gov.cn）列入失信被执行人、重大税收违法案件当事人名单、政府采购严重违法失信行为记录名单。</w:t>
      </w:r>
    </w:p>
    <w:p>
      <w:pPr>
        <w:snapToGrid w:val="0"/>
        <w:spacing w:line="500" w:lineRule="exact"/>
        <w:ind w:left="602" w:hanging="602" w:hangingChars="200"/>
        <w:jc w:val="center"/>
        <w:rPr>
          <w:rFonts w:hint="eastAsia" w:ascii="仿宋" w:hAnsi="仿宋" w:eastAsia="仿宋" w:cs="Arial"/>
          <w:b/>
          <w:sz w:val="30"/>
          <w:szCs w:val="30"/>
        </w:rPr>
      </w:pPr>
      <w:r>
        <w:rPr>
          <w:rFonts w:hint="eastAsia" w:ascii="仿宋" w:hAnsi="仿宋" w:eastAsia="仿宋" w:cs="Arial"/>
          <w:b/>
          <w:sz w:val="30"/>
          <w:szCs w:val="30"/>
          <w:lang w:bidi="ar"/>
        </w:rPr>
        <w:t>标项1、标项2:投标人应具有《基础电信业务经营许可证》</w:t>
      </w:r>
    </w:p>
    <w:p>
      <w:pPr>
        <w:snapToGrid w:val="0"/>
        <w:spacing w:line="500" w:lineRule="exact"/>
        <w:ind w:left="420" w:leftChars="200"/>
        <w:rPr>
          <w:rFonts w:hint="eastAsia" w:ascii="宋体" w:hAnsi="宋体" w:cs="Arial"/>
          <w:b/>
          <w:color w:val="000000"/>
          <w:sz w:val="28"/>
          <w:szCs w:val="28"/>
        </w:rPr>
      </w:pPr>
      <w:r>
        <w:rPr>
          <w:rFonts w:hint="eastAsia" w:ascii="宋体" w:hAnsi="宋体" w:cs="仿宋"/>
          <w:b/>
          <w:color w:val="000000"/>
          <w:kern w:val="0"/>
          <w:sz w:val="28"/>
          <w:szCs w:val="28"/>
          <w:lang w:val="zh-CN" w:bidi="ar"/>
        </w:rPr>
        <w:t>五、获取采购文件</w:t>
      </w:r>
    </w:p>
    <w:p>
      <w:pPr>
        <w:snapToGrid w:val="0"/>
        <w:spacing w:line="5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lang w:bidi="ar"/>
        </w:rPr>
        <w:t>1.获取时间：</w:t>
      </w:r>
      <w:r>
        <w:rPr>
          <w:rFonts w:hint="eastAsia" w:ascii="仿宋" w:hAnsi="仿宋" w:eastAsia="仿宋" w:cs="仿宋"/>
          <w:color w:val="000000"/>
          <w:kern w:val="0"/>
          <w:sz w:val="30"/>
          <w:szCs w:val="30"/>
          <w:lang w:bidi="ar"/>
        </w:rPr>
        <w:t xml:space="preserve">[项目采购-报名开始日期] 至 </w:t>
      </w:r>
      <w:bookmarkStart w:id="7" w:name="PO_15528_PM009"/>
      <w:r>
        <w:rPr>
          <w:rFonts w:hint="eastAsia" w:ascii="仿宋" w:hAnsi="仿宋" w:eastAsia="仿宋" w:cs="仿宋"/>
          <w:color w:val="000000"/>
          <w:kern w:val="0"/>
          <w:sz w:val="30"/>
          <w:szCs w:val="30"/>
          <w:lang w:eastAsia="zh-CN" w:bidi="ar"/>
        </w:rPr>
        <w:t>2023-08-08 09:00:00</w:t>
      </w:r>
      <w:bookmarkEnd w:id="7"/>
      <w:r>
        <w:rPr>
          <w:rFonts w:hint="eastAsia" w:ascii="宋体" w:hAnsi="宋体" w:cs="宋体"/>
          <w:color w:val="000000"/>
          <w:kern w:val="0"/>
          <w:sz w:val="28"/>
          <w:szCs w:val="28"/>
          <w:lang w:bidi="ar"/>
        </w:rPr>
        <w:t>。</w:t>
      </w:r>
    </w:p>
    <w:p>
      <w:pPr>
        <w:autoSpaceDE w:val="0"/>
        <w:autoSpaceDN w:val="0"/>
        <w:adjustRightInd w:val="0"/>
        <w:snapToGrid w:val="0"/>
        <w:spacing w:line="500" w:lineRule="exact"/>
        <w:ind w:firstLine="600"/>
        <w:rPr>
          <w:rFonts w:hint="eastAsia" w:ascii="宋体" w:hAnsi="宋体" w:cs="仿宋"/>
          <w:color w:val="000000"/>
          <w:kern w:val="0"/>
          <w:sz w:val="28"/>
          <w:szCs w:val="28"/>
          <w:lang w:val="zh-CN"/>
        </w:rPr>
      </w:pPr>
      <w:r>
        <w:rPr>
          <w:rFonts w:hint="eastAsia" w:ascii="宋体" w:hAnsi="宋体" w:cs="仿宋"/>
          <w:color w:val="000000"/>
          <w:kern w:val="0"/>
          <w:sz w:val="28"/>
          <w:szCs w:val="28"/>
          <w:lang w:val="zh-CN" w:bidi="ar"/>
        </w:rPr>
        <w:t>2.获取方式：本项目招标文件实行网上获取。供应商登录浙江政府采购网（</w:t>
      </w:r>
      <w:r>
        <w:rPr>
          <w:rFonts w:cs="Times New Roman"/>
          <w:lang w:bidi="ar"/>
        </w:rPr>
        <w:fldChar w:fldCharType="begin"/>
      </w:r>
      <w:r>
        <w:rPr>
          <w:rFonts w:cs="Times New Roman"/>
          <w:lang w:bidi="ar"/>
        </w:rPr>
        <w:instrText xml:space="preserve"> HYPERLINK "http://zfcg.czt.zj.gov.cn/" </w:instrText>
      </w:r>
      <w:r>
        <w:rPr>
          <w:rFonts w:cs="Times New Roman"/>
          <w:lang w:bidi="ar"/>
        </w:rPr>
        <w:fldChar w:fldCharType="separate"/>
      </w:r>
      <w:r>
        <w:rPr>
          <w:rStyle w:val="69"/>
          <w:color w:val="000000"/>
          <w:sz w:val="28"/>
          <w:szCs w:val="28"/>
        </w:rPr>
        <w:t>http://zfcg.czt.zj.gov.cn/</w:t>
      </w:r>
      <w:r>
        <w:rPr>
          <w:rFonts w:cs="Times New Roman"/>
          <w:lang w:bidi="ar"/>
        </w:rPr>
        <w:fldChar w:fldCharType="end"/>
      </w:r>
      <w:r>
        <w:rPr>
          <w:rFonts w:hint="eastAsia" w:ascii="宋体" w:hAnsi="宋体" w:cs="仿宋"/>
          <w:color w:val="000000"/>
          <w:kern w:val="0"/>
          <w:sz w:val="28"/>
          <w:szCs w:val="28"/>
          <w:lang w:val="zh-CN" w:bidi="ar"/>
        </w:rPr>
        <w:t>）进入政采云系统“项目采购”模块“获取采购文件”菜单，进行网上获取招标文件。</w:t>
      </w:r>
    </w:p>
    <w:p>
      <w:pPr>
        <w:autoSpaceDE w:val="0"/>
        <w:autoSpaceDN w:val="0"/>
        <w:adjustRightInd w:val="0"/>
        <w:snapToGrid w:val="0"/>
        <w:spacing w:line="500" w:lineRule="exact"/>
        <w:ind w:firstLine="560"/>
        <w:rPr>
          <w:rFonts w:hint="eastAsia" w:ascii="宋体" w:hAnsi="宋体" w:cs="仿宋"/>
          <w:color w:val="000000"/>
          <w:kern w:val="0"/>
          <w:sz w:val="28"/>
          <w:szCs w:val="28"/>
          <w:lang w:val="zh-CN"/>
        </w:rPr>
      </w:pPr>
      <w:r>
        <w:rPr>
          <w:rFonts w:hint="eastAsia" w:ascii="宋体" w:hAnsi="宋体" w:cs="仿宋"/>
          <w:color w:val="000000"/>
          <w:kern w:val="0"/>
          <w:sz w:val="28"/>
          <w:szCs w:val="28"/>
          <w:lang w:val="zh-CN" w:bidi="ar"/>
        </w:rPr>
        <w:t>3.招标文件免费获取。</w:t>
      </w:r>
    </w:p>
    <w:p>
      <w:pPr>
        <w:snapToGrid w:val="0"/>
        <w:spacing w:line="500" w:lineRule="exact"/>
        <w:ind w:firstLine="562" w:firstLineChars="200"/>
        <w:rPr>
          <w:rFonts w:hint="eastAsia" w:ascii="宋体" w:hAnsi="宋体" w:cs="宋体"/>
          <w:b/>
          <w:color w:val="000000"/>
          <w:kern w:val="0"/>
          <w:sz w:val="28"/>
          <w:szCs w:val="28"/>
        </w:rPr>
      </w:pPr>
      <w:r>
        <w:rPr>
          <w:rFonts w:hint="eastAsia" w:ascii="宋体" w:hAnsi="宋体" w:cs="Arial"/>
          <w:b/>
          <w:color w:val="000000"/>
          <w:sz w:val="28"/>
          <w:szCs w:val="28"/>
          <w:lang w:bidi="ar"/>
        </w:rPr>
        <w:t>六、投标截止时间、地点和形式</w:t>
      </w:r>
    </w:p>
    <w:p>
      <w:pPr>
        <w:pStyle w:val="53"/>
        <w:widowControl w:val="0"/>
        <w:adjustRightInd w:val="0"/>
        <w:snapToGrid w:val="0"/>
        <w:spacing w:before="120" w:beforeLines="50" w:beforeAutospacing="0" w:after="0" w:afterAutospacing="0" w:line="500" w:lineRule="exact"/>
        <w:ind w:firstLine="562" w:firstLineChars="200"/>
        <w:jc w:val="both"/>
        <w:rPr>
          <w:color w:val="000000"/>
          <w:sz w:val="28"/>
          <w:szCs w:val="28"/>
        </w:rPr>
      </w:pPr>
      <w:r>
        <w:rPr>
          <w:rFonts w:hint="eastAsia" w:cs="Times New Roman"/>
          <w:b/>
          <w:color w:val="000000"/>
          <w:sz w:val="28"/>
          <w:szCs w:val="28"/>
          <w:lang w:bidi="ar"/>
        </w:rPr>
        <w:t>投标截止时间：。</w:t>
      </w:r>
    </w:p>
    <w:p>
      <w:pPr>
        <w:pStyle w:val="53"/>
        <w:widowControl w:val="0"/>
        <w:adjustRightInd w:val="0"/>
        <w:snapToGrid w:val="0"/>
        <w:spacing w:before="120" w:beforeLines="50" w:beforeAutospacing="0" w:after="0" w:afterAutospacing="0" w:line="500" w:lineRule="exact"/>
        <w:ind w:firstLine="560" w:firstLineChars="200"/>
        <w:jc w:val="both"/>
        <w:rPr>
          <w:color w:val="000000"/>
          <w:sz w:val="28"/>
          <w:szCs w:val="28"/>
        </w:rPr>
      </w:pPr>
      <w:r>
        <w:rPr>
          <w:rFonts w:hint="eastAsia" w:cs="Times New Roman"/>
          <w:color w:val="000000"/>
          <w:sz w:val="28"/>
          <w:szCs w:val="28"/>
          <w:lang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widowControl w:val="0"/>
        <w:adjustRightInd w:val="0"/>
        <w:snapToGrid w:val="0"/>
        <w:spacing w:before="120" w:beforeLines="50" w:beforeAutospacing="0" w:after="0" w:afterAutospacing="0" w:line="500" w:lineRule="exact"/>
        <w:ind w:firstLine="560" w:firstLineChars="200"/>
        <w:jc w:val="both"/>
        <w:rPr>
          <w:color w:val="000000"/>
          <w:sz w:val="28"/>
          <w:szCs w:val="28"/>
        </w:rPr>
      </w:pPr>
      <w:r>
        <w:rPr>
          <w:rFonts w:hint="eastAsia" w:cs="Times New Roman"/>
          <w:color w:val="000000"/>
          <w:sz w:val="28"/>
          <w:szCs w:val="28"/>
          <w:lang w:bidi="ar"/>
        </w:rPr>
        <w:t>如认为需要，投标人可以选择递交备份投标文件，采用数据电文形式，以U盘或DVD光盘形式存储，并在投标截止时间前，通过邮寄方式，送达指定地点，逾期送达或未密封将被拒收。</w:t>
      </w:r>
    </w:p>
    <w:p>
      <w:pPr>
        <w:pStyle w:val="53"/>
        <w:widowControl w:val="0"/>
        <w:adjustRightInd w:val="0"/>
        <w:snapToGrid w:val="0"/>
        <w:spacing w:before="120" w:beforeLines="50" w:beforeAutospacing="0" w:after="0" w:afterAutospacing="0" w:line="500" w:lineRule="exact"/>
        <w:ind w:firstLine="560" w:firstLineChars="200"/>
        <w:jc w:val="both"/>
        <w:rPr>
          <w:color w:val="000000"/>
          <w:sz w:val="28"/>
          <w:szCs w:val="28"/>
        </w:rPr>
      </w:pPr>
      <w:r>
        <w:rPr>
          <w:rFonts w:hint="eastAsia" w:cs="Times New Roman"/>
          <w:color w:val="000000"/>
          <w:sz w:val="28"/>
          <w:szCs w:val="28"/>
          <w:lang w:bidi="ar"/>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53"/>
        <w:widowControl w:val="0"/>
        <w:adjustRightInd w:val="0"/>
        <w:snapToGrid w:val="0"/>
        <w:spacing w:before="120" w:beforeLines="50" w:beforeAutospacing="0" w:after="0" w:afterAutospacing="0" w:line="500" w:lineRule="exact"/>
        <w:ind w:firstLine="562" w:firstLineChars="200"/>
        <w:jc w:val="both"/>
        <w:rPr>
          <w:b/>
          <w:color w:val="000000"/>
          <w:sz w:val="28"/>
          <w:szCs w:val="28"/>
        </w:rPr>
      </w:pPr>
      <w:r>
        <w:rPr>
          <w:rFonts w:hint="eastAsia" w:cs="Times New Roman"/>
          <w:b/>
          <w:color w:val="000000"/>
          <w:sz w:val="28"/>
          <w:szCs w:val="28"/>
          <w:lang w:bidi="ar"/>
        </w:rPr>
        <w:t>本项目拒绝接受纸质投标文件。</w:t>
      </w:r>
    </w:p>
    <w:p>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lang w:bidi="ar"/>
        </w:rPr>
        <w:t>七、开标时间及地点：</w:t>
      </w:r>
    </w:p>
    <w:p>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lang w:bidi="ar"/>
        </w:rPr>
        <w:t>本次招标将于</w:t>
      </w:r>
      <w:bookmarkStart w:id="8" w:name="PO_15528_PM015_1"/>
      <w:r>
        <w:rPr>
          <w:rFonts w:hint="eastAsia" w:ascii="宋体" w:hAnsi="宋体" w:cs="Arial"/>
          <w:b/>
          <w:color w:val="000000"/>
          <w:sz w:val="28"/>
          <w:szCs w:val="28"/>
          <w:lang w:eastAsia="zh-CN" w:bidi="ar"/>
        </w:rPr>
        <w:t>2023-08-08 09:00:00</w:t>
      </w:r>
      <w:bookmarkEnd w:id="8"/>
      <w:r>
        <w:rPr>
          <w:rFonts w:hint="eastAsia" w:ascii="宋体" w:hAnsi="宋体" w:cs="Arial"/>
          <w:b/>
          <w:color w:val="000000"/>
          <w:sz w:val="28"/>
          <w:szCs w:val="28"/>
          <w:lang w:bidi="ar"/>
        </w:rPr>
        <w:t>时整在</w:t>
      </w:r>
      <w:bookmarkStart w:id="9" w:name="PO_15528_PM016_1"/>
      <w:r>
        <w:rPr>
          <w:rFonts w:hint="eastAsia" w:ascii="宋体" w:hAnsi="宋体" w:cs="Arial"/>
          <w:b/>
          <w:color w:val="000000"/>
          <w:sz w:val="28"/>
          <w:szCs w:val="28"/>
          <w:lang w:eastAsia="zh-CN" w:bidi="ar"/>
        </w:rPr>
        <w:t>西湖区宝石一路3号202开标室</w:t>
      </w:r>
      <w:bookmarkEnd w:id="9"/>
      <w:r>
        <w:rPr>
          <w:rFonts w:hint="eastAsia" w:ascii="宋体" w:hAnsi="宋体" w:cs="Arial"/>
          <w:b/>
          <w:color w:val="000000"/>
          <w:sz w:val="28"/>
          <w:szCs w:val="28"/>
          <w:lang w:bidi="ar"/>
        </w:rPr>
        <w:t>开标。</w:t>
      </w:r>
    </w:p>
    <w:p>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lang w:bidi="ar"/>
        </w:rPr>
        <w:t>本项目实行“不见面开评标”，投标人无须派人员到现场出席开标会议。</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开评标现场咨询电话</w:t>
            </w: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201开标室：</w:t>
            </w:r>
          </w:p>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0571-88907792</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202开标室：</w:t>
            </w:r>
          </w:p>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203开标室：</w:t>
            </w:r>
          </w:p>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0571-88901816</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301会议室：</w:t>
            </w:r>
          </w:p>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302会议室：</w:t>
            </w:r>
          </w:p>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0571-88907720</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303会议室：</w:t>
            </w:r>
          </w:p>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sz w:val="20"/>
                <w:szCs w:val="20"/>
              </w:rPr>
            </w:pPr>
          </w:p>
        </w:tc>
        <w:tc>
          <w:tcPr>
            <w:tcW w:w="34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306会议室：</w:t>
            </w:r>
          </w:p>
          <w:p>
            <w:pPr>
              <w:adjustRightInd w:val="0"/>
              <w:snapToGrid w:val="0"/>
              <w:spacing w:line="360" w:lineRule="auto"/>
              <w:rPr>
                <w:rFonts w:hint="eastAsia" w:ascii="宋体" w:hAnsi="宋体" w:cs="宋体"/>
                <w:color w:val="000000"/>
                <w:kern w:val="0"/>
                <w:sz w:val="28"/>
                <w:szCs w:val="28"/>
              </w:rPr>
            </w:pPr>
            <w:r>
              <w:rPr>
                <w:rFonts w:hint="eastAsia" w:ascii="宋体" w:hAnsi="宋体" w:cs="宋体"/>
                <w:color w:val="000000"/>
                <w:kern w:val="0"/>
                <w:sz w:val="28"/>
                <w:szCs w:val="28"/>
                <w:lang w:bidi="ar"/>
              </w:rPr>
              <w:t>0571-88907751</w:t>
            </w:r>
          </w:p>
        </w:tc>
        <w:tc>
          <w:tcPr>
            <w:tcW w:w="34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cs="宋体"/>
                <w:color w:val="000000"/>
                <w:kern w:val="0"/>
                <w:sz w:val="28"/>
                <w:szCs w:val="28"/>
              </w:rPr>
            </w:pPr>
          </w:p>
        </w:tc>
      </w:tr>
    </w:tbl>
    <w:p>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lang w:bidi="ar"/>
        </w:rPr>
        <w:t>八、电子交易平台的网络地址和登录方法</w:t>
      </w:r>
    </w:p>
    <w:p>
      <w:pPr>
        <w:snapToGrid w:val="0"/>
        <w:spacing w:line="500" w:lineRule="exact"/>
        <w:ind w:firstLine="562" w:firstLineChars="200"/>
        <w:rPr>
          <w:color w:val="000000"/>
          <w:sz w:val="28"/>
          <w:szCs w:val="28"/>
        </w:rPr>
      </w:pPr>
      <w:r>
        <w:rPr>
          <w:rFonts w:hint="eastAsia" w:ascii="宋体" w:hAnsi="宋体" w:cs="Arial"/>
          <w:b/>
          <w:color w:val="000000"/>
          <w:sz w:val="28"/>
          <w:szCs w:val="28"/>
          <w:lang w:bidi="ar"/>
        </w:rPr>
        <w:t>（一）网络地址：</w:t>
      </w:r>
      <w:r>
        <w:rPr>
          <w:rFonts w:hint="eastAsia" w:ascii="宋体" w:hAnsi="宋体" w:cs="仿宋"/>
          <w:color w:val="000000"/>
          <w:sz w:val="28"/>
          <w:szCs w:val="28"/>
          <w:lang w:bidi="ar"/>
        </w:rPr>
        <w:t xml:space="preserve">浙江政府采购网 </w:t>
      </w:r>
      <w:r>
        <w:rPr>
          <w:rFonts w:cs="Times New Roman"/>
          <w:lang w:bidi="ar"/>
        </w:rPr>
        <w:fldChar w:fldCharType="begin"/>
      </w:r>
      <w:r>
        <w:rPr>
          <w:rFonts w:cs="Times New Roman"/>
          <w:lang w:bidi="ar"/>
        </w:rPr>
        <w:instrText xml:space="preserve"> HYPERLINK "http://zfcg.czt.zj.gov.cn/" </w:instrText>
      </w:r>
      <w:r>
        <w:rPr>
          <w:rFonts w:cs="Times New Roman"/>
          <w:lang w:bidi="ar"/>
        </w:rPr>
        <w:fldChar w:fldCharType="separate"/>
      </w:r>
      <w:r>
        <w:rPr>
          <w:rStyle w:val="69"/>
          <w:color w:val="000000"/>
          <w:sz w:val="28"/>
          <w:szCs w:val="28"/>
        </w:rPr>
        <w:t>http://zfcg.czt.zj.gov.cn/</w:t>
      </w:r>
      <w:r>
        <w:rPr>
          <w:rFonts w:cs="Times New Roman"/>
          <w:lang w:bidi="ar"/>
        </w:rPr>
        <w:fldChar w:fldCharType="end"/>
      </w:r>
    </w:p>
    <w:p>
      <w:pPr>
        <w:snapToGrid w:val="0"/>
        <w:spacing w:line="50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lang w:bidi="ar"/>
        </w:rPr>
        <w:t>（二）登录方法：</w:t>
      </w:r>
      <w:r>
        <w:rPr>
          <w:rFonts w:hint="eastAsia" w:ascii="宋体" w:hAnsi="宋体" w:cs="Arial"/>
          <w:color w:val="000000"/>
          <w:sz w:val="28"/>
          <w:szCs w:val="28"/>
          <w:lang w:bidi="ar"/>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hint="eastAsia" w:ascii="宋体" w:hAnsi="宋体" w:cs="Arial"/>
          <w:b/>
          <w:color w:val="000000"/>
          <w:sz w:val="28"/>
          <w:szCs w:val="28"/>
        </w:rPr>
      </w:pPr>
      <w:r>
        <w:rPr>
          <w:rFonts w:hint="eastAsia" w:ascii="宋体" w:hAnsi="宋体" w:cs="Arial"/>
          <w:b/>
          <w:color w:val="000000"/>
          <w:sz w:val="28"/>
          <w:szCs w:val="28"/>
          <w:lang w:bidi="ar"/>
        </w:rPr>
        <w:t>九、其他：</w:t>
      </w:r>
    </w:p>
    <w:p>
      <w:pPr>
        <w:snapToGrid w:val="0"/>
        <w:spacing w:line="440" w:lineRule="exact"/>
        <w:ind w:firstLine="562" w:firstLineChars="200"/>
        <w:rPr>
          <w:rFonts w:hint="eastAsia" w:ascii="宋体" w:hAnsi="宋体" w:cs="Arial"/>
          <w:b/>
          <w:color w:val="000000"/>
          <w:sz w:val="28"/>
          <w:szCs w:val="28"/>
        </w:rPr>
      </w:pPr>
      <w:r>
        <w:rPr>
          <w:rFonts w:hint="eastAsia" w:ascii="宋体" w:hAnsi="宋体" w:cs="Arial"/>
          <w:b/>
          <w:color w:val="000000"/>
          <w:sz w:val="28"/>
          <w:szCs w:val="28"/>
          <w:lang w:bidi="ar"/>
        </w:rPr>
        <w:t>（一）本项目采用“电子交易/不见面开评标”，供应商可进入电子卖场服务中心采云学院</w:t>
      </w:r>
    </w:p>
    <w:p>
      <w:pPr>
        <w:snapToGrid w:val="0"/>
        <w:spacing w:line="440" w:lineRule="exact"/>
        <w:ind w:firstLine="562" w:firstLineChars="200"/>
        <w:rPr>
          <w:rFonts w:hint="eastAsia" w:ascii="仿宋" w:hAnsi="仿宋" w:eastAsia="仿宋" w:cs="仿宋"/>
          <w:color w:val="000000"/>
          <w:sz w:val="28"/>
          <w:szCs w:val="28"/>
        </w:rPr>
      </w:pPr>
      <w:r>
        <w:rPr>
          <w:rFonts w:hint="eastAsia" w:ascii="宋体" w:hAnsi="宋体" w:cs="Arial"/>
          <w:b/>
          <w:color w:val="000000"/>
          <w:sz w:val="28"/>
          <w:szCs w:val="28"/>
          <w:lang w:bidi="ar"/>
        </w:rPr>
        <w:t>（https://edu.zcygov.cn/live?utm=a0018.2ef5001f.0.0.1939d340e5db11ea867fb57c149ddb61）自行提前学习</w:t>
      </w:r>
      <w:r>
        <w:rPr>
          <w:rFonts w:hint="eastAsia" w:ascii="宋体" w:hAnsi="宋体" w:cs="Arial"/>
          <w:color w:val="000000"/>
          <w:sz w:val="28"/>
          <w:szCs w:val="28"/>
          <w:lang w:bidi="ar"/>
        </w:rPr>
        <w:t>。</w:t>
      </w:r>
    </w:p>
    <w:p>
      <w:pPr>
        <w:snapToGrid w:val="0"/>
        <w:spacing w:line="440" w:lineRule="exact"/>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lang w:bidi="ar"/>
        </w:rPr>
        <w:t>十、业务咨询</w:t>
      </w:r>
    </w:p>
    <w:tbl>
      <w:tblPr>
        <w:tblStyle w:val="59"/>
        <w:tblpPr w:leftFromText="180" w:rightFromText="180" w:vertAnchor="text" w:horzAnchor="page" w:tblpX="1336" w:tblpY="223"/>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314"/>
        <w:gridCol w:w="2089"/>
        <w:gridCol w:w="152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机 构</w:t>
            </w:r>
          </w:p>
        </w:tc>
        <w:tc>
          <w:tcPr>
            <w:tcW w:w="7478"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地 址</w:t>
            </w:r>
          </w:p>
        </w:tc>
        <w:tc>
          <w:tcPr>
            <w:tcW w:w="747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网 站</w:t>
            </w:r>
          </w:p>
        </w:tc>
        <w:tc>
          <w:tcPr>
            <w:tcW w:w="747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浙江政府采购网</w:t>
            </w:r>
            <w:r>
              <w:rPr>
                <w:rFonts w:hint="eastAsia" w:ascii="仿宋_GB2312" w:hAnsi="Segoe UI" w:eastAsia="仿宋_GB2312" w:cs="Segoe UI"/>
                <w:color w:val="000000"/>
                <w:sz w:val="29"/>
                <w:szCs w:val="29"/>
                <w:lang w:bidi="ar"/>
              </w:rPr>
              <w:t>ht</w:t>
            </w:r>
            <w:r>
              <w:rPr>
                <w:rFonts w:hint="eastAsia" w:ascii="仿宋" w:hAnsi="仿宋" w:eastAsia="仿宋" w:cs="仿宋"/>
                <w:color w:val="000000"/>
                <w:sz w:val="28"/>
                <w:szCs w:val="28"/>
                <w:lang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咨询事项</w:t>
            </w:r>
          </w:p>
        </w:tc>
        <w:tc>
          <w:tcPr>
            <w:tcW w:w="131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联系人</w:t>
            </w:r>
          </w:p>
        </w:tc>
        <w:tc>
          <w:tcPr>
            <w:tcW w:w="20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联系方式</w:t>
            </w:r>
          </w:p>
        </w:tc>
        <w:tc>
          <w:tcPr>
            <w:tcW w:w="152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传真</w:t>
            </w:r>
          </w:p>
        </w:tc>
        <w:tc>
          <w:tcPr>
            <w:tcW w:w="255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项目联系人</w:t>
            </w:r>
          </w:p>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（A岗）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bookmarkStart w:id="10" w:name="PO_15528_PM032"/>
            <w:r>
              <w:rPr>
                <w:rFonts w:hint="eastAsia" w:ascii="仿宋" w:hAnsi="仿宋" w:eastAsia="仿宋" w:cs="仿宋"/>
                <w:color w:val="000000"/>
                <w:sz w:val="28"/>
                <w:szCs w:val="28"/>
                <w:lang w:bidi="ar"/>
              </w:rPr>
              <w:t>商红娟</w:t>
            </w:r>
            <w:bookmarkEnd w:id="10"/>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bookmarkStart w:id="11" w:name="PO_15528_PM033"/>
            <w:r>
              <w:rPr>
                <w:rFonts w:hint="eastAsia" w:ascii="仿宋" w:hAnsi="仿宋" w:eastAsia="仿宋" w:cs="仿宋"/>
                <w:color w:val="000000"/>
                <w:sz w:val="28"/>
                <w:szCs w:val="28"/>
                <w:lang w:bidi="ar"/>
              </w:rPr>
              <w:t>0571-88907706</w:t>
            </w:r>
            <w:bookmarkEnd w:id="11"/>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bookmarkStart w:id="12" w:name="PO_15528_PM034"/>
            <w:r>
              <w:rPr>
                <w:rFonts w:hint="eastAsia" w:ascii="仿宋" w:hAnsi="仿宋" w:eastAsia="仿宋" w:cs="仿宋"/>
                <w:color w:val="000000"/>
                <w:sz w:val="28"/>
                <w:szCs w:val="28"/>
                <w:lang w:bidi="ar"/>
              </w:rPr>
              <w:t xml:space="preserve"> </w:t>
            </w:r>
            <w:bookmarkEnd w:id="12"/>
          </w:p>
        </w:tc>
        <w:tc>
          <w:tcPr>
            <w:tcW w:w="2552" w:type="dxa"/>
            <w:vMerge w:val="restart"/>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四楼</w:t>
            </w:r>
            <w:bookmarkStart w:id="13" w:name="PO_409_PM001385"/>
            <w:r>
              <w:rPr>
                <w:rFonts w:hint="eastAsia" w:ascii="仿宋" w:hAnsi="仿宋" w:eastAsia="仿宋" w:cs="仿宋"/>
                <w:color w:val="000000"/>
                <w:sz w:val="28"/>
                <w:szCs w:val="28"/>
                <w:lang w:bidi="ar"/>
              </w:rPr>
              <w:t>办公室</w:t>
            </w:r>
            <w:bookmarkEnd w:id="13"/>
            <w:r>
              <w:rPr>
                <w:rFonts w:hint="eastAsia" w:ascii="仿宋" w:hAnsi="仿宋" w:eastAsia="仿宋" w:cs="仿宋"/>
                <w:color w:val="000000"/>
                <w:sz w:val="28"/>
                <w:szCs w:val="28"/>
                <w:lang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项目协办人</w:t>
            </w:r>
          </w:p>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（B岗）</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柯 泓</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0571-88901833</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部门负责人</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高媛沁</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0571-88907717</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Calibri" w:hAnsi="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项目监督</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邵女士</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0571-88907750</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四楼（采购监督部）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网站系统问题</w:t>
            </w: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客  服</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95763</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bidi="ar"/>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bidi="ar"/>
              </w:rPr>
              <w:t>注册、账号、系统操作等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 w:hAnsi="仿宋" w:eastAsia="仿宋" w:cs="仿宋"/>
                <w:color w:val="000000"/>
                <w:sz w:val="28"/>
                <w:szCs w:val="28"/>
              </w:rPr>
            </w:pPr>
          </w:p>
        </w:tc>
      </w:tr>
    </w:tbl>
    <w:p>
      <w:pPr>
        <w:snapToGrid w:val="0"/>
        <w:spacing w:line="440" w:lineRule="exact"/>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lang w:bidi="ar"/>
        </w:rPr>
        <w:t>十一、采购需求咨询</w:t>
      </w:r>
    </w:p>
    <w:p>
      <w:pPr>
        <w:snapToGrid w:val="0"/>
        <w:spacing w:line="440" w:lineRule="exact"/>
        <w:rPr>
          <w:rFonts w:hint="eastAsia" w:ascii="仿宋_GB2312" w:hAnsi="仿宋" w:eastAsia="仿宋_GB2312" w:cs="仿宋_GB2312"/>
          <w:color w:val="000000"/>
          <w:sz w:val="30"/>
          <w:szCs w:val="30"/>
        </w:rPr>
      </w:pPr>
      <w:bookmarkStart w:id="14" w:name="PO_15528_PM001384_1"/>
      <w:r>
        <w:rPr>
          <w:rFonts w:hint="eastAsia" w:ascii="仿宋_GB2312" w:hAnsi="仿宋" w:eastAsia="仿宋_GB2312" w:cs="仿宋_GB2312"/>
          <w:color w:val="000000"/>
          <w:sz w:val="30"/>
          <w:szCs w:val="30"/>
          <w:lang w:bidi="ar"/>
        </w:rPr>
        <w:t xml:space="preserve"> </w:t>
      </w:r>
      <w:bookmarkEnd w:id="14"/>
      <w:bookmarkStart w:id="15" w:name="PO_TDCUS_ITEM_PRC_TITLE_1_2"/>
      <w:r>
        <w:rPr>
          <w:rFonts w:hint="eastAsia" w:ascii="仿宋_GB2312" w:hAnsi="仿宋" w:eastAsia="仿宋_GB2312" w:cs="仿宋_GB2312"/>
          <w:color w:val="000000"/>
          <w:sz w:val="30"/>
          <w:szCs w:val="30"/>
          <w:lang w:bidi="ar"/>
        </w:rPr>
        <w:t>标项1和标项2：</w:t>
      </w:r>
      <w:bookmarkEnd w:id="15"/>
      <w:bookmarkStart w:id="16" w:name="PO_TDCUS_ITEM_PRC_TABLE_1_1_2"/>
      <w:r>
        <w:rPr>
          <w:rFonts w:hint="eastAsia" w:ascii="仿宋_GB2312" w:hAnsi="仿宋" w:eastAsia="仿宋_GB2312" w:cs="仿宋_GB2312"/>
          <w:color w:val="000000"/>
          <w:sz w:val="30"/>
          <w:szCs w:val="30"/>
          <w:lang w:bidi="ar"/>
        </w:rPr>
        <w:t xml:space="preserve"> </w:t>
      </w:r>
    </w:p>
    <w:tbl>
      <w:tblPr>
        <w:tblStyle w:val="5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采购单位</w:t>
            </w:r>
          </w:p>
        </w:tc>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浙江省大数据发展管理局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地址</w:t>
            </w:r>
          </w:p>
        </w:tc>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体育场路487号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咨询事项</w:t>
            </w:r>
          </w:p>
        </w:tc>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联系人</w:t>
            </w:r>
          </w:p>
        </w:tc>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谢先生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联系方式</w:t>
            </w:r>
          </w:p>
        </w:tc>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0571-81051116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传真</w:t>
            </w:r>
          </w:p>
        </w:tc>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r>
              <w:rPr>
                <w:rFonts w:hint="eastAsia" w:ascii="仿宋_GB2312" w:hAnsi="仿宋" w:eastAsia="仿宋_GB2312" w:cs="仿宋_GB2312"/>
                <w:color w:val="000000"/>
                <w:sz w:val="30"/>
                <w:szCs w:val="30"/>
              </w:rPr>
              <w:t>备注</w:t>
            </w:r>
          </w:p>
        </w:tc>
        <w:tc>
          <w:tcPr>
            <w:tcW w:w="2500" w:type="pct"/>
            <w:tcBorders>
              <w:top w:val="single" w:color="auto" w:sz="4" w:space="0"/>
              <w:left w:val="single" w:color="auto" w:sz="4" w:space="0"/>
              <w:bottom w:val="single" w:color="auto" w:sz="4" w:space="0"/>
              <w:right w:val="single" w:color="auto" w:sz="4" w:space="0"/>
            </w:tcBorders>
            <w:noWrap w:val="0"/>
            <w:vAlign w:val="top"/>
          </w:tcPr>
          <w:p>
            <w:pPr>
              <w:snapToGrid w:val="0"/>
              <w:spacing w:after="120" w:line="440" w:lineRule="exact"/>
              <w:jc w:val="center"/>
              <w:rPr>
                <w:rFonts w:hint="eastAsia" w:ascii="仿宋_GB2312" w:hAnsi="仿宋" w:eastAsia="仿宋_GB2312" w:cs="仿宋_GB2312"/>
                <w:color w:val="000000"/>
                <w:sz w:val="30"/>
                <w:szCs w:val="30"/>
              </w:rPr>
            </w:pPr>
          </w:p>
        </w:tc>
      </w:tr>
      <w:bookmarkEnd w:id="16"/>
    </w:tbl>
    <w:p>
      <w:pPr>
        <w:snapToGrid w:val="0"/>
        <w:spacing w:line="440" w:lineRule="exact"/>
        <w:ind w:firstLine="602" w:firstLineChars="200"/>
        <w:rPr>
          <w:rFonts w:hint="eastAsia" w:ascii="仿宋" w:hAnsi="仿宋" w:eastAsia="仿宋" w:cs="Arial"/>
          <w:b/>
          <w:color w:val="000000"/>
          <w:sz w:val="30"/>
          <w:szCs w:val="30"/>
        </w:rPr>
      </w:pPr>
    </w:p>
    <w:p>
      <w:pPr>
        <w:snapToGrid w:val="0"/>
        <w:spacing w:line="440" w:lineRule="exact"/>
        <w:ind w:firstLine="602" w:firstLineChars="200"/>
        <w:rPr>
          <w:rFonts w:hint="eastAsia" w:ascii="仿宋" w:hAnsi="仿宋" w:eastAsia="仿宋" w:cs="Arial"/>
          <w:b/>
          <w:color w:val="000000"/>
          <w:sz w:val="30"/>
          <w:szCs w:val="30"/>
        </w:rPr>
      </w:pPr>
      <w:r>
        <w:rPr>
          <w:rFonts w:hint="eastAsia" w:ascii="仿宋" w:hAnsi="仿宋" w:eastAsia="仿宋" w:cs="Arial"/>
          <w:b/>
          <w:color w:val="000000"/>
          <w:sz w:val="30"/>
          <w:szCs w:val="30"/>
          <w:lang w:bidi="ar"/>
        </w:rPr>
        <w:tab/>
      </w:r>
      <w:r>
        <w:rPr>
          <w:rFonts w:hint="eastAsia" w:ascii="仿宋" w:hAnsi="仿宋" w:eastAsia="仿宋" w:cs="Arial"/>
          <w:b/>
          <w:color w:val="000000"/>
          <w:sz w:val="30"/>
          <w:szCs w:val="30"/>
          <w:lang w:bidi="ar"/>
        </w:rPr>
        <w:t>十二、同级政府采购监督管理部门</w:t>
      </w:r>
    </w:p>
    <w:p>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lang w:bidi="ar"/>
        </w:rPr>
        <w:t>名    称：浙江省财政厅政府采购监管处、浙江省政府采购行政裁决服务中心（杭州）</w:t>
      </w:r>
    </w:p>
    <w:p>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lang w:bidi="ar"/>
        </w:rPr>
        <w:t>地   址：杭州市上城区四季青街道新业路市民之家G03办公室</w:t>
      </w:r>
    </w:p>
    <w:p>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lang w:bidi="ar"/>
        </w:rPr>
        <w:t>传   真：/</w:t>
      </w:r>
    </w:p>
    <w:p>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lang w:bidi="ar"/>
        </w:rPr>
        <w:t>联系人 ：朱女士、王女士</w:t>
      </w:r>
    </w:p>
    <w:p>
      <w:pPr>
        <w:snapToGrid w:val="0"/>
        <w:spacing w:line="360" w:lineRule="auto"/>
        <w:ind w:firstLine="560" w:firstLineChars="200"/>
        <w:rPr>
          <w:rFonts w:hint="eastAsia" w:ascii="宋体" w:hAnsi="宋体" w:cs="仿宋"/>
          <w:color w:val="000000"/>
          <w:sz w:val="28"/>
          <w:szCs w:val="28"/>
        </w:rPr>
      </w:pPr>
      <w:r>
        <w:rPr>
          <w:rFonts w:hint="eastAsia" w:ascii="宋体" w:hAnsi="宋体" w:cs="仿宋"/>
          <w:color w:val="000000"/>
          <w:sz w:val="28"/>
          <w:szCs w:val="28"/>
          <w:lang w:bidi="ar"/>
        </w:rPr>
        <w:t>监督投诉电话：0571-85252453</w:t>
      </w:r>
    </w:p>
    <w:p>
      <w:pPr>
        <w:snapToGrid w:val="0"/>
        <w:spacing w:line="440" w:lineRule="exact"/>
        <w:rPr>
          <w:rFonts w:hint="eastAsia" w:ascii="宋体" w:hAnsi="宋体" w:cs="仿宋"/>
          <w:color w:val="000000"/>
          <w:sz w:val="28"/>
          <w:szCs w:val="28"/>
        </w:rPr>
      </w:pPr>
      <w:r>
        <w:rPr>
          <w:rFonts w:hint="eastAsia" w:ascii="宋体" w:hAnsi="宋体" w:cs="仿宋"/>
          <w:color w:val="000000"/>
          <w:sz w:val="28"/>
          <w:szCs w:val="28"/>
          <w:lang w:bidi="ar"/>
        </w:rPr>
        <w:t>预算金额未达100万元的采购项目，由采购人处理采购争议。</w:t>
      </w:r>
    </w:p>
    <w:p>
      <w:pPr>
        <w:pStyle w:val="53"/>
        <w:widowControl w:val="0"/>
        <w:spacing w:before="120" w:beforeLines="50" w:beforeAutospacing="0" w:after="0" w:afterAutospacing="0" w:line="360" w:lineRule="auto"/>
        <w:ind w:firstLine="2168" w:firstLineChars="600"/>
        <w:jc w:val="both"/>
        <w:outlineLvl w:val="0"/>
        <w:rPr>
          <w:rFonts w:hint="eastAsia" w:ascii="仿宋" w:hAnsi="仿宋" w:eastAsia="仿宋" w:cs="仿宋"/>
          <w:b/>
          <w:color w:val="000000"/>
          <w:kern w:val="2"/>
          <w:sz w:val="36"/>
          <w:szCs w:val="36"/>
          <w:lang w:bidi="ar"/>
        </w:rPr>
      </w:pPr>
      <w:bookmarkStart w:id="17" w:name="_Toc29498"/>
      <w:bookmarkStart w:id="18" w:name="_Toc496796636"/>
    </w:p>
    <w:p>
      <w:pPr>
        <w:pStyle w:val="53"/>
        <w:widowControl w:val="0"/>
        <w:spacing w:before="120" w:beforeLines="50" w:beforeAutospacing="0" w:after="0" w:afterAutospacing="0" w:line="360" w:lineRule="auto"/>
        <w:ind w:firstLine="2530" w:firstLineChars="700"/>
        <w:jc w:val="both"/>
        <w:outlineLvl w:val="0"/>
        <w:rPr>
          <w:b/>
          <w:color w:val="000000"/>
          <w:sz w:val="36"/>
          <w:szCs w:val="36"/>
        </w:rPr>
      </w:pPr>
      <w:r>
        <w:rPr>
          <w:rFonts w:hint="eastAsia" w:ascii="仿宋" w:hAnsi="仿宋" w:eastAsia="仿宋" w:cs="仿宋"/>
          <w:b/>
          <w:color w:val="000000"/>
          <w:kern w:val="2"/>
          <w:sz w:val="36"/>
          <w:szCs w:val="36"/>
          <w:lang w:bidi="ar"/>
        </w:rPr>
        <w:t>第二章</w:t>
      </w:r>
      <w:bookmarkStart w:id="19" w:name="投标人须知"/>
      <w:r>
        <w:rPr>
          <w:rFonts w:hint="eastAsia" w:ascii="仿宋" w:hAnsi="仿宋" w:eastAsia="仿宋" w:cs="仿宋"/>
          <w:b/>
          <w:color w:val="000000"/>
          <w:kern w:val="2"/>
          <w:sz w:val="36"/>
          <w:szCs w:val="36"/>
          <w:lang w:bidi="ar"/>
        </w:rPr>
        <w:t xml:space="preserve">  投标人须知</w:t>
      </w:r>
      <w:bookmarkEnd w:id="17"/>
      <w:bookmarkEnd w:id="18"/>
      <w:bookmarkEnd w:id="19"/>
    </w:p>
    <w:p>
      <w:pPr>
        <w:snapToGrid w:val="0"/>
        <w:rPr>
          <w:rFonts w:hint="eastAsia" w:ascii="宋体" w:hAnsi="宋体" w:cs="宋体"/>
          <w:color w:val="000000"/>
          <w:sz w:val="28"/>
          <w:szCs w:val="28"/>
        </w:rPr>
      </w:pPr>
      <w:r>
        <w:rPr>
          <w:rFonts w:hint="eastAsia" w:ascii="宋体" w:hAnsi="宋体" w:cs="宋体"/>
          <w:color w:val="000000"/>
          <w:sz w:val="28"/>
          <w:szCs w:val="28"/>
          <w:lang w:bidi="ar"/>
        </w:rPr>
        <w:t>前附表</w:t>
      </w:r>
    </w:p>
    <w:tbl>
      <w:tblPr>
        <w:tblStyle w:val="59"/>
        <w:tblW w:w="946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4"/>
        <w:gridCol w:w="1558"/>
        <w:gridCol w:w="737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内  容</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项目名称及数量</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信用记录</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中小企业预留份额情况</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根据《政府采购促进中小企业发展管理办法》财库〔2020〕46号文件的规定，本项目标项1和标项2</w:t>
            </w:r>
            <w:r>
              <w:rPr>
                <w:rFonts w:hint="eastAsia" w:ascii="仿宋" w:hAnsi="仿宋" w:eastAsia="仿宋" w:cs="仿宋"/>
                <w:b/>
                <w:color w:val="000000"/>
                <w:sz w:val="24"/>
                <w:szCs w:val="24"/>
                <w:u w:val="single"/>
                <w:lang w:bidi="ar"/>
              </w:rPr>
              <w:t>不</w:t>
            </w:r>
            <w:r>
              <w:rPr>
                <w:rFonts w:hint="eastAsia" w:ascii="仿宋" w:hAnsi="仿宋" w:eastAsia="仿宋" w:cs="仿宋"/>
                <w:b/>
                <w:color w:val="000000"/>
                <w:sz w:val="24"/>
                <w:szCs w:val="24"/>
                <w:lang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8"/>
                <w:szCs w:val="28"/>
              </w:rPr>
            </w:pPr>
            <w:r>
              <w:rPr>
                <w:rFonts w:hint="eastAsia" w:ascii="仿宋_GB2312" w:hAnsi="仿宋" w:eastAsia="仿宋_GB2312" w:cs="仿宋_GB2312"/>
                <w:bCs/>
                <w:color w:val="000000"/>
                <w:sz w:val="24"/>
                <w:lang w:bidi="ar"/>
              </w:rPr>
              <w:t>中小企业优惠措施</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pStyle w:val="53"/>
              <w:widowControl w:val="0"/>
              <w:numPr>
                <w:ilvl w:val="0"/>
                <w:numId w:val="30"/>
              </w:numPr>
              <w:snapToGrid w:val="0"/>
              <w:spacing w:before="0" w:beforeAutospacing="0" w:after="0" w:afterAutospacing="0" w:line="460" w:lineRule="exact"/>
              <w:jc w:val="both"/>
              <w:rPr>
                <w:rFonts w:hint="eastAsia" w:ascii="仿宋" w:hAnsi="仿宋" w:eastAsia="仿宋" w:cs="仿宋"/>
                <w:b/>
                <w:color w:val="000000"/>
                <w:u w:val="single"/>
              </w:rPr>
            </w:pPr>
            <w:r>
              <w:rPr>
                <w:rFonts w:hint="eastAsia" w:ascii="仿宋" w:hAnsi="仿宋" w:eastAsia="仿宋" w:cs="仿宋"/>
                <w:b/>
                <w:color w:val="000000"/>
                <w:lang w:bidi="ar"/>
              </w:rPr>
              <w:t>项目属性（服务类）</w:t>
            </w:r>
          </w:p>
          <w:p>
            <w:pPr>
              <w:pStyle w:val="53"/>
              <w:widowControl w:val="0"/>
              <w:numPr>
                <w:ilvl w:val="0"/>
                <w:numId w:val="30"/>
              </w:numPr>
              <w:snapToGrid w:val="0"/>
              <w:spacing w:before="0" w:beforeAutospacing="0" w:after="0" w:afterAutospacing="0" w:line="460" w:lineRule="exact"/>
              <w:jc w:val="both"/>
              <w:rPr>
                <w:rFonts w:hint="eastAsia" w:ascii="仿宋" w:hAnsi="仿宋" w:eastAsia="仿宋" w:cs="仿宋"/>
                <w:b/>
                <w:color w:val="000000"/>
              </w:rPr>
            </w:pPr>
            <w:r>
              <w:rPr>
                <w:rFonts w:hint="eastAsia" w:ascii="仿宋" w:hAnsi="仿宋" w:eastAsia="仿宋" w:cs="仿宋"/>
                <w:b/>
                <w:color w:val="000000"/>
                <w:lang w:bidi="ar"/>
              </w:rPr>
              <w:t>中小企业划分标准所属行业（具体根据《中小企业划型标准规定》执行）</w:t>
            </w:r>
          </w:p>
          <w:p>
            <w:pPr>
              <w:snapToGrid w:val="0"/>
              <w:spacing w:line="460" w:lineRule="exact"/>
              <w:ind w:left="600"/>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采购标的：</w:t>
            </w:r>
            <w:r>
              <w:rPr>
                <w:rFonts w:hint="eastAsia" w:ascii="仿宋" w:hAnsi="仿宋" w:eastAsia="仿宋" w:cs="仿宋"/>
                <w:b/>
                <w:color w:val="000000"/>
                <w:kern w:val="0"/>
                <w:sz w:val="24"/>
                <w:szCs w:val="24"/>
                <w:lang w:bidi="ar"/>
              </w:rPr>
              <w:t>标项1：省电子政务网络运行维护项目；</w:t>
            </w:r>
            <w:r>
              <w:rPr>
                <w:rFonts w:hint="eastAsia" w:ascii="仿宋" w:hAnsi="仿宋" w:eastAsia="仿宋" w:cs="仿宋"/>
                <w:b/>
                <w:color w:val="000000"/>
                <w:sz w:val="24"/>
                <w:szCs w:val="24"/>
                <w:lang w:bidi="ar"/>
              </w:rPr>
              <w:t>所属行业：软件和信息技术服务业</w:t>
            </w:r>
          </w:p>
          <w:p>
            <w:pPr>
              <w:snapToGrid w:val="0"/>
              <w:spacing w:line="460" w:lineRule="exact"/>
              <w:ind w:left="600" w:firstLine="1205" w:firstLineChars="500"/>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bidi="ar"/>
              </w:rPr>
              <w:t xml:space="preserve">标项2：电子政务外网备份网络项目 ； </w:t>
            </w:r>
            <w:r>
              <w:rPr>
                <w:rFonts w:hint="eastAsia" w:ascii="仿宋" w:hAnsi="仿宋" w:eastAsia="仿宋" w:cs="仿宋"/>
                <w:b/>
                <w:color w:val="000000"/>
                <w:sz w:val="24"/>
                <w:szCs w:val="24"/>
                <w:lang w:bidi="ar"/>
              </w:rPr>
              <w:t xml:space="preserve">所属行业：软件和信息技术服务业 </w:t>
            </w:r>
          </w:p>
          <w:p>
            <w:pPr>
              <w:snapToGrid w:val="0"/>
              <w:spacing w:line="460" w:lineRule="exact"/>
              <w:ind w:firstLine="602" w:firstLineChars="250"/>
              <w:rPr>
                <w:rFonts w:hint="eastAsia" w:ascii="仿宋" w:hAnsi="仿宋" w:eastAsia="仿宋" w:cs="仿宋"/>
                <w:b/>
                <w:strike/>
                <w:color w:val="000000"/>
                <w:sz w:val="24"/>
                <w:szCs w:val="24"/>
              </w:rPr>
            </w:pPr>
            <w:r>
              <w:rPr>
                <w:rFonts w:hint="eastAsia" w:ascii="仿宋" w:hAnsi="仿宋" w:eastAsia="仿宋" w:cs="仿宋"/>
                <w:b/>
                <w:color w:val="000000"/>
                <w:sz w:val="24"/>
                <w:szCs w:val="24"/>
                <w:lang w:bidi="ar"/>
              </w:rPr>
              <w:t>3.根据财库〔2020〕46号的相关规定，在评审时对符合本办法规定的小微企业报价给予</w:t>
            </w:r>
            <w:r>
              <w:rPr>
                <w:rFonts w:hint="eastAsia" w:ascii="仿宋" w:hAnsi="仿宋" w:eastAsia="仿宋" w:cs="仿宋"/>
                <w:b/>
                <w:color w:val="000000"/>
                <w:sz w:val="24"/>
                <w:szCs w:val="24"/>
                <w:u w:val="single"/>
                <w:lang w:bidi="ar"/>
              </w:rPr>
              <w:t xml:space="preserve">  20%  </w:t>
            </w:r>
            <w:r>
              <w:rPr>
                <w:rFonts w:hint="eastAsia" w:ascii="仿宋" w:hAnsi="仿宋" w:eastAsia="仿宋" w:cs="仿宋"/>
                <w:b/>
                <w:color w:val="000000"/>
                <w:sz w:val="24"/>
                <w:szCs w:val="24"/>
                <w:lang w:bidi="ar"/>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hint="eastAsia" w:ascii="仿宋" w:hAnsi="仿宋" w:eastAsia="仿宋" w:cs="仿宋"/>
                <w:b/>
                <w:strike/>
                <w:color w:val="000000"/>
                <w:sz w:val="24"/>
                <w:szCs w:val="24"/>
              </w:rPr>
            </w:pPr>
            <w:r>
              <w:rPr>
                <w:rFonts w:hint="eastAsia" w:ascii="仿宋" w:hAnsi="仿宋" w:eastAsia="仿宋" w:cs="仿宋"/>
                <w:b/>
                <w:color w:val="000000"/>
                <w:sz w:val="24"/>
                <w:szCs w:val="24"/>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sz w:val="24"/>
                <w:szCs w:val="24"/>
                <w:u w:val="single"/>
                <w:lang w:bidi="ar"/>
              </w:rPr>
              <w:t xml:space="preserve">  6%  </w:t>
            </w:r>
            <w:r>
              <w:rPr>
                <w:rFonts w:hint="eastAsia" w:ascii="仿宋" w:hAnsi="仿宋" w:eastAsia="仿宋" w:cs="仿宋"/>
                <w:b/>
                <w:color w:val="000000"/>
                <w:sz w:val="24"/>
                <w:szCs w:val="24"/>
                <w:lang w:bidi="ar"/>
              </w:rPr>
              <w:t>的扣除，用扣除后的价格参加评审。</w:t>
            </w:r>
          </w:p>
          <w:p>
            <w:pPr>
              <w:snapToGrid w:val="0"/>
              <w:spacing w:line="460" w:lineRule="exact"/>
              <w:ind w:firstLine="602" w:firstLineChars="250"/>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lang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lang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hint="eastAsia" w:ascii="仿宋" w:hAnsi="仿宋" w:eastAsia="仿宋" w:cs="仿宋"/>
                <w:b/>
                <w:bCs/>
                <w:color w:val="000000"/>
                <w:sz w:val="24"/>
                <w:szCs w:val="24"/>
              </w:rPr>
            </w:pPr>
            <w:r>
              <w:rPr>
                <w:rFonts w:hint="eastAsia" w:ascii="仿宋" w:hAnsi="仿宋" w:eastAsia="仿宋" w:cs="仿宋"/>
                <w:b/>
                <w:color w:val="000000"/>
                <w:sz w:val="24"/>
                <w:szCs w:val="24"/>
                <w:lang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政府采购节能环保产品</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lang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lang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sz w:val="24"/>
                <w:szCs w:val="24"/>
                <w:lang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促进绿色发展有关政策</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lang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首台套政策</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lang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质疑</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lang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是否允许采购进口产品</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bookmarkStart w:id="20" w:name="PO_15528_PM042"/>
            <w:r>
              <w:rPr>
                <w:rFonts w:hint="eastAsia" w:ascii="仿宋" w:hAnsi="仿宋" w:eastAsia="仿宋" w:cs="仿宋"/>
                <w:color w:val="000000"/>
                <w:sz w:val="24"/>
                <w:szCs w:val="24"/>
                <w:lang w:bidi="ar"/>
              </w:rPr>
              <w:t>不允许进口产品</w:t>
            </w:r>
            <w:bookmarkEnd w:id="20"/>
            <w:r>
              <w:rPr>
                <w:rFonts w:hint="eastAsia" w:ascii="仿宋" w:hAnsi="仿宋" w:eastAsia="仿宋" w:cs="仿宋"/>
                <w:color w:val="000000"/>
                <w:sz w:val="24"/>
                <w:szCs w:val="24"/>
                <w:lang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 w:eastAsia="仿宋_GB2312" w:cs="仿宋_GB2312"/>
                <w:bCs/>
                <w:sz w:val="24"/>
              </w:rPr>
            </w:pPr>
            <w:r>
              <w:rPr>
                <w:rFonts w:hint="eastAsia" w:ascii="仿宋_GB2312" w:hAnsi="仿宋" w:eastAsia="仿宋_GB2312" w:cs="仿宋_GB2312"/>
                <w:bCs/>
                <w:sz w:val="24"/>
                <w:lang w:bidi="ar"/>
              </w:rPr>
              <w:t>是否允许转包与分包</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转包：否</w:t>
            </w:r>
          </w:p>
          <w:p>
            <w:pPr>
              <w:snapToGrid w:val="0"/>
              <w:spacing w:line="460" w:lineRule="exact"/>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分包：</w:t>
            </w:r>
            <w:bookmarkStart w:id="21" w:name="PO_15528_PM044"/>
            <w:r>
              <w:rPr>
                <w:rFonts w:hint="eastAsia" w:ascii="仿宋_GB2312" w:hAnsi="仿宋" w:eastAsia="仿宋_GB2312" w:cs="仿宋_GB2312"/>
                <w:bCs/>
                <w:color w:val="000000"/>
                <w:sz w:val="24"/>
                <w:lang w:bidi="ar"/>
              </w:rPr>
              <w:t>允许分包</w:t>
            </w:r>
            <w:bookmarkEnd w:id="21"/>
            <w:r>
              <w:rPr>
                <w:rFonts w:hint="eastAsia" w:ascii="仿宋_GB2312" w:hAnsi="仿宋" w:eastAsia="仿宋_GB2312" w:cs="仿宋_GB2312"/>
                <w:bCs/>
                <w:color w:val="000000"/>
                <w:sz w:val="24"/>
                <w:lang w:bidi="ar"/>
              </w:rPr>
              <w:t>，分包内容：</w:t>
            </w:r>
          </w:p>
          <w:p>
            <w:pPr>
              <w:spacing w:line="500" w:lineRule="exact"/>
              <w:jc w:val="left"/>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标项一：等保及密评服务、互联网专线租赁服务。响应方根据采购文件规定和本项目实际情况，拟在成交后将本项目等保及密评、互联网专线租赁等服务外包的应在响应文件内明确。</w:t>
            </w:r>
          </w:p>
          <w:p>
            <w:pPr>
              <w:spacing w:line="500" w:lineRule="exact"/>
              <w:jc w:val="left"/>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标项二：政务外网互联网出口线路租用服务，响应方根据采购文件规定和本项目实际情况，拟在成交后将政务外网互联网出口线路租用服务外包的应在响应文件内明确。</w:t>
            </w:r>
          </w:p>
          <w:p>
            <w:pPr>
              <w:spacing w:line="500" w:lineRule="exact"/>
              <w:jc w:val="left"/>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联合体投标</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_GB2312" w:hAnsi="仿宋" w:eastAsia="仿宋_GB2312" w:cs="仿宋_GB2312"/>
                <w:bCs/>
                <w:color w:val="000000"/>
                <w:sz w:val="24"/>
              </w:rPr>
            </w:pPr>
            <w:bookmarkStart w:id="22" w:name="PO_15528_PM007_1"/>
            <w:r>
              <w:rPr>
                <w:rFonts w:hint="eastAsia" w:ascii="仿宋_GB2312" w:hAnsi="仿宋" w:eastAsia="仿宋_GB2312" w:cs="仿宋_GB2312"/>
                <w:bCs/>
                <w:color w:val="000000"/>
                <w:sz w:val="24"/>
                <w:lang w:bidi="ar"/>
              </w:rPr>
              <w:t>标项1和标项2:允许联合体投标</w:t>
            </w:r>
            <w:bookmarkEnd w:id="22"/>
            <w:r>
              <w:rPr>
                <w:rFonts w:hint="eastAsia" w:ascii="仿宋_GB2312" w:hAnsi="仿宋" w:eastAsia="仿宋_GB2312" w:cs="仿宋_GB2312"/>
                <w:bCs/>
                <w:color w:val="000000"/>
                <w:sz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是否现场踏勘</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bookmarkStart w:id="23" w:name="PO_15528_PM040"/>
            <w:r>
              <w:rPr>
                <w:rFonts w:hint="eastAsia" w:ascii="仿宋" w:hAnsi="仿宋" w:eastAsia="仿宋" w:cs="仿宋"/>
                <w:color w:val="000000"/>
                <w:sz w:val="24"/>
                <w:szCs w:val="24"/>
                <w:lang w:bidi="ar"/>
              </w:rPr>
              <w:t>不组织现场踏勘</w:t>
            </w:r>
            <w:bookmarkEnd w:id="23"/>
            <w:r>
              <w:rPr>
                <w:rFonts w:hint="eastAsia" w:ascii="仿宋" w:hAnsi="仿宋" w:eastAsia="仿宋" w:cs="仿宋"/>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是否提供演示</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bookmarkStart w:id="24" w:name="PO_1000000445_PM041"/>
            <w:r>
              <w:rPr>
                <w:rFonts w:hint="eastAsia" w:ascii="仿宋" w:hAnsi="仿宋" w:eastAsia="仿宋" w:cs="仿宋"/>
                <w:color w:val="000000"/>
                <w:sz w:val="24"/>
                <w:szCs w:val="24"/>
                <w:lang w:bidi="ar"/>
              </w:rPr>
              <w:t>不进行演示</w:t>
            </w:r>
            <w:bookmarkEnd w:id="24"/>
            <w:r>
              <w:rPr>
                <w:rFonts w:hint="eastAsia" w:ascii="仿宋" w:hAnsi="仿宋" w:eastAsia="仿宋" w:cs="仿宋"/>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是否提供样品</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bookmarkStart w:id="25" w:name="PO_1000000445_PM043"/>
            <w:r>
              <w:rPr>
                <w:rFonts w:hint="eastAsia" w:ascii="仿宋" w:hAnsi="仿宋" w:eastAsia="仿宋" w:cs="仿宋"/>
                <w:color w:val="000000"/>
                <w:sz w:val="24"/>
                <w:szCs w:val="24"/>
                <w:lang w:bidi="ar"/>
              </w:rPr>
              <w:t>不要求提供样品</w:t>
            </w:r>
            <w:bookmarkEnd w:id="25"/>
            <w:r>
              <w:rPr>
                <w:rFonts w:hint="eastAsia" w:ascii="仿宋" w:hAnsi="仿宋" w:eastAsia="仿宋" w:cs="仿宋"/>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投标文件组成</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bidi="ar"/>
              </w:rPr>
              <w:t>投标文件均由资格文件、技术商务文件、报价文件组成。</w:t>
            </w:r>
          </w:p>
          <w:p>
            <w:pPr>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电子交易平台登录方法</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第一步：供应商登记</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投标人应在投标前登记成为浙江政府采购网的正式供应商（注册网址：</w:t>
            </w:r>
            <w:r>
              <w:rPr>
                <w:rFonts w:ascii="Calibri" w:hAnsi="Calibri"/>
                <w:lang w:bidi="ar"/>
              </w:rPr>
              <w:fldChar w:fldCharType="begin"/>
            </w:r>
            <w:r>
              <w:rPr>
                <w:rFonts w:ascii="Calibri" w:hAnsi="Calibri"/>
                <w:lang w:bidi="ar"/>
              </w:rPr>
              <w:instrText xml:space="preserve"> HYPERLINK "https://middle.zcygov.cn/v-settle-front/registry" </w:instrText>
            </w:r>
            <w:r>
              <w:rPr>
                <w:rFonts w:ascii="Calibri" w:hAnsi="Calibri"/>
                <w:lang w:bidi="ar"/>
              </w:rPr>
              <w:fldChar w:fldCharType="separate"/>
            </w:r>
            <w:r>
              <w:rPr>
                <w:rStyle w:val="69"/>
                <w:rFonts w:hint="eastAsia" w:ascii="仿宋" w:hAnsi="仿宋" w:eastAsia="仿宋" w:cs="仿宋"/>
                <w:b/>
                <w:color w:val="000000"/>
                <w:sz w:val="24"/>
                <w:szCs w:val="24"/>
              </w:rPr>
              <w:t>https://middle.zcygov.cn/v-settle-front/registry</w:t>
            </w:r>
            <w:r>
              <w:rPr>
                <w:rFonts w:ascii="Calibri" w:hAnsi="Calibri"/>
                <w:lang w:bidi="ar"/>
              </w:rPr>
              <w:fldChar w:fldCharType="end"/>
            </w:r>
            <w:r>
              <w:rPr>
                <w:rFonts w:hint="eastAsia" w:ascii="仿宋" w:hAnsi="仿宋" w:eastAsia="仿宋" w:cs="仿宋"/>
                <w:b/>
                <w:color w:val="000000"/>
                <w:sz w:val="24"/>
                <w:szCs w:val="24"/>
                <w:lang w:bidi="ar"/>
              </w:rPr>
              <w:t>）；</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第二步：申请CA</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第三步：下载客户端</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投标人通过政采云电子交易客户端制作投标文件，请自行前往浙江政府采购网下载并安装（下载网址：</w:t>
            </w:r>
            <w:r>
              <w:rPr>
                <w:rFonts w:ascii="Calibri" w:hAnsi="Calibri"/>
                <w:lang w:bidi="ar"/>
              </w:rPr>
              <w:fldChar w:fldCharType="begin"/>
            </w:r>
            <w:r>
              <w:rPr>
                <w:rFonts w:ascii="Calibri" w:hAnsi="Calibri"/>
                <w:lang w:bidi="ar"/>
              </w:rPr>
              <w:instrText xml:space="preserve"> HYPERLINK "http://zfcg.czt.zj.gov.cn/bidClientTemplate/2019-09-24/12975.html" </w:instrText>
            </w:r>
            <w:r>
              <w:rPr>
                <w:rFonts w:ascii="Calibri" w:hAnsi="Calibri"/>
                <w:lang w:bidi="ar"/>
              </w:rPr>
              <w:fldChar w:fldCharType="separate"/>
            </w:r>
            <w:r>
              <w:rPr>
                <w:rStyle w:val="69"/>
                <w:rFonts w:hint="eastAsia" w:ascii="仿宋" w:hAnsi="仿宋" w:eastAsia="仿宋" w:cs="仿宋"/>
                <w:b/>
                <w:color w:val="000000"/>
                <w:sz w:val="24"/>
                <w:szCs w:val="24"/>
              </w:rPr>
              <w:t>http://zfcg.czt.zj.gov.cn/bidClientTemplate/2019-09-24/12975.html</w:t>
            </w:r>
            <w:r>
              <w:rPr>
                <w:rFonts w:ascii="Calibri" w:hAnsi="Calibri"/>
                <w:lang w:bidi="ar"/>
              </w:rPr>
              <w:fldChar w:fldCharType="end"/>
            </w:r>
            <w:r>
              <w:rPr>
                <w:rFonts w:hint="eastAsia" w:ascii="仿宋" w:hAnsi="仿宋" w:eastAsia="仿宋" w:cs="仿宋"/>
                <w:b/>
                <w:color w:val="000000"/>
                <w:sz w:val="24"/>
                <w:szCs w:val="24"/>
                <w:lang w:bidi="ar"/>
              </w:rPr>
              <w:t>）；</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第四步：具体流程</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详见浙江省“电子交易/不见面开评标”学习专题（网址</w:t>
            </w:r>
            <w:r>
              <w:rPr>
                <w:rFonts w:ascii="Calibri" w:hAnsi="Calibri"/>
                <w:lang w:bidi="ar"/>
              </w:rPr>
              <w:fldChar w:fldCharType="begin"/>
            </w:r>
            <w:r>
              <w:rPr>
                <w:rFonts w:ascii="Calibri" w:hAnsi="Calibri"/>
                <w:lang w:bidi="ar"/>
              </w:rPr>
              <w:instrText xml:space="preserve"> HYPERLINK "https://edu.zcygov.cn/luban/e-biding" </w:instrText>
            </w:r>
            <w:r>
              <w:rPr>
                <w:rFonts w:ascii="Calibri" w:hAnsi="Calibri"/>
                <w:lang w:bidi="ar"/>
              </w:rPr>
              <w:fldChar w:fldCharType="separate"/>
            </w:r>
            <w:r>
              <w:rPr>
                <w:rStyle w:val="69"/>
                <w:rFonts w:hint="eastAsia" w:ascii="仿宋" w:hAnsi="仿宋" w:eastAsia="仿宋" w:cs="仿宋"/>
                <w:b/>
                <w:color w:val="000000"/>
                <w:sz w:val="24"/>
                <w:szCs w:val="24"/>
              </w:rPr>
              <w:t>https://edu.zcygov.cn/luban/e-biding</w:t>
            </w:r>
            <w:r>
              <w:rPr>
                <w:rFonts w:ascii="Calibri" w:hAnsi="Calibri"/>
                <w:lang w:bidi="ar"/>
              </w:rPr>
              <w:fldChar w:fldCharType="end"/>
            </w:r>
            <w:r>
              <w:rPr>
                <w:rFonts w:hint="eastAsia" w:ascii="仿宋" w:hAnsi="仿宋" w:eastAsia="仿宋" w:cs="仿宋"/>
                <w:b/>
                <w:color w:val="000000"/>
                <w:sz w:val="24"/>
                <w:szCs w:val="24"/>
                <w:lang w:bidi="ar"/>
              </w:rPr>
              <w:t>）</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提醒：</w:t>
            </w:r>
          </w:p>
          <w:p>
            <w:pPr>
              <w:spacing w:line="4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1.请各投标人合理安排时间，尽快完成第一、二、三步骤，避免影响投标。</w:t>
            </w:r>
          </w:p>
          <w:p>
            <w:pPr>
              <w:spacing w:line="400" w:lineRule="exact"/>
              <w:jc w:val="left"/>
              <w:rPr>
                <w:rFonts w:hint="eastAsia" w:ascii="仿宋" w:hAnsi="仿宋" w:eastAsia="仿宋" w:cs="仿宋"/>
                <w:color w:val="000000"/>
                <w:sz w:val="24"/>
                <w:szCs w:val="24"/>
              </w:rPr>
            </w:pPr>
            <w:r>
              <w:rPr>
                <w:rFonts w:hint="eastAsia" w:ascii="仿宋" w:hAnsi="仿宋" w:eastAsia="仿宋" w:cs="仿宋"/>
                <w:b/>
                <w:color w:val="000000"/>
                <w:sz w:val="24"/>
                <w:szCs w:val="24"/>
                <w:lang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17</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投标文件的递交与接收</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投标文件的接收以本项目公告要求的时间、地点和“第二章”的“投标文件的编制”等要求为准。</w:t>
            </w:r>
          </w:p>
          <w:p>
            <w:pPr>
              <w:spacing w:line="5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投标人递交备份投标文件，出现下列情况之一的，将被拒收：</w:t>
            </w:r>
          </w:p>
          <w:p>
            <w:pPr>
              <w:spacing w:line="5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1、未按规定密封或标记的；</w:t>
            </w:r>
          </w:p>
          <w:p>
            <w:pPr>
              <w:spacing w:line="500" w:lineRule="exact"/>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bidi="ar"/>
              </w:rPr>
              <w:t>2、由于包装不妥，在送交途中严重破损或失散的；</w:t>
            </w:r>
          </w:p>
          <w:p>
            <w:pPr>
              <w:spacing w:line="500" w:lineRule="exact"/>
              <w:jc w:val="left"/>
              <w:rPr>
                <w:rFonts w:hint="eastAsia" w:ascii="仿宋" w:hAnsi="仿宋" w:eastAsia="仿宋" w:cs="仿宋"/>
                <w:color w:val="000000"/>
                <w:sz w:val="24"/>
                <w:szCs w:val="24"/>
              </w:rPr>
            </w:pPr>
            <w:r>
              <w:rPr>
                <w:rFonts w:hint="eastAsia" w:ascii="仿宋" w:hAnsi="仿宋" w:eastAsia="仿宋" w:cs="仿宋"/>
                <w:b/>
                <w:color w:val="000000"/>
                <w:sz w:val="24"/>
                <w:szCs w:val="24"/>
                <w:lang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18</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投标撤销（撤回）</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1.在投标截止时间起至投标有效期届满，供应商投标文件不可撤销。</w:t>
            </w:r>
          </w:p>
          <w:p>
            <w:pPr>
              <w:autoSpaceDE w:val="0"/>
              <w:autoSpaceDN w:val="0"/>
              <w:snapToGrid w:val="0"/>
              <w:jc w:val="left"/>
              <w:textAlignment w:val="bottom"/>
              <w:rPr>
                <w:rFonts w:hint="eastAsia" w:ascii="仿宋" w:hAnsi="仿宋" w:eastAsia="仿宋" w:cs="仿宋"/>
                <w:b/>
                <w:color w:val="000000"/>
                <w:sz w:val="24"/>
                <w:szCs w:val="24"/>
              </w:rPr>
            </w:pPr>
            <w:r>
              <w:rPr>
                <w:rFonts w:hint="eastAsia" w:ascii="仿宋_GB2312" w:hAnsi="仿宋" w:eastAsia="仿宋_GB2312" w:cs="仿宋_GB2312"/>
                <w:bCs/>
                <w:color w:val="000000"/>
                <w:sz w:val="24"/>
                <w:lang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19</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中标结果公告</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000000"/>
                <w:sz w:val="28"/>
                <w:szCs w:val="28"/>
              </w:rPr>
            </w:pPr>
            <w:r>
              <w:rPr>
                <w:rFonts w:hint="eastAsia" w:ascii="仿宋" w:hAnsi="仿宋" w:eastAsia="仿宋" w:cs="仿宋"/>
                <w:color w:val="000000"/>
                <w:sz w:val="24"/>
                <w:szCs w:val="24"/>
                <w:lang w:bidi="ar"/>
              </w:rPr>
              <w:t>中标供应商确定之日起2个工作日内，将在</w:t>
            </w:r>
            <w:r>
              <w:rPr>
                <w:rFonts w:hint="eastAsia" w:ascii="仿宋" w:hAnsi="仿宋" w:eastAsia="仿宋" w:cs="Arial"/>
                <w:color w:val="000000"/>
                <w:sz w:val="24"/>
                <w:szCs w:val="24"/>
                <w:lang w:bidi="ar"/>
              </w:rPr>
              <w:t>浙江省政府采购网(</w:t>
            </w:r>
            <w:r>
              <w:rPr>
                <w:rFonts w:ascii="Calibri" w:hAnsi="Calibri"/>
                <w:lang w:bidi="ar"/>
              </w:rPr>
              <w:fldChar w:fldCharType="begin"/>
            </w:r>
            <w:r>
              <w:rPr>
                <w:rFonts w:ascii="Calibri" w:hAnsi="Calibri"/>
                <w:lang w:bidi="ar"/>
              </w:rPr>
              <w:instrText xml:space="preserve"> HYPERLINK "http://www.zjzfcg.gov.cn/new" </w:instrText>
            </w:r>
            <w:r>
              <w:rPr>
                <w:rFonts w:ascii="Calibri" w:hAnsi="Calibri"/>
                <w:lang w:bidi="ar"/>
              </w:rPr>
              <w:fldChar w:fldCharType="separate"/>
            </w:r>
            <w:r>
              <w:rPr>
                <w:rStyle w:val="69"/>
                <w:rFonts w:hint="eastAsia" w:ascii="仿宋" w:hAnsi="仿宋" w:eastAsia="仿宋" w:cs="仿宋"/>
                <w:color w:val="000000"/>
                <w:sz w:val="24"/>
                <w:szCs w:val="24"/>
              </w:rPr>
              <w:t>http://www.zjzfcg.gov.cn</w:t>
            </w:r>
            <w:r>
              <w:rPr>
                <w:rFonts w:ascii="Calibri" w:hAnsi="Calibri"/>
                <w:lang w:bidi="ar"/>
              </w:rPr>
              <w:fldChar w:fldCharType="end"/>
            </w:r>
            <w:r>
              <w:rPr>
                <w:rFonts w:hint="eastAsia" w:ascii="仿宋" w:hAnsi="仿宋" w:eastAsia="仿宋" w:cs="Arial"/>
                <w:color w:val="000000"/>
                <w:sz w:val="24"/>
                <w:szCs w:val="24"/>
                <w:lang w:bidi="ar"/>
              </w:rPr>
              <w:t>)发布</w:t>
            </w:r>
            <w:r>
              <w:rPr>
                <w:rFonts w:hint="eastAsia" w:ascii="仿宋" w:hAnsi="仿宋" w:eastAsia="仿宋" w:cs="仿宋"/>
                <w:color w:val="000000"/>
                <w:sz w:val="24"/>
                <w:szCs w:val="24"/>
                <w:lang w:bidi="ar"/>
              </w:rPr>
              <w:t>中标公告</w:t>
            </w:r>
            <w:r>
              <w:rPr>
                <w:rFonts w:hint="eastAsia" w:ascii="仿宋" w:hAnsi="仿宋" w:eastAsia="仿宋" w:cs="仿宋"/>
                <w:b/>
                <w:color w:val="000000"/>
                <w:sz w:val="24"/>
                <w:szCs w:val="24"/>
                <w:lang w:bidi="ar"/>
              </w:rPr>
              <w:t>（中标人为中小企业的，其声明函将随中标结果同时公告）</w:t>
            </w:r>
            <w:r>
              <w:rPr>
                <w:rFonts w:hint="eastAsia" w:ascii="仿宋" w:hAnsi="仿宋" w:eastAsia="仿宋" w:cs="仿宋"/>
                <w:color w:val="000000"/>
                <w:sz w:val="24"/>
                <w:szCs w:val="24"/>
                <w:lang w:bidi="ar"/>
              </w:rPr>
              <w:t>，公告期限为1个工作日</w:t>
            </w:r>
            <w:r>
              <w:rPr>
                <w:rFonts w:hint="eastAsia" w:ascii="仿宋" w:hAnsi="仿宋" w:eastAsia="仿宋" w:cs="Arial"/>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20</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中标供应商放弃中标赔偿责任</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履约保证金</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付款方式</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_GB2312" w:hAnsi="仿宋" w:eastAsia="仿宋_GB2312" w:cs="仿宋_GB2312"/>
                <w:bCs/>
                <w:color w:val="000000"/>
                <w:sz w:val="24"/>
              </w:rPr>
            </w:pPr>
            <w:r>
              <w:rPr>
                <w:rFonts w:hint="eastAsia" w:ascii="仿宋_GB2312" w:hAnsi="仿宋" w:eastAsia="仿宋_GB2312" w:cs="仿宋_GB2312"/>
                <w:bCs/>
                <w:color w:val="000000"/>
                <w:sz w:val="24"/>
                <w:lang w:bidi="ar"/>
              </w:rPr>
              <w:t>国库集中支付（采购人自行支付）详见各标项的商务要求表。</w:t>
            </w:r>
          </w:p>
          <w:p>
            <w:pPr>
              <w:autoSpaceDE w:val="0"/>
              <w:autoSpaceDN w:val="0"/>
              <w:snapToGrid w:val="0"/>
              <w:jc w:val="left"/>
              <w:textAlignment w:val="bottom"/>
              <w:rPr>
                <w:rFonts w:hint="eastAsia" w:ascii="仿宋" w:hAnsi="仿宋" w:eastAsia="仿宋" w:cs="仿宋"/>
                <w:color w:val="000000"/>
                <w:sz w:val="28"/>
                <w:szCs w:val="28"/>
              </w:rPr>
            </w:pPr>
            <w:r>
              <w:rPr>
                <w:rFonts w:hint="eastAsia" w:ascii="仿宋_GB2312" w:hAnsi="仿宋" w:eastAsia="仿宋_GB2312" w:cs="仿宋_GB2312"/>
                <w:bCs/>
                <w:color w:val="000000"/>
                <w:sz w:val="24"/>
                <w:lang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投标文件有效期</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left"/>
              <w:textAlignment w:val="bottom"/>
              <w:rPr>
                <w:rFonts w:hint="eastAsia" w:ascii="仿宋" w:hAnsi="仿宋" w:eastAsia="仿宋" w:cs="仿宋"/>
                <w:color w:val="000000"/>
                <w:sz w:val="28"/>
                <w:szCs w:val="28"/>
              </w:rPr>
            </w:pPr>
            <w:r>
              <w:rPr>
                <w:rFonts w:hint="eastAsia" w:ascii="仿宋" w:hAnsi="仿宋" w:eastAsia="仿宋" w:cs="Arial"/>
                <w:color w:val="000000"/>
                <w:sz w:val="24"/>
                <w:szCs w:val="24"/>
                <w:lang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24</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合同签订时间</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仿宋" w:hAnsi="仿宋" w:eastAsia="仿宋" w:cs="仿宋"/>
                <w:color w:val="000000"/>
                <w:sz w:val="28"/>
                <w:szCs w:val="28"/>
              </w:rPr>
            </w:pPr>
            <w:r>
              <w:rPr>
                <w:rFonts w:hint="eastAsia" w:ascii="仿宋" w:hAnsi="仿宋" w:eastAsia="仿宋" w:cs="仿宋"/>
                <w:color w:val="000000"/>
                <w:sz w:val="24"/>
                <w:szCs w:val="24"/>
                <w:lang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25</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_GB2312" w:hAnsi="仿宋" w:eastAsia="仿宋_GB2312" w:cs="仿宋_GB2312"/>
                <w:bCs/>
                <w:color w:val="000000"/>
                <w:sz w:val="24"/>
                <w:lang w:bidi="ar"/>
              </w:rPr>
              <w:t>招标方代理费用</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26</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bidi="ar"/>
              </w:rPr>
              <w:t>解释权</w:t>
            </w:r>
          </w:p>
        </w:tc>
        <w:tc>
          <w:tcPr>
            <w:tcW w:w="73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bidi="ar"/>
              </w:rPr>
              <w:t>本招标文件的解释权属于浙江省政府采购中心。</w:t>
            </w:r>
          </w:p>
        </w:tc>
      </w:tr>
    </w:tbl>
    <w:p>
      <w:pPr>
        <w:pStyle w:val="53"/>
        <w:widowControl w:val="0"/>
        <w:snapToGrid w:val="0"/>
        <w:spacing w:before="240" w:beforeLines="100" w:beforeAutospacing="0" w:after="240" w:afterLines="100" w:afterAutospacing="0" w:line="360" w:lineRule="auto"/>
        <w:ind w:firstLine="3373" w:firstLineChars="1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一、总  则</w:t>
      </w:r>
    </w:p>
    <w:p>
      <w:pPr>
        <w:snapToGrid w:val="0"/>
        <w:spacing w:line="460" w:lineRule="exact"/>
        <w:ind w:firstLine="414" w:firstLineChars="148"/>
        <w:jc w:val="left"/>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（一）适用范围</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 xml:space="preserve">（二）定义 </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1.招标方：指组织本项目采购的浙江省政府采购中心。</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2.投标人：指响应招标、参加投标竞争的法人、其他组织或者自然人。</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3.采购人：指委托招标方采购本次货物、服务项目的国家机关、事业单位和团体组织。</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4.货物：指招标文件规定投标人须向采购人提供的一切材料、设备、机械、仪器仪表、工具及其它有关技术资料和文字材料。</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5.服务：指招标文件规定投标人须承担的劳务以及其他类似的义务。</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6.项目：指投标人按招标文件规定向采购人提供的需求总称。</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7.电子交易平台:指政府采购项目电子交易平台，即政采云平台。</w:t>
      </w:r>
    </w:p>
    <w:p>
      <w:pPr>
        <w:spacing w:line="360" w:lineRule="auto"/>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lang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hint="eastAsia" w:ascii="仿宋" w:hAnsi="仿宋" w:eastAsia="仿宋" w:cs="Arial"/>
          <w:b/>
          <w:color w:val="000000"/>
          <w:sz w:val="28"/>
          <w:szCs w:val="28"/>
        </w:rPr>
      </w:pPr>
      <w:r>
        <w:rPr>
          <w:rFonts w:hint="eastAsia" w:ascii="仿宋" w:hAnsi="仿宋" w:eastAsia="仿宋" w:cs="Arial"/>
          <w:b/>
          <w:color w:val="000000"/>
          <w:sz w:val="28"/>
          <w:szCs w:val="28"/>
          <w:lang w:bidi="ar"/>
        </w:rPr>
        <w:t>符合中小企业划分标准的个体工商户，在政府采购活动中视同中小企业。</w:t>
      </w:r>
    </w:p>
    <w:p>
      <w:pPr>
        <w:snapToGrid w:val="0"/>
        <w:spacing w:before="120" w:beforeLines="50" w:line="460" w:lineRule="exact"/>
        <w:ind w:firstLine="548" w:firstLineChars="196"/>
        <w:jc w:val="left"/>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（三）投标人及委托有关说明</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1.如授权代表不是法定代表人，须有法定代表人出具的授权委托书</w:t>
      </w:r>
      <w:r>
        <w:rPr>
          <w:rFonts w:hint="eastAsia" w:ascii="仿宋" w:hAnsi="仿宋" w:eastAsia="仿宋" w:cs="仿宋"/>
          <w:b/>
          <w:bCs/>
          <w:color w:val="000000"/>
          <w:sz w:val="28"/>
          <w:szCs w:val="28"/>
          <w:lang w:bidi="ar"/>
        </w:rPr>
        <w:t>（格式见附件）。</w:t>
      </w:r>
      <w:r>
        <w:rPr>
          <w:rFonts w:hint="eastAsia" w:ascii="仿宋" w:hAnsi="仿宋" w:eastAsia="仿宋" w:cs="仿宋"/>
          <w:bCs/>
          <w:color w:val="000000"/>
          <w:sz w:val="28"/>
          <w:szCs w:val="28"/>
          <w:lang w:bidi="ar"/>
        </w:rPr>
        <w:t>投标人委派不在本单位缴纳社保的人员作为授权代表的，应当在投标文件中，说明具体原因、授权代表缴纳社保的单位，并附列该授权代表缴纳社保清单。</w:t>
      </w:r>
    </w:p>
    <w:p>
      <w:pPr>
        <w:pStyle w:val="53"/>
        <w:widowControl w:val="0"/>
        <w:snapToGrid w:val="0"/>
        <w:spacing w:before="120" w:beforeLines="50" w:beforeAutospacing="0" w:after="120" w:afterAutospacing="0" w:line="460" w:lineRule="exact"/>
        <w:ind w:left="2" w:leftChars="1"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2.投标人投标所使用的资格、信誉、荣誉、业绩与企业认证必须为本法人所拥有。投标人投标所使用的采购项目实施人员必须为投标人员工。</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3.单位负责人为同一人或者存在直接控股、管理关系的不同供应商，不得参加同一合同项下的政府采购活动。</w:t>
      </w:r>
    </w:p>
    <w:p>
      <w:pPr>
        <w:pStyle w:val="53"/>
        <w:widowControl w:val="0"/>
        <w:snapToGrid w:val="0"/>
        <w:spacing w:before="120" w:beforeLines="50" w:beforeAutospacing="0" w:after="120" w:afterAutospacing="0" w:line="460" w:lineRule="exact"/>
        <w:ind w:left="2" w:leftChars="1"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（四）投标费用</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不论投标结果如何，投标人均应自行承担所有与投标有关的全部费用（招标文件有其他相反规定除外）。</w:t>
      </w:r>
    </w:p>
    <w:p>
      <w:pPr>
        <w:snapToGrid w:val="0"/>
        <w:spacing w:before="120" w:beforeLines="50" w:line="460" w:lineRule="exact"/>
        <w:ind w:firstLine="548" w:firstLineChars="196"/>
        <w:jc w:val="left"/>
        <w:outlineLvl w:val="1"/>
        <w:rPr>
          <w:rFonts w:hint="eastAsia" w:ascii="仿宋" w:hAnsi="仿宋" w:eastAsia="仿宋" w:cs="仿宋"/>
          <w:bCs/>
          <w:color w:val="000000"/>
          <w:sz w:val="28"/>
          <w:szCs w:val="28"/>
          <w:lang w:bidi="ar"/>
        </w:rPr>
      </w:pPr>
      <w:r>
        <w:rPr>
          <w:rFonts w:hint="eastAsia" w:ascii="仿宋" w:hAnsi="仿宋" w:eastAsia="仿宋" w:cs="仿宋"/>
          <w:bCs/>
          <w:color w:val="000000"/>
          <w:sz w:val="28"/>
          <w:szCs w:val="28"/>
          <w:lang w:bidi="ar"/>
        </w:rPr>
        <w:t>（五）质疑</w:t>
      </w:r>
    </w:p>
    <w:p>
      <w:pPr>
        <w:snapToGrid w:val="0"/>
        <w:spacing w:line="460" w:lineRule="exact"/>
        <w:ind w:firstLine="700" w:firstLineChars="250"/>
        <w:rPr>
          <w:rFonts w:hint="eastAsia" w:ascii="仿宋" w:hAnsi="仿宋" w:eastAsia="仿宋" w:cs="仿宋"/>
          <w:b/>
          <w:color w:val="000000"/>
          <w:sz w:val="28"/>
          <w:szCs w:val="28"/>
        </w:rPr>
      </w:pPr>
      <w:r>
        <w:rPr>
          <w:rFonts w:hint="eastAsia" w:ascii="仿宋" w:hAnsi="仿宋" w:eastAsia="仿宋" w:cs="仿宋"/>
          <w:bCs/>
          <w:color w:val="000000"/>
          <w:sz w:val="28"/>
          <w:szCs w:val="28"/>
          <w:lang w:bidi="ar"/>
        </w:rPr>
        <w:t>1.投标人认为采购文件使自己的权益受到损害的，可以自获取采购文件之日或者采购公告期限届满之日（公告期限届满后获取采购文件的，以公告期限届满之日为准）起7个工作日内，</w:t>
      </w:r>
      <w:r>
        <w:rPr>
          <w:rFonts w:hint="eastAsia" w:ascii="仿宋" w:hAnsi="仿宋" w:eastAsia="仿宋" w:cs="仿宋"/>
          <w:b/>
          <w:color w:val="000000"/>
          <w:sz w:val="28"/>
          <w:szCs w:val="28"/>
          <w:lang w:bidi="ar"/>
        </w:rPr>
        <w:t>对采购文件需求及评分细则的以书面形式向采购人提出质疑，对其他内容的以书面形式向招标方提出质疑。</w:t>
      </w:r>
    </w:p>
    <w:p>
      <w:pPr>
        <w:snapToGrid w:val="0"/>
        <w:spacing w:line="460" w:lineRule="exact"/>
        <w:ind w:firstLine="700" w:firstLineChars="25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3"/>
        <w:widowControl w:val="0"/>
        <w:snapToGrid w:val="0"/>
        <w:spacing w:before="120" w:beforeLines="50" w:beforeAutospacing="0" w:after="120" w:afterAutospacing="0" w:line="460" w:lineRule="exact"/>
        <w:ind w:left="2" w:leftChars="1"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3.质疑应当以书面形式提出，格式见《政府采购质疑和投诉办法》（财政部令第94号）附件范本，下载网址：浙江政府采购网(</w:t>
      </w:r>
      <w:r>
        <w:rPr>
          <w:rFonts w:hint="eastAsia" w:hAnsi="Courier New" w:cs="Times New Roman"/>
          <w:kern w:val="2"/>
          <w:lang w:bidi="ar"/>
        </w:rPr>
        <w:fldChar w:fldCharType="begin"/>
      </w:r>
      <w:r>
        <w:rPr>
          <w:rFonts w:hint="eastAsia" w:hAnsi="Courier New" w:cs="Times New Roman"/>
          <w:kern w:val="2"/>
          <w:lang w:bidi="ar"/>
        </w:rPr>
        <w:instrText xml:space="preserve"> HYPERLINK "http://zfcg.czt.zj.gov.cn/" </w:instrText>
      </w:r>
      <w:r>
        <w:rPr>
          <w:rFonts w:hint="eastAsia" w:hAnsi="Courier New" w:cs="Times New Roman"/>
          <w:kern w:val="2"/>
          <w:lang w:bidi="ar"/>
        </w:rPr>
        <w:fldChar w:fldCharType="separate"/>
      </w:r>
      <w:r>
        <w:rPr>
          <w:rStyle w:val="69"/>
          <w:rFonts w:hint="eastAsia" w:ascii="仿宋" w:hAnsi="仿宋" w:eastAsia="仿宋" w:cs="仿宋"/>
          <w:bCs/>
          <w:color w:val="000000"/>
          <w:sz w:val="28"/>
          <w:szCs w:val="28"/>
        </w:rPr>
        <w:t>http://zfcg.czt.zj.gov.cn/</w:t>
      </w:r>
      <w:r>
        <w:rPr>
          <w:rFonts w:hint="eastAsia" w:hAnsi="Courier New" w:cs="Times New Roman"/>
          <w:kern w:val="2"/>
          <w:lang w:bidi="ar"/>
        </w:rPr>
        <w:fldChar w:fldCharType="end"/>
      </w:r>
      <w:r>
        <w:rPr>
          <w:rFonts w:hint="eastAsia" w:ascii="仿宋" w:hAnsi="仿宋" w:eastAsia="仿宋" w:cs="仿宋"/>
          <w:bCs/>
          <w:color w:val="000000"/>
          <w:kern w:val="2"/>
          <w:sz w:val="28"/>
          <w:szCs w:val="28"/>
          <w:lang w:bidi="ar"/>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质疑函应当包括下列内容：</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a.供应商的姓名或者名称、地址、邮编、联系人及联系电话；</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b.质疑项目的名称、编号；</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c.具体、明确的质疑事项和与质疑事项相关的请求；</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d.事实依据；</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e.必要的法律依据；</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f.提出质疑的日期。</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 xml:space="preserve">（六）招标文件的澄清与修改 </w:t>
      </w:r>
    </w:p>
    <w:p>
      <w:pPr>
        <w:pStyle w:val="53"/>
        <w:widowControl w:val="0"/>
        <w:snapToGrid w:val="0"/>
        <w:spacing w:before="120" w:beforeLines="50" w:beforeAutospacing="0" w:after="0" w:afterAutospacing="0" w:line="460" w:lineRule="exact"/>
        <w:ind w:firstLine="560" w:firstLineChars="200"/>
        <w:jc w:val="both"/>
        <w:rPr>
          <w:rFonts w:hint="eastAsia" w:ascii="仿宋" w:hAnsi="仿宋" w:eastAsia="仿宋" w:cs="仿宋"/>
          <w:b/>
          <w:bCs/>
          <w:color w:val="000000"/>
          <w:sz w:val="28"/>
          <w:szCs w:val="28"/>
        </w:rPr>
      </w:pPr>
      <w:r>
        <w:rPr>
          <w:rFonts w:hint="eastAsia" w:ascii="仿宋" w:hAnsi="仿宋" w:eastAsia="仿宋" w:cs="仿宋"/>
          <w:bCs/>
          <w:color w:val="000000"/>
          <w:kern w:val="2"/>
          <w:sz w:val="28"/>
          <w:szCs w:val="28"/>
          <w:lang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bCs/>
          <w:color w:val="000000"/>
          <w:kern w:val="2"/>
          <w:sz w:val="28"/>
          <w:szCs w:val="28"/>
          <w:lang w:bidi="ar"/>
        </w:rPr>
        <w:t>逾期提出招标方将不予受理。</w:t>
      </w:r>
    </w:p>
    <w:p>
      <w:pPr>
        <w:pStyle w:val="53"/>
        <w:widowControl w:val="0"/>
        <w:snapToGrid w:val="0"/>
        <w:spacing w:before="120" w:beforeLines="50" w:beforeAutospacing="0" w:after="0" w:afterAutospacing="0" w:line="460" w:lineRule="exact"/>
        <w:ind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2.招标方主动进行的澄清、修改：招标方无论出于何种原因，均可主动对招标文件中的相关事项，用补充文件等方式进行澄清和修改。</w:t>
      </w:r>
    </w:p>
    <w:p>
      <w:pPr>
        <w:pStyle w:val="53"/>
        <w:widowControl w:val="0"/>
        <w:snapToGrid w:val="0"/>
        <w:spacing w:before="120" w:beforeLines="50" w:beforeAutospacing="0" w:after="0" w:afterAutospacing="0" w:line="460" w:lineRule="exact"/>
        <w:ind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3.招标文件澄清、答复、修改、补充的内容为招标文件的组成部分。当招标文件与招标文件的答复、澄清、修改、补充通知就同一内容的表述不一致时，以最后发出的书面文件为准。</w:t>
      </w:r>
    </w:p>
    <w:p>
      <w:pPr>
        <w:pStyle w:val="53"/>
        <w:widowControl w:val="0"/>
        <w:snapToGrid w:val="0"/>
        <w:spacing w:before="240" w:beforeLines="100" w:beforeAutospacing="0" w:after="240" w:afterLines="100" w:afterAutospacing="0" w:line="360" w:lineRule="auto"/>
        <w:jc w:val="center"/>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二、投标文件的编制</w:t>
      </w:r>
    </w:p>
    <w:p>
      <w:pPr>
        <w:snapToGrid w:val="0"/>
        <w:spacing w:line="460" w:lineRule="exact"/>
        <w:ind w:firstLine="548" w:firstLineChars="196"/>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（一）投标文件编制工具</w:t>
      </w:r>
    </w:p>
    <w:p>
      <w:pPr>
        <w:pStyle w:val="53"/>
        <w:widowControl w:val="0"/>
        <w:adjustRightInd w:val="0"/>
        <w:snapToGrid w:val="0"/>
        <w:spacing w:before="120" w:beforeLines="50" w:beforeAutospacing="0" w:after="0" w:afterAutospacing="0" w:line="50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投标文件编制工具为政采云电子交易客户端，下载网址：</w:t>
      </w:r>
      <w:r>
        <w:rPr>
          <w:rFonts w:hint="eastAsia" w:hAnsi="Courier New" w:cs="Times New Roman"/>
          <w:kern w:val="2"/>
          <w:lang w:bidi="ar"/>
        </w:rPr>
        <w:fldChar w:fldCharType="begin"/>
      </w:r>
      <w:r>
        <w:rPr>
          <w:rFonts w:hint="eastAsia" w:hAnsi="Courier New" w:cs="Times New Roman"/>
          <w:kern w:val="2"/>
          <w:lang w:bidi="ar"/>
        </w:rPr>
        <w:instrText xml:space="preserve"> HYPERLINK "http://zfcg.czt.zj.gov.cn/bidClientTemplate/2019-09-24/12975.html" </w:instrText>
      </w:r>
      <w:r>
        <w:rPr>
          <w:rFonts w:hint="eastAsia" w:hAnsi="Courier New" w:cs="Times New Roman"/>
          <w:kern w:val="2"/>
          <w:lang w:bidi="ar"/>
        </w:rPr>
        <w:fldChar w:fldCharType="separate"/>
      </w:r>
      <w:r>
        <w:rPr>
          <w:rStyle w:val="69"/>
          <w:rFonts w:hint="eastAsia" w:ascii="仿宋" w:hAnsi="仿宋" w:eastAsia="仿宋" w:cs="仿宋"/>
          <w:b/>
          <w:color w:val="000000"/>
          <w:sz w:val="28"/>
          <w:szCs w:val="28"/>
        </w:rPr>
        <w:t>http://zfcg.czt.zj.gov.cn/bidClientTemplate/2019-09-24/12975.html</w:t>
      </w:r>
      <w:r>
        <w:rPr>
          <w:rFonts w:hint="eastAsia" w:hAnsi="Courier New" w:cs="Times New Roman"/>
          <w:kern w:val="2"/>
          <w:lang w:bidi="ar"/>
        </w:rPr>
        <w:fldChar w:fldCharType="end"/>
      </w:r>
      <w:r>
        <w:rPr>
          <w:rFonts w:hint="eastAsia" w:ascii="仿宋" w:hAnsi="仿宋" w:eastAsia="仿宋" w:cs="仿宋"/>
          <w:b/>
          <w:color w:val="000000"/>
          <w:kern w:val="2"/>
          <w:sz w:val="28"/>
          <w:szCs w:val="28"/>
          <w:lang w:bidi="ar"/>
        </w:rPr>
        <w:t>，请自行下载并安装。</w:t>
      </w:r>
    </w:p>
    <w:p>
      <w:pPr>
        <w:snapToGrid w:val="0"/>
        <w:spacing w:line="460" w:lineRule="exact"/>
        <w:ind w:firstLine="548" w:firstLineChars="196"/>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（二）投标文件的组成</w:t>
      </w:r>
    </w:p>
    <w:p>
      <w:pPr>
        <w:adjustRightInd w:val="0"/>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电子投标文件每个标项由资格文件、技术商务文件、投标报价文件三部份组成，具体详见“第六章  投标文件格式附件”。备份投标文件的组成和内容等同电子投标文件。</w:t>
      </w:r>
    </w:p>
    <w:p>
      <w:pPr>
        <w:pStyle w:val="53"/>
        <w:widowControl w:val="0"/>
        <w:snapToGrid w:val="0"/>
        <w:spacing w:before="50" w:beforeAutospacing="0" w:after="0" w:afterAutospacing="0" w:line="460" w:lineRule="exact"/>
        <w:ind w:firstLine="562" w:firstLineChars="200"/>
        <w:jc w:val="both"/>
        <w:rPr>
          <w:rFonts w:hint="eastAsia" w:ascii="仿宋" w:hAnsi="仿宋" w:eastAsia="仿宋" w:cs="仿宋"/>
          <w:bCs/>
          <w:sz w:val="28"/>
          <w:szCs w:val="28"/>
        </w:rPr>
      </w:pPr>
      <w:r>
        <w:rPr>
          <w:rFonts w:hint="eastAsia" w:ascii="仿宋" w:hAnsi="仿宋" w:eastAsia="仿宋" w:cs="仿宋"/>
          <w:b/>
          <w:color w:val="000000"/>
          <w:kern w:val="2"/>
          <w:sz w:val="28"/>
          <w:szCs w:val="28"/>
          <w:lang w:bidi="ar"/>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（三）投标文件的效力</w:t>
      </w:r>
    </w:p>
    <w:p>
      <w:pPr>
        <w:adjustRightInd w:val="0"/>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（四）投标文件的语言及计量</w:t>
      </w:r>
    </w:p>
    <w:p>
      <w:pPr>
        <w:snapToGrid w:val="0"/>
        <w:spacing w:line="4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2.投标计量单位，招标文件已有明确规定的，使用招标文件规定的计量单位；招标文件没有规定的，应采用中华人民共和国法定计量单位（货币单位：人民币元），否则将作无效标处理。</w:t>
      </w:r>
    </w:p>
    <w:p>
      <w:pPr>
        <w:pStyle w:val="53"/>
        <w:tabs>
          <w:tab w:val="left" w:pos="720"/>
        </w:tabs>
        <w:snapToGrid w:val="0"/>
        <w:spacing w:before="120" w:beforeLines="50" w:beforeAutospacing="0" w:after="120" w:afterAutospacing="0" w:line="460" w:lineRule="exact"/>
        <w:ind w:firstLine="548" w:firstLineChars="196"/>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（五）投标文件的有效期</w:t>
      </w:r>
    </w:p>
    <w:p>
      <w:pPr>
        <w:pStyle w:val="53"/>
        <w:tabs>
          <w:tab w:val="left" w:pos="720"/>
        </w:tabs>
        <w:snapToGrid w:val="0"/>
        <w:spacing w:before="120" w:beforeLines="50" w:beforeAutospacing="0" w:after="120" w:afterAutospacing="0"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1.自投标截止日起90天内投标文件应保持有效。有效期不足的投标文件将作无效标处理。</w:t>
      </w:r>
    </w:p>
    <w:p>
      <w:pPr>
        <w:pStyle w:val="53"/>
        <w:tabs>
          <w:tab w:val="left" w:pos="720"/>
        </w:tabs>
        <w:snapToGrid w:val="0"/>
        <w:spacing w:before="120" w:beforeLines="50" w:beforeAutospacing="0" w:after="120" w:afterAutospacing="0"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2.中标供应商的投标文件自开标之日起至合同履行完毕止均应保持有效。</w:t>
      </w:r>
    </w:p>
    <w:p>
      <w:pPr>
        <w:snapToGrid w:val="0"/>
        <w:spacing w:before="120" w:beforeLines="50" w:line="460" w:lineRule="exact"/>
        <w:ind w:firstLine="420" w:firstLineChars="15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（六）投标文件的签署和包装</w:t>
      </w:r>
    </w:p>
    <w:p>
      <w:pPr>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 xml:space="preserve">1.电子投标文件部分： </w:t>
      </w:r>
    </w:p>
    <w:p>
      <w:pPr>
        <w:snapToGrid w:val="0"/>
        <w:spacing w:line="460" w:lineRule="exact"/>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（2）投标文件须由投标人在规定位置盖章并由法定代表人或法定代表人的授权委托人签署，投标人应写全称。</w:t>
      </w:r>
    </w:p>
    <w:p>
      <w:pPr>
        <w:snapToGrid w:val="0"/>
        <w:spacing w:line="460" w:lineRule="exact"/>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2.投标人选择递交备份投标文件的，备份投标文件另须满足以下条件：</w:t>
      </w:r>
    </w:p>
    <w:p>
      <w:pPr>
        <w:pStyle w:val="53"/>
        <w:widowControl w:val="0"/>
        <w:adjustRightInd w:val="0"/>
        <w:snapToGrid w:val="0"/>
        <w:spacing w:before="120" w:beforeLines="50" w:beforeAutospacing="0" w:after="0" w:afterAutospacing="0" w:line="50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 xml:space="preserve">（1）储存形式：U盘、DVD </w:t>
      </w:r>
    </w:p>
    <w:p>
      <w:pPr>
        <w:pStyle w:val="53"/>
        <w:widowControl w:val="0"/>
        <w:adjustRightInd w:val="0"/>
        <w:snapToGrid w:val="0"/>
        <w:spacing w:before="120" w:beforeLines="50" w:beforeAutospacing="0" w:after="0" w:afterAutospacing="0" w:line="500" w:lineRule="exact"/>
        <w:ind w:firstLine="557" w:firstLineChars="198"/>
        <w:jc w:val="both"/>
        <w:rPr>
          <w:rFonts w:hint="eastAsia" w:ascii="仿宋" w:hAnsi="仿宋" w:eastAsia="仿宋" w:cs="仿宋"/>
          <w:bCs/>
          <w:color w:val="000000"/>
          <w:sz w:val="28"/>
          <w:szCs w:val="28"/>
        </w:rPr>
      </w:pPr>
      <w:r>
        <w:rPr>
          <w:rFonts w:hint="eastAsia" w:ascii="仿宋" w:hAnsi="仿宋" w:eastAsia="仿宋" w:cs="仿宋"/>
          <w:b/>
          <w:color w:val="000000"/>
          <w:kern w:val="2"/>
          <w:sz w:val="28"/>
          <w:szCs w:val="28"/>
          <w:lang w:bidi="ar"/>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（七）投标报价</w:t>
      </w:r>
    </w:p>
    <w:p>
      <w:pPr>
        <w:tabs>
          <w:tab w:val="left" w:pos="525"/>
        </w:tabs>
        <w:snapToGrid w:val="0"/>
        <w:spacing w:line="4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3"/>
        <w:widowControl w:val="0"/>
        <w:snapToGrid w:val="0"/>
        <w:spacing w:before="120" w:beforeLines="50" w:beforeAutospacing="0" w:after="0" w:afterAutospacing="0"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widowControl w:val="0"/>
        <w:snapToGrid w:val="0"/>
        <w:spacing w:before="120" w:beforeLines="50" w:beforeAutospacing="0" w:after="0" w:afterAutospacing="0"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3.投标报价金额到元为止，如投标报价总价出现角、分，将被抹除。</w:t>
      </w:r>
    </w:p>
    <w:p>
      <w:pPr>
        <w:pStyle w:val="53"/>
        <w:widowControl w:val="0"/>
        <w:snapToGrid w:val="0"/>
        <w:spacing w:before="120" w:beforeLines="50" w:beforeAutospacing="0" w:after="0" w:afterAutospacing="0"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4.资格文件、技术商务文件中不得出现投标报价信息，否则按无效标处理。</w:t>
      </w:r>
    </w:p>
    <w:p>
      <w:pPr>
        <w:pStyle w:val="53"/>
        <w:widowControl w:val="0"/>
        <w:snapToGrid w:val="0"/>
        <w:spacing w:before="120" w:beforeLines="50" w:beforeAutospacing="0" w:after="0" w:afterAutospacing="0"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（八）串通投标认定</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有下列情形之一的，视为投标人串通投标，其投标无效：</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1.不同投标人的投标文件由同一单位或者个人编制或同一IP地址上传；</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2.不同投标人委托同一单位或者个人办理投标事宜；</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3.不同投标人的投标文件载明的项目管理成员或者联系人员为同一人；</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4.不同投标人的投标文件异常一致或者投标报价呈规律性差异；</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5.不同投标人的投标文件相互混装；</w:t>
      </w:r>
    </w:p>
    <w:p>
      <w:pPr>
        <w:snapToGrid w:val="0"/>
        <w:spacing w:line="460" w:lineRule="exact"/>
        <w:ind w:firstLine="414" w:firstLineChars="148"/>
        <w:jc w:val="left"/>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（九）投标无效的情形</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在评审时，如发现下列情形之一的，投标文件将被视为无效：</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1.投标人未能提供合格的资格文件、投标有效期不足的；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2.投标人被列入失信被执行人、重大税收违法案件当事人名单、政府采购严重违法失信行为记录名单的；</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3.仅提供备份投标文件的；</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4.电子投标文件解密失败，且未在规定时间内提交备份投标文件的；</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6.投标文件未按招标文件要求签署、盖章的；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7.与招标文件有重大偏离、未满足带“▲”号实质性指标的投标文件；</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8.招标需求中要求提供的产品属于节能清单中政府强制采购节能产品品目的，投标人未提供该清单内产品的；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9.未提供样品或提供样品不满足采购需求实质性条件的；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10.投标报价超出招标文件中规定的预算金额或者最高限价的；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11.标项以赠送方式投标的、对一个标项提供两个投标方案或两个报价的；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12.评标委员会认为投标人的报价明显低于其他通过符合性审查投标人的报价，有可能影响产品质量或者不能诚信履约，且不能证明其报价合理性的；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13.投标人不接受报价文件中修正后的报价的；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14.未按本章“二、投标文件的编制”第七点投标报价要求报价的；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15.投标文件含有采购人不能接受的附加条件的；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16.投标人被视为串通投标的；</w:t>
      </w:r>
    </w:p>
    <w:p>
      <w:pPr>
        <w:snapToGrid w:val="0"/>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17.不符合法律、法规和本招标文件规定的其他实质性要求的。</w:t>
      </w:r>
    </w:p>
    <w:p>
      <w:pPr>
        <w:pStyle w:val="53"/>
        <w:widowControl w:val="0"/>
        <w:snapToGrid w:val="0"/>
        <w:spacing w:before="120" w:beforeLines="50" w:beforeAutospacing="0" w:after="120" w:afterAutospacing="0" w:line="460" w:lineRule="exact"/>
        <w:ind w:left="757" w:leftChars="227" w:hanging="280" w:hangingChars="100"/>
        <w:jc w:val="both"/>
        <w:outlineLvl w:val="1"/>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（十）错误修正</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电子交易平台客户端里开标一览表录入的投标报价信息与扫描上传的报价文件不一致的，以扫描上传的报价文件为准。</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投标文件报价出现前后不一致的，除招标文件另有规定外，按照下列规定修正：</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1.投标文件中开标一览表内容与投标文件中相应内容不一致的，以开标一览表为准；</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2.大写金额和小写金额不一致的，以大写金额为准；</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3.单价金额小数点或者百分比有明显错位的，以开标一览表的总价为准，并修改单价；</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4.总价金额与按单价汇总金额不一致的，以单价金额计算结果为准。</w:t>
      </w:r>
    </w:p>
    <w:p>
      <w:pPr>
        <w:snapToGrid w:val="0"/>
        <w:spacing w:line="46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lang w:bidi="ar"/>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outlineLvl w:val="1"/>
        <w:rPr>
          <w:rFonts w:hint="eastAsia" w:ascii="仿宋" w:hAnsi="仿宋" w:eastAsia="仿宋" w:cs="仿宋"/>
          <w:bCs/>
          <w:color w:val="000000"/>
          <w:sz w:val="28"/>
          <w:szCs w:val="28"/>
        </w:rPr>
      </w:pPr>
      <w:r>
        <w:rPr>
          <w:rFonts w:hint="eastAsia" w:ascii="仿宋" w:hAnsi="仿宋" w:eastAsia="仿宋" w:cs="仿宋"/>
          <w:bCs/>
          <w:color w:val="000000"/>
          <w:sz w:val="28"/>
          <w:szCs w:val="28"/>
          <w:lang w:bidi="ar"/>
        </w:rPr>
        <w:t>（十一）采购过程中的异常情况及处理措施</w:t>
      </w:r>
    </w:p>
    <w:p>
      <w:pPr>
        <w:pStyle w:val="53"/>
        <w:widowControl w:val="0"/>
        <w:adjustRightInd w:val="0"/>
        <w:snapToGrid w:val="0"/>
        <w:spacing w:before="120" w:beforeLines="50" w:beforeAutospacing="0" w:after="0" w:afterAutospacing="0" w:line="50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采购过程中出现以下情形，导致电子交易平台无法正常运行，或者无法保证电子交易的公平、公正和安全时，招标方可中止电子交易活动：</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1.电子交易平台发生故障而无法登录访问的；</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2.电子交易平台应用或数据库出现错误，不能进行正常操作的；</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3.电子交易平台发现严重安全漏洞，有潜在泄密危险的；</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4.病毒发作导致不能进行正常操作的；</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5.其他无法保证电子交易的公平、公正和安全的情况。</w:t>
      </w:r>
    </w:p>
    <w:p>
      <w:pPr>
        <w:spacing w:line="440" w:lineRule="exact"/>
        <w:ind w:firstLine="562" w:firstLineChars="200"/>
        <w:rPr>
          <w:rFonts w:hint="eastAsia" w:ascii="仿宋" w:hAnsi="仿宋" w:eastAsia="仿宋" w:cs="仿宋"/>
          <w:bCs/>
          <w:color w:val="000000"/>
          <w:sz w:val="28"/>
          <w:szCs w:val="28"/>
        </w:rPr>
      </w:pPr>
      <w:r>
        <w:rPr>
          <w:rFonts w:hint="eastAsia" w:ascii="仿宋" w:hAnsi="仿宋" w:eastAsia="仿宋" w:cs="仿宋"/>
          <w:b/>
          <w:color w:val="000000"/>
          <w:sz w:val="28"/>
          <w:szCs w:val="28"/>
          <w:lang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widowControl w:val="0"/>
        <w:snapToGrid w:val="0"/>
        <w:spacing w:before="240" w:beforeLines="100" w:beforeAutospacing="0" w:after="240" w:afterLines="100" w:afterAutospacing="0" w:line="360" w:lineRule="auto"/>
        <w:jc w:val="center"/>
        <w:rPr>
          <w:rFonts w:hint="eastAsia" w:ascii="仿宋" w:hAnsi="仿宋" w:eastAsia="仿宋" w:cs="仿宋"/>
          <w:b/>
          <w:color w:val="000000"/>
          <w:sz w:val="30"/>
          <w:szCs w:val="30"/>
        </w:rPr>
      </w:pPr>
      <w:r>
        <w:rPr>
          <w:rFonts w:hint="eastAsia" w:ascii="仿宋" w:hAnsi="仿宋" w:eastAsia="仿宋" w:cs="仿宋"/>
          <w:b/>
          <w:color w:val="000000"/>
          <w:kern w:val="2"/>
          <w:sz w:val="30"/>
          <w:szCs w:val="30"/>
          <w:lang w:bidi="ar"/>
        </w:rPr>
        <w:t>三、开、评标程序及评标委员会的评审程序</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（一）组织开标</w:t>
      </w:r>
    </w:p>
    <w:p>
      <w:pPr>
        <w:pStyle w:val="53"/>
        <w:widowControl w:val="0"/>
        <w:snapToGrid w:val="0"/>
        <w:spacing w:before="120" w:beforeLines="50" w:beforeAutospacing="0" w:after="0" w:afterAutospacing="0" w:line="460" w:lineRule="exact"/>
        <w:ind w:firstLine="560" w:firstLineChars="200"/>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招标方将按照招标文件规定的时间、地点和程序组织开标，各投标人授权代表及相关人员</w:t>
      </w:r>
      <w:r>
        <w:rPr>
          <w:rFonts w:hint="eastAsia" w:ascii="仿宋" w:hAnsi="仿宋" w:eastAsia="仿宋" w:cs="仿宋"/>
          <w:b/>
          <w:bCs/>
          <w:color w:val="000000"/>
          <w:kern w:val="2"/>
          <w:sz w:val="28"/>
          <w:szCs w:val="28"/>
          <w:lang w:bidi="ar"/>
        </w:rPr>
        <w:t>均应当准时在线参加</w:t>
      </w:r>
      <w:r>
        <w:rPr>
          <w:rFonts w:hint="eastAsia" w:ascii="仿宋" w:hAnsi="仿宋" w:eastAsia="仿宋" w:cs="仿宋"/>
          <w:bCs/>
          <w:color w:val="000000"/>
          <w:kern w:val="2"/>
          <w:sz w:val="28"/>
          <w:szCs w:val="28"/>
          <w:lang w:bidi="ar"/>
        </w:rPr>
        <w:t>，无关人员不得进入开标现场。</w:t>
      </w:r>
      <w:r>
        <w:rPr>
          <w:rFonts w:hint="eastAsia" w:ascii="仿宋" w:hAnsi="仿宋" w:eastAsia="仿宋" w:cs="仿宋"/>
          <w:b/>
          <w:bCs/>
          <w:color w:val="000000"/>
          <w:kern w:val="2"/>
          <w:sz w:val="28"/>
          <w:szCs w:val="28"/>
          <w:lang w:bidi="ar"/>
        </w:rPr>
        <w:t>投标人如未准时在线参加的</w:t>
      </w:r>
      <w:r>
        <w:rPr>
          <w:rFonts w:hint="eastAsia" w:ascii="仿宋" w:hAnsi="仿宋" w:eastAsia="仿宋" w:cs="仿宋"/>
          <w:bCs/>
          <w:color w:val="000000"/>
          <w:kern w:val="2"/>
          <w:sz w:val="28"/>
          <w:szCs w:val="28"/>
          <w:lang w:bidi="ar"/>
        </w:rPr>
        <w:t>，事后不得对采购相关人员、开标过程和开标结果提出异议。</w:t>
      </w:r>
    </w:p>
    <w:p>
      <w:pPr>
        <w:pStyle w:val="53"/>
        <w:widowControl w:val="0"/>
        <w:snapToGrid w:val="0"/>
        <w:spacing w:before="120" w:beforeLines="50" w:beforeAutospacing="0" w:after="0" w:afterAutospacing="0" w:line="46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1. 落实工作场地、设施，检查录音录像采集设备运行情况，验证电子交易平台是否能正常登录，并开启直播（如直播信号出现问题，不影响项目开标程序）。</w:t>
      </w:r>
    </w:p>
    <w:p>
      <w:pPr>
        <w:pStyle w:val="53"/>
        <w:widowControl w:val="0"/>
        <w:snapToGrid w:val="0"/>
        <w:spacing w:before="120" w:beforeLines="50" w:beforeAutospacing="0" w:after="0" w:afterAutospacing="0" w:line="46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3.投标截止时，电子交易平台自动提取所有电子投标文件。招标方点击[开始解密]按钮后，投标人可以在线解密，解密时限为30分钟。</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解密时限内未完成解密且按规定提供了备份投标文件的，招标方将在开标直播间拆封其备份投标文件，并导入电子交易平台。</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6.招标方在电子交易平台开启投标人的报价文件信息，投标人对报价信息进行确认。投标人对报价信息不予确认的不影响后续评标过程。</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8.在电子交易平台上公布评审结果。</w:t>
      </w:r>
    </w:p>
    <w:p>
      <w:pPr>
        <w:spacing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特别说明：政采云公司如对电子化开标及评审程序有调整的，按调整后的程序操作。</w:t>
      </w:r>
    </w:p>
    <w:p>
      <w:pPr>
        <w:pStyle w:val="53"/>
        <w:widowControl w:val="0"/>
        <w:snapToGrid w:val="0"/>
        <w:spacing w:before="120" w:beforeLines="50" w:beforeAutospacing="0" w:after="0" w:afterAutospacing="0" w:line="46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（二）组织评标程序</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招标方将按照招标文件规定的时间、地点和程序组织评标，各评审专家及相关人员应参加评审活动并接受核验、签到，无关人员不得进入评审现场。</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1、开启开标场地录音录像采集设备，并确保正常运行。</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2、按规定统一收缴、保存评标现场相关人员通讯工具。</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3、介绍评审现场的人员情况，宣布评审工作纪律，告知评审人员应当回避情形；组织推选评标委员会组长。</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4、宣读提交投标文件的供应商名单，组织评标委员会各位成员签订纸质形式的《政府采购评审人员廉洁自律承诺书》。</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5、采购人可以在评标前说明项目背景和采购需求，说明内容不得含有歧视性、倾向性意见，不得超出招标文件所述范围。说明应当提交书面材料，并随采购文件一并存档。</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7、采购人代表对投标人资格文件进行审查并</w:t>
      </w:r>
      <w:r>
        <w:rPr>
          <w:rFonts w:hint="eastAsia" w:ascii="仿宋" w:hAnsi="仿宋" w:eastAsia="仿宋" w:cs="仿宋"/>
          <w:color w:val="000000"/>
          <w:kern w:val="2"/>
          <w:sz w:val="28"/>
          <w:szCs w:val="28"/>
          <w:lang w:bidi="ar"/>
        </w:rPr>
        <w:t>以开标当日为准</w:t>
      </w:r>
      <w:r>
        <w:rPr>
          <w:rFonts w:hint="eastAsia" w:ascii="仿宋" w:hAnsi="仿宋" w:eastAsia="仿宋" w:cs="仿宋"/>
          <w:bCs/>
          <w:color w:val="000000"/>
          <w:kern w:val="2"/>
          <w:sz w:val="28"/>
          <w:szCs w:val="28"/>
          <w:lang w:bidi="ar"/>
        </w:rPr>
        <w:t>对投标人“信用中国”网站（www.creditchina.gov.cn）、中国政府采购网（www.ccgp.gov.cn）信用记录情况进行核实，资格不符合的，应组织相关投标人代表进行陈述、澄清或申辩。</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9、做好评审现场相关记录，协助评标委员会组长做好评审报告起草、有关内容电脑文字录入等工作，并要求评标委员会各成员签字确认。</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10、评审结束后，招标方应对评标委员会各成员的专业水平、职业道德、遵纪守法等情况进行评价；同时按规定向评审专家发放评审费，并交还评审人员及其他现场相关人员的通讯工具。</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Cs/>
          <w:color w:val="000000"/>
          <w:sz w:val="28"/>
          <w:szCs w:val="28"/>
        </w:rPr>
      </w:pPr>
      <w:r>
        <w:rPr>
          <w:rFonts w:hint="eastAsia" w:ascii="仿宋" w:hAnsi="仿宋" w:eastAsia="仿宋" w:cs="仿宋"/>
          <w:b/>
          <w:color w:val="000000"/>
          <w:kern w:val="2"/>
          <w:sz w:val="28"/>
          <w:szCs w:val="28"/>
          <w:lang w:bidi="ar"/>
        </w:rPr>
        <w:t>11、招标方将在《中标公告》中，公开评标委员会对每个投标人的《评分明细》以及《得分汇总表》情况。</w:t>
      </w:r>
      <w:r>
        <w:rPr>
          <w:rFonts w:ascii="Calibri" w:hAnsi="Calibri" w:eastAsia="仿宋" w:cs="Calibri"/>
          <w:b/>
          <w:color w:val="000000"/>
          <w:kern w:val="2"/>
          <w:sz w:val="28"/>
          <w:szCs w:val="28"/>
          <w:lang w:bidi="ar"/>
        </w:rPr>
        <w:t> </w:t>
      </w:r>
      <w:r>
        <w:rPr>
          <w:rFonts w:hint="eastAsia" w:ascii="仿宋" w:hAnsi="仿宋" w:eastAsia="仿宋" w:cs="仿宋"/>
          <w:b/>
          <w:color w:val="000000"/>
          <w:kern w:val="2"/>
          <w:sz w:val="28"/>
          <w:szCs w:val="28"/>
          <w:lang w:bidi="ar"/>
        </w:rPr>
        <w:tab/>
      </w:r>
    </w:p>
    <w:p>
      <w:pPr>
        <w:pStyle w:val="53"/>
        <w:widowControl w:val="0"/>
        <w:snapToGrid w:val="0"/>
        <w:spacing w:before="120" w:beforeLines="50" w:beforeAutospacing="0" w:after="0" w:afterAutospacing="0" w:line="46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（三）评审程序</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1、在评审专家中推选评标委员会组长。</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3、评审人员对各投标人投标文件的有效性、符合性、完整性和响应程度进行审查，确定是否对招标文件作出实质性响应。</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4、评审人员按招标文件规定的评审方法和评审标准，依法独立对投标人投标文件进行评估、比较，并给予评价或打分，不受任何单位和个人的干预。</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 xml:space="preserve">7、评标委员会根据评审汇总情况和招标文件规定确定中标候选供应商排序名单。 </w:t>
      </w:r>
    </w:p>
    <w:p>
      <w:pPr>
        <w:pStyle w:val="53"/>
        <w:widowControl w:val="0"/>
        <w:snapToGrid w:val="0"/>
        <w:spacing w:before="120" w:beforeLines="50" w:beforeAutospacing="0" w:after="0" w:afterAutospacing="0" w:line="460" w:lineRule="exact"/>
        <w:ind w:firstLine="548" w:firstLineChars="196"/>
        <w:jc w:val="both"/>
        <w:rPr>
          <w:rFonts w:hint="eastAsia" w:ascii="仿宋" w:hAnsi="仿宋" w:eastAsia="仿宋" w:cs="仿宋"/>
          <w:bCs/>
          <w:color w:val="000000"/>
          <w:sz w:val="28"/>
          <w:szCs w:val="28"/>
        </w:rPr>
      </w:pPr>
      <w:r>
        <w:rPr>
          <w:rFonts w:hint="eastAsia" w:ascii="仿宋" w:hAnsi="仿宋" w:eastAsia="仿宋" w:cs="仿宋"/>
          <w:bCs/>
          <w:color w:val="000000"/>
          <w:kern w:val="2"/>
          <w:sz w:val="28"/>
          <w:szCs w:val="28"/>
          <w:lang w:bidi="ar"/>
        </w:rPr>
        <w:t>8、起草评审报告，所有评审人员须在评审报告上签字确认。</w:t>
      </w:r>
    </w:p>
    <w:p>
      <w:pPr>
        <w:pStyle w:val="53"/>
        <w:widowControl w:val="0"/>
        <w:snapToGrid w:val="0"/>
        <w:spacing w:before="240" w:beforeLines="100" w:beforeAutospacing="0" w:after="240" w:afterLines="100" w:afterAutospacing="0" w:line="360" w:lineRule="auto"/>
        <w:jc w:val="center"/>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四、评审原则</w:t>
      </w:r>
    </w:p>
    <w:p>
      <w:pPr>
        <w:pStyle w:val="53"/>
        <w:widowControl w:val="0"/>
        <w:snapToGrid w:val="0"/>
        <w:spacing w:before="120" w:beforeLines="50" w:beforeAutospacing="0" w:after="0" w:afterAutospacing="0" w:line="460" w:lineRule="exact"/>
        <w:ind w:firstLine="562" w:firstLineChars="200"/>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非单一产品采购项目，采购人应当根据采购项目技术构成、产品价格比重等合理确定核心产品，并在招标文件中载明。多家投标人提供的核心产品品牌相同的，按前款规定处理。</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widowControl w:val="0"/>
        <w:snapToGrid w:val="0"/>
        <w:spacing w:before="240" w:beforeLines="100" w:beforeAutospacing="0" w:after="240" w:afterLines="100" w:afterAutospacing="0" w:line="360" w:lineRule="auto"/>
        <w:jc w:val="center"/>
        <w:rPr>
          <w:rFonts w:hint="eastAsia" w:ascii="仿宋" w:hAnsi="仿宋" w:eastAsia="仿宋" w:cs="仿宋"/>
          <w:b/>
          <w:color w:val="000000"/>
          <w:sz w:val="30"/>
          <w:szCs w:val="30"/>
        </w:rPr>
      </w:pPr>
      <w:r>
        <w:rPr>
          <w:rFonts w:hint="eastAsia" w:ascii="仿宋" w:hAnsi="仿宋" w:eastAsia="仿宋" w:cs="仿宋"/>
          <w:b/>
          <w:color w:val="000000"/>
          <w:kern w:val="2"/>
          <w:sz w:val="30"/>
          <w:szCs w:val="30"/>
          <w:lang w:bidi="ar"/>
        </w:rPr>
        <w:t>五、确定中标供应商的原则</w:t>
      </w:r>
    </w:p>
    <w:p>
      <w:pPr>
        <w:pStyle w:val="53"/>
        <w:widowControl w:val="0"/>
        <w:snapToGrid w:val="0"/>
        <w:spacing w:before="120" w:beforeLines="50" w:beforeAutospacing="0" w:after="0" w:afterAutospacing="0" w:line="4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 xml:space="preserve"> 1.项目由评标委员会根据第三章《评标办法与评分标准》规定提出中标候选人排序。</w:t>
      </w:r>
    </w:p>
    <w:p>
      <w:pPr>
        <w:pStyle w:val="53"/>
        <w:widowControl w:val="0"/>
        <w:snapToGrid w:val="0"/>
        <w:spacing w:before="120" w:beforeLines="50" w:beforeAutospacing="0" w:after="0" w:afterAutospacing="0" w:line="460" w:lineRule="exact"/>
        <w:ind w:firstLine="560" w:firstLineChars="200"/>
        <w:jc w:val="both"/>
        <w:rPr>
          <w:rFonts w:hint="eastAsia" w:ascii="仿宋" w:hAnsi="仿宋" w:eastAsia="仿宋" w:cs="仿宋"/>
          <w:color w:val="000000"/>
          <w:sz w:val="28"/>
          <w:szCs w:val="28"/>
        </w:rPr>
      </w:pPr>
      <w:r>
        <w:rPr>
          <w:rFonts w:hint="eastAsia" w:cs="Times New Roman"/>
          <w:color w:val="000000"/>
          <w:kern w:val="2"/>
          <w:sz w:val="28"/>
          <w:szCs w:val="28"/>
          <w:lang w:bidi="ar"/>
        </w:rPr>
        <w:t xml:space="preserve"> </w:t>
      </w:r>
      <w:r>
        <w:rPr>
          <w:rFonts w:hint="eastAsia" w:ascii="仿宋" w:hAnsi="仿宋" w:eastAsia="仿宋" w:cs="仿宋"/>
          <w:color w:val="000000"/>
          <w:kern w:val="2"/>
          <w:sz w:val="28"/>
          <w:szCs w:val="28"/>
          <w:lang w:bidi="ar"/>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3"/>
        <w:widowControl w:val="0"/>
        <w:snapToGrid w:val="0"/>
        <w:spacing w:before="120" w:beforeLines="50" w:beforeAutospacing="0" w:after="0" w:afterAutospacing="0" w:line="460" w:lineRule="exact"/>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bidi="ar"/>
        </w:rPr>
        <w:t>。</w:t>
      </w:r>
    </w:p>
    <w:p>
      <w:pPr>
        <w:pStyle w:val="53"/>
        <w:widowControl w:val="0"/>
        <w:snapToGrid w:val="0"/>
        <w:spacing w:before="240" w:beforeLines="100" w:beforeAutospacing="0" w:after="240" w:afterLines="100" w:afterAutospacing="0" w:line="360" w:lineRule="auto"/>
        <w:jc w:val="center"/>
        <w:rPr>
          <w:rFonts w:hint="eastAsia" w:ascii="仿宋" w:hAnsi="仿宋" w:eastAsia="仿宋" w:cs="仿宋"/>
          <w:b/>
          <w:color w:val="000000"/>
          <w:sz w:val="30"/>
          <w:szCs w:val="30"/>
        </w:rPr>
      </w:pPr>
      <w:r>
        <w:rPr>
          <w:rFonts w:hint="eastAsia" w:ascii="仿宋" w:hAnsi="仿宋" w:eastAsia="仿宋" w:cs="仿宋"/>
          <w:b/>
          <w:color w:val="000000"/>
          <w:kern w:val="2"/>
          <w:sz w:val="30"/>
          <w:szCs w:val="30"/>
          <w:lang w:bidi="ar"/>
        </w:rPr>
        <w:t>六、合同授予</w:t>
      </w:r>
    </w:p>
    <w:p>
      <w:pPr>
        <w:snapToGrid w:val="0"/>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（一）签订合同</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1.采购人与中标人应当在《中标通知书》发出之日起30日内签订政府采购合同。</w:t>
      </w:r>
    </w:p>
    <w:p>
      <w:pPr>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bidi="ar"/>
        </w:rPr>
        <w:t>2.中标人拖延、拒签合同的,将被取消中标资格。</w:t>
      </w:r>
    </w:p>
    <w:p>
      <w:pPr>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widowControl w:val="0"/>
        <w:snapToGrid w:val="0"/>
        <w:spacing w:before="120" w:beforeLines="50" w:beforeAutospacing="0" w:after="0" w:afterAutospacing="0" w:line="460" w:lineRule="exact"/>
        <w:ind w:firstLine="551" w:firstLineChars="196"/>
        <w:jc w:val="both"/>
        <w:rPr>
          <w:rFonts w:hint="eastAsia" w:ascii="仿宋" w:hAnsi="仿宋" w:eastAsia="仿宋" w:cs="仿宋"/>
          <w:b/>
          <w:color w:val="000000"/>
          <w:sz w:val="28"/>
          <w:szCs w:val="28"/>
        </w:rPr>
      </w:pPr>
      <w:r>
        <w:rPr>
          <w:rFonts w:hint="eastAsia" w:ascii="仿宋" w:hAnsi="仿宋" w:eastAsia="仿宋" w:cs="仿宋"/>
          <w:b/>
          <w:color w:val="000000"/>
          <w:kern w:val="2"/>
          <w:sz w:val="28"/>
          <w:szCs w:val="28"/>
          <w:lang w:bidi="ar"/>
        </w:rPr>
        <w:t>（二）履约保证金</w:t>
      </w:r>
    </w:p>
    <w:p>
      <w:pPr>
        <w:pStyle w:val="53"/>
        <w:widowControl w:val="0"/>
        <w:snapToGrid w:val="0"/>
        <w:spacing w:before="240" w:beforeLines="100" w:beforeAutospacing="0" w:after="240" w:afterLines="10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widowControl w:val="0"/>
        <w:snapToGrid w:val="0"/>
        <w:spacing w:before="120" w:beforeLines="50" w:beforeAutospacing="0" w:after="0" w:afterAutospacing="0" w:line="460" w:lineRule="exact"/>
        <w:ind w:firstLine="554" w:firstLineChars="198"/>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2.按合同约定办理履约保证金退还手续。</w:t>
      </w:r>
    </w:p>
    <w:p>
      <w:pPr>
        <w:pStyle w:val="53"/>
        <w:widowControl w:val="0"/>
        <w:snapToGrid w:val="0"/>
        <w:spacing w:before="240" w:beforeLines="100" w:beforeAutospacing="0" w:after="240" w:afterLines="100" w:afterAutospacing="0" w:line="360" w:lineRule="auto"/>
        <w:jc w:val="center"/>
        <w:rPr>
          <w:rFonts w:hint="eastAsia" w:ascii="仿宋" w:hAnsi="仿宋" w:eastAsia="仿宋" w:cs="仿宋"/>
          <w:b/>
          <w:color w:val="000000"/>
          <w:sz w:val="30"/>
          <w:szCs w:val="30"/>
        </w:rPr>
      </w:pPr>
      <w:r>
        <w:rPr>
          <w:rFonts w:hint="eastAsia" w:ascii="仿宋" w:hAnsi="仿宋" w:eastAsia="仿宋" w:cs="仿宋"/>
          <w:b/>
          <w:color w:val="000000"/>
          <w:kern w:val="2"/>
          <w:sz w:val="30"/>
          <w:szCs w:val="30"/>
          <w:lang w:bidi="ar"/>
        </w:rPr>
        <w:t>七、货款的结算</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货款由采购人按采购文件规定的付款方式自行支付。纳入国库集中支付的，按照国库集中支付有关规定付款。</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资金支付进度：采购人对于满足合同约定支付条件的，自收到发票后7个工作日内将资金支付到合同约定的供应商账户。迟延支付中小企业款项的，供应商可要求采购人支付逾期利息。</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1.对中小企业合同预付款比例原则上不低于合同金额的40％，不高于合同金额的70%；</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2.项目分年安排预算的，每年预付款比例不低于项目年度计划支付资金额的40％，不高于年度计划支付资金额的70%；</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3.采购项目实施以人工投入为主的，可适当降低预付款比例，但不得低于20%。</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4.对供应商为大型企业的项目或者以人工投入为主且实行按月定期结算支付款项的项目，预付款可低于上述比例或者不约定预付款。</w:t>
      </w:r>
    </w:p>
    <w:p>
      <w:pPr>
        <w:pStyle w:val="53"/>
        <w:widowControl w:val="0"/>
        <w:snapToGrid w:val="0"/>
        <w:spacing w:before="120" w:beforeLines="50" w:beforeAutospacing="0" w:after="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kern w:val="2"/>
          <w:sz w:val="28"/>
          <w:szCs w:val="28"/>
          <w:lang w:bidi="ar"/>
        </w:rPr>
        <w:t>备注：在签订合同时，供应商明确表示无需预付款或者主动要求降低预付款比例的，采购单位可不适用前述预付款比例的规定。</w:t>
      </w:r>
    </w:p>
    <w:p>
      <w:pPr>
        <w:pStyle w:val="53"/>
        <w:widowControl w:val="0"/>
        <w:spacing w:before="120" w:beforeLines="50" w:beforeAutospacing="0" w:after="0" w:afterAutospacing="0" w:line="360" w:lineRule="auto"/>
        <w:jc w:val="center"/>
        <w:outlineLvl w:val="0"/>
        <w:rPr>
          <w:b/>
          <w:color w:val="000000"/>
          <w:sz w:val="36"/>
          <w:szCs w:val="36"/>
        </w:rPr>
      </w:pPr>
      <w:r>
        <w:rPr>
          <w:rFonts w:hint="eastAsia" w:cs="Times New Roman"/>
          <w:b/>
          <w:color w:val="000000"/>
          <w:sz w:val="36"/>
          <w:szCs w:val="36"/>
          <w:lang w:bidi="ar"/>
        </w:rPr>
        <w:br w:type="page"/>
      </w:r>
      <w:bookmarkStart w:id="26" w:name="_Toc2834"/>
      <w:bookmarkStart w:id="27" w:name="_Toc496796637"/>
      <w:r>
        <w:rPr>
          <w:rFonts w:hint="eastAsia" w:cs="Times New Roman"/>
          <w:b/>
          <w:color w:val="000000"/>
          <w:kern w:val="2"/>
          <w:sz w:val="36"/>
          <w:szCs w:val="36"/>
          <w:lang w:bidi="ar"/>
        </w:rPr>
        <w:t>第三章</w:t>
      </w:r>
      <w:bookmarkStart w:id="28" w:name="评标办法及评分标准"/>
      <w:r>
        <w:rPr>
          <w:rFonts w:hint="eastAsia" w:cs="Times New Roman"/>
          <w:b/>
          <w:color w:val="000000"/>
          <w:kern w:val="2"/>
          <w:sz w:val="36"/>
          <w:szCs w:val="36"/>
          <w:lang w:bidi="ar"/>
        </w:rPr>
        <w:t xml:space="preserve">  评标办法及评分标准</w:t>
      </w:r>
      <w:bookmarkEnd w:id="26"/>
      <w:bookmarkEnd w:id="27"/>
      <w:bookmarkEnd w:id="28"/>
    </w:p>
    <w:p>
      <w:pPr>
        <w:spacing w:before="120" w:beforeLines="50" w:after="120" w:afterLines="50" w:line="460" w:lineRule="exact"/>
        <w:ind w:firstLine="420"/>
        <w:rPr>
          <w:rFonts w:hint="eastAsia" w:ascii="仿宋" w:hAnsi="仿宋" w:eastAsia="仿宋" w:cs="仿宋"/>
          <w:color w:val="000000"/>
          <w:sz w:val="30"/>
          <w:szCs w:val="30"/>
        </w:rPr>
      </w:pPr>
      <w:r>
        <w:rPr>
          <w:rFonts w:hint="eastAsia" w:ascii="仿宋" w:hAnsi="仿宋" w:eastAsia="仿宋" w:cs="仿宋"/>
          <w:color w:val="000000"/>
          <w:sz w:val="30"/>
          <w:szCs w:val="30"/>
          <w:lang w:bidi="ar"/>
        </w:rPr>
        <w:t>根据《中华人民共和国政府采购法》等有关法律法规，结合本项目的实际需求，制定本办法。</w:t>
      </w:r>
    </w:p>
    <w:p>
      <w:pPr>
        <w:spacing w:before="120" w:beforeLines="50" w:after="120" w:afterLines="50" w:line="460" w:lineRule="exact"/>
        <w:ind w:firstLine="590" w:firstLineChars="196"/>
        <w:rPr>
          <w:rFonts w:hint="eastAsia" w:ascii="仿宋" w:hAnsi="仿宋" w:eastAsia="仿宋" w:cs="仿宋"/>
          <w:b/>
          <w:color w:val="000000"/>
          <w:sz w:val="30"/>
          <w:szCs w:val="30"/>
        </w:rPr>
      </w:pPr>
      <w:r>
        <w:rPr>
          <w:rFonts w:hint="eastAsia" w:ascii="仿宋" w:hAnsi="仿宋" w:eastAsia="仿宋" w:cs="仿宋"/>
          <w:b/>
          <w:color w:val="000000"/>
          <w:sz w:val="30"/>
          <w:szCs w:val="30"/>
          <w:lang w:bidi="ar"/>
        </w:rPr>
        <w:t>一、总则</w:t>
      </w:r>
    </w:p>
    <w:p>
      <w:pPr>
        <w:spacing w:before="120" w:beforeLines="50" w:after="120" w:afterLines="50" w:line="4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hint="eastAsia" w:ascii="仿宋" w:hAnsi="仿宋" w:eastAsia="仿宋" w:cs="仿宋"/>
          <w:b/>
          <w:color w:val="000000"/>
          <w:sz w:val="30"/>
          <w:szCs w:val="30"/>
        </w:rPr>
      </w:pPr>
      <w:r>
        <w:rPr>
          <w:rFonts w:hint="eastAsia" w:ascii="仿宋" w:hAnsi="仿宋" w:eastAsia="仿宋" w:cs="仿宋"/>
          <w:b/>
          <w:color w:val="000000"/>
          <w:sz w:val="30"/>
          <w:szCs w:val="30"/>
          <w:lang w:bidi="ar"/>
        </w:rPr>
        <w:t>二、分值的计算</w:t>
      </w:r>
    </w:p>
    <w:p>
      <w:pPr>
        <w:spacing w:before="120" w:beforeLines="50" w:after="120" w:afterLines="50" w:line="4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bidi="ar"/>
        </w:rPr>
        <w:t>技术、资信、商务及其他分按照评标委员会成员的独立评分结果汇总后的算术平均分计算，计算公式为：</w:t>
      </w:r>
    </w:p>
    <w:p>
      <w:pPr>
        <w:spacing w:before="120" w:beforeLines="50" w:after="120" w:afterLines="50" w:line="460" w:lineRule="exact"/>
        <w:ind w:firstLine="495"/>
        <w:rPr>
          <w:rFonts w:hint="eastAsia" w:ascii="仿宋" w:hAnsi="仿宋" w:eastAsia="仿宋" w:cs="仿宋"/>
          <w:color w:val="000000"/>
          <w:sz w:val="30"/>
          <w:szCs w:val="30"/>
        </w:rPr>
      </w:pPr>
      <w:r>
        <w:rPr>
          <w:rFonts w:hint="eastAsia" w:ascii="仿宋" w:hAnsi="仿宋" w:eastAsia="仿宋" w:cs="仿宋"/>
          <w:color w:val="000000"/>
          <w:sz w:val="30"/>
          <w:szCs w:val="30"/>
          <w:lang w:bidi="ar"/>
        </w:rPr>
        <w:t>技术、资信商务及其他分=评标委员会所有成员评分合计数/评标委员会组成人员数</w:t>
      </w:r>
    </w:p>
    <w:p>
      <w:pPr>
        <w:spacing w:before="120" w:beforeLines="50" w:after="120" w:afterLines="50" w:line="460" w:lineRule="exact"/>
        <w:ind w:firstLine="600" w:firstLineChars="200"/>
        <w:rPr>
          <w:rFonts w:hint="eastAsia" w:ascii="仿宋" w:hAnsi="仿宋" w:eastAsia="仿宋" w:cs="仿宋"/>
          <w:bCs/>
          <w:color w:val="000000"/>
          <w:sz w:val="30"/>
          <w:szCs w:val="30"/>
        </w:rPr>
      </w:pPr>
      <w:r>
        <w:rPr>
          <w:rFonts w:hint="eastAsia" w:ascii="仿宋" w:hAnsi="仿宋" w:eastAsia="仿宋" w:cs="仿宋"/>
          <w:color w:val="000000"/>
          <w:sz w:val="30"/>
          <w:szCs w:val="30"/>
          <w:lang w:bidi="ar"/>
        </w:rPr>
        <w:t>投标人评标</w:t>
      </w:r>
      <w:r>
        <w:rPr>
          <w:rFonts w:hint="eastAsia" w:ascii="仿宋" w:hAnsi="仿宋" w:eastAsia="仿宋" w:cs="仿宋"/>
          <w:bCs/>
          <w:color w:val="000000"/>
          <w:sz w:val="30"/>
          <w:szCs w:val="30"/>
          <w:lang w:bidi="ar"/>
        </w:rPr>
        <w:t>综合得分=价格分+(技术分+资信商务及其他分)</w:t>
      </w:r>
    </w:p>
    <w:p>
      <w:pPr>
        <w:spacing w:before="120" w:beforeLines="50" w:after="120" w:afterLines="50" w:line="460" w:lineRule="exact"/>
        <w:ind w:firstLine="602" w:firstLineChars="200"/>
        <w:rPr>
          <w:rFonts w:hint="eastAsia" w:ascii="仿宋" w:hAnsi="仿宋" w:eastAsia="仿宋" w:cs="仿宋"/>
          <w:b/>
          <w:color w:val="000000"/>
          <w:sz w:val="30"/>
          <w:szCs w:val="30"/>
        </w:rPr>
      </w:pPr>
    </w:p>
    <w:p>
      <w:pPr>
        <w:spacing w:before="120" w:beforeLines="50" w:after="120" w:afterLines="50" w:line="460" w:lineRule="exact"/>
        <w:ind w:firstLine="602" w:firstLineChars="200"/>
        <w:rPr>
          <w:rFonts w:hint="eastAsia" w:ascii="仿宋" w:hAnsi="仿宋" w:eastAsia="仿宋" w:cs="仿宋"/>
          <w:bCs/>
          <w:color w:val="000000"/>
          <w:sz w:val="30"/>
          <w:szCs w:val="30"/>
        </w:rPr>
      </w:pPr>
      <w:r>
        <w:rPr>
          <w:rFonts w:hint="eastAsia" w:ascii="仿宋" w:hAnsi="仿宋" w:eastAsia="仿宋" w:cs="仿宋"/>
          <w:b/>
          <w:color w:val="000000"/>
          <w:sz w:val="30"/>
          <w:szCs w:val="30"/>
          <w:lang w:bidi="ar"/>
        </w:rPr>
        <w:t>特别提醒：</w:t>
      </w:r>
      <w:r>
        <w:rPr>
          <w:rFonts w:hint="eastAsia" w:ascii="仿宋" w:hAnsi="仿宋" w:eastAsia="仿宋" w:cs="仿宋"/>
          <w:bCs/>
          <w:color w:val="000000"/>
          <w:sz w:val="30"/>
          <w:szCs w:val="30"/>
          <w:lang w:bidi="ar"/>
        </w:rPr>
        <w:t>评标委员会对每个投标人的评分明细以及得分汇总表情况在中标公告中公布。</w:t>
      </w:r>
    </w:p>
    <w:p>
      <w:pPr>
        <w:spacing w:before="120" w:beforeLines="50" w:after="120" w:afterLines="50" w:line="460" w:lineRule="exact"/>
        <w:rPr>
          <w:rFonts w:hint="eastAsia" w:ascii="仿宋" w:hAnsi="仿宋" w:eastAsia="等线" w:cs="仿宋"/>
          <w:bCs/>
          <w:color w:val="000000"/>
          <w:sz w:val="30"/>
          <w:szCs w:val="30"/>
        </w:rPr>
      </w:pPr>
    </w:p>
    <w:p>
      <w:pPr>
        <w:spacing w:before="120" w:beforeLines="50" w:after="120" w:afterLines="50" w:line="320" w:lineRule="exact"/>
        <w:rPr>
          <w:rFonts w:hint="eastAsia" w:ascii="仿宋" w:hAnsi="仿宋" w:eastAsia="仿宋_GB2312" w:cs="仿宋"/>
          <w:b/>
          <w:color w:val="000000"/>
          <w:sz w:val="30"/>
          <w:szCs w:val="30"/>
        </w:rPr>
      </w:pPr>
      <w:r>
        <w:rPr>
          <w:rFonts w:hint="eastAsia" w:ascii="仿宋" w:hAnsi="仿宋" w:eastAsia="仿宋_GB2312" w:cs="Times New Roman"/>
          <w:bCs/>
          <w:color w:val="000000"/>
          <w:sz w:val="30"/>
          <w:szCs w:val="30"/>
          <w:lang w:bidi="ar"/>
        </w:rPr>
        <w:br w:type="page"/>
      </w:r>
      <w:r>
        <w:rPr>
          <w:rFonts w:hint="eastAsia" w:ascii="仿宋" w:hAnsi="仿宋" w:eastAsia="仿宋_GB2312" w:cs="仿宋_GB2312"/>
          <w:b/>
          <w:color w:val="000000"/>
          <w:sz w:val="32"/>
          <w:szCs w:val="32"/>
          <w:lang w:bidi="ar"/>
        </w:rPr>
        <w:t>三、评标内容及标</w:t>
      </w:r>
      <w:r>
        <w:rPr>
          <w:rFonts w:hint="eastAsia" w:ascii="仿宋" w:hAnsi="仿宋" w:eastAsia="仿宋_GB2312" w:cs="仿宋_GB2312"/>
          <w:b/>
          <w:color w:val="000000"/>
          <w:sz w:val="30"/>
          <w:szCs w:val="30"/>
          <w:lang w:bidi="ar"/>
        </w:rPr>
        <w:t>准</w:t>
      </w:r>
    </w:p>
    <w:p>
      <w:pPr>
        <w:spacing w:before="120" w:beforeLines="50" w:after="120" w:afterLines="50" w:line="340" w:lineRule="exact"/>
        <w:rPr>
          <w:rFonts w:hint="eastAsia" w:ascii="仿宋_GB2312" w:hAnsi="宋体" w:eastAsia="仿宋_GB2312" w:cs="仿宋_GB2312"/>
          <w:b/>
          <w:color w:val="000000"/>
          <w:sz w:val="32"/>
          <w:szCs w:val="32"/>
        </w:rPr>
      </w:pPr>
      <w:bookmarkStart w:id="29" w:name="PO_15528_PM051"/>
      <w:r>
        <w:rPr>
          <w:rFonts w:hint="eastAsia" w:ascii="仿宋_GB2312" w:hAnsi="宋体" w:eastAsia="仿宋_GB2312" w:cs="仿宋_GB2312"/>
          <w:b/>
          <w:color w:val="000000"/>
          <w:sz w:val="32"/>
          <w:szCs w:val="32"/>
          <w:lang w:bidi="ar"/>
        </w:rPr>
        <w:t xml:space="preserve"> </w:t>
      </w:r>
      <w:bookmarkEnd w:id="29"/>
      <w:bookmarkStart w:id="30" w:name="PO_TDCUS_ITEM_SM_TITLE_1_1"/>
      <w:r>
        <w:rPr>
          <w:rFonts w:hint="eastAsia" w:ascii="仿宋_GB2312" w:hAnsi="宋体" w:eastAsia="仿宋_GB2312" w:cs="仿宋_GB2312"/>
          <w:b/>
          <w:color w:val="000000"/>
          <w:sz w:val="32"/>
          <w:szCs w:val="32"/>
          <w:lang w:bidi="ar"/>
        </w:rPr>
        <w:t>标项1和标项2的评分方法</w:t>
      </w:r>
      <w:bookmarkEnd w:id="30"/>
      <w:bookmarkStart w:id="31" w:name="PO_TDCUS_ITEM_SM_TABLE_1_1"/>
    </w:p>
    <w:tbl>
      <w:tblPr>
        <w:tblStyle w:val="5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850"/>
        <w:gridCol w:w="5670"/>
        <w:gridCol w:w="709"/>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序号</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评分类型</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评分标准</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分值</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sz w:val="24"/>
                <w:szCs w:val="24"/>
              </w:rPr>
            </w:pPr>
            <w:r>
              <w:rPr>
                <w:rFonts w:hint="eastAsia" w:ascii="仿宋_GB2312" w:hAnsi="宋体" w:eastAsia="仿宋_GB2312" w:cs="仿宋_GB2312"/>
                <w:bCs/>
                <w:sz w:val="24"/>
                <w:szCs w:val="24"/>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1</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报价</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(最低报价/投标报价)*最大分值</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10</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1</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技术</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eastAsia="仿宋_GB2312" w:cs="仿宋_GB2312"/>
                <w:bCs/>
                <w:sz w:val="24"/>
                <w:szCs w:val="24"/>
              </w:rPr>
              <w:t>对本项目的总体理解，对重点难点的分析，提出相应的解决方案。</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5</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2</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技术</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 w:val="24"/>
                <w:szCs w:val="24"/>
              </w:rPr>
            </w:pPr>
            <w:r>
              <w:rPr>
                <w:rFonts w:hint="eastAsia" w:eastAsia="仿宋_GB2312" w:cs="仿宋_GB2312"/>
                <w:bCs/>
                <w:sz w:val="24"/>
                <w:szCs w:val="24"/>
                <w:lang w:bidi="ar"/>
              </w:rPr>
              <w:t>对用户项目运行环境的理解，对政务外网现网架构拓扑、网络互联、运行情况及优化进行详细描述说明。</w:t>
            </w:r>
          </w:p>
          <w:p>
            <w:pPr>
              <w:rPr>
                <w:rFonts w:eastAsia="仿宋_GB2312"/>
                <w:bCs/>
                <w:sz w:val="24"/>
                <w:szCs w:val="24"/>
              </w:rPr>
            </w:pPr>
            <w:r>
              <w:rPr>
                <w:rFonts w:eastAsia="仿宋_GB2312"/>
                <w:bCs/>
                <w:sz w:val="24"/>
                <w:szCs w:val="24"/>
                <w:lang w:bidi="ar"/>
              </w:rPr>
              <w:t>1</w:t>
            </w:r>
            <w:r>
              <w:rPr>
                <w:rFonts w:hint="eastAsia" w:eastAsia="仿宋_GB2312" w:cs="仿宋_GB2312"/>
                <w:bCs/>
                <w:sz w:val="24"/>
                <w:szCs w:val="24"/>
                <w:lang w:bidi="ar"/>
              </w:rPr>
              <w:t>、要求对政务外网架构拓扑、网络区域、技术路线现状及优化方案进行详细描述说明。根据描述详实情况、方案可行性合理性进行打分。（</w:t>
            </w:r>
            <w:r>
              <w:rPr>
                <w:rFonts w:eastAsia="仿宋_GB2312"/>
                <w:bCs/>
                <w:sz w:val="24"/>
                <w:szCs w:val="24"/>
                <w:lang w:bidi="ar"/>
              </w:rPr>
              <w:t>5</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2</w:t>
            </w:r>
            <w:r>
              <w:rPr>
                <w:rFonts w:hint="eastAsia" w:eastAsia="仿宋_GB2312" w:cs="仿宋_GB2312"/>
                <w:bCs/>
                <w:sz w:val="24"/>
                <w:szCs w:val="24"/>
                <w:lang w:bidi="ar"/>
              </w:rPr>
              <w:t>、要求对政务外网设备、链路、机房情况现状及优化方案进行详细描述说明。根据描述详实情况、方案可行性合理性进行打分。（</w:t>
            </w:r>
            <w:r>
              <w:rPr>
                <w:rFonts w:eastAsia="仿宋_GB2312"/>
                <w:bCs/>
                <w:sz w:val="24"/>
                <w:szCs w:val="24"/>
                <w:lang w:bidi="ar"/>
              </w:rPr>
              <w:t>5</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3</w:t>
            </w:r>
            <w:r>
              <w:rPr>
                <w:rFonts w:hint="eastAsia" w:eastAsia="仿宋_GB2312" w:cs="仿宋_GB2312"/>
                <w:bCs/>
                <w:sz w:val="24"/>
                <w:szCs w:val="24"/>
                <w:lang w:bidi="ar"/>
              </w:rPr>
              <w:t>、要求对主备平面互联、云</w:t>
            </w:r>
            <w:r>
              <w:rPr>
                <w:rFonts w:eastAsia="仿宋_GB2312"/>
                <w:bCs/>
                <w:sz w:val="24"/>
                <w:szCs w:val="24"/>
                <w:lang w:bidi="ar"/>
              </w:rPr>
              <w:t>-</w:t>
            </w:r>
            <w:r>
              <w:rPr>
                <w:rFonts w:hint="eastAsia" w:eastAsia="仿宋_GB2312" w:cs="仿宋_GB2312"/>
                <w:bCs/>
                <w:sz w:val="24"/>
                <w:szCs w:val="24"/>
                <w:lang w:bidi="ar"/>
              </w:rPr>
              <w:t>网互联、中央</w:t>
            </w:r>
            <w:r>
              <w:rPr>
                <w:rFonts w:eastAsia="仿宋_GB2312"/>
                <w:bCs/>
                <w:sz w:val="24"/>
                <w:szCs w:val="24"/>
                <w:lang w:bidi="ar"/>
              </w:rPr>
              <w:t>-</w:t>
            </w:r>
            <w:r>
              <w:rPr>
                <w:rFonts w:hint="eastAsia" w:eastAsia="仿宋_GB2312" w:cs="仿宋_GB2312"/>
                <w:bCs/>
                <w:sz w:val="24"/>
                <w:szCs w:val="24"/>
                <w:lang w:bidi="ar"/>
              </w:rPr>
              <w:t>省级互联、省市互联等边界现状及优化方案进行详细描述说明对接，根据描述详实情况、方案可行性合理性进行打分。（</w:t>
            </w:r>
            <w:r>
              <w:rPr>
                <w:rFonts w:eastAsia="仿宋_GB2312"/>
                <w:bCs/>
                <w:sz w:val="24"/>
                <w:szCs w:val="24"/>
                <w:lang w:bidi="ar"/>
              </w:rPr>
              <w:t>5</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4</w:t>
            </w:r>
            <w:r>
              <w:rPr>
                <w:rFonts w:hint="eastAsia" w:eastAsia="仿宋_GB2312" w:cs="仿宋_GB2312"/>
                <w:bCs/>
                <w:sz w:val="24"/>
                <w:szCs w:val="24"/>
                <w:lang w:bidi="ar"/>
              </w:rPr>
              <w:t>、要求对政务外网统一运维现状、整体架构、同国家及地市对接现状及运维优化方案进行详细描述说明，根据描述详实情况、方案可行性合理性进行打分。（</w:t>
            </w:r>
            <w:r>
              <w:rPr>
                <w:rFonts w:eastAsia="仿宋_GB2312"/>
                <w:bCs/>
                <w:sz w:val="24"/>
                <w:szCs w:val="24"/>
                <w:lang w:bidi="ar"/>
              </w:rPr>
              <w:t>5</w:t>
            </w:r>
            <w:r>
              <w:rPr>
                <w:rFonts w:hint="eastAsia" w:eastAsia="仿宋_GB2312" w:cs="仿宋_GB2312"/>
                <w:bCs/>
                <w:sz w:val="24"/>
                <w:szCs w:val="24"/>
                <w:lang w:bidi="ar"/>
              </w:rPr>
              <w:t>分）</w:t>
            </w:r>
          </w:p>
          <w:p>
            <w:pPr>
              <w:spacing w:line="340" w:lineRule="exact"/>
              <w:rPr>
                <w:rFonts w:eastAsia="仿宋_GB2312"/>
                <w:bCs/>
                <w:sz w:val="24"/>
                <w:szCs w:val="24"/>
              </w:rPr>
            </w:pPr>
            <w:r>
              <w:rPr>
                <w:rFonts w:eastAsia="仿宋_GB2312"/>
                <w:bCs/>
                <w:sz w:val="24"/>
                <w:szCs w:val="24"/>
                <w:lang w:bidi="ar"/>
              </w:rPr>
              <w:t>5</w:t>
            </w:r>
            <w:r>
              <w:rPr>
                <w:rFonts w:hint="eastAsia" w:eastAsia="仿宋_GB2312" w:cs="仿宋_GB2312"/>
                <w:bCs/>
                <w:sz w:val="24"/>
                <w:szCs w:val="24"/>
                <w:lang w:bidi="ar"/>
              </w:rPr>
              <w:t>、要求对全网（主备平面）城域网（核心区域</w:t>
            </w:r>
            <w:r>
              <w:rPr>
                <w:rFonts w:eastAsia="仿宋_GB2312"/>
                <w:bCs/>
                <w:sz w:val="24"/>
                <w:szCs w:val="24"/>
                <w:lang w:bidi="ar"/>
              </w:rPr>
              <w:t>-</w:t>
            </w:r>
            <w:r>
              <w:rPr>
                <w:rFonts w:hint="eastAsia" w:eastAsia="仿宋_GB2312" w:cs="仿宋_GB2312"/>
                <w:bCs/>
                <w:sz w:val="24"/>
                <w:szCs w:val="24"/>
                <w:lang w:bidi="ar"/>
              </w:rPr>
              <w:t>省级部门、云</w:t>
            </w:r>
            <w:r>
              <w:rPr>
                <w:rFonts w:eastAsia="仿宋_GB2312"/>
                <w:bCs/>
                <w:sz w:val="24"/>
                <w:szCs w:val="24"/>
                <w:lang w:bidi="ar"/>
              </w:rPr>
              <w:t>-</w:t>
            </w:r>
            <w:r>
              <w:rPr>
                <w:rFonts w:hint="eastAsia" w:eastAsia="仿宋_GB2312" w:cs="仿宋_GB2312"/>
                <w:bCs/>
                <w:sz w:val="24"/>
                <w:szCs w:val="24"/>
                <w:lang w:bidi="ar"/>
              </w:rPr>
              <w:t>网）和广域网（中央</w:t>
            </w:r>
            <w:r>
              <w:rPr>
                <w:rFonts w:eastAsia="仿宋_GB2312"/>
                <w:bCs/>
                <w:sz w:val="24"/>
                <w:szCs w:val="24"/>
                <w:lang w:bidi="ar"/>
              </w:rPr>
              <w:t>-</w:t>
            </w:r>
            <w:r>
              <w:rPr>
                <w:rFonts w:hint="eastAsia" w:eastAsia="仿宋_GB2312" w:cs="仿宋_GB2312"/>
                <w:bCs/>
                <w:sz w:val="24"/>
                <w:szCs w:val="24"/>
                <w:lang w:bidi="ar"/>
              </w:rPr>
              <w:t>省级、省</w:t>
            </w:r>
            <w:r>
              <w:rPr>
                <w:rFonts w:eastAsia="仿宋_GB2312"/>
                <w:bCs/>
                <w:sz w:val="24"/>
                <w:szCs w:val="24"/>
                <w:lang w:bidi="ar"/>
              </w:rPr>
              <w:t>-</w:t>
            </w:r>
            <w:r>
              <w:rPr>
                <w:rFonts w:hint="eastAsia" w:eastAsia="仿宋_GB2312" w:cs="仿宋_GB2312"/>
                <w:bCs/>
                <w:sz w:val="24"/>
                <w:szCs w:val="24"/>
                <w:lang w:bidi="ar"/>
              </w:rPr>
              <w:t>市）安全态势、边界（互联网出口、公共接入区）安全态势现状及优化方案进行详细描述说明，根据描述详实情况、方案可行性合理性进行打分。（</w:t>
            </w:r>
            <w:r>
              <w:rPr>
                <w:rFonts w:eastAsia="仿宋_GB2312"/>
                <w:bCs/>
                <w:sz w:val="24"/>
                <w:szCs w:val="24"/>
                <w:lang w:bidi="ar"/>
              </w:rPr>
              <w:t>5</w:t>
            </w:r>
            <w:r>
              <w:rPr>
                <w:rFonts w:hint="eastAsia" w:eastAsia="仿宋_GB2312" w:cs="仿宋_GB2312"/>
                <w:bCs/>
                <w:sz w:val="24"/>
                <w:szCs w:val="24"/>
                <w:lang w:bidi="ar"/>
              </w:rPr>
              <w:t>分）</w:t>
            </w:r>
          </w:p>
          <w:p>
            <w:pPr>
              <w:spacing w:line="340" w:lineRule="exact"/>
              <w:rPr>
                <w:rFonts w:eastAsia="仿宋_GB2312"/>
                <w:bCs/>
                <w:sz w:val="24"/>
                <w:szCs w:val="24"/>
              </w:rPr>
            </w:pPr>
            <w:r>
              <w:rPr>
                <w:rFonts w:eastAsia="仿宋_GB2312"/>
                <w:bCs/>
                <w:sz w:val="24"/>
                <w:szCs w:val="24"/>
              </w:rPr>
              <w:t>6</w:t>
            </w:r>
            <w:r>
              <w:rPr>
                <w:rFonts w:hint="eastAsia" w:eastAsia="仿宋_GB2312" w:cs="仿宋_GB2312"/>
                <w:bCs/>
                <w:sz w:val="24"/>
                <w:szCs w:val="24"/>
              </w:rPr>
              <w:t>、要求对全网（主备平面）等级保护测评、密码应用、日常运维存在的安全问题及优化方案进行详细描述说明，方案包括网络安全风险评估、安全加固、安全防护措施部署、应急预案、隐患发现整改等、监测值守、安全审计、安全优化等主要内容根据描述详实情况、方案可行性合理性进行打分。（</w:t>
            </w:r>
            <w:r>
              <w:rPr>
                <w:rFonts w:eastAsia="仿宋_GB2312"/>
                <w:bCs/>
                <w:sz w:val="24"/>
                <w:szCs w:val="24"/>
              </w:rPr>
              <w:t>5</w:t>
            </w:r>
            <w:r>
              <w:rPr>
                <w:rFonts w:hint="eastAsia" w:eastAsia="仿宋_GB2312" w:cs="仿宋_GB2312"/>
                <w:bCs/>
                <w:sz w:val="24"/>
                <w:szCs w:val="24"/>
              </w:rPr>
              <w:t>分）</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30</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3</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技术</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 w:val="24"/>
                <w:szCs w:val="24"/>
              </w:rPr>
            </w:pPr>
            <w:r>
              <w:rPr>
                <w:rFonts w:hint="eastAsia" w:eastAsia="仿宋_GB2312" w:cs="仿宋_GB2312"/>
                <w:bCs/>
                <w:sz w:val="24"/>
                <w:szCs w:val="24"/>
                <w:lang w:bidi="ar"/>
              </w:rPr>
              <w:t>运维实施方案：</w:t>
            </w:r>
          </w:p>
          <w:p>
            <w:pPr>
              <w:rPr>
                <w:rFonts w:eastAsia="仿宋_GB2312"/>
                <w:bCs/>
                <w:sz w:val="24"/>
                <w:szCs w:val="24"/>
              </w:rPr>
            </w:pPr>
            <w:r>
              <w:rPr>
                <w:rFonts w:eastAsia="仿宋_GB2312"/>
                <w:bCs/>
                <w:sz w:val="24"/>
                <w:szCs w:val="24"/>
                <w:lang w:bidi="ar"/>
              </w:rPr>
              <w:t>1</w:t>
            </w:r>
            <w:r>
              <w:rPr>
                <w:rFonts w:hint="eastAsia" w:eastAsia="仿宋_GB2312" w:cs="仿宋_GB2312"/>
                <w:bCs/>
                <w:sz w:val="24"/>
                <w:szCs w:val="24"/>
                <w:lang w:bidi="ar"/>
              </w:rPr>
              <w:t>、日常运维、故障处理服务方案（</w:t>
            </w:r>
            <w:r>
              <w:rPr>
                <w:rFonts w:eastAsia="仿宋_GB2312"/>
                <w:bCs/>
                <w:sz w:val="24"/>
                <w:szCs w:val="24"/>
                <w:lang w:bidi="ar"/>
              </w:rPr>
              <w:t>2</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2</w:t>
            </w:r>
            <w:r>
              <w:rPr>
                <w:rFonts w:hint="eastAsia" w:eastAsia="仿宋_GB2312" w:cs="仿宋_GB2312"/>
                <w:bCs/>
                <w:sz w:val="24"/>
                <w:szCs w:val="24"/>
                <w:lang w:bidi="ar"/>
              </w:rPr>
              <w:t>、设备、链路、机房等巡检方案计划（</w:t>
            </w:r>
            <w:r>
              <w:rPr>
                <w:rFonts w:eastAsia="仿宋_GB2312"/>
                <w:bCs/>
                <w:sz w:val="24"/>
                <w:szCs w:val="24"/>
                <w:lang w:bidi="ar"/>
              </w:rPr>
              <w:t>3</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3</w:t>
            </w:r>
            <w:r>
              <w:rPr>
                <w:rFonts w:hint="eastAsia" w:eastAsia="仿宋_GB2312" w:cs="仿宋_GB2312"/>
                <w:bCs/>
                <w:sz w:val="24"/>
                <w:szCs w:val="24"/>
                <w:lang w:bidi="ar"/>
              </w:rPr>
              <w:t>、应急处置方案、保障人员配备（</w:t>
            </w:r>
            <w:r>
              <w:rPr>
                <w:rFonts w:eastAsia="仿宋_GB2312"/>
                <w:bCs/>
                <w:sz w:val="24"/>
                <w:szCs w:val="24"/>
                <w:lang w:bidi="ar"/>
              </w:rPr>
              <w:t>2</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4</w:t>
            </w:r>
            <w:r>
              <w:rPr>
                <w:rFonts w:hint="eastAsia" w:eastAsia="仿宋_GB2312" w:cs="仿宋_GB2312"/>
                <w:bCs/>
                <w:sz w:val="24"/>
                <w:szCs w:val="24"/>
                <w:lang w:bidi="ar"/>
              </w:rPr>
              <w:t>、亚运等重大活动、节假日保障、市政割接方案及人员配备（</w:t>
            </w:r>
            <w:r>
              <w:rPr>
                <w:rFonts w:eastAsia="仿宋_GB2312"/>
                <w:bCs/>
                <w:sz w:val="24"/>
                <w:szCs w:val="24"/>
                <w:lang w:bidi="ar"/>
              </w:rPr>
              <w:t>4</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5</w:t>
            </w:r>
            <w:r>
              <w:rPr>
                <w:rFonts w:hint="eastAsia" w:eastAsia="仿宋_GB2312" w:cs="仿宋_GB2312"/>
                <w:bCs/>
                <w:sz w:val="24"/>
                <w:szCs w:val="24"/>
                <w:lang w:bidi="ar"/>
              </w:rPr>
              <w:t>、属地化服务能力：本项目涉及省内</w:t>
            </w:r>
            <w:r>
              <w:rPr>
                <w:rFonts w:eastAsia="仿宋_GB2312"/>
                <w:bCs/>
                <w:sz w:val="24"/>
                <w:szCs w:val="24"/>
                <w:lang w:bidi="ar"/>
              </w:rPr>
              <w:t>11</w:t>
            </w:r>
            <w:r>
              <w:rPr>
                <w:rFonts w:hint="eastAsia" w:eastAsia="仿宋_GB2312" w:cs="仿宋_GB2312"/>
                <w:bCs/>
                <w:sz w:val="24"/>
                <w:szCs w:val="24"/>
                <w:lang w:bidi="ar"/>
              </w:rPr>
              <w:t>个地市，投标人需在</w:t>
            </w:r>
            <w:r>
              <w:rPr>
                <w:rFonts w:eastAsia="仿宋_GB2312"/>
                <w:bCs/>
                <w:sz w:val="24"/>
                <w:szCs w:val="24"/>
                <w:lang w:bidi="ar"/>
              </w:rPr>
              <w:t>11</w:t>
            </w:r>
            <w:r>
              <w:rPr>
                <w:rFonts w:hint="eastAsia" w:eastAsia="仿宋_GB2312" w:cs="仿宋_GB2312"/>
                <w:bCs/>
                <w:sz w:val="24"/>
                <w:szCs w:val="24"/>
                <w:lang w:bidi="ar"/>
              </w:rPr>
              <w:t>个地市均设有可以为本项目服务的分支售后服务机构，提供证明材料或承诺书。（</w:t>
            </w:r>
            <w:r>
              <w:rPr>
                <w:rFonts w:eastAsia="仿宋_GB2312"/>
                <w:bCs/>
                <w:sz w:val="24"/>
                <w:szCs w:val="24"/>
                <w:lang w:bidi="ar"/>
              </w:rPr>
              <w:t>3</w:t>
            </w:r>
            <w:r>
              <w:rPr>
                <w:rFonts w:hint="eastAsia" w:eastAsia="仿宋_GB2312" w:cs="仿宋_GB2312"/>
                <w:bCs/>
                <w:sz w:val="24"/>
                <w:szCs w:val="24"/>
                <w:lang w:bidi="ar"/>
              </w:rPr>
              <w:t>分）</w:t>
            </w:r>
          </w:p>
          <w:p>
            <w:pPr>
              <w:spacing w:line="340" w:lineRule="exact"/>
              <w:rPr>
                <w:rFonts w:hint="eastAsia" w:ascii="仿宋_GB2312" w:hAnsi="宋体" w:eastAsia="仿宋_GB2312" w:cs="仿宋_GB2312"/>
                <w:bCs/>
                <w:color w:val="000000"/>
                <w:sz w:val="24"/>
                <w:szCs w:val="24"/>
              </w:rPr>
            </w:pPr>
            <w:r>
              <w:rPr>
                <w:rFonts w:eastAsia="仿宋_GB2312"/>
                <w:bCs/>
                <w:sz w:val="24"/>
                <w:szCs w:val="24"/>
              </w:rPr>
              <w:t>6</w:t>
            </w:r>
            <w:r>
              <w:rPr>
                <w:rFonts w:hint="eastAsia" w:eastAsia="仿宋_GB2312" w:cs="仿宋_GB2312"/>
                <w:bCs/>
                <w:sz w:val="24"/>
                <w:szCs w:val="24"/>
              </w:rPr>
              <w:t>、在规定时间内不能解决故障，采购人有权寻求第三方协助，由此产生费用由供应商承担的承诺。（</w:t>
            </w:r>
            <w:r>
              <w:rPr>
                <w:rFonts w:eastAsia="仿宋_GB2312"/>
                <w:bCs/>
                <w:sz w:val="24"/>
                <w:szCs w:val="24"/>
              </w:rPr>
              <w:t>3</w:t>
            </w:r>
            <w:r>
              <w:rPr>
                <w:rFonts w:hint="eastAsia" w:eastAsia="仿宋_GB2312" w:cs="仿宋_GB2312"/>
                <w:bCs/>
                <w:sz w:val="24"/>
                <w:szCs w:val="24"/>
              </w:rPr>
              <w:t>分）</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17</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4</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技术</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eastAsia="仿宋_GB2312" w:cs="仿宋_GB2312"/>
                <w:bCs/>
                <w:sz w:val="24"/>
                <w:szCs w:val="24"/>
              </w:rPr>
              <w:t>项目质量管理和流程规范程度（管理制度、流程图、记录、表单）</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5</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5</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商务资信</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备品备件情况</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5</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6</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商务资信</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bCs/>
                <w:sz w:val="24"/>
                <w:szCs w:val="24"/>
              </w:rPr>
            </w:pPr>
            <w:r>
              <w:rPr>
                <w:rFonts w:hint="eastAsia" w:eastAsia="仿宋_GB2312" w:cs="仿宋_GB2312"/>
                <w:bCs/>
                <w:sz w:val="24"/>
                <w:szCs w:val="24"/>
                <w:lang w:bidi="ar"/>
              </w:rPr>
              <w:t>项目运维人员组成及实施要求。包括人员数量、职业资格、项目相关专业技能证书、相应人员实施经验、社保证明、从业时间及所在投标单位任职时间等（详见需求）：</w:t>
            </w:r>
          </w:p>
          <w:p>
            <w:pPr>
              <w:rPr>
                <w:rFonts w:eastAsia="仿宋_GB2312"/>
                <w:bCs/>
                <w:sz w:val="24"/>
                <w:szCs w:val="24"/>
              </w:rPr>
            </w:pPr>
            <w:r>
              <w:rPr>
                <w:rFonts w:eastAsia="仿宋_GB2312"/>
                <w:bCs/>
                <w:sz w:val="24"/>
                <w:szCs w:val="24"/>
                <w:lang w:bidi="ar"/>
              </w:rPr>
              <w:t>1</w:t>
            </w:r>
            <w:r>
              <w:rPr>
                <w:rFonts w:hint="eastAsia" w:eastAsia="仿宋_GB2312" w:cs="仿宋_GB2312"/>
                <w:bCs/>
                <w:sz w:val="24"/>
                <w:szCs w:val="24"/>
                <w:lang w:bidi="ar"/>
              </w:rPr>
              <w:t>、项目负责人（具体对应各标项服务团队要求）（</w:t>
            </w:r>
            <w:r>
              <w:rPr>
                <w:rFonts w:eastAsia="仿宋_GB2312"/>
                <w:bCs/>
                <w:sz w:val="24"/>
                <w:szCs w:val="24"/>
                <w:lang w:bidi="ar"/>
              </w:rPr>
              <w:t>5</w:t>
            </w:r>
            <w:r>
              <w:rPr>
                <w:rFonts w:hint="eastAsia" w:eastAsia="仿宋_GB2312" w:cs="仿宋_GB2312"/>
                <w:bCs/>
                <w:sz w:val="24"/>
                <w:szCs w:val="24"/>
                <w:lang w:bidi="ar"/>
              </w:rPr>
              <w:t>分）</w:t>
            </w:r>
          </w:p>
          <w:p>
            <w:pPr>
              <w:rPr>
                <w:rFonts w:eastAsia="仿宋_GB2312"/>
                <w:bCs/>
                <w:sz w:val="24"/>
                <w:szCs w:val="24"/>
              </w:rPr>
            </w:pPr>
            <w:r>
              <w:rPr>
                <w:rFonts w:eastAsia="仿宋_GB2312"/>
                <w:bCs/>
                <w:sz w:val="24"/>
                <w:szCs w:val="24"/>
                <w:lang w:bidi="ar"/>
              </w:rPr>
              <w:t>2</w:t>
            </w:r>
            <w:r>
              <w:rPr>
                <w:rFonts w:hint="eastAsia" w:eastAsia="仿宋_GB2312" w:cs="仿宋_GB2312"/>
                <w:bCs/>
                <w:sz w:val="24"/>
                <w:szCs w:val="24"/>
                <w:lang w:bidi="ar"/>
              </w:rPr>
              <w:t>、项目实施服务团队和驻场工程师（具体对应各标项服务团队要求）（</w:t>
            </w:r>
            <w:r>
              <w:rPr>
                <w:rFonts w:eastAsia="仿宋_GB2312"/>
                <w:bCs/>
                <w:sz w:val="24"/>
                <w:szCs w:val="24"/>
                <w:lang w:bidi="ar"/>
              </w:rPr>
              <w:t>5</w:t>
            </w:r>
            <w:r>
              <w:rPr>
                <w:rFonts w:hint="eastAsia" w:eastAsia="仿宋_GB2312" w:cs="仿宋_GB2312"/>
                <w:bCs/>
                <w:sz w:val="24"/>
                <w:szCs w:val="24"/>
                <w:lang w:bidi="ar"/>
              </w:rPr>
              <w:t>分）</w:t>
            </w:r>
          </w:p>
          <w:p>
            <w:pPr>
              <w:spacing w:line="340" w:lineRule="exact"/>
              <w:rPr>
                <w:rFonts w:hint="eastAsia" w:ascii="仿宋_GB2312" w:hAnsi="宋体" w:eastAsia="仿宋_GB2312" w:cs="仿宋_GB2312"/>
                <w:bCs/>
                <w:color w:val="000000"/>
                <w:sz w:val="24"/>
                <w:szCs w:val="24"/>
              </w:rPr>
            </w:pPr>
            <w:r>
              <w:rPr>
                <w:rFonts w:eastAsia="仿宋_GB2312"/>
                <w:bCs/>
                <w:sz w:val="24"/>
                <w:szCs w:val="24"/>
              </w:rPr>
              <w:t>3</w:t>
            </w:r>
            <w:r>
              <w:rPr>
                <w:rFonts w:hint="eastAsia" w:eastAsia="仿宋_GB2312" w:cs="仿宋_GB2312"/>
                <w:bCs/>
                <w:sz w:val="24"/>
                <w:szCs w:val="24"/>
              </w:rPr>
              <w:t>、后备支持团队（具体对应各标项服务团队要求）（</w:t>
            </w:r>
            <w:r>
              <w:rPr>
                <w:rFonts w:eastAsia="仿宋_GB2312"/>
                <w:bCs/>
                <w:sz w:val="24"/>
                <w:szCs w:val="24"/>
              </w:rPr>
              <w:t>5</w:t>
            </w:r>
            <w:r>
              <w:rPr>
                <w:rFonts w:hint="eastAsia" w:eastAsia="仿宋_GB2312" w:cs="仿宋_GB2312"/>
                <w:bCs/>
                <w:sz w:val="24"/>
                <w:szCs w:val="24"/>
              </w:rPr>
              <w:t>分）</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15</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7</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商务资信</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项目维护计划（驻点人员安排，定期巡检等情况）的有效性等</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5</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8</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商务资信</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售后服务的响应情况（对用户故障响应、处理等）</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5</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9</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商务资信</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公司技术力量情况(具体对应商务要求表)</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2</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10</w:t>
            </w: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商务资信</w:t>
            </w:r>
          </w:p>
        </w:tc>
        <w:tc>
          <w:tcPr>
            <w:tcW w:w="3328"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经验及业绩(具体对应商务要求表)</w:t>
            </w:r>
          </w:p>
        </w:tc>
        <w:tc>
          <w:tcPr>
            <w:tcW w:w="416"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1</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cs="仿宋_GB2312"/>
                <w:bCs/>
                <w:color w:val="000000"/>
                <w:sz w:val="24"/>
                <w:szCs w:val="24"/>
              </w:rPr>
            </w:pPr>
            <w:r>
              <w:rPr>
                <w:rFonts w:hint="eastAsia" w:ascii="仿宋_GB2312" w:hAnsi="宋体" w:eastAsia="仿宋_GB2312" w:cs="仿宋_GB2312"/>
                <w:bCs/>
                <w:color w:val="000000"/>
                <w:sz w:val="24"/>
                <w:szCs w:val="24"/>
              </w:rPr>
              <w:t>客观分</w:t>
            </w:r>
          </w:p>
        </w:tc>
      </w:tr>
      <w:bookmarkEnd w:id="31"/>
    </w:tbl>
    <w:p>
      <w:pPr>
        <w:spacing w:after="240" w:afterLines="100" w:line="340" w:lineRule="exact"/>
        <w:jc w:val="center"/>
        <w:outlineLvl w:val="0"/>
        <w:rPr>
          <w:rFonts w:hint="eastAsia" w:hAnsi="宋体" w:cs="宋体"/>
          <w:b/>
          <w:color w:val="000000"/>
          <w:sz w:val="36"/>
          <w:szCs w:val="36"/>
          <w:lang w:bidi="ar"/>
        </w:rPr>
        <w:sectPr>
          <w:pgSz w:w="11906" w:h="16838"/>
          <w:pgMar w:top="1474" w:right="1797" w:bottom="1247" w:left="1797" w:header="851" w:footer="851" w:gutter="0"/>
          <w:cols w:space="720" w:num="1"/>
        </w:sectPr>
      </w:pPr>
    </w:p>
    <w:p>
      <w:pPr>
        <w:spacing w:after="240" w:afterLines="100" w:line="340" w:lineRule="exact"/>
        <w:jc w:val="center"/>
        <w:outlineLvl w:val="0"/>
        <w:rPr>
          <w:rFonts w:hAnsi="宋体"/>
          <w:b/>
          <w:color w:val="000000"/>
          <w:sz w:val="36"/>
          <w:szCs w:val="36"/>
        </w:rPr>
      </w:pPr>
      <w:r>
        <w:rPr>
          <w:rFonts w:hint="eastAsia" w:hAnsi="宋体" w:cs="宋体"/>
          <w:b/>
          <w:color w:val="000000"/>
          <w:sz w:val="36"/>
          <w:szCs w:val="36"/>
          <w:lang w:bidi="ar"/>
        </w:rPr>
        <w:t>第四章</w:t>
      </w:r>
      <w:r>
        <w:rPr>
          <w:rFonts w:hAnsi="宋体" w:cs="Times New Roman"/>
          <w:b/>
          <w:color w:val="000000"/>
          <w:sz w:val="36"/>
          <w:szCs w:val="36"/>
          <w:lang w:bidi="ar"/>
        </w:rPr>
        <w:t xml:space="preserve">  </w:t>
      </w:r>
      <w:r>
        <w:rPr>
          <w:rFonts w:hint="eastAsia" w:hAnsi="宋体" w:cs="宋体"/>
          <w:b/>
          <w:color w:val="000000"/>
          <w:sz w:val="36"/>
          <w:szCs w:val="36"/>
          <w:lang w:bidi="ar"/>
        </w:rPr>
        <w:t>招标需求</w:t>
      </w:r>
    </w:p>
    <w:p>
      <w:pPr>
        <w:snapToGrid w:val="0"/>
        <w:spacing w:before="120" w:beforeLines="50" w:after="120" w:afterLines="50"/>
        <w:rPr>
          <w:rFonts w:hint="eastAsia" w:ascii="仿宋" w:hAnsi="仿宋" w:eastAsia="仿宋" w:cs="仿宋"/>
          <w:b/>
          <w:color w:val="000000"/>
          <w:spacing w:val="40"/>
          <w:kern w:val="0"/>
          <w:sz w:val="28"/>
          <w:szCs w:val="28"/>
        </w:rPr>
      </w:pPr>
      <w:r>
        <w:rPr>
          <w:rFonts w:hint="eastAsia" w:ascii="仿宋" w:hAnsi="仿宋" w:eastAsia="仿宋" w:cs="仿宋"/>
          <w:b/>
          <w:color w:val="000000"/>
          <w:spacing w:val="40"/>
          <w:kern w:val="0"/>
          <w:sz w:val="28"/>
          <w:szCs w:val="28"/>
          <w:lang w:bidi="ar"/>
        </w:rPr>
        <w:t>特别说明：</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1.除采购文件明确的品牌外，欢迎其他能满足本项目技术需求且性能与所明确品牌相当的产品参加。</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2.需求中不允许偏离的实质性要求和条件，以“▲”号标明，如投标人未响应的，将被视为无效。</w:t>
      </w:r>
    </w:p>
    <w:p>
      <w:pPr>
        <w:spacing w:line="360" w:lineRule="auto"/>
        <w:ind w:firstLine="562" w:firstLineChars="200"/>
        <w:rPr>
          <w:rFonts w:hint="eastAsia" w:ascii="仿宋" w:hAnsi="仿宋" w:eastAsia="仿宋_GB2312" w:cs="仿宋"/>
          <w:b/>
          <w:color w:val="000000"/>
          <w:sz w:val="30"/>
          <w:szCs w:val="30"/>
        </w:rPr>
      </w:pPr>
      <w:r>
        <w:rPr>
          <w:rFonts w:hint="eastAsia" w:ascii="仿宋" w:hAnsi="仿宋" w:eastAsia="仿宋" w:cs="仿宋"/>
          <w:b/>
          <w:color w:val="000000"/>
          <w:sz w:val="28"/>
          <w:szCs w:val="28"/>
          <w:lang w:bidi="ar"/>
        </w:rPr>
        <w:t>3.核心产品在各标项内容中明确，如出现同品牌情况的，评标委员会根据评审原则第4条规定执行</w:t>
      </w:r>
      <w:r>
        <w:rPr>
          <w:rFonts w:hint="eastAsia" w:ascii="仿宋" w:hAnsi="仿宋" w:eastAsia="仿宋_GB2312" w:cs="仿宋_GB2312"/>
          <w:b/>
          <w:color w:val="000000"/>
          <w:sz w:val="30"/>
          <w:szCs w:val="30"/>
          <w:lang w:bidi="ar"/>
        </w:rPr>
        <w:t>。</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lang w:bidi="ar"/>
        </w:rPr>
        <w:t>6.供应商承诺提供赠品、回扣、采购预算中本身不包含的其他商品或服务，视作无效承诺。</w:t>
      </w:r>
    </w:p>
    <w:bookmarkEnd w:id="2"/>
    <w:bookmarkEnd w:id="3"/>
    <w:p>
      <w:pPr>
        <w:pStyle w:val="3"/>
        <w:rPr>
          <w:rFonts w:ascii="Times New Roman" w:hAnsi="Times New Roman" w:eastAsia="仿宋_GB2312" w:cs="Times New Roman"/>
          <w:b w:val="0"/>
          <w:bCs w:val="0"/>
        </w:rPr>
        <w:sectPr>
          <w:pgSz w:w="11906" w:h="16838"/>
          <w:pgMar w:top="1474" w:right="1797" w:bottom="1247" w:left="1797" w:header="851" w:footer="851" w:gutter="0"/>
          <w:cols w:space="720" w:num="1"/>
        </w:sectPr>
      </w:pPr>
      <w:bookmarkStart w:id="32" w:name="PO_TDCUS_ITEM_PB_REQ_TITLE_0_0"/>
      <w:bookmarkStart w:id="33" w:name="_Toc496796639"/>
    </w:p>
    <w:p>
      <w:pPr>
        <w:pStyle w:val="3"/>
        <w:rPr>
          <w:rFonts w:ascii="Times New Roman" w:hAnsi="Times New Roman" w:eastAsia="仿宋_GB2312" w:cs="Times New Roman"/>
          <w:b/>
          <w:bCs/>
        </w:rPr>
      </w:pPr>
      <w:r>
        <w:rPr>
          <w:rFonts w:ascii="Times New Roman" w:hAnsi="Times New Roman" w:eastAsia="仿宋_GB2312" w:cs="Times New Roman"/>
          <w:b/>
          <w:bCs/>
        </w:rPr>
        <w:t>标项1:</w:t>
      </w:r>
      <w:bookmarkEnd w:id="32"/>
      <w:bookmarkStart w:id="34" w:name="PO_TDCUS_ITEM_PB_REQ_PR_1_1_0"/>
      <w:r>
        <w:rPr>
          <w:rFonts w:ascii="Times New Roman" w:hAnsi="Times New Roman" w:eastAsia="仿宋_GB2312" w:cs="Times New Roman"/>
          <w:b/>
          <w:bCs/>
        </w:rPr>
        <w:t>省电子政务网络运行维护项目</w:t>
      </w:r>
      <w:bookmarkEnd w:id="34"/>
      <w:bookmarkStart w:id="35" w:name="PO_TDCUS_ITEM_PB_REQ_FILE_1_1_0"/>
      <w:r>
        <w:rPr>
          <w:rFonts w:ascii="Times New Roman" w:hAnsi="Times New Roman" w:eastAsia="仿宋_GB2312" w:cs="Times New Roman"/>
          <w:b/>
          <w:bCs/>
        </w:rPr>
        <w:t>需求</w:t>
      </w: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一、采购内容</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r>
        <w:rPr>
          <w:rFonts w:ascii="Times New Roman" w:hAnsi="Times New Roman" w:eastAsia="楷体" w:cs="Times New Roman"/>
          <w:b w:val="0"/>
          <w:bCs w:val="0"/>
        </w:rPr>
        <w:t>（一）整体需求</w:t>
      </w: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1.线路及IDC资源租用服务</w:t>
      </w:r>
    </w:p>
    <w:p>
      <w:pPr>
        <w:ind w:firstLine="640" w:firstLineChars="200"/>
        <w:outlineLvl w:val="3"/>
        <w:rPr>
          <w:rFonts w:eastAsia="仿宋" w:cs="Times New Roman"/>
          <w:sz w:val="32"/>
          <w:szCs w:val="32"/>
        </w:rPr>
      </w:pPr>
      <w:r>
        <w:rPr>
          <w:rFonts w:eastAsia="仿宋" w:cs="Times New Roman"/>
          <w:sz w:val="32"/>
          <w:szCs w:val="32"/>
        </w:rPr>
        <w:t>（1）互联网出口专线租用服务</w:t>
      </w:r>
    </w:p>
    <w:p>
      <w:pPr>
        <w:ind w:firstLine="640" w:firstLineChars="200"/>
        <w:outlineLvl w:val="3"/>
        <w:rPr>
          <w:rFonts w:eastAsia="仿宋" w:cs="Times New Roman"/>
          <w:sz w:val="32"/>
          <w:szCs w:val="32"/>
        </w:rPr>
      </w:pPr>
      <w:r>
        <w:rPr>
          <w:rFonts w:eastAsia="仿宋" w:cs="Times New Roman"/>
          <w:sz w:val="32"/>
          <w:szCs w:val="32"/>
        </w:rPr>
        <w:t>（2）传输线路资源租用服务</w:t>
      </w:r>
    </w:p>
    <w:p>
      <w:pPr>
        <w:ind w:firstLine="640" w:firstLineChars="200"/>
        <w:outlineLvl w:val="3"/>
        <w:rPr>
          <w:rFonts w:eastAsia="仿宋" w:cs="Times New Roman"/>
          <w:sz w:val="32"/>
          <w:szCs w:val="32"/>
        </w:rPr>
      </w:pPr>
      <w:r>
        <w:rPr>
          <w:rFonts w:eastAsia="仿宋" w:cs="Times New Roman"/>
          <w:sz w:val="32"/>
          <w:szCs w:val="32"/>
        </w:rPr>
        <w:t>（3）IDC资源租用服务</w:t>
      </w:r>
    </w:p>
    <w:p>
      <w:pPr>
        <w:ind w:firstLine="640" w:firstLineChars="200"/>
        <w:outlineLvl w:val="3"/>
        <w:rPr>
          <w:rFonts w:eastAsia="仿宋" w:cs="Times New Roman"/>
          <w:sz w:val="32"/>
          <w:szCs w:val="32"/>
        </w:rPr>
      </w:pPr>
      <w:r>
        <w:rPr>
          <w:rFonts w:eastAsia="仿宋" w:cs="Times New Roman"/>
          <w:sz w:val="32"/>
          <w:szCs w:val="32"/>
        </w:rPr>
        <w:t>（4）统一运维管理系统租用服务</w:t>
      </w: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2.设备租用服务</w:t>
      </w:r>
    </w:p>
    <w:p>
      <w:pPr>
        <w:ind w:firstLine="640" w:firstLineChars="200"/>
        <w:outlineLvl w:val="3"/>
        <w:rPr>
          <w:rFonts w:eastAsia="仿宋_GB2312" w:cs="Times New Roman"/>
          <w:sz w:val="32"/>
          <w:szCs w:val="32"/>
        </w:rPr>
      </w:pPr>
      <w:r>
        <w:rPr>
          <w:rFonts w:eastAsia="仿宋_GB2312" w:cs="Times New Roman"/>
          <w:sz w:val="32"/>
          <w:szCs w:val="32"/>
        </w:rPr>
        <w:t>（1）网络、安全设备租用服务（包含省级核心P设备2台，地市P设备11台，省级单位接入PE设备100台，互联网出口接入交换机2台，TAP交换机2台，互联网出口安全网关2台，国家电子政务网出口防火墙2台，公共接入区安全网关2台，安全管理系统1套，移动办公VPN服务1套，抗DDOS防护服务1套，等保及密评服务1套）</w:t>
      </w:r>
    </w:p>
    <w:p>
      <w:pPr>
        <w:ind w:firstLine="640" w:firstLineChars="200"/>
        <w:outlineLvl w:val="3"/>
        <w:rPr>
          <w:rFonts w:eastAsia="仿宋_GB2312" w:cs="Times New Roman"/>
          <w:sz w:val="32"/>
          <w:szCs w:val="32"/>
        </w:rPr>
      </w:pPr>
      <w:r>
        <w:rPr>
          <w:rFonts w:eastAsia="仿宋_GB2312" w:cs="Times New Roman"/>
          <w:sz w:val="32"/>
          <w:szCs w:val="32"/>
        </w:rPr>
        <w:t>（2）大屏显示系统租用服务（LED显示屏1套，视频拼接器1套，配电系统1套等）</w:t>
      </w:r>
    </w:p>
    <w:p>
      <w:pPr>
        <w:ind w:firstLine="640" w:firstLineChars="200"/>
        <w:outlineLvl w:val="3"/>
        <w:rPr>
          <w:rFonts w:eastAsia="仿宋_GB2312" w:cs="Times New Roman"/>
          <w:sz w:val="32"/>
          <w:szCs w:val="32"/>
        </w:rPr>
      </w:pPr>
      <w:r>
        <w:rPr>
          <w:rFonts w:eastAsia="仿宋_GB2312" w:cs="Times New Roman"/>
          <w:sz w:val="32"/>
          <w:szCs w:val="32"/>
        </w:rPr>
        <w:t>（3）切换系统租用服务（高清混合矩阵1套等）</w:t>
      </w:r>
    </w:p>
    <w:p>
      <w:pPr>
        <w:ind w:firstLine="640" w:firstLineChars="200"/>
        <w:outlineLvl w:val="3"/>
        <w:rPr>
          <w:rFonts w:eastAsia="仿宋_GB2312" w:cs="Times New Roman"/>
          <w:sz w:val="32"/>
          <w:szCs w:val="32"/>
        </w:rPr>
      </w:pPr>
      <w:r>
        <w:rPr>
          <w:rFonts w:eastAsia="仿宋_GB2312" w:cs="Times New Roman"/>
          <w:sz w:val="32"/>
          <w:szCs w:val="32"/>
        </w:rPr>
        <w:t>（4）扩声系统租用服务（调音台1台，数字音频处理器1台，辅助音响2只，功放1台，音频矩阵1台等）</w:t>
      </w:r>
    </w:p>
    <w:p>
      <w:pPr>
        <w:ind w:firstLine="640" w:firstLineChars="200"/>
        <w:outlineLvl w:val="3"/>
        <w:rPr>
          <w:rFonts w:eastAsia="仿宋_GB2312" w:cs="Times New Roman"/>
          <w:sz w:val="32"/>
          <w:szCs w:val="32"/>
        </w:rPr>
      </w:pPr>
      <w:r>
        <w:rPr>
          <w:rFonts w:eastAsia="仿宋_GB2312" w:cs="Times New Roman"/>
          <w:sz w:val="32"/>
          <w:szCs w:val="32"/>
        </w:rPr>
        <w:t>（5）集中控制系统租用服务（可编程中控系统1台等）</w:t>
      </w:r>
    </w:p>
    <w:p>
      <w:pPr>
        <w:ind w:firstLine="640" w:firstLineChars="200"/>
        <w:outlineLvl w:val="3"/>
        <w:rPr>
          <w:rFonts w:eastAsia="仿宋_GB2312" w:cs="Times New Roman"/>
          <w:sz w:val="32"/>
          <w:szCs w:val="32"/>
        </w:rPr>
      </w:pPr>
      <w:r>
        <w:rPr>
          <w:rFonts w:eastAsia="仿宋_GB2312" w:cs="Times New Roman"/>
          <w:sz w:val="32"/>
          <w:szCs w:val="32"/>
        </w:rPr>
        <w:t>（6）控制机房系统租用服务（控制台1套，监控大屏1台，监视器2台等）</w:t>
      </w:r>
    </w:p>
    <w:p>
      <w:pPr>
        <w:ind w:firstLine="640" w:firstLineChars="200"/>
        <w:outlineLvl w:val="3"/>
        <w:rPr>
          <w:rFonts w:eastAsia="仿宋_GB2312" w:cs="Times New Roman"/>
          <w:sz w:val="32"/>
          <w:szCs w:val="32"/>
        </w:rPr>
      </w:pPr>
      <w:r>
        <w:rPr>
          <w:rFonts w:eastAsia="仿宋_GB2312" w:cs="Times New Roman"/>
          <w:sz w:val="32"/>
          <w:szCs w:val="32"/>
        </w:rPr>
        <w:t>（7）会议发言系统租用服务（数字化发言系统主机2台、扩展主机1台，台面式数字化发言系统代表单元47只，数字红外无线会议主机1台、会议代表单元4台等）</w:t>
      </w: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3.网络运维服务</w:t>
      </w:r>
    </w:p>
    <w:p>
      <w:pPr>
        <w:ind w:firstLine="640" w:firstLineChars="200"/>
        <w:outlineLvl w:val="3"/>
        <w:rPr>
          <w:rFonts w:eastAsia="仿宋_GB2312" w:cs="Times New Roman"/>
          <w:sz w:val="32"/>
          <w:szCs w:val="32"/>
        </w:rPr>
      </w:pPr>
      <w:r>
        <w:rPr>
          <w:rFonts w:eastAsia="仿宋_GB2312" w:cs="Times New Roman"/>
          <w:sz w:val="32"/>
          <w:szCs w:val="32"/>
        </w:rPr>
        <w:t>（1）现场驻场服务（提供2名驻场人员，负责现场网络日常运维工作）。</w:t>
      </w:r>
    </w:p>
    <w:p>
      <w:pPr>
        <w:ind w:firstLine="640" w:firstLineChars="200"/>
        <w:outlineLvl w:val="3"/>
        <w:rPr>
          <w:rFonts w:eastAsia="仿宋_GB2312" w:cs="Times New Roman"/>
          <w:sz w:val="32"/>
          <w:szCs w:val="32"/>
        </w:rPr>
      </w:pPr>
      <w:r>
        <w:rPr>
          <w:rFonts w:eastAsia="仿宋_GB2312" w:cs="Times New Roman"/>
          <w:sz w:val="32"/>
          <w:szCs w:val="32"/>
        </w:rPr>
        <w:t>（2）定期巡检服务（按月完成政务网定期巡检服务并提供巡检报告）。</w:t>
      </w:r>
    </w:p>
    <w:p>
      <w:pPr>
        <w:ind w:firstLine="640" w:firstLineChars="200"/>
        <w:outlineLvl w:val="3"/>
        <w:rPr>
          <w:rFonts w:eastAsia="仿宋_GB2312" w:cs="Times New Roman"/>
          <w:sz w:val="32"/>
          <w:szCs w:val="32"/>
        </w:rPr>
      </w:pPr>
      <w:r>
        <w:rPr>
          <w:rFonts w:eastAsia="仿宋_GB2312" w:cs="Times New Roman"/>
          <w:sz w:val="32"/>
          <w:szCs w:val="32"/>
        </w:rPr>
        <w:t>（3）日常故障处理（包括日常故障运维及重大故障应急处理，及故障原因分析等）。</w:t>
      </w:r>
    </w:p>
    <w:p>
      <w:pPr>
        <w:ind w:firstLine="640" w:firstLineChars="200"/>
        <w:outlineLvl w:val="3"/>
        <w:rPr>
          <w:rFonts w:eastAsia="仿宋_GB2312" w:cs="Times New Roman"/>
          <w:sz w:val="32"/>
          <w:szCs w:val="32"/>
        </w:rPr>
      </w:pPr>
      <w:r>
        <w:rPr>
          <w:rFonts w:eastAsia="仿宋_GB2312" w:cs="Times New Roman"/>
          <w:sz w:val="32"/>
          <w:szCs w:val="32"/>
        </w:rPr>
        <w:t>（4）重大会议保障服务（提供两会等重大会议现场重点保障服务）。</w:t>
      </w:r>
    </w:p>
    <w:p>
      <w:pPr>
        <w:ind w:firstLine="640" w:firstLineChars="200"/>
        <w:outlineLvl w:val="3"/>
        <w:rPr>
          <w:rFonts w:eastAsia="仿宋_GB2312" w:cs="Times New Roman"/>
          <w:sz w:val="32"/>
          <w:szCs w:val="32"/>
        </w:rPr>
      </w:pPr>
      <w:r>
        <w:rPr>
          <w:rFonts w:eastAsia="仿宋_GB2312" w:cs="Times New Roman"/>
          <w:sz w:val="32"/>
          <w:szCs w:val="32"/>
        </w:rPr>
        <w:t>（5）其他服务（包括热线电话、远程技术支持、网络调优、机房环境维护等）。</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r>
        <w:rPr>
          <w:rFonts w:ascii="Times New Roman" w:hAnsi="Times New Roman" w:eastAsia="楷体" w:cs="Times New Roman"/>
          <w:b w:val="0"/>
          <w:bCs w:val="0"/>
        </w:rPr>
        <w:t>（二）详细需求</w:t>
      </w: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1.线路及IDC资源租用服务</w:t>
      </w:r>
    </w:p>
    <w:p>
      <w:pPr>
        <w:ind w:firstLine="640" w:firstLineChars="200"/>
        <w:outlineLvl w:val="3"/>
        <w:rPr>
          <w:rFonts w:eastAsia="仿宋_GB2312" w:cs="Times New Roman"/>
          <w:sz w:val="32"/>
          <w:szCs w:val="32"/>
        </w:rPr>
      </w:pPr>
      <w:r>
        <w:rPr>
          <w:rFonts w:eastAsia="仿宋_GB2312" w:cs="Times New Roman"/>
          <w:sz w:val="32"/>
          <w:szCs w:val="32"/>
        </w:rPr>
        <w:t>（1）租用链路及IDC租用清单</w:t>
      </w:r>
    </w:p>
    <w:tbl>
      <w:tblPr>
        <w:tblStyle w:val="5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03"/>
        <w:gridCol w:w="2360"/>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sz w:val="24"/>
                <w:szCs w:val="21"/>
              </w:rPr>
            </w:pPr>
            <w:r>
              <w:rPr>
                <w:rFonts w:eastAsia="黑体"/>
              </w:rPr>
              <w:t>序号</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rPr>
            </w:pPr>
            <w:r>
              <w:rPr>
                <w:rFonts w:eastAsia="黑体"/>
              </w:rPr>
              <w:t>单位</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rPr>
            </w:pPr>
            <w:r>
              <w:rPr>
                <w:rFonts w:eastAsia="黑体"/>
              </w:rPr>
              <w:t>政务外网</w:t>
            </w:r>
          </w:p>
        </w:tc>
        <w:tc>
          <w:tcPr>
            <w:tcW w:w="2446" w:type="pct"/>
            <w:tcBorders>
              <w:top w:val="single" w:color="auto" w:sz="4" w:space="0"/>
              <w:left w:val="single" w:color="auto" w:sz="4" w:space="0"/>
              <w:bottom w:val="single" w:color="auto" w:sz="4" w:space="0"/>
              <w:right w:val="single" w:color="auto" w:sz="4" w:space="0"/>
            </w:tcBorders>
            <w:noWrap/>
            <w:vAlign w:val="center"/>
          </w:tcPr>
          <w:p>
            <w:pPr>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b/>
                <w:bCs/>
                <w:sz w:val="24"/>
                <w:szCs w:val="24"/>
              </w:rPr>
              <w:t>链路部分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1</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骨干环</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40*100G波道</w:t>
            </w:r>
          </w:p>
        </w:tc>
        <w:tc>
          <w:tcPr>
            <w:tcW w:w="2446"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szCs w:val="24"/>
              </w:rPr>
            </w:pPr>
            <w:r>
              <w:rPr>
                <w:rFonts w:eastAsia="仿宋_GB2312"/>
                <w:sz w:val="24"/>
                <w:szCs w:val="24"/>
              </w:rPr>
              <w:t>使用量达70%时，支持按需扩容至80*100G波道以上，费用含在报价内。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2</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29个省级单位</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5GB+4GB</w:t>
            </w:r>
          </w:p>
          <w:p>
            <w:pPr>
              <w:jc w:val="center"/>
              <w:rPr>
                <w:rFonts w:eastAsia="仿宋_GB2312"/>
                <w:sz w:val="24"/>
                <w:szCs w:val="24"/>
              </w:rPr>
            </w:pPr>
            <w:r>
              <w:rPr>
                <w:rFonts w:eastAsia="仿宋_GB2312"/>
                <w:sz w:val="24"/>
                <w:szCs w:val="24"/>
              </w:rPr>
              <w:t>（双路由传输链路）</w:t>
            </w:r>
          </w:p>
        </w:tc>
        <w:tc>
          <w:tcPr>
            <w:tcW w:w="2446"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szCs w:val="24"/>
              </w:rPr>
            </w:pPr>
            <w:r>
              <w:rPr>
                <w:rFonts w:eastAsia="仿宋_GB2312"/>
                <w:sz w:val="24"/>
                <w:szCs w:val="24"/>
              </w:rPr>
              <w:t>单节点提供总带宽10GB业务。流量达带宽70%时，支持按需扩容，费用含在报价内。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3</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11个地市政府</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5GB*2</w:t>
            </w:r>
          </w:p>
          <w:p>
            <w:pPr>
              <w:jc w:val="center"/>
              <w:rPr>
                <w:rFonts w:eastAsia="仿宋_GB2312"/>
                <w:sz w:val="24"/>
                <w:szCs w:val="24"/>
              </w:rPr>
            </w:pPr>
            <w:r>
              <w:rPr>
                <w:rFonts w:eastAsia="仿宋_GB2312"/>
                <w:sz w:val="24"/>
                <w:szCs w:val="24"/>
              </w:rPr>
              <w:t>（双路由传输链路）</w:t>
            </w:r>
          </w:p>
        </w:tc>
        <w:tc>
          <w:tcPr>
            <w:tcW w:w="2446"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szCs w:val="24"/>
              </w:rPr>
            </w:pPr>
            <w:r>
              <w:rPr>
                <w:rFonts w:eastAsia="仿宋_GB2312"/>
                <w:sz w:val="24"/>
                <w:szCs w:val="24"/>
              </w:rPr>
              <w:t>单节点提供带宽10GB业务。流量达带宽70%时，支持按需扩容，费用含在报价内。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4</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58个省级单位</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1GB*2</w:t>
            </w:r>
          </w:p>
          <w:p>
            <w:pPr>
              <w:jc w:val="center"/>
              <w:rPr>
                <w:rFonts w:eastAsia="仿宋_GB2312"/>
                <w:sz w:val="24"/>
                <w:szCs w:val="24"/>
              </w:rPr>
            </w:pPr>
            <w:r>
              <w:rPr>
                <w:rFonts w:eastAsia="仿宋_GB2312"/>
                <w:sz w:val="24"/>
                <w:szCs w:val="24"/>
              </w:rPr>
              <w:t>（双路由传输链路）</w:t>
            </w:r>
          </w:p>
        </w:tc>
        <w:tc>
          <w:tcPr>
            <w:tcW w:w="2446"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szCs w:val="24"/>
              </w:rPr>
            </w:pPr>
            <w:r>
              <w:rPr>
                <w:rFonts w:eastAsia="仿宋_GB2312"/>
                <w:sz w:val="24"/>
                <w:szCs w:val="24"/>
              </w:rPr>
              <w:t>单节点提供总带宽3GB业务。流量达带宽70%时，支持按需扩容，费用含在报价内。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5</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互联网专线</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20G</w:t>
            </w:r>
          </w:p>
        </w:tc>
        <w:tc>
          <w:tcPr>
            <w:tcW w:w="2446"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szCs w:val="24"/>
              </w:rPr>
            </w:pPr>
            <w:r>
              <w:rPr>
                <w:rFonts w:eastAsia="仿宋_GB2312"/>
                <w:sz w:val="24"/>
                <w:szCs w:val="24"/>
              </w:rPr>
              <w:t>互联网IPv4/IPv6地址在需求范围内使用，并视实际使用情况扩容升级，提供备用线路，费用含在报价内。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6</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主备平面互联互通</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40G</w:t>
            </w:r>
          </w:p>
          <w:p>
            <w:pPr>
              <w:pStyle w:val="2"/>
              <w:spacing w:after="0"/>
              <w:rPr>
                <w:rFonts w:ascii="Times New Roman" w:hAnsi="Times New Roman" w:eastAsia="仿宋_GB2312"/>
                <w:sz w:val="24"/>
              </w:rPr>
            </w:pPr>
            <w:r>
              <w:rPr>
                <w:rFonts w:ascii="Times New Roman" w:hAnsi="Times New Roman" w:eastAsia="仿宋_GB2312"/>
                <w:sz w:val="24"/>
              </w:rPr>
              <w:t>（双路由传输链路）</w:t>
            </w:r>
          </w:p>
        </w:tc>
        <w:tc>
          <w:tcPr>
            <w:tcW w:w="2446"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szCs w:val="24"/>
              </w:rPr>
            </w:pPr>
            <w:r>
              <w:rPr>
                <w:rFonts w:eastAsia="仿宋_GB2312"/>
                <w:sz w:val="24"/>
                <w:szCs w:val="24"/>
              </w:rPr>
              <w:t>与备平面核心路由器采用“口字型”连接组网。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7</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主平面与政务云互联互通</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30G</w:t>
            </w:r>
          </w:p>
          <w:p>
            <w:pPr>
              <w:pStyle w:val="2"/>
              <w:spacing w:after="0"/>
              <w:rPr>
                <w:rFonts w:ascii="Times New Roman" w:hAnsi="Times New Roman" w:eastAsia="仿宋_GB2312"/>
                <w:sz w:val="24"/>
              </w:rPr>
            </w:pPr>
            <w:r>
              <w:rPr>
                <w:rFonts w:ascii="Times New Roman" w:hAnsi="Times New Roman" w:eastAsia="仿宋_GB2312"/>
                <w:sz w:val="24"/>
              </w:rPr>
              <w:t>（双路由传输链路）</w:t>
            </w:r>
          </w:p>
        </w:tc>
        <w:tc>
          <w:tcPr>
            <w:tcW w:w="2446" w:type="pct"/>
            <w:tcBorders>
              <w:top w:val="single" w:color="auto" w:sz="4" w:space="0"/>
              <w:left w:val="single" w:color="auto" w:sz="4" w:space="0"/>
              <w:bottom w:val="single" w:color="auto" w:sz="4" w:space="0"/>
              <w:right w:val="single" w:color="auto" w:sz="4" w:space="0"/>
            </w:tcBorders>
            <w:noWrap w:val="0"/>
            <w:vAlign w:val="center"/>
          </w:tcPr>
          <w:p>
            <w:pPr>
              <w:rPr>
                <w:rFonts w:eastAsia="仿宋_GB2312"/>
                <w:sz w:val="24"/>
                <w:szCs w:val="24"/>
              </w:rPr>
            </w:pPr>
            <w:r>
              <w:rPr>
                <w:rFonts w:eastAsia="仿宋_GB2312"/>
                <w:sz w:val="24"/>
                <w:szCs w:val="24"/>
              </w:rPr>
              <w:t>主平面网络至政务专有云、政务公有云、政务灾备中心，6条10G专线电路，流量达带宽70%时，支持按需扩容，费用含在报价内。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bCs/>
                <w:sz w:val="24"/>
                <w:szCs w:val="24"/>
              </w:rPr>
            </w:pPr>
            <w:r>
              <w:rPr>
                <w:rFonts w:eastAsia="仿宋_GB2312"/>
                <w:b/>
                <w:bCs/>
                <w:sz w:val="24"/>
                <w:szCs w:val="24"/>
              </w:rPr>
              <w:t>机柜部分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8</w:t>
            </w:r>
          </w:p>
        </w:tc>
        <w:tc>
          <w:tcPr>
            <w:tcW w:w="76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IDC</w:t>
            </w:r>
          </w:p>
        </w:tc>
        <w:tc>
          <w:tcPr>
            <w:tcW w:w="138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无</w:t>
            </w:r>
          </w:p>
        </w:tc>
        <w:tc>
          <w:tcPr>
            <w:tcW w:w="2446" w:type="pct"/>
            <w:tcBorders>
              <w:top w:val="single" w:color="auto" w:sz="4" w:space="0"/>
              <w:left w:val="single" w:color="auto" w:sz="4" w:space="0"/>
              <w:bottom w:val="single" w:color="auto" w:sz="4" w:space="0"/>
              <w:right w:val="single" w:color="auto" w:sz="4" w:space="0"/>
            </w:tcBorders>
            <w:noWrap/>
            <w:vAlign w:val="center"/>
          </w:tcPr>
          <w:p>
            <w:pPr>
              <w:rPr>
                <w:rFonts w:eastAsia="仿宋_GB2312"/>
                <w:sz w:val="24"/>
                <w:szCs w:val="24"/>
              </w:rPr>
            </w:pPr>
            <w:r>
              <w:rPr>
                <w:rFonts w:eastAsia="仿宋_GB2312"/>
                <w:sz w:val="24"/>
                <w:szCs w:val="24"/>
              </w:rPr>
              <w:t>20个机柜，功耗标准功率为5KW。</w:t>
            </w:r>
          </w:p>
        </w:tc>
      </w:tr>
    </w:tbl>
    <w:p>
      <w:pPr>
        <w:pStyle w:val="2"/>
        <w:ind w:firstLine="64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*省级单位链路接入</w:t>
      </w:r>
      <w:r>
        <w:rPr>
          <w:rFonts w:ascii="Times New Roman" w:hAnsi="Times New Roman" w:eastAsia="仿宋_GB2312" w:cs="Times New Roman"/>
          <w:kern w:val="0"/>
          <w:sz w:val="32"/>
          <w:szCs w:val="32"/>
        </w:rPr>
        <w:t>按照采购单位实际需求开通和调整，按需提供原政务内网传输线路服务。</w:t>
      </w:r>
    </w:p>
    <w:p>
      <w:pPr>
        <w:ind w:firstLine="640" w:firstLineChars="200"/>
        <w:outlineLvl w:val="3"/>
        <w:rPr>
          <w:rFonts w:eastAsia="仿宋_GB2312" w:cs="Times New Roman"/>
          <w:sz w:val="32"/>
          <w:szCs w:val="32"/>
        </w:rPr>
      </w:pPr>
      <w:r>
        <w:rPr>
          <w:rFonts w:eastAsia="仿宋_GB2312" w:cs="Times New Roman"/>
          <w:sz w:val="32"/>
          <w:szCs w:val="32"/>
        </w:rPr>
        <w:t>（2）线路资源要求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94"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szCs w:val="24"/>
              </w:rPr>
            </w:pPr>
            <w:r>
              <w:rPr>
                <w:rFonts w:eastAsia="仿宋_GB2312"/>
                <w:sz w:val="24"/>
                <w:szCs w:val="24"/>
              </w:rPr>
              <w:t>政务网电路及传输设备要求</w:t>
            </w:r>
          </w:p>
        </w:tc>
        <w:tc>
          <w:tcPr>
            <w:tcW w:w="3905" w:type="pct"/>
            <w:tcBorders>
              <w:top w:val="single" w:color="auto" w:sz="4" w:space="0"/>
              <w:left w:val="single" w:color="auto" w:sz="4" w:space="0"/>
              <w:bottom w:val="single" w:color="auto" w:sz="4" w:space="0"/>
              <w:right w:val="single" w:color="auto" w:sz="4" w:space="0"/>
            </w:tcBorders>
            <w:noWrap w:val="0"/>
            <w:vAlign w:val="top"/>
          </w:tcPr>
          <w:p>
            <w:pPr>
              <w:jc w:val="left"/>
              <w:rPr>
                <w:rFonts w:eastAsia="仿宋_GB2312"/>
                <w:sz w:val="24"/>
                <w:szCs w:val="24"/>
              </w:rPr>
            </w:pPr>
            <w:r>
              <w:rPr>
                <w:rFonts w:eastAsia="仿宋_GB2312"/>
                <w:sz w:val="24"/>
                <w:szCs w:val="24"/>
              </w:rPr>
              <w:t>采用高可靠性、高可用性的OTN专线，支持后续业务扩展和带宽升级。所有传输设备和链路均专网专建专用，与其他用户业务实现物理隔离；</w:t>
            </w:r>
          </w:p>
          <w:p>
            <w:pPr>
              <w:pStyle w:val="2"/>
              <w:spacing w:after="0"/>
              <w:rPr>
                <w:rFonts w:ascii="Times New Roman" w:hAnsi="Times New Roman" w:eastAsia="仿宋_GB2312"/>
                <w:sz w:val="24"/>
              </w:rPr>
            </w:pPr>
            <w:r>
              <w:rPr>
                <w:rFonts w:ascii="Times New Roman" w:hAnsi="Times New Roman" w:eastAsia="仿宋_GB2312"/>
                <w:sz w:val="24"/>
              </w:rPr>
              <w:t>（1）电路全部采用汇聚链路。所有互联点接入端口均采用电口或光口，接口类型与数通设备接口匹配。</w:t>
            </w:r>
          </w:p>
          <w:p>
            <w:pPr>
              <w:pStyle w:val="2"/>
              <w:spacing w:after="0"/>
              <w:rPr>
                <w:rFonts w:ascii="Times New Roman" w:hAnsi="Times New Roman" w:eastAsia="仿宋_GB2312"/>
                <w:sz w:val="24"/>
              </w:rPr>
            </w:pPr>
            <w:r>
              <w:rPr>
                <w:rFonts w:ascii="Times New Roman" w:hAnsi="Times New Roman" w:eastAsia="仿宋_GB2312"/>
                <w:sz w:val="24"/>
              </w:rPr>
              <w:t>（2）互联点要求。本项目所涉及的设备、线缆及材料（包括光端机、接入设备、各类协议转换器、连接或转换数据线缆、光衰减器等）全部由中标商提供，并完成所有设备的安装、调试及接入线路的联调。</w:t>
            </w:r>
          </w:p>
          <w:p>
            <w:pPr>
              <w:rPr>
                <w:rFonts w:eastAsia="仿宋_GB2312"/>
                <w:sz w:val="24"/>
                <w:szCs w:val="24"/>
              </w:rPr>
            </w:pPr>
            <w:r>
              <w:rPr>
                <w:rFonts w:eastAsia="仿宋_GB2312"/>
                <w:sz w:val="24"/>
                <w:szCs w:val="24"/>
              </w:rPr>
              <w:t>（3）可利用率不低于99.95%；</w:t>
            </w:r>
          </w:p>
          <w:p>
            <w:pPr>
              <w:rPr>
                <w:rFonts w:eastAsia="仿宋_GB2312"/>
                <w:sz w:val="24"/>
                <w:szCs w:val="24"/>
              </w:rPr>
            </w:pPr>
            <w:r>
              <w:rPr>
                <w:rFonts w:eastAsia="仿宋_GB2312"/>
                <w:sz w:val="24"/>
                <w:szCs w:val="24"/>
              </w:rPr>
              <w:t>（4）本地链路延时≤10ms；</w:t>
            </w:r>
          </w:p>
          <w:p>
            <w:pPr>
              <w:rPr>
                <w:rFonts w:eastAsia="仿宋_GB2312"/>
                <w:sz w:val="24"/>
                <w:szCs w:val="24"/>
              </w:rPr>
            </w:pPr>
            <w:r>
              <w:rPr>
                <w:rFonts w:eastAsia="仿宋_GB2312"/>
                <w:sz w:val="24"/>
                <w:szCs w:val="24"/>
              </w:rPr>
              <w:t>（5）长途链路每100公里的延时增加≤1ms，误码率＜10E-7；</w:t>
            </w:r>
          </w:p>
          <w:p>
            <w:pPr>
              <w:rPr>
                <w:rFonts w:eastAsia="仿宋_GB2312"/>
                <w:sz w:val="24"/>
                <w:szCs w:val="24"/>
              </w:rPr>
            </w:pPr>
            <w:r>
              <w:rPr>
                <w:rFonts w:eastAsia="仿宋_GB2312"/>
                <w:sz w:val="24"/>
                <w:szCs w:val="24"/>
              </w:rPr>
              <w:t>（6）封包成功率≥99.999%；</w:t>
            </w:r>
          </w:p>
          <w:p>
            <w:pPr>
              <w:rPr>
                <w:rFonts w:eastAsia="仿宋_GB2312"/>
                <w:sz w:val="24"/>
                <w:szCs w:val="24"/>
              </w:rPr>
            </w:pPr>
            <w:r>
              <w:rPr>
                <w:rFonts w:eastAsia="仿宋_GB2312"/>
                <w:sz w:val="24"/>
                <w:szCs w:val="24"/>
              </w:rPr>
              <w:t>（7）抖动≤2ms；</w:t>
            </w:r>
          </w:p>
          <w:p>
            <w:pPr>
              <w:rPr>
                <w:rFonts w:eastAsia="仿宋_GB2312"/>
                <w:sz w:val="24"/>
                <w:szCs w:val="24"/>
              </w:rPr>
            </w:pPr>
            <w:r>
              <w:rPr>
                <w:rFonts w:eastAsia="仿宋_GB2312"/>
                <w:sz w:val="24"/>
                <w:szCs w:val="24"/>
              </w:rPr>
              <w:t>（8）链路通道ES（误码秒数）≤4个/2小时，链路通道SES（严重误码秒数）≤2个/2小时；</w:t>
            </w:r>
          </w:p>
          <w:p>
            <w:pPr>
              <w:rPr>
                <w:rFonts w:eastAsia="仿宋_GB2312"/>
                <w:sz w:val="24"/>
                <w:szCs w:val="24"/>
              </w:rPr>
            </w:pPr>
            <w:r>
              <w:rPr>
                <w:rFonts w:eastAsia="仿宋_GB2312"/>
                <w:sz w:val="24"/>
                <w:szCs w:val="24"/>
              </w:rPr>
              <w:t>（9）每条电路必须通过双局向路由光纤、以自愈保护环方式接入不同局端，提供双路由局向表（提供双路由详细图）。</w:t>
            </w:r>
          </w:p>
          <w:p>
            <w:pPr>
              <w:rPr>
                <w:rFonts w:eastAsia="仿宋_GB2312"/>
                <w:sz w:val="24"/>
                <w:szCs w:val="24"/>
              </w:rPr>
            </w:pPr>
            <w:r>
              <w:rPr>
                <w:rFonts w:eastAsia="仿宋_GB2312"/>
                <w:sz w:val="24"/>
                <w:szCs w:val="24"/>
              </w:rPr>
              <w:t>（10）支持流量达70%带宽时扩容提速。</w:t>
            </w:r>
          </w:p>
          <w:p>
            <w:pPr>
              <w:rPr>
                <w:rFonts w:eastAsia="仿宋_GB2312"/>
                <w:sz w:val="24"/>
                <w:szCs w:val="24"/>
              </w:rPr>
            </w:pPr>
            <w:r>
              <w:rPr>
                <w:rFonts w:eastAsia="仿宋_GB2312"/>
                <w:sz w:val="24"/>
                <w:szCs w:val="24"/>
              </w:rPr>
              <w:t>（11）供应商提供机房，须允许其他运营商线路接入。</w:t>
            </w:r>
          </w:p>
          <w:p>
            <w:pPr>
              <w:rPr>
                <w:rFonts w:eastAsia="仿宋_GB2312"/>
                <w:sz w:val="24"/>
                <w:szCs w:val="24"/>
              </w:rPr>
            </w:pPr>
            <w:r>
              <w:rPr>
                <w:rFonts w:eastAsia="仿宋_GB2312"/>
                <w:sz w:val="24"/>
                <w:szCs w:val="24"/>
              </w:rPr>
              <w:t>（12）</w:t>
            </w:r>
            <w:r>
              <w:rPr>
                <w:rFonts w:eastAsia="仿宋_GB2312"/>
                <w:color w:val="000000"/>
                <w:sz w:val="24"/>
                <w:szCs w:val="24"/>
              </w:rPr>
              <w:t>省-市电路上下行带宽为10G</w:t>
            </w:r>
            <w:r>
              <w:rPr>
                <w:rFonts w:eastAsia="仿宋_GB2312"/>
                <w:sz w:val="24"/>
                <w:szCs w:val="24"/>
              </w:rPr>
              <w:t>。</w:t>
            </w:r>
          </w:p>
          <w:p>
            <w:pPr>
              <w:pStyle w:val="182"/>
              <w:ind w:firstLine="0" w:firstLineChars="0"/>
              <w:rPr>
                <w:rFonts w:ascii="Times New Roman" w:hAnsi="Times New Roman" w:eastAsia="仿宋_GB2312"/>
                <w:sz w:val="24"/>
                <w:szCs w:val="24"/>
              </w:rPr>
            </w:pPr>
            <w:r>
              <w:rPr>
                <w:rFonts w:ascii="Times New Roman" w:hAnsi="Times New Roman" w:eastAsia="仿宋_GB2312"/>
                <w:sz w:val="24"/>
                <w:szCs w:val="24"/>
              </w:rPr>
              <w:t>（13）大流量厅局单位总带宽为10G，一般流量厅局单位带宽为2G。</w:t>
            </w:r>
          </w:p>
        </w:tc>
      </w:tr>
    </w:tbl>
    <w:p>
      <w:pPr>
        <w:ind w:firstLine="640" w:firstLineChars="200"/>
        <w:outlineLvl w:val="3"/>
        <w:rPr>
          <w:rFonts w:eastAsia="仿宋_GB2312" w:cs="Times New Roman"/>
          <w:sz w:val="32"/>
          <w:szCs w:val="32"/>
        </w:rPr>
      </w:pPr>
      <w:r>
        <w:rPr>
          <w:rFonts w:eastAsia="仿宋_GB2312" w:cs="Times New Roman"/>
          <w:sz w:val="32"/>
          <w:szCs w:val="32"/>
        </w:rPr>
        <w:t>（3）IDC托管要求</w:t>
      </w:r>
    </w:p>
    <w:tbl>
      <w:tblPr>
        <w:tblStyle w:val="5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921"/>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5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指标项</w:t>
            </w:r>
          </w:p>
        </w:tc>
        <w:tc>
          <w:tcPr>
            <w:tcW w:w="3945" w:type="pct"/>
            <w:gridSpan w:val="2"/>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rPr>
            </w:pPr>
            <w:r>
              <w:rPr>
                <w:rFonts w:eastAsia="仿宋_GB2312"/>
                <w:kern w:val="0"/>
                <w:sz w:val="24"/>
              </w:rPr>
              <w:t>IDC机房标准</w:t>
            </w:r>
          </w:p>
        </w:tc>
        <w:tc>
          <w:tcPr>
            <w:tcW w:w="3945" w:type="pct"/>
            <w:gridSpan w:val="2"/>
            <w:tcBorders>
              <w:top w:val="single" w:color="auto" w:sz="4" w:space="0"/>
              <w:left w:val="single" w:color="auto" w:sz="4" w:space="0"/>
              <w:bottom w:val="single" w:color="auto" w:sz="4" w:space="0"/>
              <w:right w:val="single" w:color="auto" w:sz="4" w:space="0"/>
            </w:tcBorders>
            <w:noWrap w:val="0"/>
            <w:vAlign w:val="center"/>
          </w:tcPr>
          <w:p>
            <w:pPr>
              <w:pStyle w:val="424"/>
              <w:ind w:firstLine="480" w:firstLineChars="200"/>
              <w:jc w:val="left"/>
              <w:rPr>
                <w:rFonts w:eastAsia="仿宋_GB2312"/>
                <w:kern w:val="0"/>
                <w:sz w:val="24"/>
              </w:rPr>
            </w:pPr>
            <w:r>
              <w:rPr>
                <w:rFonts w:eastAsia="仿宋_GB2312"/>
                <w:kern w:val="0"/>
                <w:sz w:val="24"/>
              </w:rPr>
              <w:t>满足GB/T2887-2000《电子计算机场地通用规范》B级标准以上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5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rPr>
            </w:pPr>
            <w:r>
              <w:rPr>
                <w:rFonts w:eastAsia="仿宋_GB2312"/>
                <w:kern w:val="0"/>
                <w:sz w:val="24"/>
              </w:rPr>
              <w:t>机房位置</w:t>
            </w:r>
          </w:p>
        </w:tc>
        <w:tc>
          <w:tcPr>
            <w:tcW w:w="3945" w:type="pct"/>
            <w:gridSpan w:val="2"/>
            <w:tcBorders>
              <w:top w:val="single" w:color="auto" w:sz="4" w:space="0"/>
              <w:left w:val="single" w:color="auto" w:sz="4" w:space="0"/>
              <w:bottom w:val="single" w:color="auto" w:sz="4" w:space="0"/>
              <w:right w:val="single" w:color="auto" w:sz="4" w:space="0"/>
            </w:tcBorders>
            <w:noWrap w:val="0"/>
            <w:vAlign w:val="center"/>
          </w:tcPr>
          <w:p>
            <w:pPr>
              <w:pStyle w:val="424"/>
              <w:ind w:firstLine="480" w:firstLineChars="200"/>
              <w:jc w:val="left"/>
              <w:rPr>
                <w:rFonts w:eastAsia="仿宋_GB2312"/>
                <w:kern w:val="0"/>
                <w:sz w:val="24"/>
              </w:rPr>
            </w:pPr>
            <w:r>
              <w:rPr>
                <w:rFonts w:eastAsia="仿宋_GB2312"/>
                <w:kern w:val="0"/>
                <w:sz w:val="24"/>
              </w:rPr>
              <w:t>省一级核心节点需在杭州市区；市二级核心节点位于各地市，机房位置可根据采购人实际需求确定是投标商当地机房或用户机房。如部署于投标商当地机房，必须包含租用所必须的机房配套资源，如机柜、电源、线路等，产生的费用由投标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54" w:type="pct"/>
            <w:vMerge w:val="restar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rPr>
            </w:pPr>
            <w:r>
              <w:rPr>
                <w:rFonts w:eastAsia="仿宋_GB2312"/>
                <w:kern w:val="0"/>
                <w:sz w:val="24"/>
              </w:rPr>
              <w:t>托管设备</w:t>
            </w:r>
          </w:p>
        </w:tc>
        <w:tc>
          <w:tcPr>
            <w:tcW w:w="1126" w:type="pct"/>
            <w:vMerge w:val="restar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核心</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省级核心设备2套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TAP交换机2套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restar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国家</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国家政务外网数据业务数通设备及配套资源2套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国家政务外网数据业务传输设备及配套资源2套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国家政务外网视频业务传输设备及配套资源2套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lang w:bidi="ar"/>
              </w:rPr>
            </w:pPr>
            <w:r>
              <w:rPr>
                <w:rFonts w:eastAsia="仿宋_GB2312"/>
                <w:color w:val="000000"/>
                <w:kern w:val="0"/>
                <w:sz w:val="24"/>
                <w:lang w:bidi="ar"/>
              </w:rPr>
              <w:t>省-国家政务外网互联防火墙设备及配套资源</w:t>
            </w:r>
            <w:r>
              <w:rPr>
                <w:rFonts w:eastAsia="仿宋_GB2312"/>
                <w:color w:val="000000"/>
                <w:kern w:val="0"/>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restar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互联网出口</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lang w:bidi="ar"/>
              </w:rPr>
              <w:t>互联网出口安全网关</w:t>
            </w:r>
            <w:r>
              <w:rPr>
                <w:rFonts w:eastAsia="仿宋_GB2312"/>
                <w:color w:val="000000"/>
                <w:kern w:val="0"/>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lang w:bidi="ar"/>
              </w:rPr>
            </w:pPr>
            <w:r>
              <w:rPr>
                <w:rFonts w:eastAsia="仿宋_GB2312"/>
                <w:color w:val="000000"/>
                <w:kern w:val="0"/>
                <w:sz w:val="24"/>
                <w:lang w:bidi="ar"/>
              </w:rPr>
              <w:t>接入交换机2套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审计</w:t>
            </w:r>
            <w:r>
              <w:rPr>
                <w:rFonts w:eastAsia="仿宋_GB2312"/>
                <w:kern w:val="0"/>
                <w:sz w:val="24"/>
              </w:rPr>
              <w:t>设备1套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kern w:val="0"/>
                <w:sz w:val="24"/>
              </w:rPr>
              <w:t>移动办公设备</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SSL VPN3套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restar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kern w:val="0"/>
                <w:sz w:val="24"/>
              </w:rPr>
              <w:t>运维管理设备</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服务器9套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接入交换机2套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堡垒机2套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防火墙3套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kern w:val="0"/>
                <w:sz w:val="24"/>
              </w:rPr>
              <w:t>公共接入区</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kern w:val="0"/>
                <w:sz w:val="24"/>
              </w:rPr>
              <w:t>接入路由器2套、防火墙2套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restar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准入管控</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互联网准入设备2套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网络流量探针及服务器1套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其他单位设备</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流量采集设备及配套资源5套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外联单位接入区</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kern w:val="0"/>
                <w:sz w:val="24"/>
              </w:rPr>
            </w:pPr>
            <w:r>
              <w:rPr>
                <w:rFonts w:eastAsia="仿宋_GB2312"/>
                <w:color w:val="000000"/>
                <w:kern w:val="0"/>
                <w:sz w:val="24"/>
              </w:rPr>
              <w:t>外联单位接入路由器2套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4"/>
                <w:szCs w:val="24"/>
              </w:rPr>
            </w:pPr>
          </w:p>
        </w:tc>
        <w:tc>
          <w:tcPr>
            <w:tcW w:w="1126"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杭州市大数据局接入路由器</w:t>
            </w:r>
          </w:p>
        </w:tc>
        <w:tc>
          <w:tcPr>
            <w:tcW w:w="2819" w:type="pct"/>
            <w:tcBorders>
              <w:top w:val="single" w:color="auto" w:sz="4" w:space="0"/>
              <w:left w:val="single" w:color="auto" w:sz="4" w:space="0"/>
              <w:bottom w:val="single" w:color="auto" w:sz="4" w:space="0"/>
              <w:right w:val="single" w:color="auto" w:sz="4" w:space="0"/>
            </w:tcBorders>
            <w:noWrap w:val="0"/>
            <w:vAlign w:val="center"/>
          </w:tcPr>
          <w:p>
            <w:pPr>
              <w:pStyle w:val="424"/>
              <w:jc w:val="left"/>
              <w:rPr>
                <w:rFonts w:eastAsia="仿宋_GB2312"/>
                <w:color w:val="000000"/>
                <w:kern w:val="0"/>
                <w:sz w:val="24"/>
              </w:rPr>
            </w:pPr>
            <w:r>
              <w:rPr>
                <w:rFonts w:eastAsia="仿宋_GB2312"/>
                <w:color w:val="000000"/>
                <w:kern w:val="0"/>
                <w:sz w:val="24"/>
              </w:rPr>
              <w:t>接入路由器1套</w:t>
            </w:r>
          </w:p>
        </w:tc>
      </w:tr>
    </w:tbl>
    <w:p>
      <w:pPr>
        <w:ind w:firstLine="640" w:firstLineChars="200"/>
        <w:outlineLvl w:val="3"/>
        <w:rPr>
          <w:rFonts w:eastAsia="仿宋_GB2312" w:cs="Times New Roman"/>
          <w:sz w:val="32"/>
          <w:szCs w:val="32"/>
        </w:rPr>
      </w:pPr>
      <w:r>
        <w:rPr>
          <w:rFonts w:eastAsia="仿宋_GB2312" w:cs="Times New Roman"/>
          <w:sz w:val="32"/>
          <w:szCs w:val="32"/>
        </w:rPr>
        <w:t>（4）统一运维系统要求</w:t>
      </w:r>
    </w:p>
    <w:p>
      <w:pPr>
        <w:ind w:firstLine="560"/>
        <w:rPr>
          <w:rFonts w:eastAsia="仿宋_GB2312" w:cs="Times New Roman"/>
          <w:sz w:val="32"/>
          <w:szCs w:val="32"/>
        </w:rPr>
      </w:pPr>
      <w:r>
        <w:rPr>
          <w:rFonts w:eastAsia="仿宋_GB2312" w:cs="Times New Roman"/>
          <w:sz w:val="32"/>
          <w:szCs w:val="32"/>
        </w:rPr>
        <w:t>主要服务于政务网管理和维护人员，通过分权分域，面向不同用户，提供不同的监控视角和管理功能。</w:t>
      </w:r>
    </w:p>
    <w:tbl>
      <w:tblPr>
        <w:tblStyle w:val="5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7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851"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center"/>
              <w:rPr>
                <w:rFonts w:ascii="Times New Roman" w:hAnsi="Times New Roman" w:eastAsia="黑体"/>
                <w:sz w:val="24"/>
              </w:rPr>
            </w:pPr>
            <w:r>
              <w:rPr>
                <w:rFonts w:ascii="Times New Roman" w:hAnsi="Times New Roman" w:eastAsia="黑体"/>
                <w:sz w:val="24"/>
              </w:rPr>
              <w:t>功能项</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center"/>
              <w:rPr>
                <w:rFonts w:ascii="Times New Roman" w:hAnsi="Times New Roman" w:eastAsia="黑体"/>
                <w:sz w:val="24"/>
              </w:rPr>
            </w:pPr>
            <w:r>
              <w:rPr>
                <w:rFonts w:ascii="Times New Roman" w:hAnsi="Times New Roman" w:eastAsia="黑体"/>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综合监控中心</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rPr>
                <w:rFonts w:ascii="Times New Roman" w:hAnsi="Times New Roman" w:eastAsia="仿宋_GB2312"/>
                <w:sz w:val="24"/>
              </w:rPr>
            </w:pPr>
            <w:r>
              <w:rPr>
                <w:rFonts w:ascii="Times New Roman" w:hAnsi="Times New Roman" w:eastAsia="仿宋_GB2312"/>
                <w:sz w:val="24"/>
              </w:rPr>
              <w:t>1.支持综合监控中心页面展示，支持针对所有纳管资源的统一展现，包括纳管资源数量，当前在线资源数量，电路数量，即时告警信息，流量，利用率等。通过大屏实现对整网运行情况展示，展示方式支持指标卡片，柱状图，折线图，饼状图等，支持网络拓扑展现。</w:t>
            </w:r>
          </w:p>
          <w:p>
            <w:pPr>
              <w:rPr>
                <w:rFonts w:eastAsia="仿宋_GB2312"/>
                <w:sz w:val="24"/>
                <w:szCs w:val="24"/>
              </w:rPr>
            </w:pPr>
            <w:r>
              <w:rPr>
                <w:rFonts w:eastAsia="仿宋_GB2312"/>
                <w:sz w:val="24"/>
                <w:szCs w:val="24"/>
              </w:rPr>
              <w:t>2.支持通过一键搜索设备可以快速查询相应的设备信息，在单一搜索栏中，可以通过模糊输入设备名称、IP、端口、电路、业务等找到匹配的设备，可通过搜索结果列表中设备链接至设备管理页面。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资源管理</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1.支持对网络中交换机、路由器、电路等各种资源的管理功能。支持资源、账号等权限管理，支持区域节点新增、修改、详细信息查看、删除功能。</w:t>
            </w:r>
          </w:p>
          <w:p>
            <w:pPr>
              <w:pStyle w:val="2"/>
              <w:spacing w:after="0"/>
              <w:jc w:val="left"/>
              <w:rPr>
                <w:rFonts w:ascii="Times New Roman" w:hAnsi="Times New Roman" w:eastAsia="仿宋_GB2312"/>
                <w:sz w:val="24"/>
              </w:rPr>
            </w:pPr>
            <w:r>
              <w:rPr>
                <w:rFonts w:ascii="Times New Roman" w:hAnsi="Times New Roman" w:eastAsia="仿宋_GB2312"/>
                <w:sz w:val="24"/>
              </w:rPr>
              <w:t>2.支持按照设备或电路资源属性来分类管理设备或电路，包括：属性新增、修改、删除、展示。</w:t>
            </w:r>
          </w:p>
          <w:p>
            <w:pPr>
              <w:pStyle w:val="2"/>
              <w:spacing w:after="0"/>
              <w:jc w:val="left"/>
              <w:rPr>
                <w:rFonts w:ascii="Times New Roman" w:hAnsi="Times New Roman" w:eastAsia="仿宋_GB2312"/>
                <w:sz w:val="24"/>
              </w:rPr>
            </w:pPr>
            <w:r>
              <w:rPr>
                <w:rFonts w:ascii="Times New Roman" w:hAnsi="Times New Roman" w:eastAsia="仿宋_GB2312"/>
                <w:sz w:val="24"/>
              </w:rPr>
              <w:t>3.支持管理设备的发现、识别、纳管，支持设备的增加、修改、删除、查询。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设备管理</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支持综合展示单一设备相关信息的功能。包括设备连通性信息、设备基础信息（配置文件信息、设备硬件资源信息）、设备运行指标、设备面板图、端口统计、设备相邻拓扑、设备相关信息等。</w:t>
            </w:r>
          </w:p>
          <w:p>
            <w:pPr>
              <w:pStyle w:val="2"/>
              <w:spacing w:after="0"/>
              <w:jc w:val="left"/>
              <w:rPr>
                <w:rFonts w:ascii="Times New Roman" w:hAnsi="Times New Roman" w:eastAsia="仿宋_GB2312"/>
                <w:sz w:val="24"/>
              </w:rPr>
            </w:pPr>
            <w:r>
              <w:rPr>
                <w:rFonts w:ascii="Times New Roman" w:hAnsi="Times New Roman" w:eastAsia="仿宋_GB2312"/>
                <w:sz w:val="24"/>
              </w:rPr>
              <w:t>1.支持展示设备连通性信息，包括：PING连通性、SNMP连通性；</w:t>
            </w:r>
          </w:p>
          <w:p>
            <w:pPr>
              <w:pStyle w:val="2"/>
              <w:spacing w:after="0"/>
              <w:jc w:val="left"/>
              <w:rPr>
                <w:rFonts w:ascii="Times New Roman" w:hAnsi="Times New Roman" w:eastAsia="仿宋_GB2312"/>
                <w:sz w:val="24"/>
              </w:rPr>
            </w:pPr>
            <w:r>
              <w:rPr>
                <w:rFonts w:ascii="Times New Roman" w:hAnsi="Times New Roman" w:eastAsia="仿宋_GB2312"/>
                <w:sz w:val="24"/>
              </w:rPr>
              <w:t>2.支持展示设备基础信息：1）设备基本信息：设备名称、设备型号、设备属性、管理IP等；2）配置文件信息；3）硬件资源信息：设备名称、机框、板卡/电源/风扇、硬件类型、硬件型号、硬件版本等；</w:t>
            </w:r>
          </w:p>
          <w:p>
            <w:pPr>
              <w:pStyle w:val="2"/>
              <w:spacing w:after="0"/>
              <w:jc w:val="left"/>
              <w:rPr>
                <w:rFonts w:ascii="Times New Roman" w:hAnsi="Times New Roman" w:eastAsia="仿宋_GB2312"/>
                <w:sz w:val="24"/>
              </w:rPr>
            </w:pPr>
            <w:r>
              <w:rPr>
                <w:rFonts w:ascii="Times New Roman" w:hAnsi="Times New Roman" w:eastAsia="仿宋_GB2312"/>
                <w:sz w:val="24"/>
              </w:rPr>
              <w:t>3.支持展示设备运行指标，包括板卡温度，板卡CPU利用率，板卡内存利用率等；</w:t>
            </w:r>
          </w:p>
          <w:p>
            <w:pPr>
              <w:pStyle w:val="2"/>
              <w:spacing w:after="0"/>
              <w:jc w:val="left"/>
              <w:rPr>
                <w:rFonts w:ascii="Times New Roman" w:hAnsi="Times New Roman" w:eastAsia="仿宋_GB2312"/>
                <w:sz w:val="24"/>
              </w:rPr>
            </w:pPr>
            <w:r>
              <w:rPr>
                <w:rFonts w:ascii="Times New Roman" w:hAnsi="Times New Roman" w:eastAsia="仿宋_GB2312"/>
                <w:sz w:val="24"/>
              </w:rPr>
              <w:t>4.支持展示设备面板图：设备面板、板卡、端口等；</w:t>
            </w:r>
          </w:p>
          <w:p>
            <w:pPr>
              <w:pStyle w:val="2"/>
              <w:spacing w:after="0"/>
              <w:jc w:val="left"/>
              <w:rPr>
                <w:rFonts w:ascii="Times New Roman" w:hAnsi="Times New Roman" w:eastAsia="仿宋_GB2312"/>
                <w:sz w:val="24"/>
              </w:rPr>
            </w:pPr>
            <w:r>
              <w:rPr>
                <w:rFonts w:ascii="Times New Roman" w:hAnsi="Times New Roman" w:eastAsia="仿宋_GB2312"/>
                <w:sz w:val="24"/>
              </w:rPr>
              <w:t>5.支持展示端口统计：物理端口、逻辑端口具体端口信息；</w:t>
            </w:r>
          </w:p>
          <w:p>
            <w:pPr>
              <w:pStyle w:val="2"/>
              <w:spacing w:after="0"/>
              <w:jc w:val="left"/>
              <w:rPr>
                <w:rFonts w:ascii="Times New Roman" w:hAnsi="Times New Roman" w:eastAsia="仿宋_GB2312"/>
                <w:sz w:val="24"/>
              </w:rPr>
            </w:pPr>
            <w:r>
              <w:rPr>
                <w:rFonts w:ascii="Times New Roman" w:hAnsi="Times New Roman" w:eastAsia="仿宋_GB2312"/>
                <w:sz w:val="24"/>
              </w:rPr>
              <w:t>6.支持展示设备相邻拓扑：设备与相邻设备之间的关系拓扑图；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电路管理</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支持展示电路信息详细页面的功能，包括电路状态、电路基本配置信息、综合指标、电路流量视图、拓扑示意图、电路相关信息，支持查看该电路的即时流量信息等。</w:t>
            </w:r>
          </w:p>
          <w:p>
            <w:pPr>
              <w:pStyle w:val="2"/>
              <w:spacing w:after="0"/>
              <w:jc w:val="left"/>
              <w:rPr>
                <w:rFonts w:ascii="Times New Roman" w:hAnsi="Times New Roman" w:eastAsia="仿宋_GB2312"/>
                <w:sz w:val="24"/>
              </w:rPr>
            </w:pPr>
            <w:r>
              <w:rPr>
                <w:rFonts w:ascii="Times New Roman" w:hAnsi="Times New Roman" w:eastAsia="仿宋_GB2312"/>
                <w:sz w:val="24"/>
              </w:rPr>
              <w:t>1.支持展示电路开通状态，展示电路基本配置信息：包括电路名称、电路属性、AB端设备名称和端口名称等；</w:t>
            </w:r>
          </w:p>
          <w:p>
            <w:pPr>
              <w:pStyle w:val="2"/>
              <w:spacing w:after="0"/>
              <w:jc w:val="left"/>
              <w:rPr>
                <w:rFonts w:ascii="Times New Roman" w:hAnsi="Times New Roman" w:eastAsia="仿宋_GB2312"/>
                <w:sz w:val="24"/>
              </w:rPr>
            </w:pPr>
            <w:r>
              <w:rPr>
                <w:rFonts w:ascii="Times New Roman" w:hAnsi="Times New Roman" w:eastAsia="仿宋_GB2312"/>
                <w:sz w:val="24"/>
              </w:rPr>
              <w:t>2.支持展示综合指标：带宽、当前流入/流出速率、当前流入/流出利用率等；</w:t>
            </w:r>
          </w:p>
          <w:p>
            <w:pPr>
              <w:pStyle w:val="2"/>
              <w:spacing w:after="0"/>
              <w:jc w:val="left"/>
              <w:rPr>
                <w:rFonts w:ascii="Times New Roman" w:hAnsi="Times New Roman" w:eastAsia="仿宋_GB2312"/>
                <w:sz w:val="24"/>
              </w:rPr>
            </w:pPr>
            <w:r>
              <w:rPr>
                <w:rFonts w:ascii="Times New Roman" w:hAnsi="Times New Roman" w:eastAsia="仿宋_GB2312"/>
                <w:sz w:val="24"/>
              </w:rPr>
              <w:t>3.支持展示电路流量视图：按日、周、月或自定义时间端查询流量情况；</w:t>
            </w:r>
          </w:p>
          <w:p>
            <w:pPr>
              <w:pStyle w:val="2"/>
              <w:spacing w:after="0"/>
              <w:jc w:val="left"/>
              <w:rPr>
                <w:rFonts w:ascii="Times New Roman" w:hAnsi="Times New Roman" w:eastAsia="仿宋_GB2312"/>
                <w:sz w:val="24"/>
              </w:rPr>
            </w:pPr>
            <w:r>
              <w:rPr>
                <w:rFonts w:ascii="Times New Roman" w:hAnsi="Times New Roman" w:eastAsia="仿宋_GB2312"/>
                <w:sz w:val="24"/>
              </w:rPr>
              <w:t>4.支持展示拓扑示意图：可直接点击设备进入设备视图，查看设备与相邻设备之间的关系拓扑图；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告警管理</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对被管理的网络设备、电路或链路等各种资源的统一故障管理，支持根据地域、网元、告警级别、告警标题或内容等条件或多个条件组合对告警数据进行过滤，减少非关键告警的干扰，以提高监控与处理的效率。</w:t>
            </w:r>
          </w:p>
          <w:p>
            <w:pPr>
              <w:pStyle w:val="2"/>
              <w:spacing w:after="0"/>
              <w:jc w:val="left"/>
              <w:rPr>
                <w:rFonts w:ascii="Times New Roman" w:hAnsi="Times New Roman" w:eastAsia="仿宋_GB2312"/>
                <w:sz w:val="24"/>
              </w:rPr>
            </w:pPr>
            <w:r>
              <w:rPr>
                <w:rFonts w:ascii="Times New Roman" w:hAnsi="Times New Roman" w:eastAsia="仿宋_GB2312"/>
                <w:sz w:val="24"/>
              </w:rPr>
              <w:t>1.支持展示资源当前的告警信息，支持清除告警、查询告警等操作。</w:t>
            </w:r>
          </w:p>
          <w:p>
            <w:pPr>
              <w:pStyle w:val="2"/>
              <w:spacing w:after="0"/>
              <w:jc w:val="left"/>
              <w:rPr>
                <w:rFonts w:ascii="Times New Roman" w:hAnsi="Times New Roman" w:eastAsia="仿宋_GB2312"/>
                <w:sz w:val="24"/>
              </w:rPr>
            </w:pPr>
            <w:r>
              <w:rPr>
                <w:rFonts w:ascii="Times New Roman" w:hAnsi="Times New Roman" w:eastAsia="仿宋_GB2312"/>
                <w:sz w:val="24"/>
              </w:rPr>
              <w:t>2.支持按照资源名称、资源类别、资源IP、告警类别等查询当前告警。</w:t>
            </w:r>
          </w:p>
          <w:p>
            <w:pPr>
              <w:pStyle w:val="2"/>
              <w:spacing w:after="0"/>
              <w:jc w:val="left"/>
              <w:rPr>
                <w:rFonts w:ascii="Times New Roman" w:hAnsi="Times New Roman" w:eastAsia="仿宋_GB2312"/>
                <w:sz w:val="24"/>
              </w:rPr>
            </w:pPr>
            <w:r>
              <w:rPr>
                <w:rFonts w:ascii="Times New Roman" w:hAnsi="Times New Roman" w:eastAsia="仿宋_GB2312"/>
                <w:sz w:val="24"/>
              </w:rPr>
              <w:t>3.支持告警刷新：按照配置的刷新间隔自动刷新告警；</w:t>
            </w:r>
          </w:p>
          <w:p>
            <w:pPr>
              <w:pStyle w:val="2"/>
              <w:spacing w:after="0"/>
              <w:jc w:val="left"/>
              <w:rPr>
                <w:rFonts w:ascii="Times New Roman" w:hAnsi="Times New Roman" w:eastAsia="仿宋_GB2312"/>
                <w:sz w:val="24"/>
              </w:rPr>
            </w:pPr>
            <w:r>
              <w:rPr>
                <w:rFonts w:ascii="Times New Roman" w:hAnsi="Times New Roman" w:eastAsia="仿宋_GB2312"/>
                <w:sz w:val="24"/>
              </w:rPr>
              <w:t>4.支持过滤告警级别显示、告警清除、告警统计、告警详细信息展示、支持告警导出、历史告警查询。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流量管理</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1.支持对双栈电路的IPv4/6流量分别进行实时采集、数据存储和分析功能，支持对选择指定电路进行即时流量监控，流量波动图方式实时查看流量当前变化情况。</w:t>
            </w:r>
          </w:p>
          <w:p>
            <w:pPr>
              <w:pStyle w:val="2"/>
              <w:spacing w:after="0"/>
              <w:jc w:val="left"/>
              <w:rPr>
                <w:rFonts w:ascii="Times New Roman" w:hAnsi="Times New Roman" w:eastAsia="仿宋_GB2312"/>
                <w:sz w:val="24"/>
              </w:rPr>
            </w:pPr>
            <w:r>
              <w:rPr>
                <w:rFonts w:ascii="Times New Roman" w:hAnsi="Times New Roman" w:eastAsia="仿宋_GB2312"/>
                <w:sz w:val="24"/>
              </w:rPr>
              <w:t>2.支持电路流量查看：流量波动图可以选择不同周期（24小时、周、月、年等）粒度查看数据，支持查看该电路的即时流量信息、同向端口的电路流量信息。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性能管理</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1.支持网元性能监控指标查看：包括CPU利用率、内存利用率、温度、板卡CPU/内存利用率等。</w:t>
            </w:r>
          </w:p>
          <w:p>
            <w:pPr>
              <w:pStyle w:val="2"/>
              <w:spacing w:after="0"/>
              <w:jc w:val="left"/>
              <w:rPr>
                <w:rFonts w:ascii="Times New Roman" w:hAnsi="Times New Roman" w:eastAsia="仿宋_GB2312"/>
                <w:sz w:val="24"/>
              </w:rPr>
            </w:pPr>
            <w:r>
              <w:rPr>
                <w:rFonts w:ascii="Times New Roman" w:hAnsi="Times New Roman" w:eastAsia="仿宋_GB2312"/>
                <w:sz w:val="24"/>
              </w:rPr>
              <w:t>2.支持性能采集模板管理，包括：1）支持设备采集模板用于指定设备的访问方式和登录信息，包括SNMP（v1、v2c、v3版本）、Telnet/SSH登录信息；2）支持采集模板的增删改查操作。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自定义拓扑</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1.支持用户根据实际网络情况绘制网络拓扑，支持绘制多个拓扑。</w:t>
            </w:r>
          </w:p>
          <w:p>
            <w:pPr>
              <w:pStyle w:val="2"/>
              <w:spacing w:after="0"/>
              <w:jc w:val="left"/>
              <w:rPr>
                <w:rFonts w:ascii="Times New Roman" w:hAnsi="Times New Roman" w:eastAsia="仿宋_GB2312"/>
                <w:sz w:val="24"/>
              </w:rPr>
            </w:pPr>
            <w:r>
              <w:rPr>
                <w:rFonts w:ascii="Times New Roman" w:hAnsi="Times New Roman" w:eastAsia="仿宋_GB2312"/>
                <w:sz w:val="24"/>
              </w:rPr>
              <w:t>2.支持拓扑的新增、修改、删除、查询。支持拓扑绘制及布局调整。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设备巡检</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支持对全网设备日常维护作业计划的自动执行和管理功能。巡检项包含设备告警，CPU利用率，内存利用率，磁盘状态，硬件状态，异常日志检查，端口状况等。支持设备巡检项新增、查询、修改、删除。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日志、报表管理</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支持日报、周报、月报和任意时间段性能和电路流量报表，支持忙闲时指标统计；支持指标阀值条件；收集并存储所纳管设备SYSLOG日志信息。支持报表查询、新增、修改、删除。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与国家及地市系统对接调用</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支持按照国家政务外网运行支撑平台对接与实施规范要求，实现省政务外网统一运维系统对接国家及地市政务外网运维管理系统。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地市运维数据上报省平台</w:t>
            </w:r>
          </w:p>
        </w:tc>
        <w:tc>
          <w:tcPr>
            <w:tcW w:w="4148"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支持按照省级政务外网运行支撑平台对接与实施规范要求，实现地市统一运维系统对接</w:t>
            </w:r>
            <w:bookmarkStart w:id="36" w:name="OLE_LINK1"/>
            <w:r>
              <w:rPr>
                <w:rFonts w:ascii="Times New Roman" w:hAnsi="Times New Roman" w:eastAsia="仿宋_GB2312"/>
                <w:sz w:val="24"/>
              </w:rPr>
              <w:t>省级统一运维系统</w:t>
            </w:r>
            <w:bookmarkEnd w:id="36"/>
            <w:r>
              <w:rPr>
                <w:rFonts w:ascii="Times New Roman" w:hAnsi="Times New Roman" w:eastAsia="仿宋_GB2312"/>
                <w:sz w:val="24"/>
              </w:rPr>
              <w:t>，并将地市数据上报至省级统一运维系统，完成数据存储并考核；对接方式支持同构和异构两种模式。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日志分析</w:t>
            </w:r>
          </w:p>
        </w:tc>
        <w:tc>
          <w:tcPr>
            <w:tcW w:w="4148"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支持已纳管设备的日志全量获取及解析的能力，针对所需的日志完成告警生成，并支持6个月以上日志的全量存储。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兼容性</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支持主流数通及安全设备统一纳管，提供API支持第三方IT系统接入和北向数据共享等。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SDN控制软件</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支持主流数通设备静态接入业务、BGP接入业务、L3VPN接入业务（包括MPLS-L3VPN、EVPN-L3VPN）配置管理；支持主流数通设备动态下发SRv6 Policy、FLEXE切片开通；支持通过telemetry协议采集主流厂商随流信息的能力，可以展示端到端业务流路径及逐条质量（包括延迟、抖动、丢包）。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协议</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支持SNMP,SSH,TELNET,TELEMETRY等采集协议，支持CLI,NETCONF等控制协议。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系统性能指标</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并发支持最大用户登录数：≥50人；支持的纳管设备数量：≥400台。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pct"/>
            <w:tcBorders>
              <w:top w:val="single" w:color="auto" w:sz="4" w:space="0"/>
              <w:left w:val="single" w:color="auto" w:sz="4" w:space="0"/>
              <w:bottom w:val="single" w:color="auto" w:sz="4" w:space="0"/>
              <w:right w:val="single" w:color="auto" w:sz="4" w:space="0"/>
            </w:tcBorders>
            <w:noWrap w:val="0"/>
            <w:vAlign w:val="center"/>
          </w:tcPr>
          <w:p>
            <w:pPr>
              <w:pStyle w:val="2"/>
              <w:spacing w:after="0"/>
              <w:jc w:val="left"/>
              <w:rPr>
                <w:rFonts w:ascii="Times New Roman" w:hAnsi="Times New Roman" w:eastAsia="仿宋_GB2312"/>
                <w:sz w:val="24"/>
              </w:rPr>
            </w:pPr>
            <w:r>
              <w:rPr>
                <w:rFonts w:ascii="Times New Roman" w:hAnsi="Times New Roman" w:eastAsia="仿宋_GB2312"/>
                <w:sz w:val="24"/>
              </w:rPr>
              <w:t>扩展功能</w:t>
            </w:r>
          </w:p>
        </w:tc>
        <w:tc>
          <w:tcPr>
            <w:tcW w:w="4148" w:type="pct"/>
            <w:tcBorders>
              <w:top w:val="single" w:color="auto" w:sz="4" w:space="0"/>
              <w:left w:val="single" w:color="auto" w:sz="4" w:space="0"/>
              <w:bottom w:val="single" w:color="auto" w:sz="4" w:space="0"/>
              <w:right w:val="single" w:color="auto" w:sz="4" w:space="0"/>
            </w:tcBorders>
            <w:noWrap w:val="0"/>
            <w:vAlign w:val="top"/>
          </w:tcPr>
          <w:p>
            <w:pPr>
              <w:pStyle w:val="2"/>
              <w:spacing w:after="0"/>
              <w:jc w:val="left"/>
              <w:rPr>
                <w:rFonts w:ascii="Times New Roman" w:hAnsi="Times New Roman" w:eastAsia="仿宋_GB2312"/>
                <w:sz w:val="24"/>
              </w:rPr>
            </w:pPr>
            <w:r>
              <w:rPr>
                <w:rFonts w:ascii="Times New Roman" w:hAnsi="Times New Roman" w:eastAsia="仿宋_GB2312"/>
                <w:sz w:val="24"/>
              </w:rPr>
              <w:t>统一运维管理系统支持移动端、PC端使用，按需实现“浙政钉”内统一展视。基于“浙政钉”用户体系，指定组织架构用户登录使用，特定用户可查看单位网络带宽、速率指标等运行数据，嵌入故障处理协同流程。</w:t>
            </w:r>
          </w:p>
        </w:tc>
      </w:tr>
    </w:tbl>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2.设备租用服务</w:t>
      </w:r>
    </w:p>
    <w:tbl>
      <w:tblPr>
        <w:tblStyle w:val="59"/>
        <w:tblW w:w="4998" w:type="pct"/>
        <w:tblInd w:w="0" w:type="dxa"/>
        <w:tblLayout w:type="autofit"/>
        <w:tblCellMar>
          <w:top w:w="0" w:type="dxa"/>
          <w:left w:w="108" w:type="dxa"/>
          <w:bottom w:w="0" w:type="dxa"/>
          <w:right w:w="108" w:type="dxa"/>
        </w:tblCellMar>
      </w:tblPr>
      <w:tblGrid>
        <w:gridCol w:w="512"/>
        <w:gridCol w:w="1185"/>
        <w:gridCol w:w="2969"/>
        <w:gridCol w:w="2848"/>
        <w:gridCol w:w="1011"/>
      </w:tblGrid>
      <w:tr>
        <w:tblPrEx>
          <w:tblCellMar>
            <w:top w:w="0" w:type="dxa"/>
            <w:left w:w="108" w:type="dxa"/>
            <w:bottom w:w="0" w:type="dxa"/>
            <w:right w:w="108" w:type="dxa"/>
          </w:tblCellMar>
        </w:tblPrEx>
        <w:trPr>
          <w:trHeight w:val="3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eastAsia="黑体"/>
                <w:color w:val="000000"/>
                <w:sz w:val="24"/>
                <w:szCs w:val="24"/>
              </w:rPr>
            </w:pPr>
            <w:r>
              <w:rPr>
                <w:rFonts w:eastAsia="黑体"/>
                <w:color w:val="000000"/>
                <w:kern w:val="0"/>
                <w:sz w:val="24"/>
                <w:szCs w:val="24"/>
                <w:lang w:bidi="ar"/>
              </w:rPr>
              <w:t>序号</w:t>
            </w:r>
          </w:p>
        </w:tc>
        <w:tc>
          <w:tcPr>
            <w:tcW w:w="695"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eastAsia="黑体"/>
                <w:color w:val="000000"/>
                <w:sz w:val="24"/>
                <w:szCs w:val="24"/>
              </w:rPr>
            </w:pPr>
            <w:r>
              <w:rPr>
                <w:rFonts w:eastAsia="黑体"/>
                <w:color w:val="000000"/>
                <w:kern w:val="0"/>
                <w:sz w:val="24"/>
                <w:szCs w:val="24"/>
                <w:lang w:bidi="ar"/>
              </w:rPr>
              <w:t>服务名称</w:t>
            </w:r>
          </w:p>
        </w:tc>
        <w:tc>
          <w:tcPr>
            <w:tcW w:w="1741"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eastAsia="黑体"/>
                <w:color w:val="000000"/>
                <w:kern w:val="0"/>
                <w:sz w:val="24"/>
                <w:szCs w:val="24"/>
                <w:lang w:bidi="ar"/>
              </w:rPr>
            </w:pPr>
            <w:r>
              <w:rPr>
                <w:rFonts w:eastAsia="黑体"/>
                <w:color w:val="000000"/>
                <w:kern w:val="0"/>
                <w:sz w:val="24"/>
                <w:szCs w:val="24"/>
                <w:lang w:bidi="ar"/>
              </w:rPr>
              <w:t>功能需求</w:t>
            </w:r>
          </w:p>
        </w:tc>
        <w:tc>
          <w:tcPr>
            <w:tcW w:w="1669"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eastAsia="黑体"/>
                <w:color w:val="000000"/>
                <w:sz w:val="24"/>
                <w:szCs w:val="24"/>
              </w:rPr>
            </w:pPr>
            <w:r>
              <w:rPr>
                <w:rFonts w:eastAsia="黑体"/>
                <w:color w:val="000000"/>
                <w:kern w:val="0"/>
                <w:sz w:val="24"/>
                <w:szCs w:val="24"/>
                <w:lang w:bidi="ar"/>
              </w:rPr>
              <w:t>性能需求</w:t>
            </w:r>
          </w:p>
        </w:tc>
        <w:tc>
          <w:tcPr>
            <w:tcW w:w="592" w:type="pct"/>
            <w:tcBorders>
              <w:top w:val="single" w:color="000000" w:sz="4" w:space="0"/>
              <w:left w:val="single" w:color="000000" w:sz="4" w:space="0"/>
              <w:bottom w:val="single" w:color="000000" w:sz="4" w:space="0"/>
              <w:right w:val="single" w:color="000000" w:sz="4" w:space="0"/>
            </w:tcBorders>
            <w:shd w:val="clear" w:color="auto" w:fill="BFBFBF"/>
            <w:noWrap w:val="0"/>
            <w:vAlign w:val="center"/>
          </w:tcPr>
          <w:p>
            <w:pPr>
              <w:widowControl/>
              <w:jc w:val="center"/>
              <w:textAlignment w:val="center"/>
              <w:rPr>
                <w:rFonts w:eastAsia="黑体"/>
                <w:color w:val="000000"/>
                <w:kern w:val="0"/>
                <w:sz w:val="24"/>
                <w:szCs w:val="24"/>
                <w:lang w:bidi="ar"/>
              </w:rPr>
            </w:pPr>
            <w:r>
              <w:rPr>
                <w:rFonts w:eastAsia="黑体"/>
                <w:color w:val="000000"/>
                <w:kern w:val="0"/>
                <w:sz w:val="24"/>
                <w:szCs w:val="24"/>
                <w:lang w:bidi="ar"/>
              </w:rPr>
              <w:t>数量（套）</w:t>
            </w:r>
          </w:p>
        </w:tc>
      </w:tr>
      <w:tr>
        <w:tblPrEx>
          <w:tblCellMar>
            <w:top w:w="0" w:type="dxa"/>
            <w:left w:w="108" w:type="dxa"/>
            <w:bottom w:w="0" w:type="dxa"/>
            <w:right w:w="108" w:type="dxa"/>
          </w:tblCellMar>
        </w:tblPrEx>
        <w:trPr>
          <w:trHeight w:val="117"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1</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省级核心P设备</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支持静态路由、OSPF、IS-IS、BGP等常用路由协议；支持SRv6、支持通过OSPF协议承载SRv6路由协议、随流检测、切片技术、支持SDN、Telemetry。</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交换容量≥160Tbps;包转发率≥38000Mpps；单槽位转发性能≥2Tbps；独立交换网板≥4，全宽业务槽位数≥8，预留1-2个空槽位,实际配置：万兆光接口≥96，所有端口要求子母卡配置，光模块满配，双主控双电源。</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r>
      <w:tr>
        <w:tblPrEx>
          <w:tblCellMar>
            <w:top w:w="0" w:type="dxa"/>
            <w:left w:w="108" w:type="dxa"/>
            <w:bottom w:w="0" w:type="dxa"/>
            <w:right w:w="108" w:type="dxa"/>
          </w:tblCellMar>
        </w:tblPrEx>
        <w:trPr>
          <w:trHeight w:val="2267"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2</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地市P设备</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支持静态路由、OSPF、IS-IS、BGP等常用路由协议；支持SRv6、支持通过OSPF协议承载SRv6路由协议、随流检测、切片技术、支持SDN、Telemetry。</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交换容量≥130Tbps，包转发率≥12000Mpps；单槽位转发性能≥2Tbps；独立交换网板≥2，全宽业务槽位数≥4，预留1-2个空槽位,实际配置：万兆光接口≥12，所有端口要求子母卡配置，光模块满配；双主控双电源。</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11</w:t>
            </w:r>
          </w:p>
        </w:tc>
      </w:tr>
      <w:tr>
        <w:tblPrEx>
          <w:tblCellMar>
            <w:top w:w="0" w:type="dxa"/>
            <w:left w:w="108" w:type="dxa"/>
            <w:bottom w:w="0" w:type="dxa"/>
            <w:right w:w="108" w:type="dxa"/>
          </w:tblCellMar>
        </w:tblPrEx>
        <w:trPr>
          <w:trHeight w:val="2098"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3</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省级单位接入PE设备类型1</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支持静态路由、OSPF、IS-IS、BGP等常用路由协议；支持SRv6、支持通过OSPF协议承载SRv6路由协议、随流检测、切片技术、支持SDN、Telemetry。</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sz w:val="24"/>
                <w:szCs w:val="24"/>
              </w:rPr>
              <w:t>交换容量≥110Tbps，包转发率≥12000Mpps；</w:t>
            </w:r>
            <w:r>
              <w:rPr>
                <w:rFonts w:eastAsia="仿宋_GB2312"/>
                <w:color w:val="000000"/>
                <w:kern w:val="0"/>
                <w:sz w:val="24"/>
                <w:szCs w:val="24"/>
                <w:lang w:bidi="ar"/>
              </w:rPr>
              <w:t>可用子卡槽位≥8；</w:t>
            </w:r>
            <w:r>
              <w:rPr>
                <w:rFonts w:eastAsia="仿宋_GB2312"/>
                <w:color w:val="000000"/>
                <w:sz w:val="24"/>
                <w:szCs w:val="24"/>
              </w:rPr>
              <w:t>万兆光接口≥8，千兆光</w:t>
            </w:r>
            <w:r>
              <w:rPr>
                <w:rFonts w:eastAsia="仿宋_GB2312"/>
                <w:color w:val="000000"/>
                <w:kern w:val="0"/>
                <w:sz w:val="24"/>
                <w:szCs w:val="24"/>
                <w:lang w:bidi="ar"/>
              </w:rPr>
              <w:t>接</w:t>
            </w:r>
            <w:r>
              <w:rPr>
                <w:rFonts w:eastAsia="仿宋_GB2312"/>
                <w:color w:val="000000"/>
                <w:sz w:val="24"/>
                <w:szCs w:val="24"/>
              </w:rPr>
              <w:t>口≥8，光模块满配，光模块满配；双主控双电源</w:t>
            </w:r>
            <w:r>
              <w:rPr>
                <w:rFonts w:eastAsia="仿宋_GB2312"/>
                <w:color w:val="000000"/>
                <w:kern w:val="0"/>
                <w:sz w:val="24"/>
                <w:szCs w:val="24"/>
                <w:lang w:bidi="ar"/>
              </w:rPr>
              <w:t>，设备空间≤5U</w:t>
            </w:r>
            <w:r>
              <w:rPr>
                <w:rFonts w:eastAsia="仿宋_GB2312"/>
                <w:color w:val="000000"/>
                <w:sz w:val="24"/>
                <w:szCs w:val="24"/>
              </w:rPr>
              <w:t>（其中8台额外配置24个千兆电口）。</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35</w:t>
            </w:r>
          </w:p>
        </w:tc>
      </w:tr>
      <w:tr>
        <w:tblPrEx>
          <w:tblCellMar>
            <w:top w:w="0" w:type="dxa"/>
            <w:left w:w="108" w:type="dxa"/>
            <w:bottom w:w="0" w:type="dxa"/>
            <w:right w:w="108" w:type="dxa"/>
          </w:tblCellMar>
        </w:tblPrEx>
        <w:trPr>
          <w:trHeight w:val="1546"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4</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省级单位接入PE设备类型2</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支持静态路由、OSPF、IS-IS、BGP等常用路由协议；支持SRv6、支持通过OSPF协议承载SRv6路由协议、随流检测、切片技术、支持SDN、Telemetry。</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交换容量≥70Tbps，包转发率≥6000Mpps;可用子卡槽位≥8；千兆光接口≥8，光模块满配；双主控双电源，设备空间≤5U（其中8台额外配置24个千兆电口）。</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65</w:t>
            </w:r>
          </w:p>
        </w:tc>
      </w:tr>
      <w:tr>
        <w:tblPrEx>
          <w:tblCellMar>
            <w:top w:w="0" w:type="dxa"/>
            <w:left w:w="108" w:type="dxa"/>
            <w:bottom w:w="0" w:type="dxa"/>
            <w:right w:w="108" w:type="dxa"/>
          </w:tblCellMar>
        </w:tblPrEx>
        <w:trPr>
          <w:trHeight w:val="355"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5</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互联网出口接入交换机</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支持VLAN、端口聚合、端口镜像、虚拟化（多虚一）等功能。</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交换容量≥2.56Tbps，包转发率≥720Mpps，扩展插槽≥2，≥24个万兆光端口，配置冗余电源冗余风扇，光模块满配。</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r>
      <w:tr>
        <w:tblPrEx>
          <w:tblCellMar>
            <w:top w:w="0" w:type="dxa"/>
            <w:left w:w="108" w:type="dxa"/>
            <w:bottom w:w="0" w:type="dxa"/>
            <w:right w:w="108" w:type="dxa"/>
          </w:tblCellMar>
        </w:tblPrEx>
        <w:trPr>
          <w:trHeight w:val="116" w:hRule="atLeast"/>
        </w:trPr>
        <w:tc>
          <w:tcPr>
            <w:tcW w:w="300" w:type="pct"/>
            <w:tcBorders>
              <w:top w:val="nil"/>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6</w:t>
            </w:r>
          </w:p>
        </w:tc>
        <w:tc>
          <w:tcPr>
            <w:tcW w:w="695" w:type="pct"/>
            <w:tcBorders>
              <w:top w:val="nil"/>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TAP交换机</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支持VLAN、端口聚合、端口镜像、流量的负载均衡、N:M的流量镜像等功能。</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交换容量≥4.8Tbps，包转发率≥2000Mpps，≥48个万兆光端口，≥2个40G光口，配置冗余电源冗余风扇。</w:t>
            </w:r>
          </w:p>
        </w:tc>
        <w:tc>
          <w:tcPr>
            <w:tcW w:w="592" w:type="pct"/>
            <w:tcBorders>
              <w:top w:val="nil"/>
              <w:left w:val="single" w:color="000000" w:sz="4" w:space="0"/>
              <w:bottom w:val="nil"/>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r>
      <w:tr>
        <w:tblPrEx>
          <w:tblCellMar>
            <w:top w:w="0" w:type="dxa"/>
            <w:left w:w="108" w:type="dxa"/>
            <w:bottom w:w="0" w:type="dxa"/>
            <w:right w:w="108" w:type="dxa"/>
          </w:tblCellMar>
        </w:tblPrEx>
        <w:trPr>
          <w:trHeight w:val="457"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7</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互联网出口安全网关</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支持不同运营商接入，支持SDN统一管理，需具备防火墙、IPS、AV、负载均衡等功能。</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接口配置：≥20个千兆光口；≥20个10/100/1000 M以太网电口；≥24个万兆接口；光模块按需配置。</w:t>
            </w:r>
          </w:p>
          <w:p>
            <w:pPr>
              <w:widowControl/>
              <w:textAlignment w:val="center"/>
              <w:rPr>
                <w:rFonts w:eastAsia="仿宋_GB2312"/>
                <w:color w:val="000000"/>
                <w:sz w:val="24"/>
                <w:szCs w:val="24"/>
              </w:rPr>
            </w:pPr>
            <w:r>
              <w:rPr>
                <w:rFonts w:eastAsia="仿宋_GB2312"/>
                <w:color w:val="000000"/>
                <w:kern w:val="0"/>
                <w:sz w:val="24"/>
                <w:szCs w:val="24"/>
                <w:lang w:bidi="ar"/>
              </w:rPr>
              <w:t>下一代防火墙板卡：1）吞吐量≥320Gbps，并发连接≥1800万,每秒新建连接≥100万；功能全开吞吐量≥40G（可通过多块板卡叠加实现）2）5年IPS、WAF、AV、负载均衡特征升级服务。</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r>
      <w:tr>
        <w:tblPrEx>
          <w:tblCellMar>
            <w:top w:w="0" w:type="dxa"/>
            <w:left w:w="108" w:type="dxa"/>
            <w:bottom w:w="0" w:type="dxa"/>
            <w:right w:w="108" w:type="dxa"/>
          </w:tblCellMar>
        </w:tblPrEx>
        <w:trPr>
          <w:trHeight w:val="148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8</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国家电子政务网出口防火墙</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支持防火墙基本功能，支持基于IP地址段、端口号、协议、时间段的访问控制策略，支持静态路由、OSPF、BGP等常用路由协议，支持策略路由，支持一对一、多对一NAT地址转换。</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吞吐量≥8Gbps，并发连接≥300万,新建连接数≥7万，千兆光口≥6个，冗余电源。</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2</w:t>
            </w:r>
          </w:p>
        </w:tc>
      </w:tr>
      <w:tr>
        <w:tblPrEx>
          <w:tblCellMar>
            <w:top w:w="0" w:type="dxa"/>
            <w:left w:w="108" w:type="dxa"/>
            <w:bottom w:w="0" w:type="dxa"/>
            <w:right w:w="108" w:type="dxa"/>
          </w:tblCellMar>
        </w:tblPrEx>
        <w:trPr>
          <w:trHeight w:val="3119"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9</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sz w:val="24"/>
                <w:szCs w:val="24"/>
              </w:rPr>
            </w:pPr>
            <w:r>
              <w:rPr>
                <w:rFonts w:eastAsia="仿宋_GB2312"/>
                <w:color w:val="000000"/>
                <w:kern w:val="0"/>
                <w:sz w:val="24"/>
                <w:szCs w:val="24"/>
                <w:lang w:bidi="ar"/>
              </w:rPr>
              <w:t>安全管理系统</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支持综合展示、威胁处置、日志分析、报表管理、运维管理等功能；</w:t>
            </w:r>
          </w:p>
          <w:p>
            <w:pPr>
              <w:widowControl/>
              <w:textAlignment w:val="center"/>
              <w:rPr>
                <w:rFonts w:eastAsia="仿宋_GB2312"/>
                <w:color w:val="000000"/>
                <w:sz w:val="24"/>
                <w:szCs w:val="24"/>
              </w:rPr>
            </w:pPr>
            <w:r>
              <w:rPr>
                <w:rFonts w:eastAsia="仿宋_GB2312"/>
                <w:color w:val="000000"/>
                <w:kern w:val="0"/>
                <w:sz w:val="24"/>
                <w:szCs w:val="24"/>
                <w:lang w:bidi="ar"/>
              </w:rPr>
              <w:t>支持对操作员账号的进行创建、删除和修改操作，设置访问控制策略，支持设置登录参数，解除锁定用户；支持对安全设备进行集中管理、配置下发、版本管理、特征库管理；配置满足本次要求安全设备数量的license</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支持管理安全设备≥200台，设备日志保存天数≥180天。</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color w:val="000000"/>
                <w:sz w:val="24"/>
                <w:szCs w:val="24"/>
              </w:rPr>
            </w:pPr>
            <w:r>
              <w:rPr>
                <w:rFonts w:eastAsia="仿宋_GB2312"/>
                <w:color w:val="000000"/>
                <w:kern w:val="0"/>
                <w:sz w:val="24"/>
                <w:szCs w:val="24"/>
                <w:lang w:bidi="ar"/>
              </w:rPr>
              <w:t>1</w:t>
            </w:r>
          </w:p>
        </w:tc>
      </w:tr>
      <w:tr>
        <w:tblPrEx>
          <w:tblCellMar>
            <w:top w:w="0" w:type="dxa"/>
            <w:left w:w="108" w:type="dxa"/>
            <w:bottom w:w="0" w:type="dxa"/>
            <w:right w:w="108" w:type="dxa"/>
          </w:tblCellMar>
        </w:tblPrEx>
        <w:trPr>
          <w:trHeight w:val="1569"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kern w:val="0"/>
                <w:sz w:val="24"/>
                <w:szCs w:val="24"/>
                <w:lang w:bidi="ar"/>
              </w:rPr>
            </w:pPr>
            <w:r>
              <w:rPr>
                <w:rFonts w:eastAsia="仿宋_GB2312"/>
                <w:kern w:val="0"/>
                <w:sz w:val="24"/>
                <w:szCs w:val="24"/>
                <w:lang w:bidi="ar"/>
              </w:rPr>
              <w:t>10</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kern w:val="0"/>
                <w:sz w:val="24"/>
                <w:szCs w:val="24"/>
                <w:lang w:bidi="ar"/>
              </w:rPr>
            </w:pPr>
            <w:r>
              <w:rPr>
                <w:rFonts w:eastAsia="仿宋_GB2312"/>
                <w:kern w:val="0"/>
                <w:sz w:val="24"/>
                <w:szCs w:val="24"/>
                <w:lang w:bidi="ar"/>
              </w:rPr>
              <w:t>公共接入区安全网关</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kern w:val="0"/>
                <w:sz w:val="24"/>
                <w:szCs w:val="24"/>
                <w:lang w:bidi="ar"/>
              </w:rPr>
            </w:pPr>
            <w:r>
              <w:rPr>
                <w:rFonts w:eastAsia="仿宋_GB2312"/>
                <w:kern w:val="0"/>
                <w:sz w:val="24"/>
                <w:szCs w:val="24"/>
                <w:lang w:bidi="ar"/>
              </w:rPr>
              <w:t>支持不同运营商接入，需具备防火墙、IPS、负载均衡、流控等功能；接口配置：≥24个万兆接口；光模块按需配置。</w:t>
            </w:r>
          </w:p>
          <w:p>
            <w:pPr>
              <w:widowControl/>
              <w:textAlignment w:val="center"/>
              <w:rPr>
                <w:rFonts w:eastAsia="仿宋_GB2312"/>
                <w:kern w:val="0"/>
                <w:sz w:val="24"/>
                <w:szCs w:val="24"/>
                <w:lang w:bidi="ar"/>
              </w:rPr>
            </w:pPr>
            <w:r>
              <w:rPr>
                <w:rFonts w:eastAsia="仿宋_GB2312"/>
                <w:kern w:val="0"/>
                <w:sz w:val="24"/>
                <w:szCs w:val="24"/>
                <w:lang w:bidi="ar"/>
              </w:rPr>
              <w:t>配置下一代防火墙板卡：1）吞吐量≥160Gbps，并发连接≥1500万,新建连接≥30万；2）IPS、AV、负载均衡特征升级服务。</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仿宋_GB2312"/>
                <w:kern w:val="0"/>
                <w:sz w:val="24"/>
                <w:szCs w:val="24"/>
                <w:lang w:bidi="ar"/>
              </w:rPr>
            </w:pPr>
            <w:r>
              <w:rPr>
                <w:rFonts w:eastAsia="仿宋_GB2312"/>
                <w:kern w:val="0"/>
                <w:sz w:val="24"/>
                <w:szCs w:val="24"/>
                <w:lang w:bidi="ar"/>
              </w:rPr>
              <w:t>2</w:t>
            </w:r>
          </w:p>
        </w:tc>
      </w:tr>
      <w:tr>
        <w:tblPrEx>
          <w:tblCellMar>
            <w:top w:w="0" w:type="dxa"/>
            <w:left w:w="108" w:type="dxa"/>
            <w:bottom w:w="0" w:type="dxa"/>
            <w:right w:w="108" w:type="dxa"/>
          </w:tblCellMar>
        </w:tblPrEx>
        <w:trPr>
          <w:trHeight w:val="181"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11</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sz w:val="24"/>
                <w:szCs w:val="24"/>
              </w:rPr>
              <w:t>大屏显示系统</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1套后维护LED高清显示屏，有效显示尺寸5.4米*2.4米，像素点间距≤0.95mm。平整度≤0.1mm，白平衡亮度：50-600cd/m²可调节，水平可视角度≥160°，垂直可视角度≥160°，亮度可通过手动或自动进行调整，灰度等级≤14bit，物理分辨率不低于5760*2160。视频拼接器支持≥12路输入通道，≥12路输出通道，双电源供电。配电系统支持12路开关量输入和10路开关量输出。</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4"/>
                <w:szCs w:val="24"/>
              </w:rPr>
            </w:pPr>
            <w:r>
              <w:rPr>
                <w:rFonts w:eastAsia="仿宋_GB2312"/>
                <w:color w:val="000000"/>
                <w:sz w:val="24"/>
                <w:szCs w:val="24"/>
              </w:rPr>
              <w:t>1</w:t>
            </w:r>
          </w:p>
        </w:tc>
      </w:tr>
      <w:tr>
        <w:tblPrEx>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12</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sz w:val="24"/>
                <w:szCs w:val="24"/>
              </w:rPr>
            </w:pPr>
            <w:r>
              <w:rPr>
                <w:rFonts w:eastAsia="仿宋_GB2312"/>
                <w:sz w:val="24"/>
                <w:szCs w:val="24"/>
              </w:rPr>
              <w:t>切换系统</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高清混合矩阵支持全数字零压缩数字快速切换，数字信号输出支持DVI、HDMI等多种格式信号，输入支持DVI、HDMI、VGA、HD-SDI、3D-SDI、YPbPr、C-Video、网口、光纤、网络流媒体，支持1卡4路两种信号类型等多种格式信号，内置视频信号处理核心，实现视频信号数字降噪滤波，有效提高信号传输质量。支持RS-232串口控制或RJ45网络接口远程控制。</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1</w:t>
            </w:r>
          </w:p>
        </w:tc>
      </w:tr>
      <w:tr>
        <w:tblPrEx>
          <w:tblCellMar>
            <w:top w:w="0" w:type="dxa"/>
            <w:left w:w="108" w:type="dxa"/>
            <w:bottom w:w="0" w:type="dxa"/>
            <w:right w:w="108" w:type="dxa"/>
          </w:tblCellMar>
        </w:tblPrEx>
        <w:trPr>
          <w:trHeight w:val="7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13</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sz w:val="24"/>
                <w:szCs w:val="24"/>
              </w:rPr>
              <w:t>扩声系统</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调音台支持≥12个输入通道，≥4个输出通道，≥1个耳机通道，支持线路输出，立体声输出，显示器输出。</w:t>
            </w:r>
          </w:p>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数字音频处理器支持≥8路输入通道，≥8路输出通道，每通道支持8个参数均衡、31频段图示均衡、输出输入延时、分频、输入压缩、输出限幅和电平调整等功能。</w:t>
            </w:r>
          </w:p>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辅助音响支持频率范围：90Hz-16kHz +/-3dB、阻抗≤8Ω。</w:t>
            </w:r>
          </w:p>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功放支持分频、均衡、限幅、延时和次谐波合成器等数字处理能力，信噪比（低于额定1kHz功率，输入阻抗低于8欧姆）。频率响应：20Hz至20kHz。</w:t>
            </w:r>
          </w:p>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音频矩阵支持音频输入端音量衰减控制，静音功能，掉电保护功能，RS-232串接通讯端口。</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1</w:t>
            </w:r>
          </w:p>
        </w:tc>
      </w:tr>
      <w:tr>
        <w:tblPrEx>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14</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color w:val="000000"/>
                <w:kern w:val="0"/>
                <w:sz w:val="24"/>
                <w:szCs w:val="24"/>
                <w:lang w:bidi="ar"/>
              </w:rPr>
              <w:t>集中控制系统</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支持232或485串口连接摄像机、高清混合矩阵、大屏控制器、音频矩阵等设备。支持通过WiFi触摸屏操作摄像机画面的上下、左右移动，设定、调用预置位。支持通过有线触摸屏控制设备的开关机、控制调音台进行音量调整等。提供安装调试服务。</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1</w:t>
            </w:r>
          </w:p>
        </w:tc>
      </w:tr>
      <w:tr>
        <w:tblPrEx>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15</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控制机房系统</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82"/>
              <w:widowControl/>
              <w:ind w:firstLine="0" w:firstLineChars="0"/>
              <w:textAlignment w:val="center"/>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控制台：操作台尺寸长2240mm*宽800mm*高750mm，台板整体厚度不得低于32mm，支持2个工位布局，每工位配备6位国标万能孔插座10A、键盘抽屉1件。</w:t>
            </w:r>
          </w:p>
          <w:p>
            <w:pPr>
              <w:pStyle w:val="182"/>
              <w:widowControl/>
              <w:ind w:firstLine="0" w:firstLineChars="0"/>
              <w:textAlignment w:val="center"/>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监控大屏尺寸：65英寸，支持最大分辨率3840*2160，屏幕比例:</w:t>
            </w:r>
            <w:r>
              <w:rPr>
                <w:rFonts w:ascii="Times New Roman" w:hAnsi="Times New Roman" w:eastAsia="仿宋_GB2312"/>
                <w:sz w:val="24"/>
                <w:szCs w:val="24"/>
              </w:rPr>
              <w:fldChar w:fldCharType="begin"/>
            </w:r>
            <w:r>
              <w:rPr>
                <w:rFonts w:ascii="Times New Roman" w:hAnsi="Times New Roman" w:eastAsia="仿宋_GB2312"/>
                <w:sz w:val="24"/>
                <w:szCs w:val="24"/>
              </w:rPr>
              <w:instrText xml:space="preserve">HYPERLINK "http://detail.zol.com.cn/lcd/p5912/"</w:instrText>
            </w:r>
            <w:r>
              <w:rPr>
                <w:rFonts w:ascii="Times New Roman" w:hAnsi="Times New Roman" w:eastAsia="仿宋_GB2312"/>
                <w:sz w:val="24"/>
                <w:szCs w:val="24"/>
              </w:rPr>
              <w:fldChar w:fldCharType="separate"/>
            </w:r>
            <w:r>
              <w:rPr>
                <w:rStyle w:val="69"/>
                <w:rFonts w:ascii="Times New Roman" w:hAnsi="Times New Roman" w:eastAsia="仿宋_GB2312"/>
                <w:color w:val="000000"/>
                <w:sz w:val="24"/>
                <w:szCs w:val="24"/>
                <w:lang w:bidi="ar"/>
              </w:rPr>
              <w:t>16:9（宽屏）</w:t>
            </w:r>
            <w:r>
              <w:rPr>
                <w:rStyle w:val="69"/>
                <w:rFonts w:ascii="Times New Roman" w:hAnsi="Times New Roman" w:eastAsia="仿宋_GB2312"/>
                <w:color w:val="000000"/>
                <w:sz w:val="24"/>
                <w:szCs w:val="24"/>
                <w:lang w:bidi="ar"/>
              </w:rPr>
              <w:fldChar w:fldCharType="end"/>
            </w:r>
            <w:r>
              <w:rPr>
                <w:rFonts w:ascii="Times New Roman" w:hAnsi="Times New Roman" w:eastAsia="仿宋_GB2312"/>
                <w:color w:val="000000"/>
                <w:sz w:val="24"/>
                <w:szCs w:val="24"/>
                <w:lang w:bidi="ar"/>
              </w:rPr>
              <w:t>，支持HDMI输入。</w:t>
            </w:r>
          </w:p>
          <w:p>
            <w:pPr>
              <w:pStyle w:val="182"/>
              <w:ind w:firstLine="0" w:firstLineChars="0"/>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监视器：尺寸22寸，支持最大分辨率:1920×1080，支持视频输入：HDMI,VGA,BNC复合视频。</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p>
        </w:tc>
      </w:tr>
      <w:tr>
        <w:tblPrEx>
          <w:tblCellMar>
            <w:top w:w="0" w:type="dxa"/>
            <w:left w:w="108" w:type="dxa"/>
            <w:bottom w:w="0" w:type="dxa"/>
            <w:right w:w="108" w:type="dxa"/>
          </w:tblCellMar>
        </w:tblPrEx>
        <w:trPr>
          <w:trHeight w:val="9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16</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sz w:val="24"/>
                <w:szCs w:val="24"/>
              </w:rPr>
              <w:t>会议发言系统</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82"/>
              <w:ind w:firstLine="0" w:firstLineChars="0"/>
              <w:jc w:val="left"/>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数字化发言系统主机具备发言讨论功能、投票表决功能、支持48kHz音频采样频率，1000席会议表决统计时间&lt;1毫秒，显示时间&lt;0.5秒。</w:t>
            </w:r>
          </w:p>
          <w:p>
            <w:pPr>
              <w:pStyle w:val="182"/>
              <w:ind w:firstLine="0" w:firstLineChars="0"/>
              <w:jc w:val="left"/>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数字化发言系统扩展主机支持同时实现交互式会议控制管理（发言、表决、同传）以及会议服务等功能，支持电容式触摸屏，支持多点触控功能，支持“环形手拉手”连接。</w:t>
            </w:r>
          </w:p>
          <w:p>
            <w:pPr>
              <w:pStyle w:val="182"/>
              <w:ind w:firstLine="0" w:firstLineChars="0"/>
              <w:jc w:val="left"/>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台面式数字化发言系统代表单元支持48kHz音频采样频率，64通道频率响应30Hz至20kHz，支持“环形手拉手”连接，支持分机单元麦克风增益和EQ独立可调。</w:t>
            </w:r>
          </w:p>
          <w:p>
            <w:pPr>
              <w:pStyle w:val="182"/>
              <w:ind w:firstLine="0" w:firstLineChars="0"/>
              <w:jc w:val="left"/>
              <w:rPr>
                <w:rFonts w:ascii="Times New Roman" w:hAnsi="Times New Roman" w:eastAsia="仿宋_GB2312"/>
                <w:color w:val="000000"/>
                <w:sz w:val="24"/>
                <w:szCs w:val="24"/>
                <w:lang w:bidi="ar"/>
              </w:rPr>
            </w:pPr>
            <w:r>
              <w:rPr>
                <w:rFonts w:ascii="Times New Roman" w:hAnsi="Times New Roman" w:eastAsia="仿宋_GB2312"/>
                <w:color w:val="000000"/>
                <w:sz w:val="24"/>
                <w:szCs w:val="24"/>
                <w:lang w:bidi="ar"/>
              </w:rPr>
              <w:t>数字红外无线会议主机及数字红外无线会议代表单元支持独立调节麦克风灵敏度及EQ，支持各同传通道独立录音功能，支持红外传输技术。提供充电器、充电箱、电池、无线收发器等器材。</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1</w:t>
            </w:r>
          </w:p>
        </w:tc>
      </w:tr>
      <w:tr>
        <w:tblPrEx>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17</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sz w:val="24"/>
                <w:szCs w:val="24"/>
              </w:rPr>
              <w:t>移动办公VPN服务</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仿宋_GB2312"/>
                <w:color w:val="000000"/>
                <w:kern w:val="0"/>
                <w:sz w:val="24"/>
                <w:szCs w:val="24"/>
                <w:lang w:bidi="ar"/>
              </w:rPr>
            </w:pPr>
            <w:r>
              <w:rPr>
                <w:rFonts w:eastAsia="仿宋_GB2312"/>
                <w:color w:val="000000"/>
                <w:kern w:val="0"/>
                <w:sz w:val="24"/>
                <w:szCs w:val="24"/>
                <w:lang w:bidi="ar"/>
              </w:rPr>
              <w:t>提供SSL VPN移动办公接入服务，包括账号申请、流程配置、客服咨询，开通变更、安装运维等服务。</w:t>
            </w:r>
          </w:p>
          <w:p>
            <w:pPr>
              <w:widowControl/>
              <w:jc w:val="left"/>
              <w:textAlignment w:val="center"/>
              <w:rPr>
                <w:rFonts w:eastAsia="仿宋_GB2312"/>
                <w:sz w:val="24"/>
                <w:szCs w:val="24"/>
                <w:lang w:bidi="ar"/>
              </w:rPr>
            </w:pPr>
            <w:r>
              <w:rPr>
                <w:rFonts w:eastAsia="仿宋_GB2312"/>
                <w:color w:val="000000"/>
                <w:kern w:val="0"/>
                <w:sz w:val="24"/>
                <w:szCs w:val="24"/>
                <w:lang w:bidi="ar"/>
              </w:rPr>
              <w:t>支持国家商用密码算法，包括：SM2,SM3,SM4算法，支持USB KEY（不少于300个）、短信认证、数字证书等认证方式；支持针对用户/用户组设置认证方式的与、或组合，支持国产arm、mips、x86等芯片架构与国产麒麟、统信UOS操作系统主流版本任意组合使用。主备冗余方式部署。</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color w:val="000000"/>
                <w:kern w:val="0"/>
                <w:sz w:val="24"/>
                <w:szCs w:val="24"/>
                <w:lang w:bidi="ar"/>
              </w:rPr>
            </w:pPr>
            <w:r>
              <w:rPr>
                <w:rFonts w:eastAsia="仿宋_GB2312"/>
                <w:color w:val="000000"/>
                <w:kern w:val="0"/>
                <w:sz w:val="24"/>
                <w:szCs w:val="24"/>
                <w:lang w:bidi="ar"/>
              </w:rPr>
              <w:t>满足10000用户接入需求，且并发用户数不小于3000；</w:t>
            </w:r>
          </w:p>
          <w:p>
            <w:pPr>
              <w:widowControl/>
              <w:textAlignment w:val="center"/>
              <w:rPr>
                <w:rFonts w:eastAsia="仿宋_GB2312"/>
                <w:color w:val="000000"/>
                <w:kern w:val="0"/>
                <w:sz w:val="24"/>
                <w:szCs w:val="24"/>
                <w:lang w:bidi="ar"/>
              </w:rPr>
            </w:pPr>
            <w:r>
              <w:rPr>
                <w:rFonts w:eastAsia="仿宋_GB2312"/>
                <w:color w:val="000000"/>
                <w:kern w:val="0"/>
                <w:sz w:val="24"/>
                <w:szCs w:val="24"/>
                <w:lang w:bidi="ar"/>
              </w:rPr>
              <w:t>满足对于单用户日常办公使用流量要求不小于50KB；</w:t>
            </w:r>
          </w:p>
          <w:p>
            <w:pPr>
              <w:widowControl/>
              <w:textAlignment w:val="center"/>
              <w:rPr>
                <w:rFonts w:eastAsia="仿宋_GB2312"/>
                <w:color w:val="000000"/>
                <w:kern w:val="0"/>
                <w:sz w:val="24"/>
                <w:szCs w:val="24"/>
                <w:lang w:bidi="ar"/>
              </w:rPr>
            </w:pPr>
            <w:r>
              <w:rPr>
                <w:rFonts w:eastAsia="仿宋_GB2312"/>
                <w:color w:val="000000"/>
                <w:kern w:val="0"/>
                <w:sz w:val="24"/>
                <w:szCs w:val="24"/>
                <w:lang w:bidi="ar"/>
              </w:rPr>
              <w:t>满足对于单用户日常文件传输流量要求不小于200KB；</w:t>
            </w:r>
          </w:p>
          <w:p>
            <w:pPr>
              <w:widowControl/>
              <w:textAlignment w:val="center"/>
              <w:rPr>
                <w:rFonts w:eastAsia="仿宋_GB2312"/>
                <w:color w:val="000000"/>
                <w:kern w:val="0"/>
                <w:sz w:val="24"/>
                <w:szCs w:val="24"/>
                <w:lang w:bidi="ar"/>
              </w:rPr>
            </w:pPr>
            <w:r>
              <w:rPr>
                <w:rFonts w:eastAsia="仿宋_GB2312"/>
                <w:color w:val="000000"/>
                <w:kern w:val="0"/>
                <w:sz w:val="24"/>
                <w:szCs w:val="24"/>
                <w:lang w:bidi="ar"/>
              </w:rPr>
              <w:t>日志审计历史数据存储时间不少于6个月。</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1</w:t>
            </w:r>
          </w:p>
        </w:tc>
      </w:tr>
      <w:tr>
        <w:tblPrEx>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18</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抗DDOS防护服务</w:t>
            </w:r>
          </w:p>
        </w:tc>
        <w:tc>
          <w:tcPr>
            <w:tcW w:w="1741"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sz w:val="24"/>
                <w:szCs w:val="24"/>
              </w:rPr>
              <w:t>支持对互联网流入流量进行监控，发现针对网络或服务器的DDoS攻击，及时通知告警，攻击发生并对业务产生影响时，启动流量清洗。</w:t>
            </w:r>
          </w:p>
          <w:p>
            <w:pPr>
              <w:rPr>
                <w:rFonts w:eastAsia="仿宋_GB2312"/>
                <w:color w:val="000000"/>
                <w:sz w:val="24"/>
                <w:szCs w:val="24"/>
              </w:rPr>
            </w:pPr>
            <w:r>
              <w:rPr>
                <w:rFonts w:eastAsia="仿宋_GB2312"/>
                <w:sz w:val="24"/>
                <w:szCs w:val="24"/>
              </w:rPr>
              <w:t>清洗中心支持云端部署，支持网络层/传输层（L3/4）DDoS攻击防护。支持防御各种DDoS攻击、CC攻击、畸形包攻击和多种扫描窥探型攻击。支持按月提供攻击防护监控报告。</w:t>
            </w:r>
          </w:p>
        </w:tc>
        <w:tc>
          <w:tcPr>
            <w:tcW w:w="1669" w:type="pct"/>
            <w:tcBorders>
              <w:top w:val="single" w:color="000000" w:sz="4" w:space="0"/>
              <w:left w:val="single" w:color="000000" w:sz="4" w:space="0"/>
              <w:bottom w:val="single" w:color="000000" w:sz="4" w:space="0"/>
              <w:right w:val="single" w:color="000000" w:sz="4" w:space="0"/>
            </w:tcBorders>
            <w:noWrap w:val="0"/>
            <w:vAlign w:val="center"/>
          </w:tcPr>
          <w:p>
            <w:pPr>
              <w:widowControl/>
              <w:ind w:firstLine="480"/>
              <w:textAlignment w:val="center"/>
              <w:rPr>
                <w:rFonts w:eastAsia="仿宋_GB2312"/>
                <w:color w:val="000000"/>
                <w:kern w:val="0"/>
                <w:sz w:val="24"/>
                <w:szCs w:val="24"/>
                <w:lang w:bidi="ar"/>
              </w:rPr>
            </w:pPr>
            <w:r>
              <w:rPr>
                <w:rFonts w:eastAsia="仿宋_GB2312"/>
                <w:color w:val="000000"/>
                <w:kern w:val="0"/>
                <w:sz w:val="24"/>
                <w:szCs w:val="24"/>
                <w:lang w:bidi="ar"/>
              </w:rPr>
              <w:t>清洗中心数量不低于8个，清洗能力超过1Tbps,防护响应时间不超过15分钟，流量清洗秒级生效，整体网络延迟小于20ms。</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4"/>
                <w:szCs w:val="24"/>
              </w:rPr>
            </w:pPr>
            <w:r>
              <w:rPr>
                <w:rFonts w:eastAsia="仿宋_GB2312"/>
                <w:color w:val="000000"/>
                <w:sz w:val="24"/>
                <w:szCs w:val="24"/>
              </w:rPr>
              <w:t>1</w:t>
            </w:r>
          </w:p>
        </w:tc>
      </w:tr>
      <w:tr>
        <w:tblPrEx>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color w:val="000000"/>
                <w:sz w:val="24"/>
                <w:szCs w:val="24"/>
              </w:rPr>
            </w:pPr>
            <w:r>
              <w:rPr>
                <w:rFonts w:eastAsia="仿宋_GB2312"/>
                <w:color w:val="000000"/>
                <w:sz w:val="24"/>
                <w:szCs w:val="24"/>
              </w:rPr>
              <w:t>19</w:t>
            </w:r>
          </w:p>
        </w:tc>
        <w:tc>
          <w:tcPr>
            <w:tcW w:w="695" w:type="pct"/>
            <w:tcBorders>
              <w:top w:val="single" w:color="000000" w:sz="4" w:space="0"/>
              <w:left w:val="single" w:color="000000" w:sz="4" w:space="0"/>
              <w:bottom w:val="single" w:color="000000" w:sz="4" w:space="0"/>
              <w:right w:val="single" w:color="000000" w:sz="4" w:space="0"/>
            </w:tcBorders>
            <w:noWrap w:val="0"/>
            <w:vAlign w:val="center"/>
          </w:tcPr>
          <w:p>
            <w:pPr>
              <w:pStyle w:val="985"/>
              <w:tabs>
                <w:tab w:val="left" w:pos="420"/>
              </w:tabs>
              <w:spacing w:beforeLines="0" w:line="240" w:lineRule="auto"/>
              <w:ind w:left="0"/>
              <w:jc w:val="left"/>
              <w:rPr>
                <w:rFonts w:ascii="Times New Roman" w:hAnsi="Times New Roman" w:eastAsia="仿宋_GB2312"/>
                <w:sz w:val="24"/>
                <w:szCs w:val="24"/>
              </w:rPr>
            </w:pPr>
            <w:r>
              <w:rPr>
                <w:rFonts w:ascii="Times New Roman" w:hAnsi="Times New Roman" w:eastAsia="仿宋_GB2312"/>
                <w:sz w:val="24"/>
                <w:szCs w:val="24"/>
              </w:rPr>
              <w:t>等保及密评服务</w:t>
            </w:r>
          </w:p>
        </w:tc>
        <w:tc>
          <w:tcPr>
            <w:tcW w:w="34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eastAsia="仿宋_GB2312"/>
                <w:sz w:val="24"/>
                <w:szCs w:val="24"/>
              </w:rPr>
            </w:pPr>
            <w:r>
              <w:rPr>
                <w:rFonts w:eastAsia="仿宋_GB2312"/>
                <w:sz w:val="24"/>
                <w:szCs w:val="24"/>
              </w:rPr>
              <w:t>配合完成浙江省电子政务网络等保测评及商用密码应用安全性评估并承担相应费用。</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sz w:val="24"/>
                <w:szCs w:val="24"/>
              </w:rPr>
            </w:pPr>
            <w:r>
              <w:rPr>
                <w:rFonts w:eastAsia="仿宋_GB2312"/>
                <w:color w:val="000000"/>
                <w:sz w:val="24"/>
                <w:szCs w:val="24"/>
              </w:rPr>
              <w:t>1</w:t>
            </w:r>
          </w:p>
        </w:tc>
      </w:tr>
    </w:tbl>
    <w:p>
      <w:pPr>
        <w:pStyle w:val="2"/>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*省级单位接入线路、PE设备类型1和省级单位接入PE设备类型2按照采购单位实际需求开通和调整。</w:t>
      </w: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3.网络运维服务</w:t>
      </w:r>
    </w:p>
    <w:p>
      <w:pPr>
        <w:pStyle w:val="985"/>
        <w:tabs>
          <w:tab w:val="left" w:pos="420"/>
        </w:tabs>
        <w:spacing w:beforeLines="0" w:line="240" w:lineRule="auto"/>
        <w:ind w:left="0"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提供省电子政务网络整套运维服务。包括传输网和数据网的运维服务。在服务期内，需提供以下形式的服务：</w:t>
      </w:r>
    </w:p>
    <w:tbl>
      <w:tblPr>
        <w:tblStyle w:val="5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jc w:val="center"/>
              <w:rPr>
                <w:rFonts w:ascii="Times New Roman" w:hAnsi="Times New Roman" w:eastAsia="黑体"/>
                <w:sz w:val="24"/>
                <w:szCs w:val="24"/>
              </w:rPr>
            </w:pPr>
            <w:r>
              <w:rPr>
                <w:rFonts w:ascii="Times New Roman" w:hAnsi="Times New Roman" w:eastAsia="黑体"/>
                <w:sz w:val="24"/>
                <w:szCs w:val="24"/>
              </w:rPr>
              <w:t>指标项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jc w:val="center"/>
              <w:rPr>
                <w:rFonts w:ascii="Times New Roman" w:hAnsi="Times New Roman" w:eastAsia="黑体"/>
                <w:sz w:val="24"/>
                <w:szCs w:val="24"/>
              </w:rPr>
            </w:pPr>
            <w:r>
              <w:rPr>
                <w:rFonts w:ascii="Times New Roman" w:hAnsi="Times New Roman" w:eastAsia="黑体"/>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服务范围及稳定性要求</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负责运维省级政务网及省到市的骨干网。保障网络稳定运行，保障全年网络通畅率99.95%以上。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现场驻场服务</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提供数据网驻场服务1年，主要用于对省电子政务网核心的维护，包括对网络进行优化服务，如路由协议和路由策略优化、网络设备配置优化、网络结构优化等服务（含省政府办公厅、省大数据局办公局域网）。服务期内按需提供技术专家赴现场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定期巡检服务</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按月完成定期巡检并提供巡检报告，包括带宽利用率、异常流量、设备性能、出口流量等。出现严重事故需及时通知用户方。每季度提供各接入点巡检报告，按年提供年度总结报告。电话、邮箱、现场服务等形式应有服务记录备查，保留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日常故障处理</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提供运维服务团队，团队人员相对稳定，响应时间5分钟之内，2个小时解决端到端之间的问题，4小时内无法解决故障需提供备机服务。在电话响应未能解决的情况下，需要提供现场服务解决问题。对于影响系统正常运行的严重故障，需安排工程师及其它相关技术人员查找原因，提出解决方案，并工作至故障修复完全恢复正常服务为止。</w:t>
            </w:r>
          </w:p>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提供日志分析服务：对主平面所有日志（包括网络流量日志、链路状态日志、设备故障日志、操作日志、调度日志等）提供数据汇总分析、监测预警、响应处置服务。</w:t>
            </w:r>
          </w:p>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提供日常运维服务：基于主平面网络运维管理系统，实施监测设备链路运行感知，制定监测指标、告警阈值，发现问题及时拉通有关单位、人员响应处置。</w:t>
            </w:r>
          </w:p>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提供日志分析服务：对备平面所有日志（包括网络流量日志、链路状态日志、设备故障日志、操作日志、调度日志等）提供数据汇总分析、监测预警、响应处置服务。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重大会议保障服务</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针对重大会议（如两会、数改专题会议）等提供重点保障服务，包括会前现场调试、会中现场保及会后故障分析（如有故障）等。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其它服务</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提供技术咨询服务、特殊事件支持服务、网络或设备性能调优服务、业务割接或系统升级支持服务、辅助故障支持服务、输出应急方案等。特殊事件支持、业务割接或系统升级等相关情况，按需提供必要的预案准备，并根据实际情况提供相应级别的现场专人保障服务。</w:t>
            </w:r>
          </w:p>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通过热线电话受理用户方反馈的问题，提供7*24小时的电话技术支持服务，提供移动办公用户VPN咨询、技术支撑等服务。</w:t>
            </w:r>
          </w:p>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现机房设备迁移IDC机房服务，现机房日常环境运维（整改）、线路整理、标签补贴等，现机房包括省行政中心1号楼网络机房、服务器机房、配电机房、UPS机房、弥驼山机房等。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noWrap w:val="0"/>
            <w:vAlign w:val="center"/>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安全要求</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985"/>
              <w:tabs>
                <w:tab w:val="left" w:pos="420"/>
              </w:tabs>
              <w:spacing w:beforeLines="0" w:line="240" w:lineRule="auto"/>
              <w:ind w:left="0"/>
              <w:rPr>
                <w:rFonts w:ascii="Times New Roman" w:hAnsi="Times New Roman" w:eastAsia="仿宋_GB2312"/>
                <w:sz w:val="24"/>
                <w:szCs w:val="24"/>
              </w:rPr>
            </w:pPr>
            <w:r>
              <w:rPr>
                <w:rFonts w:ascii="Times New Roman" w:hAnsi="Times New Roman" w:eastAsia="仿宋_GB2312"/>
                <w:sz w:val="24"/>
                <w:szCs w:val="24"/>
              </w:rPr>
              <w:t>提供主平面设备、系统资产安全运维服务：资产统一接入运维安全审计系统，收敛管理路径；远程运维通道与移动办公服务通道隔离，遵从等保和密评合规性要求。定期梳理更新资产清单，常态化开展资产隐患排查整改，包括但不限于资产暴露面收敛、身份鉴别、弱口令、高危端口、高危漏洞等安全隐患，做好安全策略加固。</w:t>
            </w:r>
          </w:p>
        </w:tc>
      </w:tr>
    </w:tbl>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二、服务团队及期限要求</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bookmarkStart w:id="37" w:name="_Toc16462"/>
      <w:r>
        <w:rPr>
          <w:rFonts w:ascii="Times New Roman" w:hAnsi="Times New Roman" w:eastAsia="楷体" w:cs="Times New Roman"/>
          <w:b w:val="0"/>
          <w:bCs w:val="0"/>
        </w:rPr>
        <w:t>（一）服务团队</w:t>
      </w:r>
      <w:bookmarkEnd w:id="37"/>
    </w:p>
    <w:p>
      <w:pPr>
        <w:widowControl/>
        <w:ind w:firstLine="560"/>
        <w:rPr>
          <w:rFonts w:eastAsia="仿宋_GB2312" w:cs="Times New Roman"/>
          <w:sz w:val="32"/>
          <w:szCs w:val="32"/>
        </w:rPr>
      </w:pPr>
      <w:r>
        <w:rPr>
          <w:rFonts w:eastAsia="仿宋_GB2312" w:cs="Times New Roman"/>
          <w:sz w:val="32"/>
          <w:szCs w:val="32"/>
        </w:rPr>
        <w:t>项目服务团队人员组成及实施要求，项目成员必须为本</w:t>
      </w:r>
      <w:r>
        <w:rPr>
          <w:rFonts w:eastAsia="仿宋_GB2312" w:cs="Times New Roman"/>
          <w:kern w:val="0"/>
          <w:sz w:val="32"/>
          <w:szCs w:val="32"/>
        </w:rPr>
        <w:t>公司正式员工</w:t>
      </w:r>
      <w:r>
        <w:rPr>
          <w:rFonts w:hint="eastAsia" w:eastAsia="仿宋_GB2312" w:cs="Times New Roman"/>
          <w:kern w:val="0"/>
          <w:sz w:val="32"/>
          <w:szCs w:val="32"/>
        </w:rPr>
        <w:t>。</w:t>
      </w:r>
    </w:p>
    <w:p>
      <w:pPr>
        <w:ind w:firstLine="640" w:firstLineChars="200"/>
        <w:outlineLvl w:val="2"/>
        <w:rPr>
          <w:rFonts w:eastAsia="仿宋_GB2312" w:cs="Times New Roman"/>
          <w:sz w:val="32"/>
          <w:szCs w:val="32"/>
        </w:rPr>
      </w:pPr>
      <w:r>
        <w:rPr>
          <w:rFonts w:eastAsia="仿宋_GB2312" w:cs="Times New Roman"/>
          <w:sz w:val="32"/>
          <w:szCs w:val="32"/>
        </w:rPr>
        <w:t>1.项目负责人1名。</w:t>
      </w:r>
    </w:p>
    <w:p>
      <w:pPr>
        <w:widowControl/>
        <w:ind w:firstLine="560"/>
        <w:rPr>
          <w:rFonts w:eastAsia="仿宋_GB2312" w:cs="Times New Roman"/>
          <w:sz w:val="32"/>
          <w:szCs w:val="32"/>
        </w:rPr>
      </w:pPr>
      <w:r>
        <w:rPr>
          <w:rFonts w:eastAsia="仿宋_GB2312" w:cs="Times New Roman"/>
          <w:sz w:val="32"/>
          <w:szCs w:val="32"/>
        </w:rPr>
        <w:t>负责项目整体统筹、推进实施，协同备平面集成商配合及业务验证，需具备以下资质：（共5分）</w:t>
      </w:r>
    </w:p>
    <w:p>
      <w:pPr>
        <w:ind w:firstLine="640" w:firstLineChars="200"/>
        <w:outlineLvl w:val="3"/>
        <w:rPr>
          <w:rFonts w:eastAsia="仿宋_GB2312" w:cs="Times New Roman"/>
          <w:sz w:val="32"/>
          <w:szCs w:val="32"/>
        </w:rPr>
      </w:pPr>
      <w:r>
        <w:rPr>
          <w:rFonts w:eastAsia="仿宋_GB2312" w:cs="Times New Roman"/>
          <w:sz w:val="32"/>
          <w:szCs w:val="32"/>
        </w:rPr>
        <w:t>（1）具有政务外网五年及以上运维经验。（2分）</w:t>
      </w:r>
    </w:p>
    <w:p>
      <w:pPr>
        <w:ind w:firstLine="640" w:firstLineChars="200"/>
        <w:outlineLvl w:val="3"/>
        <w:rPr>
          <w:rFonts w:eastAsia="仿宋_GB2312" w:cs="Times New Roman"/>
          <w:sz w:val="32"/>
          <w:szCs w:val="32"/>
        </w:rPr>
      </w:pPr>
      <w:r>
        <w:rPr>
          <w:rFonts w:eastAsia="仿宋_GB2312" w:cs="Times New Roman"/>
          <w:sz w:val="32"/>
          <w:szCs w:val="32"/>
        </w:rPr>
        <w:t>（2）具备人力社保部门颁发的网络规划设计师证书或同等资质；具备人力社保部门颁发的信息系统项目管理师证书或同等资质；具备人力社保部门颁发的建造师证书通信类或同等资质；具备中国信息安全测评中心认定的注册信息安全专业人员（CISP）证书或同等资质。（3分，一类证书得1分，最多得3分）。</w:t>
      </w:r>
    </w:p>
    <w:p>
      <w:pPr>
        <w:ind w:firstLine="640" w:firstLineChars="200"/>
        <w:outlineLvl w:val="2"/>
        <w:rPr>
          <w:rFonts w:eastAsia="仿宋_GB2312" w:cs="Times New Roman"/>
          <w:sz w:val="32"/>
          <w:szCs w:val="32"/>
        </w:rPr>
      </w:pPr>
      <w:r>
        <w:rPr>
          <w:rFonts w:eastAsia="仿宋_GB2312" w:cs="Times New Roman"/>
          <w:sz w:val="32"/>
          <w:szCs w:val="32"/>
        </w:rPr>
        <w:t>2.项目实施团队不少于10人。</w:t>
      </w:r>
    </w:p>
    <w:p>
      <w:pPr>
        <w:ind w:firstLine="640" w:firstLineChars="200"/>
        <w:outlineLvl w:val="3"/>
        <w:rPr>
          <w:rFonts w:eastAsia="仿宋_GB2312" w:cs="Times New Roman"/>
          <w:sz w:val="32"/>
          <w:szCs w:val="32"/>
        </w:rPr>
      </w:pPr>
      <w:r>
        <w:rPr>
          <w:rFonts w:eastAsia="仿宋_GB2312" w:cs="Times New Roman"/>
          <w:sz w:val="32"/>
          <w:szCs w:val="32"/>
        </w:rPr>
        <w:t>（1）网络实施负责人1名，具备人力社保部门颁发的网络规划设计师证书或同等资质（1分）。</w:t>
      </w:r>
    </w:p>
    <w:p>
      <w:pPr>
        <w:ind w:firstLine="640" w:firstLineChars="200"/>
        <w:outlineLvl w:val="3"/>
        <w:rPr>
          <w:rFonts w:eastAsia="仿宋_GB2312" w:cs="Times New Roman"/>
          <w:sz w:val="32"/>
          <w:szCs w:val="32"/>
        </w:rPr>
      </w:pPr>
      <w:r>
        <w:rPr>
          <w:rFonts w:eastAsia="仿宋_GB2312" w:cs="Times New Roman"/>
          <w:sz w:val="32"/>
          <w:szCs w:val="32"/>
        </w:rPr>
        <w:t>（2）安全实施负责人1名，具备中国信息安全测评中心认定的注册信息安全专业人员（CISP）证书或同等资质（1分）。</w:t>
      </w:r>
    </w:p>
    <w:p>
      <w:pPr>
        <w:ind w:firstLine="640" w:firstLineChars="200"/>
        <w:outlineLvl w:val="3"/>
        <w:rPr>
          <w:rFonts w:eastAsia="仿宋_GB2312" w:cs="Times New Roman"/>
          <w:sz w:val="32"/>
          <w:szCs w:val="32"/>
        </w:rPr>
      </w:pPr>
      <w:r>
        <w:rPr>
          <w:rFonts w:eastAsia="仿宋_GB2312" w:cs="Times New Roman"/>
          <w:sz w:val="32"/>
          <w:szCs w:val="32"/>
        </w:rPr>
        <w:t>（3）项目实施组成员不少于8人，每人应至少具备以下证书（或同等资质）之一（人力社保部门颁发的网络规划设计师证书、网络工程师、信息系统项目管理师证书、系统集成项目管理工程师证书，中国信息安全测评中心认定的注册信息安全专业人员（CISP）证书）（1分）。</w:t>
      </w:r>
    </w:p>
    <w:p>
      <w:pPr>
        <w:ind w:firstLine="640" w:firstLineChars="200"/>
        <w:outlineLvl w:val="2"/>
        <w:rPr>
          <w:rFonts w:eastAsia="仿宋_GB2312" w:cs="Times New Roman"/>
          <w:sz w:val="32"/>
          <w:szCs w:val="32"/>
        </w:rPr>
      </w:pPr>
      <w:r>
        <w:rPr>
          <w:rFonts w:eastAsia="仿宋_GB2312" w:cs="Times New Roman"/>
          <w:sz w:val="32"/>
          <w:szCs w:val="32"/>
        </w:rPr>
        <w:t>3.驻场工程师2名。</w:t>
      </w:r>
    </w:p>
    <w:p>
      <w:pPr>
        <w:widowControl/>
        <w:ind w:firstLine="560"/>
        <w:rPr>
          <w:rFonts w:eastAsia="仿宋_GB2312" w:cs="Times New Roman"/>
          <w:sz w:val="32"/>
          <w:szCs w:val="32"/>
        </w:rPr>
      </w:pPr>
      <w:r>
        <w:rPr>
          <w:rFonts w:eastAsia="仿宋_GB2312" w:cs="Times New Roman"/>
          <w:sz w:val="32"/>
          <w:szCs w:val="32"/>
        </w:rPr>
        <w:t>资质要求：具备人力社保部门颁发的网络工程师或同等资质，至少1人具备人力社保部门颁发的网络规划设计师证书或同等资质。（共2分，满足一条得1分，最多得2分）。</w:t>
      </w:r>
    </w:p>
    <w:p>
      <w:pPr>
        <w:ind w:firstLine="640" w:firstLineChars="200"/>
        <w:outlineLvl w:val="2"/>
        <w:rPr>
          <w:rFonts w:eastAsia="仿宋_GB2312" w:cs="Times New Roman"/>
          <w:sz w:val="32"/>
          <w:szCs w:val="32"/>
        </w:rPr>
      </w:pPr>
      <w:r>
        <w:rPr>
          <w:rFonts w:eastAsia="仿宋_GB2312" w:cs="Times New Roman"/>
          <w:sz w:val="32"/>
          <w:szCs w:val="32"/>
        </w:rPr>
        <w:t>4.后备支持团队。</w:t>
      </w:r>
    </w:p>
    <w:p>
      <w:pPr>
        <w:widowControl/>
        <w:ind w:firstLine="560"/>
        <w:rPr>
          <w:rFonts w:eastAsia="仿宋_GB2312" w:cs="Times New Roman"/>
          <w:sz w:val="32"/>
          <w:szCs w:val="32"/>
        </w:rPr>
      </w:pPr>
      <w:r>
        <w:rPr>
          <w:rFonts w:eastAsia="仿宋_GB2312" w:cs="Times New Roman"/>
          <w:sz w:val="32"/>
          <w:szCs w:val="32"/>
        </w:rPr>
        <w:t>投标人需成立后备支持团队，团队成员至少具备1名IT服务项目经理，至少1名具备人力社保部门颁发的信息系统项目管理师证书或同等资质，至少1名具备人力社保部门颁发的网络规划设计师证书或同等资质，至少1名具备中国信息安全测评中心认定的注册信息安全专业人员（CISP）证书或同等资质，负责二线支撑及紧急故障处理等。（共5分，满足一条得2分，最多得5分）</w:t>
      </w:r>
    </w:p>
    <w:p>
      <w:pPr>
        <w:pStyle w:val="985"/>
        <w:tabs>
          <w:tab w:val="left" w:pos="420"/>
        </w:tabs>
        <w:spacing w:beforeLines="0" w:line="240" w:lineRule="auto"/>
        <w:ind w:left="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证明材料：须提供有效的人员资质证书证明材料且提供持证人员在本单位的近6个月的社保缴纳证明，以上材料加盖本单位有效印章。</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bookmarkStart w:id="38" w:name="_Toc26858"/>
      <w:r>
        <w:rPr>
          <w:rFonts w:ascii="Times New Roman" w:hAnsi="Times New Roman" w:eastAsia="楷体" w:cs="Times New Roman"/>
          <w:b w:val="0"/>
          <w:bCs w:val="0"/>
        </w:rPr>
        <w:t>（二）服务期限</w:t>
      </w:r>
      <w:bookmarkEnd w:id="38"/>
    </w:p>
    <w:p>
      <w:pPr>
        <w:ind w:firstLine="640" w:firstLineChars="200"/>
        <w:rPr>
          <w:rFonts w:eastAsia="仿宋_GB2312" w:cs="Times New Roman"/>
          <w:sz w:val="32"/>
          <w:szCs w:val="32"/>
        </w:rPr>
      </w:pPr>
      <w:r>
        <w:rPr>
          <w:rFonts w:eastAsia="仿宋_GB2312" w:cs="Times New Roman"/>
          <w:sz w:val="32"/>
          <w:szCs w:val="32"/>
        </w:rPr>
        <w:t>服务期：合同签订之日起1年。</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bookmarkStart w:id="39" w:name="_Toc19516977"/>
      <w:r>
        <w:rPr>
          <w:rFonts w:ascii="Times New Roman" w:hAnsi="Times New Roman" w:eastAsia="楷体" w:cs="Times New Roman"/>
          <w:b w:val="0"/>
          <w:bCs w:val="0"/>
        </w:rPr>
        <w:t>（三）故障定级与核定损失额</w:t>
      </w:r>
      <w:bookmarkEnd w:id="39"/>
    </w:p>
    <w:p>
      <w:pPr>
        <w:ind w:firstLine="560"/>
        <w:rPr>
          <w:rFonts w:eastAsia="仿宋_GB2312" w:cs="Times New Roman"/>
          <w:sz w:val="32"/>
          <w:szCs w:val="32"/>
        </w:rPr>
      </w:pPr>
      <w:r>
        <w:rPr>
          <w:rFonts w:eastAsia="仿宋_GB2312" w:cs="Times New Roman"/>
          <w:sz w:val="32"/>
          <w:szCs w:val="32"/>
        </w:rPr>
        <w:t>如中标人未能按合同规定的节点时间完成供货、开通链路、调试及试运行等内容要求，不能按期交付使用，中标人需按照合同金额每天千分之六的比例承担违约金。</w:t>
      </w:r>
    </w:p>
    <w:p>
      <w:pPr>
        <w:ind w:firstLine="560"/>
        <w:rPr>
          <w:rFonts w:eastAsia="仿宋_GB2312" w:cs="Times New Roman"/>
          <w:sz w:val="32"/>
          <w:szCs w:val="32"/>
        </w:rPr>
      </w:pPr>
      <w:r>
        <w:rPr>
          <w:rFonts w:eastAsia="仿宋_GB2312" w:cs="Times New Roman"/>
          <w:sz w:val="32"/>
          <w:szCs w:val="32"/>
        </w:rPr>
        <w:t>故障定级与赔付损失额如下：</w:t>
      </w:r>
    </w:p>
    <w:tbl>
      <w:tblPr>
        <w:tblStyle w:val="5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8"/>
        <w:gridCol w:w="2802"/>
        <w:gridCol w:w="2465"/>
        <w:gridCol w:w="2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 w:hRule="atLeast"/>
          <w:jc w:val="center"/>
        </w:trPr>
        <w:tc>
          <w:tcPr>
            <w:tcW w:w="7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sz w:val="24"/>
                <w:szCs w:val="24"/>
              </w:rPr>
            </w:pPr>
            <w:r>
              <w:rPr>
                <w:rFonts w:eastAsia="黑体"/>
                <w:sz w:val="24"/>
                <w:szCs w:val="24"/>
              </w:rPr>
              <w:t>故障级别</w:t>
            </w:r>
          </w:p>
        </w:tc>
        <w:tc>
          <w:tcPr>
            <w:tcW w:w="16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sz w:val="24"/>
                <w:szCs w:val="24"/>
              </w:rPr>
            </w:pPr>
            <w:r>
              <w:rPr>
                <w:rFonts w:eastAsia="黑体"/>
                <w:sz w:val="24"/>
                <w:szCs w:val="24"/>
              </w:rPr>
              <w:t>级别定义</w:t>
            </w:r>
          </w:p>
        </w:tc>
        <w:tc>
          <w:tcPr>
            <w:tcW w:w="144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sz w:val="24"/>
                <w:szCs w:val="24"/>
              </w:rPr>
            </w:pPr>
            <w:r>
              <w:rPr>
                <w:rFonts w:eastAsia="黑体"/>
                <w:sz w:val="24"/>
                <w:szCs w:val="24"/>
              </w:rPr>
              <w:t>影响范围</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黑体"/>
                <w:sz w:val="24"/>
                <w:szCs w:val="24"/>
              </w:rPr>
            </w:pPr>
            <w:r>
              <w:rPr>
                <w:rFonts w:eastAsia="黑体"/>
                <w:sz w:val="24"/>
                <w:szCs w:val="24"/>
              </w:rPr>
              <w:t>赔付损失额</w:t>
            </w:r>
          </w:p>
          <w:p>
            <w:pPr>
              <w:jc w:val="center"/>
              <w:rPr>
                <w:rFonts w:eastAsia="黑体"/>
                <w:sz w:val="24"/>
                <w:szCs w:val="24"/>
              </w:rPr>
            </w:pPr>
            <w:r>
              <w:rPr>
                <w:rFonts w:eastAsia="黑体"/>
                <w:sz w:val="24"/>
                <w:szCs w:val="24"/>
              </w:rPr>
              <w:t>（占合同金额）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7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P1</w:t>
            </w:r>
          </w:p>
        </w:tc>
        <w:tc>
          <w:tcPr>
            <w:tcW w:w="1643"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sz w:val="24"/>
                <w:szCs w:val="24"/>
              </w:rPr>
              <w:t>全年骨干网络通畅率在99.95%以下</w:t>
            </w:r>
          </w:p>
        </w:tc>
        <w:tc>
          <w:tcPr>
            <w:tcW w:w="144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全网</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P2</w:t>
            </w:r>
          </w:p>
        </w:tc>
        <w:tc>
          <w:tcPr>
            <w:tcW w:w="1643"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sz w:val="24"/>
                <w:szCs w:val="24"/>
              </w:rPr>
              <w:t>全年骨干网络通畅率在99.95%以上、发生重特大网络故障事件</w:t>
            </w:r>
          </w:p>
        </w:tc>
        <w:tc>
          <w:tcPr>
            <w:tcW w:w="144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大量党政机关、企事业单位、社会公众</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P3</w:t>
            </w:r>
          </w:p>
        </w:tc>
        <w:tc>
          <w:tcPr>
            <w:tcW w:w="1643"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szCs w:val="24"/>
              </w:rPr>
            </w:pPr>
            <w:r>
              <w:rPr>
                <w:rFonts w:eastAsia="仿宋_GB2312"/>
                <w:sz w:val="24"/>
                <w:szCs w:val="24"/>
              </w:rPr>
              <w:t>全年骨干网络通畅率在99.95%以上、发生单次网络故障影响时间8h以上</w:t>
            </w:r>
          </w:p>
        </w:tc>
        <w:tc>
          <w:tcPr>
            <w:tcW w:w="144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党政机关</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sz w:val="24"/>
                <w:szCs w:val="24"/>
              </w:rPr>
            </w:pPr>
            <w:r>
              <w:rPr>
                <w:rFonts w:eastAsia="仿宋_GB2312"/>
                <w:sz w:val="24"/>
                <w:szCs w:val="24"/>
              </w:rPr>
              <w:t>1%</w:t>
            </w:r>
          </w:p>
        </w:tc>
      </w:tr>
    </w:tbl>
    <w:p>
      <w:pPr>
        <w:ind w:firstLine="560"/>
        <w:rPr>
          <w:rFonts w:eastAsia="仿宋_GB2312" w:cs="Times New Roman"/>
          <w:sz w:val="32"/>
          <w:szCs w:val="32"/>
        </w:rPr>
      </w:pPr>
      <w:r>
        <w:rPr>
          <w:rFonts w:eastAsia="仿宋_GB2312" w:cs="Times New Roman"/>
          <w:sz w:val="32"/>
          <w:szCs w:val="32"/>
        </w:rPr>
        <w:t>如中标方因管理不当或不作为（包含并不限于未及时升级系统补丁，修复安全隐患漏洞，定期更改管理密钥），导致政务外网主平面相关设备管理、应用系统权限泄露网络安全事件发生，按泄露管理设备、应用系统比例扣除当年服务费，具体设备、应用系统比例及认定以双方认可的事件报告为准。</w:t>
      </w: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三、验收标准和要求</w:t>
      </w:r>
    </w:p>
    <w:p>
      <w:pPr>
        <w:widowControl/>
        <w:ind w:firstLine="640" w:firstLineChars="200"/>
        <w:contextualSpacing/>
        <w:jc w:val="left"/>
        <w:rPr>
          <w:rFonts w:eastAsia="仿宋_GB2312" w:cs="Times New Roman"/>
          <w:sz w:val="32"/>
          <w:szCs w:val="32"/>
        </w:rPr>
      </w:pPr>
      <w:r>
        <w:rPr>
          <w:rFonts w:eastAsia="仿宋_GB2312" w:cs="Times New Roman"/>
          <w:sz w:val="32"/>
          <w:szCs w:val="32"/>
        </w:rPr>
        <w:t>验收时，中标人应提供项目服务实施文档、用户报告等验收材料。全省所有节点工程完成，中标方向采购方提交详细的整体工程项目文档，由采购方组织整体工程验收。</w:t>
      </w: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四、保密要求</w:t>
      </w:r>
    </w:p>
    <w:p>
      <w:pPr>
        <w:ind w:firstLine="560"/>
        <w:rPr>
          <w:rFonts w:cs="Times New Roman"/>
        </w:rPr>
      </w:pPr>
      <w:r>
        <w:rPr>
          <w:rFonts w:eastAsia="仿宋_GB2312" w:cs="Times New Roman"/>
          <w:sz w:val="32"/>
          <w:szCs w:val="32"/>
        </w:rPr>
        <w:t>本项目中包括但不仅限于（所有项目资料、文字、图片、声像资料、电子数据等）均归采购人所有，中标人不得泄露和超越本项目范围使用。采购人同中标人和项目人员签订网络安全保密协议书。</w:t>
      </w: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五、商务要求表</w:t>
      </w:r>
    </w:p>
    <w:tbl>
      <w:tblPr>
        <w:tblStyle w:val="59"/>
        <w:tblW w:w="8760" w:type="dxa"/>
        <w:tblInd w:w="113" w:type="dxa"/>
        <w:tblLayout w:type="fixed"/>
        <w:tblCellMar>
          <w:top w:w="0" w:type="dxa"/>
          <w:left w:w="108" w:type="dxa"/>
          <w:bottom w:w="0" w:type="dxa"/>
          <w:right w:w="108" w:type="dxa"/>
        </w:tblCellMar>
      </w:tblPr>
      <w:tblGrid>
        <w:gridCol w:w="675"/>
        <w:gridCol w:w="1594"/>
        <w:gridCol w:w="6491"/>
      </w:tblGrid>
      <w:tr>
        <w:tblPrEx>
          <w:tblCellMar>
            <w:top w:w="0" w:type="dxa"/>
            <w:left w:w="108" w:type="dxa"/>
            <w:bottom w:w="0" w:type="dxa"/>
            <w:right w:w="108" w:type="dxa"/>
          </w:tblCellMar>
        </w:tblPrEx>
        <w:trPr>
          <w:trHeight w:val="277"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color w:val="0D0D0D"/>
                <w:sz w:val="24"/>
                <w:szCs w:val="24"/>
              </w:rPr>
              <w:t>▲</w:t>
            </w:r>
            <w:r>
              <w:rPr>
                <w:rFonts w:eastAsia="仿宋_GB2312"/>
                <w:b/>
                <w:bCs/>
                <w:color w:val="0D0D0D"/>
                <w:sz w:val="24"/>
                <w:szCs w:val="24"/>
              </w:rPr>
              <w:t>供货时间（项目工期）及地点</w:t>
            </w:r>
          </w:p>
        </w:tc>
        <w:tc>
          <w:tcPr>
            <w:tcW w:w="6491"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交货时间：合同签订后15个工作日内。</w:t>
            </w:r>
          </w:p>
          <w:p>
            <w:pPr>
              <w:rPr>
                <w:rFonts w:eastAsia="仿宋_GB2312"/>
                <w:color w:val="000000"/>
                <w:sz w:val="24"/>
                <w:szCs w:val="24"/>
              </w:rPr>
            </w:pPr>
            <w:r>
              <w:rPr>
                <w:rFonts w:eastAsia="仿宋_GB2312"/>
                <w:color w:val="000000"/>
                <w:sz w:val="24"/>
                <w:szCs w:val="24"/>
              </w:rPr>
              <w:t>交货地点：用户指定地点。</w:t>
            </w:r>
          </w:p>
        </w:tc>
      </w:tr>
      <w:tr>
        <w:tblPrEx>
          <w:tblCellMar>
            <w:top w:w="0" w:type="dxa"/>
            <w:left w:w="108" w:type="dxa"/>
            <w:bottom w:w="0" w:type="dxa"/>
            <w:right w:w="108" w:type="dxa"/>
          </w:tblCellMar>
        </w:tblPrEx>
        <w:trPr>
          <w:trHeight w:val="902"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color w:val="0D0D0D"/>
                <w:sz w:val="24"/>
                <w:szCs w:val="24"/>
              </w:rPr>
              <w:t>▲付款条件</w:t>
            </w:r>
          </w:p>
        </w:tc>
        <w:tc>
          <w:tcPr>
            <w:tcW w:w="6491" w:type="dxa"/>
            <w:tcBorders>
              <w:top w:val="single" w:color="auto" w:sz="4" w:space="0"/>
              <w:left w:val="nil"/>
              <w:bottom w:val="single" w:color="auto" w:sz="4" w:space="0"/>
              <w:right w:val="single" w:color="auto" w:sz="4" w:space="0"/>
            </w:tcBorders>
            <w:noWrap w:val="0"/>
            <w:vAlign w:val="center"/>
          </w:tcPr>
          <w:p>
            <w:pPr>
              <w:rPr>
                <w:rFonts w:hint="eastAsia" w:eastAsia="仿宋_GB2312"/>
                <w:color w:val="000000"/>
                <w:sz w:val="24"/>
                <w:szCs w:val="24"/>
              </w:rPr>
            </w:pPr>
            <w:r>
              <w:rPr>
                <w:rFonts w:hint="eastAsia" w:eastAsia="仿宋_GB2312"/>
                <w:color w:val="000000"/>
                <w:sz w:val="24"/>
                <w:szCs w:val="24"/>
              </w:rPr>
              <w:t>1.本项目不收取履约保证金。</w:t>
            </w:r>
          </w:p>
          <w:p>
            <w:pPr>
              <w:rPr>
                <w:rFonts w:hint="eastAsia" w:eastAsia="仿宋_GB2312"/>
                <w:color w:val="000000"/>
                <w:sz w:val="24"/>
                <w:szCs w:val="24"/>
              </w:rPr>
            </w:pPr>
            <w:r>
              <w:rPr>
                <w:rFonts w:hint="eastAsia" w:eastAsia="仿宋_GB2312"/>
                <w:color w:val="000000"/>
                <w:sz w:val="24"/>
                <w:szCs w:val="24"/>
              </w:rPr>
              <w:t>2.首期款：签订合同后15个工作日内，中标方提出支付申请及拟支付金额等额的符合采购方财务管理要求的相应发票，采购方在收到中标方的支付申请及发票后7个工作日内完成首期款支付流程，采购方支付投标方合同总额的30%。</w:t>
            </w:r>
          </w:p>
          <w:p>
            <w:pPr>
              <w:rPr>
                <w:rFonts w:hint="eastAsia" w:eastAsia="仿宋_GB2312"/>
                <w:color w:val="000000"/>
                <w:sz w:val="24"/>
                <w:szCs w:val="24"/>
              </w:rPr>
            </w:pPr>
            <w:r>
              <w:rPr>
                <w:rFonts w:hint="eastAsia" w:eastAsia="仿宋_GB2312"/>
                <w:color w:val="000000"/>
                <w:sz w:val="24"/>
                <w:szCs w:val="24"/>
              </w:rPr>
              <w:t>3.进度款：经采购方确认阶段性成果，组织项目初验，初验通过后，中标方提出支付申请及拟支付金额等额的符合采购方财务管理要求的相应发票，采购方在收到中标方的支付申请及发票后7个工作日内完成进度款支付流程，采购方支付中标方合同总额的20%。</w:t>
            </w:r>
          </w:p>
          <w:p>
            <w:pPr>
              <w:rPr>
                <w:rFonts w:eastAsia="仿宋_GB2312"/>
                <w:color w:val="000000"/>
                <w:sz w:val="24"/>
                <w:szCs w:val="24"/>
              </w:rPr>
            </w:pPr>
            <w:r>
              <w:rPr>
                <w:rFonts w:hint="eastAsia" w:eastAsia="仿宋_GB2312"/>
                <w:color w:val="000000"/>
                <w:sz w:val="24"/>
                <w:szCs w:val="24"/>
              </w:rPr>
              <w:t>4.尾款：项目终验通过后15个工作日内，中标方提出支付申请及拟支付金额等额的符合采购方财务管理要求的相应发票，采购方在收到中标方的支付申请及发票后7个工作日内完成尾款支付流程，采购方支付中标方合同总额的剩余款项。</w:t>
            </w:r>
          </w:p>
        </w:tc>
      </w:tr>
      <w:tr>
        <w:tblPrEx>
          <w:tblCellMar>
            <w:top w:w="0" w:type="dxa"/>
            <w:left w:w="108" w:type="dxa"/>
            <w:bottom w:w="0" w:type="dxa"/>
            <w:right w:w="108" w:type="dxa"/>
          </w:tblCellMar>
        </w:tblPrEx>
        <w:trPr>
          <w:trHeight w:val="206"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bCs/>
                <w:color w:val="0D0D0D"/>
                <w:sz w:val="24"/>
                <w:szCs w:val="24"/>
              </w:rPr>
              <w:t>违约责任及争议解决方式</w:t>
            </w:r>
          </w:p>
        </w:tc>
        <w:tc>
          <w:tcPr>
            <w:tcW w:w="6491" w:type="dxa"/>
            <w:tcBorders>
              <w:top w:val="single" w:color="auto" w:sz="4" w:space="0"/>
              <w:left w:val="nil"/>
              <w:bottom w:val="single" w:color="auto" w:sz="4" w:space="0"/>
              <w:right w:val="single" w:color="auto" w:sz="4" w:space="0"/>
            </w:tcBorders>
            <w:noWrap w:val="0"/>
            <w:vAlign w:val="center"/>
          </w:tcPr>
          <w:p>
            <w:pPr>
              <w:snapToGrid w:val="0"/>
              <w:rPr>
                <w:rFonts w:eastAsia="仿宋_GB2312"/>
                <w:color w:val="000000"/>
                <w:sz w:val="24"/>
                <w:szCs w:val="24"/>
              </w:rPr>
            </w:pPr>
            <w:r>
              <w:rPr>
                <w:rFonts w:eastAsia="仿宋_GB2312"/>
                <w:color w:val="000000"/>
                <w:sz w:val="24"/>
                <w:szCs w:val="24"/>
              </w:rPr>
              <w:t>如无特别说明，按“浙江省政府采购合同主要条款指引”相关违约责任及争议解决方式内容。</w:t>
            </w:r>
          </w:p>
        </w:tc>
      </w:tr>
      <w:tr>
        <w:tblPrEx>
          <w:tblCellMar>
            <w:top w:w="0" w:type="dxa"/>
            <w:left w:w="108" w:type="dxa"/>
            <w:bottom w:w="0" w:type="dxa"/>
            <w:right w:w="108" w:type="dxa"/>
          </w:tblCellMar>
        </w:tblPrEx>
        <w:trPr>
          <w:trHeight w:val="1915" w:hRule="atLeast"/>
        </w:trPr>
        <w:tc>
          <w:tcPr>
            <w:tcW w:w="675" w:type="dxa"/>
            <w:vMerge w:val="restart"/>
            <w:tcBorders>
              <w:top w:val="nil"/>
              <w:left w:val="single" w:color="auto" w:sz="4" w:space="0"/>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bCs/>
                <w:color w:val="0D0D0D"/>
                <w:sz w:val="24"/>
                <w:szCs w:val="24"/>
              </w:rPr>
              <w:t>售</w:t>
            </w:r>
          </w:p>
          <w:p>
            <w:pPr>
              <w:snapToGrid w:val="0"/>
              <w:jc w:val="left"/>
              <w:rPr>
                <w:rFonts w:eastAsia="仿宋_GB2312"/>
                <w:b/>
                <w:bCs/>
                <w:color w:val="0D0D0D"/>
                <w:sz w:val="24"/>
                <w:szCs w:val="24"/>
              </w:rPr>
            </w:pPr>
            <w:r>
              <w:rPr>
                <w:rFonts w:eastAsia="仿宋_GB2312"/>
                <w:b/>
                <w:bCs/>
                <w:color w:val="0D0D0D"/>
                <w:sz w:val="24"/>
                <w:szCs w:val="24"/>
              </w:rPr>
              <w:t>后</w:t>
            </w:r>
          </w:p>
          <w:p>
            <w:pPr>
              <w:snapToGrid w:val="0"/>
              <w:jc w:val="left"/>
              <w:rPr>
                <w:rFonts w:eastAsia="仿宋_GB2312"/>
                <w:b/>
                <w:bCs/>
                <w:color w:val="0D0D0D"/>
                <w:sz w:val="24"/>
                <w:szCs w:val="24"/>
              </w:rPr>
            </w:pPr>
            <w:r>
              <w:rPr>
                <w:rFonts w:eastAsia="仿宋_GB2312"/>
                <w:b/>
                <w:bCs/>
                <w:color w:val="0D0D0D"/>
                <w:sz w:val="24"/>
                <w:szCs w:val="24"/>
              </w:rPr>
              <w:t>服务</w:t>
            </w:r>
          </w:p>
        </w:tc>
        <w:tc>
          <w:tcPr>
            <w:tcW w:w="1594" w:type="dxa"/>
            <w:tcBorders>
              <w:top w:val="single" w:color="auto" w:sz="4" w:space="0"/>
              <w:left w:val="nil"/>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bCs/>
                <w:color w:val="0D0D0D"/>
                <w:sz w:val="24"/>
                <w:szCs w:val="24"/>
              </w:rPr>
              <w:t>项目维护计划</w:t>
            </w:r>
          </w:p>
        </w:tc>
        <w:tc>
          <w:tcPr>
            <w:tcW w:w="6491" w:type="dxa"/>
            <w:tcBorders>
              <w:top w:val="single" w:color="auto" w:sz="4" w:space="0"/>
              <w:left w:val="nil"/>
              <w:bottom w:val="single" w:color="auto" w:sz="4" w:space="0"/>
              <w:right w:val="single" w:color="auto" w:sz="4" w:space="0"/>
            </w:tcBorders>
            <w:noWrap w:val="0"/>
            <w:vAlign w:val="center"/>
          </w:tcPr>
          <w:p>
            <w:pPr>
              <w:adjustRightInd w:val="0"/>
              <w:snapToGrid w:val="0"/>
              <w:rPr>
                <w:rFonts w:eastAsia="仿宋_GB2312"/>
                <w:color w:val="000000"/>
                <w:sz w:val="24"/>
                <w:szCs w:val="24"/>
              </w:rPr>
            </w:pPr>
            <w:r>
              <w:rPr>
                <w:rFonts w:eastAsia="仿宋_GB2312"/>
                <w:color w:val="000000"/>
                <w:sz w:val="24"/>
                <w:szCs w:val="24"/>
              </w:rPr>
              <w:t>服务期：1年。</w:t>
            </w:r>
          </w:p>
          <w:p>
            <w:pPr>
              <w:rPr>
                <w:rFonts w:eastAsia="仿宋_GB2312"/>
                <w:color w:val="000000"/>
                <w:sz w:val="24"/>
                <w:szCs w:val="24"/>
              </w:rPr>
            </w:pPr>
            <w:r>
              <w:rPr>
                <w:rFonts w:eastAsia="仿宋_GB2312"/>
                <w:color w:val="000000"/>
                <w:sz w:val="24"/>
                <w:szCs w:val="24"/>
              </w:rPr>
              <w:t>质保期：本次采购的所有产品提供长期售后维护服务，包括软硬件升级。服务期内服务均为免费上门服务。服务方式应包括远程电话支持、远程网络支持、现场服务支持等方式。</w:t>
            </w:r>
          </w:p>
          <w:p>
            <w:pPr>
              <w:pStyle w:val="2"/>
              <w:spacing w:after="0"/>
              <w:rPr>
                <w:rFonts w:ascii="Times New Roman" w:hAnsi="Times New Roman" w:eastAsia="仿宋_GB2312"/>
                <w:color w:val="000000"/>
                <w:sz w:val="24"/>
              </w:rPr>
            </w:pPr>
            <w:r>
              <w:rPr>
                <w:rFonts w:ascii="Times New Roman" w:hAnsi="Times New Roman" w:eastAsia="仿宋_GB2312"/>
                <w:color w:val="000000"/>
                <w:sz w:val="24"/>
              </w:rPr>
              <w:t>系统故障处理：中标人提供7*24小时电话支持，能保证到达现场服务响应时间10分钟内，2小时内解决故障，对于无法解决的设备故障，需在4小时内提供相当档次的备机供使用。修复或更换时间最长不超过6小时。否则采购人将自行采取必要的措施，由此产生风险和费用由中标供应商承担。</w:t>
            </w:r>
          </w:p>
        </w:tc>
      </w:tr>
      <w:tr>
        <w:tblPrEx>
          <w:tblCellMar>
            <w:top w:w="0" w:type="dxa"/>
            <w:left w:w="108" w:type="dxa"/>
            <w:bottom w:w="0" w:type="dxa"/>
            <w:right w:w="108" w:type="dxa"/>
          </w:tblCellMar>
        </w:tblPrEx>
        <w:trPr>
          <w:trHeight w:val="2330" w:hRule="atLeast"/>
        </w:trPr>
        <w:tc>
          <w:tcPr>
            <w:tcW w:w="22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bCs/>
                <w:color w:val="0D0D0D"/>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bCs/>
                <w:color w:val="0D0D0D"/>
                <w:sz w:val="24"/>
                <w:szCs w:val="24"/>
              </w:rPr>
              <w:t>响应情况</w:t>
            </w:r>
          </w:p>
        </w:tc>
        <w:tc>
          <w:tcPr>
            <w:tcW w:w="6491" w:type="dxa"/>
            <w:tcBorders>
              <w:top w:val="single" w:color="auto" w:sz="4" w:space="0"/>
              <w:left w:val="nil"/>
              <w:bottom w:val="single" w:color="auto" w:sz="4" w:space="0"/>
              <w:right w:val="single" w:color="auto" w:sz="4" w:space="0"/>
            </w:tcBorders>
            <w:noWrap w:val="0"/>
            <w:vAlign w:val="center"/>
          </w:tcPr>
          <w:p>
            <w:pPr>
              <w:adjustRightInd w:val="0"/>
              <w:snapToGrid w:val="0"/>
              <w:rPr>
                <w:rFonts w:eastAsia="仿宋_GB2312"/>
                <w:color w:val="000000"/>
                <w:sz w:val="24"/>
                <w:szCs w:val="24"/>
              </w:rPr>
            </w:pPr>
            <w:r>
              <w:rPr>
                <w:rFonts w:eastAsia="仿宋_GB2312"/>
                <w:color w:val="000000"/>
                <w:sz w:val="24"/>
                <w:szCs w:val="24"/>
              </w:rPr>
              <w:t>响应速度：提供全年7×24小时不间断电话响应，接到用户电话后，在5分钟内做出实质性响应，2小时内解决问题。对于无法解决的设备故障，需在4小时内提供相当档次的备机供使用。修复或更换时间最长不超过6小时。否则采购人将自行采取必要的措施，由此产生风险和费用由中标供应商承担。成立重大事件应急保障小组，重大事件1小时响应。</w:t>
            </w:r>
          </w:p>
          <w:p>
            <w:pPr>
              <w:adjustRightInd w:val="0"/>
              <w:snapToGrid w:val="0"/>
              <w:rPr>
                <w:rFonts w:eastAsia="仿宋_GB2312"/>
                <w:color w:val="000000"/>
                <w:sz w:val="24"/>
                <w:szCs w:val="24"/>
              </w:rPr>
            </w:pPr>
            <w:r>
              <w:rPr>
                <w:rFonts w:eastAsia="仿宋_GB2312"/>
                <w:color w:val="000000"/>
                <w:sz w:val="24"/>
                <w:szCs w:val="24"/>
              </w:rPr>
              <w:t>如采购文件中遗漏了必须具备的设备、配件或服务，中标人有义务保证采购人系统的完整性，如项目实施过程中因缺少设备、配件或服务导致采购人系统无法正常运行，中标人须承诺免费提供。</w:t>
            </w:r>
          </w:p>
        </w:tc>
      </w:tr>
      <w:tr>
        <w:tblPrEx>
          <w:tblCellMar>
            <w:top w:w="0" w:type="dxa"/>
            <w:left w:w="108" w:type="dxa"/>
            <w:bottom w:w="0" w:type="dxa"/>
            <w:right w:w="108" w:type="dxa"/>
          </w:tblCellMar>
        </w:tblPrEx>
        <w:trPr>
          <w:trHeight w:val="70" w:hRule="atLeast"/>
        </w:trPr>
        <w:tc>
          <w:tcPr>
            <w:tcW w:w="22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bCs/>
                <w:color w:val="0D0D0D"/>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rPr>
                <w:rFonts w:eastAsia="仿宋_GB2312"/>
                <w:b/>
                <w:bCs/>
                <w:color w:val="0D0D0D"/>
                <w:sz w:val="24"/>
                <w:szCs w:val="24"/>
              </w:rPr>
            </w:pPr>
            <w:r>
              <w:rPr>
                <w:rFonts w:eastAsia="仿宋_GB2312"/>
                <w:b/>
                <w:bCs/>
                <w:color w:val="000000"/>
                <w:sz w:val="24"/>
                <w:szCs w:val="24"/>
              </w:rPr>
              <w:t>本地化服务</w:t>
            </w:r>
          </w:p>
        </w:tc>
        <w:tc>
          <w:tcPr>
            <w:tcW w:w="6491"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中标人承诺具备完善的长期本地化的售后服务机构和服务体系，能提供及时、周到的本地化技术支持。</w:t>
            </w:r>
          </w:p>
        </w:tc>
      </w:tr>
      <w:tr>
        <w:tblPrEx>
          <w:tblCellMar>
            <w:top w:w="0" w:type="dxa"/>
            <w:left w:w="108" w:type="dxa"/>
            <w:bottom w:w="0" w:type="dxa"/>
            <w:right w:w="108" w:type="dxa"/>
          </w:tblCellMar>
        </w:tblPrEx>
        <w:trPr>
          <w:trHeight w:val="1418" w:hRule="atLeast"/>
        </w:trPr>
        <w:tc>
          <w:tcPr>
            <w:tcW w:w="675" w:type="dxa"/>
            <w:vMerge w:val="restart"/>
            <w:tcBorders>
              <w:top w:val="nil"/>
              <w:left w:val="single" w:color="auto" w:sz="4" w:space="0"/>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bCs/>
                <w:color w:val="0D0D0D"/>
                <w:sz w:val="24"/>
                <w:szCs w:val="24"/>
              </w:rPr>
              <w:t>履约能力</w:t>
            </w:r>
          </w:p>
        </w:tc>
        <w:tc>
          <w:tcPr>
            <w:tcW w:w="1594" w:type="dxa"/>
            <w:tcBorders>
              <w:top w:val="single" w:color="auto" w:sz="4" w:space="0"/>
              <w:left w:val="nil"/>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bCs/>
                <w:color w:val="0D0D0D"/>
                <w:sz w:val="24"/>
                <w:szCs w:val="24"/>
              </w:rPr>
              <w:t>公司技术力量情况</w:t>
            </w:r>
          </w:p>
        </w:tc>
        <w:tc>
          <w:tcPr>
            <w:tcW w:w="6491"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1.质量管理体系认证（ISO9001）：国家认证认可监督管理委员会颁发；</w:t>
            </w:r>
          </w:p>
          <w:p>
            <w:pPr>
              <w:rPr>
                <w:rFonts w:eastAsia="仿宋_GB2312"/>
                <w:color w:val="000000"/>
                <w:sz w:val="24"/>
                <w:szCs w:val="24"/>
              </w:rPr>
            </w:pPr>
            <w:r>
              <w:rPr>
                <w:rFonts w:eastAsia="仿宋_GB2312"/>
                <w:color w:val="000000"/>
                <w:sz w:val="24"/>
                <w:szCs w:val="24"/>
              </w:rPr>
              <w:t>2.信息安全管理体系认证（ISO27001）：国家认证认可监督管理委员会颁发；</w:t>
            </w:r>
          </w:p>
          <w:p>
            <w:pPr>
              <w:rPr>
                <w:rFonts w:eastAsia="仿宋_GB2312"/>
                <w:color w:val="000000"/>
                <w:sz w:val="24"/>
                <w:szCs w:val="24"/>
              </w:rPr>
            </w:pPr>
            <w:r>
              <w:rPr>
                <w:rFonts w:eastAsia="仿宋_GB2312"/>
                <w:color w:val="000000"/>
                <w:sz w:val="24"/>
                <w:szCs w:val="24"/>
              </w:rPr>
              <w:t>3.信息技术服务标准(ITSS)：工业和信息化部组织制定标准；</w:t>
            </w:r>
          </w:p>
          <w:p>
            <w:pPr>
              <w:rPr>
                <w:rFonts w:eastAsia="仿宋_GB2312"/>
                <w:color w:val="000000"/>
                <w:sz w:val="24"/>
                <w:szCs w:val="24"/>
              </w:rPr>
            </w:pPr>
            <w:r>
              <w:rPr>
                <w:rFonts w:eastAsia="仿宋_GB2312"/>
                <w:color w:val="000000"/>
                <w:sz w:val="24"/>
                <w:szCs w:val="24"/>
              </w:rPr>
              <w:t>4.信息技术服务管理体系认证（ISO20000）：国家认证认可监督管理委员会颁发。</w:t>
            </w:r>
          </w:p>
          <w:p>
            <w:pPr>
              <w:rPr>
                <w:rFonts w:eastAsia="仿宋_GB2312"/>
                <w:sz w:val="24"/>
                <w:szCs w:val="24"/>
              </w:rPr>
            </w:pPr>
            <w:r>
              <w:rPr>
                <w:rFonts w:eastAsia="仿宋_GB2312"/>
                <w:color w:val="000000"/>
                <w:sz w:val="24"/>
                <w:szCs w:val="24"/>
              </w:rPr>
              <w:t>每提供一本证书得0.5分，最高得2分。</w:t>
            </w:r>
          </w:p>
        </w:tc>
      </w:tr>
      <w:tr>
        <w:tblPrEx>
          <w:tblCellMar>
            <w:top w:w="0" w:type="dxa"/>
            <w:left w:w="108" w:type="dxa"/>
            <w:bottom w:w="0" w:type="dxa"/>
            <w:right w:w="108" w:type="dxa"/>
          </w:tblCellMar>
        </w:tblPrEx>
        <w:trPr>
          <w:trHeight w:val="410" w:hRule="atLeast"/>
        </w:trPr>
        <w:tc>
          <w:tcPr>
            <w:tcW w:w="226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b/>
                <w:bCs/>
                <w:color w:val="0D0D0D"/>
                <w:sz w:val="24"/>
                <w:szCs w:val="24"/>
              </w:rPr>
            </w:pPr>
          </w:p>
        </w:tc>
        <w:tc>
          <w:tcPr>
            <w:tcW w:w="1594" w:type="dxa"/>
            <w:tcBorders>
              <w:top w:val="single" w:color="auto" w:sz="4" w:space="0"/>
              <w:left w:val="nil"/>
              <w:bottom w:val="single" w:color="auto" w:sz="4" w:space="0"/>
              <w:right w:val="single" w:color="auto" w:sz="4" w:space="0"/>
            </w:tcBorders>
            <w:noWrap w:val="0"/>
            <w:vAlign w:val="center"/>
          </w:tcPr>
          <w:p>
            <w:pPr>
              <w:snapToGrid w:val="0"/>
              <w:jc w:val="left"/>
              <w:rPr>
                <w:rFonts w:eastAsia="仿宋_GB2312"/>
                <w:b/>
                <w:bCs/>
                <w:color w:val="0D0D0D"/>
                <w:sz w:val="24"/>
                <w:szCs w:val="24"/>
              </w:rPr>
            </w:pPr>
            <w:r>
              <w:rPr>
                <w:rFonts w:eastAsia="仿宋_GB2312"/>
                <w:b/>
                <w:color w:val="0D0D0D"/>
                <w:sz w:val="24"/>
                <w:szCs w:val="24"/>
              </w:rPr>
              <w:t>经验或业绩要求</w:t>
            </w:r>
          </w:p>
        </w:tc>
        <w:tc>
          <w:tcPr>
            <w:tcW w:w="6491"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投标人需提供2020年1月1日以来类似组网项目案例（涵盖省、市两级或省、市、县三级）</w:t>
            </w:r>
          </w:p>
        </w:tc>
      </w:tr>
    </w:tbl>
    <w:p>
      <w:pPr>
        <w:ind w:firstLine="480"/>
        <w:rPr>
          <w:rFonts w:eastAsia="华文中宋" w:cs="Times New Roman"/>
          <w:sz w:val="24"/>
          <w:szCs w:val="21"/>
        </w:rPr>
      </w:pPr>
    </w:p>
    <w:p>
      <w:pPr>
        <w:pStyle w:val="3"/>
        <w:jc w:val="both"/>
        <w:rPr>
          <w:rFonts w:ascii="Times New Roman" w:hAnsi="Times New Roman" w:eastAsia="仿宋_GB2312" w:cs="Times New Roman"/>
        </w:rPr>
        <w:sectPr>
          <w:pgSz w:w="11906" w:h="16838"/>
          <w:pgMar w:top="1474" w:right="1797" w:bottom="1247" w:left="1797" w:header="851" w:footer="851" w:gutter="0"/>
          <w:cols w:space="720" w:num="1"/>
        </w:sectPr>
      </w:pPr>
    </w:p>
    <w:p>
      <w:pPr>
        <w:pStyle w:val="3"/>
        <w:spacing w:line="240" w:lineRule="auto"/>
        <w:rPr>
          <w:rFonts w:ascii="Times New Roman" w:hAnsi="Times New Roman" w:eastAsia="仿宋_GB2312" w:cs="Times New Roman"/>
          <w:b/>
          <w:bCs/>
        </w:rPr>
      </w:pPr>
      <w:r>
        <w:rPr>
          <w:rFonts w:ascii="Times New Roman" w:hAnsi="Times New Roman" w:eastAsia="仿宋_GB2312" w:cs="Times New Roman"/>
          <w:b/>
          <w:bCs/>
        </w:rPr>
        <w:t>标项2：电子政务外网备份网络项目需求</w:t>
      </w:r>
    </w:p>
    <w:p>
      <w:pPr>
        <w:pStyle w:val="3"/>
        <w:adjustRightInd/>
        <w:spacing w:line="240" w:lineRule="auto"/>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一、采购内容</w:t>
      </w:r>
    </w:p>
    <w:p>
      <w:pPr>
        <w:pStyle w:val="4"/>
        <w:spacing w:before="0" w:after="0" w:line="240" w:lineRule="auto"/>
        <w:ind w:firstLine="640" w:firstLineChars="200"/>
        <w:jc w:val="left"/>
        <w:rPr>
          <w:rFonts w:hint="eastAsia" w:ascii="楷体" w:hAnsi="楷体" w:eastAsia="楷体" w:cs="楷体"/>
          <w:b w:val="0"/>
          <w:bCs w:val="0"/>
        </w:rPr>
      </w:pPr>
      <w:r>
        <w:rPr>
          <w:rFonts w:hint="eastAsia" w:ascii="楷体" w:hAnsi="楷体" w:eastAsia="楷体" w:cs="楷体"/>
          <w:b w:val="0"/>
          <w:bCs w:val="0"/>
        </w:rPr>
        <w:t>（一）整体需求</w:t>
      </w:r>
    </w:p>
    <w:p>
      <w:pPr>
        <w:pStyle w:val="5"/>
        <w:spacing w:before="0" w:after="0" w:line="240" w:lineRule="auto"/>
        <w:ind w:firstLine="64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1.政务外网备平面接入服务范围</w:t>
      </w:r>
    </w:p>
    <w:p>
      <w:pPr>
        <w:ind w:firstLine="640" w:firstLineChars="200"/>
        <w:outlineLvl w:val="3"/>
        <w:rPr>
          <w:rFonts w:eastAsia="仿宋_GB2312" w:cs="Times New Roman"/>
          <w:sz w:val="32"/>
          <w:szCs w:val="32"/>
        </w:rPr>
      </w:pPr>
      <w:r>
        <w:rPr>
          <w:rFonts w:eastAsia="仿宋_GB2312" w:cs="Times New Roman"/>
          <w:sz w:val="32"/>
          <w:szCs w:val="32"/>
        </w:rPr>
        <w:t>（1）和政务外网主平面核心互联对接服务</w:t>
      </w:r>
    </w:p>
    <w:p>
      <w:pPr>
        <w:ind w:firstLine="640" w:firstLineChars="200"/>
        <w:rPr>
          <w:rFonts w:eastAsia="仿宋_GB2312" w:cs="Times New Roman"/>
          <w:sz w:val="32"/>
          <w:szCs w:val="28"/>
        </w:rPr>
      </w:pPr>
      <w:r>
        <w:rPr>
          <w:rFonts w:eastAsia="仿宋_GB2312" w:cs="Times New Roman"/>
          <w:sz w:val="32"/>
          <w:szCs w:val="28"/>
        </w:rPr>
        <w:t>根据政务网实际流量提供不少于4条万兆链路对接，用于疏导主平面和备平面之间的横穿流量。</w:t>
      </w:r>
    </w:p>
    <w:p>
      <w:pPr>
        <w:ind w:firstLine="640" w:firstLineChars="200"/>
        <w:outlineLvl w:val="3"/>
        <w:rPr>
          <w:rFonts w:eastAsia="仿宋_GB2312" w:cs="Times New Roman"/>
          <w:sz w:val="32"/>
          <w:szCs w:val="32"/>
        </w:rPr>
      </w:pPr>
      <w:r>
        <w:rPr>
          <w:rFonts w:eastAsia="仿宋_GB2312" w:cs="Times New Roman"/>
          <w:sz w:val="32"/>
          <w:szCs w:val="32"/>
        </w:rPr>
        <w:t>（2）接入省级单位</w:t>
      </w:r>
    </w:p>
    <w:p>
      <w:pPr>
        <w:ind w:firstLine="640" w:firstLineChars="200"/>
        <w:rPr>
          <w:rFonts w:eastAsia="仿宋_GB2312" w:cs="Times New Roman"/>
          <w:sz w:val="32"/>
          <w:szCs w:val="28"/>
        </w:rPr>
      </w:pPr>
      <w:r>
        <w:rPr>
          <w:rFonts w:eastAsia="仿宋_GB2312" w:cs="Times New Roman"/>
          <w:sz w:val="32"/>
          <w:szCs w:val="28"/>
        </w:rPr>
        <w:t>根据各省级单位的流量情况，提供满足未来5-10年扩容需求的接入设备，合理指导各省级单位业务流量疏导，即实现一般政务流量的备份或者负载分担作用，又实现政务云流量的优化。</w:t>
      </w:r>
    </w:p>
    <w:p>
      <w:pPr>
        <w:ind w:firstLine="640" w:firstLineChars="200"/>
        <w:outlineLvl w:val="3"/>
        <w:rPr>
          <w:rFonts w:eastAsia="仿宋_GB2312" w:cs="Times New Roman"/>
          <w:sz w:val="32"/>
          <w:szCs w:val="32"/>
        </w:rPr>
      </w:pPr>
      <w:r>
        <w:rPr>
          <w:rFonts w:eastAsia="仿宋_GB2312" w:cs="Times New Roman"/>
          <w:sz w:val="32"/>
          <w:szCs w:val="32"/>
        </w:rPr>
        <w:t>（3）接入地市政务骨干网</w:t>
      </w:r>
    </w:p>
    <w:p>
      <w:pPr>
        <w:ind w:firstLine="640" w:firstLineChars="200"/>
        <w:rPr>
          <w:rFonts w:eastAsia="仿宋_GB2312" w:cs="Times New Roman"/>
          <w:sz w:val="32"/>
          <w:szCs w:val="28"/>
        </w:rPr>
      </w:pPr>
      <w:r>
        <w:rPr>
          <w:rFonts w:eastAsia="仿宋_GB2312" w:cs="Times New Roman"/>
          <w:sz w:val="32"/>
          <w:szCs w:val="28"/>
        </w:rPr>
        <w:t>根据全省各地市政务骨干网流量，提供满足未来5-10年扩容需求的接入设备。合理规划长途传输带宽；省市业务对接应充分考虑承载协议的平滑对接。</w:t>
      </w:r>
    </w:p>
    <w:p>
      <w:pPr>
        <w:ind w:firstLine="640" w:firstLineChars="200"/>
        <w:outlineLvl w:val="3"/>
        <w:rPr>
          <w:rFonts w:eastAsia="仿宋_GB2312" w:cs="Times New Roman"/>
          <w:sz w:val="32"/>
          <w:szCs w:val="32"/>
        </w:rPr>
      </w:pPr>
      <w:r>
        <w:rPr>
          <w:rFonts w:eastAsia="仿宋_GB2312" w:cs="Times New Roman"/>
          <w:sz w:val="32"/>
          <w:szCs w:val="32"/>
        </w:rPr>
        <w:t>（4）接入政务云计算平台</w:t>
      </w:r>
    </w:p>
    <w:p>
      <w:pPr>
        <w:ind w:firstLine="640" w:firstLineChars="200"/>
        <w:rPr>
          <w:rFonts w:eastAsia="仿宋_GB2312" w:cs="Times New Roman"/>
          <w:sz w:val="32"/>
          <w:szCs w:val="28"/>
        </w:rPr>
      </w:pPr>
      <w:r>
        <w:rPr>
          <w:rFonts w:eastAsia="仿宋_GB2312" w:cs="Times New Roman"/>
          <w:sz w:val="32"/>
          <w:szCs w:val="28"/>
        </w:rPr>
        <w:t>根据目前政务专有云、公有云以及信创云流量，提供满足未来5-10年扩容需求的接入设备。合理规划政务网和政务云之间的带宽，充分保证在公共接入区建设完成后，非政务单位接入政务网后的流量冲击。</w:t>
      </w:r>
    </w:p>
    <w:p>
      <w:pPr>
        <w:ind w:firstLine="640" w:firstLineChars="200"/>
        <w:outlineLvl w:val="3"/>
        <w:rPr>
          <w:rFonts w:eastAsia="仿宋_GB2312" w:cs="Times New Roman"/>
          <w:sz w:val="32"/>
          <w:szCs w:val="32"/>
        </w:rPr>
      </w:pPr>
      <w:r>
        <w:rPr>
          <w:rFonts w:eastAsia="仿宋_GB2312" w:cs="Times New Roman"/>
          <w:sz w:val="32"/>
          <w:szCs w:val="32"/>
        </w:rPr>
        <w:t>（5）接入公共接入区</w:t>
      </w:r>
    </w:p>
    <w:p>
      <w:pPr>
        <w:ind w:firstLine="640" w:firstLineChars="200"/>
        <w:rPr>
          <w:rFonts w:eastAsia="仿宋_GB2312" w:cs="Times New Roman"/>
          <w:sz w:val="32"/>
          <w:szCs w:val="28"/>
        </w:rPr>
      </w:pPr>
      <w:r>
        <w:rPr>
          <w:rFonts w:eastAsia="仿宋_GB2312" w:cs="Times New Roman"/>
          <w:sz w:val="32"/>
          <w:szCs w:val="28"/>
        </w:rPr>
        <w:t>公共接入区是指各事业单位、高校以及国企等单位，通过公共接入区能够使用各类政务服务和应用。在接入之前使用公共接入区对各接入单位进行安全管控，保证政务网络、政务系统的安全。</w:t>
      </w: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2.政务外网备平面接入服务要求</w:t>
      </w:r>
    </w:p>
    <w:p>
      <w:pPr>
        <w:ind w:firstLine="640" w:firstLineChars="200"/>
        <w:outlineLvl w:val="3"/>
        <w:rPr>
          <w:rFonts w:eastAsia="仿宋_GB2312" w:cs="Times New Roman"/>
          <w:sz w:val="32"/>
          <w:szCs w:val="32"/>
        </w:rPr>
      </w:pPr>
      <w:r>
        <w:rPr>
          <w:rFonts w:eastAsia="仿宋_GB2312" w:cs="Times New Roman"/>
          <w:sz w:val="32"/>
          <w:szCs w:val="32"/>
        </w:rPr>
        <w:t>（1）线路和设备租用要求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501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指标项</w:t>
            </w:r>
          </w:p>
        </w:tc>
        <w:tc>
          <w:tcPr>
            <w:tcW w:w="2943" w:type="pct"/>
            <w:tcBorders>
              <w:top w:val="single" w:color="auto" w:sz="4" w:space="0"/>
              <w:left w:val="single" w:color="auto" w:sz="4" w:space="0"/>
              <w:bottom w:val="single" w:color="auto" w:sz="4" w:space="0"/>
              <w:right w:val="single" w:color="auto" w:sz="4" w:space="0"/>
            </w:tcBorders>
            <w:noWrap w:val="0"/>
            <w:vAlign w:val="center"/>
          </w:tcPr>
          <w:p>
            <w:pPr>
              <w:pStyle w:val="182"/>
              <w:ind w:firstLine="480"/>
              <w:jc w:val="center"/>
              <w:rPr>
                <w:rFonts w:ascii="Times New Roman" w:hAnsi="Times New Roman" w:eastAsia="黑体"/>
                <w:sz w:val="24"/>
                <w:szCs w:val="24"/>
              </w:rPr>
            </w:pPr>
            <w:r>
              <w:rPr>
                <w:rFonts w:ascii="Times New Roman" w:hAnsi="Times New Roman" w:eastAsia="黑体"/>
                <w:sz w:val="24"/>
                <w:szCs w:val="24"/>
              </w:rPr>
              <w:t>规格要求</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省级单位线路服务</w:t>
            </w:r>
          </w:p>
        </w:tc>
        <w:tc>
          <w:tcPr>
            <w:tcW w:w="2943"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77家省级单位接入线路的开通和日常运维服务工作。</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按照采购单位实际需求开通和调整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各市的长途链路服务</w:t>
            </w:r>
          </w:p>
        </w:tc>
        <w:tc>
          <w:tcPr>
            <w:tcW w:w="2943"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政务网备平面核心P设备和11个地市万兆链路的开通和日常运维服务。</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省级核心P设备互联链路服务</w:t>
            </w:r>
          </w:p>
        </w:tc>
        <w:tc>
          <w:tcPr>
            <w:tcW w:w="2943"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和政务外网主平面P设备4条万兆互联链路开通和维护</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省级核心P设备和公共接入区互联服务</w:t>
            </w:r>
          </w:p>
        </w:tc>
        <w:tc>
          <w:tcPr>
            <w:tcW w:w="2943"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公共接入区接入政务外网备平面P设备8条万兆链路开通和维护服务。</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每个P设备各4条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政务外网和政务云之间云网互联链路</w:t>
            </w:r>
          </w:p>
        </w:tc>
        <w:tc>
          <w:tcPr>
            <w:tcW w:w="2943"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政务外网和政务云之间8条万兆链路的开通和维护工作，同时按采购单位要求配合政务云供应商完成政务外网接入和维护服务。</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政务外网互联网出口</w:t>
            </w:r>
          </w:p>
        </w:tc>
        <w:tc>
          <w:tcPr>
            <w:tcW w:w="2943"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sz w:val="24"/>
              </w:rPr>
              <w:t>具有基础电信业务经营许可证的电信运营商的互联网出口线路租用服务。</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1</w:t>
            </w:r>
          </w:p>
        </w:tc>
      </w:tr>
    </w:tbl>
    <w:p>
      <w:pPr>
        <w:ind w:firstLine="640" w:firstLineChars="200"/>
        <w:outlineLvl w:val="3"/>
        <w:rPr>
          <w:rFonts w:eastAsia="仿宋_GB2312" w:cs="Times New Roman"/>
          <w:sz w:val="32"/>
          <w:szCs w:val="32"/>
        </w:rPr>
      </w:pPr>
      <w:r>
        <w:rPr>
          <w:rFonts w:eastAsia="仿宋_GB2312" w:cs="Times New Roman"/>
          <w:sz w:val="32"/>
          <w:szCs w:val="32"/>
        </w:rPr>
        <w:t>（2）政务外网备平面机房租用服务要求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5065"/>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指标项</w:t>
            </w:r>
          </w:p>
        </w:tc>
        <w:tc>
          <w:tcPr>
            <w:tcW w:w="2972"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规格要求</w:t>
            </w:r>
          </w:p>
        </w:tc>
        <w:tc>
          <w:tcPr>
            <w:tcW w:w="542"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核心P设备/市二级核心P设备/公共接入区/政务云PE设备机房要求</w:t>
            </w:r>
          </w:p>
        </w:tc>
        <w:tc>
          <w:tcPr>
            <w:tcW w:w="29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提供机房地点，省一级核心节点和公共接入区设备应部署于杭州市区；市二级核心节点原则放在投标商当地机房内，可根据实际情况报采购单位确认后调整。机柜数量不低于2个。</w:t>
            </w:r>
          </w:p>
          <w:p>
            <w:pPr>
              <w:pStyle w:val="424"/>
              <w:rPr>
                <w:rFonts w:eastAsia="仿宋_GB2312"/>
                <w:kern w:val="0"/>
                <w:sz w:val="24"/>
                <w:szCs w:val="32"/>
              </w:rPr>
            </w:pPr>
            <w:r>
              <w:rPr>
                <w:rFonts w:eastAsia="仿宋_GB2312"/>
                <w:kern w:val="0"/>
                <w:sz w:val="24"/>
                <w:szCs w:val="32"/>
              </w:rPr>
              <w:t>政务云PE设备部署于各政务云落地机房。</w:t>
            </w:r>
          </w:p>
          <w:p>
            <w:pPr>
              <w:pStyle w:val="424"/>
              <w:rPr>
                <w:rFonts w:eastAsia="仿宋_GB2312"/>
                <w:kern w:val="0"/>
                <w:sz w:val="24"/>
                <w:szCs w:val="32"/>
              </w:rPr>
            </w:pPr>
            <w:r>
              <w:rPr>
                <w:rFonts w:eastAsia="仿宋_GB2312"/>
                <w:kern w:val="0"/>
                <w:sz w:val="24"/>
                <w:szCs w:val="32"/>
              </w:rPr>
              <w:t>包含租用所必须的配套资源，如机柜、电源、跳线等。</w:t>
            </w:r>
          </w:p>
        </w:tc>
        <w:tc>
          <w:tcPr>
            <w:tcW w:w="54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其他PE设备机房</w:t>
            </w:r>
          </w:p>
        </w:tc>
        <w:tc>
          <w:tcPr>
            <w:tcW w:w="29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各省级单位设备原则上部署于省级单位机房。</w:t>
            </w:r>
          </w:p>
        </w:tc>
        <w:tc>
          <w:tcPr>
            <w:tcW w:w="54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p>
        </w:tc>
      </w:tr>
    </w:tbl>
    <w:p>
      <w:pPr>
        <w:ind w:firstLine="640" w:firstLineChars="200"/>
        <w:outlineLvl w:val="3"/>
        <w:rPr>
          <w:rFonts w:eastAsia="仿宋_GB2312" w:cs="Times New Roman"/>
          <w:sz w:val="32"/>
          <w:szCs w:val="32"/>
        </w:rPr>
      </w:pPr>
      <w:r>
        <w:rPr>
          <w:rFonts w:eastAsia="仿宋_GB2312" w:cs="Times New Roman"/>
          <w:sz w:val="32"/>
          <w:szCs w:val="32"/>
        </w:rPr>
        <w:t>（3）数通网络运维服务要求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501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指标项</w:t>
            </w:r>
          </w:p>
        </w:tc>
        <w:tc>
          <w:tcPr>
            <w:tcW w:w="2942"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规格要求</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网络设备维护服务</w:t>
            </w:r>
          </w:p>
        </w:tc>
        <w:tc>
          <w:tcPr>
            <w:tcW w:w="294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提供SDN控制器、省一级核心P设备、市二级核心P设备、省级部门接入PE设备，提供上述设备的日常运维、现场巡检、故障检修、备机替换等保障服务。</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网络日常运维服务</w:t>
            </w:r>
          </w:p>
        </w:tc>
        <w:tc>
          <w:tcPr>
            <w:tcW w:w="294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主要包含网络的开通、上线、监测、迁移等基础服务；</w:t>
            </w:r>
          </w:p>
          <w:p>
            <w:pPr>
              <w:pStyle w:val="424"/>
              <w:rPr>
                <w:rFonts w:eastAsia="仿宋_GB2312"/>
                <w:kern w:val="0"/>
                <w:sz w:val="24"/>
                <w:szCs w:val="32"/>
              </w:rPr>
            </w:pPr>
            <w:r>
              <w:rPr>
                <w:rFonts w:eastAsia="仿宋_GB2312"/>
                <w:kern w:val="0"/>
                <w:sz w:val="24"/>
                <w:szCs w:val="32"/>
              </w:rPr>
              <w:t>提供人员驻场服务：</w:t>
            </w:r>
            <w:r>
              <w:rPr>
                <w:rFonts w:eastAsia="仿宋_GB2312"/>
                <w:sz w:val="24"/>
              </w:rPr>
              <w:t>负责备平面日常网络维护，包括对网络进行优化服务，如路由协议和路由策略优化、网络设备配置优化、网络结构优化等服务（含省政府办公厅、省大数据局办公局域网）。按需提供原厂工程师技术支持服务，必要时到现场。</w:t>
            </w:r>
          </w:p>
          <w:p>
            <w:pPr>
              <w:pStyle w:val="424"/>
              <w:rPr>
                <w:rFonts w:eastAsia="仿宋_GB2312"/>
                <w:kern w:val="0"/>
                <w:sz w:val="24"/>
                <w:szCs w:val="32"/>
              </w:rPr>
            </w:pPr>
            <w:r>
              <w:rPr>
                <w:rFonts w:eastAsia="仿宋_GB2312"/>
                <w:kern w:val="0"/>
                <w:sz w:val="24"/>
                <w:szCs w:val="32"/>
              </w:rPr>
              <w:t>提供日常运维服务：基于备平面网络运维管理系统，实施监测设备链路运行感知，制定监测指标、告警阈值，发现问题及时拉通有关单位、人员响应处置。</w:t>
            </w:r>
          </w:p>
          <w:p>
            <w:pPr>
              <w:pStyle w:val="424"/>
              <w:rPr>
                <w:rFonts w:eastAsia="仿宋_GB2312"/>
                <w:kern w:val="0"/>
                <w:sz w:val="24"/>
                <w:szCs w:val="32"/>
              </w:rPr>
            </w:pPr>
            <w:r>
              <w:rPr>
                <w:rFonts w:eastAsia="仿宋_GB2312"/>
                <w:kern w:val="0"/>
                <w:sz w:val="24"/>
                <w:szCs w:val="32"/>
              </w:rPr>
              <w:t>提供日志分析服务：对备平面所有日志（包括网络流量日志、链路状态日志、设备故障日志、操作日志、调度日志等）提供数据汇总分析、监测预警、响应处置服务。</w:t>
            </w:r>
          </w:p>
          <w:p>
            <w:pPr>
              <w:pStyle w:val="424"/>
              <w:rPr>
                <w:rFonts w:eastAsia="仿宋_GB2312"/>
                <w:kern w:val="0"/>
                <w:sz w:val="24"/>
                <w:szCs w:val="32"/>
              </w:rPr>
            </w:pPr>
            <w:r>
              <w:rPr>
                <w:rFonts w:eastAsia="仿宋_GB2312"/>
                <w:kern w:val="0"/>
                <w:sz w:val="24"/>
                <w:szCs w:val="32"/>
              </w:rPr>
              <w:t>提供技术咨询服务、重大活动或特殊事件支持服务、网络或设备性能调优服务、业务割接或系统升级支持服务、辅助故障支持服务、输出应急方案等。特殊事件支持、业务割接或系统升级等相关情况，按需提供必要的预案准备，并根据实际情况提供相应级别的现场专人保障服务。</w:t>
            </w:r>
          </w:p>
        </w:tc>
        <w:tc>
          <w:tcPr>
            <w:tcW w:w="572"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p>
        </w:tc>
      </w:tr>
    </w:tbl>
    <w:p>
      <w:pPr>
        <w:pStyle w:val="4"/>
        <w:widowControl/>
        <w:spacing w:before="0" w:after="0" w:line="240" w:lineRule="auto"/>
        <w:ind w:firstLine="640" w:firstLineChars="200"/>
        <w:contextualSpacing/>
        <w:jc w:val="left"/>
        <w:rPr>
          <w:rFonts w:ascii="Times New Roman" w:hAnsi="Times New Roman" w:eastAsia="楷体" w:cs="Times New Roman"/>
          <w:b w:val="0"/>
          <w:bCs w:val="0"/>
        </w:rPr>
      </w:pPr>
      <w:r>
        <w:rPr>
          <w:rFonts w:ascii="Times New Roman" w:hAnsi="Times New Roman" w:eastAsia="楷体" w:cs="Times New Roman"/>
          <w:b w:val="0"/>
          <w:bCs w:val="0"/>
        </w:rPr>
        <w:t>（二）性能需求</w:t>
      </w: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1.政务外网备平面接入服务设备性能要求</w:t>
      </w:r>
    </w:p>
    <w:tbl>
      <w:tblPr>
        <w:tblStyle w:val="59"/>
        <w:tblW w:w="5000" w:type="pct"/>
        <w:tblInd w:w="0" w:type="dxa"/>
        <w:tblLayout w:type="autofit"/>
        <w:tblCellMar>
          <w:top w:w="0" w:type="dxa"/>
          <w:left w:w="108" w:type="dxa"/>
          <w:bottom w:w="0" w:type="dxa"/>
          <w:right w:w="108" w:type="dxa"/>
        </w:tblCellMar>
      </w:tblPr>
      <w:tblGrid>
        <w:gridCol w:w="2417"/>
        <w:gridCol w:w="5149"/>
        <w:gridCol w:w="956"/>
      </w:tblGrid>
      <w:tr>
        <w:tblPrEx>
          <w:tblCellMar>
            <w:top w:w="0" w:type="dxa"/>
            <w:left w:w="108" w:type="dxa"/>
            <w:bottom w:w="0" w:type="dxa"/>
            <w:right w:w="108" w:type="dxa"/>
          </w:tblCellMar>
        </w:tblPrEx>
        <w:trPr>
          <w:trHeight w:val="330" w:hRule="atLeast"/>
        </w:trPr>
        <w:tc>
          <w:tcPr>
            <w:tcW w:w="141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color w:val="000000"/>
                <w:kern w:val="0"/>
                <w:sz w:val="24"/>
                <w:szCs w:val="24"/>
              </w:rPr>
            </w:pPr>
            <w:r>
              <w:rPr>
                <w:rFonts w:eastAsia="黑体"/>
                <w:color w:val="000000"/>
                <w:kern w:val="0"/>
                <w:sz w:val="24"/>
                <w:szCs w:val="24"/>
              </w:rPr>
              <w:t>指标项</w:t>
            </w:r>
          </w:p>
        </w:tc>
        <w:tc>
          <w:tcPr>
            <w:tcW w:w="3021" w:type="pct"/>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4"/>
                <w:szCs w:val="24"/>
              </w:rPr>
            </w:pPr>
            <w:r>
              <w:rPr>
                <w:rFonts w:eastAsia="黑体"/>
                <w:color w:val="000000"/>
                <w:kern w:val="0"/>
                <w:sz w:val="24"/>
                <w:szCs w:val="24"/>
              </w:rPr>
              <w:t>规格要求</w:t>
            </w:r>
          </w:p>
        </w:tc>
        <w:tc>
          <w:tcPr>
            <w:tcW w:w="561" w:type="pct"/>
            <w:tcBorders>
              <w:top w:val="single" w:color="auto" w:sz="4" w:space="0"/>
              <w:left w:val="nil"/>
              <w:bottom w:val="single" w:color="auto" w:sz="4" w:space="0"/>
              <w:right w:val="single" w:color="auto" w:sz="4" w:space="0"/>
            </w:tcBorders>
            <w:noWrap w:val="0"/>
            <w:vAlign w:val="center"/>
          </w:tcPr>
          <w:p>
            <w:pPr>
              <w:widowControl/>
              <w:jc w:val="center"/>
              <w:rPr>
                <w:rFonts w:eastAsia="黑体"/>
                <w:color w:val="000000"/>
                <w:kern w:val="0"/>
                <w:sz w:val="24"/>
                <w:szCs w:val="24"/>
              </w:rPr>
            </w:pPr>
            <w:r>
              <w:rPr>
                <w:rFonts w:eastAsia="黑体"/>
                <w:color w:val="000000"/>
                <w:kern w:val="0"/>
                <w:sz w:val="24"/>
                <w:szCs w:val="24"/>
              </w:rPr>
              <w:t>数量</w:t>
            </w:r>
          </w:p>
        </w:tc>
      </w:tr>
      <w:tr>
        <w:tblPrEx>
          <w:tblCellMar>
            <w:top w:w="0" w:type="dxa"/>
            <w:left w:w="108" w:type="dxa"/>
            <w:bottom w:w="0" w:type="dxa"/>
            <w:right w:w="108" w:type="dxa"/>
          </w:tblCellMar>
        </w:tblPrEx>
        <w:trPr>
          <w:trHeight w:val="70"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备平面省级核心P设备</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转发性能：交换容量≥160Tbps，包转发率≥38000Mpps；硬件：双主控，交换网板≥2，实际配置：万兆光接口≥96，光模块满配；双主控；软件功能:支持静态路由、OSPF、IS-IS、BGP等常用路由协议；支持SRv6、支持通过OSPF协议承载SRv6路由协议、随流检测、切片技术、支持SDN统一管理</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2</w:t>
            </w:r>
          </w:p>
        </w:tc>
      </w:tr>
      <w:tr>
        <w:tblPrEx>
          <w:tblCellMar>
            <w:top w:w="0" w:type="dxa"/>
            <w:left w:w="108" w:type="dxa"/>
            <w:bottom w:w="0" w:type="dxa"/>
            <w:right w:w="108" w:type="dxa"/>
          </w:tblCellMar>
        </w:tblPrEx>
        <w:trPr>
          <w:trHeight w:val="70"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备平面地市P设备</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转发性能：交换容量≥130Tbps，包转发率≥12000Mpps；实际配置：万兆光接口≥8，光模块满配；双主控，双电源；软件功能:支持静态路由、OSPF、IS-IS、BGP等常用路由协议；支持SRv6、支持通过OSPF协议承载SRv6路由协议、随流检测、切片技术、支持SDN统一管理</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11</w:t>
            </w:r>
          </w:p>
        </w:tc>
      </w:tr>
      <w:tr>
        <w:tblPrEx>
          <w:tblCellMar>
            <w:top w:w="0" w:type="dxa"/>
            <w:left w:w="108" w:type="dxa"/>
            <w:bottom w:w="0" w:type="dxa"/>
            <w:right w:w="108" w:type="dxa"/>
          </w:tblCellMar>
        </w:tblPrEx>
        <w:trPr>
          <w:trHeight w:val="77"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备平面省级单位接入PE设备类型1</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交换容量≥70Tbps，包转发率≥6000Mpps；实际配置：万兆光接口≥6，千兆光口≥8，光模块满配；双主控，双电源；软件功能:支持静态路由、OSPF、IS-IS、BGP等常用路由协议；支持SRv6、支持通过OSPF协议承载SRv6路由协议、随流检测、切片技术、支持SDN统一管理</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28</w:t>
            </w:r>
          </w:p>
        </w:tc>
      </w:tr>
      <w:tr>
        <w:tblPrEx>
          <w:tblCellMar>
            <w:top w:w="0" w:type="dxa"/>
            <w:left w:w="108" w:type="dxa"/>
            <w:bottom w:w="0" w:type="dxa"/>
            <w:right w:w="108" w:type="dxa"/>
          </w:tblCellMar>
        </w:tblPrEx>
        <w:trPr>
          <w:trHeight w:val="1515"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备平面省级单位接入PE设备类型2</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交换容量≥70Tbps，包转发率≥6000Mpps；实际配置：千兆光接口≥6，光模块满配。软件功能：支持静态路由、OSPF、IS-IS、BGP等常用路由协议；支持SRv6、支持通过OSPF协议承载SRv6路由协议、随流检测、切片技术、支持SDN统一管理</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49</w:t>
            </w:r>
          </w:p>
        </w:tc>
      </w:tr>
      <w:tr>
        <w:tblPrEx>
          <w:tblCellMar>
            <w:top w:w="0" w:type="dxa"/>
            <w:left w:w="108" w:type="dxa"/>
            <w:bottom w:w="0" w:type="dxa"/>
            <w:right w:w="108" w:type="dxa"/>
          </w:tblCellMar>
        </w:tblPrEx>
        <w:trPr>
          <w:trHeight w:val="70"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备平面SDN控制器</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全网资源分层可视，提供物理拓扑、逻辑拓扑、隧道、VPN业务多层视图，便于管理和规划，自动发现网络资源，提升运维效率，减少网络初始化时间；提供智能的网络优化方案，实现网络流量实时自动调优、SLA信息采集和呈现。</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1</w:t>
            </w:r>
          </w:p>
        </w:tc>
      </w:tr>
      <w:tr>
        <w:tblPrEx>
          <w:tblCellMar>
            <w:top w:w="0" w:type="dxa"/>
            <w:left w:w="108" w:type="dxa"/>
            <w:bottom w:w="0" w:type="dxa"/>
            <w:right w:w="108" w:type="dxa"/>
          </w:tblCellMar>
        </w:tblPrEx>
        <w:trPr>
          <w:trHeight w:val="570"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云PE设备（萧山）</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交换容量≥110Tbps，包转发率≥9000Mpps；万兆端口≥16，千兆端口≥16.模块满配，双电源。</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2</w:t>
            </w:r>
          </w:p>
        </w:tc>
      </w:tr>
      <w:tr>
        <w:tblPrEx>
          <w:tblCellMar>
            <w:top w:w="0" w:type="dxa"/>
            <w:left w:w="108" w:type="dxa"/>
            <w:bottom w:w="0" w:type="dxa"/>
            <w:right w:w="108" w:type="dxa"/>
          </w:tblCellMar>
        </w:tblPrEx>
        <w:trPr>
          <w:trHeight w:val="570"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云PE设备（转塘、杭钢）</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交换容量≥110Tbps，包转发率≥6000Mpps；万兆端口≥8，千兆业务口≥32，模块满配，双电源。</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4</w:t>
            </w:r>
          </w:p>
        </w:tc>
      </w:tr>
      <w:tr>
        <w:tblPrEx>
          <w:tblCellMar>
            <w:top w:w="0" w:type="dxa"/>
            <w:left w:w="108" w:type="dxa"/>
            <w:bottom w:w="0" w:type="dxa"/>
            <w:right w:w="108" w:type="dxa"/>
          </w:tblCellMar>
        </w:tblPrEx>
        <w:trPr>
          <w:trHeight w:val="660" w:hRule="atLeast"/>
        </w:trPr>
        <w:tc>
          <w:tcPr>
            <w:tcW w:w="1418" w:type="pct"/>
            <w:tcBorders>
              <w:top w:val="nil"/>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公共接入区PE设备</w:t>
            </w:r>
          </w:p>
        </w:tc>
        <w:tc>
          <w:tcPr>
            <w:tcW w:w="302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交换容量≥70Tbps，包转发率≥6000Mpps；万兆端口≥16.≥8个千兆端口，满配光模块，双电源。软件功能：支持静态路由、OSPF、IS-IS、BGP等常用路由协议；支持SRv6、支持通过OSPF协议承载SRv6路由协议、随流检测、切片技术、支持SDN统一管理</w:t>
            </w:r>
          </w:p>
        </w:tc>
        <w:tc>
          <w:tcPr>
            <w:tcW w:w="561" w:type="pct"/>
            <w:tcBorders>
              <w:top w:val="nil"/>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2</w:t>
            </w:r>
          </w:p>
        </w:tc>
      </w:tr>
      <w:tr>
        <w:tblPrEx>
          <w:tblCellMar>
            <w:top w:w="0" w:type="dxa"/>
            <w:left w:w="108" w:type="dxa"/>
            <w:bottom w:w="0" w:type="dxa"/>
            <w:right w:w="108" w:type="dxa"/>
          </w:tblCellMar>
        </w:tblPrEx>
        <w:trPr>
          <w:trHeight w:val="70" w:hRule="atLeast"/>
        </w:trPr>
        <w:tc>
          <w:tcPr>
            <w:tcW w:w="1418" w:type="pc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公共接入区安全网关（含一套安全管理软件）</w:t>
            </w:r>
          </w:p>
        </w:tc>
        <w:tc>
          <w:tcPr>
            <w:tcW w:w="3021" w:type="pct"/>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接口要求：</w:t>
            </w:r>
          </w:p>
          <w:p>
            <w:pPr>
              <w:widowControl/>
              <w:rPr>
                <w:rFonts w:eastAsia="仿宋_GB2312"/>
                <w:color w:val="000000"/>
                <w:kern w:val="0"/>
                <w:sz w:val="24"/>
                <w:szCs w:val="24"/>
              </w:rPr>
            </w:pPr>
            <w:r>
              <w:rPr>
                <w:rFonts w:eastAsia="仿宋_GB2312"/>
                <w:color w:val="000000"/>
                <w:kern w:val="0"/>
                <w:sz w:val="24"/>
                <w:szCs w:val="24"/>
              </w:rPr>
              <w:t>接口配置≥24个千兆电口；≥16个千兆光；≥12个万兆接口；光模块按需配置。</w:t>
            </w:r>
          </w:p>
          <w:p>
            <w:pPr>
              <w:widowControl/>
              <w:rPr>
                <w:rFonts w:eastAsia="仿宋_GB2312"/>
                <w:color w:val="000000"/>
                <w:kern w:val="0"/>
                <w:sz w:val="24"/>
                <w:szCs w:val="24"/>
              </w:rPr>
            </w:pPr>
            <w:r>
              <w:rPr>
                <w:rFonts w:eastAsia="仿宋_GB2312"/>
                <w:color w:val="000000"/>
                <w:kern w:val="0"/>
                <w:sz w:val="24"/>
                <w:szCs w:val="24"/>
              </w:rPr>
              <w:t>下一代防火墙性能功能要求：吞吐量≥320Gbps，并发连接≥1800万,新建连接≥100万，配置IPS/AV特征库，全部特征库加载后吞吐量≥40Gbps。</w:t>
            </w:r>
          </w:p>
          <w:p>
            <w:pPr>
              <w:widowControl/>
              <w:rPr>
                <w:rFonts w:eastAsia="仿宋_GB2312"/>
                <w:color w:val="000000"/>
                <w:kern w:val="0"/>
                <w:sz w:val="24"/>
                <w:szCs w:val="24"/>
              </w:rPr>
            </w:pPr>
            <w:r>
              <w:rPr>
                <w:rFonts w:eastAsia="仿宋_GB2312"/>
                <w:color w:val="000000"/>
                <w:kern w:val="0"/>
                <w:sz w:val="24"/>
                <w:szCs w:val="24"/>
              </w:rPr>
              <w:t>其他要求：</w:t>
            </w:r>
          </w:p>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支持SDN统一管理，配套审计日志留存时间不低于6个月；</w:t>
            </w:r>
          </w:p>
          <w:p>
            <w:pPr>
              <w:widowControl/>
              <w:rPr>
                <w:rFonts w:eastAsia="仿宋_GB2312"/>
                <w:color w:val="000000"/>
                <w:kern w:val="0"/>
                <w:sz w:val="24"/>
                <w:szCs w:val="24"/>
              </w:rPr>
            </w:pPr>
            <w:r>
              <w:rPr>
                <w:rFonts w:eastAsia="仿宋_GB2312"/>
                <w:color w:val="000000"/>
                <w:kern w:val="0"/>
                <w:sz w:val="24"/>
                <w:szCs w:val="24"/>
              </w:rPr>
              <w:t>支持IPV4和IPV6双栈运行；</w:t>
            </w:r>
          </w:p>
          <w:p>
            <w:pPr>
              <w:pStyle w:val="602"/>
              <w:jc w:val="both"/>
              <w:rPr>
                <w:rFonts w:ascii="Times New Roman" w:hAnsi="Times New Roman" w:eastAsia="仿宋_GB2312"/>
                <w:color w:val="000000"/>
                <w:kern w:val="2"/>
                <w:szCs w:val="24"/>
                <w:lang w:val="en-US"/>
              </w:rPr>
            </w:pPr>
            <w:r>
              <w:rPr>
                <w:rFonts w:ascii="Times New Roman" w:hAnsi="Times New Roman" w:eastAsia="仿宋_GB2312"/>
                <w:color w:val="000000"/>
                <w:kern w:val="2"/>
                <w:szCs w:val="24"/>
                <w:lang w:val="en-US"/>
              </w:rPr>
              <w:t>支持动态路由协议RIP v1/v2、OSPF、IS-IS和BGP、RIPng、OSPFv3、IS-IS v6、BGP4+。</w:t>
            </w:r>
          </w:p>
        </w:tc>
        <w:tc>
          <w:tcPr>
            <w:tcW w:w="561" w:type="pct"/>
            <w:tcBorders>
              <w:top w:val="single" w:color="auto" w:sz="4" w:space="0"/>
              <w:left w:val="nil"/>
              <w:bottom w:val="single" w:color="auto" w:sz="4" w:space="0"/>
              <w:right w:val="single" w:color="auto" w:sz="4" w:space="0"/>
            </w:tcBorders>
            <w:noWrap w:val="0"/>
            <w:vAlign w:val="center"/>
          </w:tcPr>
          <w:p>
            <w:pPr>
              <w:widowControl/>
              <w:rPr>
                <w:rFonts w:eastAsia="仿宋_GB2312"/>
                <w:color w:val="000000"/>
                <w:kern w:val="0"/>
                <w:sz w:val="24"/>
                <w:szCs w:val="24"/>
              </w:rPr>
            </w:pPr>
            <w:r>
              <w:rPr>
                <w:rFonts w:eastAsia="仿宋_GB2312"/>
                <w:color w:val="000000"/>
                <w:kern w:val="0"/>
                <w:sz w:val="24"/>
                <w:szCs w:val="24"/>
              </w:rPr>
              <w:t>2</w:t>
            </w:r>
          </w:p>
        </w:tc>
      </w:tr>
      <w:tr>
        <w:tblPrEx>
          <w:tblCellMar>
            <w:top w:w="0" w:type="dxa"/>
            <w:left w:w="108" w:type="dxa"/>
            <w:bottom w:w="0" w:type="dxa"/>
            <w:right w:w="108" w:type="dxa"/>
          </w:tblCellMar>
        </w:tblPrEx>
        <w:trPr>
          <w:trHeight w:val="425" w:hRule="atLeast"/>
        </w:trPr>
        <w:tc>
          <w:tcPr>
            <w:tcW w:w="1418" w:type="pct"/>
            <w:tcBorders>
              <w:top w:val="single" w:color="auto" w:sz="4" w:space="0"/>
              <w:left w:val="single" w:color="auto" w:sz="4" w:space="0"/>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物理服务器</w:t>
            </w:r>
          </w:p>
        </w:tc>
        <w:tc>
          <w:tcPr>
            <w:tcW w:w="302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CPU主频≥2.1GHz，cpu数量≥32核，内存≥300G，SSD≥480G，SATA盘≥16T，双端口万兆网卡（含模块）≥2，冗余电源≥2</w:t>
            </w:r>
          </w:p>
        </w:tc>
        <w:tc>
          <w:tcPr>
            <w:tcW w:w="56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4</w:t>
            </w:r>
          </w:p>
        </w:tc>
      </w:tr>
      <w:tr>
        <w:tblPrEx>
          <w:tblCellMar>
            <w:top w:w="0" w:type="dxa"/>
            <w:left w:w="108" w:type="dxa"/>
            <w:bottom w:w="0" w:type="dxa"/>
            <w:right w:w="108" w:type="dxa"/>
          </w:tblCellMar>
        </w:tblPrEx>
        <w:trPr>
          <w:trHeight w:val="70" w:hRule="atLeast"/>
        </w:trPr>
        <w:tc>
          <w:tcPr>
            <w:tcW w:w="1418" w:type="pct"/>
            <w:tcBorders>
              <w:top w:val="single" w:color="auto" w:sz="4" w:space="0"/>
              <w:left w:val="single" w:color="auto" w:sz="4" w:space="0"/>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网络运维管理平台</w:t>
            </w:r>
          </w:p>
        </w:tc>
        <w:tc>
          <w:tcPr>
            <w:tcW w:w="302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网络运维监控，对电子政务外网网络设备进行监管，提供故障告警、网络配置管理等功能，支持IPv4/IPv6网络协议。</w:t>
            </w:r>
          </w:p>
        </w:tc>
        <w:tc>
          <w:tcPr>
            <w:tcW w:w="56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1</w:t>
            </w:r>
          </w:p>
        </w:tc>
      </w:tr>
      <w:tr>
        <w:tblPrEx>
          <w:tblCellMar>
            <w:top w:w="0" w:type="dxa"/>
            <w:left w:w="108" w:type="dxa"/>
            <w:bottom w:w="0" w:type="dxa"/>
            <w:right w:w="108" w:type="dxa"/>
          </w:tblCellMar>
        </w:tblPrEx>
        <w:trPr>
          <w:trHeight w:val="84" w:hRule="atLeast"/>
        </w:trPr>
        <w:tc>
          <w:tcPr>
            <w:tcW w:w="1418" w:type="pct"/>
            <w:tcBorders>
              <w:top w:val="single" w:color="auto" w:sz="4" w:space="0"/>
              <w:left w:val="single" w:color="auto" w:sz="4" w:space="0"/>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SDN控制区交换机</w:t>
            </w:r>
          </w:p>
        </w:tc>
        <w:tc>
          <w:tcPr>
            <w:tcW w:w="302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交换容量≥2 Tbps，包转发率≥800Mpps，万兆以太网光口≥40个， 100G口≥2个，满配三风扇，双交流电源</w:t>
            </w:r>
          </w:p>
        </w:tc>
        <w:tc>
          <w:tcPr>
            <w:tcW w:w="56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2</w:t>
            </w:r>
          </w:p>
        </w:tc>
      </w:tr>
      <w:tr>
        <w:tblPrEx>
          <w:tblCellMar>
            <w:top w:w="0" w:type="dxa"/>
            <w:left w:w="108" w:type="dxa"/>
            <w:bottom w:w="0" w:type="dxa"/>
            <w:right w:w="108" w:type="dxa"/>
          </w:tblCellMar>
        </w:tblPrEx>
        <w:trPr>
          <w:trHeight w:val="990" w:hRule="atLeast"/>
        </w:trPr>
        <w:tc>
          <w:tcPr>
            <w:tcW w:w="1418" w:type="pct"/>
            <w:tcBorders>
              <w:top w:val="single" w:color="auto" w:sz="4" w:space="0"/>
              <w:left w:val="single" w:color="auto" w:sz="4" w:space="0"/>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SDN控制区防火墙</w:t>
            </w:r>
          </w:p>
        </w:tc>
        <w:tc>
          <w:tcPr>
            <w:tcW w:w="302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吞吐量≥5G，并发连接数≥200万，每秒新建连接数≥3万，千兆电口≥16个，combo口≥4个，千兆光口≥4，万兆光口≥2个，配置冗余双电源</w:t>
            </w:r>
          </w:p>
        </w:tc>
        <w:tc>
          <w:tcPr>
            <w:tcW w:w="561" w:type="pct"/>
            <w:tcBorders>
              <w:top w:val="single" w:color="auto" w:sz="4" w:space="0"/>
              <w:left w:val="nil"/>
              <w:bottom w:val="single" w:color="auto" w:sz="4" w:space="0"/>
              <w:right w:val="single" w:color="auto" w:sz="4" w:space="0"/>
            </w:tcBorders>
            <w:noWrap w:val="0"/>
            <w:vAlign w:val="center"/>
          </w:tcPr>
          <w:p>
            <w:pPr>
              <w:pStyle w:val="602"/>
              <w:jc w:val="both"/>
              <w:rPr>
                <w:rFonts w:ascii="Times New Roman" w:hAnsi="Times New Roman" w:eastAsia="仿宋_GB2312"/>
                <w:color w:val="000000"/>
                <w:kern w:val="2"/>
                <w:szCs w:val="24"/>
              </w:rPr>
            </w:pPr>
            <w:r>
              <w:rPr>
                <w:rFonts w:ascii="Times New Roman" w:hAnsi="Times New Roman" w:eastAsia="仿宋_GB2312"/>
                <w:color w:val="000000"/>
                <w:kern w:val="2"/>
                <w:szCs w:val="24"/>
              </w:rPr>
              <w:t>2</w:t>
            </w:r>
          </w:p>
        </w:tc>
      </w:tr>
    </w:tbl>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2.政务外网备平面接入服务线路接入性能要求</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509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bCs/>
                <w:kern w:val="0"/>
                <w:sz w:val="24"/>
                <w:szCs w:val="32"/>
              </w:rPr>
            </w:pPr>
            <w:r>
              <w:rPr>
                <w:rFonts w:eastAsia="黑体"/>
                <w:bCs/>
                <w:kern w:val="0"/>
                <w:sz w:val="24"/>
                <w:szCs w:val="32"/>
              </w:rPr>
              <w:t>指标项</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bCs/>
                <w:kern w:val="0"/>
                <w:sz w:val="24"/>
                <w:szCs w:val="32"/>
              </w:rPr>
            </w:pPr>
            <w:r>
              <w:rPr>
                <w:rFonts w:eastAsia="黑体"/>
                <w:bCs/>
                <w:kern w:val="0"/>
                <w:sz w:val="24"/>
                <w:szCs w:val="32"/>
              </w:rPr>
              <w:t>规格要求</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182"/>
              <w:ind w:firstLine="0" w:firstLineChars="0"/>
              <w:rPr>
                <w:rFonts w:ascii="Times New Roman" w:hAnsi="Times New Roman" w:eastAsia="黑体"/>
                <w:bCs/>
                <w:sz w:val="24"/>
                <w:szCs w:val="28"/>
              </w:rPr>
            </w:pPr>
            <w:r>
              <w:rPr>
                <w:rFonts w:ascii="Times New Roman" w:hAnsi="Times New Roman" w:eastAsia="黑体"/>
                <w:bCs/>
                <w:sz w:val="24"/>
                <w:szCs w:val="28"/>
              </w:rPr>
              <w:t>数量要求（条）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总体要求</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1）可利用率不低于99.95%;</w:t>
            </w:r>
          </w:p>
          <w:p>
            <w:pPr>
              <w:pStyle w:val="424"/>
              <w:rPr>
                <w:rFonts w:eastAsia="仿宋_GB2312"/>
                <w:kern w:val="0"/>
                <w:sz w:val="24"/>
                <w:szCs w:val="32"/>
              </w:rPr>
            </w:pPr>
            <w:r>
              <w:rPr>
                <w:rFonts w:eastAsia="仿宋_GB2312"/>
                <w:kern w:val="0"/>
                <w:sz w:val="24"/>
                <w:szCs w:val="32"/>
              </w:rPr>
              <w:t>2）链路延时≤20ms;</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szCs w:val="32"/>
              </w:rPr>
            </w:pPr>
            <w:r>
              <w:rPr>
                <w:rFonts w:eastAsia="仿宋_GB2312"/>
                <w:kern w:val="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color w:val="000000"/>
                <w:kern w:val="0"/>
                <w:sz w:val="24"/>
                <w:szCs w:val="32"/>
              </w:rPr>
              <w:t>政务网双平面省级核心P互联（万兆）</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color w:val="000000"/>
                <w:kern w:val="0"/>
                <w:sz w:val="24"/>
                <w:szCs w:val="32"/>
              </w:rPr>
              <w:t>提供杭州市区内主备机房之间的4条万兆链路。</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szCs w:val="32"/>
              </w:rPr>
            </w:pPr>
            <w:r>
              <w:rPr>
                <w:rFonts w:eastAsia="仿宋_GB2312"/>
                <w:color w:val="000000"/>
                <w:kern w:val="0"/>
                <w:sz w:val="24"/>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省级单位接入光纤（万兆）</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提供省级单位接入光纤，带宽匹配数通设备端口速率。要求提供28条万兆电路。</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szCs w:val="32"/>
              </w:rPr>
            </w:pPr>
            <w:r>
              <w:rPr>
                <w:rFonts w:eastAsia="仿宋_GB2312"/>
                <w:kern w:val="0"/>
                <w:sz w:val="24"/>
                <w:szCs w:val="32"/>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省级单位接入光纤（千兆）</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提供省级单位接入光纤，带宽匹配数通设备端口速率。要求提供49条千兆电路。</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szCs w:val="32"/>
              </w:rPr>
            </w:pPr>
            <w:r>
              <w:rPr>
                <w:rFonts w:eastAsia="仿宋_GB2312"/>
                <w:kern w:val="0"/>
                <w:sz w:val="24"/>
                <w:szCs w:val="3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省市电子政务外网互通线路（万兆）</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szCs w:val="32"/>
              </w:rPr>
            </w:pPr>
            <w:r>
              <w:rPr>
                <w:rFonts w:eastAsia="仿宋_GB2312"/>
                <w:kern w:val="0"/>
                <w:sz w:val="24"/>
                <w:szCs w:val="32"/>
              </w:rPr>
              <w:t>11个市二级核心节点与省电子政务外网备平面核心的互联互通线路。要求提供11条万兆传输线路。</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kern w:val="0"/>
                <w:sz w:val="24"/>
                <w:szCs w:val="32"/>
              </w:rPr>
            </w:pPr>
            <w:r>
              <w:rPr>
                <w:rFonts w:eastAsia="仿宋_GB2312"/>
                <w:kern w:val="0"/>
                <w:sz w:val="24"/>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color w:val="000000"/>
                <w:kern w:val="0"/>
                <w:sz w:val="24"/>
                <w:szCs w:val="32"/>
              </w:rPr>
            </w:pPr>
            <w:r>
              <w:rPr>
                <w:rFonts w:eastAsia="仿宋_GB2312"/>
                <w:color w:val="000000"/>
                <w:kern w:val="0"/>
                <w:sz w:val="24"/>
                <w:szCs w:val="32"/>
              </w:rPr>
              <w:t>公共接入区接入政务外网（万兆）</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color w:val="000000"/>
                <w:kern w:val="0"/>
                <w:sz w:val="24"/>
                <w:szCs w:val="32"/>
              </w:rPr>
            </w:pPr>
            <w:r>
              <w:rPr>
                <w:rFonts w:eastAsia="仿宋_GB2312"/>
                <w:color w:val="000000"/>
                <w:kern w:val="0"/>
                <w:sz w:val="24"/>
                <w:szCs w:val="32"/>
              </w:rPr>
              <w:t>公共接入区设备接入政务外网备平面两套核心P设备，要求提供8条万兆链路，可据实际情况使用机房内跳纤或者传输。</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color w:val="000000"/>
                <w:kern w:val="0"/>
                <w:sz w:val="24"/>
                <w:szCs w:val="32"/>
              </w:rPr>
            </w:pPr>
            <w:r>
              <w:rPr>
                <w:rFonts w:eastAsia="仿宋_GB2312"/>
                <w:color w:val="000000"/>
                <w:kern w:val="0"/>
                <w:sz w:val="24"/>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color w:val="000000"/>
                <w:kern w:val="0"/>
                <w:sz w:val="24"/>
                <w:szCs w:val="32"/>
              </w:rPr>
            </w:pPr>
            <w:r>
              <w:rPr>
                <w:rFonts w:eastAsia="仿宋_GB2312"/>
                <w:color w:val="000000"/>
                <w:kern w:val="0"/>
                <w:sz w:val="24"/>
                <w:szCs w:val="32"/>
              </w:rPr>
              <w:t>政务网和政务云互联（万兆）</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color w:val="000000"/>
                <w:kern w:val="0"/>
                <w:sz w:val="24"/>
                <w:szCs w:val="32"/>
              </w:rPr>
            </w:pPr>
            <w:r>
              <w:rPr>
                <w:rFonts w:eastAsia="仿宋_GB2312"/>
                <w:color w:val="000000"/>
                <w:kern w:val="0"/>
                <w:sz w:val="24"/>
                <w:szCs w:val="32"/>
              </w:rPr>
              <w:t>提供政务网和政务云的连接，提供8条万兆链路。</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color w:val="000000"/>
                <w:kern w:val="0"/>
                <w:sz w:val="24"/>
                <w:szCs w:val="32"/>
              </w:rPr>
            </w:pPr>
            <w:r>
              <w:rPr>
                <w:rFonts w:eastAsia="仿宋_GB2312"/>
                <w:color w:val="000000"/>
                <w:kern w:val="0"/>
                <w:sz w:val="24"/>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9"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color w:val="000000"/>
                <w:kern w:val="0"/>
                <w:sz w:val="24"/>
                <w:szCs w:val="32"/>
              </w:rPr>
            </w:pPr>
            <w:r>
              <w:rPr>
                <w:rFonts w:eastAsia="仿宋_GB2312"/>
                <w:color w:val="000000"/>
                <w:kern w:val="0"/>
                <w:sz w:val="24"/>
                <w:szCs w:val="32"/>
              </w:rPr>
              <w:t>互联网出口线路（10Gbps）</w:t>
            </w:r>
          </w:p>
        </w:tc>
        <w:tc>
          <w:tcPr>
            <w:tcW w:w="2986" w:type="pct"/>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color w:val="000000"/>
                <w:kern w:val="0"/>
                <w:sz w:val="24"/>
                <w:szCs w:val="32"/>
              </w:rPr>
            </w:pPr>
            <w:r>
              <w:rPr>
                <w:rFonts w:eastAsia="仿宋_GB2312"/>
                <w:color w:val="000000"/>
                <w:kern w:val="0"/>
                <w:sz w:val="24"/>
                <w:szCs w:val="32"/>
              </w:rPr>
              <w:t>租用10Gbps带宽互联网专线，提供1个C(255个)IPv4互联网地址，1组52位前缀IPv6地址，满足政务外网用户访问互联网需求。接入IP地址按照采购单位实际需求动态调整。专线连接政务外网主平面负载均衡设备。</w:t>
            </w:r>
          </w:p>
        </w:tc>
        <w:tc>
          <w:tcPr>
            <w:tcW w:w="564" w:type="pct"/>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仿宋_GB2312"/>
                <w:color w:val="000000"/>
                <w:kern w:val="0"/>
                <w:sz w:val="24"/>
                <w:szCs w:val="32"/>
              </w:rPr>
            </w:pPr>
            <w:r>
              <w:rPr>
                <w:rFonts w:eastAsia="仿宋_GB2312"/>
                <w:color w:val="000000"/>
                <w:kern w:val="0"/>
                <w:sz w:val="24"/>
                <w:szCs w:val="32"/>
              </w:rPr>
              <w:t>1</w:t>
            </w:r>
          </w:p>
        </w:tc>
      </w:tr>
    </w:tbl>
    <w:p>
      <w:pPr>
        <w:pStyle w:val="2"/>
        <w:spacing w:after="0"/>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lang w:bidi="ar"/>
        </w:rPr>
        <w:t>*省级单位接入线路、PE设备类型1和省级单位接入PE设备类型2</w:t>
      </w:r>
      <w:r>
        <w:rPr>
          <w:rFonts w:ascii="Times New Roman" w:hAnsi="Times New Roman" w:eastAsia="仿宋_GB2312" w:cs="Times New Roman"/>
          <w:kern w:val="0"/>
          <w:sz w:val="32"/>
          <w:szCs w:val="32"/>
        </w:rPr>
        <w:t>按照采购单位实际需求开通和调整。</w:t>
      </w:r>
    </w:p>
    <w:p>
      <w:pPr>
        <w:pStyle w:val="2"/>
        <w:spacing w:after="0"/>
        <w:ind w:firstLine="640" w:firstLineChars="200"/>
        <w:rPr>
          <w:rFonts w:ascii="Times New Roman" w:hAnsi="Times New Roman" w:eastAsia="仿宋" w:cs="Times New Roman"/>
          <w:kern w:val="0"/>
          <w:sz w:val="32"/>
          <w:szCs w:val="32"/>
        </w:rPr>
      </w:pPr>
    </w:p>
    <w:p>
      <w:pPr>
        <w:pStyle w:val="5"/>
        <w:widowControl/>
        <w:spacing w:before="0" w:after="0" w:line="240" w:lineRule="auto"/>
        <w:ind w:firstLine="640" w:firstLineChars="200"/>
        <w:contextualSpacing/>
        <w:jc w:val="left"/>
        <w:rPr>
          <w:rFonts w:ascii="Times New Roman" w:hAnsi="Times New Roman" w:eastAsia="仿宋_GB2312" w:cs="Times New Roman"/>
          <w:b w:val="0"/>
          <w:bCs w:val="0"/>
        </w:rPr>
      </w:pPr>
      <w:r>
        <w:rPr>
          <w:rFonts w:ascii="Times New Roman" w:hAnsi="Times New Roman" w:eastAsia="仿宋_GB2312" w:cs="Times New Roman"/>
          <w:b w:val="0"/>
          <w:bCs w:val="0"/>
        </w:rPr>
        <w:t>3.政务外网备平面机房托管服务指标要求</w:t>
      </w:r>
    </w:p>
    <w:tbl>
      <w:tblPr>
        <w:tblStyle w:val="59"/>
        <w:tblW w:w="85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009" w:type="dxa"/>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指标项</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pStyle w:val="424"/>
              <w:jc w:val="center"/>
              <w:rPr>
                <w:rFonts w:eastAsia="黑体"/>
                <w:kern w:val="0"/>
                <w:sz w:val="24"/>
              </w:rPr>
            </w:pPr>
            <w:r>
              <w:rPr>
                <w:rFonts w:eastAsia="黑体"/>
                <w:kern w:val="0"/>
                <w:sz w:val="24"/>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009" w:type="dxa"/>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rPr>
            </w:pPr>
            <w:r>
              <w:rPr>
                <w:rFonts w:eastAsia="仿宋_GB2312"/>
                <w:sz w:val="24"/>
              </w:rPr>
              <w:t>核心P设备/市二级核心P设备/公共接入区/政务云PE设备机房标准</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424"/>
              <w:rPr>
                <w:rFonts w:eastAsia="仿宋_GB2312"/>
                <w:kern w:val="0"/>
                <w:sz w:val="24"/>
              </w:rPr>
            </w:pPr>
            <w:r>
              <w:rPr>
                <w:rFonts w:eastAsia="仿宋_GB2312"/>
                <w:kern w:val="0"/>
                <w:sz w:val="24"/>
              </w:rPr>
              <w:t>供应商提供机房应满足GB/T 2887-2000《电子计算机场地通用规范》B级标准以上。</w:t>
            </w:r>
          </w:p>
          <w:p>
            <w:pPr>
              <w:pStyle w:val="424"/>
              <w:rPr>
                <w:rFonts w:eastAsia="仿宋_GB2312"/>
                <w:kern w:val="0"/>
                <w:sz w:val="24"/>
              </w:rPr>
            </w:pPr>
            <w:r>
              <w:rPr>
                <w:rFonts w:eastAsia="仿宋_GB2312"/>
                <w:kern w:val="0"/>
                <w:sz w:val="24"/>
              </w:rPr>
              <w:t>市二级核心P设备若安装于各市政府机房内，项目实施前应由投标人告知设备安装需要环境要求、设备规格、供电要求（功率、插座类型等），由市级政府单位提供。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009" w:type="dxa"/>
            <w:tcBorders>
              <w:top w:val="single" w:color="auto" w:sz="4" w:space="0"/>
              <w:left w:val="single" w:color="auto" w:sz="4" w:space="0"/>
              <w:bottom w:val="single" w:color="auto" w:sz="4" w:space="0"/>
              <w:right w:val="single" w:color="auto" w:sz="4" w:space="0"/>
            </w:tcBorders>
            <w:noWrap w:val="0"/>
            <w:vAlign w:val="center"/>
          </w:tcPr>
          <w:p>
            <w:pPr>
              <w:pStyle w:val="424"/>
              <w:rPr>
                <w:rFonts w:eastAsia="仿宋_GB2312"/>
                <w:kern w:val="0"/>
                <w:sz w:val="24"/>
              </w:rPr>
            </w:pPr>
            <w:r>
              <w:rPr>
                <w:rFonts w:eastAsia="仿宋_GB2312"/>
                <w:kern w:val="0"/>
                <w:sz w:val="24"/>
              </w:rPr>
              <w:t>省级单位</w:t>
            </w:r>
          </w:p>
        </w:tc>
        <w:tc>
          <w:tcPr>
            <w:tcW w:w="6520" w:type="dxa"/>
            <w:tcBorders>
              <w:top w:val="single" w:color="auto" w:sz="4" w:space="0"/>
              <w:left w:val="single" w:color="auto" w:sz="4" w:space="0"/>
              <w:bottom w:val="single" w:color="auto" w:sz="4" w:space="0"/>
              <w:right w:val="single" w:color="auto" w:sz="4" w:space="0"/>
            </w:tcBorders>
            <w:noWrap w:val="0"/>
            <w:vAlign w:val="top"/>
          </w:tcPr>
          <w:p>
            <w:pPr>
              <w:pStyle w:val="424"/>
              <w:rPr>
                <w:rFonts w:eastAsia="仿宋_GB2312"/>
                <w:sz w:val="24"/>
              </w:rPr>
            </w:pPr>
            <w:r>
              <w:rPr>
                <w:rFonts w:eastAsia="仿宋_GB2312"/>
                <w:sz w:val="24"/>
              </w:rPr>
              <w:t>各省级单位设备部署原则上部署于省级单位机房。</w:t>
            </w:r>
          </w:p>
          <w:p>
            <w:pPr>
              <w:pStyle w:val="424"/>
              <w:rPr>
                <w:rFonts w:eastAsia="仿宋_GB2312"/>
                <w:kern w:val="0"/>
                <w:sz w:val="24"/>
              </w:rPr>
            </w:pPr>
            <w:r>
              <w:rPr>
                <w:rFonts w:eastAsia="仿宋_GB2312"/>
                <w:kern w:val="0"/>
                <w:sz w:val="24"/>
              </w:rPr>
              <w:t>项目实施前应由供应商告知设备安装需要环境要求、设备规格、供电要求（功率、插座类型等），由省级单位提供。</w:t>
            </w:r>
          </w:p>
        </w:tc>
      </w:tr>
    </w:tbl>
    <w:p>
      <w:pPr>
        <w:widowControl/>
        <w:jc w:val="left"/>
        <w:rPr>
          <w:rFonts w:eastAsia="仿宋" w:cs="Times New Roman"/>
          <w:kern w:val="0"/>
          <w:sz w:val="24"/>
        </w:rPr>
      </w:pP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二、政务外网备平面接入服务其他要求</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bookmarkStart w:id="40" w:name="_Toc25257"/>
      <w:r>
        <w:rPr>
          <w:rFonts w:ascii="Times New Roman" w:hAnsi="Times New Roman" w:eastAsia="楷体" w:cs="Times New Roman"/>
          <w:b w:val="0"/>
          <w:bCs w:val="0"/>
        </w:rPr>
        <w:t>（一）服务团队</w:t>
      </w:r>
      <w:bookmarkEnd w:id="40"/>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项目服务团队人员组成及实施要求，项目成员必须为本公司正式员工</w:t>
      </w:r>
      <w:r>
        <w:rPr>
          <w:rFonts w:hint="eastAsia" w:eastAsia="仿宋_GB2312" w:cs="Times New Roman"/>
          <w:color w:val="000000"/>
          <w:kern w:val="0"/>
          <w:sz w:val="32"/>
          <w:szCs w:val="32"/>
          <w:lang w:bidi="ar"/>
        </w:rPr>
        <w:t>。</w:t>
      </w:r>
    </w:p>
    <w:p>
      <w:pPr>
        <w:ind w:firstLine="640" w:firstLineChars="200"/>
        <w:outlineLvl w:val="2"/>
        <w:rPr>
          <w:rFonts w:eastAsia="仿宋_GB2312" w:cs="Times New Roman"/>
          <w:sz w:val="32"/>
          <w:szCs w:val="32"/>
        </w:rPr>
      </w:pPr>
      <w:r>
        <w:rPr>
          <w:rFonts w:eastAsia="仿宋_GB2312" w:cs="Times New Roman"/>
          <w:sz w:val="32"/>
          <w:szCs w:val="32"/>
        </w:rPr>
        <w:t>1.项目负责人1名。</w:t>
      </w:r>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负责与主平面集成商做好协同配合及业务验证，需具备以下资质：（共5分）</w:t>
      </w:r>
    </w:p>
    <w:p>
      <w:pPr>
        <w:ind w:firstLine="640" w:firstLineChars="200"/>
        <w:outlineLvl w:val="3"/>
        <w:rPr>
          <w:rFonts w:eastAsia="仿宋_GB2312" w:cs="Times New Roman"/>
          <w:sz w:val="32"/>
          <w:szCs w:val="32"/>
        </w:rPr>
      </w:pPr>
      <w:r>
        <w:rPr>
          <w:rFonts w:eastAsia="仿宋_GB2312" w:cs="Times New Roman"/>
          <w:sz w:val="32"/>
          <w:szCs w:val="32"/>
        </w:rPr>
        <w:t>（1）具有政务外网三年及以上运维经验。（2分）</w:t>
      </w:r>
    </w:p>
    <w:p>
      <w:pPr>
        <w:ind w:firstLine="640" w:firstLineChars="200"/>
        <w:outlineLvl w:val="3"/>
        <w:rPr>
          <w:rFonts w:eastAsia="仿宋_GB2312" w:cs="Times New Roman"/>
          <w:sz w:val="32"/>
          <w:szCs w:val="32"/>
        </w:rPr>
      </w:pPr>
      <w:r>
        <w:rPr>
          <w:rFonts w:eastAsia="仿宋_GB2312" w:cs="Times New Roman"/>
          <w:sz w:val="32"/>
          <w:szCs w:val="32"/>
        </w:rPr>
        <w:t>（2）具备人力社保部门颁发的网络规划设计师证书或同等资质；具备人力社保部门颁发的信息系统项目管理师证书或同等资质；具备人力社保部门颁发的建造师证书通信类或同等资质；具备中国信息安全测评中心认定的注册信息安全专业人员（CISP）证书或同等资质。（3分，一类证得1分，最多得3分）</w:t>
      </w:r>
    </w:p>
    <w:p>
      <w:pPr>
        <w:ind w:firstLine="640" w:firstLineChars="200"/>
        <w:outlineLvl w:val="2"/>
        <w:rPr>
          <w:rFonts w:eastAsia="仿宋_GB2312" w:cs="Times New Roman"/>
          <w:sz w:val="32"/>
          <w:szCs w:val="32"/>
        </w:rPr>
      </w:pPr>
      <w:r>
        <w:rPr>
          <w:rFonts w:eastAsia="仿宋_GB2312" w:cs="Times New Roman"/>
          <w:sz w:val="32"/>
          <w:szCs w:val="32"/>
        </w:rPr>
        <w:t>2、项目实施团队不少于7人。</w:t>
      </w:r>
    </w:p>
    <w:p>
      <w:pPr>
        <w:ind w:firstLine="640" w:firstLineChars="200"/>
        <w:outlineLvl w:val="3"/>
        <w:rPr>
          <w:rFonts w:eastAsia="仿宋_GB2312" w:cs="Times New Roman"/>
          <w:sz w:val="32"/>
          <w:szCs w:val="32"/>
        </w:rPr>
      </w:pPr>
      <w:r>
        <w:rPr>
          <w:rFonts w:eastAsia="仿宋_GB2312" w:cs="Times New Roman"/>
          <w:sz w:val="32"/>
          <w:szCs w:val="32"/>
        </w:rPr>
        <w:t>（1）网络实施负责人1名，具备人力社保部门颁发的网络规划设计师证书（或同等资质）和信息系统项目管理师证书（或同等资质）（1分）。</w:t>
      </w:r>
    </w:p>
    <w:p>
      <w:pPr>
        <w:ind w:firstLine="640" w:firstLineChars="200"/>
        <w:outlineLvl w:val="3"/>
        <w:rPr>
          <w:rFonts w:eastAsia="仿宋_GB2312" w:cs="Times New Roman"/>
          <w:sz w:val="32"/>
          <w:szCs w:val="32"/>
        </w:rPr>
      </w:pPr>
      <w:r>
        <w:rPr>
          <w:rFonts w:eastAsia="仿宋_GB2312" w:cs="Times New Roman"/>
          <w:sz w:val="32"/>
          <w:szCs w:val="32"/>
        </w:rPr>
        <w:t>（2）安全实施负责人1名，具备中国信息安全测评中心认定的注册信息安全专业人员（CISP）证书或同等资质（1分）。</w:t>
      </w:r>
    </w:p>
    <w:p>
      <w:pPr>
        <w:ind w:firstLine="640" w:firstLineChars="200"/>
        <w:outlineLvl w:val="3"/>
        <w:rPr>
          <w:rFonts w:eastAsia="仿宋_GB2312" w:cs="Times New Roman"/>
          <w:sz w:val="32"/>
          <w:szCs w:val="32"/>
        </w:rPr>
      </w:pPr>
      <w:r>
        <w:rPr>
          <w:rFonts w:eastAsia="仿宋_GB2312" w:cs="Times New Roman"/>
          <w:sz w:val="32"/>
          <w:szCs w:val="32"/>
        </w:rPr>
        <w:t>（3）项目实施组成员不少于5人，每人应至少具备以下证书（或同等资质）之一（人力社保部门颁发的网络规划设计师证书、网络工程师、信息系统项目管理师证书、系统集成项目管理工程师证书，中国信息安全测评中心认定的注册信息安全专业人员（CISP）证书）（1分）。</w:t>
      </w:r>
    </w:p>
    <w:p>
      <w:pPr>
        <w:ind w:firstLine="640" w:firstLineChars="200"/>
        <w:outlineLvl w:val="2"/>
        <w:rPr>
          <w:rFonts w:eastAsia="仿宋_GB2312" w:cs="Times New Roman"/>
          <w:sz w:val="32"/>
          <w:szCs w:val="32"/>
        </w:rPr>
      </w:pPr>
      <w:r>
        <w:rPr>
          <w:rFonts w:eastAsia="仿宋_GB2312" w:cs="Times New Roman"/>
          <w:sz w:val="32"/>
          <w:szCs w:val="32"/>
        </w:rPr>
        <w:t>3、驻场工程师：提供1名驻场工程师，资质要求：具备人力社保部门颁发的网络工程师或同等资质。（共2分）</w:t>
      </w:r>
    </w:p>
    <w:p>
      <w:pPr>
        <w:ind w:firstLine="640" w:firstLineChars="200"/>
        <w:outlineLvl w:val="2"/>
        <w:rPr>
          <w:rFonts w:eastAsia="仿宋_GB2312" w:cs="Times New Roman"/>
          <w:sz w:val="32"/>
          <w:szCs w:val="32"/>
        </w:rPr>
      </w:pPr>
      <w:r>
        <w:rPr>
          <w:rFonts w:eastAsia="仿宋_GB2312" w:cs="Times New Roman"/>
          <w:sz w:val="32"/>
          <w:szCs w:val="32"/>
        </w:rPr>
        <w:t>4、后备支持团队：投标人需成立后备支持团队，团队成员至少具备1名IT服务项目经理，至少1名具备人力社保部门颁发的信息系统项目管理师证书或同等资质，至少1名具备人力社保部门颁发的网络规划设计师证书或同等资质，至少1名具备中国信息安全测评中心认定的注册信息安全专业人员（CISP）证书或同等资质，负责二线支撑及紧急故障处理等。（共5分，满足一条得2分，最多得5分）</w:t>
      </w:r>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证明材料：须提供有效的人员资质证书证明材料且提供持证人员在本单位的近6个月的社保缴纳证明，以上材料加盖本单位有效印章。</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bookmarkStart w:id="41" w:name="_Toc22958"/>
      <w:r>
        <w:rPr>
          <w:rFonts w:ascii="Times New Roman" w:hAnsi="Times New Roman" w:eastAsia="楷体" w:cs="Times New Roman"/>
          <w:b w:val="0"/>
          <w:bCs w:val="0"/>
        </w:rPr>
        <w:t>（二）其他协同要求</w:t>
      </w:r>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备平面运维管理数据按需做好与主平面运维管理数据的归集对接，按需完成与国家政务外网运维平台对接；备平面设备放置机房按采购人需求承诺允许其他电信运营商线路对接接入；与政务网主平面协同，配合完成浙江省电子政务网络等保测评及商用密码应用安全性评估，并按评估要求落实整改。</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r>
        <w:rPr>
          <w:rFonts w:ascii="Times New Roman" w:hAnsi="Times New Roman" w:eastAsia="楷体" w:cs="Times New Roman"/>
          <w:b w:val="0"/>
          <w:bCs w:val="0"/>
        </w:rPr>
        <w:t>（三）服务期限</w:t>
      </w:r>
      <w:bookmarkEnd w:id="41"/>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服务期：合同签订之日起一年。</w:t>
      </w:r>
    </w:p>
    <w:p>
      <w:pPr>
        <w:pStyle w:val="4"/>
        <w:widowControl/>
        <w:spacing w:before="0" w:after="0" w:line="240" w:lineRule="auto"/>
        <w:ind w:firstLine="640" w:firstLineChars="200"/>
        <w:contextualSpacing/>
        <w:jc w:val="left"/>
        <w:rPr>
          <w:rFonts w:ascii="Times New Roman" w:hAnsi="Times New Roman" w:eastAsia="楷体" w:cs="Times New Roman"/>
          <w:b w:val="0"/>
          <w:bCs w:val="0"/>
        </w:rPr>
      </w:pPr>
      <w:r>
        <w:rPr>
          <w:rFonts w:ascii="Times New Roman" w:hAnsi="Times New Roman" w:eastAsia="楷体" w:cs="Times New Roman"/>
          <w:b w:val="0"/>
          <w:bCs w:val="0"/>
        </w:rPr>
        <w:t>（四）故障定级与核定损失额</w:t>
      </w:r>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如中标人未能按合同规定的节点时间完成供货、开通链路、调试及试运行等内容要求，不能按期交付使用，中标人需按照合同金额每天千分之六的比例承担违约金。故障定级与赔付损失额如下：</w:t>
      </w:r>
    </w:p>
    <w:tbl>
      <w:tblPr>
        <w:tblStyle w:val="5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0"/>
        <w:gridCol w:w="3368"/>
        <w:gridCol w:w="2049"/>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noWrap w:val="0"/>
            <w:vAlign w:val="center"/>
          </w:tcPr>
          <w:p>
            <w:pPr>
              <w:rPr>
                <w:rFonts w:eastAsia="黑体"/>
                <w:sz w:val="24"/>
              </w:rPr>
            </w:pPr>
            <w:r>
              <w:rPr>
                <w:rFonts w:eastAsia="黑体"/>
                <w:sz w:val="24"/>
              </w:rPr>
              <w:t>故障级别</w:t>
            </w:r>
          </w:p>
        </w:tc>
        <w:tc>
          <w:tcPr>
            <w:tcW w:w="1976" w:type="pct"/>
            <w:tcBorders>
              <w:top w:val="single" w:color="000000" w:sz="4" w:space="0"/>
              <w:left w:val="single" w:color="000000" w:sz="4" w:space="0"/>
              <w:bottom w:val="single" w:color="000000" w:sz="4" w:space="0"/>
              <w:right w:val="single" w:color="000000" w:sz="4" w:space="0"/>
            </w:tcBorders>
            <w:noWrap w:val="0"/>
            <w:vAlign w:val="center"/>
          </w:tcPr>
          <w:p>
            <w:pPr>
              <w:rPr>
                <w:rFonts w:eastAsia="黑体"/>
                <w:sz w:val="24"/>
              </w:rPr>
            </w:pPr>
            <w:r>
              <w:rPr>
                <w:rFonts w:eastAsia="黑体"/>
                <w:sz w:val="24"/>
              </w:rPr>
              <w:t>级别定义</w:t>
            </w:r>
          </w:p>
        </w:tc>
        <w:tc>
          <w:tcPr>
            <w:tcW w:w="1202" w:type="pct"/>
            <w:tcBorders>
              <w:top w:val="single" w:color="000000" w:sz="4" w:space="0"/>
              <w:left w:val="single" w:color="000000" w:sz="4" w:space="0"/>
              <w:bottom w:val="single" w:color="000000" w:sz="4" w:space="0"/>
              <w:right w:val="single" w:color="000000" w:sz="4" w:space="0"/>
            </w:tcBorders>
            <w:noWrap w:val="0"/>
            <w:vAlign w:val="center"/>
          </w:tcPr>
          <w:p>
            <w:pPr>
              <w:rPr>
                <w:rFonts w:eastAsia="黑体"/>
                <w:sz w:val="24"/>
              </w:rPr>
            </w:pPr>
            <w:r>
              <w:rPr>
                <w:rFonts w:eastAsia="黑体"/>
                <w:sz w:val="24"/>
              </w:rPr>
              <w:t>影响范围</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rPr>
                <w:rFonts w:eastAsia="黑体"/>
                <w:sz w:val="24"/>
              </w:rPr>
            </w:pPr>
            <w:r>
              <w:rPr>
                <w:rFonts w:eastAsia="黑体"/>
                <w:sz w:val="24"/>
              </w:rPr>
              <w:t>赔付损失额</w:t>
            </w:r>
          </w:p>
          <w:p>
            <w:pPr>
              <w:rPr>
                <w:rFonts w:eastAsia="黑体"/>
                <w:sz w:val="24"/>
              </w:rPr>
            </w:pPr>
            <w:r>
              <w:rPr>
                <w:rFonts w:eastAsia="黑体"/>
                <w:sz w:val="24"/>
              </w:rPr>
              <w:t>（占合同金额）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39"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P1</w:t>
            </w:r>
          </w:p>
        </w:tc>
        <w:tc>
          <w:tcPr>
            <w:tcW w:w="1976"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全年骨干网络通畅率在99.95%以下</w:t>
            </w:r>
          </w:p>
        </w:tc>
        <w:tc>
          <w:tcPr>
            <w:tcW w:w="1202"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全网</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P2</w:t>
            </w:r>
          </w:p>
        </w:tc>
        <w:tc>
          <w:tcPr>
            <w:tcW w:w="1976"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全年骨干网络通畅率在99.95%以上、发生重特大网络故障事件</w:t>
            </w:r>
          </w:p>
        </w:tc>
        <w:tc>
          <w:tcPr>
            <w:tcW w:w="1202"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大量党政机关、企事业单位、社会公众</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P3</w:t>
            </w:r>
          </w:p>
        </w:tc>
        <w:tc>
          <w:tcPr>
            <w:tcW w:w="1976"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全年骨干网络通畅率在99.95%以上、发生单次网络故障影响时间8h以上</w:t>
            </w:r>
          </w:p>
        </w:tc>
        <w:tc>
          <w:tcPr>
            <w:tcW w:w="1202"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党政机关</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rPr>
                <w:rFonts w:eastAsia="仿宋_GB2312"/>
                <w:sz w:val="24"/>
              </w:rPr>
            </w:pPr>
            <w:r>
              <w:rPr>
                <w:rFonts w:eastAsia="仿宋_GB2312"/>
                <w:sz w:val="24"/>
              </w:rPr>
              <w:t>1%</w:t>
            </w:r>
          </w:p>
        </w:tc>
      </w:tr>
    </w:tbl>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如中标方因管理不当或不作为（包含并不限于未及时升级系统补丁，修复安全隐患漏洞，定期更改管理密钥），导致政务外网备平面相关设备管理、应用系统权限泄露网络安全事件发生，按泄露管理设备、应用系统比例扣除当年服务费，具体设备、应用系统比例及认定以双方认可的事件报告为准。</w:t>
      </w: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三、验收标准和要求</w:t>
      </w:r>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验收时，中标人应提供项目服务实施文档、运维报告、问题故障响应记录、巡检记录、用户报告等验收材料。按采购方要求对服务方的人员组织、服务内容、服务质量等进行验收。</w:t>
      </w: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四、保密要求</w:t>
      </w:r>
    </w:p>
    <w:p>
      <w:pPr>
        <w:ind w:firstLine="640" w:firstLineChars="200"/>
        <w:rPr>
          <w:rFonts w:eastAsia="仿宋_GB2312" w:cs="Times New Roman"/>
          <w:color w:val="000000"/>
          <w:kern w:val="0"/>
          <w:sz w:val="32"/>
          <w:szCs w:val="32"/>
          <w:lang w:bidi="ar"/>
        </w:rPr>
      </w:pPr>
      <w:r>
        <w:rPr>
          <w:rFonts w:eastAsia="仿宋_GB2312" w:cs="Times New Roman"/>
          <w:color w:val="000000"/>
          <w:kern w:val="0"/>
          <w:sz w:val="32"/>
          <w:szCs w:val="32"/>
          <w:lang w:bidi="ar"/>
        </w:rPr>
        <w:t>本项目中包括但不仅限于（所有项目资料、文字、图片、声像资料、电子数据等）均归采购人所有，中标人不得泄露和超越本项目范围使用。采购人同中标人和项目人员签订网络安全保密协议书。</w:t>
      </w:r>
    </w:p>
    <w:p>
      <w:pPr>
        <w:pStyle w:val="3"/>
        <w:keepNext/>
        <w:keepLines/>
        <w:widowControl/>
        <w:autoSpaceDE/>
        <w:autoSpaceDN/>
        <w:adjustRightInd/>
        <w:spacing w:line="240" w:lineRule="auto"/>
        <w:ind w:firstLine="640" w:firstLineChars="200"/>
        <w:contextualSpacing/>
        <w:jc w:val="lef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五、商务要求表</w:t>
      </w:r>
    </w:p>
    <w:tbl>
      <w:tblPr>
        <w:tblStyle w:val="5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489"/>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4"/>
              </w:rPr>
            </w:pPr>
            <w:r>
              <w:rPr>
                <w:rFonts w:eastAsia="仿宋_GB2312"/>
                <w:b/>
                <w:color w:val="0D0D0D"/>
                <w:sz w:val="24"/>
                <w:szCs w:val="24"/>
              </w:rPr>
              <w:t>▲</w:t>
            </w:r>
            <w:r>
              <w:rPr>
                <w:rFonts w:eastAsia="仿宋_GB2312"/>
                <w:b/>
                <w:bCs/>
                <w:color w:val="0D0D0D"/>
                <w:sz w:val="24"/>
                <w:szCs w:val="24"/>
              </w:rPr>
              <w:t>供货时间（项目工期）及地点</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交货时间：合同签订后15个工作日内。</w:t>
            </w:r>
          </w:p>
          <w:p>
            <w:pPr>
              <w:rPr>
                <w:rFonts w:eastAsia="仿宋_GB2312"/>
                <w:color w:val="000000"/>
                <w:sz w:val="24"/>
                <w:szCs w:val="24"/>
              </w:rPr>
            </w:pPr>
            <w:r>
              <w:rPr>
                <w:rFonts w:eastAsia="仿宋_GB2312"/>
                <w:color w:val="000000"/>
                <w:sz w:val="24"/>
                <w:szCs w:val="24"/>
              </w:rPr>
              <w:t>交货地点：用户指定地点。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64" w:type="dxa"/>
            <w:gridSpan w:val="2"/>
            <w:tcBorders>
              <w:top w:val="nil"/>
              <w:left w:val="single" w:color="auto" w:sz="4" w:space="0"/>
              <w:bottom w:val="single" w:color="auto" w:sz="4" w:space="0"/>
              <w:right w:val="single" w:color="auto" w:sz="4" w:space="0"/>
            </w:tcBorders>
            <w:noWrap w:val="0"/>
            <w:vAlign w:val="center"/>
          </w:tcPr>
          <w:p>
            <w:pPr>
              <w:rPr>
                <w:rFonts w:eastAsia="仿宋_GB2312"/>
                <w:color w:val="000000"/>
                <w:sz w:val="24"/>
                <w:szCs w:val="24"/>
              </w:rPr>
            </w:pPr>
            <w:r>
              <w:rPr>
                <w:rFonts w:eastAsia="仿宋_GB2312"/>
                <w:b/>
                <w:color w:val="0D0D0D"/>
                <w:sz w:val="24"/>
                <w:szCs w:val="24"/>
              </w:rPr>
              <w:t>▲</w:t>
            </w:r>
            <w:r>
              <w:rPr>
                <w:rFonts w:eastAsia="仿宋_GB2312"/>
                <w:color w:val="000000"/>
                <w:sz w:val="24"/>
                <w:szCs w:val="24"/>
              </w:rPr>
              <w:t>付款条件</w:t>
            </w:r>
          </w:p>
        </w:tc>
        <w:tc>
          <w:tcPr>
            <w:tcW w:w="6846" w:type="dxa"/>
            <w:tcBorders>
              <w:top w:val="single" w:color="auto" w:sz="4" w:space="0"/>
              <w:left w:val="nil"/>
              <w:bottom w:val="single" w:color="auto" w:sz="4" w:space="0"/>
              <w:right w:val="single" w:color="auto" w:sz="4" w:space="0"/>
            </w:tcBorders>
            <w:noWrap w:val="0"/>
            <w:vAlign w:val="center"/>
          </w:tcPr>
          <w:p>
            <w:pPr>
              <w:rPr>
                <w:rFonts w:hint="eastAsia" w:eastAsia="仿宋_GB2312"/>
                <w:color w:val="000000"/>
                <w:sz w:val="24"/>
                <w:szCs w:val="24"/>
              </w:rPr>
            </w:pPr>
            <w:r>
              <w:rPr>
                <w:rFonts w:hint="eastAsia" w:eastAsia="仿宋_GB2312"/>
                <w:color w:val="000000"/>
                <w:sz w:val="24"/>
                <w:szCs w:val="24"/>
              </w:rPr>
              <w:t>1.本项目不收取履约保证金。</w:t>
            </w:r>
          </w:p>
          <w:p>
            <w:pPr>
              <w:rPr>
                <w:rFonts w:hint="eastAsia" w:eastAsia="仿宋_GB2312"/>
                <w:color w:val="000000"/>
                <w:sz w:val="24"/>
                <w:szCs w:val="24"/>
              </w:rPr>
            </w:pPr>
            <w:r>
              <w:rPr>
                <w:rFonts w:hint="eastAsia" w:eastAsia="仿宋_GB2312"/>
                <w:color w:val="000000"/>
                <w:sz w:val="24"/>
                <w:szCs w:val="24"/>
              </w:rPr>
              <w:t>2.首期款：签订合同后15个工作日内，中标方提出支付申请及拟支付金额等额的符合采购方财务管理要求的相应发票，采购方在收到中标方的支付申请及发票后7个工作日内完成首期款支付流程，采购方支付投标方合同总额的30%。</w:t>
            </w:r>
          </w:p>
          <w:p>
            <w:pPr>
              <w:rPr>
                <w:rFonts w:hint="eastAsia" w:eastAsia="仿宋_GB2312"/>
                <w:color w:val="000000"/>
                <w:sz w:val="24"/>
                <w:szCs w:val="24"/>
              </w:rPr>
            </w:pPr>
            <w:r>
              <w:rPr>
                <w:rFonts w:hint="eastAsia" w:eastAsia="仿宋_GB2312"/>
                <w:color w:val="000000"/>
                <w:sz w:val="24"/>
                <w:szCs w:val="24"/>
              </w:rPr>
              <w:t>3.进度款：经采购方确认阶段性成果，组织项目初验，初验通过后，中标方提出支付申请及拟支付金额等额的符合采购方财务管理要求的相应发票，采购方在收到中标方的支付申请及发票后7个工作日内完成进度款支付流程，采购方支付中标方合同总额的20%。</w:t>
            </w:r>
          </w:p>
          <w:p>
            <w:pPr>
              <w:rPr>
                <w:rFonts w:eastAsia="仿宋_GB2312"/>
                <w:color w:val="000000"/>
                <w:sz w:val="24"/>
                <w:szCs w:val="24"/>
              </w:rPr>
            </w:pPr>
            <w:r>
              <w:rPr>
                <w:rFonts w:hint="eastAsia" w:eastAsia="仿宋_GB2312"/>
                <w:color w:val="000000"/>
                <w:sz w:val="24"/>
                <w:szCs w:val="24"/>
              </w:rPr>
              <w:t>4.尾款：项目终验通过后15个工作日内，中标方提出支付申请及拟支付金额等额的符合采购方财务管理要求的相应发票，采购方在收到中标方的支付申请及发票后7个工作日内完成尾款支付流程，采购方支付中标方合同总额的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06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违约责任及争议解决方式</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如无特别说明，按“第五章浙江省政府采购合同主要条款指引”相关违约责任及争议解决方式内容。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75" w:type="dxa"/>
            <w:vMerge w:val="restart"/>
            <w:tcBorders>
              <w:top w:val="nil"/>
              <w:left w:val="single" w:color="auto" w:sz="4" w:space="0"/>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售</w:t>
            </w:r>
          </w:p>
          <w:p>
            <w:pPr>
              <w:rPr>
                <w:rFonts w:eastAsia="仿宋_GB2312"/>
                <w:color w:val="000000"/>
                <w:sz w:val="24"/>
                <w:szCs w:val="24"/>
              </w:rPr>
            </w:pPr>
            <w:r>
              <w:rPr>
                <w:rFonts w:eastAsia="仿宋_GB2312"/>
                <w:color w:val="000000"/>
                <w:sz w:val="24"/>
                <w:szCs w:val="24"/>
              </w:rPr>
              <w:t>后</w:t>
            </w:r>
          </w:p>
          <w:p>
            <w:pPr>
              <w:rPr>
                <w:rFonts w:eastAsia="仿宋_GB2312"/>
                <w:color w:val="000000"/>
                <w:sz w:val="24"/>
                <w:szCs w:val="24"/>
              </w:rPr>
            </w:pPr>
            <w:r>
              <w:rPr>
                <w:rFonts w:eastAsia="仿宋_GB2312"/>
                <w:color w:val="000000"/>
                <w:sz w:val="24"/>
                <w:szCs w:val="24"/>
              </w:rPr>
              <w:t>服务</w:t>
            </w:r>
          </w:p>
        </w:tc>
        <w:tc>
          <w:tcPr>
            <w:tcW w:w="1489"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项目维护计划</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服务期：1年。</w:t>
            </w:r>
          </w:p>
          <w:p>
            <w:pPr>
              <w:rPr>
                <w:rFonts w:eastAsia="仿宋_GB2312"/>
                <w:color w:val="000000"/>
                <w:sz w:val="24"/>
                <w:szCs w:val="24"/>
              </w:rPr>
            </w:pPr>
            <w:r>
              <w:rPr>
                <w:rFonts w:eastAsia="仿宋_GB2312"/>
                <w:color w:val="000000"/>
                <w:sz w:val="24"/>
                <w:szCs w:val="24"/>
              </w:rPr>
              <w:t>质保期：本次采购的所有产品提供长期售后维护服务，包括软硬件升级。服务期内服务均为免费上门服务。服务方式应包括远程电话支持、远程网络支持、现场服务支持等方式。</w:t>
            </w:r>
          </w:p>
          <w:p>
            <w:pPr>
              <w:rPr>
                <w:rFonts w:eastAsia="仿宋_GB2312"/>
                <w:color w:val="000000"/>
                <w:sz w:val="24"/>
                <w:szCs w:val="24"/>
              </w:rPr>
            </w:pPr>
            <w:r>
              <w:rPr>
                <w:rFonts w:eastAsia="仿宋_GB2312"/>
                <w:color w:val="000000"/>
                <w:sz w:val="24"/>
                <w:szCs w:val="24"/>
              </w:rPr>
              <w:t>系统故障处理：中标人提供7*24小时电话支持，能保证到达现场服务响应时间10分钟内，2小时内解决故障，对于无法解决的设备故障，需在4小时内提供相当档次的备机供使用。修复或更换时间最长不超过6小时。否则采购人将自行采取必要的措施，由此产生风险和费用由中标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20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sz w:val="24"/>
                <w:szCs w:val="24"/>
              </w:rPr>
            </w:pPr>
          </w:p>
        </w:tc>
        <w:tc>
          <w:tcPr>
            <w:tcW w:w="1489"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响应情况</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响应速度：提供全年7×24小时不间断电话响应，接到用户电话后，在5分钟内做出实质性响应，2小时内解决问题。对于无法解决的设备故障，需在4小时内提供相当档次的备机供使用。修复或更换时间最长不超过6小时。否则采购人将自行采取必要的措施，由此产生风险和费用由中标供应商承担。成立重大事件应急保障小组，重大事件1小时响应。</w:t>
            </w:r>
          </w:p>
          <w:p>
            <w:pPr>
              <w:rPr>
                <w:rFonts w:eastAsia="仿宋_GB2312"/>
                <w:color w:val="000000"/>
                <w:sz w:val="24"/>
                <w:szCs w:val="24"/>
              </w:rPr>
            </w:pPr>
            <w:r>
              <w:rPr>
                <w:rFonts w:eastAsia="仿宋_GB2312"/>
                <w:color w:val="000000"/>
                <w:sz w:val="24"/>
                <w:szCs w:val="24"/>
              </w:rPr>
              <w:t>提示：如采购文件中遗漏了必须具备的设备、配件或服务，中标人有义务保证采购人系统的完整性，如项目实施过程中因缺少设备、配件或服务导致采购人系统无法正常运行，中标人须承诺免费提供。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0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sz w:val="24"/>
                <w:szCs w:val="24"/>
              </w:rPr>
            </w:pPr>
          </w:p>
        </w:tc>
        <w:tc>
          <w:tcPr>
            <w:tcW w:w="1489"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本地化服务</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中标人承诺具备完善的长期本地化的售后服务机构和服务体系，能提供及时、周到的本地化技术支持。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64" w:type="dxa"/>
            <w:gridSpan w:val="2"/>
            <w:tcBorders>
              <w:top w:val="nil"/>
              <w:left w:val="single" w:color="auto" w:sz="4" w:space="0"/>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考核验收</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验收时，中标人应提供项目服务实施文档、运维报告、问题故障响应记录、巡检记录、用户报告等验收材料。按采购方要求对服务方的人员组织、服务内容、服务质量等进行验收。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575" w:type="dxa"/>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sz w:val="24"/>
                <w:szCs w:val="24"/>
              </w:rPr>
            </w:pPr>
            <w:r>
              <w:rPr>
                <w:rFonts w:eastAsia="仿宋_GB2312"/>
                <w:color w:val="000000"/>
                <w:sz w:val="24"/>
                <w:szCs w:val="24"/>
              </w:rPr>
              <w:t>履约能力</w:t>
            </w:r>
          </w:p>
        </w:tc>
        <w:tc>
          <w:tcPr>
            <w:tcW w:w="1489"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投标人技术力量情况</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1、质量管理体系认证（ISO9001）：国家认证认可监督管理委员会颁发；</w:t>
            </w:r>
          </w:p>
          <w:p>
            <w:pPr>
              <w:rPr>
                <w:rFonts w:eastAsia="仿宋_GB2312"/>
                <w:color w:val="000000"/>
                <w:sz w:val="24"/>
                <w:szCs w:val="24"/>
              </w:rPr>
            </w:pPr>
            <w:r>
              <w:rPr>
                <w:rFonts w:eastAsia="仿宋_GB2312"/>
                <w:color w:val="000000"/>
                <w:sz w:val="24"/>
                <w:szCs w:val="24"/>
              </w:rPr>
              <w:t>2、信息安全管理体系认证（ISO27001）：国家认证认可监督管理委员会颁发；</w:t>
            </w:r>
          </w:p>
          <w:p>
            <w:pPr>
              <w:rPr>
                <w:rFonts w:eastAsia="仿宋_GB2312"/>
                <w:color w:val="000000"/>
                <w:sz w:val="24"/>
                <w:szCs w:val="24"/>
              </w:rPr>
            </w:pPr>
            <w:r>
              <w:rPr>
                <w:rFonts w:eastAsia="仿宋_GB2312"/>
                <w:color w:val="000000"/>
                <w:sz w:val="24"/>
                <w:szCs w:val="24"/>
              </w:rPr>
              <w:t>3、信息技术服务标准(ITSS)：工业和信息化部组织制定标准；</w:t>
            </w:r>
          </w:p>
          <w:p>
            <w:pPr>
              <w:rPr>
                <w:rFonts w:eastAsia="仿宋_GB2312"/>
                <w:color w:val="000000"/>
                <w:sz w:val="24"/>
                <w:szCs w:val="24"/>
              </w:rPr>
            </w:pPr>
            <w:r>
              <w:rPr>
                <w:rFonts w:eastAsia="仿宋_GB2312"/>
                <w:color w:val="000000"/>
                <w:sz w:val="24"/>
                <w:szCs w:val="24"/>
              </w:rPr>
              <w:t>4、信息技术服务管理体系认证（ISO20000）：国家认证认可监督管理委员会颁发。</w:t>
            </w:r>
          </w:p>
          <w:p>
            <w:pPr>
              <w:rPr>
                <w:rFonts w:eastAsia="仿宋_GB2312"/>
                <w:color w:val="000000"/>
                <w:sz w:val="24"/>
                <w:szCs w:val="24"/>
              </w:rPr>
            </w:pPr>
            <w:r>
              <w:rPr>
                <w:rFonts w:eastAsia="仿宋_GB2312"/>
                <w:color w:val="000000"/>
                <w:sz w:val="24"/>
                <w:szCs w:val="24"/>
              </w:rPr>
              <w:t>每提供一本证书得0.5分，最高得2分。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0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sz w:val="24"/>
                <w:szCs w:val="24"/>
              </w:rPr>
            </w:pPr>
          </w:p>
        </w:tc>
        <w:tc>
          <w:tcPr>
            <w:tcW w:w="1489"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经验或业绩要求</w:t>
            </w:r>
          </w:p>
        </w:tc>
        <w:tc>
          <w:tcPr>
            <w:tcW w:w="6846" w:type="dxa"/>
            <w:tcBorders>
              <w:top w:val="single" w:color="auto" w:sz="4" w:space="0"/>
              <w:left w:val="nil"/>
              <w:bottom w:val="single" w:color="auto" w:sz="4" w:space="0"/>
              <w:right w:val="single" w:color="auto" w:sz="4" w:space="0"/>
            </w:tcBorders>
            <w:noWrap w:val="0"/>
            <w:vAlign w:val="center"/>
          </w:tcPr>
          <w:p>
            <w:pPr>
              <w:rPr>
                <w:rFonts w:eastAsia="仿宋_GB2312"/>
                <w:color w:val="000000"/>
                <w:sz w:val="24"/>
                <w:szCs w:val="24"/>
              </w:rPr>
            </w:pPr>
            <w:r>
              <w:rPr>
                <w:rFonts w:eastAsia="仿宋_GB2312"/>
                <w:color w:val="000000"/>
                <w:sz w:val="24"/>
                <w:szCs w:val="24"/>
              </w:rPr>
              <w:t>投标人需提供2020年1月1日以来类似组网项目案例（涵盖省、市二级或涵盖省、市、县三级）。</w:t>
            </w:r>
          </w:p>
        </w:tc>
      </w:tr>
      <w:bookmarkEnd w:id="33"/>
      <w:bookmarkEnd w:id="35"/>
    </w:tbl>
    <w:p>
      <w:pPr>
        <w:rPr>
          <w:rFonts w:eastAsia="仿宋" w:cs="Times New Roman"/>
          <w:sz w:val="28"/>
          <w:szCs w:val="28"/>
        </w:rPr>
        <w:sectPr>
          <w:pgSz w:w="11906" w:h="16838"/>
          <w:pgMar w:top="1474" w:right="1800" w:bottom="1247" w:left="1800" w:header="851" w:footer="992" w:gutter="0"/>
          <w:cols w:space="720" w:num="1"/>
          <w:docGrid w:type="lines" w:linePitch="312" w:charSpace="0"/>
        </w:sectPr>
      </w:pPr>
    </w:p>
    <w:p>
      <w:pPr>
        <w:pStyle w:val="31"/>
        <w:spacing w:before="120" w:after="120" w:line="360" w:lineRule="auto"/>
        <w:ind w:firstLine="1084" w:firstLineChars="300"/>
        <w:outlineLvl w:val="0"/>
        <w:rPr>
          <w:rFonts w:hAnsi="宋体"/>
          <w:b/>
          <w:color w:val="000000"/>
          <w:sz w:val="36"/>
          <w:szCs w:val="36"/>
        </w:rPr>
      </w:pPr>
      <w:r>
        <w:rPr>
          <w:rFonts w:hint="eastAsia" w:hAnsi="宋体"/>
          <w:b/>
          <w:color w:val="000000"/>
          <w:sz w:val="36"/>
          <w:szCs w:val="36"/>
        </w:rPr>
        <w:t>第五章 浙江省政府采购合同主要条款指引</w:t>
      </w:r>
    </w:p>
    <w:p>
      <w:pPr>
        <w:rPr>
          <w:color w:val="000000"/>
        </w:rPr>
      </w:pPr>
    </w:p>
    <w:p>
      <w:pPr>
        <w:pStyle w:val="31"/>
        <w:snapToGrid w:val="0"/>
        <w:spacing w:before="120" w:after="120" w:line="360" w:lineRule="auto"/>
        <w:jc w:val="center"/>
        <w:rPr>
          <w:rFonts w:ascii="仿宋" w:hAnsi="仿宋" w:eastAsia="仿宋"/>
          <w:color w:val="000000"/>
          <w:sz w:val="30"/>
          <w:szCs w:val="30"/>
        </w:rPr>
      </w:pPr>
      <w:r>
        <w:rPr>
          <w:rFonts w:hint="eastAsia" w:ascii="仿宋" w:hAnsi="仿宋" w:eastAsia="仿宋"/>
          <w:color w:val="000000"/>
          <w:sz w:val="30"/>
          <w:szCs w:val="30"/>
        </w:rPr>
        <w:t xml:space="preserve">                       合同编号：        </w:t>
      </w:r>
    </w:p>
    <w:p>
      <w:pPr>
        <w:pStyle w:val="31"/>
        <w:snapToGrid w:val="0"/>
        <w:spacing w:before="120" w:after="120" w:line="360" w:lineRule="auto"/>
        <w:jc w:val="left"/>
        <w:rPr>
          <w:rFonts w:ascii="仿宋" w:hAnsi="仿宋" w:eastAsia="仿宋"/>
          <w:color w:val="000000"/>
          <w:sz w:val="30"/>
          <w:szCs w:val="30"/>
        </w:rPr>
      </w:pPr>
      <w:r>
        <w:rPr>
          <w:rFonts w:hint="eastAsia" w:ascii="仿宋" w:hAnsi="仿宋" w:eastAsia="仿宋"/>
          <w:color w:val="000000"/>
          <w:sz w:val="30"/>
          <w:szCs w:val="30"/>
        </w:rPr>
        <w:t xml:space="preserve">                                     确认书号：</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甲方</w:t>
      </w:r>
      <w:r>
        <w:rPr>
          <w:rFonts w:hint="eastAsia" w:ascii="仿宋" w:hAnsi="仿宋" w:eastAsia="仿宋"/>
          <w:color w:val="000000"/>
          <w:sz w:val="30"/>
          <w:szCs w:val="30"/>
        </w:rPr>
        <w:t xml:space="preserve">（采购人）： </w:t>
      </w:r>
    </w:p>
    <w:p>
      <w:pPr>
        <w:spacing w:line="520" w:lineRule="exact"/>
        <w:ind w:firstLine="301" w:firstLineChars="100"/>
        <w:rPr>
          <w:rFonts w:ascii="仿宋" w:hAnsi="仿宋" w:eastAsia="仿宋"/>
          <w:color w:val="000000"/>
          <w:sz w:val="30"/>
          <w:szCs w:val="30"/>
        </w:rPr>
      </w:pPr>
      <w:r>
        <w:rPr>
          <w:rFonts w:hint="eastAsia" w:ascii="仿宋" w:hAnsi="仿宋" w:eastAsia="仿宋"/>
          <w:b/>
          <w:bCs/>
          <w:color w:val="000000"/>
          <w:sz w:val="30"/>
          <w:szCs w:val="30"/>
        </w:rPr>
        <w:t>乙方</w:t>
      </w:r>
      <w:r>
        <w:rPr>
          <w:rFonts w:hint="eastAsia" w:ascii="仿宋" w:hAnsi="仿宋" w:eastAsia="仿宋"/>
          <w:color w:val="000000"/>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color w:val="000000"/>
          <w:sz w:val="30"/>
          <w:szCs w:val="30"/>
        </w:rPr>
      </w:pPr>
      <w:r>
        <w:rPr>
          <w:rFonts w:hint="eastAsia" w:ascii="仿宋" w:hAnsi="仿宋" w:eastAsia="仿宋"/>
          <w:snapToGrid w:val="0"/>
          <w:color w:val="000000"/>
          <w:sz w:val="30"/>
          <w:szCs w:val="30"/>
        </w:rPr>
        <w:t>甲、乙双方根据浙江省政府采购中心关于</w:t>
      </w:r>
      <w:r>
        <w:rPr>
          <w:rFonts w:hint="eastAsia" w:ascii="仿宋" w:hAnsi="仿宋" w:eastAsia="仿宋"/>
          <w:color w:val="000000"/>
          <w:sz w:val="30"/>
          <w:szCs w:val="30"/>
        </w:rPr>
        <w:t>项目编号为      的</w:t>
      </w:r>
      <w:r>
        <w:rPr>
          <w:rFonts w:hint="eastAsia" w:ascii="仿宋" w:hAnsi="仿宋" w:eastAsia="仿宋"/>
          <w:snapToGrid w:val="0"/>
          <w:color w:val="00000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color w:val="000000"/>
          <w:sz w:val="30"/>
          <w:szCs w:val="30"/>
        </w:rPr>
      </w:pPr>
      <w:r>
        <w:rPr>
          <w:rFonts w:hint="eastAsia" w:ascii="仿宋" w:hAnsi="仿宋" w:eastAsia="仿宋"/>
          <w:b/>
          <w:snapToGrid w:val="0"/>
          <w:color w:val="000000"/>
          <w:sz w:val="30"/>
          <w:szCs w:val="30"/>
        </w:rPr>
        <w:t>一、项目内容</w:t>
      </w:r>
      <w:r>
        <w:rPr>
          <w:rFonts w:hint="eastAsia" w:ascii="仿宋" w:hAnsi="仿宋" w:eastAsia="仿宋"/>
          <w:b/>
          <w:color w:val="000000"/>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color w:val="000000"/>
          <w:sz w:val="30"/>
          <w:szCs w:val="30"/>
        </w:rPr>
      </w:pPr>
      <w:r>
        <w:rPr>
          <w:rFonts w:hint="eastAsia" w:ascii="仿宋" w:hAnsi="仿宋" w:eastAsia="仿宋"/>
          <w:color w:val="000000"/>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hAnsi="仿宋" w:eastAsia="仿宋"/>
                <w:color w:val="000000"/>
                <w:sz w:val="30"/>
                <w:szCs w:val="30"/>
              </w:rPr>
            </w:pPr>
            <w:r>
              <w:rPr>
                <w:rFonts w:hint="eastAsia" w:ascii="仿宋" w:hAnsi="仿宋" w:eastAsia="仿宋"/>
                <w:color w:val="000000"/>
                <w:sz w:val="30"/>
                <w:szCs w:val="30"/>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hAnsi="仿宋" w:eastAsia="仿宋"/>
                <w:color w:val="000000"/>
                <w:sz w:val="30"/>
                <w:szCs w:val="30"/>
              </w:rPr>
            </w:pPr>
            <w:r>
              <w:rPr>
                <w:rFonts w:hint="eastAsia" w:ascii="仿宋" w:hAnsi="仿宋" w:eastAsia="仿宋"/>
                <w:color w:val="000000"/>
                <w:sz w:val="30"/>
                <w:szCs w:val="30"/>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ind w:left="-108"/>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line="460" w:lineRule="exact"/>
              <w:jc w:val="center"/>
              <w:rPr>
                <w:rFonts w:ascii="仿宋" w:hAnsi="仿宋" w:eastAsia="仿宋"/>
                <w:color w:val="000000"/>
                <w:sz w:val="30"/>
                <w:szCs w:val="30"/>
              </w:rPr>
            </w:pPr>
            <w:r>
              <w:rPr>
                <w:rFonts w:hint="eastAsia" w:ascii="仿宋" w:hAnsi="仿宋" w:eastAsia="仿宋"/>
                <w:color w:val="000000"/>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仿宋" w:hAnsi="仿宋" w:eastAsia="仿宋"/>
                <w:color w:val="000000"/>
                <w:sz w:val="30"/>
                <w:szCs w:val="30"/>
              </w:rPr>
            </w:pPr>
            <w:r>
              <w:rPr>
                <w:rFonts w:hint="eastAsia" w:ascii="仿宋" w:hAnsi="仿宋" w:eastAsia="仿宋"/>
                <w:color w:val="000000"/>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639" w:firstLineChars="213"/>
              <w:rPr>
                <w:rFonts w:ascii="仿宋" w:hAnsi="仿宋" w:eastAsia="仿宋"/>
                <w:color w:val="00000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kern w:val="2"/>
                <w:sz w:val="30"/>
                <w:szCs w:val="30"/>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left="570"/>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ind w:firstLine="639" w:firstLineChars="213"/>
              <w:jc w:val="center"/>
              <w:rPr>
                <w:rFonts w:ascii="仿宋" w:hAnsi="仿宋" w:eastAsia="仿宋"/>
                <w:color w:val="000000"/>
                <w:sz w:val="30"/>
                <w:szCs w:val="30"/>
              </w:rPr>
            </w:pPr>
            <w:r>
              <w:rPr>
                <w:rFonts w:hint="eastAsia" w:ascii="仿宋" w:hAnsi="仿宋" w:eastAsia="仿宋"/>
                <w:color w:val="000000"/>
                <w:sz w:val="30"/>
                <w:szCs w:val="30"/>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ind w:firstLine="639" w:firstLineChars="213"/>
              <w:jc w:val="center"/>
              <w:rPr>
                <w:rFonts w:ascii="仿宋" w:hAnsi="仿宋" w:eastAsia="仿宋"/>
                <w:color w:val="000000"/>
                <w:sz w:val="30"/>
                <w:szCs w:val="30"/>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432"/>
              <w:spacing w:after="120" w:line="460" w:lineRule="exact"/>
              <w:ind w:firstLine="639" w:firstLineChars="213"/>
              <w:rPr>
                <w:rFonts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460" w:lineRule="exact"/>
              <w:rPr>
                <w:rFonts w:ascii="仿宋" w:hAnsi="仿宋" w:eastAsia="仿宋"/>
                <w:color w:val="000000"/>
                <w:sz w:val="30"/>
                <w:szCs w:val="30"/>
              </w:rPr>
            </w:pPr>
            <w:r>
              <w:rPr>
                <w:rFonts w:hint="eastAsia" w:ascii="仿宋" w:hAnsi="仿宋" w:eastAsia="仿宋"/>
                <w:color w:val="000000"/>
                <w:sz w:val="30"/>
                <w:szCs w:val="30"/>
              </w:rPr>
              <w:t>合同总价大写：                              小写：￥</w:t>
            </w:r>
          </w:p>
        </w:tc>
      </w:tr>
    </w:tbl>
    <w:p>
      <w:pPr>
        <w:pStyle w:val="31"/>
        <w:snapToGrid w:val="0"/>
        <w:spacing w:before="120" w:beforeLines="0" w:after="120" w:line="460" w:lineRule="exact"/>
        <w:ind w:left="-178" w:leftChars="-85" w:firstLine="639" w:firstLineChars="213"/>
        <w:rPr>
          <w:rFonts w:ascii="仿宋" w:hAnsi="仿宋" w:eastAsia="仿宋"/>
          <w:color w:val="000000"/>
          <w:kern w:val="0"/>
          <w:sz w:val="30"/>
          <w:szCs w:val="30"/>
        </w:rPr>
      </w:pPr>
      <w:r>
        <w:rPr>
          <w:rFonts w:hint="eastAsia" w:ascii="仿宋" w:hAnsi="仿宋" w:eastAsia="仿宋"/>
          <w:color w:val="000000"/>
          <w:sz w:val="30"/>
          <w:szCs w:val="30"/>
        </w:rPr>
        <w:t>注：1.项目具体技术需求及采购人地址等详见招标文件、投标文件以及询标记录。</w:t>
      </w:r>
    </w:p>
    <w:p>
      <w:pPr>
        <w:spacing w:line="460" w:lineRule="exact"/>
        <w:ind w:firstLine="639" w:firstLineChars="213"/>
        <w:rPr>
          <w:rFonts w:ascii="仿宋" w:hAnsi="仿宋" w:eastAsia="仿宋"/>
          <w:color w:val="000000"/>
          <w:sz w:val="30"/>
          <w:szCs w:val="30"/>
        </w:rPr>
      </w:pPr>
      <w:r>
        <w:rPr>
          <w:rFonts w:hint="eastAsia" w:ascii="仿宋" w:hAnsi="仿宋" w:eastAsia="仿宋"/>
          <w:color w:val="000000"/>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color w:val="000000"/>
          <w:sz w:val="30"/>
          <w:szCs w:val="30"/>
        </w:rPr>
      </w:pPr>
      <w:r>
        <w:rPr>
          <w:rFonts w:hint="eastAsia" w:ascii="仿宋" w:hAnsi="仿宋" w:eastAsia="仿宋"/>
          <w:snapToGrid w:val="0"/>
          <w:color w:val="000000"/>
          <w:sz w:val="30"/>
          <w:szCs w:val="30"/>
        </w:rPr>
        <w:t>乙方应保证所提供的货物或其任何一部分均不会侵犯任何第三方的知识产权</w:t>
      </w:r>
      <w:r>
        <w:rPr>
          <w:rFonts w:hint="eastAsia" w:ascii="仿宋" w:hAnsi="仿宋" w:eastAsia="仿宋"/>
          <w:bCs/>
          <w:snapToGrid w:val="0"/>
          <w:color w:val="000000"/>
          <w:sz w:val="30"/>
          <w:szCs w:val="30"/>
        </w:rPr>
        <w:t>。</w:t>
      </w:r>
    </w:p>
    <w:p>
      <w:pPr>
        <w:pStyle w:val="31"/>
        <w:adjustRightInd w:val="0"/>
        <w:snapToGrid w:val="0"/>
        <w:spacing w:before="120" w:after="120" w:line="460" w:lineRule="exact"/>
        <w:ind w:firstLine="596" w:firstLineChars="198"/>
        <w:rPr>
          <w:rFonts w:ascii="仿宋" w:hAnsi="仿宋" w:eastAsia="仿宋"/>
          <w:snapToGrid w:val="0"/>
          <w:color w:val="000000"/>
          <w:sz w:val="30"/>
          <w:szCs w:val="30"/>
          <w:u w:val="single"/>
        </w:rPr>
      </w:pPr>
      <w:r>
        <w:rPr>
          <w:rFonts w:hint="eastAsia" w:ascii="仿宋" w:hAnsi="仿宋" w:eastAsia="仿宋"/>
          <w:b/>
          <w:snapToGrid w:val="0"/>
          <w:color w:val="00000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u w:val="single"/>
        </w:rPr>
      </w:pPr>
      <w:r>
        <w:rPr>
          <w:rFonts w:hint="eastAsia" w:ascii="仿宋" w:hAnsi="仿宋" w:eastAsia="仿宋"/>
          <w:snapToGrid w:val="0"/>
          <w:color w:val="00000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color w:val="000000"/>
          <w:sz w:val="30"/>
          <w:szCs w:val="30"/>
        </w:rPr>
      </w:pPr>
      <w:r>
        <w:rPr>
          <w:rFonts w:hint="eastAsia" w:ascii="仿宋" w:hAnsi="仿宋" w:eastAsia="仿宋"/>
          <w:b/>
          <w:snapToGrid w:val="0"/>
          <w:color w:val="00000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kern w:val="0"/>
          <w:sz w:val="30"/>
          <w:szCs w:val="30"/>
          <w:u w:val="single"/>
        </w:rPr>
      </w:pPr>
      <w:r>
        <w:rPr>
          <w:rFonts w:hint="eastAsia" w:ascii="仿宋" w:hAnsi="仿宋" w:eastAsia="仿宋"/>
          <w:snapToGrid w:val="0"/>
          <w:color w:val="000000"/>
          <w:kern w:val="0"/>
          <w:sz w:val="30"/>
          <w:szCs w:val="30"/>
        </w:rPr>
        <w:t>允许分包部分</w:t>
      </w:r>
      <w:r>
        <w:rPr>
          <w:rFonts w:hint="eastAsia" w:ascii="仿宋" w:hAnsi="仿宋" w:eastAsia="仿宋"/>
          <w:snapToGrid w:val="0"/>
          <w:color w:val="00000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color w:val="000000"/>
          <w:sz w:val="30"/>
          <w:szCs w:val="30"/>
        </w:rPr>
      </w:pPr>
      <w:r>
        <w:rPr>
          <w:rFonts w:hint="eastAsia" w:ascii="仿宋" w:hAnsi="仿宋" w:eastAsia="仿宋"/>
          <w:snapToGrid w:val="0"/>
          <w:color w:val="000000"/>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color w:val="000000"/>
          <w:sz w:val="30"/>
          <w:szCs w:val="30"/>
        </w:rPr>
      </w:pPr>
      <w:r>
        <w:rPr>
          <w:rFonts w:hint="eastAsia" w:ascii="仿宋" w:hAnsi="仿宋" w:eastAsia="仿宋"/>
          <w:bCs/>
          <w:snapToGrid w:val="0"/>
          <w:color w:val="00000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color w:val="000000"/>
          <w:sz w:val="30"/>
          <w:szCs w:val="30"/>
        </w:rPr>
      </w:pPr>
      <w:r>
        <w:rPr>
          <w:rFonts w:hint="eastAsia" w:ascii="仿宋" w:hAnsi="仿宋" w:eastAsia="仿宋"/>
          <w:bCs/>
          <w:snapToGrid w:val="0"/>
          <w:color w:val="00000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八、货款支付</w:t>
      </w:r>
    </w:p>
    <w:p>
      <w:pPr>
        <w:spacing w:line="360" w:lineRule="auto"/>
        <w:rPr>
          <w:rFonts w:ascii="仿宋" w:hAnsi="仿宋" w:eastAsia="仿宋"/>
          <w:bCs/>
          <w:snapToGrid w:val="0"/>
          <w:color w:val="000000"/>
          <w:sz w:val="30"/>
          <w:szCs w:val="30"/>
        </w:rPr>
      </w:pPr>
      <w:r>
        <w:rPr>
          <w:rFonts w:hint="eastAsia" w:ascii="仿宋" w:hAnsi="仿宋" w:eastAsia="仿宋"/>
          <w:bCs/>
          <w:snapToGrid w:val="0"/>
          <w:color w:val="000000"/>
          <w:sz w:val="30"/>
          <w:szCs w:val="30"/>
        </w:rPr>
        <w:t xml:space="preserve"> 付款方式：</w:t>
      </w:r>
    </w:p>
    <w:p>
      <w:pPr>
        <w:spacing w:line="360" w:lineRule="auto"/>
        <w:ind w:firstLine="900" w:firstLineChars="300"/>
        <w:rPr>
          <w:rFonts w:hint="eastAsia" w:ascii="仿宋" w:hAnsi="仿宋" w:eastAsia="仿宋"/>
          <w:bCs/>
          <w:snapToGrid w:val="0"/>
          <w:color w:val="000000"/>
          <w:sz w:val="30"/>
          <w:szCs w:val="30"/>
        </w:rPr>
      </w:pPr>
      <w:r>
        <w:rPr>
          <w:rFonts w:hint="eastAsia" w:ascii="仿宋" w:hAnsi="仿宋" w:eastAsia="仿宋"/>
          <w:bCs/>
          <w:snapToGrid w:val="0"/>
          <w:color w:val="000000"/>
          <w:sz w:val="30"/>
          <w:szCs w:val="30"/>
        </w:rPr>
        <w:t>标项</w:t>
      </w:r>
      <w:r>
        <w:rPr>
          <w:rFonts w:hint="eastAsia" w:ascii="仿宋" w:hAnsi="仿宋" w:eastAsia="仿宋"/>
          <w:bCs/>
          <w:snapToGrid w:val="0"/>
          <w:color w:val="000000"/>
          <w:sz w:val="30"/>
          <w:szCs w:val="30"/>
          <w:lang w:val="en-US" w:eastAsia="zh-CN"/>
        </w:rPr>
        <w:t>1</w:t>
      </w:r>
      <w:r>
        <w:rPr>
          <w:rFonts w:hint="eastAsia" w:ascii="仿宋" w:hAnsi="仿宋" w:eastAsia="仿宋"/>
          <w:bCs/>
          <w:snapToGrid w:val="0"/>
          <w:color w:val="000000"/>
          <w:sz w:val="30"/>
          <w:szCs w:val="30"/>
        </w:rPr>
        <w:t>和标项2：详见采购需求</w:t>
      </w:r>
    </w:p>
    <w:p>
      <w:pPr>
        <w:adjustRightInd w:val="0"/>
        <w:snapToGrid w:val="0"/>
        <w:spacing w:before="120" w:beforeLines="50" w:after="120" w:afterLines="50" w:line="460" w:lineRule="exact"/>
        <w:ind w:firstLine="641" w:firstLineChars="213"/>
        <w:rPr>
          <w:rFonts w:ascii="仿宋" w:hAnsi="仿宋" w:eastAsia="仿宋"/>
          <w:b/>
          <w:snapToGrid w:val="0"/>
          <w:color w:val="000000"/>
          <w:kern w:val="0"/>
          <w:sz w:val="30"/>
          <w:szCs w:val="30"/>
        </w:rPr>
      </w:pPr>
      <w:r>
        <w:rPr>
          <w:rFonts w:hint="eastAsia" w:ascii="仿宋" w:hAnsi="仿宋" w:eastAsia="仿宋"/>
          <w:b/>
          <w:snapToGrid w:val="0"/>
          <w:color w:val="00000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kern w:val="0"/>
          <w:sz w:val="30"/>
          <w:szCs w:val="30"/>
        </w:rPr>
      </w:pPr>
      <w:r>
        <w:rPr>
          <w:rFonts w:hint="eastAsia" w:ascii="仿宋" w:hAnsi="仿宋" w:eastAsia="仿宋"/>
          <w:snapToGrid w:val="0"/>
          <w:color w:val="00000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color w:val="000000"/>
          <w:kern w:val="0"/>
          <w:sz w:val="30"/>
          <w:szCs w:val="30"/>
        </w:rPr>
      </w:pPr>
      <w:r>
        <w:rPr>
          <w:rFonts w:hint="eastAsia" w:ascii="仿宋" w:hAnsi="仿宋" w:eastAsia="仿宋"/>
          <w:b/>
          <w:snapToGrid w:val="0"/>
          <w:color w:val="00000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2. 甲方收到乙方提供的发票，结合验收情况，验收合格的，在15日内将采购资金支付到乙方约定账户。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color w:val="000000"/>
          <w:sz w:val="30"/>
          <w:szCs w:val="30"/>
        </w:rPr>
      </w:pPr>
      <w:r>
        <w:rPr>
          <w:rFonts w:hint="eastAsia" w:ascii="仿宋" w:hAnsi="仿宋" w:eastAsia="仿宋"/>
          <w:b/>
          <w:snapToGrid w:val="0"/>
          <w:color w:val="00000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color w:val="000000"/>
          <w:sz w:val="30"/>
          <w:szCs w:val="30"/>
        </w:rPr>
      </w:pPr>
      <w:r>
        <w:rPr>
          <w:rFonts w:hint="eastAsia" w:ascii="仿宋" w:hAnsi="仿宋" w:eastAsia="仿宋"/>
          <w:b/>
          <w:color w:val="000000"/>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5.本合同未尽事宜，遵照《中华人民共和国民法典》有关条文执行。</w:t>
      </w:r>
    </w:p>
    <w:p>
      <w:pPr>
        <w:pStyle w:val="31"/>
        <w:adjustRightInd w:val="0"/>
        <w:snapToGrid w:val="0"/>
        <w:spacing w:before="120" w:beforeLines="0" w:after="120" w:line="460" w:lineRule="exact"/>
        <w:ind w:left="2" w:leftChars="1" w:firstLine="600" w:firstLineChars="200"/>
        <w:rPr>
          <w:rFonts w:ascii="仿宋" w:hAnsi="仿宋" w:eastAsia="仿宋"/>
          <w:snapToGrid w:val="0"/>
          <w:color w:val="000000"/>
          <w:sz w:val="30"/>
          <w:szCs w:val="30"/>
        </w:rPr>
      </w:pPr>
      <w:r>
        <w:rPr>
          <w:rFonts w:hint="eastAsia" w:ascii="仿宋" w:hAnsi="仿宋" w:eastAsia="仿宋"/>
          <w:snapToGrid w:val="0"/>
          <w:color w:val="00000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color w:val="000000"/>
          <w:sz w:val="30"/>
          <w:szCs w:val="30"/>
        </w:rPr>
      </w:pPr>
    </w:p>
    <w:p>
      <w:pPr>
        <w:pStyle w:val="31"/>
        <w:adjustRightInd w:val="0"/>
        <w:snapToGrid w:val="0"/>
        <w:spacing w:before="120" w:after="120" w:line="460" w:lineRule="exact"/>
        <w:ind w:left="1"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r>
        <w:rPr>
          <w:rFonts w:hint="eastAsia" w:ascii="仿宋" w:hAnsi="仿宋" w:eastAsia="仿宋"/>
          <w:snapToGrid w:val="0"/>
          <w:color w:val="00000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color w:val="000000"/>
          <w:sz w:val="30"/>
          <w:szCs w:val="30"/>
        </w:rPr>
      </w:pPr>
    </w:p>
    <w:p>
      <w:pPr>
        <w:rPr>
          <w:color w:val="000000"/>
          <w:szCs w:val="30"/>
        </w:rPr>
      </w:pPr>
    </w:p>
    <w:p>
      <w:pPr>
        <w:pStyle w:val="31"/>
        <w:spacing w:before="120" w:after="120" w:line="360" w:lineRule="auto"/>
        <w:jc w:val="center"/>
        <w:outlineLvl w:val="0"/>
        <w:rPr>
          <w:rFonts w:hAnsi="宋体"/>
          <w:b/>
          <w:color w:val="000000"/>
          <w:sz w:val="36"/>
          <w:szCs w:val="36"/>
        </w:rPr>
      </w:pPr>
      <w:r>
        <w:rPr>
          <w:rFonts w:hint="eastAsia" w:ascii="仿宋_GB2312" w:eastAsia="仿宋_GB2312"/>
          <w:snapToGrid w:val="0"/>
          <w:color w:val="000000"/>
          <w:kern w:val="0"/>
          <w:sz w:val="30"/>
          <w:szCs w:val="30"/>
        </w:rPr>
        <w:br w:type="page"/>
      </w:r>
      <w:bookmarkStart w:id="42" w:name="_Toc22013"/>
      <w:r>
        <w:rPr>
          <w:rFonts w:hint="eastAsia" w:hAnsi="宋体"/>
          <w:b/>
          <w:color w:val="000000"/>
          <w:sz w:val="36"/>
          <w:szCs w:val="36"/>
        </w:rPr>
        <w:t xml:space="preserve">第六章 </w:t>
      </w:r>
      <w:r>
        <w:rPr>
          <w:rFonts w:hAnsi="宋体"/>
          <w:b/>
          <w:color w:val="000000"/>
          <w:sz w:val="36"/>
          <w:szCs w:val="36"/>
        </w:rPr>
        <w:t xml:space="preserve"> </w:t>
      </w:r>
      <w:r>
        <w:rPr>
          <w:rFonts w:hint="eastAsia" w:hAnsi="宋体"/>
          <w:b/>
          <w:color w:val="000000"/>
          <w:sz w:val="36"/>
          <w:szCs w:val="36"/>
        </w:rPr>
        <w:t>投标文件格式附件</w:t>
      </w:r>
      <w:bookmarkEnd w:id="42"/>
    </w:p>
    <w:p>
      <w:pPr>
        <w:pStyle w:val="31"/>
        <w:spacing w:before="120" w:after="120" w:line="360" w:lineRule="auto"/>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pStyle w:val="31"/>
        <w:adjustRightInd w:val="0"/>
        <w:snapToGrid w:val="0"/>
        <w:spacing w:before="120" w:after="120" w:line="460" w:lineRule="exact"/>
        <w:ind w:left="1" w:firstLine="770" w:firstLineChars="213"/>
        <w:jc w:val="center"/>
        <w:rPr>
          <w:rFonts w:hAnsi="宋体" w:eastAsia="仿宋_GB2312"/>
          <w:b/>
          <w:color w:val="000000"/>
          <w:sz w:val="36"/>
          <w:szCs w:val="36"/>
        </w:rPr>
      </w:pPr>
    </w:p>
    <w:p>
      <w:pPr>
        <w:snapToGrid w:val="0"/>
        <w:spacing w:before="120" w:beforeLines="50" w:after="50"/>
        <w:rPr>
          <w:rFonts w:hint="eastAsia" w:ascii="仿宋" w:hAnsi="仿宋" w:eastAsia="仿宋"/>
          <w:b/>
          <w:color w:val="000000"/>
          <w:sz w:val="30"/>
          <w:szCs w:val="30"/>
        </w:rPr>
      </w:pPr>
      <w:r>
        <w:rPr>
          <w:rFonts w:hint="eastAsia" w:ascii="仿宋" w:hAnsi="仿宋" w:eastAsia="仿宋"/>
          <w:color w:val="000000"/>
          <w:sz w:val="30"/>
          <w:szCs w:val="30"/>
        </w:rPr>
        <w:t>附件1</w:t>
      </w:r>
      <w:r>
        <w:rPr>
          <w:rFonts w:hint="eastAsia" w:ascii="仿宋" w:hAnsi="仿宋" w:eastAsia="仿宋"/>
          <w:b/>
          <w:color w:val="000000"/>
          <w:sz w:val="30"/>
          <w:szCs w:val="30"/>
        </w:rPr>
        <w:t xml:space="preserve">：                                          </w:t>
      </w:r>
    </w:p>
    <w:p>
      <w:pPr>
        <w:spacing w:before="240" w:beforeLines="100" w:line="240" w:lineRule="atLeast"/>
        <w:jc w:val="center"/>
        <w:rPr>
          <w:rFonts w:ascii="仿宋" w:hAnsi="仿宋" w:eastAsia="仿宋"/>
          <w:color w:val="000000"/>
          <w:sz w:val="36"/>
          <w:szCs w:val="36"/>
        </w:rPr>
      </w:pPr>
      <w:bookmarkStart w:id="43" w:name="PO_1000000445_PM002_2"/>
      <w:r>
        <w:rPr>
          <w:rFonts w:hint="eastAsia" w:ascii="仿宋" w:hAnsi="仿宋" w:eastAsia="仿宋"/>
          <w:b/>
          <w:color w:val="000000"/>
          <w:spacing w:val="40"/>
          <w:sz w:val="52"/>
          <w:szCs w:val="52"/>
        </w:rPr>
        <w:t>浙江省大数据发展管理局省电子政务网络运行维护及备份网络项目</w:t>
      </w:r>
      <w:bookmarkEnd w:id="43"/>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4" w:name="PO_15528_PM001_2"/>
      <w:r>
        <w:rPr>
          <w:rFonts w:ascii="仿宋" w:hAnsi="仿宋" w:eastAsia="仿宋"/>
          <w:color w:val="000000"/>
          <w:sz w:val="36"/>
          <w:szCs w:val="36"/>
        </w:rPr>
        <w:t>ZZCG2023T-GK-139</w:t>
      </w:r>
      <w:bookmarkEnd w:id="44"/>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资</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格</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line="8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ascii="仿宋" w:hAnsi="仿宋" w:eastAsia="仿宋"/>
          <w:b/>
          <w:bCs/>
          <w:color w:val="000000"/>
          <w:sz w:val="36"/>
          <w:szCs w:val="36"/>
        </w:rPr>
      </w:pPr>
      <w:r>
        <w:rPr>
          <w:rFonts w:hint="eastAsia" w:ascii="仿宋" w:hAnsi="仿宋" w:eastAsia="仿宋"/>
          <w:b/>
          <w:color w:val="000000"/>
          <w:kern w:val="0"/>
          <w:sz w:val="36"/>
          <w:szCs w:val="36"/>
        </w:rPr>
        <w:br w:type="page"/>
      </w:r>
      <w:r>
        <w:rPr>
          <w:rFonts w:hint="eastAsia" w:ascii="仿宋" w:hAnsi="仿宋" w:eastAsia="仿宋"/>
          <w:b/>
          <w:color w:val="000000"/>
          <w:sz w:val="36"/>
          <w:szCs w:val="36"/>
        </w:rPr>
        <w:t>1、</w:t>
      </w:r>
      <w:r>
        <w:rPr>
          <w:rFonts w:hint="eastAsia" w:ascii="仿宋" w:hAnsi="仿宋" w:eastAsia="仿宋"/>
          <w:b/>
          <w:bCs/>
          <w:color w:val="000000"/>
          <w:sz w:val="36"/>
          <w:szCs w:val="36"/>
        </w:rPr>
        <w:t>资格文件目录</w:t>
      </w:r>
    </w:p>
    <w:p>
      <w:pPr>
        <w:snapToGrid w:val="0"/>
        <w:spacing w:before="50" w:after="50"/>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（1）投标声明书 (格式见附件2，含重大违法记录声明)；</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（2）法定代表人授权委托书(格式见附件3)；</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（4）联合投标协议书（若需要，格式见附件4）;</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（5）联合投标授权委托书（若需要，格式见附件5）;</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color w:val="000000"/>
          <w:sz w:val="30"/>
          <w:szCs w:val="30"/>
        </w:rPr>
        <w:t>（6）分包意向协议（若需要，格式见附件6）</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7</w:t>
      </w:r>
      <w:r>
        <w:rPr>
          <w:rFonts w:hint="eastAsia" w:ascii="仿宋" w:hAnsi="仿宋" w:eastAsia="仿宋"/>
          <w:color w:val="000000"/>
          <w:sz w:val="30"/>
          <w:szCs w:val="30"/>
        </w:rPr>
        <w:t>）提供采购公告中符合</w:t>
      </w:r>
      <w:r>
        <w:rPr>
          <w:rFonts w:hint="eastAsia" w:ascii="仿宋" w:hAnsi="仿宋" w:eastAsia="仿宋"/>
          <w:bCs/>
          <w:color w:val="000000"/>
          <w:sz w:val="30"/>
          <w:szCs w:val="30"/>
        </w:rPr>
        <w:t>投标人特定条件要求的有效的</w:t>
      </w:r>
      <w:r>
        <w:rPr>
          <w:rFonts w:hint="eastAsia" w:ascii="仿宋" w:hAnsi="仿宋" w:eastAsia="仿宋"/>
          <w:color w:val="000000"/>
          <w:sz w:val="30"/>
          <w:szCs w:val="30"/>
        </w:rPr>
        <w:t>其他资质复印件并加盖公司公章及需要说明的资料。</w:t>
      </w:r>
    </w:p>
    <w:p>
      <w:pPr>
        <w:pStyle w:val="34"/>
        <w:snapToGrid w:val="0"/>
        <w:spacing w:after="120" w:line="460" w:lineRule="exact"/>
        <w:ind w:left="5250" w:firstLine="600" w:firstLineChars="200"/>
        <w:rPr>
          <w:rFonts w:ascii="仿宋" w:hAnsi="仿宋" w:eastAsia="仿宋"/>
          <w:color w:val="000000"/>
          <w:sz w:val="30"/>
          <w:szCs w:val="30"/>
        </w:rPr>
      </w:pPr>
    </w:p>
    <w:p>
      <w:pPr>
        <w:snapToGrid w:val="0"/>
        <w:spacing w:line="460" w:lineRule="exact"/>
        <w:ind w:firstLine="588" w:firstLineChars="196"/>
        <w:jc w:val="left"/>
        <w:rPr>
          <w:rFonts w:ascii="仿宋" w:hAnsi="仿宋" w:eastAsia="仿宋"/>
          <w:color w:val="000000"/>
          <w:sz w:val="30"/>
          <w:szCs w:val="30"/>
        </w:rPr>
      </w:pP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pStyle w:val="31"/>
        <w:snapToGrid w:val="0"/>
        <w:spacing w:before="120" w:after="120" w:line="240" w:lineRule="auto"/>
        <w:rPr>
          <w:rFonts w:ascii="仿宋" w:hAnsi="仿宋" w:eastAsia="仿宋"/>
          <w:color w:val="000000"/>
          <w:sz w:val="30"/>
          <w:szCs w:val="30"/>
        </w:r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附件2：</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 标 声 明 书</w:t>
      </w:r>
    </w:p>
    <w:p>
      <w:pPr>
        <w:snapToGrid w:val="0"/>
        <w:spacing w:before="120" w:beforeLines="50" w:after="50" w:line="460" w:lineRule="exact"/>
        <w:rPr>
          <w:rFonts w:ascii="仿宋" w:hAnsi="仿宋" w:eastAsia="仿宋"/>
          <w:color w:val="000000"/>
          <w:sz w:val="30"/>
          <w:szCs w:val="30"/>
        </w:rPr>
      </w:pPr>
      <w:r>
        <w:rPr>
          <w:rFonts w:hint="eastAsia" w:ascii="仿宋" w:hAnsi="仿宋" w:eastAsia="仿宋"/>
          <w:color w:val="000000"/>
          <w:sz w:val="30"/>
          <w:szCs w:val="30"/>
        </w:rPr>
        <w:t>致浙江省政府采购中心：</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系中华人民共和国合法企业，经营地址</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的法定代表人，我方愿意参加贵方组织的</w:t>
      </w:r>
      <w:r>
        <w:rPr>
          <w:rFonts w:hint="eastAsia" w:ascii="仿宋" w:hAnsi="仿宋" w:eastAsia="仿宋"/>
          <w:color w:val="000000"/>
          <w:sz w:val="30"/>
          <w:szCs w:val="30"/>
          <w:u w:val="single"/>
        </w:rPr>
        <w:t>（招标项目名称）（编号为</w:t>
      </w:r>
      <w:bookmarkStart w:id="45" w:name="PO_15528_PM001_3"/>
      <w:r>
        <w:rPr>
          <w:rFonts w:ascii="仿宋" w:hAnsi="仿宋" w:eastAsia="仿宋"/>
          <w:color w:val="000000"/>
          <w:sz w:val="30"/>
          <w:szCs w:val="30"/>
          <w:u w:val="single"/>
        </w:rPr>
        <w:t>ZZCG2023T-GK-139</w:t>
      </w:r>
      <w:bookmarkEnd w:id="45"/>
      <w:r>
        <w:rPr>
          <w:rFonts w:hint="eastAsia" w:ascii="仿宋" w:hAnsi="仿宋" w:eastAsia="仿宋"/>
          <w:color w:val="000000"/>
          <w:sz w:val="30"/>
          <w:szCs w:val="30"/>
          <w:u w:val="single"/>
        </w:rPr>
        <w:t>）</w:t>
      </w:r>
      <w:r>
        <w:rPr>
          <w:rFonts w:hint="eastAsia" w:ascii="仿宋" w:hAnsi="仿宋" w:eastAsia="仿宋"/>
          <w:color w:val="000000"/>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5.投标文件自开标日起有效期为90天。</w:t>
      </w:r>
    </w:p>
    <w:p>
      <w:pPr>
        <w:snapToGrid w:val="0"/>
        <w:spacing w:line="460" w:lineRule="exact"/>
        <w:ind w:firstLine="590" w:firstLineChars="196"/>
        <w:jc w:val="left"/>
        <w:rPr>
          <w:rFonts w:ascii="仿宋" w:hAnsi="仿宋" w:eastAsia="仿宋"/>
          <w:b/>
          <w:color w:val="000000"/>
          <w:sz w:val="30"/>
          <w:szCs w:val="30"/>
        </w:rPr>
      </w:pPr>
      <w:r>
        <w:rPr>
          <w:rFonts w:hint="eastAsia" w:ascii="仿宋" w:hAnsi="仿宋" w:eastAsia="仿宋"/>
          <w:b/>
          <w:color w:val="000000"/>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 期：</w:t>
      </w:r>
      <w:r>
        <w:rPr>
          <w:rFonts w:hint="eastAsia" w:ascii="仿宋" w:hAnsi="仿宋" w:eastAsia="仿宋"/>
          <w:color w:val="000000"/>
          <w:sz w:val="30"/>
          <w:szCs w:val="30"/>
          <w:u w:val="single"/>
        </w:rPr>
        <w:t xml:space="preserve">      </w:t>
      </w:r>
    </w:p>
    <w:p>
      <w:pPr>
        <w:snapToGrid w:val="0"/>
        <w:spacing w:before="120" w:beforeLines="50" w:after="50" w:line="460" w:lineRule="exact"/>
        <w:ind w:firstLine="150" w:firstLineChars="50"/>
        <w:rPr>
          <w:rFonts w:ascii="仿宋" w:hAnsi="仿宋" w:eastAsia="仿宋"/>
          <w:color w:val="000000"/>
          <w:sz w:val="30"/>
          <w:szCs w:val="30"/>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p>
    <w:p>
      <w:pPr>
        <w:snapToGrid w:val="0"/>
        <w:spacing w:before="120" w:beforeLines="50" w:after="50" w:line="460" w:lineRule="exac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附件3：</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法定代表人授权委托书</w:t>
      </w:r>
    </w:p>
    <w:p>
      <w:pPr>
        <w:snapToGrid w:val="0"/>
        <w:spacing w:before="120" w:beforeLines="50" w:after="50"/>
        <w:jc w:val="center"/>
        <w:rPr>
          <w:rFonts w:ascii="仿宋" w:hAnsi="仿宋" w:eastAsia="仿宋"/>
          <w:b/>
          <w:color w:val="000000"/>
          <w:sz w:val="30"/>
          <w:szCs w:val="30"/>
        </w:rPr>
      </w:pPr>
    </w:p>
    <w:p>
      <w:pPr>
        <w:snapToGrid w:val="0"/>
        <w:spacing w:before="120" w:beforeLines="50" w:after="50" w:line="460" w:lineRule="exact"/>
        <w:rPr>
          <w:rFonts w:ascii="仿宋" w:hAnsi="仿宋" w:eastAsia="仿宋"/>
          <w:b/>
          <w:bCs/>
          <w:color w:val="000000"/>
          <w:sz w:val="30"/>
          <w:szCs w:val="30"/>
        </w:rPr>
      </w:pPr>
      <w:r>
        <w:rPr>
          <w:rFonts w:hint="eastAsia" w:ascii="仿宋" w:hAnsi="仿宋" w:eastAsia="仿宋"/>
          <w:bCs/>
          <w:color w:val="000000"/>
          <w:sz w:val="30"/>
          <w:szCs w:val="30"/>
        </w:rPr>
        <w:t>浙江省政府采购中心：</w:t>
      </w:r>
    </w:p>
    <w:p>
      <w:pPr>
        <w:snapToGrid w:val="0"/>
        <w:spacing w:before="120" w:beforeLines="50" w:after="50" w:line="460" w:lineRule="exact"/>
        <w:ind w:firstLine="900" w:firstLineChars="300"/>
        <w:rPr>
          <w:rFonts w:ascii="仿宋" w:hAnsi="仿宋" w:eastAsia="仿宋"/>
          <w:color w:val="000000"/>
          <w:sz w:val="30"/>
          <w:szCs w:val="30"/>
        </w:rPr>
      </w:pPr>
      <w:r>
        <w:rPr>
          <w:rFonts w:hint="eastAsia" w:ascii="仿宋" w:hAnsi="仿宋" w:eastAsia="仿宋"/>
          <w:color w:val="000000"/>
          <w:sz w:val="30"/>
          <w:szCs w:val="30"/>
        </w:rPr>
        <w:t>我</w:t>
      </w:r>
      <w:r>
        <w:rPr>
          <w:rFonts w:hint="eastAsia" w:ascii="仿宋" w:hAnsi="仿宋" w:eastAsia="仿宋"/>
          <w:color w:val="000000"/>
          <w:sz w:val="30"/>
          <w:szCs w:val="30"/>
          <w:u w:val="single"/>
        </w:rPr>
        <w:t>（姓名）</w:t>
      </w:r>
      <w:r>
        <w:rPr>
          <w:rFonts w:hint="eastAsia" w:ascii="仿宋" w:hAnsi="仿宋" w:eastAsia="仿宋"/>
          <w:color w:val="000000"/>
          <w:sz w:val="30"/>
          <w:szCs w:val="30"/>
        </w:rPr>
        <w:t>系</w:t>
      </w:r>
      <w:r>
        <w:rPr>
          <w:rFonts w:hint="eastAsia" w:ascii="仿宋" w:hAnsi="仿宋" w:eastAsia="仿宋"/>
          <w:color w:val="000000"/>
          <w:sz w:val="30"/>
          <w:szCs w:val="30"/>
          <w:u w:val="single"/>
        </w:rPr>
        <w:t>（投标人名称）</w:t>
      </w:r>
      <w:r>
        <w:rPr>
          <w:rFonts w:hint="eastAsia" w:ascii="仿宋" w:hAnsi="仿宋" w:eastAsia="仿宋"/>
          <w:color w:val="000000"/>
          <w:sz w:val="30"/>
          <w:szCs w:val="30"/>
        </w:rPr>
        <w:t>的法定代表人，现授权委托本单位在职职工</w:t>
      </w:r>
      <w:r>
        <w:rPr>
          <w:rFonts w:hint="eastAsia" w:ascii="仿宋" w:hAnsi="仿宋" w:eastAsia="仿宋"/>
          <w:color w:val="000000"/>
          <w:sz w:val="30"/>
          <w:szCs w:val="30"/>
          <w:u w:val="single"/>
        </w:rPr>
        <w:t xml:space="preserve"> （姓名）</w:t>
      </w:r>
      <w:r>
        <w:rPr>
          <w:rFonts w:hint="eastAsia" w:ascii="仿宋" w:hAnsi="仿宋" w:eastAsia="仿宋"/>
          <w:color w:val="000000"/>
          <w:sz w:val="30"/>
          <w:szCs w:val="30"/>
        </w:rPr>
        <w:t>为授权代表，以我方的名义参加项目编号：</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项目名称：</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sz w:val="30"/>
          <w:szCs w:val="30"/>
        </w:rPr>
      </w:pPr>
      <w:r>
        <w:rPr>
          <w:rFonts w:hint="eastAsia" w:ascii="仿宋" w:hAnsi="仿宋" w:eastAsia="仿宋"/>
          <w:color w:val="000000"/>
          <w:sz w:val="30"/>
          <w:szCs w:val="30"/>
        </w:rPr>
        <w:t>授权代表无转委托权，特此委托。</w:t>
      </w:r>
    </w:p>
    <w:p>
      <w:pPr>
        <w:snapToGrid w:val="0"/>
        <w:spacing w:before="120" w:beforeLines="50" w:after="50" w:line="460" w:lineRule="exact"/>
        <w:ind w:firstLine="480"/>
        <w:rPr>
          <w:rFonts w:ascii="仿宋" w:hAnsi="仿宋" w:eastAsia="仿宋"/>
          <w:color w:val="000000"/>
          <w:sz w:val="30"/>
          <w:szCs w:val="30"/>
        </w:rPr>
      </w:pPr>
    </w:p>
    <w:p>
      <w:pPr>
        <w:snapToGrid w:val="0"/>
        <w:spacing w:before="120" w:beforeLines="50" w:after="50" w:line="460" w:lineRule="exact"/>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联系方式：</w:t>
      </w:r>
      <w:r>
        <w:rPr>
          <w:rFonts w:hint="eastAsia" w:ascii="仿宋" w:hAnsi="仿宋" w:eastAsia="仿宋"/>
          <w:color w:val="000000"/>
          <w:sz w:val="30"/>
          <w:szCs w:val="30"/>
          <w:u w:val="single"/>
        </w:rPr>
        <w:t xml:space="preserve">      </w:t>
      </w:r>
    </w:p>
    <w:p>
      <w:pPr>
        <w:snapToGrid w:val="0"/>
        <w:spacing w:before="120" w:beforeLines="50" w:after="50" w:line="460" w:lineRule="exact"/>
        <w:rPr>
          <w:rFonts w:ascii="仿宋" w:hAnsi="仿宋" w:eastAsia="仿宋"/>
          <w:color w:val="000000"/>
          <w:sz w:val="30"/>
          <w:szCs w:val="30"/>
          <w:u w:val="single"/>
        </w:rPr>
      </w:pPr>
      <w:r>
        <w:rPr>
          <w:rFonts w:hint="eastAsia" w:ascii="仿宋" w:hAnsi="仿宋" w:eastAsia="仿宋"/>
          <w:color w:val="000000"/>
          <w:sz w:val="30"/>
          <w:szCs w:val="30"/>
        </w:rPr>
        <w:t>邮箱：</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 xml:space="preserve"> 传真：</w:t>
      </w:r>
      <w:r>
        <w:rPr>
          <w:rFonts w:hint="eastAsia" w:ascii="仿宋" w:hAnsi="仿宋" w:eastAsia="仿宋"/>
          <w:color w:val="000000"/>
          <w:sz w:val="30"/>
          <w:szCs w:val="30"/>
          <w:u w:val="single"/>
        </w:rPr>
        <w:t xml:space="preserve">      </w:t>
      </w:r>
    </w:p>
    <w:p>
      <w:pPr>
        <w:snapToGrid w:val="0"/>
        <w:spacing w:before="120" w:beforeLines="50" w:after="50" w:line="460" w:lineRule="exact"/>
        <w:rPr>
          <w:rFonts w:ascii="仿宋" w:hAnsi="仿宋" w:eastAsia="仿宋"/>
          <w:color w:val="000000"/>
          <w:sz w:val="30"/>
          <w:szCs w:val="30"/>
          <w:u w:val="single"/>
        </w:rPr>
      </w:pPr>
      <w:r>
        <w:rPr>
          <w:rFonts w:hint="eastAsia" w:ascii="仿宋" w:hAnsi="仿宋" w:eastAsia="仿宋"/>
          <w:color w:val="000000"/>
          <w:sz w:val="30"/>
          <w:szCs w:val="30"/>
        </w:rPr>
        <w:t>授权代表身份证号码：</w:t>
      </w:r>
      <w:r>
        <w:rPr>
          <w:rFonts w:hint="eastAsia" w:ascii="仿宋" w:hAnsi="仿宋" w:eastAsia="仿宋"/>
          <w:color w:val="000000"/>
          <w:sz w:val="30"/>
          <w:szCs w:val="30"/>
          <w:u w:val="single"/>
        </w:rPr>
        <w:t xml:space="preserve">              </w:t>
      </w:r>
    </w:p>
    <w:p>
      <w:pPr>
        <w:snapToGrid w:val="0"/>
        <w:spacing w:before="120" w:beforeLines="50" w:after="50" w:line="460" w:lineRule="exact"/>
        <w:rPr>
          <w:rFonts w:ascii="仿宋" w:hAnsi="仿宋" w:eastAsia="仿宋"/>
          <w:color w:val="000000"/>
          <w:sz w:val="30"/>
          <w:szCs w:val="30"/>
          <w:u w:val="single"/>
        </w:rPr>
      </w:pPr>
      <w:r>
        <w:rPr>
          <w:rFonts w:hint="eastAsia" w:ascii="仿宋" w:hAnsi="仿宋" w:eastAsia="仿宋"/>
          <w:color w:val="000000"/>
          <w:sz w:val="30"/>
          <w:szCs w:val="30"/>
        </w:rPr>
        <w:t>法定代表人签名（或签名章）：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snapToGrid w:val="0"/>
        <w:spacing w:before="120" w:beforeLines="50" w:after="50" w:line="460" w:lineRule="exact"/>
        <w:rPr>
          <w:rFonts w:ascii="仿宋" w:hAnsi="仿宋" w:eastAsia="仿宋"/>
          <w:color w:val="000000"/>
          <w:sz w:val="30"/>
          <w:szCs w:val="30"/>
          <w:u w:val="single"/>
        </w:rPr>
      </w:pPr>
      <w:r>
        <w:rPr>
          <w:rFonts w:hint="eastAsia" w:ascii="仿宋" w:hAnsi="仿宋" w:eastAsia="仿宋"/>
          <w:color w:val="000000"/>
          <w:sz w:val="30"/>
          <w:szCs w:val="30"/>
        </w:rPr>
        <w:t>联系方式：</w:t>
      </w:r>
      <w:r>
        <w:rPr>
          <w:rFonts w:hint="eastAsia" w:ascii="仿宋" w:hAnsi="仿宋" w:eastAsia="仿宋"/>
          <w:color w:val="000000"/>
          <w:sz w:val="30"/>
          <w:szCs w:val="30"/>
          <w:u w:val="single"/>
        </w:rPr>
        <w:t xml:space="preserve">          </w:t>
      </w:r>
    </w:p>
    <w:p>
      <w:pPr>
        <w:snapToGrid w:val="0"/>
        <w:spacing w:before="120" w:beforeLines="50" w:after="50" w:line="460" w:lineRule="exact"/>
        <w:rPr>
          <w:rFonts w:ascii="仿宋" w:hAnsi="仿宋" w:eastAsia="仿宋"/>
          <w:color w:val="000000"/>
          <w:sz w:val="30"/>
          <w:szCs w:val="30"/>
        </w:rPr>
      </w:pPr>
    </w:p>
    <w:p>
      <w:pPr>
        <w:snapToGrid w:val="0"/>
        <w:spacing w:before="120" w:beforeLines="50" w:after="50" w:line="460" w:lineRule="exact"/>
        <w:rPr>
          <w:rFonts w:ascii="仿宋" w:hAnsi="仿宋" w:eastAsia="仿宋"/>
          <w:color w:val="000000"/>
          <w:sz w:val="30"/>
          <w:szCs w:val="30"/>
        </w:rPr>
      </w:pPr>
    </w:p>
    <w:p>
      <w:pPr>
        <w:snapToGrid w:val="0"/>
        <w:spacing w:before="120" w:beforeLines="50" w:after="50" w:line="460" w:lineRule="exact"/>
        <w:ind w:firstLine="6150" w:firstLineChars="2050"/>
        <w:rPr>
          <w:rFonts w:ascii="仿宋" w:hAnsi="仿宋" w:eastAsia="仿宋"/>
          <w:color w:val="000000"/>
          <w:sz w:val="30"/>
          <w:szCs w:val="30"/>
        </w:rPr>
      </w:pPr>
    </w:p>
    <w:p>
      <w:pPr>
        <w:snapToGrid w:val="0"/>
        <w:spacing w:before="120" w:beforeLines="50" w:after="50" w:line="460" w:lineRule="exact"/>
        <w:rPr>
          <w:rFonts w:ascii="仿宋" w:hAnsi="仿宋" w:eastAsia="仿宋"/>
          <w:color w:val="000000"/>
          <w:sz w:val="30"/>
          <w:szCs w:val="30"/>
          <w:u w:val="single"/>
        </w:rPr>
      </w:pPr>
      <w:r>
        <w:rPr>
          <w:rFonts w:hint="eastAsia" w:ascii="仿宋" w:hAnsi="仿宋" w:eastAsia="仿宋"/>
          <w:color w:val="000000"/>
          <w:sz w:val="30"/>
          <w:szCs w:val="30"/>
        </w:rPr>
        <w:t>投标人全称（公章）：</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  期：</w:t>
      </w:r>
      <w:r>
        <w:rPr>
          <w:rFonts w:hint="eastAsia" w:ascii="仿宋" w:hAnsi="仿宋" w:eastAsia="仿宋"/>
          <w:color w:val="000000"/>
          <w:sz w:val="30"/>
          <w:szCs w:val="30"/>
          <w:u w:val="single"/>
        </w:rPr>
        <w:t xml:space="preserve">           </w:t>
      </w:r>
    </w:p>
    <w:p>
      <w:pPr>
        <w:snapToGrid w:val="0"/>
        <w:spacing w:before="120" w:beforeLines="50" w:after="50" w:line="460" w:lineRule="exact"/>
        <w:rPr>
          <w:rFonts w:ascii="仿宋" w:hAnsi="仿宋" w:eastAsia="仿宋"/>
          <w:color w:val="000000"/>
          <w:sz w:val="30"/>
          <w:szCs w:val="30"/>
        </w:rPr>
      </w:pPr>
    </w:p>
    <w:p>
      <w:pPr>
        <w:snapToGrid w:val="0"/>
        <w:spacing w:before="120" w:beforeLines="50" w:after="50" w:line="460" w:lineRule="exact"/>
        <w:rPr>
          <w:rFonts w:ascii="仿宋" w:hAnsi="仿宋" w:eastAsia="仿宋"/>
          <w:color w:val="000000"/>
          <w:sz w:val="30"/>
          <w:szCs w:val="30"/>
        </w:rPr>
      </w:pPr>
    </w:p>
    <w:p>
      <w:pPr>
        <w:snapToGrid w:val="0"/>
        <w:spacing w:before="120" w:beforeLines="50" w:after="50" w:line="460" w:lineRule="exact"/>
        <w:rPr>
          <w:rFonts w:ascii="仿宋" w:hAnsi="仿宋" w:eastAsia="仿宋"/>
          <w:color w:val="000000"/>
          <w:sz w:val="30"/>
          <w:szCs w:val="30"/>
        </w:rPr>
      </w:pPr>
    </w:p>
    <w:p>
      <w:pPr>
        <w:tabs>
          <w:tab w:val="left" w:pos="606"/>
        </w:tabs>
        <w:rPr>
          <w:rFonts w:ascii="仿宋" w:hAnsi="仿宋" w:eastAsia="仿宋"/>
          <w:color w:val="000000"/>
          <w:spacing w:val="20"/>
          <w:sz w:val="30"/>
          <w:szCs w:val="30"/>
        </w:rPr>
      </w:pPr>
      <w:r>
        <w:rPr>
          <w:rFonts w:hint="eastAsia" w:ascii="仿宋" w:hAnsi="仿宋" w:eastAsia="仿宋"/>
          <w:color w:val="000000"/>
          <w:sz w:val="30"/>
          <w:szCs w:val="30"/>
        </w:rPr>
        <w:t>附件4：</w:t>
      </w:r>
    </w:p>
    <w:p>
      <w:pPr>
        <w:pStyle w:val="18"/>
        <w:overflowPunct w:val="0"/>
        <w:spacing w:line="360" w:lineRule="auto"/>
        <w:ind w:firstLine="0"/>
        <w:jc w:val="center"/>
        <w:rPr>
          <w:rFonts w:ascii="仿宋" w:hAnsi="仿宋" w:eastAsia="仿宋"/>
          <w:b/>
          <w:color w:val="000000"/>
          <w:spacing w:val="40"/>
          <w:kern w:val="0"/>
          <w:sz w:val="30"/>
          <w:szCs w:val="30"/>
        </w:rPr>
      </w:pPr>
      <w:r>
        <w:rPr>
          <w:rFonts w:hint="eastAsia" w:ascii="仿宋" w:hAnsi="仿宋" w:eastAsia="仿宋"/>
          <w:b/>
          <w:color w:val="000000"/>
          <w:spacing w:val="40"/>
          <w:kern w:val="0"/>
          <w:sz w:val="30"/>
          <w:szCs w:val="30"/>
        </w:rPr>
        <w:t>联合投标协议书</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（如果有的话，可按甲、乙、丙、丁…序列增加）</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各方经协商，就响应 组织实施的编号为号的招标活动联合进行投标之事宜，达成如下协议：</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一、各方一致决定，以</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为主办人进行投标，并按照招标文件的规定分别提交资格文件。</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三、联合投标其余各方保证对主办人为响应本次招标而提供的产品和服务提供全部质量保证及售后服务支持。</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四、本次联合投标中，甲方承担的工作和义务为:</w:t>
      </w:r>
    </w:p>
    <w:p>
      <w:pPr>
        <w:pStyle w:val="18"/>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乙方承担的工作和义务为：</w:t>
      </w:r>
    </w:p>
    <w:p>
      <w:pPr>
        <w:pStyle w:val="18"/>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u w:val="single"/>
        </w:rPr>
        <w:t xml:space="preserve">                                             </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（甲方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%，（乙方</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）的合同份额占到合同总金额</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w:t>
      </w:r>
    </w:p>
    <w:p>
      <w:pPr>
        <w:pStyle w:val="18"/>
        <w:overflowPunct w:val="0"/>
        <w:spacing w:line="460" w:lineRule="exact"/>
        <w:ind w:firstLine="642" w:firstLineChars="214"/>
        <w:rPr>
          <w:rFonts w:ascii="仿宋" w:hAnsi="仿宋" w:eastAsia="仿宋"/>
          <w:color w:val="000000"/>
          <w:sz w:val="30"/>
          <w:szCs w:val="30"/>
          <w:u w:val="single"/>
        </w:rPr>
      </w:pPr>
      <w:r>
        <w:rPr>
          <w:rFonts w:hint="eastAsia" w:ascii="仿宋" w:hAnsi="仿宋" w:eastAsia="仿宋"/>
          <w:color w:val="000000"/>
          <w:sz w:val="30"/>
          <w:szCs w:val="30"/>
        </w:rPr>
        <w:t>五、有关本次联合投标的其他事宜：</w:t>
      </w:r>
      <w:r>
        <w:rPr>
          <w:rFonts w:hint="eastAsia" w:ascii="仿宋" w:hAnsi="仿宋" w:eastAsia="仿宋"/>
          <w:color w:val="000000"/>
          <w:sz w:val="30"/>
          <w:szCs w:val="30"/>
          <w:u w:val="single"/>
        </w:rPr>
        <w:t xml:space="preserve">             </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六、本协议提交招标方后，联合投标各方不得以任何形式对上述实质内容进行修改或撤销。</w:t>
      </w:r>
    </w:p>
    <w:p>
      <w:pPr>
        <w:pStyle w:val="18"/>
        <w:overflowPunct w:val="0"/>
        <w:spacing w:line="460" w:lineRule="exact"/>
        <w:ind w:firstLine="642" w:firstLineChars="214"/>
        <w:rPr>
          <w:rFonts w:ascii="仿宋" w:hAnsi="仿宋" w:eastAsia="仿宋"/>
          <w:color w:val="000000"/>
          <w:sz w:val="30"/>
          <w:szCs w:val="30"/>
        </w:rPr>
      </w:pPr>
      <w:r>
        <w:rPr>
          <w:rFonts w:hint="eastAsia" w:ascii="仿宋" w:hAnsi="仿宋" w:eastAsia="仿宋"/>
          <w:color w:val="000000"/>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甲方单位：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（公章）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tc>
        <w:tc>
          <w:tcPr>
            <w:tcW w:w="4264" w:type="dxa"/>
            <w:noWrap w:val="0"/>
            <w:vAlign w:val="top"/>
          </w:tcPr>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乙方单位：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（公章）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（签章）</w:t>
            </w: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tc>
      </w:tr>
    </w:tbl>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附件5：</w:t>
      </w:r>
    </w:p>
    <w:p>
      <w:pPr>
        <w:pStyle w:val="18"/>
        <w:overflowPunct w:val="0"/>
        <w:spacing w:line="460" w:lineRule="exact"/>
        <w:jc w:val="center"/>
        <w:rPr>
          <w:rFonts w:ascii="仿宋" w:hAnsi="仿宋" w:eastAsia="仿宋"/>
          <w:b/>
          <w:color w:val="000000"/>
          <w:sz w:val="30"/>
          <w:szCs w:val="30"/>
        </w:rPr>
      </w:pPr>
      <w:r>
        <w:rPr>
          <w:rFonts w:hint="eastAsia" w:ascii="仿宋" w:hAnsi="仿宋" w:eastAsia="仿宋"/>
          <w:b/>
          <w:color w:val="000000"/>
          <w:sz w:val="30"/>
          <w:szCs w:val="30"/>
        </w:rPr>
        <w:t>联合投标授权委托书</w:t>
      </w:r>
    </w:p>
    <w:p>
      <w:pPr>
        <w:pStyle w:val="18"/>
        <w:overflowPunct w:val="0"/>
        <w:spacing w:line="460" w:lineRule="exact"/>
        <w:rPr>
          <w:rFonts w:ascii="仿宋" w:hAnsi="仿宋" w:eastAsia="仿宋"/>
          <w:color w:val="000000"/>
          <w:sz w:val="30"/>
          <w:szCs w:val="30"/>
        </w:rPr>
      </w:pPr>
    </w:p>
    <w:p>
      <w:pPr>
        <w:pStyle w:val="18"/>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本授权委托书声明：根据</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与签订的《联合投标协议书》的内容，主办人的法定代表人现授权</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为联合投标代理人，代理人在投标、开标、评标、合同谈判过程中所签署的一切文件和处理与这有关的一切事务， 联合投标各方均予以认可并遵守。</w:t>
      </w:r>
    </w:p>
    <w:p>
      <w:pPr>
        <w:pStyle w:val="18"/>
        <w:overflowPunct w:val="0"/>
        <w:spacing w:line="460" w:lineRule="exact"/>
        <w:rPr>
          <w:rFonts w:ascii="仿宋" w:hAnsi="仿宋" w:eastAsia="仿宋"/>
          <w:color w:val="000000"/>
          <w:sz w:val="30"/>
          <w:szCs w:val="30"/>
        </w:rPr>
      </w:pPr>
      <w:r>
        <w:rPr>
          <w:rFonts w:hint="eastAsia" w:ascii="仿宋" w:hAnsi="仿宋" w:eastAsia="仿宋"/>
          <w:color w:val="000000"/>
          <w:sz w:val="30"/>
          <w:szCs w:val="30"/>
        </w:rPr>
        <w:t xml:space="preserve"> 特此委托。</w:t>
      </w:r>
    </w:p>
    <w:p>
      <w:pPr>
        <w:pStyle w:val="18"/>
        <w:overflowPunct w:val="0"/>
        <w:spacing w:line="460" w:lineRule="exact"/>
        <w:rPr>
          <w:rFonts w:ascii="仿宋" w:hAnsi="仿宋" w:eastAsia="仿宋"/>
          <w:color w:val="000000"/>
          <w:sz w:val="30"/>
          <w:szCs w:val="30"/>
        </w:rPr>
      </w:pPr>
    </w:p>
    <w:p>
      <w:pPr>
        <w:pStyle w:val="18"/>
        <w:overflowPunct w:val="0"/>
        <w:spacing w:line="460" w:lineRule="exact"/>
        <w:ind w:firstLine="600" w:firstLineChars="200"/>
        <w:rPr>
          <w:rFonts w:ascii="仿宋" w:hAnsi="仿宋" w:eastAsia="仿宋"/>
          <w:color w:val="000000"/>
          <w:sz w:val="30"/>
          <w:szCs w:val="30"/>
          <w:u w:val="single"/>
        </w:rPr>
      </w:pPr>
      <w:r>
        <w:rPr>
          <w:rFonts w:hint="eastAsia" w:ascii="仿宋" w:hAnsi="仿宋" w:eastAsia="仿宋"/>
          <w:color w:val="000000"/>
          <w:sz w:val="30"/>
          <w:szCs w:val="30"/>
        </w:rPr>
        <w:t>授权人（签名）：</w:t>
      </w:r>
      <w:r>
        <w:rPr>
          <w:rFonts w:hint="eastAsia" w:ascii="仿宋" w:hAnsi="仿宋" w:eastAsia="仿宋"/>
          <w:color w:val="000000"/>
          <w:sz w:val="30"/>
          <w:szCs w:val="30"/>
          <w:u w:val="single"/>
        </w:rPr>
        <w:t xml:space="preserve">               </w:t>
      </w:r>
    </w:p>
    <w:p>
      <w:pPr>
        <w:pStyle w:val="18"/>
        <w:overflowPunct w:val="0"/>
        <w:spacing w:line="460" w:lineRule="exact"/>
        <w:ind w:firstLine="600" w:firstLineChars="200"/>
        <w:rPr>
          <w:rFonts w:ascii="仿宋" w:hAnsi="仿宋" w:eastAsia="仿宋"/>
          <w:color w:val="000000"/>
          <w:sz w:val="30"/>
          <w:szCs w:val="30"/>
        </w:rPr>
      </w:pPr>
    </w:p>
    <w:p>
      <w:pPr>
        <w:pStyle w:val="18"/>
        <w:overflowPunct w:val="0"/>
        <w:spacing w:line="460" w:lineRule="exact"/>
        <w:ind w:left="420" w:leftChars="200" w:firstLine="150" w:firstLineChars="50"/>
        <w:rPr>
          <w:rFonts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pStyle w:val="18"/>
        <w:overflowPunct w:val="0"/>
        <w:spacing w:line="460" w:lineRule="exact"/>
        <w:rPr>
          <w:rFonts w:ascii="仿宋" w:hAnsi="仿宋" w:eastAsia="仿宋"/>
          <w:color w:val="000000"/>
          <w:sz w:val="30"/>
          <w:szCs w:val="30"/>
        </w:rPr>
      </w:pPr>
    </w:p>
    <w:p>
      <w:pPr>
        <w:pStyle w:val="18"/>
        <w:overflowPunct w:val="0"/>
        <w:spacing w:line="460" w:lineRule="exact"/>
        <w:ind w:firstLine="570" w:firstLineChars="190"/>
        <w:rPr>
          <w:rFonts w:ascii="仿宋" w:hAnsi="仿宋" w:eastAsia="仿宋"/>
          <w:color w:val="000000"/>
          <w:sz w:val="30"/>
          <w:szCs w:val="30"/>
          <w:u w:val="single"/>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xml:space="preserve">              </w:t>
      </w:r>
    </w:p>
    <w:p>
      <w:pPr>
        <w:pStyle w:val="18"/>
        <w:overflowPunct w:val="0"/>
        <w:spacing w:line="460" w:lineRule="exact"/>
        <w:ind w:firstLine="570" w:firstLineChars="190"/>
        <w:rPr>
          <w:rFonts w:ascii="仿宋" w:hAnsi="仿宋" w:eastAsia="仿宋"/>
          <w:color w:val="000000"/>
          <w:sz w:val="30"/>
          <w:szCs w:val="30"/>
        </w:rPr>
      </w:pPr>
    </w:p>
    <w:p>
      <w:pPr>
        <w:pStyle w:val="18"/>
        <w:overflowPunct w:val="0"/>
        <w:spacing w:line="460" w:lineRule="exact"/>
        <w:ind w:firstLine="570" w:firstLineChars="190"/>
        <w:rPr>
          <w:rFonts w:ascii="仿宋" w:hAnsi="仿宋" w:eastAsia="仿宋"/>
          <w:color w:val="000000"/>
          <w:sz w:val="30"/>
          <w:szCs w:val="30"/>
        </w:rPr>
      </w:pPr>
      <w:r>
        <w:rPr>
          <w:rFonts w:hint="eastAsia" w:ascii="仿宋" w:hAnsi="仿宋" w:eastAsia="仿宋"/>
          <w:color w:val="000000"/>
          <w:sz w:val="30"/>
          <w:szCs w:val="30"/>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tabs>
          <w:tab w:val="left" w:pos="606"/>
        </w:tabs>
        <w:spacing w:line="460" w:lineRule="exact"/>
        <w:rPr>
          <w:rFonts w:ascii="仿宋" w:hAnsi="仿宋" w:eastAsia="仿宋"/>
          <w:color w:val="000000"/>
          <w:spacing w:val="20"/>
          <w:sz w:val="30"/>
          <w:szCs w:val="30"/>
        </w:rPr>
      </w:pPr>
    </w:p>
    <w:p>
      <w:pPr>
        <w:tabs>
          <w:tab w:val="left" w:pos="606"/>
        </w:tabs>
        <w:spacing w:line="460" w:lineRule="exact"/>
        <w:rPr>
          <w:rFonts w:ascii="仿宋" w:hAnsi="仿宋" w:eastAsia="仿宋"/>
          <w:color w:val="000000"/>
          <w:spacing w:val="20"/>
          <w:sz w:val="30"/>
          <w:szCs w:val="30"/>
        </w:rPr>
      </w:pP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noWrap w:val="0"/>
            <w:vAlign w:val="top"/>
          </w:tcPr>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联合体甲方单位：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（公章）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tc>
        <w:tc>
          <w:tcPr>
            <w:tcW w:w="4264" w:type="dxa"/>
            <w:noWrap w:val="0"/>
            <w:vAlign w:val="top"/>
          </w:tcPr>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联合体乙方单位：</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（公章）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（签章）</w:t>
            </w: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p>
          <w:p>
            <w:pPr>
              <w:pStyle w:val="18"/>
              <w:overflowPunct w:val="0"/>
              <w:spacing w:line="460" w:lineRule="exact"/>
              <w:ind w:firstLine="0"/>
              <w:rPr>
                <w:rFonts w:ascii="仿宋" w:hAnsi="仿宋" w:eastAsia="仿宋"/>
                <w:color w:val="000000"/>
                <w:sz w:val="30"/>
                <w:szCs w:val="30"/>
              </w:rPr>
            </w:pPr>
            <w:r>
              <w:rPr>
                <w:rFonts w:hint="eastAsia" w:ascii="仿宋" w:hAnsi="仿宋" w:eastAsia="仿宋"/>
                <w:color w:val="000000"/>
                <w:sz w:val="30"/>
                <w:szCs w:val="30"/>
              </w:rPr>
              <w:t>日  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tc>
      </w:tr>
    </w:tbl>
    <w:p>
      <w:pPr>
        <w:snapToGrid w:val="0"/>
        <w:spacing w:line="360" w:lineRule="auto"/>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附件6：</w:t>
      </w:r>
    </w:p>
    <w:p>
      <w:pPr>
        <w:spacing w:line="588" w:lineRule="exact"/>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分包意向协议</w:t>
      </w:r>
    </w:p>
    <w:p>
      <w:pPr>
        <w:pStyle w:val="58"/>
        <w:spacing w:line="400" w:lineRule="exact"/>
        <w:rPr>
          <w:color w:val="000000"/>
        </w:rPr>
      </w:pP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投标人名称    </w:t>
      </w:r>
      <w:r>
        <w:rPr>
          <w:rFonts w:hint="eastAsia" w:ascii="仿宋" w:hAnsi="仿宋" w:eastAsia="仿宋"/>
          <w:color w:val="000000"/>
          <w:sz w:val="28"/>
          <w:szCs w:val="28"/>
        </w:rPr>
        <w:t>）</w:t>
      </w:r>
      <w:r>
        <w:rPr>
          <w:rFonts w:hint="eastAsia" w:ascii="仿宋" w:hAnsi="仿宋" w:eastAsia="仿宋"/>
          <w:color w:val="000000"/>
          <w:sz w:val="28"/>
          <w:szCs w:val="28"/>
          <w:lang w:val="zh-CN"/>
        </w:rPr>
        <w:t>若成为</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项目名称     </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招标编号：   </w:t>
      </w:r>
      <w:r>
        <w:rPr>
          <w:rFonts w:hint="eastAsia" w:ascii="仿宋" w:hAnsi="仿宋" w:eastAsia="仿宋"/>
          <w:color w:val="000000"/>
          <w:sz w:val="28"/>
          <w:szCs w:val="28"/>
        </w:rPr>
        <w:t>）</w:t>
      </w:r>
      <w:r>
        <w:rPr>
          <w:rFonts w:hint="eastAsia" w:ascii="仿宋" w:hAnsi="仿宋" w:eastAsia="仿宋"/>
          <w:color w:val="000000"/>
          <w:sz w:val="28"/>
          <w:szCs w:val="28"/>
          <w:lang w:val="zh-CN"/>
        </w:rPr>
        <w:t>的中标供应商，将依法采取分包方式履行合同。</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投标人名称    </w:t>
      </w:r>
      <w:r>
        <w:rPr>
          <w:rFonts w:hint="eastAsia" w:ascii="仿宋" w:hAnsi="仿宋" w:eastAsia="仿宋"/>
          <w:color w:val="000000"/>
          <w:sz w:val="28"/>
          <w:szCs w:val="28"/>
        </w:rPr>
        <w:t>）与（</w:t>
      </w:r>
      <w:r>
        <w:rPr>
          <w:rFonts w:hint="eastAsia" w:ascii="仿宋" w:hAnsi="仿宋" w:eastAsia="仿宋"/>
          <w:color w:val="000000"/>
          <w:sz w:val="28"/>
          <w:szCs w:val="28"/>
          <w:u w:val="single"/>
        </w:rPr>
        <w:t xml:space="preserve">所有分包供应商名称    </w:t>
      </w:r>
      <w:r>
        <w:rPr>
          <w:rFonts w:hint="eastAsia" w:ascii="仿宋" w:hAnsi="仿宋" w:eastAsia="仿宋"/>
          <w:color w:val="000000"/>
          <w:sz w:val="28"/>
          <w:szCs w:val="28"/>
        </w:rPr>
        <w:t>）达成分包意向协议</w:t>
      </w:r>
      <w:r>
        <w:rPr>
          <w:rFonts w:hint="eastAsia" w:ascii="仿宋" w:hAnsi="仿宋" w:eastAsia="仿宋"/>
          <w:color w:val="000000"/>
          <w:sz w:val="28"/>
          <w:szCs w:val="28"/>
          <w:lang w:val="zh-CN"/>
        </w:rPr>
        <w:t xml:space="preserve">。 </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投标人名称    </w:t>
      </w:r>
      <w:r>
        <w:rPr>
          <w:rFonts w:hint="eastAsia" w:ascii="仿宋" w:hAnsi="仿宋" w:eastAsia="仿宋"/>
          <w:color w:val="000000"/>
          <w:sz w:val="28"/>
          <w:szCs w:val="28"/>
        </w:rPr>
        <w:t>）负责签署投标文件，（</w:t>
      </w:r>
      <w:r>
        <w:rPr>
          <w:rFonts w:hint="eastAsia" w:ascii="仿宋" w:hAnsi="仿宋" w:eastAsia="仿宋"/>
          <w:color w:val="000000"/>
          <w:sz w:val="28"/>
          <w:szCs w:val="28"/>
          <w:u w:val="single"/>
        </w:rPr>
        <w:t xml:space="preserve">投标人名称     </w:t>
      </w:r>
      <w:r>
        <w:rPr>
          <w:rFonts w:hint="eastAsia" w:ascii="仿宋" w:hAnsi="仿宋" w:eastAsia="仿宋"/>
          <w:color w:val="000000"/>
          <w:sz w:val="28"/>
          <w:szCs w:val="28"/>
        </w:rPr>
        <w:t>）的所有承诺均认为代表了（</w:t>
      </w:r>
      <w:r>
        <w:rPr>
          <w:rFonts w:hint="eastAsia" w:ascii="仿宋" w:hAnsi="仿宋" w:eastAsia="仿宋"/>
          <w:color w:val="000000"/>
          <w:sz w:val="28"/>
          <w:szCs w:val="28"/>
          <w:u w:val="single"/>
        </w:rPr>
        <w:t xml:space="preserve">所有分包供应商名称       </w:t>
      </w:r>
      <w:r>
        <w:rPr>
          <w:rFonts w:hint="eastAsia" w:ascii="仿宋" w:hAnsi="仿宋" w:eastAsia="仿宋"/>
          <w:color w:val="000000"/>
          <w:sz w:val="28"/>
          <w:szCs w:val="28"/>
        </w:rPr>
        <w:t>）意愿。</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二、分包标的及数量</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投标人名称     </w:t>
      </w:r>
      <w:r>
        <w:rPr>
          <w:rFonts w:hint="eastAsia" w:ascii="仿宋" w:hAnsi="仿宋" w:eastAsia="仿宋"/>
          <w:color w:val="000000"/>
          <w:sz w:val="28"/>
          <w:szCs w:val="28"/>
        </w:rPr>
        <w:t>）</w:t>
      </w:r>
      <w:r>
        <w:rPr>
          <w:rFonts w:hint="eastAsia" w:ascii="仿宋" w:hAnsi="仿宋" w:eastAsia="仿宋"/>
          <w:color w:val="000000"/>
          <w:sz w:val="28"/>
          <w:szCs w:val="28"/>
          <w:lang w:val="zh-CN"/>
        </w:rPr>
        <w:t>将</w:t>
      </w:r>
      <w:r>
        <w:rPr>
          <w:rFonts w:hint="eastAsia" w:ascii="仿宋" w:hAnsi="仿宋" w:eastAsia="仿宋"/>
          <w:color w:val="000000"/>
          <w:sz w:val="28"/>
          <w:szCs w:val="28"/>
          <w:u w:val="single"/>
        </w:rPr>
        <w:t xml:space="preserve">   工作内容   </w:t>
      </w:r>
      <w:r>
        <w:rPr>
          <w:rFonts w:hint="eastAsia" w:ascii="仿宋" w:hAnsi="仿宋" w:eastAsia="仿宋"/>
          <w:color w:val="000000"/>
          <w:sz w:val="28"/>
          <w:szCs w:val="28"/>
        </w:rPr>
        <w:t>分包给（</w:t>
      </w:r>
      <w:r>
        <w:rPr>
          <w:rFonts w:hint="eastAsia" w:ascii="仿宋" w:hAnsi="仿宋" w:eastAsia="仿宋"/>
          <w:color w:val="000000"/>
          <w:sz w:val="28"/>
          <w:szCs w:val="28"/>
          <w:u w:val="single"/>
        </w:rPr>
        <w:t xml:space="preserve">分包供应商名称      </w:t>
      </w:r>
      <w:r>
        <w:rPr>
          <w:rFonts w:hint="eastAsia" w:ascii="仿宋" w:hAnsi="仿宋" w:eastAsia="仿宋"/>
          <w:color w:val="000000"/>
          <w:sz w:val="28"/>
          <w:szCs w:val="28"/>
        </w:rPr>
        <w:t>）</w:t>
      </w:r>
      <w:r>
        <w:rPr>
          <w:rFonts w:hint="eastAsia" w:ascii="仿宋" w:hAnsi="仿宋" w:eastAsia="仿宋"/>
          <w:color w:val="000000"/>
          <w:sz w:val="28"/>
          <w:szCs w:val="28"/>
          <w:lang w:val="zh-CN"/>
        </w:rPr>
        <w:t>，</w:t>
      </w:r>
      <w:r>
        <w:rPr>
          <w:rFonts w:hint="eastAsia" w:ascii="仿宋" w:hAnsi="仿宋" w:eastAsia="仿宋"/>
          <w:color w:val="000000"/>
          <w:sz w:val="28"/>
          <w:szCs w:val="28"/>
        </w:rPr>
        <w:t>（</w:t>
      </w:r>
      <w:r>
        <w:rPr>
          <w:rFonts w:hint="eastAsia" w:ascii="仿宋" w:hAnsi="仿宋" w:eastAsia="仿宋"/>
          <w:color w:val="000000"/>
          <w:sz w:val="28"/>
          <w:szCs w:val="28"/>
          <w:u w:val="single"/>
        </w:rPr>
        <w:t xml:space="preserve">分包供应商名称       </w:t>
      </w:r>
      <w:r>
        <w:rPr>
          <w:rFonts w:hint="eastAsia" w:ascii="仿宋" w:hAnsi="仿宋" w:eastAsia="仿宋"/>
          <w:color w:val="000000"/>
          <w:sz w:val="28"/>
          <w:szCs w:val="28"/>
        </w:rPr>
        <w:t>），</w:t>
      </w:r>
      <w:r>
        <w:rPr>
          <w:rFonts w:hint="eastAsia" w:ascii="仿宋" w:hAnsi="仿宋" w:eastAsia="仿宋"/>
          <w:color w:val="000000"/>
          <w:sz w:val="28"/>
          <w:szCs w:val="28"/>
          <w:lang w:val="zh-CN"/>
        </w:rPr>
        <w:t>具备承</w:t>
      </w:r>
      <w:r>
        <w:rPr>
          <w:rFonts w:hint="eastAsia" w:ascii="仿宋" w:hAnsi="仿宋" w:eastAsia="仿宋"/>
          <w:color w:val="000000"/>
          <w:sz w:val="28"/>
          <w:szCs w:val="28"/>
        </w:rPr>
        <w:t>担</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zh-CN"/>
        </w:rPr>
        <w:t xml:space="preserve">工作内容  </w:t>
      </w:r>
      <w:r>
        <w:rPr>
          <w:rFonts w:hint="eastAsia" w:ascii="仿宋" w:hAnsi="仿宋" w:eastAsia="仿宋"/>
          <w:color w:val="000000"/>
          <w:sz w:val="28"/>
          <w:szCs w:val="28"/>
          <w:lang w:val="zh-CN"/>
        </w:rPr>
        <w:t>相应资质条件且不得再次分包；</w:t>
      </w:r>
    </w:p>
    <w:p>
      <w:pPr>
        <w:snapToGrid w:val="0"/>
        <w:spacing w:line="36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w:t>
      </w:r>
    </w:p>
    <w:p>
      <w:pPr>
        <w:snapToGrid w:val="0"/>
        <w:spacing w:line="360" w:lineRule="exact"/>
        <w:ind w:left="840"/>
        <w:rPr>
          <w:rFonts w:ascii="仿宋" w:hAnsi="仿宋" w:eastAsia="仿宋"/>
          <w:color w:val="000000"/>
          <w:sz w:val="28"/>
          <w:szCs w:val="28"/>
        </w:rPr>
      </w:pPr>
      <w:r>
        <w:rPr>
          <w:rFonts w:hint="eastAsia" w:ascii="仿宋" w:hAnsi="仿宋" w:eastAsia="仿宋"/>
          <w:color w:val="000000"/>
          <w:sz w:val="28"/>
          <w:szCs w:val="28"/>
          <w:lang w:val="zh-CN"/>
        </w:rPr>
        <w:t>三、分包工作履行期限、地点、方式</w:t>
      </w:r>
      <w:r>
        <w:rPr>
          <w:rFonts w:hint="eastAsia" w:ascii="仿宋" w:hAnsi="仿宋" w:eastAsia="仿宋"/>
          <w:color w:val="000000"/>
          <w:sz w:val="28"/>
          <w:szCs w:val="28"/>
        </w:rPr>
        <w:t xml:space="preserve"> </w:t>
      </w:r>
    </w:p>
    <w:p>
      <w:pPr>
        <w:snapToGrid w:val="0"/>
        <w:spacing w:line="360" w:lineRule="exact"/>
        <w:rPr>
          <w:rFonts w:ascii="仿宋" w:hAnsi="仿宋" w:eastAsia="仿宋"/>
          <w:color w:val="000000"/>
          <w:sz w:val="28"/>
          <w:szCs w:val="28"/>
          <w:u w:val="single"/>
        </w:rPr>
      </w:pPr>
      <w:r>
        <w:rPr>
          <w:rFonts w:hint="eastAsia" w:ascii="仿宋" w:hAnsi="仿宋" w:eastAsia="仿宋"/>
          <w:color w:val="000000"/>
          <w:sz w:val="28"/>
          <w:szCs w:val="28"/>
        </w:rPr>
        <w:t xml:space="preserve">      </w:t>
      </w:r>
      <w:r>
        <w:rPr>
          <w:rFonts w:hint="eastAsia" w:ascii="仿宋" w:hAnsi="仿宋" w:eastAsia="仿宋"/>
          <w:color w:val="000000"/>
          <w:sz w:val="28"/>
          <w:szCs w:val="28"/>
          <w:u w:val="single"/>
        </w:rPr>
        <w:t xml:space="preserve">                                                                         </w:t>
      </w:r>
    </w:p>
    <w:p>
      <w:pPr>
        <w:snapToGrid w:val="0"/>
        <w:spacing w:line="360" w:lineRule="exact"/>
        <w:ind w:left="840"/>
        <w:rPr>
          <w:rFonts w:ascii="仿宋" w:hAnsi="仿宋" w:eastAsia="仿宋"/>
          <w:color w:val="000000"/>
          <w:sz w:val="28"/>
          <w:szCs w:val="28"/>
          <w:lang w:val="zh-CN"/>
        </w:rPr>
      </w:pPr>
      <w:r>
        <w:rPr>
          <w:rFonts w:hint="eastAsia" w:ascii="仿宋" w:hAnsi="仿宋" w:eastAsia="仿宋"/>
          <w:color w:val="000000"/>
          <w:sz w:val="28"/>
          <w:szCs w:val="28"/>
          <w:lang w:val="zh-CN"/>
        </w:rPr>
        <w:t xml:space="preserve">四、质量 </w:t>
      </w:r>
    </w:p>
    <w:p>
      <w:pPr>
        <w:snapToGrid w:val="0"/>
        <w:spacing w:line="360" w:lineRule="exact"/>
        <w:ind w:left="630" w:leftChars="300"/>
        <w:rPr>
          <w:rFonts w:ascii="仿宋" w:hAnsi="仿宋" w:eastAsia="仿宋"/>
          <w:color w:val="000000"/>
          <w:sz w:val="28"/>
          <w:szCs w:val="28"/>
          <w:u w:val="single"/>
          <w:lang w:val="zh-CN"/>
        </w:rPr>
      </w:pPr>
      <w:r>
        <w:rPr>
          <w:rFonts w:hint="eastAsia" w:ascii="仿宋" w:hAnsi="仿宋" w:eastAsia="仿宋"/>
          <w:color w:val="000000"/>
          <w:sz w:val="28"/>
          <w:szCs w:val="28"/>
        </w:rPr>
        <w:t xml:space="preserve">  </w:t>
      </w:r>
      <w:r>
        <w:rPr>
          <w:rFonts w:hint="eastAsia" w:ascii="仿宋" w:hAnsi="仿宋" w:eastAsia="仿宋"/>
          <w:color w:val="000000"/>
          <w:sz w:val="28"/>
          <w:szCs w:val="28"/>
          <w:u w:val="single"/>
        </w:rPr>
        <w:t xml:space="preserve">                                                                                   </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五、价款或者报酬</w:t>
      </w:r>
    </w:p>
    <w:p>
      <w:pPr>
        <w:snapToGrid w:val="0"/>
        <w:spacing w:line="360" w:lineRule="exact"/>
        <w:ind w:firstLine="840" w:firstLineChars="300"/>
        <w:rPr>
          <w:rFonts w:ascii="仿宋" w:hAnsi="仿宋" w:eastAsia="仿宋"/>
          <w:color w:val="000000"/>
          <w:sz w:val="28"/>
          <w:szCs w:val="28"/>
          <w:u w:val="single"/>
          <w:lang w:val="zh-CN"/>
        </w:rPr>
      </w:pPr>
      <w:r>
        <w:rPr>
          <w:rFonts w:hint="eastAsia" w:ascii="仿宋" w:hAnsi="仿宋" w:eastAsia="仿宋"/>
          <w:color w:val="000000"/>
          <w:sz w:val="28"/>
          <w:szCs w:val="28"/>
          <w:u w:val="single"/>
        </w:rPr>
        <w:t xml:space="preserve">                                                                                     </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六、违约责任</w:t>
      </w:r>
    </w:p>
    <w:p>
      <w:pPr>
        <w:snapToGrid w:val="0"/>
        <w:spacing w:line="360" w:lineRule="exact"/>
        <w:ind w:firstLine="840" w:firstLineChars="300"/>
        <w:rPr>
          <w:rFonts w:ascii="仿宋" w:hAnsi="仿宋" w:eastAsia="仿宋"/>
          <w:color w:val="000000"/>
          <w:sz w:val="28"/>
          <w:szCs w:val="28"/>
          <w:u w:val="single"/>
          <w:lang w:val="zh-CN"/>
        </w:rPr>
      </w:pPr>
      <w:r>
        <w:rPr>
          <w:rFonts w:hint="eastAsia" w:ascii="仿宋" w:hAnsi="仿宋" w:eastAsia="仿宋"/>
          <w:color w:val="000000"/>
          <w:sz w:val="28"/>
          <w:szCs w:val="28"/>
          <w:u w:val="single"/>
        </w:rPr>
        <w:t xml:space="preserve">                                                                                     </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 xml:space="preserve">七、争议解决的办法 </w:t>
      </w:r>
    </w:p>
    <w:p>
      <w:pPr>
        <w:snapToGrid w:val="0"/>
        <w:spacing w:line="360" w:lineRule="exact"/>
        <w:rPr>
          <w:rFonts w:ascii="仿宋" w:hAnsi="仿宋" w:eastAsia="仿宋"/>
          <w:color w:val="000000"/>
          <w:sz w:val="28"/>
          <w:szCs w:val="28"/>
          <w:u w:val="single"/>
          <w:lang w:val="zh-CN"/>
        </w:rPr>
      </w:pPr>
      <w:r>
        <w:rPr>
          <w:rFonts w:hint="eastAsia" w:ascii="仿宋" w:hAnsi="仿宋" w:eastAsia="仿宋"/>
          <w:color w:val="000000"/>
          <w:sz w:val="28"/>
          <w:szCs w:val="28"/>
        </w:rPr>
        <w:t xml:space="preserve">      </w:t>
      </w:r>
      <w:r>
        <w:rPr>
          <w:rFonts w:hint="eastAsia" w:ascii="仿宋" w:hAnsi="仿宋" w:eastAsia="仿宋"/>
          <w:color w:val="000000"/>
          <w:sz w:val="28"/>
          <w:szCs w:val="28"/>
          <w:u w:val="single"/>
        </w:rPr>
        <w:t xml:space="preserve">                                                                         </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八、其他</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（分包供应商名称</w:t>
      </w:r>
      <w:r>
        <w:rPr>
          <w:rFonts w:hint="eastAsia" w:ascii="仿宋" w:hAnsi="仿宋" w:eastAsia="仿宋"/>
          <w:color w:val="000000"/>
          <w:sz w:val="28"/>
          <w:szCs w:val="28"/>
          <w:u w:val="single"/>
          <w:lang w:val="zh-CN"/>
        </w:rPr>
        <w:t xml:space="preserve">       </w:t>
      </w:r>
      <w:r>
        <w:rPr>
          <w:rFonts w:hint="eastAsia" w:ascii="仿宋" w:hAnsi="仿宋" w:eastAsia="仿宋"/>
          <w:color w:val="000000"/>
          <w:sz w:val="28"/>
          <w:szCs w:val="28"/>
          <w:lang w:val="zh-CN"/>
        </w:rPr>
        <w:t>）的合同份额占到合同总金额</w:t>
      </w:r>
      <w:r>
        <w:rPr>
          <w:rFonts w:hint="eastAsia" w:ascii="仿宋" w:hAnsi="仿宋" w:eastAsia="仿宋"/>
          <w:color w:val="000000"/>
          <w:sz w:val="28"/>
          <w:szCs w:val="28"/>
          <w:u w:val="single"/>
          <w:lang w:val="zh-CN"/>
        </w:rPr>
        <w:t xml:space="preserve">     </w:t>
      </w:r>
      <w:r>
        <w:rPr>
          <w:rFonts w:hint="eastAsia" w:ascii="仿宋" w:hAnsi="仿宋" w:eastAsia="仿宋"/>
          <w:color w:val="000000"/>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 xml:space="preserve">   </w:t>
      </w: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rPr>
        <w:t>投标人名称</w:t>
      </w:r>
      <w:r>
        <w:rPr>
          <w:rFonts w:hint="eastAsia" w:ascii="仿宋" w:hAnsi="仿宋" w:eastAsia="仿宋"/>
          <w:color w:val="000000"/>
          <w:sz w:val="28"/>
          <w:szCs w:val="28"/>
          <w:lang w:val="zh-CN"/>
        </w:rPr>
        <w:t>(</w:t>
      </w:r>
      <w:r>
        <w:rPr>
          <w:rFonts w:hint="eastAsia" w:ascii="仿宋" w:hAnsi="仿宋" w:eastAsia="仿宋"/>
          <w:color w:val="000000"/>
          <w:sz w:val="28"/>
          <w:szCs w:val="28"/>
        </w:rPr>
        <w:t>盖公章</w:t>
      </w:r>
      <w:r>
        <w:rPr>
          <w:rFonts w:hint="eastAsia" w:ascii="仿宋" w:hAnsi="仿宋" w:eastAsia="仿宋"/>
          <w:color w:val="000000"/>
          <w:sz w:val="28"/>
          <w:szCs w:val="28"/>
          <w:lang w:val="zh-CN"/>
        </w:rPr>
        <w:t>)：</w:t>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p>
    <w:p>
      <w:pPr>
        <w:snapToGrid w:val="0"/>
        <w:spacing w:line="360" w:lineRule="exact"/>
        <w:ind w:firstLine="840" w:firstLineChars="300"/>
        <w:rPr>
          <w:rFonts w:ascii="仿宋" w:hAnsi="仿宋" w:eastAsia="仿宋"/>
          <w:color w:val="000000"/>
          <w:sz w:val="28"/>
          <w:szCs w:val="28"/>
          <w:lang w:val="zh-CN"/>
        </w:rPr>
      </w:pPr>
    </w:p>
    <w:p>
      <w:pPr>
        <w:snapToGrid w:val="0"/>
        <w:spacing w:line="360" w:lineRule="exact"/>
        <w:ind w:firstLine="840" w:firstLineChars="300"/>
        <w:rPr>
          <w:rFonts w:ascii="仿宋" w:hAnsi="仿宋" w:eastAsia="仿宋"/>
          <w:color w:val="000000"/>
          <w:sz w:val="28"/>
          <w:szCs w:val="28"/>
          <w:lang w:val="zh-CN"/>
        </w:rPr>
      </w:pPr>
      <w:r>
        <w:rPr>
          <w:rFonts w:hint="eastAsia" w:ascii="仿宋" w:hAnsi="仿宋" w:eastAsia="仿宋"/>
          <w:color w:val="000000"/>
          <w:sz w:val="28"/>
          <w:szCs w:val="28"/>
          <w:lang w:val="zh-CN"/>
        </w:rPr>
        <w:t>分包供应商名称（</w:t>
      </w:r>
      <w:r>
        <w:rPr>
          <w:rFonts w:hint="eastAsia" w:ascii="仿宋" w:hAnsi="仿宋" w:eastAsia="仿宋"/>
          <w:color w:val="000000"/>
          <w:sz w:val="28"/>
          <w:szCs w:val="28"/>
        </w:rPr>
        <w:t>盖公章</w:t>
      </w:r>
      <w:r>
        <w:rPr>
          <w:rFonts w:hint="eastAsia" w:ascii="仿宋" w:hAnsi="仿宋" w:eastAsia="仿宋"/>
          <w:color w:val="000000"/>
          <w:sz w:val="28"/>
          <w:szCs w:val="28"/>
          <w:lang w:val="zh-CN"/>
        </w:rPr>
        <w:t>）：</w:t>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r>
        <w:rPr>
          <w:rFonts w:hint="eastAsia" w:ascii="仿宋" w:hAnsi="仿宋" w:eastAsia="仿宋"/>
          <w:color w:val="000000"/>
          <w:sz w:val="28"/>
          <w:szCs w:val="28"/>
          <w:u w:val="single"/>
          <w:lang w:val="zh-CN"/>
        </w:rPr>
        <w:tab/>
      </w:r>
    </w:p>
    <w:p>
      <w:pPr>
        <w:snapToGrid w:val="0"/>
        <w:spacing w:line="360" w:lineRule="exact"/>
        <w:ind w:firstLine="840" w:firstLineChars="300"/>
        <w:rPr>
          <w:rFonts w:ascii="仿宋" w:hAnsi="仿宋" w:eastAsia="仿宋"/>
          <w:color w:val="000000"/>
          <w:sz w:val="28"/>
          <w:szCs w:val="28"/>
        </w:rPr>
      </w:pPr>
      <w:r>
        <w:rPr>
          <w:rFonts w:hint="eastAsia" w:ascii="仿宋" w:hAnsi="仿宋" w:eastAsia="仿宋"/>
          <w:color w:val="000000"/>
          <w:sz w:val="28"/>
          <w:szCs w:val="28"/>
          <w:lang w:val="zh-CN"/>
        </w:rPr>
        <w:t>……</w:t>
      </w:r>
    </w:p>
    <w:p>
      <w:pPr>
        <w:snapToGrid w:val="0"/>
        <w:spacing w:line="400" w:lineRule="exact"/>
        <w:ind w:firstLine="840" w:firstLineChars="300"/>
        <w:rPr>
          <w:color w:val="000000"/>
        </w:rPr>
      </w:pPr>
      <w:r>
        <w:rPr>
          <w:rFonts w:hint="eastAsia" w:ascii="仿宋" w:hAnsi="仿宋" w:eastAsia="仿宋"/>
          <w:color w:val="000000"/>
          <w:sz w:val="28"/>
          <w:szCs w:val="28"/>
          <w:lang w:val="zh-CN"/>
        </w:rPr>
        <w:t xml:space="preserve">                                 日期：</w:t>
      </w:r>
      <w:r>
        <w:rPr>
          <w:rFonts w:hint="eastAsia" w:ascii="仿宋" w:hAnsi="仿宋" w:eastAsia="仿宋"/>
          <w:color w:val="000000"/>
          <w:sz w:val="28"/>
          <w:szCs w:val="28"/>
          <w:u w:val="single"/>
          <w:lang w:val="zh-CN"/>
        </w:rPr>
        <w:t xml:space="preserve">  年  月   日</w:t>
      </w:r>
    </w:p>
    <w:p>
      <w:pPr>
        <w:snapToGrid w:val="0"/>
        <w:spacing w:before="50" w:after="50"/>
        <w:jc w:val="left"/>
        <w:rPr>
          <w:rFonts w:ascii="仿宋" w:hAnsi="仿宋" w:eastAsia="仿宋"/>
          <w:color w:val="000000"/>
          <w:sz w:val="30"/>
          <w:szCs w:val="30"/>
        </w:rPr>
      </w:pPr>
      <w:r>
        <w:rPr>
          <w:rFonts w:hint="eastAsia" w:ascii="仿宋" w:hAnsi="仿宋" w:eastAsia="仿宋"/>
          <w:color w:val="000000"/>
          <w:sz w:val="30"/>
          <w:szCs w:val="30"/>
        </w:rPr>
        <w:t>附件7：</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中小企业声明函（货物）</w:t>
      </w:r>
    </w:p>
    <w:p>
      <w:pPr>
        <w:snapToGrid w:val="0"/>
        <w:spacing w:line="360" w:lineRule="auto"/>
        <w:rPr>
          <w:rFonts w:ascii="仿宋" w:hAnsi="仿宋" w:eastAsia="仿宋"/>
          <w:color w:val="000000"/>
          <w:sz w:val="28"/>
          <w:szCs w:val="28"/>
        </w:rPr>
      </w:pP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本公司（联合体）郑重声明，根据《政府采购促进中小企业发展管理办法》（财库﹝2020﹞46 号）的规定，本公司（联合体）参加</w:t>
      </w:r>
      <w:r>
        <w:rPr>
          <w:rFonts w:hint="eastAsia" w:ascii="仿宋" w:hAnsi="仿宋" w:eastAsia="仿宋"/>
          <w:color w:val="000000"/>
          <w:sz w:val="28"/>
          <w:szCs w:val="28"/>
          <w:u w:val="single"/>
        </w:rPr>
        <w:t>（单位名称）</w:t>
      </w:r>
      <w:r>
        <w:rPr>
          <w:rFonts w:hint="eastAsia" w:ascii="仿宋" w:hAnsi="仿宋" w:eastAsia="仿宋"/>
          <w:color w:val="000000"/>
          <w:sz w:val="28"/>
          <w:szCs w:val="28"/>
        </w:rPr>
        <w:t>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，属于</w:t>
      </w:r>
      <w:r>
        <w:rPr>
          <w:rFonts w:hint="eastAsia" w:ascii="仿宋" w:hAnsi="仿宋" w:eastAsia="仿宋"/>
          <w:color w:val="000000"/>
          <w:sz w:val="28"/>
          <w:szCs w:val="28"/>
          <w:u w:val="single"/>
        </w:rPr>
        <w:t>（采购文件中明确的所属行业） 行业</w:t>
      </w:r>
      <w:r>
        <w:rPr>
          <w:rFonts w:hint="eastAsia" w:ascii="仿宋" w:hAnsi="仿宋" w:eastAsia="仿宋"/>
          <w:color w:val="000000"/>
          <w:sz w:val="28"/>
          <w:szCs w:val="28"/>
        </w:rPr>
        <w:t>；制造商为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w:t>
      </w:r>
      <w:r>
        <w:rPr>
          <w:rFonts w:hint="eastAsia" w:ascii="仿宋" w:hAnsi="仿宋" w:eastAsia="仿宋"/>
          <w:color w:val="000000"/>
          <w:sz w:val="28"/>
          <w:szCs w:val="28"/>
          <w:vertAlign w:val="superscript"/>
        </w:rPr>
        <w:t xml:space="preserve"> 1</w:t>
      </w:r>
      <w:r>
        <w:rPr>
          <w:rFonts w:hint="eastAsia" w:ascii="仿宋" w:hAnsi="仿宋" w:eastAsia="仿宋"/>
          <w:color w:val="000000"/>
          <w:sz w:val="28"/>
          <w:szCs w:val="28"/>
        </w:rPr>
        <w:t>，属于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2.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 xml:space="preserve">采购文件中明确的所属行业） </w:t>
      </w:r>
      <w:r>
        <w:rPr>
          <w:rFonts w:hint="eastAsia" w:ascii="仿宋" w:hAnsi="仿宋" w:eastAsia="仿宋"/>
          <w:color w:val="000000"/>
          <w:sz w:val="28"/>
          <w:szCs w:val="28"/>
        </w:rPr>
        <w:t>行业；制造商为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sz w:val="28"/>
          <w:szCs w:val="28"/>
          <w:u w:val="single"/>
        </w:rPr>
      </w:pPr>
      <w:r>
        <w:rPr>
          <w:rFonts w:hint="eastAsia" w:ascii="仿宋" w:hAnsi="仿宋" w:eastAsia="仿宋"/>
          <w:color w:val="000000"/>
          <w:sz w:val="28"/>
          <w:szCs w:val="28"/>
        </w:rPr>
        <w:t>投标人名称（盖章）：</w:t>
      </w:r>
      <w:r>
        <w:rPr>
          <w:rFonts w:hint="eastAsia" w:ascii="仿宋" w:hAnsi="仿宋" w:eastAsia="仿宋"/>
          <w:color w:val="000000"/>
          <w:sz w:val="28"/>
          <w:szCs w:val="28"/>
          <w:u w:val="single"/>
        </w:rPr>
        <w:t xml:space="preserve">         </w:t>
      </w:r>
    </w:p>
    <w:p>
      <w:pPr>
        <w:wordWrap w:val="0"/>
        <w:snapToGrid w:val="0"/>
        <w:spacing w:line="360" w:lineRule="auto"/>
        <w:ind w:right="1120"/>
        <w:jc w:val="right"/>
        <w:rPr>
          <w:rFonts w:ascii="仿宋" w:hAnsi="仿宋" w:eastAsia="仿宋"/>
          <w:color w:val="000000"/>
          <w:sz w:val="28"/>
          <w:szCs w:val="28"/>
          <w:u w:val="single"/>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p>
    <w:p>
      <w:pPr>
        <w:pStyle w:val="31"/>
        <w:spacing w:before="120" w:after="120" w:line="360" w:lineRule="auto"/>
        <w:rPr>
          <w:rFonts w:ascii="Times New Roman" w:hAnsi="Times New Roman"/>
          <w:b/>
          <w:color w:val="000000"/>
        </w:rPr>
      </w:pPr>
      <w:r>
        <w:rPr>
          <w:rFonts w:ascii="Times New Roman" w:eastAsia="Times New Roman"/>
          <w:color w:val="000000"/>
          <w:position w:val="6"/>
          <w:sz w:val="11"/>
        </w:rPr>
        <w:t>1</w:t>
      </w:r>
      <w:r>
        <w:rPr>
          <w:rFonts w:hint="eastAsia"/>
          <w:color w:val="000000"/>
          <w:sz w:val="18"/>
        </w:rPr>
        <w:t>从业人员、营业收入、资产总额填报上一年度数据，无上一年度数据的新成立企业可不填报。</w:t>
      </w:r>
    </w:p>
    <w:p>
      <w:pPr>
        <w:snapToGrid w:val="0"/>
        <w:spacing w:line="360" w:lineRule="auto"/>
        <w:jc w:val="right"/>
        <w:rPr>
          <w:rFonts w:ascii="仿宋" w:hAnsi="仿宋" w:eastAsia="仿宋"/>
          <w:color w:val="000000"/>
          <w:sz w:val="28"/>
          <w:szCs w:val="28"/>
        </w:rPr>
      </w:pPr>
    </w:p>
    <w:p>
      <w:pPr>
        <w:widowControl/>
        <w:jc w:val="left"/>
        <w:rPr>
          <w:rFonts w:ascii="仿宋" w:hAnsi="仿宋" w:eastAsia="仿宋"/>
          <w:b/>
          <w:color w:val="000000"/>
          <w:sz w:val="36"/>
          <w:szCs w:val="36"/>
        </w:rPr>
      </w:pPr>
      <w:r>
        <w:rPr>
          <w:rFonts w:hint="eastAsia" w:ascii="仿宋" w:hAnsi="仿宋" w:eastAsia="仿宋"/>
          <w:b/>
          <w:color w:val="000000"/>
          <w:kern w:val="0"/>
          <w:sz w:val="36"/>
          <w:szCs w:val="36"/>
        </w:rPr>
        <w:br w:type="page"/>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中小企业声明函（工程、服务）</w:t>
      </w:r>
    </w:p>
    <w:p>
      <w:pPr>
        <w:snapToGrid w:val="0"/>
        <w:spacing w:line="312" w:lineRule="auto"/>
        <w:ind w:firstLine="560" w:firstLineChars="200"/>
        <w:rPr>
          <w:rFonts w:ascii="仿宋" w:hAnsi="仿宋" w:eastAsia="仿宋"/>
          <w:color w:val="000000"/>
          <w:sz w:val="28"/>
          <w:szCs w:val="28"/>
        </w:rPr>
      </w:pP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本公司（联合体）郑重声明，根据《政府采购促进中小企业发展管理办法》（财库﹝2020﹞46 号）的规定，本公司（联合体）参加</w:t>
      </w:r>
      <w:r>
        <w:rPr>
          <w:rFonts w:hint="eastAsia" w:ascii="仿宋" w:hAnsi="仿宋" w:eastAsia="仿宋"/>
          <w:color w:val="000000"/>
          <w:sz w:val="28"/>
          <w:szCs w:val="28"/>
          <w:u w:val="single"/>
        </w:rPr>
        <w:t>（单位名称）</w:t>
      </w:r>
      <w:r>
        <w:rPr>
          <w:rFonts w:hint="eastAsia" w:ascii="仿宋" w:hAnsi="仿宋" w:eastAsia="仿宋"/>
          <w:color w:val="000000"/>
          <w:sz w:val="28"/>
          <w:szCs w:val="28"/>
        </w:rPr>
        <w:t>的</w:t>
      </w:r>
      <w:r>
        <w:rPr>
          <w:rFonts w:hint="eastAsia" w:ascii="仿宋" w:hAnsi="仿宋" w:eastAsia="仿宋"/>
          <w:color w:val="000000"/>
          <w:sz w:val="28"/>
          <w:szCs w:val="28"/>
          <w:u w:val="single"/>
        </w:rPr>
        <w:t>（项目名称）</w:t>
      </w:r>
      <w:r>
        <w:rPr>
          <w:rFonts w:hint="eastAsia" w:ascii="仿宋" w:hAnsi="仿宋" w:eastAsia="仿宋"/>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 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w:t>
      </w:r>
      <w:r>
        <w:rPr>
          <w:rFonts w:hint="eastAsia" w:ascii="仿宋" w:hAnsi="仿宋" w:eastAsia="仿宋"/>
          <w:color w:val="000000"/>
          <w:sz w:val="28"/>
          <w:szCs w:val="28"/>
          <w:vertAlign w:val="superscript"/>
        </w:rPr>
        <w:t xml:space="preserve"> 1</w:t>
      </w:r>
      <w:r>
        <w:rPr>
          <w:rFonts w:hint="eastAsia" w:ascii="仿宋" w:hAnsi="仿宋" w:eastAsia="仿宋"/>
          <w:color w:val="000000"/>
          <w:sz w:val="28"/>
          <w:szCs w:val="28"/>
        </w:rPr>
        <w:t>，属于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pPr>
        <w:snapToGrid w:val="0"/>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2. </w:t>
      </w:r>
      <w:r>
        <w:rPr>
          <w:rFonts w:hint="eastAsia" w:ascii="仿宋" w:hAnsi="仿宋" w:eastAsia="仿宋"/>
          <w:color w:val="000000"/>
          <w:sz w:val="28"/>
          <w:szCs w:val="28"/>
          <w:u w:val="single"/>
        </w:rPr>
        <w:t>（标的名称）</w:t>
      </w:r>
      <w:r>
        <w:rPr>
          <w:rFonts w:hint="eastAsia" w:ascii="仿宋" w:hAnsi="仿宋" w:eastAsia="仿宋"/>
          <w:color w:val="000000"/>
          <w:sz w:val="28"/>
          <w:szCs w:val="28"/>
        </w:rPr>
        <w:t xml:space="preserve"> ，属于</w:t>
      </w:r>
      <w:r>
        <w:rPr>
          <w:rFonts w:hint="eastAsia" w:ascii="仿宋" w:hAnsi="仿宋" w:eastAsia="仿宋"/>
          <w:color w:val="000000"/>
          <w:sz w:val="28"/>
          <w:szCs w:val="28"/>
          <w:u w:val="single"/>
        </w:rPr>
        <w:t>（采购文件中明确的所属行业）</w:t>
      </w:r>
      <w:r>
        <w:rPr>
          <w:rFonts w:hint="eastAsia" w:ascii="仿宋" w:hAnsi="仿宋" w:eastAsia="仿宋"/>
          <w:color w:val="000000"/>
          <w:sz w:val="28"/>
          <w:szCs w:val="28"/>
        </w:rPr>
        <w:t>；承建（承接）企业为</w:t>
      </w:r>
      <w:r>
        <w:rPr>
          <w:rFonts w:hint="eastAsia" w:ascii="仿宋" w:hAnsi="仿宋" w:eastAsia="仿宋"/>
          <w:color w:val="000000"/>
          <w:sz w:val="28"/>
          <w:szCs w:val="28"/>
          <w:u w:val="single"/>
        </w:rPr>
        <w:t>（企业名称）</w:t>
      </w:r>
      <w:r>
        <w:rPr>
          <w:rFonts w:hint="eastAsia" w:ascii="仿宋" w:hAnsi="仿宋" w:eastAsia="仿宋"/>
          <w:color w:val="000000"/>
          <w:sz w:val="28"/>
          <w:szCs w:val="28"/>
        </w:rPr>
        <w:t>，从业人员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人，营业收入为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万元，资产总额为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万元，属于</w:t>
      </w:r>
      <w:r>
        <w:rPr>
          <w:rFonts w:hint="eastAsia" w:ascii="仿宋" w:hAnsi="仿宋" w:eastAsia="仿宋"/>
          <w:color w:val="000000"/>
          <w:sz w:val="28"/>
          <w:szCs w:val="28"/>
          <w:u w:val="single"/>
        </w:rPr>
        <w:t>（中型企业、小型企业、微型企业）</w:t>
      </w:r>
      <w:r>
        <w:rPr>
          <w:rFonts w:hint="eastAsia" w:ascii="仿宋" w:hAnsi="仿宋" w:eastAsia="仿宋"/>
          <w:color w:val="000000"/>
          <w:sz w:val="28"/>
          <w:szCs w:val="28"/>
        </w:rPr>
        <w:t xml:space="preserve">；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 </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color w:val="000000"/>
          <w:sz w:val="28"/>
          <w:szCs w:val="28"/>
        </w:rPr>
      </w:pPr>
      <w:r>
        <w:rPr>
          <w:rFonts w:hint="eastAsia" w:ascii="仿宋" w:hAnsi="仿宋" w:eastAsia="仿宋"/>
          <w:color w:val="000000"/>
          <w:sz w:val="28"/>
          <w:szCs w:val="28"/>
        </w:rPr>
        <w:t>投标人名称（盖章）：</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w:t>
      </w:r>
    </w:p>
    <w:p>
      <w:pPr>
        <w:snapToGrid w:val="0"/>
        <w:spacing w:line="312" w:lineRule="auto"/>
        <w:ind w:firstLine="4620" w:firstLineChars="1650"/>
        <w:rPr>
          <w:rFonts w:ascii="仿宋" w:hAnsi="仿宋" w:eastAsia="仿宋"/>
          <w:color w:val="000000"/>
          <w:sz w:val="28"/>
          <w:szCs w:val="28"/>
          <w:u w:val="single"/>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p>
    <w:p>
      <w:pPr>
        <w:pStyle w:val="31"/>
        <w:spacing w:before="120" w:after="120" w:line="360" w:lineRule="auto"/>
        <w:rPr>
          <w:rFonts w:ascii="Times New Roman" w:hAnsi="Times New Roman"/>
          <w:b/>
          <w:color w:val="000000"/>
        </w:rPr>
      </w:pPr>
      <w:r>
        <w:rPr>
          <w:rFonts w:ascii="Times New Roman" w:eastAsia="Times New Roman"/>
          <w:color w:val="000000"/>
          <w:position w:val="6"/>
          <w:sz w:val="11"/>
        </w:rPr>
        <w:t>1</w:t>
      </w:r>
      <w:r>
        <w:rPr>
          <w:rFonts w:hint="eastAsia"/>
          <w:color w:val="000000"/>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color w:val="000000"/>
          <w:sz w:val="28"/>
          <w:szCs w:val="28"/>
        </w:rPr>
      </w:pPr>
    </w:p>
    <w:p>
      <w:pPr>
        <w:snapToGrid w:val="0"/>
        <w:spacing w:line="312" w:lineRule="auto"/>
        <w:ind w:firstLine="753" w:firstLineChars="250"/>
        <w:jc w:val="center"/>
        <w:rPr>
          <w:rFonts w:ascii="仿宋" w:hAnsi="仿宋" w:eastAsia="仿宋"/>
          <w:b/>
          <w:color w:val="000000"/>
          <w:sz w:val="30"/>
          <w:szCs w:val="30"/>
        </w:rPr>
      </w:pPr>
    </w:p>
    <w:p>
      <w:pPr>
        <w:jc w:val="left"/>
        <w:rPr>
          <w:rFonts w:ascii="仿宋" w:hAnsi="仿宋" w:eastAsia="仿宋"/>
          <w:color w:val="000000"/>
          <w:sz w:val="30"/>
          <w:szCs w:val="30"/>
        </w:rPr>
      </w:pPr>
    </w:p>
    <w:p>
      <w:pPr>
        <w:jc w:val="left"/>
        <w:rPr>
          <w:rFonts w:hint="eastAsia" w:ascii="仿宋" w:hAnsi="仿宋" w:eastAsia="仿宋"/>
          <w:color w:val="000000"/>
          <w:sz w:val="30"/>
          <w:szCs w:val="30"/>
        </w:rPr>
      </w:pPr>
    </w:p>
    <w:p>
      <w:pPr>
        <w:jc w:val="left"/>
        <w:rPr>
          <w:rFonts w:hint="eastAsia" w:ascii="仿宋" w:hAnsi="仿宋" w:eastAsia="仿宋"/>
          <w:color w:val="000000"/>
          <w:sz w:val="30"/>
          <w:szCs w:val="30"/>
        </w:rPr>
      </w:pPr>
    </w:p>
    <w:p>
      <w:pPr>
        <w:jc w:val="left"/>
        <w:rPr>
          <w:rFonts w:ascii="仿宋" w:hAnsi="仿宋" w:eastAsia="仿宋"/>
          <w:color w:val="000000"/>
        </w:rPr>
      </w:pPr>
      <w:r>
        <w:rPr>
          <w:rFonts w:hint="eastAsia" w:ascii="仿宋" w:hAnsi="仿宋" w:eastAsia="仿宋"/>
          <w:color w:val="000000"/>
          <w:sz w:val="30"/>
          <w:szCs w:val="30"/>
        </w:rPr>
        <w:t>附件8：</w:t>
      </w:r>
    </w:p>
    <w:p>
      <w:pPr>
        <w:rPr>
          <w:rFonts w:ascii="仿宋" w:hAnsi="仿宋" w:eastAsia="仿宋"/>
          <w:color w:val="000000"/>
        </w:rPr>
      </w:pPr>
    </w:p>
    <w:p>
      <w:pPr>
        <w:spacing w:line="588" w:lineRule="exact"/>
        <w:jc w:val="center"/>
        <w:rPr>
          <w:rFonts w:ascii="仿宋_GB2312" w:eastAsia="仿宋_GB2312"/>
          <w:b/>
          <w:color w:val="000000"/>
          <w:spacing w:val="6"/>
          <w:sz w:val="32"/>
          <w:szCs w:val="32"/>
        </w:rPr>
      </w:pPr>
      <w:r>
        <w:rPr>
          <w:rFonts w:hint="eastAsia" w:ascii="仿宋_GB2312" w:eastAsia="仿宋_GB2312"/>
          <w:b/>
          <w:color w:val="000000"/>
          <w:spacing w:val="6"/>
          <w:sz w:val="32"/>
          <w:szCs w:val="32"/>
        </w:rPr>
        <w:t>残疾人福利性单位声明函</w:t>
      </w:r>
    </w:p>
    <w:p>
      <w:pPr>
        <w:spacing w:line="588" w:lineRule="exact"/>
        <w:rPr>
          <w:rFonts w:ascii="仿宋_GB2312" w:eastAsia="仿宋_GB2312"/>
          <w:b/>
          <w:color w:val="000000"/>
          <w:spacing w:val="6"/>
          <w:sz w:val="30"/>
          <w:szCs w:val="30"/>
        </w:rPr>
      </w:pPr>
    </w:p>
    <w:p>
      <w:pPr>
        <w:snapToGrid w:val="0"/>
        <w:spacing w:line="360" w:lineRule="auto"/>
        <w:ind w:firstLine="840" w:firstLineChars="300"/>
        <w:rPr>
          <w:rFonts w:ascii="仿宋" w:hAnsi="仿宋" w:eastAsia="仿宋"/>
          <w:color w:val="000000"/>
          <w:sz w:val="28"/>
          <w:szCs w:val="28"/>
        </w:rPr>
      </w:pPr>
      <w:r>
        <w:rPr>
          <w:rFonts w:hint="eastAsia" w:ascii="仿宋" w:hAnsi="仿宋" w:eastAsia="仿宋"/>
          <w:color w:val="000000"/>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本单位对上述声明的真实性负责。如有虚假，将依法承担相应责任。</w:t>
      </w:r>
    </w:p>
    <w:p>
      <w:pPr>
        <w:snapToGrid w:val="0"/>
        <w:spacing w:line="360" w:lineRule="auto"/>
        <w:ind w:firstLine="560" w:firstLineChars="200"/>
        <w:rPr>
          <w:rFonts w:ascii="仿宋" w:hAnsi="仿宋" w:eastAsia="仿宋"/>
          <w:color w:val="000000"/>
          <w:sz w:val="28"/>
          <w:szCs w:val="28"/>
        </w:rPr>
      </w:pPr>
    </w:p>
    <w:p>
      <w:pPr>
        <w:spacing w:line="588" w:lineRule="exact"/>
        <w:ind w:firstLine="624" w:firstLineChars="200"/>
        <w:rPr>
          <w:rFonts w:ascii="仿宋_GB2312" w:eastAsia="仿宋_GB2312"/>
          <w:color w:val="000000"/>
          <w:spacing w:val="6"/>
          <w:sz w:val="30"/>
          <w:szCs w:val="30"/>
        </w:rPr>
      </w:pPr>
    </w:p>
    <w:p>
      <w:pPr>
        <w:wordWrap w:val="0"/>
        <w:snapToGrid w:val="0"/>
        <w:spacing w:line="360" w:lineRule="auto"/>
        <w:ind w:firstLine="560" w:firstLineChars="200"/>
        <w:jc w:val="right"/>
        <w:rPr>
          <w:rFonts w:ascii="仿宋" w:hAnsi="仿宋" w:eastAsia="仿宋"/>
          <w:color w:val="000000"/>
          <w:sz w:val="28"/>
          <w:szCs w:val="28"/>
          <w:u w:val="single"/>
        </w:rPr>
      </w:pPr>
      <w:r>
        <w:rPr>
          <w:rFonts w:hint="eastAsia" w:ascii="仿宋" w:hAnsi="仿宋" w:eastAsia="仿宋"/>
          <w:color w:val="000000"/>
          <w:sz w:val="28"/>
          <w:szCs w:val="28"/>
        </w:rPr>
        <w:t xml:space="preserve">      投标人名称（盖章）：</w:t>
      </w:r>
      <w:r>
        <w:rPr>
          <w:rFonts w:hint="eastAsia" w:ascii="仿宋" w:hAnsi="仿宋" w:eastAsia="仿宋"/>
          <w:color w:val="000000"/>
          <w:sz w:val="28"/>
          <w:szCs w:val="28"/>
          <w:u w:val="single"/>
        </w:rPr>
        <w:t xml:space="preserve">        </w:t>
      </w:r>
    </w:p>
    <w:p>
      <w:pPr>
        <w:wordWrap w:val="0"/>
        <w:snapToGrid w:val="0"/>
        <w:spacing w:line="360" w:lineRule="auto"/>
        <w:ind w:firstLine="560" w:firstLineChars="200"/>
        <w:jc w:val="right"/>
        <w:rPr>
          <w:rFonts w:ascii="仿宋" w:hAnsi="仿宋" w:eastAsia="仿宋"/>
          <w:color w:val="000000"/>
          <w:sz w:val="28"/>
          <w:szCs w:val="28"/>
          <w:u w:val="single"/>
        </w:rPr>
      </w:pPr>
      <w:r>
        <w:rPr>
          <w:rFonts w:hint="eastAsia" w:ascii="仿宋" w:hAnsi="仿宋" w:eastAsia="仿宋"/>
          <w:color w:val="000000"/>
          <w:sz w:val="28"/>
          <w:szCs w:val="28"/>
        </w:rPr>
        <w:t xml:space="preserve">       日  期：</w:t>
      </w:r>
      <w:r>
        <w:rPr>
          <w:rFonts w:hint="eastAsia" w:ascii="仿宋" w:hAnsi="仿宋" w:eastAsia="仿宋"/>
          <w:color w:val="000000"/>
          <w:sz w:val="28"/>
          <w:szCs w:val="28"/>
          <w:u w:val="single"/>
        </w:rPr>
        <w:t xml:space="preserve">       </w:t>
      </w:r>
    </w:p>
    <w:p>
      <w:pPr>
        <w:rPr>
          <w:color w:val="000000"/>
        </w:rPr>
      </w:pPr>
    </w:p>
    <w:p>
      <w:pPr>
        <w:rPr>
          <w:color w:val="000000"/>
        </w:rPr>
      </w:pPr>
    </w:p>
    <w:p>
      <w:pPr>
        <w:widowControl/>
        <w:jc w:val="left"/>
        <w:rPr>
          <w:rFonts w:ascii="仿宋" w:hAnsi="仿宋" w:eastAsia="仿宋"/>
          <w:color w:val="000000"/>
          <w:sz w:val="30"/>
          <w:szCs w:val="30"/>
        </w:rPr>
      </w:pPr>
    </w:p>
    <w:p>
      <w:pPr>
        <w:widowControl/>
        <w:jc w:val="left"/>
        <w:rPr>
          <w:rFonts w:ascii="仿宋" w:hAnsi="仿宋" w:eastAsia="仿宋"/>
          <w:color w:val="000000"/>
          <w:sz w:val="30"/>
          <w:szCs w:val="30"/>
        </w:rPr>
      </w:pPr>
      <w:r>
        <w:rPr>
          <w:rFonts w:hint="eastAsia" w:ascii="仿宋" w:hAnsi="仿宋" w:eastAsia="仿宋"/>
          <w:color w:val="000000"/>
          <w:kern w:val="0"/>
          <w:sz w:val="30"/>
          <w:szCs w:val="30"/>
        </w:rPr>
        <w:br w:type="page"/>
      </w:r>
    </w:p>
    <w:p>
      <w:pPr>
        <w:snapToGrid w:val="0"/>
        <w:spacing w:before="120" w:beforeLines="50" w:after="50"/>
        <w:rPr>
          <w:rFonts w:ascii="仿宋" w:hAnsi="仿宋" w:eastAsia="仿宋"/>
          <w:b/>
          <w:color w:val="000000"/>
          <w:sz w:val="30"/>
          <w:szCs w:val="30"/>
        </w:rPr>
      </w:pPr>
      <w:r>
        <w:rPr>
          <w:rFonts w:hint="eastAsia" w:ascii="仿宋" w:hAnsi="仿宋" w:eastAsia="仿宋"/>
          <w:color w:val="000000"/>
          <w:sz w:val="30"/>
          <w:szCs w:val="30"/>
        </w:rPr>
        <w:t>附件9</w:t>
      </w:r>
      <w:r>
        <w:rPr>
          <w:rFonts w:hint="eastAsia" w:ascii="仿宋" w:hAnsi="仿宋" w:eastAsia="仿宋"/>
          <w:b/>
          <w:color w:val="000000"/>
          <w:sz w:val="30"/>
          <w:szCs w:val="30"/>
        </w:rPr>
        <w:t xml:space="preserve">：                                     </w:t>
      </w:r>
    </w:p>
    <w:p>
      <w:pPr>
        <w:spacing w:before="240" w:beforeLines="100" w:line="240" w:lineRule="atLeast"/>
        <w:jc w:val="center"/>
        <w:rPr>
          <w:rFonts w:ascii="仿宋" w:hAnsi="仿宋" w:eastAsia="仿宋"/>
          <w:b/>
          <w:color w:val="000000"/>
          <w:spacing w:val="40"/>
          <w:sz w:val="52"/>
          <w:szCs w:val="52"/>
        </w:rPr>
      </w:pPr>
      <w:bookmarkStart w:id="46" w:name="PO_1000000445_PM002"/>
      <w:r>
        <w:rPr>
          <w:rFonts w:hint="eastAsia" w:ascii="仿宋" w:hAnsi="仿宋" w:eastAsia="仿宋"/>
          <w:b/>
          <w:color w:val="000000"/>
          <w:spacing w:val="40"/>
          <w:sz w:val="52"/>
          <w:szCs w:val="52"/>
        </w:rPr>
        <w:t>浙江省大数据发展管理局省电子政务网络运行维护及备份网络项目</w:t>
      </w:r>
      <w:bookmarkEnd w:id="46"/>
    </w:p>
    <w:p>
      <w:pPr>
        <w:spacing w:before="240"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7" w:name="PO_15528_PM001_4"/>
      <w:r>
        <w:rPr>
          <w:rFonts w:ascii="仿宋" w:hAnsi="仿宋" w:eastAsia="仿宋"/>
          <w:color w:val="000000"/>
          <w:sz w:val="36"/>
          <w:szCs w:val="36"/>
        </w:rPr>
        <w:t>ZZCG2023T-GK-139</w:t>
      </w:r>
      <w:bookmarkEnd w:id="47"/>
      <w:r>
        <w:rPr>
          <w:rFonts w:hint="eastAsia" w:ascii="仿宋" w:hAnsi="仿宋" w:eastAsia="仿宋"/>
          <w:color w:val="000000"/>
          <w:sz w:val="36"/>
          <w:szCs w:val="36"/>
        </w:rPr>
        <w:t>（标项  ）</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技</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术</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及</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商</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务</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line="1200" w:lineRule="exact"/>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6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spacing w:line="6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snapToGrid w:val="0"/>
        <w:spacing w:before="50" w:after="50"/>
        <w:rPr>
          <w:rFonts w:hint="eastAsia" w:ascii="仿宋" w:hAnsi="仿宋" w:eastAsia="仿宋"/>
          <w:color w:val="000000"/>
          <w:sz w:val="36"/>
          <w:szCs w:val="36"/>
        </w:rPr>
      </w:pPr>
    </w:p>
    <w:p>
      <w:pPr>
        <w:snapToGrid w:val="0"/>
        <w:spacing w:before="50" w:after="50"/>
        <w:rPr>
          <w:rFonts w:ascii="仿宋" w:hAnsi="仿宋" w:eastAsia="仿宋"/>
          <w:b/>
          <w:bCs/>
          <w:color w:val="000000"/>
          <w:sz w:val="36"/>
          <w:szCs w:val="36"/>
        </w:rPr>
      </w:pPr>
      <w:r>
        <w:rPr>
          <w:rFonts w:hint="eastAsia" w:ascii="仿宋" w:hAnsi="仿宋" w:eastAsia="仿宋"/>
          <w:color w:val="000000"/>
          <w:sz w:val="36"/>
          <w:szCs w:val="36"/>
        </w:rPr>
        <w:t>2、</w:t>
      </w:r>
      <w:r>
        <w:rPr>
          <w:rFonts w:hint="eastAsia" w:ascii="仿宋" w:hAnsi="仿宋" w:eastAsia="仿宋"/>
          <w:b/>
          <w:bCs/>
          <w:color w:val="000000"/>
          <w:sz w:val="36"/>
          <w:szCs w:val="36"/>
        </w:rPr>
        <w:t>技术及商务文件目录</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（1）评分对应表（格式见附件，主要用于评委对应评分内容）</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（2）投标项目明细清单（含货物、服务等）；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（3）技术响应表（格式见附件）；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（6）列入政府采购节能环保清单的证明资料（若有）；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（7）商务响应表（格式见附件）；</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（9）技术培训计划（若有）；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（11）案例的业绩证明（投标人业绩情况一览表、合同复印件等）；</w:t>
      </w:r>
    </w:p>
    <w:p>
      <w:pPr>
        <w:snapToGrid w:val="0"/>
        <w:spacing w:line="460" w:lineRule="exact"/>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（12）投标人认为需要的其他文件资料。</w:t>
      </w:r>
    </w:p>
    <w:p>
      <w:pPr>
        <w:snapToGrid w:val="0"/>
        <w:spacing w:before="50" w:after="120" w:afterLines="50"/>
        <w:jc w:val="lef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附件10：</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评分对应表</w:t>
      </w:r>
    </w:p>
    <w:p>
      <w:pPr>
        <w:snapToGrid w:val="0"/>
        <w:spacing w:before="50"/>
        <w:jc w:val="center"/>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评分项目</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附件11：</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投标项目明细清单</w:t>
      </w:r>
    </w:p>
    <w:p>
      <w:pPr>
        <w:snapToGrid w:val="0"/>
        <w:spacing w:before="50" w:after="120" w:afterLines="50"/>
        <w:rPr>
          <w:rFonts w:ascii="仿宋" w:hAnsi="仿宋" w:eastAsia="仿宋"/>
          <w:b/>
          <w:color w:val="000000"/>
          <w:spacing w:val="40"/>
          <w:kern w:val="0"/>
          <w:sz w:val="36"/>
          <w:szCs w:val="36"/>
        </w:rPr>
      </w:pPr>
    </w:p>
    <w:p>
      <w:pPr>
        <w:pStyle w:val="19"/>
        <w:snapToGrid w:val="0"/>
        <w:rPr>
          <w:rFonts w:ascii="仿宋" w:hAnsi="仿宋" w:eastAsia="仿宋"/>
          <w:color w:val="000000"/>
          <w:kern w:val="0"/>
          <w:sz w:val="30"/>
          <w:szCs w:val="30"/>
          <w:u w:val="single"/>
        </w:rPr>
      </w:pPr>
      <w:r>
        <w:rPr>
          <w:rFonts w:hint="eastAsia" w:ascii="仿宋" w:hAnsi="仿宋" w:eastAsia="仿宋"/>
          <w:color w:val="000000"/>
          <w:sz w:val="30"/>
          <w:szCs w:val="30"/>
        </w:rPr>
        <w:t>投标人全称（公章）：                标项：</w:t>
      </w:r>
    </w:p>
    <w:p>
      <w:pPr>
        <w:pStyle w:val="19"/>
        <w:snapToGrid w:val="0"/>
        <w:rPr>
          <w:rFonts w:ascii="仿宋" w:hAnsi="仿宋" w:eastAsia="仿宋"/>
          <w:color w:val="000000"/>
          <w:sz w:val="30"/>
          <w:szCs w:val="30"/>
        </w:rPr>
      </w:pPr>
      <w:r>
        <w:rPr>
          <w:rFonts w:hint="eastAsia" w:ascii="仿宋" w:hAnsi="仿宋" w:eastAsia="仿宋"/>
          <w:color w:val="000000"/>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规格</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单位及</w:t>
            </w:r>
          </w:p>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序号</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服务内容</w:t>
            </w: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r>
              <w:rPr>
                <w:rFonts w:hint="eastAsia" w:ascii="仿宋" w:hAnsi="仿宋" w:eastAsia="仿宋"/>
                <w:color w:val="000000"/>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c>
          <w:tcPr>
            <w:tcW w:w="28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ascii="仿宋" w:hAnsi="仿宋" w:eastAsia="仿宋"/>
                <w:color w:val="000000"/>
                <w:sz w:val="30"/>
                <w:szCs w:val="30"/>
              </w:rPr>
            </w:pPr>
          </w:p>
        </w:tc>
        <w:tc>
          <w:tcPr>
            <w:tcW w:w="28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color w:val="000000"/>
                <w:sz w:val="30"/>
                <w:szCs w:val="30"/>
              </w:rPr>
            </w:pPr>
          </w:p>
        </w:tc>
      </w:tr>
    </w:tbl>
    <w:p>
      <w:pPr>
        <w:snapToGrid w:val="0"/>
        <w:spacing w:before="120" w:beforeLines="50"/>
        <w:rPr>
          <w:rFonts w:ascii="仿宋" w:hAnsi="仿宋" w:eastAsia="仿宋"/>
          <w:color w:val="000000"/>
          <w:sz w:val="30"/>
          <w:szCs w:val="30"/>
        </w:rPr>
      </w:pPr>
      <w:r>
        <w:rPr>
          <w:rFonts w:hint="eastAsia" w:ascii="仿宋" w:hAnsi="仿宋" w:eastAsia="仿宋"/>
          <w:color w:val="000000"/>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sz w:val="30"/>
          <w:szCs w:val="30"/>
        </w:rPr>
      </w:pPr>
    </w:p>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kern w:val="0"/>
          <w:sz w:val="30"/>
          <w:szCs w:val="30"/>
        </w:rPr>
        <w:br w:type="page"/>
      </w:r>
      <w:r>
        <w:rPr>
          <w:rFonts w:hint="eastAsia" w:ascii="仿宋" w:hAnsi="仿宋" w:eastAsia="仿宋"/>
          <w:color w:val="000000"/>
          <w:sz w:val="30"/>
          <w:szCs w:val="30"/>
        </w:rPr>
        <w:t>附件12：</w:t>
      </w:r>
    </w:p>
    <w:p>
      <w:pPr>
        <w:snapToGrid w:val="0"/>
        <w:spacing w:before="50" w:after="120" w:afterLines="50"/>
        <w:jc w:val="center"/>
        <w:rPr>
          <w:rFonts w:ascii="仿宋" w:hAnsi="仿宋" w:eastAsia="仿宋"/>
          <w:b/>
          <w:color w:val="000000"/>
          <w:spacing w:val="40"/>
          <w:kern w:val="0"/>
          <w:sz w:val="36"/>
          <w:szCs w:val="36"/>
        </w:rPr>
      </w:pPr>
      <w:r>
        <w:rPr>
          <w:rFonts w:hint="eastAsia" w:ascii="仿宋" w:hAnsi="仿宋" w:eastAsia="仿宋"/>
          <w:b/>
          <w:color w:val="000000"/>
          <w:spacing w:val="40"/>
          <w:kern w:val="0"/>
          <w:sz w:val="36"/>
          <w:szCs w:val="36"/>
        </w:rPr>
        <w:t>技 术 响 应 表</w:t>
      </w:r>
    </w:p>
    <w:p>
      <w:pPr>
        <w:snapToGrid w:val="0"/>
        <w:spacing w:before="50" w:after="120" w:afterLines="50"/>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sz w:val="30"/>
                <w:szCs w:val="30"/>
              </w:rPr>
            </w:pPr>
            <w:r>
              <w:rPr>
                <w:rFonts w:hint="eastAsia" w:ascii="仿宋" w:hAnsi="仿宋" w:eastAsia="仿宋"/>
                <w:color w:val="000000"/>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jc w:val="center"/>
              <w:rPr>
                <w:rFonts w:ascii="仿宋" w:hAnsi="仿宋" w:eastAsia="仿宋"/>
                <w:color w:val="000000"/>
                <w:kern w:val="0"/>
                <w:sz w:val="30"/>
                <w:szCs w:val="30"/>
              </w:rPr>
            </w:pPr>
            <w:r>
              <w:rPr>
                <w:rFonts w:hint="eastAsia" w:ascii="仿宋" w:hAnsi="仿宋" w:eastAsia="仿宋"/>
                <w:color w:val="000000"/>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nil"/>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before="120" w:after="120"/>
              <w:outlineLvl w:val="0"/>
              <w:rPr>
                <w:rFonts w:ascii="仿宋" w:hAnsi="仿宋" w:eastAsia="仿宋"/>
                <w:color w:val="000000"/>
                <w:sz w:val="30"/>
                <w:szCs w:val="30"/>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31"/>
              <w:snapToGrid w:val="0"/>
              <w:spacing w:before="120" w:after="120" w:line="240" w:lineRule="auto"/>
              <w:outlineLvl w:val="0"/>
              <w:rPr>
                <w:rFonts w:ascii="仿宋" w:hAnsi="仿宋" w:eastAsia="仿宋"/>
                <w:color w:val="000000"/>
                <w:sz w:val="30"/>
                <w:szCs w:val="30"/>
              </w:rPr>
            </w:pPr>
          </w:p>
        </w:tc>
      </w:tr>
    </w:tbl>
    <w:p>
      <w:pPr>
        <w:pStyle w:val="24"/>
        <w:rPr>
          <w:rFonts w:ascii="仿宋" w:hAnsi="仿宋" w:eastAsia="仿宋"/>
          <w:color w:val="000000"/>
          <w:spacing w:val="20"/>
          <w:kern w:val="0"/>
          <w:sz w:val="30"/>
          <w:szCs w:val="30"/>
        </w:rPr>
      </w:pPr>
      <w:r>
        <w:rPr>
          <w:rFonts w:hint="eastAsia" w:ascii="仿宋" w:hAnsi="仿宋" w:eastAsia="仿宋"/>
          <w:color w:val="000000"/>
          <w:sz w:val="30"/>
          <w:szCs w:val="30"/>
        </w:rPr>
        <w:t>注：投标人应根据投标设备的性能指标、对照招标文件要求在“偏离情况”栏注明“正偏离”、“负偏离”或“无偏离”。</w:t>
      </w:r>
    </w:p>
    <w:p>
      <w:pPr>
        <w:snapToGrid w:val="0"/>
        <w:spacing w:before="50" w:after="50"/>
        <w:rPr>
          <w:rFonts w:ascii="仿宋" w:hAnsi="仿宋" w:eastAsia="仿宋"/>
          <w:color w:val="000000"/>
          <w:spacing w:val="2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spacing w:val="20"/>
          <w:sz w:val="30"/>
          <w:szCs w:val="30"/>
        </w:rPr>
        <w:t>授权代表签名：          日 期：</w:t>
      </w:r>
    </w:p>
    <w:p>
      <w:pPr>
        <w:snapToGrid w:val="0"/>
        <w:spacing w:before="50" w:after="120" w:afterLines="50"/>
        <w:jc w:val="left"/>
        <w:rPr>
          <w:rFonts w:ascii="仿宋" w:hAnsi="仿宋" w:eastAsia="仿宋"/>
          <w:color w:val="000000"/>
          <w:sz w:val="30"/>
          <w:szCs w:val="30"/>
        </w:rPr>
      </w:pPr>
    </w:p>
    <w:p>
      <w:pPr>
        <w:snapToGrid w:val="0"/>
        <w:spacing w:before="50" w:after="5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附件13：</w:t>
      </w:r>
    </w:p>
    <w:p>
      <w:pPr>
        <w:snapToGrid w:val="0"/>
        <w:spacing w:before="50" w:after="120" w:afterLines="50"/>
        <w:jc w:val="center"/>
        <w:rPr>
          <w:rFonts w:ascii="仿宋" w:hAnsi="仿宋" w:eastAsia="仿宋"/>
          <w:b/>
          <w:color w:val="000000"/>
          <w:kern w:val="0"/>
          <w:sz w:val="36"/>
          <w:szCs w:val="36"/>
        </w:rPr>
      </w:pPr>
      <w:r>
        <w:rPr>
          <w:rFonts w:hint="eastAsia" w:ascii="仿宋" w:hAnsi="仿宋" w:eastAsia="仿宋"/>
          <w:b/>
          <w:color w:val="000000"/>
          <w:kern w:val="0"/>
          <w:sz w:val="36"/>
          <w:szCs w:val="36"/>
        </w:rPr>
        <w:t>项目组人员清单</w:t>
      </w:r>
    </w:p>
    <w:p>
      <w:pPr>
        <w:snapToGrid w:val="0"/>
        <w:spacing w:before="120" w:beforeLines="50" w:after="50"/>
        <w:rPr>
          <w:rFonts w:ascii="仿宋" w:hAnsi="仿宋" w:eastAsia="仿宋"/>
          <w:b/>
          <w:color w:val="000000"/>
          <w:sz w:val="30"/>
          <w:szCs w:val="30"/>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sz w:val="30"/>
                <w:szCs w:val="30"/>
              </w:rPr>
            </w:pPr>
            <w:r>
              <w:rPr>
                <w:rFonts w:hint="eastAsia" w:ascii="仿宋" w:hAnsi="仿宋" w:eastAsia="仿宋"/>
                <w:color w:val="000000"/>
                <w:sz w:val="30"/>
                <w:szCs w:val="30"/>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专业技</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证书</w:t>
            </w:r>
          </w:p>
          <w:p>
            <w:pPr>
              <w:snapToGrid w:val="0"/>
              <w:spacing w:before="120" w:beforeLines="50" w:after="50" w:line="460" w:lineRule="exact"/>
              <w:jc w:val="center"/>
              <w:rPr>
                <w:rFonts w:ascii="仿宋" w:hAnsi="仿宋" w:eastAsia="仿宋"/>
                <w:color w:val="000000"/>
                <w:kern w:val="0"/>
                <w:sz w:val="30"/>
                <w:szCs w:val="30"/>
              </w:rPr>
            </w:pPr>
            <w:r>
              <w:rPr>
                <w:rFonts w:hint="eastAsia" w:ascii="仿宋" w:hAnsi="仿宋" w:eastAsia="仿宋"/>
                <w:color w:val="000000"/>
                <w:sz w:val="30"/>
                <w:szCs w:val="30"/>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劳动合</w:t>
            </w:r>
          </w:p>
          <w:p>
            <w:pPr>
              <w:snapToGrid w:val="0"/>
              <w:spacing w:before="120" w:beforeLines="50" w:after="50" w:line="460" w:lineRule="exact"/>
              <w:jc w:val="center"/>
              <w:rPr>
                <w:rFonts w:ascii="仿宋" w:hAnsi="仿宋" w:eastAsia="仿宋"/>
                <w:bCs/>
                <w:color w:val="000000"/>
                <w:kern w:val="0"/>
                <w:sz w:val="30"/>
                <w:szCs w:val="30"/>
              </w:rPr>
            </w:pPr>
            <w:r>
              <w:rPr>
                <w:rFonts w:hint="eastAsia" w:ascii="仿宋" w:hAnsi="仿宋" w:eastAsia="仿宋"/>
                <w:bCs/>
                <w:color w:val="000000"/>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34"/>
              <w:snapToGrid w:val="0"/>
              <w:spacing w:before="120" w:beforeLines="50" w:after="120" w:line="460" w:lineRule="exact"/>
              <w:ind w:left="5250"/>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color w:val="000000"/>
                <w:sz w:val="30"/>
                <w:szCs w:val="3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460" w:lineRule="exact"/>
              <w:rPr>
                <w:rFonts w:ascii="仿宋" w:hAnsi="仿宋" w:eastAsia="仿宋"/>
                <w:b/>
                <w:bCs/>
                <w:color w:val="000000"/>
                <w:kern w:val="0"/>
                <w:sz w:val="30"/>
                <w:szCs w:val="30"/>
              </w:rPr>
            </w:pPr>
          </w:p>
        </w:tc>
      </w:tr>
    </w:tbl>
    <w:p>
      <w:pPr>
        <w:snapToGrid w:val="0"/>
        <w:spacing w:before="50" w:after="120" w:afterLines="50" w:line="460" w:lineRule="exact"/>
        <w:jc w:val="left"/>
        <w:rPr>
          <w:rFonts w:ascii="仿宋" w:hAnsi="仿宋" w:eastAsia="仿宋"/>
          <w:color w:val="000000"/>
          <w:sz w:val="30"/>
          <w:szCs w:val="30"/>
        </w:rPr>
      </w:pPr>
      <w:r>
        <w:rPr>
          <w:rFonts w:hint="eastAsia" w:ascii="仿宋" w:hAnsi="仿宋" w:eastAsia="仿宋"/>
          <w:color w:val="000000"/>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sz w:val="30"/>
          <w:szCs w:val="30"/>
        </w:rPr>
      </w:pPr>
    </w:p>
    <w:p>
      <w:pPr>
        <w:snapToGrid w:val="0"/>
        <w:spacing w:before="50" w:after="50" w:line="460" w:lineRule="exact"/>
        <w:rPr>
          <w:rFonts w:ascii="仿宋" w:hAnsi="仿宋" w:eastAsia="仿宋"/>
          <w:color w:val="000000"/>
          <w:spacing w:val="20"/>
          <w:sz w:val="30"/>
          <w:szCs w:val="30"/>
          <w:u w:val="single"/>
        </w:rPr>
      </w:pPr>
      <w:r>
        <w:rPr>
          <w:rFonts w:hint="eastAsia" w:ascii="仿宋" w:hAnsi="仿宋" w:eastAsia="仿宋"/>
          <w:color w:val="000000"/>
          <w:spacing w:val="20"/>
          <w:sz w:val="30"/>
          <w:szCs w:val="30"/>
        </w:rPr>
        <w:t>授权代表签名： 日  期：</w:t>
      </w:r>
    </w:p>
    <w:p>
      <w:pPr>
        <w:snapToGrid w:val="0"/>
        <w:spacing w:before="50" w:after="120" w:afterLines="50" w:line="460" w:lineRule="exact"/>
        <w:jc w:val="left"/>
        <w:rPr>
          <w:rFonts w:ascii="仿宋" w:hAnsi="仿宋" w:eastAsia="仿宋"/>
          <w:color w:val="000000"/>
          <w:sz w:val="30"/>
          <w:szCs w:val="30"/>
        </w:rPr>
      </w:pPr>
    </w:p>
    <w:p>
      <w:pPr>
        <w:pStyle w:val="31"/>
        <w:snapToGrid w:val="0"/>
        <w:spacing w:before="120" w:after="120" w:line="460" w:lineRule="exact"/>
        <w:rPr>
          <w:rFonts w:ascii="仿宋" w:hAnsi="仿宋" w:eastAsia="仿宋"/>
          <w:color w:val="000000"/>
          <w:sz w:val="30"/>
          <w:szCs w:val="30"/>
        </w:rPr>
      </w:pPr>
    </w:p>
    <w:p>
      <w:pPr>
        <w:snapToGrid w:val="0"/>
        <w:spacing w:before="50"/>
        <w:jc w:val="left"/>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附件14：</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商务响应表</w:t>
      </w:r>
    </w:p>
    <w:p>
      <w:pPr>
        <w:snapToGrid w:val="0"/>
        <w:spacing w:before="50"/>
        <w:jc w:val="center"/>
        <w:rPr>
          <w:rFonts w:ascii="仿宋" w:hAnsi="仿宋" w:eastAsia="仿宋"/>
          <w:b/>
          <w:color w:val="000000"/>
          <w:sz w:val="32"/>
          <w:szCs w:val="32"/>
        </w:rPr>
      </w:pP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项目</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sz w:val="30"/>
                <w:szCs w:val="30"/>
              </w:rPr>
            </w:pPr>
            <w:r>
              <w:rPr>
                <w:rFonts w:hint="eastAsia" w:ascii="仿宋" w:hAnsi="仿宋" w:eastAsia="仿宋"/>
                <w:color w:val="000000"/>
                <w:sz w:val="30"/>
                <w:szCs w:val="30"/>
              </w:rPr>
              <w:t>招标文件要求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是否</w:t>
            </w:r>
          </w:p>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color w:val="000000"/>
                <w:kern w:val="0"/>
                <w:sz w:val="30"/>
                <w:szCs w:val="30"/>
              </w:rPr>
            </w:pPr>
            <w:r>
              <w:rPr>
                <w:rFonts w:hint="eastAsia" w:ascii="仿宋" w:hAnsi="仿宋" w:eastAsia="仿宋"/>
                <w:color w:val="000000"/>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项目工期（交货期）及地点</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付款条件</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项目维护计划</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响应情况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技术培训</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经验或业绩要求</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olor w:val="000000"/>
                <w:sz w:val="30"/>
                <w:szCs w:val="30"/>
              </w:rPr>
            </w:pPr>
            <w:r>
              <w:rPr>
                <w:rFonts w:hint="eastAsia" w:ascii="仿宋" w:hAnsi="仿宋" w:eastAsia="仿宋"/>
                <w:color w:val="000000"/>
                <w:sz w:val="30"/>
                <w:szCs w:val="30"/>
              </w:rPr>
              <w:t>……</w:t>
            </w:r>
          </w:p>
        </w:tc>
        <w:tc>
          <w:tcPr>
            <w:tcW w:w="269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b/>
                <w:bCs/>
                <w:color w:val="000000"/>
                <w:sz w:val="30"/>
                <w:szCs w:val="30"/>
              </w:rPr>
            </w:pPr>
          </w:p>
        </w:tc>
      </w:tr>
    </w:tbl>
    <w:p>
      <w:pPr>
        <w:snapToGrid w:val="0"/>
        <w:spacing w:before="120" w:beforeLines="50"/>
        <w:rPr>
          <w:rFonts w:ascii="仿宋" w:hAnsi="仿宋" w:eastAsia="仿宋"/>
          <w:color w:val="000000"/>
          <w:sz w:val="30"/>
          <w:szCs w:val="30"/>
          <w:u w:val="single"/>
        </w:rPr>
      </w:pPr>
      <w:r>
        <w:rPr>
          <w:rFonts w:hint="eastAsia" w:ascii="仿宋" w:hAnsi="仿宋" w:eastAsia="仿宋"/>
          <w:color w:val="000000"/>
          <w:sz w:val="30"/>
          <w:szCs w:val="30"/>
        </w:rPr>
        <w:t>授权代表签名：               日期：</w:t>
      </w:r>
    </w:p>
    <w:p>
      <w:pPr>
        <w:widowControl/>
        <w:jc w:val="left"/>
        <w:rPr>
          <w:rFonts w:ascii="仿宋" w:hAnsi="仿宋" w:eastAsia="仿宋"/>
          <w:color w:val="000000"/>
          <w:kern w:val="0"/>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color w:val="000000"/>
          <w:sz w:val="30"/>
          <w:szCs w:val="30"/>
        </w:rPr>
      </w:pPr>
      <w:r>
        <w:rPr>
          <w:rFonts w:hint="eastAsia" w:ascii="仿宋" w:hAnsi="仿宋" w:eastAsia="仿宋"/>
          <w:color w:val="000000"/>
          <w:sz w:val="30"/>
          <w:szCs w:val="30"/>
        </w:rPr>
        <w:t>附件15：</w:t>
      </w:r>
    </w:p>
    <w:p>
      <w:pPr>
        <w:snapToGrid w:val="0"/>
        <w:spacing w:before="50" w:after="50"/>
        <w:jc w:val="center"/>
        <w:rPr>
          <w:rFonts w:ascii="仿宋" w:hAnsi="仿宋" w:eastAsia="仿宋"/>
          <w:b/>
          <w:color w:val="000000"/>
          <w:sz w:val="36"/>
          <w:szCs w:val="36"/>
        </w:rPr>
      </w:pPr>
      <w:r>
        <w:rPr>
          <w:rFonts w:hint="eastAsia" w:ascii="仿宋" w:hAnsi="仿宋" w:eastAsia="仿宋"/>
          <w:b/>
          <w:color w:val="000000"/>
          <w:sz w:val="36"/>
          <w:szCs w:val="36"/>
        </w:rPr>
        <w:t>投标人业绩情况一览表</w:t>
      </w:r>
    </w:p>
    <w:p>
      <w:pPr>
        <w:pStyle w:val="19"/>
        <w:snapToGrid w:val="0"/>
        <w:rPr>
          <w:rFonts w:ascii="仿宋" w:hAnsi="仿宋" w:eastAsia="仿宋"/>
          <w:color w:val="000000"/>
          <w:sz w:val="30"/>
          <w:szCs w:val="30"/>
          <w:u w:val="single"/>
        </w:rPr>
      </w:pPr>
      <w:r>
        <w:rPr>
          <w:rFonts w:hint="eastAsia" w:ascii="仿宋" w:hAnsi="仿宋" w:eastAsia="仿宋"/>
          <w:color w:val="000000"/>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w:t>
            </w:r>
          </w:p>
          <w:p>
            <w:pPr>
              <w:snapToGrid w:val="0"/>
              <w:jc w:val="center"/>
              <w:rPr>
                <w:rFonts w:ascii="仿宋" w:hAnsi="仿宋" w:eastAsia="仿宋"/>
                <w:color w:val="000000"/>
                <w:sz w:val="30"/>
                <w:szCs w:val="30"/>
              </w:rPr>
            </w:pPr>
            <w:r>
              <w:rPr>
                <w:rFonts w:hint="eastAsia" w:ascii="仿宋" w:hAnsi="仿宋" w:eastAsia="仿宋"/>
                <w:color w:val="000000"/>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合同</w:t>
            </w:r>
          </w:p>
          <w:p>
            <w:pPr>
              <w:snapToGrid w:val="0"/>
              <w:jc w:val="center"/>
              <w:rPr>
                <w:rFonts w:ascii="仿宋" w:hAnsi="仿宋" w:eastAsia="仿宋"/>
                <w:color w:val="000000"/>
                <w:sz w:val="30"/>
                <w:szCs w:val="30"/>
              </w:rPr>
            </w:pPr>
            <w:r>
              <w:rPr>
                <w:rFonts w:hint="eastAsia" w:ascii="仿宋" w:hAnsi="仿宋" w:eastAsia="仿宋"/>
                <w:color w:val="000000"/>
                <w:sz w:val="30"/>
                <w:szCs w:val="30"/>
              </w:rPr>
              <w:t>金额</w:t>
            </w:r>
          </w:p>
          <w:p>
            <w:pPr>
              <w:snapToGrid w:val="0"/>
              <w:jc w:val="center"/>
              <w:rPr>
                <w:rFonts w:ascii="仿宋" w:hAnsi="仿宋" w:eastAsia="仿宋"/>
                <w:color w:val="000000"/>
                <w:sz w:val="30"/>
                <w:szCs w:val="30"/>
              </w:rPr>
            </w:pPr>
            <w:r>
              <w:rPr>
                <w:rFonts w:hint="eastAsia" w:ascii="仿宋" w:hAnsi="仿宋" w:eastAsia="仿宋"/>
                <w:color w:val="000000"/>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采购单位联系人及</w:t>
            </w:r>
          </w:p>
          <w:p>
            <w:pPr>
              <w:snapToGrid w:val="0"/>
              <w:jc w:val="center"/>
              <w:rPr>
                <w:rFonts w:ascii="仿宋" w:hAnsi="仿宋" w:eastAsia="仿宋"/>
                <w:color w:val="000000"/>
                <w:sz w:val="30"/>
                <w:szCs w:val="30"/>
              </w:rPr>
            </w:pPr>
            <w:r>
              <w:rPr>
                <w:rFonts w:hint="eastAsia" w:ascii="仿宋" w:hAnsi="仿宋" w:eastAsia="仿宋"/>
                <w:color w:val="000000"/>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合</w:t>
            </w:r>
          </w:p>
          <w:p>
            <w:pPr>
              <w:snapToGrid w:val="0"/>
              <w:jc w:val="center"/>
              <w:rPr>
                <w:rFonts w:ascii="仿宋" w:hAnsi="仿宋" w:eastAsia="仿宋"/>
                <w:color w:val="000000"/>
                <w:sz w:val="30"/>
                <w:szCs w:val="30"/>
              </w:rPr>
            </w:pPr>
            <w:r>
              <w:rPr>
                <w:rFonts w:hint="eastAsia" w:ascii="仿宋" w:hAnsi="仿宋" w:eastAsia="仿宋"/>
                <w:color w:val="000000"/>
                <w:sz w:val="30"/>
                <w:szCs w:val="30"/>
              </w:rPr>
              <w:t>同</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olor w:val="000000"/>
                <w:sz w:val="30"/>
                <w:szCs w:val="30"/>
              </w:rPr>
            </w:pPr>
            <w:r>
              <w:rPr>
                <w:rFonts w:hint="eastAsia" w:ascii="仿宋" w:hAnsi="仿宋" w:eastAsia="仿宋"/>
                <w:color w:val="000000"/>
                <w:sz w:val="30"/>
                <w:szCs w:val="30"/>
              </w:rPr>
              <w:t>验收</w:t>
            </w:r>
          </w:p>
          <w:p>
            <w:pPr>
              <w:snapToGrid w:val="0"/>
              <w:jc w:val="center"/>
              <w:rPr>
                <w:rFonts w:ascii="仿宋" w:hAnsi="仿宋" w:eastAsia="仿宋"/>
                <w:color w:val="000000"/>
                <w:sz w:val="30"/>
                <w:szCs w:val="30"/>
              </w:rPr>
            </w:pPr>
            <w:r>
              <w:rPr>
                <w:rFonts w:hint="eastAsia" w:ascii="仿宋" w:hAnsi="仿宋" w:eastAsia="仿宋"/>
                <w:color w:val="000000"/>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center"/>
              <w:rPr>
                <w:rFonts w:ascii="仿宋" w:hAnsi="仿宋" w:eastAsia="仿宋"/>
                <w:color w:val="000000"/>
                <w:sz w:val="30"/>
                <w:szCs w:val="30"/>
              </w:rPr>
            </w:pPr>
            <w:r>
              <w:rPr>
                <w:rFonts w:hint="eastAsia" w:ascii="仿宋" w:hAnsi="仿宋" w:eastAsia="仿宋"/>
                <w:color w:val="000000"/>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ascii="仿宋" w:hAnsi="仿宋" w:eastAsia="仿宋"/>
                <w:color w:val="000000"/>
                <w:sz w:val="30"/>
                <w:szCs w:val="30"/>
              </w:rPr>
            </w:pPr>
            <w:r>
              <w:rPr>
                <w:rFonts w:hint="eastAsia" w:ascii="仿宋" w:hAnsi="仿宋" w:eastAsia="仿宋"/>
                <w:color w:val="000000"/>
                <w:sz w:val="32"/>
                <w:szCs w:val="32"/>
              </w:rPr>
              <w:t>提供投标人同类项目合同复印件、用户验收报告（如有）。</w:t>
            </w:r>
          </w:p>
        </w:tc>
      </w:tr>
    </w:tbl>
    <w:p>
      <w:pPr>
        <w:pStyle w:val="19"/>
        <w:snapToGrid w:val="0"/>
        <w:spacing w:before="240"/>
        <w:rPr>
          <w:rFonts w:ascii="仿宋" w:hAnsi="仿宋" w:eastAsia="仿宋"/>
          <w:color w:val="000000"/>
          <w:kern w:val="0"/>
          <w:sz w:val="30"/>
          <w:szCs w:val="30"/>
        </w:rPr>
      </w:pPr>
      <w:r>
        <w:rPr>
          <w:rFonts w:hint="eastAsia" w:ascii="仿宋" w:hAnsi="仿宋" w:eastAsia="仿宋"/>
          <w:color w:val="000000"/>
          <w:sz w:val="30"/>
          <w:szCs w:val="30"/>
        </w:rPr>
        <w:t>授权代表签名：</w:t>
      </w:r>
      <w:r>
        <w:rPr>
          <w:rFonts w:hint="eastAsia" w:ascii="仿宋" w:hAnsi="仿宋" w:eastAsia="仿宋"/>
          <w:color w:val="000000"/>
          <w:sz w:val="30"/>
          <w:szCs w:val="30"/>
          <w:u w:val="single"/>
        </w:rPr>
        <w:t>　　　　　</w:t>
      </w:r>
      <w:r>
        <w:rPr>
          <w:rFonts w:hint="eastAsia" w:ascii="仿宋" w:hAnsi="仿宋" w:eastAsia="仿宋"/>
          <w:color w:val="000000"/>
          <w:sz w:val="30"/>
          <w:szCs w:val="30"/>
        </w:rPr>
        <w:t xml:space="preserve">                                            时  间：</w:t>
      </w:r>
    </w:p>
    <w:p>
      <w:pPr>
        <w:widowControl/>
        <w:jc w:val="left"/>
        <w:rPr>
          <w:rFonts w:ascii="仿宋" w:hAnsi="仿宋" w:eastAsia="仿宋"/>
          <w:color w:val="000000"/>
          <w:kern w:val="0"/>
          <w:sz w:val="30"/>
          <w:szCs w:val="30"/>
        </w:rPr>
        <w:sectPr>
          <w:pgSz w:w="16838" w:h="11906" w:orient="landscape"/>
          <w:pgMar w:top="1797" w:right="1474" w:bottom="1797" w:left="1247" w:header="851" w:footer="851" w:gutter="0"/>
          <w:cols w:space="720" w:num="1"/>
        </w:sectPr>
      </w:pPr>
    </w:p>
    <w:p>
      <w:pPr>
        <w:snapToGrid w:val="0"/>
        <w:spacing w:before="156" w:beforeLines="50" w:after="50"/>
        <w:rPr>
          <w:rFonts w:ascii="仿宋" w:hAnsi="仿宋" w:eastAsia="仿宋"/>
          <w:b/>
          <w:color w:val="000000"/>
          <w:sz w:val="30"/>
          <w:szCs w:val="30"/>
        </w:rPr>
      </w:pPr>
      <w:r>
        <w:rPr>
          <w:rFonts w:hint="eastAsia" w:ascii="仿宋" w:hAnsi="仿宋" w:eastAsia="仿宋"/>
          <w:color w:val="000000"/>
          <w:sz w:val="30"/>
          <w:szCs w:val="30"/>
        </w:rPr>
        <w:t>附件16</w:t>
      </w:r>
      <w:r>
        <w:rPr>
          <w:rFonts w:hint="eastAsia" w:ascii="仿宋" w:hAnsi="仿宋" w:eastAsia="仿宋"/>
          <w:b/>
          <w:color w:val="000000"/>
          <w:sz w:val="30"/>
          <w:szCs w:val="30"/>
        </w:rPr>
        <w:t xml:space="preserve">：                                    </w:t>
      </w:r>
    </w:p>
    <w:p>
      <w:pPr>
        <w:spacing w:before="312" w:beforeLines="100" w:line="240" w:lineRule="atLeast"/>
        <w:jc w:val="center"/>
        <w:rPr>
          <w:rFonts w:ascii="仿宋" w:hAnsi="仿宋" w:eastAsia="仿宋"/>
          <w:b/>
          <w:color w:val="000000"/>
          <w:spacing w:val="40"/>
          <w:sz w:val="52"/>
          <w:szCs w:val="52"/>
        </w:rPr>
      </w:pPr>
      <w:bookmarkStart w:id="48" w:name="PO_1000000445_PM002_1"/>
      <w:r>
        <w:rPr>
          <w:rFonts w:hint="eastAsia" w:ascii="仿宋" w:hAnsi="仿宋" w:eastAsia="仿宋"/>
          <w:b/>
          <w:color w:val="000000"/>
          <w:spacing w:val="40"/>
          <w:sz w:val="52"/>
          <w:szCs w:val="52"/>
        </w:rPr>
        <w:t>浙江省大数据发展管理局省电子政务网络运行维护及备份网络项目</w:t>
      </w:r>
      <w:bookmarkEnd w:id="48"/>
    </w:p>
    <w:p>
      <w:pPr>
        <w:spacing w:before="312" w:beforeLines="100" w:line="240" w:lineRule="atLeast"/>
        <w:jc w:val="center"/>
        <w:rPr>
          <w:rFonts w:ascii="仿宋" w:hAnsi="仿宋" w:eastAsia="仿宋"/>
          <w:color w:val="000000"/>
          <w:sz w:val="36"/>
          <w:szCs w:val="36"/>
        </w:rPr>
      </w:pPr>
      <w:r>
        <w:rPr>
          <w:rFonts w:hint="eastAsia" w:ascii="仿宋" w:hAnsi="仿宋" w:eastAsia="仿宋"/>
          <w:color w:val="000000"/>
          <w:sz w:val="36"/>
          <w:szCs w:val="36"/>
        </w:rPr>
        <w:t>项目编号：</w:t>
      </w:r>
      <w:bookmarkStart w:id="49" w:name="PO_1000000445_PM001"/>
      <w:r>
        <w:rPr>
          <w:rFonts w:ascii="仿宋" w:hAnsi="仿宋" w:eastAsia="仿宋"/>
          <w:b/>
          <w:color w:val="000000"/>
          <w:sz w:val="36"/>
          <w:szCs w:val="36"/>
        </w:rPr>
        <w:t>ZZCG2023T-GK-139</w:t>
      </w:r>
      <w:bookmarkEnd w:id="49"/>
      <w:r>
        <w:rPr>
          <w:rFonts w:hint="eastAsia" w:ascii="仿宋" w:hAnsi="仿宋" w:eastAsia="仿宋"/>
          <w:color w:val="000000"/>
          <w:sz w:val="36"/>
          <w:szCs w:val="36"/>
        </w:rPr>
        <w:t>（标项  ）</w:t>
      </w:r>
    </w:p>
    <w:p>
      <w:pPr>
        <w:spacing w:after="100" w:afterAutospacing="1" w:line="800" w:lineRule="exact"/>
        <w:ind w:right="-108"/>
        <w:jc w:val="center"/>
        <w:rPr>
          <w:rFonts w:ascii="仿宋" w:hAnsi="仿宋" w:eastAsia="仿宋"/>
          <w:b/>
          <w:color w:val="000000"/>
          <w:spacing w:val="40"/>
          <w:sz w:val="84"/>
          <w:szCs w:val="84"/>
        </w:rPr>
      </w:pP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报</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价</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文</w:t>
      </w:r>
    </w:p>
    <w:p>
      <w:pPr>
        <w:spacing w:after="100" w:afterAutospacing="1"/>
        <w:ind w:right="-108"/>
        <w:jc w:val="center"/>
        <w:rPr>
          <w:rFonts w:ascii="仿宋" w:hAnsi="仿宋" w:eastAsia="仿宋"/>
          <w:b/>
          <w:color w:val="000000"/>
          <w:spacing w:val="40"/>
          <w:sz w:val="84"/>
          <w:szCs w:val="84"/>
        </w:rPr>
      </w:pPr>
      <w:r>
        <w:rPr>
          <w:rFonts w:hint="eastAsia" w:ascii="仿宋" w:hAnsi="仿宋" w:eastAsia="仿宋"/>
          <w:b/>
          <w:color w:val="000000"/>
          <w:spacing w:val="40"/>
          <w:sz w:val="84"/>
          <w:szCs w:val="84"/>
        </w:rPr>
        <w:t>件</w:t>
      </w:r>
    </w:p>
    <w:p>
      <w:pPr>
        <w:spacing w:line="500" w:lineRule="exact"/>
        <w:ind w:right="532"/>
        <w:jc w:val="center"/>
        <w:rPr>
          <w:rFonts w:ascii="仿宋" w:hAnsi="仿宋" w:eastAsia="仿宋"/>
          <w:color w:val="000000"/>
          <w:sz w:val="36"/>
          <w:szCs w:val="36"/>
        </w:rPr>
      </w:pPr>
    </w:p>
    <w:p>
      <w:pPr>
        <w:spacing w:line="500" w:lineRule="exact"/>
        <w:ind w:right="532" w:firstLine="720" w:firstLineChars="200"/>
        <w:rPr>
          <w:rFonts w:ascii="仿宋" w:hAnsi="仿宋" w:eastAsia="仿宋"/>
          <w:color w:val="000000"/>
          <w:sz w:val="36"/>
          <w:szCs w:val="36"/>
        </w:rPr>
      </w:pPr>
      <w:r>
        <w:rPr>
          <w:rFonts w:hint="eastAsia" w:ascii="仿宋" w:hAnsi="仿宋" w:eastAsia="仿宋"/>
          <w:color w:val="000000"/>
          <w:sz w:val="36"/>
          <w:szCs w:val="36"/>
        </w:rPr>
        <w:t>投标人全称：</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地    址：</w:t>
      </w:r>
    </w:p>
    <w:p>
      <w:pPr>
        <w:wordWrap w:val="0"/>
        <w:spacing w:line="500" w:lineRule="exact"/>
        <w:ind w:right="-108" w:firstLine="720" w:firstLineChars="200"/>
        <w:rPr>
          <w:rFonts w:ascii="仿宋" w:hAnsi="仿宋" w:eastAsia="仿宋"/>
          <w:color w:val="000000"/>
          <w:sz w:val="36"/>
          <w:szCs w:val="36"/>
        </w:rPr>
      </w:pPr>
      <w:r>
        <w:rPr>
          <w:rFonts w:hint="eastAsia" w:ascii="仿宋" w:hAnsi="仿宋" w:eastAsia="仿宋"/>
          <w:color w:val="000000"/>
          <w:sz w:val="36"/>
          <w:szCs w:val="36"/>
        </w:rPr>
        <w:t>时    间：</w:t>
      </w:r>
    </w:p>
    <w:p>
      <w:pPr>
        <w:pStyle w:val="34"/>
        <w:snapToGrid w:val="0"/>
        <w:spacing w:after="120"/>
        <w:ind w:left="0" w:leftChars="0"/>
        <w:rPr>
          <w:rFonts w:hint="eastAsia" w:ascii="仿宋" w:hAnsi="仿宋" w:eastAsia="仿宋"/>
          <w:color w:val="000000"/>
          <w:sz w:val="36"/>
          <w:szCs w:val="36"/>
        </w:rPr>
      </w:pPr>
    </w:p>
    <w:p>
      <w:pPr>
        <w:pStyle w:val="34"/>
        <w:snapToGrid w:val="0"/>
        <w:spacing w:after="120"/>
        <w:ind w:left="0" w:leftChars="0"/>
        <w:rPr>
          <w:rFonts w:hint="eastAsia" w:ascii="仿宋" w:hAnsi="仿宋" w:eastAsia="仿宋"/>
          <w:color w:val="000000"/>
          <w:sz w:val="36"/>
          <w:szCs w:val="36"/>
        </w:rPr>
      </w:pPr>
    </w:p>
    <w:p>
      <w:pPr>
        <w:pStyle w:val="34"/>
        <w:snapToGrid w:val="0"/>
        <w:spacing w:after="120"/>
        <w:ind w:left="0" w:leftChars="0"/>
        <w:rPr>
          <w:rFonts w:hint="eastAsia" w:ascii="仿宋" w:hAnsi="仿宋" w:eastAsia="仿宋"/>
          <w:color w:val="000000"/>
          <w:sz w:val="36"/>
          <w:szCs w:val="36"/>
        </w:rPr>
      </w:pPr>
    </w:p>
    <w:p>
      <w:pPr>
        <w:pStyle w:val="34"/>
        <w:snapToGrid w:val="0"/>
        <w:spacing w:after="120"/>
        <w:ind w:left="0" w:leftChars="0"/>
        <w:rPr>
          <w:rFonts w:ascii="仿宋" w:hAnsi="仿宋" w:eastAsia="仿宋"/>
          <w:b/>
          <w:color w:val="000000"/>
          <w:sz w:val="36"/>
          <w:szCs w:val="36"/>
        </w:rPr>
      </w:pPr>
      <w:r>
        <w:rPr>
          <w:rFonts w:hint="eastAsia" w:ascii="仿宋" w:hAnsi="仿宋" w:eastAsia="仿宋"/>
          <w:color w:val="000000"/>
          <w:sz w:val="36"/>
          <w:szCs w:val="36"/>
        </w:rPr>
        <w:t>3、</w:t>
      </w:r>
      <w:r>
        <w:rPr>
          <w:rFonts w:hint="eastAsia" w:ascii="仿宋" w:hAnsi="仿宋" w:eastAsia="仿宋"/>
          <w:b/>
          <w:color w:val="000000"/>
          <w:sz w:val="36"/>
          <w:szCs w:val="36"/>
        </w:rPr>
        <w:t>报价文件目录</w:t>
      </w:r>
    </w:p>
    <w:p>
      <w:pPr>
        <w:rPr>
          <w:rFonts w:ascii="仿宋" w:hAnsi="仿宋" w:eastAsia="仿宋"/>
          <w:color w:val="000000"/>
        </w:rPr>
      </w:pP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（1）开标一览表（见附件17）；</w:t>
      </w:r>
    </w:p>
    <w:p>
      <w:pPr>
        <w:pStyle w:val="34"/>
        <w:snapToGrid w:val="0"/>
        <w:spacing w:after="120" w:line="460" w:lineRule="exact"/>
        <w:ind w:left="0" w:leftChars="0"/>
        <w:rPr>
          <w:rFonts w:ascii="仿宋" w:hAnsi="仿宋" w:eastAsia="仿宋"/>
          <w:color w:val="000000"/>
          <w:sz w:val="30"/>
          <w:szCs w:val="30"/>
        </w:rPr>
      </w:pPr>
      <w:r>
        <w:rPr>
          <w:rFonts w:hint="eastAsia" w:ascii="仿宋" w:hAnsi="仿宋" w:eastAsia="仿宋"/>
          <w:color w:val="000000"/>
          <w:sz w:val="30"/>
          <w:szCs w:val="30"/>
        </w:rPr>
        <w:t>（2）投标人针对报价需要说明的其他文件和说明（格式自拟）；</w:t>
      </w:r>
    </w:p>
    <w:p>
      <w:pPr>
        <w:snapToGrid w:val="0"/>
        <w:spacing w:line="460" w:lineRule="exact"/>
        <w:jc w:val="left"/>
        <w:rPr>
          <w:rFonts w:ascii="仿宋" w:hAnsi="仿宋" w:eastAsia="仿宋"/>
          <w:color w:val="000000"/>
        </w:rPr>
      </w:pPr>
      <w:r>
        <w:rPr>
          <w:rFonts w:hint="eastAsia" w:ascii="仿宋" w:hAnsi="仿宋" w:eastAsia="仿宋"/>
          <w:color w:val="000000"/>
          <w:sz w:val="30"/>
          <w:szCs w:val="30"/>
        </w:rPr>
        <w:t>（</w:t>
      </w:r>
      <w:r>
        <w:rPr>
          <w:rFonts w:ascii="仿宋" w:hAnsi="仿宋" w:eastAsia="仿宋"/>
          <w:color w:val="000000"/>
          <w:sz w:val="30"/>
          <w:szCs w:val="30"/>
        </w:rPr>
        <w:t>3</w:t>
      </w:r>
      <w:r>
        <w:rPr>
          <w:rFonts w:hint="eastAsia" w:ascii="仿宋" w:hAnsi="仿宋" w:eastAsia="仿宋"/>
          <w:color w:val="000000"/>
          <w:sz w:val="30"/>
          <w:szCs w:val="30"/>
        </w:rPr>
        <w:t>）中小企业声明函（若需要，格式见附件7）；</w:t>
      </w:r>
    </w:p>
    <w:p>
      <w:pPr>
        <w:snapToGrid w:val="0"/>
        <w:spacing w:line="460" w:lineRule="exact"/>
        <w:jc w:val="left"/>
        <w:rPr>
          <w:rFonts w:ascii="仿宋" w:hAnsi="仿宋" w:eastAsia="仿宋"/>
          <w:color w:val="000000"/>
          <w:sz w:val="30"/>
          <w:szCs w:val="30"/>
        </w:rPr>
      </w:pPr>
      <w:r>
        <w:rPr>
          <w:rFonts w:hint="eastAsia" w:ascii="仿宋" w:hAnsi="仿宋" w:eastAsia="仿宋"/>
          <w:color w:val="000000"/>
          <w:sz w:val="30"/>
          <w:szCs w:val="30"/>
        </w:rPr>
        <w:t>（</w:t>
      </w:r>
      <w:r>
        <w:rPr>
          <w:rFonts w:ascii="仿宋" w:hAnsi="仿宋" w:eastAsia="仿宋"/>
          <w:color w:val="000000"/>
          <w:sz w:val="30"/>
          <w:szCs w:val="30"/>
        </w:rPr>
        <w:t>4</w:t>
      </w:r>
      <w:r>
        <w:rPr>
          <w:rFonts w:hint="eastAsia" w:ascii="仿宋" w:hAnsi="仿宋" w:eastAsia="仿宋"/>
          <w:color w:val="000000"/>
          <w:sz w:val="30"/>
          <w:szCs w:val="30"/>
        </w:rPr>
        <w:t>）残疾人福利企业声明函（若需要，格式见附件8）；</w:t>
      </w:r>
    </w:p>
    <w:p>
      <w:pPr>
        <w:pStyle w:val="31"/>
        <w:snapToGrid w:val="0"/>
        <w:spacing w:before="156" w:after="156" w:line="240" w:lineRule="auto"/>
        <w:jc w:val="left"/>
        <w:rPr>
          <w:rFonts w:ascii="仿宋" w:hAnsi="仿宋" w:eastAsia="仿宋"/>
          <w:b/>
          <w:color w:val="000000"/>
          <w:sz w:val="36"/>
          <w:szCs w:val="36"/>
        </w:rPr>
      </w:pPr>
      <w:r>
        <w:rPr>
          <w:rFonts w:hint="eastAsia" w:ascii="仿宋" w:hAnsi="仿宋" w:eastAsia="仿宋"/>
          <w:color w:val="000000"/>
          <w:kern w:val="0"/>
          <w:sz w:val="30"/>
          <w:szCs w:val="30"/>
        </w:rPr>
        <w:br w:type="page"/>
      </w:r>
      <w:r>
        <w:rPr>
          <w:rFonts w:hint="eastAsia" w:ascii="仿宋" w:hAnsi="仿宋" w:eastAsia="仿宋"/>
          <w:color w:val="000000"/>
          <w:sz w:val="30"/>
          <w:szCs w:val="30"/>
        </w:rPr>
        <w:t>附件17：</w:t>
      </w:r>
    </w:p>
    <w:p>
      <w:pPr>
        <w:pStyle w:val="31"/>
        <w:snapToGrid w:val="0"/>
        <w:spacing w:before="156" w:after="156" w:line="240" w:lineRule="auto"/>
        <w:ind w:firstLine="1084" w:firstLineChars="300"/>
        <w:jc w:val="center"/>
        <w:rPr>
          <w:rFonts w:hAnsi="宋体"/>
          <w:b/>
          <w:color w:val="000000"/>
          <w:sz w:val="36"/>
          <w:szCs w:val="36"/>
        </w:rPr>
      </w:pPr>
      <w:r>
        <w:rPr>
          <w:rFonts w:hint="eastAsia" w:hAnsi="宋体"/>
          <w:b/>
          <w:color w:val="000000"/>
          <w:sz w:val="36"/>
          <w:szCs w:val="36"/>
        </w:rPr>
        <w:t>开 标 一 览 表</w:t>
      </w:r>
    </w:p>
    <w:p>
      <w:pPr>
        <w:pStyle w:val="31"/>
        <w:snapToGrid w:val="0"/>
        <w:spacing w:before="156" w:after="156"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货物</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名称</w:t>
            </w:r>
          </w:p>
        </w:tc>
        <w:tc>
          <w:tcPr>
            <w:tcW w:w="67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品牌</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产地</w:t>
            </w:r>
          </w:p>
        </w:tc>
        <w:tc>
          <w:tcPr>
            <w:tcW w:w="1029"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规格</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67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02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Cs w:val="21"/>
              </w:rPr>
              <w:t>是否中小企业</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color w:val="000000"/>
                <w:sz w:val="24"/>
                <w:szCs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4"/>
          <w:szCs w:val="24"/>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ind w:firstLine="2400" w:firstLineChars="80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hAnsi="宋体"/>
          <w:b/>
          <w:color w:val="000000"/>
          <w:sz w:val="36"/>
          <w:szCs w:val="36"/>
        </w:rPr>
        <w:t>开 标 一 览 表</w:t>
      </w:r>
    </w:p>
    <w:p>
      <w:pPr>
        <w:pStyle w:val="31"/>
        <w:snapToGrid w:val="0"/>
        <w:spacing w:before="156" w:after="156"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服务内容</w:t>
            </w:r>
          </w:p>
        </w:tc>
        <w:tc>
          <w:tcPr>
            <w:tcW w:w="1845"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服务人员数量</w:t>
            </w:r>
          </w:p>
        </w:tc>
        <w:tc>
          <w:tcPr>
            <w:tcW w:w="957"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工作量</w:t>
            </w:r>
          </w:p>
        </w:tc>
        <w:tc>
          <w:tcPr>
            <w:tcW w:w="85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w:t>
            </w:r>
          </w:p>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（元）</w:t>
            </w:r>
          </w:p>
        </w:tc>
        <w:tc>
          <w:tcPr>
            <w:tcW w:w="89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7827"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84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5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9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8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是否中小企业承接</w:t>
            </w:r>
          </w:p>
        </w:tc>
        <w:tc>
          <w:tcPr>
            <w:tcW w:w="708"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Cs w:val="21"/>
              </w:rPr>
            </w:pPr>
            <w:r>
              <w:rPr>
                <w:rFonts w:hint="eastAsia" w:ascii="仿宋" w:hAnsi="仿宋" w:eastAsia="仿宋"/>
                <w:b/>
                <w:color w:val="000000"/>
                <w:szCs w:val="21"/>
              </w:rPr>
              <w:t>企业全称</w:t>
            </w:r>
          </w:p>
        </w:tc>
        <w:tc>
          <w:tcPr>
            <w:tcW w:w="1134"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13"/>
                <w:szCs w:val="13"/>
              </w:rPr>
            </w:pPr>
            <w:r>
              <w:rPr>
                <w:rFonts w:hint="eastAsia" w:ascii="仿宋" w:hAnsi="仿宋" w:eastAsia="仿宋"/>
                <w:b/>
                <w:color w:val="000000"/>
                <w:sz w:val="13"/>
                <w:szCs w:val="13"/>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b/>
                <w:color w:val="000000"/>
                <w:sz w:val="24"/>
                <w:szCs w:val="24"/>
              </w:rPr>
            </w:pPr>
            <w:r>
              <w:rPr>
                <w:rFonts w:hint="eastAsia" w:ascii="仿宋" w:hAnsi="仿宋" w:eastAsia="仿宋"/>
                <w:b/>
                <w:color w:val="000000"/>
                <w:sz w:val="24"/>
              </w:rPr>
              <w:t>4</w:t>
            </w:r>
            <w:r>
              <w:rPr>
                <w:rFonts w:hint="eastAsia" w:ascii="仿宋" w:hAnsi="仿宋" w:eastAsia="仿宋"/>
                <w:b/>
                <w:color w:val="000000"/>
                <w:sz w:val="24"/>
                <w:szCs w:val="24"/>
              </w:rPr>
              <w:t>.开标时，招标方在电子交易平台公开投标人的报价信息，投标人对报价信息进行确认。投标人对报价信息不予确认的不影响后续评标过程。</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360" w:lineRule="auto"/>
        <w:rPr>
          <w:rFonts w:ascii="仿宋" w:hAnsi="仿宋" w:eastAsia="仿宋"/>
          <w:color w:val="000000"/>
          <w:sz w:val="30"/>
          <w:szCs w:val="30"/>
        </w:rPr>
      </w:pPr>
    </w:p>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snapToGrid w:val="0"/>
        <w:spacing w:line="360" w:lineRule="auto"/>
        <w:ind w:firstLine="2100" w:firstLineChars="700"/>
        <w:rPr>
          <w:rFonts w:ascii="仿宋" w:hAnsi="仿宋" w:eastAsia="仿宋"/>
          <w:color w:val="000000"/>
          <w:sz w:val="30"/>
          <w:szCs w:val="30"/>
        </w:rPr>
      </w:pPr>
      <w:r>
        <w:rPr>
          <w:rFonts w:hint="eastAsia" w:ascii="仿宋" w:hAnsi="仿宋" w:eastAsia="仿宋"/>
          <w:color w:val="000000"/>
          <w:kern w:val="0"/>
          <w:sz w:val="30"/>
          <w:szCs w:val="30"/>
        </w:rPr>
        <w:br w:type="page"/>
      </w:r>
      <w:r>
        <w:rPr>
          <w:rFonts w:hint="eastAsia" w:hAnsi="宋体"/>
          <w:b/>
          <w:color w:val="000000"/>
          <w:sz w:val="36"/>
          <w:szCs w:val="36"/>
        </w:rPr>
        <w:t>开 标 一 览 表</w:t>
      </w:r>
    </w:p>
    <w:p>
      <w:pPr>
        <w:pStyle w:val="31"/>
        <w:snapToGrid w:val="0"/>
        <w:spacing w:before="156" w:after="156" w:line="240" w:lineRule="auto"/>
        <w:ind w:firstLine="1084" w:firstLineChars="300"/>
        <w:jc w:val="center"/>
        <w:rPr>
          <w:rFonts w:ascii="仿宋" w:hAnsi="仿宋" w:eastAsia="仿宋"/>
          <w:b/>
          <w:color w:val="000000"/>
          <w:sz w:val="36"/>
          <w:szCs w:val="36"/>
        </w:rPr>
      </w:pPr>
    </w:p>
    <w:p>
      <w:pPr>
        <w:snapToGrid w:val="0"/>
        <w:rPr>
          <w:rFonts w:ascii="仿宋" w:hAnsi="仿宋" w:eastAsia="仿宋"/>
          <w:color w:val="000000"/>
          <w:sz w:val="28"/>
          <w:szCs w:val="28"/>
          <w:u w:val="single"/>
        </w:rPr>
      </w:pPr>
      <w:r>
        <w:rPr>
          <w:rFonts w:hint="eastAsia" w:ascii="仿宋" w:hAnsi="仿宋" w:eastAsia="仿宋"/>
          <w:color w:val="000000"/>
          <w:sz w:val="28"/>
          <w:szCs w:val="28"/>
        </w:rPr>
        <w:t>投标人全称（公章）：</w:t>
      </w:r>
      <w:r>
        <w:rPr>
          <w:rFonts w:hint="eastAsia" w:ascii="仿宋" w:hAnsi="仿宋" w:eastAsia="仿宋"/>
          <w:color w:val="000000"/>
          <w:sz w:val="28"/>
          <w:szCs w:val="28"/>
          <w:u w:val="single"/>
        </w:rPr>
        <w:t xml:space="preserve">             </w:t>
      </w:r>
    </w:p>
    <w:p>
      <w:pPr>
        <w:snapToGrid w:val="0"/>
        <w:rPr>
          <w:rFonts w:ascii="仿宋" w:hAnsi="仿宋" w:eastAsia="仿宋"/>
          <w:color w:val="000000"/>
          <w:sz w:val="28"/>
          <w:szCs w:val="28"/>
        </w:rPr>
      </w:pPr>
    </w:p>
    <w:p>
      <w:pPr>
        <w:snapToGrid w:val="0"/>
        <w:rPr>
          <w:rFonts w:ascii="仿宋" w:hAnsi="仿宋" w:eastAsia="仿宋"/>
          <w:b/>
          <w:color w:val="000000"/>
          <w:sz w:val="28"/>
          <w:szCs w:val="28"/>
          <w:u w:val="single"/>
        </w:rPr>
      </w:pPr>
      <w:r>
        <w:rPr>
          <w:rFonts w:hint="eastAsia" w:ascii="仿宋" w:hAnsi="仿宋" w:eastAsia="仿宋"/>
          <w:color w:val="000000"/>
          <w:sz w:val="28"/>
          <w:szCs w:val="28"/>
        </w:rPr>
        <w:t>招标编号及标项：</w:t>
      </w:r>
      <w:r>
        <w:rPr>
          <w:rFonts w:hint="eastAsia" w:ascii="仿宋" w:hAnsi="仿宋" w:eastAsia="仿宋"/>
          <w:color w:val="000000"/>
          <w:sz w:val="28"/>
          <w:szCs w:val="28"/>
          <w:u w:val="single"/>
        </w:rPr>
        <w:t xml:space="preserve">               </w:t>
      </w:r>
    </w:p>
    <w:p>
      <w:pPr>
        <w:snapToGrid w:val="0"/>
        <w:rPr>
          <w:rFonts w:ascii="仿宋" w:hAnsi="仿宋" w:eastAsia="仿宋"/>
          <w:b/>
          <w:color w:val="000000"/>
          <w:sz w:val="24"/>
          <w:szCs w:val="24"/>
          <w:u w:val="single"/>
        </w:rPr>
      </w:pPr>
    </w:p>
    <w:tbl>
      <w:tblPr>
        <w:tblStyle w:val="59"/>
        <w:tblW w:w="9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2"/>
        <w:gridCol w:w="563"/>
        <w:gridCol w:w="998"/>
        <w:gridCol w:w="993"/>
        <w:gridCol w:w="993"/>
        <w:gridCol w:w="851"/>
        <w:gridCol w:w="1422"/>
        <w:gridCol w:w="1278"/>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宋体" w:hAnsi="宋体" w:cs="宋体"/>
                <w:color w:val="000000"/>
                <w:kern w:val="0"/>
                <w:sz w:val="24"/>
              </w:rPr>
              <w:t>工程项目名称</w:t>
            </w:r>
          </w:p>
        </w:tc>
        <w:tc>
          <w:tcPr>
            <w:tcW w:w="99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施工范围</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具体内容</w:t>
            </w:r>
          </w:p>
        </w:tc>
        <w:tc>
          <w:tcPr>
            <w:tcW w:w="992"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施工工期</w:t>
            </w:r>
          </w:p>
        </w:tc>
        <w:tc>
          <w:tcPr>
            <w:tcW w:w="85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单价（元）</w:t>
            </w:r>
          </w:p>
        </w:tc>
        <w:tc>
          <w:tcPr>
            <w:tcW w:w="1421" w:type="dxa"/>
            <w:vMerge w:val="restart"/>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755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是否中小企业</w:t>
            </w: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7"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992"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85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421" w:type="dxa"/>
            <w:tcBorders>
              <w:top w:val="single" w:color="auto" w:sz="4" w:space="0"/>
              <w:left w:val="single" w:color="auto" w:sz="4" w:space="0"/>
              <w:bottom w:val="nil"/>
              <w:right w:val="single" w:color="auto" w:sz="4" w:space="0"/>
            </w:tcBorders>
            <w:noWrap w:val="0"/>
            <w:vAlign w:val="center"/>
          </w:tcPr>
          <w:p>
            <w:pPr>
              <w:widowControl/>
              <w:jc w:val="left"/>
              <w:rPr>
                <w:rFonts w:ascii="仿宋" w:hAnsi="仿宋" w:eastAsia="仿宋"/>
                <w:b/>
                <w:color w:val="000000"/>
                <w:sz w:val="24"/>
                <w:szCs w:val="24"/>
              </w:rPr>
            </w:pPr>
          </w:p>
        </w:tc>
        <w:tc>
          <w:tcPr>
            <w:tcW w:w="1277"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r>
              <w:rPr>
                <w:rFonts w:hint="eastAsia" w:ascii="仿宋" w:hAnsi="仿宋" w:eastAsia="仿宋"/>
                <w:b/>
                <w:color w:val="000000"/>
                <w:sz w:val="24"/>
                <w:szCs w:val="24"/>
              </w:rPr>
              <w:t>…</w:t>
            </w:r>
          </w:p>
        </w:tc>
        <w:tc>
          <w:tcPr>
            <w:tcW w:w="9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 w:hAnsi="仿宋" w:eastAsia="仿宋"/>
                <w:b/>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ascii="仿宋" w:hAnsi="仿宋" w:eastAsia="仿宋"/>
                <w:b/>
                <w:color w:val="000000"/>
                <w:sz w:val="24"/>
                <w:szCs w:val="24"/>
              </w:rPr>
            </w:pPr>
            <w:r>
              <w:rPr>
                <w:rFonts w:hint="eastAsia" w:ascii="仿宋" w:hAnsi="仿宋" w:eastAsia="仿宋"/>
                <w:b/>
                <w:color w:val="000000"/>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olor w:val="000000"/>
                <w:sz w:val="24"/>
                <w:szCs w:val="24"/>
              </w:rPr>
            </w:pPr>
            <w:r>
              <w:rPr>
                <w:rFonts w:hint="eastAsia" w:ascii="仿宋" w:hAnsi="仿宋" w:eastAsia="仿宋"/>
                <w:color w:val="000000"/>
                <w:sz w:val="24"/>
                <w:szCs w:val="24"/>
              </w:rPr>
              <w:t>备注</w:t>
            </w:r>
          </w:p>
        </w:tc>
        <w:tc>
          <w:tcPr>
            <w:tcW w:w="851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000000"/>
                <w:sz w:val="24"/>
                <w:szCs w:val="24"/>
              </w:rPr>
            </w:pPr>
            <w:r>
              <w:rPr>
                <w:rFonts w:hint="eastAsia" w:ascii="仿宋" w:hAnsi="仿宋" w:eastAsia="仿宋"/>
                <w:color w:val="000000"/>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color w:val="000000"/>
                <w:sz w:val="24"/>
                <w:szCs w:val="24"/>
              </w:rPr>
            </w:pPr>
            <w:r>
              <w:rPr>
                <w:rFonts w:hint="eastAsia" w:ascii="仿宋" w:hAnsi="仿宋" w:eastAsia="仿宋"/>
                <w:color w:val="000000"/>
                <w:sz w:val="24"/>
                <w:szCs w:val="24"/>
              </w:rPr>
              <w:t>2.报价要求：项目费用包括项目实施所需的工程费、工时费、服务费、运输费、安装调试费、税费及其他一切费用。</w:t>
            </w:r>
          </w:p>
          <w:p>
            <w:pPr>
              <w:snapToGrid w:val="0"/>
              <w:rPr>
                <w:rFonts w:ascii="仿宋" w:hAnsi="仿宋" w:eastAsia="仿宋"/>
                <w:color w:val="000000"/>
                <w:sz w:val="24"/>
                <w:szCs w:val="24"/>
              </w:rPr>
            </w:pPr>
            <w:r>
              <w:rPr>
                <w:rFonts w:hint="eastAsia" w:ascii="仿宋" w:hAnsi="仿宋" w:eastAsia="仿宋"/>
                <w:color w:val="000000"/>
                <w:sz w:val="24"/>
                <w:szCs w:val="24"/>
              </w:rPr>
              <w:t>3.报价中不允许出现报价优惠等字样,投标总价合计金额应与明细报价汇总相等。投标总价不为零，报价明细表中部分产品、服务单价为零的，视作已包含在总价中。</w:t>
            </w:r>
          </w:p>
          <w:p>
            <w:pPr>
              <w:snapToGrid w:val="0"/>
              <w:rPr>
                <w:rFonts w:ascii="仿宋" w:hAnsi="仿宋" w:eastAsia="仿宋"/>
                <w:color w:val="000000"/>
                <w:sz w:val="24"/>
                <w:szCs w:val="24"/>
              </w:rPr>
            </w:pPr>
            <w:r>
              <w:rPr>
                <w:rFonts w:hint="eastAsia" w:ascii="仿宋" w:hAnsi="仿宋" w:eastAsia="仿宋"/>
                <w:b/>
                <w:color w:val="000000"/>
                <w:sz w:val="24"/>
              </w:rPr>
              <w:t>4.</w:t>
            </w:r>
            <w:r>
              <w:rPr>
                <w:rFonts w:hint="eastAsia" w:ascii="仿宋" w:hAnsi="仿宋" w:eastAsia="仿宋"/>
                <w:color w:val="000000"/>
                <w:sz w:val="24"/>
                <w:szCs w:val="24"/>
              </w:rPr>
              <w:t>开标时，现场工作人员当众拆封，并宣布投标人名称、投标总价合计金额。</w:t>
            </w:r>
          </w:p>
          <w:p>
            <w:pPr>
              <w:snapToGrid w:val="0"/>
              <w:rPr>
                <w:rFonts w:ascii="仿宋" w:hAnsi="仿宋" w:eastAsia="仿宋"/>
                <w:color w:val="000000"/>
                <w:sz w:val="24"/>
                <w:szCs w:val="24"/>
              </w:rPr>
            </w:pPr>
            <w:r>
              <w:rPr>
                <w:rFonts w:hint="eastAsia" w:ascii="仿宋" w:hAnsi="仿宋" w:eastAsia="仿宋"/>
                <w:b/>
                <w:color w:val="000000"/>
                <w:sz w:val="24"/>
                <w:szCs w:val="24"/>
              </w:rPr>
              <w:t>5</w:t>
            </w:r>
            <w:r>
              <w:rPr>
                <w:rFonts w:ascii="仿宋" w:hAnsi="仿宋" w:eastAsia="仿宋"/>
                <w:b/>
                <w:color w:val="000000"/>
                <w:sz w:val="24"/>
                <w:szCs w:val="24"/>
              </w:rPr>
              <w:t>.</w:t>
            </w:r>
            <w:r>
              <w:rPr>
                <w:rFonts w:hint="eastAsia" w:ascii="仿宋" w:hAnsi="仿宋" w:eastAsia="仿宋"/>
                <w:b/>
                <w:color w:val="000000"/>
                <w:sz w:val="24"/>
                <w:szCs w:val="24"/>
              </w:rPr>
              <w:t>报价低于项目预算50%的，应当在报价文件中详细阐述不影响产品质量或者诚信履约的具体原因。</w:t>
            </w:r>
          </w:p>
        </w:tc>
      </w:tr>
    </w:tbl>
    <w:p>
      <w:pPr>
        <w:snapToGrid w:val="0"/>
        <w:spacing w:line="400" w:lineRule="exact"/>
        <w:jc w:val="left"/>
        <w:rPr>
          <w:rFonts w:ascii="仿宋" w:hAnsi="仿宋" w:eastAsia="仿宋"/>
          <w:color w:val="000000"/>
          <w:sz w:val="28"/>
          <w:szCs w:val="28"/>
        </w:rPr>
      </w:pPr>
      <w:r>
        <w:rPr>
          <w:rFonts w:hint="eastAsia" w:ascii="仿宋" w:hAnsi="仿宋" w:eastAsia="仿宋"/>
          <w:color w:val="000000"/>
          <w:sz w:val="28"/>
          <w:szCs w:val="28"/>
        </w:rPr>
        <w:t>授权代表签名：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日期：</w:t>
      </w:r>
      <w:r>
        <w:rPr>
          <w:rFonts w:hint="eastAsia" w:ascii="仿宋" w:hAnsi="仿宋" w:eastAsia="仿宋"/>
          <w:color w:val="000000"/>
          <w:sz w:val="28"/>
          <w:szCs w:val="28"/>
          <w:u w:val="single"/>
        </w:rPr>
        <w:t xml:space="preserve">        </w:t>
      </w:r>
    </w:p>
    <w:p>
      <w:pPr>
        <w:widowControl/>
        <w:tabs>
          <w:tab w:val="center" w:pos="4755"/>
          <w:tab w:val="right" w:pos="9070"/>
        </w:tabs>
        <w:jc w:val="left"/>
        <w:rPr>
          <w:rFonts w:ascii="宋体" w:cs="Arial"/>
          <w:color w:val="000000"/>
          <w:kern w:val="0"/>
          <w:sz w:val="18"/>
          <w:szCs w:val="18"/>
        </w:rPr>
      </w:pPr>
    </w:p>
    <w:p>
      <w:pPr>
        <w:pStyle w:val="40"/>
        <w:spacing w:after="120"/>
        <w:rPr>
          <w:color w:val="000000"/>
        </w:rPr>
      </w:pPr>
    </w:p>
    <w:p>
      <w:pPr>
        <w:rPr>
          <w:color w:val="00000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snapToGrid w:val="0"/>
        <w:spacing w:line="360" w:lineRule="auto"/>
        <w:rPr>
          <w:rFonts w:ascii="仿宋" w:hAnsi="仿宋" w:eastAsia="仿宋"/>
          <w:color w:val="000000"/>
          <w:sz w:val="30"/>
          <w:szCs w:val="30"/>
        </w:rPr>
      </w:pPr>
    </w:p>
    <w:p>
      <w:pPr>
        <w:rPr>
          <w:rFonts w:hint="eastAsia"/>
        </w:rPr>
      </w:pPr>
    </w:p>
    <w:p>
      <w:pPr>
        <w:rPr>
          <w:rFonts w:eastAsia="仿宋" w:cs="Times New Roman"/>
          <w:sz w:val="28"/>
          <w:szCs w:val="28"/>
        </w:rPr>
      </w:pPr>
    </w:p>
    <w:p>
      <w:pPr>
        <w:rPr>
          <w:color w:val="000000" w:themeColor="text1"/>
          <w14:textFill>
            <w14:solidFill>
              <w14:schemeClr w14:val="tx1"/>
            </w14:solidFill>
          </w14:textFill>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8"/>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09C96BD"/>
    <w:multiLevelType w:val="multilevel"/>
    <w:tmpl w:val="509C96BD"/>
    <w:lvl w:ilvl="0" w:tentative="0">
      <w:start w:val="1"/>
      <w:numFmt w:val="decimal"/>
      <w:lvlText w:val="%1."/>
      <w:lvlJc w:val="left"/>
      <w:pPr>
        <w:tabs>
          <w:tab w:val="left" w:pos="0"/>
        </w:tabs>
        <w:ind w:left="960" w:hanging="360"/>
      </w:pPr>
      <w:rPr>
        <w:u w:val="none"/>
      </w:rPr>
    </w:lvl>
    <w:lvl w:ilvl="1" w:tentative="0">
      <w:start w:val="1"/>
      <w:numFmt w:val="lowerLetter"/>
      <w:lvlText w:val="%2)"/>
      <w:lvlJc w:val="left"/>
      <w:pPr>
        <w:tabs>
          <w:tab w:val="left" w:pos="0"/>
        </w:tabs>
        <w:ind w:left="1440" w:hanging="420"/>
      </w:pPr>
    </w:lvl>
    <w:lvl w:ilvl="2" w:tentative="0">
      <w:start w:val="1"/>
      <w:numFmt w:val="lowerRoman"/>
      <w:lvlText w:val="%3."/>
      <w:lvlJc w:val="right"/>
      <w:pPr>
        <w:tabs>
          <w:tab w:val="left" w:pos="0"/>
        </w:tabs>
        <w:ind w:left="1860" w:hanging="420"/>
      </w:pPr>
    </w:lvl>
    <w:lvl w:ilvl="3" w:tentative="0">
      <w:start w:val="1"/>
      <w:numFmt w:val="decimal"/>
      <w:lvlText w:val="%4."/>
      <w:lvlJc w:val="left"/>
      <w:pPr>
        <w:tabs>
          <w:tab w:val="left" w:pos="0"/>
        </w:tabs>
        <w:ind w:left="2280" w:hanging="420"/>
      </w:pPr>
    </w:lvl>
    <w:lvl w:ilvl="4" w:tentative="0">
      <w:start w:val="1"/>
      <w:numFmt w:val="lowerLetter"/>
      <w:lvlText w:val="%5)"/>
      <w:lvlJc w:val="left"/>
      <w:pPr>
        <w:tabs>
          <w:tab w:val="left" w:pos="0"/>
        </w:tabs>
        <w:ind w:left="2700" w:hanging="420"/>
      </w:pPr>
    </w:lvl>
    <w:lvl w:ilvl="5" w:tentative="0">
      <w:start w:val="1"/>
      <w:numFmt w:val="lowerRoman"/>
      <w:lvlText w:val="%6."/>
      <w:lvlJc w:val="right"/>
      <w:pPr>
        <w:tabs>
          <w:tab w:val="left" w:pos="0"/>
        </w:tabs>
        <w:ind w:left="3120" w:hanging="420"/>
      </w:pPr>
    </w:lvl>
    <w:lvl w:ilvl="6" w:tentative="0">
      <w:start w:val="1"/>
      <w:numFmt w:val="decimal"/>
      <w:lvlText w:val="%7."/>
      <w:lvlJc w:val="left"/>
      <w:pPr>
        <w:tabs>
          <w:tab w:val="left" w:pos="0"/>
        </w:tabs>
        <w:ind w:left="3540" w:hanging="420"/>
      </w:pPr>
    </w:lvl>
    <w:lvl w:ilvl="7" w:tentative="0">
      <w:start w:val="1"/>
      <w:numFmt w:val="lowerLetter"/>
      <w:lvlText w:val="%8)"/>
      <w:lvlJc w:val="left"/>
      <w:pPr>
        <w:tabs>
          <w:tab w:val="left" w:pos="0"/>
        </w:tabs>
        <w:ind w:left="3960" w:hanging="420"/>
      </w:pPr>
    </w:lvl>
    <w:lvl w:ilvl="8" w:tentative="0">
      <w:start w:val="1"/>
      <w:numFmt w:val="lowerRoman"/>
      <w:lvlText w:val="%9."/>
      <w:lvlJc w:val="right"/>
      <w:pPr>
        <w:tabs>
          <w:tab w:val="left" w:pos="0"/>
        </w:tabs>
        <w:ind w:left="4380" w:hanging="420"/>
      </w:pPr>
    </w:lvl>
  </w:abstractNum>
  <w:abstractNum w:abstractNumId="23">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7">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7"/>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5"/>
  </w:num>
  <w:num w:numId="15">
    <w:abstractNumId w:val="18"/>
  </w:num>
  <w:num w:numId="16">
    <w:abstractNumId w:val="15"/>
  </w:num>
  <w:num w:numId="17">
    <w:abstractNumId w:val="4"/>
  </w:num>
  <w:num w:numId="18">
    <w:abstractNumId w:val="23"/>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6"/>
  </w:num>
  <w:num w:numId="27">
    <w:abstractNumId w:val="20"/>
  </w:num>
  <w:num w:numId="28">
    <w:abstractNumId w:val="10"/>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mNDcxMTE4MTk5OTNiOTdiMjZjY2U0NTY2M2M5YTM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42F48EA"/>
    <w:rsid w:val="052777A1"/>
    <w:rsid w:val="1E65645A"/>
    <w:rsid w:val="2089256C"/>
    <w:rsid w:val="20D25569"/>
    <w:rsid w:val="27CB1413"/>
    <w:rsid w:val="2F7E0CFF"/>
    <w:rsid w:val="4FE70EAE"/>
    <w:rsid w:val="4FEB66C3"/>
    <w:rsid w:val="5D385380"/>
    <w:rsid w:val="694E6E36"/>
    <w:rsid w:val="73397787"/>
    <w:rsid w:val="7A52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2" w:name="heading 2"/>
    <w:lsdException w:qFormat="1" w:uiPriority="2" w:name="heading 3"/>
    <w:lsdException w:qFormat="1" w:uiPriority="2" w:name="heading 4"/>
    <w:lsdException w:qFormat="1" w:uiPriority="2" w:name="heading 5"/>
    <w:lsdException w:qFormat="1" w:uiPriority="3"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uiPriority="39" w:name="toc 7"/>
    <w:lsdException w:qFormat="1" w:uiPriority="39" w:name="toc 8"/>
    <w:lsdException w:qFormat="1" w:uiPriority="39" w:name="toc 9"/>
    <w:lsdException w:uiPriority="99" w:name="Normal Indent"/>
    <w:lsdException w:qFormat="1"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qFormat="1"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2"/>
    <w:qFormat/>
    <w:uiPriority w:val="2"/>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229"/>
    <w:semiHidden/>
    <w:unhideWhenUsed/>
    <w:qFormat/>
    <w:uiPriority w:val="2"/>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semiHidden/>
    <w:unhideWhenUsed/>
    <w:qFormat/>
    <w:uiPriority w:val="2"/>
    <w:pPr>
      <w:keepNext/>
      <w:keepLines/>
      <w:spacing w:before="260" w:after="260" w:line="416" w:lineRule="auto"/>
      <w:outlineLvl w:val="2"/>
    </w:pPr>
    <w:rPr>
      <w:b/>
      <w:bCs/>
      <w:sz w:val="32"/>
      <w:szCs w:val="32"/>
    </w:rPr>
  </w:style>
  <w:style w:type="paragraph" w:styleId="6">
    <w:name w:val="heading 4"/>
    <w:basedOn w:val="5"/>
    <w:next w:val="1"/>
    <w:link w:val="75"/>
    <w:semiHidden/>
    <w:unhideWhenUsed/>
    <w:qFormat/>
    <w:uiPriority w:val="2"/>
    <w:pPr>
      <w:keepNext/>
      <w:keepLines/>
      <w:spacing w:before="280" w:after="290" w:line="376" w:lineRule="auto"/>
      <w:outlineLvl w:val="3"/>
    </w:pPr>
    <w:rPr>
      <w:rFonts w:ascii="Arial" w:hAnsi="Arial" w:eastAsia="黑体"/>
      <w:sz w:val="28"/>
      <w:szCs w:val="28"/>
    </w:rPr>
  </w:style>
  <w:style w:type="paragraph" w:styleId="7">
    <w:name w:val="heading 5"/>
    <w:basedOn w:val="6"/>
    <w:next w:val="1"/>
    <w:link w:val="76"/>
    <w:semiHidden/>
    <w:unhideWhenUsed/>
    <w:qFormat/>
    <w:uiPriority w:val="2"/>
    <w:pPr>
      <w:keepNext/>
      <w:keepLines/>
      <w:tabs>
        <w:tab w:val="left" w:pos="992"/>
      </w:tabs>
      <w:spacing w:before="280" w:after="290" w:line="376" w:lineRule="auto"/>
      <w:ind w:left="992" w:hanging="992"/>
      <w:outlineLvl w:val="4"/>
    </w:pPr>
    <w:rPr>
      <w:sz w:val="28"/>
      <w:szCs w:val="28"/>
    </w:rPr>
  </w:style>
  <w:style w:type="paragraph" w:styleId="8">
    <w:name w:val="heading 6"/>
    <w:basedOn w:val="7"/>
    <w:next w:val="1"/>
    <w:link w:val="77"/>
    <w:semiHidden/>
    <w:unhideWhenUsed/>
    <w:qFormat/>
    <w:uiPriority w:val="3"/>
    <w:pPr>
      <w:keepNext/>
      <w:keepLines/>
      <w:spacing w:before="240" w:after="64" w:line="320" w:lineRule="auto"/>
      <w:outlineLvl w:val="5"/>
    </w:pPr>
    <w:rPr>
      <w:rFonts w:ascii="Arial" w:hAnsi="Arial" w:eastAsia="黑体"/>
      <w:sz w:val="24"/>
      <w:szCs w:val="24"/>
    </w:rPr>
  </w:style>
  <w:style w:type="paragraph" w:styleId="9">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2">
    <w:name w:val="Body Text"/>
    <w:basedOn w:val="1"/>
    <w:link w:val="968"/>
    <w:semiHidden/>
    <w:unhideWhenUsed/>
    <w:qFormat/>
    <w:uiPriority w:val="99"/>
    <w:pPr>
      <w:spacing w:after="120"/>
    </w:pPr>
    <w:rPr>
      <w:sz w:val="28"/>
      <w:szCs w:val="24"/>
    </w:rPr>
  </w:style>
  <w:style w:type="paragraph" w:styleId="12">
    <w:name w:val="List 3"/>
    <w:basedOn w:val="1"/>
    <w:semiHidden/>
    <w:unhideWhenUsed/>
    <w:uiPriority w:val="99"/>
    <w:pPr>
      <w:ind w:left="100" w:leftChars="400" w:hanging="200" w:hangingChars="200"/>
    </w:pPr>
    <w:rPr>
      <w:rFonts w:ascii="Times New Roman" w:hAnsi="Times New Roman"/>
      <w:szCs w:val="20"/>
    </w:rPr>
  </w:style>
  <w:style w:type="paragraph" w:styleId="13">
    <w:name w:val="toc 7"/>
    <w:basedOn w:val="1"/>
    <w:next w:val="1"/>
    <w:semiHidden/>
    <w:unhideWhenUsed/>
    <w:uiPriority w:val="39"/>
    <w:pPr>
      <w:ind w:left="1260"/>
      <w:jc w:val="left"/>
    </w:pPr>
    <w:rPr>
      <w:rFonts w:ascii="Times New Roman" w:hAnsi="Times New Roman"/>
      <w:sz w:val="18"/>
      <w:szCs w:val="18"/>
    </w:rPr>
  </w:style>
  <w:style w:type="paragraph" w:styleId="14">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5">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6">
    <w:name w:val="List Bullet 4"/>
    <w:basedOn w:val="1"/>
    <w:semiHidden/>
    <w:unhideWhenUsed/>
    <w:uiPriority w:val="99"/>
    <w:pPr>
      <w:numPr>
        <w:ilvl w:val="0"/>
        <w:numId w:val="2"/>
      </w:numPr>
    </w:pPr>
    <w:rPr>
      <w:rFonts w:ascii="Times New Roman" w:hAnsi="Times New Roman"/>
      <w:szCs w:val="24"/>
    </w:rPr>
  </w:style>
  <w:style w:type="paragraph" w:styleId="17">
    <w:name w:val="List Number"/>
    <w:basedOn w:val="1"/>
    <w:semiHidden/>
    <w:unhideWhenUsed/>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8">
    <w:name w:val="Normal Indent"/>
    <w:basedOn w:val="1"/>
    <w:link w:val="372"/>
    <w:semiHidden/>
    <w:unhideWhenUsed/>
    <w:uiPriority w:val="99"/>
    <w:pPr>
      <w:ind w:firstLine="420"/>
    </w:pPr>
    <w:rPr>
      <w:szCs w:val="20"/>
    </w:rPr>
  </w:style>
  <w:style w:type="paragraph" w:styleId="19">
    <w:name w:val="caption"/>
    <w:basedOn w:val="1"/>
    <w:next w:val="1"/>
    <w:link w:val="107"/>
    <w:semiHidden/>
    <w:unhideWhenUsed/>
    <w:qFormat/>
    <w:uiPriority w:val="35"/>
    <w:pPr>
      <w:spacing w:before="152" w:after="160"/>
    </w:pPr>
    <w:rPr>
      <w:rFonts w:ascii="Arial" w:hAnsi="Arial" w:eastAsia="黑体"/>
      <w:sz w:val="20"/>
      <w:szCs w:val="20"/>
    </w:rPr>
  </w:style>
  <w:style w:type="paragraph" w:styleId="20">
    <w:name w:val="List Bullet"/>
    <w:basedOn w:val="1"/>
    <w:semiHidden/>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1">
    <w:name w:val="Document Map"/>
    <w:basedOn w:val="1"/>
    <w:link w:val="81"/>
    <w:semiHidden/>
    <w:unhideWhenUsed/>
    <w:uiPriority w:val="99"/>
    <w:rPr>
      <w:rFonts w:ascii="宋体"/>
      <w:sz w:val="18"/>
      <w:szCs w:val="18"/>
    </w:rPr>
  </w:style>
  <w:style w:type="paragraph" w:styleId="22">
    <w:name w:val="annotation text"/>
    <w:basedOn w:val="1"/>
    <w:link w:val="82"/>
    <w:semiHidden/>
    <w:unhideWhenUsed/>
    <w:qFormat/>
    <w:uiPriority w:val="99"/>
    <w:pPr>
      <w:jc w:val="left"/>
    </w:pPr>
  </w:style>
  <w:style w:type="paragraph" w:styleId="23">
    <w:name w:val="Salutation"/>
    <w:basedOn w:val="1"/>
    <w:next w:val="1"/>
    <w:link w:val="83"/>
    <w:semiHidden/>
    <w:unhideWhenUsed/>
    <w:qFormat/>
    <w:uiPriority w:val="99"/>
    <w:rPr>
      <w:rFonts w:ascii="宋体" w:hAnsi="Times New Roman"/>
      <w:b/>
      <w:sz w:val="28"/>
      <w:szCs w:val="20"/>
    </w:rPr>
  </w:style>
  <w:style w:type="paragraph" w:styleId="24">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5">
    <w:name w:val="Body Text Indent"/>
    <w:basedOn w:val="1"/>
    <w:link w:val="970"/>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1"/>
    <w:semiHidden/>
    <w:unhideWhenUsed/>
    <w:qFormat/>
    <w:uiPriority w:val="99"/>
    <w:rPr>
      <w:sz w:val="18"/>
      <w:szCs w:val="18"/>
    </w:rPr>
  </w:style>
  <w:style w:type="paragraph" w:styleId="38">
    <w:name w:val="footer"/>
    <w:basedOn w:val="1"/>
    <w:link w:val="245"/>
    <w:semiHidden/>
    <w:unhideWhenUsed/>
    <w:qFormat/>
    <w:uiPriority w:val="99"/>
    <w:pPr>
      <w:tabs>
        <w:tab w:val="center" w:pos="4153"/>
        <w:tab w:val="right" w:pos="8306"/>
      </w:tabs>
      <w:snapToGrid w:val="0"/>
      <w:jc w:val="left"/>
    </w:pPr>
    <w:rPr>
      <w:sz w:val="18"/>
      <w:szCs w:val="18"/>
    </w:rPr>
  </w:style>
  <w:style w:type="paragraph" w:styleId="39">
    <w:name w:val="header"/>
    <w:basedOn w:val="1"/>
    <w:link w:val="37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2"/>
    <w:next w:val="22"/>
    <w:link w:val="963"/>
    <w:semiHidden/>
    <w:unhideWhenUsed/>
    <w:qFormat/>
    <w:uiPriority w:val="99"/>
    <w:rPr>
      <w:b/>
      <w:bCs/>
    </w:rPr>
  </w:style>
  <w:style w:type="paragraph" w:styleId="57">
    <w:name w:val="Body Text First Indent"/>
    <w:basedOn w:val="2"/>
    <w:link w:val="102"/>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3"/>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5"/>
    <w:qFormat/>
    <w:uiPriority w:val="9"/>
    <w:rPr>
      <w:rFonts w:ascii="Calibri" w:hAnsi="Calibri" w:eastAsia="宋体" w:cs="Times New Roman"/>
      <w:b/>
      <w:bCs/>
      <w:sz w:val="32"/>
      <w:szCs w:val="32"/>
    </w:rPr>
  </w:style>
  <w:style w:type="character" w:customStyle="1" w:styleId="75">
    <w:name w:val="标题 4 字符"/>
    <w:basedOn w:val="64"/>
    <w:link w:val="6"/>
    <w:qFormat/>
    <w:uiPriority w:val="0"/>
    <w:rPr>
      <w:rFonts w:ascii="Arial" w:hAnsi="Arial" w:eastAsia="黑体" w:cs="Times New Roman"/>
      <w:b/>
      <w:bCs/>
      <w:sz w:val="28"/>
      <w:szCs w:val="28"/>
    </w:rPr>
  </w:style>
  <w:style w:type="character" w:customStyle="1" w:styleId="76">
    <w:name w:val="标题 5 字符"/>
    <w:basedOn w:val="64"/>
    <w:link w:val="7"/>
    <w:qFormat/>
    <w:uiPriority w:val="0"/>
    <w:rPr>
      <w:rFonts w:ascii="Calibri" w:hAnsi="Calibri" w:eastAsia="宋体" w:cs="Times New Roman"/>
      <w:b/>
      <w:bCs/>
      <w:sz w:val="28"/>
      <w:szCs w:val="28"/>
    </w:rPr>
  </w:style>
  <w:style w:type="character" w:customStyle="1" w:styleId="77">
    <w:name w:val="标题 6 字符"/>
    <w:basedOn w:val="64"/>
    <w:link w:val="8"/>
    <w:qFormat/>
    <w:uiPriority w:val="0"/>
    <w:rPr>
      <w:rFonts w:ascii="Arial" w:hAnsi="Arial" w:eastAsia="黑体" w:cs="Times New Roman"/>
      <w:b/>
      <w:bCs/>
      <w:sz w:val="24"/>
      <w:szCs w:val="24"/>
    </w:rPr>
  </w:style>
  <w:style w:type="character" w:customStyle="1" w:styleId="78">
    <w:name w:val="标题 7 字符"/>
    <w:basedOn w:val="64"/>
    <w:link w:val="9"/>
    <w:qFormat/>
    <w:uiPriority w:val="99"/>
    <w:rPr>
      <w:rFonts w:ascii="Calibri" w:hAnsi="Calibri" w:eastAsia="宋体" w:cs="Times New Roman"/>
      <w:b/>
      <w:bCs/>
      <w:sz w:val="24"/>
      <w:szCs w:val="24"/>
    </w:rPr>
  </w:style>
  <w:style w:type="character" w:customStyle="1" w:styleId="79">
    <w:name w:val="标题 8 字符"/>
    <w:basedOn w:val="64"/>
    <w:link w:val="10"/>
    <w:qFormat/>
    <w:uiPriority w:val="99"/>
    <w:rPr>
      <w:rFonts w:ascii="Cambria" w:hAnsi="Cambria" w:eastAsia="宋体" w:cs="Times New Roman"/>
      <w:sz w:val="24"/>
      <w:szCs w:val="24"/>
    </w:rPr>
  </w:style>
  <w:style w:type="character" w:customStyle="1" w:styleId="80">
    <w:name w:val="标题 9 字符"/>
    <w:basedOn w:val="64"/>
    <w:link w:val="11"/>
    <w:qFormat/>
    <w:uiPriority w:val="99"/>
    <w:rPr>
      <w:rFonts w:ascii="Cambria" w:hAnsi="Cambria" w:eastAsia="宋体" w:cs="Times New Roman"/>
      <w:szCs w:val="21"/>
    </w:rPr>
  </w:style>
  <w:style w:type="character" w:customStyle="1" w:styleId="81">
    <w:name w:val="文档结构图 字符"/>
    <w:basedOn w:val="64"/>
    <w:link w:val="21"/>
    <w:qFormat/>
    <w:uiPriority w:val="99"/>
    <w:rPr>
      <w:rFonts w:ascii="宋体" w:hAnsi="Calibri" w:eastAsia="宋体" w:cs="Times New Roman"/>
      <w:sz w:val="18"/>
      <w:szCs w:val="18"/>
    </w:rPr>
  </w:style>
  <w:style w:type="character" w:customStyle="1" w:styleId="82">
    <w:name w:val="批注文字 字符1"/>
    <w:basedOn w:val="64"/>
    <w:link w:val="22"/>
    <w:qFormat/>
    <w:uiPriority w:val="99"/>
    <w:rPr>
      <w:rFonts w:ascii="Calibri" w:hAnsi="Calibri" w:eastAsia="宋体" w:cs="Times New Roman"/>
    </w:rPr>
  </w:style>
  <w:style w:type="character" w:customStyle="1" w:styleId="83">
    <w:name w:val="称呼 字符"/>
    <w:basedOn w:val="64"/>
    <w:link w:val="23"/>
    <w:qFormat/>
    <w:uiPriority w:val="99"/>
    <w:rPr>
      <w:rFonts w:ascii="宋体" w:hAnsi="Times New Roman" w:eastAsia="宋体" w:cs="Times New Roman"/>
      <w:b/>
      <w:sz w:val="28"/>
      <w:szCs w:val="20"/>
    </w:rPr>
  </w:style>
  <w:style w:type="character" w:customStyle="1" w:styleId="84">
    <w:name w:val="正文文本 3 字符"/>
    <w:basedOn w:val="64"/>
    <w:link w:val="24"/>
    <w:qFormat/>
    <w:uiPriority w:val="99"/>
    <w:rPr>
      <w:rFonts w:ascii="Times New Roman" w:hAnsi="宋体" w:eastAsia="仿宋_GB2312" w:cs="Times New Roman"/>
      <w:b/>
      <w:bCs/>
      <w:sz w:val="24"/>
      <w:szCs w:val="20"/>
    </w:rPr>
  </w:style>
  <w:style w:type="character" w:customStyle="1" w:styleId="85">
    <w:name w:val="正文文本 字符1"/>
    <w:basedOn w:val="64"/>
    <w:link w:val="2"/>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2"/>
    <w:next w:val="22"/>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9"/>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9"/>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6"/>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9"/>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basedOn w:val="64"/>
    <w:link w:val="4"/>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8"/>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6"/>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8"/>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9"/>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9"/>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6"/>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4"/>
    <w:next w:val="5"/>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1"/>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5"/>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8"/>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2"/>
    <w:next w:val="22"/>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4"/>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5"/>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3"/>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4"/>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8"/>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3"/>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4"/>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4"/>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5"/>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6"/>
    <w:next w:val="6"/>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7"/>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4"/>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4"/>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5"/>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8"/>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4"/>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5"/>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4"/>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6"/>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7"/>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5"/>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2"/>
    <w:next w:val="22"/>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3"/>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basedOn w:val="64"/>
    <w:link w:val="2"/>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basedOn w:val="64"/>
    <w:link w:val="25"/>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3"/>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字符1"/>
    <w:basedOn w:val="64"/>
    <w:semiHidden/>
    <w:qFormat/>
    <w:uiPriority w:val="0"/>
    <w:rPr>
      <w:rFonts w:ascii="Calibri" w:hAnsi="Calibri" w:eastAsia="宋体" w:cs="Times New Roman"/>
    </w:rPr>
  </w:style>
  <w:style w:type="character" w:customStyle="1" w:styleId="982">
    <w:name w:val="正文文本 2 字符1"/>
    <w:basedOn w:val="64"/>
    <w:semiHidden/>
    <w:qFormat/>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5">
    <w:name w:val="项目圆"/>
    <w:basedOn w:val="1"/>
    <w:qFormat/>
    <w:uiPriority w:val="0"/>
    <w:pPr>
      <w:tabs>
        <w:tab w:val="left" w:pos="840"/>
      </w:tabs>
      <w:spacing w:beforeLines="50" w:line="360" w:lineRule="auto"/>
      <w:ind w:left="454"/>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41187</Words>
  <Characters>44152</Characters>
  <Lines>145</Lines>
  <Paragraphs>40</Paragraphs>
  <TotalTime>8</TotalTime>
  <ScaleCrop>false</ScaleCrop>
  <LinksUpToDate>false</LinksUpToDate>
  <CharactersWithSpaces>46263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2023-06-27T01:16:00Z</dcterms:created>
  <dc:creator>Administrator</dc:creator>
  <cp:lastModifiedBy>Administrator</cp:lastModifiedBy>
  <cp:lastPrinted>2021-01-25T02:12:00Z</cp:lastPrinted>
  <dcterms:modified xsi:type="dcterms:W3CDTF">2023-07-18T09:07:19Z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D6813BD6BEB24BEEA7555F9E89754553_12</vt:lpwstr>
  </property>
</Properties>
</file>