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C23C">
      <w:pPr>
        <w:spacing w:before="240" w:beforeLines="100" w:line="360" w:lineRule="auto"/>
        <w:jc w:val="center"/>
        <w:rPr>
          <w:rFonts w:ascii="宋体" w:hAnsi="宋体" w:eastAsia="宋体" w:cs="Times New Roman"/>
          <w:b/>
          <w:bCs/>
          <w:color w:val="000000"/>
          <w:sz w:val="52"/>
          <w:szCs w:val="52"/>
        </w:rPr>
      </w:pPr>
      <w:r>
        <w:rPr>
          <w:rFonts w:hint="eastAsia" w:ascii="宋体" w:hAnsi="宋体" w:eastAsia="宋体" w:cs="Times New Roman"/>
          <w:b/>
          <w:bCs/>
          <w:color w:val="000000"/>
          <w:sz w:val="52"/>
          <w:szCs w:val="52"/>
        </w:rPr>
        <w:t>浙江商业职业技术学院2025年多媒体教室升级改造</w:t>
      </w:r>
    </w:p>
    <w:p w14:paraId="4AAE7618">
      <w:pPr>
        <w:spacing w:before="240" w:beforeLines="100" w:line="360" w:lineRule="auto"/>
        <w:jc w:val="center"/>
        <w:rPr>
          <w:rFonts w:ascii="宋体" w:hAnsi="宋体" w:eastAsia="宋体" w:cs="Times New Roman"/>
          <w:color w:val="000000"/>
          <w:sz w:val="36"/>
          <w:szCs w:val="36"/>
        </w:rPr>
      </w:pPr>
      <w:r>
        <w:rPr>
          <w:rFonts w:hint="eastAsia" w:ascii="宋体" w:hAnsi="宋体" w:eastAsia="宋体" w:cs="Times New Roman"/>
          <w:color w:val="000000"/>
          <w:sz w:val="36"/>
          <w:szCs w:val="36"/>
        </w:rPr>
        <w:t>项目编号：ZZCG2025X-GK-126</w:t>
      </w:r>
    </w:p>
    <w:p w14:paraId="6635E503">
      <w:pPr>
        <w:spacing w:before="120" w:beforeLines="50" w:after="120" w:afterLines="50" w:line="400" w:lineRule="exact"/>
        <w:rPr>
          <w:rFonts w:ascii="宋体" w:hAnsi="Courier New" w:eastAsia="宋体" w:cs="Times New Roman"/>
          <w:sz w:val="24"/>
          <w:szCs w:val="24"/>
        </w:rPr>
      </w:pPr>
    </w:p>
    <w:p w14:paraId="7DEEF8F1">
      <w:pPr>
        <w:spacing w:before="240" w:beforeLines="100" w:after="100" w:afterAutospacing="1" w:line="800" w:lineRule="exact"/>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公</w:t>
      </w:r>
    </w:p>
    <w:p w14:paraId="01CC4791">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开</w:t>
      </w:r>
    </w:p>
    <w:p w14:paraId="1A28A822">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 xml:space="preserve">招 </w:t>
      </w:r>
    </w:p>
    <w:p w14:paraId="4B3607CD">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标</w:t>
      </w:r>
    </w:p>
    <w:p w14:paraId="544C399C">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文</w:t>
      </w:r>
    </w:p>
    <w:p w14:paraId="2CAB600A">
      <w:pPr>
        <w:spacing w:after="100" w:afterAutospacing="1" w:line="800" w:lineRule="exact"/>
        <w:ind w:right="-108"/>
        <w:jc w:val="center"/>
        <w:rPr>
          <w:rFonts w:ascii="宋体" w:hAnsi="宋体" w:eastAsia="宋体" w:cs="Times New Roman"/>
          <w:b/>
          <w:color w:val="000000"/>
          <w:spacing w:val="40"/>
          <w:sz w:val="84"/>
          <w:szCs w:val="84"/>
        </w:rPr>
      </w:pPr>
      <w:r>
        <w:rPr>
          <w:rFonts w:hint="eastAsia" w:ascii="宋体" w:hAnsi="宋体" w:eastAsia="宋体" w:cs="Times New Roman"/>
          <w:b/>
          <w:color w:val="000000"/>
          <w:spacing w:val="40"/>
          <w:sz w:val="84"/>
          <w:szCs w:val="84"/>
        </w:rPr>
        <w:t>件</w:t>
      </w:r>
    </w:p>
    <w:p w14:paraId="17AD20FA">
      <w:pPr>
        <w:ind w:right="-110"/>
        <w:rPr>
          <w:rFonts w:ascii="宋体" w:hAnsi="宋体" w:eastAsia="宋体" w:cs="Times New Roman"/>
          <w:color w:val="000000"/>
          <w:sz w:val="32"/>
          <w:szCs w:val="32"/>
        </w:rPr>
      </w:pPr>
    </w:p>
    <w:p w14:paraId="382FC2DC">
      <w:pPr>
        <w:ind w:right="-110"/>
        <w:rPr>
          <w:rFonts w:ascii="宋体" w:hAnsi="宋体" w:eastAsia="宋体" w:cs="Times New Roman"/>
          <w:color w:val="000000"/>
          <w:sz w:val="32"/>
          <w:szCs w:val="32"/>
        </w:rPr>
      </w:pPr>
    </w:p>
    <w:p w14:paraId="680159C4">
      <w:pPr>
        <w:spacing w:line="500" w:lineRule="exact"/>
        <w:ind w:right="532"/>
        <w:jc w:val="center"/>
        <w:rPr>
          <w:rFonts w:ascii="宋体" w:hAnsi="宋体" w:eastAsia="宋体" w:cs="Times New Roman"/>
          <w:color w:val="000000"/>
          <w:sz w:val="36"/>
          <w:szCs w:val="36"/>
        </w:rPr>
      </w:pPr>
      <w:r>
        <w:rPr>
          <w:rFonts w:hint="eastAsia" w:ascii="宋体" w:hAnsi="宋体" w:eastAsia="宋体" w:cs="Times New Roman"/>
          <w:color w:val="000000"/>
          <w:sz w:val="36"/>
          <w:szCs w:val="36"/>
        </w:rPr>
        <w:t>浙 江 省 政 府 采 购 中 心</w:t>
      </w:r>
    </w:p>
    <w:p w14:paraId="17488DFF">
      <w:pPr>
        <w:spacing w:line="500" w:lineRule="exact"/>
        <w:ind w:right="532"/>
        <w:jc w:val="center"/>
        <w:rPr>
          <w:rFonts w:ascii="宋体" w:hAnsi="宋体" w:eastAsia="宋体" w:cs="Times New Roman"/>
          <w:color w:val="000000"/>
          <w:sz w:val="36"/>
          <w:szCs w:val="36"/>
        </w:rPr>
      </w:pPr>
    </w:p>
    <w:p w14:paraId="701C50DE">
      <w:pPr>
        <w:wordWrap w:val="0"/>
        <w:spacing w:line="500" w:lineRule="exact"/>
        <w:ind w:right="-108"/>
        <w:jc w:val="center"/>
        <w:rPr>
          <w:rFonts w:hAnsi="宋体" w:eastAsia="宋体" w:cs="Times New Roman"/>
          <w:b/>
          <w:color w:val="000000"/>
          <w:sz w:val="36"/>
          <w:szCs w:val="36"/>
        </w:rPr>
      </w:pPr>
      <w:r>
        <w:rPr>
          <w:rFonts w:hint="eastAsia" w:ascii="宋体" w:hAnsi="宋体" w:eastAsia="宋体" w:cs="Times New Roman"/>
          <w:color w:val="000000"/>
          <w:sz w:val="36"/>
          <w:szCs w:val="36"/>
        </w:rPr>
        <w:t>地    址：杭州市西湖区宝石一路3号</w:t>
      </w:r>
    </w:p>
    <w:p w14:paraId="1B40F2AE">
      <w:pPr>
        <w:spacing w:line="500" w:lineRule="exact"/>
        <w:ind w:right="-108" w:firstLine="3072" w:firstLineChars="850"/>
        <w:rPr>
          <w:rFonts w:hAnsi="宋体" w:eastAsia="宋体" w:cs="Times New Roman"/>
          <w:b/>
          <w:color w:val="000000"/>
          <w:sz w:val="36"/>
          <w:szCs w:val="36"/>
        </w:rPr>
      </w:pPr>
    </w:p>
    <w:p w14:paraId="66CC7067">
      <w:pPr>
        <w:spacing w:line="500" w:lineRule="exact"/>
        <w:ind w:right="-108" w:firstLine="3072" w:firstLineChars="850"/>
        <w:rPr>
          <w:rFonts w:hAnsi="宋体" w:eastAsia="宋体" w:cs="Times New Roman"/>
          <w:b/>
          <w:color w:val="000000"/>
          <w:sz w:val="36"/>
          <w:szCs w:val="36"/>
        </w:rPr>
      </w:pPr>
    </w:p>
    <w:p w14:paraId="4790A391">
      <w:pPr>
        <w:spacing w:line="500" w:lineRule="exact"/>
        <w:ind w:right="-108"/>
        <w:rPr>
          <w:rFonts w:hAnsi="宋体" w:eastAsia="宋体" w:cs="Times New Roman"/>
          <w:b/>
          <w:color w:val="000000"/>
          <w:sz w:val="36"/>
          <w:szCs w:val="36"/>
        </w:rPr>
      </w:pPr>
    </w:p>
    <w:p w14:paraId="0B2499D7">
      <w:pPr>
        <w:spacing w:line="500" w:lineRule="exact"/>
        <w:ind w:right="-108"/>
        <w:jc w:val="center"/>
        <w:rPr>
          <w:rFonts w:hAnsi="宋体" w:eastAsia="宋体" w:cs="Times New Roman"/>
          <w:b/>
          <w:color w:val="000000"/>
          <w:sz w:val="36"/>
          <w:szCs w:val="36"/>
        </w:rPr>
      </w:pPr>
      <w:r>
        <w:rPr>
          <w:rFonts w:hint="eastAsia" w:hAnsi="宋体" w:eastAsia="宋体" w:cs="Times New Roman"/>
          <w:b/>
          <w:color w:val="000000"/>
          <w:sz w:val="36"/>
          <w:szCs w:val="36"/>
        </w:rPr>
        <w:t>目</w:t>
      </w:r>
      <w:r>
        <w:rPr>
          <w:rFonts w:hAnsi="宋体" w:eastAsia="宋体" w:cs="Times New Roman"/>
          <w:b/>
          <w:color w:val="000000"/>
          <w:sz w:val="36"/>
          <w:szCs w:val="36"/>
        </w:rPr>
        <w:t xml:space="preserve">     </w:t>
      </w:r>
      <w:r>
        <w:rPr>
          <w:rFonts w:hint="eastAsia" w:hAnsi="宋体" w:eastAsia="宋体" w:cs="Times New Roman"/>
          <w:b/>
          <w:color w:val="000000"/>
          <w:sz w:val="36"/>
          <w:szCs w:val="36"/>
        </w:rPr>
        <w:t>录</w:t>
      </w:r>
    </w:p>
    <w:p w14:paraId="17B32DF7">
      <w:pPr>
        <w:spacing w:before="120" w:beforeLines="50" w:after="120" w:afterLines="50" w:line="360" w:lineRule="auto"/>
        <w:jc w:val="center"/>
        <w:rPr>
          <w:rFonts w:ascii="宋体" w:hAnsi="宋体" w:eastAsia="仿宋_GB2312" w:cs="Times New Roman"/>
          <w:color w:val="000000"/>
          <w:sz w:val="32"/>
          <w:szCs w:val="32"/>
        </w:rPr>
      </w:pPr>
    </w:p>
    <w:p w14:paraId="7426BA3C">
      <w:pPr>
        <w:tabs>
          <w:tab w:val="right" w:leader="dot" w:pos="8312"/>
        </w:tabs>
        <w:spacing w:before="240" w:after="240"/>
        <w:rPr>
          <w:rFonts w:ascii="Times New Roman" w:hAnsi="Times New Roman" w:eastAsia="仿宋" w:cs="Times New Roman"/>
          <w:sz w:val="36"/>
          <w:szCs w:val="24"/>
        </w:rPr>
      </w:pPr>
      <w:r>
        <w:rPr>
          <w:rFonts w:hint="eastAsia" w:ascii="宋体" w:hAnsi="宋体" w:eastAsia="仿宋_GB2312" w:cs="Times New Roman"/>
          <w:color w:val="000000"/>
          <w:sz w:val="30"/>
          <w:szCs w:val="30"/>
        </w:rPr>
        <w:fldChar w:fldCharType="begin"/>
      </w:r>
      <w:r>
        <w:rPr>
          <w:rFonts w:hint="eastAsia" w:ascii="宋体" w:hAnsi="宋体" w:eastAsia="仿宋_GB2312" w:cs="Times New Roman"/>
          <w:color w:val="000000"/>
          <w:sz w:val="30"/>
          <w:szCs w:val="30"/>
        </w:rPr>
        <w:instrText xml:space="preserve"> TOC \o "1-1" \h \z \u </w:instrText>
      </w:r>
      <w:r>
        <w:rPr>
          <w:rFonts w:hint="eastAsia" w:ascii="宋体" w:hAnsi="宋体" w:eastAsia="仿宋_GB2312" w:cs="Times New Roman"/>
          <w:color w:val="000000"/>
          <w:sz w:val="30"/>
          <w:szCs w:val="30"/>
        </w:rPr>
        <w:fldChar w:fldCharType="separate"/>
      </w:r>
      <w:r>
        <w:rPr>
          <w:rFonts w:eastAsia="宋体" w:cs="Times New Roman"/>
        </w:rPr>
        <w:fldChar w:fldCharType="begin"/>
      </w:r>
      <w:r>
        <w:rPr>
          <w:rFonts w:eastAsia="宋体" w:cs="Times New Roman"/>
        </w:rPr>
        <w:instrText xml:space="preserve"> HYPERLINK \l "_Toc2371" </w:instrText>
      </w:r>
      <w:r>
        <w:rPr>
          <w:rFonts w:eastAsia="宋体" w:cs="Times New Roman"/>
        </w:rPr>
        <w:fldChar w:fldCharType="separate"/>
      </w:r>
      <w:r>
        <w:rPr>
          <w:rFonts w:hint="eastAsia" w:ascii="Times New Roman" w:hAnsi="宋体" w:eastAsia="仿宋" w:cs="Times New Roman"/>
          <w:sz w:val="36"/>
          <w:szCs w:val="36"/>
        </w:rPr>
        <w:t>第一章公开招标采购公告</w:t>
      </w:r>
      <w:r>
        <w:rPr>
          <w:rFonts w:ascii="Times New Roman" w:hAnsi="Times New Roman" w:eastAsia="仿宋" w:cs="Times New Roman"/>
          <w:sz w:val="36"/>
          <w:szCs w:val="24"/>
        </w:rPr>
        <w:tab/>
      </w:r>
      <w:r>
        <w:rPr>
          <w:rFonts w:ascii="Times New Roman" w:hAnsi="Times New Roman" w:eastAsia="仿宋" w:cs="Times New Roman"/>
          <w:sz w:val="36"/>
          <w:szCs w:val="24"/>
        </w:rPr>
        <w:fldChar w:fldCharType="begin"/>
      </w:r>
      <w:r>
        <w:rPr>
          <w:rFonts w:ascii="Times New Roman" w:hAnsi="Times New Roman" w:eastAsia="仿宋" w:cs="Times New Roman"/>
          <w:sz w:val="36"/>
          <w:szCs w:val="24"/>
        </w:rPr>
        <w:instrText xml:space="preserve"> PAGEREF _Toc2371 \h </w:instrText>
      </w:r>
      <w:r>
        <w:rPr>
          <w:rFonts w:ascii="Times New Roman" w:hAnsi="Times New Roman" w:eastAsia="仿宋" w:cs="Times New Roman"/>
          <w:sz w:val="36"/>
          <w:szCs w:val="24"/>
        </w:rPr>
        <w:fldChar w:fldCharType="separate"/>
      </w:r>
      <w:r>
        <w:rPr>
          <w:rFonts w:ascii="Times New Roman" w:hAnsi="Times New Roman" w:eastAsia="仿宋" w:cs="Times New Roman"/>
          <w:sz w:val="36"/>
          <w:szCs w:val="24"/>
        </w:rPr>
        <w:t>3</w:t>
      </w:r>
      <w:r>
        <w:rPr>
          <w:rFonts w:ascii="Times New Roman" w:hAnsi="Times New Roman" w:eastAsia="仿宋" w:cs="Times New Roman"/>
          <w:sz w:val="36"/>
          <w:szCs w:val="24"/>
        </w:rPr>
        <w:fldChar w:fldCharType="end"/>
      </w:r>
      <w:r>
        <w:rPr>
          <w:rFonts w:ascii="Times New Roman" w:hAnsi="Times New Roman" w:eastAsia="仿宋" w:cs="Times New Roman"/>
          <w:sz w:val="36"/>
          <w:szCs w:val="24"/>
        </w:rPr>
        <w:fldChar w:fldCharType="end"/>
      </w:r>
    </w:p>
    <w:p w14:paraId="643B314C">
      <w:pPr>
        <w:tabs>
          <w:tab w:val="right" w:leader="dot" w:pos="8312"/>
        </w:tabs>
        <w:spacing w:before="240" w:after="240"/>
        <w:rPr>
          <w:rFonts w:ascii="Times New Roman" w:hAnsi="Times New Roman" w:eastAsia="仿宋" w:cs="Times New Roman"/>
          <w:sz w:val="36"/>
          <w:szCs w:val="24"/>
        </w:rPr>
      </w:pPr>
      <w:r>
        <w:rPr>
          <w:rFonts w:eastAsia="宋体" w:cs="Times New Roman"/>
        </w:rPr>
        <w:fldChar w:fldCharType="begin"/>
      </w:r>
      <w:r>
        <w:rPr>
          <w:rFonts w:eastAsia="宋体" w:cs="Times New Roman"/>
        </w:rPr>
        <w:instrText xml:space="preserve"> HYPERLINK \l "_Toc29498" </w:instrText>
      </w:r>
      <w:r>
        <w:rPr>
          <w:rFonts w:eastAsia="宋体" w:cs="Times New Roman"/>
        </w:rPr>
        <w:fldChar w:fldCharType="separate"/>
      </w:r>
      <w:r>
        <w:rPr>
          <w:rFonts w:hint="eastAsia" w:ascii="仿宋" w:hAnsi="仿宋" w:eastAsia="仿宋" w:cs="Times New Roman"/>
          <w:sz w:val="36"/>
          <w:szCs w:val="36"/>
        </w:rPr>
        <w:t>第二章投标人须知</w:t>
      </w:r>
      <w:r>
        <w:rPr>
          <w:rFonts w:ascii="Times New Roman" w:hAnsi="Times New Roman" w:eastAsia="仿宋" w:cs="Times New Roman"/>
          <w:sz w:val="36"/>
          <w:szCs w:val="24"/>
        </w:rPr>
        <w:tab/>
      </w:r>
      <w:r>
        <w:rPr>
          <w:rFonts w:ascii="Times New Roman" w:hAnsi="Times New Roman" w:eastAsia="仿宋" w:cs="Times New Roman"/>
          <w:sz w:val="36"/>
          <w:szCs w:val="24"/>
        </w:rPr>
        <w:fldChar w:fldCharType="begin"/>
      </w:r>
      <w:r>
        <w:rPr>
          <w:rFonts w:ascii="Times New Roman" w:hAnsi="Times New Roman" w:eastAsia="仿宋" w:cs="Times New Roman"/>
          <w:sz w:val="36"/>
          <w:szCs w:val="24"/>
        </w:rPr>
        <w:instrText xml:space="preserve"> PAGEREF _Toc29498 \h </w:instrText>
      </w:r>
      <w:r>
        <w:rPr>
          <w:rFonts w:ascii="Times New Roman" w:hAnsi="Times New Roman" w:eastAsia="仿宋" w:cs="Times New Roman"/>
          <w:sz w:val="36"/>
          <w:szCs w:val="24"/>
        </w:rPr>
        <w:fldChar w:fldCharType="separate"/>
      </w:r>
      <w:r>
        <w:rPr>
          <w:rFonts w:ascii="Times New Roman" w:hAnsi="Times New Roman" w:eastAsia="仿宋" w:cs="Times New Roman"/>
          <w:sz w:val="36"/>
          <w:szCs w:val="24"/>
        </w:rPr>
        <w:t>7</w:t>
      </w:r>
      <w:r>
        <w:rPr>
          <w:rFonts w:ascii="Times New Roman" w:hAnsi="Times New Roman" w:eastAsia="仿宋" w:cs="Times New Roman"/>
          <w:sz w:val="36"/>
          <w:szCs w:val="24"/>
        </w:rPr>
        <w:fldChar w:fldCharType="end"/>
      </w:r>
      <w:r>
        <w:rPr>
          <w:rFonts w:ascii="Times New Roman" w:hAnsi="Times New Roman" w:eastAsia="仿宋" w:cs="Times New Roman"/>
          <w:sz w:val="36"/>
          <w:szCs w:val="24"/>
        </w:rPr>
        <w:fldChar w:fldCharType="end"/>
      </w:r>
    </w:p>
    <w:p w14:paraId="37A30957">
      <w:pPr>
        <w:tabs>
          <w:tab w:val="right" w:leader="dot" w:pos="8312"/>
        </w:tabs>
        <w:spacing w:before="240" w:after="240"/>
        <w:rPr>
          <w:rFonts w:ascii="Times New Roman" w:hAnsi="Times New Roman" w:eastAsia="仿宋" w:cs="Times New Roman"/>
          <w:sz w:val="36"/>
          <w:szCs w:val="24"/>
        </w:rPr>
      </w:pPr>
      <w:r>
        <w:rPr>
          <w:rFonts w:eastAsia="宋体" w:cs="Times New Roman"/>
        </w:rPr>
        <w:fldChar w:fldCharType="begin"/>
      </w:r>
      <w:r>
        <w:rPr>
          <w:rFonts w:eastAsia="宋体" w:cs="Times New Roman"/>
        </w:rPr>
        <w:instrText xml:space="preserve"> HYPERLINK \l "_Toc2834" </w:instrText>
      </w:r>
      <w:r>
        <w:rPr>
          <w:rFonts w:eastAsia="宋体" w:cs="Times New Roman"/>
        </w:rPr>
        <w:fldChar w:fldCharType="separate"/>
      </w:r>
      <w:r>
        <w:rPr>
          <w:rFonts w:hint="eastAsia" w:ascii="Times New Roman" w:hAnsi="宋体" w:eastAsia="仿宋" w:cs="Times New Roman"/>
          <w:sz w:val="36"/>
          <w:szCs w:val="36"/>
        </w:rPr>
        <w:t>第三章评标办法及评分标准</w:t>
      </w:r>
      <w:r>
        <w:rPr>
          <w:rFonts w:ascii="Times New Roman" w:hAnsi="Times New Roman" w:eastAsia="仿宋" w:cs="Times New Roman"/>
          <w:sz w:val="36"/>
          <w:szCs w:val="24"/>
        </w:rPr>
        <w:tab/>
      </w:r>
      <w:r>
        <w:rPr>
          <w:rFonts w:ascii="Times New Roman" w:hAnsi="Times New Roman" w:eastAsia="仿宋" w:cs="Times New Roman"/>
          <w:sz w:val="36"/>
          <w:szCs w:val="24"/>
        </w:rPr>
        <w:fldChar w:fldCharType="begin"/>
      </w:r>
      <w:r>
        <w:rPr>
          <w:rFonts w:ascii="Times New Roman" w:hAnsi="Times New Roman" w:eastAsia="仿宋" w:cs="Times New Roman"/>
          <w:sz w:val="36"/>
          <w:szCs w:val="24"/>
        </w:rPr>
        <w:instrText xml:space="preserve"> PAGEREF _Toc2834 \h </w:instrText>
      </w:r>
      <w:r>
        <w:rPr>
          <w:rFonts w:ascii="Times New Roman" w:hAnsi="Times New Roman" w:eastAsia="仿宋" w:cs="Times New Roman"/>
          <w:sz w:val="36"/>
          <w:szCs w:val="24"/>
        </w:rPr>
        <w:fldChar w:fldCharType="separate"/>
      </w:r>
      <w:r>
        <w:rPr>
          <w:rFonts w:ascii="Times New Roman" w:hAnsi="Times New Roman" w:eastAsia="仿宋" w:cs="Times New Roman"/>
          <w:sz w:val="36"/>
          <w:szCs w:val="24"/>
        </w:rPr>
        <w:t>27</w:t>
      </w:r>
      <w:r>
        <w:rPr>
          <w:rFonts w:ascii="Times New Roman" w:hAnsi="Times New Roman" w:eastAsia="仿宋" w:cs="Times New Roman"/>
          <w:sz w:val="36"/>
          <w:szCs w:val="24"/>
        </w:rPr>
        <w:fldChar w:fldCharType="end"/>
      </w:r>
      <w:r>
        <w:rPr>
          <w:rFonts w:ascii="Times New Roman" w:hAnsi="Times New Roman" w:eastAsia="仿宋" w:cs="Times New Roman"/>
          <w:sz w:val="36"/>
          <w:szCs w:val="24"/>
        </w:rPr>
        <w:fldChar w:fldCharType="end"/>
      </w:r>
    </w:p>
    <w:p w14:paraId="76BBDEE4">
      <w:pPr>
        <w:tabs>
          <w:tab w:val="right" w:leader="dot" w:pos="8312"/>
        </w:tabs>
        <w:spacing w:before="240" w:after="240"/>
        <w:rPr>
          <w:rFonts w:ascii="Times New Roman" w:hAnsi="Times New Roman" w:eastAsia="仿宋" w:cs="Times New Roman"/>
          <w:sz w:val="36"/>
          <w:szCs w:val="24"/>
        </w:rPr>
      </w:pPr>
      <w:r>
        <w:rPr>
          <w:rFonts w:eastAsia="宋体" w:cs="Times New Roman"/>
        </w:rPr>
        <w:fldChar w:fldCharType="begin"/>
      </w:r>
      <w:r>
        <w:rPr>
          <w:rFonts w:eastAsia="宋体" w:cs="Times New Roman"/>
        </w:rPr>
        <w:instrText xml:space="preserve"> HYPERLINK \l "_Toc24960" </w:instrText>
      </w:r>
      <w:r>
        <w:rPr>
          <w:rFonts w:eastAsia="宋体" w:cs="Times New Roman"/>
        </w:rPr>
        <w:fldChar w:fldCharType="separate"/>
      </w:r>
      <w:r>
        <w:rPr>
          <w:rFonts w:hint="eastAsia" w:ascii="Times New Roman" w:hAnsi="宋体" w:eastAsia="仿宋" w:cs="Times New Roman"/>
          <w:sz w:val="36"/>
          <w:szCs w:val="36"/>
        </w:rPr>
        <w:t>第四章招标需求</w:t>
      </w:r>
      <w:r>
        <w:rPr>
          <w:rFonts w:ascii="Times New Roman" w:hAnsi="Times New Roman" w:eastAsia="仿宋" w:cs="Times New Roman"/>
          <w:sz w:val="36"/>
          <w:szCs w:val="24"/>
        </w:rPr>
        <w:tab/>
      </w:r>
      <w:r>
        <w:rPr>
          <w:rFonts w:ascii="Times New Roman" w:hAnsi="Times New Roman" w:eastAsia="仿宋" w:cs="Times New Roman"/>
          <w:sz w:val="36"/>
          <w:szCs w:val="24"/>
        </w:rPr>
        <w:fldChar w:fldCharType="begin"/>
      </w:r>
      <w:r>
        <w:rPr>
          <w:rFonts w:ascii="Times New Roman" w:hAnsi="Times New Roman" w:eastAsia="仿宋" w:cs="Times New Roman"/>
          <w:sz w:val="36"/>
          <w:szCs w:val="24"/>
        </w:rPr>
        <w:instrText xml:space="preserve"> PAGEREF _Toc24960 \h </w:instrText>
      </w:r>
      <w:r>
        <w:rPr>
          <w:rFonts w:ascii="Times New Roman" w:hAnsi="Times New Roman" w:eastAsia="仿宋" w:cs="Times New Roman"/>
          <w:sz w:val="36"/>
          <w:szCs w:val="24"/>
        </w:rPr>
        <w:fldChar w:fldCharType="separate"/>
      </w:r>
      <w:r>
        <w:rPr>
          <w:rFonts w:ascii="Times New Roman" w:hAnsi="Times New Roman" w:eastAsia="仿宋" w:cs="Times New Roman"/>
          <w:sz w:val="36"/>
          <w:szCs w:val="24"/>
        </w:rPr>
        <w:t>29</w:t>
      </w:r>
      <w:r>
        <w:rPr>
          <w:rFonts w:ascii="Times New Roman" w:hAnsi="Times New Roman" w:eastAsia="仿宋" w:cs="Times New Roman"/>
          <w:sz w:val="36"/>
          <w:szCs w:val="24"/>
        </w:rPr>
        <w:fldChar w:fldCharType="end"/>
      </w:r>
      <w:r>
        <w:rPr>
          <w:rFonts w:ascii="Times New Roman" w:hAnsi="Times New Roman" w:eastAsia="仿宋" w:cs="Times New Roman"/>
          <w:sz w:val="36"/>
          <w:szCs w:val="24"/>
        </w:rPr>
        <w:fldChar w:fldCharType="end"/>
      </w:r>
    </w:p>
    <w:p w14:paraId="1AB314D6">
      <w:pPr>
        <w:tabs>
          <w:tab w:val="right" w:leader="dot" w:pos="8312"/>
        </w:tabs>
        <w:spacing w:before="240" w:after="240"/>
        <w:rPr>
          <w:rFonts w:ascii="Times New Roman" w:hAnsi="Times New Roman" w:eastAsia="仿宋" w:cs="Times New Roman"/>
          <w:sz w:val="36"/>
          <w:szCs w:val="24"/>
        </w:rPr>
      </w:pPr>
      <w:r>
        <w:rPr>
          <w:rFonts w:eastAsia="宋体" w:cs="Times New Roman"/>
        </w:rPr>
        <w:fldChar w:fldCharType="begin"/>
      </w:r>
      <w:r>
        <w:rPr>
          <w:rFonts w:eastAsia="宋体" w:cs="Times New Roman"/>
        </w:rPr>
        <w:instrText xml:space="preserve"> HYPERLINK \l "_Toc26308" </w:instrText>
      </w:r>
      <w:r>
        <w:rPr>
          <w:rFonts w:eastAsia="宋体" w:cs="Times New Roman"/>
        </w:rPr>
        <w:fldChar w:fldCharType="separate"/>
      </w:r>
      <w:r>
        <w:rPr>
          <w:rFonts w:hint="eastAsia" w:ascii="Times New Roman" w:hAnsi="宋体" w:eastAsia="仿宋" w:cs="Times New Roman"/>
          <w:sz w:val="36"/>
          <w:szCs w:val="36"/>
        </w:rPr>
        <w:t>第五章浙江省政府采购合同主要条款指引</w:t>
      </w:r>
      <w:r>
        <w:rPr>
          <w:rFonts w:ascii="Times New Roman" w:hAnsi="Times New Roman" w:eastAsia="仿宋" w:cs="Times New Roman"/>
          <w:sz w:val="36"/>
          <w:szCs w:val="24"/>
        </w:rPr>
        <w:tab/>
      </w:r>
      <w:r>
        <w:rPr>
          <w:rFonts w:ascii="Times New Roman" w:hAnsi="Times New Roman" w:eastAsia="仿宋" w:cs="Times New Roman"/>
          <w:sz w:val="36"/>
          <w:szCs w:val="24"/>
        </w:rPr>
        <w:fldChar w:fldCharType="begin"/>
      </w:r>
      <w:r>
        <w:rPr>
          <w:rFonts w:ascii="Times New Roman" w:hAnsi="Times New Roman" w:eastAsia="仿宋" w:cs="Times New Roman"/>
          <w:sz w:val="36"/>
          <w:szCs w:val="24"/>
        </w:rPr>
        <w:instrText xml:space="preserve"> PAGEREF _Toc26308 \h </w:instrText>
      </w:r>
      <w:r>
        <w:rPr>
          <w:rFonts w:ascii="Times New Roman" w:hAnsi="Times New Roman" w:eastAsia="仿宋" w:cs="Times New Roman"/>
          <w:sz w:val="36"/>
          <w:szCs w:val="24"/>
        </w:rPr>
        <w:fldChar w:fldCharType="separate"/>
      </w:r>
      <w:r>
        <w:rPr>
          <w:rFonts w:ascii="Times New Roman" w:hAnsi="Times New Roman" w:eastAsia="仿宋" w:cs="Times New Roman"/>
          <w:sz w:val="36"/>
          <w:szCs w:val="24"/>
        </w:rPr>
        <w:t>31</w:t>
      </w:r>
      <w:r>
        <w:rPr>
          <w:rFonts w:ascii="Times New Roman" w:hAnsi="Times New Roman" w:eastAsia="仿宋" w:cs="Times New Roman"/>
          <w:sz w:val="36"/>
          <w:szCs w:val="24"/>
        </w:rPr>
        <w:fldChar w:fldCharType="end"/>
      </w:r>
      <w:r>
        <w:rPr>
          <w:rFonts w:ascii="Times New Roman" w:hAnsi="Times New Roman" w:eastAsia="仿宋" w:cs="Times New Roman"/>
          <w:sz w:val="36"/>
          <w:szCs w:val="24"/>
        </w:rPr>
        <w:fldChar w:fldCharType="end"/>
      </w:r>
    </w:p>
    <w:p w14:paraId="322602DB">
      <w:pPr>
        <w:tabs>
          <w:tab w:val="right" w:leader="dot" w:pos="8312"/>
        </w:tabs>
        <w:spacing w:before="240" w:after="240"/>
        <w:rPr>
          <w:rFonts w:ascii="Times New Roman" w:hAnsi="Times New Roman" w:eastAsia="仿宋" w:cs="Times New Roman"/>
          <w:sz w:val="36"/>
          <w:szCs w:val="24"/>
        </w:rPr>
      </w:pPr>
      <w:r>
        <w:rPr>
          <w:rFonts w:eastAsia="宋体" w:cs="Times New Roman"/>
        </w:rPr>
        <w:fldChar w:fldCharType="begin"/>
      </w:r>
      <w:r>
        <w:rPr>
          <w:rFonts w:eastAsia="宋体" w:cs="Times New Roman"/>
        </w:rPr>
        <w:instrText xml:space="preserve"> HYPERLINK \l "_Toc22013" </w:instrText>
      </w:r>
      <w:r>
        <w:rPr>
          <w:rFonts w:eastAsia="宋体" w:cs="Times New Roman"/>
        </w:rPr>
        <w:fldChar w:fldCharType="separate"/>
      </w:r>
      <w:r>
        <w:rPr>
          <w:rFonts w:hint="eastAsia" w:ascii="Times New Roman" w:hAnsi="宋体" w:eastAsia="仿宋" w:cs="Times New Roman"/>
          <w:sz w:val="36"/>
          <w:szCs w:val="36"/>
        </w:rPr>
        <w:t>第六章投标文件格式附件</w:t>
      </w:r>
      <w:r>
        <w:rPr>
          <w:rFonts w:ascii="Times New Roman" w:hAnsi="Times New Roman" w:eastAsia="仿宋" w:cs="Times New Roman"/>
          <w:sz w:val="36"/>
          <w:szCs w:val="24"/>
        </w:rPr>
        <w:tab/>
      </w:r>
      <w:r>
        <w:rPr>
          <w:rFonts w:ascii="Times New Roman" w:hAnsi="Times New Roman" w:eastAsia="仿宋" w:cs="Times New Roman"/>
          <w:sz w:val="36"/>
          <w:szCs w:val="24"/>
        </w:rPr>
        <w:fldChar w:fldCharType="begin"/>
      </w:r>
      <w:r>
        <w:rPr>
          <w:rFonts w:ascii="Times New Roman" w:hAnsi="Times New Roman" w:eastAsia="仿宋" w:cs="Times New Roman"/>
          <w:sz w:val="36"/>
          <w:szCs w:val="24"/>
        </w:rPr>
        <w:instrText xml:space="preserve"> PAGEREF _Toc22013 \h </w:instrText>
      </w:r>
      <w:r>
        <w:rPr>
          <w:rFonts w:ascii="Times New Roman" w:hAnsi="Times New Roman" w:eastAsia="仿宋" w:cs="Times New Roman"/>
          <w:sz w:val="36"/>
          <w:szCs w:val="24"/>
        </w:rPr>
        <w:fldChar w:fldCharType="separate"/>
      </w:r>
      <w:r>
        <w:rPr>
          <w:rFonts w:ascii="Times New Roman" w:hAnsi="Times New Roman" w:eastAsia="仿宋" w:cs="Times New Roman"/>
          <w:sz w:val="36"/>
          <w:szCs w:val="24"/>
        </w:rPr>
        <w:t>36</w:t>
      </w:r>
      <w:r>
        <w:rPr>
          <w:rFonts w:ascii="Times New Roman" w:hAnsi="Times New Roman" w:eastAsia="仿宋" w:cs="Times New Roman"/>
          <w:sz w:val="36"/>
          <w:szCs w:val="24"/>
        </w:rPr>
        <w:fldChar w:fldCharType="end"/>
      </w:r>
      <w:r>
        <w:rPr>
          <w:rFonts w:ascii="Times New Roman" w:hAnsi="Times New Roman" w:eastAsia="仿宋" w:cs="Times New Roman"/>
          <w:sz w:val="36"/>
          <w:szCs w:val="24"/>
        </w:rPr>
        <w:fldChar w:fldCharType="end"/>
      </w:r>
    </w:p>
    <w:p w14:paraId="0B308EE9">
      <w:pPr>
        <w:spacing w:before="120" w:beforeLines="50" w:line="480" w:lineRule="exact"/>
        <w:ind w:left="165"/>
        <w:rPr>
          <w:rFonts w:ascii="宋体" w:hAnsi="宋体" w:eastAsia="仿宋_GB2312" w:cs="Times New Roman"/>
          <w:color w:val="000000"/>
          <w:sz w:val="30"/>
          <w:szCs w:val="30"/>
        </w:rPr>
      </w:pPr>
      <w:r>
        <w:rPr>
          <w:rFonts w:hint="eastAsia" w:ascii="宋体" w:hAnsi="宋体" w:eastAsia="仿宋_GB2312" w:cs="Times New Roman"/>
          <w:color w:val="000000"/>
          <w:szCs w:val="30"/>
        </w:rPr>
        <w:fldChar w:fldCharType="end"/>
      </w:r>
    </w:p>
    <w:p w14:paraId="61EFAF5B">
      <w:pPr>
        <w:spacing w:before="120" w:beforeLines="50" w:after="120" w:afterLines="50" w:line="360" w:lineRule="auto"/>
        <w:ind w:firstLine="640"/>
        <w:jc w:val="center"/>
        <w:outlineLvl w:val="0"/>
        <w:rPr>
          <w:rFonts w:ascii="宋体" w:hAnsi="宋体" w:eastAsia="宋体" w:cs="Times New Roman"/>
          <w:b/>
          <w:color w:val="000000"/>
          <w:sz w:val="36"/>
          <w:szCs w:val="36"/>
        </w:rPr>
      </w:pPr>
      <w:r>
        <w:rPr>
          <w:rFonts w:hint="eastAsia" w:ascii="宋体" w:hAnsi="宋体" w:eastAsia="仿宋_GB2312" w:cs="Times New Roman"/>
          <w:color w:val="000000"/>
          <w:kern w:val="0"/>
          <w:sz w:val="32"/>
          <w:szCs w:val="32"/>
        </w:rPr>
        <w:br w:type="page"/>
      </w:r>
      <w:bookmarkStart w:id="0" w:name="_Toc2371"/>
      <w:r>
        <w:rPr>
          <w:rFonts w:hint="eastAsia" w:ascii="宋体" w:hAnsi="宋体" w:eastAsia="宋体" w:cs="Times New Roman"/>
          <w:b/>
          <w:color w:val="000000"/>
          <w:sz w:val="36"/>
          <w:szCs w:val="36"/>
        </w:rPr>
        <w:t>第一章 公开招标采购公告</w:t>
      </w:r>
      <w:bookmarkEnd w:id="0"/>
    </w:p>
    <w:p w14:paraId="15FBD218">
      <w:pPr>
        <w:snapToGrid w:val="0"/>
        <w:spacing w:after="120" w:afterLines="50" w:line="460" w:lineRule="exact"/>
        <w:ind w:firstLine="560" w:firstLineChars="200"/>
        <w:rPr>
          <w:rFonts w:ascii="仿宋" w:hAnsi="仿宋" w:eastAsia="仿宋" w:cs="Times New Roman"/>
          <w:color w:val="000000"/>
          <w:kern w:val="0"/>
          <w:sz w:val="30"/>
          <w:szCs w:val="30"/>
        </w:rPr>
      </w:pPr>
      <w:r>
        <w:rPr>
          <w:rFonts w:hint="eastAsia" w:ascii="仿宋" w:hAnsi="仿宋" w:eastAsia="仿宋" w:cs="Times New Roman"/>
          <w:color w:val="000000"/>
          <w:kern w:val="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Times New Roman"/>
          <w:color w:val="000000"/>
          <w:kern w:val="0"/>
          <w:sz w:val="30"/>
          <w:szCs w:val="30"/>
        </w:rPr>
        <w:t>：</w:t>
      </w:r>
    </w:p>
    <w:p w14:paraId="58951AA4">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项目编号：ZZCG2025X-GK-126</w:t>
      </w:r>
    </w:p>
    <w:p w14:paraId="271961C9">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50564FF0">
      <w:pPr>
        <w:snapToGrid w:val="0"/>
        <w:spacing w:after="120" w:afterLines="50" w:line="460" w:lineRule="exact"/>
        <w:ind w:firstLine="602" w:firstLineChars="200"/>
        <w:rPr>
          <w:rFonts w:ascii="仿宋" w:hAnsi="仿宋" w:eastAsia="仿宋" w:cs="Arial"/>
          <w:b/>
          <w:color w:val="000000"/>
          <w:sz w:val="28"/>
          <w:szCs w:val="28"/>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1" w:name="PO_15528_PM004"/>
      <w:r>
        <w:rPr>
          <w:rFonts w:hint="eastAsia" w:ascii="仿宋" w:hAnsi="仿宋" w:eastAsia="仿宋" w:cs="Arial"/>
          <w:b/>
          <w:color w:val="000000"/>
          <w:sz w:val="28"/>
          <w:szCs w:val="28"/>
        </w:rPr>
        <w:t xml:space="preserve"> </w:t>
      </w:r>
    </w:p>
    <w:tbl>
      <w:tblPr>
        <w:tblStyle w:val="61"/>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594"/>
        <w:gridCol w:w="914"/>
        <w:gridCol w:w="944"/>
        <w:gridCol w:w="1377"/>
        <w:gridCol w:w="1921"/>
      </w:tblGrid>
      <w:tr w14:paraId="731A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14:paraId="2942BAC8">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539" w:type="pct"/>
          </w:tcPr>
          <w:p w14:paraId="21E1F62F">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542" w:type="pct"/>
          </w:tcPr>
          <w:p w14:paraId="2EF4A52A">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数量</w:t>
            </w:r>
          </w:p>
        </w:tc>
        <w:tc>
          <w:tcPr>
            <w:tcW w:w="560" w:type="pct"/>
          </w:tcPr>
          <w:p w14:paraId="099C2C3D">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单位</w:t>
            </w:r>
          </w:p>
        </w:tc>
        <w:tc>
          <w:tcPr>
            <w:tcW w:w="817" w:type="pct"/>
          </w:tcPr>
          <w:p w14:paraId="6803F50E">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139" w:type="pct"/>
          </w:tcPr>
          <w:p w14:paraId="2AB4195A">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14:paraId="5B82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79EBFD5B">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1</w:t>
            </w:r>
          </w:p>
        </w:tc>
        <w:tc>
          <w:tcPr>
            <w:tcW w:w="2594" w:type="dxa"/>
          </w:tcPr>
          <w:p w14:paraId="3C2B8809">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浙江商业职业技术学院2025年多媒体教室升级改造</w:t>
            </w:r>
          </w:p>
        </w:tc>
        <w:tc>
          <w:tcPr>
            <w:tcW w:w="914" w:type="dxa"/>
          </w:tcPr>
          <w:p w14:paraId="1123858A">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1</w:t>
            </w:r>
          </w:p>
        </w:tc>
        <w:tc>
          <w:tcPr>
            <w:tcW w:w="944" w:type="dxa"/>
          </w:tcPr>
          <w:p w14:paraId="1C50420B">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项</w:t>
            </w:r>
          </w:p>
        </w:tc>
        <w:tc>
          <w:tcPr>
            <w:tcW w:w="1377" w:type="dxa"/>
          </w:tcPr>
          <w:p w14:paraId="528FE2FB">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200</w:t>
            </w:r>
          </w:p>
        </w:tc>
        <w:tc>
          <w:tcPr>
            <w:tcW w:w="1921" w:type="dxa"/>
          </w:tcPr>
          <w:p w14:paraId="7D283444">
            <w:pPr>
              <w:snapToGrid w:val="0"/>
              <w:spacing w:after="120"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14:paraId="5CAF2000">
      <w:pPr>
        <w:snapToGrid w:val="0"/>
        <w:spacing w:after="120" w:afterLines="50"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 </w:t>
      </w:r>
      <w:bookmarkEnd w:id="1"/>
    </w:p>
    <w:p w14:paraId="4435D68B">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09ADC2AC">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s="Times New Roman"/>
          <w:color w:val="000000"/>
          <w:sz w:val="28"/>
          <w:szCs w:val="28"/>
        </w:rPr>
        <w:t>“信用中国”（www.creditchina.gov.cn）、中国政府采购网（www.ccgp.gov.cn）列入失信被执行人、重大税收违法案件当事人名单（重大税收违法失信主体名单）、政府采购严重违法失信行为记录名单。</w:t>
      </w:r>
    </w:p>
    <w:p w14:paraId="2FB4D2B4">
      <w:pPr>
        <w:snapToGrid w:val="0"/>
        <w:spacing w:line="500" w:lineRule="exact"/>
        <w:ind w:firstLine="602" w:firstLineChars="200"/>
        <w:rPr>
          <w:rFonts w:ascii="仿宋" w:hAnsi="仿宋" w:eastAsia="仿宋" w:cs="Times New Roman"/>
          <w:color w:val="000000"/>
          <w:sz w:val="28"/>
          <w:szCs w:val="28"/>
        </w:rPr>
      </w:pPr>
      <w:r>
        <w:rPr>
          <w:rFonts w:hint="eastAsia" w:ascii="仿宋" w:hAnsi="仿宋" w:eastAsia="仿宋" w:cs="Arial"/>
          <w:b/>
          <w:bCs/>
          <w:color w:val="000000"/>
          <w:sz w:val="30"/>
          <w:szCs w:val="30"/>
        </w:rPr>
        <w:t>投标人的特定条件：无</w:t>
      </w:r>
    </w:p>
    <w:p w14:paraId="718B2866">
      <w:pPr>
        <w:snapToGrid w:val="0"/>
        <w:spacing w:line="500" w:lineRule="exact"/>
        <w:ind w:firstLine="562" w:firstLineChars="200"/>
        <w:rPr>
          <w:rFonts w:ascii="宋体" w:hAnsi="宋体" w:eastAsia="宋体" w:cs="Arial"/>
          <w:b/>
          <w:bCs/>
          <w:color w:val="000000"/>
          <w:sz w:val="28"/>
          <w:szCs w:val="28"/>
        </w:rPr>
      </w:pPr>
      <w:r>
        <w:rPr>
          <w:rFonts w:hint="eastAsia" w:ascii="宋体" w:hAnsi="宋体" w:eastAsia="宋体" w:cs="仿宋"/>
          <w:b/>
          <w:bCs/>
          <w:color w:val="000000"/>
          <w:kern w:val="0"/>
          <w:sz w:val="28"/>
          <w:szCs w:val="28"/>
          <w:lang w:val="zh-CN"/>
        </w:rPr>
        <w:t>五、获取</w:t>
      </w:r>
      <w:r>
        <w:rPr>
          <w:rFonts w:hint="eastAsia" w:ascii="宋体" w:hAnsi="宋体" w:eastAsia="宋体" w:cs="仿宋"/>
          <w:b/>
          <w:bCs/>
          <w:color w:val="000000"/>
          <w:kern w:val="0"/>
          <w:sz w:val="28"/>
          <w:szCs w:val="28"/>
        </w:rPr>
        <w:t>招标文件</w:t>
      </w:r>
    </w:p>
    <w:p w14:paraId="36FEAC47">
      <w:pPr>
        <w:snapToGrid w:val="0"/>
        <w:spacing w:line="500" w:lineRule="exact"/>
        <w:ind w:firstLine="560" w:firstLineChars="200"/>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1.获取时间：</w:t>
      </w:r>
      <w:r>
        <w:rPr>
          <w:rFonts w:hint="eastAsia" w:ascii="仿宋" w:hAnsi="仿宋" w:eastAsia="仿宋" w:cs="Times New Roman"/>
          <w:color w:val="000000"/>
          <w:kern w:val="0"/>
          <w:sz w:val="30"/>
          <w:szCs w:val="30"/>
        </w:rPr>
        <w:t xml:space="preserve">[项目采购-报名开始日期] 至 </w:t>
      </w:r>
      <w:bookmarkStart w:id="2" w:name="PO_15528_PM009"/>
      <w:r>
        <w:rPr>
          <w:rFonts w:hint="eastAsia" w:ascii="仿宋" w:hAnsi="仿宋" w:eastAsia="仿宋" w:cs="Times New Roman"/>
          <w:color w:val="000000"/>
          <w:kern w:val="0"/>
          <w:sz w:val="30"/>
          <w:szCs w:val="30"/>
          <w:lang w:eastAsia="zh-CN"/>
        </w:rPr>
        <w:t>2025-08-07 09:00:00</w:t>
      </w:r>
      <w:bookmarkEnd w:id="2"/>
      <w:r>
        <w:rPr>
          <w:rFonts w:hint="eastAsia" w:ascii="宋体" w:hAnsi="宋体" w:eastAsia="宋体" w:cs="Times New Roman"/>
          <w:color w:val="000000"/>
          <w:kern w:val="0"/>
          <w:sz w:val="28"/>
          <w:szCs w:val="28"/>
        </w:rPr>
        <w:t>。</w:t>
      </w:r>
    </w:p>
    <w:p w14:paraId="02C6E2C0">
      <w:pPr>
        <w:autoSpaceDE w:val="0"/>
        <w:autoSpaceDN w:val="0"/>
        <w:adjustRightInd w:val="0"/>
        <w:snapToGrid w:val="0"/>
        <w:spacing w:line="500" w:lineRule="exact"/>
        <w:ind w:firstLine="60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2.获取方式：本项目招标文件实行网上获取。供应商登录浙江政府采购网（</w:t>
      </w:r>
      <w:r>
        <w:rPr>
          <w:rFonts w:eastAsia="宋体" w:cs="Times New Roman"/>
        </w:rPr>
        <w:fldChar w:fldCharType="begin"/>
      </w:r>
      <w:r>
        <w:rPr>
          <w:rFonts w:eastAsia="宋体" w:cs="Times New Roman"/>
        </w:rPr>
        <w:instrText xml:space="preserve"> HYPERLINK "http://zfcg.czt.zj.gov.cn/" </w:instrText>
      </w:r>
      <w:r>
        <w:rPr>
          <w:rFonts w:eastAsia="宋体" w:cs="Times New Roman"/>
        </w:rPr>
        <w:fldChar w:fldCharType="separate"/>
      </w:r>
      <w:r>
        <w:rPr>
          <w:rFonts w:eastAsia="宋体" w:cs="Times New Roman"/>
          <w:color w:val="000000"/>
          <w:sz w:val="28"/>
          <w:szCs w:val="28"/>
          <w:u w:val="single"/>
        </w:rPr>
        <w:t>http://zfcg.czt.zj.gov.cn/</w:t>
      </w:r>
      <w:r>
        <w:rPr>
          <w:rFonts w:eastAsia="宋体" w:cs="Times New Roman"/>
          <w:color w:val="000000"/>
          <w:sz w:val="28"/>
          <w:szCs w:val="28"/>
          <w:u w:val="single"/>
        </w:rPr>
        <w:fldChar w:fldCharType="end"/>
      </w:r>
      <w:r>
        <w:rPr>
          <w:rFonts w:hint="eastAsia" w:ascii="宋体" w:hAnsi="宋体" w:eastAsia="宋体" w:cs="仿宋"/>
          <w:color w:val="000000"/>
          <w:kern w:val="0"/>
          <w:sz w:val="28"/>
          <w:szCs w:val="28"/>
          <w:lang w:val="zh-CN"/>
        </w:rPr>
        <w:t>）进入政采云系统“项目采购”模块“获取采购文件”菜单，进行网上获取招标文件。</w:t>
      </w:r>
    </w:p>
    <w:p w14:paraId="7134FBB2">
      <w:pPr>
        <w:autoSpaceDE w:val="0"/>
        <w:autoSpaceDN w:val="0"/>
        <w:adjustRightInd w:val="0"/>
        <w:snapToGrid w:val="0"/>
        <w:spacing w:line="500" w:lineRule="exact"/>
        <w:ind w:firstLine="56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3.招标文件免费获取。</w:t>
      </w:r>
    </w:p>
    <w:p w14:paraId="0290B4EE">
      <w:pPr>
        <w:snapToGrid w:val="0"/>
        <w:spacing w:line="500" w:lineRule="exact"/>
        <w:ind w:firstLine="562" w:firstLineChars="200"/>
        <w:rPr>
          <w:rFonts w:ascii="宋体" w:hAnsi="宋体" w:eastAsia="宋体" w:cs="Times New Roman"/>
          <w:b/>
          <w:color w:val="000000"/>
          <w:kern w:val="0"/>
          <w:sz w:val="28"/>
          <w:szCs w:val="28"/>
        </w:rPr>
      </w:pPr>
      <w:r>
        <w:rPr>
          <w:rFonts w:hint="eastAsia" w:ascii="宋体" w:hAnsi="宋体" w:eastAsia="宋体" w:cs="Arial"/>
          <w:b/>
          <w:bCs/>
          <w:color w:val="000000"/>
          <w:sz w:val="28"/>
          <w:szCs w:val="28"/>
        </w:rPr>
        <w:t>六、投标截止时间、地点和形式</w:t>
      </w:r>
    </w:p>
    <w:p w14:paraId="0231A125">
      <w:pPr>
        <w:adjustRightInd w:val="0"/>
        <w:snapToGrid w:val="0"/>
        <w:spacing w:before="120" w:beforeLines="50" w:after="120" w:afterLines="50" w:line="500" w:lineRule="exact"/>
        <w:ind w:firstLine="565" w:firstLineChars="201"/>
        <w:rPr>
          <w:rFonts w:ascii="宋体" w:hAnsi="宋体" w:eastAsia="宋体" w:cs="Times New Roman"/>
          <w:color w:val="000000"/>
          <w:kern w:val="0"/>
          <w:sz w:val="28"/>
          <w:szCs w:val="28"/>
        </w:rPr>
      </w:pPr>
      <w:r>
        <w:rPr>
          <w:rFonts w:hint="eastAsia" w:ascii="宋体" w:hAnsi="宋体" w:eastAsia="宋体" w:cs="Times New Roman"/>
          <w:b/>
          <w:color w:val="000000"/>
          <w:kern w:val="0"/>
          <w:sz w:val="28"/>
          <w:szCs w:val="28"/>
        </w:rPr>
        <w:t>投标截止时间：</w:t>
      </w:r>
      <w:bookmarkStart w:id="3" w:name="PO_15528_PM015"/>
      <w:r>
        <w:rPr>
          <w:rFonts w:hint="eastAsia" w:ascii="仿宋" w:hAnsi="仿宋" w:eastAsia="仿宋" w:cs="Arial"/>
          <w:color w:val="000000"/>
          <w:sz w:val="30"/>
          <w:szCs w:val="30"/>
          <w:lang w:eastAsia="zh-CN"/>
        </w:rPr>
        <w:t>2025-08-07 09:00:00</w:t>
      </w:r>
      <w:bookmarkEnd w:id="3"/>
      <w:r>
        <w:rPr>
          <w:rFonts w:hint="eastAsia" w:ascii="宋体" w:hAnsi="宋体" w:eastAsia="宋体" w:cs="Times New Roman"/>
          <w:b/>
          <w:color w:val="000000"/>
          <w:kern w:val="0"/>
          <w:sz w:val="28"/>
          <w:szCs w:val="28"/>
        </w:rPr>
        <w:t>。</w:t>
      </w:r>
    </w:p>
    <w:p w14:paraId="30D15E25">
      <w:pPr>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9D7A25F">
      <w:pPr>
        <w:adjustRightInd w:val="0"/>
        <w:snapToGrid w:val="0"/>
        <w:spacing w:before="120" w:beforeLines="50" w:after="120" w:afterLines="50" w:line="500" w:lineRule="exact"/>
        <w:ind w:firstLine="565" w:firstLineChars="201"/>
        <w:rPr>
          <w:rFonts w:ascii="宋体" w:hAnsi="宋体" w:eastAsia="宋体" w:cs="Times New Roman"/>
          <w:b/>
          <w:bCs/>
          <w:color w:val="FF0000"/>
          <w:kern w:val="0"/>
          <w:sz w:val="28"/>
          <w:szCs w:val="28"/>
        </w:rPr>
      </w:pPr>
      <w:r>
        <w:rPr>
          <w:rFonts w:hint="eastAsia" w:ascii="宋体" w:hAnsi="宋体" w:eastAsia="宋体" w:cs="Times New Roman"/>
          <w:b/>
          <w:bCs/>
          <w:color w:val="FF0000"/>
          <w:kern w:val="0"/>
          <w:sz w:val="28"/>
          <w:szCs w:val="28"/>
        </w:rPr>
        <w:t>演示文件请于投标截止时间前，通过邮寄方式送达指定地点，逾期送达或未密封将被拒收，请合理安排好邮寄时间。</w:t>
      </w:r>
    </w:p>
    <w:p w14:paraId="163038BA">
      <w:pPr>
        <w:adjustRightInd w:val="0"/>
        <w:snapToGrid w:val="0"/>
        <w:spacing w:before="120" w:beforeLines="50" w:after="120" w:afterLines="50" w:line="500" w:lineRule="exact"/>
        <w:ind w:firstLine="565" w:firstLineChars="201"/>
        <w:rPr>
          <w:rFonts w:ascii="宋体" w:hAnsi="宋体" w:eastAsia="宋体" w:cs="宋体"/>
          <w:color w:val="000000"/>
          <w:kern w:val="0"/>
          <w:sz w:val="28"/>
          <w:szCs w:val="28"/>
        </w:rPr>
      </w:pPr>
      <w:r>
        <w:rPr>
          <w:rFonts w:hint="eastAsia" w:ascii="宋体" w:hAnsi="宋体" w:eastAsia="宋体" w:cs="Times New Roman"/>
          <w:b/>
          <w:bCs/>
          <w:color w:val="FF0000"/>
          <w:kern w:val="0"/>
          <w:sz w:val="28"/>
          <w:szCs w:val="28"/>
        </w:rPr>
        <w:t>演示U盘应当密封包装并在包装上标注演示U盘、项目名称、标项、供应商名称并加盖公章。未按文件要求提供演示U盘造成评审专家无法正常评审的风险由供应商自行承担。（演示U盘请单独封装）</w:t>
      </w:r>
    </w:p>
    <w:p w14:paraId="6FE0DF48">
      <w:pPr>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31D90E8C">
      <w:pPr>
        <w:spacing w:line="360" w:lineRule="auto"/>
        <w:ind w:firstLine="562" w:firstLineChars="200"/>
        <w:rPr>
          <w:rFonts w:ascii="宋体" w:hAnsi="宋体" w:eastAsia="宋体" w:cs="宋体"/>
          <w:color w:val="000000"/>
          <w:kern w:val="0"/>
          <w:sz w:val="28"/>
          <w:szCs w:val="28"/>
        </w:rPr>
      </w:pPr>
      <w:r>
        <w:rPr>
          <w:rFonts w:hint="eastAsia" w:ascii="宋体" w:hAnsi="宋体" w:eastAsia="宋体" w:cs="Times New Roman"/>
          <w:b/>
          <w:bCs/>
          <w:color w:val="FF0000"/>
          <w:kern w:val="0"/>
          <w:sz w:val="28"/>
          <w:szCs w:val="28"/>
        </w:rPr>
        <w:t>演示文件、</w:t>
      </w:r>
      <w:r>
        <w:rPr>
          <w:rFonts w:hint="eastAsia" w:ascii="宋体" w:hAnsi="宋体" w:eastAsia="宋体" w:cs="宋体"/>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AEA750E">
      <w:pPr>
        <w:adjustRightInd w:val="0"/>
        <w:snapToGrid w:val="0"/>
        <w:spacing w:before="120" w:beforeLines="50" w:after="120" w:afterLines="50" w:line="500" w:lineRule="exact"/>
        <w:ind w:firstLine="565" w:firstLineChars="201"/>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本项目拒绝接受纸质投标文件。</w:t>
      </w:r>
    </w:p>
    <w:p w14:paraId="45909545">
      <w:pPr>
        <w:snapToGrid w:val="0"/>
        <w:spacing w:line="500" w:lineRule="exact"/>
        <w:ind w:firstLine="562" w:firstLineChars="200"/>
        <w:rPr>
          <w:rFonts w:ascii="宋体" w:hAnsi="宋体" w:eastAsia="宋体" w:cs="Arial"/>
          <w:b/>
          <w:bCs/>
          <w:color w:val="000000"/>
          <w:sz w:val="28"/>
          <w:szCs w:val="28"/>
        </w:rPr>
      </w:pPr>
      <w:r>
        <w:rPr>
          <w:rFonts w:hint="eastAsia" w:ascii="宋体" w:hAnsi="宋体" w:eastAsia="宋体" w:cs="Arial"/>
          <w:b/>
          <w:bCs/>
          <w:color w:val="000000"/>
          <w:sz w:val="28"/>
          <w:szCs w:val="28"/>
        </w:rPr>
        <w:t>七、开标时间及地点：</w:t>
      </w:r>
    </w:p>
    <w:p w14:paraId="1B38E9EC">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本次招标将于</w:t>
      </w:r>
      <w:bookmarkStart w:id="4" w:name="PO_15528_PM015_1"/>
      <w:r>
        <w:rPr>
          <w:rFonts w:hint="eastAsia" w:ascii="宋体" w:hAnsi="宋体" w:cs="Arial"/>
          <w:b/>
          <w:color w:val="000000"/>
          <w:sz w:val="28"/>
          <w:szCs w:val="28"/>
          <w:lang w:eastAsia="zh-CN"/>
        </w:rPr>
        <w:t>2025-08-07 09:00:00</w:t>
      </w:r>
      <w:bookmarkEnd w:id="4"/>
      <w:r>
        <w:rPr>
          <w:rFonts w:hint="eastAsia" w:ascii="宋体" w:hAnsi="宋体" w:eastAsia="宋体" w:cs="Arial"/>
          <w:b/>
          <w:color w:val="000000"/>
          <w:sz w:val="28"/>
          <w:szCs w:val="28"/>
        </w:rPr>
        <w:t>时整在</w:t>
      </w:r>
      <w:bookmarkStart w:id="5" w:name="PO_15528_PM016_1"/>
      <w:r>
        <w:rPr>
          <w:rFonts w:hint="eastAsia" w:ascii="宋体" w:hAnsi="宋体" w:cs="Arial"/>
          <w:b/>
          <w:color w:val="000000"/>
          <w:sz w:val="28"/>
          <w:szCs w:val="28"/>
          <w:lang w:eastAsia="zh-CN"/>
        </w:rPr>
        <w:t>浙江省杭州市西湖区宝石一路3号203开标室</w:t>
      </w:r>
      <w:bookmarkEnd w:id="5"/>
      <w:r>
        <w:rPr>
          <w:rFonts w:hint="eastAsia" w:ascii="宋体" w:hAnsi="宋体" w:eastAsia="宋体" w:cs="Arial"/>
          <w:b/>
          <w:color w:val="000000"/>
          <w:sz w:val="28"/>
          <w:szCs w:val="28"/>
        </w:rPr>
        <w:t>开标。</w:t>
      </w:r>
    </w:p>
    <w:p w14:paraId="05C077C8">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0C1F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6EC8C504">
            <w:pPr>
              <w:rPr>
                <w:rFonts w:ascii="宋体" w:hAnsi="宋体" w:eastAsia="宋体" w:cs="宋体"/>
                <w:color w:val="000000"/>
                <w:kern w:val="0"/>
                <w:sz w:val="28"/>
                <w:szCs w:val="28"/>
              </w:rPr>
            </w:pPr>
            <w:r>
              <w:rPr>
                <w:rFonts w:hint="eastAsia" w:ascii="宋体" w:hAnsi="宋体" w:eastAsia="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4DA24595">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开标室：</w:t>
            </w:r>
          </w:p>
          <w:p w14:paraId="1A4EDBEB">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w:t>
            </w:r>
            <w:r>
              <w:rPr>
                <w:rFonts w:ascii="宋体" w:hAnsi="宋体" w:eastAsia="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35131682">
            <w:pPr>
              <w:adjustRightInd w:val="0"/>
              <w:snapToGrid w:val="0"/>
              <w:spacing w:line="360" w:lineRule="auto"/>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评标</w:t>
            </w:r>
            <w:r>
              <w:rPr>
                <w:rFonts w:hint="eastAsia" w:ascii="宋体" w:hAnsi="宋体" w:eastAsia="宋体" w:cs="宋体"/>
                <w:color w:val="000000"/>
                <w:kern w:val="0"/>
                <w:sz w:val="28"/>
                <w:szCs w:val="28"/>
              </w:rPr>
              <w:t>室：</w:t>
            </w:r>
          </w:p>
          <w:p w14:paraId="53B1E70B">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0571-88907720</w:t>
            </w:r>
          </w:p>
        </w:tc>
      </w:tr>
    </w:tbl>
    <w:p w14:paraId="13F9B0D3">
      <w:pPr>
        <w:snapToGrid w:val="0"/>
        <w:spacing w:line="500" w:lineRule="exact"/>
        <w:ind w:firstLine="562" w:firstLineChars="200"/>
        <w:rPr>
          <w:rFonts w:ascii="宋体" w:hAnsi="宋体" w:eastAsia="宋体" w:cs="Arial"/>
          <w:b/>
          <w:color w:val="000000"/>
          <w:sz w:val="28"/>
          <w:szCs w:val="28"/>
        </w:rPr>
      </w:pPr>
      <w:bookmarkStart w:id="43" w:name="_GoBack"/>
      <w:bookmarkEnd w:id="43"/>
      <w:r>
        <w:rPr>
          <w:rFonts w:hint="eastAsia" w:ascii="宋体" w:hAnsi="宋体" w:eastAsia="宋体" w:cs="Arial"/>
          <w:b/>
          <w:color w:val="000000"/>
          <w:sz w:val="28"/>
          <w:szCs w:val="28"/>
        </w:rPr>
        <w:t>八、电子交易平台的网络地址和登录方法</w:t>
      </w:r>
    </w:p>
    <w:p w14:paraId="38B6F3C7">
      <w:pPr>
        <w:snapToGrid w:val="0"/>
        <w:spacing w:line="500" w:lineRule="exact"/>
        <w:ind w:firstLine="562" w:firstLineChars="200"/>
        <w:rPr>
          <w:rFonts w:eastAsia="宋体" w:cs="Times New Roman"/>
          <w:color w:val="000000"/>
          <w:sz w:val="28"/>
          <w:szCs w:val="28"/>
        </w:rPr>
      </w:pPr>
      <w:r>
        <w:rPr>
          <w:rFonts w:hint="eastAsia" w:ascii="宋体" w:hAnsi="宋体" w:eastAsia="宋体" w:cs="Arial"/>
          <w:b/>
          <w:color w:val="000000"/>
          <w:sz w:val="28"/>
          <w:szCs w:val="28"/>
        </w:rPr>
        <w:t>（一）网络地址：</w:t>
      </w:r>
      <w:r>
        <w:rPr>
          <w:rFonts w:hint="eastAsia" w:ascii="宋体" w:hAnsi="宋体" w:eastAsia="宋体" w:cs="仿宋"/>
          <w:color w:val="000000"/>
          <w:sz w:val="28"/>
          <w:szCs w:val="28"/>
        </w:rPr>
        <w:t xml:space="preserve">浙江政府采购网 </w:t>
      </w:r>
      <w:r>
        <w:rPr>
          <w:rFonts w:eastAsia="宋体" w:cs="Times New Roman"/>
        </w:rPr>
        <w:fldChar w:fldCharType="begin"/>
      </w:r>
      <w:r>
        <w:rPr>
          <w:rFonts w:eastAsia="宋体" w:cs="Times New Roman"/>
        </w:rPr>
        <w:instrText xml:space="preserve"> HYPERLINK "http://zfcg.czt.zj.gov.cn/" </w:instrText>
      </w:r>
      <w:r>
        <w:rPr>
          <w:rFonts w:eastAsia="宋体" w:cs="Times New Roman"/>
        </w:rPr>
        <w:fldChar w:fldCharType="separate"/>
      </w:r>
      <w:r>
        <w:rPr>
          <w:rFonts w:eastAsia="宋体" w:cs="Times New Roman"/>
          <w:color w:val="000000"/>
          <w:sz w:val="28"/>
          <w:szCs w:val="28"/>
          <w:u w:val="single"/>
        </w:rPr>
        <w:t>http://zfcg.czt.zj.gov.cn/</w:t>
      </w:r>
      <w:r>
        <w:rPr>
          <w:rFonts w:eastAsia="宋体" w:cs="Times New Roman"/>
          <w:color w:val="000000"/>
          <w:sz w:val="28"/>
          <w:szCs w:val="28"/>
          <w:u w:val="single"/>
        </w:rPr>
        <w:fldChar w:fldCharType="end"/>
      </w:r>
    </w:p>
    <w:p w14:paraId="6F0EFA5E">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（二）登录方法：</w:t>
      </w:r>
      <w:r>
        <w:rPr>
          <w:rFonts w:hint="eastAsia" w:ascii="宋体" w:hAnsi="宋体" w:eastAsia="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2CC491C">
      <w:pPr>
        <w:snapToGrid w:val="0"/>
        <w:spacing w:line="500" w:lineRule="exact"/>
        <w:ind w:left="562"/>
        <w:rPr>
          <w:rFonts w:ascii="宋体" w:hAnsi="宋体" w:eastAsia="宋体" w:cs="Arial"/>
          <w:b/>
          <w:bCs/>
          <w:color w:val="000000"/>
          <w:sz w:val="28"/>
          <w:szCs w:val="28"/>
        </w:rPr>
      </w:pPr>
      <w:r>
        <w:rPr>
          <w:rFonts w:hint="eastAsia" w:ascii="宋体" w:hAnsi="宋体" w:eastAsia="宋体" w:cs="Arial"/>
          <w:b/>
          <w:bCs/>
          <w:color w:val="000000"/>
          <w:sz w:val="28"/>
          <w:szCs w:val="28"/>
        </w:rPr>
        <w:t>九、其他：</w:t>
      </w:r>
    </w:p>
    <w:p w14:paraId="27666E1C">
      <w:pPr>
        <w:snapToGrid w:val="0"/>
        <w:spacing w:line="44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（一）本项目采用“电子交易/不见面开评标”，供应商可进入电子卖场服务中心采云学院</w:t>
      </w:r>
    </w:p>
    <w:p w14:paraId="76EF133C">
      <w:pPr>
        <w:snapToGrid w:val="0"/>
        <w:spacing w:line="440" w:lineRule="exact"/>
        <w:ind w:firstLine="562" w:firstLineChars="200"/>
        <w:rPr>
          <w:rFonts w:ascii="仿宋" w:hAnsi="仿宋" w:eastAsia="仿宋" w:cs="Times New Roman"/>
          <w:color w:val="000000"/>
          <w:sz w:val="28"/>
          <w:szCs w:val="28"/>
        </w:rPr>
      </w:pPr>
      <w:r>
        <w:rPr>
          <w:rFonts w:hint="eastAsia" w:ascii="宋体" w:hAnsi="宋体" w:eastAsia="宋体" w:cs="Arial"/>
          <w:b/>
          <w:color w:val="000000"/>
          <w:sz w:val="28"/>
          <w:szCs w:val="28"/>
        </w:rPr>
        <w:t>（https://edu.zcygov.cn/live?utm=a0018.2ef5001f.0.0.1939d340e5db11ea867fb57c149ddb61）自行提前学习</w:t>
      </w:r>
      <w:r>
        <w:rPr>
          <w:rFonts w:hint="eastAsia" w:ascii="宋体" w:hAnsi="宋体" w:eastAsia="宋体" w:cs="Arial"/>
          <w:color w:val="000000"/>
          <w:sz w:val="28"/>
          <w:szCs w:val="28"/>
        </w:rPr>
        <w:t>。</w:t>
      </w:r>
    </w:p>
    <w:p w14:paraId="02C0D2C7">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79CE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83C97B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7DAEB0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63B3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54EA678">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5647A2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267C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88B381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A2582B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6E38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A77DC37">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14:paraId="469C38C2">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14:paraId="51FD5D8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14:paraId="4280AC5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vAlign w:val="center"/>
          </w:tcPr>
          <w:p w14:paraId="3F925FA7">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34F1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CD1341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79F62A9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889F07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3AD2840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76314DC2">
            <w:pPr>
              <w:spacing w:line="480" w:lineRule="exact"/>
              <w:jc w:val="center"/>
              <w:rPr>
                <w:rFonts w:ascii="仿宋" w:hAnsi="仿宋" w:eastAsia="仿宋" w:cs="仿宋"/>
                <w:color w:val="000000"/>
                <w:sz w:val="28"/>
                <w:szCs w:val="28"/>
              </w:rPr>
            </w:pPr>
            <w:bookmarkStart w:id="6" w:name="PO_15528_PM034"/>
            <w:r>
              <w:rPr>
                <w:rFonts w:hint="eastAsia" w:ascii="仿宋" w:hAnsi="仿宋" w:eastAsia="仿宋" w:cs="仿宋"/>
                <w:color w:val="000000"/>
                <w:sz w:val="28"/>
                <w:szCs w:val="28"/>
              </w:rPr>
              <w:t>/</w:t>
            </w:r>
            <w:bookmarkEnd w:id="6"/>
          </w:p>
        </w:tc>
        <w:tc>
          <w:tcPr>
            <w:tcW w:w="2645" w:type="dxa"/>
            <w:vMerge w:val="restart"/>
            <w:tcBorders>
              <w:top w:val="single" w:color="auto" w:sz="4" w:space="0"/>
              <w:left w:val="single" w:color="auto" w:sz="4" w:space="0"/>
              <w:bottom w:val="single" w:color="auto" w:sz="4" w:space="0"/>
              <w:right w:val="single" w:color="auto" w:sz="4" w:space="0"/>
            </w:tcBorders>
            <w:vAlign w:val="center"/>
          </w:tcPr>
          <w:p w14:paraId="183822C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四楼</w:t>
            </w:r>
            <w:bookmarkStart w:id="7" w:name="PO_409_PM001385"/>
            <w:r>
              <w:rPr>
                <w:rFonts w:hint="eastAsia" w:ascii="仿宋" w:hAnsi="仿宋" w:eastAsia="仿宋" w:cs="仿宋"/>
                <w:color w:val="000000"/>
                <w:sz w:val="28"/>
                <w:szCs w:val="28"/>
              </w:rPr>
              <w:t>采购二部</w:t>
            </w:r>
            <w:bookmarkEnd w:id="7"/>
          </w:p>
        </w:tc>
      </w:tr>
      <w:tr w14:paraId="7390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D36CA8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0FE8FBC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56B9B5C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vAlign w:val="center"/>
          </w:tcPr>
          <w:p w14:paraId="73EF709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49593DE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5DA635B">
            <w:pPr>
              <w:widowControl/>
              <w:jc w:val="center"/>
              <w:rPr>
                <w:rFonts w:ascii="仿宋" w:hAnsi="仿宋" w:eastAsia="仿宋" w:cs="仿宋"/>
                <w:color w:val="000000"/>
                <w:sz w:val="28"/>
                <w:szCs w:val="28"/>
              </w:rPr>
            </w:pPr>
          </w:p>
        </w:tc>
      </w:tr>
      <w:tr w14:paraId="3D61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3A5079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0BF1BCDA">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6A31C179">
            <w:pPr>
              <w:spacing w:line="380" w:lineRule="exact"/>
              <w:jc w:val="center"/>
              <w:rPr>
                <w:rFonts w:ascii="仿宋" w:hAnsi="仿宋" w:eastAsia="仿宋" w:cs="仿宋"/>
                <w:color w:val="000000"/>
                <w:sz w:val="28"/>
                <w:szCs w:val="28"/>
              </w:rPr>
            </w:pPr>
            <w:r>
              <w:rPr>
                <w:rFonts w:ascii="仿宋" w:hAnsi="仿宋" w:eastAsia="仿宋" w:cs="仿宋"/>
                <w:color w:val="000000"/>
                <w:sz w:val="28"/>
                <w:szCs w:val="28"/>
              </w:rPr>
              <w:t>0571-8890</w:t>
            </w:r>
            <w:r>
              <w:rPr>
                <w:rFonts w:hint="eastAsia"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77F1E6F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D595583">
            <w:pPr>
              <w:widowControl/>
              <w:jc w:val="center"/>
              <w:rPr>
                <w:rFonts w:ascii="仿宋" w:hAnsi="仿宋" w:eastAsia="仿宋" w:cs="仿宋"/>
                <w:color w:val="000000"/>
                <w:sz w:val="28"/>
                <w:szCs w:val="28"/>
              </w:rPr>
            </w:pPr>
          </w:p>
        </w:tc>
      </w:tr>
      <w:tr w14:paraId="5EF4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6358B14">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6BB8C42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张先生</w:t>
            </w:r>
          </w:p>
        </w:tc>
        <w:tc>
          <w:tcPr>
            <w:tcW w:w="2089" w:type="dxa"/>
            <w:tcBorders>
              <w:top w:val="single" w:color="auto" w:sz="4" w:space="0"/>
              <w:left w:val="single" w:color="auto" w:sz="4" w:space="0"/>
              <w:bottom w:val="single" w:color="auto" w:sz="4" w:space="0"/>
              <w:right w:val="single" w:color="auto" w:sz="4" w:space="0"/>
            </w:tcBorders>
            <w:vAlign w:val="center"/>
          </w:tcPr>
          <w:p w14:paraId="7E5F641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rPr>
              <w:t>07</w:t>
            </w:r>
          </w:p>
        </w:tc>
        <w:tc>
          <w:tcPr>
            <w:tcW w:w="2066" w:type="dxa"/>
            <w:tcBorders>
              <w:top w:val="single" w:color="auto" w:sz="4" w:space="0"/>
              <w:left w:val="single" w:color="auto" w:sz="4" w:space="0"/>
              <w:bottom w:val="single" w:color="auto" w:sz="4" w:space="0"/>
              <w:right w:val="single" w:color="auto" w:sz="4" w:space="0"/>
            </w:tcBorders>
            <w:vAlign w:val="center"/>
          </w:tcPr>
          <w:p w14:paraId="11AC27E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0CD025D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四楼（财务监督部）</w:t>
            </w:r>
          </w:p>
        </w:tc>
      </w:tr>
      <w:tr w14:paraId="1016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2D25015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B1F1FD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3638DE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2AF3C5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6110497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656A627A">
      <w:pPr>
        <w:snapToGrid w:val="0"/>
        <w:spacing w:line="440" w:lineRule="exact"/>
        <w:ind w:firstLine="602" w:firstLineChars="200"/>
        <w:rPr>
          <w:rFonts w:ascii="仿宋" w:hAnsi="仿宋" w:eastAsia="仿宋" w:cs="Arial"/>
          <w:b/>
          <w:bCs/>
          <w:color w:val="000000"/>
          <w:sz w:val="30"/>
          <w:szCs w:val="30"/>
        </w:rPr>
      </w:pPr>
    </w:p>
    <w:p w14:paraId="231AF317">
      <w:pPr>
        <w:snapToGrid w:val="0"/>
        <w:spacing w:line="360" w:lineRule="auto"/>
        <w:ind w:firstLine="602" w:firstLineChars="200"/>
        <w:rPr>
          <w:rFonts w:ascii="仿宋_GB2312" w:hAnsi="仿宋" w:eastAsia="仿宋_GB2312" w:cs="Times New Roman"/>
          <w:color w:val="000000"/>
          <w:sz w:val="30"/>
          <w:szCs w:val="30"/>
        </w:rPr>
      </w:pPr>
      <w:r>
        <w:rPr>
          <w:rFonts w:hint="eastAsia" w:ascii="仿宋" w:hAnsi="仿宋" w:eastAsia="仿宋" w:cs="Arial"/>
          <w:b/>
          <w:bCs/>
          <w:color w:val="000000"/>
          <w:sz w:val="30"/>
          <w:szCs w:val="30"/>
        </w:rPr>
        <w:t>十一、采购需求咨询</w:t>
      </w:r>
      <w:bookmarkStart w:id="8" w:name="PO_TDCUS_ITEM_PRC_TABLE_1_1_2"/>
      <w:r>
        <w:rPr>
          <w:rFonts w:hint="eastAsia" w:ascii="仿宋_GB2312" w:hAnsi="仿宋" w:eastAsia="仿宋_GB2312" w:cs="Times New Roman"/>
          <w:color w:val="000000"/>
          <w:sz w:val="30"/>
          <w:szCs w:val="30"/>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6"/>
        <w:gridCol w:w="4932"/>
      </w:tblGrid>
      <w:tr w14:paraId="71D0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4AFD0718">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采购单位</w:t>
            </w:r>
          </w:p>
        </w:tc>
        <w:tc>
          <w:tcPr>
            <w:tcW w:w="4932" w:type="dxa"/>
          </w:tcPr>
          <w:p w14:paraId="3FF6CE79">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浙江商业职业技术学院</w:t>
            </w:r>
          </w:p>
        </w:tc>
      </w:tr>
      <w:tr w14:paraId="414A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093D22C7">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地址</w:t>
            </w:r>
          </w:p>
        </w:tc>
        <w:tc>
          <w:tcPr>
            <w:tcW w:w="4932" w:type="dxa"/>
          </w:tcPr>
          <w:p w14:paraId="513DAB72">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浙江省杭州市滨江区滨文路470号</w:t>
            </w:r>
          </w:p>
        </w:tc>
      </w:tr>
      <w:tr w14:paraId="52D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02E2E934">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咨询事项</w:t>
            </w:r>
          </w:p>
        </w:tc>
        <w:tc>
          <w:tcPr>
            <w:tcW w:w="4932" w:type="dxa"/>
          </w:tcPr>
          <w:p w14:paraId="23D7259F">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评分标准、采购需求等</w:t>
            </w:r>
          </w:p>
        </w:tc>
      </w:tr>
      <w:tr w14:paraId="19B9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765241E3">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联系人</w:t>
            </w:r>
          </w:p>
        </w:tc>
        <w:tc>
          <w:tcPr>
            <w:tcW w:w="4932" w:type="dxa"/>
          </w:tcPr>
          <w:p w14:paraId="24562571">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丁老师</w:t>
            </w:r>
          </w:p>
        </w:tc>
      </w:tr>
      <w:tr w14:paraId="5CEB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67FFB6B7">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联系方式</w:t>
            </w:r>
          </w:p>
        </w:tc>
        <w:tc>
          <w:tcPr>
            <w:tcW w:w="4932" w:type="dxa"/>
          </w:tcPr>
          <w:p w14:paraId="04C58F57">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0571-58108098</w:t>
            </w:r>
          </w:p>
        </w:tc>
      </w:tr>
      <w:tr w14:paraId="0EBF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76ADA203">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采购人质疑联系人</w:t>
            </w:r>
          </w:p>
        </w:tc>
        <w:tc>
          <w:tcPr>
            <w:tcW w:w="2891" w:type="pct"/>
          </w:tcPr>
          <w:p w14:paraId="406730AA">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朱老师</w:t>
            </w:r>
          </w:p>
        </w:tc>
      </w:tr>
      <w:tr w14:paraId="21F4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0A87D7BC">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采购人质疑联系电话</w:t>
            </w:r>
          </w:p>
        </w:tc>
        <w:tc>
          <w:tcPr>
            <w:tcW w:w="2891" w:type="pct"/>
          </w:tcPr>
          <w:p w14:paraId="3912D941">
            <w:pPr>
              <w:snapToGrid w:val="0"/>
              <w:spacing w:line="440" w:lineRule="exact"/>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0571-58108194</w:t>
            </w:r>
          </w:p>
        </w:tc>
      </w:tr>
    </w:tbl>
    <w:p w14:paraId="15CBE5C1">
      <w:pPr>
        <w:snapToGrid w:val="0"/>
        <w:spacing w:line="440" w:lineRule="exact"/>
        <w:ind w:firstLine="600" w:firstLineChars="200"/>
        <w:jc w:val="center"/>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 xml:space="preserve"> </w:t>
      </w:r>
      <w:bookmarkEnd w:id="8"/>
    </w:p>
    <w:p w14:paraId="42E5213C">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14:paraId="645189B1">
      <w:pPr>
        <w:snapToGrid w:val="0"/>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7EC2B512">
      <w:pPr>
        <w:snapToGrid w:val="0"/>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508FC25A">
      <w:pPr>
        <w:snapToGrid w:val="0"/>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联系人：匡老师</w:t>
      </w:r>
    </w:p>
    <w:p w14:paraId="568952AF">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Times New Roman"/>
          <w:sz w:val="30"/>
          <w:szCs w:val="30"/>
        </w:rPr>
        <w:t>监督投诉电话：0571-87227986</w:t>
      </w:r>
    </w:p>
    <w:p w14:paraId="21CACD1C">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C65F5AB">
      <w:pPr>
        <w:spacing w:before="120" w:beforeLines="50" w:after="120" w:afterLines="50" w:line="360" w:lineRule="auto"/>
        <w:jc w:val="center"/>
        <w:outlineLvl w:val="0"/>
        <w:rPr>
          <w:rFonts w:ascii="宋体" w:hAnsi="宋体" w:eastAsia="宋体" w:cs="Times New Roman"/>
          <w:b/>
          <w:color w:val="000000"/>
          <w:sz w:val="36"/>
          <w:szCs w:val="36"/>
        </w:rPr>
      </w:pPr>
      <w:r>
        <w:rPr>
          <w:rFonts w:hint="eastAsia" w:ascii="宋体" w:hAnsi="Courier New" w:eastAsia="宋体" w:cs="Times New Roman"/>
          <w:color w:val="000000"/>
          <w:sz w:val="24"/>
          <w:szCs w:val="24"/>
        </w:rPr>
        <w:br w:type="page"/>
      </w:r>
      <w:bookmarkStart w:id="9" w:name="_Toc496796636"/>
      <w:bookmarkStart w:id="10" w:name="_Toc29498"/>
      <w:r>
        <w:rPr>
          <w:rFonts w:hint="eastAsia" w:ascii="仿宋" w:hAnsi="仿宋" w:eastAsia="仿宋" w:cs="Times New Roman"/>
          <w:b/>
          <w:color w:val="000000"/>
          <w:sz w:val="36"/>
          <w:szCs w:val="36"/>
        </w:rPr>
        <w:t>第二章</w:t>
      </w:r>
      <w:bookmarkStart w:id="11" w:name="投标人须知"/>
      <w:r>
        <w:rPr>
          <w:rFonts w:hint="eastAsia" w:ascii="仿宋" w:hAnsi="仿宋" w:eastAsia="仿宋" w:cs="Times New Roman"/>
          <w:b/>
          <w:color w:val="000000"/>
          <w:sz w:val="36"/>
          <w:szCs w:val="36"/>
        </w:rPr>
        <w:t xml:space="preserve"> 投标人须知</w:t>
      </w:r>
      <w:bookmarkEnd w:id="9"/>
      <w:bookmarkEnd w:id="10"/>
      <w:bookmarkEnd w:id="11"/>
    </w:p>
    <w:p w14:paraId="2C04B3DF">
      <w:pPr>
        <w:snapToGrid w:val="0"/>
        <w:rPr>
          <w:rFonts w:ascii="宋体" w:hAnsi="宋体" w:eastAsia="宋体" w:cs="Times New Roman"/>
          <w:color w:val="000000"/>
          <w:sz w:val="28"/>
          <w:szCs w:val="28"/>
        </w:rPr>
      </w:pPr>
      <w:r>
        <w:rPr>
          <w:rFonts w:hint="eastAsia" w:ascii="宋体" w:hAnsi="宋体" w:eastAsia="宋体" w:cs="Times New Roman"/>
          <w:color w:val="000000"/>
          <w:sz w:val="28"/>
          <w:szCs w:val="28"/>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268E3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5C35141">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C04FBD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4C20E760">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要    求</w:t>
            </w:r>
          </w:p>
        </w:tc>
      </w:tr>
      <w:tr w14:paraId="7D30B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B98079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6925642B">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3725B609">
            <w:pPr>
              <w:snapToGrid w:val="0"/>
              <w:spacing w:line="4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详见《公开招标采购公告》三</w:t>
            </w:r>
          </w:p>
        </w:tc>
      </w:tr>
      <w:tr w14:paraId="637EB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06D82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70A35ADB">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7C80C52">
            <w:pPr>
              <w:snapToGrid w:val="0"/>
              <w:spacing w:line="4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431CC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2F7F6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50D0D64D">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7D4A3998">
            <w:pPr>
              <w:snapToGrid w:val="0"/>
              <w:spacing w:line="460" w:lineRule="exact"/>
              <w:rPr>
                <w:rFonts w:ascii="仿宋" w:hAnsi="仿宋" w:eastAsia="仿宋" w:cs="Times New Roman"/>
                <w:color w:val="000000"/>
                <w:sz w:val="24"/>
                <w:szCs w:val="24"/>
              </w:rPr>
            </w:pPr>
            <w:r>
              <w:rPr>
                <w:rFonts w:hint="eastAsia" w:ascii="仿宋" w:hAnsi="仿宋" w:eastAsia="仿宋" w:cs="Times New Roman"/>
                <w:b/>
                <w:bCs/>
                <w:color w:val="000000"/>
                <w:sz w:val="24"/>
                <w:szCs w:val="24"/>
              </w:rPr>
              <w:t>根据《政府采购促进中小企业发展管理办法》财库〔2020〕46号，《关于进一步加大政府采购支持中小企业力度的通知》财库〔2022〕19号文件的规定，本项目不属于预留份额专门面向中小企业采购的项目。</w:t>
            </w:r>
          </w:p>
        </w:tc>
      </w:tr>
      <w:tr w14:paraId="693D2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6342C1C">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0C1C3C95">
            <w:pPr>
              <w:snapToGrid w:val="0"/>
              <w:jc w:val="center"/>
              <w:rPr>
                <w:rFonts w:ascii="仿宋" w:hAnsi="仿宋" w:eastAsia="仿宋" w:cs="Times New Roman"/>
                <w:color w:val="000000"/>
                <w:sz w:val="28"/>
                <w:szCs w:val="28"/>
              </w:rPr>
            </w:pPr>
            <w:r>
              <w:rPr>
                <w:rFonts w:hint="eastAsia" w:ascii="仿宋_GB2312" w:hAnsi="仿宋" w:eastAsia="仿宋_GB2312" w:cs="Times New Roman"/>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7927B2AA">
            <w:pPr>
              <w:numPr>
                <w:ilvl w:val="0"/>
                <w:numId w:val="30"/>
              </w:numPr>
              <w:snapToGrid w:val="0"/>
              <w:spacing w:line="460" w:lineRule="exact"/>
              <w:ind w:left="960" w:hanging="360"/>
              <w:rPr>
                <w:rFonts w:ascii="仿宋" w:hAnsi="仿宋" w:eastAsia="仿宋" w:cs="Times New Roman"/>
                <w:b/>
                <w:color w:val="000000"/>
                <w:sz w:val="24"/>
                <w:szCs w:val="24"/>
                <w:u w:val="single"/>
              </w:rPr>
            </w:pPr>
            <w:r>
              <w:rPr>
                <w:rFonts w:hint="eastAsia" w:ascii="仿宋" w:hAnsi="仿宋" w:eastAsia="仿宋" w:cs="Times New Roman"/>
                <w:b/>
                <w:color w:val="000000"/>
                <w:sz w:val="24"/>
                <w:szCs w:val="24"/>
              </w:rPr>
              <w:t>项目属性（货物类）</w:t>
            </w:r>
          </w:p>
          <w:p w14:paraId="131606F5">
            <w:pPr>
              <w:numPr>
                <w:ilvl w:val="0"/>
                <w:numId w:val="30"/>
              </w:numPr>
              <w:snapToGrid w:val="0"/>
              <w:spacing w:line="460" w:lineRule="exact"/>
              <w:ind w:left="960" w:hanging="360"/>
              <w:rPr>
                <w:rFonts w:ascii="仿宋" w:hAnsi="仿宋" w:eastAsia="仿宋" w:cs="Times New Roman"/>
                <w:b/>
                <w:color w:val="000000"/>
                <w:sz w:val="24"/>
                <w:szCs w:val="24"/>
              </w:rPr>
            </w:pPr>
            <w:r>
              <w:rPr>
                <w:rFonts w:hint="eastAsia" w:ascii="仿宋" w:hAnsi="仿宋" w:eastAsia="仿宋" w:cs="Times New Roman"/>
                <w:b/>
                <w:color w:val="000000"/>
                <w:sz w:val="24"/>
                <w:szCs w:val="24"/>
              </w:rPr>
              <w:t>中小企业划分标准所属行业（具体根据《中小企业划型标准规定》执行）</w:t>
            </w:r>
          </w:p>
          <w:p w14:paraId="776BC934">
            <w:pPr>
              <w:snapToGrid w:val="0"/>
              <w:spacing w:line="460" w:lineRule="exact"/>
              <w:ind w:left="600"/>
              <w:rPr>
                <w:rFonts w:ascii="仿宋" w:hAnsi="仿宋" w:eastAsia="仿宋" w:cs="Times New Roman"/>
                <w:b/>
                <w:color w:val="000000"/>
                <w:sz w:val="24"/>
                <w:szCs w:val="24"/>
              </w:rPr>
            </w:pPr>
            <w:r>
              <w:rPr>
                <w:rFonts w:hint="eastAsia" w:ascii="仿宋" w:hAnsi="仿宋" w:eastAsia="仿宋" w:cs="Times New Roman"/>
                <w:b/>
                <w:color w:val="000000"/>
                <w:sz w:val="24"/>
                <w:szCs w:val="24"/>
              </w:rPr>
              <w:t>采购标的：详见采购清单，所属行业：工业</w:t>
            </w:r>
          </w:p>
          <w:p w14:paraId="0E5BFD3F">
            <w:pPr>
              <w:snapToGrid w:val="0"/>
              <w:spacing w:line="460" w:lineRule="exact"/>
              <w:ind w:firstLine="602" w:firstLineChars="250"/>
              <w:rPr>
                <w:rFonts w:ascii="仿宋" w:hAnsi="仿宋" w:eastAsia="仿宋" w:cs="Times New Roman"/>
                <w:b/>
                <w:strike/>
                <w:color w:val="000000"/>
                <w:sz w:val="24"/>
                <w:szCs w:val="24"/>
              </w:rPr>
            </w:pPr>
            <w:r>
              <w:rPr>
                <w:rFonts w:hint="eastAsia" w:ascii="仿宋" w:hAnsi="仿宋" w:eastAsia="仿宋" w:cs="Times New Roman"/>
                <w:b/>
                <w:color w:val="000000"/>
                <w:sz w:val="24"/>
                <w:szCs w:val="24"/>
              </w:rPr>
              <w:t>3.根据财库〔2020〕46号，〔</w:t>
            </w:r>
            <w:r>
              <w:rPr>
                <w:rFonts w:ascii="仿宋" w:hAnsi="仿宋" w:eastAsia="仿宋" w:cs="Times New Roman"/>
                <w:b/>
                <w:color w:val="000000"/>
                <w:sz w:val="24"/>
                <w:szCs w:val="24"/>
              </w:rPr>
              <w:t>2022〕19</w:t>
            </w:r>
            <w:r>
              <w:rPr>
                <w:rFonts w:hint="eastAsia" w:ascii="仿宋" w:hAnsi="仿宋" w:eastAsia="仿宋" w:cs="Times New Roman"/>
                <w:b/>
                <w:color w:val="000000"/>
                <w:sz w:val="24"/>
                <w:szCs w:val="24"/>
              </w:rPr>
              <w:t>号的相关规定，在评审时对符合本办法规定的小微企业报价给予</w:t>
            </w:r>
            <w:r>
              <w:rPr>
                <w:rFonts w:hint="eastAsia" w:ascii="仿宋" w:hAnsi="仿宋" w:eastAsia="仿宋" w:cs="Times New Roman"/>
                <w:b/>
                <w:color w:val="000000"/>
                <w:sz w:val="24"/>
                <w:szCs w:val="24"/>
                <w:u w:val="single"/>
              </w:rPr>
              <w:t xml:space="preserve">  10%  </w:t>
            </w:r>
            <w:r>
              <w:rPr>
                <w:rFonts w:hint="eastAsia" w:ascii="仿宋" w:hAnsi="仿宋" w:eastAsia="仿宋" w:cs="Times New Roman"/>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6BC0DD10">
            <w:pPr>
              <w:snapToGrid w:val="0"/>
              <w:spacing w:line="460" w:lineRule="exact"/>
              <w:ind w:firstLine="602" w:firstLineChars="250"/>
              <w:rPr>
                <w:rFonts w:ascii="仿宋" w:hAnsi="仿宋" w:eastAsia="仿宋" w:cs="Times New Roman"/>
                <w:b/>
                <w:strike/>
                <w:color w:val="000000"/>
                <w:sz w:val="24"/>
                <w:szCs w:val="24"/>
              </w:rPr>
            </w:pPr>
            <w:r>
              <w:rPr>
                <w:rFonts w:hint="eastAsia" w:ascii="仿宋" w:hAnsi="仿宋" w:eastAsia="仿宋" w:cs="Times New Roman"/>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Times New Roman"/>
                <w:b/>
                <w:color w:val="000000"/>
                <w:sz w:val="24"/>
                <w:szCs w:val="24"/>
                <w:u w:val="single"/>
              </w:rPr>
              <w:t xml:space="preserve">  4%  </w:t>
            </w:r>
            <w:r>
              <w:rPr>
                <w:rFonts w:hint="eastAsia" w:ascii="仿宋" w:hAnsi="仿宋" w:eastAsia="仿宋" w:cs="Times New Roman"/>
                <w:b/>
                <w:color w:val="000000"/>
                <w:sz w:val="24"/>
                <w:szCs w:val="24"/>
              </w:rPr>
              <w:t>的扣除，用扣除后的价格参加评审。</w:t>
            </w:r>
          </w:p>
          <w:p w14:paraId="1FD3F3DA">
            <w:pPr>
              <w:snapToGrid w:val="0"/>
              <w:spacing w:line="460" w:lineRule="exact"/>
              <w:ind w:firstLine="602" w:firstLineChars="250"/>
              <w:rPr>
                <w:rFonts w:ascii="仿宋" w:hAnsi="仿宋" w:eastAsia="仿宋" w:cs="Times New Roman"/>
                <w:b/>
                <w:color w:val="000000"/>
                <w:sz w:val="24"/>
                <w:szCs w:val="24"/>
              </w:rPr>
            </w:pPr>
            <w:r>
              <w:rPr>
                <w:rFonts w:hint="eastAsia" w:ascii="仿宋" w:hAnsi="仿宋" w:eastAsia="仿宋" w:cs="Times New Roman"/>
                <w:b/>
                <w:color w:val="000000"/>
                <w:sz w:val="24"/>
                <w:szCs w:val="24"/>
              </w:rPr>
              <w:t>组成联合体或者接受分包 的小微企业与联合体内其他企业、分包企业之间存在直接控 股、管理关系的，不享受价格扣除优惠政策。</w:t>
            </w:r>
          </w:p>
          <w:p w14:paraId="213AED52">
            <w:pPr>
              <w:snapToGrid w:val="0"/>
              <w:spacing w:line="460" w:lineRule="exact"/>
              <w:ind w:firstLine="600" w:firstLineChars="250"/>
              <w:rPr>
                <w:rFonts w:ascii="仿宋" w:hAnsi="仿宋" w:eastAsia="仿宋" w:cs="Times New Roman"/>
                <w:color w:val="000000"/>
                <w:sz w:val="24"/>
                <w:szCs w:val="24"/>
              </w:rPr>
            </w:pPr>
            <w:r>
              <w:rPr>
                <w:rFonts w:hint="eastAsia" w:ascii="仿宋" w:hAnsi="仿宋" w:eastAsia="仿宋" w:cs="Times New Roman"/>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2FF355B">
            <w:pPr>
              <w:snapToGrid w:val="0"/>
              <w:spacing w:line="460" w:lineRule="exact"/>
              <w:ind w:firstLine="600" w:firstLineChars="250"/>
              <w:rPr>
                <w:rFonts w:ascii="仿宋" w:hAnsi="仿宋" w:eastAsia="仿宋" w:cs="Times New Roman"/>
                <w:color w:val="000000"/>
                <w:sz w:val="24"/>
                <w:szCs w:val="24"/>
              </w:rPr>
            </w:pPr>
            <w:r>
              <w:rPr>
                <w:rFonts w:hint="eastAsia" w:ascii="仿宋" w:hAnsi="仿宋" w:eastAsia="仿宋" w:cs="Times New Roman"/>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5FD6DE4">
            <w:pPr>
              <w:snapToGrid w:val="0"/>
              <w:jc w:val="left"/>
              <w:rPr>
                <w:rFonts w:ascii="仿宋" w:hAnsi="仿宋" w:eastAsia="仿宋" w:cs="Times New Roman"/>
                <w:b/>
                <w:bCs/>
                <w:color w:val="000000"/>
                <w:sz w:val="24"/>
                <w:szCs w:val="24"/>
              </w:rPr>
            </w:pPr>
            <w:r>
              <w:rPr>
                <w:rFonts w:hint="eastAsia" w:ascii="仿宋" w:hAnsi="仿宋" w:eastAsia="仿宋" w:cs="Times New Roman"/>
                <w:b/>
                <w:color w:val="000000"/>
                <w:sz w:val="24"/>
                <w:szCs w:val="24"/>
              </w:rPr>
              <w:t>(注：未提供以上材料的，均不给予价格扣除）。</w:t>
            </w:r>
          </w:p>
        </w:tc>
      </w:tr>
      <w:tr w14:paraId="3E076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94692F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6E5AB71A">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F1F1567">
            <w:pPr>
              <w:snapToGrid w:val="0"/>
              <w:spacing w:line="460" w:lineRule="exact"/>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CD69F20">
            <w:pPr>
              <w:snapToGrid w:val="0"/>
              <w:spacing w:line="460" w:lineRule="exact"/>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Times New Roman"/>
                <w:b/>
                <w:color w:val="000000"/>
                <w:sz w:val="24"/>
                <w:szCs w:val="24"/>
              </w:rPr>
              <w:t>产品属于政府强制采购节能产品品目的，投标人未提供节能产品的，其投标将作无效标处理；本文件“第四章招标需求”另有规定的除外。</w:t>
            </w:r>
          </w:p>
        </w:tc>
      </w:tr>
      <w:tr w14:paraId="50249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DADB9DE">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1FB26F00">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6A17669D">
            <w:pPr>
              <w:snapToGrid w:val="0"/>
              <w:spacing w:line="4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s="Times New Roman"/>
                <w:color w:val="000000"/>
                <w:sz w:val="24"/>
                <w:szCs w:val="24"/>
              </w:rPr>
              <w:t>2020〕123号文件）。提倡供应商优先采购绿色包装产品、绿色物流配送服务以及循环利用产品。</w:t>
            </w:r>
          </w:p>
        </w:tc>
      </w:tr>
      <w:tr w14:paraId="4A3C7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806FF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234CC125">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28C8B9F9">
            <w:pPr>
              <w:snapToGrid w:val="0"/>
              <w:spacing w:line="4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首台套产品被纳入《首台套产品推广应用指导目录》之日起3年内，视同已具备相应销售业绩，参加政府采购活动时业绩分值为满分。</w:t>
            </w:r>
          </w:p>
        </w:tc>
      </w:tr>
      <w:tr w14:paraId="2AC8B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E586B9">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37F6C232">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6E52EBFE">
            <w:pPr>
              <w:snapToGrid w:val="0"/>
              <w:spacing w:line="46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s="Times New Roman"/>
                <w:color w:val="000000"/>
                <w:sz w:val="24"/>
                <w:szCs w:val="24"/>
              </w:rPr>
              <w:t>。</w:t>
            </w:r>
          </w:p>
        </w:tc>
      </w:tr>
      <w:tr w14:paraId="74377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70B5857">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5C7DC6F6">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772DC78E">
            <w:pPr>
              <w:spacing w:line="500" w:lineRule="exact"/>
              <w:jc w:val="left"/>
              <w:rPr>
                <w:rFonts w:ascii="仿宋" w:hAnsi="仿宋" w:eastAsia="仿宋" w:cs="Times New Roman"/>
                <w:color w:val="000000"/>
                <w:sz w:val="24"/>
                <w:szCs w:val="24"/>
              </w:rPr>
            </w:pPr>
            <w:bookmarkStart w:id="12" w:name="PO_15528_PM042"/>
            <w:r>
              <w:rPr>
                <w:rFonts w:hint="eastAsia" w:ascii="仿宋" w:hAnsi="仿宋" w:eastAsia="仿宋" w:cs="Times New Roman"/>
                <w:color w:val="000000"/>
                <w:sz w:val="24"/>
                <w:szCs w:val="24"/>
              </w:rPr>
              <w:t>不允许进口产品</w:t>
            </w:r>
            <w:bookmarkEnd w:id="12"/>
            <w:r>
              <w:rPr>
                <w:rFonts w:hint="eastAsia" w:ascii="仿宋" w:hAnsi="仿宋" w:eastAsia="仿宋" w:cs="Times New Roman"/>
                <w:color w:val="000000"/>
                <w:sz w:val="24"/>
                <w:szCs w:val="24"/>
              </w:rPr>
              <w:t>。如是，优先采购向我国企业转让技术、与我国企业签订消化吸收再创新方案的供应商的进口产品。</w:t>
            </w:r>
          </w:p>
        </w:tc>
      </w:tr>
      <w:tr w14:paraId="1CDA6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4ACA4DE">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2E3862F6">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365C6B23">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转包：否</w:t>
            </w:r>
          </w:p>
          <w:p w14:paraId="4C251506">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分包：</w:t>
            </w:r>
            <w:bookmarkStart w:id="13" w:name="PO_15528_PM044"/>
            <w:r>
              <w:rPr>
                <w:rFonts w:hint="eastAsia" w:ascii="仿宋_GB2312" w:hAnsi="仿宋" w:eastAsia="仿宋_GB2312" w:cs="Times New Roman"/>
                <w:bCs/>
                <w:color w:val="000000"/>
                <w:sz w:val="24"/>
              </w:rPr>
              <w:t>允许分包</w:t>
            </w:r>
            <w:bookmarkEnd w:id="13"/>
            <w:r>
              <w:rPr>
                <w:rFonts w:hint="eastAsia" w:ascii="仿宋_GB2312" w:hAnsi="仿宋" w:eastAsia="仿宋_GB2312" w:cs="Times New Roman"/>
                <w:bCs/>
                <w:color w:val="000000"/>
                <w:sz w:val="24"/>
              </w:rPr>
              <w:t>，允许分包的内容：</w:t>
            </w:r>
            <w:r>
              <w:rPr>
                <w:rFonts w:hint="eastAsia" w:ascii="仿宋_GB2312" w:hAnsi="仿宋" w:eastAsia="仿宋_GB2312" w:cs="仿宋_GB2312"/>
                <w:sz w:val="24"/>
                <w:szCs w:val="24"/>
                <w:lang w:bidi="ar"/>
              </w:rPr>
              <w:t>施工安装部分</w:t>
            </w:r>
            <w:r>
              <w:rPr>
                <w:rFonts w:hint="eastAsia" w:ascii="仿宋_GB2312" w:hAnsi="仿宋" w:eastAsia="仿宋_GB2312" w:cs="Times New Roman"/>
                <w:bCs/>
                <w:color w:val="000000"/>
                <w:sz w:val="24"/>
              </w:rPr>
              <w:t>。</w:t>
            </w:r>
          </w:p>
          <w:p w14:paraId="415641A8">
            <w:pPr>
              <w:spacing w:line="500" w:lineRule="exact"/>
              <w:jc w:val="lef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2C238E25">
            <w:pPr>
              <w:spacing w:line="500" w:lineRule="exact"/>
              <w:jc w:val="lef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依据政府采购促进中小企业发展管理办法规定享受扶持政策获得政府采购合同的，小微企业不得将合同分包给大中型企业，中型企业不得将合同分包给大型企业。</w:t>
            </w:r>
          </w:p>
          <w:p w14:paraId="32D89E71">
            <w:pPr>
              <w:spacing w:line="500" w:lineRule="exact"/>
              <w:jc w:val="lef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▲注：不得在允许分包的范围之外进行分包。</w:t>
            </w:r>
          </w:p>
        </w:tc>
      </w:tr>
      <w:tr w14:paraId="14008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799CB9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14:paraId="5F0D2A0D">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09760BB">
            <w:pPr>
              <w:spacing w:line="500" w:lineRule="exact"/>
              <w:jc w:val="lef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允许。</w:t>
            </w:r>
          </w:p>
        </w:tc>
      </w:tr>
      <w:tr w14:paraId="06822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F4DEB78">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1</w:t>
            </w:r>
            <w:r>
              <w:rPr>
                <w:rFonts w:hint="eastAsia" w:ascii="仿宋" w:hAnsi="仿宋" w:eastAsia="仿宋" w:cs="Times New Roman"/>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5EDE4788">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联合体商务和技术证明材料认定</w:t>
            </w:r>
          </w:p>
        </w:tc>
        <w:tc>
          <w:tcPr>
            <w:tcW w:w="7371" w:type="dxa"/>
            <w:tcBorders>
              <w:top w:val="single" w:color="auto" w:sz="4" w:space="0"/>
              <w:left w:val="single" w:color="auto" w:sz="4" w:space="0"/>
              <w:bottom w:val="single" w:color="auto" w:sz="4" w:space="0"/>
              <w:right w:val="single" w:color="auto" w:sz="4" w:space="0"/>
            </w:tcBorders>
            <w:vAlign w:val="center"/>
          </w:tcPr>
          <w:p w14:paraId="4D83D36B">
            <w:pPr>
              <w:widowControl/>
              <w:spacing w:line="5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（1）联合体业绩认定：联合体投标的，联合体各方分别提供与联合体协议中规定的分工内容相应的业绩证明材料，业绩数量以提供材料较少的一方为准。</w:t>
            </w:r>
          </w:p>
          <w:p w14:paraId="4932EA05">
            <w:pPr>
              <w:widowControl/>
              <w:spacing w:line="5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（2）联合体商务和技术证明材料认定：</w:t>
            </w:r>
          </w:p>
          <w:p w14:paraId="2A9B32F5">
            <w:pPr>
              <w:widowControl/>
              <w:spacing w:line="500" w:lineRule="exact"/>
              <w:jc w:val="left"/>
              <w:rPr>
                <w:rFonts w:ascii="仿宋" w:hAnsi="仿宋" w:eastAsia="仿宋" w:cs="Times New Roman"/>
                <w:color w:val="000000"/>
                <w:sz w:val="24"/>
                <w:szCs w:val="24"/>
              </w:rPr>
            </w:pPr>
            <w:r>
              <w:rPr>
                <w:rFonts w:ascii="Segoe UI Symbol" w:hAnsi="Segoe UI Symbol" w:eastAsia="仿宋" w:cs="Segoe UI Symbol"/>
                <w:color w:val="000000"/>
                <w:sz w:val="24"/>
                <w:szCs w:val="24"/>
              </w:rPr>
              <w:t>☑</w:t>
            </w:r>
            <w:r>
              <w:rPr>
                <w:rFonts w:hint="eastAsia" w:ascii="仿宋" w:hAnsi="仿宋" w:eastAsia="仿宋" w:cs="Times New Roman"/>
                <w:color w:val="000000"/>
                <w:sz w:val="24"/>
                <w:szCs w:val="24"/>
              </w:rPr>
              <w:t>联合体投标的，联合体各方均需按招标文件“第三章评标办法及评分标准”要求提供商务和技术证明材料，否则视为不符合相关要求。</w:t>
            </w:r>
          </w:p>
          <w:p w14:paraId="094A5FA1">
            <w:pPr>
              <w:widowControl/>
              <w:spacing w:line="50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□联合体投标的，联合体中有一方或者联合体成员根据分工按招标文件“第三章评标办法及评分标准”要求提供了商务和技术证明材料的，视为符合了相关要求。</w:t>
            </w:r>
          </w:p>
          <w:p w14:paraId="470B4FAD">
            <w:pPr>
              <w:spacing w:line="500" w:lineRule="exact"/>
              <w:jc w:val="left"/>
              <w:rPr>
                <w:rFonts w:ascii="仿宋_GB2312" w:hAnsi="仿宋" w:eastAsia="仿宋_GB2312" w:cs="Times New Roman"/>
                <w:bCs/>
                <w:color w:val="000000"/>
                <w:sz w:val="24"/>
              </w:rPr>
            </w:pPr>
            <w:r>
              <w:rPr>
                <w:rFonts w:hint="eastAsia" w:ascii="仿宋" w:hAnsi="仿宋" w:eastAsia="仿宋" w:cs="Times New Roman"/>
                <w:color w:val="000000"/>
                <w:sz w:val="24"/>
                <w:szCs w:val="24"/>
              </w:rPr>
              <w:t>注：“第三章评标办法及评分标准”有其他约定的，以“第三章评标办法及评分标准”为准。</w:t>
            </w:r>
          </w:p>
        </w:tc>
      </w:tr>
      <w:tr w14:paraId="25327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075951C9">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14:paraId="1B3B2B09">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61320736">
            <w:pPr>
              <w:spacing w:line="500" w:lineRule="exact"/>
              <w:jc w:val="left"/>
              <w:rPr>
                <w:rFonts w:ascii="仿宋" w:hAnsi="仿宋" w:eastAsia="仿宋" w:cs="仿宋"/>
                <w:sz w:val="24"/>
                <w:szCs w:val="24"/>
                <w:lang w:bidi="ar"/>
              </w:rPr>
            </w:pPr>
            <w:bookmarkStart w:id="14" w:name="PO_15528_PM040"/>
            <w:r>
              <w:rPr>
                <w:rFonts w:hint="eastAsia" w:ascii="仿宋" w:hAnsi="仿宋" w:eastAsia="仿宋" w:cs="仿宋"/>
                <w:sz w:val="24"/>
                <w:szCs w:val="24"/>
                <w:lang w:bidi="ar"/>
              </w:rPr>
              <w:t>不统一组织现场踏勘，投标人投标前请自行联系校方进行原有教室环境勘测、设备系统对接测试。</w:t>
            </w:r>
          </w:p>
          <w:p w14:paraId="69BBB47A">
            <w:pPr>
              <w:spacing w:line="500" w:lineRule="exact"/>
              <w:jc w:val="left"/>
              <w:rPr>
                <w:rFonts w:ascii="仿宋" w:hAnsi="仿宋" w:eastAsia="仿宋" w:cs="Times New Roman"/>
                <w:color w:val="000000"/>
                <w:sz w:val="24"/>
                <w:szCs w:val="24"/>
              </w:rPr>
            </w:pPr>
            <w:r>
              <w:rPr>
                <w:rFonts w:hint="eastAsia" w:ascii="仿宋" w:hAnsi="仿宋" w:eastAsia="仿宋" w:cs="仿宋"/>
                <w:sz w:val="24"/>
                <w:szCs w:val="24"/>
                <w:lang w:bidi="ar"/>
              </w:rPr>
              <w:t>联系人：丁建峰，联系方式：0571-58108098、13067899205，地址：杭州市滨江区滨文路470号浙江商业职业技术学院。</w:t>
            </w:r>
            <w:bookmarkEnd w:id="14"/>
          </w:p>
        </w:tc>
      </w:tr>
      <w:tr w14:paraId="3E235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D66EE34">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14:paraId="14A78D3C">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05523A30">
            <w:pPr>
              <w:spacing w:line="500" w:lineRule="exact"/>
              <w:jc w:val="left"/>
              <w:rPr>
                <w:rFonts w:ascii="仿宋" w:hAnsi="仿宋" w:eastAsia="仿宋" w:cs="Times New Roman"/>
                <w:color w:val="000000"/>
                <w:sz w:val="24"/>
                <w:szCs w:val="24"/>
              </w:rPr>
            </w:pPr>
            <w:bookmarkStart w:id="15" w:name="PO_1000000445_PM041"/>
            <w:r>
              <w:rPr>
                <w:rFonts w:hint="eastAsia" w:ascii="仿宋" w:hAnsi="仿宋" w:eastAsia="仿宋" w:cs="Times New Roman"/>
                <w:color w:val="000000"/>
                <w:sz w:val="24"/>
                <w:szCs w:val="24"/>
              </w:rPr>
              <w:t>进行演示</w:t>
            </w:r>
            <w:bookmarkEnd w:id="15"/>
            <w:r>
              <w:rPr>
                <w:rFonts w:hint="eastAsia" w:ascii="仿宋" w:hAnsi="仿宋" w:eastAsia="仿宋" w:cs="Times New Roman"/>
                <w:color w:val="000000"/>
                <w:sz w:val="24"/>
                <w:szCs w:val="24"/>
              </w:rPr>
              <w:t>，</w:t>
            </w:r>
            <w:r>
              <w:rPr>
                <w:rFonts w:hint="eastAsia" w:ascii="仿宋_GB2312" w:hAnsi="仿宋" w:eastAsia="仿宋_GB2312" w:cs="Times New Roman"/>
                <w:bCs/>
                <w:color w:val="000000"/>
                <w:sz w:val="24"/>
              </w:rPr>
              <w:t>演示顺序原则上按投标文件“解密时间从早到晚”顺序，演示要求详见招标需求。</w:t>
            </w:r>
          </w:p>
        </w:tc>
      </w:tr>
      <w:tr w14:paraId="5DF2C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72D6EAF">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14:paraId="268FCDA4">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1CC23C06">
            <w:pPr>
              <w:spacing w:line="500" w:lineRule="exact"/>
              <w:jc w:val="left"/>
              <w:rPr>
                <w:rFonts w:ascii="仿宋" w:hAnsi="仿宋" w:eastAsia="仿宋" w:cs="Times New Roman"/>
                <w:color w:val="000000"/>
                <w:sz w:val="24"/>
                <w:szCs w:val="24"/>
              </w:rPr>
            </w:pPr>
            <w:bookmarkStart w:id="16" w:name="PO_1000000445_PM043"/>
            <w:r>
              <w:rPr>
                <w:rFonts w:hint="eastAsia" w:ascii="仿宋" w:hAnsi="仿宋" w:eastAsia="仿宋" w:cs="Times New Roman"/>
                <w:color w:val="000000"/>
                <w:sz w:val="24"/>
                <w:szCs w:val="24"/>
              </w:rPr>
              <w:t>不要求提供样品</w:t>
            </w:r>
            <w:bookmarkEnd w:id="16"/>
            <w:r>
              <w:rPr>
                <w:rFonts w:hint="eastAsia" w:ascii="仿宋" w:hAnsi="仿宋" w:eastAsia="仿宋" w:cs="Times New Roman"/>
                <w:color w:val="000000"/>
                <w:sz w:val="24"/>
                <w:szCs w:val="24"/>
              </w:rPr>
              <w:t>。</w:t>
            </w:r>
          </w:p>
        </w:tc>
      </w:tr>
      <w:tr w14:paraId="2D037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050060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16</w:t>
            </w:r>
          </w:p>
        </w:tc>
        <w:tc>
          <w:tcPr>
            <w:tcW w:w="1559" w:type="dxa"/>
            <w:tcBorders>
              <w:top w:val="single" w:color="auto" w:sz="4" w:space="0"/>
              <w:left w:val="single" w:color="auto" w:sz="4" w:space="0"/>
              <w:bottom w:val="single" w:color="auto" w:sz="4" w:space="0"/>
              <w:right w:val="single" w:color="auto" w:sz="4" w:space="0"/>
            </w:tcBorders>
            <w:vAlign w:val="center"/>
          </w:tcPr>
          <w:p w14:paraId="0664964D">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4DB44DE1">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投标文件均由资格文件、技术商务文件、报价文件组成。</w:t>
            </w:r>
          </w:p>
          <w:p w14:paraId="425DC40E">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投标人提供备份投标文件（正本）的，数量为1份。</w:t>
            </w:r>
          </w:p>
        </w:tc>
      </w:tr>
      <w:tr w14:paraId="2E0DE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6CC491E">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17</w:t>
            </w:r>
          </w:p>
        </w:tc>
        <w:tc>
          <w:tcPr>
            <w:tcW w:w="1559" w:type="dxa"/>
            <w:tcBorders>
              <w:top w:val="single" w:color="auto" w:sz="4" w:space="0"/>
              <w:left w:val="single" w:color="auto" w:sz="4" w:space="0"/>
              <w:bottom w:val="single" w:color="auto" w:sz="4" w:space="0"/>
              <w:right w:val="single" w:color="auto" w:sz="4" w:space="0"/>
            </w:tcBorders>
            <w:vAlign w:val="center"/>
          </w:tcPr>
          <w:p w14:paraId="4820AE9E">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14141886">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第一步：供应商登记</w:t>
            </w:r>
          </w:p>
          <w:p w14:paraId="120C9235">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投标人应在投标前登记成为浙江政府采购网的正式供应商（注册网址：</w:t>
            </w:r>
            <w:r>
              <w:rPr>
                <w:rFonts w:eastAsia="宋体" w:cs="Times New Roman"/>
              </w:rPr>
              <w:fldChar w:fldCharType="begin"/>
            </w:r>
            <w:r>
              <w:rPr>
                <w:rFonts w:eastAsia="宋体" w:cs="Times New Roman"/>
              </w:rPr>
              <w:instrText xml:space="preserve"> HYPERLINK "https://middle.zcygov.cn/v-settle-front/registry" </w:instrText>
            </w:r>
            <w:r>
              <w:rPr>
                <w:rFonts w:eastAsia="宋体" w:cs="Times New Roman"/>
              </w:rPr>
              <w:fldChar w:fldCharType="separate"/>
            </w:r>
            <w:r>
              <w:rPr>
                <w:rFonts w:hint="eastAsia" w:ascii="仿宋_GB2312" w:hAnsi="仿宋" w:eastAsia="仿宋_GB2312" w:cs="Times New Roman"/>
                <w:b/>
                <w:color w:val="000000"/>
                <w:sz w:val="24"/>
              </w:rPr>
              <w:t>https://middle.zcygov.cn/v-settle-front/registry</w:t>
            </w:r>
            <w:r>
              <w:rPr>
                <w:rFonts w:hint="eastAsia" w:ascii="仿宋_GB2312" w:hAnsi="仿宋" w:eastAsia="仿宋_GB2312" w:cs="Times New Roman"/>
                <w:b/>
                <w:color w:val="000000"/>
                <w:sz w:val="24"/>
              </w:rPr>
              <w:fldChar w:fldCharType="end"/>
            </w:r>
            <w:r>
              <w:rPr>
                <w:rFonts w:hint="eastAsia" w:ascii="仿宋_GB2312" w:hAnsi="仿宋" w:eastAsia="仿宋_GB2312" w:cs="Times New Roman"/>
                <w:b/>
                <w:color w:val="000000"/>
                <w:sz w:val="24"/>
              </w:rPr>
              <w:t>）；</w:t>
            </w:r>
          </w:p>
          <w:p w14:paraId="2A89446E">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第二步：申请CA</w:t>
            </w:r>
          </w:p>
          <w:p w14:paraId="015D625D">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投标人应在投标前完成CA数字证书办理（办理流程详见http://zfcg.czt.zj.gov.cn/bidClientTemplate/2019-05-27/12945.html）。完成CA数字证书办理预计一周左右，建议各投标人抓紧时间办理；</w:t>
            </w:r>
          </w:p>
          <w:p w14:paraId="40682C88">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第三步：下载客户端</w:t>
            </w:r>
          </w:p>
          <w:p w14:paraId="5736813C">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投标人通过政采云电子交易客户端制作投标文件，请自行前往浙江政府采购网下载并安装（下载网址：</w:t>
            </w:r>
            <w:r>
              <w:rPr>
                <w:rFonts w:eastAsia="宋体" w:cs="Times New Roman"/>
              </w:rPr>
              <w:fldChar w:fldCharType="begin"/>
            </w:r>
            <w:r>
              <w:rPr>
                <w:rFonts w:eastAsia="宋体" w:cs="Times New Roman"/>
              </w:rPr>
              <w:instrText xml:space="preserve"> HYPERLINK "http://zfcg.czt.zj.gov.cn/bidClientTemplate/2019-09-24/12975.html" </w:instrText>
            </w:r>
            <w:r>
              <w:rPr>
                <w:rFonts w:eastAsia="宋体" w:cs="Times New Roman"/>
              </w:rPr>
              <w:fldChar w:fldCharType="separate"/>
            </w:r>
            <w:r>
              <w:rPr>
                <w:rFonts w:hint="eastAsia" w:ascii="仿宋_GB2312" w:hAnsi="仿宋" w:eastAsia="仿宋_GB2312" w:cs="Times New Roman"/>
                <w:b/>
                <w:color w:val="000000"/>
                <w:sz w:val="24"/>
              </w:rPr>
              <w:t>http://zfcg.czt.zj.gov.cn/bidClientTemplate/2019-09-24/12975.html</w:t>
            </w:r>
            <w:r>
              <w:rPr>
                <w:rFonts w:hint="eastAsia" w:ascii="仿宋_GB2312" w:hAnsi="仿宋" w:eastAsia="仿宋_GB2312" w:cs="Times New Roman"/>
                <w:b/>
                <w:color w:val="000000"/>
                <w:sz w:val="24"/>
              </w:rPr>
              <w:fldChar w:fldCharType="end"/>
            </w:r>
            <w:r>
              <w:rPr>
                <w:rFonts w:hint="eastAsia" w:ascii="仿宋_GB2312" w:hAnsi="仿宋" w:eastAsia="仿宋_GB2312" w:cs="Times New Roman"/>
                <w:b/>
                <w:color w:val="000000"/>
                <w:sz w:val="24"/>
              </w:rPr>
              <w:t>）；</w:t>
            </w:r>
          </w:p>
          <w:p w14:paraId="67A5618E">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第四步：具体流程</w:t>
            </w:r>
          </w:p>
          <w:p w14:paraId="400FA044">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详见浙江省“电子交易/不见面开评标”学习专题（网址</w:t>
            </w:r>
            <w:r>
              <w:rPr>
                <w:rFonts w:eastAsia="宋体" w:cs="Times New Roman"/>
              </w:rPr>
              <w:fldChar w:fldCharType="begin"/>
            </w:r>
            <w:r>
              <w:rPr>
                <w:rFonts w:eastAsia="宋体" w:cs="Times New Roman"/>
              </w:rPr>
              <w:instrText xml:space="preserve"> HYPERLINK "https://edu.zcygov.cn/luban/e-biding" </w:instrText>
            </w:r>
            <w:r>
              <w:rPr>
                <w:rFonts w:eastAsia="宋体" w:cs="Times New Roman"/>
              </w:rPr>
              <w:fldChar w:fldCharType="separate"/>
            </w:r>
            <w:r>
              <w:rPr>
                <w:rFonts w:hint="eastAsia" w:ascii="仿宋_GB2312" w:hAnsi="仿宋" w:eastAsia="仿宋_GB2312" w:cs="Times New Roman"/>
                <w:b/>
                <w:color w:val="000000"/>
                <w:sz w:val="24"/>
              </w:rPr>
              <w:t>https://edu.zcygov.cn/luban/e-biding</w:t>
            </w:r>
            <w:r>
              <w:rPr>
                <w:rFonts w:hint="eastAsia" w:ascii="仿宋_GB2312" w:hAnsi="仿宋" w:eastAsia="仿宋_GB2312" w:cs="Times New Roman"/>
                <w:b/>
                <w:color w:val="000000"/>
                <w:sz w:val="24"/>
              </w:rPr>
              <w:fldChar w:fldCharType="end"/>
            </w:r>
            <w:r>
              <w:rPr>
                <w:rFonts w:hint="eastAsia" w:ascii="仿宋_GB2312" w:hAnsi="仿宋" w:eastAsia="仿宋_GB2312" w:cs="Times New Roman"/>
                <w:b/>
                <w:color w:val="000000"/>
                <w:sz w:val="24"/>
              </w:rPr>
              <w:t>）</w:t>
            </w:r>
          </w:p>
          <w:p w14:paraId="448D62F8">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提醒：</w:t>
            </w:r>
          </w:p>
          <w:p w14:paraId="3F65860F">
            <w:pPr>
              <w:snapToGrid w:val="0"/>
              <w:spacing w:line="460" w:lineRule="exact"/>
              <w:jc w:val="left"/>
              <w:rPr>
                <w:rFonts w:ascii="仿宋_GB2312" w:hAnsi="仿宋" w:eastAsia="仿宋_GB2312" w:cs="Times New Roman"/>
                <w:b/>
                <w:color w:val="000000"/>
                <w:sz w:val="24"/>
              </w:rPr>
            </w:pPr>
            <w:r>
              <w:rPr>
                <w:rFonts w:hint="eastAsia" w:ascii="仿宋_GB2312" w:hAnsi="仿宋" w:eastAsia="仿宋_GB2312" w:cs="Times New Roman"/>
                <w:b/>
                <w:color w:val="000000"/>
                <w:sz w:val="24"/>
              </w:rPr>
              <w:t>1.请各投标人合理安排时间，尽快完成第一、二、三步骤，避免影响投标。</w:t>
            </w:r>
          </w:p>
          <w:p w14:paraId="29CB285F">
            <w:pPr>
              <w:snapToGrid w:val="0"/>
              <w:spacing w:line="460" w:lineRule="exact"/>
              <w:jc w:val="left"/>
              <w:rPr>
                <w:rFonts w:ascii="仿宋_GB2312" w:hAnsi="仿宋" w:eastAsia="仿宋_GB2312" w:cs="Times New Roman"/>
                <w:bCs/>
                <w:color w:val="000000"/>
                <w:sz w:val="24"/>
              </w:rPr>
            </w:pPr>
            <w:r>
              <w:rPr>
                <w:rFonts w:hint="eastAsia" w:ascii="仿宋_GB2312" w:hAnsi="仿宋" w:eastAsia="仿宋_GB2312" w:cs="Times New Roman"/>
                <w:b/>
                <w:color w:val="000000"/>
                <w:sz w:val="24"/>
              </w:rPr>
              <w:t>2.为避免页面存在兼容性等问题，投标人须使用谷歌Chrome浏览器或360浏览器极速模式，涉及视频会议等功能的，还应安装摄像头和麦克风。</w:t>
            </w:r>
          </w:p>
        </w:tc>
      </w:tr>
      <w:tr w14:paraId="405A0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74FD762">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18</w:t>
            </w:r>
          </w:p>
        </w:tc>
        <w:tc>
          <w:tcPr>
            <w:tcW w:w="1559" w:type="dxa"/>
            <w:tcBorders>
              <w:top w:val="single" w:color="auto" w:sz="4" w:space="0"/>
              <w:left w:val="single" w:color="auto" w:sz="4" w:space="0"/>
              <w:bottom w:val="single" w:color="auto" w:sz="4" w:space="0"/>
              <w:right w:val="single" w:color="auto" w:sz="4" w:space="0"/>
            </w:tcBorders>
            <w:vAlign w:val="center"/>
          </w:tcPr>
          <w:p w14:paraId="013CCF73">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86C11EF">
            <w:pPr>
              <w:snapToGrid w:val="0"/>
              <w:spacing w:line="460" w:lineRule="exact"/>
              <w:rPr>
                <w:rFonts w:ascii="仿宋_GB2312" w:hAnsi="仿宋" w:eastAsia="仿宋_GB2312" w:cs="Times New Roman"/>
                <w:b/>
                <w:color w:val="000000"/>
                <w:sz w:val="24"/>
              </w:rPr>
            </w:pPr>
            <w:r>
              <w:rPr>
                <w:rFonts w:hint="eastAsia" w:ascii="仿宋_GB2312" w:hAnsi="仿宋" w:eastAsia="仿宋_GB2312" w:cs="Times New Roman"/>
                <w:b/>
                <w:color w:val="00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32D9EB2">
            <w:pPr>
              <w:snapToGrid w:val="0"/>
              <w:spacing w:line="460" w:lineRule="exact"/>
              <w:rPr>
                <w:rFonts w:ascii="仿宋_GB2312" w:hAnsi="仿宋" w:eastAsia="仿宋_GB2312" w:cs="Times New Roman"/>
                <w:b/>
                <w:color w:val="000000"/>
                <w:sz w:val="24"/>
              </w:rPr>
            </w:pPr>
            <w:r>
              <w:rPr>
                <w:rFonts w:hint="eastAsia" w:ascii="仿宋_GB2312" w:hAnsi="仿宋" w:eastAsia="仿宋_GB2312" w:cs="Times New Roman"/>
                <w:b/>
                <w:color w:val="000000"/>
                <w:sz w:val="24"/>
              </w:rPr>
              <w:t>投标文件的接收以本项目公告要求的时间、地点和“第二章”的“投标文件的编制”等要求为准。</w:t>
            </w:r>
          </w:p>
          <w:p w14:paraId="2B5136ED">
            <w:pPr>
              <w:snapToGrid w:val="0"/>
              <w:spacing w:line="460" w:lineRule="exact"/>
              <w:rPr>
                <w:rFonts w:ascii="仿宋_GB2312" w:hAnsi="仿宋" w:eastAsia="仿宋_GB2312" w:cs="Times New Roman"/>
                <w:b/>
                <w:color w:val="000000"/>
                <w:sz w:val="24"/>
              </w:rPr>
            </w:pPr>
            <w:r>
              <w:rPr>
                <w:rFonts w:hint="eastAsia" w:ascii="仿宋_GB2312" w:hAnsi="仿宋" w:eastAsia="仿宋_GB2312" w:cs="Times New Roman"/>
                <w:b/>
                <w:color w:val="000000"/>
                <w:sz w:val="24"/>
              </w:rPr>
              <w:t>投标人递交备份投标文件，出现下列情况之一的，将被拒收：</w:t>
            </w:r>
          </w:p>
          <w:p w14:paraId="6275B21D">
            <w:pPr>
              <w:snapToGrid w:val="0"/>
              <w:spacing w:line="460" w:lineRule="exact"/>
              <w:rPr>
                <w:rFonts w:ascii="仿宋_GB2312" w:hAnsi="仿宋" w:eastAsia="仿宋_GB2312" w:cs="Times New Roman"/>
                <w:b/>
                <w:color w:val="000000"/>
                <w:sz w:val="24"/>
              </w:rPr>
            </w:pPr>
            <w:r>
              <w:rPr>
                <w:rFonts w:hint="eastAsia" w:ascii="仿宋_GB2312" w:hAnsi="仿宋" w:eastAsia="仿宋_GB2312" w:cs="Times New Roman"/>
                <w:b/>
                <w:color w:val="000000"/>
                <w:sz w:val="24"/>
              </w:rPr>
              <w:t>1.未按规定密封或标记的；</w:t>
            </w:r>
          </w:p>
          <w:p w14:paraId="7C75FE4B">
            <w:pPr>
              <w:snapToGrid w:val="0"/>
              <w:spacing w:line="460" w:lineRule="exact"/>
              <w:rPr>
                <w:rFonts w:ascii="仿宋_GB2312" w:hAnsi="仿宋" w:eastAsia="仿宋_GB2312" w:cs="Times New Roman"/>
                <w:b/>
                <w:color w:val="000000"/>
                <w:sz w:val="24"/>
              </w:rPr>
            </w:pPr>
            <w:r>
              <w:rPr>
                <w:rFonts w:hint="eastAsia" w:ascii="仿宋_GB2312" w:hAnsi="仿宋" w:eastAsia="仿宋_GB2312" w:cs="Times New Roman"/>
                <w:b/>
                <w:color w:val="000000"/>
                <w:sz w:val="24"/>
              </w:rPr>
              <w:t>2.由于包装不妥，在送交途中严重破损或失散的；</w:t>
            </w:r>
          </w:p>
          <w:p w14:paraId="3335DF63">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
                <w:color w:val="000000"/>
                <w:sz w:val="24"/>
              </w:rPr>
              <w:t>3.超过投标截止时间送达的。</w:t>
            </w:r>
          </w:p>
        </w:tc>
      </w:tr>
      <w:tr w14:paraId="57C10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5DCA34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19</w:t>
            </w:r>
          </w:p>
        </w:tc>
        <w:tc>
          <w:tcPr>
            <w:tcW w:w="1559" w:type="dxa"/>
            <w:tcBorders>
              <w:top w:val="single" w:color="auto" w:sz="4" w:space="0"/>
              <w:left w:val="single" w:color="auto" w:sz="4" w:space="0"/>
              <w:bottom w:val="single" w:color="auto" w:sz="4" w:space="0"/>
              <w:right w:val="single" w:color="auto" w:sz="4" w:space="0"/>
            </w:tcBorders>
            <w:vAlign w:val="center"/>
          </w:tcPr>
          <w:p w14:paraId="51F0BD1C">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71D83EAF">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1.在投标截止时间起至投标有效期届满，供应商投标文件不可撤销。</w:t>
            </w:r>
          </w:p>
          <w:p w14:paraId="6BCFFDD6">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2.供应商撤销（撤回）投标不得损害国家利益、社会公共利益、采购人利益、代理机构利益、其他供应商利益，否则，供应商撤销（撤回）投标无效。</w:t>
            </w:r>
          </w:p>
        </w:tc>
      </w:tr>
      <w:tr w14:paraId="2C6D0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FE0CFD1">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20</w:t>
            </w:r>
          </w:p>
        </w:tc>
        <w:tc>
          <w:tcPr>
            <w:tcW w:w="1559" w:type="dxa"/>
            <w:tcBorders>
              <w:top w:val="single" w:color="auto" w:sz="4" w:space="0"/>
              <w:left w:val="single" w:color="auto" w:sz="4" w:space="0"/>
              <w:bottom w:val="single" w:color="auto" w:sz="4" w:space="0"/>
              <w:right w:val="single" w:color="auto" w:sz="4" w:space="0"/>
            </w:tcBorders>
            <w:vAlign w:val="center"/>
          </w:tcPr>
          <w:p w14:paraId="4E01BD18">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2916D630">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中标供应商确定之日起2个工作日内，将在浙江省政府采购网(</w:t>
            </w:r>
            <w:r>
              <w:rPr>
                <w:rFonts w:eastAsia="宋体" w:cs="Times New Roman"/>
              </w:rPr>
              <w:fldChar w:fldCharType="begin"/>
            </w:r>
            <w:r>
              <w:rPr>
                <w:rFonts w:eastAsia="宋体" w:cs="Times New Roman"/>
              </w:rPr>
              <w:instrText xml:space="preserve"> HYPERLINK "http://www.zjzfcg.gov.cn/new" </w:instrText>
            </w:r>
            <w:r>
              <w:rPr>
                <w:rFonts w:eastAsia="宋体" w:cs="Times New Roman"/>
              </w:rPr>
              <w:fldChar w:fldCharType="separate"/>
            </w:r>
            <w:r>
              <w:rPr>
                <w:rFonts w:hint="eastAsia" w:ascii="仿宋_GB2312" w:hAnsi="仿宋" w:eastAsia="仿宋_GB2312" w:cs="Times New Roman"/>
                <w:bCs/>
                <w:color w:val="000000"/>
                <w:sz w:val="24"/>
              </w:rPr>
              <w:t>http://www.zjzfcg.gov.cn</w:t>
            </w:r>
            <w:r>
              <w:rPr>
                <w:rFonts w:hint="eastAsia" w:ascii="仿宋_GB2312" w:hAnsi="仿宋" w:eastAsia="仿宋_GB2312" w:cs="Times New Roman"/>
                <w:bCs/>
                <w:color w:val="000000"/>
                <w:sz w:val="24"/>
              </w:rPr>
              <w:fldChar w:fldCharType="end"/>
            </w:r>
            <w:r>
              <w:rPr>
                <w:rFonts w:hint="eastAsia" w:ascii="仿宋_GB2312" w:hAnsi="仿宋" w:eastAsia="仿宋_GB2312" w:cs="Times New Roman"/>
                <w:bCs/>
                <w:color w:val="000000"/>
                <w:sz w:val="24"/>
              </w:rPr>
              <w:t>)发布中标公告</w:t>
            </w:r>
            <w:r>
              <w:rPr>
                <w:rFonts w:hint="eastAsia" w:ascii="仿宋_GB2312" w:hAnsi="仿宋" w:eastAsia="仿宋_GB2312" w:cs="Times New Roman"/>
                <w:b/>
                <w:color w:val="000000"/>
                <w:sz w:val="24"/>
              </w:rPr>
              <w:t>（中标人为中小企业的，其声明函将随中标结果同时公告），</w:t>
            </w:r>
            <w:r>
              <w:rPr>
                <w:rFonts w:hint="eastAsia" w:ascii="仿宋_GB2312" w:hAnsi="仿宋" w:eastAsia="仿宋_GB2312" w:cs="Times New Roman"/>
                <w:bCs/>
                <w:color w:val="000000"/>
                <w:sz w:val="24"/>
              </w:rPr>
              <w:t>公告期限为1个工作日。</w:t>
            </w:r>
          </w:p>
        </w:tc>
      </w:tr>
      <w:tr w14:paraId="210C0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7DEF26F">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F53167E">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6A9C0F4D">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中标供应商放弃中标资格导致重新采购的，应当承担支付专家评审费等费用在内的赔偿责任（不可抗力除外）。</w:t>
            </w:r>
          </w:p>
        </w:tc>
      </w:tr>
      <w:tr w14:paraId="4EB35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8B51454">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w:t>
            </w:r>
            <w:r>
              <w:rPr>
                <w:rFonts w:hint="eastAsia" w:ascii="仿宋" w:hAnsi="仿宋" w:eastAsia="仿宋" w:cs="Times New Roman"/>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5581840D">
            <w:pPr>
              <w:snapToGrid w:val="0"/>
              <w:jc w:val="center"/>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2E6607BA">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4703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EDEA647">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w:t>
            </w:r>
            <w:r>
              <w:rPr>
                <w:rFonts w:hint="eastAsia" w:ascii="仿宋" w:hAnsi="仿宋" w:eastAsia="仿宋" w:cs="Times New Roman"/>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4B9DD322">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7B1AD92B">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国库集中支付（采购人自行支付）详见各标项的商务要求表。</w:t>
            </w:r>
          </w:p>
          <w:p w14:paraId="208846AD">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8274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1B4C3D94">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w:t>
            </w:r>
            <w:r>
              <w:rPr>
                <w:rFonts w:hint="eastAsia" w:ascii="仿宋" w:hAnsi="仿宋" w:eastAsia="仿宋" w:cs="Times New Roman"/>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268CB08D">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5F80EAE5">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90天</w:t>
            </w:r>
          </w:p>
        </w:tc>
      </w:tr>
      <w:tr w14:paraId="6E80A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30E13FEE">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25</w:t>
            </w:r>
          </w:p>
        </w:tc>
        <w:tc>
          <w:tcPr>
            <w:tcW w:w="1559" w:type="dxa"/>
            <w:tcBorders>
              <w:top w:val="single" w:color="auto" w:sz="4" w:space="0"/>
              <w:left w:val="single" w:color="auto" w:sz="4" w:space="0"/>
              <w:bottom w:val="single" w:color="auto" w:sz="4" w:space="0"/>
              <w:right w:val="single" w:color="auto" w:sz="4" w:space="0"/>
            </w:tcBorders>
            <w:vAlign w:val="center"/>
          </w:tcPr>
          <w:p w14:paraId="2BF0C355">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0C55B2AC">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中标通知书发出之日起30日内。</w:t>
            </w:r>
          </w:p>
        </w:tc>
      </w:tr>
      <w:tr w14:paraId="2169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EA047A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26</w:t>
            </w:r>
          </w:p>
        </w:tc>
        <w:tc>
          <w:tcPr>
            <w:tcW w:w="1559" w:type="dxa"/>
            <w:tcBorders>
              <w:top w:val="single" w:color="auto" w:sz="4" w:space="0"/>
              <w:left w:val="single" w:color="auto" w:sz="4" w:space="0"/>
              <w:bottom w:val="single" w:color="auto" w:sz="4" w:space="0"/>
              <w:right w:val="single" w:color="auto" w:sz="4" w:space="0"/>
            </w:tcBorders>
            <w:vAlign w:val="center"/>
          </w:tcPr>
          <w:p w14:paraId="5441E1FE">
            <w:pPr>
              <w:snapToGrid w:val="0"/>
              <w:jc w:val="center"/>
              <w:rPr>
                <w:rFonts w:ascii="仿宋" w:hAnsi="仿宋" w:eastAsia="仿宋" w:cs="Times New Roman"/>
                <w:color w:val="000000"/>
                <w:sz w:val="24"/>
                <w:szCs w:val="24"/>
              </w:rPr>
            </w:pPr>
            <w:r>
              <w:rPr>
                <w:rFonts w:hint="eastAsia" w:ascii="仿宋_GB2312" w:hAnsi="仿宋" w:eastAsia="仿宋_GB2312" w:cs="Times New Roman"/>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6EDF8B9B">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0元</w:t>
            </w:r>
          </w:p>
        </w:tc>
      </w:tr>
      <w:tr w14:paraId="37497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0BBF062">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27</w:t>
            </w:r>
          </w:p>
        </w:tc>
        <w:tc>
          <w:tcPr>
            <w:tcW w:w="1559" w:type="dxa"/>
            <w:tcBorders>
              <w:top w:val="single" w:color="auto" w:sz="4" w:space="0"/>
              <w:left w:val="single" w:color="auto" w:sz="4" w:space="0"/>
              <w:bottom w:val="single" w:color="auto" w:sz="4" w:space="0"/>
              <w:right w:val="single" w:color="auto" w:sz="4" w:space="0"/>
            </w:tcBorders>
            <w:vAlign w:val="center"/>
          </w:tcPr>
          <w:p w14:paraId="57F23D9C">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0D55C359">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本招标文件的解释权属于浙江省政府采购中心。</w:t>
            </w:r>
          </w:p>
        </w:tc>
      </w:tr>
    </w:tbl>
    <w:p w14:paraId="48A61398">
      <w:pPr>
        <w:tabs>
          <w:tab w:val="left" w:pos="3380"/>
        </w:tabs>
        <w:spacing w:before="120" w:beforeLines="50" w:after="120" w:afterLines="50" w:line="460" w:lineRule="exact"/>
        <w:rPr>
          <w:rFonts w:ascii="仿宋" w:hAnsi="仿宋" w:eastAsia="宋体" w:cs="Times New Roman"/>
          <w:bCs/>
          <w:color w:val="000000"/>
          <w:sz w:val="30"/>
          <w:szCs w:val="30"/>
        </w:rPr>
      </w:pPr>
      <w:r>
        <w:rPr>
          <w:rFonts w:hint="eastAsia" w:ascii="仿宋" w:hAnsi="仿宋" w:eastAsia="仿宋_GB2312" w:cs="Times New Roman"/>
          <w:color w:val="000000"/>
          <w:kern w:val="0"/>
          <w:sz w:val="30"/>
          <w:szCs w:val="30"/>
        </w:rPr>
        <w:br w:type="page"/>
      </w:r>
    </w:p>
    <w:p w14:paraId="67F95CA5">
      <w:pPr>
        <w:snapToGrid w:val="0"/>
        <w:spacing w:before="240" w:beforeLines="100" w:after="240" w:afterLines="100"/>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一、总  则</w:t>
      </w:r>
    </w:p>
    <w:p w14:paraId="44E48749">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（一）适用范围</w:t>
      </w:r>
    </w:p>
    <w:p w14:paraId="1E557F26">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仅适用于本次招标文件中采购项目的招标、投标、评标、定标、验收、合同履约、付款等行为（法律、法规另有规定的，从其规定）。</w:t>
      </w:r>
    </w:p>
    <w:p w14:paraId="2AD39F77">
      <w:pPr>
        <w:snapToGrid w:val="0"/>
        <w:spacing w:before="120" w:beforeLines="50"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（二）定义 </w:t>
      </w:r>
    </w:p>
    <w:p w14:paraId="1CBB3086">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1.招标方：指组织本项目采购的浙江省政府采购中心。</w:t>
      </w:r>
    </w:p>
    <w:p w14:paraId="181F0FBC">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2.投标人：指响应招标、参加投标竞争的法人、其他组织或者自然人。</w:t>
      </w:r>
    </w:p>
    <w:p w14:paraId="13227249">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3.采购人：指委托招标方采购本次货物、服务项目的国家机关、事业单位和团体组织。</w:t>
      </w:r>
    </w:p>
    <w:p w14:paraId="328621C6">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4.货物：指招标文件规定投标人须向采购人提供的一切材料、设备、机械、仪器仪表、工具及其它有关技术资料和文字材料。</w:t>
      </w:r>
    </w:p>
    <w:p w14:paraId="6FFB4F8D">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5.服务：指招标文件规定投标人须承担的劳务以及其他类似的义务。</w:t>
      </w:r>
    </w:p>
    <w:p w14:paraId="2FF8A456">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6.项目：指投标人按招标文件规定向采购人提供的需求总称。</w:t>
      </w:r>
    </w:p>
    <w:p w14:paraId="2FD6D0E0">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7.电子交易平台:指政府采购项目电子交易平台，即政采云平台。</w:t>
      </w:r>
    </w:p>
    <w:p w14:paraId="38A853B7">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2A4E34F">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4B4D1BCE">
      <w:pPr>
        <w:snapToGrid w:val="0"/>
        <w:spacing w:before="120" w:beforeLines="50"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（三）投标人及委托有关说明</w:t>
      </w:r>
    </w:p>
    <w:p w14:paraId="5D802510">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1.如授权代表不是法定代表人，须有法定代表人出具的授权委托书</w:t>
      </w:r>
      <w:r>
        <w:rPr>
          <w:rFonts w:hint="eastAsia" w:ascii="仿宋" w:hAnsi="仿宋" w:eastAsia="仿宋" w:cs="Times New Roman"/>
          <w:b/>
          <w:bCs/>
          <w:color w:val="000000"/>
          <w:sz w:val="28"/>
          <w:szCs w:val="28"/>
        </w:rPr>
        <w:t>（格式见附件）。</w:t>
      </w:r>
      <w:r>
        <w:rPr>
          <w:rFonts w:hint="eastAsia" w:ascii="仿宋" w:hAnsi="仿宋" w:eastAsia="仿宋" w:cs="Times New Roman"/>
          <w:bCs/>
          <w:color w:val="000000"/>
          <w:sz w:val="28"/>
          <w:szCs w:val="28"/>
        </w:rPr>
        <w:t>投标人委派不在本单位缴纳社保的人员作为授权代表的，应当在投标文件中，说明具体原因、授权代表缴纳社保的单位，并附列该授权代表缴纳社保清单。</w:t>
      </w:r>
    </w:p>
    <w:p w14:paraId="5B049931">
      <w:pPr>
        <w:snapToGrid w:val="0"/>
        <w:spacing w:after="120" w:afterLines="50" w:line="460" w:lineRule="exact"/>
        <w:ind w:left="2" w:leftChars="1"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51B7A51C">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3.单位负责人为同一人或者存在直接控股、管理关系的不同供应商，不得参加同一合同项下的政府采购活动。</w:t>
      </w:r>
    </w:p>
    <w:p w14:paraId="0158CFDF">
      <w:pPr>
        <w:snapToGrid w:val="0"/>
        <w:spacing w:after="120" w:afterLines="50" w:line="460" w:lineRule="exact"/>
        <w:ind w:left="2" w:leftChars="1"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1AAE31A0">
      <w:pPr>
        <w:snapToGrid w:val="0"/>
        <w:spacing w:before="120" w:beforeLines="50"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（四）投标费用</w:t>
      </w:r>
    </w:p>
    <w:p w14:paraId="2A1D616B">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不论投标结果如何，投标人均应自行承担所有与投标有关的全部费用（招标文件有其他相反规定除外）。</w:t>
      </w:r>
    </w:p>
    <w:p w14:paraId="5C68F377">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（五）询问和质疑</w:t>
      </w:r>
    </w:p>
    <w:p w14:paraId="4E80E382">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97DB36">
      <w:pPr>
        <w:snapToGrid w:val="0"/>
        <w:spacing w:line="460" w:lineRule="exact"/>
        <w:ind w:firstLine="560" w:firstLineChars="200"/>
        <w:rPr>
          <w:rFonts w:ascii="仿宋" w:hAnsi="仿宋" w:eastAsia="仿宋" w:cs="Times New Roman"/>
          <w:bCs/>
          <w:color w:val="000000"/>
          <w:sz w:val="28"/>
          <w:szCs w:val="28"/>
        </w:rPr>
      </w:pPr>
    </w:p>
    <w:p w14:paraId="53A8E8AD">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w:t>
      </w:r>
      <w:r>
        <w:rPr>
          <w:rFonts w:ascii="仿宋" w:hAnsi="仿宋" w:eastAsia="仿宋" w:cs="Times New Roman"/>
          <w:bCs/>
          <w:color w:val="000000"/>
          <w:sz w:val="28"/>
          <w:szCs w:val="28"/>
        </w:rPr>
        <w:t>.</w:t>
      </w:r>
      <w:r>
        <w:rPr>
          <w:rFonts w:hint="eastAsia" w:ascii="仿宋" w:hAnsi="仿宋" w:eastAsia="仿宋" w:cs="Times New Roman"/>
          <w:bCs/>
          <w:color w:val="000000"/>
          <w:sz w:val="28"/>
          <w:szCs w:val="28"/>
        </w:rPr>
        <w:t>投标人的询问</w:t>
      </w:r>
    </w:p>
    <w:p w14:paraId="1D3849CF">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650BA162">
      <w:pPr>
        <w:snapToGrid w:val="0"/>
        <w:spacing w:line="46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3</w:t>
      </w:r>
      <w:r>
        <w:rPr>
          <w:rFonts w:hint="eastAsia" w:ascii="仿宋" w:hAnsi="仿宋" w:eastAsia="仿宋" w:cs="Times New Roman"/>
          <w:bCs/>
          <w:color w:val="000000"/>
          <w:sz w:val="28"/>
          <w:szCs w:val="28"/>
        </w:rPr>
        <w:t>.投标人的质疑</w:t>
      </w:r>
    </w:p>
    <w:p w14:paraId="3ACF9932">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3.1.投标人认为招标文件使自己的权益受到损害的，可以自获取招标文件之日或者采购公告期限届满之日（公告期限届满后获取招标文件的，以公告期限届满之日为准）起7个工作日内，对评分标准、招标文件需求的以书面形式向采购人提出质疑，对其他内容的以书面形式向采购人和招标方提出质疑。</w:t>
      </w:r>
    </w:p>
    <w:p w14:paraId="4710576C">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1D9F58B6">
      <w:pPr>
        <w:snapToGrid w:val="0"/>
        <w:spacing w:after="120" w:afterLines="50" w:line="460" w:lineRule="exact"/>
        <w:ind w:left="2" w:leftChars="1"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3.3.质疑应当以书面形式提出，格式见《政府采购质疑和投诉办法》（财政部令第94号）附件范本，下载网址：浙江政府采购网(</w:t>
      </w:r>
      <w:r>
        <w:rPr>
          <w:rFonts w:eastAsia="宋体" w:cs="Times New Roman"/>
        </w:rPr>
        <w:fldChar w:fldCharType="begin"/>
      </w:r>
      <w:r>
        <w:rPr>
          <w:rFonts w:eastAsia="宋体" w:cs="Times New Roman"/>
        </w:rPr>
        <w:instrText xml:space="preserve"> HYPERLINK "http://zfcg.czt.zj.gov.cn/" </w:instrText>
      </w:r>
      <w:r>
        <w:rPr>
          <w:rFonts w:eastAsia="宋体" w:cs="Times New Roman"/>
        </w:rPr>
        <w:fldChar w:fldCharType="separate"/>
      </w:r>
      <w:r>
        <w:rPr>
          <w:rFonts w:hint="eastAsia" w:ascii="仿宋" w:hAnsi="仿宋" w:eastAsia="仿宋" w:cs="Times New Roman"/>
          <w:bCs/>
          <w:color w:val="000000"/>
          <w:sz w:val="28"/>
          <w:szCs w:val="28"/>
        </w:rPr>
        <w:t>http://zfcg.czt.zj.gov.cn/</w:t>
      </w:r>
      <w:r>
        <w:rPr>
          <w:rFonts w:hint="eastAsia" w:ascii="仿宋" w:hAnsi="仿宋" w:eastAsia="仿宋" w:cs="Times New Roman"/>
          <w:bCs/>
          <w:color w:val="000000"/>
          <w:sz w:val="28"/>
          <w:szCs w:val="28"/>
        </w:rPr>
        <w:fldChar w:fldCharType="end"/>
      </w:r>
      <w:r>
        <w:rPr>
          <w:rFonts w:hint="eastAsia" w:ascii="仿宋" w:hAnsi="仿宋" w:eastAsia="仿宋" w:cs="Times New Roman"/>
          <w:bCs/>
          <w:color w:val="000000"/>
          <w:sz w:val="28"/>
          <w:szCs w:val="28"/>
        </w:rPr>
        <w:t>)，位置：“首页-下载专区-质疑投诉模板”。供应商提出质疑应当提交质疑函和必要的证明材料。供应商应当在法定质疑期内一次性提出针对同一采购程序环节的质疑。</w:t>
      </w:r>
    </w:p>
    <w:p w14:paraId="6E873255">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质疑函应当包括下列内容：</w:t>
      </w:r>
    </w:p>
    <w:p w14:paraId="45BCDF9A">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a.供应商的姓名或者名称、地址、邮编、联系人及联系电话；</w:t>
      </w:r>
    </w:p>
    <w:p w14:paraId="62324D67">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b.质疑项目的名称、编号；</w:t>
      </w:r>
    </w:p>
    <w:p w14:paraId="55A0C1F8">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c.具体、明确的质疑事项和与质疑事项相关的请求；</w:t>
      </w:r>
    </w:p>
    <w:p w14:paraId="5ED0FFF2">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d.事实依据；</w:t>
      </w:r>
    </w:p>
    <w:p w14:paraId="76BFCE22">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e.必要的法律依据；</w:t>
      </w:r>
    </w:p>
    <w:p w14:paraId="2BCC7E2D">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f.提出质疑的日期。</w:t>
      </w:r>
    </w:p>
    <w:p w14:paraId="5A92D6E8">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463D44F">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（六）招标文件的澄清与修改 </w:t>
      </w:r>
    </w:p>
    <w:p w14:paraId="1A0874E1">
      <w:pPr>
        <w:snapToGrid w:val="0"/>
        <w:spacing w:before="120" w:beforeLines="50" w:after="120" w:afterLines="50" w:line="460" w:lineRule="exact"/>
        <w:ind w:firstLine="560" w:firstLineChars="200"/>
        <w:rPr>
          <w:rFonts w:ascii="仿宋" w:hAnsi="仿宋" w:eastAsia="仿宋" w:cs="Times New Roman"/>
          <w:b/>
          <w:bCs/>
          <w:color w:val="000000"/>
          <w:sz w:val="28"/>
          <w:szCs w:val="28"/>
        </w:rPr>
      </w:pPr>
      <w:r>
        <w:rPr>
          <w:rFonts w:hint="eastAsia" w:ascii="仿宋" w:hAnsi="仿宋" w:eastAsia="仿宋" w:cs="Times New Roman"/>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sz w:val="28"/>
          <w:szCs w:val="28"/>
        </w:rPr>
        <w:t>逾期提出招标方将不予受理。</w:t>
      </w:r>
    </w:p>
    <w:p w14:paraId="555837B2">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2.招标方主动进行的澄清、修改：招标方无论出于何种原因，均可主动对招标文件中的相关事项，用补充文件等方式进行澄清和修改。</w:t>
      </w:r>
    </w:p>
    <w:p w14:paraId="137750EB">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7B51D883">
      <w:pPr>
        <w:snapToGrid w:val="0"/>
        <w:spacing w:before="240" w:beforeLines="100" w:after="240" w:afterLines="100"/>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二、投标文件的编制</w:t>
      </w:r>
    </w:p>
    <w:p w14:paraId="686C3D41">
      <w:pPr>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（一）投标文件编制工具</w:t>
      </w:r>
    </w:p>
    <w:p w14:paraId="7A661517">
      <w:pPr>
        <w:adjustRightInd w:val="0"/>
        <w:snapToGrid w:val="0"/>
        <w:spacing w:before="120" w:beforeLines="50" w:after="120" w:afterLines="50" w:line="50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投标文件编制工具为政采云电子交易客户端，下载网址：</w:t>
      </w:r>
      <w:r>
        <w:rPr>
          <w:rFonts w:eastAsia="宋体" w:cs="Times New Roman"/>
        </w:rPr>
        <w:fldChar w:fldCharType="begin"/>
      </w:r>
      <w:r>
        <w:rPr>
          <w:rFonts w:eastAsia="宋体" w:cs="Times New Roman"/>
        </w:rPr>
        <w:instrText xml:space="preserve"> HYPERLINK "http://zfcg.czt.zj.gov.cn/bidClientTemplate/2019-09-24/12975.html" </w:instrText>
      </w:r>
      <w:r>
        <w:rPr>
          <w:rFonts w:eastAsia="宋体" w:cs="Times New Roman"/>
        </w:rPr>
        <w:fldChar w:fldCharType="separate"/>
      </w:r>
      <w:r>
        <w:rPr>
          <w:rFonts w:hint="eastAsia" w:ascii="仿宋" w:hAnsi="仿宋" w:eastAsia="仿宋" w:cs="Times New Roman"/>
          <w:b/>
          <w:bCs/>
          <w:color w:val="000000"/>
          <w:sz w:val="28"/>
          <w:szCs w:val="28"/>
          <w:u w:val="single"/>
        </w:rPr>
        <w:t>http://zfcg.czt.zj.gov.cn/bidClientTemplate/2019-09-24/12975.html</w:t>
      </w:r>
      <w:r>
        <w:rPr>
          <w:rFonts w:hint="eastAsia" w:ascii="仿宋" w:hAnsi="仿宋" w:eastAsia="仿宋" w:cs="Times New Roman"/>
          <w:b/>
          <w:bCs/>
          <w:color w:val="000000"/>
          <w:sz w:val="28"/>
          <w:szCs w:val="28"/>
          <w:u w:val="single"/>
        </w:rPr>
        <w:fldChar w:fldCharType="end"/>
      </w:r>
      <w:r>
        <w:rPr>
          <w:rFonts w:hint="eastAsia" w:ascii="仿宋" w:hAnsi="仿宋" w:eastAsia="仿宋" w:cs="Times New Roman"/>
          <w:b/>
          <w:bCs/>
          <w:color w:val="000000"/>
          <w:sz w:val="28"/>
          <w:szCs w:val="28"/>
        </w:rPr>
        <w:t>，请自行下载并安装。</w:t>
      </w:r>
    </w:p>
    <w:p w14:paraId="05BC2E30">
      <w:pPr>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（二）投标文件的组成</w:t>
      </w:r>
    </w:p>
    <w:p w14:paraId="1D7D2473">
      <w:pPr>
        <w:adjustRightInd w:val="0"/>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本项目所称投标文件系指电子投标文件或备份投标文件。投标文件需按照本招标文件和电子交易平台的要求制作、加密并递交。</w:t>
      </w:r>
    </w:p>
    <w:p w14:paraId="5276FC48">
      <w:pPr>
        <w:adjustRightInd w:val="0"/>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7274303">
      <w:pPr>
        <w:adjustRightInd w:val="0"/>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65F352D2">
      <w:pPr>
        <w:snapToGrid w:val="0"/>
        <w:spacing w:before="50" w:after="120" w:afterLines="50" w:line="460" w:lineRule="exact"/>
        <w:ind w:firstLine="562" w:firstLineChars="200"/>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注：法定代表人授权委托书、投标声明书、开标一览表必须按招标文件格式要求正确签署并加盖投标人公章。投标文件中所须加盖公章部分均采用CA签章。</w:t>
      </w:r>
    </w:p>
    <w:p w14:paraId="3B8C9DE2">
      <w:pPr>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（三）投标文件的效力</w:t>
      </w:r>
    </w:p>
    <w:p w14:paraId="66F5DF08">
      <w:pPr>
        <w:adjustRightInd w:val="0"/>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电子投标文件未按时解密，投标人提供了备份投标文件的，以备份投标文件作为依据，否则视为投标文件撤回。电子投标文件已按时解密的，备份投标文件自动失效。</w:t>
      </w:r>
    </w:p>
    <w:p w14:paraId="6DA2A783">
      <w:pPr>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（四）投标文件的语言及计量</w:t>
      </w:r>
    </w:p>
    <w:p w14:paraId="2383BE67">
      <w:pPr>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451775C1">
      <w:pPr>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5ABB83B9">
      <w:pPr>
        <w:widowControl/>
        <w:tabs>
          <w:tab w:val="left" w:pos="720"/>
        </w:tabs>
        <w:snapToGrid w:val="0"/>
        <w:spacing w:before="120" w:beforeLines="50" w:after="120" w:afterLines="50" w:line="460" w:lineRule="exact"/>
        <w:ind w:firstLine="560" w:firstLineChars="200"/>
        <w:jc w:val="left"/>
        <w:rPr>
          <w:rFonts w:ascii="仿宋" w:hAnsi="仿宋" w:eastAsia="仿宋" w:cs="Times New Roman"/>
          <w:bCs/>
          <w:color w:val="000000"/>
          <w:kern w:val="0"/>
          <w:sz w:val="28"/>
          <w:szCs w:val="28"/>
        </w:rPr>
      </w:pPr>
      <w:r>
        <w:rPr>
          <w:rFonts w:hint="eastAsia" w:ascii="仿宋" w:hAnsi="仿宋" w:eastAsia="仿宋" w:cs="Times New Roman"/>
          <w:bCs/>
          <w:color w:val="000000"/>
          <w:kern w:val="0"/>
          <w:sz w:val="28"/>
          <w:szCs w:val="28"/>
        </w:rPr>
        <w:t>（五）投标文件的有效期</w:t>
      </w:r>
    </w:p>
    <w:p w14:paraId="6F762C74">
      <w:pPr>
        <w:widowControl/>
        <w:tabs>
          <w:tab w:val="left" w:pos="720"/>
        </w:tabs>
        <w:snapToGrid w:val="0"/>
        <w:spacing w:before="120" w:beforeLines="50" w:after="120" w:afterLines="50" w:line="460" w:lineRule="exact"/>
        <w:ind w:firstLine="560" w:firstLineChars="200"/>
        <w:jc w:val="left"/>
        <w:rPr>
          <w:rFonts w:ascii="仿宋" w:hAnsi="仿宋" w:eastAsia="仿宋" w:cs="Times New Roman"/>
          <w:bCs/>
          <w:color w:val="000000"/>
          <w:kern w:val="0"/>
          <w:sz w:val="28"/>
          <w:szCs w:val="28"/>
        </w:rPr>
      </w:pPr>
      <w:r>
        <w:rPr>
          <w:rFonts w:hint="eastAsia" w:ascii="仿宋" w:hAnsi="仿宋" w:eastAsia="仿宋" w:cs="Times New Roman"/>
          <w:bCs/>
          <w:color w:val="000000"/>
          <w:kern w:val="0"/>
          <w:sz w:val="28"/>
          <w:szCs w:val="28"/>
        </w:rPr>
        <w:t>1.自投标截止日起90天内投标文件应保持有效。有效期不足的投标文件将作无效标处理。</w:t>
      </w:r>
    </w:p>
    <w:p w14:paraId="3DCE5C6B">
      <w:pPr>
        <w:widowControl/>
        <w:tabs>
          <w:tab w:val="left" w:pos="720"/>
        </w:tabs>
        <w:snapToGrid w:val="0"/>
        <w:spacing w:before="120" w:beforeLines="50" w:after="120" w:afterLines="50" w:line="460" w:lineRule="exact"/>
        <w:ind w:firstLine="560" w:firstLineChars="200"/>
        <w:jc w:val="left"/>
        <w:rPr>
          <w:rFonts w:ascii="仿宋" w:hAnsi="仿宋" w:eastAsia="仿宋" w:cs="Times New Roman"/>
          <w:bCs/>
          <w:color w:val="000000"/>
          <w:kern w:val="0"/>
          <w:sz w:val="28"/>
          <w:szCs w:val="28"/>
        </w:rPr>
      </w:pPr>
      <w:r>
        <w:rPr>
          <w:rFonts w:hint="eastAsia" w:ascii="仿宋" w:hAnsi="仿宋" w:eastAsia="仿宋" w:cs="Times New Roman"/>
          <w:bCs/>
          <w:color w:val="000000"/>
          <w:kern w:val="0"/>
          <w:sz w:val="28"/>
          <w:szCs w:val="28"/>
        </w:rPr>
        <w:t>2.中标供应商的投标文件自开标之日起至合同履行完毕止均应保持有效。</w:t>
      </w:r>
    </w:p>
    <w:p w14:paraId="4491466C">
      <w:pPr>
        <w:snapToGrid w:val="0"/>
        <w:spacing w:before="120" w:before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（六）投标文件的签署和包装</w:t>
      </w:r>
    </w:p>
    <w:p w14:paraId="79B5ED22">
      <w:pPr>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 xml:space="preserve">1.电子投标文件部分： </w:t>
      </w:r>
    </w:p>
    <w:p w14:paraId="07AC3FB4">
      <w:pPr>
        <w:snapToGrid w:val="0"/>
        <w:spacing w:line="460" w:lineRule="exact"/>
        <w:ind w:firstLine="562" w:firstLineChars="200"/>
        <w:jc w:val="left"/>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72ABED6">
      <w:pPr>
        <w:snapToGrid w:val="0"/>
        <w:spacing w:line="460" w:lineRule="exact"/>
        <w:ind w:firstLine="562" w:firstLineChars="200"/>
        <w:jc w:val="left"/>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（2）投标文件须由投标人在规定位置盖章并由法定代表人或法定代表人的授权委托人签署，投标人应写全称。</w:t>
      </w:r>
    </w:p>
    <w:p w14:paraId="0584D5A5">
      <w:pPr>
        <w:snapToGrid w:val="0"/>
        <w:spacing w:line="460" w:lineRule="exact"/>
        <w:ind w:firstLine="562" w:firstLineChars="200"/>
        <w:jc w:val="left"/>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47C1D97D">
      <w:pPr>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2.投标人选择递交备份投标文件的，备份投标文件另须满足以下条件：</w:t>
      </w:r>
    </w:p>
    <w:p w14:paraId="3B820D91">
      <w:pPr>
        <w:adjustRightInd w:val="0"/>
        <w:snapToGrid w:val="0"/>
        <w:spacing w:before="120" w:beforeLines="50" w:after="120" w:afterLines="50" w:line="50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 xml:space="preserve">（1）储存形式：U盘、DVD </w:t>
      </w:r>
    </w:p>
    <w:p w14:paraId="4DFC2801">
      <w:pPr>
        <w:adjustRightInd w:val="0"/>
        <w:snapToGrid w:val="0"/>
        <w:spacing w:before="120" w:beforeLines="50" w:after="120" w:afterLines="50" w:line="500" w:lineRule="exact"/>
        <w:ind w:firstLine="562" w:firstLineChars="200"/>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22ACC700">
      <w:pPr>
        <w:snapToGrid w:val="0"/>
        <w:spacing w:before="120" w:before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（七）投标报价</w:t>
      </w:r>
    </w:p>
    <w:p w14:paraId="5EF24956">
      <w:pPr>
        <w:tabs>
          <w:tab w:val="left" w:pos="525"/>
        </w:tabs>
        <w:snapToGrid w:val="0"/>
        <w:spacing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092BF1C">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522203EF">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3.投标报价金额到分为止。</w:t>
      </w:r>
    </w:p>
    <w:p w14:paraId="4A0F8281">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4.资格文件、技术商务文件中不得出现投标报价信息，否则按无效标处理。</w:t>
      </w:r>
    </w:p>
    <w:p w14:paraId="5B2F61EB">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8FE35F8">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cs="Times New Roman"/>
          <w:bCs/>
          <w:color w:val="000000"/>
          <w:sz w:val="28"/>
          <w:szCs w:val="28"/>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5871DD83">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r>
        <w:rPr>
          <w:rFonts w:hint="eastAsia" w:ascii="仿宋" w:hAnsi="仿宋" w:eastAsia="仿宋" w:cs="Times New Roman"/>
          <w:bCs/>
          <w:color w:val="000000"/>
          <w:sz w:val="28"/>
          <w:szCs w:val="28"/>
        </w:rPr>
        <w:t>评标委员会发起询标后，投标人必须在评审现场合理的时间内提供书面说明及必要的证明材料，对投标价格作出解释。书面说明、证明材料主要是项目具体成本测算等与报价合理性相关的说明、材料。</w:t>
      </w:r>
    </w:p>
    <w:p w14:paraId="219DFA58">
      <w:pPr>
        <w:snapToGrid w:val="0"/>
        <w:spacing w:before="120" w:beforeLines="50" w:after="120" w:afterLines="50" w:line="460" w:lineRule="exact"/>
        <w:ind w:firstLine="560" w:firstLineChars="200"/>
        <w:jc w:val="left"/>
        <w:rPr>
          <w:rFonts w:ascii="仿宋" w:hAnsi="仿宋" w:eastAsia="仿宋" w:cs="Times New Roman"/>
          <w:bCs/>
          <w:color w:val="000000"/>
          <w:sz w:val="28"/>
          <w:szCs w:val="28"/>
        </w:rPr>
      </w:pPr>
    </w:p>
    <w:p w14:paraId="41E5D89A">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（八）串通投标认定</w:t>
      </w:r>
    </w:p>
    <w:p w14:paraId="70D79FAB">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有下列情形之一的，视为投标人串通投标，其投标无效：</w:t>
      </w:r>
    </w:p>
    <w:p w14:paraId="09E8EC2C">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1.不同投标人的投标文件由同一单位或者个人编制或同一I</w:t>
      </w:r>
      <w:r>
        <w:rPr>
          <w:rFonts w:ascii="仿宋" w:hAnsi="仿宋" w:eastAsia="仿宋" w:cs="Times New Roman"/>
          <w:bCs/>
          <w:color w:val="000000"/>
          <w:sz w:val="28"/>
          <w:szCs w:val="28"/>
        </w:rPr>
        <w:t>P</w:t>
      </w:r>
      <w:r>
        <w:rPr>
          <w:rFonts w:hint="eastAsia" w:ascii="仿宋" w:hAnsi="仿宋" w:eastAsia="仿宋" w:cs="Times New Roman"/>
          <w:bCs/>
          <w:color w:val="000000"/>
          <w:sz w:val="28"/>
          <w:szCs w:val="28"/>
        </w:rPr>
        <w:t>地址上传；</w:t>
      </w:r>
    </w:p>
    <w:p w14:paraId="2DB26BC6">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2.不同投标人委托同一单位或者个人办理投标事宜；</w:t>
      </w:r>
    </w:p>
    <w:p w14:paraId="17D2DA1A">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3.不同投标人的投标文件载明的项目管理成员或者联系人员为同一人；</w:t>
      </w:r>
    </w:p>
    <w:p w14:paraId="11B48E38">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4.不同投标人的投标文件异常一致或者投标报价呈规律性差异；</w:t>
      </w:r>
    </w:p>
    <w:p w14:paraId="13EBFFDF">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5.不同投标人的投标文件相互混装；</w:t>
      </w:r>
    </w:p>
    <w:p w14:paraId="7B7CD11E">
      <w:pPr>
        <w:snapToGrid w:val="0"/>
        <w:spacing w:line="460" w:lineRule="exact"/>
        <w:ind w:firstLine="560" w:firstLineChars="200"/>
        <w:jc w:val="left"/>
        <w:outlineLvl w:val="1"/>
        <w:rPr>
          <w:rFonts w:ascii="仿宋" w:hAnsi="仿宋" w:eastAsia="仿宋" w:cs="Times New Roman"/>
          <w:bCs/>
          <w:color w:val="000000"/>
          <w:sz w:val="28"/>
          <w:szCs w:val="28"/>
        </w:rPr>
      </w:pPr>
      <w:r>
        <w:rPr>
          <w:rFonts w:hint="eastAsia" w:ascii="仿宋" w:hAnsi="仿宋" w:eastAsia="仿宋" w:cs="Times New Roman"/>
          <w:bCs/>
          <w:color w:val="000000"/>
          <w:sz w:val="28"/>
          <w:szCs w:val="28"/>
        </w:rPr>
        <w:t>（九）投标无效的情形</w:t>
      </w:r>
    </w:p>
    <w:p w14:paraId="1652F54E">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在评审时，如发现下列情形之一的，投标文件将被视为无效：</w:t>
      </w:r>
    </w:p>
    <w:p w14:paraId="236D2233">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1.投标人未能提供合格的资格文件、投标有效期不足的；</w:t>
      </w:r>
    </w:p>
    <w:p w14:paraId="62E322DE">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2.投标人被列入失信被执行人、重大税收违法案件当事人名单（重大税收违法失信主体名单）、政府采购严重违法失信行为记录名单的；</w:t>
      </w:r>
    </w:p>
    <w:p w14:paraId="3258A157">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3.仅提供备份投标文件的；</w:t>
      </w:r>
    </w:p>
    <w:p w14:paraId="646E7D47">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4.电子投标文件解密失败，且未在规定时间内提交备份投标文件的；</w:t>
      </w:r>
    </w:p>
    <w:p w14:paraId="2A415FCE">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5.电子投标文件解密失败，虽然在规定时间内提交了备份投标文件，但是备份投标文件无法导入或者无法读取或者不符合本招标文件和电子交易平台要求的；</w:t>
      </w:r>
    </w:p>
    <w:p w14:paraId="674E9E3D">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6.投标文件未按招标文件要求签署、盖章的；</w:t>
      </w:r>
    </w:p>
    <w:p w14:paraId="300541A4">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7.与招标文件有重大偏离、未满足带“▲”号实质性指标的投标文件；</w:t>
      </w:r>
    </w:p>
    <w:p w14:paraId="51866DF0">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8.招标需求中要求提供的产品属于节能清单中政府强制采购节能产品品目的，投标人未提供该清单内产品的；</w:t>
      </w:r>
    </w:p>
    <w:p w14:paraId="506236E7">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9.评标委员会根据本章“二、投标文件的编制”“（七）投标报价”第6点规定情形发起询标后，投标人不提供书面说明、证明材料，或者评标委员会认为其提供的书面说明、证明材料不能证明其报价合理性的；</w:t>
      </w:r>
    </w:p>
    <w:p w14:paraId="67A2660D">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10</w:t>
      </w:r>
      <w:r>
        <w:rPr>
          <w:rFonts w:ascii="仿宋" w:hAnsi="仿宋" w:eastAsia="仿宋" w:cs="Times New Roman"/>
          <w:bCs/>
          <w:color w:val="000000"/>
          <w:sz w:val="28"/>
          <w:szCs w:val="28"/>
        </w:rPr>
        <w:t>.</w:t>
      </w:r>
      <w:r>
        <w:rPr>
          <w:rFonts w:hint="eastAsia" w:ascii="仿宋" w:hAnsi="仿宋" w:eastAsia="仿宋" w:cs="Times New Roman"/>
          <w:bCs/>
          <w:color w:val="000000"/>
          <w:sz w:val="28"/>
          <w:szCs w:val="28"/>
        </w:rPr>
        <w:t>未提供样品或提供样品不满足采购需求实质性条件的；</w:t>
      </w:r>
    </w:p>
    <w:p w14:paraId="2BA473BD">
      <w:pPr>
        <w:snapToGrid w:val="0"/>
        <w:spacing w:line="46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1</w:t>
      </w:r>
      <w:r>
        <w:rPr>
          <w:rFonts w:hint="eastAsia" w:ascii="仿宋" w:hAnsi="仿宋" w:eastAsia="仿宋" w:cs="Times New Roman"/>
          <w:bCs/>
          <w:color w:val="000000"/>
          <w:sz w:val="28"/>
          <w:szCs w:val="28"/>
        </w:rPr>
        <w:t>1.投标报价超出招标文件中规定的预算金额或者最高限价的；</w:t>
      </w:r>
    </w:p>
    <w:p w14:paraId="295B7BBE">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12.标项以赠送方式投标的、对一个标项提供两个投标方案或两个报价的；</w:t>
      </w:r>
    </w:p>
    <w:p w14:paraId="7AE7C515">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13.评标委员会认为投标人的报价明显低于其他通过符合性审查投标人的报价，有可能影响产品质量或者不能诚信履约，且不能证明其报价合理性的；</w:t>
      </w:r>
    </w:p>
    <w:p w14:paraId="6DA11CC4">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14.投标人不接受报价文件中修正后的报价的；</w:t>
      </w:r>
    </w:p>
    <w:p w14:paraId="193AA9DE">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15.未按本章“二、投标文件的编制”第七点投标报价要求报价的；</w:t>
      </w:r>
    </w:p>
    <w:p w14:paraId="5E70BBCF">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16.投标文件含有采购人不能接受的附加条件的；</w:t>
      </w:r>
    </w:p>
    <w:p w14:paraId="4D3FEDBE">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17.投标人被视为串通投标的；</w:t>
      </w:r>
    </w:p>
    <w:p w14:paraId="78750800">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cs="Times New Roman"/>
          <w:bCs/>
          <w:color w:val="000000"/>
          <w:sz w:val="28"/>
          <w:szCs w:val="28"/>
        </w:rPr>
        <w:t>；</w:t>
      </w:r>
    </w:p>
    <w:p w14:paraId="60765499">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cs="Times New Roman"/>
          <w:bCs/>
          <w:color w:val="000000"/>
          <w:sz w:val="28"/>
          <w:szCs w:val="28"/>
        </w:rPr>
        <w:t>；</w:t>
      </w:r>
    </w:p>
    <w:p w14:paraId="00A2E42A">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cs="Times New Roman"/>
          <w:bCs/>
          <w:color w:val="000000"/>
          <w:sz w:val="28"/>
          <w:szCs w:val="28"/>
        </w:rPr>
        <w:t>；</w:t>
      </w:r>
    </w:p>
    <w:p w14:paraId="6CCFB16D">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cs="Times New Roman"/>
          <w:bCs/>
          <w:color w:val="000000"/>
          <w:sz w:val="28"/>
          <w:szCs w:val="28"/>
        </w:rPr>
        <w:t>；</w:t>
      </w:r>
    </w:p>
    <w:p w14:paraId="6AE37EFD">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22.不符合法律、法规和本招标文件规定的其他实质性要求的。</w:t>
      </w:r>
    </w:p>
    <w:p w14:paraId="5C207FD1">
      <w:pPr>
        <w:snapToGrid w:val="0"/>
        <w:spacing w:after="120" w:afterLines="50" w:line="460" w:lineRule="exact"/>
        <w:ind w:left="479" w:leftChars="228"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（十）错误修正</w:t>
      </w:r>
    </w:p>
    <w:p w14:paraId="7D214B3E">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电子交易平台客户端里开标一览表录入的投标报价信息与扫描上传的报价文件不一致的，以扫描上传的报价文件为准。</w:t>
      </w:r>
    </w:p>
    <w:p w14:paraId="20DDB821">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投标文件报价出现前后不一致的，除招标文件另有规定外，按照下列规定修正：</w:t>
      </w:r>
    </w:p>
    <w:p w14:paraId="14D2CBF8">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1.投标文件中开标一览表内容与投标文件中相应内容不一致的，以开标一览表为准；</w:t>
      </w:r>
    </w:p>
    <w:p w14:paraId="66512C8A">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2.大写金额和小写金额不一致的，以大写金额为准；</w:t>
      </w:r>
    </w:p>
    <w:p w14:paraId="04337D85">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3.单价金额小数点或者百分比有明显错位的，以开标一览表的总价为准，并修改单价；</w:t>
      </w:r>
    </w:p>
    <w:p w14:paraId="0D36102C">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4.总价金额与按单价汇总金额不一致的，以单价金额计算结果为准。</w:t>
      </w:r>
    </w:p>
    <w:p w14:paraId="2EF609E1">
      <w:pPr>
        <w:snapToGrid w:val="0"/>
        <w:spacing w:line="460" w:lineRule="exact"/>
        <w:ind w:firstLine="562" w:firstLineChars="200"/>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同时出现两种以上不一致的，按照前款规定的顺序修正。修正后的报价按照经投标人加盖公章后产生约束力，投标人不确认的，其投标无效。</w:t>
      </w:r>
    </w:p>
    <w:p w14:paraId="739C1969">
      <w:pPr>
        <w:snapToGrid w:val="0"/>
        <w:spacing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（十一）采购过程中的异常情况及处理措施</w:t>
      </w:r>
    </w:p>
    <w:p w14:paraId="6E735DEA">
      <w:pPr>
        <w:adjustRightInd w:val="0"/>
        <w:snapToGrid w:val="0"/>
        <w:spacing w:before="120" w:beforeLines="50" w:after="120" w:afterLines="50" w:line="50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采购过程中出现以下情形，导致电子交易平台无法正常运行，或者无法保证电子交易的公平、公正和安全时，招标方可中止电子交易活动：</w:t>
      </w:r>
    </w:p>
    <w:p w14:paraId="5CA1C4EF">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1.电子交易平台发生故障而无法登录访问的；</w:t>
      </w:r>
    </w:p>
    <w:p w14:paraId="2B0F0466">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2.电子交易平台应用或数据库出现错误，不能进行正常操作的；</w:t>
      </w:r>
    </w:p>
    <w:p w14:paraId="7C6E4CB8">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3.电子交易平台发现严重安全漏洞，有潜在泄密危险的；</w:t>
      </w:r>
    </w:p>
    <w:p w14:paraId="5F27310F">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4.病毒发作导致不能进行正常操作的；</w:t>
      </w:r>
    </w:p>
    <w:p w14:paraId="562F2728">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5.其他无法保证电子交易的公平、公正和安全的情况。</w:t>
      </w:r>
    </w:p>
    <w:p w14:paraId="3544C970">
      <w:pPr>
        <w:spacing w:line="440" w:lineRule="exact"/>
        <w:ind w:firstLine="562" w:firstLineChars="200"/>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C6FBC9E">
      <w:pPr>
        <w:snapToGrid w:val="0"/>
        <w:spacing w:before="240" w:beforeLines="100" w:after="240" w:afterLines="100"/>
        <w:ind w:firstLine="602" w:firstLineChars="200"/>
        <w:rPr>
          <w:rFonts w:ascii="仿宋" w:hAnsi="仿宋" w:eastAsia="仿宋" w:cs="Times New Roman"/>
          <w:b/>
          <w:color w:val="000000"/>
          <w:sz w:val="30"/>
          <w:szCs w:val="30"/>
        </w:rPr>
      </w:pPr>
      <w:r>
        <w:rPr>
          <w:rFonts w:hint="eastAsia" w:ascii="仿宋" w:hAnsi="仿宋" w:eastAsia="仿宋" w:cs="Times New Roman"/>
          <w:b/>
          <w:color w:val="000000"/>
          <w:sz w:val="30"/>
          <w:szCs w:val="30"/>
        </w:rPr>
        <w:t>三、开、评标程序及评标委员会的评审程序</w:t>
      </w:r>
    </w:p>
    <w:p w14:paraId="67635F23">
      <w:pPr>
        <w:snapToGrid w:val="0"/>
        <w:spacing w:before="120" w:beforeLines="50" w:after="120" w:afterLines="50" w:line="46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（一）组织开标</w:t>
      </w:r>
    </w:p>
    <w:p w14:paraId="0032E302">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招标方将按照招标文件规定的时间、地点和程序组织开标，各投标人授权代表及相关人员</w:t>
      </w:r>
      <w:r>
        <w:rPr>
          <w:rFonts w:hint="eastAsia" w:ascii="仿宋" w:hAnsi="仿宋" w:eastAsia="仿宋" w:cs="Times New Roman"/>
          <w:b/>
          <w:bCs/>
          <w:color w:val="000000"/>
          <w:sz w:val="28"/>
          <w:szCs w:val="28"/>
        </w:rPr>
        <w:t>均应当准时在线参加</w:t>
      </w:r>
      <w:r>
        <w:rPr>
          <w:rFonts w:hint="eastAsia" w:ascii="仿宋" w:hAnsi="仿宋" w:eastAsia="仿宋" w:cs="Times New Roman"/>
          <w:bCs/>
          <w:color w:val="000000"/>
          <w:sz w:val="28"/>
          <w:szCs w:val="28"/>
        </w:rPr>
        <w:t>，无关人员不得进入开标现场。</w:t>
      </w:r>
      <w:r>
        <w:rPr>
          <w:rFonts w:hint="eastAsia" w:ascii="仿宋" w:hAnsi="仿宋" w:eastAsia="仿宋" w:cs="Times New Roman"/>
          <w:b/>
          <w:bCs/>
          <w:color w:val="000000"/>
          <w:sz w:val="28"/>
          <w:szCs w:val="28"/>
        </w:rPr>
        <w:t>投标人如未准时在线参加的</w:t>
      </w:r>
      <w:r>
        <w:rPr>
          <w:rFonts w:hint="eastAsia" w:ascii="仿宋" w:hAnsi="仿宋" w:eastAsia="仿宋" w:cs="Times New Roman"/>
          <w:bCs/>
          <w:color w:val="000000"/>
          <w:sz w:val="28"/>
          <w:szCs w:val="28"/>
        </w:rPr>
        <w:t>，事后不得对采购相关人员、开标过程和开标结果提出异议。</w:t>
      </w:r>
    </w:p>
    <w:p w14:paraId="582F32A5">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 落实工作场地、设施，检查录音录像采集设备运行情况，验证电子交易平台是否能正常登录，并开启直播（如直播信号出现问题，不影响项目开标程序）。</w:t>
      </w:r>
    </w:p>
    <w:p w14:paraId="6D9A5A88">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 开标由招标方主持，主持人介绍开标现场的人员情况，宣读递交投标文件的投标人名单、递交备份投标文件的投标人名单、开标纪律、应当回避的情形等注意事项。</w:t>
      </w:r>
    </w:p>
    <w:p w14:paraId="34A46504">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3.投标截止时，电子交易平台自动提取所有电子投标文件。招标方点击[开始解密]按钮后，投标人可以在线解密，解密时限为30分钟。</w:t>
      </w:r>
    </w:p>
    <w:p w14:paraId="2EA0A5DF">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7FD1A6F1">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解密时限内未完成解密且按规定提供了备份投标文件的，招标方将在开标直播间拆封其备份投标文件，并导入电子交易平台。</w:t>
      </w:r>
    </w:p>
    <w:p w14:paraId="612FD8B3">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5.评标委员会在商务和技术评审结束后，主持人通过电子交易平台宣告商务和技术评审无效投标人名称及理由，有效投标人的商务和技术得分情况。</w:t>
      </w:r>
    </w:p>
    <w:p w14:paraId="72346352">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6.招标方在电子交易平台开启投标人的报价文件信息，投标人对报价信息进行确认。投标人对报价信息不予确认的不影响后续评标过程。</w:t>
      </w:r>
    </w:p>
    <w:p w14:paraId="5CA2078A">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097ED25">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8.在电子交易平台上公布评审结果。</w:t>
      </w:r>
    </w:p>
    <w:p w14:paraId="1E8EABE0">
      <w:pPr>
        <w:spacing w:line="44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特别说明：政采云公司如对电子化开标及评审程序有调整的，按调整后的程序操作。</w:t>
      </w:r>
    </w:p>
    <w:p w14:paraId="3DC0E566">
      <w:pPr>
        <w:snapToGrid w:val="0"/>
        <w:spacing w:before="120" w:beforeLines="50" w:after="120" w:afterLines="50" w:line="46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（二）组织评标程序</w:t>
      </w:r>
    </w:p>
    <w:p w14:paraId="010A4AFF">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招标方将按照招标文件规定的时间、地点和程序组织评标，各评审专家及相关人员应参加评审活动并接受核验、签到，无关人员不得进入评审现场。</w:t>
      </w:r>
    </w:p>
    <w:p w14:paraId="728EBB8B">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1.开启开标场地录音录像采集设备，并确保正常运行。</w:t>
      </w:r>
    </w:p>
    <w:p w14:paraId="1F6E3AD0">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2.按规定统一收缴、保存评标现场相关人员通讯工具。</w:t>
      </w:r>
    </w:p>
    <w:p w14:paraId="6AEB58F2">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3.介绍评审现场的人员情况，宣布评审工作纪律，告知评审人员应当回避情形；组织推选评标委员会组长。</w:t>
      </w:r>
    </w:p>
    <w:p w14:paraId="3CF92458">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4.宣读提交投标文件的供应商名单，组织评标委员会各位成员签订纸质形式的《政府采购评审人员廉洁自律承诺书》。</w:t>
      </w:r>
    </w:p>
    <w:p w14:paraId="3D280A33">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5.采购人可以在评标前说明项目背景和采购需求，说明内容不得含有歧视性、倾向性意见，不得超出招标文件所述范围。说明应当提交书面材料，并随招标文件一并存档。</w:t>
      </w:r>
    </w:p>
    <w:p w14:paraId="1BA0E13C">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7D571A8">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7.采购人代表对投标人资格文件进行审查并</w:t>
      </w:r>
      <w:r>
        <w:rPr>
          <w:rFonts w:hint="eastAsia" w:ascii="仿宋" w:hAnsi="仿宋" w:eastAsia="仿宋" w:cs="Times New Roman"/>
          <w:color w:val="000000"/>
          <w:sz w:val="28"/>
          <w:szCs w:val="28"/>
        </w:rPr>
        <w:t>以开标当日为准</w:t>
      </w:r>
      <w:r>
        <w:rPr>
          <w:rFonts w:hint="eastAsia" w:ascii="仿宋" w:hAnsi="仿宋" w:eastAsia="仿宋" w:cs="Times New Roman"/>
          <w:bCs/>
          <w:color w:val="000000"/>
          <w:sz w:val="28"/>
          <w:szCs w:val="28"/>
        </w:rPr>
        <w:t>对投标人“信用中国”网站（www.creditchina.gov.cn）、中国政府采购网（www.ccgp.gov.cn）信用记录情况进行核实，资格不符合的，应组织相关投标人代表进行陈述、澄清或申辩。</w:t>
      </w:r>
    </w:p>
    <w:p w14:paraId="4D45BBBE">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F01ABC0">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9.做好评审现场相关记录，协助评标委员会组长做好评审报告起草、有关内容电脑文字录入等工作，并要求评标委员会各成员签字确认。</w:t>
      </w:r>
    </w:p>
    <w:p w14:paraId="6BC36919">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7BE7A26A">
      <w:pPr>
        <w:snapToGrid w:val="0"/>
        <w:spacing w:before="120" w:beforeLines="50" w:after="120" w:afterLines="50" w:line="460" w:lineRule="exact"/>
        <w:ind w:firstLine="562" w:firstLineChars="200"/>
        <w:rPr>
          <w:rFonts w:ascii="仿宋" w:hAnsi="仿宋" w:eastAsia="仿宋" w:cs="Times New Roman"/>
          <w:bCs/>
          <w:color w:val="000000"/>
          <w:sz w:val="28"/>
          <w:szCs w:val="28"/>
        </w:rPr>
      </w:pPr>
      <w:r>
        <w:rPr>
          <w:rFonts w:hint="eastAsia" w:ascii="仿宋" w:hAnsi="仿宋" w:eastAsia="仿宋" w:cs="Times New Roman"/>
          <w:b/>
          <w:bCs/>
          <w:color w:val="000000"/>
          <w:sz w:val="28"/>
          <w:szCs w:val="28"/>
        </w:rPr>
        <w:t>11.招标方将在《中标公告》中，公开评标委员会对每个投标人的《评分明细》以及《得分汇总表》情况。</w:t>
      </w:r>
      <w:r>
        <w:rPr>
          <w:rFonts w:eastAsia="仿宋" w:cs="Calibri"/>
          <w:b/>
          <w:bCs/>
          <w:color w:val="000000"/>
          <w:sz w:val="28"/>
          <w:szCs w:val="28"/>
        </w:rPr>
        <w:t> </w:t>
      </w:r>
      <w:r>
        <w:rPr>
          <w:rFonts w:hint="eastAsia" w:ascii="仿宋" w:hAnsi="仿宋" w:eastAsia="仿宋" w:cs="Times New Roman"/>
          <w:b/>
          <w:bCs/>
          <w:color w:val="000000"/>
          <w:sz w:val="28"/>
          <w:szCs w:val="28"/>
        </w:rPr>
        <w:tab/>
      </w:r>
    </w:p>
    <w:p w14:paraId="3F4ED3D4">
      <w:pPr>
        <w:snapToGrid w:val="0"/>
        <w:spacing w:before="120" w:beforeLines="50" w:after="120" w:afterLines="50" w:line="46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（三）评审程序</w:t>
      </w:r>
    </w:p>
    <w:p w14:paraId="0165973D">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1.在评审专家中推选评标委员会组长。</w:t>
      </w:r>
    </w:p>
    <w:p w14:paraId="0928BEB2">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D710A83">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3.评审人员对各投标人投标文件的有效性、符合性、完整性和响应程度进行审查，确定是否对招标文件作出实质性响应。</w:t>
      </w:r>
    </w:p>
    <w:p w14:paraId="06E1A726">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4.评审人员按招标文件规定的评审方法和评审标准，依法独立对投标人投标文件进行评估、比较，并给予评价或打分，不受任何单位和个人的干预。</w:t>
      </w:r>
    </w:p>
    <w:p w14:paraId="6C7C0CF1">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B0FCED3">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F75BB18">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7.评标委员会根据评审汇总情况和招标文件规定确定中标候选供应商排序名单。 </w:t>
      </w:r>
    </w:p>
    <w:p w14:paraId="50DE4CDD">
      <w:pPr>
        <w:snapToGrid w:val="0"/>
        <w:spacing w:before="120" w:beforeLines="50" w:after="120" w:afterLines="50" w:line="460" w:lineRule="exact"/>
        <w:ind w:firstLine="560" w:firstLineChars="200"/>
        <w:rPr>
          <w:rFonts w:ascii="仿宋" w:hAnsi="仿宋" w:eastAsia="仿宋" w:cs="Times New Roman"/>
          <w:bCs/>
          <w:color w:val="000000"/>
          <w:sz w:val="28"/>
          <w:szCs w:val="28"/>
        </w:rPr>
      </w:pPr>
      <w:r>
        <w:rPr>
          <w:rFonts w:hint="eastAsia" w:ascii="仿宋" w:hAnsi="仿宋" w:eastAsia="仿宋" w:cs="Times New Roman"/>
          <w:bCs/>
          <w:color w:val="000000"/>
          <w:sz w:val="28"/>
          <w:szCs w:val="28"/>
        </w:rPr>
        <w:t>8.起草评审报告，所有评审人员须在评审报告上签字确认。</w:t>
      </w:r>
    </w:p>
    <w:p w14:paraId="5F29B0BC">
      <w:pPr>
        <w:snapToGrid w:val="0"/>
        <w:spacing w:before="240" w:beforeLines="100" w:after="240" w:afterLines="100"/>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四、评审原则</w:t>
      </w:r>
    </w:p>
    <w:p w14:paraId="7C931A7E">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7357180">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EC068D0">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842C8EC">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A0A0F2">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1CF9D3D2">
      <w:pPr>
        <w:snapToGrid w:val="0"/>
        <w:spacing w:before="120" w:beforeLines="50" w:after="120" w:afterLines="50"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D299E8">
      <w:pPr>
        <w:snapToGrid w:val="0"/>
        <w:spacing w:before="240" w:beforeLines="100" w:after="240" w:afterLines="100"/>
        <w:ind w:firstLine="602" w:firstLineChars="200"/>
        <w:rPr>
          <w:rFonts w:ascii="仿宋" w:hAnsi="仿宋" w:eastAsia="仿宋" w:cs="Times New Roman"/>
          <w:b/>
          <w:color w:val="000000"/>
          <w:sz w:val="30"/>
          <w:szCs w:val="30"/>
        </w:rPr>
      </w:pPr>
      <w:r>
        <w:rPr>
          <w:rFonts w:hint="eastAsia" w:ascii="仿宋" w:hAnsi="仿宋" w:eastAsia="仿宋" w:cs="Times New Roman"/>
          <w:b/>
          <w:color w:val="000000"/>
          <w:sz w:val="30"/>
          <w:szCs w:val="30"/>
        </w:rPr>
        <w:t>五、确定中标供应商的原则</w:t>
      </w:r>
    </w:p>
    <w:p w14:paraId="77CF5BAD">
      <w:pPr>
        <w:snapToGrid w:val="0"/>
        <w:spacing w:before="120" w:beforeLines="50" w:after="120" w:afterLines="50" w:line="4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1.项目由评标委员会根据第三章《评标办法与评分标准》规定提出中标候选人排序。</w:t>
      </w:r>
    </w:p>
    <w:p w14:paraId="6717589B">
      <w:pPr>
        <w:snapToGrid w:val="0"/>
        <w:spacing w:before="120" w:beforeLines="50" w:after="120" w:afterLines="50" w:line="460" w:lineRule="exact"/>
        <w:ind w:firstLine="560" w:firstLineChars="200"/>
        <w:rPr>
          <w:rFonts w:ascii="仿宋" w:hAnsi="仿宋" w:eastAsia="仿宋" w:cs="Times New Roman"/>
          <w:b/>
          <w:bCs/>
          <w:color w:val="FF0000"/>
          <w:sz w:val="28"/>
          <w:szCs w:val="28"/>
        </w:rPr>
      </w:pPr>
      <w:r>
        <w:rPr>
          <w:rFonts w:hint="eastAsia" w:ascii="宋体" w:hAnsi="宋体" w:eastAsia="宋体" w:cs="Times New Roman"/>
          <w:color w:val="000000"/>
          <w:sz w:val="28"/>
          <w:szCs w:val="28"/>
        </w:rPr>
        <w:t xml:space="preserve"> </w:t>
      </w:r>
      <w:r>
        <w:rPr>
          <w:rFonts w:hint="eastAsia" w:ascii="仿宋" w:hAnsi="仿宋" w:eastAsia="仿宋" w:cs="Times New Roman"/>
          <w:color w:val="000000"/>
          <w:sz w:val="28"/>
          <w:szCs w:val="28"/>
        </w:rPr>
        <w:t>2.</w:t>
      </w:r>
      <w:r>
        <w:rPr>
          <w:rFonts w:hint="eastAsia" w:ascii="仿宋" w:hAnsi="仿宋" w:eastAsia="仿宋" w:cs="Times New Roman"/>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9A91FDB">
      <w:pPr>
        <w:snapToGrid w:val="0"/>
        <w:spacing w:before="120" w:beforeLines="50" w:after="120" w:afterLines="50" w:line="4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3103253D">
      <w:pPr>
        <w:snapToGrid w:val="0"/>
        <w:spacing w:before="240" w:beforeLines="100" w:after="240" w:afterLines="100"/>
        <w:ind w:firstLine="602" w:firstLineChars="200"/>
        <w:rPr>
          <w:rFonts w:ascii="仿宋" w:hAnsi="仿宋" w:eastAsia="仿宋" w:cs="Times New Roman"/>
          <w:b/>
          <w:color w:val="000000"/>
          <w:sz w:val="30"/>
          <w:szCs w:val="30"/>
        </w:rPr>
      </w:pPr>
      <w:r>
        <w:rPr>
          <w:rFonts w:hint="eastAsia" w:ascii="仿宋" w:hAnsi="仿宋" w:eastAsia="仿宋" w:cs="Times New Roman"/>
          <w:b/>
          <w:color w:val="000000"/>
          <w:sz w:val="30"/>
          <w:szCs w:val="30"/>
        </w:rPr>
        <w:t>六、合同授予</w:t>
      </w:r>
    </w:p>
    <w:p w14:paraId="0F7063E3">
      <w:pPr>
        <w:snapToGrid w:val="0"/>
        <w:spacing w:line="460" w:lineRule="exact"/>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（一）签订合同</w:t>
      </w:r>
    </w:p>
    <w:p w14:paraId="07BC00BC">
      <w:pPr>
        <w:snapToGrid w:val="0"/>
        <w:spacing w:line="46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1.采购人与中标人应当在《中标通知书》发出之日起30日内签订政府采购合同。</w:t>
      </w:r>
    </w:p>
    <w:p w14:paraId="4895AAA8">
      <w:pPr>
        <w:snapToGrid w:val="0"/>
        <w:spacing w:line="4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2.中标人拖延、拒签合同的,将被取消中标资格。</w:t>
      </w:r>
    </w:p>
    <w:p w14:paraId="1857DCF1">
      <w:pPr>
        <w:snapToGrid w:val="0"/>
        <w:spacing w:line="46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37B72CF">
      <w:pPr>
        <w:snapToGrid w:val="0"/>
        <w:spacing w:before="120" w:beforeLines="50" w:after="120" w:afterLines="50" w:line="46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（二）履约保证金</w:t>
      </w:r>
    </w:p>
    <w:p w14:paraId="2930A7A2">
      <w:pPr>
        <w:snapToGrid w:val="0"/>
        <w:spacing w:before="240" w:beforeLines="100" w:after="240" w:afterLines="10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19041F9">
      <w:pPr>
        <w:snapToGrid w:val="0"/>
        <w:spacing w:before="120" w:beforeLines="50" w:after="120" w:afterLines="50" w:line="4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2.按合同约定办理履约保证金退还手续。</w:t>
      </w:r>
    </w:p>
    <w:p w14:paraId="2C4E8642">
      <w:pPr>
        <w:snapToGrid w:val="0"/>
        <w:spacing w:before="240" w:beforeLines="100" w:after="240" w:afterLines="100"/>
        <w:ind w:firstLine="602" w:firstLineChars="200"/>
        <w:rPr>
          <w:rFonts w:ascii="仿宋" w:hAnsi="仿宋" w:eastAsia="仿宋" w:cs="Times New Roman"/>
          <w:b/>
          <w:color w:val="000000"/>
          <w:sz w:val="30"/>
          <w:szCs w:val="30"/>
        </w:rPr>
      </w:pPr>
      <w:r>
        <w:rPr>
          <w:rFonts w:hint="eastAsia" w:ascii="仿宋" w:hAnsi="仿宋" w:eastAsia="仿宋" w:cs="Times New Roman"/>
          <w:b/>
          <w:color w:val="000000"/>
          <w:sz w:val="30"/>
          <w:szCs w:val="30"/>
        </w:rPr>
        <w:t>七、货款的结算</w:t>
      </w:r>
    </w:p>
    <w:p w14:paraId="0DF40DB7">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货款由采购人按</w:t>
      </w:r>
      <w:r>
        <w:rPr>
          <w:rFonts w:hint="eastAsia" w:ascii="仿宋" w:hAnsi="仿宋" w:eastAsia="仿宋" w:cs="Times New Roman"/>
          <w:bCs/>
          <w:color w:val="000000"/>
          <w:sz w:val="28"/>
          <w:szCs w:val="28"/>
        </w:rPr>
        <w:t>招标</w:t>
      </w:r>
      <w:r>
        <w:rPr>
          <w:rFonts w:hint="eastAsia" w:ascii="仿宋" w:hAnsi="仿宋" w:eastAsia="仿宋" w:cs="Times New Roman"/>
          <w:color w:val="000000"/>
          <w:sz w:val="28"/>
          <w:szCs w:val="28"/>
        </w:rPr>
        <w:t>文件规定的付款方式自行支付。纳入国库集中支付的，按照国库集中支付有关规定付款。</w:t>
      </w:r>
    </w:p>
    <w:p w14:paraId="7ADD718F">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66CAF16F">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预付款：根据《中华人民共和国中小企业促进法》《保障中小企业款项支付条例》《浙江省财政厅关于进一步发挥政府采购政策功能全力推动经济稳进提质的通知》《</w:t>
      </w:r>
      <w:r>
        <w:rPr>
          <w:rFonts w:ascii="仿宋" w:hAnsi="仿宋" w:eastAsia="仿宋" w:cs="Times New Roman"/>
          <w:color w:val="000000"/>
          <w:sz w:val="28"/>
          <w:szCs w:val="28"/>
        </w:rPr>
        <w:t>浙江省财政厅关于进一步加大政府采购支持中小企业力度助力扎实稳住经济的通知</w:t>
      </w:r>
      <w:r>
        <w:rPr>
          <w:rFonts w:hint="eastAsia" w:ascii="仿宋" w:hAnsi="仿宋" w:eastAsia="仿宋" w:cs="Times New Roman"/>
          <w:color w:val="000000"/>
          <w:sz w:val="28"/>
          <w:szCs w:val="28"/>
        </w:rPr>
        <w:t>》等相关规范，对预付款支付要求如下：</w:t>
      </w:r>
    </w:p>
    <w:p w14:paraId="5AA0BC6A">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1.对中小企业合同预付款比例原则上不低于合同金额的40％，不高于合同金额的70%；</w:t>
      </w:r>
    </w:p>
    <w:p w14:paraId="2F44D56E">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2.项目分年安排预算的，每年预付款比例不低于项目年度计划支付资金额的40％，不高于年度计划支付资金额的70%；</w:t>
      </w:r>
    </w:p>
    <w:p w14:paraId="54BD16D4">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3.采购项目实施以人工投入为主的，可适当降低预付款比例，但不得低于20%。</w:t>
      </w:r>
    </w:p>
    <w:p w14:paraId="2EE04E89">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4.对供应商为大型企业的项目或者以人工投入为主且实行按月定期结算支付款项的项目，预付款可低于上述比例或者不约定预付款。</w:t>
      </w:r>
    </w:p>
    <w:p w14:paraId="1E30EEBF">
      <w:pPr>
        <w:snapToGrid w:val="0"/>
        <w:spacing w:before="120" w:beforeLines="50" w:after="120" w:afterLines="50"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备注：在签订合同时，供应商明确表示无需预付款或者主动要求降低预付款比例的，采购单位可不适用前述预付款比例的规定。</w:t>
      </w:r>
    </w:p>
    <w:p w14:paraId="10C7E5CD">
      <w:pPr>
        <w:spacing w:before="120" w:beforeLines="50" w:after="120" w:afterLines="50" w:line="360" w:lineRule="auto"/>
        <w:jc w:val="center"/>
        <w:outlineLvl w:val="0"/>
        <w:rPr>
          <w:rFonts w:ascii="宋体" w:hAnsi="宋体" w:eastAsia="宋体" w:cs="Times New Roman"/>
          <w:b/>
          <w:color w:val="000000"/>
          <w:sz w:val="36"/>
          <w:szCs w:val="36"/>
        </w:rPr>
      </w:pPr>
      <w:r>
        <w:rPr>
          <w:rFonts w:hint="eastAsia" w:ascii="宋体" w:hAnsi="宋体" w:eastAsia="宋体" w:cs="Times New Roman"/>
          <w:b/>
          <w:color w:val="000000"/>
          <w:kern w:val="0"/>
          <w:sz w:val="36"/>
          <w:szCs w:val="36"/>
        </w:rPr>
        <w:br w:type="page"/>
      </w:r>
      <w:bookmarkStart w:id="17" w:name="_Toc496796637"/>
      <w:bookmarkStart w:id="18" w:name="_Toc2834"/>
      <w:r>
        <w:rPr>
          <w:rFonts w:hint="eastAsia" w:ascii="宋体" w:hAnsi="宋体" w:eastAsia="宋体" w:cs="Times New Roman"/>
          <w:b/>
          <w:color w:val="000000"/>
          <w:sz w:val="36"/>
          <w:szCs w:val="36"/>
        </w:rPr>
        <w:t>第三章</w:t>
      </w:r>
      <w:bookmarkStart w:id="19" w:name="评标办法及评分标准"/>
      <w:r>
        <w:rPr>
          <w:rFonts w:hint="eastAsia" w:ascii="宋体" w:hAnsi="宋体" w:eastAsia="宋体" w:cs="Times New Roman"/>
          <w:b/>
          <w:color w:val="000000"/>
          <w:sz w:val="36"/>
          <w:szCs w:val="36"/>
        </w:rPr>
        <w:t xml:space="preserve"> 评标办法及评分标准</w:t>
      </w:r>
      <w:bookmarkEnd w:id="17"/>
      <w:bookmarkEnd w:id="18"/>
      <w:bookmarkEnd w:id="19"/>
    </w:p>
    <w:p w14:paraId="56873222">
      <w:pPr>
        <w:spacing w:before="120" w:beforeLines="50" w:after="120" w:afterLines="50" w:line="46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根据《中华人民共和国政府采购法》等有关法律法规，结合本项目的实际需求，制定本办法。</w:t>
      </w:r>
    </w:p>
    <w:p w14:paraId="4BEDD3E7">
      <w:pPr>
        <w:spacing w:before="120" w:beforeLines="50" w:after="120" w:afterLines="50" w:line="460" w:lineRule="exact"/>
        <w:ind w:firstLine="590" w:firstLineChars="196"/>
        <w:rPr>
          <w:rFonts w:ascii="仿宋" w:hAnsi="仿宋" w:eastAsia="仿宋" w:cs="Times New Roman"/>
          <w:b/>
          <w:color w:val="000000"/>
          <w:sz w:val="30"/>
          <w:szCs w:val="30"/>
        </w:rPr>
      </w:pPr>
      <w:r>
        <w:rPr>
          <w:rFonts w:hint="eastAsia" w:ascii="仿宋" w:hAnsi="仿宋" w:eastAsia="仿宋" w:cs="Times New Roman"/>
          <w:b/>
          <w:color w:val="000000"/>
          <w:sz w:val="30"/>
          <w:szCs w:val="30"/>
        </w:rPr>
        <w:t>一、总则</w:t>
      </w:r>
    </w:p>
    <w:p w14:paraId="6DEAD3BF">
      <w:pPr>
        <w:spacing w:before="120" w:beforeLines="50" w:after="120" w:afterLines="50" w:line="46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6767EC7">
      <w:pPr>
        <w:spacing w:before="120" w:beforeLines="50" w:after="120" w:afterLines="50" w:line="460" w:lineRule="exact"/>
        <w:ind w:firstLine="602" w:firstLineChars="200"/>
        <w:rPr>
          <w:rFonts w:ascii="仿宋" w:hAnsi="仿宋" w:eastAsia="仿宋" w:cs="Times New Roman"/>
          <w:b/>
          <w:bCs/>
          <w:color w:val="FF0000"/>
          <w:sz w:val="30"/>
          <w:szCs w:val="30"/>
          <w:u w:val="single"/>
        </w:rPr>
      </w:pPr>
      <w:r>
        <w:rPr>
          <w:rFonts w:hint="eastAsia" w:ascii="仿宋" w:hAnsi="仿宋" w:eastAsia="仿宋" w:cs="Times New Roman"/>
          <w:b/>
          <w:bCs/>
          <w:color w:val="FF0000"/>
          <w:sz w:val="30"/>
          <w:szCs w:val="30"/>
          <w:u w:val="single"/>
        </w:rPr>
        <w:t>中标候选人：总得分排名第一的投标人</w:t>
      </w:r>
    </w:p>
    <w:p w14:paraId="707BB754">
      <w:pPr>
        <w:spacing w:before="120" w:beforeLines="50" w:after="120" w:afterLines="50" w:line="460" w:lineRule="exact"/>
        <w:ind w:firstLine="590" w:firstLineChars="196"/>
        <w:rPr>
          <w:rFonts w:ascii="仿宋" w:hAnsi="仿宋" w:eastAsia="仿宋" w:cs="Times New Roman"/>
          <w:b/>
          <w:bCs/>
          <w:color w:val="000000"/>
          <w:sz w:val="30"/>
          <w:szCs w:val="30"/>
        </w:rPr>
      </w:pPr>
      <w:r>
        <w:rPr>
          <w:rFonts w:hint="eastAsia" w:ascii="仿宋" w:hAnsi="仿宋" w:eastAsia="仿宋" w:cs="Times New Roman"/>
          <w:b/>
          <w:bCs/>
          <w:color w:val="000000"/>
          <w:sz w:val="30"/>
          <w:szCs w:val="30"/>
        </w:rPr>
        <w:t>二、分值的计算</w:t>
      </w:r>
    </w:p>
    <w:p w14:paraId="6BF0FA19">
      <w:pPr>
        <w:spacing w:before="120" w:beforeLines="50" w:after="120" w:afterLines="50" w:line="460" w:lineRule="exact"/>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技术、资信、商务及其他分按照评标委员会成员的独立评分结果汇总后的算术平均分计算，计算公式为：</w:t>
      </w:r>
    </w:p>
    <w:p w14:paraId="6A51AD2F">
      <w:pPr>
        <w:spacing w:before="120" w:beforeLines="50" w:after="120" w:afterLines="50" w:line="460" w:lineRule="exact"/>
        <w:ind w:firstLine="495"/>
        <w:rPr>
          <w:rFonts w:ascii="仿宋" w:hAnsi="仿宋" w:eastAsia="仿宋" w:cs="Times New Roman"/>
          <w:color w:val="000000"/>
          <w:sz w:val="30"/>
          <w:szCs w:val="30"/>
        </w:rPr>
      </w:pPr>
      <w:r>
        <w:rPr>
          <w:rFonts w:hint="eastAsia" w:ascii="仿宋" w:hAnsi="仿宋" w:eastAsia="仿宋" w:cs="Times New Roman"/>
          <w:color w:val="000000"/>
          <w:sz w:val="30"/>
          <w:szCs w:val="30"/>
        </w:rPr>
        <w:t>技术、资信商务及其他分=评标委员会所有成员评分合计数/评标委员会组成人员数</w:t>
      </w:r>
    </w:p>
    <w:p w14:paraId="7C8364EB">
      <w:pPr>
        <w:spacing w:before="120" w:beforeLines="50" w:after="120" w:afterLines="50" w:line="460" w:lineRule="exact"/>
        <w:ind w:firstLine="600" w:firstLineChars="200"/>
        <w:rPr>
          <w:rFonts w:ascii="仿宋" w:hAnsi="仿宋" w:eastAsia="仿宋" w:cs="Times New Roman"/>
          <w:bCs/>
          <w:color w:val="000000"/>
          <w:sz w:val="30"/>
          <w:szCs w:val="30"/>
        </w:rPr>
      </w:pPr>
      <w:r>
        <w:rPr>
          <w:rFonts w:hint="eastAsia" w:ascii="仿宋" w:hAnsi="仿宋" w:eastAsia="仿宋" w:cs="Times New Roman"/>
          <w:color w:val="000000"/>
          <w:sz w:val="30"/>
          <w:szCs w:val="30"/>
        </w:rPr>
        <w:t>投标人评标</w:t>
      </w:r>
      <w:r>
        <w:rPr>
          <w:rFonts w:hint="eastAsia" w:ascii="仿宋" w:hAnsi="仿宋" w:eastAsia="仿宋" w:cs="Times New Roman"/>
          <w:bCs/>
          <w:color w:val="000000"/>
          <w:sz w:val="30"/>
          <w:szCs w:val="30"/>
        </w:rPr>
        <w:t>总得分=价格分+(技术分+资信商务及其他分)</w:t>
      </w:r>
    </w:p>
    <w:p w14:paraId="65DD5DE5">
      <w:pPr>
        <w:spacing w:before="120" w:beforeLines="50" w:after="120" w:afterLines="50" w:line="460" w:lineRule="exact"/>
        <w:ind w:firstLine="602" w:firstLineChars="200"/>
        <w:rPr>
          <w:rFonts w:ascii="仿宋" w:hAnsi="仿宋" w:eastAsia="仿宋" w:cs="Times New Roman"/>
          <w:b/>
          <w:bCs/>
          <w:color w:val="000000"/>
          <w:sz w:val="30"/>
          <w:szCs w:val="30"/>
        </w:rPr>
      </w:pPr>
    </w:p>
    <w:p w14:paraId="2CB16ED6">
      <w:pPr>
        <w:spacing w:before="120" w:beforeLines="50" w:after="120" w:afterLines="50" w:line="460" w:lineRule="exact"/>
        <w:ind w:firstLine="602" w:firstLineChars="200"/>
        <w:rPr>
          <w:rFonts w:ascii="仿宋" w:hAnsi="仿宋" w:eastAsia="仿宋" w:cs="Times New Roman"/>
          <w:bCs/>
          <w:color w:val="000000"/>
          <w:sz w:val="30"/>
          <w:szCs w:val="30"/>
        </w:rPr>
      </w:pPr>
      <w:r>
        <w:rPr>
          <w:rFonts w:hint="eastAsia" w:ascii="仿宋" w:hAnsi="仿宋" w:eastAsia="仿宋" w:cs="Times New Roman"/>
          <w:b/>
          <w:bCs/>
          <w:color w:val="000000"/>
          <w:sz w:val="30"/>
          <w:szCs w:val="30"/>
        </w:rPr>
        <w:t>特别提醒：</w:t>
      </w:r>
      <w:r>
        <w:rPr>
          <w:rFonts w:hint="eastAsia" w:ascii="仿宋" w:hAnsi="仿宋" w:eastAsia="仿宋" w:cs="Times New Roman"/>
          <w:bCs/>
          <w:color w:val="000000"/>
          <w:sz w:val="30"/>
          <w:szCs w:val="30"/>
        </w:rPr>
        <w:t>评标委员会对每个投标人的评分明细以及得分汇总表情况在中标公告中公布。</w:t>
      </w:r>
    </w:p>
    <w:p w14:paraId="76767A33">
      <w:pPr>
        <w:spacing w:before="120" w:beforeLines="50" w:after="120" w:afterLines="50" w:line="320" w:lineRule="exact"/>
        <w:rPr>
          <w:rFonts w:ascii="仿宋" w:hAnsi="仿宋" w:eastAsia="仿宋_GB2312" w:cs="Times New Roman"/>
          <w:b/>
          <w:color w:val="000000"/>
          <w:sz w:val="30"/>
          <w:szCs w:val="30"/>
        </w:rPr>
      </w:pPr>
      <w:r>
        <w:rPr>
          <w:rFonts w:hint="eastAsia" w:ascii="仿宋" w:hAnsi="仿宋" w:eastAsia="仿宋_GB2312" w:cs="Times New Roman"/>
          <w:bCs/>
          <w:color w:val="000000"/>
          <w:kern w:val="0"/>
          <w:sz w:val="30"/>
          <w:szCs w:val="30"/>
        </w:rPr>
        <w:br w:type="page"/>
      </w:r>
      <w:r>
        <w:rPr>
          <w:rFonts w:hint="eastAsia" w:ascii="仿宋" w:hAnsi="仿宋" w:eastAsia="仿宋_GB2312" w:cs="Times New Roman"/>
          <w:b/>
          <w:color w:val="000000"/>
          <w:sz w:val="32"/>
          <w:szCs w:val="32"/>
        </w:rPr>
        <w:t>三、评标内容及标</w:t>
      </w:r>
      <w:r>
        <w:rPr>
          <w:rFonts w:hint="eastAsia" w:ascii="仿宋" w:hAnsi="仿宋" w:eastAsia="仿宋_GB2312" w:cs="Times New Roman"/>
          <w:b/>
          <w:color w:val="000000"/>
          <w:sz w:val="30"/>
          <w:szCs w:val="30"/>
        </w:rPr>
        <w:t>准</w:t>
      </w:r>
      <w:bookmarkStart w:id="20" w:name="_Toc496796638"/>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71"/>
        <w:gridCol w:w="4591"/>
        <w:gridCol w:w="747"/>
        <w:gridCol w:w="1185"/>
      </w:tblGrid>
      <w:tr w14:paraId="3FBE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177084CE">
            <w:pPr>
              <w:spacing w:before="120" w:beforeLines="50" w:after="120" w:afterLines="50" w:line="340" w:lineRule="exact"/>
              <w:rPr>
                <w:rFonts w:ascii="仿宋" w:hAnsi="仿宋" w:eastAsia="仿宋" w:cs="Times New Roman"/>
                <w:sz w:val="24"/>
                <w:szCs w:val="24"/>
              </w:rPr>
            </w:pPr>
            <w:bookmarkStart w:id="21" w:name="_Toc24960"/>
            <w:r>
              <w:rPr>
                <w:rFonts w:hint="eastAsia" w:ascii="仿宋" w:hAnsi="仿宋" w:eastAsia="仿宋" w:cs="Times New Roman"/>
                <w:sz w:val="24"/>
                <w:szCs w:val="24"/>
              </w:rPr>
              <w:t>序号</w:t>
            </w:r>
          </w:p>
        </w:tc>
        <w:tc>
          <w:tcPr>
            <w:tcW w:w="745" w:type="pct"/>
          </w:tcPr>
          <w:p w14:paraId="447BD66E">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评分类型</w:t>
            </w:r>
          </w:p>
        </w:tc>
        <w:tc>
          <w:tcPr>
            <w:tcW w:w="2692" w:type="pct"/>
          </w:tcPr>
          <w:p w14:paraId="6AAB3990">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评分标准</w:t>
            </w:r>
          </w:p>
        </w:tc>
        <w:tc>
          <w:tcPr>
            <w:tcW w:w="438" w:type="pct"/>
          </w:tcPr>
          <w:p w14:paraId="7D098C0E">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分值</w:t>
            </w:r>
          </w:p>
        </w:tc>
        <w:tc>
          <w:tcPr>
            <w:tcW w:w="695" w:type="pct"/>
          </w:tcPr>
          <w:p w14:paraId="70178988">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打分方法</w:t>
            </w:r>
          </w:p>
        </w:tc>
      </w:tr>
      <w:tr w14:paraId="3D3E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2CF2F471">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1</w:t>
            </w:r>
          </w:p>
        </w:tc>
        <w:tc>
          <w:tcPr>
            <w:tcW w:w="745" w:type="pct"/>
          </w:tcPr>
          <w:p w14:paraId="25F933FF">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报价</w:t>
            </w:r>
          </w:p>
        </w:tc>
        <w:tc>
          <w:tcPr>
            <w:tcW w:w="2692" w:type="pct"/>
          </w:tcPr>
          <w:p w14:paraId="648E4279">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(评标基准价／有效投标报价)*最大分值</w:t>
            </w:r>
          </w:p>
        </w:tc>
        <w:tc>
          <w:tcPr>
            <w:tcW w:w="438" w:type="pct"/>
          </w:tcPr>
          <w:p w14:paraId="654A462D">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30</w:t>
            </w:r>
          </w:p>
        </w:tc>
        <w:tc>
          <w:tcPr>
            <w:tcW w:w="695" w:type="pct"/>
          </w:tcPr>
          <w:p w14:paraId="755598A3">
            <w:pPr>
              <w:spacing w:before="120" w:beforeLines="50" w:after="120" w:afterLines="50" w:line="340" w:lineRule="exact"/>
              <w:rPr>
                <w:rFonts w:ascii="仿宋" w:hAnsi="仿宋" w:eastAsia="仿宋" w:cs="Times New Roman"/>
                <w:sz w:val="24"/>
                <w:szCs w:val="24"/>
              </w:rPr>
            </w:pPr>
          </w:p>
        </w:tc>
      </w:tr>
      <w:tr w14:paraId="77A3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4CCA655C">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1</w:t>
            </w:r>
          </w:p>
        </w:tc>
        <w:tc>
          <w:tcPr>
            <w:tcW w:w="745" w:type="pct"/>
          </w:tcPr>
          <w:p w14:paraId="4C820B0A">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技术</w:t>
            </w:r>
          </w:p>
        </w:tc>
        <w:tc>
          <w:tcPr>
            <w:tcW w:w="2692" w:type="pct"/>
          </w:tcPr>
          <w:p w14:paraId="27106040">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根据所投产品技术指标及功能描述的详细程度及响应（满足）程度进行评析（详见“第四章</w:t>
            </w:r>
            <w:r>
              <w:rPr>
                <w:rFonts w:ascii="仿宋" w:hAnsi="仿宋" w:eastAsia="仿宋" w:cs="Times New Roman"/>
                <w:sz w:val="24"/>
                <w:szCs w:val="24"/>
              </w:rPr>
              <w:t xml:space="preserve"> </w:t>
            </w:r>
            <w:r>
              <w:rPr>
                <w:rFonts w:hint="eastAsia" w:ascii="仿宋" w:hAnsi="仿宋" w:eastAsia="仿宋" w:cs="Times New Roman"/>
                <w:sz w:val="24"/>
                <w:szCs w:val="24"/>
              </w:rPr>
              <w:t>招标需求”的“三、技术要求”）：</w:t>
            </w:r>
          </w:p>
          <w:p w14:paraId="34CB0B41">
            <w:pPr>
              <w:widowControl/>
              <w:spacing w:before="120" w:beforeLines="50" w:after="120" w:afterLines="50" w:line="340" w:lineRule="exact"/>
              <w:rPr>
                <w:rFonts w:ascii="仿宋" w:hAnsi="仿宋" w:eastAsia="仿宋" w:cs="Times New Roman"/>
                <w:sz w:val="24"/>
                <w:szCs w:val="24"/>
                <w:lang w:bidi="ar"/>
              </w:rPr>
            </w:pPr>
            <w:r>
              <w:rPr>
                <w:rFonts w:hint="eastAsia" w:ascii="仿宋" w:hAnsi="仿宋" w:eastAsia="仿宋" w:cs="Times New Roman"/>
                <w:sz w:val="24"/>
                <w:szCs w:val="24"/>
                <w:lang w:bidi="ar"/>
              </w:rPr>
              <w:t>不符合（负偏离）技术要求中标注“▲”（不可偏离）的，投标无效。</w:t>
            </w:r>
          </w:p>
          <w:p w14:paraId="5CC5E8A5">
            <w:pPr>
              <w:widowControl/>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lang w:bidi="ar"/>
              </w:rPr>
              <w:t>标注“▲”的、</w:t>
            </w:r>
            <w:r>
              <w:rPr>
                <w:rFonts w:hint="eastAsia" w:ascii="仿宋" w:hAnsi="仿宋" w:eastAsia="仿宋" w:cs="Times New Roman"/>
                <w:sz w:val="24"/>
                <w:szCs w:val="24"/>
              </w:rPr>
              <w:t>要求演示的</w:t>
            </w:r>
            <w:r>
              <w:rPr>
                <w:rFonts w:hint="eastAsia" w:ascii="仿宋" w:hAnsi="仿宋" w:eastAsia="仿宋" w:cs="Times New Roman"/>
                <w:sz w:val="24"/>
                <w:szCs w:val="24"/>
                <w:lang w:bidi="ar"/>
              </w:rPr>
              <w:t>除外，</w:t>
            </w:r>
            <w:r>
              <w:rPr>
                <w:rFonts w:hint="eastAsia" w:ascii="仿宋" w:hAnsi="仿宋" w:eastAsia="仿宋" w:cs="Times New Roman"/>
                <w:sz w:val="24"/>
                <w:szCs w:val="24"/>
              </w:rPr>
              <w:t>符合明确指标参数得26分；标注“★”的，属负偏离或缺漏项的每项扣1分；未标注“★”的，属负偏离或缺漏项的每项扣0.5分；累计扣完为止。</w:t>
            </w:r>
          </w:p>
          <w:p w14:paraId="3D72F673">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注：如指标参数中有要求提供证明材料佐证的，未提供视为负偏离。</w:t>
            </w:r>
          </w:p>
        </w:tc>
        <w:tc>
          <w:tcPr>
            <w:tcW w:w="438" w:type="pct"/>
          </w:tcPr>
          <w:p w14:paraId="41C99BBE">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26</w:t>
            </w:r>
          </w:p>
        </w:tc>
        <w:tc>
          <w:tcPr>
            <w:tcW w:w="695" w:type="pct"/>
            <w:vAlign w:val="center"/>
          </w:tcPr>
          <w:p w14:paraId="28BB767D">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客观分</w:t>
            </w:r>
          </w:p>
        </w:tc>
      </w:tr>
      <w:tr w14:paraId="0CF0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3024B891">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2</w:t>
            </w:r>
          </w:p>
        </w:tc>
        <w:tc>
          <w:tcPr>
            <w:tcW w:w="745" w:type="pct"/>
          </w:tcPr>
          <w:p w14:paraId="49CA2F50">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技术</w:t>
            </w:r>
          </w:p>
        </w:tc>
        <w:tc>
          <w:tcPr>
            <w:tcW w:w="2692" w:type="pct"/>
          </w:tcPr>
          <w:p w14:paraId="43058914">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演示：详见“第四章 招标需求”的“四、演示要求”。</w:t>
            </w:r>
          </w:p>
        </w:tc>
        <w:tc>
          <w:tcPr>
            <w:tcW w:w="438" w:type="pct"/>
          </w:tcPr>
          <w:p w14:paraId="71E406EF">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15</w:t>
            </w:r>
          </w:p>
        </w:tc>
        <w:tc>
          <w:tcPr>
            <w:tcW w:w="695" w:type="pct"/>
            <w:vAlign w:val="center"/>
          </w:tcPr>
          <w:p w14:paraId="74AEE87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客观分</w:t>
            </w:r>
          </w:p>
        </w:tc>
      </w:tr>
      <w:tr w14:paraId="1D1B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152DB162">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3</w:t>
            </w:r>
          </w:p>
        </w:tc>
        <w:tc>
          <w:tcPr>
            <w:tcW w:w="745" w:type="pct"/>
          </w:tcPr>
          <w:p w14:paraId="0B04E2A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技术</w:t>
            </w:r>
          </w:p>
        </w:tc>
        <w:tc>
          <w:tcPr>
            <w:tcW w:w="4591" w:type="dxa"/>
            <w:vAlign w:val="center"/>
          </w:tcPr>
          <w:p w14:paraId="1EAB3A87">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rPr>
              <w:t>环境标志产品、节能产品评审（2分）：</w:t>
            </w:r>
          </w:p>
          <w:p w14:paraId="55578552">
            <w:pPr>
              <w:widowControl/>
              <w:spacing w:before="156" w:beforeLines="50" w:after="156" w:afterLines="50"/>
              <w:jc w:val="both"/>
              <w:rPr>
                <w:rFonts w:hint="eastAsia" w:ascii="仿宋" w:hAnsi="仿宋" w:eastAsia="仿宋" w:cs="宋体"/>
                <w:color w:val="000000"/>
                <w:sz w:val="24"/>
                <w:szCs w:val="24"/>
                <w:lang w:val="en-US"/>
              </w:rPr>
            </w:pPr>
            <w:r>
              <w:rPr>
                <w:rFonts w:hint="eastAsia" w:ascii="仿宋" w:hAnsi="仿宋" w:eastAsia="仿宋" w:cs="宋体"/>
                <w:color w:val="000000"/>
                <w:sz w:val="24"/>
                <w:szCs w:val="24"/>
                <w:lang w:val="en-US"/>
              </w:rPr>
              <w:t>1）投标产品提供国家市场监督管理总局公布的《参与实施政府采购节能产品认证机构名录》内的认证机构出具的、处于有效期之内的节能标志产品认证证书的，得1分。</w:t>
            </w:r>
          </w:p>
          <w:p w14:paraId="2E4FD614">
            <w:pPr>
              <w:widowControl/>
              <w:spacing w:before="156" w:beforeLines="50" w:after="156" w:afterLines="50"/>
              <w:jc w:val="both"/>
              <w:rPr>
                <w:rFonts w:ascii="仿宋" w:hAnsi="仿宋" w:eastAsia="仿宋" w:cs="Times New Roman"/>
                <w:sz w:val="24"/>
                <w:szCs w:val="24"/>
              </w:rPr>
            </w:pPr>
            <w:r>
              <w:rPr>
                <w:rFonts w:hint="eastAsia" w:ascii="仿宋" w:hAnsi="仿宋" w:eastAsia="仿宋" w:cs="宋体"/>
                <w:color w:val="000000"/>
                <w:sz w:val="24"/>
                <w:szCs w:val="24"/>
                <w:lang w:val="en-US"/>
              </w:rPr>
              <w:t>2）投标产品提供国家市场监督管理总局公布的《参与实施政府采购环境标志产品认证机构名录》内的认证机构出具的、处于有效期之内的环境标志产品认证证书，得1分。</w:t>
            </w:r>
          </w:p>
        </w:tc>
        <w:tc>
          <w:tcPr>
            <w:tcW w:w="438" w:type="pct"/>
          </w:tcPr>
          <w:p w14:paraId="0146509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2</w:t>
            </w:r>
          </w:p>
        </w:tc>
        <w:tc>
          <w:tcPr>
            <w:tcW w:w="695" w:type="pct"/>
            <w:vAlign w:val="center"/>
          </w:tcPr>
          <w:p w14:paraId="3D9086C9">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客观分</w:t>
            </w:r>
          </w:p>
        </w:tc>
      </w:tr>
      <w:tr w14:paraId="28D9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2DA0E18A">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4</w:t>
            </w:r>
          </w:p>
        </w:tc>
        <w:tc>
          <w:tcPr>
            <w:tcW w:w="745" w:type="pct"/>
          </w:tcPr>
          <w:p w14:paraId="5D68FFB9">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技术</w:t>
            </w:r>
          </w:p>
        </w:tc>
        <w:tc>
          <w:tcPr>
            <w:tcW w:w="2692" w:type="pct"/>
          </w:tcPr>
          <w:p w14:paraId="2788B1F2">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整体技术解决方案详细、完整、科学，对项目的理解准确、到位，包括将本次采购的智慧黑板、空调物联设备、电子班牌、高清录播主机、教师学生摄像机等产品，无缝对接到学校原管理系统平台的具体解决方案。（最高4分，评分范围：0，1，2，3，4）</w:t>
            </w:r>
          </w:p>
        </w:tc>
        <w:tc>
          <w:tcPr>
            <w:tcW w:w="438" w:type="pct"/>
          </w:tcPr>
          <w:p w14:paraId="665DED70">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4</w:t>
            </w:r>
          </w:p>
        </w:tc>
        <w:tc>
          <w:tcPr>
            <w:tcW w:w="695" w:type="pct"/>
            <w:vAlign w:val="center"/>
          </w:tcPr>
          <w:p w14:paraId="3F8F5BF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主观分</w:t>
            </w:r>
          </w:p>
        </w:tc>
      </w:tr>
      <w:tr w14:paraId="46A3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5973C48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5</w:t>
            </w:r>
          </w:p>
        </w:tc>
        <w:tc>
          <w:tcPr>
            <w:tcW w:w="745" w:type="pct"/>
          </w:tcPr>
          <w:p w14:paraId="3FB31CA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技术</w:t>
            </w:r>
          </w:p>
        </w:tc>
        <w:tc>
          <w:tcPr>
            <w:tcW w:w="2692" w:type="pct"/>
          </w:tcPr>
          <w:p w14:paraId="4DC0F3BF">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所投产品的主要技术、结构/架构、性能、特点、操作说明和质量水平应描述详细，技术支持资料或证明文件应完整、有效，能较好地反映产品的性能特点和质量状况。（最高3分，评分范围：0，1，2，3）</w:t>
            </w:r>
          </w:p>
        </w:tc>
        <w:tc>
          <w:tcPr>
            <w:tcW w:w="438" w:type="pct"/>
          </w:tcPr>
          <w:p w14:paraId="60A92FFC">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3</w:t>
            </w:r>
          </w:p>
        </w:tc>
        <w:tc>
          <w:tcPr>
            <w:tcW w:w="695" w:type="pct"/>
            <w:vAlign w:val="center"/>
          </w:tcPr>
          <w:p w14:paraId="34B3395E">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主观分</w:t>
            </w:r>
          </w:p>
        </w:tc>
      </w:tr>
      <w:tr w14:paraId="5D65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7C49B958">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6</w:t>
            </w:r>
          </w:p>
        </w:tc>
        <w:tc>
          <w:tcPr>
            <w:tcW w:w="745" w:type="pct"/>
          </w:tcPr>
          <w:p w14:paraId="3914C6B7">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技术</w:t>
            </w:r>
          </w:p>
        </w:tc>
        <w:tc>
          <w:tcPr>
            <w:tcW w:w="2692" w:type="pct"/>
          </w:tcPr>
          <w:p w14:paraId="0812C0A7">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结合采购人实际情况供货、安装、调试、保障计划应科学、合理，拟派人员应经验丰富、技术能力强，完全能满足采购人需求。（最高4分，评分范围：0，1，2，3，4）</w:t>
            </w:r>
          </w:p>
        </w:tc>
        <w:tc>
          <w:tcPr>
            <w:tcW w:w="438" w:type="pct"/>
          </w:tcPr>
          <w:p w14:paraId="6E9D2F6E">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4</w:t>
            </w:r>
          </w:p>
        </w:tc>
        <w:tc>
          <w:tcPr>
            <w:tcW w:w="695" w:type="pct"/>
            <w:vAlign w:val="center"/>
          </w:tcPr>
          <w:p w14:paraId="21C08C5C">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主观分</w:t>
            </w:r>
          </w:p>
        </w:tc>
      </w:tr>
      <w:tr w14:paraId="30B7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05FF0AEC">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7</w:t>
            </w:r>
          </w:p>
        </w:tc>
        <w:tc>
          <w:tcPr>
            <w:tcW w:w="745" w:type="pct"/>
          </w:tcPr>
          <w:p w14:paraId="5E706F32">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商务资信</w:t>
            </w:r>
          </w:p>
        </w:tc>
        <w:tc>
          <w:tcPr>
            <w:tcW w:w="2692" w:type="pct"/>
          </w:tcPr>
          <w:p w14:paraId="7578EFEF">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保修期：详见商务要求表。</w:t>
            </w:r>
          </w:p>
        </w:tc>
        <w:tc>
          <w:tcPr>
            <w:tcW w:w="438" w:type="pct"/>
          </w:tcPr>
          <w:p w14:paraId="1B42C9ED">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3</w:t>
            </w:r>
          </w:p>
        </w:tc>
        <w:tc>
          <w:tcPr>
            <w:tcW w:w="695" w:type="pct"/>
            <w:vAlign w:val="center"/>
          </w:tcPr>
          <w:p w14:paraId="2D107303">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客观分</w:t>
            </w:r>
          </w:p>
        </w:tc>
      </w:tr>
      <w:tr w14:paraId="2541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5AF45841">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8</w:t>
            </w:r>
          </w:p>
        </w:tc>
        <w:tc>
          <w:tcPr>
            <w:tcW w:w="745" w:type="pct"/>
          </w:tcPr>
          <w:p w14:paraId="51B83042">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商务资信</w:t>
            </w:r>
          </w:p>
        </w:tc>
        <w:tc>
          <w:tcPr>
            <w:tcW w:w="2692" w:type="pct"/>
          </w:tcPr>
          <w:p w14:paraId="6F7617DC">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项目维护计划（售后服务人员安排、巡检、备品备件、质保期内外维护等情况）：详见商务要求表。（最高5分，评分范围：0，1，2，3，4，5）</w:t>
            </w:r>
          </w:p>
        </w:tc>
        <w:tc>
          <w:tcPr>
            <w:tcW w:w="438" w:type="pct"/>
          </w:tcPr>
          <w:p w14:paraId="153C65B3">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5</w:t>
            </w:r>
          </w:p>
        </w:tc>
        <w:tc>
          <w:tcPr>
            <w:tcW w:w="695" w:type="pct"/>
            <w:vAlign w:val="center"/>
          </w:tcPr>
          <w:p w14:paraId="4F0E5698">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主观分</w:t>
            </w:r>
          </w:p>
        </w:tc>
      </w:tr>
      <w:tr w14:paraId="3388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71136EE1">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9</w:t>
            </w:r>
          </w:p>
        </w:tc>
        <w:tc>
          <w:tcPr>
            <w:tcW w:w="745" w:type="pct"/>
          </w:tcPr>
          <w:p w14:paraId="007B3295">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商务资信</w:t>
            </w:r>
          </w:p>
        </w:tc>
        <w:tc>
          <w:tcPr>
            <w:tcW w:w="2692" w:type="pct"/>
          </w:tcPr>
          <w:p w14:paraId="67D53D46">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售后服务机构的服务便捷性、响应时间及售后服务团队的技术力量进行评审：详见商务要求表。</w:t>
            </w:r>
          </w:p>
        </w:tc>
        <w:tc>
          <w:tcPr>
            <w:tcW w:w="438" w:type="pct"/>
          </w:tcPr>
          <w:p w14:paraId="760EE17D">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3</w:t>
            </w:r>
          </w:p>
        </w:tc>
        <w:tc>
          <w:tcPr>
            <w:tcW w:w="695" w:type="pct"/>
            <w:vAlign w:val="center"/>
          </w:tcPr>
          <w:p w14:paraId="646F8E00">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客观分</w:t>
            </w:r>
          </w:p>
        </w:tc>
      </w:tr>
      <w:tr w14:paraId="4C2D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4E250D9B">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10</w:t>
            </w:r>
          </w:p>
        </w:tc>
        <w:tc>
          <w:tcPr>
            <w:tcW w:w="745" w:type="pct"/>
          </w:tcPr>
          <w:p w14:paraId="2EFE97A4">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商务资信</w:t>
            </w:r>
          </w:p>
        </w:tc>
        <w:tc>
          <w:tcPr>
            <w:tcW w:w="2692" w:type="pct"/>
          </w:tcPr>
          <w:p w14:paraId="03DEBD0B">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对培训方案、计划的可行性及合理性进行评审：详见商务要求表。（最高2分，评分范围：0，1，2）</w:t>
            </w:r>
          </w:p>
        </w:tc>
        <w:tc>
          <w:tcPr>
            <w:tcW w:w="438" w:type="pct"/>
          </w:tcPr>
          <w:p w14:paraId="62BADF6B">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2</w:t>
            </w:r>
          </w:p>
        </w:tc>
        <w:tc>
          <w:tcPr>
            <w:tcW w:w="695" w:type="pct"/>
            <w:vAlign w:val="center"/>
          </w:tcPr>
          <w:p w14:paraId="273FB895">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主观分</w:t>
            </w:r>
          </w:p>
        </w:tc>
      </w:tr>
      <w:tr w14:paraId="34EE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14:paraId="502C5FBB">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11</w:t>
            </w:r>
          </w:p>
        </w:tc>
        <w:tc>
          <w:tcPr>
            <w:tcW w:w="745" w:type="pct"/>
          </w:tcPr>
          <w:p w14:paraId="3B10EB14">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商务资信</w:t>
            </w:r>
          </w:p>
        </w:tc>
        <w:tc>
          <w:tcPr>
            <w:tcW w:w="2692" w:type="pct"/>
          </w:tcPr>
          <w:p w14:paraId="4DD9D19C">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经验及业绩：详见商务要求表。</w:t>
            </w:r>
          </w:p>
        </w:tc>
        <w:tc>
          <w:tcPr>
            <w:tcW w:w="438" w:type="pct"/>
          </w:tcPr>
          <w:p w14:paraId="7BF9197E">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3</w:t>
            </w:r>
          </w:p>
        </w:tc>
        <w:tc>
          <w:tcPr>
            <w:tcW w:w="695" w:type="pct"/>
            <w:vAlign w:val="center"/>
          </w:tcPr>
          <w:p w14:paraId="1E7A5C2D">
            <w:pPr>
              <w:spacing w:before="120" w:beforeLines="50" w:after="120" w:afterLines="50" w:line="340" w:lineRule="exact"/>
              <w:rPr>
                <w:rFonts w:ascii="仿宋" w:hAnsi="仿宋" w:eastAsia="仿宋" w:cs="Times New Roman"/>
                <w:sz w:val="24"/>
                <w:szCs w:val="24"/>
              </w:rPr>
            </w:pPr>
            <w:r>
              <w:rPr>
                <w:rFonts w:hint="eastAsia" w:ascii="仿宋" w:hAnsi="仿宋" w:eastAsia="仿宋" w:cs="Times New Roman"/>
                <w:sz w:val="24"/>
                <w:szCs w:val="24"/>
              </w:rPr>
              <w:t>客观分</w:t>
            </w:r>
          </w:p>
        </w:tc>
      </w:tr>
    </w:tbl>
    <w:p w14:paraId="3751D56C">
      <w:pPr>
        <w:spacing w:after="240" w:afterLines="100" w:line="340" w:lineRule="exact"/>
        <w:outlineLvl w:val="0"/>
        <w:rPr>
          <w:rFonts w:hAnsi="宋体" w:eastAsia="宋体" w:cs="Times New Roman"/>
          <w:b/>
          <w:color w:val="000000"/>
          <w:sz w:val="36"/>
          <w:szCs w:val="36"/>
        </w:rPr>
      </w:pPr>
    </w:p>
    <w:p w14:paraId="6B52AD03">
      <w:pPr>
        <w:rPr>
          <w:rFonts w:hAnsi="宋体" w:eastAsia="宋体" w:cs="Times New Roman"/>
          <w:b/>
          <w:color w:val="000000"/>
          <w:sz w:val="36"/>
          <w:szCs w:val="36"/>
        </w:rPr>
      </w:pPr>
      <w:r>
        <w:rPr>
          <w:rFonts w:hint="eastAsia" w:hAnsi="宋体" w:eastAsia="宋体" w:cs="Times New Roman"/>
          <w:b/>
          <w:color w:val="000000"/>
          <w:sz w:val="36"/>
          <w:szCs w:val="36"/>
        </w:rPr>
        <w:br w:type="page"/>
      </w:r>
    </w:p>
    <w:p w14:paraId="0CC9B415">
      <w:pPr>
        <w:spacing w:after="240" w:afterLines="100" w:line="340" w:lineRule="exact"/>
        <w:jc w:val="center"/>
        <w:outlineLvl w:val="0"/>
        <w:rPr>
          <w:rFonts w:hAnsi="宋体" w:eastAsia="宋体" w:cs="Times New Roman"/>
          <w:b/>
          <w:color w:val="000000"/>
          <w:sz w:val="36"/>
          <w:szCs w:val="36"/>
        </w:rPr>
      </w:pPr>
      <w:r>
        <w:rPr>
          <w:rFonts w:hint="eastAsia" w:hAnsi="宋体" w:eastAsia="宋体" w:cs="Times New Roman"/>
          <w:b/>
          <w:color w:val="000000"/>
          <w:sz w:val="36"/>
          <w:szCs w:val="36"/>
        </w:rPr>
        <w:t>第四章 招标需求</w:t>
      </w:r>
      <w:bookmarkEnd w:id="20"/>
      <w:bookmarkEnd w:id="21"/>
    </w:p>
    <w:p w14:paraId="2E9AB39B">
      <w:pPr>
        <w:snapToGrid w:val="0"/>
        <w:spacing w:before="120" w:beforeLines="50" w:after="120" w:afterLines="50"/>
        <w:rPr>
          <w:rFonts w:ascii="宋体" w:hAnsi="宋体" w:eastAsia="宋体" w:cs="Times New Roman"/>
          <w:b/>
          <w:color w:val="000000"/>
          <w:spacing w:val="40"/>
          <w:kern w:val="0"/>
          <w:sz w:val="36"/>
          <w:szCs w:val="36"/>
        </w:rPr>
      </w:pPr>
    </w:p>
    <w:p w14:paraId="0EB705FC">
      <w:pPr>
        <w:snapToGrid w:val="0"/>
        <w:spacing w:before="120" w:beforeLines="50" w:after="120" w:afterLines="50"/>
        <w:rPr>
          <w:rFonts w:ascii="仿宋" w:hAnsi="仿宋" w:eastAsia="仿宋" w:cs="Times New Roman"/>
          <w:b/>
          <w:color w:val="000000"/>
          <w:spacing w:val="40"/>
          <w:kern w:val="0"/>
          <w:sz w:val="28"/>
          <w:szCs w:val="28"/>
        </w:rPr>
      </w:pPr>
      <w:bookmarkStart w:id="22" w:name="_Toc496796639"/>
      <w:r>
        <w:rPr>
          <w:rFonts w:hint="eastAsia" w:ascii="仿宋" w:hAnsi="仿宋" w:eastAsia="仿宋" w:cs="Times New Roman"/>
          <w:b/>
          <w:color w:val="000000"/>
          <w:spacing w:val="40"/>
          <w:kern w:val="0"/>
          <w:sz w:val="28"/>
          <w:szCs w:val="28"/>
        </w:rPr>
        <w:t>特别说明：</w:t>
      </w:r>
    </w:p>
    <w:p w14:paraId="1E2DE9C9">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1.需求中不允许偏离的实质性要求和条件，以“▲”号标明，如投标人未响应的，将被视为无效。</w:t>
      </w:r>
    </w:p>
    <w:p w14:paraId="38D12CC5">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2.核心产品在各标项内容中明确，如出现同品牌情况的，评标委员会根据评审原则第4条规定执行</w:t>
      </w:r>
      <w:r>
        <w:rPr>
          <w:rFonts w:hint="eastAsia" w:ascii="仿宋" w:hAnsi="仿宋" w:eastAsia="仿宋_GB2312" w:cs="Times New Roman"/>
          <w:b/>
          <w:color w:val="000000"/>
          <w:sz w:val="30"/>
          <w:szCs w:val="30"/>
        </w:rPr>
        <w:t>。</w:t>
      </w:r>
    </w:p>
    <w:p w14:paraId="31EEBD6F">
      <w:pPr>
        <w:spacing w:line="360" w:lineRule="auto"/>
        <w:ind w:firstLine="562" w:firstLineChars="200"/>
        <w:rPr>
          <w:rFonts w:ascii="仿宋" w:hAnsi="仿宋" w:eastAsia="仿宋_GB2312" w:cs="Times New Roman"/>
          <w:b/>
          <w:color w:val="000000"/>
          <w:sz w:val="30"/>
          <w:szCs w:val="30"/>
        </w:rPr>
      </w:pPr>
      <w:r>
        <w:rPr>
          <w:rFonts w:hint="eastAsia" w:ascii="仿宋" w:hAnsi="仿宋" w:eastAsia="仿宋" w:cs="Times New Roman"/>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12049E81">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6D12BAE">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5</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供应商承诺提供赠品、回扣、采购预算中本身不包含的其他商品或服务，视作无效承诺。</w:t>
      </w:r>
    </w:p>
    <w:p w14:paraId="0CE4E651">
      <w:pPr>
        <w:spacing w:before="120" w:beforeLines="50" w:after="120" w:afterLines="50" w:line="360" w:lineRule="auto"/>
        <w:rPr>
          <w:rFonts w:ascii="仿宋" w:hAnsi="仿宋" w:eastAsia="仿宋" w:cs="Arial"/>
          <w:b/>
          <w:color w:val="000000"/>
          <w:sz w:val="28"/>
          <w:szCs w:val="28"/>
        </w:rPr>
      </w:pPr>
    </w:p>
    <w:p w14:paraId="778FF28B">
      <w:pPr>
        <w:jc w:val="center"/>
        <w:rPr>
          <w:rFonts w:hAnsi="宋体" w:eastAsia="宋体" w:cs="Times New Roman"/>
          <w:b/>
          <w:color w:val="000000"/>
          <w:sz w:val="36"/>
          <w:szCs w:val="36"/>
        </w:rPr>
      </w:pPr>
      <w:bookmarkStart w:id="23" w:name="PO_416_PM050"/>
      <w:r>
        <w:rPr>
          <w:rFonts w:hint="eastAsia" w:hAnsi="宋体" w:eastAsia="宋体" w:cs="Times New Roman"/>
          <w:b/>
          <w:color w:val="000000"/>
          <w:sz w:val="36"/>
          <w:szCs w:val="36"/>
        </w:rPr>
        <w:t xml:space="preserve"> </w:t>
      </w:r>
      <w:bookmarkEnd w:id="23"/>
      <w:bookmarkStart w:id="24" w:name="PO_TDCUS_ITEM_PB_REQ_TITLE_0_0"/>
    </w:p>
    <w:p w14:paraId="36992385">
      <w:pPr>
        <w:jc w:val="center"/>
        <w:rPr>
          <w:rFonts w:hAnsi="宋体" w:eastAsia="宋体" w:cs="Times New Roman"/>
          <w:b/>
          <w:color w:val="000000"/>
          <w:sz w:val="36"/>
          <w:szCs w:val="36"/>
        </w:rPr>
      </w:pPr>
    </w:p>
    <w:p w14:paraId="6108083C">
      <w:pPr>
        <w:jc w:val="center"/>
        <w:rPr>
          <w:rFonts w:hAnsi="宋体" w:eastAsia="宋体" w:cs="Times New Roman"/>
          <w:b/>
          <w:color w:val="000000"/>
          <w:sz w:val="36"/>
          <w:szCs w:val="36"/>
        </w:rPr>
      </w:pPr>
    </w:p>
    <w:p w14:paraId="55DCAD90">
      <w:pPr>
        <w:jc w:val="center"/>
        <w:rPr>
          <w:rFonts w:ascii="宋体" w:hAnsi="宋体" w:eastAsia="宋体" w:cs="Times New Roman"/>
          <w:b/>
          <w:bCs/>
          <w:color w:val="000000"/>
          <w:sz w:val="36"/>
          <w:szCs w:val="36"/>
        </w:rPr>
      </w:pPr>
    </w:p>
    <w:p w14:paraId="23DB329E">
      <w:pPr>
        <w:jc w:val="center"/>
        <w:rPr>
          <w:rFonts w:ascii="宋体" w:hAnsi="宋体" w:eastAsia="宋体" w:cs="Times New Roman"/>
          <w:b/>
          <w:bCs/>
          <w:color w:val="000000"/>
          <w:sz w:val="36"/>
          <w:szCs w:val="36"/>
        </w:rPr>
      </w:pPr>
    </w:p>
    <w:p w14:paraId="2CC3FBDB">
      <w:pPr>
        <w:rPr>
          <w:rFonts w:ascii="宋体" w:hAnsi="宋体" w:eastAsia="宋体" w:cs="Times New Roman"/>
          <w:b/>
          <w:bCs/>
          <w:color w:val="000000"/>
          <w:sz w:val="36"/>
          <w:szCs w:val="36"/>
        </w:rPr>
      </w:pPr>
    </w:p>
    <w:p w14:paraId="2FB802E0">
      <w:pPr>
        <w:jc w:val="center"/>
        <w:rPr>
          <w:rFonts w:ascii="宋体" w:hAnsi="宋体" w:eastAsia="宋体" w:cs="Times New Roman"/>
          <w:b/>
          <w:bCs/>
          <w:color w:val="000000"/>
          <w:sz w:val="36"/>
          <w:szCs w:val="36"/>
        </w:rPr>
      </w:pPr>
    </w:p>
    <w:bookmarkEnd w:id="24"/>
    <w:p w14:paraId="61891310">
      <w:pPr>
        <w:jc w:val="center"/>
        <w:rPr>
          <w:rFonts w:ascii="宋体" w:hAnsi="宋体" w:eastAsia="宋体" w:cs="宋体"/>
        </w:rPr>
      </w:pPr>
      <w:bookmarkStart w:id="25" w:name="_Toc26308"/>
      <w:r>
        <w:rPr>
          <w:rFonts w:hint="eastAsia" w:ascii="宋体" w:hAnsi="宋体" w:eastAsia="宋体" w:cs="宋体"/>
          <w:b/>
          <w:bCs/>
          <w:color w:val="000000"/>
          <w:sz w:val="36"/>
          <w:szCs w:val="36"/>
        </w:rPr>
        <w:t>标项1</w:t>
      </w:r>
      <w:bookmarkStart w:id="26" w:name="PO_TDCUS_ITEM_PB_REQ_FILE_1_1_0"/>
      <w:r>
        <w:rPr>
          <w:rFonts w:hint="eastAsia" w:ascii="宋体" w:hAnsi="宋体" w:eastAsia="宋体" w:cs="宋体"/>
          <w:b/>
          <w:bCs/>
          <w:color w:val="000000"/>
          <w:sz w:val="36"/>
          <w:szCs w:val="36"/>
        </w:rPr>
        <w:t>：</w:t>
      </w:r>
      <w:bookmarkEnd w:id="26"/>
      <w:r>
        <w:rPr>
          <w:rFonts w:hint="eastAsia" w:ascii="宋体" w:hAnsi="宋体" w:eastAsia="宋体" w:cs="宋体"/>
          <w:b/>
          <w:bCs/>
          <w:color w:val="000000"/>
          <w:sz w:val="36"/>
          <w:szCs w:val="36"/>
        </w:rPr>
        <w:t>浙江商业职业技术学院2025年多媒体教室升级改造</w:t>
      </w:r>
    </w:p>
    <w:p w14:paraId="403308D4">
      <w:pPr>
        <w:spacing w:line="360" w:lineRule="auto"/>
        <w:ind w:firstLine="562" w:firstLineChars="200"/>
        <w:jc w:val="left"/>
        <w:rPr>
          <w:rFonts w:ascii="宋体" w:hAnsi="宋体" w:eastAsia="宋体" w:cs="宋体"/>
          <w:b/>
          <w:sz w:val="28"/>
          <w:szCs w:val="28"/>
        </w:rPr>
      </w:pPr>
    </w:p>
    <w:p w14:paraId="61AD219D">
      <w:pPr>
        <w:keepNext/>
        <w:keepLines/>
        <w:spacing w:before="156" w:after="156" w:line="278" w:lineRule="auto"/>
        <w:jc w:val="left"/>
        <w:outlineLvl w:val="0"/>
        <w:rPr>
          <w:rFonts w:ascii="等线 Light" w:hAnsi="等线 Light" w:eastAsia="宋体" w:cs="Times New Roman"/>
          <w:sz w:val="40"/>
          <w:szCs w:val="48"/>
        </w:rPr>
      </w:pPr>
      <w:bookmarkStart w:id="27" w:name="PO_TDCUS_ITEM_PB_REQ_TABLE_1_1_0"/>
      <w:bookmarkEnd w:id="27"/>
      <w:r>
        <w:rPr>
          <w:rFonts w:hint="eastAsia" w:ascii="黑体" w:hAnsi="黑体" w:eastAsia="黑体" w:cs="黑体"/>
          <w:kern w:val="44"/>
          <w:sz w:val="32"/>
          <w:szCs w:val="32"/>
        </w:rPr>
        <w:t>一、招标需求</w:t>
      </w:r>
      <w:r>
        <w:rPr>
          <w:rFonts w:hint="eastAsia" w:ascii="等线 Light" w:hAnsi="等线 Light" w:eastAsia="宋体" w:cs="Times New Roman"/>
          <w:sz w:val="40"/>
          <w:szCs w:val="48"/>
        </w:rPr>
        <w:t xml:space="preserve"> </w:t>
      </w:r>
    </w:p>
    <w:p w14:paraId="1A0D614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总体要求：</w:t>
      </w:r>
    </w:p>
    <w:p w14:paraId="302AF919">
      <w:pPr>
        <w:spacing w:before="120" w:beforeLines="50" w:after="120" w:afterLines="50" w:line="340" w:lineRule="exact"/>
        <w:jc w:val="left"/>
        <w:rPr>
          <w:rFonts w:hint="eastAsia" w:ascii="宋体" w:hAnsi="宋体" w:eastAsia="宋体" w:cs="宋体"/>
          <w:szCs w:val="21"/>
        </w:rPr>
      </w:pPr>
      <w:r>
        <w:rPr>
          <w:rFonts w:hint="eastAsia" w:ascii="宋体" w:hAnsi="宋体" w:eastAsia="宋体" w:cs="宋体"/>
          <w:szCs w:val="21"/>
        </w:rPr>
        <w:t>为进一步提高我校的办学水平、提升办学质量、改善教学基础设施、服务教育教学改革，拟在2025年采购一批多媒体教室教学设备，以实现功能升级、改善教学体验、提升智慧化水平，满足教学与管理的需求。</w:t>
      </w:r>
    </w:p>
    <w:p w14:paraId="17DBD873">
      <w:pPr>
        <w:spacing w:before="120" w:beforeLines="50" w:after="120" w:afterLines="50" w:line="34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绿色采购要求：</w:t>
      </w:r>
    </w:p>
    <w:p w14:paraId="1E4FB49E">
      <w:pPr>
        <w:spacing w:before="120" w:beforeLines="50" w:after="120" w:afterLines="50" w:line="34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鼓励投标人提供节能环保产品（提供参与实施政府采购节能（环境标志）产品认证机构出具的认证证书或证书发布平台的投标产品认证证书查询截图）。</w:t>
      </w:r>
    </w:p>
    <w:p w14:paraId="73D85878">
      <w:pPr>
        <w:keepNext/>
        <w:keepLines/>
        <w:spacing w:before="160" w:after="80" w:line="278" w:lineRule="auto"/>
        <w:outlineLvl w:val="1"/>
        <w:rPr>
          <w:rFonts w:ascii="黑体" w:hAnsi="黑体" w:eastAsia="黑体" w:cs="黑体"/>
          <w:kern w:val="44"/>
          <w:sz w:val="32"/>
          <w:szCs w:val="32"/>
        </w:rPr>
      </w:pPr>
      <w:r>
        <w:rPr>
          <w:rFonts w:hint="eastAsia" w:ascii="黑体" w:hAnsi="黑体" w:eastAsia="黑体" w:cs="黑体"/>
          <w:kern w:val="44"/>
          <w:sz w:val="32"/>
          <w:szCs w:val="32"/>
        </w:rPr>
        <w:t>二、采购清单</w:t>
      </w:r>
    </w:p>
    <w:tbl>
      <w:tblPr>
        <w:tblStyle w:val="60"/>
        <w:tblW w:w="4998" w:type="pct"/>
        <w:tblInd w:w="0" w:type="dxa"/>
        <w:tblLayout w:type="autofit"/>
        <w:tblCellMar>
          <w:top w:w="0" w:type="dxa"/>
          <w:left w:w="108" w:type="dxa"/>
          <w:bottom w:w="0" w:type="dxa"/>
          <w:right w:w="108" w:type="dxa"/>
        </w:tblCellMar>
      </w:tblPr>
      <w:tblGrid>
        <w:gridCol w:w="972"/>
        <w:gridCol w:w="4665"/>
        <w:gridCol w:w="1375"/>
        <w:gridCol w:w="1513"/>
      </w:tblGrid>
      <w:tr w14:paraId="1CF379FE">
        <w:tblPrEx>
          <w:tblCellMar>
            <w:top w:w="0" w:type="dxa"/>
            <w:left w:w="108" w:type="dxa"/>
            <w:bottom w:w="0" w:type="dxa"/>
            <w:right w:w="108" w:type="dxa"/>
          </w:tblCellMar>
        </w:tblPrEx>
        <w:trPr>
          <w:trHeight w:val="445" w:hRule="atLeast"/>
        </w:trPr>
        <w:tc>
          <w:tcPr>
            <w:tcW w:w="570" w:type="pct"/>
            <w:tcBorders>
              <w:top w:val="single" w:color="auto" w:sz="4" w:space="0"/>
              <w:left w:val="single" w:color="auto" w:sz="4" w:space="0"/>
              <w:bottom w:val="single" w:color="auto" w:sz="4" w:space="0"/>
              <w:right w:val="single" w:color="auto" w:sz="4" w:space="0"/>
            </w:tcBorders>
            <w:vAlign w:val="center"/>
          </w:tcPr>
          <w:p w14:paraId="481E1DD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序号</w:t>
            </w:r>
          </w:p>
        </w:tc>
        <w:tc>
          <w:tcPr>
            <w:tcW w:w="2735" w:type="pct"/>
            <w:tcBorders>
              <w:top w:val="single" w:color="auto" w:sz="4" w:space="0"/>
              <w:left w:val="nil"/>
              <w:bottom w:val="single" w:color="auto" w:sz="4" w:space="0"/>
              <w:right w:val="single" w:color="auto" w:sz="4" w:space="0"/>
            </w:tcBorders>
            <w:vAlign w:val="center"/>
          </w:tcPr>
          <w:p w14:paraId="6254ED49">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设备</w:t>
            </w:r>
          </w:p>
        </w:tc>
        <w:tc>
          <w:tcPr>
            <w:tcW w:w="806" w:type="pct"/>
            <w:tcBorders>
              <w:top w:val="single" w:color="auto" w:sz="4" w:space="0"/>
              <w:left w:val="nil"/>
              <w:bottom w:val="single" w:color="auto" w:sz="4" w:space="0"/>
              <w:right w:val="single" w:color="auto" w:sz="4" w:space="0"/>
            </w:tcBorders>
            <w:vAlign w:val="center"/>
          </w:tcPr>
          <w:p w14:paraId="773E2037">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数量</w:t>
            </w:r>
          </w:p>
        </w:tc>
        <w:tc>
          <w:tcPr>
            <w:tcW w:w="887" w:type="pct"/>
            <w:tcBorders>
              <w:top w:val="single" w:color="auto" w:sz="4" w:space="0"/>
              <w:left w:val="nil"/>
              <w:bottom w:val="single" w:color="auto" w:sz="4" w:space="0"/>
              <w:right w:val="single" w:color="auto" w:sz="4" w:space="0"/>
            </w:tcBorders>
            <w:vAlign w:val="center"/>
          </w:tcPr>
          <w:p w14:paraId="1A907269">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计量单位</w:t>
            </w:r>
          </w:p>
        </w:tc>
      </w:tr>
      <w:tr w14:paraId="05D49877">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5EC0E090">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w:t>
            </w:r>
          </w:p>
        </w:tc>
        <w:tc>
          <w:tcPr>
            <w:tcW w:w="2735" w:type="pct"/>
            <w:tcBorders>
              <w:top w:val="nil"/>
              <w:left w:val="nil"/>
              <w:bottom w:val="single" w:color="auto" w:sz="4" w:space="0"/>
              <w:right w:val="single" w:color="auto" w:sz="4" w:space="0"/>
            </w:tcBorders>
            <w:vAlign w:val="center"/>
          </w:tcPr>
          <w:p w14:paraId="7865D2D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智慧黑板</w:t>
            </w:r>
            <w:r>
              <w:rPr>
                <w:rFonts w:hint="eastAsia" w:ascii="宋体" w:hAnsi="宋体" w:eastAsia="宋体" w:cs="宋体"/>
                <w:b/>
                <w:bCs/>
                <w:color w:val="FF0000"/>
                <w:szCs w:val="21"/>
              </w:rPr>
              <w:t>（核心产品）</w:t>
            </w:r>
          </w:p>
        </w:tc>
        <w:tc>
          <w:tcPr>
            <w:tcW w:w="806" w:type="pct"/>
            <w:tcBorders>
              <w:top w:val="single" w:color="auto" w:sz="4" w:space="0"/>
              <w:left w:val="nil"/>
              <w:bottom w:val="single" w:color="auto" w:sz="4" w:space="0"/>
              <w:right w:val="single" w:color="auto" w:sz="4" w:space="0"/>
            </w:tcBorders>
            <w:vAlign w:val="center"/>
          </w:tcPr>
          <w:p w14:paraId="0355F77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887" w:type="pct"/>
            <w:tcBorders>
              <w:top w:val="nil"/>
              <w:left w:val="nil"/>
              <w:bottom w:val="single" w:color="auto" w:sz="4" w:space="0"/>
              <w:right w:val="single" w:color="auto" w:sz="4" w:space="0"/>
            </w:tcBorders>
            <w:vAlign w:val="center"/>
          </w:tcPr>
          <w:p w14:paraId="07F2B6AC">
            <w:pPr>
              <w:spacing w:before="120" w:beforeLines="50" w:after="120" w:afterLines="50" w:line="340" w:lineRule="exact"/>
              <w:jc w:val="center"/>
              <w:rPr>
                <w:rFonts w:ascii="宋体" w:hAnsi="宋体" w:eastAsia="宋体" w:cs="宋体"/>
                <w:szCs w:val="21"/>
              </w:rPr>
            </w:pPr>
            <w:bookmarkStart w:id="28" w:name="OLE_LINK3"/>
            <w:r>
              <w:rPr>
                <w:rFonts w:hint="eastAsia" w:ascii="宋体" w:hAnsi="宋体" w:eastAsia="宋体" w:cs="宋体"/>
                <w:szCs w:val="21"/>
              </w:rPr>
              <w:t>套</w:t>
            </w:r>
            <w:bookmarkEnd w:id="28"/>
          </w:p>
        </w:tc>
      </w:tr>
      <w:tr w14:paraId="13E5F824">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051EB094">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2</w:t>
            </w:r>
          </w:p>
        </w:tc>
        <w:tc>
          <w:tcPr>
            <w:tcW w:w="2735" w:type="pct"/>
            <w:tcBorders>
              <w:top w:val="nil"/>
              <w:left w:val="nil"/>
              <w:bottom w:val="single" w:color="auto" w:sz="4" w:space="0"/>
              <w:right w:val="single" w:color="auto" w:sz="4" w:space="0"/>
            </w:tcBorders>
            <w:vAlign w:val="center"/>
          </w:tcPr>
          <w:p w14:paraId="3056581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双屏互动智慧黑板</w:t>
            </w:r>
          </w:p>
        </w:tc>
        <w:tc>
          <w:tcPr>
            <w:tcW w:w="806" w:type="pct"/>
            <w:tcBorders>
              <w:top w:val="nil"/>
              <w:left w:val="nil"/>
              <w:bottom w:val="single" w:color="auto" w:sz="4" w:space="0"/>
              <w:right w:val="single" w:color="auto" w:sz="4" w:space="0"/>
            </w:tcBorders>
            <w:vAlign w:val="center"/>
          </w:tcPr>
          <w:p w14:paraId="34393C1B">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13</w:t>
            </w:r>
          </w:p>
        </w:tc>
        <w:tc>
          <w:tcPr>
            <w:tcW w:w="887" w:type="pct"/>
            <w:tcBorders>
              <w:top w:val="nil"/>
              <w:left w:val="nil"/>
              <w:bottom w:val="single" w:color="auto" w:sz="4" w:space="0"/>
              <w:right w:val="single" w:color="auto" w:sz="4" w:space="0"/>
            </w:tcBorders>
            <w:vAlign w:val="center"/>
          </w:tcPr>
          <w:p w14:paraId="47889483">
            <w:pPr>
              <w:spacing w:before="120" w:beforeLines="50" w:after="120" w:afterLines="50" w:line="340" w:lineRule="exact"/>
              <w:jc w:val="center"/>
              <w:rPr>
                <w:rFonts w:ascii="宋体" w:hAnsi="宋体" w:eastAsia="宋体" w:cs="宋体"/>
                <w:szCs w:val="21"/>
              </w:rPr>
            </w:pPr>
            <w:bookmarkStart w:id="29" w:name="OLE_LINK4"/>
            <w:r>
              <w:rPr>
                <w:rFonts w:hint="eastAsia" w:ascii="宋体" w:hAnsi="宋体" w:eastAsia="宋体" w:cs="宋体"/>
                <w:szCs w:val="21"/>
              </w:rPr>
              <w:t>套</w:t>
            </w:r>
            <w:bookmarkEnd w:id="29"/>
          </w:p>
        </w:tc>
      </w:tr>
      <w:tr w14:paraId="13EB19EA">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35FE95E6">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3</w:t>
            </w:r>
          </w:p>
        </w:tc>
        <w:tc>
          <w:tcPr>
            <w:tcW w:w="2735" w:type="pct"/>
            <w:tcBorders>
              <w:top w:val="nil"/>
              <w:left w:val="nil"/>
              <w:bottom w:val="single" w:color="auto" w:sz="4" w:space="0"/>
              <w:right w:val="single" w:color="auto" w:sz="4" w:space="0"/>
            </w:tcBorders>
            <w:vAlign w:val="center"/>
          </w:tcPr>
          <w:p w14:paraId="7D41EEF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录播主机（含系统）</w:t>
            </w:r>
          </w:p>
        </w:tc>
        <w:tc>
          <w:tcPr>
            <w:tcW w:w="806" w:type="pct"/>
            <w:tcBorders>
              <w:top w:val="nil"/>
              <w:left w:val="nil"/>
              <w:bottom w:val="single" w:color="auto" w:sz="4" w:space="0"/>
              <w:right w:val="single" w:color="auto" w:sz="4" w:space="0"/>
            </w:tcBorders>
            <w:vAlign w:val="center"/>
          </w:tcPr>
          <w:p w14:paraId="15E4D0E4">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887" w:type="pct"/>
            <w:tcBorders>
              <w:top w:val="nil"/>
              <w:left w:val="nil"/>
              <w:bottom w:val="single" w:color="auto" w:sz="4" w:space="0"/>
              <w:right w:val="single" w:color="auto" w:sz="4" w:space="0"/>
            </w:tcBorders>
            <w:vAlign w:val="center"/>
          </w:tcPr>
          <w:p w14:paraId="687430A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套</w:t>
            </w:r>
          </w:p>
        </w:tc>
      </w:tr>
      <w:tr w14:paraId="38112782">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007266AB">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4</w:t>
            </w:r>
          </w:p>
        </w:tc>
        <w:tc>
          <w:tcPr>
            <w:tcW w:w="2735" w:type="pct"/>
            <w:tcBorders>
              <w:top w:val="nil"/>
              <w:left w:val="nil"/>
              <w:bottom w:val="single" w:color="auto" w:sz="4" w:space="0"/>
              <w:right w:val="single" w:color="auto" w:sz="4" w:space="0"/>
            </w:tcBorders>
            <w:vAlign w:val="center"/>
          </w:tcPr>
          <w:p w14:paraId="0653A40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4K教师摄像机</w:t>
            </w:r>
          </w:p>
        </w:tc>
        <w:tc>
          <w:tcPr>
            <w:tcW w:w="806" w:type="pct"/>
            <w:tcBorders>
              <w:top w:val="nil"/>
              <w:left w:val="nil"/>
              <w:bottom w:val="single" w:color="auto" w:sz="4" w:space="0"/>
              <w:right w:val="single" w:color="auto" w:sz="4" w:space="0"/>
            </w:tcBorders>
            <w:vAlign w:val="center"/>
          </w:tcPr>
          <w:p w14:paraId="2B84AFCA">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887" w:type="pct"/>
            <w:tcBorders>
              <w:top w:val="nil"/>
              <w:left w:val="nil"/>
              <w:bottom w:val="single" w:color="auto" w:sz="4" w:space="0"/>
              <w:right w:val="single" w:color="auto" w:sz="4" w:space="0"/>
            </w:tcBorders>
            <w:vAlign w:val="center"/>
          </w:tcPr>
          <w:p w14:paraId="3BC19219">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套</w:t>
            </w:r>
          </w:p>
        </w:tc>
      </w:tr>
      <w:tr w14:paraId="3EA52168">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242BCBC5">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5</w:t>
            </w:r>
          </w:p>
        </w:tc>
        <w:tc>
          <w:tcPr>
            <w:tcW w:w="2735" w:type="pct"/>
            <w:tcBorders>
              <w:top w:val="nil"/>
              <w:left w:val="nil"/>
              <w:bottom w:val="single" w:color="auto" w:sz="4" w:space="0"/>
              <w:right w:val="single" w:color="auto" w:sz="4" w:space="0"/>
            </w:tcBorders>
            <w:vAlign w:val="center"/>
          </w:tcPr>
          <w:p w14:paraId="45524E9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4K学生摄像机</w:t>
            </w:r>
          </w:p>
        </w:tc>
        <w:tc>
          <w:tcPr>
            <w:tcW w:w="806" w:type="pct"/>
            <w:tcBorders>
              <w:top w:val="nil"/>
              <w:left w:val="nil"/>
              <w:bottom w:val="single" w:color="auto" w:sz="4" w:space="0"/>
              <w:right w:val="single" w:color="auto" w:sz="4" w:space="0"/>
            </w:tcBorders>
            <w:vAlign w:val="center"/>
          </w:tcPr>
          <w:p w14:paraId="0334437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887" w:type="pct"/>
            <w:tcBorders>
              <w:top w:val="nil"/>
              <w:left w:val="nil"/>
              <w:bottom w:val="single" w:color="auto" w:sz="4" w:space="0"/>
              <w:right w:val="single" w:color="auto" w:sz="4" w:space="0"/>
            </w:tcBorders>
            <w:vAlign w:val="center"/>
          </w:tcPr>
          <w:p w14:paraId="2D0CDB0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套</w:t>
            </w:r>
          </w:p>
        </w:tc>
      </w:tr>
      <w:tr w14:paraId="4C31FFE3">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1BED239F">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2735" w:type="pct"/>
            <w:tcBorders>
              <w:top w:val="nil"/>
              <w:left w:val="nil"/>
              <w:bottom w:val="single" w:color="auto" w:sz="4" w:space="0"/>
              <w:right w:val="single" w:color="auto" w:sz="4" w:space="0"/>
            </w:tcBorders>
            <w:vAlign w:val="center"/>
          </w:tcPr>
          <w:p w14:paraId="3DB190B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全向拾音麦克风</w:t>
            </w:r>
          </w:p>
        </w:tc>
        <w:tc>
          <w:tcPr>
            <w:tcW w:w="806" w:type="pct"/>
            <w:tcBorders>
              <w:top w:val="nil"/>
              <w:left w:val="nil"/>
              <w:bottom w:val="single" w:color="auto" w:sz="4" w:space="0"/>
              <w:right w:val="single" w:color="auto" w:sz="4" w:space="0"/>
            </w:tcBorders>
            <w:vAlign w:val="center"/>
          </w:tcPr>
          <w:p w14:paraId="34C4FD00">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887" w:type="pct"/>
            <w:tcBorders>
              <w:top w:val="nil"/>
              <w:left w:val="nil"/>
              <w:bottom w:val="single" w:color="auto" w:sz="4" w:space="0"/>
              <w:right w:val="single" w:color="auto" w:sz="4" w:space="0"/>
            </w:tcBorders>
            <w:vAlign w:val="center"/>
          </w:tcPr>
          <w:p w14:paraId="59C14A25">
            <w:pPr>
              <w:spacing w:before="120" w:beforeLines="50" w:after="120" w:afterLines="50" w:line="340" w:lineRule="exact"/>
              <w:jc w:val="center"/>
              <w:rPr>
                <w:rFonts w:ascii="宋体" w:hAnsi="宋体" w:eastAsia="宋体" w:cs="宋体"/>
                <w:szCs w:val="21"/>
              </w:rPr>
            </w:pPr>
            <w:bookmarkStart w:id="30" w:name="OLE_LINK5"/>
            <w:r>
              <w:rPr>
                <w:rFonts w:hint="eastAsia" w:ascii="宋体" w:hAnsi="宋体" w:eastAsia="宋体" w:cs="宋体"/>
                <w:szCs w:val="21"/>
              </w:rPr>
              <w:t>套</w:t>
            </w:r>
            <w:bookmarkEnd w:id="30"/>
          </w:p>
        </w:tc>
      </w:tr>
      <w:tr w14:paraId="7A4B68BB">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1F055527">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7</w:t>
            </w:r>
          </w:p>
        </w:tc>
        <w:tc>
          <w:tcPr>
            <w:tcW w:w="2735" w:type="pct"/>
            <w:tcBorders>
              <w:top w:val="nil"/>
              <w:left w:val="nil"/>
              <w:bottom w:val="single" w:color="auto" w:sz="4" w:space="0"/>
              <w:right w:val="single" w:color="auto" w:sz="4" w:space="0"/>
            </w:tcBorders>
            <w:vAlign w:val="center"/>
          </w:tcPr>
          <w:p w14:paraId="5B061F39">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电子班牌</w:t>
            </w:r>
          </w:p>
        </w:tc>
        <w:tc>
          <w:tcPr>
            <w:tcW w:w="806" w:type="pct"/>
            <w:tcBorders>
              <w:top w:val="nil"/>
              <w:left w:val="nil"/>
              <w:bottom w:val="single" w:color="auto" w:sz="4" w:space="0"/>
              <w:right w:val="single" w:color="auto" w:sz="4" w:space="0"/>
            </w:tcBorders>
            <w:vAlign w:val="center"/>
          </w:tcPr>
          <w:p w14:paraId="50A3F56C">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49</w:t>
            </w:r>
          </w:p>
        </w:tc>
        <w:tc>
          <w:tcPr>
            <w:tcW w:w="887" w:type="pct"/>
            <w:tcBorders>
              <w:top w:val="nil"/>
              <w:left w:val="nil"/>
              <w:bottom w:val="single" w:color="auto" w:sz="4" w:space="0"/>
              <w:right w:val="single" w:color="auto" w:sz="4" w:space="0"/>
            </w:tcBorders>
            <w:vAlign w:val="center"/>
          </w:tcPr>
          <w:p w14:paraId="1F4D6328">
            <w:pPr>
              <w:spacing w:before="120" w:beforeLines="50" w:after="120" w:afterLines="50" w:line="340" w:lineRule="exact"/>
              <w:jc w:val="center"/>
              <w:rPr>
                <w:rFonts w:ascii="宋体" w:hAnsi="宋体" w:eastAsia="宋体" w:cs="宋体"/>
                <w:szCs w:val="21"/>
              </w:rPr>
            </w:pPr>
            <w:bookmarkStart w:id="31" w:name="OLE_LINK6"/>
            <w:r>
              <w:rPr>
                <w:rFonts w:hint="eastAsia" w:ascii="宋体" w:hAnsi="宋体" w:eastAsia="宋体" w:cs="宋体"/>
                <w:szCs w:val="21"/>
              </w:rPr>
              <w:t>套</w:t>
            </w:r>
            <w:bookmarkEnd w:id="31"/>
          </w:p>
        </w:tc>
      </w:tr>
      <w:tr w14:paraId="6DBD01DB">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33E02103">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8</w:t>
            </w:r>
          </w:p>
        </w:tc>
        <w:tc>
          <w:tcPr>
            <w:tcW w:w="2735" w:type="pct"/>
            <w:tcBorders>
              <w:top w:val="nil"/>
              <w:left w:val="nil"/>
              <w:bottom w:val="single" w:color="auto" w:sz="4" w:space="0"/>
              <w:right w:val="single" w:color="auto" w:sz="4" w:space="0"/>
            </w:tcBorders>
            <w:vAlign w:val="center"/>
          </w:tcPr>
          <w:p w14:paraId="0A33E133">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班牌本地版软件</w:t>
            </w:r>
          </w:p>
        </w:tc>
        <w:tc>
          <w:tcPr>
            <w:tcW w:w="806" w:type="pct"/>
            <w:tcBorders>
              <w:top w:val="nil"/>
              <w:left w:val="nil"/>
              <w:bottom w:val="single" w:color="auto" w:sz="4" w:space="0"/>
              <w:right w:val="single" w:color="auto" w:sz="4" w:space="0"/>
            </w:tcBorders>
            <w:vAlign w:val="center"/>
          </w:tcPr>
          <w:p w14:paraId="21FFAE8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w:t>
            </w:r>
          </w:p>
        </w:tc>
        <w:tc>
          <w:tcPr>
            <w:tcW w:w="887" w:type="pct"/>
            <w:tcBorders>
              <w:top w:val="nil"/>
              <w:left w:val="nil"/>
              <w:bottom w:val="single" w:color="auto" w:sz="4" w:space="0"/>
              <w:right w:val="single" w:color="auto" w:sz="4" w:space="0"/>
            </w:tcBorders>
            <w:vAlign w:val="center"/>
          </w:tcPr>
          <w:p w14:paraId="3CDB1219">
            <w:pPr>
              <w:spacing w:before="120" w:beforeLines="50" w:after="120" w:afterLines="50" w:line="340" w:lineRule="exact"/>
              <w:jc w:val="center"/>
              <w:rPr>
                <w:rFonts w:ascii="宋体" w:hAnsi="宋体" w:eastAsia="宋体" w:cs="宋体"/>
                <w:szCs w:val="21"/>
              </w:rPr>
            </w:pPr>
            <w:bookmarkStart w:id="32" w:name="OLE_LINK7"/>
            <w:r>
              <w:rPr>
                <w:rFonts w:hint="eastAsia" w:ascii="宋体" w:hAnsi="宋体" w:eastAsia="宋体" w:cs="宋体"/>
                <w:szCs w:val="21"/>
              </w:rPr>
              <w:t>套</w:t>
            </w:r>
            <w:bookmarkEnd w:id="32"/>
          </w:p>
        </w:tc>
      </w:tr>
      <w:tr w14:paraId="37F1B8B3">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3B5FAF0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9</w:t>
            </w:r>
          </w:p>
        </w:tc>
        <w:tc>
          <w:tcPr>
            <w:tcW w:w="2735" w:type="pct"/>
            <w:tcBorders>
              <w:top w:val="nil"/>
              <w:left w:val="nil"/>
              <w:bottom w:val="single" w:color="auto" w:sz="4" w:space="0"/>
              <w:right w:val="single" w:color="auto" w:sz="4" w:space="0"/>
            </w:tcBorders>
            <w:vAlign w:val="center"/>
          </w:tcPr>
          <w:p w14:paraId="207F532A">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电源时序器</w:t>
            </w:r>
          </w:p>
        </w:tc>
        <w:tc>
          <w:tcPr>
            <w:tcW w:w="806" w:type="pct"/>
            <w:tcBorders>
              <w:top w:val="nil"/>
              <w:left w:val="nil"/>
              <w:bottom w:val="single" w:color="auto" w:sz="4" w:space="0"/>
              <w:right w:val="single" w:color="auto" w:sz="4" w:space="0"/>
            </w:tcBorders>
            <w:vAlign w:val="center"/>
          </w:tcPr>
          <w:p w14:paraId="2274B773">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89</w:t>
            </w:r>
          </w:p>
        </w:tc>
        <w:tc>
          <w:tcPr>
            <w:tcW w:w="887" w:type="pct"/>
            <w:tcBorders>
              <w:top w:val="nil"/>
              <w:left w:val="nil"/>
              <w:bottom w:val="single" w:color="auto" w:sz="4" w:space="0"/>
              <w:right w:val="single" w:color="auto" w:sz="4" w:space="0"/>
            </w:tcBorders>
            <w:vAlign w:val="center"/>
          </w:tcPr>
          <w:p w14:paraId="28140E13">
            <w:pPr>
              <w:spacing w:before="120" w:beforeLines="50" w:after="120" w:afterLines="50" w:line="340" w:lineRule="exact"/>
              <w:jc w:val="center"/>
              <w:rPr>
                <w:rFonts w:ascii="宋体" w:hAnsi="宋体" w:eastAsia="宋体" w:cs="宋体"/>
                <w:szCs w:val="21"/>
              </w:rPr>
            </w:pPr>
            <w:bookmarkStart w:id="33" w:name="OLE_LINK8"/>
            <w:r>
              <w:rPr>
                <w:rFonts w:hint="eastAsia" w:ascii="宋体" w:hAnsi="宋体" w:eastAsia="宋体" w:cs="宋体"/>
                <w:szCs w:val="21"/>
              </w:rPr>
              <w:t>套</w:t>
            </w:r>
            <w:bookmarkEnd w:id="33"/>
          </w:p>
        </w:tc>
      </w:tr>
      <w:tr w14:paraId="660E69B3">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67A844C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10</w:t>
            </w:r>
          </w:p>
        </w:tc>
        <w:tc>
          <w:tcPr>
            <w:tcW w:w="2735" w:type="pct"/>
            <w:tcBorders>
              <w:top w:val="nil"/>
              <w:left w:val="nil"/>
              <w:bottom w:val="single" w:color="auto" w:sz="4" w:space="0"/>
              <w:right w:val="single" w:color="auto" w:sz="4" w:space="0"/>
            </w:tcBorders>
            <w:vAlign w:val="center"/>
          </w:tcPr>
          <w:p w14:paraId="512B709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OPS</w:t>
            </w:r>
          </w:p>
        </w:tc>
        <w:tc>
          <w:tcPr>
            <w:tcW w:w="806" w:type="pct"/>
            <w:tcBorders>
              <w:top w:val="nil"/>
              <w:left w:val="nil"/>
              <w:bottom w:val="single" w:color="auto" w:sz="4" w:space="0"/>
              <w:right w:val="single" w:color="auto" w:sz="4" w:space="0"/>
            </w:tcBorders>
            <w:vAlign w:val="center"/>
          </w:tcPr>
          <w:p w14:paraId="74A4208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2</w:t>
            </w:r>
          </w:p>
        </w:tc>
        <w:tc>
          <w:tcPr>
            <w:tcW w:w="887" w:type="pct"/>
            <w:tcBorders>
              <w:top w:val="nil"/>
              <w:left w:val="nil"/>
              <w:bottom w:val="single" w:color="auto" w:sz="4" w:space="0"/>
              <w:right w:val="single" w:color="auto" w:sz="4" w:space="0"/>
            </w:tcBorders>
            <w:vAlign w:val="center"/>
          </w:tcPr>
          <w:p w14:paraId="18F69F3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套</w:t>
            </w:r>
          </w:p>
        </w:tc>
      </w:tr>
      <w:tr w14:paraId="224EFB58">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523129BC">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11</w:t>
            </w:r>
          </w:p>
        </w:tc>
        <w:tc>
          <w:tcPr>
            <w:tcW w:w="2735" w:type="pct"/>
            <w:tcBorders>
              <w:top w:val="nil"/>
              <w:left w:val="nil"/>
              <w:bottom w:val="single" w:color="auto" w:sz="4" w:space="0"/>
              <w:right w:val="single" w:color="auto" w:sz="4" w:space="0"/>
            </w:tcBorders>
            <w:vAlign w:val="center"/>
          </w:tcPr>
          <w:p w14:paraId="184EA70B">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相机</w:t>
            </w:r>
          </w:p>
        </w:tc>
        <w:tc>
          <w:tcPr>
            <w:tcW w:w="806" w:type="pct"/>
            <w:tcBorders>
              <w:top w:val="nil"/>
              <w:left w:val="nil"/>
              <w:bottom w:val="single" w:color="auto" w:sz="4" w:space="0"/>
              <w:right w:val="single" w:color="auto" w:sz="4" w:space="0"/>
            </w:tcBorders>
            <w:vAlign w:val="center"/>
          </w:tcPr>
          <w:p w14:paraId="5BE8A22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w:t>
            </w:r>
          </w:p>
        </w:tc>
        <w:tc>
          <w:tcPr>
            <w:tcW w:w="887" w:type="pct"/>
            <w:tcBorders>
              <w:top w:val="nil"/>
              <w:left w:val="nil"/>
              <w:bottom w:val="single" w:color="auto" w:sz="4" w:space="0"/>
              <w:right w:val="single" w:color="auto" w:sz="4" w:space="0"/>
            </w:tcBorders>
            <w:vAlign w:val="center"/>
          </w:tcPr>
          <w:p w14:paraId="0A6AC2BE">
            <w:pPr>
              <w:spacing w:before="120" w:beforeLines="50" w:after="120" w:afterLines="50" w:line="340" w:lineRule="exact"/>
              <w:jc w:val="center"/>
              <w:rPr>
                <w:rFonts w:ascii="宋体" w:hAnsi="宋体" w:eastAsia="宋体" w:cs="宋体"/>
                <w:szCs w:val="21"/>
              </w:rPr>
            </w:pPr>
            <w:bookmarkStart w:id="34" w:name="OLE_LINK9"/>
            <w:r>
              <w:rPr>
                <w:rFonts w:hint="eastAsia" w:ascii="宋体" w:hAnsi="宋体" w:eastAsia="宋体" w:cs="宋体"/>
                <w:szCs w:val="21"/>
              </w:rPr>
              <w:t>套</w:t>
            </w:r>
            <w:bookmarkEnd w:id="34"/>
          </w:p>
        </w:tc>
      </w:tr>
      <w:tr w14:paraId="07794535">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7833BFBC">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12</w:t>
            </w:r>
          </w:p>
        </w:tc>
        <w:tc>
          <w:tcPr>
            <w:tcW w:w="2735" w:type="pct"/>
            <w:tcBorders>
              <w:top w:val="nil"/>
              <w:left w:val="nil"/>
              <w:bottom w:val="single" w:color="auto" w:sz="4" w:space="0"/>
              <w:right w:val="single" w:color="auto" w:sz="4" w:space="0"/>
            </w:tcBorders>
            <w:vAlign w:val="center"/>
          </w:tcPr>
          <w:p w14:paraId="4A6D2829">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LoRa分体空调执行器</w:t>
            </w:r>
          </w:p>
        </w:tc>
        <w:tc>
          <w:tcPr>
            <w:tcW w:w="806" w:type="pct"/>
            <w:tcBorders>
              <w:top w:val="nil"/>
              <w:left w:val="nil"/>
              <w:bottom w:val="single" w:color="auto" w:sz="4" w:space="0"/>
              <w:right w:val="single" w:color="auto" w:sz="4" w:space="0"/>
            </w:tcBorders>
            <w:vAlign w:val="center"/>
          </w:tcPr>
          <w:p w14:paraId="73DE7C1C">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20</w:t>
            </w:r>
          </w:p>
        </w:tc>
        <w:tc>
          <w:tcPr>
            <w:tcW w:w="887" w:type="pct"/>
            <w:tcBorders>
              <w:top w:val="nil"/>
              <w:left w:val="nil"/>
              <w:bottom w:val="single" w:color="auto" w:sz="4" w:space="0"/>
              <w:right w:val="single" w:color="auto" w:sz="4" w:space="0"/>
            </w:tcBorders>
            <w:vAlign w:val="center"/>
          </w:tcPr>
          <w:p w14:paraId="175209C5">
            <w:pPr>
              <w:spacing w:before="120" w:beforeLines="50" w:after="120" w:afterLines="50" w:line="340" w:lineRule="exact"/>
              <w:jc w:val="center"/>
              <w:rPr>
                <w:rFonts w:ascii="宋体" w:hAnsi="宋体" w:eastAsia="宋体" w:cs="宋体"/>
                <w:szCs w:val="21"/>
              </w:rPr>
            </w:pPr>
            <w:bookmarkStart w:id="35" w:name="OLE_LINK10"/>
            <w:r>
              <w:rPr>
                <w:rFonts w:hint="eastAsia" w:ascii="宋体" w:hAnsi="宋体" w:eastAsia="宋体" w:cs="宋体"/>
                <w:szCs w:val="21"/>
              </w:rPr>
              <w:t>套</w:t>
            </w:r>
            <w:bookmarkEnd w:id="35"/>
          </w:p>
        </w:tc>
      </w:tr>
      <w:tr w14:paraId="6F76FA00">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3C46D19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13</w:t>
            </w:r>
          </w:p>
        </w:tc>
        <w:tc>
          <w:tcPr>
            <w:tcW w:w="2735" w:type="pct"/>
            <w:tcBorders>
              <w:top w:val="nil"/>
              <w:left w:val="nil"/>
              <w:bottom w:val="single" w:color="auto" w:sz="4" w:space="0"/>
              <w:right w:val="single" w:color="auto" w:sz="4" w:space="0"/>
            </w:tcBorders>
            <w:vAlign w:val="center"/>
          </w:tcPr>
          <w:p w14:paraId="0484C62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Lora室内型网关</w:t>
            </w:r>
          </w:p>
        </w:tc>
        <w:tc>
          <w:tcPr>
            <w:tcW w:w="806" w:type="pct"/>
            <w:tcBorders>
              <w:top w:val="nil"/>
              <w:left w:val="nil"/>
              <w:bottom w:val="single" w:color="auto" w:sz="4" w:space="0"/>
              <w:right w:val="single" w:color="auto" w:sz="4" w:space="0"/>
            </w:tcBorders>
            <w:vAlign w:val="center"/>
          </w:tcPr>
          <w:p w14:paraId="5C98B59F">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6</w:t>
            </w:r>
          </w:p>
        </w:tc>
        <w:tc>
          <w:tcPr>
            <w:tcW w:w="887" w:type="pct"/>
            <w:tcBorders>
              <w:top w:val="nil"/>
              <w:left w:val="nil"/>
              <w:bottom w:val="single" w:color="auto" w:sz="4" w:space="0"/>
              <w:right w:val="single" w:color="auto" w:sz="4" w:space="0"/>
            </w:tcBorders>
            <w:vAlign w:val="center"/>
          </w:tcPr>
          <w:p w14:paraId="6F6CE871">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套</w:t>
            </w:r>
          </w:p>
        </w:tc>
      </w:tr>
      <w:tr w14:paraId="2AD00C27">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4EBF187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14</w:t>
            </w:r>
          </w:p>
        </w:tc>
        <w:tc>
          <w:tcPr>
            <w:tcW w:w="2735" w:type="pct"/>
            <w:tcBorders>
              <w:top w:val="nil"/>
              <w:left w:val="nil"/>
              <w:bottom w:val="single" w:color="auto" w:sz="4" w:space="0"/>
              <w:right w:val="single" w:color="auto" w:sz="4" w:space="0"/>
            </w:tcBorders>
            <w:vAlign w:val="center"/>
          </w:tcPr>
          <w:p w14:paraId="1B0DAEE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集控管理平台点位授权</w:t>
            </w:r>
          </w:p>
        </w:tc>
        <w:tc>
          <w:tcPr>
            <w:tcW w:w="806" w:type="pct"/>
            <w:tcBorders>
              <w:top w:val="nil"/>
              <w:left w:val="nil"/>
              <w:bottom w:val="single" w:color="auto" w:sz="4" w:space="0"/>
              <w:right w:val="single" w:color="auto" w:sz="4" w:space="0"/>
            </w:tcBorders>
            <w:vAlign w:val="center"/>
          </w:tcPr>
          <w:p w14:paraId="6E9CAE7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25</w:t>
            </w:r>
          </w:p>
        </w:tc>
        <w:tc>
          <w:tcPr>
            <w:tcW w:w="887" w:type="pct"/>
            <w:tcBorders>
              <w:top w:val="nil"/>
              <w:left w:val="nil"/>
              <w:bottom w:val="single" w:color="auto" w:sz="4" w:space="0"/>
              <w:right w:val="single" w:color="auto" w:sz="4" w:space="0"/>
            </w:tcBorders>
            <w:vAlign w:val="center"/>
          </w:tcPr>
          <w:p w14:paraId="4C789D4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个</w:t>
            </w:r>
          </w:p>
        </w:tc>
      </w:tr>
      <w:tr w14:paraId="1CFC1174">
        <w:tblPrEx>
          <w:tblCellMar>
            <w:top w:w="0" w:type="dxa"/>
            <w:left w:w="108" w:type="dxa"/>
            <w:bottom w:w="0" w:type="dxa"/>
            <w:right w:w="108" w:type="dxa"/>
          </w:tblCellMar>
        </w:tblPrEx>
        <w:trPr>
          <w:trHeight w:val="468" w:hRule="atLeast"/>
        </w:trPr>
        <w:tc>
          <w:tcPr>
            <w:tcW w:w="570" w:type="pct"/>
            <w:tcBorders>
              <w:top w:val="nil"/>
              <w:left w:val="single" w:color="auto" w:sz="4" w:space="0"/>
              <w:bottom w:val="single" w:color="auto" w:sz="4" w:space="0"/>
              <w:right w:val="single" w:color="auto" w:sz="4" w:space="0"/>
            </w:tcBorders>
            <w:vAlign w:val="center"/>
          </w:tcPr>
          <w:p w14:paraId="1B081081">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15</w:t>
            </w:r>
          </w:p>
        </w:tc>
        <w:tc>
          <w:tcPr>
            <w:tcW w:w="2735" w:type="pct"/>
            <w:tcBorders>
              <w:top w:val="nil"/>
              <w:left w:val="nil"/>
              <w:bottom w:val="single" w:color="auto" w:sz="4" w:space="0"/>
              <w:right w:val="single" w:color="auto" w:sz="4" w:space="0"/>
            </w:tcBorders>
            <w:vAlign w:val="center"/>
          </w:tcPr>
          <w:p w14:paraId="3B79EB3C">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线材附件及安装施工</w:t>
            </w:r>
          </w:p>
        </w:tc>
        <w:tc>
          <w:tcPr>
            <w:tcW w:w="806" w:type="pct"/>
            <w:tcBorders>
              <w:top w:val="nil"/>
              <w:left w:val="nil"/>
              <w:bottom w:val="single" w:color="auto" w:sz="4" w:space="0"/>
              <w:right w:val="single" w:color="auto" w:sz="4" w:space="0"/>
            </w:tcBorders>
            <w:vAlign w:val="center"/>
          </w:tcPr>
          <w:p w14:paraId="60CA5482">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w:t>
            </w:r>
          </w:p>
        </w:tc>
        <w:tc>
          <w:tcPr>
            <w:tcW w:w="887" w:type="pct"/>
            <w:tcBorders>
              <w:top w:val="nil"/>
              <w:left w:val="nil"/>
              <w:bottom w:val="single" w:color="auto" w:sz="4" w:space="0"/>
              <w:right w:val="single" w:color="auto" w:sz="4" w:space="0"/>
            </w:tcBorders>
            <w:vAlign w:val="center"/>
          </w:tcPr>
          <w:p w14:paraId="332211AA">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批</w:t>
            </w:r>
          </w:p>
        </w:tc>
      </w:tr>
    </w:tbl>
    <w:p w14:paraId="457A3B41">
      <w:pPr>
        <w:keepNext/>
        <w:keepLines/>
        <w:spacing w:before="160" w:after="80" w:line="278" w:lineRule="auto"/>
        <w:outlineLvl w:val="1"/>
        <w:rPr>
          <w:rFonts w:ascii="黑体" w:hAnsi="黑体" w:eastAsia="黑体" w:cs="黑体"/>
          <w:kern w:val="44"/>
          <w:sz w:val="32"/>
          <w:szCs w:val="32"/>
        </w:rPr>
      </w:pPr>
      <w:r>
        <w:rPr>
          <w:rFonts w:hint="eastAsia" w:ascii="黑体" w:hAnsi="黑体" w:eastAsia="黑体" w:cs="黑体"/>
          <w:kern w:val="44"/>
          <w:sz w:val="32"/>
          <w:szCs w:val="32"/>
        </w:rPr>
        <w:t>三、技术要求</w:t>
      </w:r>
    </w:p>
    <w:tbl>
      <w:tblPr>
        <w:tblStyle w:val="60"/>
        <w:tblW w:w="4998" w:type="pct"/>
        <w:tblInd w:w="0" w:type="dxa"/>
        <w:tblLayout w:type="autofit"/>
        <w:tblCellMar>
          <w:top w:w="0" w:type="dxa"/>
          <w:left w:w="108" w:type="dxa"/>
          <w:bottom w:w="0" w:type="dxa"/>
          <w:right w:w="108" w:type="dxa"/>
        </w:tblCellMar>
      </w:tblPr>
      <w:tblGrid>
        <w:gridCol w:w="729"/>
        <w:gridCol w:w="1073"/>
        <w:gridCol w:w="6723"/>
      </w:tblGrid>
      <w:tr w14:paraId="69168DB2">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5385EAD4">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序号</w:t>
            </w:r>
          </w:p>
        </w:tc>
        <w:tc>
          <w:tcPr>
            <w:tcW w:w="629" w:type="pct"/>
            <w:tcBorders>
              <w:top w:val="single" w:color="000000" w:sz="4" w:space="0"/>
              <w:left w:val="nil"/>
              <w:bottom w:val="single" w:color="000000" w:sz="4" w:space="0"/>
              <w:right w:val="single" w:color="000000" w:sz="4" w:space="0"/>
            </w:tcBorders>
            <w:vAlign w:val="center"/>
          </w:tcPr>
          <w:p w14:paraId="7BE8693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政府采购内容</w:t>
            </w:r>
          </w:p>
        </w:tc>
        <w:tc>
          <w:tcPr>
            <w:tcW w:w="3942" w:type="pct"/>
            <w:tcBorders>
              <w:top w:val="single" w:color="000000" w:sz="4" w:space="0"/>
              <w:left w:val="nil"/>
              <w:bottom w:val="single" w:color="000000" w:sz="4" w:space="0"/>
              <w:right w:val="single" w:color="000000" w:sz="4" w:space="0"/>
            </w:tcBorders>
            <w:vAlign w:val="center"/>
          </w:tcPr>
          <w:p w14:paraId="0D5C63B6">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型号或配置参数</w:t>
            </w:r>
          </w:p>
        </w:tc>
      </w:tr>
      <w:tr w14:paraId="3132E244">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2EF2F65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w:t>
            </w:r>
          </w:p>
        </w:tc>
        <w:tc>
          <w:tcPr>
            <w:tcW w:w="629" w:type="pct"/>
            <w:tcBorders>
              <w:top w:val="single" w:color="000000" w:sz="4" w:space="0"/>
              <w:left w:val="nil"/>
              <w:bottom w:val="single" w:color="000000" w:sz="4" w:space="0"/>
              <w:right w:val="single" w:color="000000" w:sz="4" w:space="0"/>
            </w:tcBorders>
            <w:vAlign w:val="center"/>
          </w:tcPr>
          <w:p w14:paraId="045933F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智慧黑板</w:t>
            </w:r>
            <w:r>
              <w:rPr>
                <w:rFonts w:hint="eastAsia" w:ascii="宋体" w:hAnsi="宋体" w:eastAsia="宋体" w:cs="宋体"/>
                <w:b/>
                <w:bCs/>
                <w:color w:val="FF0000"/>
                <w:szCs w:val="21"/>
              </w:rPr>
              <w:t>（核心产品）</w:t>
            </w:r>
          </w:p>
        </w:tc>
        <w:tc>
          <w:tcPr>
            <w:tcW w:w="3942" w:type="pct"/>
            <w:tcBorders>
              <w:top w:val="single" w:color="000000" w:sz="4" w:space="0"/>
              <w:left w:val="nil"/>
              <w:bottom w:val="single" w:color="000000" w:sz="4" w:space="0"/>
              <w:right w:val="single" w:color="000000" w:sz="4" w:space="0"/>
            </w:tcBorders>
            <w:vAlign w:val="center"/>
          </w:tcPr>
          <w:p w14:paraId="40A8536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w:t>
            </w:r>
            <w:bookmarkStart w:id="36" w:name="OLE_LINK12"/>
            <w:r>
              <w:rPr>
                <w:rFonts w:hint="eastAsia" w:ascii="宋体" w:hAnsi="宋体" w:eastAsia="宋体" w:cs="宋体"/>
                <w:szCs w:val="21"/>
              </w:rPr>
              <w:t>须接入校方现有集控平台、</w:t>
            </w:r>
            <w:bookmarkStart w:id="37" w:name="OLE_LINK16"/>
            <w:r>
              <w:rPr>
                <w:rFonts w:hint="eastAsia" w:ascii="宋体" w:hAnsi="宋体" w:eastAsia="宋体" w:cs="宋体"/>
                <w:szCs w:val="21"/>
              </w:rPr>
              <w:t>讲台中控</w:t>
            </w:r>
            <w:bookmarkEnd w:id="37"/>
            <w:r>
              <w:rPr>
                <w:rFonts w:hint="eastAsia" w:ascii="宋体" w:hAnsi="宋体" w:eastAsia="宋体" w:cs="宋体"/>
                <w:szCs w:val="21"/>
              </w:rPr>
              <w:t>，统一管理，无需另加设备。需投标前由投标人自行携样入校接入测试，投标文件中提供接入校方原有平台并实现平台各管控功能的承诺书。</w:t>
            </w:r>
            <w:bookmarkEnd w:id="36"/>
            <w:r>
              <w:rPr>
                <w:rFonts w:hint="eastAsia" w:ascii="宋体" w:hAnsi="宋体" w:eastAsia="宋体" w:cs="宋体"/>
                <w:szCs w:val="21"/>
              </w:rPr>
              <w:br w:type="textWrapping"/>
            </w:r>
            <w:r>
              <w:rPr>
                <w:rFonts w:hint="eastAsia" w:ascii="宋体" w:hAnsi="宋体" w:eastAsia="宋体" w:cs="宋体"/>
                <w:szCs w:val="21"/>
              </w:rPr>
              <w:t>一、整体设计</w:t>
            </w:r>
            <w:r>
              <w:rPr>
                <w:rFonts w:hint="eastAsia" w:ascii="宋体" w:hAnsi="宋体" w:eastAsia="宋体" w:cs="宋体"/>
                <w:szCs w:val="21"/>
              </w:rPr>
              <w:br w:type="textWrapping"/>
            </w:r>
            <w:r>
              <w:rPr>
                <w:rFonts w:hint="eastAsia" w:ascii="宋体" w:hAnsi="宋体" w:eastAsia="宋体" w:cs="宋体"/>
                <w:szCs w:val="21"/>
              </w:rPr>
              <w:t>1.整机采用三拼接平面一体化设计，无推拉式结构及外露连接线，外观简洁。</w:t>
            </w:r>
            <w:r>
              <w:rPr>
                <w:rFonts w:hint="eastAsia" w:ascii="宋体" w:hAnsi="宋体" w:eastAsia="宋体" w:cs="宋体"/>
                <w:szCs w:val="21"/>
              </w:rPr>
              <w:br w:type="textWrapping"/>
            </w:r>
            <w:r>
              <w:rPr>
                <w:rFonts w:hint="eastAsia" w:ascii="宋体" w:hAnsi="宋体" w:eastAsia="宋体" w:cs="宋体"/>
                <w:szCs w:val="21"/>
              </w:rPr>
              <w:t>2.两侧屏幕均支持普通粉笔、液体粉笔、水溶性粉笔等直接书写。</w:t>
            </w:r>
            <w:r>
              <w:rPr>
                <w:rFonts w:hint="eastAsia" w:ascii="宋体" w:hAnsi="宋体" w:eastAsia="宋体" w:cs="宋体"/>
                <w:szCs w:val="21"/>
              </w:rPr>
              <w:br w:type="textWrapping"/>
            </w:r>
            <w:r>
              <w:rPr>
                <w:rFonts w:hint="eastAsia" w:ascii="宋体" w:hAnsi="宋体" w:eastAsia="宋体" w:cs="宋体"/>
                <w:szCs w:val="21"/>
              </w:rPr>
              <w:t>3.整机采用一体设计，外部无任何可见内部功能模块连接线。</w:t>
            </w:r>
            <w:r>
              <w:rPr>
                <w:rFonts w:hint="eastAsia" w:ascii="宋体" w:hAnsi="宋体" w:eastAsia="宋体" w:cs="宋体"/>
                <w:szCs w:val="21"/>
              </w:rPr>
              <w:br w:type="textWrapping"/>
            </w:r>
            <w:r>
              <w:rPr>
                <w:rFonts w:hint="eastAsia" w:ascii="宋体" w:hAnsi="宋体" w:eastAsia="宋体" w:cs="宋体"/>
                <w:szCs w:val="21"/>
              </w:rPr>
              <w:t>4.整机屏幕采用1台98英寸 UHD超高清LED 液晶屏，单屏显示比例16:9，屏幕图像分辨率3840*2160，具备防眩光效果。</w:t>
            </w:r>
            <w:r>
              <w:rPr>
                <w:rFonts w:hint="eastAsia" w:ascii="宋体" w:hAnsi="宋体" w:eastAsia="宋体" w:cs="宋体"/>
                <w:szCs w:val="21"/>
              </w:rPr>
              <w:br w:type="textWrapping"/>
            </w:r>
            <w:r>
              <w:rPr>
                <w:rFonts w:hint="eastAsia" w:ascii="宋体" w:hAnsi="宋体" w:eastAsia="宋体" w:cs="宋体"/>
                <w:szCs w:val="21"/>
              </w:rPr>
              <w:t>5.整机采用全金属外壳设计，有效屏蔽内部电路器件辐射；防潮耐盐雾蚀锈，适应多种教学环境。</w:t>
            </w:r>
            <w:r>
              <w:rPr>
                <w:rFonts w:hint="eastAsia" w:ascii="宋体" w:hAnsi="宋体" w:eastAsia="宋体" w:cs="宋体"/>
                <w:szCs w:val="21"/>
              </w:rPr>
              <w:br w:type="textWrapping"/>
            </w:r>
            <w:r>
              <w:rPr>
                <w:rFonts w:hint="eastAsia" w:ascii="宋体" w:hAnsi="宋体" w:eastAsia="宋体" w:cs="宋体"/>
                <w:szCs w:val="21"/>
              </w:rPr>
              <w:t>6.侧置输入接口具备≥1路HDMI、≥1路RS232、≥1路TypeC；侧置输出接口具备1路音频输出、1路触控输出USB；前置输入接口具备≥1路TypeC、≥2路USB3.0。</w:t>
            </w:r>
            <w:r>
              <w:rPr>
                <w:rFonts w:hint="eastAsia" w:ascii="宋体" w:hAnsi="宋体" w:eastAsia="宋体" w:cs="宋体"/>
                <w:szCs w:val="21"/>
              </w:rPr>
              <w:br w:type="textWrapping"/>
            </w:r>
            <w:r>
              <w:rPr>
                <w:rFonts w:hint="eastAsia" w:ascii="宋体" w:hAnsi="宋体" w:eastAsia="宋体" w:cs="宋体"/>
                <w:szCs w:val="21"/>
              </w:rPr>
              <w:t>★7.采用电容触控技术，支持Windows系统中进行40点或以上触控。</w:t>
            </w:r>
            <w:r>
              <w:rPr>
                <w:rFonts w:hint="eastAsia" w:ascii="宋体" w:hAnsi="宋体" w:eastAsia="宋体" w:cs="宋体"/>
                <w:szCs w:val="21"/>
              </w:rPr>
              <w:br w:type="textWrapping"/>
            </w:r>
            <w:r>
              <w:rPr>
                <w:rFonts w:hint="eastAsia" w:ascii="宋体" w:hAnsi="宋体" w:eastAsia="宋体" w:cs="宋体"/>
                <w:szCs w:val="21"/>
              </w:rPr>
              <w:t>8.整机能感应并自动调节屏幕亮度来达到在不同光照环境下的不同亮度显示效果，此功能可自行开启或关闭。</w:t>
            </w:r>
            <w:r>
              <w:rPr>
                <w:rFonts w:hint="eastAsia" w:ascii="宋体" w:hAnsi="宋体" w:eastAsia="宋体" w:cs="宋体"/>
                <w:szCs w:val="21"/>
              </w:rPr>
              <w:br w:type="textWrapping"/>
            </w:r>
            <w:r>
              <w:rPr>
                <w:rFonts w:hint="eastAsia" w:ascii="宋体" w:hAnsi="宋体" w:eastAsia="宋体" w:cs="宋体"/>
                <w:szCs w:val="21"/>
              </w:rPr>
              <w:t>9.整机视网膜蓝光危害（蓝光加权辐射亮度LB）符合IEC62471标准，LB限值范围≤0.50（蓝光危害最大状况下）。</w:t>
            </w:r>
            <w:r>
              <w:rPr>
                <w:rFonts w:hint="eastAsia" w:ascii="宋体" w:hAnsi="宋体" w:eastAsia="宋体" w:cs="宋体"/>
                <w:szCs w:val="21"/>
              </w:rPr>
              <w:br w:type="textWrapping"/>
            </w:r>
            <w:r>
              <w:rPr>
                <w:rFonts w:hint="eastAsia" w:ascii="宋体" w:hAnsi="宋体" w:eastAsia="宋体" w:cs="宋体"/>
                <w:szCs w:val="21"/>
              </w:rPr>
              <w:t>10.整机书写面板采用耐磨玻璃材质，长期书写情况下面板磨损导致的雾度不超过1%。</w:t>
            </w:r>
          </w:p>
          <w:p w14:paraId="2C35DBC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11.智慧黑板具备轻物联功能，可在中控菜单调取轻物联控制界面实现对于音箱、麦克风等周边产品的管控，包括查看连接状态及调节音箱音量。</w:t>
            </w:r>
            <w:r>
              <w:rPr>
                <w:rFonts w:hint="eastAsia" w:ascii="宋体" w:hAnsi="宋体" w:eastAsia="宋体" w:cs="宋体"/>
                <w:b/>
                <w:bCs/>
                <w:color w:val="FF0000"/>
                <w:szCs w:val="21"/>
              </w:rPr>
              <w:t>（要求演示，见演示要求部分）</w:t>
            </w:r>
            <w:r>
              <w:rPr>
                <w:rFonts w:hint="eastAsia" w:ascii="宋体" w:hAnsi="宋体" w:eastAsia="宋体" w:cs="宋体"/>
                <w:szCs w:val="21"/>
              </w:rPr>
              <w:br w:type="textWrapping"/>
            </w:r>
            <w:r>
              <w:rPr>
                <w:rFonts w:hint="eastAsia" w:ascii="宋体" w:hAnsi="宋体" w:eastAsia="宋体" w:cs="宋体"/>
                <w:szCs w:val="21"/>
              </w:rPr>
              <w:t>12.智慧黑板具备设备接入提醒功能，当智能讲台与智慧黑板连接时，实时显示讲台接入提醒。</w:t>
            </w:r>
            <w:r>
              <w:rPr>
                <w:rFonts w:hint="eastAsia" w:ascii="宋体" w:hAnsi="宋体" w:eastAsia="宋体" w:cs="宋体"/>
                <w:szCs w:val="21"/>
              </w:rPr>
              <w:br w:type="textWrapping"/>
            </w:r>
            <w:r>
              <w:rPr>
                <w:rFonts w:hint="eastAsia" w:ascii="宋体" w:hAnsi="宋体" w:eastAsia="宋体" w:cs="宋体"/>
                <w:szCs w:val="21"/>
              </w:rPr>
              <w:t>13.校园设备运维管理系统：在平台内可支持实时画面巡课，方便管理员了解当前教室实时状况。</w:t>
            </w:r>
            <w:r>
              <w:rPr>
                <w:rFonts w:hint="eastAsia" w:ascii="宋体" w:hAnsi="宋体" w:eastAsia="宋体" w:cs="宋体"/>
                <w:szCs w:val="21"/>
              </w:rPr>
              <w:br w:type="textWrapping"/>
            </w:r>
            <w:r>
              <w:rPr>
                <w:rFonts w:hint="eastAsia" w:ascii="宋体" w:hAnsi="宋体" w:eastAsia="宋体" w:cs="宋体"/>
                <w:szCs w:val="21"/>
              </w:rPr>
              <w:t>▲14.整机具备智能手势识别功能，在任意信号源通道下均可识别五指上、下、左、右方向手势，五指画圈、画波浪、左右晃动、缩/放方向手势滑动并调用相应功能。支持将各手势滑动方向自定义设置为无操作、熄屏、批注、桌面、半屏模式。</w:t>
            </w:r>
            <w:r>
              <w:rPr>
                <w:rFonts w:hint="eastAsia" w:ascii="宋体" w:hAnsi="宋体" w:eastAsia="宋体" w:cs="宋体"/>
                <w:szCs w:val="21"/>
              </w:rPr>
              <w:br w:type="textWrapping"/>
            </w:r>
            <w:r>
              <w:rPr>
                <w:rFonts w:hint="eastAsia" w:ascii="宋体" w:hAnsi="宋体" w:eastAsia="宋体" w:cs="宋体"/>
                <w:szCs w:val="21"/>
              </w:rPr>
              <w:t>二、整机设计</w:t>
            </w:r>
            <w:r>
              <w:rPr>
                <w:rFonts w:hint="eastAsia" w:ascii="宋体" w:hAnsi="宋体" w:eastAsia="宋体" w:cs="宋体"/>
                <w:szCs w:val="21"/>
              </w:rPr>
              <w:br w:type="textWrapping"/>
            </w:r>
            <w:r>
              <w:rPr>
                <w:rFonts w:hint="eastAsia" w:ascii="宋体" w:hAnsi="宋体" w:eastAsia="宋体" w:cs="宋体"/>
                <w:szCs w:val="21"/>
              </w:rPr>
              <w:t>1.整机内置2.2声道扬声器，位于设备上边框，顶置朝前发声，前朝向10W高音扬声器2个，上朝向20W中低音扬声器2个，额定总功率60W。</w:t>
            </w:r>
            <w:r>
              <w:rPr>
                <w:rFonts w:hint="eastAsia" w:ascii="宋体" w:hAnsi="宋体" w:eastAsia="宋体" w:cs="宋体"/>
                <w:szCs w:val="21"/>
              </w:rPr>
              <w:br w:type="textWrapping"/>
            </w:r>
            <w:r>
              <w:rPr>
                <w:rFonts w:hint="eastAsia" w:ascii="宋体" w:hAnsi="宋体" w:eastAsia="宋体" w:cs="宋体"/>
                <w:szCs w:val="21"/>
              </w:rPr>
              <w:t>2.整机屏幕采用In-Cell触控显示一体化技术，无电容屏肉眼可见的网格线、摩尔纹，显示效果更清晰、书写延迟更低。</w:t>
            </w:r>
            <w:r>
              <w:rPr>
                <w:rFonts w:hint="eastAsia" w:ascii="宋体" w:hAnsi="宋体" w:eastAsia="宋体" w:cs="宋体"/>
                <w:szCs w:val="21"/>
              </w:rPr>
              <w:br w:type="textWrapping"/>
            </w:r>
            <w:r>
              <w:rPr>
                <w:rFonts w:hint="eastAsia" w:ascii="宋体" w:hAnsi="宋体" w:eastAsia="宋体" w:cs="宋体"/>
                <w:szCs w:val="21"/>
              </w:rPr>
              <w:t>3.整机屏幕拥有更高的色域，色域值≥NTSC 90%。</w:t>
            </w:r>
            <w:r>
              <w:rPr>
                <w:rFonts w:hint="eastAsia" w:ascii="宋体" w:hAnsi="宋体" w:eastAsia="宋体" w:cs="宋体"/>
                <w:szCs w:val="21"/>
              </w:rPr>
              <w:br w:type="textWrapping"/>
            </w:r>
            <w:r>
              <w:rPr>
                <w:rFonts w:hint="eastAsia" w:ascii="宋体" w:hAnsi="宋体" w:eastAsia="宋体" w:cs="宋体"/>
                <w:szCs w:val="21"/>
              </w:rPr>
              <w:t>4.整机采用全贴合技术，钢化玻璃和液晶显示层无间隙，减少显示面板与玻璃间的偏光、散射，画面显示更加清晰通透、可视角度更广、视差更小。</w:t>
            </w:r>
            <w:r>
              <w:rPr>
                <w:rFonts w:hint="eastAsia" w:ascii="宋体" w:hAnsi="宋体" w:eastAsia="宋体" w:cs="宋体"/>
                <w:szCs w:val="21"/>
              </w:rPr>
              <w:br w:type="textWrapping"/>
            </w:r>
            <w:r>
              <w:rPr>
                <w:rFonts w:hint="eastAsia" w:ascii="宋体" w:hAnsi="宋体" w:eastAsia="宋体" w:cs="宋体"/>
                <w:szCs w:val="21"/>
              </w:rPr>
              <w:t>5.支持主动电容笔书写，书写时手掌掌托接触屏幕时不会对笔的书写造成干扰，提高授课效率。</w:t>
            </w:r>
            <w:r>
              <w:rPr>
                <w:rFonts w:hint="eastAsia" w:ascii="宋体" w:hAnsi="宋体" w:eastAsia="宋体" w:cs="宋体"/>
                <w:szCs w:val="21"/>
              </w:rPr>
              <w:br w:type="textWrapping"/>
            </w:r>
            <w:r>
              <w:rPr>
                <w:rFonts w:hint="eastAsia" w:ascii="宋体" w:hAnsi="宋体" w:eastAsia="宋体" w:cs="宋体"/>
                <w:szCs w:val="21"/>
              </w:rPr>
              <w:t>6.整机采用简洁化设计，独立物理按键通过轻按按键实现节能熄屏/唤醒，长按按键实现关机。</w:t>
            </w:r>
            <w:r>
              <w:rPr>
                <w:rFonts w:hint="eastAsia" w:ascii="宋体" w:hAnsi="宋体" w:eastAsia="宋体" w:cs="宋体"/>
                <w:szCs w:val="21"/>
              </w:rPr>
              <w:br w:type="textWrapping"/>
            </w:r>
            <w:r>
              <w:rPr>
                <w:rFonts w:hint="eastAsia" w:ascii="宋体" w:hAnsi="宋体" w:eastAsia="宋体" w:cs="宋体"/>
                <w:szCs w:val="21"/>
              </w:rPr>
              <w:t>7.整机采用左右双侧边栏虚拟按键设计，通过侧边栏可调用音量+/-、亮度+/-、批注、主页等。</w:t>
            </w:r>
            <w:r>
              <w:rPr>
                <w:rFonts w:hint="eastAsia" w:ascii="宋体" w:hAnsi="宋体" w:eastAsia="宋体" w:cs="宋体"/>
                <w:szCs w:val="21"/>
              </w:rPr>
              <w:br w:type="textWrapping"/>
            </w:r>
            <w:r>
              <w:rPr>
                <w:rFonts w:hint="eastAsia" w:ascii="宋体" w:hAnsi="宋体" w:eastAsia="宋体" w:cs="宋体"/>
                <w:szCs w:val="21"/>
              </w:rPr>
              <w:t>8.内置无线传屏接收端，无需外接接收部件，无线传屏发射器与整机匹配后即可实现传屏功能，将外部电脑的屏幕画面通过无线方式传输到整机上显示。</w:t>
            </w:r>
            <w:r>
              <w:rPr>
                <w:rFonts w:hint="eastAsia" w:ascii="宋体" w:hAnsi="宋体" w:eastAsia="宋体" w:cs="宋体"/>
                <w:szCs w:val="21"/>
              </w:rPr>
              <w:br w:type="textWrapping"/>
            </w:r>
            <w:r>
              <w:rPr>
                <w:rFonts w:hint="eastAsia" w:ascii="宋体" w:hAnsi="宋体" w:eastAsia="宋体" w:cs="宋体"/>
                <w:szCs w:val="21"/>
              </w:rPr>
              <w:t>9.整机内置无线网络模块，PC模块无任何外接或转接天线、网卡可同时实现Wi-Fi无线上网连接和AP无线热点发射，避免PC模块天线被黑板遮挡降低天线性能。</w:t>
            </w:r>
            <w:r>
              <w:rPr>
                <w:rFonts w:hint="eastAsia" w:ascii="宋体" w:hAnsi="宋体" w:eastAsia="宋体" w:cs="宋体"/>
                <w:szCs w:val="21"/>
              </w:rPr>
              <w:br w:type="textWrapping"/>
            </w:r>
            <w:r>
              <w:rPr>
                <w:rFonts w:hint="eastAsia" w:ascii="宋体" w:hAnsi="宋体" w:eastAsia="宋体" w:cs="宋体"/>
                <w:szCs w:val="21"/>
              </w:rPr>
              <w:t>10.Wi-Fi和AP热点均支持双频2.4G &amp; 5G ，满足IEEE 802.11 a/b/g/n/ac标准。</w:t>
            </w:r>
            <w:r>
              <w:rPr>
                <w:rFonts w:hint="eastAsia" w:ascii="宋体" w:hAnsi="宋体" w:eastAsia="宋体" w:cs="宋体"/>
                <w:szCs w:val="21"/>
              </w:rPr>
              <w:br w:type="textWrapping"/>
            </w:r>
            <w:r>
              <w:rPr>
                <w:rFonts w:hint="eastAsia" w:ascii="宋体" w:hAnsi="宋体" w:eastAsia="宋体" w:cs="宋体"/>
                <w:szCs w:val="21"/>
              </w:rPr>
              <w:t>▲11.整机内置非独立摄像头，可拍摄≥1600万像素数的照片，支持输出4K分辨率视频，整机支持输出摄像头视场角≥135度且水平视场角≥120度画面。</w:t>
            </w:r>
            <w:r>
              <w:rPr>
                <w:rFonts w:hint="eastAsia" w:ascii="宋体" w:hAnsi="宋体" w:eastAsia="宋体" w:cs="宋体"/>
                <w:szCs w:val="21"/>
              </w:rPr>
              <w:br w:type="textWrapping"/>
            </w:r>
            <w:r>
              <w:rPr>
                <w:rFonts w:hint="eastAsia" w:ascii="宋体" w:hAnsi="宋体" w:eastAsia="宋体" w:cs="宋体"/>
                <w:szCs w:val="21"/>
              </w:rPr>
              <w:t>12.整机内置非独立外扩展的阵列麦克风，可用于对教室环境音频进行采集。</w:t>
            </w:r>
            <w:r>
              <w:rPr>
                <w:rFonts w:hint="eastAsia" w:ascii="宋体" w:hAnsi="宋体" w:eastAsia="宋体" w:cs="宋体"/>
                <w:szCs w:val="21"/>
              </w:rPr>
              <w:br w:type="textWrapping"/>
            </w:r>
            <w:r>
              <w:rPr>
                <w:rFonts w:hint="eastAsia" w:ascii="宋体" w:hAnsi="宋体" w:eastAsia="宋体" w:cs="宋体"/>
                <w:szCs w:val="21"/>
              </w:rPr>
              <w:t>13.内置摄像头、麦克风无需外接线材连接，无任何可见外接线材及模块化拼接痕迹，以确保音视频传输稳定且不占用整机设备端口。</w:t>
            </w:r>
            <w:r>
              <w:rPr>
                <w:rFonts w:hint="eastAsia" w:ascii="宋体" w:hAnsi="宋体" w:eastAsia="宋体" w:cs="宋体"/>
                <w:szCs w:val="21"/>
              </w:rPr>
              <w:br w:type="textWrapping"/>
            </w:r>
            <w:r>
              <w:rPr>
                <w:rFonts w:hint="eastAsia" w:ascii="宋体" w:hAnsi="宋体" w:eastAsia="宋体" w:cs="宋体"/>
                <w:szCs w:val="21"/>
              </w:rPr>
              <w:t>14.外接电脑设备连接整机且触摸信号连通时，外接电脑设备可直接读取整机前置USB接口的移动存储设备数据，连接整机前置USB接口的翻页笔、无线键鼠等外接设备可直接使用于外接电脑，无需重复部署。</w:t>
            </w:r>
            <w:r>
              <w:rPr>
                <w:rFonts w:hint="eastAsia" w:ascii="宋体" w:hAnsi="宋体" w:eastAsia="宋体" w:cs="宋体"/>
                <w:szCs w:val="21"/>
              </w:rPr>
              <w:br w:type="textWrapping"/>
            </w:r>
            <w:r>
              <w:rPr>
                <w:rFonts w:hint="eastAsia" w:ascii="宋体" w:hAnsi="宋体" w:eastAsia="宋体" w:cs="宋体"/>
                <w:szCs w:val="21"/>
              </w:rPr>
              <w:t>15.整机具备前置和侧置Type-C共两路接口，通过Type-C接口实现音视频输入，外接电脑设备通过标准TypeC线连接至整机TypeC口，即可把外接电脑设备画面投到整机上，同时在整机上操作画面，可实现触摸电脑的操作，无需再连接触控USB线，简化部署。</w:t>
            </w:r>
            <w:r>
              <w:rPr>
                <w:rFonts w:hint="eastAsia" w:ascii="宋体" w:hAnsi="宋体" w:eastAsia="宋体" w:cs="宋体"/>
                <w:szCs w:val="21"/>
              </w:rPr>
              <w:br w:type="textWrapping"/>
            </w:r>
            <w:r>
              <w:rPr>
                <w:rFonts w:hint="eastAsia" w:ascii="宋体" w:hAnsi="宋体" w:eastAsia="宋体" w:cs="宋体"/>
                <w:szCs w:val="21"/>
              </w:rPr>
              <w:t>16.外接电脑设备通过标准TypeC线连接至整机TypeC口，可直接调用整机内置的摄像头、麦克风、扬声器，在外接电脑即可拍摄教室画面。</w:t>
            </w:r>
            <w:r>
              <w:rPr>
                <w:rFonts w:hint="eastAsia" w:ascii="宋体" w:hAnsi="宋体" w:eastAsia="宋体" w:cs="宋体"/>
                <w:szCs w:val="21"/>
              </w:rPr>
              <w:br w:type="textWrapping"/>
            </w:r>
            <w:r>
              <w:rPr>
                <w:rFonts w:hint="eastAsia" w:ascii="宋体" w:hAnsi="宋体" w:eastAsia="宋体" w:cs="宋体"/>
                <w:szCs w:val="21"/>
              </w:rPr>
              <w:t>17.达到视觉健康舒适度A 级或以上标准.</w:t>
            </w:r>
            <w:r>
              <w:rPr>
                <w:rFonts w:hint="eastAsia" w:ascii="宋体" w:hAnsi="宋体" w:eastAsia="宋体" w:cs="宋体"/>
                <w:szCs w:val="21"/>
              </w:rPr>
              <w:br w:type="textWrapping"/>
            </w:r>
            <w:r>
              <w:rPr>
                <w:rFonts w:hint="eastAsia" w:ascii="宋体" w:hAnsi="宋体" w:eastAsia="宋体" w:cs="宋体"/>
                <w:szCs w:val="21"/>
              </w:rPr>
              <w:t>18.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b/>
                <w:bCs/>
                <w:color w:val="FF0000"/>
                <w:szCs w:val="21"/>
              </w:rPr>
              <w:t>（要求演示，见演示要求部分）</w:t>
            </w:r>
          </w:p>
          <w:p w14:paraId="2BE3EA4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★19.采用全物理钢化玻璃，有效保护屏幕显示画面。</w:t>
            </w:r>
            <w:r>
              <w:rPr>
                <w:rFonts w:hint="eastAsia" w:ascii="宋体" w:hAnsi="宋体" w:eastAsia="宋体" w:cs="宋体"/>
                <w:szCs w:val="21"/>
              </w:rPr>
              <w:br w:type="textWrapping"/>
            </w:r>
            <w:r>
              <w:rPr>
                <w:rFonts w:hint="eastAsia" w:ascii="宋体" w:hAnsi="宋体" w:eastAsia="宋体" w:cs="宋体"/>
                <w:szCs w:val="21"/>
              </w:rPr>
              <w:t>20.玻璃表面采用纳米材料镀膜环保工艺，书写更加顺滑，防眩光效果更加优异。</w:t>
            </w:r>
            <w:r>
              <w:rPr>
                <w:rFonts w:hint="eastAsia" w:ascii="宋体" w:hAnsi="宋体" w:eastAsia="宋体" w:cs="宋体"/>
                <w:szCs w:val="21"/>
              </w:rPr>
              <w:br w:type="textWrapping"/>
            </w:r>
            <w:r>
              <w:rPr>
                <w:rFonts w:hint="eastAsia" w:ascii="宋体" w:hAnsi="宋体" w:eastAsia="宋体" w:cs="宋体"/>
                <w:szCs w:val="21"/>
              </w:rPr>
              <w:t>21.机身具备防盐雾锈蚀特性。</w:t>
            </w:r>
            <w:r>
              <w:rPr>
                <w:rFonts w:hint="eastAsia" w:ascii="宋体" w:hAnsi="宋体" w:eastAsia="宋体" w:cs="宋体"/>
                <w:szCs w:val="21"/>
              </w:rPr>
              <w:br w:type="textWrapping"/>
            </w:r>
            <w:r>
              <w:rPr>
                <w:rFonts w:hint="eastAsia" w:ascii="宋体" w:hAnsi="宋体" w:eastAsia="宋体" w:cs="宋体"/>
                <w:szCs w:val="21"/>
              </w:rPr>
              <w:t>22.整机具备抗振动、防跌落特性，保证整机运输或使用过程中不易受损。</w:t>
            </w:r>
            <w:r>
              <w:rPr>
                <w:rFonts w:hint="eastAsia" w:ascii="宋体" w:hAnsi="宋体" w:eastAsia="宋体" w:cs="宋体"/>
                <w:szCs w:val="21"/>
              </w:rPr>
              <w:br w:type="textWrapping"/>
            </w:r>
            <w:r>
              <w:rPr>
                <w:rFonts w:hint="eastAsia" w:ascii="宋体" w:hAnsi="宋体" w:eastAsia="宋体" w:cs="宋体"/>
                <w:szCs w:val="21"/>
              </w:rPr>
              <w:t>23.整机表面覆盖玻璃选用优等品。</w:t>
            </w:r>
            <w:r>
              <w:rPr>
                <w:rFonts w:hint="eastAsia" w:ascii="宋体" w:hAnsi="宋体" w:eastAsia="宋体" w:cs="宋体"/>
                <w:szCs w:val="21"/>
              </w:rPr>
              <w:br w:type="textWrapping"/>
            </w:r>
            <w:r>
              <w:rPr>
                <w:rFonts w:hint="eastAsia" w:ascii="宋体" w:hAnsi="宋体" w:eastAsia="宋体" w:cs="宋体"/>
                <w:szCs w:val="21"/>
              </w:rPr>
              <w:t>24.整机书写面板采用防眩光全钢化防爆玻璃面板，适应学校复杂环境，保障教学安全。</w:t>
            </w:r>
            <w:r>
              <w:rPr>
                <w:rFonts w:hint="eastAsia" w:ascii="宋体" w:hAnsi="宋体" w:eastAsia="宋体" w:cs="宋体"/>
                <w:szCs w:val="21"/>
              </w:rPr>
              <w:br w:type="textWrapping"/>
            </w:r>
            <w:r>
              <w:rPr>
                <w:rFonts w:hint="eastAsia" w:ascii="宋体" w:hAnsi="宋体" w:eastAsia="宋体" w:cs="宋体"/>
                <w:szCs w:val="21"/>
              </w:rPr>
              <w:t>25.整机在0℃- 40℃环境下可正常工作，在-20℃—60℃的环境下可正常贮存且贮存后功能无损。</w:t>
            </w:r>
            <w:r>
              <w:rPr>
                <w:rFonts w:hint="eastAsia" w:ascii="宋体" w:hAnsi="宋体" w:eastAsia="宋体" w:cs="宋体"/>
                <w:szCs w:val="21"/>
              </w:rPr>
              <w:br w:type="textWrapping"/>
            </w:r>
            <w:r>
              <w:rPr>
                <w:rFonts w:hint="eastAsia" w:ascii="宋体" w:hAnsi="宋体" w:eastAsia="宋体" w:cs="宋体"/>
                <w:szCs w:val="21"/>
              </w:rPr>
              <w:t>三、主要功能</w:t>
            </w:r>
            <w:r>
              <w:rPr>
                <w:rFonts w:hint="eastAsia" w:ascii="宋体" w:hAnsi="宋体" w:eastAsia="宋体" w:cs="宋体"/>
                <w:szCs w:val="21"/>
              </w:rPr>
              <w:br w:type="textWrapping"/>
            </w:r>
            <w:r>
              <w:rPr>
                <w:rFonts w:hint="eastAsia" w:ascii="宋体" w:hAnsi="宋体" w:eastAsia="宋体" w:cs="宋体"/>
                <w:szCs w:val="21"/>
              </w:rPr>
              <w:t>1.支持通道自动跳转功能，如整机处于正常使用状态，HDMI信号接入时，能自动识别并切换到对应的HDMI信号源通道，且断开后能回到上一通道，自动跳转前支持选择确认，待确认后再跳转。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szCs w:val="21"/>
              </w:rPr>
              <w:br w:type="textWrapping"/>
            </w:r>
            <w:r>
              <w:rPr>
                <w:rFonts w:hint="eastAsia" w:ascii="宋体" w:hAnsi="宋体" w:eastAsia="宋体" w:cs="宋体"/>
                <w:szCs w:val="21"/>
              </w:rPr>
              <w:t>2.支持通道记忆功能，开机默认回到最近一次关机时的显示通道。</w:t>
            </w:r>
            <w:r>
              <w:rPr>
                <w:rFonts w:hint="eastAsia" w:ascii="宋体" w:hAnsi="宋体" w:eastAsia="宋体" w:cs="宋体"/>
                <w:szCs w:val="21"/>
              </w:rPr>
              <w:br w:type="textWrapping"/>
            </w:r>
            <w:r>
              <w:rPr>
                <w:rFonts w:hint="eastAsia" w:ascii="宋体" w:hAnsi="宋体" w:eastAsia="宋体" w:cs="宋体"/>
                <w:szCs w:val="21"/>
              </w:rPr>
              <w:t>3.支持外接信号输入时自动唤醒功能，整机处于关机通电状态，外接电脑显示信号通过HDMI传输线连接至整机时，整机可智能识别外接电脑设备信号输入并自动开机。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szCs w:val="21"/>
              </w:rPr>
              <w:br w:type="textWrapping"/>
            </w:r>
            <w:r>
              <w:rPr>
                <w:rFonts w:hint="eastAsia" w:ascii="宋体" w:hAnsi="宋体" w:eastAsia="宋体" w:cs="宋体"/>
                <w:szCs w:val="21"/>
              </w:rPr>
              <w:t>4.整机内置专业硬件自检维护工具（不接受第三方工具），支持对触摸框、PC模块等模块进行检测，并针对不同模块给出问题原因提示。</w:t>
            </w:r>
            <w:r>
              <w:rPr>
                <w:rFonts w:hint="eastAsia" w:ascii="宋体" w:hAnsi="宋体" w:eastAsia="宋体" w:cs="宋体"/>
                <w:szCs w:val="21"/>
              </w:rPr>
              <w:br w:type="textWrapping"/>
            </w:r>
            <w:r>
              <w:rPr>
                <w:rFonts w:hint="eastAsia" w:ascii="宋体" w:hAnsi="宋体" w:eastAsia="宋体" w:cs="宋体"/>
                <w:szCs w:val="21"/>
              </w:rPr>
              <w:t>5.整机无需外接无线网卡，在Windows系统下可实现WiFi无线上网连接、AP无线热点发射、BT蓝牙连接功能。</w:t>
            </w:r>
            <w:r>
              <w:rPr>
                <w:rFonts w:hint="eastAsia" w:ascii="宋体" w:hAnsi="宋体" w:eastAsia="宋体" w:cs="宋体"/>
                <w:szCs w:val="21"/>
              </w:rPr>
              <w:br w:type="textWrapping"/>
            </w:r>
            <w:r>
              <w:rPr>
                <w:rFonts w:hint="eastAsia" w:ascii="宋体" w:hAnsi="宋体" w:eastAsia="宋体" w:cs="宋体"/>
                <w:szCs w:val="21"/>
              </w:rPr>
              <w:t>6.黑暗环境自动节能：当整机处于黑暗环境中并无人操作，一分钟后整机将可以自动进入熄屏模式。</w:t>
            </w:r>
            <w:r>
              <w:rPr>
                <w:rFonts w:hint="eastAsia" w:ascii="宋体" w:hAnsi="宋体" w:eastAsia="宋体" w:cs="宋体"/>
                <w:szCs w:val="21"/>
              </w:rPr>
              <w:br w:type="textWrapping"/>
            </w:r>
            <w:r>
              <w:rPr>
                <w:rFonts w:hint="eastAsia" w:ascii="宋体" w:hAnsi="宋体" w:eastAsia="宋体" w:cs="宋体"/>
                <w:szCs w:val="21"/>
              </w:rPr>
              <w:t>7.整机支持蓝牙Bluetooth 5.2标准，能连接外部蓝牙音箱播放音频，也能接收外部手机通过蓝牙发送的文件。</w:t>
            </w:r>
            <w:r>
              <w:rPr>
                <w:rFonts w:hint="eastAsia" w:ascii="宋体" w:hAnsi="宋体" w:eastAsia="宋体" w:cs="宋体"/>
                <w:szCs w:val="21"/>
              </w:rPr>
              <w:br w:type="textWrapping"/>
            </w:r>
            <w:r>
              <w:rPr>
                <w:rFonts w:hint="eastAsia" w:ascii="宋体" w:hAnsi="宋体" w:eastAsia="宋体" w:cs="宋体"/>
                <w:szCs w:val="21"/>
              </w:rPr>
              <w:t>8.支持标准、HDR、节能等多种图像模式调节。</w:t>
            </w:r>
            <w:r>
              <w:rPr>
                <w:rFonts w:hint="eastAsia" w:ascii="宋体" w:hAnsi="宋体" w:eastAsia="宋体" w:cs="宋体"/>
                <w:szCs w:val="21"/>
              </w:rPr>
              <w:br w:type="textWrapping"/>
            </w:r>
            <w:r>
              <w:rPr>
                <w:rFonts w:hint="eastAsia" w:ascii="宋体" w:hAnsi="宋体" w:eastAsia="宋体" w:cs="宋体"/>
                <w:szCs w:val="21"/>
              </w:rPr>
              <w:t>9.具备摄像头工作指示灯，摄像头运行时，有指示灯提示。</w:t>
            </w:r>
            <w:r>
              <w:rPr>
                <w:rFonts w:hint="eastAsia" w:ascii="宋体" w:hAnsi="宋体" w:eastAsia="宋体" w:cs="宋体"/>
                <w:szCs w:val="21"/>
              </w:rPr>
              <w:br w:type="textWrapping"/>
            </w:r>
            <w:r>
              <w:rPr>
                <w:rFonts w:hint="eastAsia" w:ascii="宋体" w:hAnsi="宋体" w:eastAsia="宋体" w:cs="宋体"/>
                <w:szCs w:val="21"/>
              </w:rPr>
              <w:t>10.支持课堂简易录播（轻录播）功能，录制屏幕及整机半径4米内课堂现场音频，辅助教师课后教学研究。</w:t>
            </w:r>
            <w:r>
              <w:rPr>
                <w:rFonts w:hint="eastAsia" w:ascii="宋体" w:hAnsi="宋体" w:eastAsia="宋体" w:cs="宋体"/>
                <w:szCs w:val="21"/>
              </w:rPr>
              <w:br w:type="textWrapping"/>
            </w:r>
            <w:r>
              <w:rPr>
                <w:rFonts w:hint="eastAsia" w:ascii="宋体" w:hAnsi="宋体" w:eastAsia="宋体" w:cs="宋体"/>
                <w:szCs w:val="21"/>
              </w:rPr>
              <w:t>11.支持将自定义图片设置为开机画面。</w:t>
            </w:r>
            <w:r>
              <w:rPr>
                <w:rFonts w:hint="eastAsia" w:ascii="宋体" w:hAnsi="宋体" w:eastAsia="宋体" w:cs="宋体"/>
                <w:szCs w:val="21"/>
              </w:rPr>
              <w:br w:type="textWrapping"/>
            </w:r>
            <w:r>
              <w:rPr>
                <w:rFonts w:hint="eastAsia" w:ascii="宋体" w:hAnsi="宋体" w:eastAsia="宋体" w:cs="宋体"/>
                <w:szCs w:val="21"/>
              </w:rPr>
              <w:t>12.整机电磁干扰，满足教学环境多电子设备共用，无需采取任何电磁辐射防护措施。</w:t>
            </w:r>
            <w:r>
              <w:rPr>
                <w:rFonts w:hint="eastAsia" w:ascii="宋体" w:hAnsi="宋体" w:eastAsia="宋体" w:cs="宋体"/>
                <w:szCs w:val="21"/>
              </w:rPr>
              <w:br w:type="textWrapping"/>
            </w:r>
            <w:r>
              <w:rPr>
                <w:rFonts w:hint="eastAsia" w:ascii="宋体" w:hAnsi="宋体" w:eastAsia="宋体" w:cs="宋体"/>
                <w:szCs w:val="21"/>
              </w:rPr>
              <w:t>13.从PC通道切换到外部通道后在4秒内达到可触摸状态。</w:t>
            </w:r>
            <w:r>
              <w:rPr>
                <w:rFonts w:hint="eastAsia" w:ascii="宋体" w:hAnsi="宋体" w:eastAsia="宋体" w:cs="宋体"/>
                <w:szCs w:val="21"/>
              </w:rPr>
              <w:br w:type="textWrapping"/>
            </w:r>
            <w:r>
              <w:rPr>
                <w:rFonts w:hint="eastAsia" w:ascii="宋体" w:hAnsi="宋体" w:eastAsia="宋体" w:cs="宋体"/>
                <w:szCs w:val="21"/>
              </w:rPr>
              <w:t>14.具备电视遥控功能和电脑键盘常用的F1—F12功能键及Alt+F4、Alt+Tab、Space、Enter、windows等快捷按键，可实现一键开启交互白板软件、PPT上下翻页、一键锁定/解锁触摸及整机实体按键、一键熄屏的功能。</w:t>
            </w:r>
            <w:r>
              <w:rPr>
                <w:rFonts w:hint="eastAsia" w:ascii="宋体" w:hAnsi="宋体" w:eastAsia="宋体" w:cs="宋体"/>
                <w:szCs w:val="21"/>
              </w:rPr>
              <w:br w:type="textWrapping"/>
            </w:r>
            <w:r>
              <w:rPr>
                <w:rFonts w:hint="eastAsia" w:ascii="宋体" w:hAnsi="宋体" w:eastAsia="宋体" w:cs="宋体"/>
                <w:szCs w:val="21"/>
              </w:rPr>
              <w:t>15.支持护眼模式，可通过触摸菜单按键启用护眼模式，降低有害蓝光。</w:t>
            </w:r>
            <w:r>
              <w:rPr>
                <w:rFonts w:hint="eastAsia" w:ascii="宋体" w:hAnsi="宋体" w:eastAsia="宋体" w:cs="宋体"/>
                <w:szCs w:val="21"/>
              </w:rPr>
              <w:br w:type="textWrapping"/>
            </w:r>
            <w:r>
              <w:rPr>
                <w:rFonts w:hint="eastAsia" w:ascii="宋体" w:hAnsi="宋体" w:eastAsia="宋体" w:cs="宋体"/>
                <w:szCs w:val="21"/>
              </w:rPr>
              <w:t>16.屏幕显示灰度分辨等级达到256及以上灰阶，保证画面显示效果细腻。</w:t>
            </w:r>
            <w:r>
              <w:rPr>
                <w:rFonts w:hint="eastAsia" w:ascii="宋体" w:hAnsi="宋体" w:eastAsia="宋体" w:cs="宋体"/>
                <w:szCs w:val="21"/>
              </w:rPr>
              <w:br w:type="textWrapping"/>
            </w:r>
            <w:r>
              <w:rPr>
                <w:rFonts w:hint="eastAsia" w:ascii="宋体" w:hAnsi="宋体" w:eastAsia="宋体" w:cs="宋体"/>
                <w:szCs w:val="21"/>
              </w:rPr>
              <w:t>17.整机在五分钟内处于无信号接收状态时，能够自动关机。</w:t>
            </w:r>
            <w:r>
              <w:rPr>
                <w:rFonts w:hint="eastAsia" w:ascii="宋体" w:hAnsi="宋体" w:eastAsia="宋体" w:cs="宋体"/>
                <w:szCs w:val="21"/>
              </w:rPr>
              <w:br w:type="textWrapping"/>
            </w:r>
            <w:r>
              <w:rPr>
                <w:rFonts w:hint="eastAsia" w:ascii="宋体" w:hAnsi="宋体" w:eastAsia="宋体" w:cs="宋体"/>
                <w:szCs w:val="21"/>
              </w:rPr>
              <w:t>18.内置触摸中控菜单，将信号源通道切换、护眼、声音调节等整合到同一菜单下，无须实体按键，在任意显示通道下均可通过手势在屏幕上调取该触摸菜单。</w:t>
            </w:r>
            <w:r>
              <w:rPr>
                <w:rFonts w:hint="eastAsia" w:ascii="宋体" w:hAnsi="宋体" w:eastAsia="宋体" w:cs="宋体"/>
                <w:szCs w:val="21"/>
              </w:rPr>
              <w:br w:type="textWrapping"/>
            </w:r>
            <w:r>
              <w:rPr>
                <w:rFonts w:hint="eastAsia" w:ascii="宋体" w:hAnsi="宋体" w:eastAsia="宋体" w:cs="宋体"/>
                <w:szCs w:val="21"/>
              </w:rPr>
              <w:t>19.整机处于非内置PC通道下，支持调用屏幕侧边栏快捷键一键回到PC通道。</w:t>
            </w:r>
            <w:r>
              <w:rPr>
                <w:rFonts w:hint="eastAsia" w:ascii="宋体" w:hAnsi="宋体" w:eastAsia="宋体" w:cs="宋体"/>
                <w:szCs w:val="21"/>
              </w:rPr>
              <w:br w:type="textWrapping"/>
            </w:r>
            <w:r>
              <w:rPr>
                <w:rFonts w:hint="eastAsia" w:ascii="宋体" w:hAnsi="宋体" w:eastAsia="宋体" w:cs="宋体"/>
                <w:szCs w:val="21"/>
              </w:rPr>
              <w:t>20.支持对任意通道进行批注，同时支持手势识别调出板擦工具擦除批注内容，可根据手与屏幕的接触面积自动调整板擦工具的大小。</w:t>
            </w:r>
            <w:r>
              <w:rPr>
                <w:rFonts w:hint="eastAsia" w:ascii="宋体" w:hAnsi="宋体" w:eastAsia="宋体" w:cs="宋体"/>
                <w:szCs w:val="21"/>
              </w:rPr>
              <w:br w:type="textWrapping"/>
            </w:r>
            <w:r>
              <w:rPr>
                <w:rFonts w:hint="eastAsia" w:ascii="宋体" w:hAnsi="宋体" w:eastAsia="宋体" w:cs="宋体"/>
                <w:szCs w:val="21"/>
              </w:rPr>
              <w:t>21.支持云端在线系统固件升级，保证功能实时更新。</w:t>
            </w:r>
            <w:r>
              <w:rPr>
                <w:rFonts w:hint="eastAsia" w:ascii="宋体" w:hAnsi="宋体" w:eastAsia="宋体" w:cs="宋体"/>
                <w:szCs w:val="21"/>
              </w:rPr>
              <w:br w:type="textWrapping"/>
            </w:r>
            <w:r>
              <w:rPr>
                <w:rFonts w:hint="eastAsia" w:ascii="宋体" w:hAnsi="宋体" w:eastAsia="宋体" w:cs="宋体"/>
                <w:szCs w:val="21"/>
              </w:rPr>
              <w:t>四、电脑模块</w:t>
            </w:r>
            <w:r>
              <w:rPr>
                <w:rFonts w:hint="eastAsia" w:ascii="宋体" w:hAnsi="宋体" w:eastAsia="宋体" w:cs="宋体"/>
                <w:szCs w:val="21"/>
              </w:rPr>
              <w:br w:type="textWrapping"/>
            </w:r>
            <w:r>
              <w:rPr>
                <w:rFonts w:hint="eastAsia" w:ascii="宋体" w:hAnsi="宋体" w:eastAsia="宋体" w:cs="宋体"/>
                <w:szCs w:val="21"/>
              </w:rPr>
              <w:t>搭载Intel酷睿系列</w:t>
            </w:r>
            <w:bookmarkStart w:id="38" w:name="OLE_LINK11"/>
            <w:r>
              <w:rPr>
                <w:rFonts w:hint="eastAsia" w:ascii="宋体" w:hAnsi="宋体" w:eastAsia="宋体" w:cs="宋体"/>
                <w:szCs w:val="21"/>
              </w:rPr>
              <w:t>i7</w:t>
            </w:r>
            <w:bookmarkEnd w:id="38"/>
            <w:r>
              <w:rPr>
                <w:rFonts w:hint="eastAsia" w:ascii="宋体" w:hAnsi="宋体" w:eastAsia="宋体" w:cs="宋体"/>
                <w:szCs w:val="21"/>
              </w:rPr>
              <w:t xml:space="preserve"> 12代或以上CPU，配置8GB DDR4或以上内存，配置256 GB或以上SSD固态硬盘。</w:t>
            </w:r>
            <w:r>
              <w:rPr>
                <w:rFonts w:hint="eastAsia" w:ascii="宋体" w:hAnsi="宋体" w:eastAsia="宋体" w:cs="宋体"/>
                <w:szCs w:val="21"/>
              </w:rPr>
              <w:br w:type="textWrapping"/>
            </w:r>
            <w:r>
              <w:rPr>
                <w:rFonts w:hint="eastAsia" w:ascii="宋体" w:hAnsi="宋体" w:eastAsia="宋体" w:cs="宋体"/>
                <w:szCs w:val="21"/>
              </w:rPr>
              <w:t>和整机的连接采用万兆级接口，传输速率≥10Gbps。</w:t>
            </w:r>
            <w:r>
              <w:rPr>
                <w:rFonts w:hint="eastAsia" w:ascii="宋体" w:hAnsi="宋体" w:eastAsia="宋体" w:cs="宋体"/>
                <w:szCs w:val="21"/>
              </w:rPr>
              <w:br w:type="textWrapping"/>
            </w:r>
            <w:r>
              <w:rPr>
                <w:rFonts w:hint="eastAsia" w:ascii="宋体" w:hAnsi="宋体" w:eastAsia="宋体" w:cs="宋体"/>
                <w:szCs w:val="21"/>
              </w:rPr>
              <w:t>采用按压式卡扣，无需工具就可快速拆卸电脑模块。</w:t>
            </w:r>
            <w:r>
              <w:rPr>
                <w:rFonts w:hint="eastAsia" w:ascii="宋体" w:hAnsi="宋体" w:eastAsia="宋体" w:cs="宋体"/>
                <w:szCs w:val="21"/>
              </w:rPr>
              <w:br w:type="textWrapping"/>
            </w:r>
            <w:r>
              <w:rPr>
                <w:rFonts w:hint="eastAsia" w:ascii="宋体" w:hAnsi="宋体" w:eastAsia="宋体" w:cs="宋体"/>
                <w:szCs w:val="21"/>
              </w:rPr>
              <w:t>具有独立非外扩展的接口：≥1路HDMI，≥3路USB。</w:t>
            </w:r>
          </w:p>
        </w:tc>
      </w:tr>
      <w:tr w14:paraId="24CACB64">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5FD73F9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w:t>
            </w:r>
          </w:p>
        </w:tc>
        <w:tc>
          <w:tcPr>
            <w:tcW w:w="629" w:type="pct"/>
            <w:tcBorders>
              <w:top w:val="single" w:color="000000" w:sz="4" w:space="0"/>
              <w:left w:val="nil"/>
              <w:bottom w:val="single" w:color="000000" w:sz="4" w:space="0"/>
              <w:right w:val="single" w:color="000000" w:sz="4" w:space="0"/>
            </w:tcBorders>
            <w:vAlign w:val="center"/>
          </w:tcPr>
          <w:p w14:paraId="3CCFCC9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双屏互动智慧黑板</w:t>
            </w:r>
          </w:p>
        </w:tc>
        <w:tc>
          <w:tcPr>
            <w:tcW w:w="3942" w:type="pct"/>
            <w:tcBorders>
              <w:top w:val="single" w:color="000000" w:sz="4" w:space="0"/>
              <w:left w:val="nil"/>
              <w:bottom w:val="single" w:color="000000" w:sz="4" w:space="0"/>
              <w:right w:val="single" w:color="000000" w:sz="4" w:space="0"/>
            </w:tcBorders>
            <w:vAlign w:val="center"/>
          </w:tcPr>
          <w:p w14:paraId="0A4AAE8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★须接入校方现有集控平台、讲台中控，统一管理，无需另加设备。需投标前由投标人自行携样入校接入测试，投标文件中提供接入校方原有平台并实现平台各管控功能的承诺书。。</w:t>
            </w:r>
            <w:r>
              <w:rPr>
                <w:rFonts w:hint="eastAsia" w:ascii="宋体" w:hAnsi="宋体" w:eastAsia="宋体" w:cs="宋体"/>
                <w:szCs w:val="21"/>
              </w:rPr>
              <w:br w:type="textWrapping"/>
            </w:r>
            <w:r>
              <w:rPr>
                <w:rFonts w:hint="eastAsia" w:ascii="宋体" w:hAnsi="宋体" w:eastAsia="宋体" w:cs="宋体"/>
                <w:szCs w:val="21"/>
              </w:rPr>
              <w:t>整机屏幕由两台86英寸超高清LED 液晶屏组成.</w:t>
            </w:r>
            <w:r>
              <w:rPr>
                <w:rFonts w:hint="eastAsia" w:ascii="宋体" w:hAnsi="宋体" w:eastAsia="宋体" w:cs="宋体"/>
                <w:szCs w:val="21"/>
              </w:rPr>
              <w:br w:type="textWrapping"/>
            </w:r>
            <w:r>
              <w:rPr>
                <w:rFonts w:hint="eastAsia" w:ascii="宋体" w:hAnsi="宋体" w:eastAsia="宋体" w:cs="宋体"/>
                <w:szCs w:val="21"/>
              </w:rPr>
              <w:t>一、 整体设计</w:t>
            </w:r>
            <w:r>
              <w:rPr>
                <w:rFonts w:hint="eastAsia" w:ascii="宋体" w:hAnsi="宋体" w:eastAsia="宋体" w:cs="宋体"/>
                <w:szCs w:val="21"/>
              </w:rPr>
              <w:br w:type="textWrapping"/>
            </w:r>
            <w:r>
              <w:rPr>
                <w:rFonts w:hint="eastAsia" w:ascii="宋体" w:hAnsi="宋体" w:eastAsia="宋体" w:cs="宋体"/>
                <w:szCs w:val="21"/>
              </w:rPr>
              <w:t>1、整机采用一体设计，外部无任何可见内部功能模块连接线。整机采用全金属外壳设计，边角采用弧形设计，表面无尖锐边缘或凸起。</w:t>
            </w:r>
            <w:r>
              <w:rPr>
                <w:rFonts w:hint="eastAsia" w:ascii="宋体" w:hAnsi="宋体" w:eastAsia="宋体" w:cs="宋体"/>
                <w:szCs w:val="21"/>
              </w:rPr>
              <w:br w:type="textWrapping"/>
            </w:r>
            <w:r>
              <w:rPr>
                <w:rFonts w:hint="eastAsia" w:ascii="宋体" w:hAnsi="宋体" w:eastAsia="宋体" w:cs="宋体"/>
                <w:szCs w:val="21"/>
              </w:rPr>
              <w:t>2、整机采用86英寸超高清LED液晶屏，显示比例16:9，分辨率3840×2160。</w:t>
            </w:r>
            <w:r>
              <w:rPr>
                <w:rFonts w:hint="eastAsia" w:ascii="宋体" w:hAnsi="宋体" w:eastAsia="宋体" w:cs="宋体"/>
                <w:szCs w:val="21"/>
              </w:rPr>
              <w:br w:type="textWrapping"/>
            </w:r>
            <w:r>
              <w:rPr>
                <w:rFonts w:hint="eastAsia" w:ascii="宋体" w:hAnsi="宋体" w:eastAsia="宋体" w:cs="宋体"/>
                <w:szCs w:val="21"/>
              </w:rPr>
              <w:t>3、整机采用全物理钢化玻璃，钢化玻璃表面硬度≥9H，支持防眩光功能，玻璃表面采用纳米材料镀膜环保工艺，书写更加顺滑，防眩光效果更加优异。</w:t>
            </w:r>
            <w:r>
              <w:rPr>
                <w:rFonts w:hint="eastAsia" w:ascii="宋体" w:hAnsi="宋体" w:eastAsia="宋体" w:cs="宋体"/>
                <w:szCs w:val="21"/>
              </w:rPr>
              <w:br w:type="textWrapping"/>
            </w:r>
            <w:r>
              <w:rPr>
                <w:rFonts w:hint="eastAsia" w:ascii="宋体" w:hAnsi="宋体" w:eastAsia="宋体" w:cs="宋体"/>
                <w:szCs w:val="21"/>
              </w:rPr>
              <w:t>二、护眼显示</w:t>
            </w:r>
            <w:r>
              <w:rPr>
                <w:rFonts w:hint="eastAsia" w:ascii="宋体" w:hAnsi="宋体" w:eastAsia="宋体" w:cs="宋体"/>
                <w:szCs w:val="21"/>
              </w:rPr>
              <w:br w:type="textWrapping"/>
            </w:r>
            <w:r>
              <w:rPr>
                <w:rFonts w:hint="eastAsia" w:ascii="宋体" w:hAnsi="宋体" w:eastAsia="宋体" w:cs="宋体"/>
                <w:szCs w:val="21"/>
              </w:rPr>
              <w:t>4、整机背光系统支持DC调光方式，多级亮度调节，支持白颜色背景下最暗亮度≤100nit，用于提升显示对比度。</w:t>
            </w:r>
            <w:r>
              <w:rPr>
                <w:rFonts w:hint="eastAsia" w:ascii="宋体" w:hAnsi="宋体" w:eastAsia="宋体" w:cs="宋体"/>
                <w:szCs w:val="21"/>
              </w:rPr>
              <w:br w:type="textWrapping"/>
            </w:r>
            <w:r>
              <w:rPr>
                <w:rFonts w:hint="eastAsia" w:ascii="宋体" w:hAnsi="宋体" w:eastAsia="宋体" w:cs="宋体"/>
                <w:szCs w:val="21"/>
              </w:rPr>
              <w:t>5、硬件低蓝光：整机采用硬件低蓝光背光技术，在源头减少有害蓝光波段能量，蓝光占比（有害蓝光415～455nm能量综合）/（整体蓝光400～500能量综合）＜50%，低蓝光保护显示不偏色、不泛黄。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szCs w:val="21"/>
              </w:rPr>
              <w:br w:type="textWrapping"/>
            </w:r>
            <w:r>
              <w:rPr>
                <w:rFonts w:hint="eastAsia" w:ascii="宋体" w:hAnsi="宋体" w:eastAsia="宋体" w:cs="宋体"/>
                <w:szCs w:val="21"/>
              </w:rPr>
              <w:t>6、整机支持色彩空间可选，包含标准模式和sRGB模式，在sRGB模式下可做到高色准△E≤1.0。</w:t>
            </w:r>
            <w:r>
              <w:rPr>
                <w:rFonts w:hint="eastAsia" w:ascii="宋体" w:hAnsi="宋体" w:eastAsia="宋体" w:cs="宋体"/>
                <w:szCs w:val="21"/>
              </w:rPr>
              <w:br w:type="textWrapping"/>
            </w:r>
            <w:r>
              <w:rPr>
                <w:rFonts w:hint="eastAsia" w:ascii="宋体" w:hAnsi="宋体" w:eastAsia="宋体" w:cs="宋体"/>
                <w:szCs w:val="21"/>
              </w:rPr>
              <w:t>★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szCs w:val="21"/>
              </w:rPr>
              <w:br w:type="textWrapping"/>
            </w:r>
            <w:r>
              <w:rPr>
                <w:rFonts w:hint="eastAsia" w:ascii="宋体" w:hAnsi="宋体" w:eastAsia="宋体" w:cs="宋体"/>
                <w:szCs w:val="21"/>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szCs w:val="21"/>
              </w:rPr>
              <w:br w:type="textWrapping"/>
            </w:r>
            <w:r>
              <w:rPr>
                <w:rFonts w:hint="eastAsia" w:ascii="宋体" w:hAnsi="宋体" w:eastAsia="宋体" w:cs="宋体"/>
                <w:szCs w:val="21"/>
              </w:rPr>
              <w:t>9、整机能感应并自动调节屏幕亮度来达到在不同光照环境下的不同亮度显示效果，此功能可自行开启或关闭。</w:t>
            </w:r>
            <w:r>
              <w:rPr>
                <w:rFonts w:hint="eastAsia" w:ascii="宋体" w:hAnsi="宋体" w:eastAsia="宋体" w:cs="宋体"/>
                <w:szCs w:val="21"/>
              </w:rPr>
              <w:br w:type="textWrapping"/>
            </w:r>
            <w:r>
              <w:rPr>
                <w:rFonts w:hint="eastAsia" w:ascii="宋体" w:hAnsi="宋体" w:eastAsia="宋体" w:cs="宋体"/>
                <w:szCs w:val="21"/>
              </w:rPr>
              <w:t>三、教学音频</w:t>
            </w:r>
            <w:r>
              <w:rPr>
                <w:rFonts w:hint="eastAsia" w:ascii="宋体" w:hAnsi="宋体" w:eastAsia="宋体" w:cs="宋体"/>
                <w:szCs w:val="21"/>
              </w:rPr>
              <w:br w:type="textWrapping"/>
            </w:r>
            <w:r>
              <w:rPr>
                <w:rFonts w:hint="eastAsia" w:ascii="宋体" w:hAnsi="宋体" w:eastAsia="宋体" w:cs="宋体"/>
                <w:szCs w:val="21"/>
              </w:rPr>
              <w:t>10、整机内置2.2声道扬声器，位于设备上边框，顶置朝前发声，前朝向10W高音扬声器2个，上朝向20W中低音扬声器2个，额定总功率60W。</w:t>
            </w:r>
            <w:r>
              <w:rPr>
                <w:rFonts w:hint="eastAsia" w:ascii="宋体" w:hAnsi="宋体" w:eastAsia="宋体" w:cs="宋体"/>
                <w:szCs w:val="21"/>
              </w:rPr>
              <w:br w:type="textWrapping"/>
            </w:r>
            <w:r>
              <w:rPr>
                <w:rFonts w:hint="eastAsia" w:ascii="宋体" w:hAnsi="宋体" w:eastAsia="宋体" w:cs="宋体"/>
                <w:szCs w:val="21"/>
              </w:rPr>
              <w:t>11、整机内置扬声器采用缝隙发声技术，喇叭采用槽式开口设计，不大于5.8mm。</w:t>
            </w:r>
            <w:r>
              <w:rPr>
                <w:rFonts w:hint="eastAsia" w:ascii="宋体" w:hAnsi="宋体" w:eastAsia="宋体" w:cs="宋体"/>
                <w:szCs w:val="21"/>
              </w:rPr>
              <w:br w:type="textWrapping"/>
            </w:r>
            <w:r>
              <w:rPr>
                <w:rFonts w:hint="eastAsia" w:ascii="宋体" w:hAnsi="宋体" w:eastAsia="宋体" w:cs="宋体"/>
                <w:szCs w:val="21"/>
              </w:rPr>
              <w:t>12、 整机内置非独立外扩展的8阵列麦克风，拾音角度≥180°，可用于对教室环境音频进行采集，拾音距离≥12m。</w:t>
            </w:r>
            <w:r>
              <w:rPr>
                <w:rFonts w:hint="eastAsia" w:ascii="宋体" w:hAnsi="宋体" w:eastAsia="宋体" w:cs="宋体"/>
                <w:szCs w:val="21"/>
              </w:rPr>
              <w:br w:type="textWrapping"/>
            </w:r>
            <w:r>
              <w:rPr>
                <w:rFonts w:hint="eastAsia" w:ascii="宋体" w:hAnsi="宋体" w:eastAsia="宋体" w:cs="宋体"/>
                <w:szCs w:val="21"/>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szCs w:val="21"/>
              </w:rPr>
              <w:br w:type="textWrapping"/>
            </w:r>
            <w:r>
              <w:rPr>
                <w:rFonts w:hint="eastAsia" w:ascii="宋体" w:hAnsi="宋体" w:eastAsia="宋体" w:cs="宋体"/>
                <w:szCs w:val="21"/>
              </w:rPr>
              <w:t>四、画面采集</w:t>
            </w:r>
            <w:r>
              <w:rPr>
                <w:rFonts w:hint="eastAsia" w:ascii="宋体" w:hAnsi="宋体" w:eastAsia="宋体" w:cs="宋体"/>
                <w:szCs w:val="21"/>
              </w:rPr>
              <w:br w:type="textWrapping"/>
            </w:r>
            <w:r>
              <w:rPr>
                <w:rFonts w:hint="eastAsia" w:ascii="宋体" w:hAnsi="宋体" w:eastAsia="宋体" w:cs="宋体"/>
                <w:szCs w:val="21"/>
              </w:rPr>
              <w:t>14、整机上边框内置非独立式摄像头，采用一体化集成设计，摄像头数量≥4个。</w:t>
            </w:r>
            <w:r>
              <w:rPr>
                <w:rFonts w:hint="eastAsia" w:ascii="宋体" w:hAnsi="宋体" w:eastAsia="宋体" w:cs="宋体"/>
                <w:szCs w:val="21"/>
              </w:rPr>
              <w:br w:type="textWrapping"/>
            </w:r>
            <w:r>
              <w:rPr>
                <w:rFonts w:hint="eastAsia" w:ascii="宋体" w:hAnsi="宋体" w:eastAsia="宋体" w:cs="宋体"/>
                <w:szCs w:val="21"/>
              </w:rPr>
              <w:t>15、智能拼接摄像头部分：整机上边框内置非独立式≥3个智能拼接摄像头，支持清晰度TV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szCs w:val="21"/>
              </w:rPr>
              <w:br w:type="textWrapping"/>
            </w:r>
            <w:r>
              <w:rPr>
                <w:rFonts w:hint="eastAsia" w:ascii="宋体" w:hAnsi="宋体" w:eastAsia="宋体" w:cs="宋体"/>
                <w:szCs w:val="21"/>
              </w:rPr>
              <w:t>16、广角摄像头部分：整机上边框内置非独立式广角高清摄像头，视场角≥142度且水平视场角≥121度，支持输出4:3、16:9比例的图片和视频；在清晰度为2592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szCs w:val="21"/>
              </w:rPr>
              <w:br w:type="textWrapping"/>
            </w:r>
            <w:r>
              <w:rPr>
                <w:rFonts w:hint="eastAsia" w:ascii="宋体" w:hAnsi="宋体" w:eastAsia="宋体" w:cs="宋体"/>
                <w:szCs w:val="21"/>
              </w:rPr>
              <w:t>17、摄像头功能：整机上边框内置非独式广角摄像头和智能拼接摄像头， 均支持 3D 降噪算法和数字宽动态范围成像WDR 技术，支持输出 MJPG、 H.264 视频格式。</w:t>
            </w:r>
            <w:r>
              <w:rPr>
                <w:rFonts w:hint="eastAsia" w:ascii="宋体" w:hAnsi="宋体" w:eastAsia="宋体" w:cs="宋体"/>
                <w:szCs w:val="21"/>
              </w:rPr>
              <w:br w:type="textWrapping"/>
            </w:r>
            <w:r>
              <w:rPr>
                <w:rFonts w:hint="eastAsia" w:ascii="宋体" w:hAnsi="宋体" w:eastAsia="宋体" w:cs="宋体"/>
                <w:szCs w:val="21"/>
              </w:rPr>
              <w:t>18、整机支持上边框内置非独立摄像头模组，同时输出至少 3 路视频流，同时支持课堂远程巡课、课堂教学数据采集、本地画面预览（拍照或视频录制）。</w:t>
            </w:r>
          </w:p>
          <w:p w14:paraId="61B7BE7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19、人脸识别账号登录：可通过内置摄像头进行人脸识别登录，登录后自动获取个人最近使用课件，并一键调用教师云空间及校本资源课件。</w:t>
            </w:r>
            <w:r>
              <w:rPr>
                <w:rFonts w:hint="eastAsia" w:ascii="宋体" w:hAnsi="宋体" w:eastAsia="宋体" w:cs="宋体"/>
                <w:b/>
                <w:bCs/>
                <w:color w:val="FF0000"/>
                <w:szCs w:val="21"/>
              </w:rPr>
              <w:t>（要求演示，见演示要求部分）</w:t>
            </w:r>
            <w:r>
              <w:rPr>
                <w:rFonts w:hint="eastAsia" w:ascii="宋体" w:hAnsi="宋体" w:eastAsia="宋体" w:cs="宋体"/>
                <w:szCs w:val="21"/>
              </w:rPr>
              <w:br w:type="textWrapping"/>
            </w:r>
            <w:r>
              <w:rPr>
                <w:rFonts w:hint="eastAsia" w:ascii="宋体" w:hAnsi="宋体" w:eastAsia="宋体" w:cs="宋体"/>
                <w:szCs w:val="21"/>
              </w:rPr>
              <w:t>20、整机摄像头支持环境色温判断，根据环境调节合适的显示图像效果。</w:t>
            </w:r>
            <w:r>
              <w:rPr>
                <w:rFonts w:hint="eastAsia" w:ascii="宋体" w:hAnsi="宋体" w:eastAsia="宋体" w:cs="宋体"/>
                <w:szCs w:val="21"/>
              </w:rPr>
              <w:br w:type="textWrapping"/>
            </w:r>
            <w:r>
              <w:rPr>
                <w:rFonts w:hint="eastAsia" w:ascii="宋体" w:hAnsi="宋体" w:eastAsia="宋体" w:cs="宋体"/>
                <w:szCs w:val="21"/>
              </w:rPr>
              <w:t>五、无线互联</w:t>
            </w:r>
            <w:r>
              <w:rPr>
                <w:rFonts w:hint="eastAsia" w:ascii="宋体" w:hAnsi="宋体" w:eastAsia="宋体" w:cs="宋体"/>
                <w:szCs w:val="21"/>
              </w:rPr>
              <w:br w:type="textWrapping"/>
            </w:r>
            <w:r>
              <w:rPr>
                <w:rFonts w:hint="eastAsia" w:ascii="宋体" w:hAnsi="宋体" w:eastAsia="宋体" w:cs="宋体"/>
                <w:szCs w:val="21"/>
              </w:rPr>
              <w:t>21、整机内置双WiFi6无线网卡（不接受外接），在Android和Windows系统下，可实现Wi-Fi无线上网连接、AP无线热点发射，在Android下支持无线设备同时连接数量≥32个，在Windows系统下支持无线设备同时连接≥8个。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szCs w:val="21"/>
              </w:rPr>
              <w:br w:type="textWrapping"/>
            </w:r>
            <w:r>
              <w:rPr>
                <w:rFonts w:hint="eastAsia" w:ascii="宋体" w:hAnsi="宋体" w:eastAsia="宋体" w:cs="宋体"/>
                <w:szCs w:val="21"/>
              </w:rPr>
              <w:t>22、Wi-Fi及AP热点支持频段2.4GHz/5GHz；Wi-Fi制式支持IEEE 802.11 a/b/g/n/ac/ax；支持版本Wi-Fi6；Wi-Fi和AP热点工作距离≥12m。</w:t>
            </w:r>
            <w:r>
              <w:rPr>
                <w:rFonts w:hint="eastAsia" w:ascii="宋体" w:hAnsi="宋体" w:eastAsia="宋体" w:cs="宋体"/>
                <w:szCs w:val="21"/>
              </w:rPr>
              <w:br w:type="textWrapping"/>
            </w:r>
            <w:r>
              <w:rPr>
                <w:rFonts w:hint="eastAsia" w:ascii="宋体" w:hAnsi="宋体" w:eastAsia="宋体" w:cs="宋体"/>
                <w:szCs w:val="21"/>
              </w:rPr>
              <w:t>23、整机支持蓝牙Bluetooth 5.4标准，PC端支持主动发现蓝牙外设从而连接（无需整机进入发现模式），支持连接外部蓝牙音箱播放音频。</w:t>
            </w:r>
            <w:r>
              <w:rPr>
                <w:rFonts w:hint="eastAsia" w:ascii="宋体" w:hAnsi="宋体" w:eastAsia="宋体" w:cs="宋体"/>
                <w:szCs w:val="21"/>
              </w:rPr>
              <w:br w:type="textWrapping"/>
            </w:r>
            <w:r>
              <w:rPr>
                <w:rFonts w:hint="eastAsia" w:ascii="宋体" w:hAnsi="宋体" w:eastAsia="宋体" w:cs="宋体"/>
                <w:szCs w:val="21"/>
              </w:rPr>
              <w:t>24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szCs w:val="21"/>
              </w:rPr>
              <w:br w:type="textWrapping"/>
            </w:r>
            <w:r>
              <w:rPr>
                <w:rFonts w:hint="eastAsia" w:ascii="宋体" w:hAnsi="宋体" w:eastAsia="宋体" w:cs="宋体"/>
                <w:szCs w:val="21"/>
              </w:rPr>
              <w:t>25、整机支持发出频率为18kHz-22kHz超声波信号，智能手机通过麦克风接收后，智能手机与整机无需在同一局域网内，可实现配对，一键投屏，用户无需手动输入投屏码或扫码获取投屏码。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szCs w:val="21"/>
              </w:rPr>
              <w:br w:type="textWrapping"/>
            </w:r>
            <w:r>
              <w:rPr>
                <w:rFonts w:hint="eastAsia" w:ascii="宋体" w:hAnsi="宋体" w:eastAsia="宋体" w:cs="宋体"/>
                <w:szCs w:val="21"/>
              </w:rPr>
              <w:t>26、整机Windows通道支持文件传输应用，支持多人同时将手机文件传输到整机上；支持通过扫码、wifi直联、超声三种方式与手机进行握手连接，实现文件传输功能，传输方式支持公网传输、局域网传输、WiFi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cs="宋体"/>
                <w:szCs w:val="21"/>
              </w:rPr>
              <w:br w:type="textWrapping"/>
            </w:r>
            <w:r>
              <w:rPr>
                <w:rFonts w:hint="eastAsia" w:ascii="宋体" w:hAnsi="宋体" w:eastAsia="宋体" w:cs="宋体"/>
                <w:szCs w:val="21"/>
              </w:rPr>
              <w:t>六、物理按键及接口</w:t>
            </w:r>
            <w:r>
              <w:rPr>
                <w:rFonts w:hint="eastAsia" w:ascii="宋体" w:hAnsi="宋体" w:eastAsia="宋体" w:cs="宋体"/>
                <w:szCs w:val="21"/>
              </w:rPr>
              <w:br w:type="textWrapping"/>
            </w:r>
            <w:r>
              <w:rPr>
                <w:rFonts w:hint="eastAsia" w:ascii="宋体" w:hAnsi="宋体" w:eastAsia="宋体" w:cs="宋体"/>
                <w:szCs w:val="21"/>
              </w:rPr>
              <w:t>27、整机具备至少6个前置按键，可实现开关机、调出中控菜单、音量+/-、护眼、录屏操作。</w:t>
            </w:r>
          </w:p>
          <w:p w14:paraId="0681FA8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28、自定义物理按键功能：将交互智能平板的前置面板按键包括“设置”、“音量-”，“音量+”，“录屏”，“护眼”等不少于五个功能按键，通过自定义设置可实现切换为“批注”、“截屏”、“计时”、“降半屏”、“放大镜”等教学辅助功能。</w:t>
            </w:r>
            <w:r>
              <w:rPr>
                <w:rFonts w:hint="eastAsia" w:ascii="宋体" w:hAnsi="宋体" w:eastAsia="宋体" w:cs="宋体"/>
                <w:szCs w:val="21"/>
              </w:rPr>
              <w:br w:type="textWrapping"/>
            </w:r>
            <w:r>
              <w:rPr>
                <w:rFonts w:hint="eastAsia" w:ascii="宋体" w:hAnsi="宋体" w:eastAsia="宋体" w:cs="宋体"/>
                <w:szCs w:val="21"/>
              </w:rPr>
              <w:t>29、整机接口：侧置输入接口具备≥2路HDMI、≥1路RS232、≥1路USB接口；侧置输出接口具备≥1路音频输出、≥1路触控USB输出；前置输入接口具备≥3路USB接口（包含1路Type-C、2路USB）。</w:t>
            </w:r>
            <w:r>
              <w:rPr>
                <w:rFonts w:hint="eastAsia" w:ascii="宋体" w:hAnsi="宋体" w:eastAsia="宋体" w:cs="宋体"/>
                <w:szCs w:val="21"/>
              </w:rPr>
              <w:br w:type="textWrapping"/>
            </w:r>
            <w:r>
              <w:rPr>
                <w:rFonts w:hint="eastAsia" w:ascii="宋体" w:hAnsi="宋体" w:eastAsia="宋体" w:cs="宋体"/>
                <w:szCs w:val="21"/>
              </w:rPr>
              <w:t>七、系统功能</w:t>
            </w:r>
            <w:r>
              <w:rPr>
                <w:rFonts w:hint="eastAsia" w:ascii="宋体" w:hAnsi="宋体" w:eastAsia="宋体" w:cs="宋体"/>
                <w:szCs w:val="21"/>
              </w:rPr>
              <w:br w:type="textWrapping"/>
            </w:r>
            <w:r>
              <w:rPr>
                <w:rFonts w:hint="eastAsia" w:ascii="宋体" w:hAnsi="宋体" w:eastAsia="宋体" w:cs="宋体"/>
                <w:szCs w:val="21"/>
              </w:rPr>
              <w:t>30、整机内置触摸中控菜单，在整机全信号源通道下通过手势在屏幕上调取该触摸菜单，支持信号源通道切换、护眼、声音调节功能。 </w:t>
            </w:r>
            <w:r>
              <w:rPr>
                <w:rFonts w:hint="eastAsia" w:ascii="宋体" w:hAnsi="宋体" w:eastAsia="宋体" w:cs="宋体"/>
                <w:szCs w:val="21"/>
              </w:rPr>
              <w:br w:type="textWrapping"/>
            </w:r>
            <w:r>
              <w:rPr>
                <w:rFonts w:hint="eastAsia" w:ascii="宋体" w:hAnsi="宋体" w:eastAsia="宋体" w:cs="宋体"/>
                <w:szCs w:val="21"/>
              </w:rPr>
              <w:t>31、整机内置全通道侧边栏快捷菜单，小工具、应用软件、快捷设置、亮度/音量调节、教室物联入口；支持展示学校名称、设备班级、场地信息。</w:t>
            </w:r>
            <w:r>
              <w:rPr>
                <w:rFonts w:hint="eastAsia" w:ascii="宋体" w:hAnsi="宋体" w:eastAsia="宋体" w:cs="宋体"/>
                <w:szCs w:val="21"/>
              </w:rPr>
              <w:br w:type="textWrapping"/>
            </w:r>
            <w:r>
              <w:rPr>
                <w:rFonts w:hint="eastAsia" w:ascii="宋体" w:hAnsi="宋体" w:eastAsia="宋体" w:cs="宋体"/>
                <w:szCs w:val="21"/>
              </w:rPr>
              <w:t>32、整机设备开机启动后，自动进入教学桌面，支持账号登录、退出，自动获取个人云端教学课件列表，并可进入全部课件列表。</w:t>
            </w:r>
            <w:r>
              <w:rPr>
                <w:rFonts w:hint="eastAsia" w:ascii="宋体" w:hAnsi="宋体" w:eastAsia="宋体" w:cs="宋体"/>
                <w:szCs w:val="21"/>
              </w:rPr>
              <w:br w:type="textWrapping"/>
            </w:r>
            <w:r>
              <w:rPr>
                <w:rFonts w:hint="eastAsia" w:ascii="宋体" w:hAnsi="宋体" w:eastAsia="宋体" w:cs="宋体"/>
                <w:szCs w:val="21"/>
              </w:rPr>
              <w:t>33、整机设备自带地震预警软件。支持在地震预警页面中获取位置，可以手动进行位置校准。支持在地震预警页面中选择提醒阈值。支持在地震预警界面中开启和关闭地震预警服务。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szCs w:val="21"/>
              </w:rPr>
              <w:br w:type="textWrapping"/>
            </w:r>
            <w:r>
              <w:rPr>
                <w:rFonts w:hint="eastAsia" w:ascii="宋体" w:hAnsi="宋体" w:eastAsia="宋体" w:cs="宋体"/>
                <w:szCs w:val="21"/>
              </w:rPr>
              <w:t>34、智能手势识别功能：为方便教师日常教学，可在交互智能平板的Windows和安卓系统下通过五指上、下、左、右方向及五指画圈、画波浪、左右晃动等手势调用熄屏、批注、桌面、半屏模式、聚光灯、录屏、清空白板、多任务等教学功能。</w:t>
            </w:r>
            <w:r>
              <w:rPr>
                <w:rFonts w:hint="eastAsia" w:ascii="宋体" w:hAnsi="宋体" w:eastAsia="宋体" w:cs="宋体"/>
                <w:b/>
                <w:bCs/>
                <w:color w:val="FF0000"/>
                <w:szCs w:val="21"/>
              </w:rPr>
              <w:t>（要求演示，见演示要求部分）</w:t>
            </w:r>
            <w:r>
              <w:rPr>
                <w:rFonts w:hint="eastAsia" w:ascii="宋体" w:hAnsi="宋体" w:eastAsia="宋体" w:cs="宋体"/>
                <w:szCs w:val="21"/>
              </w:rPr>
              <w:br w:type="textWrapping"/>
            </w:r>
            <w:r>
              <w:rPr>
                <w:rFonts w:hint="eastAsia" w:ascii="宋体" w:hAnsi="宋体" w:eastAsia="宋体" w:cs="宋体"/>
                <w:szCs w:val="21"/>
              </w:rPr>
              <w:t>35、整机关机状态下，通过长按电源键进入设置界面后，可点击屏幕选择恢复Android系统及Windows操作系统到出厂默认状态，无需额外工具辅助。</w:t>
            </w:r>
            <w:r>
              <w:rPr>
                <w:rFonts w:hint="eastAsia" w:ascii="宋体" w:hAnsi="宋体" w:eastAsia="宋体" w:cs="宋体"/>
                <w:szCs w:val="21"/>
              </w:rPr>
              <w:br w:type="textWrapping"/>
            </w:r>
            <w:r>
              <w:rPr>
                <w:rFonts w:hint="eastAsia" w:ascii="宋体" w:hAnsi="宋体" w:eastAsia="宋体" w:cs="宋体"/>
                <w:szCs w:val="21"/>
              </w:rPr>
              <w:t>36、整机内置专业硬件自检维护工具（非第三方工具），支持对整机内部的板卡及部件模块进行故障检测、系统还原功能。</w:t>
            </w:r>
            <w:r>
              <w:rPr>
                <w:rFonts w:hint="eastAsia" w:ascii="宋体" w:hAnsi="宋体" w:eastAsia="宋体" w:cs="宋体"/>
                <w:szCs w:val="21"/>
              </w:rPr>
              <w:br w:type="textWrapping"/>
            </w:r>
            <w:r>
              <w:rPr>
                <w:rFonts w:hint="eastAsia" w:ascii="宋体" w:hAnsi="宋体" w:eastAsia="宋体" w:cs="宋体"/>
                <w:szCs w:val="21"/>
              </w:rPr>
              <w:t>八、嵌入式系统</w:t>
            </w:r>
            <w:r>
              <w:rPr>
                <w:rFonts w:hint="eastAsia" w:ascii="宋体" w:hAnsi="宋体" w:eastAsia="宋体" w:cs="宋体"/>
                <w:szCs w:val="21"/>
              </w:rPr>
              <w:br w:type="textWrapping"/>
            </w:r>
            <w:r>
              <w:rPr>
                <w:rFonts w:hint="eastAsia" w:ascii="宋体" w:hAnsi="宋体" w:eastAsia="宋体" w:cs="宋体"/>
                <w:szCs w:val="21"/>
              </w:rPr>
              <w:t>37、嵌入式系统版本不低于Android 14，内存≥2GB，存储空间≥8GB。</w:t>
            </w:r>
            <w:r>
              <w:rPr>
                <w:rFonts w:hint="eastAsia" w:ascii="宋体" w:hAnsi="宋体" w:eastAsia="宋体" w:cs="宋体"/>
                <w:szCs w:val="21"/>
              </w:rPr>
              <w:br w:type="textWrapping"/>
            </w:r>
            <w:r>
              <w:rPr>
                <w:rFonts w:hint="eastAsia" w:ascii="宋体" w:hAnsi="宋体" w:eastAsia="宋体" w:cs="宋体"/>
                <w:szCs w:val="21"/>
              </w:rPr>
              <w:t>38、无PC状态下，嵌入式Android操作系统下可使用白板书写、WPS软件和网页浏览。</w:t>
            </w:r>
            <w:r>
              <w:rPr>
                <w:rFonts w:hint="eastAsia" w:ascii="宋体" w:hAnsi="宋体" w:eastAsia="宋体" w:cs="宋体"/>
                <w:szCs w:val="21"/>
              </w:rPr>
              <w:br w:type="textWrapping"/>
            </w:r>
            <w:r>
              <w:rPr>
                <w:rFonts w:hint="eastAsia" w:ascii="宋体" w:hAnsi="宋体" w:eastAsia="宋体" w:cs="宋体"/>
                <w:szCs w:val="21"/>
              </w:rPr>
              <w:t>九、触摸系统</w:t>
            </w:r>
            <w:r>
              <w:rPr>
                <w:rFonts w:hint="eastAsia" w:ascii="宋体" w:hAnsi="宋体" w:eastAsia="宋体" w:cs="宋体"/>
                <w:szCs w:val="21"/>
              </w:rPr>
              <w:br w:type="textWrapping"/>
            </w:r>
            <w:r>
              <w:rPr>
                <w:rFonts w:hint="eastAsia" w:ascii="宋体" w:hAnsi="宋体" w:eastAsia="宋体" w:cs="宋体"/>
                <w:szCs w:val="21"/>
              </w:rPr>
              <w:t>39、采用红外触控方式，支持Windows系统中进行40点或以上触控，支持在Android系统中进行40点或以上触控。</w:t>
            </w:r>
            <w:r>
              <w:rPr>
                <w:rFonts w:hint="eastAsia" w:ascii="宋体" w:hAnsi="宋体" w:eastAsia="宋体" w:cs="宋体"/>
                <w:szCs w:val="21"/>
              </w:rPr>
              <w:br w:type="textWrapping"/>
            </w:r>
            <w:r>
              <w:rPr>
                <w:rFonts w:hint="eastAsia" w:ascii="宋体" w:hAnsi="宋体" w:eastAsia="宋体" w:cs="宋体"/>
                <w:szCs w:val="21"/>
              </w:rPr>
              <w:t>40、触控性能：触摸分辨率≥32768×32768，触摸响应时间≤4ms，触摸最小识别物≤3mm。</w:t>
            </w:r>
            <w:r>
              <w:rPr>
                <w:rFonts w:hint="eastAsia" w:ascii="宋体" w:hAnsi="宋体" w:eastAsia="宋体" w:cs="宋体"/>
                <w:szCs w:val="21"/>
              </w:rPr>
              <w:br w:type="textWrapping"/>
            </w:r>
            <w:r>
              <w:rPr>
                <w:rFonts w:hint="eastAsia" w:ascii="宋体" w:hAnsi="宋体" w:eastAsia="宋体" w:cs="宋体"/>
                <w:szCs w:val="21"/>
              </w:rPr>
              <w:t>41、触摸高度：整机屏幕触摸有效识别高度不超过1.5mm，即触摸物体距离玻璃外表面高度不超过1.5mm时，触摸屏识别为点击操作。</w:t>
            </w:r>
            <w:r>
              <w:rPr>
                <w:rFonts w:hint="eastAsia" w:ascii="宋体" w:hAnsi="宋体" w:eastAsia="宋体" w:cs="宋体"/>
                <w:szCs w:val="21"/>
              </w:rPr>
              <w:br w:type="textWrapping"/>
            </w:r>
            <w:r>
              <w:rPr>
                <w:rFonts w:hint="eastAsia" w:ascii="宋体" w:hAnsi="宋体" w:eastAsia="宋体" w:cs="宋体"/>
                <w:szCs w:val="21"/>
              </w:rPr>
              <w:t>42、整机系统支持书写触控延迟≤25ms，触控书写功能集成预测算法，在书写速度≥50cm/s，支持笔迹距离笔的距离小于20mm。</w:t>
            </w:r>
            <w:r>
              <w:rPr>
                <w:rFonts w:hint="eastAsia" w:ascii="宋体" w:hAnsi="宋体" w:eastAsia="宋体" w:cs="宋体"/>
                <w:szCs w:val="21"/>
              </w:rPr>
              <w:br w:type="textWrapping"/>
            </w:r>
            <w:r>
              <w:rPr>
                <w:rFonts w:hint="eastAsia" w:ascii="宋体" w:hAnsi="宋体" w:eastAsia="宋体" w:cs="宋体"/>
                <w:szCs w:val="21"/>
              </w:rPr>
              <w:t>43、整机支持提笔书写，在Windows系统下可实现无需点击任意功能入口，当检测到红外笔笔尖接触屏幕时，自动进入书写模式。</w:t>
            </w:r>
            <w:r>
              <w:rPr>
                <w:rFonts w:hint="eastAsia" w:ascii="宋体" w:hAnsi="宋体" w:eastAsia="宋体" w:cs="宋体"/>
                <w:szCs w:val="21"/>
              </w:rPr>
              <w:br w:type="textWrapping"/>
            </w:r>
            <w:r>
              <w:rPr>
                <w:rFonts w:hint="eastAsia" w:ascii="宋体" w:hAnsi="宋体" w:eastAsia="宋体" w:cs="宋体"/>
                <w:szCs w:val="21"/>
              </w:rPr>
              <w:t>44、整机触摸支持动态压力感应，支持无任何电子功能的普通书写笔在整机上书写或点压时，整机能感应压力变化，书写或点压过程笔迹呈现不同粗细。</w:t>
            </w:r>
            <w:r>
              <w:rPr>
                <w:rFonts w:hint="eastAsia" w:ascii="宋体" w:hAnsi="宋体" w:eastAsia="宋体" w:cs="宋体"/>
                <w:szCs w:val="21"/>
              </w:rPr>
              <w:br w:type="textWrapping"/>
            </w:r>
            <w:r>
              <w:rPr>
                <w:rFonts w:hint="eastAsia" w:ascii="宋体" w:hAnsi="宋体" w:eastAsia="宋体" w:cs="宋体"/>
                <w:szCs w:val="21"/>
              </w:rPr>
              <w:t>45、整机支持手笔分离，通过提笔即写唤醒批注功能后，可进行手笔分离功能，使用笔正常书写，使用手指可以操作应用，进行点击操作。</w:t>
            </w:r>
            <w:r>
              <w:rPr>
                <w:rFonts w:hint="eastAsia" w:ascii="宋体" w:hAnsi="宋体" w:eastAsia="宋体" w:cs="宋体"/>
                <w:szCs w:val="21"/>
              </w:rPr>
              <w:br w:type="textWrapping"/>
            </w:r>
            <w:r>
              <w:rPr>
                <w:rFonts w:hint="eastAsia" w:ascii="宋体" w:hAnsi="宋体" w:eastAsia="宋体" w:cs="宋体"/>
                <w:szCs w:val="21"/>
              </w:rPr>
              <w:t>46、触摸屏具有防遮挡功能，触摸接收器在单点或多点遮挡后仍能正常书写。</w:t>
            </w:r>
            <w:r>
              <w:rPr>
                <w:rFonts w:hint="eastAsia" w:ascii="宋体" w:hAnsi="宋体" w:eastAsia="宋体" w:cs="宋体"/>
                <w:szCs w:val="21"/>
              </w:rPr>
              <w:br w:type="textWrapping"/>
            </w:r>
            <w:r>
              <w:rPr>
                <w:rFonts w:hint="eastAsia" w:ascii="宋体" w:hAnsi="宋体" w:eastAsia="宋体" w:cs="宋体"/>
                <w:szCs w:val="21"/>
              </w:rPr>
              <w:t>47、触摸屏在照度100K Lux环境下仍能正常工作。</w:t>
            </w:r>
            <w:r>
              <w:rPr>
                <w:rFonts w:hint="eastAsia" w:ascii="宋体" w:hAnsi="宋体" w:eastAsia="宋体" w:cs="宋体"/>
                <w:szCs w:val="21"/>
              </w:rPr>
              <w:br w:type="textWrapping"/>
            </w:r>
            <w:r>
              <w:rPr>
                <w:rFonts w:hint="eastAsia" w:ascii="宋体" w:hAnsi="宋体" w:eastAsia="宋体" w:cs="宋体"/>
                <w:szCs w:val="21"/>
              </w:rPr>
              <w:t>48、支持Windows 7、Windows 8、Windows 10、Windows 11、Linux、Mac Os、UOS和麒麟系统外置电脑操作系统接入时，无需安装触摸驱动。</w:t>
            </w:r>
            <w:r>
              <w:rPr>
                <w:rFonts w:hint="eastAsia" w:ascii="宋体" w:hAnsi="宋体" w:eastAsia="宋体" w:cs="宋体"/>
                <w:szCs w:val="21"/>
              </w:rPr>
              <w:br w:type="textWrapping"/>
            </w:r>
            <w:r>
              <w:rPr>
                <w:rFonts w:hint="eastAsia" w:ascii="宋体" w:hAnsi="宋体" w:eastAsia="宋体" w:cs="宋体"/>
                <w:szCs w:val="21"/>
              </w:rPr>
              <w:t>十、电脑模块</w:t>
            </w:r>
            <w:r>
              <w:rPr>
                <w:rFonts w:hint="eastAsia" w:ascii="宋体" w:hAnsi="宋体" w:eastAsia="宋体" w:cs="宋体"/>
                <w:szCs w:val="21"/>
              </w:rPr>
              <w:br w:type="textWrapping"/>
            </w:r>
            <w:r>
              <w:rPr>
                <w:rFonts w:hint="eastAsia" w:ascii="宋体" w:hAnsi="宋体" w:eastAsia="宋体" w:cs="宋体"/>
                <w:szCs w:val="21"/>
              </w:rPr>
              <w:t>49、搭载Intel酷睿系列i7  12代或以上CPU，配置8GB DDR4或以上内存，配置256 GB或以上SSD固态硬盘。和整机的连接采用万兆级接口，传输速率≥10Gbps。采用按压式卡扣，无需工具就可快速拆卸电脑模块。具有独立非外扩展的接口：≥1路HDMI，≥3路USB。</w:t>
            </w:r>
          </w:p>
        </w:tc>
      </w:tr>
      <w:tr w14:paraId="39BCC6FE">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7AC6D8D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w:t>
            </w:r>
          </w:p>
        </w:tc>
        <w:tc>
          <w:tcPr>
            <w:tcW w:w="629" w:type="pct"/>
            <w:tcBorders>
              <w:top w:val="single" w:color="000000" w:sz="4" w:space="0"/>
              <w:left w:val="nil"/>
              <w:bottom w:val="single" w:color="000000" w:sz="4" w:space="0"/>
              <w:right w:val="single" w:color="000000" w:sz="4" w:space="0"/>
            </w:tcBorders>
            <w:vAlign w:val="center"/>
          </w:tcPr>
          <w:p w14:paraId="4732EEF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录播主机（含系统）</w:t>
            </w:r>
          </w:p>
        </w:tc>
        <w:tc>
          <w:tcPr>
            <w:tcW w:w="3942" w:type="pct"/>
            <w:tcBorders>
              <w:top w:val="single" w:color="000000" w:sz="4" w:space="0"/>
              <w:left w:val="nil"/>
              <w:bottom w:val="single" w:color="000000" w:sz="4" w:space="0"/>
              <w:right w:val="single" w:color="000000" w:sz="4" w:space="0"/>
            </w:tcBorders>
            <w:vAlign w:val="center"/>
          </w:tcPr>
          <w:p w14:paraId="1383923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★需接入校方现有录播管理及相关软件、讲台中控，实现统一管理控制（无需另加设备）。投标前投标人自行携样入校接入测试，投标文件中提供接入校方原有平台并实现平台各管控功能的承诺书。。</w:t>
            </w:r>
          </w:p>
          <w:p w14:paraId="28BF1A2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1.为保证系统整体编解码性能及使用稳定性，主机需采用ARM架构处理器，Linux操作系统，具备≥6核CPU。 </w:t>
            </w:r>
            <w:r>
              <w:rPr>
                <w:rFonts w:hint="eastAsia" w:ascii="宋体" w:hAnsi="宋体" w:eastAsia="宋体" w:cs="宋体"/>
                <w:szCs w:val="21"/>
              </w:rPr>
              <w:br w:type="textWrapping"/>
            </w:r>
            <w:r>
              <w:rPr>
                <w:rFonts w:hint="eastAsia" w:ascii="宋体" w:hAnsi="宋体" w:eastAsia="宋体" w:cs="宋体"/>
                <w:szCs w:val="21"/>
              </w:rPr>
              <w:t>2.主机系统内存≥8GB,主机存储容量不低于1TB</w:t>
            </w:r>
            <w:r>
              <w:rPr>
                <w:rFonts w:hint="eastAsia" w:ascii="宋体" w:hAnsi="宋体" w:eastAsia="宋体" w:cs="宋体"/>
                <w:szCs w:val="21"/>
              </w:rPr>
              <w:br w:type="textWrapping"/>
            </w:r>
            <w:r>
              <w:rPr>
                <w:rFonts w:hint="eastAsia" w:ascii="宋体" w:hAnsi="宋体" w:eastAsia="宋体" w:cs="宋体"/>
                <w:szCs w:val="21"/>
              </w:rPr>
              <w:t>★3.为保证不影响授课，主机无风扇设计，主机噪声小于20dB（A）。</w:t>
            </w:r>
            <w:r>
              <w:rPr>
                <w:rFonts w:hint="eastAsia" w:ascii="宋体" w:hAnsi="宋体" w:eastAsia="宋体" w:cs="宋体"/>
                <w:szCs w:val="21"/>
              </w:rPr>
              <w:br w:type="textWrapping"/>
            </w:r>
            <w:r>
              <w:rPr>
                <w:rFonts w:hint="eastAsia" w:ascii="宋体" w:hAnsi="宋体" w:eastAsia="宋体" w:cs="宋体"/>
                <w:szCs w:val="21"/>
              </w:rPr>
              <w:t xml:space="preserve">4.主机支持标准USB音视频信号输出，通过主机Type-C接口可以实现图像和声音同步输出，输出音频可通过主机控制软件实现混音，兼容主流视频会议软件。 </w:t>
            </w:r>
            <w:r>
              <w:rPr>
                <w:rFonts w:hint="eastAsia" w:ascii="宋体" w:hAnsi="宋体" w:eastAsia="宋体" w:cs="宋体"/>
                <w:szCs w:val="21"/>
              </w:rPr>
              <w:br w:type="textWrapping"/>
            </w:r>
            <w:r>
              <w:rPr>
                <w:rFonts w:hint="eastAsia" w:ascii="宋体" w:hAnsi="宋体" w:eastAsia="宋体" w:cs="宋体"/>
                <w:szCs w:val="21"/>
              </w:rPr>
              <w:t>5.主机采用高度集成化设计，能够独立完成视频采集、音频采集、音频编码、视频编码、音频处理、视频处理、直播、录制、互动、远程运维参数设置功能。</w:t>
            </w:r>
            <w:r>
              <w:rPr>
                <w:rFonts w:hint="eastAsia" w:ascii="宋体" w:hAnsi="宋体" w:eastAsia="宋体" w:cs="宋体"/>
                <w:szCs w:val="21"/>
              </w:rPr>
              <w:br w:type="textWrapping"/>
            </w:r>
            <w:r>
              <w:rPr>
                <w:rFonts w:hint="eastAsia" w:ascii="宋体" w:hAnsi="宋体" w:eastAsia="宋体" w:cs="宋体"/>
                <w:szCs w:val="21"/>
              </w:rPr>
              <w:t xml:space="preserve">6.内置音频接收模块。无需外接无线音频接收模块，即可完成无线音频采集，支持同时≥2个无线麦克风接入，且同时支持≥2种对频模式。 </w:t>
            </w:r>
            <w:r>
              <w:rPr>
                <w:rFonts w:hint="eastAsia" w:ascii="宋体" w:hAnsi="宋体" w:eastAsia="宋体" w:cs="宋体"/>
                <w:szCs w:val="21"/>
              </w:rPr>
              <w:br w:type="textWrapping"/>
            </w:r>
            <w:r>
              <w:rPr>
                <w:rFonts w:hint="eastAsia" w:ascii="宋体" w:hAnsi="宋体" w:eastAsia="宋体" w:cs="宋体"/>
                <w:szCs w:val="21"/>
              </w:rPr>
              <w:t>7.支持断电扩声，在主机完全断电的情况下，从主机线性音频通道上输入的音频可以从主机输出通道输出，且≥2个音频输入通道可以支持该功能。</w:t>
            </w:r>
            <w:r>
              <w:rPr>
                <w:rFonts w:hint="eastAsia" w:ascii="宋体" w:hAnsi="宋体" w:eastAsia="宋体" w:cs="宋体"/>
                <w:szCs w:val="21"/>
              </w:rPr>
              <w:br w:type="textWrapping"/>
            </w:r>
            <w:r>
              <w:rPr>
                <w:rFonts w:hint="eastAsia" w:ascii="宋体" w:hAnsi="宋体" w:eastAsia="宋体" w:cs="宋体"/>
                <w:szCs w:val="21"/>
              </w:rPr>
              <w:t>★8.支持自动息屏功能，可设置息屏时间，支持 1min、3min、5min、10min 选择。</w:t>
            </w:r>
            <w:r>
              <w:rPr>
                <w:rFonts w:hint="eastAsia" w:ascii="宋体" w:hAnsi="宋体" w:eastAsia="宋体" w:cs="宋体"/>
                <w:szCs w:val="21"/>
              </w:rPr>
              <w:br w:type="textWrapping"/>
            </w:r>
            <w:r>
              <w:rPr>
                <w:rFonts w:hint="eastAsia" w:ascii="宋体" w:hAnsi="宋体" w:eastAsia="宋体" w:cs="宋体"/>
                <w:szCs w:val="21"/>
              </w:rPr>
              <w:t xml:space="preserve">9.支持≥4路高清视频输出，视频输出可同一时间输出分辨率不小于4K的不同视频源。 </w:t>
            </w:r>
            <w:r>
              <w:rPr>
                <w:rFonts w:hint="eastAsia" w:ascii="宋体" w:hAnsi="宋体" w:eastAsia="宋体" w:cs="宋体"/>
                <w:szCs w:val="21"/>
              </w:rPr>
              <w:br w:type="textWrapping"/>
            </w:r>
            <w:r>
              <w:rPr>
                <w:rFonts w:hint="eastAsia" w:ascii="宋体" w:hAnsi="宋体" w:eastAsia="宋体" w:cs="宋体"/>
                <w:szCs w:val="21"/>
              </w:rPr>
              <w:t>10.音频接口：≥2个线路立体声音输入，≥2个线路立体声音频输出。</w:t>
            </w:r>
            <w:r>
              <w:rPr>
                <w:rFonts w:hint="eastAsia" w:ascii="宋体" w:hAnsi="宋体" w:eastAsia="宋体" w:cs="宋体"/>
                <w:szCs w:val="21"/>
              </w:rPr>
              <w:br w:type="textWrapping"/>
            </w:r>
            <w:r>
              <w:rPr>
                <w:rFonts w:hint="eastAsia" w:ascii="宋体" w:hAnsi="宋体" w:eastAsia="宋体" w:cs="宋体"/>
                <w:szCs w:val="21"/>
              </w:rPr>
              <w:t>11.支持≥1个阵列麦克风输入接口，可在不接入音频处理器的情况下，通过一根网线就可以完成阵列麦克风接入主机，通过一根网线可以实现麦克风的供电、音频信号传输、音频参数设置，支持数字音频传输。</w:t>
            </w:r>
            <w:r>
              <w:rPr>
                <w:rFonts w:hint="eastAsia" w:ascii="宋体" w:hAnsi="宋体" w:eastAsia="宋体" w:cs="宋体"/>
                <w:szCs w:val="21"/>
              </w:rPr>
              <w:br w:type="textWrapping"/>
            </w:r>
            <w:r>
              <w:rPr>
                <w:rFonts w:hint="eastAsia" w:ascii="宋体" w:hAnsi="宋体" w:eastAsia="宋体" w:cs="宋体"/>
                <w:szCs w:val="21"/>
              </w:rPr>
              <w:t>12.主机采用多功能电源按键，通过一个按键可以实现开机、关机、节能待机。</w:t>
            </w:r>
            <w:r>
              <w:rPr>
                <w:rFonts w:hint="eastAsia" w:ascii="宋体" w:hAnsi="宋体" w:eastAsia="宋体" w:cs="宋体"/>
                <w:szCs w:val="21"/>
              </w:rPr>
              <w:br w:type="textWrapping"/>
            </w:r>
            <w:r>
              <w:rPr>
                <w:rFonts w:hint="eastAsia" w:ascii="宋体" w:hAnsi="宋体" w:eastAsia="宋体" w:cs="宋体"/>
                <w:szCs w:val="21"/>
              </w:rPr>
              <w:t>13.支持 H.264视频编码与解码，可扩展支持H.265 编码/解码。</w:t>
            </w:r>
            <w:r>
              <w:rPr>
                <w:rFonts w:hint="eastAsia" w:ascii="宋体" w:hAnsi="宋体" w:eastAsia="宋体" w:cs="宋体"/>
                <w:szCs w:val="21"/>
              </w:rPr>
              <w:br w:type="textWrapping"/>
            </w:r>
            <w:r>
              <w:rPr>
                <w:rFonts w:hint="eastAsia" w:ascii="宋体" w:hAnsi="宋体" w:eastAsia="宋体" w:cs="宋体"/>
                <w:szCs w:val="21"/>
              </w:rPr>
              <w:t>★14.支持≥2种录制视频自动分段模式：支持按照文件大小分段，可选择500MB，1GB，2GB进行分段录制；支持按照录制时长分段，可选择30分钟、60分钟。</w:t>
            </w:r>
            <w:r>
              <w:rPr>
                <w:rFonts w:hint="eastAsia" w:ascii="宋体" w:hAnsi="宋体" w:eastAsia="宋体" w:cs="宋体"/>
                <w:szCs w:val="21"/>
              </w:rPr>
              <w:br w:type="textWrapping"/>
            </w:r>
            <w:r>
              <w:rPr>
                <w:rFonts w:hint="eastAsia" w:ascii="宋体" w:hAnsi="宋体" w:eastAsia="宋体" w:cs="宋体"/>
                <w:szCs w:val="21"/>
              </w:rPr>
              <w:t>15.支持网络监测功能，无需安装第三方软件，在触控屏幕上显示教室网络状态，包括：服务联通性、网络稳定性、上下行速度、网络追踪性、网卡信息；检测结果以折线图方式实时呈现网络稳定性、上行速度和下行速度。</w:t>
            </w:r>
            <w:r>
              <w:rPr>
                <w:rFonts w:hint="eastAsia" w:ascii="宋体" w:hAnsi="宋体" w:eastAsia="宋体" w:cs="宋体"/>
                <w:szCs w:val="21"/>
              </w:rPr>
              <w:br w:type="textWrapping"/>
            </w:r>
            <w:r>
              <w:rPr>
                <w:rFonts w:hint="eastAsia" w:ascii="宋体" w:hAnsi="宋体" w:eastAsia="宋体" w:cs="宋体"/>
                <w:szCs w:val="21"/>
              </w:rPr>
              <w:t>16.主机网口支持10/100/1000Mbps自适应，支持 IPV4，IPV6。</w:t>
            </w:r>
            <w:r>
              <w:rPr>
                <w:rFonts w:hint="eastAsia" w:ascii="宋体" w:hAnsi="宋体" w:eastAsia="宋体" w:cs="宋体"/>
                <w:szCs w:val="21"/>
              </w:rPr>
              <w:br w:type="textWrapping"/>
            </w:r>
            <w:r>
              <w:rPr>
                <w:rFonts w:hint="eastAsia" w:ascii="宋体" w:hAnsi="宋体" w:eastAsia="宋体" w:cs="宋体"/>
                <w:szCs w:val="21"/>
              </w:rPr>
              <w:t xml:space="preserve">17.主机内置扬声器，支持音频检测，通过主机内置扬声器可以播放测试音频，通过主机一体化屏幕进行视频预览时能够同步播放音频，且可控制播放音频音量大小。 </w:t>
            </w:r>
            <w:r>
              <w:rPr>
                <w:rFonts w:hint="eastAsia" w:ascii="宋体" w:hAnsi="宋体" w:eastAsia="宋体" w:cs="宋体"/>
                <w:szCs w:val="21"/>
              </w:rPr>
              <w:br w:type="textWrapping"/>
            </w:r>
            <w:r>
              <w:rPr>
                <w:rFonts w:hint="eastAsia" w:ascii="宋体" w:hAnsi="宋体" w:eastAsia="宋体" w:cs="宋体"/>
                <w:szCs w:val="21"/>
              </w:rPr>
              <w:t>18.支持串口通信，可通过中控协议实现中控控制，控制开关机、开始/暂停/停止录制。</w:t>
            </w:r>
            <w:r>
              <w:rPr>
                <w:rFonts w:hint="eastAsia" w:ascii="宋体" w:hAnsi="宋体" w:eastAsia="宋体" w:cs="宋体"/>
                <w:szCs w:val="21"/>
              </w:rPr>
              <w:br w:type="textWrapping"/>
            </w:r>
            <w:r>
              <w:rPr>
                <w:rFonts w:hint="eastAsia" w:ascii="宋体" w:hAnsi="宋体" w:eastAsia="宋体" w:cs="宋体"/>
                <w:szCs w:val="21"/>
              </w:rPr>
              <w:t>19. 支持调用智慧黑板的前置摄像头、教师学生摄像机，拍摄教室中学生画面，管控摄像头视频流，在录播主机上自动切换学生全景、教师全景、教师特写、电脑桌面等不同画面。</w:t>
            </w:r>
            <w:r>
              <w:rPr>
                <w:rFonts w:hint="eastAsia" w:ascii="宋体" w:hAnsi="宋体" w:eastAsia="宋体" w:cs="宋体"/>
                <w:b/>
                <w:bCs/>
                <w:color w:val="FF0000"/>
                <w:szCs w:val="21"/>
              </w:rPr>
              <w:t>（要求演示，见演示要求部分）</w:t>
            </w:r>
          </w:p>
          <w:p w14:paraId="15EAEA8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20音频编码码率支持320Kbps并向下兼容。采样率支持48kHz。</w:t>
            </w:r>
            <w:r>
              <w:rPr>
                <w:rFonts w:hint="eastAsia" w:ascii="宋体" w:hAnsi="宋体" w:eastAsia="宋体" w:cs="宋体"/>
                <w:szCs w:val="21"/>
              </w:rPr>
              <w:br w:type="textWrapping"/>
            </w:r>
            <w:r>
              <w:rPr>
                <w:rFonts w:hint="eastAsia" w:ascii="宋体" w:hAnsi="宋体" w:eastAsia="宋体" w:cs="宋体"/>
                <w:szCs w:val="21"/>
              </w:rPr>
              <w:t>21.主机采用≥15英寸触控屏幕，屏幕分辨率≥1920*1080。</w:t>
            </w:r>
            <w:r>
              <w:rPr>
                <w:rFonts w:hint="eastAsia" w:ascii="宋体" w:hAnsi="宋体" w:eastAsia="宋体" w:cs="宋体"/>
                <w:szCs w:val="21"/>
              </w:rPr>
              <w:br w:type="textWrapping"/>
            </w:r>
            <w:r>
              <w:rPr>
                <w:rFonts w:hint="eastAsia" w:ascii="宋体" w:hAnsi="宋体" w:eastAsia="宋体" w:cs="宋体"/>
                <w:szCs w:val="21"/>
              </w:rPr>
              <w:t>22.为保证设备稳定运行，要求设备平均无故障运行时间（MTBF）≥220000小时。</w:t>
            </w:r>
            <w:r>
              <w:rPr>
                <w:rFonts w:hint="eastAsia" w:ascii="宋体" w:hAnsi="宋体" w:eastAsia="宋体" w:cs="宋体"/>
                <w:szCs w:val="21"/>
              </w:rPr>
              <w:br w:type="textWrapping"/>
            </w:r>
            <w:r>
              <w:rPr>
                <w:rFonts w:hint="eastAsia" w:ascii="宋体" w:hAnsi="宋体" w:eastAsia="宋体" w:cs="宋体"/>
                <w:szCs w:val="21"/>
              </w:rPr>
              <w:t>23.为实现系统兼容开放及稳定性，录播主机需与原有建设智慧讲台对接，可实现在智慧讲台实现课程的录制、暂停、结束等操作。</w:t>
            </w:r>
            <w:r>
              <w:rPr>
                <w:rFonts w:hint="eastAsia" w:ascii="宋体" w:hAnsi="宋体" w:eastAsia="宋体" w:cs="宋体"/>
                <w:szCs w:val="21"/>
              </w:rPr>
              <w:br w:type="textWrapping"/>
            </w:r>
            <w:r>
              <w:rPr>
                <w:rFonts w:hint="eastAsia" w:ascii="宋体" w:hAnsi="宋体" w:eastAsia="宋体" w:cs="宋体"/>
                <w:szCs w:val="21"/>
              </w:rPr>
              <w:t>24.录播系统与智慧讲台连接，无需借助第三方设备及软件，支持智慧讲台辅屏上显示录播主机的合成画面，同时支持辅屏。</w:t>
            </w:r>
          </w:p>
          <w:p w14:paraId="6F4CB23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25. 支持接入校方基于录播设备的教学平台（巡课、课程评价等功能），实现在视频巡课时直接查看相关课堂信息、课件信息、课程分析，基于课程视频选择评价模板进行教学评价等。</w:t>
            </w:r>
            <w:r>
              <w:rPr>
                <w:rFonts w:hint="eastAsia" w:ascii="宋体" w:hAnsi="宋体" w:eastAsia="宋体" w:cs="宋体"/>
                <w:b/>
                <w:bCs/>
                <w:color w:val="FF0000"/>
                <w:szCs w:val="21"/>
              </w:rPr>
              <w:t>（要求演示，见演示要求部分）</w:t>
            </w:r>
          </w:p>
          <w:p w14:paraId="65D3B0BF">
            <w:pPr>
              <w:spacing w:before="120" w:beforeLines="50" w:after="120" w:afterLines="50" w:line="340" w:lineRule="exact"/>
              <w:jc w:val="left"/>
              <w:rPr>
                <w:rFonts w:ascii="宋体" w:hAnsi="宋体" w:eastAsia="宋体" w:cs="宋体"/>
                <w:b/>
                <w:bCs/>
                <w:szCs w:val="21"/>
              </w:rPr>
            </w:pPr>
            <w:r>
              <w:rPr>
                <w:rFonts w:hint="eastAsia" w:ascii="宋体" w:hAnsi="宋体" w:eastAsia="宋体" w:cs="宋体"/>
                <w:szCs w:val="21"/>
              </w:rPr>
              <w:t>26.支持多种画面模式，支持单画面、画中画、左右等分、三画面、四画面多种画面合成模式，支持自动导播、手动导播，可通过互动录播电脑主机一体化触控屏实现模式选择。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szCs w:val="21"/>
              </w:rPr>
              <w:br w:type="textWrapping"/>
            </w:r>
            <w:r>
              <w:rPr>
                <w:rFonts w:hint="eastAsia" w:ascii="宋体" w:hAnsi="宋体" w:eastAsia="宋体" w:cs="宋体"/>
                <w:szCs w:val="21"/>
              </w:rPr>
              <w:t>27.支持本地导播、远程导播，本地导播可通过互动录播电脑主机一体化触控屏实现本地导播控制。</w:t>
            </w:r>
            <w:r>
              <w:rPr>
                <w:rFonts w:hint="eastAsia" w:ascii="宋体" w:hAnsi="宋体" w:eastAsia="宋体" w:cs="宋体"/>
                <w:szCs w:val="21"/>
              </w:rPr>
              <w:br w:type="textWrapping"/>
            </w:r>
            <w:r>
              <w:rPr>
                <w:rFonts w:hint="eastAsia" w:ascii="宋体" w:hAnsi="宋体" w:eastAsia="宋体" w:cs="宋体"/>
                <w:szCs w:val="21"/>
              </w:rPr>
              <w:t>28.支持课件画面自动检测。</w:t>
            </w:r>
            <w:r>
              <w:rPr>
                <w:rFonts w:hint="eastAsia" w:ascii="宋体" w:hAnsi="宋体" w:eastAsia="宋体" w:cs="宋体"/>
                <w:szCs w:val="21"/>
              </w:rPr>
              <w:br w:type="textWrapping"/>
            </w:r>
            <w:r>
              <w:rPr>
                <w:rFonts w:hint="eastAsia" w:ascii="宋体" w:hAnsi="宋体" w:eastAsia="宋体" w:cs="宋体"/>
                <w:szCs w:val="21"/>
              </w:rPr>
              <w:t>29.支持导入与导出互动录播主机配置文件，进行升级和调试。</w:t>
            </w:r>
            <w:r>
              <w:rPr>
                <w:rFonts w:hint="eastAsia" w:ascii="宋体" w:hAnsi="宋体" w:eastAsia="宋体" w:cs="宋体"/>
                <w:szCs w:val="21"/>
              </w:rPr>
              <w:br w:type="textWrapping"/>
            </w:r>
            <w:r>
              <w:rPr>
                <w:rFonts w:hint="eastAsia" w:ascii="宋体" w:hAnsi="宋体" w:eastAsia="宋体" w:cs="宋体"/>
                <w:szCs w:val="21"/>
              </w:rPr>
              <w:t>30.在导播界面的预览窗口可实时观看教师全景/特写、学生全景/特写、多媒体电脑共五路画面，点击可进行画面切换。预监画面可实时推流给资源平台，实现平台直播。</w:t>
            </w:r>
            <w:r>
              <w:rPr>
                <w:rFonts w:hint="eastAsia" w:ascii="宋体" w:hAnsi="宋体" w:eastAsia="宋体" w:cs="宋体"/>
                <w:szCs w:val="21"/>
              </w:rPr>
              <w:br w:type="textWrapping"/>
            </w:r>
            <w:r>
              <w:rPr>
                <w:rFonts w:hint="eastAsia" w:ascii="宋体" w:hAnsi="宋体" w:eastAsia="宋体" w:cs="宋体"/>
                <w:szCs w:val="21"/>
              </w:rPr>
              <w:t>31.支持电影模式和资源模式同步录制，可根据用户的不同需求选择录制模式。</w:t>
            </w:r>
          </w:p>
          <w:p w14:paraId="73FACDF2">
            <w:pPr>
              <w:spacing w:before="120" w:beforeLines="50" w:after="120" w:afterLines="50" w:line="340" w:lineRule="exact"/>
              <w:jc w:val="left"/>
              <w:rPr>
                <w:rFonts w:ascii="宋体" w:hAnsi="宋体" w:eastAsia="宋体" w:cs="宋体"/>
                <w:b/>
                <w:bCs/>
                <w:szCs w:val="21"/>
              </w:rPr>
            </w:pPr>
            <w:r>
              <w:rPr>
                <w:rFonts w:hint="eastAsia" w:ascii="宋体" w:hAnsi="宋体" w:eastAsia="宋体" w:cs="宋体"/>
                <w:b/>
                <w:bCs/>
                <w:szCs w:val="21"/>
              </w:rPr>
              <w:t>导播控制系统：</w:t>
            </w:r>
          </w:p>
          <w:p w14:paraId="6D44A03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1.自动导播：用户可直接在触控录播主机上进行操作，一键启停，所见即所得，保证较好的实时性和流畅性。</w:t>
            </w:r>
          </w:p>
          <w:p w14:paraId="6FB4841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2.支持视频H.264/ H.265编码，支持音频AAC/PCM编码，音视频同步录制，标准的流媒体MP4文件格式。</w:t>
            </w:r>
          </w:p>
          <w:p w14:paraId="1824AB0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3.在导播界面的预览窗口可实时观看教师全景/特写、学生全景/特写、多媒体电脑共五路画面，点击可进行画面切换。预监画面可实时推流给资源平台，实现平台直播。</w:t>
            </w:r>
          </w:p>
          <w:p w14:paraId="4ACFCFCF">
            <w:pPr>
              <w:spacing w:before="120" w:beforeLines="50" w:after="120" w:afterLines="50" w:line="340" w:lineRule="exact"/>
              <w:jc w:val="left"/>
              <w:rPr>
                <w:rFonts w:ascii="宋体" w:hAnsi="宋体" w:eastAsia="宋体" w:cs="宋体"/>
                <w:szCs w:val="21"/>
              </w:rPr>
            </w:pPr>
            <w:r>
              <w:rPr>
                <w:rFonts w:hint="eastAsia" w:ascii="宋体" w:hAnsi="宋体" w:eastAsia="宋体" w:cs="宋体"/>
                <w:b/>
                <w:bCs/>
                <w:szCs w:val="21"/>
              </w:rPr>
              <w:t>图像智能跟踪定位系统：</w:t>
            </w:r>
            <w:r>
              <w:rPr>
                <w:rFonts w:hint="eastAsia" w:ascii="宋体" w:hAnsi="宋体" w:eastAsia="宋体" w:cs="宋体"/>
                <w:szCs w:val="21"/>
              </w:rPr>
              <w:br w:type="textWrapping"/>
            </w:r>
            <w:r>
              <w:rPr>
                <w:rFonts w:hint="eastAsia" w:ascii="宋体" w:hAnsi="宋体" w:eastAsia="宋体" w:cs="宋体"/>
                <w:szCs w:val="21"/>
              </w:rPr>
              <w:t>1.4K高清摄像机内嵌智能跟踪算法，无需单独安装定位跟踪主机及其他任何辅助拍摄设备，即可实现跟踪定位控制功能。</w:t>
            </w:r>
            <w:r>
              <w:rPr>
                <w:rFonts w:hint="eastAsia" w:ascii="宋体" w:hAnsi="宋体" w:eastAsia="宋体" w:cs="宋体"/>
                <w:szCs w:val="21"/>
              </w:rPr>
              <w:br w:type="textWrapping"/>
            </w:r>
            <w:r>
              <w:rPr>
                <w:rFonts w:hint="eastAsia" w:ascii="宋体" w:hAnsi="宋体" w:eastAsia="宋体" w:cs="宋体"/>
                <w:szCs w:val="21"/>
              </w:rPr>
              <w:t>2.支持多种类型视频信号接入，支持标准网络视频信号接入、数字信号接入。</w:t>
            </w:r>
            <w:r>
              <w:rPr>
                <w:rFonts w:hint="eastAsia" w:ascii="宋体" w:hAnsi="宋体" w:eastAsia="宋体" w:cs="宋体"/>
                <w:szCs w:val="21"/>
              </w:rPr>
              <w:br w:type="textWrapping"/>
            </w:r>
            <w:r>
              <w:rPr>
                <w:rFonts w:hint="eastAsia" w:ascii="宋体" w:hAnsi="宋体" w:eastAsia="宋体" w:cs="宋体"/>
                <w:szCs w:val="21"/>
              </w:rPr>
              <w:t>3.支持通过rtsp协议接入第三方摄像机视频流。</w:t>
            </w:r>
            <w:r>
              <w:rPr>
                <w:rFonts w:hint="eastAsia" w:ascii="宋体" w:hAnsi="宋体" w:eastAsia="宋体" w:cs="宋体"/>
                <w:szCs w:val="21"/>
              </w:rPr>
              <w:br w:type="textWrapping"/>
            </w:r>
            <w:r>
              <w:rPr>
                <w:rFonts w:hint="eastAsia" w:ascii="宋体" w:hAnsi="宋体" w:eastAsia="宋体" w:cs="宋体"/>
                <w:szCs w:val="21"/>
              </w:rPr>
              <w:t>4.支持不少于3种编码复杂度。</w:t>
            </w:r>
            <w:r>
              <w:rPr>
                <w:rFonts w:hint="eastAsia" w:ascii="宋体" w:hAnsi="宋体" w:eastAsia="宋体" w:cs="宋体"/>
                <w:szCs w:val="21"/>
              </w:rPr>
              <w:br w:type="textWrapping"/>
            </w:r>
            <w:r>
              <w:rPr>
                <w:rFonts w:hint="eastAsia" w:ascii="宋体" w:hAnsi="宋体" w:eastAsia="宋体" w:cs="宋体"/>
                <w:szCs w:val="21"/>
              </w:rPr>
              <w:t>5.支持不少于两种码率控制方式。</w:t>
            </w:r>
            <w:r>
              <w:rPr>
                <w:rFonts w:hint="eastAsia" w:ascii="宋体" w:hAnsi="宋体" w:eastAsia="宋体" w:cs="宋体"/>
                <w:szCs w:val="21"/>
              </w:rPr>
              <w:br w:type="textWrapping"/>
            </w:r>
            <w:r>
              <w:rPr>
                <w:rFonts w:hint="eastAsia" w:ascii="宋体" w:hAnsi="宋体" w:eastAsia="宋体" w:cs="宋体"/>
                <w:szCs w:val="21"/>
              </w:rPr>
              <w:t>6.支持通过网络实现对接入摄像机的设备信息检索。</w:t>
            </w:r>
            <w:r>
              <w:rPr>
                <w:rFonts w:hint="eastAsia" w:ascii="宋体" w:hAnsi="宋体" w:eastAsia="宋体" w:cs="宋体"/>
                <w:szCs w:val="21"/>
              </w:rPr>
              <w:br w:type="textWrapping"/>
            </w:r>
            <w:r>
              <w:rPr>
                <w:rFonts w:hint="eastAsia" w:ascii="宋体" w:hAnsi="宋体" w:eastAsia="宋体" w:cs="宋体"/>
                <w:szCs w:val="21"/>
              </w:rPr>
              <w:t>7.HDMI通道支持图像采集。</w:t>
            </w:r>
            <w:r>
              <w:rPr>
                <w:rFonts w:hint="eastAsia" w:ascii="宋体" w:hAnsi="宋体" w:eastAsia="宋体" w:cs="宋体"/>
                <w:szCs w:val="21"/>
              </w:rPr>
              <w:br w:type="textWrapping"/>
            </w:r>
            <w:r>
              <w:rPr>
                <w:rFonts w:hint="eastAsia" w:ascii="宋体" w:hAnsi="宋体" w:eastAsia="宋体" w:cs="宋体"/>
                <w:b/>
                <w:bCs/>
                <w:szCs w:val="21"/>
              </w:rPr>
              <w:t>在线课堂互动系统：</w:t>
            </w:r>
            <w:r>
              <w:rPr>
                <w:rFonts w:hint="eastAsia" w:ascii="宋体" w:hAnsi="宋体" w:eastAsia="宋体" w:cs="宋体"/>
                <w:szCs w:val="21"/>
              </w:rPr>
              <w:br w:type="textWrapping"/>
            </w:r>
            <w:r>
              <w:rPr>
                <w:rFonts w:hint="eastAsia" w:ascii="宋体" w:hAnsi="宋体" w:eastAsia="宋体" w:cs="宋体"/>
                <w:szCs w:val="21"/>
              </w:rPr>
              <w:t>1.支持通过互动录播电脑主机一体化触控屏实现导播控制，过程中可选择自动导播/手动导播；支持通过 PC 客户端软件进行远程导播控制。</w:t>
            </w:r>
            <w:r>
              <w:rPr>
                <w:rFonts w:hint="eastAsia" w:ascii="宋体" w:hAnsi="宋体" w:eastAsia="宋体" w:cs="宋体"/>
                <w:szCs w:val="21"/>
              </w:rPr>
              <w:br w:type="textWrapping"/>
            </w:r>
            <w:r>
              <w:rPr>
                <w:rFonts w:hint="eastAsia" w:ascii="宋体" w:hAnsi="宋体" w:eastAsia="宋体" w:cs="宋体"/>
                <w:szCs w:val="21"/>
              </w:rPr>
              <w:t>2.支持录播主机屏上显示教室网络状态；实现对网络联通性、网络稳定性、上行速度、下行速度、网络追踪性、网卡信息实时检测；在一段时间内，支持以折线图方式实时呈现网络稳定性、上行速度和下行速度。</w:t>
            </w:r>
            <w:r>
              <w:rPr>
                <w:rFonts w:hint="eastAsia" w:ascii="宋体" w:hAnsi="宋体" w:eastAsia="宋体" w:cs="宋体"/>
                <w:szCs w:val="21"/>
              </w:rPr>
              <w:br w:type="textWrapping"/>
            </w:r>
            <w:r>
              <w:rPr>
                <w:rFonts w:hint="eastAsia" w:ascii="宋体" w:hAnsi="宋体" w:eastAsia="宋体" w:cs="宋体"/>
                <w:szCs w:val="21"/>
              </w:rPr>
              <w:t>3.支持推流路数≥3路，支持rtmp直播推流，支持将直播流推送到第三方平台进行直播。</w:t>
            </w:r>
          </w:p>
        </w:tc>
      </w:tr>
      <w:tr w14:paraId="4E04FA0E">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29F2B4B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w:t>
            </w:r>
          </w:p>
        </w:tc>
        <w:tc>
          <w:tcPr>
            <w:tcW w:w="629" w:type="pct"/>
            <w:tcBorders>
              <w:top w:val="single" w:color="000000" w:sz="4" w:space="0"/>
              <w:left w:val="nil"/>
              <w:bottom w:val="single" w:color="000000" w:sz="4" w:space="0"/>
              <w:right w:val="single" w:color="000000" w:sz="4" w:space="0"/>
            </w:tcBorders>
            <w:vAlign w:val="center"/>
          </w:tcPr>
          <w:p w14:paraId="177E952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4K教师摄像机</w:t>
            </w:r>
          </w:p>
        </w:tc>
        <w:tc>
          <w:tcPr>
            <w:tcW w:w="3942" w:type="pct"/>
            <w:tcBorders>
              <w:top w:val="single" w:color="000000" w:sz="4" w:space="0"/>
              <w:left w:val="nil"/>
              <w:bottom w:val="single" w:color="000000" w:sz="4" w:space="0"/>
              <w:right w:val="single" w:color="000000" w:sz="4" w:space="0"/>
            </w:tcBorders>
            <w:vAlign w:val="center"/>
          </w:tcPr>
          <w:p w14:paraId="4CD04A8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1.采用全景特写双镜头，全景镜头水平视场角≥40°，特写镜头水平视场角≥20°。</w:t>
            </w:r>
            <w:r>
              <w:rPr>
                <w:rFonts w:hint="eastAsia" w:ascii="宋体" w:hAnsi="宋体" w:eastAsia="宋体" w:cs="宋体"/>
                <w:szCs w:val="21"/>
              </w:rPr>
              <w:br w:type="textWrapping"/>
            </w:r>
            <w:r>
              <w:rPr>
                <w:rFonts w:hint="eastAsia" w:ascii="宋体" w:hAnsi="宋体" w:eastAsia="宋体" w:cs="宋体"/>
                <w:szCs w:val="21"/>
              </w:rPr>
              <w:t>2.摄像机采用一体化集成设计，支持4K超高清，可提供3840×2160图像分辨率同时向下兼容。</w:t>
            </w:r>
            <w:r>
              <w:rPr>
                <w:rFonts w:hint="eastAsia" w:ascii="宋体" w:hAnsi="宋体" w:eastAsia="宋体" w:cs="宋体"/>
                <w:szCs w:val="21"/>
              </w:rPr>
              <w:br w:type="textWrapping"/>
            </w:r>
            <w:r>
              <w:rPr>
                <w:rFonts w:hint="eastAsia" w:ascii="宋体" w:hAnsi="宋体" w:eastAsia="宋体" w:cs="宋体"/>
                <w:szCs w:val="21"/>
              </w:rPr>
              <w:t>3.内置图像识别跟踪算法，搭配隐藏式云台，保证清晰度的同时，也减小对课堂的干扰。</w:t>
            </w:r>
            <w:r>
              <w:rPr>
                <w:rFonts w:hint="eastAsia" w:ascii="宋体" w:hAnsi="宋体" w:eastAsia="宋体" w:cs="宋体"/>
                <w:szCs w:val="21"/>
              </w:rPr>
              <w:br w:type="textWrapping"/>
            </w:r>
            <w:r>
              <w:rPr>
                <w:rFonts w:hint="eastAsia" w:ascii="宋体" w:hAnsi="宋体" w:eastAsia="宋体" w:cs="宋体"/>
                <w:szCs w:val="21"/>
              </w:rPr>
              <w:t>4.为保证拍摄画面效果，采用低畸变设计，全景畸变≤±1%，特写畸变≤±1%。</w:t>
            </w:r>
            <w:r>
              <w:rPr>
                <w:rFonts w:hint="eastAsia" w:ascii="宋体" w:hAnsi="宋体" w:eastAsia="宋体" w:cs="宋体"/>
                <w:szCs w:val="21"/>
              </w:rPr>
              <w:br w:type="textWrapping"/>
            </w:r>
            <w:r>
              <w:rPr>
                <w:rFonts w:hint="eastAsia" w:ascii="宋体" w:hAnsi="宋体" w:eastAsia="宋体" w:cs="宋体"/>
                <w:szCs w:val="21"/>
              </w:rPr>
              <w:t>5.摄像机接口支持RJ45接口≥1路，Type-C接口≥1路，Line in接口≥1路。</w:t>
            </w:r>
            <w:r>
              <w:rPr>
                <w:rFonts w:hint="eastAsia" w:ascii="宋体" w:hAnsi="宋体" w:eastAsia="宋体" w:cs="宋体"/>
                <w:szCs w:val="21"/>
              </w:rPr>
              <w:br w:type="textWrapping"/>
            </w:r>
            <w:r>
              <w:rPr>
                <w:rFonts w:hint="eastAsia" w:ascii="宋体" w:hAnsi="宋体" w:eastAsia="宋体" w:cs="宋体"/>
                <w:szCs w:val="21"/>
              </w:rPr>
              <w:t>6.支持POE有线网络供电，只需要1路网线，即可实现供电及信号传输，支持同时输出特写和全景等多路画面。</w:t>
            </w:r>
            <w:r>
              <w:rPr>
                <w:rFonts w:hint="eastAsia" w:ascii="宋体" w:hAnsi="宋体" w:eastAsia="宋体" w:cs="宋体"/>
                <w:szCs w:val="21"/>
              </w:rPr>
              <w:br w:type="textWrapping"/>
            </w:r>
            <w:r>
              <w:rPr>
                <w:rFonts w:hint="eastAsia" w:ascii="宋体" w:hAnsi="宋体" w:eastAsia="宋体" w:cs="宋体"/>
                <w:szCs w:val="21"/>
              </w:rPr>
              <w:t>7.传感器尺寸 CMOS ≥ 1/2.8英寸。</w:t>
            </w:r>
            <w:r>
              <w:rPr>
                <w:rFonts w:hint="eastAsia" w:ascii="宋体" w:hAnsi="宋体" w:eastAsia="宋体" w:cs="宋体"/>
                <w:szCs w:val="21"/>
              </w:rPr>
              <w:br w:type="textWrapping"/>
            </w:r>
            <w:r>
              <w:rPr>
                <w:rFonts w:hint="eastAsia" w:ascii="宋体" w:hAnsi="宋体" w:eastAsia="宋体" w:cs="宋体"/>
                <w:szCs w:val="21"/>
              </w:rPr>
              <w:t>8.全景图像传感器有效像素≥400万，特写图像传感器有效像素≥800万。</w:t>
            </w:r>
            <w:r>
              <w:rPr>
                <w:rFonts w:hint="eastAsia" w:ascii="宋体" w:hAnsi="宋体" w:eastAsia="宋体" w:cs="宋体"/>
                <w:szCs w:val="21"/>
              </w:rPr>
              <w:br w:type="textWrapping"/>
            </w:r>
            <w:r>
              <w:rPr>
                <w:rFonts w:hint="eastAsia" w:ascii="宋体" w:hAnsi="宋体" w:eastAsia="宋体" w:cs="宋体"/>
                <w:szCs w:val="21"/>
              </w:rPr>
              <w:t>9.摄像机采用逐行扫描方式 。</w:t>
            </w:r>
            <w:r>
              <w:rPr>
                <w:rFonts w:hint="eastAsia" w:ascii="宋体" w:hAnsi="宋体" w:eastAsia="宋体" w:cs="宋体"/>
                <w:szCs w:val="21"/>
              </w:rPr>
              <w:br w:type="textWrapping"/>
            </w:r>
            <w:r>
              <w:rPr>
                <w:rFonts w:hint="eastAsia" w:ascii="宋体" w:hAnsi="宋体" w:eastAsia="宋体" w:cs="宋体"/>
                <w:szCs w:val="21"/>
              </w:rPr>
              <w:t>10.摄像机最低照度：0.5 Lux@（F2.0, AGC ON） 。</w:t>
            </w:r>
            <w:r>
              <w:rPr>
                <w:rFonts w:hint="eastAsia" w:ascii="宋体" w:hAnsi="宋体" w:eastAsia="宋体" w:cs="宋体"/>
                <w:szCs w:val="21"/>
              </w:rPr>
              <w:br w:type="textWrapping"/>
            </w:r>
            <w:r>
              <w:rPr>
                <w:rFonts w:hint="eastAsia" w:ascii="宋体" w:hAnsi="宋体" w:eastAsia="宋体" w:cs="宋体"/>
                <w:szCs w:val="21"/>
              </w:rPr>
              <w:t>11.摄像机电子快门：1/30s ～1/10000s。</w:t>
            </w:r>
            <w:r>
              <w:rPr>
                <w:rFonts w:hint="eastAsia" w:ascii="宋体" w:hAnsi="宋体" w:eastAsia="宋体" w:cs="宋体"/>
                <w:szCs w:val="21"/>
              </w:rPr>
              <w:br w:type="textWrapping"/>
            </w:r>
            <w:r>
              <w:rPr>
                <w:rFonts w:hint="eastAsia" w:ascii="宋体" w:hAnsi="宋体" w:eastAsia="宋体" w:cs="宋体"/>
                <w:szCs w:val="21"/>
              </w:rPr>
              <w:t>12.支持自动白平衡。</w:t>
            </w:r>
            <w:r>
              <w:rPr>
                <w:rFonts w:hint="eastAsia" w:ascii="宋体" w:hAnsi="宋体" w:eastAsia="宋体" w:cs="宋体"/>
                <w:szCs w:val="21"/>
              </w:rPr>
              <w:br w:type="textWrapping"/>
            </w:r>
            <w:r>
              <w:rPr>
                <w:rFonts w:hint="eastAsia" w:ascii="宋体" w:hAnsi="宋体" w:eastAsia="宋体" w:cs="宋体"/>
                <w:szCs w:val="21"/>
              </w:rPr>
              <w:t>13.支持2D&amp;3D数字降噪，信噪比≥55dB。</w:t>
            </w:r>
            <w:r>
              <w:rPr>
                <w:rFonts w:hint="eastAsia" w:ascii="宋体" w:hAnsi="宋体" w:eastAsia="宋体" w:cs="宋体"/>
                <w:szCs w:val="21"/>
              </w:rPr>
              <w:br w:type="textWrapping"/>
            </w:r>
            <w:r>
              <w:rPr>
                <w:rFonts w:hint="eastAsia" w:ascii="宋体" w:hAnsi="宋体" w:eastAsia="宋体" w:cs="宋体"/>
                <w:szCs w:val="21"/>
              </w:rPr>
              <w:t>14.支持H.264、H.265、MJPEG视频编码格式。</w:t>
            </w:r>
            <w:r>
              <w:rPr>
                <w:rFonts w:hint="eastAsia" w:ascii="宋体" w:hAnsi="宋体" w:eastAsia="宋体" w:cs="宋体"/>
                <w:szCs w:val="21"/>
              </w:rPr>
              <w:br w:type="textWrapping"/>
            </w:r>
            <w:r>
              <w:rPr>
                <w:rFonts w:hint="eastAsia" w:ascii="宋体" w:hAnsi="宋体" w:eastAsia="宋体" w:cs="宋体"/>
                <w:szCs w:val="21"/>
              </w:rPr>
              <w:t>15.支持标准USB音视频信号输出，可以同时支持UVC和UAC协议，通过主机TypeC接口可以实现图像同步输出，兼容主流视频会议软件。</w:t>
            </w:r>
            <w:r>
              <w:rPr>
                <w:rFonts w:hint="eastAsia" w:ascii="宋体" w:hAnsi="宋体" w:eastAsia="宋体" w:cs="宋体"/>
                <w:szCs w:val="21"/>
              </w:rPr>
              <w:br w:type="textWrapping"/>
            </w:r>
            <w:r>
              <w:rPr>
                <w:rFonts w:hint="eastAsia" w:ascii="宋体" w:hAnsi="宋体" w:eastAsia="宋体" w:cs="宋体"/>
                <w:szCs w:val="21"/>
              </w:rPr>
              <w:t>16.为确保运行稳定，使用平均无故障运行时间(MTBF)应≥220000小时。</w:t>
            </w:r>
          </w:p>
        </w:tc>
      </w:tr>
      <w:tr w14:paraId="6DCF74D4">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0583D05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w:t>
            </w:r>
          </w:p>
        </w:tc>
        <w:tc>
          <w:tcPr>
            <w:tcW w:w="629" w:type="pct"/>
            <w:tcBorders>
              <w:top w:val="single" w:color="000000" w:sz="4" w:space="0"/>
              <w:left w:val="nil"/>
              <w:bottom w:val="single" w:color="000000" w:sz="4" w:space="0"/>
              <w:right w:val="single" w:color="000000" w:sz="4" w:space="0"/>
            </w:tcBorders>
            <w:vAlign w:val="center"/>
          </w:tcPr>
          <w:p w14:paraId="6BB126F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4K学生摄像机</w:t>
            </w:r>
          </w:p>
        </w:tc>
        <w:tc>
          <w:tcPr>
            <w:tcW w:w="3942" w:type="pct"/>
            <w:tcBorders>
              <w:top w:val="single" w:color="000000" w:sz="4" w:space="0"/>
              <w:left w:val="nil"/>
              <w:bottom w:val="single" w:color="000000" w:sz="4" w:space="0"/>
              <w:right w:val="single" w:color="000000" w:sz="4" w:space="0"/>
            </w:tcBorders>
            <w:vAlign w:val="center"/>
          </w:tcPr>
          <w:p w14:paraId="0ED0A61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1.采用全景特写双镜头，全景镜头水平视场角≥110°，特写镜头水平视场角≥40°。</w:t>
            </w:r>
            <w:r>
              <w:rPr>
                <w:rFonts w:hint="eastAsia" w:ascii="宋体" w:hAnsi="宋体" w:eastAsia="宋体" w:cs="宋体"/>
                <w:szCs w:val="21"/>
              </w:rPr>
              <w:br w:type="textWrapping"/>
            </w:r>
            <w:r>
              <w:rPr>
                <w:rFonts w:hint="eastAsia" w:ascii="宋体" w:hAnsi="宋体" w:eastAsia="宋体" w:cs="宋体"/>
                <w:szCs w:val="21"/>
              </w:rPr>
              <w:t>2.摄像机采用一体化集成设计，支持4K超高清，可提供3840×2160图像分辨率同时向下兼容。</w:t>
            </w:r>
            <w:r>
              <w:rPr>
                <w:rFonts w:hint="eastAsia" w:ascii="宋体" w:hAnsi="宋体" w:eastAsia="宋体" w:cs="宋体"/>
                <w:szCs w:val="21"/>
              </w:rPr>
              <w:br w:type="textWrapping"/>
            </w:r>
            <w:r>
              <w:rPr>
                <w:rFonts w:hint="eastAsia" w:ascii="宋体" w:hAnsi="宋体" w:eastAsia="宋体" w:cs="宋体"/>
                <w:szCs w:val="21"/>
              </w:rPr>
              <w:t>3.内置图像识别跟踪算法，搭配隐藏式云台，保证清晰度的同时，也减小对课堂的干扰。</w:t>
            </w:r>
            <w:r>
              <w:rPr>
                <w:rFonts w:hint="eastAsia" w:ascii="宋体" w:hAnsi="宋体" w:eastAsia="宋体" w:cs="宋体"/>
                <w:szCs w:val="21"/>
              </w:rPr>
              <w:br w:type="textWrapping"/>
            </w:r>
            <w:r>
              <w:rPr>
                <w:rFonts w:hint="eastAsia" w:ascii="宋体" w:hAnsi="宋体" w:eastAsia="宋体" w:cs="宋体"/>
                <w:szCs w:val="21"/>
              </w:rPr>
              <w:t>4.为保证拍摄画面效果，采用低畸变设计，全景畸变≤±1%，特写畸变≤±1%。</w:t>
            </w:r>
            <w:r>
              <w:rPr>
                <w:rFonts w:hint="eastAsia" w:ascii="宋体" w:hAnsi="宋体" w:eastAsia="宋体" w:cs="宋体"/>
                <w:szCs w:val="21"/>
              </w:rPr>
              <w:br w:type="textWrapping"/>
            </w:r>
            <w:r>
              <w:rPr>
                <w:rFonts w:hint="eastAsia" w:ascii="宋体" w:hAnsi="宋体" w:eastAsia="宋体" w:cs="宋体"/>
                <w:szCs w:val="21"/>
              </w:rPr>
              <w:t>5.摄像机接口支持RJ45接口≥1路，Type-C接口≥1路，Line in接口≥1路。</w:t>
            </w:r>
            <w:r>
              <w:rPr>
                <w:rFonts w:hint="eastAsia" w:ascii="宋体" w:hAnsi="宋体" w:eastAsia="宋体" w:cs="宋体"/>
                <w:szCs w:val="21"/>
              </w:rPr>
              <w:br w:type="textWrapping"/>
            </w:r>
            <w:r>
              <w:rPr>
                <w:rFonts w:hint="eastAsia" w:ascii="宋体" w:hAnsi="宋体" w:eastAsia="宋体" w:cs="宋体"/>
                <w:szCs w:val="21"/>
              </w:rPr>
              <w:t>6.支持POE有线网络供电，只需要1路网线，即可实现供电及信号传输，支持同时输出特写和全景等多路画面。</w:t>
            </w:r>
            <w:r>
              <w:rPr>
                <w:rFonts w:hint="eastAsia" w:ascii="宋体" w:hAnsi="宋体" w:eastAsia="宋体" w:cs="宋体"/>
                <w:szCs w:val="21"/>
              </w:rPr>
              <w:br w:type="textWrapping"/>
            </w:r>
            <w:r>
              <w:rPr>
                <w:rFonts w:hint="eastAsia" w:ascii="宋体" w:hAnsi="宋体" w:eastAsia="宋体" w:cs="宋体"/>
                <w:szCs w:val="21"/>
              </w:rPr>
              <w:t>7.传感器尺寸 CMOS ≥ 1/2.8英寸。</w:t>
            </w:r>
            <w:r>
              <w:rPr>
                <w:rFonts w:hint="eastAsia" w:ascii="宋体" w:hAnsi="宋体" w:eastAsia="宋体" w:cs="宋体"/>
                <w:szCs w:val="21"/>
              </w:rPr>
              <w:br w:type="textWrapping"/>
            </w:r>
            <w:r>
              <w:rPr>
                <w:rFonts w:hint="eastAsia" w:ascii="宋体" w:hAnsi="宋体" w:eastAsia="宋体" w:cs="宋体"/>
                <w:szCs w:val="21"/>
              </w:rPr>
              <w:t>8.全景图像传感器有效像素≥400万，特写图像传感器有效像素≥800万。</w:t>
            </w:r>
            <w:r>
              <w:rPr>
                <w:rFonts w:hint="eastAsia" w:ascii="宋体" w:hAnsi="宋体" w:eastAsia="宋体" w:cs="宋体"/>
                <w:szCs w:val="21"/>
              </w:rPr>
              <w:br w:type="textWrapping"/>
            </w:r>
            <w:r>
              <w:rPr>
                <w:rFonts w:hint="eastAsia" w:ascii="宋体" w:hAnsi="宋体" w:eastAsia="宋体" w:cs="宋体"/>
                <w:szCs w:val="21"/>
              </w:rPr>
              <w:t>9.摄像机采用逐行扫描方式 。</w:t>
            </w:r>
            <w:r>
              <w:rPr>
                <w:rFonts w:hint="eastAsia" w:ascii="宋体" w:hAnsi="宋体" w:eastAsia="宋体" w:cs="宋体"/>
                <w:szCs w:val="21"/>
              </w:rPr>
              <w:br w:type="textWrapping"/>
            </w:r>
            <w:r>
              <w:rPr>
                <w:rFonts w:hint="eastAsia" w:ascii="宋体" w:hAnsi="宋体" w:eastAsia="宋体" w:cs="宋体"/>
                <w:szCs w:val="21"/>
              </w:rPr>
              <w:t>10.摄像机最低照度：0.5 Lux@（F2.0, AGC ON） 。</w:t>
            </w:r>
            <w:r>
              <w:rPr>
                <w:rFonts w:hint="eastAsia" w:ascii="宋体" w:hAnsi="宋体" w:eastAsia="宋体" w:cs="宋体"/>
                <w:szCs w:val="21"/>
              </w:rPr>
              <w:br w:type="textWrapping"/>
            </w:r>
            <w:r>
              <w:rPr>
                <w:rFonts w:hint="eastAsia" w:ascii="宋体" w:hAnsi="宋体" w:eastAsia="宋体" w:cs="宋体"/>
                <w:szCs w:val="21"/>
              </w:rPr>
              <w:t>11.摄像机电子快门：1/30s ～ 1/10000s。</w:t>
            </w:r>
            <w:r>
              <w:rPr>
                <w:rFonts w:hint="eastAsia" w:ascii="宋体" w:hAnsi="宋体" w:eastAsia="宋体" w:cs="宋体"/>
                <w:szCs w:val="21"/>
              </w:rPr>
              <w:br w:type="textWrapping"/>
            </w:r>
            <w:r>
              <w:rPr>
                <w:rFonts w:hint="eastAsia" w:ascii="宋体" w:hAnsi="宋体" w:eastAsia="宋体" w:cs="宋体"/>
                <w:szCs w:val="21"/>
              </w:rPr>
              <w:t>12.支持自动白平衡。</w:t>
            </w:r>
            <w:r>
              <w:rPr>
                <w:rFonts w:hint="eastAsia" w:ascii="宋体" w:hAnsi="宋体" w:eastAsia="宋体" w:cs="宋体"/>
                <w:szCs w:val="21"/>
              </w:rPr>
              <w:br w:type="textWrapping"/>
            </w:r>
            <w:r>
              <w:rPr>
                <w:rFonts w:hint="eastAsia" w:ascii="宋体" w:hAnsi="宋体" w:eastAsia="宋体" w:cs="宋体"/>
                <w:szCs w:val="21"/>
              </w:rPr>
              <w:t>13.支持2D&amp;3D数字降噪，信噪比≥55dB。</w:t>
            </w:r>
            <w:r>
              <w:rPr>
                <w:rFonts w:hint="eastAsia" w:ascii="宋体" w:hAnsi="宋体" w:eastAsia="宋体" w:cs="宋体"/>
                <w:szCs w:val="21"/>
              </w:rPr>
              <w:br w:type="textWrapping"/>
            </w:r>
            <w:r>
              <w:rPr>
                <w:rFonts w:hint="eastAsia" w:ascii="宋体" w:hAnsi="宋体" w:eastAsia="宋体" w:cs="宋体"/>
                <w:szCs w:val="21"/>
              </w:rPr>
              <w:t>14.支持H.264、H.265、MJPEG视频编码格式。</w:t>
            </w:r>
            <w:r>
              <w:rPr>
                <w:rFonts w:hint="eastAsia" w:ascii="宋体" w:hAnsi="宋体" w:eastAsia="宋体" w:cs="宋体"/>
                <w:szCs w:val="21"/>
              </w:rPr>
              <w:br w:type="textWrapping"/>
            </w:r>
            <w:r>
              <w:rPr>
                <w:rFonts w:hint="eastAsia" w:ascii="宋体" w:hAnsi="宋体" w:eastAsia="宋体" w:cs="宋体"/>
                <w:szCs w:val="21"/>
              </w:rPr>
              <w:t>15.支持标准USB音视频信号输出，可以同时支持UVC和UAC协议，通过主机TypeC接口可以实现图像同步输出，兼容主流视频会议软件。</w:t>
            </w:r>
            <w:r>
              <w:rPr>
                <w:rFonts w:hint="eastAsia" w:ascii="宋体" w:hAnsi="宋体" w:eastAsia="宋体" w:cs="宋体"/>
                <w:szCs w:val="21"/>
              </w:rPr>
              <w:br w:type="textWrapping"/>
            </w:r>
            <w:r>
              <w:rPr>
                <w:rFonts w:hint="eastAsia" w:ascii="宋体" w:hAnsi="宋体" w:eastAsia="宋体" w:cs="宋体"/>
                <w:szCs w:val="21"/>
              </w:rPr>
              <w:t>16.为确保运行稳定，使用平均无故障运行时间(MTBF)应≥220000小时。</w:t>
            </w:r>
          </w:p>
        </w:tc>
      </w:tr>
      <w:tr w14:paraId="615D11B8">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2CFAA00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6</w:t>
            </w:r>
          </w:p>
        </w:tc>
        <w:tc>
          <w:tcPr>
            <w:tcW w:w="629" w:type="pct"/>
            <w:tcBorders>
              <w:top w:val="single" w:color="000000" w:sz="4" w:space="0"/>
              <w:left w:val="nil"/>
              <w:bottom w:val="single" w:color="000000" w:sz="4" w:space="0"/>
              <w:right w:val="single" w:color="000000" w:sz="4" w:space="0"/>
            </w:tcBorders>
            <w:vAlign w:val="center"/>
          </w:tcPr>
          <w:p w14:paraId="531A9BB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全向拾音麦克风</w:t>
            </w:r>
          </w:p>
        </w:tc>
        <w:tc>
          <w:tcPr>
            <w:tcW w:w="3942" w:type="pct"/>
            <w:tcBorders>
              <w:top w:val="single" w:color="000000" w:sz="4" w:space="0"/>
              <w:left w:val="nil"/>
              <w:bottom w:val="single" w:color="000000" w:sz="4" w:space="0"/>
              <w:right w:val="single" w:color="000000" w:sz="4" w:space="0"/>
            </w:tcBorders>
            <w:vAlign w:val="center"/>
          </w:tcPr>
          <w:p w14:paraId="7E72D5B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1.麦克风采用≥4核的国产音频芯片。</w:t>
            </w:r>
            <w:r>
              <w:rPr>
                <w:rFonts w:hint="eastAsia" w:ascii="宋体" w:hAnsi="宋体" w:eastAsia="宋体" w:cs="宋体"/>
                <w:szCs w:val="21"/>
              </w:rPr>
              <w:br w:type="textWrapping"/>
            </w:r>
            <w:r>
              <w:rPr>
                <w:rFonts w:hint="eastAsia" w:ascii="宋体" w:hAnsi="宋体" w:eastAsia="宋体" w:cs="宋体"/>
                <w:szCs w:val="21"/>
              </w:rPr>
              <w:t>2.麦克风频率响应范围不低于50Hz～16KHz。</w:t>
            </w:r>
            <w:r>
              <w:rPr>
                <w:rFonts w:hint="eastAsia" w:ascii="宋体" w:hAnsi="宋体" w:eastAsia="宋体" w:cs="宋体"/>
                <w:szCs w:val="21"/>
              </w:rPr>
              <w:br w:type="textWrapping"/>
            </w:r>
            <w:r>
              <w:rPr>
                <w:rFonts w:hint="eastAsia" w:ascii="宋体" w:hAnsi="宋体" w:eastAsia="宋体" w:cs="宋体"/>
                <w:szCs w:val="21"/>
              </w:rPr>
              <w:t>3.麦克风拾音半径≥8m，信噪比≥68dB，声压级≥130dBSPL，10%THD@1 KHz。</w:t>
            </w:r>
            <w:r>
              <w:rPr>
                <w:rFonts w:hint="eastAsia" w:ascii="宋体" w:hAnsi="宋体" w:eastAsia="宋体" w:cs="宋体"/>
                <w:szCs w:val="21"/>
              </w:rPr>
              <w:br w:type="textWrapping"/>
            </w:r>
            <w:r>
              <w:rPr>
                <w:rFonts w:hint="eastAsia" w:ascii="宋体" w:hAnsi="宋体" w:eastAsia="宋体" w:cs="宋体"/>
                <w:szCs w:val="21"/>
              </w:rPr>
              <w:t>4.麦克风无需额外适配器供电，能够通过网线实现麦克风供电、音频信号传输、参数调整。</w:t>
            </w:r>
            <w:r>
              <w:rPr>
                <w:rFonts w:hint="eastAsia" w:ascii="宋体" w:hAnsi="宋体" w:eastAsia="宋体" w:cs="宋体"/>
                <w:szCs w:val="21"/>
              </w:rPr>
              <w:br w:type="textWrapping"/>
            </w:r>
            <w:r>
              <w:rPr>
                <w:rFonts w:hint="eastAsia" w:ascii="宋体" w:hAnsi="宋体" w:eastAsia="宋体" w:cs="宋体"/>
                <w:szCs w:val="21"/>
              </w:rPr>
              <w:t>5.麦克风具备≥1个状态指示灯，可显示麦克风工作状态，蓝灯表示工作状态正常，红灯表示无法正常拾音。</w:t>
            </w:r>
            <w:r>
              <w:rPr>
                <w:rFonts w:hint="eastAsia" w:ascii="宋体" w:hAnsi="宋体" w:eastAsia="宋体" w:cs="宋体"/>
                <w:szCs w:val="21"/>
              </w:rPr>
              <w:br w:type="textWrapping"/>
            </w:r>
            <w:r>
              <w:rPr>
                <w:rFonts w:hint="eastAsia" w:ascii="宋体" w:hAnsi="宋体" w:eastAsia="宋体" w:cs="宋体"/>
                <w:szCs w:val="21"/>
              </w:rPr>
              <w:t>6.麦克风采用标准1/4吋螺口，适配各种类型标准吊杆。</w:t>
            </w:r>
            <w:r>
              <w:rPr>
                <w:rFonts w:hint="eastAsia" w:ascii="宋体" w:hAnsi="宋体" w:eastAsia="宋体" w:cs="宋体"/>
                <w:szCs w:val="21"/>
              </w:rPr>
              <w:br w:type="textWrapping"/>
            </w:r>
            <w:r>
              <w:rPr>
                <w:rFonts w:hint="eastAsia" w:ascii="宋体" w:hAnsi="宋体" w:eastAsia="宋体" w:cs="宋体"/>
                <w:szCs w:val="21"/>
              </w:rPr>
              <w:t>7.麦克风支持≥2个数字音频接口，支持盲插。</w:t>
            </w:r>
            <w:r>
              <w:rPr>
                <w:rFonts w:hint="eastAsia" w:ascii="宋体" w:hAnsi="宋体" w:eastAsia="宋体" w:cs="宋体"/>
                <w:szCs w:val="21"/>
              </w:rPr>
              <w:br w:type="textWrapping"/>
            </w:r>
            <w:r>
              <w:rPr>
                <w:rFonts w:hint="eastAsia" w:ascii="宋体" w:hAnsi="宋体" w:eastAsia="宋体" w:cs="宋体"/>
                <w:szCs w:val="21"/>
              </w:rPr>
              <w:t>8.麦克风内置≥8个传感器单元。</w:t>
            </w:r>
            <w:r>
              <w:rPr>
                <w:rFonts w:hint="eastAsia" w:ascii="宋体" w:hAnsi="宋体" w:eastAsia="宋体" w:cs="宋体"/>
                <w:szCs w:val="21"/>
              </w:rPr>
              <w:br w:type="textWrapping"/>
            </w:r>
            <w:r>
              <w:rPr>
                <w:rFonts w:hint="eastAsia" w:ascii="宋体" w:hAnsi="宋体" w:eastAsia="宋体" w:cs="宋体"/>
                <w:szCs w:val="21"/>
              </w:rPr>
              <w:t>9.麦克风支持在线OTA，可在线对麦克风进行升级，无需人员现场维护。</w:t>
            </w:r>
            <w:r>
              <w:rPr>
                <w:rFonts w:hint="eastAsia" w:ascii="宋体" w:hAnsi="宋体" w:eastAsia="宋体" w:cs="宋体"/>
                <w:szCs w:val="21"/>
              </w:rPr>
              <w:br w:type="textWrapping"/>
            </w:r>
            <w:r>
              <w:rPr>
                <w:rFonts w:hint="eastAsia" w:ascii="宋体" w:hAnsi="宋体" w:eastAsia="宋体" w:cs="宋体"/>
                <w:szCs w:val="21"/>
              </w:rPr>
              <w:t>10.麦克风支持降噪、回声抵消、混响抑制、自动增益控制、多麦融合多种音频算法。</w:t>
            </w:r>
            <w:r>
              <w:rPr>
                <w:rFonts w:hint="eastAsia" w:ascii="宋体" w:hAnsi="宋体" w:eastAsia="宋体" w:cs="宋体"/>
                <w:szCs w:val="21"/>
              </w:rPr>
              <w:br w:type="textWrapping"/>
            </w:r>
            <w:r>
              <w:rPr>
                <w:rFonts w:hint="eastAsia" w:ascii="宋体" w:hAnsi="宋体" w:eastAsia="宋体" w:cs="宋体"/>
                <w:szCs w:val="21"/>
              </w:rPr>
              <w:t>11.麦克风支持数字音频传输。</w:t>
            </w:r>
          </w:p>
        </w:tc>
      </w:tr>
      <w:tr w14:paraId="48312370">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0008BF1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7</w:t>
            </w:r>
          </w:p>
        </w:tc>
        <w:tc>
          <w:tcPr>
            <w:tcW w:w="629" w:type="pct"/>
            <w:tcBorders>
              <w:top w:val="single" w:color="000000" w:sz="4" w:space="0"/>
              <w:left w:val="nil"/>
              <w:bottom w:val="single" w:color="000000" w:sz="4" w:space="0"/>
              <w:right w:val="single" w:color="000000" w:sz="4" w:space="0"/>
            </w:tcBorders>
            <w:vAlign w:val="center"/>
          </w:tcPr>
          <w:p w14:paraId="64853DB4">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电子班牌</w:t>
            </w:r>
          </w:p>
        </w:tc>
        <w:tc>
          <w:tcPr>
            <w:tcW w:w="3942" w:type="pct"/>
            <w:tcBorders>
              <w:top w:val="single" w:color="000000" w:sz="4" w:space="0"/>
              <w:left w:val="nil"/>
              <w:bottom w:val="single" w:color="000000" w:sz="4" w:space="0"/>
              <w:right w:val="single" w:color="000000" w:sz="4" w:space="0"/>
            </w:tcBorders>
            <w:vAlign w:val="center"/>
          </w:tcPr>
          <w:p w14:paraId="7014307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需接入校方现有电子班牌管理平台统一管理控制（无需另加设备），支持调用平台所有媒体资源文件、班牌模板等，以及通过原平台来进行设备重启、关闭、更新、计划开机、信息发布等。投标前由投标人需自行携样入校接入测试，投标文件中提供接入校方原有平台并实现平台各管控功能的承诺书。。</w:t>
            </w:r>
          </w:p>
          <w:p w14:paraId="0C0BB74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硬件规格：</w:t>
            </w:r>
            <w:r>
              <w:rPr>
                <w:rFonts w:hint="eastAsia" w:ascii="宋体" w:hAnsi="宋体" w:eastAsia="宋体" w:cs="宋体"/>
                <w:szCs w:val="21"/>
              </w:rPr>
              <w:br w:type="textWrapping"/>
            </w:r>
            <w:r>
              <w:rPr>
                <w:rFonts w:hint="eastAsia" w:ascii="宋体" w:hAnsi="宋体" w:eastAsia="宋体" w:cs="宋体"/>
                <w:szCs w:val="21"/>
              </w:rPr>
              <w:t>1.整机屏体采用21.5英寸竖屏式电容显示屏，屏幕正面覆盖钢化玻璃，支持10点触控，屏幕分辨率≥1920*1080，显示比例16:9；屏幕亮度≥500cd/㎡。</w:t>
            </w:r>
            <w:r>
              <w:rPr>
                <w:rFonts w:hint="eastAsia" w:ascii="宋体" w:hAnsi="宋体" w:eastAsia="宋体" w:cs="宋体"/>
                <w:szCs w:val="21"/>
              </w:rPr>
              <w:br w:type="textWrapping"/>
            </w:r>
            <w:r>
              <w:rPr>
                <w:rFonts w:hint="eastAsia" w:ascii="宋体" w:hAnsi="宋体" w:eastAsia="宋体" w:cs="宋体"/>
                <w:szCs w:val="21"/>
              </w:rPr>
              <w:t>★2.整机屏体采用宽温液晶屏，屏体工作温度区间跨度支持零下20°C～80°C。</w:t>
            </w:r>
            <w:r>
              <w:rPr>
                <w:rFonts w:hint="eastAsia" w:ascii="宋体" w:hAnsi="宋体" w:eastAsia="宋体" w:cs="宋体"/>
                <w:szCs w:val="21"/>
              </w:rPr>
              <w:br w:type="textWrapping"/>
            </w:r>
            <w:r>
              <w:rPr>
                <w:rFonts w:hint="eastAsia" w:ascii="宋体" w:hAnsi="宋体" w:eastAsia="宋体" w:cs="宋体"/>
                <w:szCs w:val="21"/>
              </w:rPr>
              <w:t>★3.整机采用防水防尘结构设计，防护等级≥IP65。</w:t>
            </w:r>
            <w:r>
              <w:rPr>
                <w:rFonts w:hint="eastAsia" w:ascii="宋体" w:hAnsi="宋体" w:eastAsia="宋体" w:cs="宋体"/>
                <w:szCs w:val="21"/>
              </w:rPr>
              <w:br w:type="textWrapping"/>
            </w:r>
            <w:r>
              <w:rPr>
                <w:rFonts w:hint="eastAsia" w:ascii="宋体" w:hAnsi="宋体" w:eastAsia="宋体" w:cs="宋体"/>
                <w:szCs w:val="21"/>
              </w:rPr>
              <w:t>4.整机最大厚度≤30mm。</w:t>
            </w:r>
            <w:r>
              <w:rPr>
                <w:rFonts w:hint="eastAsia" w:ascii="宋体" w:hAnsi="宋体" w:eastAsia="宋体" w:cs="宋体"/>
                <w:szCs w:val="21"/>
              </w:rPr>
              <w:br w:type="textWrapping"/>
            </w:r>
            <w:r>
              <w:rPr>
                <w:rFonts w:hint="eastAsia" w:ascii="宋体" w:hAnsi="宋体" w:eastAsia="宋体" w:cs="宋体"/>
                <w:szCs w:val="21"/>
              </w:rPr>
              <w:t>5.整机可拍摄≥200W像素的照片，支持≥10人同时进行人脸识别。可支持学生无卡考勤签到、查看个人课程表、家长留言等个人信息。</w:t>
            </w:r>
            <w:r>
              <w:rPr>
                <w:rFonts w:hint="eastAsia" w:ascii="宋体" w:hAnsi="宋体" w:eastAsia="宋体" w:cs="宋体"/>
                <w:szCs w:val="21"/>
              </w:rPr>
              <w:br w:type="textWrapping"/>
            </w:r>
            <w:r>
              <w:rPr>
                <w:rFonts w:hint="eastAsia" w:ascii="宋体" w:hAnsi="宋体" w:eastAsia="宋体" w:cs="宋体"/>
                <w:szCs w:val="21"/>
              </w:rPr>
              <w:t>★6.整机在逆光（人像处于背景照度≥80000Lux）环境下距离≤0.5m可正常进行人脸识别。</w:t>
            </w:r>
            <w:r>
              <w:rPr>
                <w:rFonts w:hint="eastAsia" w:ascii="宋体" w:hAnsi="宋体" w:eastAsia="宋体" w:cs="宋体"/>
                <w:szCs w:val="21"/>
              </w:rPr>
              <w:br w:type="textWrapping"/>
            </w:r>
            <w:r>
              <w:rPr>
                <w:rFonts w:hint="eastAsia" w:ascii="宋体" w:hAnsi="宋体" w:eastAsia="宋体" w:cs="宋体"/>
                <w:szCs w:val="21"/>
              </w:rPr>
              <w:t>★7.整机内置红外补光灯和双目摄像头，能同时打开彩色和黑白照片，具备活体检测功能。</w:t>
            </w:r>
            <w:r>
              <w:rPr>
                <w:rFonts w:hint="eastAsia" w:ascii="宋体" w:hAnsi="宋体" w:eastAsia="宋体" w:cs="宋体"/>
                <w:szCs w:val="21"/>
              </w:rPr>
              <w:br w:type="textWrapping"/>
            </w:r>
            <w:r>
              <w:rPr>
                <w:rFonts w:hint="eastAsia" w:ascii="宋体" w:hAnsi="宋体" w:eastAsia="宋体" w:cs="宋体"/>
                <w:szCs w:val="21"/>
              </w:rPr>
              <w:t>8.整机内置高灵敏度的全向麦克风，拾音半径≥0.5m，支持学生语音留言，留言内容同步发送至家长微信。</w:t>
            </w:r>
            <w:r>
              <w:rPr>
                <w:rFonts w:hint="eastAsia" w:ascii="宋体" w:hAnsi="宋体" w:eastAsia="宋体" w:cs="宋体"/>
                <w:szCs w:val="21"/>
              </w:rPr>
              <w:br w:type="textWrapping"/>
            </w:r>
            <w:r>
              <w:rPr>
                <w:rFonts w:hint="eastAsia" w:ascii="宋体" w:hAnsi="宋体" w:eastAsia="宋体" w:cs="宋体"/>
                <w:szCs w:val="21"/>
              </w:rPr>
              <w:t>9.整机内置IC刷卡器且支持外接门禁控制。</w:t>
            </w:r>
            <w:r>
              <w:rPr>
                <w:rFonts w:hint="eastAsia" w:ascii="宋体" w:hAnsi="宋体" w:eastAsia="宋体" w:cs="宋体"/>
                <w:szCs w:val="21"/>
              </w:rPr>
              <w:br w:type="textWrapping"/>
            </w:r>
            <w:r>
              <w:rPr>
                <w:rFonts w:hint="eastAsia" w:ascii="宋体" w:hAnsi="宋体" w:eastAsia="宋体" w:cs="宋体"/>
                <w:szCs w:val="21"/>
              </w:rPr>
              <w:t>10.整机具备≥1路RJ45网络接口；具备≥2路USB 2.0接口。</w:t>
            </w:r>
            <w:r>
              <w:rPr>
                <w:rFonts w:hint="eastAsia" w:ascii="宋体" w:hAnsi="宋体" w:eastAsia="宋体" w:cs="宋体"/>
                <w:szCs w:val="21"/>
              </w:rPr>
              <w:br w:type="textWrapping"/>
            </w:r>
            <w:r>
              <w:rPr>
                <w:rFonts w:hint="eastAsia" w:ascii="宋体" w:hAnsi="宋体" w:eastAsia="宋体" w:cs="宋体"/>
                <w:szCs w:val="21"/>
              </w:rPr>
              <w:t>11.整机CPU≥4核，最高主频≥1.9G，系统运行内存≥2GB，存储容量≥16GB；操作系统版本≥Android 9.0。</w:t>
            </w:r>
            <w:r>
              <w:rPr>
                <w:rFonts w:hint="eastAsia" w:ascii="宋体" w:hAnsi="宋体" w:eastAsia="宋体" w:cs="宋体"/>
                <w:szCs w:val="21"/>
              </w:rPr>
              <w:br w:type="textWrapping"/>
            </w:r>
            <w:r>
              <w:rPr>
                <w:rFonts w:hint="eastAsia" w:ascii="宋体" w:hAnsi="宋体" w:eastAsia="宋体" w:cs="宋体"/>
                <w:szCs w:val="21"/>
              </w:rPr>
              <w:t>12.整机支持远程开关机功能，远程唤醒待机功耗≤2W。</w:t>
            </w:r>
            <w:r>
              <w:rPr>
                <w:rFonts w:hint="eastAsia" w:ascii="宋体" w:hAnsi="宋体" w:eastAsia="宋体" w:cs="宋体"/>
                <w:szCs w:val="21"/>
              </w:rPr>
              <w:br w:type="textWrapping"/>
            </w:r>
            <w:r>
              <w:rPr>
                <w:rFonts w:hint="eastAsia" w:ascii="宋体" w:hAnsi="宋体" w:eastAsia="宋体" w:cs="宋体"/>
                <w:szCs w:val="21"/>
              </w:rPr>
              <w:t>13.整机支持自动感光调节屏幕亮度。</w:t>
            </w:r>
          </w:p>
          <w:p w14:paraId="68E357C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软件功能，支持校方现有云班牌软件系统接入实现:</w:t>
            </w:r>
          </w:p>
          <w:p w14:paraId="3B2474C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1.基于定制的Linux操作系统，B/S架构，系统能够提供教师app端（含苹果、安卓系统）、教师pc端、电子班牌端（安卓系统）、统一管理后台、小程序，必须本地化部署。</w:t>
            </w:r>
            <w:r>
              <w:rPr>
                <w:rFonts w:hint="eastAsia" w:ascii="宋体" w:hAnsi="宋体" w:eastAsia="宋体" w:cs="宋体"/>
                <w:szCs w:val="21"/>
              </w:rPr>
              <w:br w:type="textWrapping"/>
            </w:r>
            <w:r>
              <w:rPr>
                <w:rFonts w:hint="eastAsia" w:ascii="宋体" w:hAnsi="宋体" w:eastAsia="宋体" w:cs="宋体"/>
                <w:szCs w:val="21"/>
              </w:rPr>
              <w:t>2.统一管理系统：后台能够对电子班牌终端进行点对点、点对多控制，可统一开关，具备断网报警及图标显示功能。</w:t>
            </w:r>
            <w:r>
              <w:rPr>
                <w:rFonts w:hint="eastAsia" w:ascii="宋体" w:hAnsi="宋体" w:eastAsia="宋体" w:cs="宋体"/>
                <w:szCs w:val="21"/>
              </w:rPr>
              <w:br w:type="textWrapping"/>
            </w:r>
            <w:r>
              <w:rPr>
                <w:rFonts w:hint="eastAsia" w:ascii="宋体" w:hAnsi="宋体" w:eastAsia="宋体" w:cs="宋体"/>
                <w:szCs w:val="21"/>
              </w:rPr>
              <w:t>3.人脸库及人脸识别算法：系统具备统一身份人脸库，能够为其他系统提供人脸库数据接口，支持电子班牌人脸识别开门、人脸识别考勤、人脸识别验证身份等，支持人脸系统批量导入，也支持用户在手机app或小程序采集人脸信息。实现校内多个人脸识别系统的人脸数据统一采集和统一维护。</w:t>
            </w:r>
            <w:r>
              <w:rPr>
                <w:rFonts w:hint="eastAsia" w:ascii="宋体" w:hAnsi="宋体" w:eastAsia="宋体" w:cs="宋体"/>
                <w:szCs w:val="21"/>
              </w:rPr>
              <w:br w:type="textWrapping"/>
            </w:r>
            <w:r>
              <w:rPr>
                <w:rFonts w:hint="eastAsia" w:ascii="宋体" w:hAnsi="宋体" w:eastAsia="宋体" w:cs="宋体"/>
                <w:szCs w:val="21"/>
              </w:rPr>
              <w:t>4.电子班牌终端能够实现定时和实时接收后台的点对点、点对多视频推送、相册推送、校园通知推送，通知推送具备全屏幕推送和走马灯推送两种模式，视频、图片推送采用本地存储播放技术，保证视频、图片播放时不会发生卡顿。</w:t>
            </w:r>
            <w:r>
              <w:rPr>
                <w:rFonts w:hint="eastAsia" w:ascii="宋体" w:hAnsi="宋体" w:eastAsia="宋体" w:cs="宋体"/>
                <w:szCs w:val="21"/>
              </w:rPr>
              <w:br w:type="textWrapping"/>
            </w:r>
            <w:r>
              <w:rPr>
                <w:rFonts w:hint="eastAsia" w:ascii="宋体" w:hAnsi="宋体" w:eastAsia="宋体" w:cs="宋体"/>
                <w:szCs w:val="21"/>
              </w:rPr>
              <w:t>5.教室空间管理功能：系统支持手机端和pc端，在教室开放时间内，无需审批，预约人能够通过手机端、pc端在线预约教室。支持手机app、小程序和电子班牌端提供当前教室预约使用信息查询，并且能够提供可预约教室的预约信息和可预约时间及预约人，预约信息可按照日期、时间查询。预约成功后预约人自动获得预约时段开门权限，系统支持对象专业定向预约，可设置同时预约人数和容纳人数。</w:t>
            </w:r>
            <w:r>
              <w:rPr>
                <w:rFonts w:hint="eastAsia" w:ascii="宋体" w:hAnsi="宋体" w:eastAsia="宋体" w:cs="宋体"/>
                <w:szCs w:val="21"/>
              </w:rPr>
              <w:br w:type="textWrapping"/>
            </w:r>
            <w:r>
              <w:rPr>
                <w:rFonts w:hint="eastAsia" w:ascii="宋体" w:hAnsi="宋体" w:eastAsia="宋体" w:cs="宋体"/>
                <w:szCs w:val="21"/>
              </w:rPr>
              <w:t>6.考勤功能：支持扫码、人脸、刷卡、二维码、手机点名等5种以上学生考勤方式，能够适应电子班牌、手机端、pc端、大屏等多种终端考勤。手机扫码考勤系统具备防作弊功能。</w:t>
            </w:r>
            <w:r>
              <w:rPr>
                <w:rFonts w:hint="eastAsia" w:ascii="宋体" w:hAnsi="宋体" w:eastAsia="宋体" w:cs="宋体"/>
                <w:szCs w:val="21"/>
              </w:rPr>
              <w:br w:type="textWrapping"/>
            </w:r>
            <w:r>
              <w:rPr>
                <w:rFonts w:hint="eastAsia" w:ascii="宋体" w:hAnsi="宋体" w:eastAsia="宋体" w:cs="宋体"/>
                <w:szCs w:val="21"/>
              </w:rPr>
              <w:t>7.教师管理平台：系统支持教师pc端进行课程查询及调课查询、考勤统计查询、电子班牌信息发布、远程开门等功能，能够为其他子系统提供统一身份入口。</w:t>
            </w:r>
            <w:r>
              <w:rPr>
                <w:rFonts w:hint="eastAsia" w:ascii="宋体" w:hAnsi="宋体" w:eastAsia="宋体" w:cs="宋体"/>
                <w:szCs w:val="21"/>
              </w:rPr>
              <w:br w:type="textWrapping"/>
            </w:r>
            <w:r>
              <w:rPr>
                <w:rFonts w:hint="eastAsia" w:ascii="宋体" w:hAnsi="宋体" w:eastAsia="宋体" w:cs="宋体"/>
                <w:szCs w:val="21"/>
              </w:rPr>
              <w:t>8.远程开门：系统具备学校教室及楼栋整体架构，根据需要开放预约教室，开放成功后能够进行预约，并且具备教室责任人机制。责任人具备远程开门权限和取消预约权限。并且支持责任人手机远程开门和pc端远程开门两种方式。管理员app端具备智能排序功能，系统能够根据管理员的使用频率和使用时间自动完成快捷开门教室排序，方便管理员一键开门。</w:t>
            </w:r>
            <w:r>
              <w:rPr>
                <w:rFonts w:hint="eastAsia" w:ascii="宋体" w:hAnsi="宋体" w:eastAsia="宋体" w:cs="宋体"/>
                <w:szCs w:val="21"/>
              </w:rPr>
              <w:br w:type="textWrapping"/>
            </w:r>
            <w:r>
              <w:rPr>
                <w:rFonts w:hint="eastAsia" w:ascii="宋体" w:hAnsi="宋体" w:eastAsia="宋体" w:cs="宋体"/>
                <w:szCs w:val="21"/>
              </w:rPr>
              <w:t>9.物联管理功能：系统支持电子班牌控制教室物联设备及门禁系统。系统支持蓝牙协议，能够提供双模协议及基于AES128位的加密数据蓝牙协议，结合传感设备能够显示教室环境数据，如：温度、二氧化碳浓度、温度等；并且支持教室设备开门联动（预约开门自动授权开启物联设备）。</w:t>
            </w:r>
            <w:r>
              <w:rPr>
                <w:rFonts w:hint="eastAsia" w:ascii="宋体" w:hAnsi="宋体" w:eastAsia="宋体" w:cs="宋体"/>
                <w:szCs w:val="21"/>
              </w:rPr>
              <w:br w:type="textWrapping"/>
            </w:r>
            <w:r>
              <w:rPr>
                <w:rFonts w:hint="eastAsia" w:ascii="宋体" w:hAnsi="宋体" w:eastAsia="宋体" w:cs="宋体"/>
                <w:szCs w:val="21"/>
              </w:rPr>
              <w:t>10.基础数据：能够按照学校要求提供基础信息对学校基础数据进行管理。可便于管理员对于学校基础数据进行统一维护。</w:t>
            </w:r>
            <w:r>
              <w:rPr>
                <w:rFonts w:hint="eastAsia" w:ascii="宋体" w:hAnsi="宋体" w:eastAsia="宋体" w:cs="宋体"/>
                <w:szCs w:val="21"/>
              </w:rPr>
              <w:br w:type="textWrapping"/>
            </w:r>
            <w:r>
              <w:rPr>
                <w:rFonts w:hint="eastAsia" w:ascii="宋体" w:hAnsi="宋体" w:eastAsia="宋体" w:cs="宋体"/>
                <w:szCs w:val="21"/>
              </w:rPr>
              <w:t>11.扩展应用：系统支持学校在电子班牌功能的扩展开发，具备第三方开放者中心。能够为第三方系统提供统一的测试环境，对接文档和更新服务，包含第三方系统教师、学生、手机、pc等基础数据及应用，可以管理电子班牌及pc端系统内第三方的应用系统及数据获取及入口管理。</w:t>
            </w:r>
            <w:r>
              <w:rPr>
                <w:rFonts w:hint="eastAsia" w:ascii="宋体" w:hAnsi="宋体" w:eastAsia="宋体" w:cs="宋体"/>
                <w:szCs w:val="21"/>
              </w:rPr>
              <w:br w:type="textWrapping"/>
            </w:r>
            <w:r>
              <w:rPr>
                <w:rFonts w:hint="eastAsia" w:ascii="宋体" w:hAnsi="宋体" w:eastAsia="宋体" w:cs="宋体"/>
                <w:szCs w:val="21"/>
              </w:rPr>
              <w:t>12.课程表功能：能够支持学校多维度课程表查询，通过能够查询教室课表、个人课表、班级课表多个维度，课表能够自动同步教师个人日程和自动同步电子班牌教室空间管理的禁止预约使用时间，并且支持教师一键打印自己的人课表，支持学生小程序查询自己课程表。</w:t>
            </w:r>
            <w:r>
              <w:rPr>
                <w:rFonts w:hint="eastAsia" w:ascii="宋体" w:hAnsi="宋体" w:eastAsia="宋体" w:cs="宋体"/>
                <w:szCs w:val="21"/>
              </w:rPr>
              <w:br w:type="textWrapping"/>
            </w:r>
            <w:r>
              <w:rPr>
                <w:rFonts w:hint="eastAsia" w:ascii="宋体" w:hAnsi="宋体" w:eastAsia="宋体" w:cs="宋体"/>
                <w:szCs w:val="21"/>
              </w:rPr>
              <w:t>13.作息时间表：系统支持多个作息时间同时使用，并且作息时间表能够与教室地理位置关联，能够适应学校同一楼栋不同专业院系或不同类型教室不同作息上课时间，班牌也能够准确展示教室课程表。</w:t>
            </w:r>
            <w:r>
              <w:rPr>
                <w:rFonts w:hint="eastAsia" w:ascii="宋体" w:hAnsi="宋体" w:eastAsia="宋体" w:cs="宋体"/>
                <w:szCs w:val="21"/>
              </w:rPr>
              <w:br w:type="textWrapping"/>
            </w:r>
            <w:r>
              <w:rPr>
                <w:rFonts w:hint="eastAsia" w:ascii="宋体" w:hAnsi="宋体" w:eastAsia="宋体" w:cs="宋体"/>
                <w:szCs w:val="21"/>
              </w:rPr>
              <w:t>14.学生基础数据：为方便第三方对接和保证学生数据的完整性，系统后台支持学生数据能够自定义添加字段，并且能够支持通过字段名称排序调整学生数据列表顺序，教师能够根据自己需要任意挑选、组合学生数据排列顺序，支持学生数据自定义表格功能和excl导出。</w:t>
            </w:r>
            <w:r>
              <w:rPr>
                <w:rFonts w:hint="eastAsia" w:ascii="宋体" w:hAnsi="宋体" w:eastAsia="宋体" w:cs="宋体"/>
                <w:szCs w:val="21"/>
              </w:rPr>
              <w:br w:type="textWrapping"/>
            </w:r>
            <w:r>
              <w:rPr>
                <w:rFonts w:hint="eastAsia" w:ascii="宋体" w:hAnsi="宋体" w:eastAsia="宋体" w:cs="宋体"/>
                <w:szCs w:val="21"/>
              </w:rPr>
              <w:t>15.教室分类：系统支持教室分类，能够分为办公室、实训室、公共教室、会议室、普通教室，用户能够根据不同类型的教室关联不同的权限和设备。同时系统支持用户根据自己需求自定义添加和管理教室类。</w:t>
            </w:r>
            <w:r>
              <w:rPr>
                <w:rFonts w:hint="eastAsia" w:ascii="宋体" w:hAnsi="宋体" w:eastAsia="宋体" w:cs="宋体"/>
                <w:szCs w:val="21"/>
              </w:rPr>
              <w:br w:type="textWrapping"/>
            </w:r>
            <w:r>
              <w:rPr>
                <w:rFonts w:hint="eastAsia" w:ascii="宋体" w:hAnsi="宋体" w:eastAsia="宋体" w:cs="宋体"/>
                <w:szCs w:val="21"/>
              </w:rPr>
              <w:t>16.督导巡课功能：能够在pc界面提供今日授课学生、授课老师及课时数量，能够提供今日学校学生、班级、院系、专业四个维度提供考勤排名统计，能够通过校园平面图显示教室当前授课信息和考勤统计，点击教室能够查看教室视频信号、录播信号、考勤详情；</w:t>
            </w:r>
            <w:r>
              <w:rPr>
                <w:rFonts w:hint="eastAsia" w:ascii="宋体" w:hAnsi="宋体" w:eastAsia="宋体" w:cs="宋体"/>
                <w:szCs w:val="21"/>
              </w:rPr>
              <w:br w:type="textWrapping"/>
            </w:r>
            <w:r>
              <w:rPr>
                <w:rFonts w:hint="eastAsia" w:ascii="宋体" w:hAnsi="宋体" w:eastAsia="宋体" w:cs="宋体"/>
                <w:szCs w:val="21"/>
              </w:rPr>
              <w:t>17.报修系统：通过手机app完成报修上报，管理员通过app进行报修分配。管理员能够在手机和电脑上查询报修及时处理的情况和报修的数据汇总，支持报修数据exl导出。报修信息根据教室信息关联电子班牌，报修中的电子班牌能够背景变色。报修处理完成后，班牌背景自动回复初始背景。</w:t>
            </w:r>
            <w:r>
              <w:rPr>
                <w:rFonts w:hint="eastAsia" w:ascii="宋体" w:hAnsi="宋体" w:eastAsia="宋体" w:cs="宋体"/>
                <w:szCs w:val="21"/>
              </w:rPr>
              <w:br w:type="textWrapping"/>
            </w:r>
            <w:r>
              <w:rPr>
                <w:rFonts w:hint="eastAsia" w:ascii="宋体" w:hAnsi="宋体" w:eastAsia="宋体" w:cs="宋体"/>
                <w:szCs w:val="21"/>
              </w:rPr>
              <w:t>18.电子考场：通过管理平台系统配置、设定，根据考试时间，限时转入该模式。可以显示考场基本信息：考场名称，考试时间，考试科目，监考老师。在系统设定时间内，电子班牌自动转入考场模式执行考场任务，支持一个教室同时设置多个考场功能；</w:t>
            </w:r>
            <w:r>
              <w:rPr>
                <w:rFonts w:hint="eastAsia" w:ascii="宋体" w:hAnsi="宋体" w:eastAsia="宋体" w:cs="宋体"/>
                <w:szCs w:val="21"/>
              </w:rPr>
              <w:br w:type="textWrapping"/>
            </w:r>
            <w:r>
              <w:rPr>
                <w:rFonts w:hint="eastAsia" w:ascii="宋体" w:hAnsi="宋体" w:eastAsia="宋体" w:cs="宋体"/>
                <w:szCs w:val="21"/>
              </w:rPr>
              <w:t>19.素材库功能：素材库支持在线素材审核功能，具备视频、图片、文字及网页素材分类可追溯素材的使用和审核记录。支持H5网页、pdf、word文件班牌推送。系统具备班牌与手机同屏，并且手机能够点对点控制班牌素材播放及素材存储情况</w:t>
            </w:r>
            <w:r>
              <w:rPr>
                <w:rFonts w:hint="eastAsia" w:ascii="宋体" w:hAnsi="宋体" w:eastAsia="宋体" w:cs="宋体"/>
                <w:szCs w:val="21"/>
              </w:rPr>
              <w:br w:type="textWrapping"/>
            </w:r>
            <w:r>
              <w:rPr>
                <w:rFonts w:hint="eastAsia" w:ascii="宋体" w:hAnsi="宋体" w:eastAsia="宋体" w:cs="宋体"/>
                <w:szCs w:val="21"/>
              </w:rPr>
              <w:t>20.班牌背景设置：系统支持班牌上传图片作为班牌背景，并且能够实现每个班牌一个独立背景。并且能够管理员自己选择色调模版与上传图片结合生产班牌背景。</w:t>
            </w:r>
          </w:p>
          <w:p w14:paraId="16C074BD">
            <w:pPr>
              <w:spacing w:before="120" w:beforeLines="50" w:after="120" w:afterLines="50" w:line="400" w:lineRule="exact"/>
              <w:rPr>
                <w:rFonts w:ascii="宋体" w:hAnsi="宋体" w:eastAsia="宋体" w:cs="宋体"/>
                <w:szCs w:val="21"/>
              </w:rPr>
            </w:pPr>
            <w:r>
              <w:rPr>
                <w:rFonts w:hint="eastAsia" w:ascii="宋体" w:hAnsi="宋体" w:eastAsia="宋体" w:cs="宋体"/>
                <w:szCs w:val="21"/>
              </w:rPr>
              <w:t>21.支持接入校方原有班牌管理平台，发现并集中管控投标的新班牌设备，并在平台中对新班牌统一定时开关机。支持调用原系统所有素材（海报、图片、视频等）和通过原系统来进行设备重启/关闭/更新。</w:t>
            </w:r>
            <w:r>
              <w:rPr>
                <w:rFonts w:hint="eastAsia" w:ascii="宋体" w:hAnsi="宋体" w:eastAsia="宋体" w:cs="宋体"/>
                <w:b/>
                <w:bCs/>
                <w:color w:val="FF0000"/>
                <w:szCs w:val="21"/>
              </w:rPr>
              <w:t>（要求演示，见演示要求部分）</w:t>
            </w:r>
          </w:p>
          <w:p w14:paraId="2F54F464">
            <w:pPr>
              <w:spacing w:before="120" w:beforeLines="50" w:after="120" w:afterLines="50" w:line="400" w:lineRule="exact"/>
              <w:rPr>
                <w:rFonts w:ascii="宋体" w:hAnsi="宋体" w:eastAsia="宋体" w:cs="宋体"/>
                <w:sz w:val="24"/>
                <w:szCs w:val="21"/>
              </w:rPr>
            </w:pPr>
            <w:r>
              <w:rPr>
                <w:rFonts w:hint="eastAsia" w:ascii="宋体" w:hAnsi="宋体" w:eastAsia="宋体" w:cs="宋体"/>
                <w:sz w:val="24"/>
                <w:szCs w:val="21"/>
              </w:rPr>
              <w:t>22.</w:t>
            </w:r>
            <w:r>
              <w:rPr>
                <w:rFonts w:hint="eastAsia" w:ascii="宋体" w:hAnsi="宋体" w:eastAsia="宋体" w:cs="宋体"/>
                <w:szCs w:val="21"/>
              </w:rPr>
              <w:t>与学校原有录播管理平台对接，实现在班牌上査看教室内的上课实景画面，无感知便捷巡课。</w:t>
            </w:r>
            <w:r>
              <w:rPr>
                <w:rFonts w:hint="eastAsia" w:ascii="宋体" w:hAnsi="宋体" w:eastAsia="宋体" w:cs="宋体"/>
                <w:b/>
                <w:bCs/>
                <w:color w:val="FF0000"/>
                <w:szCs w:val="21"/>
              </w:rPr>
              <w:t>（要求演示，见演示要求部分）</w:t>
            </w:r>
          </w:p>
          <w:p w14:paraId="5528566A">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23.为实现系统兼容开放及稳定性，电子班牌需与校方巡课系统实现联动，实现班牌终端调用教室内巡课设备画面。</w:t>
            </w:r>
          </w:p>
          <w:p w14:paraId="5C53DFE0">
            <w:pPr>
              <w:spacing w:before="120" w:beforeLines="50" w:after="120" w:afterLines="50" w:line="400" w:lineRule="exact"/>
              <w:rPr>
                <w:rFonts w:ascii="宋体" w:hAnsi="宋体" w:eastAsia="宋体" w:cs="宋体"/>
                <w:sz w:val="24"/>
                <w:szCs w:val="21"/>
              </w:rPr>
            </w:pPr>
            <w:r>
              <w:rPr>
                <w:rFonts w:hint="eastAsia" w:ascii="宋体" w:hAnsi="宋体" w:eastAsia="宋体" w:cs="宋体"/>
                <w:szCs w:val="21"/>
              </w:rPr>
              <w:t>24.支持与此次同期建设的智慧黑板联动，在班牌端刷脸/刷卡登录认证后，在智慧黑板端联动登录教师教学软件的教学账号。</w:t>
            </w:r>
            <w:r>
              <w:rPr>
                <w:rFonts w:hint="eastAsia" w:ascii="宋体" w:hAnsi="宋体" w:eastAsia="宋体" w:cs="宋体"/>
                <w:b/>
                <w:bCs/>
                <w:color w:val="FF0000"/>
                <w:szCs w:val="21"/>
              </w:rPr>
              <w:t>（要求演示，见演示要求部分）</w:t>
            </w:r>
          </w:p>
        </w:tc>
      </w:tr>
      <w:tr w14:paraId="20BD6048">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23E3903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8</w:t>
            </w:r>
          </w:p>
        </w:tc>
        <w:tc>
          <w:tcPr>
            <w:tcW w:w="629" w:type="pct"/>
            <w:tcBorders>
              <w:top w:val="single" w:color="000000" w:sz="4" w:space="0"/>
              <w:left w:val="nil"/>
              <w:bottom w:val="single" w:color="000000" w:sz="4" w:space="0"/>
              <w:right w:val="single" w:color="000000" w:sz="4" w:space="0"/>
            </w:tcBorders>
            <w:vAlign w:val="center"/>
          </w:tcPr>
          <w:p w14:paraId="6A57792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班牌本地版软件</w:t>
            </w:r>
          </w:p>
        </w:tc>
        <w:tc>
          <w:tcPr>
            <w:tcW w:w="3942" w:type="pct"/>
            <w:tcBorders>
              <w:top w:val="single" w:color="000000" w:sz="4" w:space="0"/>
              <w:left w:val="nil"/>
              <w:bottom w:val="single" w:color="000000" w:sz="4" w:space="0"/>
              <w:right w:val="single" w:color="000000" w:sz="4" w:space="0"/>
            </w:tcBorders>
            <w:vAlign w:val="center"/>
          </w:tcPr>
          <w:p w14:paraId="2A2B97E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基本功能：</w:t>
            </w:r>
          </w:p>
          <w:p w14:paraId="5A5175DD">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1.基于C/S架构实现，提供自动升级，远程升级功能；</w:t>
            </w:r>
          </w:p>
          <w:p w14:paraId="680DC3B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2.本地版独立部署运行，不依赖于云端服务；</w:t>
            </w:r>
          </w:p>
          <w:p w14:paraId="38B1848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3.提供智能门牌显示，显示学校名称、校徽、位置信息、环境天气、日期时间等基础信息；</w:t>
            </w:r>
          </w:p>
          <w:p w14:paraId="66AB330A">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4.考勤模式：支持人脸识别、刷卡、扫码等多种考勤方式考勤，支持考勤签到列表显示；</w:t>
            </w:r>
          </w:p>
          <w:p w14:paraId="474F801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5无感巡课：要求终端上提供巡课功能，可在终端上查看教室内画面，无需进入教室内部；</w:t>
            </w:r>
          </w:p>
          <w:p w14:paraId="4DE689E4">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6.日常模式：日常模式下显示当日课表、视频、通知、学术讲座等信息内容显示；</w:t>
            </w:r>
          </w:p>
          <w:p w14:paraId="3D1101BD">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7.考场模式：考场模式提供与考试数据的对接，将自动发布考试信息，将电子班牌切换为考场模式，并显示当前教室的考场号、考试名称、考生信息名单、考场座位图、监考人员信息、考试时间等关键信息，考场模式下支持无感巡考、查看座位图等；</w:t>
            </w:r>
          </w:p>
          <w:p w14:paraId="0EDEC9C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8.课表模式：要求课表模式下显示一周课表，可以按教学周、日期等条件查询当前教室的课表,个人登录之后可以查询个人课表；</w:t>
            </w:r>
          </w:p>
          <w:p w14:paraId="345295B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9.系统自检：终端支持自检测功能，自动检测设备网络状况、运行状况等情况，并显示相应的状态指示灯，使各个终端的状态一目了然。</w:t>
            </w:r>
          </w:p>
          <w:p w14:paraId="3E0E60A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10.门禁功能（需终端设备支持门禁控制）</w:t>
            </w:r>
          </w:p>
          <w:p w14:paraId="506C938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1）提供人脸识别门禁控制，支持本地离线人脸识别认证、在线人脸识别认证等多种认证方式；支持对接第三方人脸认证平台；</w:t>
            </w:r>
          </w:p>
          <w:p w14:paraId="7A90906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2）提供刷卡认证门禁控制，支持对接第三方一卡通系统认证；</w:t>
            </w:r>
          </w:p>
          <w:p w14:paraId="0E37267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3）提供移动端扫码认证门禁控制，支持微信公众号、企业微信、钉钉、微笑通、统一身份认证等多方式部署；</w:t>
            </w:r>
          </w:p>
          <w:p w14:paraId="0655434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4）提供身份码反向扫码认证门禁控制，提供统一身份码，支持对接第三方平台身份码；</w:t>
            </w:r>
          </w:p>
          <w:p w14:paraId="3B1A0E6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5）支持按课表信息控制门禁，支持设置门禁黑白名单；</w:t>
            </w:r>
          </w:p>
          <w:p w14:paraId="07B96EC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11.班牌后台管理系统：</w:t>
            </w:r>
          </w:p>
          <w:p w14:paraId="2967C92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1)支持本地部署，基于B/S架构实现，通过浏览器直接进行访问；</w:t>
            </w:r>
          </w:p>
          <w:p w14:paraId="3273D0F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2)用户管理：支持对用户权限、人脸照片、一卡通信息等进行管理；</w:t>
            </w:r>
          </w:p>
          <w:p w14:paraId="4D024A9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3)设备管理：支持后台管理终端设备，包括终端设备的添加、注册、修改IP信息、删除、绑定教室、解绑教室、远程关机、远程开机、远程重启、停用、启用等功能；</w:t>
            </w:r>
          </w:p>
          <w:p w14:paraId="558F0F1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4)信息发布：支持发布视频、图片、文字等形式的宣传片、通知、新闻等信息；</w:t>
            </w:r>
          </w:p>
          <w:p w14:paraId="048DCD9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5)考试管理：可在后台发布考试信息，包括考场、考试科目、监考信息、考生信息、座位图等内容；</w:t>
            </w:r>
          </w:p>
          <w:p w14:paraId="4C399B2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6)门禁管理：要求可设置门禁黑名单、门禁白名单，查询开门记录、开门记录按时形成报表，支持报表导出；</w:t>
            </w:r>
          </w:p>
          <w:p w14:paraId="5101095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7)日志管理：支持平台操作日志查询，包括登录日志、用户操作日志等查询，支持日志记录删除和一键清理功能；</w:t>
            </w:r>
          </w:p>
          <w:p w14:paraId="773497C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8)对接数据中心或教务管理系统课表，实现课表同步；</w:t>
            </w:r>
          </w:p>
          <w:p w14:paraId="3E53B55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9)对接统一身份认证系统实现用户认证；</w:t>
            </w:r>
          </w:p>
          <w:p w14:paraId="0E36C1F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10)对接第三方一卡通信息、人脸信息等用户信息，支持本地人脸库存储，支持敏感信息加密，保证数据安全；</w:t>
            </w:r>
          </w:p>
          <w:p w14:paraId="5818E36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11)支持移动端查询课表、考勤记录等信息</w:t>
            </w:r>
          </w:p>
          <w:p w14:paraId="34B329B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定制开发要求：</w:t>
            </w:r>
          </w:p>
          <w:p w14:paraId="1BBE9AE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 包括且不限于：UI界面定制，支持刷脸、刷卡、扫码模式考勤，多媒体信息发布，对接教室现有视频流支持班牌视频巡课，按定制模板进行考场任务发布，支持空间预约及门禁控制等。</w:t>
            </w:r>
          </w:p>
          <w:p w14:paraId="6560925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 完成与学校智慧校园统一身份认证、一卡通系统、教务系统、人脸库数据的对接，接入学校智慧校园微信服务号（手机端能获取班级考勤信息、个人考勤信息等）。</w:t>
            </w:r>
          </w:p>
          <w:p w14:paraId="3D2961DD">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 适配校方本次新购及现有的横竖款电子班牌，支持多种界面模板更换、不同风格界面更换。</w:t>
            </w:r>
          </w:p>
          <w:p w14:paraId="1FA7E01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 校方提出的其他定制需求。</w:t>
            </w:r>
          </w:p>
          <w:p w14:paraId="293C5E4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 软件购买后不限部署点数。</w:t>
            </w:r>
          </w:p>
        </w:tc>
      </w:tr>
      <w:tr w14:paraId="44EDC254">
        <w:tblPrEx>
          <w:tblCellMar>
            <w:top w:w="0" w:type="dxa"/>
            <w:left w:w="108" w:type="dxa"/>
            <w:bottom w:w="0" w:type="dxa"/>
            <w:right w:w="108" w:type="dxa"/>
          </w:tblCellMar>
        </w:tblPrEx>
        <w:trPr>
          <w:trHeight w:val="434"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79A84E5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9</w:t>
            </w:r>
          </w:p>
        </w:tc>
        <w:tc>
          <w:tcPr>
            <w:tcW w:w="629" w:type="pct"/>
            <w:tcBorders>
              <w:top w:val="single" w:color="000000" w:sz="4" w:space="0"/>
              <w:left w:val="nil"/>
              <w:bottom w:val="single" w:color="000000" w:sz="4" w:space="0"/>
              <w:right w:val="single" w:color="000000" w:sz="4" w:space="0"/>
            </w:tcBorders>
            <w:vAlign w:val="center"/>
          </w:tcPr>
          <w:p w14:paraId="69CE860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电源时序器</w:t>
            </w:r>
          </w:p>
        </w:tc>
        <w:tc>
          <w:tcPr>
            <w:tcW w:w="3942" w:type="pct"/>
            <w:tcBorders>
              <w:top w:val="single" w:color="000000" w:sz="4" w:space="0"/>
              <w:left w:val="nil"/>
              <w:bottom w:val="single" w:color="000000" w:sz="4" w:space="0"/>
              <w:right w:val="single" w:color="000000" w:sz="4" w:space="0"/>
            </w:tcBorders>
            <w:vAlign w:val="center"/>
          </w:tcPr>
          <w:p w14:paraId="1D48B51A">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1.采用ARM核32位处理器控制，使时间更精确性能更稳定；</w:t>
            </w:r>
            <w:r>
              <w:rPr>
                <w:rFonts w:hint="eastAsia" w:ascii="宋体" w:hAnsi="宋体" w:eastAsia="宋体" w:cs="宋体"/>
                <w:szCs w:val="21"/>
              </w:rPr>
              <w:br w:type="textWrapping"/>
            </w:r>
            <w:r>
              <w:rPr>
                <w:rFonts w:hint="eastAsia" w:ascii="宋体" w:hAnsi="宋体" w:eastAsia="宋体" w:cs="宋体"/>
                <w:szCs w:val="21"/>
              </w:rPr>
              <w:t>2.8路通道总承受功率为8KW电源；</w:t>
            </w:r>
          </w:p>
          <w:p w14:paraId="004045F4">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3.2×24LCD蓝色背光显示功能设置操作界面使设备操作变得更加直观；</w:t>
            </w:r>
          </w:p>
          <w:p w14:paraId="5EFC65F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4.每通道设立独立的硬件紧急关闭开关，可以通过开关紧急关闭某一路的电源输出；可设置密码功能，更好的保护系统用电安全管理；</w:t>
            </w:r>
          </w:p>
          <w:p w14:paraId="1F2C598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5.软件编辑功能，可独立调整通道开机及关机的延时时间；</w:t>
            </w:r>
          </w:p>
          <w:p w14:paraId="4848489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6.设备内置定时开关机功能，最长可达12个月的定时时间设置；</w:t>
            </w:r>
          </w:p>
          <w:p w14:paraId="3A48A9C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7.设备内置中控代码生成器，方便第三方设备进行代码编辑；</w:t>
            </w:r>
          </w:p>
          <w:p w14:paraId="303B5C0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8.设备内置远程控制，让用户能随时随地的对设备进行开启关闭操作；能与同型号的电源时序器进行多台扩展及级联设置，而无需再购置其它控制器件；</w:t>
            </w:r>
          </w:p>
          <w:p w14:paraId="18CF080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9.设备受控控制方式多样，TCP/IP、WIFI、USB，RS485，RS232联机控制加上外部（远程）控制能控制复杂的电源系统。</w:t>
            </w:r>
          </w:p>
          <w:p w14:paraId="606D8BF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10.可通过红外学习功能及IO控制功能对第三方设备进行控制。</w:t>
            </w:r>
          </w:p>
          <w:p w14:paraId="2F42A13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11.采用新国家标准的10A通用安全划盖插座，使得用电安全更加有保障。工作电压单相AC220V(±20%)工作频率50Hz或60Hz。</w:t>
            </w:r>
          </w:p>
          <w:p w14:paraId="6361157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12.按要求使用电源时序器对各教室内讲台内设备、智慧黑板等电源进行统一接入改造，并实现现有中控对电源时序器的电源控制进而实现教室内设备的有序启动及关闭。对校方已配电源时序器18个大教室按同样方式进行改接。</w:t>
            </w:r>
          </w:p>
        </w:tc>
      </w:tr>
      <w:tr w14:paraId="1ED6040B">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10FADF64">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w:t>
            </w:r>
          </w:p>
        </w:tc>
        <w:tc>
          <w:tcPr>
            <w:tcW w:w="629" w:type="pct"/>
            <w:tcBorders>
              <w:top w:val="single" w:color="000000" w:sz="4" w:space="0"/>
              <w:left w:val="nil"/>
              <w:bottom w:val="single" w:color="000000" w:sz="4" w:space="0"/>
              <w:right w:val="single" w:color="000000" w:sz="4" w:space="0"/>
            </w:tcBorders>
            <w:vAlign w:val="center"/>
          </w:tcPr>
          <w:p w14:paraId="4CD99AF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OPS</w:t>
            </w:r>
          </w:p>
        </w:tc>
        <w:tc>
          <w:tcPr>
            <w:tcW w:w="3942" w:type="pct"/>
            <w:tcBorders>
              <w:top w:val="single" w:color="000000" w:sz="4" w:space="0"/>
              <w:left w:val="nil"/>
              <w:bottom w:val="single" w:color="000000" w:sz="4" w:space="0"/>
              <w:right w:val="single" w:color="000000" w:sz="4" w:space="0"/>
            </w:tcBorders>
            <w:vAlign w:val="center"/>
          </w:tcPr>
          <w:p w14:paraId="22A72A5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1.主板搭载Intel 酷睿系列i7 12代以上，内存：8GB DDR4笔记本内存或以上配置；硬盘：256GB或以上SSD固态硬盘。</w:t>
            </w:r>
            <w:r>
              <w:rPr>
                <w:rFonts w:hint="eastAsia" w:ascii="宋体" w:hAnsi="宋体" w:eastAsia="宋体" w:cs="宋体"/>
                <w:szCs w:val="21"/>
              </w:rPr>
              <w:br w:type="textWrapping"/>
            </w:r>
            <w:r>
              <w:rPr>
                <w:rFonts w:hint="eastAsia" w:ascii="宋体" w:hAnsi="宋体" w:eastAsia="宋体" w:cs="宋体"/>
                <w:szCs w:val="21"/>
              </w:rPr>
              <w:t>2.机身采用热浸镀锌金属材质，采用智能风扇低噪音散热设计。</w:t>
            </w:r>
            <w:r>
              <w:rPr>
                <w:rFonts w:hint="eastAsia" w:ascii="宋体" w:hAnsi="宋体" w:eastAsia="宋体" w:cs="宋体"/>
                <w:szCs w:val="21"/>
              </w:rPr>
              <w:br w:type="textWrapping"/>
            </w:r>
            <w:r>
              <w:rPr>
                <w:rFonts w:hint="eastAsia" w:ascii="宋体" w:hAnsi="宋体" w:eastAsia="宋体" w:cs="宋体"/>
                <w:szCs w:val="21"/>
              </w:rPr>
              <w:t>3.PC模块的USB接口（Type-A\Type-C）须为冗余备份接口。</w:t>
            </w:r>
            <w:r>
              <w:rPr>
                <w:rFonts w:hint="eastAsia" w:ascii="宋体" w:hAnsi="宋体" w:eastAsia="宋体" w:cs="宋体"/>
                <w:szCs w:val="21"/>
              </w:rPr>
              <w:br w:type="textWrapping"/>
            </w:r>
            <w:r>
              <w:rPr>
                <w:rFonts w:hint="eastAsia" w:ascii="宋体" w:hAnsi="宋体" w:eastAsia="宋体" w:cs="宋体"/>
                <w:szCs w:val="21"/>
              </w:rPr>
              <w:t>4.采用抽拉内置式模块化电脑，PC模块可插入整机，可实现无单独接线的插拔。</w:t>
            </w:r>
            <w:r>
              <w:rPr>
                <w:rFonts w:hint="eastAsia" w:ascii="宋体" w:hAnsi="宋体" w:eastAsia="宋体" w:cs="宋体"/>
                <w:szCs w:val="21"/>
              </w:rPr>
              <w:br w:type="textWrapping"/>
            </w:r>
            <w:r>
              <w:rPr>
                <w:rFonts w:hint="eastAsia" w:ascii="宋体" w:hAnsi="宋体" w:eastAsia="宋体" w:cs="宋体"/>
                <w:szCs w:val="21"/>
              </w:rPr>
              <w:t>5.具有独立非外扩展的电脑USB接口：具有≥3个USB3.0 TypeA接口。具有独立非外扩展的视频输出接口：≥1路HDMI。</w:t>
            </w:r>
            <w:r>
              <w:rPr>
                <w:rFonts w:hint="eastAsia" w:ascii="宋体" w:hAnsi="宋体" w:eastAsia="宋体" w:cs="宋体"/>
                <w:szCs w:val="21"/>
              </w:rPr>
              <w:br w:type="textWrapping"/>
            </w:r>
            <w:r>
              <w:rPr>
                <w:rFonts w:hint="eastAsia" w:ascii="宋体" w:hAnsi="宋体" w:eastAsia="宋体" w:cs="宋体"/>
                <w:szCs w:val="21"/>
              </w:rPr>
              <w:t>6.采用按压式卡扣，无需工具即可快速拆卸电脑模块。</w:t>
            </w:r>
            <w:r>
              <w:rPr>
                <w:rFonts w:hint="eastAsia" w:ascii="宋体" w:hAnsi="宋体" w:eastAsia="宋体" w:cs="宋体"/>
                <w:szCs w:val="21"/>
              </w:rPr>
              <w:br w:type="textWrapping"/>
            </w:r>
            <w:r>
              <w:rPr>
                <w:rFonts w:hint="eastAsia" w:ascii="宋体" w:hAnsi="宋体" w:eastAsia="宋体" w:cs="宋体"/>
                <w:szCs w:val="21"/>
              </w:rPr>
              <w:t>7.具有标准PC防盗锁孔，确保电脑模块安全防盗。</w:t>
            </w:r>
            <w:r>
              <w:rPr>
                <w:rFonts w:hint="eastAsia" w:ascii="宋体" w:hAnsi="宋体" w:eastAsia="宋体" w:cs="宋体"/>
                <w:szCs w:val="21"/>
              </w:rPr>
              <w:br w:type="textWrapping"/>
            </w:r>
            <w:r>
              <w:rPr>
                <w:rFonts w:hint="eastAsia" w:ascii="宋体" w:hAnsi="宋体" w:eastAsia="宋体" w:cs="宋体"/>
                <w:szCs w:val="21"/>
              </w:rPr>
              <w:t>8.要求可与校内现有的一体机兼容通用。</w:t>
            </w:r>
          </w:p>
        </w:tc>
      </w:tr>
      <w:tr w14:paraId="2F555EFA">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4286E3D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w:t>
            </w:r>
          </w:p>
        </w:tc>
        <w:tc>
          <w:tcPr>
            <w:tcW w:w="629" w:type="pct"/>
            <w:tcBorders>
              <w:top w:val="single" w:color="000000" w:sz="4" w:space="0"/>
              <w:left w:val="nil"/>
              <w:bottom w:val="single" w:color="000000" w:sz="4" w:space="0"/>
              <w:right w:val="single" w:color="000000" w:sz="4" w:space="0"/>
            </w:tcBorders>
            <w:vAlign w:val="center"/>
          </w:tcPr>
          <w:p w14:paraId="7784CFE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相机</w:t>
            </w:r>
          </w:p>
        </w:tc>
        <w:tc>
          <w:tcPr>
            <w:tcW w:w="3942" w:type="pct"/>
            <w:tcBorders>
              <w:top w:val="single" w:color="000000" w:sz="4" w:space="0"/>
              <w:left w:val="nil"/>
              <w:bottom w:val="single" w:color="000000" w:sz="4" w:space="0"/>
              <w:right w:val="single" w:color="000000" w:sz="4" w:space="0"/>
            </w:tcBorders>
            <w:vAlign w:val="center"/>
          </w:tcPr>
          <w:p w14:paraId="2BC65B2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1.CMOS图像感应器，有效像素约2420万像素，长宽比3：2； </w:t>
            </w:r>
          </w:p>
          <w:p w14:paraId="416DFF0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2.支持全自动模式、场景模式（人像、风光、微距、运动、夜景等）、P、Tv、Av、M、B门、自定义等照片拍摄模式；</w:t>
            </w:r>
          </w:p>
          <w:p w14:paraId="61658D6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3.支持白平衡在正负3级间以1级为单位调节包围曝光；</w:t>
            </w:r>
          </w:p>
          <w:p w14:paraId="343CA34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4.OLED彩色电子取景器，约369万点；景深预览；色调可调；3英寸</w:t>
            </w:r>
            <w:r>
              <w:rPr>
                <w:rFonts w:ascii="宋体" w:hAnsi="宋体" w:eastAsia="宋体" w:cs="宋体"/>
                <w:szCs w:val="21"/>
              </w:rPr>
              <w:t>TFT彩色液晶监视器</w:t>
            </w:r>
            <w:r>
              <w:rPr>
                <w:rFonts w:hint="eastAsia" w:ascii="宋体" w:hAnsi="宋体" w:eastAsia="宋体" w:cs="宋体"/>
                <w:szCs w:val="21"/>
              </w:rPr>
              <w:t xml:space="preserve"> ，</w:t>
            </w:r>
            <w:r>
              <w:rPr>
                <w:rFonts w:ascii="宋体" w:hAnsi="宋体" w:eastAsia="宋体" w:cs="宋体"/>
                <w:szCs w:val="21"/>
              </w:rPr>
              <w:t>约162万点</w:t>
            </w:r>
            <w:r>
              <w:rPr>
                <w:rFonts w:hint="eastAsia" w:ascii="宋体" w:hAnsi="宋体" w:eastAsia="宋体" w:cs="宋体"/>
                <w:szCs w:val="21"/>
              </w:rPr>
              <w:t>，</w:t>
            </w:r>
            <w:r>
              <w:rPr>
                <w:rFonts w:ascii="宋体" w:hAnsi="宋体" w:eastAsia="宋体" w:cs="宋体"/>
                <w:szCs w:val="21"/>
              </w:rPr>
              <w:t>打开角度：约0～175°，旋转角度：向前约0～90°/向后约0～180°</w:t>
            </w:r>
            <w:r>
              <w:rPr>
                <w:rFonts w:hint="eastAsia" w:ascii="宋体" w:hAnsi="宋体" w:eastAsia="宋体" w:cs="宋体"/>
                <w:szCs w:val="21"/>
              </w:rPr>
              <w:t>。</w:t>
            </w:r>
          </w:p>
          <w:p w14:paraId="2D0831A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5.屈光度调节 -4.0到+2.0m-1(dpt)；</w:t>
            </w:r>
          </w:p>
          <w:p w14:paraId="4F2E23D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6.自动对焦类型：全像素双核CMOS AF相差检测</w:t>
            </w:r>
          </w:p>
          <w:p w14:paraId="671E10E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7.支持</w:t>
            </w:r>
            <w:r>
              <w:rPr>
                <w:rFonts w:ascii="宋体" w:hAnsi="宋体" w:eastAsia="宋体" w:cs="宋体"/>
                <w:szCs w:val="21"/>
              </w:rPr>
              <w:t>定点自动对焦、单点自动对焦、扩展自动对焦区域（上下左右）、扩展自动对焦区域（周围）、灵活区域自动对焦</w:t>
            </w:r>
            <w:r>
              <w:rPr>
                <w:rFonts w:hint="eastAsia" w:ascii="宋体" w:hAnsi="宋体" w:eastAsia="宋体" w:cs="宋体"/>
                <w:szCs w:val="21"/>
              </w:rPr>
              <w:t>；</w:t>
            </w:r>
          </w:p>
          <w:p w14:paraId="0EFD28EA">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8.可用自动对焦点位最多4897个；自动对焦区域最多1053区；支持手动对焦；</w:t>
            </w:r>
          </w:p>
          <w:p w14:paraId="4570017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9.测光模式。</w:t>
            </w:r>
            <w:r>
              <w:rPr>
                <w:rFonts w:ascii="Helvetica" w:hAnsi="Helvetica" w:eastAsia="宋体" w:cs="Times New Roman"/>
                <w:color w:val="666666"/>
                <w:szCs w:val="21"/>
                <w:shd w:val="clear" w:color="auto" w:fill="FFFFFF"/>
              </w:rPr>
              <w:t xml:space="preserve"> </w:t>
            </w:r>
            <w:r>
              <w:rPr>
                <w:rFonts w:ascii="宋体" w:hAnsi="宋体" w:eastAsia="宋体" w:cs="宋体"/>
                <w:szCs w:val="21"/>
              </w:rPr>
              <w:t>静止图像拍摄：评价测光（与所有自动对焦点联动）、局部测光（屏幕中央约5.9%的面积）、点测光（屏幕中央约3%的面积）、中央重点平均测光；短片拍摄：使用图像感应器进行中央重点平均测光或评价测光</w:t>
            </w:r>
            <w:r>
              <w:rPr>
                <w:rFonts w:hint="eastAsia" w:ascii="宋体" w:hAnsi="宋体" w:eastAsia="宋体" w:cs="宋体"/>
                <w:szCs w:val="21"/>
              </w:rPr>
              <w:t>。</w:t>
            </w:r>
          </w:p>
          <w:p w14:paraId="7A2F39BA">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w:t>
            </w:r>
            <w:r>
              <w:rPr>
                <w:rFonts w:ascii="Helvetica" w:hAnsi="Helvetica" w:eastAsia="宋体" w:cs="Times New Roman"/>
                <w:color w:val="666666"/>
                <w:szCs w:val="21"/>
                <w:shd w:val="clear" w:color="auto" w:fill="F5F5F5"/>
              </w:rPr>
              <w:t xml:space="preserve"> </w:t>
            </w:r>
            <w:r>
              <w:rPr>
                <w:rFonts w:ascii="宋体" w:hAnsi="宋体" w:eastAsia="宋体" w:cs="宋体"/>
                <w:szCs w:val="21"/>
              </w:rPr>
              <w:t>静止图像拍摄：在ISO 100～102400范围内手动设置（以1/3级或整级为单位），可扩展到相当于ISO 50</w:t>
            </w:r>
            <w:r>
              <w:rPr>
                <w:rFonts w:hint="eastAsia" w:ascii="宋体" w:hAnsi="宋体" w:eastAsia="宋体" w:cs="宋体"/>
                <w:szCs w:val="21"/>
              </w:rPr>
              <w:t>-</w:t>
            </w:r>
            <w:r>
              <w:rPr>
                <w:rFonts w:ascii="宋体" w:hAnsi="宋体" w:eastAsia="宋体" w:cs="宋体"/>
                <w:szCs w:val="21"/>
              </w:rPr>
              <w:t>204800；短片拍摄：在ISO 100～25600范围内手动设置（以1/3级为单位），可扩展到相当于ISO 32000～204800</w:t>
            </w:r>
            <w:r>
              <w:rPr>
                <w:rFonts w:hint="eastAsia" w:ascii="宋体" w:hAnsi="宋体" w:eastAsia="宋体" w:cs="宋体"/>
                <w:szCs w:val="21"/>
              </w:rPr>
              <w:t>。</w:t>
            </w:r>
          </w:p>
          <w:p w14:paraId="12F25BE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w:t>
            </w:r>
            <w:r>
              <w:rPr>
                <w:rFonts w:ascii="Helvetica" w:hAnsi="Helvetica" w:eastAsia="宋体" w:cs="Times New Roman"/>
                <w:color w:val="666666"/>
                <w:szCs w:val="21"/>
                <w:shd w:val="clear" w:color="auto" w:fill="F5F5F5"/>
              </w:rPr>
              <w:t xml:space="preserve"> </w:t>
            </w:r>
            <w:r>
              <w:rPr>
                <w:rFonts w:ascii="宋体" w:hAnsi="宋体" w:eastAsia="宋体" w:cs="宋体"/>
                <w:szCs w:val="21"/>
              </w:rPr>
              <w:t>机械快门/电子前帘快门：1/8000～30秒、B门；电子快门：1/16000秒、1/8000～30秒、B门（1/16000秒的快门速度仅限Tv及M模式，高速连拍+、RAW连拍、HDR模式、对焦包围或改变光圈时保持曝光的情况下，最高快门速度为1/8000秒），机械快门闪光同步速度：1/200秒，电子前帘快门闪光同步速度：1/250秒  </w:t>
            </w:r>
          </w:p>
          <w:p w14:paraId="11CE6CA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12.</w:t>
            </w:r>
            <w:r>
              <w:rPr>
                <w:rFonts w:ascii="Helvetica" w:hAnsi="Helvetica" w:eastAsia="宋体" w:cs="Times New Roman"/>
                <w:color w:val="666666"/>
                <w:szCs w:val="21"/>
                <w:shd w:val="clear" w:color="auto" w:fill="FFFFFF"/>
              </w:rPr>
              <w:t xml:space="preserve"> </w:t>
            </w:r>
            <w:r>
              <w:rPr>
                <w:rFonts w:ascii="宋体" w:hAnsi="宋体" w:eastAsia="宋体" w:cs="宋体"/>
                <w:szCs w:val="21"/>
              </w:rPr>
              <w:t>高速连拍+：最高约40张/秒（电子快门）、最高约12张/秒（机械快门/电子前帘快门） 高速连拍：最高约20张/秒（电子快门）、最高约7张/秒（电子前帘快门）、最高约5.5张/秒（机械快门） 低速连拍：最高约5张/秒（电子快门）、最高约3张/秒（机械快门/电子前帘快门）</w:t>
            </w:r>
            <w:r>
              <w:rPr>
                <w:rFonts w:hint="eastAsia" w:ascii="宋体" w:hAnsi="宋体" w:eastAsia="宋体" w:cs="宋体"/>
                <w:szCs w:val="21"/>
              </w:rPr>
              <w:t>。</w:t>
            </w:r>
          </w:p>
          <w:p w14:paraId="1584A10A">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13.视频拍摄。支持MP4格式存储，支持</w:t>
            </w:r>
            <w:r>
              <w:rPr>
                <w:rFonts w:ascii="宋体" w:hAnsi="宋体" w:eastAsia="宋体" w:cs="宋体"/>
                <w:szCs w:val="21"/>
              </w:rPr>
              <w:t>H.265/HEVC</w:t>
            </w:r>
            <w:r>
              <w:rPr>
                <w:rFonts w:hint="eastAsia" w:ascii="宋体" w:hAnsi="宋体" w:eastAsia="宋体" w:cs="宋体"/>
                <w:szCs w:val="21"/>
              </w:rPr>
              <w:t>、</w:t>
            </w:r>
            <w:r>
              <w:rPr>
                <w:rFonts w:ascii="宋体" w:hAnsi="宋体" w:eastAsia="宋体" w:cs="宋体"/>
                <w:szCs w:val="21"/>
              </w:rPr>
              <w:t>H.264/MPEG-4 AVC</w:t>
            </w:r>
            <w:r>
              <w:rPr>
                <w:rFonts w:hint="eastAsia" w:ascii="宋体" w:hAnsi="宋体" w:eastAsia="宋体" w:cs="宋体"/>
                <w:szCs w:val="21"/>
              </w:rPr>
              <w:t>，支持</w:t>
            </w:r>
            <w:r>
              <w:rPr>
                <w:rFonts w:ascii="宋体" w:hAnsi="宋体" w:eastAsia="宋体" w:cs="宋体"/>
                <w:szCs w:val="21"/>
              </w:rPr>
              <w:t> 4K UHD（59.94P/50P）</w:t>
            </w:r>
            <w:r>
              <w:rPr>
                <w:rFonts w:hint="eastAsia" w:ascii="宋体" w:hAnsi="宋体" w:eastAsia="宋体" w:cs="宋体"/>
                <w:szCs w:val="21"/>
              </w:rPr>
              <w:t>拍摄，</w:t>
            </w:r>
            <w:r>
              <w:rPr>
                <w:rFonts w:ascii="宋体" w:hAnsi="宋体" w:eastAsia="宋体" w:cs="宋体"/>
                <w:szCs w:val="21"/>
              </w:rPr>
              <w:t>支持6K RAW外部记录，6K超采样4K UHD 60P，全高清180P高帧频</w:t>
            </w:r>
            <w:r>
              <w:rPr>
                <w:rFonts w:hint="eastAsia" w:ascii="宋体" w:hAnsi="宋体" w:eastAsia="宋体" w:cs="宋体"/>
                <w:szCs w:val="21"/>
              </w:rPr>
              <w:t>。</w:t>
            </w:r>
          </w:p>
          <w:p w14:paraId="32464D6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14.</w:t>
            </w:r>
            <w:r>
              <w:rPr>
                <w:rFonts w:eastAsia="宋体" w:cs="Times New Roman"/>
              </w:rPr>
              <w:t xml:space="preserve"> </w:t>
            </w:r>
            <w:r>
              <w:rPr>
                <w:rFonts w:ascii="宋体" w:hAnsi="宋体" w:eastAsia="宋体" w:cs="宋体"/>
                <w:szCs w:val="21"/>
              </w:rPr>
              <w:t>24-105 mm F4</w:t>
            </w:r>
            <w:r>
              <w:rPr>
                <w:rFonts w:hint="eastAsia" w:ascii="宋体" w:hAnsi="宋体" w:eastAsia="宋体" w:cs="宋体"/>
                <w:szCs w:val="21"/>
              </w:rPr>
              <w:t xml:space="preserve"> 防抖镜头。</w:t>
            </w:r>
          </w:p>
          <w:p w14:paraId="21595A9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15.配齐下述附件：相机电池（2块），相机包1个 ，高速SD存储卡1张（最低持续写入速度≥90MB/s，支持 8K/60fps、4K/120fps 视频录制）； UV镜1，电源适配器1，电池充电器1；手持稳定器1套（兼容佳能EOS R系列、索尼α7系列等主流无反单反相机以及手机，含相机快装板、手机夹）。</w:t>
            </w:r>
          </w:p>
        </w:tc>
      </w:tr>
      <w:tr w14:paraId="558EA1FF">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31DD0C94">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12</w:t>
            </w:r>
          </w:p>
        </w:tc>
        <w:tc>
          <w:tcPr>
            <w:tcW w:w="629" w:type="pct"/>
            <w:tcBorders>
              <w:top w:val="single" w:color="000000" w:sz="4" w:space="0"/>
              <w:left w:val="nil"/>
              <w:bottom w:val="single" w:color="000000" w:sz="4" w:space="0"/>
              <w:right w:val="single" w:color="000000" w:sz="4" w:space="0"/>
            </w:tcBorders>
            <w:vAlign w:val="center"/>
          </w:tcPr>
          <w:p w14:paraId="31DEC7D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LoRa分体空调执行器</w:t>
            </w:r>
          </w:p>
        </w:tc>
        <w:tc>
          <w:tcPr>
            <w:tcW w:w="3942" w:type="pct"/>
            <w:tcBorders>
              <w:top w:val="single" w:color="000000" w:sz="4" w:space="0"/>
              <w:left w:val="nil"/>
              <w:bottom w:val="single" w:color="000000" w:sz="4" w:space="0"/>
              <w:right w:val="single" w:color="000000" w:sz="4" w:space="0"/>
            </w:tcBorders>
            <w:vAlign w:val="center"/>
          </w:tcPr>
          <w:p w14:paraId="3B5387E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1.基于Lora通信技术的空调执行器。</w:t>
            </w:r>
            <w:r>
              <w:rPr>
                <w:rFonts w:hint="eastAsia" w:ascii="宋体" w:hAnsi="宋体" w:eastAsia="宋体" w:cs="宋体"/>
                <w:szCs w:val="21"/>
              </w:rPr>
              <w:br w:type="textWrapping"/>
            </w:r>
            <w:r>
              <w:rPr>
                <w:rFonts w:hint="eastAsia" w:ascii="宋体" w:hAnsi="宋体" w:eastAsia="宋体" w:cs="宋体"/>
                <w:szCs w:val="21"/>
              </w:rPr>
              <w:t>2.采用Lora Wan标准协议，CN470频段，Class C模式。</w:t>
            </w:r>
            <w:r>
              <w:rPr>
                <w:rFonts w:hint="eastAsia" w:ascii="宋体" w:hAnsi="宋体" w:eastAsia="宋体" w:cs="宋体"/>
                <w:szCs w:val="21"/>
              </w:rPr>
              <w:br w:type="textWrapping"/>
            </w:r>
            <w:r>
              <w:rPr>
                <w:rFonts w:hint="eastAsia" w:ascii="宋体" w:hAnsi="宋体" w:eastAsia="宋体" w:cs="宋体"/>
                <w:szCs w:val="21"/>
              </w:rPr>
              <w:t>3.可实现对分体式非智能空调的模式、温度、风速、开关机等独立权限管理和控制。</w:t>
            </w:r>
            <w:r>
              <w:rPr>
                <w:rFonts w:hint="eastAsia" w:ascii="宋体" w:hAnsi="宋体" w:eastAsia="宋体" w:cs="宋体"/>
                <w:szCs w:val="21"/>
              </w:rPr>
              <w:br w:type="textWrapping"/>
            </w:r>
            <w:r>
              <w:rPr>
                <w:rFonts w:hint="eastAsia" w:ascii="宋体" w:hAnsi="宋体" w:eastAsia="宋体" w:cs="宋体"/>
                <w:szCs w:val="21"/>
              </w:rPr>
              <w:t>4.支持主流空调品牌：格力、美的、TCL、海尔等。</w:t>
            </w:r>
            <w:r>
              <w:rPr>
                <w:rFonts w:hint="eastAsia" w:ascii="宋体" w:hAnsi="宋体" w:eastAsia="宋体" w:cs="宋体"/>
                <w:szCs w:val="21"/>
              </w:rPr>
              <w:br w:type="textWrapping"/>
            </w:r>
            <w:r>
              <w:rPr>
                <w:rFonts w:hint="eastAsia" w:ascii="宋体" w:hAnsi="宋体" w:eastAsia="宋体" w:cs="宋体"/>
                <w:szCs w:val="21"/>
              </w:rPr>
              <w:t>5.远程无线管理，工作状态记忆和自动上报。</w:t>
            </w:r>
            <w:r>
              <w:rPr>
                <w:rFonts w:hint="eastAsia" w:ascii="宋体" w:hAnsi="宋体" w:eastAsia="宋体" w:cs="宋体"/>
                <w:szCs w:val="21"/>
              </w:rPr>
              <w:br w:type="textWrapping"/>
            </w:r>
            <w:r>
              <w:rPr>
                <w:rFonts w:hint="eastAsia" w:ascii="宋体" w:hAnsi="宋体" w:eastAsia="宋体" w:cs="宋体"/>
                <w:szCs w:val="21"/>
              </w:rPr>
              <w:t>6.可完整解读用户操作指令。</w:t>
            </w:r>
            <w:r>
              <w:rPr>
                <w:rFonts w:hint="eastAsia" w:ascii="宋体" w:hAnsi="宋体" w:eastAsia="宋体" w:cs="宋体"/>
                <w:szCs w:val="21"/>
              </w:rPr>
              <w:br w:type="textWrapping"/>
            </w:r>
            <w:r>
              <w:rPr>
                <w:rFonts w:hint="eastAsia" w:ascii="宋体" w:hAnsi="宋体" w:eastAsia="宋体" w:cs="宋体"/>
                <w:szCs w:val="21"/>
              </w:rPr>
              <w:t>7.支持无线断点续传升级。</w:t>
            </w:r>
            <w:r>
              <w:rPr>
                <w:rFonts w:hint="eastAsia" w:ascii="宋体" w:hAnsi="宋体" w:eastAsia="宋体" w:cs="宋体"/>
                <w:szCs w:val="21"/>
              </w:rPr>
              <w:br w:type="textWrapping"/>
            </w:r>
            <w:r>
              <w:rPr>
                <w:rFonts w:hint="eastAsia" w:ascii="宋体" w:hAnsi="宋体" w:eastAsia="宋体" w:cs="宋体"/>
                <w:szCs w:val="21"/>
              </w:rPr>
              <w:t>8.支持现场无线（Zambezi）配置功能。</w:t>
            </w:r>
            <w:r>
              <w:rPr>
                <w:rFonts w:hint="eastAsia" w:ascii="宋体" w:hAnsi="宋体" w:eastAsia="宋体" w:cs="宋体"/>
                <w:szCs w:val="21"/>
              </w:rPr>
              <w:br w:type="textWrapping"/>
            </w:r>
            <w:r>
              <w:rPr>
                <w:rFonts w:hint="eastAsia" w:ascii="宋体" w:hAnsi="宋体" w:eastAsia="宋体" w:cs="宋体"/>
                <w:szCs w:val="21"/>
              </w:rPr>
              <w:t>9.内置弹簧天线，5.08mm间距绿色接线端子</w:t>
            </w:r>
            <w:r>
              <w:rPr>
                <w:rFonts w:hint="eastAsia" w:ascii="宋体" w:hAnsi="宋体" w:eastAsia="宋体" w:cs="宋体"/>
                <w:szCs w:val="21"/>
              </w:rPr>
              <w:br w:type="textWrapping"/>
            </w:r>
            <w:r>
              <w:rPr>
                <w:rFonts w:hint="eastAsia" w:ascii="宋体" w:hAnsi="宋体" w:eastAsia="宋体" w:cs="宋体"/>
                <w:szCs w:val="21"/>
              </w:rPr>
              <w:t>内嵌式安装，安装后不影响空调外观。</w:t>
            </w:r>
          </w:p>
        </w:tc>
      </w:tr>
      <w:tr w14:paraId="5A2299A5">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4F19C3C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13</w:t>
            </w:r>
          </w:p>
        </w:tc>
        <w:tc>
          <w:tcPr>
            <w:tcW w:w="629" w:type="pct"/>
            <w:tcBorders>
              <w:top w:val="single" w:color="000000" w:sz="4" w:space="0"/>
              <w:left w:val="nil"/>
              <w:bottom w:val="single" w:color="000000" w:sz="4" w:space="0"/>
              <w:right w:val="single" w:color="000000" w:sz="4" w:space="0"/>
            </w:tcBorders>
            <w:vAlign w:val="center"/>
          </w:tcPr>
          <w:p w14:paraId="13A6AFC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Lora室内型网关</w:t>
            </w:r>
          </w:p>
        </w:tc>
        <w:tc>
          <w:tcPr>
            <w:tcW w:w="3942" w:type="pct"/>
            <w:tcBorders>
              <w:top w:val="single" w:color="000000" w:sz="4" w:space="0"/>
              <w:left w:val="nil"/>
              <w:bottom w:val="single" w:color="000000" w:sz="4" w:space="0"/>
              <w:right w:val="single" w:color="000000" w:sz="4" w:space="0"/>
            </w:tcBorders>
            <w:vAlign w:val="center"/>
          </w:tcPr>
          <w:p w14:paraId="1C440C50">
            <w:pPr>
              <w:spacing w:before="120" w:beforeLines="50" w:after="120" w:afterLines="50" w:line="340" w:lineRule="exact"/>
              <w:jc w:val="left"/>
              <w:rPr>
                <w:rFonts w:ascii="宋体" w:hAnsi="宋体" w:eastAsia="宋体" w:cs="宋体"/>
                <w:szCs w:val="21"/>
              </w:rPr>
            </w:pPr>
            <w:bookmarkStart w:id="39" w:name="OLE_LINK19"/>
            <w:r>
              <w:rPr>
                <w:rFonts w:hint="eastAsia" w:ascii="宋体" w:hAnsi="宋体" w:eastAsia="宋体" w:cs="宋体"/>
                <w:szCs w:val="21"/>
              </w:rPr>
              <w:t>★</w:t>
            </w:r>
            <w:bookmarkEnd w:id="39"/>
            <w:r>
              <w:rPr>
                <w:rFonts w:hint="eastAsia" w:ascii="宋体" w:hAnsi="宋体" w:eastAsia="宋体" w:cs="宋体"/>
                <w:szCs w:val="21"/>
              </w:rPr>
              <w:t>要接入校方现有物联控制平台、讲台中控，投标前自行对接测试，投标书应提供接入校方原有平台并实现平台各管控功能的承诺书。。</w:t>
            </w:r>
            <w:r>
              <w:rPr>
                <w:rFonts w:hint="eastAsia" w:ascii="宋体" w:hAnsi="宋体" w:eastAsia="宋体" w:cs="宋体"/>
                <w:szCs w:val="21"/>
              </w:rPr>
              <w:br w:type="textWrapping"/>
            </w:r>
            <w:r>
              <w:rPr>
                <w:rFonts w:hint="eastAsia" w:ascii="宋体" w:hAnsi="宋体" w:eastAsia="宋体" w:cs="宋体"/>
                <w:szCs w:val="21"/>
              </w:rPr>
              <w:t>1.基于LoRa通信技术的智能物联网关，可实现对网内物联设备的控制，数据采集等功能。</w:t>
            </w:r>
            <w:r>
              <w:rPr>
                <w:rFonts w:hint="eastAsia" w:ascii="宋体" w:hAnsi="宋体" w:eastAsia="宋体" w:cs="宋体"/>
                <w:szCs w:val="21"/>
              </w:rPr>
              <w:br w:type="textWrapping"/>
            </w:r>
            <w:r>
              <w:rPr>
                <w:rFonts w:hint="eastAsia" w:ascii="宋体" w:hAnsi="宋体" w:eastAsia="宋体" w:cs="宋体"/>
                <w:szCs w:val="21"/>
              </w:rPr>
              <w:t>2.采用LoRaWAN标准协议，CN470频段。</w:t>
            </w:r>
            <w:r>
              <w:rPr>
                <w:rFonts w:hint="eastAsia" w:ascii="宋体" w:hAnsi="宋体" w:eastAsia="宋体" w:cs="宋体"/>
                <w:szCs w:val="21"/>
              </w:rPr>
              <w:br w:type="textWrapping"/>
            </w:r>
            <w:r>
              <w:rPr>
                <w:rFonts w:hint="eastAsia" w:ascii="宋体" w:hAnsi="宋体" w:eastAsia="宋体" w:cs="宋体"/>
                <w:szCs w:val="21"/>
              </w:rPr>
              <w:t>3.Class A/B/C三种工作模式，支持接收终端的动态跳频。</w:t>
            </w:r>
            <w:r>
              <w:rPr>
                <w:rFonts w:hint="eastAsia" w:ascii="宋体" w:hAnsi="宋体" w:eastAsia="宋体" w:cs="宋体"/>
                <w:szCs w:val="21"/>
              </w:rPr>
              <w:br w:type="textWrapping"/>
            </w:r>
            <w:r>
              <w:rPr>
                <w:rFonts w:hint="eastAsia" w:ascii="宋体" w:hAnsi="宋体" w:eastAsia="宋体" w:cs="宋体"/>
                <w:szCs w:val="21"/>
              </w:rPr>
              <w:t>4.支持8个上行通道和1个下行通道。</w:t>
            </w:r>
            <w:r>
              <w:rPr>
                <w:rFonts w:hint="eastAsia" w:ascii="宋体" w:hAnsi="宋体" w:eastAsia="宋体" w:cs="宋体"/>
                <w:szCs w:val="21"/>
              </w:rPr>
              <w:br w:type="textWrapping"/>
            </w:r>
            <w:r>
              <w:rPr>
                <w:rFonts w:hint="eastAsia" w:ascii="宋体" w:hAnsi="宋体" w:eastAsia="宋体" w:cs="宋体"/>
                <w:szCs w:val="21"/>
              </w:rPr>
              <w:t>5.网关可接入2000个终端设备。</w:t>
            </w:r>
            <w:r>
              <w:rPr>
                <w:rFonts w:hint="eastAsia" w:ascii="宋体" w:hAnsi="宋体" w:eastAsia="宋体" w:cs="宋体"/>
                <w:szCs w:val="21"/>
              </w:rPr>
              <w:br w:type="textWrapping"/>
            </w:r>
            <w:r>
              <w:rPr>
                <w:rFonts w:hint="eastAsia" w:ascii="宋体" w:hAnsi="宋体" w:eastAsia="宋体" w:cs="宋体"/>
                <w:szCs w:val="21"/>
              </w:rPr>
              <w:t>6.网关兼容220V 市电（配有适配器）、POE、12V DC和24V DC供电。</w:t>
            </w:r>
            <w:r>
              <w:rPr>
                <w:rFonts w:hint="eastAsia" w:ascii="宋体" w:hAnsi="宋体" w:eastAsia="宋体" w:cs="宋体"/>
                <w:szCs w:val="21"/>
              </w:rPr>
              <w:br w:type="textWrapping"/>
            </w:r>
            <w:r>
              <w:rPr>
                <w:rFonts w:hint="eastAsia" w:ascii="宋体" w:hAnsi="宋体" w:eastAsia="宋体" w:cs="宋体"/>
                <w:szCs w:val="21"/>
              </w:rPr>
              <w:t>7.DC IN供电支持9~24V宽电压，圆头DC IN端口，提供抗浪涌设计。</w:t>
            </w:r>
            <w:r>
              <w:rPr>
                <w:rFonts w:hint="eastAsia" w:ascii="宋体" w:hAnsi="宋体" w:eastAsia="宋体" w:cs="宋体"/>
                <w:szCs w:val="21"/>
              </w:rPr>
              <w:br w:type="textWrapping"/>
            </w:r>
            <w:r>
              <w:rPr>
                <w:rFonts w:hint="eastAsia" w:ascii="宋体" w:hAnsi="宋体" w:eastAsia="宋体" w:cs="宋体"/>
                <w:szCs w:val="21"/>
              </w:rPr>
              <w:t>8.网关支持对系统运行时间、CPU负荷比例、RAM占用率、Flash占用率的监测。</w:t>
            </w:r>
            <w:r>
              <w:rPr>
                <w:rFonts w:hint="eastAsia" w:ascii="宋体" w:hAnsi="宋体" w:eastAsia="宋体" w:cs="宋体"/>
                <w:szCs w:val="21"/>
              </w:rPr>
              <w:br w:type="textWrapping"/>
            </w:r>
            <w:r>
              <w:rPr>
                <w:rFonts w:hint="eastAsia" w:ascii="宋体" w:hAnsi="宋体" w:eastAsia="宋体" w:cs="宋体"/>
                <w:szCs w:val="21"/>
              </w:rPr>
              <w:t>9. 支持有线，蜂窝，Wi-Fi多种网络接入，具备双链路备份功能。</w:t>
            </w:r>
            <w:r>
              <w:rPr>
                <w:rFonts w:hint="eastAsia" w:ascii="宋体" w:hAnsi="宋体" w:eastAsia="宋体" w:cs="宋体"/>
                <w:szCs w:val="21"/>
              </w:rPr>
              <w:br w:type="textWrapping"/>
            </w:r>
            <w:r>
              <w:rPr>
                <w:rFonts w:hint="eastAsia" w:ascii="宋体" w:hAnsi="宋体" w:eastAsia="宋体" w:cs="宋体"/>
                <w:szCs w:val="21"/>
              </w:rPr>
              <w:t>10.挂墙安装，便于施工。</w:t>
            </w:r>
            <w:r>
              <w:rPr>
                <w:rFonts w:hint="eastAsia" w:ascii="宋体" w:hAnsi="宋体" w:eastAsia="宋体" w:cs="宋体"/>
                <w:szCs w:val="21"/>
              </w:rPr>
              <w:br w:type="textWrapping"/>
            </w:r>
            <w:r>
              <w:rPr>
                <w:rFonts w:hint="eastAsia" w:ascii="宋体" w:hAnsi="宋体" w:eastAsia="宋体" w:cs="宋体"/>
                <w:szCs w:val="21"/>
              </w:rPr>
              <w:t>11.产品壳体采用ABS+PC制成，拥有良好的散热、抗冲击性与阻燃性。</w:t>
            </w:r>
            <w:r>
              <w:rPr>
                <w:rFonts w:hint="eastAsia" w:ascii="宋体" w:hAnsi="宋体" w:eastAsia="宋体" w:cs="宋体"/>
                <w:szCs w:val="21"/>
              </w:rPr>
              <w:br w:type="textWrapping"/>
            </w:r>
            <w:r>
              <w:rPr>
                <w:rFonts w:hint="eastAsia" w:ascii="宋体" w:hAnsi="宋体" w:eastAsia="宋体" w:cs="宋体"/>
                <w:szCs w:val="21"/>
              </w:rPr>
              <w:t>12.尺寸（L×W×H）：180mm×110mm×56.5mm（不含天线）。</w:t>
            </w:r>
          </w:p>
        </w:tc>
      </w:tr>
      <w:tr w14:paraId="29D4E595">
        <w:tblPrEx>
          <w:tblCellMar>
            <w:top w:w="0" w:type="dxa"/>
            <w:left w:w="108" w:type="dxa"/>
            <w:bottom w:w="0" w:type="dxa"/>
            <w:right w:w="108" w:type="dxa"/>
          </w:tblCellMar>
        </w:tblPrEx>
        <w:trPr>
          <w:trHeight w:val="39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6A00C8D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14</w:t>
            </w:r>
          </w:p>
        </w:tc>
        <w:tc>
          <w:tcPr>
            <w:tcW w:w="629" w:type="pct"/>
            <w:tcBorders>
              <w:top w:val="single" w:color="000000" w:sz="4" w:space="0"/>
              <w:left w:val="nil"/>
              <w:bottom w:val="single" w:color="000000" w:sz="4" w:space="0"/>
              <w:right w:val="single" w:color="000000" w:sz="4" w:space="0"/>
            </w:tcBorders>
            <w:vAlign w:val="center"/>
          </w:tcPr>
          <w:p w14:paraId="48C2ABC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集控管理平台点位授权</w:t>
            </w:r>
          </w:p>
        </w:tc>
        <w:tc>
          <w:tcPr>
            <w:tcW w:w="3942" w:type="pct"/>
            <w:tcBorders>
              <w:top w:val="single" w:color="000000" w:sz="4" w:space="0"/>
              <w:left w:val="nil"/>
              <w:bottom w:val="single" w:color="000000" w:sz="4" w:space="0"/>
              <w:right w:val="single" w:color="000000" w:sz="4" w:space="0"/>
            </w:tcBorders>
            <w:vAlign w:val="center"/>
          </w:tcPr>
          <w:p w14:paraId="25D2308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校方集控管理平台对教学楼教室、智慧教室一体机进行设备管控、巡视等，因设备数量增加，要通过购买点位授权实现平台对新增设备的管控。</w:t>
            </w:r>
          </w:p>
          <w:p w14:paraId="09A78D9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1.授权类型为永久。</w:t>
            </w:r>
          </w:p>
          <w:p w14:paraId="3E42CAA9">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2.与校方现有集控管理平台完全兼容，现有平台通过本点位授权无须另行软件开发、另购设备、运行其他软件或硬件系统即可实现：</w:t>
            </w:r>
          </w:p>
          <w:p w14:paraId="15D7060F">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1）对全校智慧教室的教学信息化设备进行集中运维管理和策略部署，支持多类型设备接入，与交互智能教学设备、交互电子白板一体机等教学设备对接。</w:t>
            </w:r>
          </w:p>
          <w:p w14:paraId="59FCF14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2）支持并行管理多台终端，可实时展示不少于10台设备的使用状态以及设备运行画面。</w:t>
            </w:r>
          </w:p>
          <w:p w14:paraId="7ED2C15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支持远程监测设备的开关机状态、开关机时间段分布图、开机次数、开机使用时长、软件使用数、硬盘空间、硬盘使用状况、内存容量、内存使用率、设备辅助管理软件版本、设备ID、机型、MCU版本等设备数据。</w:t>
            </w:r>
          </w:p>
          <w:p w14:paraId="7AA7182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4）提供多种分组方式，可根据设备关联信息自动分组、根据用户自定义二级分组类别快速分组、根据设备开关机状态分组。</w:t>
            </w:r>
          </w:p>
          <w:p w14:paraId="7939648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5）可远程控制设备关机和重启；可批量设定智能设备关机的执行时间，并支持自定义预约定时日循环执行。</w:t>
            </w:r>
          </w:p>
          <w:p w14:paraId="2BEE5C7D">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6）支持多层级权限管理，可将多类型的设备管理权限分配给多个管理员共同管理。</w:t>
            </w:r>
          </w:p>
          <w:p w14:paraId="040972C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7）支持对设备进行锁屏，支持即时锁屏、循环及定时锁屏操作。循环操作包含每日重复、工作日+周末（即5+2）模式、自定义循环三种。</w:t>
            </w:r>
          </w:p>
          <w:p w14:paraId="6C7F071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8）具备一键下课锁定功能，教师点击下课按钮一键锁定设备，保证教学信息设备的使用秩序。 </w:t>
            </w:r>
          </w:p>
          <w:p w14:paraId="7A501FE8">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9）提供无网解锁、有网解锁、密码解锁等多种认证解锁机制，适用于各类教学环境。有网情况下，可通过扫码验证身份解锁；无网情况下可通过扫码认证身份，获取临时解锁密码解锁；任何情况下均可支持6位数字密码解锁。 </w:t>
            </w:r>
          </w:p>
          <w:p w14:paraId="6FB73FE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10）支持远程实时控制设备，可监测设备当前运行界面，并远程操作设备界面，适用于远程维护和修复设备软件问题。</w:t>
            </w:r>
          </w:p>
          <w:p w14:paraId="0615EE0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11）支持实时远程查看学校任意设备的教室画面、设备画面。</w:t>
            </w:r>
          </w:p>
          <w:p w14:paraId="17F3691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12）支持实时查看操作指令的执行状态，对于指令执行进度进行反馈提示。</w:t>
            </w:r>
          </w:p>
          <w:p w14:paraId="6107005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13）平台支持快速已管控设备数、实时在线设备数、以及设备昨日/周/月的活跃数据。</w:t>
            </w:r>
          </w:p>
          <w:p w14:paraId="3721357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14）提供昨日、近7日、近30日、自定义筛选时间段内的校内所有设备的日均开机时长分布、设备活跃度分析及单台设备的具体使用情况查询，自定义筛选时间段内的校内所有设备的软件累计使用时长分析、软件活跃情况分析及单台设备的具体使用情况分布查询。 </w:t>
            </w:r>
          </w:p>
          <w:p w14:paraId="2E03A7CC">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15）提供本周、本月、自定义周/月的教师使用白板软件制作课件的新增数、班级氛围建设软件的日增点评数及每位老师的使用分布情况查询。 </w:t>
            </w:r>
          </w:p>
          <w:p w14:paraId="033AA21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 xml:space="preserve">16）提供昨日、近7日、近30日、自定义筛选时间段内的校内所有使用过的设备的健康度及单台设备健康度下降明细查询，便于设备运维。 </w:t>
            </w:r>
          </w:p>
          <w:p w14:paraId="1581539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17）支持实时统计开启系统还原保护的设备数量、安装系统还原保护的设备总数量、磁盘冻结状态等，并提供冰点风险提示。</w:t>
            </w:r>
          </w:p>
          <w:p w14:paraId="033FE70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18）支持远程对运行状态下的交互智能设备批量设置、解除本地系统启动盘的系统还原点（冰点保护），对已设置系统还原点的设备进行的系统、数据更改无法保留。</w:t>
            </w:r>
          </w:p>
          <w:p w14:paraId="7B96AF2D">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19）支持设备在冰点的冰冻状态下，仍然可以接收和执行到管理员发送的指令，并且在设备重启后仍然生效。</w:t>
            </w:r>
          </w:p>
          <w:p w14:paraId="402BC75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20）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14:paraId="70F6BD5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21）支持设置弹窗强制拦截黑名单，加入强制拦截黑名单的应用，其弹窗在全部设备自动被拦截。</w:t>
            </w:r>
          </w:p>
          <w:p w14:paraId="501DCEEB">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22）支持实时监测整机CPU占用率、CPU温度、设备使用时长，系统在某指标达到异常峰值时自动向管理员发送提醒，管理员可通过后台远程处理异常。</w:t>
            </w:r>
          </w:p>
          <w:p w14:paraId="1B4E14C7">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23）支持不少于6路直播源并行发起直播，提供4种直播模式（桌面直播、桌面+视频直播、视频直播、音频直播）供选择。（需部署校园服务器+直播插件）。</w:t>
            </w:r>
          </w:p>
        </w:tc>
      </w:tr>
      <w:tr w14:paraId="34F64998">
        <w:tblPrEx>
          <w:tblCellMar>
            <w:top w:w="0" w:type="dxa"/>
            <w:left w:w="108" w:type="dxa"/>
            <w:bottom w:w="0" w:type="dxa"/>
            <w:right w:w="108" w:type="dxa"/>
          </w:tblCellMar>
        </w:tblPrEx>
        <w:trPr>
          <w:trHeight w:val="801" w:hRule="atLeast"/>
        </w:trPr>
        <w:tc>
          <w:tcPr>
            <w:tcW w:w="428" w:type="pct"/>
            <w:tcBorders>
              <w:top w:val="single" w:color="000000" w:sz="4" w:space="0"/>
              <w:left w:val="single" w:color="000000" w:sz="4" w:space="0"/>
              <w:bottom w:val="single" w:color="000000" w:sz="4" w:space="0"/>
              <w:right w:val="single" w:color="000000" w:sz="4" w:space="0"/>
            </w:tcBorders>
            <w:vAlign w:val="center"/>
          </w:tcPr>
          <w:p w14:paraId="7A58E42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15</w:t>
            </w:r>
          </w:p>
        </w:tc>
        <w:tc>
          <w:tcPr>
            <w:tcW w:w="629" w:type="pct"/>
            <w:tcBorders>
              <w:top w:val="single" w:color="000000" w:sz="4" w:space="0"/>
              <w:left w:val="nil"/>
              <w:bottom w:val="single" w:color="000000" w:sz="4" w:space="0"/>
              <w:right w:val="single" w:color="000000" w:sz="4" w:space="0"/>
            </w:tcBorders>
            <w:vAlign w:val="center"/>
          </w:tcPr>
          <w:p w14:paraId="5717789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线材附件及安装施工</w:t>
            </w:r>
          </w:p>
        </w:tc>
        <w:tc>
          <w:tcPr>
            <w:tcW w:w="3942" w:type="pct"/>
            <w:tcBorders>
              <w:top w:val="single" w:color="000000" w:sz="4" w:space="0"/>
              <w:left w:val="nil"/>
              <w:bottom w:val="single" w:color="000000" w:sz="4" w:space="0"/>
              <w:right w:val="single" w:color="000000" w:sz="4" w:space="0"/>
            </w:tcBorders>
            <w:vAlign w:val="center"/>
          </w:tcPr>
          <w:p w14:paraId="2F5F7DF1">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项目涉及的所有设备施工安装连接所需一切配件，电线、网线、视频线、音频线、一体机挂架、HDMI高清线材、超五类网络传输线、RVVP线缆、电挂架/吊架、信号分配器等附件辅材，包含所有系统的安装施工调试。具体包括1）本项目所购19间教室拆卸搬运旧黑板/一体机（与新的智慧黑板、双屏互动一体机尺寸不同）、必要的墙面饰面修复、新一体机/智慧黑板安装调试及所需相关线材附件。</w:t>
            </w:r>
          </w:p>
          <w:p w14:paraId="7C56E7E1">
            <w:pPr>
              <w:numPr>
                <w:ilvl w:val="0"/>
                <w:numId w:val="31"/>
              </w:num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本项目所购6套录播系统安装所需的线材附件及安装调试、饰面修复等。</w:t>
            </w:r>
          </w:p>
          <w:p w14:paraId="6DCAE654">
            <w:pPr>
              <w:numPr>
                <w:ilvl w:val="0"/>
                <w:numId w:val="31"/>
              </w:num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本项目所购49套电子班牌主机安装所需的线材附件及安装调试、饰面修复等。</w:t>
            </w:r>
          </w:p>
          <w:p w14:paraId="7C9B7478">
            <w:pPr>
              <w:numPr>
                <w:ilvl w:val="0"/>
                <w:numId w:val="31"/>
              </w:num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104间教室设备电路使用电源时序器（89套为本项目所购，另15套为现有设备要按同等规格改接）进行改接控制所需线材附件及安装调试、饰面修复等。</w:t>
            </w:r>
          </w:p>
          <w:p w14:paraId="6CB51F87">
            <w:pPr>
              <w:numPr>
                <w:ilvl w:val="0"/>
                <w:numId w:val="31"/>
              </w:num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本项目所购20套空调执行器、6套物联网关所需线材附件及安装调试、饰面修复等。</w:t>
            </w:r>
          </w:p>
          <w:p w14:paraId="6BB84B9A">
            <w:pPr>
              <w:numPr>
                <w:ilvl w:val="0"/>
                <w:numId w:val="31"/>
              </w:num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18个大教室共36个电视移位所需线材附件及施工安装。</w:t>
            </w:r>
          </w:p>
          <w:p w14:paraId="523EB708">
            <w:pPr>
              <w:numPr>
                <w:ilvl w:val="0"/>
                <w:numId w:val="31"/>
              </w:num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现有教室（约6-7个）智慧黑板强弱电走线优化调整，涉及背面饰面板走线孔位变更、饰面板修复处理。</w:t>
            </w:r>
          </w:p>
        </w:tc>
      </w:tr>
    </w:tbl>
    <w:p w14:paraId="3F2697EF">
      <w:pPr>
        <w:spacing w:after="160" w:line="278" w:lineRule="auto"/>
        <w:rPr>
          <w:rFonts w:eastAsia="宋体" w:cs="Times New Roman"/>
        </w:rPr>
      </w:pPr>
    </w:p>
    <w:p w14:paraId="79CDD6B9">
      <w:pPr>
        <w:spacing w:after="160" w:line="278" w:lineRule="auto"/>
        <w:rPr>
          <w:rFonts w:eastAsia="宋体" w:cs="Times New Roman"/>
        </w:rPr>
      </w:pPr>
      <w:r>
        <w:rPr>
          <w:rFonts w:hint="eastAsia" w:eastAsia="宋体" w:cs="Times New Roman"/>
        </w:rPr>
        <w:t>附：</w:t>
      </w:r>
      <w:bookmarkStart w:id="40" w:name="OLE_LINK17"/>
      <w:r>
        <w:rPr>
          <w:rFonts w:hint="eastAsia" w:eastAsia="宋体" w:cs="Times New Roman"/>
        </w:rPr>
        <w:t>技术参数中要求进行对接或兼容要求的学校现有各类设备/软件如下：</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1969"/>
        <w:gridCol w:w="928"/>
        <w:gridCol w:w="5628"/>
      </w:tblGrid>
      <w:tr w14:paraId="79AF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1155" w:type="pct"/>
            <w:tcBorders>
              <w:top w:val="single" w:color="auto" w:sz="4" w:space="0"/>
              <w:left w:val="single" w:color="auto" w:sz="4" w:space="0"/>
              <w:bottom w:val="single" w:color="auto" w:sz="4" w:space="0"/>
              <w:right w:val="single" w:color="auto" w:sz="4" w:space="0"/>
            </w:tcBorders>
            <w:vAlign w:val="center"/>
          </w:tcPr>
          <w:p w14:paraId="54E3BF94">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设备/软件</w:t>
            </w:r>
          </w:p>
        </w:tc>
        <w:tc>
          <w:tcPr>
            <w:tcW w:w="544" w:type="pct"/>
            <w:tcBorders>
              <w:top w:val="single" w:color="auto" w:sz="4" w:space="0"/>
              <w:left w:val="single" w:color="auto" w:sz="4" w:space="0"/>
              <w:bottom w:val="single" w:color="auto" w:sz="4" w:space="0"/>
              <w:right w:val="single" w:color="auto" w:sz="4" w:space="0"/>
            </w:tcBorders>
            <w:vAlign w:val="center"/>
          </w:tcPr>
          <w:p w14:paraId="40E819B6">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品牌</w:t>
            </w:r>
          </w:p>
        </w:tc>
        <w:tc>
          <w:tcPr>
            <w:tcW w:w="3301" w:type="pct"/>
            <w:tcBorders>
              <w:top w:val="single" w:color="auto" w:sz="4" w:space="0"/>
              <w:left w:val="single" w:color="auto" w:sz="4" w:space="0"/>
              <w:bottom w:val="single" w:color="auto" w:sz="4" w:space="0"/>
              <w:right w:val="single" w:color="auto" w:sz="4" w:space="0"/>
            </w:tcBorders>
            <w:vAlign w:val="center"/>
          </w:tcPr>
          <w:p w14:paraId="297DF105">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设备/软件名</w:t>
            </w:r>
          </w:p>
        </w:tc>
      </w:tr>
      <w:tr w14:paraId="16CD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1155" w:type="pct"/>
            <w:tcBorders>
              <w:top w:val="single" w:color="auto" w:sz="4" w:space="0"/>
              <w:left w:val="single" w:color="auto" w:sz="4" w:space="0"/>
              <w:bottom w:val="single" w:color="auto" w:sz="4" w:space="0"/>
              <w:right w:val="single" w:color="auto" w:sz="4" w:space="0"/>
            </w:tcBorders>
            <w:vAlign w:val="center"/>
          </w:tcPr>
          <w:p w14:paraId="2C96F88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讲台中控设备</w:t>
            </w:r>
          </w:p>
        </w:tc>
        <w:tc>
          <w:tcPr>
            <w:tcW w:w="544" w:type="pct"/>
            <w:tcBorders>
              <w:top w:val="single" w:color="auto" w:sz="4" w:space="0"/>
              <w:left w:val="single" w:color="auto" w:sz="4" w:space="0"/>
              <w:bottom w:val="single" w:color="auto" w:sz="4" w:space="0"/>
              <w:right w:val="single" w:color="auto" w:sz="4" w:space="0"/>
            </w:tcBorders>
            <w:vAlign w:val="center"/>
          </w:tcPr>
          <w:p w14:paraId="74D146B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希沃</w:t>
            </w:r>
          </w:p>
        </w:tc>
        <w:tc>
          <w:tcPr>
            <w:tcW w:w="3301" w:type="pct"/>
            <w:tcBorders>
              <w:top w:val="single" w:color="auto" w:sz="4" w:space="0"/>
              <w:left w:val="single" w:color="auto" w:sz="4" w:space="0"/>
              <w:bottom w:val="single" w:color="auto" w:sz="4" w:space="0"/>
              <w:right w:val="single" w:color="auto" w:sz="4" w:space="0"/>
            </w:tcBorders>
            <w:vAlign w:val="center"/>
          </w:tcPr>
          <w:p w14:paraId="0B4E14E5">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智慧驾驶舱</w:t>
            </w:r>
          </w:p>
        </w:tc>
      </w:tr>
      <w:tr w14:paraId="369D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1155" w:type="pct"/>
            <w:tcBorders>
              <w:top w:val="single" w:color="auto" w:sz="4" w:space="0"/>
              <w:left w:val="single" w:color="auto" w:sz="4" w:space="0"/>
              <w:bottom w:val="single" w:color="auto" w:sz="4" w:space="0"/>
              <w:right w:val="single" w:color="auto" w:sz="4" w:space="0"/>
            </w:tcBorders>
            <w:vAlign w:val="center"/>
          </w:tcPr>
          <w:p w14:paraId="2174DEC6">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集控管理平台系统</w:t>
            </w:r>
          </w:p>
        </w:tc>
        <w:tc>
          <w:tcPr>
            <w:tcW w:w="544" w:type="pct"/>
            <w:tcBorders>
              <w:top w:val="single" w:color="auto" w:sz="4" w:space="0"/>
              <w:left w:val="single" w:color="auto" w:sz="4" w:space="0"/>
              <w:bottom w:val="single" w:color="auto" w:sz="4" w:space="0"/>
              <w:right w:val="single" w:color="auto" w:sz="4" w:space="0"/>
            </w:tcBorders>
            <w:vAlign w:val="center"/>
          </w:tcPr>
          <w:p w14:paraId="0101A41D">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希沃</w:t>
            </w:r>
          </w:p>
        </w:tc>
        <w:tc>
          <w:tcPr>
            <w:tcW w:w="3301" w:type="pct"/>
            <w:tcBorders>
              <w:top w:val="single" w:color="auto" w:sz="4" w:space="0"/>
              <w:left w:val="single" w:color="auto" w:sz="4" w:space="0"/>
              <w:bottom w:val="single" w:color="auto" w:sz="4" w:space="0"/>
              <w:right w:val="single" w:color="auto" w:sz="4" w:space="0"/>
            </w:tcBorders>
            <w:vAlign w:val="center"/>
          </w:tcPr>
          <w:p w14:paraId="0262FB95">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视睿希沃校园设备运维管理系统</w:t>
            </w:r>
          </w:p>
        </w:tc>
      </w:tr>
      <w:tr w14:paraId="5EC8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1155" w:type="pct"/>
            <w:tcBorders>
              <w:top w:val="single" w:color="auto" w:sz="4" w:space="0"/>
              <w:left w:val="single" w:color="auto" w:sz="4" w:space="0"/>
              <w:bottom w:val="single" w:color="auto" w:sz="4" w:space="0"/>
              <w:right w:val="single" w:color="auto" w:sz="4" w:space="0"/>
            </w:tcBorders>
            <w:vAlign w:val="center"/>
          </w:tcPr>
          <w:p w14:paraId="05BD611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电子班牌管理软件</w:t>
            </w:r>
          </w:p>
        </w:tc>
        <w:tc>
          <w:tcPr>
            <w:tcW w:w="544" w:type="pct"/>
            <w:tcBorders>
              <w:top w:val="single" w:color="auto" w:sz="4" w:space="0"/>
              <w:left w:val="single" w:color="auto" w:sz="4" w:space="0"/>
              <w:bottom w:val="single" w:color="auto" w:sz="4" w:space="0"/>
              <w:right w:val="single" w:color="auto" w:sz="4" w:space="0"/>
            </w:tcBorders>
            <w:vAlign w:val="center"/>
          </w:tcPr>
          <w:p w14:paraId="0DF17E0E">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希沃</w:t>
            </w:r>
          </w:p>
        </w:tc>
        <w:tc>
          <w:tcPr>
            <w:tcW w:w="3301" w:type="pct"/>
            <w:tcBorders>
              <w:top w:val="single" w:color="auto" w:sz="4" w:space="0"/>
              <w:left w:val="single" w:color="auto" w:sz="4" w:space="0"/>
              <w:bottom w:val="single" w:color="auto" w:sz="4" w:space="0"/>
              <w:right w:val="single" w:color="auto" w:sz="4" w:space="0"/>
            </w:tcBorders>
            <w:vAlign w:val="center"/>
          </w:tcPr>
          <w:p w14:paraId="2CF94237">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视睿希沃校园设备运维管理系统，视睿希沃云班软件</w:t>
            </w:r>
          </w:p>
        </w:tc>
      </w:tr>
      <w:tr w14:paraId="2240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367" w:hRule="atLeast"/>
        </w:trPr>
        <w:tc>
          <w:tcPr>
            <w:tcW w:w="1155" w:type="pct"/>
            <w:tcBorders>
              <w:top w:val="single" w:color="auto" w:sz="4" w:space="0"/>
              <w:left w:val="single" w:color="auto" w:sz="4" w:space="0"/>
              <w:bottom w:val="single" w:color="auto" w:sz="4" w:space="0"/>
              <w:right w:val="single" w:color="auto" w:sz="4" w:space="0"/>
            </w:tcBorders>
            <w:vAlign w:val="center"/>
          </w:tcPr>
          <w:p w14:paraId="31E2ACE1">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物联网平台系统</w:t>
            </w:r>
          </w:p>
        </w:tc>
        <w:tc>
          <w:tcPr>
            <w:tcW w:w="544" w:type="pct"/>
            <w:tcBorders>
              <w:top w:val="single" w:color="auto" w:sz="4" w:space="0"/>
              <w:left w:val="single" w:color="auto" w:sz="4" w:space="0"/>
              <w:bottom w:val="single" w:color="auto" w:sz="4" w:space="0"/>
              <w:right w:val="single" w:color="auto" w:sz="4" w:space="0"/>
            </w:tcBorders>
            <w:vAlign w:val="center"/>
          </w:tcPr>
          <w:p w14:paraId="5F8CE037">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希沃</w:t>
            </w:r>
          </w:p>
        </w:tc>
        <w:tc>
          <w:tcPr>
            <w:tcW w:w="3301" w:type="pct"/>
            <w:tcBorders>
              <w:top w:val="single" w:color="auto" w:sz="4" w:space="0"/>
              <w:left w:val="single" w:color="auto" w:sz="4" w:space="0"/>
              <w:bottom w:val="single" w:color="auto" w:sz="4" w:space="0"/>
              <w:right w:val="single" w:color="auto" w:sz="4" w:space="0"/>
            </w:tcBorders>
            <w:vAlign w:val="center"/>
          </w:tcPr>
          <w:p w14:paraId="75913CD8">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视睿希沃校园设备运维管理系统</w:t>
            </w:r>
          </w:p>
        </w:tc>
      </w:tr>
      <w:tr w14:paraId="3CA7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37" w:hRule="atLeast"/>
        </w:trPr>
        <w:tc>
          <w:tcPr>
            <w:tcW w:w="1155" w:type="pct"/>
            <w:tcBorders>
              <w:top w:val="single" w:color="auto" w:sz="4" w:space="0"/>
              <w:left w:val="single" w:color="auto" w:sz="4" w:space="0"/>
              <w:bottom w:val="single" w:color="auto" w:sz="4" w:space="0"/>
              <w:right w:val="single" w:color="auto" w:sz="4" w:space="0"/>
            </w:tcBorders>
            <w:vAlign w:val="center"/>
          </w:tcPr>
          <w:p w14:paraId="3E4146E6">
            <w:pPr>
              <w:spacing w:after="160" w:line="278" w:lineRule="auto"/>
              <w:jc w:val="center"/>
              <w:rPr>
                <w:rFonts w:eastAsia="宋体" w:cs="Times New Roman"/>
              </w:rPr>
            </w:pPr>
            <w:bookmarkStart w:id="41" w:name="_Hlk199400830"/>
            <w:r>
              <w:rPr>
                <w:rFonts w:hint="eastAsia" w:eastAsia="宋体" w:cs="Times New Roman"/>
              </w:rPr>
              <w:t>教室录播管理软件</w:t>
            </w:r>
          </w:p>
        </w:tc>
        <w:tc>
          <w:tcPr>
            <w:tcW w:w="544" w:type="pct"/>
            <w:tcBorders>
              <w:top w:val="single" w:color="auto" w:sz="4" w:space="0"/>
              <w:left w:val="single" w:color="auto" w:sz="4" w:space="0"/>
              <w:bottom w:val="single" w:color="auto" w:sz="4" w:space="0"/>
              <w:right w:val="single" w:color="auto" w:sz="4" w:space="0"/>
            </w:tcBorders>
            <w:vAlign w:val="center"/>
          </w:tcPr>
          <w:p w14:paraId="5B6FEDEA">
            <w:pPr>
              <w:spacing w:after="160" w:line="278" w:lineRule="auto"/>
              <w:jc w:val="center"/>
              <w:rPr>
                <w:rFonts w:eastAsia="宋体" w:cs="Times New Roman"/>
              </w:rPr>
            </w:pPr>
            <w:r>
              <w:rPr>
                <w:rFonts w:hint="eastAsia" w:eastAsia="宋体" w:cs="Times New Roman"/>
              </w:rPr>
              <w:t>希沃</w:t>
            </w:r>
          </w:p>
        </w:tc>
        <w:tc>
          <w:tcPr>
            <w:tcW w:w="3301" w:type="pct"/>
            <w:tcBorders>
              <w:top w:val="single" w:color="auto" w:sz="4" w:space="0"/>
              <w:left w:val="single" w:color="auto" w:sz="4" w:space="0"/>
              <w:bottom w:val="single" w:color="auto" w:sz="4" w:space="0"/>
              <w:right w:val="single" w:color="auto" w:sz="4" w:space="0"/>
            </w:tcBorders>
            <w:vAlign w:val="center"/>
          </w:tcPr>
          <w:p w14:paraId="2F60B819">
            <w:pPr>
              <w:spacing w:after="160" w:line="278" w:lineRule="auto"/>
              <w:jc w:val="center"/>
              <w:rPr>
                <w:rFonts w:eastAsia="宋体" w:cs="Times New Roman"/>
              </w:rPr>
            </w:pPr>
            <w:r>
              <w:rPr>
                <w:rFonts w:hint="eastAsia" w:eastAsia="宋体" w:cs="Times New Roman"/>
              </w:rPr>
              <w:t>希沃录播云资源管理平台，希沃导播助手，希沃巡课助手</w:t>
            </w:r>
          </w:p>
        </w:tc>
      </w:tr>
      <w:tr w14:paraId="1B64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37" w:hRule="atLeast"/>
        </w:trPr>
        <w:tc>
          <w:tcPr>
            <w:tcW w:w="1155" w:type="pct"/>
            <w:tcBorders>
              <w:top w:val="single" w:color="auto" w:sz="4" w:space="0"/>
              <w:left w:val="single" w:color="auto" w:sz="4" w:space="0"/>
              <w:bottom w:val="single" w:color="auto" w:sz="4" w:space="0"/>
              <w:right w:val="single" w:color="auto" w:sz="4" w:space="0"/>
            </w:tcBorders>
            <w:vAlign w:val="center"/>
          </w:tcPr>
          <w:p w14:paraId="1BD48F52">
            <w:pPr>
              <w:spacing w:after="160" w:line="278" w:lineRule="auto"/>
              <w:jc w:val="center"/>
              <w:rPr>
                <w:rFonts w:eastAsia="宋体" w:cs="Times New Roman"/>
              </w:rPr>
            </w:pPr>
            <w:r>
              <w:rPr>
                <w:rFonts w:hint="eastAsia" w:eastAsia="宋体" w:cs="Times New Roman"/>
              </w:rPr>
              <w:t>巡课系统</w:t>
            </w:r>
          </w:p>
        </w:tc>
        <w:tc>
          <w:tcPr>
            <w:tcW w:w="544" w:type="pct"/>
            <w:tcBorders>
              <w:top w:val="single" w:color="auto" w:sz="4" w:space="0"/>
              <w:left w:val="single" w:color="auto" w:sz="4" w:space="0"/>
              <w:bottom w:val="single" w:color="auto" w:sz="4" w:space="0"/>
              <w:right w:val="single" w:color="auto" w:sz="4" w:space="0"/>
            </w:tcBorders>
            <w:vAlign w:val="center"/>
          </w:tcPr>
          <w:p w14:paraId="7BA1A9EC">
            <w:pPr>
              <w:spacing w:after="160" w:line="278" w:lineRule="auto"/>
              <w:jc w:val="center"/>
              <w:rPr>
                <w:rFonts w:eastAsia="宋体" w:cs="Times New Roman"/>
              </w:rPr>
            </w:pPr>
            <w:r>
              <w:rPr>
                <w:rFonts w:hint="eastAsia" w:eastAsia="宋体" w:cs="Times New Roman"/>
              </w:rPr>
              <w:t>希沃</w:t>
            </w:r>
          </w:p>
        </w:tc>
        <w:tc>
          <w:tcPr>
            <w:tcW w:w="3301" w:type="pct"/>
            <w:tcBorders>
              <w:top w:val="single" w:color="auto" w:sz="4" w:space="0"/>
              <w:left w:val="single" w:color="auto" w:sz="4" w:space="0"/>
              <w:bottom w:val="single" w:color="auto" w:sz="4" w:space="0"/>
              <w:right w:val="single" w:color="auto" w:sz="4" w:space="0"/>
            </w:tcBorders>
            <w:vAlign w:val="center"/>
          </w:tcPr>
          <w:p w14:paraId="3E773F6E">
            <w:pPr>
              <w:spacing w:after="160" w:line="278" w:lineRule="auto"/>
              <w:jc w:val="center"/>
              <w:rPr>
                <w:rFonts w:eastAsia="宋体" w:cs="Times New Roman"/>
              </w:rPr>
            </w:pPr>
            <w:r>
              <w:rPr>
                <w:rFonts w:hint="eastAsia" w:ascii="宋体" w:hAnsi="宋体" w:eastAsia="宋体" w:cs="宋体"/>
                <w:szCs w:val="21"/>
              </w:rPr>
              <w:t>视睿希沃校园设备运维管理系统</w:t>
            </w:r>
            <w:r>
              <w:rPr>
                <w:rFonts w:hint="eastAsia" w:eastAsia="宋体" w:cs="Times New Roman"/>
              </w:rPr>
              <w:t>，希沃巡课助手</w:t>
            </w:r>
          </w:p>
        </w:tc>
      </w:tr>
      <w:bookmarkEnd w:id="40"/>
      <w:bookmarkEnd w:id="41"/>
    </w:tbl>
    <w:p w14:paraId="0AE1DBE8">
      <w:pPr>
        <w:spacing w:after="160" w:line="278" w:lineRule="auto"/>
        <w:rPr>
          <w:rFonts w:eastAsia="宋体" w:cs="Times New Roman"/>
        </w:rPr>
      </w:pPr>
    </w:p>
    <w:p w14:paraId="2D79CEE5">
      <w:pPr>
        <w:keepNext/>
        <w:keepLines/>
        <w:spacing w:before="160" w:after="80" w:line="278" w:lineRule="auto"/>
        <w:outlineLvl w:val="1"/>
        <w:rPr>
          <w:rFonts w:ascii="黑体" w:hAnsi="黑体" w:eastAsia="黑体" w:cs="黑体"/>
          <w:kern w:val="44"/>
          <w:sz w:val="32"/>
          <w:szCs w:val="32"/>
        </w:rPr>
      </w:pPr>
      <w:r>
        <w:rPr>
          <w:rFonts w:hint="eastAsia" w:ascii="黑体" w:hAnsi="黑体" w:eastAsia="黑体" w:cs="黑体"/>
          <w:kern w:val="44"/>
          <w:sz w:val="32"/>
          <w:szCs w:val="32"/>
        </w:rPr>
        <w:t>四、演示要求</w:t>
      </w:r>
    </w:p>
    <w:p w14:paraId="1F13EBAD">
      <w:pPr>
        <w:spacing w:after="160" w:line="278" w:lineRule="auto"/>
        <w:rPr>
          <w:rFonts w:eastAsia="宋体" w:cs="Times New Roman"/>
        </w:rPr>
      </w:pPr>
      <w:r>
        <w:rPr>
          <w:rFonts w:hint="eastAsia" w:eastAsia="宋体" w:cs="Times New Roman"/>
        </w:rPr>
        <w:t>演示视频以U盘存储方式，演示视频时长不超过10分钟。</w:t>
      </w:r>
    </w:p>
    <w:p w14:paraId="1CE6706B">
      <w:pPr>
        <w:spacing w:after="160" w:line="278" w:lineRule="auto"/>
        <w:rPr>
          <w:rFonts w:eastAsia="宋体" w:cs="Times New Roman"/>
        </w:rPr>
      </w:pPr>
      <w:r>
        <w:rPr>
          <w:rFonts w:hint="eastAsia" w:eastAsia="宋体" w:cs="Times New Roman"/>
        </w:rPr>
        <w:t>要求演示内容严格参照演示要求，根据演示内容由评标委员会进行综合评议。</w:t>
      </w:r>
    </w:p>
    <w:tbl>
      <w:tblPr>
        <w:tblStyle w:val="60"/>
        <w:tblW w:w="8519" w:type="dxa"/>
        <w:jc w:val="center"/>
        <w:tblLayout w:type="fixed"/>
        <w:tblCellMar>
          <w:top w:w="0" w:type="dxa"/>
          <w:left w:w="108" w:type="dxa"/>
          <w:bottom w:w="0" w:type="dxa"/>
          <w:right w:w="108" w:type="dxa"/>
        </w:tblCellMar>
      </w:tblPr>
      <w:tblGrid>
        <w:gridCol w:w="1525"/>
        <w:gridCol w:w="6994"/>
      </w:tblGrid>
      <w:tr w14:paraId="1D0F5538">
        <w:tblPrEx>
          <w:tblCellMar>
            <w:top w:w="0" w:type="dxa"/>
            <w:left w:w="108" w:type="dxa"/>
            <w:bottom w:w="0" w:type="dxa"/>
            <w:right w:w="108" w:type="dxa"/>
          </w:tblCellMar>
        </w:tblPrEx>
        <w:trPr>
          <w:jc w:val="center"/>
        </w:trPr>
        <w:tc>
          <w:tcPr>
            <w:tcW w:w="1525" w:type="dxa"/>
            <w:tcBorders>
              <w:top w:val="single" w:color="auto" w:sz="4" w:space="0"/>
              <w:left w:val="single" w:color="auto" w:sz="4" w:space="0"/>
              <w:bottom w:val="single" w:color="auto" w:sz="4" w:space="0"/>
              <w:right w:val="single" w:color="auto" w:sz="4" w:space="0"/>
            </w:tcBorders>
            <w:vAlign w:val="center"/>
          </w:tcPr>
          <w:p w14:paraId="68CB18E7">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系统演示</w:t>
            </w:r>
          </w:p>
          <w:p w14:paraId="75A7A907">
            <w:pPr>
              <w:spacing w:before="120" w:beforeLines="50" w:after="120" w:afterLines="50" w:line="340" w:lineRule="exact"/>
              <w:jc w:val="center"/>
              <w:rPr>
                <w:rFonts w:ascii="宋体" w:hAnsi="宋体" w:eastAsia="宋体" w:cs="宋体"/>
                <w:szCs w:val="21"/>
              </w:rPr>
            </w:pPr>
            <w:r>
              <w:rPr>
                <w:rFonts w:hint="eastAsia" w:ascii="宋体" w:hAnsi="宋体" w:eastAsia="宋体" w:cs="宋体"/>
                <w:szCs w:val="21"/>
              </w:rPr>
              <w:t>（15分）</w:t>
            </w:r>
          </w:p>
        </w:tc>
        <w:tc>
          <w:tcPr>
            <w:tcW w:w="6994" w:type="dxa"/>
            <w:tcBorders>
              <w:top w:val="single" w:color="auto" w:sz="4" w:space="0"/>
              <w:left w:val="nil"/>
              <w:bottom w:val="single" w:color="auto" w:sz="4" w:space="0"/>
              <w:right w:val="single" w:color="auto" w:sz="4" w:space="0"/>
            </w:tcBorders>
          </w:tcPr>
          <w:p w14:paraId="72C76A53">
            <w:pPr>
              <w:spacing w:before="120" w:beforeLines="50" w:after="120" w:afterLines="50" w:line="340" w:lineRule="exact"/>
              <w:jc w:val="left"/>
              <w:rPr>
                <w:rFonts w:ascii="宋体" w:hAnsi="宋体" w:eastAsia="宋体" w:cs="宋体"/>
                <w:szCs w:val="21"/>
              </w:rPr>
            </w:pPr>
            <w:r>
              <w:rPr>
                <w:rFonts w:hint="eastAsia" w:ascii="宋体" w:hAnsi="宋体" w:eastAsia="宋体" w:cs="宋体"/>
                <w:b/>
                <w:bCs/>
                <w:szCs w:val="21"/>
              </w:rPr>
              <w:t>演示1：</w:t>
            </w:r>
            <w:r>
              <w:rPr>
                <w:rFonts w:hint="eastAsia" w:ascii="宋体" w:hAnsi="宋体" w:eastAsia="宋体" w:cs="宋体"/>
                <w:szCs w:val="21"/>
              </w:rPr>
              <w:t>智慧黑板、双屏互动智慧黑板功能演示（完全满足得5分，不演示、不满足或部分不满足得0分）</w:t>
            </w:r>
          </w:p>
          <w:p w14:paraId="727AECD5">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1）智慧黑板具备轻物联功能，可在中控菜单调取轻物联控制界面实现对于音箱、麦克风等周边产品的管控，包括查看连接状态及调节音箱音量。</w:t>
            </w:r>
          </w:p>
          <w:p w14:paraId="01A72542">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智慧黑板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4A2FA03D">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3）双屏互动智慧黑板人脸识别账号登录：演示可通过设备内置摄像头进行人脸识别登陆，登陆后自动获取个人最近使用课件，并一键调用教师云空间及校本资源课件。</w:t>
            </w:r>
          </w:p>
          <w:p w14:paraId="32B9E610">
            <w:pPr>
              <w:spacing w:before="120" w:beforeLines="50" w:after="120" w:afterLines="50" w:line="400" w:lineRule="exact"/>
              <w:rPr>
                <w:rFonts w:ascii="宋体" w:hAnsi="宋体" w:eastAsia="宋体" w:cs="宋体"/>
                <w:szCs w:val="21"/>
              </w:rPr>
            </w:pPr>
            <w:r>
              <w:rPr>
                <w:rFonts w:hint="eastAsia" w:ascii="宋体" w:hAnsi="宋体" w:eastAsia="宋体" w:cs="宋体"/>
                <w:szCs w:val="21"/>
              </w:rPr>
              <w:t>4) 双屏互动智慧黑板智能手势识别功能演示。在任意信号源通道下均可识别五指上、下、左、右方向手势，五指画圈、画波浪、左右晃动、缩/放方向手势滑动并调用相应功能。支持将各手势滑动方向自定义设置为无操作、熄屏、批注、桌面、半屏模式。</w:t>
            </w:r>
          </w:p>
          <w:p w14:paraId="054ADB62">
            <w:pPr>
              <w:spacing w:before="120" w:beforeLines="50" w:after="120" w:afterLines="50" w:line="340" w:lineRule="exact"/>
              <w:jc w:val="left"/>
              <w:rPr>
                <w:rFonts w:ascii="宋体" w:hAnsi="宋体" w:eastAsia="宋体" w:cs="宋体"/>
                <w:szCs w:val="21"/>
              </w:rPr>
            </w:pPr>
            <w:r>
              <w:rPr>
                <w:rFonts w:hint="eastAsia" w:ascii="宋体" w:hAnsi="宋体" w:eastAsia="宋体" w:cs="宋体"/>
                <w:b/>
                <w:bCs/>
                <w:szCs w:val="21"/>
              </w:rPr>
              <w:t>演示2：</w:t>
            </w:r>
            <w:r>
              <w:rPr>
                <w:rFonts w:hint="eastAsia" w:ascii="宋体" w:hAnsi="宋体" w:eastAsia="宋体" w:cs="宋体"/>
                <w:szCs w:val="21"/>
              </w:rPr>
              <w:t>录播主机功能演示（完全满足得5分，不演示、不满足或部分不满足得0分）</w:t>
            </w:r>
          </w:p>
          <w:p w14:paraId="3A779BA6">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演示接入校方基于录播设备的教学平台（巡课、课程评价等功能）（招标前来校对接测试），实现在视频巡课时直接查看相关课堂信息、课件信息、课程分析，同时支持基于课程视频选择评价模板进行教学评价。</w:t>
            </w:r>
          </w:p>
          <w:p w14:paraId="6EDC160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2)演示录播主机调用智慧黑板的前置摄像头、教师学生摄像机，拍摄教室中学生画面，管控摄像头视频流，在录播主机上自动切换学生全景、教师全景、教师特写、电脑桌面等不同画面。</w:t>
            </w:r>
          </w:p>
          <w:p w14:paraId="68200D2F">
            <w:pPr>
              <w:spacing w:before="120" w:beforeLines="50" w:after="120" w:afterLines="50" w:line="340" w:lineRule="exact"/>
              <w:jc w:val="left"/>
              <w:rPr>
                <w:rFonts w:ascii="宋体" w:hAnsi="宋体" w:eastAsia="宋体" w:cs="宋体"/>
                <w:szCs w:val="21"/>
              </w:rPr>
            </w:pPr>
            <w:r>
              <w:rPr>
                <w:rFonts w:hint="eastAsia" w:ascii="宋体" w:hAnsi="宋体" w:eastAsia="宋体" w:cs="宋体"/>
                <w:b/>
                <w:bCs/>
                <w:szCs w:val="21"/>
              </w:rPr>
              <w:t>演示3：</w:t>
            </w:r>
            <w:r>
              <w:rPr>
                <w:rFonts w:hint="eastAsia" w:ascii="宋体" w:hAnsi="宋体" w:eastAsia="宋体" w:cs="宋体"/>
                <w:szCs w:val="21"/>
              </w:rPr>
              <w:t>电子班牌（完全满足得5分，不演示、不满足或部分不满足得0分）</w:t>
            </w:r>
          </w:p>
          <w:p w14:paraId="26B8022E">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1）演示电子班牌与此次同期建设的智慧黑板实现联动，在班牌端刷脸/刷卡登录认证后，在智慧黑板端联动登录教师教学软件的教学账号。</w:t>
            </w:r>
          </w:p>
          <w:p w14:paraId="10BAF200">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2）演示通过校方原有班牌管理平台发现并集中管控投标的新班牌设备，并在平台中对新班牌统一定时开关机。</w:t>
            </w:r>
          </w:p>
          <w:p w14:paraId="1A1C5943">
            <w:pPr>
              <w:spacing w:before="120" w:beforeLines="50" w:after="120" w:afterLines="50" w:line="340" w:lineRule="exact"/>
              <w:jc w:val="left"/>
              <w:rPr>
                <w:rFonts w:ascii="宋体" w:hAnsi="宋体" w:eastAsia="宋体" w:cs="宋体"/>
                <w:szCs w:val="21"/>
              </w:rPr>
            </w:pPr>
            <w:r>
              <w:rPr>
                <w:rFonts w:hint="eastAsia" w:ascii="宋体" w:hAnsi="宋体" w:eastAsia="宋体" w:cs="宋体"/>
                <w:szCs w:val="21"/>
              </w:rPr>
              <w:t>3）演示所投电子班牌与学校原有录播管理平台通过对接，实现在班牌上査看教室内的上课实景画面。</w:t>
            </w:r>
          </w:p>
        </w:tc>
      </w:tr>
    </w:tbl>
    <w:p w14:paraId="258ED244">
      <w:pPr>
        <w:spacing w:after="160" w:line="278" w:lineRule="auto"/>
        <w:rPr>
          <w:rFonts w:eastAsia="宋体" w:cs="Times New Roman"/>
        </w:rPr>
      </w:pPr>
    </w:p>
    <w:p w14:paraId="3075560E">
      <w:pPr>
        <w:keepNext/>
        <w:keepLines/>
        <w:spacing w:before="160" w:after="80" w:line="278" w:lineRule="auto"/>
        <w:outlineLvl w:val="1"/>
        <w:rPr>
          <w:rFonts w:ascii="黑体" w:hAnsi="黑体" w:eastAsia="黑体" w:cs="黑体"/>
          <w:kern w:val="44"/>
          <w:sz w:val="32"/>
          <w:szCs w:val="32"/>
        </w:rPr>
      </w:pPr>
      <w:r>
        <w:rPr>
          <w:rFonts w:hint="eastAsia" w:ascii="黑体" w:hAnsi="黑体" w:eastAsia="黑体" w:cs="黑体"/>
          <w:kern w:val="44"/>
          <w:sz w:val="32"/>
          <w:szCs w:val="32"/>
        </w:rPr>
        <w:t>五、商务要求表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6771"/>
      </w:tblGrid>
      <w:tr w14:paraId="0565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4" w:type="dxa"/>
            <w:tcBorders>
              <w:top w:val="single" w:color="auto" w:sz="4" w:space="0"/>
              <w:left w:val="single" w:color="auto" w:sz="4" w:space="0"/>
              <w:bottom w:val="single" w:color="auto" w:sz="4" w:space="0"/>
              <w:right w:val="single" w:color="auto" w:sz="4" w:space="0"/>
            </w:tcBorders>
            <w:vAlign w:val="center"/>
          </w:tcPr>
          <w:p w14:paraId="6BEF7865">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71" w:type="dxa"/>
            <w:tcBorders>
              <w:top w:val="single" w:color="auto" w:sz="4" w:space="0"/>
              <w:left w:val="single" w:color="auto" w:sz="4" w:space="0"/>
              <w:bottom w:val="single" w:color="auto" w:sz="4" w:space="0"/>
              <w:right w:val="single" w:color="auto" w:sz="4" w:space="0"/>
            </w:tcBorders>
            <w:vAlign w:val="center"/>
          </w:tcPr>
          <w:p w14:paraId="5E8F446F">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时间：自合同签订之日起，一周内供货到位，2024年9月10日前完成安装施工与集成。具体开工时间待签订合同时确定。投标人应根据自身施工经验、技术水平及管理能力自行确定最短工期。</w:t>
            </w:r>
          </w:p>
          <w:p w14:paraId="0C9BFF69">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地点：采购人指定地点。</w:t>
            </w:r>
          </w:p>
        </w:tc>
      </w:tr>
      <w:tr w14:paraId="1692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4" w:type="dxa"/>
            <w:tcBorders>
              <w:top w:val="single" w:color="auto" w:sz="4" w:space="0"/>
              <w:left w:val="single" w:color="auto" w:sz="4" w:space="0"/>
              <w:bottom w:val="single" w:color="auto" w:sz="4" w:space="0"/>
              <w:right w:val="single" w:color="auto" w:sz="4" w:space="0"/>
            </w:tcBorders>
            <w:vAlign w:val="center"/>
          </w:tcPr>
          <w:p w14:paraId="46CCC615">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▲付款条件（明确是否需要履约保证金）</w:t>
            </w:r>
          </w:p>
        </w:tc>
        <w:tc>
          <w:tcPr>
            <w:tcW w:w="6771" w:type="dxa"/>
            <w:tcBorders>
              <w:top w:val="single" w:color="auto" w:sz="4" w:space="0"/>
              <w:left w:val="single" w:color="auto" w:sz="4" w:space="0"/>
              <w:bottom w:val="single" w:color="auto" w:sz="4" w:space="0"/>
              <w:right w:val="single" w:color="auto" w:sz="4" w:space="0"/>
            </w:tcBorders>
            <w:vAlign w:val="center"/>
          </w:tcPr>
          <w:p w14:paraId="202A5DB9">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合同签订后采购人付款前，中标人向采购人提交合同金额1%的履约保证金，履约保证金在验收合格后，中标人开具收据并附合同复印件给采购人后，采购人于一月内退还（不计息）。</w:t>
            </w:r>
          </w:p>
          <w:p w14:paraId="1A9481C3">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合同签订生效后，在合同具备实施条件后7个工作日内甲方向乙方支付40%的预付款，经甲方验收合格后一个月内，甲方向乙方支付至合同总价的100%（含预付款）。</w:t>
            </w:r>
          </w:p>
          <w:p w14:paraId="0098B8BD">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在签订合同时，供应商明确表示无需预付款或者主动要求降低预付款比例的，可降低预付款比例（预付款保函同步调整）。</w:t>
            </w:r>
          </w:p>
          <w:p w14:paraId="7EB1B15C">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合同总价包含但不限于投标前对接演示视频所产生的费用、安装、调试、运输、税金等履行本项目的一切费用。</w:t>
            </w:r>
          </w:p>
        </w:tc>
      </w:tr>
      <w:tr w14:paraId="2A12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4" w:type="dxa"/>
            <w:tcBorders>
              <w:top w:val="single" w:color="auto" w:sz="4" w:space="0"/>
              <w:left w:val="single" w:color="auto" w:sz="4" w:space="0"/>
              <w:bottom w:val="single" w:color="auto" w:sz="4" w:space="0"/>
              <w:right w:val="single" w:color="auto" w:sz="4" w:space="0"/>
            </w:tcBorders>
            <w:vAlign w:val="center"/>
          </w:tcPr>
          <w:p w14:paraId="4CA36C5C">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71" w:type="dxa"/>
            <w:tcBorders>
              <w:top w:val="single" w:color="auto" w:sz="4" w:space="0"/>
              <w:left w:val="single" w:color="auto" w:sz="4" w:space="0"/>
              <w:bottom w:val="single" w:color="auto" w:sz="4" w:space="0"/>
              <w:right w:val="single" w:color="auto" w:sz="4" w:space="0"/>
            </w:tcBorders>
            <w:vAlign w:val="center"/>
          </w:tcPr>
          <w:p w14:paraId="5A0AA5BD">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无特别说明，按“第五章  浙江省政府采购合同主要条款指引”相关违约责任及争议解决方式内容。</w:t>
            </w:r>
          </w:p>
        </w:tc>
      </w:tr>
      <w:tr w14:paraId="4E68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4" w:type="dxa"/>
            <w:tcBorders>
              <w:top w:val="single" w:color="auto" w:sz="4" w:space="0"/>
              <w:left w:val="single" w:color="auto" w:sz="4" w:space="0"/>
              <w:bottom w:val="single" w:color="auto" w:sz="4" w:space="0"/>
              <w:right w:val="single" w:color="auto" w:sz="4" w:space="0"/>
            </w:tcBorders>
            <w:vAlign w:val="center"/>
          </w:tcPr>
          <w:p w14:paraId="02819175">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保修期</w:t>
            </w:r>
          </w:p>
        </w:tc>
        <w:tc>
          <w:tcPr>
            <w:tcW w:w="6771" w:type="dxa"/>
            <w:tcBorders>
              <w:top w:val="single" w:color="auto" w:sz="4" w:space="0"/>
              <w:left w:val="single" w:color="auto" w:sz="4" w:space="0"/>
              <w:bottom w:val="single" w:color="auto" w:sz="4" w:space="0"/>
              <w:right w:val="single" w:color="auto" w:sz="4" w:space="0"/>
            </w:tcBorders>
            <w:vAlign w:val="center"/>
          </w:tcPr>
          <w:p w14:paraId="7C1350A8">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承诺保修3年(包含培训和售后服务），在验收合格后开始计算。</w:t>
            </w:r>
          </w:p>
          <w:p w14:paraId="66E3184C">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证明材料：提供承诺书，未提供或不符合要求的均不得分。</w:t>
            </w:r>
          </w:p>
        </w:tc>
      </w:tr>
      <w:tr w14:paraId="4CF9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84" w:type="dxa"/>
            <w:tcBorders>
              <w:top w:val="single" w:color="auto" w:sz="4" w:space="0"/>
              <w:left w:val="single" w:color="auto" w:sz="4" w:space="0"/>
              <w:bottom w:val="single" w:color="auto" w:sz="4" w:space="0"/>
              <w:right w:val="single" w:color="auto" w:sz="4" w:space="0"/>
            </w:tcBorders>
            <w:vAlign w:val="center"/>
          </w:tcPr>
          <w:p w14:paraId="4F2B0F14">
            <w:pPr>
              <w:snapToGrid w:val="0"/>
              <w:jc w:val="center"/>
              <w:rPr>
                <w:rFonts w:ascii="仿宋" w:hAnsi="仿宋" w:eastAsia="仿宋" w:cs="仿宋_GB2312"/>
                <w:b/>
                <w:color w:val="000000"/>
                <w:sz w:val="28"/>
                <w:szCs w:val="28"/>
              </w:rPr>
            </w:pPr>
          </w:p>
          <w:p w14:paraId="65B732DB">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1" w:type="dxa"/>
            <w:tcBorders>
              <w:top w:val="single" w:color="auto" w:sz="4" w:space="0"/>
              <w:left w:val="single" w:color="auto" w:sz="4" w:space="0"/>
              <w:bottom w:val="single" w:color="auto" w:sz="4" w:space="0"/>
              <w:right w:val="single" w:color="auto" w:sz="4" w:space="0"/>
            </w:tcBorders>
            <w:vAlign w:val="center"/>
          </w:tcPr>
          <w:p w14:paraId="50763799">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提供项目维护计划，应包含且不限于：</w:t>
            </w:r>
          </w:p>
          <w:p w14:paraId="03E1FE99">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1.项目维护人员配备情况。</w:t>
            </w:r>
          </w:p>
          <w:p w14:paraId="4E1EB404">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2.保修期内维护安排、备件提供能力。</w:t>
            </w:r>
          </w:p>
          <w:p w14:paraId="352E2A31">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3.保修期外维护安排、收费标准。</w:t>
            </w:r>
          </w:p>
        </w:tc>
      </w:tr>
      <w:tr w14:paraId="7E79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4" w:type="dxa"/>
            <w:tcBorders>
              <w:top w:val="single" w:color="auto" w:sz="4" w:space="0"/>
              <w:left w:val="single" w:color="auto" w:sz="4" w:space="0"/>
              <w:bottom w:val="single" w:color="auto" w:sz="4" w:space="0"/>
              <w:right w:val="single" w:color="auto" w:sz="4" w:space="0"/>
            </w:tcBorders>
            <w:vAlign w:val="center"/>
          </w:tcPr>
          <w:p w14:paraId="3B5FF48A">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lang w:val="en-US" w:eastAsia="zh-CN"/>
              </w:rPr>
              <w:t>售后服务及响应情况</w:t>
            </w:r>
          </w:p>
        </w:tc>
        <w:tc>
          <w:tcPr>
            <w:tcW w:w="6771" w:type="dxa"/>
            <w:tcBorders>
              <w:top w:val="single" w:color="auto" w:sz="4" w:space="0"/>
              <w:left w:val="single" w:color="auto" w:sz="4" w:space="0"/>
              <w:bottom w:val="single" w:color="auto" w:sz="4" w:space="0"/>
              <w:right w:val="single" w:color="auto" w:sz="4" w:space="0"/>
            </w:tcBorders>
            <w:vAlign w:val="center"/>
          </w:tcPr>
          <w:p w14:paraId="6FC03FB1">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1.现场技术支持服务：投标人技术人员提供1年的5*8小时现场驻点服务。（2分）</w:t>
            </w:r>
          </w:p>
          <w:p w14:paraId="2A2B35B2">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2.非工作日期间，出现问题时，能提供电话响应支持，特别紧急的，能在半小时内抵达现场处理。（1分）</w:t>
            </w:r>
          </w:p>
          <w:p w14:paraId="616B440F">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证明材料：提供承诺书，未提供或不符合要求的均不得分。</w:t>
            </w:r>
          </w:p>
        </w:tc>
      </w:tr>
      <w:tr w14:paraId="611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4" w:type="dxa"/>
            <w:tcBorders>
              <w:top w:val="single" w:color="auto" w:sz="4" w:space="0"/>
              <w:left w:val="single" w:color="auto" w:sz="4" w:space="0"/>
              <w:bottom w:val="single" w:color="auto" w:sz="4" w:space="0"/>
              <w:right w:val="single" w:color="auto" w:sz="4" w:space="0"/>
            </w:tcBorders>
            <w:vAlign w:val="center"/>
          </w:tcPr>
          <w:p w14:paraId="3D73B659">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1" w:type="dxa"/>
            <w:tcBorders>
              <w:top w:val="single" w:color="auto" w:sz="4" w:space="0"/>
              <w:left w:val="single" w:color="auto" w:sz="4" w:space="0"/>
              <w:bottom w:val="single" w:color="auto" w:sz="4" w:space="0"/>
              <w:right w:val="single" w:color="auto" w:sz="4" w:space="0"/>
            </w:tcBorders>
            <w:vAlign w:val="center"/>
          </w:tcPr>
          <w:p w14:paraId="282E156D">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提供培训方案并进行阐述，应包含且不限于：</w:t>
            </w:r>
          </w:p>
          <w:p w14:paraId="71B6957A">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1.中标人应对用户进行培训，并承担所有费用，使其能对设备进行日常的维护保养及能对一般故障进行维修。</w:t>
            </w:r>
          </w:p>
          <w:p w14:paraId="587DD1A9">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2.提供纸质版、电子版培训资料，包括设备说明书、用户指南、使用手册、官方教学视频等。须提供面向普通教师群体、管理人员的常见使用场景的纸质及视频版、PPT版课件。教学视频应讲解介绍老师及管理人员的典型任务需求的操作方法，通俗易懂、步骤详细，画面稳定清晰保证视频质量。</w:t>
            </w:r>
          </w:p>
          <w:p w14:paraId="42503449">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3.培训日期及方式：与用户商定，学会为止。</w:t>
            </w:r>
          </w:p>
        </w:tc>
      </w:tr>
      <w:tr w14:paraId="485A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4" w:type="dxa"/>
            <w:tcBorders>
              <w:top w:val="single" w:color="auto" w:sz="4" w:space="0"/>
              <w:left w:val="single" w:color="auto" w:sz="4" w:space="0"/>
              <w:bottom w:val="single" w:color="auto" w:sz="4" w:space="0"/>
              <w:right w:val="single" w:color="auto" w:sz="4" w:space="0"/>
            </w:tcBorders>
            <w:vAlign w:val="center"/>
          </w:tcPr>
          <w:p w14:paraId="0A4A50BC">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71" w:type="dxa"/>
            <w:tcBorders>
              <w:top w:val="single" w:color="auto" w:sz="4" w:space="0"/>
              <w:left w:val="single" w:color="auto" w:sz="4" w:space="0"/>
              <w:bottom w:val="single" w:color="auto" w:sz="4" w:space="0"/>
              <w:right w:val="single" w:color="auto" w:sz="4" w:space="0"/>
            </w:tcBorders>
            <w:vAlign w:val="center"/>
          </w:tcPr>
          <w:p w14:paraId="13EB387F">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投标人提供2022年1月1日起至投标截止时间止（以合同签订日期为准）承接过类似项目业绩，每提供一个得1分，最高得3分。</w:t>
            </w:r>
          </w:p>
          <w:p w14:paraId="12C8E49C">
            <w:pPr>
              <w:widowControl/>
              <w:spacing w:before="120" w:beforeLines="50" w:after="120" w:afterLines="50"/>
              <w:rPr>
                <w:rFonts w:ascii="仿宋" w:hAnsi="仿宋" w:eastAsia="仿宋" w:cs="宋体"/>
                <w:color w:val="000000"/>
                <w:sz w:val="24"/>
                <w:szCs w:val="24"/>
              </w:rPr>
            </w:pPr>
            <w:r>
              <w:rPr>
                <w:rFonts w:hint="eastAsia" w:ascii="仿宋" w:hAnsi="仿宋" w:eastAsia="仿宋" w:cs="宋体"/>
                <w:color w:val="000000"/>
                <w:sz w:val="24"/>
                <w:szCs w:val="24"/>
              </w:rPr>
              <w:t>证明材料：提供合同扫描件，未提供不得分。</w:t>
            </w:r>
          </w:p>
        </w:tc>
      </w:tr>
    </w:tbl>
    <w:p w14:paraId="5C07F72C">
      <w:pPr>
        <w:spacing w:line="360" w:lineRule="auto"/>
        <w:rPr>
          <w:rFonts w:ascii="宋体" w:hAnsi="宋体" w:eastAsia="宋体" w:cs="宋体"/>
          <w:b/>
          <w:sz w:val="28"/>
          <w:szCs w:val="28"/>
        </w:rPr>
      </w:pPr>
    </w:p>
    <w:p w14:paraId="09D94B61">
      <w:pPr>
        <w:rPr>
          <w:rFonts w:eastAsia="宋体" w:cs="Times New Roman"/>
        </w:rPr>
      </w:pPr>
    </w:p>
    <w:p w14:paraId="2C74C1C2">
      <w:pPr>
        <w:spacing w:line="360" w:lineRule="auto"/>
        <w:rPr>
          <w:rFonts w:eastAsia="宋体" w:cs="Times New Roman"/>
          <w:b/>
          <w:sz w:val="28"/>
          <w:szCs w:val="28"/>
        </w:rPr>
      </w:pPr>
    </w:p>
    <w:bookmarkEnd w:id="22"/>
    <w:bookmarkEnd w:id="25"/>
    <w:p w14:paraId="0F468FB3">
      <w:pPr>
        <w:spacing w:before="120" w:beforeLines="50" w:after="120" w:afterLines="50" w:line="360" w:lineRule="auto"/>
        <w:jc w:val="center"/>
        <w:outlineLvl w:val="0"/>
        <w:rPr>
          <w:rFonts w:ascii="宋体" w:hAnsi="宋体" w:eastAsia="宋体" w:cs="Times New Roman"/>
          <w:b/>
          <w:color w:val="000000"/>
          <w:sz w:val="36"/>
          <w:szCs w:val="36"/>
        </w:rPr>
      </w:pPr>
    </w:p>
    <w:p w14:paraId="3868E0EB">
      <w:pPr>
        <w:spacing w:before="120" w:beforeLines="50" w:after="120" w:afterLines="50" w:line="360" w:lineRule="auto"/>
        <w:outlineLvl w:val="0"/>
        <w:rPr>
          <w:rFonts w:ascii="宋体" w:hAnsi="宋体" w:eastAsia="宋体" w:cs="Times New Roman"/>
          <w:b/>
          <w:color w:val="000000"/>
          <w:sz w:val="36"/>
          <w:szCs w:val="36"/>
        </w:rPr>
      </w:pPr>
    </w:p>
    <w:p w14:paraId="467086B5">
      <w:pPr>
        <w:spacing w:before="120" w:beforeLines="50" w:after="120" w:afterLines="50" w:line="360" w:lineRule="auto"/>
        <w:jc w:val="center"/>
        <w:outlineLvl w:val="0"/>
        <w:rPr>
          <w:rFonts w:ascii="宋体" w:hAnsi="宋体" w:eastAsia="宋体" w:cs="Times New Roman"/>
          <w:b/>
          <w:color w:val="000000"/>
          <w:sz w:val="36"/>
          <w:szCs w:val="36"/>
        </w:rPr>
      </w:pPr>
    </w:p>
    <w:p w14:paraId="0F92DBAE">
      <w:pPr>
        <w:spacing w:before="120" w:beforeLines="50" w:after="120" w:afterLines="50" w:line="360" w:lineRule="auto"/>
        <w:jc w:val="center"/>
        <w:outlineLvl w:val="0"/>
        <w:rPr>
          <w:rFonts w:ascii="宋体" w:hAnsi="宋体" w:eastAsia="宋体" w:cs="Times New Roman"/>
          <w:b/>
          <w:color w:val="000000"/>
          <w:sz w:val="36"/>
          <w:szCs w:val="36"/>
        </w:rPr>
      </w:pPr>
    </w:p>
    <w:p w14:paraId="58E87AF0">
      <w:pPr>
        <w:spacing w:before="120" w:beforeLines="50" w:after="120" w:afterLines="50" w:line="360" w:lineRule="auto"/>
        <w:jc w:val="center"/>
        <w:outlineLvl w:val="0"/>
        <w:rPr>
          <w:rFonts w:ascii="宋体" w:hAnsi="宋体" w:eastAsia="宋体" w:cs="Times New Roman"/>
          <w:b/>
          <w:color w:val="000000"/>
          <w:sz w:val="36"/>
          <w:szCs w:val="36"/>
        </w:rPr>
      </w:pPr>
    </w:p>
    <w:p w14:paraId="671501A1">
      <w:pPr>
        <w:spacing w:before="120" w:beforeLines="50" w:after="120" w:afterLines="50" w:line="360" w:lineRule="auto"/>
        <w:jc w:val="center"/>
        <w:outlineLvl w:val="0"/>
        <w:rPr>
          <w:rFonts w:ascii="宋体" w:hAnsi="宋体" w:eastAsia="宋体" w:cs="Times New Roman"/>
          <w:b/>
          <w:color w:val="000000"/>
          <w:sz w:val="36"/>
          <w:szCs w:val="36"/>
        </w:rPr>
      </w:pPr>
    </w:p>
    <w:p w14:paraId="467F9D9B">
      <w:pPr>
        <w:spacing w:before="120" w:beforeLines="50" w:after="120" w:afterLines="50" w:line="360" w:lineRule="auto"/>
        <w:jc w:val="center"/>
        <w:outlineLvl w:val="0"/>
        <w:rPr>
          <w:rFonts w:ascii="宋体" w:hAnsi="宋体" w:eastAsia="宋体" w:cs="Times New Roman"/>
          <w:b/>
          <w:color w:val="000000"/>
          <w:sz w:val="36"/>
          <w:szCs w:val="36"/>
        </w:rPr>
      </w:pPr>
    </w:p>
    <w:p w14:paraId="0DA03CEE">
      <w:pPr>
        <w:spacing w:before="120" w:beforeLines="50" w:after="120" w:afterLines="50" w:line="360" w:lineRule="auto"/>
        <w:jc w:val="both"/>
        <w:outlineLvl w:val="0"/>
        <w:rPr>
          <w:rFonts w:hint="eastAsia" w:ascii="宋体" w:hAnsi="宋体" w:eastAsia="宋体" w:cs="Times New Roman"/>
          <w:b/>
          <w:color w:val="000000"/>
          <w:sz w:val="36"/>
          <w:szCs w:val="36"/>
        </w:rPr>
      </w:pPr>
    </w:p>
    <w:p w14:paraId="73D45275">
      <w:pPr>
        <w:spacing w:before="120" w:beforeLines="50" w:after="120" w:afterLines="50" w:line="360" w:lineRule="auto"/>
        <w:jc w:val="center"/>
        <w:outlineLvl w:val="0"/>
        <w:rPr>
          <w:rFonts w:ascii="宋体" w:hAnsi="宋体" w:eastAsia="宋体" w:cs="Times New Roman"/>
          <w:b/>
          <w:color w:val="000000"/>
          <w:sz w:val="36"/>
          <w:szCs w:val="36"/>
        </w:rPr>
      </w:pPr>
      <w:r>
        <w:rPr>
          <w:rFonts w:hint="eastAsia" w:ascii="宋体" w:hAnsi="宋体" w:eastAsia="宋体" w:cs="Times New Roman"/>
          <w:b/>
          <w:color w:val="000000"/>
          <w:sz w:val="36"/>
          <w:szCs w:val="36"/>
        </w:rPr>
        <w:t>第五章 浙江省政府采购合同主要条款指引</w:t>
      </w:r>
    </w:p>
    <w:p w14:paraId="20E441F9">
      <w:pPr>
        <w:rPr>
          <w:rFonts w:eastAsia="宋体" w:cs="Times New Roman"/>
          <w:color w:val="000000"/>
        </w:rPr>
      </w:pPr>
    </w:p>
    <w:p w14:paraId="66F63984">
      <w:pPr>
        <w:snapToGrid w:val="0"/>
        <w:spacing w:before="120" w:beforeLines="50" w:after="120" w:afterLines="50" w:line="360" w:lineRule="auto"/>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                            合同编号：        </w:t>
      </w:r>
    </w:p>
    <w:p w14:paraId="09A9FB0B">
      <w:pPr>
        <w:snapToGrid w:val="0"/>
        <w:spacing w:before="120" w:beforeLines="50" w:after="120" w:afterLines="50" w:line="360" w:lineRule="auto"/>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                                     确认书号：</w:t>
      </w:r>
    </w:p>
    <w:p w14:paraId="554BBC75">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甲方</w:t>
      </w:r>
      <w:r>
        <w:rPr>
          <w:rFonts w:hint="eastAsia" w:ascii="仿宋" w:hAnsi="仿宋" w:eastAsia="仿宋" w:cs="Times New Roman"/>
          <w:color w:val="000000"/>
          <w:sz w:val="30"/>
          <w:szCs w:val="30"/>
        </w:rPr>
        <w:t xml:space="preserve">（采购人）： </w:t>
      </w:r>
    </w:p>
    <w:p w14:paraId="34A10AE1">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乙方</w:t>
      </w:r>
      <w:r>
        <w:rPr>
          <w:rFonts w:hint="eastAsia" w:ascii="仿宋" w:hAnsi="仿宋" w:eastAsia="仿宋" w:cs="Times New Roman"/>
          <w:color w:val="000000"/>
          <w:sz w:val="30"/>
          <w:szCs w:val="30"/>
        </w:rPr>
        <w:t xml:space="preserve">（供应商）： </w:t>
      </w:r>
    </w:p>
    <w:p w14:paraId="5B758BCD">
      <w:pPr>
        <w:adjustRightInd w:val="0"/>
        <w:snapToGrid w:val="0"/>
        <w:spacing w:before="120" w:beforeLines="50" w:after="120" w:afterLines="50" w:line="460" w:lineRule="exact"/>
        <w:ind w:firstLine="594" w:firstLineChars="198"/>
        <w:rPr>
          <w:rFonts w:ascii="仿宋" w:hAnsi="仿宋" w:eastAsia="仿宋" w:cs="Times New Roman"/>
          <w:b/>
          <w:snapToGrid w:val="0"/>
          <w:color w:val="000000"/>
          <w:sz w:val="30"/>
          <w:szCs w:val="30"/>
        </w:rPr>
      </w:pPr>
      <w:r>
        <w:rPr>
          <w:rFonts w:hint="eastAsia" w:ascii="仿宋" w:hAnsi="仿宋" w:eastAsia="仿宋" w:cs="Times New Roman"/>
          <w:snapToGrid w:val="0"/>
          <w:color w:val="000000"/>
          <w:sz w:val="30"/>
          <w:szCs w:val="30"/>
        </w:rPr>
        <w:t>甲、乙双方根据浙江省政府采购中心关于</w:t>
      </w:r>
      <w:r>
        <w:rPr>
          <w:rFonts w:hint="eastAsia" w:ascii="仿宋" w:hAnsi="仿宋" w:eastAsia="仿宋" w:cs="Times New Roman"/>
          <w:color w:val="000000"/>
          <w:sz w:val="30"/>
          <w:szCs w:val="30"/>
        </w:rPr>
        <w:t>项目编号为      的</w:t>
      </w:r>
      <w:r>
        <w:rPr>
          <w:rFonts w:hint="eastAsia" w:ascii="仿宋" w:hAnsi="仿宋" w:eastAsia="仿宋" w:cs="Times New Roman"/>
          <w:snapToGrid w:val="0"/>
          <w:color w:val="000000"/>
          <w:sz w:val="30"/>
          <w:szCs w:val="30"/>
        </w:rPr>
        <w:t>（标项及名称）项目公开招标的结果，签署本合同。</w:t>
      </w:r>
    </w:p>
    <w:p w14:paraId="7A5F7F66">
      <w:pPr>
        <w:adjustRightInd w:val="0"/>
        <w:snapToGrid w:val="0"/>
        <w:spacing w:before="120" w:beforeLines="50" w:after="120" w:afterLines="50" w:line="460" w:lineRule="exact"/>
        <w:ind w:firstLine="641" w:firstLineChars="213"/>
        <w:rPr>
          <w:rFonts w:ascii="仿宋" w:hAnsi="仿宋" w:eastAsia="仿宋" w:cs="Times New Roman"/>
          <w:b/>
          <w:color w:val="000000"/>
          <w:sz w:val="30"/>
          <w:szCs w:val="30"/>
        </w:rPr>
      </w:pPr>
      <w:r>
        <w:rPr>
          <w:rFonts w:hint="eastAsia" w:ascii="仿宋" w:hAnsi="仿宋" w:eastAsia="仿宋" w:cs="Times New Roman"/>
          <w:b/>
          <w:snapToGrid w:val="0"/>
          <w:color w:val="000000"/>
          <w:sz w:val="30"/>
          <w:szCs w:val="30"/>
        </w:rPr>
        <w:t>一、项目内容</w:t>
      </w:r>
      <w:r>
        <w:rPr>
          <w:rFonts w:hint="eastAsia" w:ascii="仿宋" w:hAnsi="仿宋" w:eastAsia="仿宋" w:cs="Times New Roman"/>
          <w:b/>
          <w:color w:val="000000"/>
          <w:sz w:val="30"/>
          <w:szCs w:val="30"/>
        </w:rPr>
        <w:t>及合同价格</w:t>
      </w:r>
    </w:p>
    <w:p w14:paraId="10283B33">
      <w:pPr>
        <w:adjustRightInd w:val="0"/>
        <w:snapToGrid w:val="0"/>
        <w:spacing w:before="120" w:beforeLines="50" w:after="120" w:afterLines="50" w:line="460" w:lineRule="exact"/>
        <w:ind w:firstLine="639" w:firstLineChars="213"/>
        <w:jc w:val="righ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5B7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47BD34C">
            <w:pPr>
              <w:snapToGrid w:val="0"/>
              <w:spacing w:before="120" w:beforeLines="50" w:after="120" w:afterLines="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D32331C">
            <w:pPr>
              <w:snapToGrid w:val="0"/>
              <w:spacing w:before="120" w:beforeLines="50" w:after="120" w:afterLines="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936E554">
            <w:pPr>
              <w:snapToGrid w:val="0"/>
              <w:spacing w:before="120" w:beforeLines="50" w:after="120" w:afterLines="50" w:line="460" w:lineRule="exact"/>
              <w:ind w:left="-108"/>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131947E">
            <w:pPr>
              <w:snapToGrid w:val="0"/>
              <w:spacing w:before="120" w:beforeLines="50" w:after="120" w:afterLines="50" w:line="460" w:lineRule="exact"/>
              <w:ind w:left="-108"/>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4A77960">
            <w:pPr>
              <w:snapToGrid w:val="0"/>
              <w:spacing w:before="120" w:beforeLines="50" w:after="120" w:afterLines="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总价</w:t>
            </w:r>
          </w:p>
        </w:tc>
      </w:tr>
      <w:tr w14:paraId="24D0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4C109059">
            <w:pPr>
              <w:spacing w:line="460" w:lineRule="exact"/>
              <w:ind w:firstLine="639" w:firstLineChars="213"/>
              <w:rPr>
                <w:rFonts w:ascii="仿宋" w:hAnsi="仿宋" w:eastAsia="仿宋" w:cs="Times New Roman"/>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43ABE52C">
            <w:pPr>
              <w:spacing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528C1203">
            <w:pPr>
              <w:spacing w:line="460" w:lineRule="exact"/>
              <w:ind w:firstLine="639" w:firstLineChars="213"/>
              <w:rPr>
                <w:rFonts w:ascii="仿宋" w:hAnsi="仿宋" w:eastAsia="仿宋"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C84AD8">
            <w:pPr>
              <w:widowControl/>
              <w:spacing w:after="120" w:line="460" w:lineRule="exact"/>
              <w:ind w:firstLine="639" w:firstLineChars="213"/>
              <w:jc w:val="left"/>
              <w:rPr>
                <w:rFonts w:ascii="仿宋" w:hAnsi="仿宋" w:eastAsia="仿宋" w:cs="Times New Roman"/>
                <w:snapToGrid w:val="0"/>
                <w:color w:val="000000"/>
                <w:sz w:val="30"/>
                <w:szCs w:val="30"/>
              </w:rPr>
            </w:pPr>
          </w:p>
        </w:tc>
        <w:tc>
          <w:tcPr>
            <w:tcW w:w="1212" w:type="dxa"/>
            <w:tcBorders>
              <w:top w:val="single" w:color="auto" w:sz="4" w:space="0"/>
              <w:left w:val="single" w:color="auto" w:sz="4" w:space="0"/>
              <w:bottom w:val="single" w:color="auto" w:sz="4" w:space="0"/>
              <w:right w:val="single" w:color="auto" w:sz="4" w:space="0"/>
            </w:tcBorders>
          </w:tcPr>
          <w:p w14:paraId="4F263E21">
            <w:pPr>
              <w:widowControl/>
              <w:spacing w:after="120" w:line="460" w:lineRule="exact"/>
              <w:ind w:left="1890"/>
              <w:jc w:val="left"/>
              <w:rPr>
                <w:rFonts w:ascii="仿宋" w:hAnsi="仿宋" w:eastAsia="仿宋" w:cs="Times New Roman"/>
                <w:snapToGrid w:val="0"/>
                <w:color w:val="000000"/>
                <w:sz w:val="30"/>
                <w:szCs w:val="30"/>
              </w:rPr>
            </w:pPr>
          </w:p>
        </w:tc>
      </w:tr>
      <w:tr w14:paraId="12BA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705681A">
            <w:pPr>
              <w:snapToGrid w:val="0"/>
              <w:spacing w:before="120" w:beforeLines="50" w:after="120" w:afterLines="50" w:line="460" w:lineRule="exact"/>
              <w:ind w:firstLine="639" w:firstLineChars="213"/>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2094C603">
            <w:pPr>
              <w:snapToGrid w:val="0"/>
              <w:spacing w:before="120" w:beforeLines="50" w:after="120" w:afterLines="50" w:line="460" w:lineRule="exact"/>
              <w:ind w:firstLine="639" w:firstLineChars="213"/>
              <w:jc w:val="center"/>
              <w:rPr>
                <w:rFonts w:ascii="仿宋" w:hAnsi="仿宋" w:eastAsia="仿宋" w:cs="Times New Roman"/>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1D32DF36">
            <w:pPr>
              <w:widowControl/>
              <w:spacing w:after="120" w:line="460" w:lineRule="exact"/>
              <w:ind w:firstLine="639" w:firstLineChars="213"/>
              <w:jc w:val="left"/>
              <w:rPr>
                <w:rFonts w:ascii="仿宋" w:hAnsi="仿宋" w:eastAsia="仿宋" w:cs="Times New Roman"/>
                <w:snapToGrid w:val="0"/>
                <w:color w:val="000000"/>
                <w:sz w:val="30"/>
                <w:szCs w:val="30"/>
              </w:rPr>
            </w:pPr>
          </w:p>
        </w:tc>
      </w:tr>
      <w:tr w14:paraId="11E4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93F958B">
            <w:pPr>
              <w:snapToGrid w:val="0"/>
              <w:spacing w:before="120" w:beforeLines="50" w:after="120" w:afterLines="50"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合同总价大写：                              小写：￥</w:t>
            </w:r>
          </w:p>
        </w:tc>
      </w:tr>
    </w:tbl>
    <w:p w14:paraId="051A3E62">
      <w:pPr>
        <w:snapToGrid w:val="0"/>
        <w:spacing w:before="120" w:after="120" w:afterLines="50" w:line="460" w:lineRule="exact"/>
        <w:ind w:left="-178" w:leftChars="-85" w:firstLine="639" w:firstLineChars="213"/>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注：1.项目具体技术需求及采购人地址等详见招标文件、投标文件以及询标记录。</w:t>
      </w:r>
    </w:p>
    <w:p w14:paraId="0EFAFA08">
      <w:pPr>
        <w:spacing w:line="460" w:lineRule="exact"/>
        <w:ind w:firstLine="639" w:firstLineChars="213"/>
        <w:rPr>
          <w:rFonts w:ascii="仿宋" w:hAnsi="仿宋" w:eastAsia="仿宋" w:cs="Times New Roman"/>
          <w:color w:val="000000"/>
          <w:sz w:val="30"/>
          <w:szCs w:val="30"/>
        </w:rPr>
      </w:pPr>
      <w:r>
        <w:rPr>
          <w:rFonts w:hint="eastAsia" w:ascii="仿宋" w:hAnsi="仿宋" w:eastAsia="仿宋" w:cs="Times New Roman"/>
          <w:color w:val="000000"/>
          <w:sz w:val="30"/>
          <w:szCs w:val="30"/>
        </w:rPr>
        <w:t>　2.以上合同总价包含项目达到预期使用效果所需的一切费用。</w:t>
      </w:r>
    </w:p>
    <w:p w14:paraId="1715B3D7">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二、技术资料</w:t>
      </w:r>
    </w:p>
    <w:p w14:paraId="57F177A2">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1.乙方应按招标文件规定的时间向甲方提供使用项目的有关技术资料。</w:t>
      </w:r>
    </w:p>
    <w:p w14:paraId="526E7E18">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013E73">
      <w:pPr>
        <w:adjustRightInd w:val="0"/>
        <w:snapToGrid w:val="0"/>
        <w:spacing w:before="120" w:beforeLines="50" w:after="120" w:afterLines="50" w:line="460" w:lineRule="exact"/>
        <w:ind w:firstLine="596" w:firstLineChars="198"/>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三、知识产权</w:t>
      </w:r>
    </w:p>
    <w:p w14:paraId="2FE2F461">
      <w:pPr>
        <w:adjustRightInd w:val="0"/>
        <w:snapToGrid w:val="0"/>
        <w:spacing w:before="120" w:beforeLines="50" w:after="120" w:afterLines="50" w:line="460" w:lineRule="exact"/>
        <w:ind w:firstLine="639" w:firstLineChars="213"/>
        <w:rPr>
          <w:rFonts w:ascii="仿宋" w:hAnsi="仿宋" w:eastAsia="仿宋" w:cs="Times New Roman"/>
          <w:bCs/>
          <w:snapToGrid w:val="0"/>
          <w:color w:val="000000"/>
          <w:sz w:val="30"/>
          <w:szCs w:val="30"/>
        </w:rPr>
      </w:pPr>
      <w:r>
        <w:rPr>
          <w:rFonts w:hint="eastAsia" w:ascii="仿宋" w:hAnsi="仿宋" w:eastAsia="仿宋" w:cs="Times New Roman"/>
          <w:snapToGrid w:val="0"/>
          <w:color w:val="000000"/>
          <w:sz w:val="30"/>
          <w:szCs w:val="30"/>
        </w:rPr>
        <w:t>乙方应保证所提供的货物或其任何一部分均不会侵犯任何第三方的知识产权</w:t>
      </w:r>
      <w:r>
        <w:rPr>
          <w:rFonts w:hint="eastAsia" w:ascii="仿宋" w:hAnsi="仿宋" w:eastAsia="仿宋" w:cs="Times New Roman"/>
          <w:bCs/>
          <w:snapToGrid w:val="0"/>
          <w:color w:val="000000"/>
          <w:sz w:val="30"/>
          <w:szCs w:val="30"/>
        </w:rPr>
        <w:t>。</w:t>
      </w:r>
    </w:p>
    <w:p w14:paraId="66B0DD65">
      <w:pPr>
        <w:adjustRightInd w:val="0"/>
        <w:snapToGrid w:val="0"/>
        <w:spacing w:before="120" w:beforeLines="50" w:after="120" w:afterLines="50" w:line="460" w:lineRule="exact"/>
        <w:ind w:firstLine="596" w:firstLineChars="198"/>
        <w:rPr>
          <w:rFonts w:ascii="仿宋" w:hAnsi="仿宋" w:eastAsia="仿宋" w:cs="Times New Roman"/>
          <w:snapToGrid w:val="0"/>
          <w:color w:val="000000"/>
          <w:sz w:val="30"/>
          <w:szCs w:val="30"/>
          <w:u w:val="single"/>
        </w:rPr>
      </w:pPr>
      <w:r>
        <w:rPr>
          <w:rFonts w:hint="eastAsia" w:ascii="仿宋" w:hAnsi="仿宋" w:eastAsia="仿宋" w:cs="Times New Roman"/>
          <w:b/>
          <w:snapToGrid w:val="0"/>
          <w:color w:val="000000"/>
          <w:sz w:val="30"/>
          <w:szCs w:val="30"/>
        </w:rPr>
        <w:t>四、产权担保</w:t>
      </w:r>
    </w:p>
    <w:p w14:paraId="75250B07">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u w:val="single"/>
        </w:rPr>
      </w:pPr>
      <w:r>
        <w:rPr>
          <w:rFonts w:hint="eastAsia" w:ascii="仿宋" w:hAnsi="仿宋" w:eastAsia="仿宋" w:cs="Times New Roman"/>
          <w:snapToGrid w:val="0"/>
          <w:color w:val="000000"/>
          <w:sz w:val="30"/>
          <w:szCs w:val="30"/>
        </w:rPr>
        <w:t>乙方保证所交付的货物的所有权完全属于乙方且无任何抵押、查封等产权瑕疵。</w:t>
      </w:r>
    </w:p>
    <w:p w14:paraId="28B897DC">
      <w:pPr>
        <w:adjustRightInd w:val="0"/>
        <w:snapToGrid w:val="0"/>
        <w:spacing w:before="120" w:beforeLines="50" w:after="120" w:afterLines="50" w:line="460" w:lineRule="exact"/>
        <w:ind w:firstLine="596" w:firstLineChars="198"/>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五、转包或分包</w:t>
      </w:r>
    </w:p>
    <w:p w14:paraId="428121B4">
      <w:pPr>
        <w:adjustRightInd w:val="0"/>
        <w:snapToGrid w:val="0"/>
        <w:spacing w:before="120" w:beforeLines="50" w:after="120"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不允许转包。</w:t>
      </w:r>
    </w:p>
    <w:p w14:paraId="612A9CC9">
      <w:pPr>
        <w:adjustRightInd w:val="0"/>
        <w:snapToGrid w:val="0"/>
        <w:spacing w:before="120" w:beforeLines="50" w:after="120" w:afterLines="50" w:line="460" w:lineRule="exact"/>
        <w:ind w:firstLine="639" w:firstLineChars="213"/>
        <w:rPr>
          <w:rFonts w:ascii="仿宋" w:hAnsi="仿宋" w:eastAsia="仿宋" w:cs="Times New Roman"/>
          <w:snapToGrid w:val="0"/>
          <w:color w:val="000000"/>
          <w:kern w:val="0"/>
          <w:sz w:val="30"/>
          <w:szCs w:val="30"/>
          <w:u w:val="single"/>
        </w:rPr>
      </w:pPr>
      <w:r>
        <w:rPr>
          <w:rFonts w:hint="eastAsia" w:ascii="仿宋" w:hAnsi="仿宋" w:eastAsia="仿宋" w:cs="Times New Roman"/>
          <w:snapToGrid w:val="0"/>
          <w:color w:val="000000"/>
          <w:kern w:val="0"/>
          <w:sz w:val="30"/>
          <w:szCs w:val="30"/>
        </w:rPr>
        <w:t>允许分包部分</w:t>
      </w:r>
      <w:r>
        <w:rPr>
          <w:rFonts w:hint="eastAsia" w:ascii="仿宋" w:hAnsi="仿宋" w:eastAsia="仿宋" w:cs="Times New Roman"/>
          <w:snapToGrid w:val="0"/>
          <w:color w:val="000000"/>
          <w:kern w:val="0"/>
          <w:sz w:val="30"/>
          <w:szCs w:val="30"/>
          <w:u w:val="single"/>
        </w:rPr>
        <w:t xml:space="preserve">               。</w:t>
      </w:r>
    </w:p>
    <w:p w14:paraId="7F4F777E">
      <w:pPr>
        <w:adjustRightInd w:val="0"/>
        <w:snapToGrid w:val="0"/>
        <w:spacing w:before="120" w:beforeLines="50" w:after="120" w:afterLines="50" w:line="460" w:lineRule="exact"/>
        <w:ind w:firstLine="600" w:firstLineChars="200"/>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如乙方将项目转包或将不允许分包部分就行了分包，甲方有权解除合同，没收履约保证金并追究乙方的违约责任。</w:t>
      </w:r>
    </w:p>
    <w:p w14:paraId="0DF93E7D">
      <w:pPr>
        <w:adjustRightInd w:val="0"/>
        <w:snapToGrid w:val="0"/>
        <w:spacing w:before="120" w:beforeLines="50" w:after="120" w:afterLines="50" w:line="460" w:lineRule="exact"/>
        <w:ind w:firstLine="641" w:firstLineChars="213"/>
        <w:rPr>
          <w:rFonts w:ascii="仿宋" w:hAnsi="仿宋" w:eastAsia="仿宋" w:cs="Times New Roman"/>
          <w:snapToGrid w:val="0"/>
          <w:color w:val="000000"/>
          <w:kern w:val="0"/>
          <w:sz w:val="30"/>
          <w:szCs w:val="30"/>
        </w:rPr>
      </w:pPr>
      <w:r>
        <w:rPr>
          <w:rFonts w:hint="eastAsia" w:ascii="仿宋" w:hAnsi="仿宋" w:eastAsia="仿宋" w:cs="Times New Roman"/>
          <w:b/>
          <w:snapToGrid w:val="0"/>
          <w:color w:val="000000"/>
          <w:sz w:val="30"/>
          <w:szCs w:val="30"/>
        </w:rPr>
        <w:t>六、质保期和履约保证金</w:t>
      </w:r>
    </w:p>
    <w:p w14:paraId="6B365BFA">
      <w:pPr>
        <w:adjustRightInd w:val="0"/>
        <w:snapToGrid w:val="0"/>
        <w:spacing w:before="120" w:beforeLines="50" w:after="120" w:afterLines="50" w:line="460" w:lineRule="exact"/>
        <w:ind w:firstLine="600" w:firstLineChars="200"/>
        <w:jc w:val="left"/>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1.质保期   年。（自项目验收合格交付使用之日起计）</w:t>
      </w:r>
    </w:p>
    <w:p w14:paraId="7761200E">
      <w:pPr>
        <w:adjustRightInd w:val="0"/>
        <w:snapToGrid w:val="0"/>
        <w:spacing w:before="120" w:beforeLines="50" w:after="120" w:afterLines="50" w:line="460" w:lineRule="exact"/>
        <w:ind w:firstLine="600" w:firstLineChars="200"/>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2.履约保证金元。[履约保证金交至采购人处，在合同约定交货验收合格满（   ）个月之日起5个工作日内无息退还]</w:t>
      </w:r>
    </w:p>
    <w:p w14:paraId="380472D4">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七、项目工期及实施地点</w:t>
      </w:r>
    </w:p>
    <w:p w14:paraId="36F3408F">
      <w:pPr>
        <w:adjustRightInd w:val="0"/>
        <w:snapToGrid w:val="0"/>
        <w:spacing w:before="120" w:beforeLines="50" w:after="120" w:afterLines="50" w:line="460" w:lineRule="exact"/>
        <w:ind w:firstLine="639" w:firstLineChars="213"/>
        <w:rPr>
          <w:rFonts w:ascii="仿宋" w:hAnsi="仿宋" w:eastAsia="仿宋" w:cs="Times New Roman"/>
          <w:bCs/>
          <w:snapToGrid w:val="0"/>
          <w:color w:val="000000"/>
          <w:sz w:val="30"/>
          <w:szCs w:val="30"/>
        </w:rPr>
      </w:pPr>
      <w:r>
        <w:rPr>
          <w:rFonts w:hint="eastAsia" w:ascii="仿宋" w:hAnsi="仿宋" w:eastAsia="仿宋" w:cs="Times New Roman"/>
          <w:bCs/>
          <w:snapToGrid w:val="0"/>
          <w:color w:val="000000"/>
          <w:sz w:val="30"/>
          <w:szCs w:val="30"/>
        </w:rPr>
        <w:t>1.交货期：</w:t>
      </w:r>
    </w:p>
    <w:p w14:paraId="67F822F6">
      <w:pPr>
        <w:adjustRightInd w:val="0"/>
        <w:snapToGrid w:val="0"/>
        <w:spacing w:before="120" w:beforeLines="50" w:after="120" w:afterLines="50" w:line="460" w:lineRule="exact"/>
        <w:ind w:firstLine="639" w:firstLineChars="213"/>
        <w:rPr>
          <w:rFonts w:ascii="仿宋" w:hAnsi="仿宋" w:eastAsia="仿宋" w:cs="Times New Roman"/>
          <w:b/>
          <w:snapToGrid w:val="0"/>
          <w:color w:val="000000"/>
          <w:sz w:val="30"/>
          <w:szCs w:val="30"/>
        </w:rPr>
      </w:pPr>
      <w:r>
        <w:rPr>
          <w:rFonts w:hint="eastAsia" w:ascii="仿宋" w:hAnsi="仿宋" w:eastAsia="仿宋" w:cs="Times New Roman"/>
          <w:bCs/>
          <w:snapToGrid w:val="0"/>
          <w:color w:val="000000"/>
          <w:sz w:val="30"/>
          <w:szCs w:val="30"/>
        </w:rPr>
        <w:t>2.实施地点：</w:t>
      </w:r>
    </w:p>
    <w:p w14:paraId="559BFEBC">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八、货款支付</w:t>
      </w:r>
    </w:p>
    <w:p w14:paraId="16425A8A">
      <w:pPr>
        <w:spacing w:line="360" w:lineRule="auto"/>
        <w:rPr>
          <w:rFonts w:ascii="仿宋" w:hAnsi="仿宋" w:eastAsia="仿宋" w:cs="Times New Roman"/>
          <w:bCs/>
          <w:snapToGrid w:val="0"/>
          <w:color w:val="000000"/>
          <w:sz w:val="30"/>
          <w:szCs w:val="30"/>
        </w:rPr>
      </w:pPr>
      <w:r>
        <w:rPr>
          <w:rFonts w:hint="eastAsia" w:ascii="仿宋" w:hAnsi="仿宋" w:eastAsia="仿宋" w:cs="Times New Roman"/>
          <w:bCs/>
          <w:snapToGrid w:val="0"/>
          <w:color w:val="000000"/>
          <w:sz w:val="30"/>
          <w:szCs w:val="30"/>
        </w:rPr>
        <w:t xml:space="preserve"> 付款方式：（根据招标文件“第四部分商务要求表付款条件”内容填写）</w:t>
      </w:r>
    </w:p>
    <w:p w14:paraId="762496C7">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kern w:val="0"/>
          <w:sz w:val="30"/>
          <w:szCs w:val="30"/>
        </w:rPr>
      </w:pPr>
      <w:r>
        <w:rPr>
          <w:rFonts w:hint="eastAsia" w:ascii="仿宋" w:hAnsi="仿宋" w:eastAsia="仿宋" w:cs="Times New Roman"/>
          <w:b/>
          <w:snapToGrid w:val="0"/>
          <w:color w:val="000000"/>
          <w:kern w:val="0"/>
          <w:sz w:val="30"/>
          <w:szCs w:val="30"/>
        </w:rPr>
        <w:t>九、税费</w:t>
      </w:r>
    </w:p>
    <w:p w14:paraId="6AB8D813">
      <w:pPr>
        <w:adjustRightInd w:val="0"/>
        <w:snapToGrid w:val="0"/>
        <w:spacing w:before="120" w:beforeLines="50" w:after="120"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本合同执行中相关的一切税费均由乙方负担。</w:t>
      </w:r>
    </w:p>
    <w:p w14:paraId="04F69CA4">
      <w:pPr>
        <w:adjustRightInd w:val="0"/>
        <w:snapToGrid w:val="0"/>
        <w:spacing w:before="120" w:beforeLines="50" w:after="120" w:afterLines="50" w:line="460" w:lineRule="exact"/>
        <w:ind w:firstLine="596" w:firstLineChars="198"/>
        <w:rPr>
          <w:rFonts w:ascii="仿宋" w:hAnsi="仿宋" w:eastAsia="仿宋" w:cs="Times New Roman"/>
          <w:snapToGrid w:val="0"/>
          <w:color w:val="000000"/>
          <w:kern w:val="0"/>
          <w:sz w:val="30"/>
          <w:szCs w:val="30"/>
        </w:rPr>
      </w:pPr>
      <w:r>
        <w:rPr>
          <w:rFonts w:hint="eastAsia" w:ascii="仿宋" w:hAnsi="仿宋" w:eastAsia="仿宋" w:cs="Times New Roman"/>
          <w:b/>
          <w:snapToGrid w:val="0"/>
          <w:color w:val="000000"/>
          <w:sz w:val="30"/>
          <w:szCs w:val="30"/>
        </w:rPr>
        <w:t>十、质量保证及售后服务</w:t>
      </w:r>
    </w:p>
    <w:p w14:paraId="0F683916">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详见招标文件。</w:t>
      </w:r>
    </w:p>
    <w:p w14:paraId="0A503AF5">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十一、调试和验收</w:t>
      </w:r>
    </w:p>
    <w:p w14:paraId="2C7A5124">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详见招标文件、投标文件。</w:t>
      </w:r>
    </w:p>
    <w:p w14:paraId="35511A18">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十二、货物包装</w:t>
      </w:r>
    </w:p>
    <w:p w14:paraId="7ACDAA23">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详见招标文件、投标文件。</w:t>
      </w:r>
    </w:p>
    <w:p w14:paraId="71E81128">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十三、违约责任</w:t>
      </w:r>
    </w:p>
    <w:p w14:paraId="3AF13C93">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1.甲方无正当理由拒收验收项目的，甲方向乙方偿付拒收合同总价的百分之五违约金。</w:t>
      </w:r>
    </w:p>
    <w:p w14:paraId="0D996134">
      <w:pPr>
        <w:adjustRightInd w:val="0"/>
        <w:snapToGrid w:val="0"/>
        <w:spacing w:before="120" w:beforeLines="50" w:after="120" w:afterLines="50" w:line="460" w:lineRule="exact"/>
        <w:ind w:left="1"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2. 甲方收到乙方提供的发票，结合验收情况，验收合格的，在七个工作日内将采购资金支付到乙方约定账户。</w:t>
      </w:r>
    </w:p>
    <w:p w14:paraId="5B377150">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甲方无故逾期验收和办理合同款项支付手续的,甲方应按逾期付款总额每日万分之五向乙方支付违约金。</w:t>
      </w:r>
    </w:p>
    <w:p w14:paraId="3BDF5953">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F61FB65">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5E5E422">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5.解除合同应按《浙江省政府采购合同暂行办法》向财政备案。</w:t>
      </w:r>
    </w:p>
    <w:p w14:paraId="15F83BD7">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十四、不可抗力事件处理</w:t>
      </w:r>
    </w:p>
    <w:p w14:paraId="523F9FBD">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1.在合同有效期内，任何一方因不可抗力事件导致不能履行合同，则合同履行期可延长，其延长期与不可抗力影响期相同。</w:t>
      </w:r>
    </w:p>
    <w:p w14:paraId="155F65BF">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2.不可抗力事件发生后，应立即通知对方，并寄送有关权威机构出具的证明。</w:t>
      </w:r>
    </w:p>
    <w:p w14:paraId="6F23028B">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3.不可抗力事件延续120天以上，双方应通过友好协商，确定是否继续履行合同。</w:t>
      </w:r>
    </w:p>
    <w:p w14:paraId="5C322107">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十五、诉讼</w:t>
      </w:r>
    </w:p>
    <w:p w14:paraId="22D7BAE8">
      <w:pPr>
        <w:adjustRightInd w:val="0"/>
        <w:snapToGrid w:val="0"/>
        <w:spacing w:before="120" w:beforeLines="50" w:after="120" w:afterLines="50" w:line="460" w:lineRule="exact"/>
        <w:ind w:left="2"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双方在执行合同中所发生的一切争议，应通过协商解决。如协商不成，可向甲方所在地法院起诉。</w:t>
      </w:r>
    </w:p>
    <w:p w14:paraId="5983A2C9">
      <w:pPr>
        <w:adjustRightInd w:val="0"/>
        <w:snapToGrid w:val="0"/>
        <w:spacing w:before="120" w:beforeLines="50" w:after="120" w:afterLines="50" w:line="460" w:lineRule="exact"/>
        <w:ind w:firstLine="641" w:firstLineChars="213"/>
        <w:rPr>
          <w:rFonts w:ascii="仿宋" w:hAnsi="仿宋" w:eastAsia="仿宋" w:cs="Times New Roman"/>
          <w:b/>
          <w:snapToGrid w:val="0"/>
          <w:color w:val="000000"/>
          <w:sz w:val="30"/>
          <w:szCs w:val="30"/>
        </w:rPr>
      </w:pPr>
      <w:r>
        <w:rPr>
          <w:rFonts w:hint="eastAsia" w:ascii="仿宋" w:hAnsi="仿宋" w:eastAsia="仿宋" w:cs="Times New Roman"/>
          <w:b/>
          <w:snapToGrid w:val="0"/>
          <w:color w:val="000000"/>
          <w:sz w:val="30"/>
          <w:szCs w:val="30"/>
        </w:rPr>
        <w:t>十六、合同生效及其它</w:t>
      </w:r>
    </w:p>
    <w:p w14:paraId="78D65C30">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1.合同经甲、乙两方签名并加盖单位公章后生效。</w:t>
      </w:r>
    </w:p>
    <w:p w14:paraId="0A08664C">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2E43D1AB">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3.招标文件、投标文件与本合同具有同等法律效力。</w:t>
      </w:r>
    </w:p>
    <w:p w14:paraId="68CF5BD3">
      <w:pPr>
        <w:adjustRightInd w:val="0"/>
        <w:snapToGrid w:val="0"/>
        <w:spacing w:before="120" w:beforeLines="50" w:after="120" w:afterLines="50" w:line="460" w:lineRule="exact"/>
        <w:ind w:firstLine="599" w:firstLineChars="213"/>
        <w:rPr>
          <w:rFonts w:ascii="仿宋" w:hAnsi="仿宋" w:eastAsia="仿宋" w:cs="Times New Roman"/>
          <w:snapToGrid w:val="0"/>
          <w:color w:val="000000"/>
          <w:sz w:val="30"/>
          <w:szCs w:val="30"/>
        </w:rPr>
      </w:pPr>
      <w:r>
        <w:rPr>
          <w:rFonts w:hint="eastAsia" w:ascii="仿宋" w:hAnsi="仿宋" w:eastAsia="仿宋" w:cs="Times New Roman"/>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9357EDF">
      <w:pPr>
        <w:adjustRightInd w:val="0"/>
        <w:snapToGrid w:val="0"/>
        <w:spacing w:before="120" w:beforeLines="50" w:after="120" w:afterLines="50" w:line="460" w:lineRule="exact"/>
        <w:ind w:firstLine="600" w:firstLineChars="200"/>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5.本合同未尽事宜，遵照《中华人民共和国民法典》有关条文执行。</w:t>
      </w:r>
    </w:p>
    <w:p w14:paraId="7FD89C73">
      <w:pPr>
        <w:adjustRightInd w:val="0"/>
        <w:snapToGrid w:val="0"/>
        <w:spacing w:before="120" w:after="120" w:afterLines="50" w:line="460" w:lineRule="exact"/>
        <w:ind w:left="2" w:leftChars="1" w:firstLine="600" w:firstLineChars="200"/>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6.本合同一式四份，具有同等法律效力，甲、乙两方各执二份。</w:t>
      </w:r>
    </w:p>
    <w:p w14:paraId="68496872">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p>
    <w:p w14:paraId="5924CF60">
      <w:pPr>
        <w:adjustRightInd w:val="0"/>
        <w:snapToGrid w:val="0"/>
        <w:spacing w:before="120" w:beforeLines="50" w:after="120" w:afterLines="50" w:line="460" w:lineRule="exact"/>
        <w:ind w:left="1"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 xml:space="preserve">甲方（盖章）：                                   </w:t>
      </w:r>
    </w:p>
    <w:p w14:paraId="2F01C3C7">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 xml:space="preserve">地址：                                   </w:t>
      </w:r>
    </w:p>
    <w:p w14:paraId="3EF279D3">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 xml:space="preserve">法定（授权）代表人：                   </w:t>
      </w:r>
    </w:p>
    <w:p w14:paraId="0040EC55">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 xml:space="preserve">签名日期：     年   月   日           </w:t>
      </w:r>
    </w:p>
    <w:p w14:paraId="19293DA6">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p>
    <w:p w14:paraId="1DA5A8F5">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乙方（盖章）：</w:t>
      </w:r>
    </w:p>
    <w:p w14:paraId="116F2CC0">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 xml:space="preserve">地址： </w:t>
      </w:r>
    </w:p>
    <w:p w14:paraId="32497C09">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开户行：</w:t>
      </w:r>
    </w:p>
    <w:p w14:paraId="432A79FD">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开户帐号：</w:t>
      </w:r>
    </w:p>
    <w:p w14:paraId="1FCB4803">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法定（授权）代表人：</w:t>
      </w:r>
    </w:p>
    <w:p w14:paraId="61031AB5">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r>
        <w:rPr>
          <w:rFonts w:hint="eastAsia" w:ascii="仿宋" w:hAnsi="仿宋" w:eastAsia="仿宋" w:cs="Times New Roman"/>
          <w:snapToGrid w:val="0"/>
          <w:color w:val="000000"/>
          <w:sz w:val="30"/>
          <w:szCs w:val="30"/>
        </w:rPr>
        <w:t>签名日期：      年   月   日</w:t>
      </w:r>
    </w:p>
    <w:p w14:paraId="10A8C7D1">
      <w:pPr>
        <w:adjustRightInd w:val="0"/>
        <w:snapToGrid w:val="0"/>
        <w:spacing w:before="120" w:beforeLines="50" w:after="120" w:afterLines="50" w:line="460" w:lineRule="exact"/>
        <w:ind w:firstLine="639" w:firstLineChars="213"/>
        <w:rPr>
          <w:rFonts w:ascii="仿宋" w:hAnsi="仿宋" w:eastAsia="仿宋" w:cs="Times New Roman"/>
          <w:snapToGrid w:val="0"/>
          <w:color w:val="000000"/>
          <w:sz w:val="30"/>
          <w:szCs w:val="30"/>
        </w:rPr>
      </w:pPr>
    </w:p>
    <w:p w14:paraId="65335567">
      <w:pPr>
        <w:rPr>
          <w:rFonts w:eastAsia="宋体" w:cs="Times New Roman"/>
          <w:color w:val="000000"/>
          <w:szCs w:val="30"/>
        </w:rPr>
      </w:pPr>
    </w:p>
    <w:p w14:paraId="59AE6AA3">
      <w:pPr>
        <w:spacing w:before="120" w:beforeLines="50" w:after="120" w:afterLines="50" w:line="360" w:lineRule="auto"/>
        <w:jc w:val="center"/>
        <w:outlineLvl w:val="0"/>
        <w:rPr>
          <w:rFonts w:ascii="宋体" w:hAnsi="宋体" w:eastAsia="宋体" w:cs="Times New Roman"/>
          <w:b/>
          <w:color w:val="000000"/>
          <w:sz w:val="36"/>
          <w:szCs w:val="36"/>
        </w:rPr>
      </w:pPr>
      <w:r>
        <w:rPr>
          <w:rFonts w:hint="eastAsia" w:ascii="仿宋_GB2312" w:hAnsi="Courier New" w:eastAsia="仿宋_GB2312" w:cs="Times New Roman"/>
          <w:snapToGrid w:val="0"/>
          <w:color w:val="000000"/>
          <w:kern w:val="0"/>
          <w:sz w:val="30"/>
          <w:szCs w:val="30"/>
        </w:rPr>
        <w:br w:type="page"/>
      </w:r>
      <w:bookmarkStart w:id="42" w:name="_Toc22013"/>
      <w:r>
        <w:rPr>
          <w:rFonts w:hint="eastAsia" w:ascii="宋体" w:hAnsi="宋体" w:eastAsia="宋体" w:cs="Times New Roman"/>
          <w:b/>
          <w:color w:val="000000"/>
          <w:sz w:val="36"/>
          <w:szCs w:val="36"/>
        </w:rPr>
        <w:t>第六章 投标文件格式附件</w:t>
      </w:r>
      <w:bookmarkEnd w:id="42"/>
    </w:p>
    <w:p w14:paraId="2E4A7DCA">
      <w:pPr>
        <w:spacing w:before="120" w:beforeLines="50" w:after="120" w:afterLines="50" w:line="360" w:lineRule="auto"/>
        <w:jc w:val="center"/>
        <w:rPr>
          <w:rFonts w:ascii="宋体" w:hAnsi="宋体" w:eastAsia="仿宋_GB2312" w:cs="Times New Roman"/>
          <w:b/>
          <w:color w:val="000000"/>
          <w:sz w:val="36"/>
          <w:szCs w:val="36"/>
        </w:rPr>
      </w:pPr>
    </w:p>
    <w:p w14:paraId="4296E266">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36D03A80">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7A9B57FB">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6EBA8DBE">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0F42A911">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7D605CFA">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36F7E889">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2BE81B61">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759B0164">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5E9C720C">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6059FF19">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4886ABE3">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6F1C5A48">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16070224">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6E69C91E">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6B2E7007">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0C7F2D4B">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70B49625">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396C5F87">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53E90574">
      <w:pPr>
        <w:adjustRightInd w:val="0"/>
        <w:snapToGrid w:val="0"/>
        <w:spacing w:before="120" w:beforeLines="50" w:after="120" w:afterLines="50" w:line="460" w:lineRule="exact"/>
        <w:ind w:left="1" w:firstLine="770" w:firstLineChars="213"/>
        <w:jc w:val="center"/>
        <w:rPr>
          <w:rFonts w:ascii="宋体" w:hAnsi="宋体" w:eastAsia="仿宋_GB2312" w:cs="Times New Roman"/>
          <w:b/>
          <w:color w:val="000000"/>
          <w:sz w:val="36"/>
          <w:szCs w:val="36"/>
        </w:rPr>
      </w:pPr>
    </w:p>
    <w:p w14:paraId="54F9D972">
      <w:pPr>
        <w:snapToGrid w:val="0"/>
        <w:spacing w:before="120" w:beforeLines="50" w:after="50"/>
        <w:rPr>
          <w:rFonts w:ascii="仿宋" w:hAnsi="仿宋" w:eastAsia="仿宋" w:cs="Times New Roman"/>
          <w:color w:val="000000"/>
          <w:sz w:val="30"/>
          <w:szCs w:val="30"/>
        </w:rPr>
      </w:pPr>
    </w:p>
    <w:p w14:paraId="4762B762">
      <w:pPr>
        <w:snapToGrid w:val="0"/>
        <w:spacing w:before="120" w:beforeLines="50" w:after="50"/>
        <w:rPr>
          <w:rFonts w:ascii="仿宋" w:hAnsi="仿宋" w:eastAsia="仿宋" w:cs="Times New Roman"/>
          <w:bCs/>
          <w:color w:val="000000"/>
          <w:sz w:val="30"/>
          <w:szCs w:val="30"/>
        </w:rPr>
      </w:pPr>
      <w:r>
        <w:rPr>
          <w:rFonts w:hint="eastAsia" w:ascii="仿宋" w:hAnsi="仿宋" w:eastAsia="仿宋" w:cs="Times New Roman"/>
          <w:color w:val="000000"/>
          <w:sz w:val="30"/>
          <w:szCs w:val="30"/>
        </w:rPr>
        <w:t>附件1</w:t>
      </w:r>
      <w:r>
        <w:rPr>
          <w:rFonts w:hint="eastAsia" w:ascii="仿宋" w:hAnsi="仿宋" w:eastAsia="仿宋" w:cs="Times New Roman"/>
          <w:b/>
          <w:color w:val="000000"/>
          <w:sz w:val="30"/>
          <w:szCs w:val="30"/>
        </w:rPr>
        <w:t xml:space="preserve">：                                          </w:t>
      </w:r>
    </w:p>
    <w:p w14:paraId="747E3616">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b/>
          <w:color w:val="000000"/>
          <w:spacing w:val="40"/>
          <w:sz w:val="52"/>
          <w:szCs w:val="52"/>
        </w:rPr>
        <w:t>浙江商业职业技术学院2025年多媒体教室升级改造</w:t>
      </w:r>
    </w:p>
    <w:p w14:paraId="7E64E8EF">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项目编号：ZZCG2025X-GK-126（标项  ）</w:t>
      </w:r>
    </w:p>
    <w:p w14:paraId="06D848E3">
      <w:pPr>
        <w:spacing w:after="100" w:afterAutospacing="1" w:line="800" w:lineRule="exact"/>
        <w:ind w:right="-108"/>
        <w:jc w:val="center"/>
        <w:rPr>
          <w:rFonts w:ascii="仿宋" w:hAnsi="仿宋" w:eastAsia="仿宋" w:cs="Times New Roman"/>
          <w:b/>
          <w:color w:val="000000"/>
          <w:spacing w:val="40"/>
          <w:sz w:val="84"/>
          <w:szCs w:val="84"/>
        </w:rPr>
      </w:pPr>
    </w:p>
    <w:p w14:paraId="270F8DAE">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资</w:t>
      </w:r>
    </w:p>
    <w:p w14:paraId="6A1B0CFA">
      <w:pPr>
        <w:spacing w:after="100" w:afterAutospacing="1" w:line="800" w:lineRule="exact"/>
        <w:ind w:right="-108"/>
        <w:jc w:val="center"/>
        <w:rPr>
          <w:rFonts w:ascii="仿宋" w:hAnsi="仿宋" w:eastAsia="仿宋" w:cs="Times New Roman"/>
          <w:b/>
          <w:color w:val="000000"/>
          <w:spacing w:val="40"/>
          <w:sz w:val="84"/>
          <w:szCs w:val="84"/>
        </w:rPr>
      </w:pPr>
    </w:p>
    <w:p w14:paraId="2444F81E">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格</w:t>
      </w:r>
    </w:p>
    <w:p w14:paraId="5051F0F7">
      <w:pPr>
        <w:spacing w:after="100" w:afterAutospacing="1" w:line="800" w:lineRule="exact"/>
        <w:ind w:right="-108"/>
        <w:jc w:val="center"/>
        <w:rPr>
          <w:rFonts w:ascii="仿宋" w:hAnsi="仿宋" w:eastAsia="仿宋" w:cs="Times New Roman"/>
          <w:b/>
          <w:color w:val="000000"/>
          <w:spacing w:val="40"/>
          <w:sz w:val="84"/>
          <w:szCs w:val="84"/>
        </w:rPr>
      </w:pPr>
    </w:p>
    <w:p w14:paraId="2A97E373">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5D6E0268">
      <w:pPr>
        <w:spacing w:after="100" w:afterAutospacing="1" w:line="800" w:lineRule="exact"/>
        <w:ind w:right="-108"/>
        <w:jc w:val="center"/>
        <w:rPr>
          <w:rFonts w:ascii="仿宋" w:hAnsi="仿宋" w:eastAsia="仿宋" w:cs="Times New Roman"/>
          <w:b/>
          <w:color w:val="000000"/>
          <w:spacing w:val="40"/>
          <w:sz w:val="84"/>
          <w:szCs w:val="84"/>
        </w:rPr>
      </w:pPr>
    </w:p>
    <w:p w14:paraId="25DB6DC3">
      <w:pPr>
        <w:spacing w:after="100" w:afterAutospacing="1" w:line="800" w:lineRule="exact"/>
        <w:ind w:right="-108"/>
        <w:jc w:val="center"/>
        <w:rPr>
          <w:rFonts w:ascii="仿宋" w:hAnsi="仿宋" w:eastAsia="仿宋" w:cs="Times New Roman"/>
          <w:color w:val="000000"/>
          <w:sz w:val="36"/>
          <w:szCs w:val="36"/>
        </w:rPr>
      </w:pPr>
      <w:r>
        <w:rPr>
          <w:rFonts w:hint="eastAsia" w:ascii="仿宋" w:hAnsi="仿宋" w:eastAsia="仿宋" w:cs="Times New Roman"/>
          <w:b/>
          <w:color w:val="000000"/>
          <w:spacing w:val="40"/>
          <w:sz w:val="84"/>
          <w:szCs w:val="84"/>
        </w:rPr>
        <w:t>件</w:t>
      </w:r>
    </w:p>
    <w:p w14:paraId="66E24D8C">
      <w:pPr>
        <w:spacing w:line="600" w:lineRule="exact"/>
        <w:ind w:right="532" w:firstLine="720" w:firstLineChars="200"/>
        <w:rPr>
          <w:rFonts w:ascii="仿宋" w:hAnsi="仿宋" w:eastAsia="仿宋" w:cs="Times New Roman"/>
          <w:color w:val="000000"/>
          <w:sz w:val="36"/>
          <w:szCs w:val="36"/>
        </w:rPr>
      </w:pPr>
    </w:p>
    <w:p w14:paraId="169B60E2">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55CD9663">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681E2AF4">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2687083F">
      <w:pPr>
        <w:snapToGrid w:val="0"/>
        <w:spacing w:before="50" w:after="50"/>
        <w:rPr>
          <w:rFonts w:ascii="仿宋" w:hAnsi="仿宋" w:eastAsia="仿宋" w:cs="Times New Roman"/>
          <w:b/>
          <w:bCs/>
          <w:sz w:val="36"/>
          <w:szCs w:val="36"/>
        </w:rPr>
      </w:pPr>
      <w:r>
        <w:rPr>
          <w:rFonts w:hint="eastAsia" w:ascii="仿宋" w:hAnsi="仿宋" w:eastAsia="仿宋" w:cs="Times New Roman"/>
          <w:b/>
          <w:color w:val="000000"/>
          <w:kern w:val="0"/>
          <w:sz w:val="36"/>
          <w:szCs w:val="36"/>
        </w:rPr>
        <w:br w:type="page"/>
      </w:r>
      <w:r>
        <w:rPr>
          <w:rFonts w:hint="eastAsia" w:ascii="仿宋" w:hAnsi="仿宋" w:eastAsia="仿宋" w:cs="Times New Roman"/>
          <w:b/>
          <w:sz w:val="36"/>
          <w:szCs w:val="36"/>
        </w:rPr>
        <w:t>1.</w:t>
      </w:r>
      <w:r>
        <w:rPr>
          <w:rFonts w:hint="eastAsia" w:ascii="仿宋" w:hAnsi="仿宋" w:eastAsia="仿宋" w:cs="Times New Roman"/>
          <w:b/>
          <w:bCs/>
          <w:sz w:val="36"/>
          <w:szCs w:val="36"/>
        </w:rPr>
        <w:t>资格文件目录</w:t>
      </w:r>
    </w:p>
    <w:p w14:paraId="6739E0BD">
      <w:pPr>
        <w:snapToGrid w:val="0"/>
        <w:spacing w:before="50" w:after="50"/>
        <w:rPr>
          <w:rFonts w:ascii="仿宋" w:hAnsi="仿宋" w:eastAsia="仿宋" w:cs="Times New Roman"/>
          <w:sz w:val="30"/>
          <w:szCs w:val="30"/>
        </w:rPr>
      </w:pPr>
    </w:p>
    <w:p w14:paraId="2399CC49">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（1）声明书 (格式见附件2)；</w:t>
      </w:r>
    </w:p>
    <w:p w14:paraId="2CE5EB05">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（2）法定代表人授权委托书(以非联合体形式投标的提供，格式见附件3</w:t>
      </w:r>
      <w:r>
        <w:rPr>
          <w:rFonts w:ascii="仿宋" w:hAnsi="仿宋" w:eastAsia="仿宋" w:cs="Times New Roman"/>
          <w:sz w:val="30"/>
          <w:szCs w:val="30"/>
        </w:rPr>
        <w:t>-1</w:t>
      </w:r>
      <w:r>
        <w:rPr>
          <w:rFonts w:hint="eastAsia" w:ascii="仿宋" w:hAnsi="仿宋" w:eastAsia="仿宋" w:cs="Times New Roman"/>
          <w:sz w:val="30"/>
          <w:szCs w:val="30"/>
        </w:rPr>
        <w:t>)或法定代表人身份证明（法定代表人代表投标人投标的提供，格式见附件3</w:t>
      </w:r>
      <w:r>
        <w:rPr>
          <w:rFonts w:ascii="仿宋" w:hAnsi="仿宋" w:eastAsia="仿宋" w:cs="Times New Roman"/>
          <w:sz w:val="30"/>
          <w:szCs w:val="30"/>
        </w:rPr>
        <w:t>-2</w:t>
      </w:r>
      <w:r>
        <w:rPr>
          <w:rFonts w:hint="eastAsia" w:ascii="仿宋" w:hAnsi="仿宋" w:eastAsia="仿宋" w:cs="Times New Roman"/>
          <w:sz w:val="30"/>
          <w:szCs w:val="30"/>
        </w:rPr>
        <w:t>）或联合投标授权委托书（以联合体形式投标的提供，格式见附件</w:t>
      </w:r>
      <w:r>
        <w:rPr>
          <w:rFonts w:ascii="仿宋" w:hAnsi="仿宋" w:eastAsia="仿宋" w:cs="Times New Roman"/>
          <w:sz w:val="30"/>
          <w:szCs w:val="30"/>
        </w:rPr>
        <w:t>5</w:t>
      </w:r>
      <w:r>
        <w:rPr>
          <w:rFonts w:hint="eastAsia" w:ascii="仿宋" w:hAnsi="仿宋" w:eastAsia="仿宋" w:cs="Times New Roman"/>
          <w:sz w:val="30"/>
          <w:szCs w:val="30"/>
        </w:rPr>
        <w:t>）；</w:t>
      </w:r>
    </w:p>
    <w:p w14:paraId="742B2D40">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031CA047">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（4）联合投标协议书（以联合体形式投标的须提供，格式见附件4）;</w:t>
      </w:r>
    </w:p>
    <w:p w14:paraId="1E078D56">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5</w:t>
      </w:r>
      <w:r>
        <w:rPr>
          <w:rFonts w:hint="eastAsia" w:ascii="仿宋" w:hAnsi="仿宋" w:eastAsia="仿宋" w:cs="Times New Roman"/>
          <w:sz w:val="30"/>
          <w:szCs w:val="30"/>
        </w:rPr>
        <w:t>）分包意向协议（以分包方式履行合同的须提供，格式见附件6）</w:t>
      </w:r>
    </w:p>
    <w:p w14:paraId="2F694AD3">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（6）提供采购公告中符合</w:t>
      </w:r>
      <w:r>
        <w:rPr>
          <w:rFonts w:hint="eastAsia" w:ascii="仿宋" w:hAnsi="仿宋" w:eastAsia="仿宋" w:cs="Times New Roman"/>
          <w:bCs/>
          <w:sz w:val="30"/>
          <w:szCs w:val="30"/>
        </w:rPr>
        <w:t>投标人特定条件要求的有效的</w:t>
      </w:r>
      <w:r>
        <w:rPr>
          <w:rFonts w:hint="eastAsia" w:ascii="仿宋" w:hAnsi="仿宋" w:eastAsia="仿宋" w:cs="Times New Roman"/>
          <w:sz w:val="30"/>
          <w:szCs w:val="30"/>
        </w:rPr>
        <w:t>其他资质复印件并加盖公司公章及需要说明的资料。</w:t>
      </w:r>
    </w:p>
    <w:p w14:paraId="5FE8B707">
      <w:pPr>
        <w:snapToGrid w:val="0"/>
        <w:spacing w:after="120" w:line="460" w:lineRule="exact"/>
        <w:ind w:left="5250" w:leftChars="2500" w:firstLine="600" w:firstLineChars="200"/>
        <w:rPr>
          <w:rFonts w:ascii="仿宋" w:hAnsi="仿宋" w:eastAsia="仿宋" w:cs="Times New Roman"/>
          <w:sz w:val="30"/>
          <w:szCs w:val="30"/>
        </w:rPr>
      </w:pPr>
    </w:p>
    <w:p w14:paraId="708909DE">
      <w:pPr>
        <w:snapToGrid w:val="0"/>
        <w:spacing w:line="460" w:lineRule="exact"/>
        <w:ind w:firstLine="588" w:firstLineChars="196"/>
        <w:jc w:val="left"/>
        <w:rPr>
          <w:rFonts w:ascii="仿宋" w:hAnsi="仿宋" w:eastAsia="仿宋" w:cs="Times New Roman"/>
          <w:sz w:val="30"/>
          <w:szCs w:val="30"/>
        </w:rPr>
      </w:pPr>
    </w:p>
    <w:p w14:paraId="1233D331">
      <w:pPr>
        <w:widowControl/>
        <w:jc w:val="left"/>
        <w:rPr>
          <w:rFonts w:ascii="仿宋" w:hAnsi="仿宋" w:eastAsia="仿宋" w:cs="Times New Roman"/>
          <w:bCs/>
          <w:sz w:val="28"/>
          <w:szCs w:val="28"/>
        </w:rPr>
      </w:pPr>
      <w:r>
        <w:rPr>
          <w:rFonts w:ascii="仿宋" w:hAnsi="仿宋" w:eastAsia="仿宋" w:cs="Times New Roman"/>
          <w:bCs/>
          <w:sz w:val="28"/>
          <w:szCs w:val="28"/>
        </w:rPr>
        <w:br w:type="page"/>
      </w:r>
    </w:p>
    <w:p w14:paraId="6510FB5F">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▲投标人须知（九）投标无效的情形中“1.投标人未能提供合格的资格文件”包括但不限于下列情形：</w:t>
      </w:r>
    </w:p>
    <w:p w14:paraId="47EF27B6">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2A32CAD8">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未提供声明书或声明书未盖投标人公章；</w:t>
      </w:r>
    </w:p>
    <w:p w14:paraId="189E4BA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联合体形式投标的，未分别提供联合体各方声明书</w:t>
      </w:r>
      <w:r>
        <w:rPr>
          <w:rFonts w:hint="eastAsia" w:ascii="仿宋" w:hAnsi="仿宋" w:eastAsia="仿宋" w:cs="Times New Roman"/>
          <w:bCs/>
          <w:sz w:val="30"/>
          <w:szCs w:val="30"/>
        </w:rPr>
        <w:t>或声明书未盖投标人公章</w:t>
      </w:r>
      <w:r>
        <w:rPr>
          <w:rFonts w:hint="eastAsia" w:ascii="仿宋" w:hAnsi="仿宋" w:eastAsia="仿宋" w:cs="Times New Roman"/>
          <w:sz w:val="30"/>
          <w:szCs w:val="30"/>
        </w:rPr>
        <w:t>；</w:t>
      </w:r>
    </w:p>
    <w:p w14:paraId="46FC6D32">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法定代表人授权书或法定代表人身份证明或联合投标授权委托书：</w:t>
      </w:r>
    </w:p>
    <w:p w14:paraId="07DD2CF7">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以非联合体形式投标的，未提供法定代表人授权委托书或委托书</w:t>
      </w:r>
      <w:r>
        <w:rPr>
          <w:rFonts w:hint="eastAsia" w:ascii="仿宋" w:hAnsi="仿宋" w:eastAsia="仿宋" w:cs="Times New Roman"/>
          <w:bCs/>
          <w:sz w:val="30"/>
          <w:szCs w:val="30"/>
        </w:rPr>
        <w:t>无法定代表人签章或未盖投标人公章；</w:t>
      </w:r>
      <w:r>
        <w:rPr>
          <w:rFonts w:hint="eastAsia" w:ascii="仿宋" w:hAnsi="仿宋" w:eastAsia="仿宋" w:cs="Times New Roman"/>
          <w:sz w:val="30"/>
          <w:szCs w:val="30"/>
        </w:rPr>
        <w:t>法定代表人代表投标人投标的，</w:t>
      </w:r>
      <w:r>
        <w:rPr>
          <w:rFonts w:hint="eastAsia" w:ascii="仿宋" w:hAnsi="仿宋" w:eastAsia="仿宋" w:cs="Times New Roman"/>
          <w:bCs/>
          <w:sz w:val="30"/>
          <w:szCs w:val="30"/>
        </w:rPr>
        <w:t>未提供身份证或身份证不在有效期内或未签章；</w:t>
      </w:r>
    </w:p>
    <w:p w14:paraId="47811A7C">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联合体形式投标的，未提供联合投标授权委托书或委托书</w:t>
      </w:r>
      <w:r>
        <w:rPr>
          <w:rFonts w:hint="eastAsia" w:ascii="仿宋" w:hAnsi="仿宋" w:eastAsia="仿宋" w:cs="Times New Roman"/>
          <w:bCs/>
          <w:sz w:val="30"/>
          <w:szCs w:val="30"/>
        </w:rPr>
        <w:t>无联合体各方法定代表人签章或未盖联合体各方公章；</w:t>
      </w:r>
    </w:p>
    <w:p w14:paraId="7D26C3B7">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2F9354E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未提供营业执照或营业执照不在有效期内或未盖投标人公章；</w:t>
      </w:r>
    </w:p>
    <w:p w14:paraId="6C1B36B0">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联合体形式投标的，未提供联合体各方</w:t>
      </w:r>
      <w:r>
        <w:rPr>
          <w:rFonts w:hint="eastAsia" w:ascii="仿宋" w:hAnsi="仿宋" w:eastAsia="仿宋" w:cs="Times New Roman"/>
          <w:bCs/>
          <w:sz w:val="30"/>
          <w:szCs w:val="30"/>
        </w:rPr>
        <w:t>营业执照或营业执照不在有效期内或未盖投标人公章</w:t>
      </w:r>
      <w:r>
        <w:rPr>
          <w:rFonts w:hint="eastAsia" w:ascii="仿宋" w:hAnsi="仿宋" w:eastAsia="仿宋" w:cs="Times New Roman"/>
          <w:sz w:val="30"/>
          <w:szCs w:val="30"/>
        </w:rPr>
        <w:t>；</w:t>
      </w:r>
    </w:p>
    <w:p w14:paraId="0CD467C3">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事业单位投标的，未提供事业单位法人证书或事业单位法人证书不在有效期内或未盖投标人公章；自然人投标的，未提供身份证或身份证不在有效期内或未签章；</w:t>
      </w:r>
    </w:p>
    <w:p w14:paraId="72A53F14">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联合投标协议书：</w:t>
      </w:r>
    </w:p>
    <w:p w14:paraId="3F0A27F2">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66FC7FDE">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sz w:val="30"/>
          <w:szCs w:val="30"/>
        </w:rPr>
        <w:t xml:space="preserve"> 投标人的特定条件证明材料：</w:t>
      </w:r>
    </w:p>
    <w:p w14:paraId="70487880">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合格投标人的资格要求中有投标人的特定条件的，未提供符合投标人特定条件证明材料或证明材</w:t>
      </w:r>
      <w:r>
        <w:rPr>
          <w:rFonts w:hint="eastAsia" w:ascii="仿宋" w:hAnsi="仿宋" w:eastAsia="仿宋" w:cs="Times New Roman"/>
          <w:bCs/>
          <w:sz w:val="30"/>
          <w:szCs w:val="30"/>
        </w:rPr>
        <w:t>料不在有效期内或未盖投标人公章；</w:t>
      </w:r>
    </w:p>
    <w:p w14:paraId="5921E003">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5D4F9F9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项目专门面向中小企业的，未提供中小企业声明函或中小企业声明函中未完整填写标的名称、企业名称、从业人员、营业收入、资产总额或未盖投标人公章；</w:t>
      </w:r>
    </w:p>
    <w:p w14:paraId="74B83C7F">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残疾人福利性单位投标的，</w:t>
      </w:r>
      <w:r>
        <w:rPr>
          <w:rFonts w:hint="eastAsia" w:ascii="仿宋" w:hAnsi="仿宋" w:eastAsia="仿宋" w:cs="Times New Roman"/>
          <w:bCs/>
          <w:sz w:val="30"/>
          <w:szCs w:val="30"/>
        </w:rPr>
        <w:t>未提供残疾人福利性单位声明函或未盖投标人公章；监狱企业投标的，未提供由省级以上监狱管理局、戒毒管理局（含新疆生产建设兵团）出具的属于监狱企业的证明文件；</w:t>
      </w:r>
    </w:p>
    <w:p w14:paraId="1F24EB89">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7CBAE9FD">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未盖投标人与分包供应商公章或</w:t>
      </w:r>
      <w:r>
        <w:rPr>
          <w:rFonts w:hint="eastAsia" w:ascii="仿宋" w:hAnsi="仿宋" w:eastAsia="仿宋" w:cs="Times New Roman"/>
          <w:sz w:val="30"/>
          <w:szCs w:val="30"/>
        </w:rPr>
        <w:t>未列明分包供应商承担的工作、合同金额占比。</w:t>
      </w:r>
    </w:p>
    <w:p w14:paraId="4417BF00">
      <w:pPr>
        <w:snapToGrid w:val="0"/>
        <w:spacing w:before="120" w:beforeLines="50" w:after="120" w:afterLines="50"/>
        <w:rPr>
          <w:rFonts w:ascii="仿宋" w:hAnsi="仿宋" w:eastAsia="仿宋" w:cs="Times New Roman"/>
          <w:sz w:val="30"/>
          <w:szCs w:val="30"/>
        </w:rPr>
      </w:pPr>
    </w:p>
    <w:p w14:paraId="7299A2A3">
      <w:pPr>
        <w:snapToGrid w:val="0"/>
        <w:spacing w:before="120" w:beforeLines="50" w:after="120" w:afterLines="50"/>
        <w:rPr>
          <w:rFonts w:ascii="仿宋" w:hAnsi="仿宋" w:eastAsia="仿宋" w:cs="Times New Roman"/>
          <w:sz w:val="30"/>
          <w:szCs w:val="30"/>
        </w:rPr>
      </w:pPr>
    </w:p>
    <w:p w14:paraId="2AC34896">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附件2：</w:t>
      </w:r>
    </w:p>
    <w:p w14:paraId="19BB2182">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声 明 书</w:t>
      </w:r>
    </w:p>
    <w:p w14:paraId="08B78A63">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40AF2D81">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r>
        <w:rPr>
          <w:rFonts w:hint="eastAsia" w:ascii="仿宋" w:hAnsi="仿宋" w:eastAsia="仿宋" w:cs="Times New Roman"/>
          <w:b/>
          <w:sz w:val="30"/>
          <w:szCs w:val="30"/>
          <w:u w:val="single"/>
        </w:rPr>
        <w:t>浙江商业职业技术学院2025年多媒体教室升级改造</w:t>
      </w:r>
      <w:r>
        <w:rPr>
          <w:rFonts w:hint="eastAsia" w:ascii="仿宋" w:hAnsi="仿宋" w:eastAsia="仿宋" w:cs="Times New Roman"/>
          <w:sz w:val="30"/>
          <w:szCs w:val="30"/>
          <w:u w:val="single"/>
        </w:rPr>
        <w:t>（编号为ZZCG2025X-GK-126）</w:t>
      </w:r>
      <w:r>
        <w:rPr>
          <w:rFonts w:hint="eastAsia" w:ascii="仿宋" w:hAnsi="仿宋" w:eastAsia="仿宋" w:cs="Times New Roman"/>
          <w:sz w:val="30"/>
          <w:szCs w:val="30"/>
        </w:rPr>
        <w:t>的投标，为此，我方就本次投标有关事项郑重声明如下：</w:t>
      </w:r>
    </w:p>
    <w:p w14:paraId="67AFE38E">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1.我方已详细审查全部招标文件，同意招标文件的各项要求。</w:t>
      </w:r>
    </w:p>
    <w:p w14:paraId="03030499">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2.我方向贵方提交的所有投标文件、资料都是准确的和真实的。</w:t>
      </w:r>
    </w:p>
    <w:p w14:paraId="5AD0F45C">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3.若中标，我方将按招标文件规定履行合同责任和义务。</w:t>
      </w:r>
    </w:p>
    <w:p w14:paraId="37101502">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4.我方不是采购人的附属机构；在获知本项目采购信息后，与采购人聘请的为此项目提供咨询服务的公司及其附属机构没有任何联系。</w:t>
      </w:r>
    </w:p>
    <w:p w14:paraId="6ED81DC3">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5.投标文件自开标日起有效期为90天。</w:t>
      </w:r>
    </w:p>
    <w:p w14:paraId="055A30AB">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2032C183">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6444C8EF">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 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5DF9EFE2">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2C1B179C">
      <w:pPr>
        <w:snapToGrid w:val="0"/>
        <w:spacing w:before="120" w:beforeLines="50" w:after="50" w:line="460" w:lineRule="exact"/>
        <w:ind w:firstLine="600" w:firstLineChars="200"/>
        <w:rPr>
          <w:rFonts w:ascii="仿宋" w:hAnsi="仿宋" w:eastAsia="仿宋" w:cs="Times New Roman"/>
          <w:sz w:val="30"/>
          <w:szCs w:val="30"/>
        </w:rPr>
      </w:pPr>
      <w:r>
        <w:rPr>
          <w:rFonts w:ascii="仿宋" w:hAnsi="仿宋" w:eastAsia="仿宋" w:cs="Times New Roman"/>
          <w:sz w:val="30"/>
          <w:szCs w:val="30"/>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05B7A7DB">
      <w:pPr>
        <w:snapToGrid w:val="0"/>
        <w:spacing w:before="120" w:beforeLines="50" w:after="50" w:line="460" w:lineRule="exact"/>
        <w:ind w:right="600" w:firstLine="150" w:firstLineChars="50"/>
        <w:rPr>
          <w:rFonts w:ascii="仿宋" w:hAnsi="仿宋" w:eastAsia="仿宋" w:cs="Times New Roman"/>
          <w:sz w:val="30"/>
          <w:szCs w:val="30"/>
        </w:rPr>
      </w:pPr>
    </w:p>
    <w:p w14:paraId="7C32F0C6">
      <w:pPr>
        <w:snapToGrid w:val="0"/>
        <w:spacing w:before="120" w:beforeLines="50" w:after="50" w:line="460" w:lineRule="exact"/>
        <w:ind w:right="600" w:firstLine="150" w:firstLineChars="50"/>
        <w:rPr>
          <w:rFonts w:ascii="仿宋" w:hAnsi="仿宋" w:eastAsia="仿宋" w:cs="Times New Roman"/>
          <w:sz w:val="30"/>
          <w:szCs w:val="30"/>
        </w:rPr>
      </w:pPr>
    </w:p>
    <w:p w14:paraId="490A4DAB">
      <w:pPr>
        <w:snapToGrid w:val="0"/>
        <w:spacing w:before="120" w:beforeLines="50" w:after="50" w:line="460" w:lineRule="exact"/>
        <w:ind w:right="600" w:firstLine="150" w:firstLineChars="50"/>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500A7D01">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附件3</w:t>
      </w:r>
      <w:r>
        <w:rPr>
          <w:rFonts w:ascii="仿宋" w:hAnsi="仿宋" w:eastAsia="仿宋" w:cs="Times New Roman"/>
          <w:sz w:val="30"/>
          <w:szCs w:val="30"/>
        </w:rPr>
        <w:t>-1</w:t>
      </w:r>
      <w:r>
        <w:rPr>
          <w:rFonts w:hint="eastAsia" w:ascii="仿宋" w:hAnsi="仿宋" w:eastAsia="仿宋" w:cs="Times New Roman"/>
          <w:sz w:val="30"/>
          <w:szCs w:val="30"/>
        </w:rPr>
        <w:t>：</w:t>
      </w:r>
    </w:p>
    <w:p w14:paraId="5C37DFB3">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法定代表人授权委托书</w:t>
      </w:r>
    </w:p>
    <w:p w14:paraId="281FE809">
      <w:pPr>
        <w:snapToGrid w:val="0"/>
        <w:spacing w:before="120" w:beforeLines="50" w:after="50"/>
        <w:jc w:val="center"/>
        <w:rPr>
          <w:rFonts w:ascii="仿宋" w:hAnsi="仿宋" w:eastAsia="仿宋" w:cs="Times New Roman"/>
          <w:b/>
          <w:sz w:val="30"/>
          <w:szCs w:val="30"/>
        </w:rPr>
      </w:pPr>
    </w:p>
    <w:p w14:paraId="42518A43">
      <w:pPr>
        <w:snapToGrid w:val="0"/>
        <w:spacing w:before="120"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11FB9D61">
      <w:pPr>
        <w:snapToGrid w:val="0"/>
        <w:spacing w:before="120" w:beforeLines="50" w:after="50" w:line="460" w:lineRule="exact"/>
        <w:ind w:firstLine="900" w:firstLineChars="3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（投标人名称）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为授权代表，以我方的名义参加项目名称：</w:t>
      </w:r>
      <w:r>
        <w:rPr>
          <w:rFonts w:hint="eastAsia" w:ascii="仿宋" w:hAnsi="仿宋" w:eastAsia="仿宋" w:cs="Times New Roman"/>
          <w:b/>
          <w:sz w:val="30"/>
          <w:szCs w:val="30"/>
          <w:u w:val="single"/>
        </w:rPr>
        <w:t>浙江商业职业技术学院2025年多媒体教室升级改造</w:t>
      </w:r>
      <w:r>
        <w:rPr>
          <w:rFonts w:hint="eastAsia" w:ascii="仿宋" w:hAnsi="仿宋" w:eastAsia="仿宋" w:cs="Times New Roman"/>
          <w:sz w:val="30"/>
          <w:szCs w:val="30"/>
        </w:rPr>
        <w:t xml:space="preserve"> 项目编号：</w:t>
      </w:r>
      <w:r>
        <w:rPr>
          <w:rFonts w:hint="eastAsia" w:ascii="仿宋" w:hAnsi="仿宋" w:eastAsia="仿宋" w:cs="Times New Roman"/>
          <w:b/>
          <w:sz w:val="30"/>
          <w:szCs w:val="30"/>
          <w:u w:val="single"/>
        </w:rPr>
        <w:t>ZZCG2025X-GK-126</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项目的投标活动，并代表我方全权办理针对上述项目的投标、开标、评标、签约等具体事务和签署相关文件。我方对授权代表的签名事项负全部责任。</w:t>
      </w:r>
    </w:p>
    <w:p w14:paraId="16A7156A">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2F40598A">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536A8FD1">
      <w:pPr>
        <w:snapToGrid w:val="0"/>
        <w:spacing w:before="120" w:beforeLines="50" w:after="50" w:line="460" w:lineRule="exact"/>
        <w:ind w:firstLine="480"/>
        <w:rPr>
          <w:rFonts w:ascii="仿宋" w:hAnsi="仿宋" w:eastAsia="仿宋" w:cs="Times New Roman"/>
          <w:sz w:val="30"/>
          <w:szCs w:val="30"/>
        </w:rPr>
      </w:pPr>
    </w:p>
    <w:p w14:paraId="613F133C">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1878BB29">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3BD3FB48">
      <w:pPr>
        <w:snapToGrid w:val="0"/>
        <w:spacing w:before="120" w:beforeLines="50" w:after="50" w:line="460" w:lineRule="exact"/>
        <w:rPr>
          <w:rFonts w:ascii="仿宋" w:hAnsi="仿宋" w:eastAsia="仿宋" w:cs="Times New Roman"/>
          <w:sz w:val="30"/>
          <w:szCs w:val="30"/>
        </w:rPr>
      </w:pPr>
    </w:p>
    <w:p w14:paraId="4BEBCF4E">
      <w:pPr>
        <w:snapToGrid w:val="0"/>
        <w:spacing w:before="120" w:beforeLines="50" w:after="50" w:line="460" w:lineRule="exact"/>
        <w:rPr>
          <w:rFonts w:ascii="仿宋" w:hAnsi="仿宋" w:eastAsia="仿宋" w:cs="Times New Roman"/>
          <w:sz w:val="30"/>
          <w:szCs w:val="30"/>
        </w:rPr>
      </w:pPr>
    </w:p>
    <w:p w14:paraId="21244A2F">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5C99ABE1">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387CB39D">
      <w:pPr>
        <w:snapToGrid w:val="0"/>
        <w:spacing w:before="120" w:beforeLines="50" w:after="50" w:line="460" w:lineRule="exact"/>
        <w:ind w:firstLine="6150" w:firstLineChars="2050"/>
        <w:rPr>
          <w:rFonts w:ascii="仿宋" w:hAnsi="仿宋" w:eastAsia="仿宋" w:cs="Times New Roman"/>
          <w:sz w:val="30"/>
          <w:szCs w:val="30"/>
        </w:rPr>
      </w:pPr>
    </w:p>
    <w:p w14:paraId="5C2BED0B">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17C53BD9">
      <w:pPr>
        <w:snapToGrid w:val="0"/>
        <w:spacing w:before="120" w:beforeLines="50" w:after="50" w:line="460" w:lineRule="exact"/>
        <w:rPr>
          <w:rFonts w:ascii="仿宋" w:hAnsi="仿宋" w:eastAsia="仿宋" w:cs="Times New Roman"/>
          <w:sz w:val="30"/>
          <w:szCs w:val="30"/>
        </w:rPr>
      </w:pPr>
    </w:p>
    <w:p w14:paraId="3C94929B">
      <w:pPr>
        <w:snapToGrid w:val="0"/>
        <w:spacing w:before="120" w:beforeLines="50" w:after="50" w:line="460" w:lineRule="exact"/>
        <w:rPr>
          <w:rFonts w:ascii="仿宋" w:hAnsi="仿宋" w:eastAsia="仿宋" w:cs="Times New Roman"/>
          <w:sz w:val="30"/>
          <w:szCs w:val="30"/>
        </w:rPr>
      </w:pPr>
    </w:p>
    <w:p w14:paraId="7B1FD2A5">
      <w:pPr>
        <w:widowControl/>
        <w:jc w:val="left"/>
        <w:rPr>
          <w:rFonts w:ascii="仿宋" w:hAnsi="仿宋" w:eastAsia="仿宋" w:cs="Times New Roman"/>
          <w:sz w:val="30"/>
          <w:szCs w:val="30"/>
        </w:rPr>
      </w:pPr>
    </w:p>
    <w:p w14:paraId="6A056004">
      <w:pPr>
        <w:snapToGrid w:val="0"/>
        <w:spacing w:before="120" w:beforeLines="50" w:after="50" w:line="460" w:lineRule="exact"/>
        <w:rPr>
          <w:rFonts w:ascii="仿宋" w:hAnsi="仿宋" w:eastAsia="仿宋" w:cs="Times New Roman"/>
          <w:sz w:val="30"/>
          <w:szCs w:val="30"/>
        </w:rPr>
      </w:pPr>
    </w:p>
    <w:p w14:paraId="6F6DB793">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1C3A09FF">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68140568">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55991176">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6DA266C3">
      <w:pPr>
        <w:snapToGrid w:val="0"/>
        <w:spacing w:before="120" w:beforeLines="50" w:after="50" w:line="460" w:lineRule="exact"/>
        <w:rPr>
          <w:rFonts w:ascii="仿宋" w:hAnsi="仿宋" w:eastAsia="仿宋" w:cs="Times New Roman"/>
          <w:sz w:val="30"/>
          <w:szCs w:val="30"/>
        </w:rPr>
      </w:pPr>
    </w:p>
    <w:p w14:paraId="03893B66">
      <w:pPr>
        <w:snapToGrid w:val="0"/>
        <w:spacing w:before="120" w:beforeLines="50" w:after="50" w:line="460" w:lineRule="exact"/>
        <w:rPr>
          <w:rFonts w:ascii="仿宋" w:hAnsi="仿宋" w:eastAsia="仿宋" w:cs="Times New Roman"/>
          <w:sz w:val="30"/>
          <w:szCs w:val="30"/>
        </w:rPr>
      </w:pPr>
    </w:p>
    <w:p w14:paraId="58C7C3A6">
      <w:pPr>
        <w:snapToGrid w:val="0"/>
        <w:spacing w:before="120" w:beforeLines="50" w:after="50" w:line="460" w:lineRule="exact"/>
        <w:rPr>
          <w:rFonts w:ascii="仿宋" w:hAnsi="仿宋" w:eastAsia="仿宋" w:cs="Times New Roman"/>
          <w:sz w:val="30"/>
          <w:szCs w:val="30"/>
        </w:rPr>
      </w:pPr>
    </w:p>
    <w:p w14:paraId="03DA6624">
      <w:pPr>
        <w:snapToGrid w:val="0"/>
        <w:spacing w:before="120" w:beforeLines="50" w:after="50" w:line="460" w:lineRule="exact"/>
        <w:rPr>
          <w:rFonts w:ascii="仿宋" w:hAnsi="仿宋" w:eastAsia="仿宋" w:cs="Times New Roman"/>
          <w:sz w:val="30"/>
          <w:szCs w:val="30"/>
        </w:rPr>
      </w:pPr>
    </w:p>
    <w:p w14:paraId="3C47C1FF">
      <w:pPr>
        <w:snapToGrid w:val="0"/>
        <w:spacing w:before="120" w:beforeLines="50" w:after="50" w:line="460" w:lineRule="exact"/>
        <w:rPr>
          <w:rFonts w:ascii="仿宋" w:hAnsi="仿宋" w:eastAsia="仿宋" w:cs="Times New Roman"/>
          <w:sz w:val="30"/>
          <w:szCs w:val="30"/>
        </w:rPr>
      </w:pPr>
    </w:p>
    <w:p w14:paraId="58390400">
      <w:pPr>
        <w:snapToGrid w:val="0"/>
        <w:spacing w:before="120" w:beforeLines="50" w:after="50" w:line="460" w:lineRule="exact"/>
        <w:rPr>
          <w:rFonts w:ascii="仿宋" w:hAnsi="仿宋" w:eastAsia="仿宋" w:cs="Times New Roman"/>
          <w:sz w:val="30"/>
          <w:szCs w:val="30"/>
        </w:rPr>
      </w:pPr>
    </w:p>
    <w:p w14:paraId="0980E935">
      <w:pPr>
        <w:snapToGrid w:val="0"/>
        <w:spacing w:before="120" w:beforeLines="50" w:after="50" w:line="460" w:lineRule="exact"/>
        <w:rPr>
          <w:rFonts w:ascii="仿宋" w:hAnsi="仿宋" w:eastAsia="仿宋" w:cs="Times New Roman"/>
          <w:sz w:val="30"/>
          <w:szCs w:val="30"/>
        </w:rPr>
      </w:pPr>
    </w:p>
    <w:p w14:paraId="56501F18">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5112FAF8">
      <w:pPr>
        <w:widowControl/>
        <w:jc w:val="left"/>
        <w:rPr>
          <w:rFonts w:hAnsi="宋体" w:eastAsia="宋体" w:cs="宋体"/>
          <w:bCs/>
          <w:sz w:val="24"/>
        </w:rPr>
      </w:pPr>
    </w:p>
    <w:p w14:paraId="05F39228">
      <w:pPr>
        <w:widowControl/>
        <w:jc w:val="left"/>
        <w:rPr>
          <w:rFonts w:hAnsi="宋体" w:eastAsia="宋体" w:cs="宋体"/>
          <w:bCs/>
          <w:sz w:val="24"/>
        </w:rPr>
      </w:pPr>
    </w:p>
    <w:p w14:paraId="537B7462">
      <w:pPr>
        <w:widowControl/>
        <w:jc w:val="left"/>
        <w:rPr>
          <w:rFonts w:hAnsi="宋体" w:eastAsia="宋体" w:cs="宋体"/>
          <w:bCs/>
          <w:sz w:val="24"/>
        </w:rPr>
      </w:pPr>
    </w:p>
    <w:p w14:paraId="347D22DA">
      <w:pPr>
        <w:snapToGrid w:val="0"/>
        <w:spacing w:before="120" w:beforeLines="50" w:after="50" w:line="460" w:lineRule="exact"/>
        <w:rPr>
          <w:rFonts w:ascii="仿宋" w:hAnsi="仿宋" w:eastAsia="仿宋" w:cs="Times New Roman"/>
          <w:sz w:val="30"/>
          <w:szCs w:val="30"/>
        </w:rPr>
      </w:pPr>
    </w:p>
    <w:p w14:paraId="68CD00F3">
      <w:pPr>
        <w:snapToGrid w:val="0"/>
        <w:spacing w:before="120" w:beforeLines="50" w:after="50" w:line="460" w:lineRule="exact"/>
        <w:rPr>
          <w:rFonts w:ascii="仿宋" w:hAnsi="仿宋" w:eastAsia="仿宋" w:cs="Times New Roman"/>
          <w:sz w:val="30"/>
          <w:szCs w:val="30"/>
        </w:rPr>
      </w:pPr>
    </w:p>
    <w:p w14:paraId="01AEC788">
      <w:pPr>
        <w:widowControl/>
        <w:jc w:val="left"/>
        <w:rPr>
          <w:rFonts w:hAnsi="宋体" w:eastAsia="宋体" w:cs="宋体"/>
          <w:bCs/>
          <w:sz w:val="24"/>
        </w:rPr>
      </w:pPr>
    </w:p>
    <w:p w14:paraId="165C867F">
      <w:pPr>
        <w:widowControl/>
        <w:jc w:val="left"/>
        <w:rPr>
          <w:rFonts w:hAnsi="宋体" w:eastAsia="宋体" w:cs="宋体"/>
          <w:bCs/>
          <w:sz w:val="24"/>
        </w:rPr>
      </w:pPr>
    </w:p>
    <w:p w14:paraId="0F401205">
      <w:pPr>
        <w:widowControl/>
        <w:jc w:val="left"/>
        <w:rPr>
          <w:rFonts w:hAnsi="宋体" w:eastAsia="宋体" w:cs="宋体"/>
          <w:bCs/>
          <w:sz w:val="24"/>
        </w:rPr>
      </w:pPr>
    </w:p>
    <w:p w14:paraId="0662A948">
      <w:pPr>
        <w:widowControl/>
        <w:jc w:val="left"/>
        <w:rPr>
          <w:rFonts w:hAnsi="宋体" w:eastAsia="宋体" w:cs="宋体"/>
          <w:bCs/>
          <w:sz w:val="24"/>
        </w:rPr>
      </w:pPr>
    </w:p>
    <w:p w14:paraId="33470C4A">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68B871DE">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2B10EF35">
      <w:pPr>
        <w:widowControl/>
        <w:jc w:val="left"/>
        <w:rPr>
          <w:rFonts w:hAnsi="宋体" w:eastAsia="宋体" w:cs="宋体"/>
          <w:bCs/>
          <w:sz w:val="24"/>
        </w:rPr>
      </w:pPr>
    </w:p>
    <w:p w14:paraId="5FC7C4E4">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3625A289">
      <w:pPr>
        <w:tabs>
          <w:tab w:val="left" w:pos="606"/>
        </w:tabs>
        <w:spacing w:line="360" w:lineRule="exact"/>
        <w:rPr>
          <w:rFonts w:ascii="仿宋" w:hAnsi="仿宋" w:eastAsia="仿宋" w:cs="Times New Roman"/>
          <w:sz w:val="30"/>
          <w:szCs w:val="30"/>
        </w:rPr>
      </w:pPr>
    </w:p>
    <w:p w14:paraId="5B19370E">
      <w:pPr>
        <w:tabs>
          <w:tab w:val="left" w:pos="606"/>
        </w:tabs>
        <w:spacing w:line="360" w:lineRule="exact"/>
        <w:rPr>
          <w:rFonts w:ascii="仿宋" w:hAnsi="仿宋" w:eastAsia="仿宋" w:cs="Times New Roman"/>
          <w:sz w:val="30"/>
          <w:szCs w:val="30"/>
        </w:rPr>
      </w:pPr>
    </w:p>
    <w:p w14:paraId="43D34EE7">
      <w:pPr>
        <w:tabs>
          <w:tab w:val="left" w:pos="606"/>
        </w:tabs>
        <w:spacing w:line="360" w:lineRule="exact"/>
        <w:rPr>
          <w:rFonts w:ascii="仿宋" w:hAnsi="仿宋" w:eastAsia="仿宋" w:cs="Times New Roman"/>
          <w:sz w:val="30"/>
          <w:szCs w:val="30"/>
        </w:rPr>
      </w:pPr>
    </w:p>
    <w:p w14:paraId="399B0088">
      <w:pPr>
        <w:tabs>
          <w:tab w:val="left" w:pos="606"/>
        </w:tabs>
        <w:spacing w:line="360" w:lineRule="exact"/>
        <w:rPr>
          <w:rFonts w:ascii="仿宋" w:hAnsi="仿宋" w:eastAsia="仿宋" w:cs="Times New Roman"/>
          <w:sz w:val="30"/>
          <w:szCs w:val="30"/>
        </w:rPr>
      </w:pPr>
    </w:p>
    <w:p w14:paraId="6C3CF597">
      <w:pPr>
        <w:tabs>
          <w:tab w:val="left" w:pos="606"/>
        </w:tabs>
        <w:spacing w:line="360" w:lineRule="exact"/>
        <w:rPr>
          <w:rFonts w:ascii="仿宋" w:hAnsi="仿宋" w:eastAsia="仿宋" w:cs="Times New Roman"/>
          <w:sz w:val="30"/>
          <w:szCs w:val="30"/>
        </w:rPr>
      </w:pPr>
    </w:p>
    <w:p w14:paraId="5A2F9B78">
      <w:pPr>
        <w:tabs>
          <w:tab w:val="left" w:pos="606"/>
        </w:tabs>
        <w:spacing w:line="360" w:lineRule="exact"/>
        <w:rPr>
          <w:rFonts w:ascii="仿宋" w:hAnsi="仿宋" w:eastAsia="仿宋" w:cs="Times New Roman"/>
          <w:spacing w:val="20"/>
          <w:sz w:val="30"/>
          <w:szCs w:val="30"/>
        </w:rPr>
      </w:pPr>
      <w:r>
        <w:rPr>
          <w:rFonts w:hint="eastAsia" w:ascii="仿宋" w:hAnsi="仿宋" w:eastAsia="仿宋" w:cs="Times New Roman"/>
          <w:sz w:val="30"/>
          <w:szCs w:val="30"/>
        </w:rPr>
        <w:t>附件4：</w:t>
      </w:r>
    </w:p>
    <w:p w14:paraId="01319312">
      <w:pPr>
        <w:overflowPunct w:val="0"/>
        <w:jc w:val="center"/>
        <w:rPr>
          <w:rFonts w:ascii="仿宋" w:hAnsi="仿宋" w:eastAsia="仿宋" w:cs="Times New Roman"/>
          <w:b/>
          <w:spacing w:val="40"/>
          <w:kern w:val="0"/>
          <w:sz w:val="30"/>
          <w:szCs w:val="30"/>
        </w:rPr>
      </w:pPr>
      <w:r>
        <w:rPr>
          <w:rFonts w:hint="eastAsia" w:ascii="仿宋" w:hAnsi="仿宋" w:eastAsia="仿宋" w:cs="Times New Roman"/>
          <w:b/>
          <w:spacing w:val="40"/>
          <w:kern w:val="0"/>
          <w:sz w:val="30"/>
          <w:szCs w:val="30"/>
        </w:rPr>
        <w:t>联合投标协议书</w:t>
      </w:r>
    </w:p>
    <w:p w14:paraId="2996AFF0">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甲方：</w:t>
      </w:r>
    </w:p>
    <w:p w14:paraId="2F765696">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乙方：</w:t>
      </w:r>
    </w:p>
    <w:p w14:paraId="2078B98D">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（如果有的话，可按甲、乙、丙、丁…序列增加）</w:t>
      </w:r>
    </w:p>
    <w:p w14:paraId="3C963AC7">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各方经协商，就响应</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组织实施的编号为</w:t>
      </w:r>
      <w:r>
        <w:rPr>
          <w:rFonts w:hint="eastAsia" w:ascii="仿宋" w:hAnsi="仿宋" w:eastAsia="仿宋" w:cs="Times New Roman"/>
          <w:sz w:val="30"/>
          <w:szCs w:val="30"/>
          <w:u w:val="single"/>
        </w:rPr>
        <w:t xml:space="preserve"> </w:t>
      </w:r>
      <w:r>
        <w:rPr>
          <w:rFonts w:hint="eastAsia" w:ascii="仿宋" w:hAnsi="仿宋" w:eastAsia="仿宋" w:cs="Times New Roman"/>
          <w:b/>
          <w:sz w:val="30"/>
          <w:szCs w:val="30"/>
          <w:u w:val="single"/>
        </w:rPr>
        <w:t>ZZCG2025X-GK-126</w:t>
      </w:r>
      <w:r>
        <w:rPr>
          <w:rFonts w:hint="eastAsia" w:ascii="仿宋" w:hAnsi="仿宋" w:eastAsia="仿宋" w:cs="Times New Roman"/>
          <w:sz w:val="30"/>
          <w:szCs w:val="30"/>
        </w:rPr>
        <w:t>的招标活动联合进行投标之事宜，达成如下协议：</w:t>
      </w:r>
    </w:p>
    <w:p w14:paraId="16E87F21">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一、各方一致决定，以</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为主办人进行投标，并按照招标文件的规定分别提交联合体各方的资格文件（声明书、营业执照、投标人特定条件）。</w:t>
      </w:r>
    </w:p>
    <w:p w14:paraId="2FD8F0BE">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DA5E683">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三、联合投标其余各方保证对主办人为响应本次招标而提供的产品和服务提供全部质量保证及售后服务支持。</w:t>
      </w:r>
    </w:p>
    <w:p w14:paraId="305BD384">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四、本次联合投标中，甲方承担的工作和义务为:</w:t>
      </w:r>
    </w:p>
    <w:p w14:paraId="672B0112">
      <w:pPr>
        <w:overflowPunct w:val="0"/>
        <w:spacing w:line="460" w:lineRule="exact"/>
        <w:ind w:firstLine="642" w:firstLineChars="214"/>
        <w:rPr>
          <w:rFonts w:ascii="仿宋" w:hAnsi="仿宋" w:eastAsia="仿宋" w:cs="Times New Roman"/>
          <w:sz w:val="30"/>
          <w:szCs w:val="30"/>
          <w:u w:val="single"/>
        </w:rPr>
      </w:pPr>
      <w:r>
        <w:rPr>
          <w:rFonts w:hint="eastAsia" w:ascii="仿宋" w:hAnsi="仿宋" w:eastAsia="仿宋" w:cs="Times New Roman"/>
          <w:sz w:val="30"/>
          <w:szCs w:val="30"/>
          <w:u w:val="single"/>
        </w:rPr>
        <w:t xml:space="preserve">                                             </w:t>
      </w:r>
    </w:p>
    <w:p w14:paraId="520174CD">
      <w:pPr>
        <w:overflowPunct w:val="0"/>
        <w:spacing w:line="460" w:lineRule="exact"/>
        <w:ind w:firstLine="642" w:firstLineChars="214"/>
        <w:rPr>
          <w:rFonts w:ascii="仿宋" w:hAnsi="仿宋" w:eastAsia="仿宋" w:cs="Times New Roman"/>
          <w:sz w:val="30"/>
          <w:szCs w:val="30"/>
          <w:u w:val="single"/>
        </w:rPr>
      </w:pPr>
      <w:r>
        <w:rPr>
          <w:rFonts w:hint="eastAsia" w:ascii="仿宋" w:hAnsi="仿宋" w:eastAsia="仿宋" w:cs="Times New Roman"/>
          <w:sz w:val="30"/>
          <w:szCs w:val="30"/>
        </w:rPr>
        <w:t>乙方承担的工作和义务为：</w:t>
      </w:r>
      <w:r>
        <w:rPr>
          <w:rFonts w:hint="eastAsia" w:ascii="仿宋" w:hAnsi="仿宋" w:eastAsia="仿宋" w:cs="Times New Roman"/>
          <w:sz w:val="30"/>
          <w:szCs w:val="30"/>
          <w:u w:val="single"/>
        </w:rPr>
        <w:t xml:space="preserve">                            </w:t>
      </w:r>
    </w:p>
    <w:p w14:paraId="3458BCF4">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（甲方</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）的合同份额占到合同总金额</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%，（乙方</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）的合同份额占到合同总金额</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w:t>
      </w:r>
    </w:p>
    <w:p w14:paraId="779F9AE5">
      <w:pPr>
        <w:overflowPunct w:val="0"/>
        <w:spacing w:line="460" w:lineRule="exact"/>
        <w:ind w:firstLine="642" w:firstLineChars="214"/>
        <w:rPr>
          <w:rFonts w:ascii="仿宋" w:hAnsi="仿宋" w:eastAsia="仿宋" w:cs="Times New Roman"/>
          <w:sz w:val="30"/>
          <w:szCs w:val="30"/>
          <w:u w:val="single"/>
        </w:rPr>
      </w:pPr>
      <w:r>
        <w:rPr>
          <w:rFonts w:hint="eastAsia" w:ascii="仿宋" w:hAnsi="仿宋" w:eastAsia="仿宋" w:cs="Times New Roman"/>
          <w:sz w:val="30"/>
          <w:szCs w:val="30"/>
        </w:rPr>
        <w:t>五、有关本次联合投标的其他事宜：</w:t>
      </w:r>
      <w:r>
        <w:rPr>
          <w:rFonts w:hint="eastAsia" w:ascii="仿宋" w:hAnsi="仿宋" w:eastAsia="仿宋" w:cs="Times New Roman"/>
          <w:sz w:val="30"/>
          <w:szCs w:val="30"/>
          <w:u w:val="single"/>
        </w:rPr>
        <w:t xml:space="preserve">             </w:t>
      </w:r>
    </w:p>
    <w:p w14:paraId="47103281">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六、本协议提交招标方后，联合投标各方不得以任何形式对上述实质内容进行修改或撤销。</w:t>
      </w:r>
    </w:p>
    <w:p w14:paraId="4EB5056C">
      <w:pPr>
        <w:overflowPunct w:val="0"/>
        <w:spacing w:line="460" w:lineRule="exact"/>
        <w:ind w:firstLine="642" w:firstLineChars="214"/>
        <w:rPr>
          <w:rFonts w:ascii="仿宋" w:hAnsi="仿宋" w:eastAsia="仿宋" w:cs="Times New Roman"/>
          <w:sz w:val="30"/>
          <w:szCs w:val="30"/>
        </w:rPr>
      </w:pPr>
      <w:r>
        <w:rPr>
          <w:rFonts w:hint="eastAsia" w:ascii="仿宋" w:hAnsi="仿宋" w:eastAsia="仿宋" w:cs="Times New Roman"/>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0A16D670">
        <w:tblPrEx>
          <w:tblCellMar>
            <w:top w:w="0" w:type="dxa"/>
            <w:left w:w="108" w:type="dxa"/>
            <w:bottom w:w="0" w:type="dxa"/>
            <w:right w:w="108" w:type="dxa"/>
          </w:tblCellMar>
        </w:tblPrEx>
        <w:trPr>
          <w:jc w:val="center"/>
        </w:trPr>
        <w:tc>
          <w:tcPr>
            <w:tcW w:w="4264" w:type="dxa"/>
          </w:tcPr>
          <w:p w14:paraId="5F945963">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甲方单位：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1A7A5FFA">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03EA286B">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c>
          <w:tcPr>
            <w:tcW w:w="4264" w:type="dxa"/>
          </w:tcPr>
          <w:p w14:paraId="5B18C01B">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乙方单位：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25948377">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3F8C9A00">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r>
    </w:tbl>
    <w:p w14:paraId="44A5548F">
      <w:pPr>
        <w:overflowPunct w:val="0"/>
        <w:spacing w:line="460" w:lineRule="exac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附件5：</w:t>
      </w:r>
    </w:p>
    <w:p w14:paraId="41DCC6D4">
      <w:pPr>
        <w:overflowPunct w:val="0"/>
        <w:spacing w:line="460" w:lineRule="exact"/>
        <w:ind w:firstLine="420"/>
        <w:jc w:val="center"/>
        <w:rPr>
          <w:rFonts w:ascii="仿宋" w:hAnsi="仿宋" w:eastAsia="仿宋" w:cs="Times New Roman"/>
          <w:b/>
          <w:sz w:val="30"/>
          <w:szCs w:val="30"/>
        </w:rPr>
      </w:pPr>
      <w:r>
        <w:rPr>
          <w:rFonts w:hint="eastAsia" w:ascii="仿宋" w:hAnsi="仿宋" w:eastAsia="仿宋" w:cs="Times New Roman"/>
          <w:b/>
          <w:sz w:val="30"/>
          <w:szCs w:val="30"/>
        </w:rPr>
        <w:t>联合投标授权委托书</w:t>
      </w:r>
    </w:p>
    <w:p w14:paraId="4387B233">
      <w:pPr>
        <w:overflowPunct w:val="0"/>
        <w:spacing w:line="460" w:lineRule="exact"/>
        <w:ind w:firstLine="420"/>
        <w:rPr>
          <w:rFonts w:ascii="仿宋" w:hAnsi="仿宋" w:eastAsia="仿宋" w:cs="Times New Roman"/>
          <w:sz w:val="30"/>
          <w:szCs w:val="30"/>
        </w:rPr>
      </w:pPr>
    </w:p>
    <w:p w14:paraId="7369E6E3">
      <w:pPr>
        <w:overflowPunct w:val="0"/>
        <w:spacing w:line="460" w:lineRule="exact"/>
        <w:ind w:firstLine="420"/>
        <w:rPr>
          <w:rFonts w:ascii="仿宋" w:hAnsi="仿宋" w:eastAsia="仿宋" w:cs="Times New Roman"/>
          <w:sz w:val="30"/>
          <w:szCs w:val="30"/>
        </w:rPr>
      </w:pPr>
      <w:r>
        <w:rPr>
          <w:rFonts w:hint="eastAsia" w:ascii="仿宋" w:hAnsi="仿宋" w:eastAsia="仿宋" w:cs="Times New Roman"/>
          <w:sz w:val="30"/>
          <w:szCs w:val="30"/>
        </w:rPr>
        <w:t xml:space="preserve"> 本授权委托书声明：根据</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与</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签订的《联合投标协议书》的内容，现授权</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为联合投标授权代表，授权代表在投标、开标、评标、签约过程中所签署的一切文件和处理与这有关的一切事务， 联合投标各方均予以认可并遵守。</w:t>
      </w:r>
    </w:p>
    <w:p w14:paraId="7D505131">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48B3295B">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44A6E8EA">
      <w:pPr>
        <w:overflowPunct w:val="0"/>
        <w:spacing w:line="460" w:lineRule="exact"/>
        <w:ind w:firstLine="420"/>
        <w:rPr>
          <w:rFonts w:ascii="仿宋" w:hAnsi="仿宋" w:eastAsia="仿宋" w:cs="Times New Roman"/>
          <w:sz w:val="30"/>
          <w:szCs w:val="30"/>
        </w:rPr>
      </w:pPr>
    </w:p>
    <w:p w14:paraId="02322945">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6123F65E">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3E5E48D6">
      <w:pPr>
        <w:tabs>
          <w:tab w:val="left" w:pos="606"/>
        </w:tabs>
        <w:spacing w:line="460" w:lineRule="exact"/>
        <w:rPr>
          <w:rFonts w:ascii="仿宋" w:hAnsi="仿宋" w:eastAsia="仿宋" w:cs="Times New Roman"/>
          <w:spacing w:val="20"/>
          <w:sz w:val="30"/>
          <w:szCs w:val="30"/>
        </w:rPr>
      </w:pPr>
    </w:p>
    <w:p w14:paraId="04900D88">
      <w:pPr>
        <w:tabs>
          <w:tab w:val="left" w:pos="606"/>
        </w:tabs>
        <w:spacing w:line="460" w:lineRule="exact"/>
        <w:rPr>
          <w:rFonts w:ascii="仿宋" w:hAnsi="仿宋" w:eastAsia="仿宋" w:cs="Times New Roman"/>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0132D712">
        <w:trPr>
          <w:jc w:val="center"/>
        </w:trPr>
        <w:tc>
          <w:tcPr>
            <w:tcW w:w="4264" w:type="dxa"/>
          </w:tcPr>
          <w:p w14:paraId="7EAB2903">
            <w:pPr>
              <w:overflowPunct w:val="0"/>
              <w:spacing w:line="460" w:lineRule="exact"/>
              <w:rPr>
                <w:rFonts w:ascii="仿宋" w:hAnsi="仿宋" w:eastAsia="仿宋" w:cs="Times New Roman"/>
                <w:sz w:val="30"/>
                <w:szCs w:val="30"/>
              </w:rPr>
            </w:pPr>
          </w:p>
          <w:p w14:paraId="4F44D65A">
            <w:pPr>
              <w:overflowPunct w:val="0"/>
              <w:spacing w:line="460" w:lineRule="exact"/>
              <w:rPr>
                <w:rFonts w:ascii="仿宋" w:hAnsi="仿宋" w:eastAsia="仿宋" w:cs="Times New Roman"/>
                <w:sz w:val="30"/>
                <w:szCs w:val="30"/>
              </w:rPr>
            </w:pPr>
          </w:p>
          <w:p w14:paraId="5ABE8F8F">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联合体甲方单位：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065FDF92">
            <w:pPr>
              <w:overflowPunct w:val="0"/>
              <w:spacing w:line="460" w:lineRule="exact"/>
              <w:rPr>
                <w:rFonts w:ascii="仿宋" w:hAnsi="仿宋" w:eastAsia="仿宋" w:cs="Times New Roman"/>
                <w:sz w:val="30"/>
                <w:szCs w:val="30"/>
              </w:rPr>
            </w:pPr>
          </w:p>
          <w:p w14:paraId="256EF5E2">
            <w:pPr>
              <w:overflowPunct w:val="0"/>
              <w:spacing w:line="460" w:lineRule="exact"/>
              <w:rPr>
                <w:rFonts w:ascii="仿宋" w:hAnsi="仿宋" w:eastAsia="仿宋" w:cs="Times New Roman"/>
                <w:sz w:val="30"/>
                <w:szCs w:val="30"/>
              </w:rPr>
            </w:pPr>
          </w:p>
          <w:p w14:paraId="03CD847A">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19C0E51F">
            <w:pPr>
              <w:overflowPunct w:val="0"/>
              <w:spacing w:line="460" w:lineRule="exact"/>
              <w:rPr>
                <w:rFonts w:ascii="仿宋" w:hAnsi="仿宋" w:eastAsia="仿宋" w:cs="Times New Roman"/>
                <w:sz w:val="30"/>
                <w:szCs w:val="30"/>
              </w:rPr>
            </w:pPr>
          </w:p>
          <w:p w14:paraId="0F365B8B">
            <w:pPr>
              <w:overflowPunct w:val="0"/>
              <w:spacing w:line="460" w:lineRule="exact"/>
              <w:rPr>
                <w:rFonts w:ascii="仿宋" w:hAnsi="仿宋" w:eastAsia="仿宋" w:cs="Times New Roman"/>
                <w:sz w:val="30"/>
                <w:szCs w:val="30"/>
              </w:rPr>
            </w:pPr>
          </w:p>
          <w:p w14:paraId="35EB66A8">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c>
          <w:tcPr>
            <w:tcW w:w="4264" w:type="dxa"/>
          </w:tcPr>
          <w:p w14:paraId="1A660E26">
            <w:pPr>
              <w:overflowPunct w:val="0"/>
              <w:spacing w:line="460" w:lineRule="exact"/>
              <w:rPr>
                <w:rFonts w:ascii="仿宋" w:hAnsi="仿宋" w:eastAsia="仿宋" w:cs="Times New Roman"/>
                <w:sz w:val="30"/>
                <w:szCs w:val="30"/>
              </w:rPr>
            </w:pPr>
          </w:p>
          <w:p w14:paraId="0E2A844B">
            <w:pPr>
              <w:overflowPunct w:val="0"/>
              <w:spacing w:line="460" w:lineRule="exact"/>
              <w:rPr>
                <w:rFonts w:ascii="仿宋" w:hAnsi="仿宋" w:eastAsia="仿宋" w:cs="Times New Roman"/>
                <w:sz w:val="30"/>
                <w:szCs w:val="30"/>
              </w:rPr>
            </w:pPr>
          </w:p>
          <w:p w14:paraId="20C1C9E2">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联合体乙方单位：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（公章）</w:t>
            </w:r>
          </w:p>
          <w:p w14:paraId="5C7CBC76">
            <w:pPr>
              <w:overflowPunct w:val="0"/>
              <w:spacing w:line="460" w:lineRule="exact"/>
              <w:rPr>
                <w:rFonts w:ascii="仿宋" w:hAnsi="仿宋" w:eastAsia="仿宋" w:cs="Times New Roman"/>
                <w:sz w:val="30"/>
                <w:szCs w:val="30"/>
              </w:rPr>
            </w:pPr>
          </w:p>
          <w:p w14:paraId="70FC5481">
            <w:pPr>
              <w:overflowPunct w:val="0"/>
              <w:spacing w:line="460" w:lineRule="exact"/>
              <w:rPr>
                <w:rFonts w:ascii="仿宋" w:hAnsi="仿宋" w:eastAsia="仿宋" w:cs="Times New Roman"/>
                <w:sz w:val="30"/>
                <w:szCs w:val="30"/>
              </w:rPr>
            </w:pPr>
          </w:p>
          <w:p w14:paraId="1AC3500A">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（签章）</w:t>
            </w:r>
          </w:p>
          <w:p w14:paraId="427177BF">
            <w:pPr>
              <w:overflowPunct w:val="0"/>
              <w:spacing w:line="460" w:lineRule="exact"/>
              <w:rPr>
                <w:rFonts w:ascii="仿宋" w:hAnsi="仿宋" w:eastAsia="仿宋" w:cs="Times New Roman"/>
                <w:sz w:val="30"/>
                <w:szCs w:val="30"/>
              </w:rPr>
            </w:pPr>
          </w:p>
          <w:p w14:paraId="1E0B2FA1">
            <w:pPr>
              <w:overflowPunct w:val="0"/>
              <w:spacing w:line="460" w:lineRule="exact"/>
              <w:rPr>
                <w:rFonts w:ascii="仿宋" w:hAnsi="仿宋" w:eastAsia="仿宋" w:cs="Times New Roman"/>
                <w:sz w:val="30"/>
                <w:szCs w:val="30"/>
              </w:rPr>
            </w:pPr>
          </w:p>
          <w:p w14:paraId="30FB3F0F">
            <w:pPr>
              <w:overflowPunct w:val="0"/>
              <w:spacing w:line="460" w:lineRule="exact"/>
              <w:rPr>
                <w:rFonts w:ascii="仿宋" w:hAnsi="仿宋" w:eastAsia="仿宋" w:cs="Times New Roman"/>
                <w:sz w:val="30"/>
                <w:szCs w:val="30"/>
              </w:rPr>
            </w:pP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tc>
      </w:tr>
    </w:tbl>
    <w:p w14:paraId="3C086CA8">
      <w:pPr>
        <w:snapToGrid w:val="0"/>
        <w:spacing w:line="360" w:lineRule="auto"/>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附件6：</w:t>
      </w:r>
    </w:p>
    <w:p w14:paraId="3616CF1E">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分包意向协议</w:t>
      </w:r>
    </w:p>
    <w:p w14:paraId="7AFA1A1A">
      <w:pPr>
        <w:spacing w:before="156" w:after="156" w:line="400" w:lineRule="exact"/>
        <w:ind w:left="420" w:leftChars="200" w:firstLine="420" w:firstLineChars="200"/>
        <w:rPr>
          <w:rFonts w:ascii="Times New Roman" w:hAnsi="Times New Roman" w:eastAsia="宋体" w:cs="Times New Roman"/>
          <w:szCs w:val="20"/>
        </w:rPr>
      </w:pPr>
    </w:p>
    <w:p w14:paraId="7DFD5F07">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招标编号：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的中标供应商，将依法采取分包方式履行合同。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）负责签署投标文件，（</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4CFB86DB">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w:t>
      </w:r>
      <w:r>
        <w:rPr>
          <w:rFonts w:hint="eastAsia" w:ascii="仿宋" w:hAnsi="仿宋" w:eastAsia="仿宋" w:cs="Times New Roman"/>
          <w:sz w:val="28"/>
          <w:szCs w:val="28"/>
        </w:rPr>
        <w:t>招标</w:t>
      </w:r>
      <w:r>
        <w:rPr>
          <w:rFonts w:hint="eastAsia" w:ascii="仿宋" w:hAnsi="仿宋" w:eastAsia="仿宋" w:cs="Times New Roman"/>
          <w:sz w:val="28"/>
          <w:szCs w:val="28"/>
          <w:lang w:val="zh-CN"/>
        </w:rPr>
        <w:t>文件分包要求的范围内，并符合相关法律规定等</w:t>
      </w:r>
    </w:p>
    <w:p w14:paraId="511B21F3">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6242B750">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642D1943">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2FFB0C73">
      <w:pPr>
        <w:snapToGrid w:val="0"/>
        <w:spacing w:line="36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006C9D93">
      <w:pPr>
        <w:snapToGrid w:val="0"/>
        <w:spacing w:line="36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2685DE64">
      <w:pPr>
        <w:snapToGrid w:val="0"/>
        <w:spacing w:line="36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5DEF27B1">
      <w:pPr>
        <w:snapToGrid w:val="0"/>
        <w:spacing w:line="36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0A0074E8">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五</w:t>
      </w:r>
      <w:r>
        <w:rPr>
          <w:rFonts w:hint="eastAsia" w:ascii="仿宋" w:hAnsi="仿宋" w:eastAsia="仿宋" w:cs="Times New Roman"/>
          <w:sz w:val="28"/>
          <w:szCs w:val="28"/>
          <w:lang w:val="zh-CN"/>
        </w:rPr>
        <w:t>、违约责任</w:t>
      </w:r>
    </w:p>
    <w:p w14:paraId="55E45E70">
      <w:pPr>
        <w:snapToGrid w:val="0"/>
        <w:spacing w:line="36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0950BA17">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六</w:t>
      </w:r>
      <w:r>
        <w:rPr>
          <w:rFonts w:hint="eastAsia" w:ascii="仿宋" w:hAnsi="仿宋" w:eastAsia="仿宋" w:cs="Times New Roman"/>
          <w:sz w:val="28"/>
          <w:szCs w:val="28"/>
          <w:lang w:val="zh-CN"/>
        </w:rPr>
        <w:t xml:space="preserve">、争议解决的办法 </w:t>
      </w:r>
    </w:p>
    <w:p w14:paraId="70F631D5">
      <w:pPr>
        <w:snapToGrid w:val="0"/>
        <w:spacing w:line="36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1C22099D">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七</w:t>
      </w:r>
      <w:r>
        <w:rPr>
          <w:rFonts w:hint="eastAsia" w:ascii="仿宋" w:hAnsi="仿宋" w:eastAsia="仿宋" w:cs="Times New Roman"/>
          <w:sz w:val="28"/>
          <w:szCs w:val="28"/>
          <w:lang w:val="zh-CN"/>
        </w:rPr>
        <w:t>、其他</w:t>
      </w:r>
    </w:p>
    <w:p w14:paraId="590765A7">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）的合同份额占到合同总金额</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4579855">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49CE154A">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投标人名称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32F8A456">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19687F67">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329D9C67">
      <w:pPr>
        <w:snapToGrid w:val="0"/>
        <w:spacing w:line="400" w:lineRule="exact"/>
        <w:ind w:firstLine="840" w:firstLineChars="300"/>
        <w:rPr>
          <w:rFonts w:eastAsia="宋体" w:cs="Times New Roman"/>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17963C59">
      <w:pPr>
        <w:snapToGrid w:val="0"/>
        <w:spacing w:before="50" w:after="50"/>
        <w:jc w:val="left"/>
        <w:rPr>
          <w:rFonts w:ascii="仿宋" w:hAnsi="仿宋" w:eastAsia="仿宋" w:cs="Times New Roman"/>
          <w:sz w:val="30"/>
          <w:szCs w:val="30"/>
        </w:rPr>
      </w:pPr>
    </w:p>
    <w:p w14:paraId="5631BD68">
      <w:pPr>
        <w:rPr>
          <w:rFonts w:eastAsia="宋体" w:cs="Times New Roman"/>
          <w:color w:val="000000"/>
        </w:rPr>
      </w:pPr>
    </w:p>
    <w:p w14:paraId="3DD87353">
      <w:pPr>
        <w:rPr>
          <w:rFonts w:eastAsia="宋体" w:cs="Times New Roman"/>
          <w:color w:val="000000"/>
        </w:rPr>
      </w:pPr>
    </w:p>
    <w:p w14:paraId="6E99157C">
      <w:pPr>
        <w:widowControl/>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1E4227DF">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附件7</w:t>
      </w:r>
      <w:r>
        <w:rPr>
          <w:rFonts w:hint="eastAsia" w:ascii="仿宋" w:hAnsi="仿宋" w:eastAsia="仿宋" w:cs="Times New Roman"/>
          <w:b/>
          <w:color w:val="000000"/>
          <w:sz w:val="30"/>
          <w:szCs w:val="30"/>
        </w:rPr>
        <w:t xml:space="preserve">：                                     </w:t>
      </w:r>
    </w:p>
    <w:p w14:paraId="03C68782">
      <w:pPr>
        <w:spacing w:before="240" w:beforeLines="100" w:line="240" w:lineRule="atLeast"/>
        <w:jc w:val="center"/>
        <w:rPr>
          <w:rFonts w:ascii="仿宋" w:hAnsi="仿宋" w:eastAsia="仿宋" w:cs="Times New Roman"/>
          <w:b/>
          <w:color w:val="000000"/>
          <w:spacing w:val="40"/>
          <w:sz w:val="52"/>
          <w:szCs w:val="52"/>
        </w:rPr>
      </w:pPr>
      <w:r>
        <w:rPr>
          <w:rFonts w:hint="eastAsia" w:ascii="仿宋" w:hAnsi="仿宋" w:eastAsia="仿宋" w:cs="Times New Roman"/>
          <w:b/>
          <w:color w:val="000000"/>
          <w:spacing w:val="40"/>
          <w:sz w:val="52"/>
          <w:szCs w:val="52"/>
        </w:rPr>
        <w:t>浙江商业职业技术学院2025年多媒体教室升级改造</w:t>
      </w:r>
    </w:p>
    <w:p w14:paraId="173DADE7">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项目编号：ZZCG2025X-GK-126（标项  ）</w:t>
      </w:r>
    </w:p>
    <w:p w14:paraId="08D41B48">
      <w:pPr>
        <w:rPr>
          <w:rFonts w:ascii="仿宋" w:hAnsi="仿宋" w:eastAsia="仿宋" w:cs="Times New Roman"/>
          <w:color w:val="000000"/>
          <w:sz w:val="36"/>
          <w:szCs w:val="36"/>
        </w:rPr>
      </w:pPr>
    </w:p>
    <w:p w14:paraId="6D9C869F">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技</w:t>
      </w:r>
    </w:p>
    <w:p w14:paraId="50261FCB">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术</w:t>
      </w:r>
    </w:p>
    <w:p w14:paraId="3743D618">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及</w:t>
      </w:r>
    </w:p>
    <w:p w14:paraId="43544E3B">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商</w:t>
      </w:r>
    </w:p>
    <w:p w14:paraId="2B92CBB5">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务</w:t>
      </w:r>
    </w:p>
    <w:p w14:paraId="47D480FA">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6EC853E2">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3FDBBD98">
      <w:pPr>
        <w:spacing w:line="600" w:lineRule="exact"/>
        <w:ind w:right="532" w:firstLine="720" w:firstLineChars="200"/>
        <w:rPr>
          <w:rFonts w:ascii="仿宋" w:hAnsi="仿宋" w:eastAsia="仿宋" w:cs="Times New Roman"/>
          <w:color w:val="000000"/>
          <w:sz w:val="36"/>
          <w:szCs w:val="36"/>
        </w:rPr>
      </w:pPr>
    </w:p>
    <w:p w14:paraId="21BDB0DE">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0C437EFF">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4704D7A4">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490F2BFA">
      <w:pPr>
        <w:snapToGrid w:val="0"/>
        <w:spacing w:before="50" w:after="50"/>
        <w:rPr>
          <w:rFonts w:ascii="仿宋" w:hAnsi="仿宋" w:eastAsia="仿宋" w:cs="Times New Roman"/>
          <w:b/>
          <w:bCs/>
          <w:color w:val="000000"/>
          <w:sz w:val="36"/>
          <w:szCs w:val="36"/>
        </w:rPr>
      </w:pPr>
      <w:r>
        <w:rPr>
          <w:rFonts w:hint="eastAsia" w:ascii="仿宋" w:hAnsi="仿宋" w:eastAsia="仿宋" w:cs="Times New Roman"/>
          <w:color w:val="000000"/>
          <w:kern w:val="0"/>
          <w:sz w:val="36"/>
          <w:szCs w:val="36"/>
        </w:rPr>
        <w:br w:type="page"/>
      </w:r>
      <w:r>
        <w:rPr>
          <w:rFonts w:hint="eastAsia" w:ascii="仿宋" w:hAnsi="仿宋" w:eastAsia="仿宋" w:cs="Times New Roman"/>
          <w:color w:val="000000"/>
          <w:sz w:val="36"/>
          <w:szCs w:val="36"/>
        </w:rPr>
        <w:t>2.</w:t>
      </w:r>
      <w:r>
        <w:rPr>
          <w:rFonts w:hint="eastAsia" w:ascii="仿宋" w:hAnsi="仿宋" w:eastAsia="仿宋" w:cs="Times New Roman"/>
          <w:b/>
          <w:bCs/>
          <w:color w:val="000000"/>
          <w:sz w:val="36"/>
          <w:szCs w:val="36"/>
        </w:rPr>
        <w:t>技术及商务文件目录</w:t>
      </w:r>
    </w:p>
    <w:p w14:paraId="77497160">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（1）评分对应表（格式见附件，主要用于评委对应评分内容）</w:t>
      </w:r>
    </w:p>
    <w:p w14:paraId="41E17BC1">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（2）投标项目明细清单（含货物、服务等）；</w:t>
      </w:r>
    </w:p>
    <w:p w14:paraId="659F86AC">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（3）技术响应表（格式见附件）；</w:t>
      </w:r>
    </w:p>
    <w:p w14:paraId="35EB4BE9">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（4）项目总体解决方案（可包含且不限于对项目总体要求的理解、项目总体架构及技术解决方案等）；</w:t>
      </w:r>
    </w:p>
    <w:p w14:paraId="30D4B793">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（5）项目实施计划（可包含且不限于保证工期的施工组织方案及人力资源安排、项目组人员清单等）；</w:t>
      </w:r>
    </w:p>
    <w:p w14:paraId="2E3B6D0D">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（6）列入政府采购节能环保清单的证明资料（若有）；</w:t>
      </w:r>
    </w:p>
    <w:p w14:paraId="01AD7428">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（7）商务响应表（格式见附件）；</w:t>
      </w:r>
    </w:p>
    <w:p w14:paraId="031C7DB9">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（8）售后服务计划（可包含且不限于对用户故障的响应、处理、定期巡检、备品备件、常用耗材提供、驻点人员情况等）；</w:t>
      </w:r>
    </w:p>
    <w:p w14:paraId="7276C3EB">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（9）技术培训计划（若有）；</w:t>
      </w:r>
    </w:p>
    <w:p w14:paraId="1A554341">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（10）投标人履约能力（可包含且不限于技术力量情况、投标人各项能力证书）；</w:t>
      </w:r>
    </w:p>
    <w:p w14:paraId="76508B8C">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（11）案例的业绩证明（投标人业绩情况一览表、合同复印件等）；</w:t>
      </w:r>
    </w:p>
    <w:p w14:paraId="713DE3D3">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（12）投标人认为需要的其他文件资料。</w:t>
      </w:r>
    </w:p>
    <w:p w14:paraId="746453FE">
      <w:pPr>
        <w:snapToGrid w:val="0"/>
        <w:spacing w:before="50" w:after="120" w:afterLines="50"/>
        <w:jc w:val="left"/>
        <w:rPr>
          <w:rFonts w:ascii="仿宋" w:hAnsi="仿宋" w:eastAsia="仿宋" w:cs="Times New Roman"/>
          <w:color w:val="000000"/>
          <w:sz w:val="30"/>
          <w:szCs w:val="30"/>
        </w:rPr>
      </w:pPr>
    </w:p>
    <w:p w14:paraId="4F8BCC88">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附件8：</w:t>
      </w:r>
    </w:p>
    <w:p w14:paraId="53777323">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评分对应表</w:t>
      </w:r>
    </w:p>
    <w:p w14:paraId="60603965">
      <w:pPr>
        <w:snapToGrid w:val="0"/>
        <w:spacing w:before="50"/>
        <w:jc w:val="center"/>
        <w:rPr>
          <w:rFonts w:ascii="仿宋" w:hAnsi="仿宋" w:eastAsia="仿宋" w:cs="Times New Roman"/>
          <w:b/>
          <w:color w:val="000000"/>
          <w:sz w:val="32"/>
          <w:szCs w:val="32"/>
        </w:rPr>
      </w:pPr>
    </w:p>
    <w:p w14:paraId="73F98969">
      <w:pPr>
        <w:snapToGrid w:val="0"/>
        <w:spacing w:before="152" w:after="16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F28E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F5E4677">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29C186C">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29C21FA">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投标文件页码</w:t>
            </w:r>
          </w:p>
        </w:tc>
      </w:tr>
      <w:tr w14:paraId="603A1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D925E78">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D1AF9DB">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7BCF83A">
            <w:pPr>
              <w:snapToGrid w:val="0"/>
              <w:spacing w:before="120" w:beforeLines="50"/>
              <w:rPr>
                <w:rFonts w:ascii="仿宋" w:hAnsi="仿宋" w:eastAsia="仿宋" w:cs="Times New Roman"/>
                <w:color w:val="000000"/>
                <w:sz w:val="30"/>
                <w:szCs w:val="30"/>
              </w:rPr>
            </w:pPr>
          </w:p>
        </w:tc>
      </w:tr>
      <w:tr w14:paraId="68D4A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AB7C3F">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0B578FF">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4055A35">
            <w:pPr>
              <w:snapToGrid w:val="0"/>
              <w:spacing w:before="120" w:beforeLines="50"/>
              <w:ind w:left="43"/>
              <w:rPr>
                <w:rFonts w:ascii="仿宋" w:hAnsi="仿宋" w:eastAsia="仿宋" w:cs="Times New Roman"/>
                <w:color w:val="000000"/>
                <w:sz w:val="30"/>
                <w:szCs w:val="30"/>
              </w:rPr>
            </w:pPr>
          </w:p>
        </w:tc>
      </w:tr>
      <w:tr w14:paraId="7CB8E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004112">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6EB3E49">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589D91E">
            <w:pPr>
              <w:snapToGrid w:val="0"/>
              <w:spacing w:before="120" w:beforeLines="50"/>
              <w:ind w:left="43"/>
              <w:rPr>
                <w:rFonts w:ascii="仿宋" w:hAnsi="仿宋" w:eastAsia="仿宋" w:cs="Times New Roman"/>
                <w:color w:val="000000"/>
                <w:sz w:val="30"/>
                <w:szCs w:val="30"/>
              </w:rPr>
            </w:pPr>
          </w:p>
        </w:tc>
      </w:tr>
      <w:tr w14:paraId="143B2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B035F0A">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233B5D6">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A55F39">
            <w:pPr>
              <w:snapToGrid w:val="0"/>
              <w:spacing w:before="120" w:beforeLines="50"/>
              <w:ind w:left="43"/>
              <w:rPr>
                <w:rFonts w:ascii="仿宋" w:hAnsi="仿宋" w:eastAsia="仿宋" w:cs="Times New Roman"/>
                <w:color w:val="000000"/>
                <w:sz w:val="30"/>
                <w:szCs w:val="30"/>
              </w:rPr>
            </w:pPr>
          </w:p>
        </w:tc>
      </w:tr>
      <w:tr w14:paraId="6DC6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204679">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C5F9BF4">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544BAF">
            <w:pPr>
              <w:snapToGrid w:val="0"/>
              <w:spacing w:before="120" w:beforeLines="50"/>
              <w:rPr>
                <w:rFonts w:ascii="仿宋" w:hAnsi="仿宋" w:eastAsia="仿宋" w:cs="Times New Roman"/>
                <w:color w:val="000000"/>
                <w:sz w:val="30"/>
                <w:szCs w:val="30"/>
              </w:rPr>
            </w:pPr>
          </w:p>
        </w:tc>
      </w:tr>
      <w:tr w14:paraId="0BB54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E1AB75">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461BCA7">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6384EAA">
            <w:pPr>
              <w:snapToGrid w:val="0"/>
              <w:spacing w:before="120" w:beforeLines="50"/>
              <w:rPr>
                <w:rFonts w:ascii="仿宋" w:hAnsi="仿宋" w:eastAsia="仿宋" w:cs="Times New Roman"/>
                <w:color w:val="000000"/>
                <w:sz w:val="30"/>
                <w:szCs w:val="30"/>
              </w:rPr>
            </w:pPr>
          </w:p>
        </w:tc>
      </w:tr>
      <w:tr w14:paraId="0DF1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AF1E29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21592A3">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7886041">
            <w:pPr>
              <w:snapToGrid w:val="0"/>
              <w:spacing w:before="120" w:beforeLines="50"/>
              <w:rPr>
                <w:rFonts w:ascii="仿宋" w:hAnsi="仿宋" w:eastAsia="仿宋" w:cs="Times New Roman"/>
                <w:color w:val="000000"/>
                <w:sz w:val="30"/>
                <w:szCs w:val="30"/>
              </w:rPr>
            </w:pPr>
          </w:p>
        </w:tc>
      </w:tr>
      <w:tr w14:paraId="02F7A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0F69F77">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4BD8B69">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077DB7E">
            <w:pPr>
              <w:snapToGrid w:val="0"/>
              <w:spacing w:before="120" w:beforeLines="50"/>
              <w:rPr>
                <w:rFonts w:ascii="仿宋" w:hAnsi="仿宋" w:eastAsia="仿宋" w:cs="Times New Roman"/>
                <w:color w:val="000000"/>
                <w:sz w:val="30"/>
                <w:szCs w:val="30"/>
              </w:rPr>
            </w:pPr>
          </w:p>
        </w:tc>
      </w:tr>
      <w:tr w14:paraId="3795B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0AA062C">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C3A447D">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6E2C93">
            <w:pPr>
              <w:snapToGrid w:val="0"/>
              <w:spacing w:before="120" w:beforeLines="50"/>
              <w:rPr>
                <w:rFonts w:ascii="仿宋" w:hAnsi="仿宋" w:eastAsia="仿宋" w:cs="Times New Roman"/>
                <w:color w:val="000000"/>
                <w:sz w:val="30"/>
                <w:szCs w:val="30"/>
              </w:rPr>
            </w:pPr>
          </w:p>
        </w:tc>
      </w:tr>
    </w:tbl>
    <w:p w14:paraId="12C6B454">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42576CBE">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附件9：</w:t>
      </w:r>
    </w:p>
    <w:p w14:paraId="51CE597A">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投标项目明细清单</w:t>
      </w:r>
    </w:p>
    <w:p w14:paraId="3B8FBE52">
      <w:pPr>
        <w:snapToGrid w:val="0"/>
        <w:spacing w:before="50" w:after="120" w:afterLines="50"/>
        <w:rPr>
          <w:rFonts w:ascii="仿宋" w:hAnsi="仿宋" w:eastAsia="仿宋" w:cs="Times New Roman"/>
          <w:b/>
          <w:color w:val="000000"/>
          <w:spacing w:val="40"/>
          <w:kern w:val="0"/>
          <w:sz w:val="36"/>
          <w:szCs w:val="36"/>
        </w:rPr>
      </w:pPr>
    </w:p>
    <w:p w14:paraId="4B5AD4FD">
      <w:pPr>
        <w:snapToGrid w:val="0"/>
        <w:spacing w:before="152" w:after="160"/>
        <w:rPr>
          <w:rFonts w:ascii="仿宋" w:hAnsi="仿宋" w:eastAsia="仿宋" w:cs="Times New Roman"/>
          <w:color w:val="000000"/>
          <w:kern w:val="0"/>
          <w:sz w:val="30"/>
          <w:szCs w:val="30"/>
          <w:u w:val="single"/>
        </w:rPr>
      </w:pPr>
      <w:r>
        <w:rPr>
          <w:rFonts w:hint="eastAsia" w:ascii="仿宋" w:hAnsi="仿宋" w:eastAsia="仿宋" w:cs="Times New Roman"/>
          <w:color w:val="000000"/>
          <w:sz w:val="30"/>
          <w:szCs w:val="30"/>
        </w:rPr>
        <w:t>投标人全称（公章）：                标项：</w:t>
      </w:r>
    </w:p>
    <w:p w14:paraId="7C087FE8">
      <w:pPr>
        <w:snapToGrid w:val="0"/>
        <w:spacing w:before="152" w:after="160"/>
        <w:rPr>
          <w:rFonts w:ascii="仿宋" w:hAnsi="仿宋" w:eastAsia="仿宋" w:cs="Times New Roman"/>
          <w:color w:val="000000"/>
          <w:sz w:val="30"/>
          <w:szCs w:val="30"/>
        </w:rPr>
      </w:pPr>
      <w:r>
        <w:rPr>
          <w:rFonts w:hint="eastAsia" w:ascii="仿宋" w:hAnsi="仿宋" w:eastAsia="仿宋" w:cs="Times New Roman"/>
          <w:color w:val="000000"/>
          <w:sz w:val="30"/>
          <w:szCs w:val="30"/>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E57D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9CC555">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356D4C6">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CBB8E57">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A11A059">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规格</w:t>
            </w:r>
          </w:p>
          <w:p w14:paraId="2359D3C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A852AE8">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单位及</w:t>
            </w:r>
          </w:p>
          <w:p w14:paraId="791D51E7">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7F7B3C3">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8E3B709">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产地</w:t>
            </w:r>
          </w:p>
        </w:tc>
      </w:tr>
      <w:tr w14:paraId="3FD1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82C027">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5CAA523">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56E256D">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5FA6DC6">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003C5EE">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5E71D83">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1970BD4">
            <w:pPr>
              <w:snapToGrid w:val="0"/>
              <w:spacing w:before="50" w:after="50"/>
              <w:jc w:val="center"/>
              <w:rPr>
                <w:rFonts w:ascii="仿宋" w:hAnsi="仿宋" w:eastAsia="仿宋" w:cs="Times New Roman"/>
                <w:color w:val="000000"/>
                <w:sz w:val="30"/>
                <w:szCs w:val="30"/>
              </w:rPr>
            </w:pPr>
          </w:p>
        </w:tc>
      </w:tr>
      <w:tr w14:paraId="5A43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3EBB25">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DB1D9F1">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C459C3C">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018ADEA">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079CFB9">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C98EC7C">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44AE65A">
            <w:pPr>
              <w:snapToGrid w:val="0"/>
              <w:spacing w:before="50" w:after="50"/>
              <w:jc w:val="center"/>
              <w:rPr>
                <w:rFonts w:ascii="仿宋" w:hAnsi="仿宋" w:eastAsia="仿宋" w:cs="Times New Roman"/>
                <w:color w:val="000000"/>
                <w:sz w:val="30"/>
                <w:szCs w:val="30"/>
              </w:rPr>
            </w:pPr>
          </w:p>
        </w:tc>
      </w:tr>
    </w:tbl>
    <w:p w14:paraId="62B73DFD">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A288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FB5DE77">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C7DF1E4">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F2BA758">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CBA0ED8">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工作量</w:t>
            </w:r>
          </w:p>
        </w:tc>
      </w:tr>
      <w:tr w14:paraId="1F545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616A294">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825BD13">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B3E2BE8">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89F0117">
            <w:pPr>
              <w:snapToGrid w:val="0"/>
              <w:spacing w:before="50" w:after="50"/>
              <w:jc w:val="center"/>
              <w:rPr>
                <w:rFonts w:ascii="仿宋" w:hAnsi="仿宋" w:eastAsia="仿宋" w:cs="Times New Roman"/>
                <w:color w:val="000000"/>
                <w:sz w:val="30"/>
                <w:szCs w:val="30"/>
              </w:rPr>
            </w:pPr>
          </w:p>
        </w:tc>
      </w:tr>
      <w:tr w14:paraId="34427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3075E4">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D394EAE">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E97F3E5">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4DBF399">
            <w:pPr>
              <w:snapToGrid w:val="0"/>
              <w:spacing w:before="50" w:after="50"/>
              <w:jc w:val="center"/>
              <w:rPr>
                <w:rFonts w:ascii="仿宋" w:hAnsi="仿宋" w:eastAsia="仿宋" w:cs="Times New Roman"/>
                <w:color w:val="000000"/>
                <w:sz w:val="30"/>
                <w:szCs w:val="30"/>
              </w:rPr>
            </w:pPr>
          </w:p>
        </w:tc>
      </w:tr>
    </w:tbl>
    <w:p w14:paraId="0DB5253F">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注：在填写时，如上表不适合本项目的实际情况，可在确保投标明细内容完整的情况下，根据上表格式自行划表填写。</w:t>
      </w:r>
    </w:p>
    <w:p w14:paraId="1BE43DA9">
      <w:pPr>
        <w:snapToGrid w:val="0"/>
        <w:spacing w:before="120" w:beforeLines="50"/>
        <w:rPr>
          <w:rFonts w:ascii="仿宋" w:hAnsi="仿宋" w:eastAsia="仿宋" w:cs="Times New Roman"/>
          <w:color w:val="000000"/>
          <w:sz w:val="30"/>
          <w:szCs w:val="30"/>
        </w:rPr>
      </w:pPr>
    </w:p>
    <w:p w14:paraId="79F09F52">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667671D8">
      <w:pPr>
        <w:snapToGrid w:val="0"/>
        <w:spacing w:before="50" w:after="50"/>
        <w:rPr>
          <w:rFonts w:ascii="仿宋" w:hAnsi="仿宋" w:eastAsia="仿宋" w:cs="Times New Roman"/>
          <w:color w:val="000000"/>
          <w:spacing w:val="20"/>
          <w:sz w:val="30"/>
          <w:szCs w:val="30"/>
        </w:rPr>
      </w:pPr>
    </w:p>
    <w:p w14:paraId="229D1B72">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kern w:val="0"/>
          <w:sz w:val="30"/>
          <w:szCs w:val="30"/>
        </w:rPr>
        <w:br w:type="page"/>
      </w:r>
      <w:r>
        <w:rPr>
          <w:rFonts w:hint="eastAsia" w:ascii="仿宋" w:hAnsi="仿宋" w:eastAsia="仿宋" w:cs="Times New Roman"/>
          <w:color w:val="000000"/>
          <w:sz w:val="30"/>
          <w:szCs w:val="30"/>
        </w:rPr>
        <w:t>附件10：</w:t>
      </w:r>
    </w:p>
    <w:p w14:paraId="7CF86F17">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技 术 响 应 表</w:t>
      </w:r>
    </w:p>
    <w:p w14:paraId="4C6188A4">
      <w:pPr>
        <w:snapToGrid w:val="0"/>
        <w:spacing w:before="50" w:after="120" w:afterLines="50"/>
        <w:rPr>
          <w:rFonts w:ascii="仿宋" w:hAnsi="仿宋" w:eastAsia="仿宋" w:cs="Times New Roman"/>
          <w:b/>
          <w:color w:val="000000"/>
          <w:sz w:val="32"/>
          <w:szCs w:val="32"/>
        </w:rPr>
      </w:pPr>
    </w:p>
    <w:p w14:paraId="1D45488C">
      <w:pPr>
        <w:snapToGrid w:val="0"/>
        <w:spacing w:before="152" w:after="16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CAC6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08BDD57">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33E04569">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78893A49">
            <w:pPr>
              <w:snapToGrid w:val="0"/>
              <w:spacing w:before="50" w:after="120" w:after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 xml:space="preserve">偏离情况      </w:t>
            </w:r>
          </w:p>
        </w:tc>
      </w:tr>
      <w:tr w14:paraId="407D8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700F892">
            <w:pPr>
              <w:snapToGrid w:val="0"/>
              <w:spacing w:before="120" w:beforeLines="50" w:after="120" w:afterLines="50" w:line="400" w:lineRule="exact"/>
              <w:outlineLvl w:val="0"/>
              <w:rPr>
                <w:rFonts w:ascii="仿宋" w:hAnsi="仿宋" w:eastAsia="仿宋" w:cs="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A12688A">
            <w:pPr>
              <w:snapToGrid w:val="0"/>
              <w:spacing w:before="120" w:beforeLines="50" w:after="120" w:afterLines="50"/>
              <w:outlineLvl w:val="0"/>
              <w:rPr>
                <w:rFonts w:ascii="仿宋" w:hAnsi="仿宋" w:eastAsia="仿宋" w:cs="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256952A">
            <w:pPr>
              <w:snapToGrid w:val="0"/>
              <w:spacing w:before="120" w:beforeLines="50" w:after="120" w:afterLines="50"/>
              <w:outlineLvl w:val="0"/>
              <w:rPr>
                <w:rFonts w:ascii="仿宋" w:hAnsi="仿宋" w:eastAsia="仿宋" w:cs="Times New Roman"/>
                <w:color w:val="000000"/>
                <w:sz w:val="30"/>
                <w:szCs w:val="30"/>
              </w:rPr>
            </w:pPr>
          </w:p>
        </w:tc>
      </w:tr>
      <w:tr w14:paraId="39227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FB59689">
            <w:pPr>
              <w:snapToGrid w:val="0"/>
              <w:spacing w:before="120" w:beforeLines="50" w:after="120" w:afterLines="50" w:line="400" w:lineRule="exact"/>
              <w:outlineLvl w:val="0"/>
              <w:rPr>
                <w:rFonts w:ascii="仿宋" w:hAnsi="仿宋" w:eastAsia="仿宋" w:cs="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81DDFAC">
            <w:pPr>
              <w:snapToGrid w:val="0"/>
              <w:spacing w:before="120" w:beforeLines="50" w:after="120" w:afterLines="50"/>
              <w:rPr>
                <w:rFonts w:ascii="仿宋" w:hAnsi="仿宋" w:eastAsia="仿宋" w:cs="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9D77A03">
            <w:pPr>
              <w:snapToGrid w:val="0"/>
              <w:spacing w:before="120" w:beforeLines="50" w:after="120" w:afterLines="50"/>
              <w:rPr>
                <w:rFonts w:ascii="仿宋" w:hAnsi="仿宋" w:eastAsia="仿宋" w:cs="Times New Roman"/>
                <w:color w:val="000000"/>
                <w:sz w:val="30"/>
                <w:szCs w:val="30"/>
              </w:rPr>
            </w:pPr>
          </w:p>
        </w:tc>
      </w:tr>
      <w:tr w14:paraId="14B9E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AE35927">
            <w:pPr>
              <w:snapToGrid w:val="0"/>
              <w:spacing w:before="120" w:beforeLines="50" w:after="120" w:afterLines="50" w:line="400" w:lineRule="exact"/>
              <w:outlineLvl w:val="0"/>
              <w:rPr>
                <w:rFonts w:ascii="仿宋" w:hAnsi="仿宋" w:eastAsia="仿宋" w:cs="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8DDAB64">
            <w:pPr>
              <w:snapToGrid w:val="0"/>
              <w:spacing w:before="120" w:beforeLines="50" w:after="120" w:afterLines="50"/>
              <w:outlineLvl w:val="0"/>
              <w:rPr>
                <w:rFonts w:ascii="仿宋" w:hAnsi="仿宋" w:eastAsia="仿宋" w:cs="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FE6D74B">
            <w:pPr>
              <w:snapToGrid w:val="0"/>
              <w:spacing w:before="120" w:beforeLines="50" w:after="120" w:afterLines="50"/>
              <w:outlineLvl w:val="0"/>
              <w:rPr>
                <w:rFonts w:ascii="仿宋" w:hAnsi="仿宋" w:eastAsia="仿宋" w:cs="Times New Roman"/>
                <w:color w:val="000000"/>
                <w:sz w:val="30"/>
                <w:szCs w:val="30"/>
              </w:rPr>
            </w:pPr>
          </w:p>
        </w:tc>
      </w:tr>
      <w:tr w14:paraId="3ED95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9FF4680">
            <w:pPr>
              <w:snapToGrid w:val="0"/>
              <w:spacing w:before="120" w:beforeLines="50" w:after="120" w:afterLines="50" w:line="400" w:lineRule="exact"/>
              <w:outlineLvl w:val="0"/>
              <w:rPr>
                <w:rFonts w:ascii="仿宋" w:hAnsi="仿宋" w:eastAsia="仿宋" w:cs="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3A94136">
            <w:pPr>
              <w:snapToGrid w:val="0"/>
              <w:spacing w:before="120" w:beforeLines="50" w:after="120" w:afterLines="50"/>
              <w:outlineLvl w:val="0"/>
              <w:rPr>
                <w:rFonts w:ascii="仿宋" w:hAnsi="仿宋" w:eastAsia="仿宋" w:cs="Times New Roman"/>
                <w:color w:val="000000"/>
                <w:sz w:val="30"/>
                <w:szCs w:val="30"/>
              </w:rPr>
            </w:pPr>
          </w:p>
        </w:tc>
        <w:tc>
          <w:tcPr>
            <w:tcW w:w="2423" w:type="dxa"/>
            <w:tcBorders>
              <w:top w:val="single" w:color="auto" w:sz="4" w:space="0"/>
              <w:left w:val="single" w:color="auto" w:sz="4" w:space="0"/>
              <w:bottom w:val="nil"/>
              <w:right w:val="single" w:color="auto" w:sz="4" w:space="0"/>
            </w:tcBorders>
          </w:tcPr>
          <w:p w14:paraId="19B9D869">
            <w:pPr>
              <w:snapToGrid w:val="0"/>
              <w:spacing w:before="120" w:beforeLines="50" w:after="120" w:afterLines="50"/>
              <w:outlineLvl w:val="0"/>
              <w:rPr>
                <w:rFonts w:ascii="仿宋" w:hAnsi="仿宋" w:eastAsia="仿宋" w:cs="Times New Roman"/>
                <w:color w:val="000000"/>
                <w:sz w:val="30"/>
                <w:szCs w:val="30"/>
              </w:rPr>
            </w:pPr>
          </w:p>
        </w:tc>
      </w:tr>
      <w:tr w14:paraId="51CF8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E5FB820">
            <w:pPr>
              <w:snapToGrid w:val="0"/>
              <w:spacing w:before="120" w:beforeLines="50" w:after="120" w:afterLines="50" w:line="400" w:lineRule="exact"/>
              <w:outlineLvl w:val="0"/>
              <w:rPr>
                <w:rFonts w:ascii="仿宋" w:hAnsi="仿宋" w:eastAsia="仿宋" w:cs="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4804DAE">
            <w:pPr>
              <w:snapToGrid w:val="0"/>
              <w:spacing w:before="120" w:beforeLines="50" w:after="120" w:afterLines="50"/>
              <w:outlineLvl w:val="0"/>
              <w:rPr>
                <w:rFonts w:ascii="仿宋" w:hAnsi="仿宋" w:eastAsia="仿宋" w:cs="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1814F1A">
            <w:pPr>
              <w:snapToGrid w:val="0"/>
              <w:spacing w:before="120" w:beforeLines="50" w:after="120" w:afterLines="50"/>
              <w:outlineLvl w:val="0"/>
              <w:rPr>
                <w:rFonts w:ascii="仿宋" w:hAnsi="仿宋" w:eastAsia="仿宋" w:cs="Times New Roman"/>
                <w:color w:val="000000"/>
                <w:sz w:val="30"/>
                <w:szCs w:val="30"/>
              </w:rPr>
            </w:pPr>
          </w:p>
        </w:tc>
      </w:tr>
      <w:tr w14:paraId="0B6AF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2C893C0">
            <w:pPr>
              <w:snapToGrid w:val="0"/>
              <w:spacing w:before="120" w:beforeLines="50" w:after="120" w:afterLines="50" w:line="400" w:lineRule="exact"/>
              <w:outlineLvl w:val="0"/>
              <w:rPr>
                <w:rFonts w:ascii="仿宋" w:hAnsi="仿宋" w:eastAsia="仿宋" w:cs="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46A45B3">
            <w:pPr>
              <w:snapToGrid w:val="0"/>
              <w:spacing w:before="120" w:beforeLines="50" w:after="120" w:afterLines="50"/>
              <w:outlineLvl w:val="0"/>
              <w:rPr>
                <w:rFonts w:ascii="仿宋" w:hAnsi="仿宋" w:eastAsia="仿宋" w:cs="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997D94B">
            <w:pPr>
              <w:snapToGrid w:val="0"/>
              <w:spacing w:before="120" w:beforeLines="50" w:after="120" w:afterLines="50"/>
              <w:outlineLvl w:val="0"/>
              <w:rPr>
                <w:rFonts w:ascii="仿宋" w:hAnsi="仿宋" w:eastAsia="仿宋" w:cs="Times New Roman"/>
                <w:color w:val="000000"/>
                <w:sz w:val="30"/>
                <w:szCs w:val="30"/>
              </w:rPr>
            </w:pPr>
          </w:p>
        </w:tc>
      </w:tr>
    </w:tbl>
    <w:p w14:paraId="13C1F19D">
      <w:pPr>
        <w:snapToGrid w:val="0"/>
        <w:spacing w:before="50" w:after="50"/>
        <w:rPr>
          <w:rFonts w:ascii="仿宋" w:hAnsi="仿宋" w:eastAsia="仿宋" w:cs="Times New Roman"/>
          <w:b/>
          <w:bCs/>
          <w:color w:val="000000"/>
          <w:spacing w:val="20"/>
          <w:kern w:val="0"/>
          <w:sz w:val="30"/>
          <w:szCs w:val="30"/>
        </w:rPr>
      </w:pPr>
      <w:r>
        <w:rPr>
          <w:rFonts w:hint="eastAsia" w:ascii="仿宋" w:hAnsi="仿宋" w:eastAsia="仿宋" w:cs="Times New Roman"/>
          <w:b/>
          <w:bCs/>
          <w:color w:val="000000"/>
          <w:sz w:val="30"/>
          <w:szCs w:val="30"/>
        </w:rPr>
        <w:t>注：投标人应根据投标设备的性能指标、对照招标文件要求在“偏离情况”栏注明“正偏离”、“负偏离”或“无偏离”。</w:t>
      </w:r>
    </w:p>
    <w:p w14:paraId="10AE1506">
      <w:pPr>
        <w:snapToGrid w:val="0"/>
        <w:spacing w:before="50" w:after="50"/>
        <w:rPr>
          <w:rFonts w:ascii="仿宋" w:hAnsi="仿宋" w:eastAsia="仿宋" w:cs="Times New Roman"/>
          <w:color w:val="000000"/>
          <w:spacing w:val="20"/>
          <w:sz w:val="30"/>
          <w:szCs w:val="30"/>
        </w:rPr>
      </w:pPr>
    </w:p>
    <w:p w14:paraId="2326194D">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sz w:val="30"/>
          <w:szCs w:val="30"/>
        </w:rPr>
        <w:t>授权代表签名：          日 期：</w:t>
      </w:r>
    </w:p>
    <w:p w14:paraId="6371A206">
      <w:pPr>
        <w:snapToGrid w:val="0"/>
        <w:spacing w:before="50" w:after="120" w:afterLines="50"/>
        <w:jc w:val="left"/>
        <w:rPr>
          <w:rFonts w:ascii="仿宋" w:hAnsi="仿宋" w:eastAsia="仿宋" w:cs="Times New Roman"/>
          <w:color w:val="000000"/>
          <w:sz w:val="30"/>
          <w:szCs w:val="30"/>
        </w:rPr>
      </w:pPr>
    </w:p>
    <w:p w14:paraId="367E9930">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附件11：</w:t>
      </w:r>
    </w:p>
    <w:p w14:paraId="6CED5323">
      <w:pPr>
        <w:snapToGrid w:val="0"/>
        <w:spacing w:before="50" w:after="120" w:afterLines="50"/>
        <w:jc w:val="center"/>
        <w:rPr>
          <w:rFonts w:ascii="仿宋" w:hAnsi="仿宋" w:eastAsia="仿宋" w:cs="Times New Roman"/>
          <w:b/>
          <w:color w:val="000000"/>
          <w:kern w:val="0"/>
          <w:sz w:val="36"/>
          <w:szCs w:val="36"/>
        </w:rPr>
      </w:pPr>
      <w:r>
        <w:rPr>
          <w:rFonts w:hint="eastAsia" w:ascii="仿宋" w:hAnsi="仿宋" w:eastAsia="仿宋" w:cs="Times New Roman"/>
          <w:b/>
          <w:color w:val="000000"/>
          <w:kern w:val="0"/>
          <w:sz w:val="36"/>
          <w:szCs w:val="36"/>
        </w:rPr>
        <w:t>项目组人员清单</w:t>
      </w:r>
    </w:p>
    <w:p w14:paraId="5D9FA38C">
      <w:pPr>
        <w:snapToGrid w:val="0"/>
        <w:spacing w:before="120" w:beforeLines="50" w:after="50"/>
        <w:rPr>
          <w:rFonts w:ascii="仿宋" w:hAnsi="仿宋" w:eastAsia="仿宋" w:cs="Times New Roman"/>
          <w:b/>
          <w:color w:val="000000"/>
          <w:sz w:val="30"/>
          <w:szCs w:val="30"/>
        </w:rPr>
      </w:pPr>
    </w:p>
    <w:p w14:paraId="7FEFA9F7">
      <w:pPr>
        <w:snapToGrid w:val="0"/>
        <w:spacing w:before="152" w:after="16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829E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00530AA">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DE33CF1">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6162E0D">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专业技</w:t>
            </w:r>
          </w:p>
          <w:p w14:paraId="6743E1E7">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D263965">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证书</w:t>
            </w:r>
          </w:p>
          <w:p w14:paraId="1C491D4F">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5EAA6FE">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FE0AA70">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劳动合</w:t>
            </w:r>
          </w:p>
          <w:p w14:paraId="3B748FD4">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同编号</w:t>
            </w:r>
          </w:p>
        </w:tc>
      </w:tr>
      <w:tr w14:paraId="6A097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335092">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21E0028">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641C997">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541D4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B1009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7065A0">
            <w:pPr>
              <w:snapToGrid w:val="0"/>
              <w:spacing w:before="120" w:beforeLines="50" w:after="50" w:line="460" w:lineRule="exact"/>
              <w:rPr>
                <w:rFonts w:ascii="仿宋" w:hAnsi="仿宋" w:eastAsia="仿宋" w:cs="Times New Roman"/>
                <w:b/>
                <w:bCs/>
                <w:color w:val="000000"/>
                <w:kern w:val="0"/>
                <w:sz w:val="30"/>
                <w:szCs w:val="30"/>
              </w:rPr>
            </w:pPr>
          </w:p>
        </w:tc>
      </w:tr>
      <w:tr w14:paraId="0039D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7B5EA9">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BF05020">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4B31517">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735B93">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51956C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8875581">
            <w:pPr>
              <w:snapToGrid w:val="0"/>
              <w:spacing w:before="120" w:beforeLines="50" w:after="50" w:line="460" w:lineRule="exact"/>
              <w:rPr>
                <w:rFonts w:ascii="仿宋" w:hAnsi="仿宋" w:eastAsia="仿宋" w:cs="Times New Roman"/>
                <w:b/>
                <w:bCs/>
                <w:color w:val="000000"/>
                <w:kern w:val="0"/>
                <w:sz w:val="30"/>
                <w:szCs w:val="30"/>
              </w:rPr>
            </w:pPr>
          </w:p>
        </w:tc>
      </w:tr>
      <w:tr w14:paraId="1B17D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BEF05A">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F64826">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3FAA495">
            <w:pPr>
              <w:snapToGrid w:val="0"/>
              <w:spacing w:before="120" w:beforeLines="50" w:after="120" w:line="460" w:lineRule="exact"/>
              <w:ind w:left="5250" w:leftChars="2500"/>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040368E">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20E0CA">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BFF35D">
            <w:pPr>
              <w:snapToGrid w:val="0"/>
              <w:spacing w:before="120" w:beforeLines="50" w:after="50" w:line="460" w:lineRule="exact"/>
              <w:rPr>
                <w:rFonts w:ascii="仿宋" w:hAnsi="仿宋" w:eastAsia="仿宋" w:cs="Times New Roman"/>
                <w:b/>
                <w:bCs/>
                <w:color w:val="000000"/>
                <w:kern w:val="0"/>
                <w:sz w:val="30"/>
                <w:szCs w:val="30"/>
              </w:rPr>
            </w:pPr>
          </w:p>
        </w:tc>
      </w:tr>
      <w:tr w14:paraId="2FEE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D97BA2">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4319703">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95C76FC">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96E2B0">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849CDE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7658777">
            <w:pPr>
              <w:snapToGrid w:val="0"/>
              <w:spacing w:before="120" w:beforeLines="50" w:after="50" w:line="460" w:lineRule="exact"/>
              <w:rPr>
                <w:rFonts w:ascii="仿宋" w:hAnsi="仿宋" w:eastAsia="仿宋" w:cs="Times New Roman"/>
                <w:b/>
                <w:bCs/>
                <w:color w:val="000000"/>
                <w:kern w:val="0"/>
                <w:sz w:val="30"/>
                <w:szCs w:val="30"/>
              </w:rPr>
            </w:pPr>
          </w:p>
        </w:tc>
      </w:tr>
      <w:tr w14:paraId="740D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AEDDCE">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6DC3789">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4818AFE">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DDF6D93">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A961EF">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FFE0A3">
            <w:pPr>
              <w:snapToGrid w:val="0"/>
              <w:spacing w:before="120" w:beforeLines="50" w:after="50" w:line="460" w:lineRule="exact"/>
              <w:rPr>
                <w:rFonts w:ascii="仿宋" w:hAnsi="仿宋" w:eastAsia="仿宋" w:cs="Times New Roman"/>
                <w:b/>
                <w:bCs/>
                <w:color w:val="000000"/>
                <w:kern w:val="0"/>
                <w:sz w:val="30"/>
                <w:szCs w:val="30"/>
              </w:rPr>
            </w:pPr>
          </w:p>
        </w:tc>
      </w:tr>
      <w:tr w14:paraId="25F6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478E33">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FD5153F">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A03AAF">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3669E2">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4702A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698FC59">
            <w:pPr>
              <w:snapToGrid w:val="0"/>
              <w:spacing w:before="120" w:beforeLines="50" w:after="50" w:line="460" w:lineRule="exact"/>
              <w:rPr>
                <w:rFonts w:ascii="仿宋" w:hAnsi="仿宋" w:eastAsia="仿宋" w:cs="Times New Roman"/>
                <w:b/>
                <w:bCs/>
                <w:color w:val="000000"/>
                <w:kern w:val="0"/>
                <w:sz w:val="30"/>
                <w:szCs w:val="30"/>
              </w:rPr>
            </w:pPr>
          </w:p>
        </w:tc>
      </w:tr>
      <w:tr w14:paraId="576C1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3383BD">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2BA974F">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AF841BF">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4EF503">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5C9A2F">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4C1A52">
            <w:pPr>
              <w:snapToGrid w:val="0"/>
              <w:spacing w:before="120" w:beforeLines="50" w:after="50" w:line="460" w:lineRule="exact"/>
              <w:rPr>
                <w:rFonts w:ascii="仿宋" w:hAnsi="仿宋" w:eastAsia="仿宋" w:cs="Times New Roman"/>
                <w:b/>
                <w:bCs/>
                <w:color w:val="000000"/>
                <w:kern w:val="0"/>
                <w:sz w:val="30"/>
                <w:szCs w:val="30"/>
              </w:rPr>
            </w:pPr>
          </w:p>
        </w:tc>
      </w:tr>
      <w:tr w14:paraId="7301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2307D7">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6082C36">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910F973">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6B53ED6">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2652D62">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B233416">
            <w:pPr>
              <w:snapToGrid w:val="0"/>
              <w:spacing w:before="120" w:beforeLines="50" w:after="50" w:line="460" w:lineRule="exact"/>
              <w:rPr>
                <w:rFonts w:ascii="仿宋" w:hAnsi="仿宋" w:eastAsia="仿宋" w:cs="Times New Roman"/>
                <w:b/>
                <w:bCs/>
                <w:color w:val="000000"/>
                <w:kern w:val="0"/>
                <w:sz w:val="30"/>
                <w:szCs w:val="30"/>
              </w:rPr>
            </w:pPr>
          </w:p>
        </w:tc>
      </w:tr>
      <w:tr w14:paraId="78950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4060F0">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E5C93C6">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2A8029A">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B026195">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B4E0CE2">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4CCA39">
            <w:pPr>
              <w:snapToGrid w:val="0"/>
              <w:spacing w:before="120" w:beforeLines="50" w:after="50" w:line="460" w:lineRule="exact"/>
              <w:rPr>
                <w:rFonts w:ascii="仿宋" w:hAnsi="仿宋" w:eastAsia="仿宋" w:cs="Times New Roman"/>
                <w:b/>
                <w:bCs/>
                <w:color w:val="000000"/>
                <w:kern w:val="0"/>
                <w:sz w:val="30"/>
                <w:szCs w:val="30"/>
              </w:rPr>
            </w:pPr>
          </w:p>
        </w:tc>
      </w:tr>
    </w:tbl>
    <w:p w14:paraId="0DBA68D8">
      <w:pPr>
        <w:snapToGrid w:val="0"/>
        <w:spacing w:before="50" w:after="120" w:afterLines="50" w:line="460" w:lineRule="exact"/>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注：在填写时，如本表格不适合投标单位的实际情况，可根据本表格式自行划表填写。 </w:t>
      </w:r>
    </w:p>
    <w:p w14:paraId="7BAD9246">
      <w:pPr>
        <w:snapToGrid w:val="0"/>
        <w:spacing w:before="50" w:after="120" w:afterLines="50" w:line="460" w:lineRule="exact"/>
        <w:jc w:val="left"/>
        <w:rPr>
          <w:rFonts w:ascii="仿宋" w:hAnsi="仿宋" w:eastAsia="仿宋" w:cs="Times New Roman"/>
          <w:color w:val="000000"/>
          <w:sz w:val="30"/>
          <w:szCs w:val="30"/>
        </w:rPr>
      </w:pPr>
    </w:p>
    <w:p w14:paraId="087C870F">
      <w:pPr>
        <w:snapToGrid w:val="0"/>
        <w:spacing w:before="50" w:after="50" w:line="460" w:lineRule="exact"/>
        <w:rPr>
          <w:rFonts w:ascii="仿宋" w:hAnsi="仿宋" w:eastAsia="仿宋" w:cs="Times New Roman"/>
          <w:color w:val="000000"/>
          <w:spacing w:val="20"/>
          <w:sz w:val="30"/>
          <w:szCs w:val="30"/>
          <w:u w:val="single"/>
        </w:rPr>
      </w:pPr>
      <w:r>
        <w:rPr>
          <w:rFonts w:hint="eastAsia" w:ascii="仿宋" w:hAnsi="仿宋" w:eastAsia="仿宋" w:cs="Times New Roman"/>
          <w:color w:val="000000"/>
          <w:spacing w:val="20"/>
          <w:sz w:val="30"/>
          <w:szCs w:val="30"/>
        </w:rPr>
        <w:t>授权代表签名： 日  期：</w:t>
      </w:r>
    </w:p>
    <w:p w14:paraId="31CD9D41">
      <w:pPr>
        <w:snapToGrid w:val="0"/>
        <w:spacing w:before="50" w:after="120" w:afterLines="50" w:line="460" w:lineRule="exact"/>
        <w:jc w:val="left"/>
        <w:rPr>
          <w:rFonts w:ascii="仿宋" w:hAnsi="仿宋" w:eastAsia="仿宋" w:cs="Times New Roman"/>
          <w:color w:val="000000"/>
          <w:sz w:val="30"/>
          <w:szCs w:val="30"/>
        </w:rPr>
      </w:pPr>
    </w:p>
    <w:p w14:paraId="2D5C1913">
      <w:pPr>
        <w:snapToGrid w:val="0"/>
        <w:spacing w:before="120" w:beforeLines="50" w:after="120" w:afterLines="50" w:line="460" w:lineRule="exact"/>
        <w:rPr>
          <w:rFonts w:ascii="仿宋" w:hAnsi="仿宋" w:eastAsia="仿宋" w:cs="Times New Roman"/>
          <w:color w:val="000000"/>
          <w:sz w:val="30"/>
          <w:szCs w:val="30"/>
        </w:rPr>
      </w:pPr>
    </w:p>
    <w:p w14:paraId="26E501F9">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附件12：</w:t>
      </w:r>
    </w:p>
    <w:p w14:paraId="11692833">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商务响应表</w:t>
      </w:r>
    </w:p>
    <w:p w14:paraId="64101A23">
      <w:pPr>
        <w:snapToGrid w:val="0"/>
        <w:spacing w:before="50"/>
        <w:jc w:val="center"/>
        <w:rPr>
          <w:rFonts w:ascii="仿宋" w:hAnsi="仿宋" w:eastAsia="仿宋" w:cs="Times New Roman"/>
          <w:b/>
          <w:color w:val="000000"/>
          <w:sz w:val="32"/>
          <w:szCs w:val="32"/>
        </w:rPr>
      </w:pPr>
    </w:p>
    <w:p w14:paraId="33BB47F5">
      <w:pPr>
        <w:snapToGrid w:val="0"/>
        <w:spacing w:before="152" w:after="16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57F0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BCDA40A">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0DB1A96">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8A612AC">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是否</w:t>
            </w:r>
          </w:p>
          <w:p w14:paraId="27C91219">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E4B88B2">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投标人的承诺或说明</w:t>
            </w:r>
          </w:p>
        </w:tc>
      </w:tr>
      <w:tr w14:paraId="362FC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0FEAAB3">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AD325E0">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1551F50C">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D013DC8">
            <w:pPr>
              <w:snapToGrid w:val="0"/>
              <w:jc w:val="left"/>
              <w:rPr>
                <w:rFonts w:ascii="仿宋" w:hAnsi="仿宋" w:eastAsia="仿宋" w:cs="Times New Roman"/>
                <w:color w:val="000000"/>
                <w:sz w:val="28"/>
                <w:szCs w:val="28"/>
              </w:rPr>
            </w:pPr>
          </w:p>
        </w:tc>
      </w:tr>
      <w:tr w14:paraId="4A8BB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C77A072">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33B640A6">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72D25A1">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ABF5B57">
            <w:pPr>
              <w:snapToGrid w:val="0"/>
              <w:jc w:val="left"/>
              <w:rPr>
                <w:rFonts w:ascii="仿宋" w:hAnsi="仿宋" w:eastAsia="仿宋" w:cs="Times New Roman"/>
                <w:color w:val="000000"/>
                <w:sz w:val="28"/>
                <w:szCs w:val="28"/>
              </w:rPr>
            </w:pPr>
          </w:p>
        </w:tc>
      </w:tr>
      <w:tr w14:paraId="43597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E675B7F">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AF91C86">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41FF49BB">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37BB0C02">
            <w:pPr>
              <w:snapToGrid w:val="0"/>
              <w:jc w:val="left"/>
              <w:rPr>
                <w:rFonts w:ascii="仿宋" w:hAnsi="仿宋" w:eastAsia="仿宋" w:cs="Times New Roman"/>
                <w:color w:val="000000"/>
                <w:sz w:val="28"/>
                <w:szCs w:val="28"/>
              </w:rPr>
            </w:pPr>
          </w:p>
        </w:tc>
      </w:tr>
      <w:tr w14:paraId="4F4FB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40F06E0">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74E99CB8">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4B4D806">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2FFD698">
            <w:pPr>
              <w:snapToGrid w:val="0"/>
              <w:jc w:val="left"/>
              <w:rPr>
                <w:rFonts w:ascii="仿宋" w:hAnsi="仿宋" w:eastAsia="仿宋" w:cs="Times New Roman"/>
                <w:color w:val="000000"/>
                <w:sz w:val="28"/>
                <w:szCs w:val="28"/>
              </w:rPr>
            </w:pPr>
          </w:p>
        </w:tc>
      </w:tr>
      <w:tr w14:paraId="13689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E9EF4E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3045D320">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C776364">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7C0F595">
            <w:pPr>
              <w:snapToGrid w:val="0"/>
              <w:jc w:val="left"/>
              <w:rPr>
                <w:rFonts w:ascii="仿宋" w:hAnsi="仿宋" w:eastAsia="仿宋" w:cs="Times New Roman"/>
                <w:color w:val="000000"/>
                <w:sz w:val="28"/>
                <w:szCs w:val="28"/>
              </w:rPr>
            </w:pPr>
          </w:p>
        </w:tc>
      </w:tr>
      <w:tr w14:paraId="2125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DD1DE79">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6B6BE3CF">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139E49F">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4B5C35D">
            <w:pPr>
              <w:snapToGrid w:val="0"/>
              <w:jc w:val="left"/>
              <w:rPr>
                <w:rFonts w:ascii="仿宋" w:hAnsi="仿宋" w:eastAsia="仿宋" w:cs="Times New Roman"/>
                <w:color w:val="000000"/>
                <w:sz w:val="28"/>
                <w:szCs w:val="28"/>
              </w:rPr>
            </w:pPr>
          </w:p>
        </w:tc>
      </w:tr>
      <w:tr w14:paraId="717BA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ACE2FCC">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1693512F">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14371D94">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754A8E3">
            <w:pPr>
              <w:snapToGrid w:val="0"/>
              <w:jc w:val="left"/>
              <w:rPr>
                <w:rFonts w:ascii="仿宋" w:hAnsi="仿宋" w:eastAsia="仿宋" w:cs="Times New Roman"/>
                <w:color w:val="000000"/>
                <w:sz w:val="28"/>
                <w:szCs w:val="28"/>
              </w:rPr>
            </w:pPr>
          </w:p>
        </w:tc>
      </w:tr>
      <w:tr w14:paraId="50AB7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34856DD">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9C3BA74">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181B5520">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33FE46B">
            <w:pPr>
              <w:snapToGrid w:val="0"/>
              <w:jc w:val="left"/>
              <w:rPr>
                <w:rFonts w:ascii="仿宋" w:hAnsi="仿宋" w:eastAsia="仿宋" w:cs="Times New Roman"/>
                <w:color w:val="000000"/>
                <w:sz w:val="28"/>
                <w:szCs w:val="28"/>
              </w:rPr>
            </w:pPr>
          </w:p>
        </w:tc>
      </w:tr>
      <w:tr w14:paraId="2F9E1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06806033">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23745107">
            <w:pPr>
              <w:snapToGrid w:val="0"/>
              <w:spacing w:before="120" w:beforeLines="50"/>
              <w:rPr>
                <w:rFonts w:ascii="仿宋" w:hAnsi="仿宋" w:eastAsia="仿宋" w:cs="Times New Roman"/>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31A80A2A">
            <w:pPr>
              <w:snapToGrid w:val="0"/>
              <w:spacing w:before="120" w:beforeLines="50"/>
              <w:rPr>
                <w:rFonts w:ascii="仿宋" w:hAnsi="仿宋" w:eastAsia="仿宋" w:cs="Times New Roman"/>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26406834">
            <w:pPr>
              <w:snapToGrid w:val="0"/>
              <w:spacing w:before="120" w:beforeLines="50"/>
              <w:rPr>
                <w:rFonts w:ascii="仿宋" w:hAnsi="仿宋" w:eastAsia="仿宋" w:cs="Times New Roman"/>
                <w:b/>
                <w:bCs/>
                <w:color w:val="000000"/>
                <w:sz w:val="30"/>
                <w:szCs w:val="30"/>
              </w:rPr>
            </w:pPr>
          </w:p>
        </w:tc>
      </w:tr>
    </w:tbl>
    <w:p w14:paraId="0E64B2F3">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0F4F3E92">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pgNumType w:fmt="decimal"/>
          <w:cols w:space="720" w:num="1"/>
        </w:sectPr>
      </w:pPr>
    </w:p>
    <w:p w14:paraId="22D079FA">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附件13：</w:t>
      </w:r>
    </w:p>
    <w:p w14:paraId="1CDBED4F">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投标人业绩情况一览表</w:t>
      </w:r>
    </w:p>
    <w:p w14:paraId="55A3260E">
      <w:pPr>
        <w:snapToGrid w:val="0"/>
        <w:spacing w:before="152" w:after="16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3733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7978F5A">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95DE813">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68A68C8">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w:t>
            </w:r>
          </w:p>
          <w:p w14:paraId="4EA0B9A3">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56E1A5">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C6494D7">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合同</w:t>
            </w:r>
          </w:p>
          <w:p w14:paraId="40A97DF4">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金额</w:t>
            </w:r>
          </w:p>
          <w:p w14:paraId="29070F0B">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A23AC26">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4E1BDAE">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采购单位联系人及</w:t>
            </w:r>
          </w:p>
          <w:p w14:paraId="2856A587">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联系电话</w:t>
            </w:r>
          </w:p>
        </w:tc>
      </w:tr>
      <w:tr w14:paraId="485E1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A0C8C70">
            <w:pPr>
              <w:widowControl/>
              <w:jc w:val="left"/>
              <w:rPr>
                <w:rFonts w:ascii="仿宋" w:hAnsi="仿宋" w:eastAsia="仿宋" w:cs="Times New Roman"/>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4A18D011">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D31999">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1B5B27">
            <w:pPr>
              <w:widowControl/>
              <w:jc w:val="left"/>
              <w:rPr>
                <w:rFonts w:ascii="仿宋" w:hAnsi="仿宋" w:eastAsia="仿宋" w:cs="Times New Roman"/>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C92FB48">
            <w:pPr>
              <w:widowControl/>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9B0215D">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w:t>
            </w:r>
          </w:p>
          <w:p w14:paraId="719E584A">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2A7D6B7">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验收</w:t>
            </w:r>
          </w:p>
          <w:p w14:paraId="798DF2AC">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149E301">
            <w:pPr>
              <w:widowControl/>
              <w:jc w:val="left"/>
              <w:rPr>
                <w:rFonts w:ascii="仿宋" w:hAnsi="仿宋" w:eastAsia="仿宋" w:cs="Times New Roman"/>
                <w:color w:val="000000"/>
                <w:sz w:val="30"/>
                <w:szCs w:val="30"/>
              </w:rPr>
            </w:pPr>
          </w:p>
        </w:tc>
      </w:tr>
      <w:tr w14:paraId="07C2D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44A36A7">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B184AA1">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7D8F12">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C0DF66F">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F8C37D3">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E1F4C2">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D7536E">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EE67B74">
            <w:pPr>
              <w:snapToGrid w:val="0"/>
              <w:spacing w:before="50" w:after="120" w:afterLines="50" w:line="400" w:lineRule="exact"/>
              <w:jc w:val="left"/>
              <w:rPr>
                <w:rFonts w:ascii="仿宋" w:hAnsi="仿宋" w:eastAsia="仿宋" w:cs="Times New Roman"/>
                <w:b/>
                <w:bCs/>
                <w:color w:val="000000"/>
                <w:kern w:val="0"/>
                <w:sz w:val="30"/>
                <w:szCs w:val="30"/>
              </w:rPr>
            </w:pPr>
          </w:p>
        </w:tc>
      </w:tr>
      <w:tr w14:paraId="13162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7056400">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F35B023">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381250">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560B95">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BD0B986">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E0CA82">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8A5035">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E461C48">
            <w:pPr>
              <w:snapToGrid w:val="0"/>
              <w:spacing w:before="50" w:after="120" w:afterLines="50" w:line="400" w:lineRule="exact"/>
              <w:jc w:val="left"/>
              <w:rPr>
                <w:rFonts w:ascii="仿宋" w:hAnsi="仿宋" w:eastAsia="仿宋" w:cs="Times New Roman"/>
                <w:b/>
                <w:bCs/>
                <w:color w:val="000000"/>
                <w:kern w:val="0"/>
                <w:sz w:val="30"/>
                <w:szCs w:val="30"/>
              </w:rPr>
            </w:pPr>
          </w:p>
        </w:tc>
      </w:tr>
      <w:tr w14:paraId="1D75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F9A0C5B">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3A4DD08">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401D76">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C4645BA">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AE6E359">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A712DDC">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4261CA4">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4E82E94">
            <w:pPr>
              <w:snapToGrid w:val="0"/>
              <w:spacing w:before="50" w:after="120" w:afterLines="50" w:line="400" w:lineRule="exact"/>
              <w:jc w:val="left"/>
              <w:rPr>
                <w:rFonts w:ascii="仿宋" w:hAnsi="仿宋" w:eastAsia="仿宋" w:cs="Times New Roman"/>
                <w:b/>
                <w:bCs/>
                <w:color w:val="000000"/>
                <w:kern w:val="0"/>
                <w:sz w:val="30"/>
                <w:szCs w:val="30"/>
              </w:rPr>
            </w:pPr>
          </w:p>
        </w:tc>
      </w:tr>
      <w:tr w14:paraId="3ABF0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144C46">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5903EB8">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789F448">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0C04FBB">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5EE059">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50B7BC0">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1F6B83">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EA789A7">
            <w:pPr>
              <w:snapToGrid w:val="0"/>
              <w:spacing w:before="50" w:after="120" w:afterLines="50" w:line="400" w:lineRule="exact"/>
              <w:jc w:val="left"/>
              <w:rPr>
                <w:rFonts w:ascii="仿宋" w:hAnsi="仿宋" w:eastAsia="仿宋" w:cs="Times New Roman"/>
                <w:b/>
                <w:bCs/>
                <w:color w:val="000000"/>
                <w:kern w:val="0"/>
                <w:sz w:val="30"/>
                <w:szCs w:val="30"/>
              </w:rPr>
            </w:pPr>
          </w:p>
        </w:tc>
      </w:tr>
      <w:tr w14:paraId="14FE4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9052F3">
            <w:pPr>
              <w:snapToGrid w:val="0"/>
              <w:spacing w:before="50" w:after="120" w:afterLines="50" w:line="40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586CC3CF">
            <w:pPr>
              <w:snapToGrid w:val="0"/>
              <w:spacing w:before="50" w:after="120" w:afterLines="50" w:line="400" w:lineRule="exact"/>
              <w:jc w:val="left"/>
              <w:rPr>
                <w:rFonts w:ascii="仿宋" w:hAnsi="仿宋" w:eastAsia="仿宋" w:cs="Times New Roman"/>
                <w:color w:val="000000"/>
                <w:sz w:val="30"/>
                <w:szCs w:val="30"/>
              </w:rPr>
            </w:pPr>
            <w:r>
              <w:rPr>
                <w:rFonts w:hint="eastAsia" w:ascii="仿宋" w:hAnsi="仿宋" w:eastAsia="仿宋" w:cs="Times New Roman"/>
                <w:color w:val="000000"/>
                <w:sz w:val="32"/>
                <w:szCs w:val="32"/>
              </w:rPr>
              <w:t>提供投标人同类项目合同复印件、用户验收报告（如有）。</w:t>
            </w:r>
          </w:p>
        </w:tc>
      </w:tr>
    </w:tbl>
    <w:p w14:paraId="0ECB7161">
      <w:pPr>
        <w:snapToGrid w:val="0"/>
        <w:spacing w:before="240" w:after="160"/>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授权代表签名：</w:t>
      </w:r>
      <w:r>
        <w:rPr>
          <w:rFonts w:hint="eastAsia" w:ascii="仿宋" w:hAnsi="仿宋" w:eastAsia="仿宋" w:cs="Times New Roman"/>
          <w:color w:val="000000"/>
          <w:sz w:val="30"/>
          <w:szCs w:val="30"/>
          <w:u w:val="single"/>
        </w:rPr>
        <w:t>　　　　　</w:t>
      </w:r>
      <w:r>
        <w:rPr>
          <w:rFonts w:hint="eastAsia" w:ascii="仿宋" w:hAnsi="仿宋" w:eastAsia="仿宋" w:cs="Times New Roman"/>
          <w:color w:val="000000"/>
          <w:sz w:val="30"/>
          <w:szCs w:val="30"/>
        </w:rPr>
        <w:t xml:space="preserve">                                            时  间：</w:t>
      </w:r>
    </w:p>
    <w:p w14:paraId="1872C804">
      <w:pPr>
        <w:widowControl/>
        <w:jc w:val="left"/>
        <w:rPr>
          <w:rFonts w:ascii="仿宋" w:hAnsi="仿宋" w:eastAsia="仿宋"/>
          <w:color w:val="000000"/>
          <w:kern w:val="0"/>
          <w:sz w:val="30"/>
          <w:szCs w:val="30"/>
        </w:rPr>
        <w:sectPr>
          <w:pgSz w:w="16838" w:h="11906" w:orient="landscape"/>
          <w:pgMar w:top="1797" w:right="1474" w:bottom="1797" w:left="1247" w:header="851" w:footer="851" w:gutter="0"/>
          <w:pgNumType w:fmt="decimal"/>
          <w:cols w:space="720" w:num="1"/>
        </w:sectPr>
      </w:pPr>
    </w:p>
    <w:p w14:paraId="65F3D579">
      <w:pPr>
        <w:snapToGrid w:val="0"/>
        <w:spacing w:before="156"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附件14</w:t>
      </w:r>
      <w:r>
        <w:rPr>
          <w:rFonts w:hint="eastAsia" w:ascii="仿宋" w:hAnsi="仿宋" w:eastAsia="仿宋" w:cs="Times New Roman"/>
          <w:b/>
          <w:color w:val="000000"/>
          <w:sz w:val="30"/>
          <w:szCs w:val="30"/>
        </w:rPr>
        <w:t xml:space="preserve">：                                    </w:t>
      </w:r>
    </w:p>
    <w:p w14:paraId="58414F68">
      <w:pPr>
        <w:spacing w:before="312" w:beforeLines="100" w:line="240" w:lineRule="atLeast"/>
        <w:jc w:val="center"/>
        <w:rPr>
          <w:rFonts w:ascii="仿宋" w:hAnsi="仿宋" w:eastAsia="仿宋" w:cs="Times New Roman"/>
          <w:b/>
          <w:color w:val="000000"/>
          <w:spacing w:val="40"/>
          <w:sz w:val="52"/>
          <w:szCs w:val="52"/>
        </w:rPr>
      </w:pPr>
      <w:r>
        <w:rPr>
          <w:rFonts w:hint="eastAsia" w:ascii="仿宋" w:hAnsi="仿宋" w:eastAsia="仿宋" w:cs="Times New Roman"/>
          <w:b/>
          <w:color w:val="000000"/>
          <w:spacing w:val="40"/>
          <w:sz w:val="52"/>
          <w:szCs w:val="52"/>
        </w:rPr>
        <w:t>浙江商业职业技术学院2025年多媒体教室升级改造</w:t>
      </w:r>
    </w:p>
    <w:p w14:paraId="69E954EE">
      <w:pPr>
        <w:spacing w:before="312"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r>
        <w:rPr>
          <w:rFonts w:hint="eastAsia" w:ascii="仿宋" w:hAnsi="仿宋" w:eastAsia="仿宋" w:cs="Times New Roman"/>
          <w:b/>
          <w:color w:val="000000"/>
          <w:sz w:val="36"/>
          <w:szCs w:val="36"/>
        </w:rPr>
        <w:t>ZZCG2025X-GK-126</w:t>
      </w:r>
      <w:r>
        <w:rPr>
          <w:rFonts w:hint="eastAsia" w:ascii="仿宋" w:hAnsi="仿宋" w:eastAsia="仿宋" w:cs="Times New Roman"/>
          <w:color w:val="000000"/>
          <w:sz w:val="36"/>
          <w:szCs w:val="36"/>
        </w:rPr>
        <w:t>（标项  ）</w:t>
      </w:r>
    </w:p>
    <w:p w14:paraId="49E34921">
      <w:pPr>
        <w:spacing w:after="100" w:afterAutospacing="1" w:line="800" w:lineRule="exact"/>
        <w:ind w:right="-108"/>
        <w:jc w:val="center"/>
        <w:rPr>
          <w:rFonts w:ascii="仿宋" w:hAnsi="仿宋" w:eastAsia="仿宋" w:cs="Times New Roman"/>
          <w:b/>
          <w:color w:val="000000"/>
          <w:spacing w:val="40"/>
          <w:sz w:val="84"/>
          <w:szCs w:val="84"/>
        </w:rPr>
      </w:pPr>
    </w:p>
    <w:p w14:paraId="024DAA7B">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报</w:t>
      </w:r>
    </w:p>
    <w:p w14:paraId="166A2333">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价</w:t>
      </w:r>
    </w:p>
    <w:p w14:paraId="54A7D3C3">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2AF85095">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236F8DAE">
      <w:pPr>
        <w:spacing w:line="500" w:lineRule="exact"/>
        <w:ind w:right="532"/>
        <w:jc w:val="center"/>
        <w:rPr>
          <w:rFonts w:ascii="仿宋" w:hAnsi="仿宋" w:eastAsia="仿宋" w:cs="Times New Roman"/>
          <w:color w:val="000000"/>
          <w:sz w:val="36"/>
          <w:szCs w:val="36"/>
        </w:rPr>
      </w:pPr>
    </w:p>
    <w:p w14:paraId="140B54B3">
      <w:pPr>
        <w:spacing w:line="5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51D9E3E3">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2D40F45B">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7A0552E0">
      <w:pPr>
        <w:snapToGrid w:val="0"/>
        <w:spacing w:before="50" w:after="50"/>
        <w:rPr>
          <w:rFonts w:ascii="仿宋" w:hAnsi="仿宋" w:eastAsia="仿宋" w:cs="Times New Roman"/>
          <w:color w:val="000000"/>
          <w:sz w:val="30"/>
          <w:szCs w:val="30"/>
        </w:rPr>
      </w:pPr>
    </w:p>
    <w:p w14:paraId="6CF1ED52">
      <w:pPr>
        <w:snapToGrid w:val="0"/>
        <w:spacing w:after="120"/>
        <w:rPr>
          <w:rFonts w:ascii="仿宋" w:hAnsi="仿宋" w:eastAsia="仿宋" w:cs="Times New Roman"/>
          <w:b/>
          <w:color w:val="000000"/>
          <w:sz w:val="36"/>
          <w:szCs w:val="36"/>
        </w:rPr>
      </w:pPr>
      <w:r>
        <w:rPr>
          <w:rFonts w:hint="eastAsia" w:ascii="仿宋" w:hAnsi="仿宋" w:eastAsia="仿宋" w:cs="Times New Roman"/>
          <w:color w:val="000000"/>
          <w:kern w:val="0"/>
          <w:sz w:val="36"/>
          <w:szCs w:val="36"/>
        </w:rPr>
        <w:br w:type="page"/>
      </w:r>
      <w:r>
        <w:rPr>
          <w:rFonts w:hint="eastAsia" w:ascii="仿宋" w:hAnsi="仿宋" w:eastAsia="仿宋" w:cs="Times New Roman"/>
          <w:color w:val="000000"/>
          <w:sz w:val="36"/>
          <w:szCs w:val="36"/>
        </w:rPr>
        <w:t>3.</w:t>
      </w:r>
      <w:r>
        <w:rPr>
          <w:rFonts w:hint="eastAsia" w:ascii="仿宋" w:hAnsi="仿宋" w:eastAsia="仿宋" w:cs="Times New Roman"/>
          <w:b/>
          <w:color w:val="000000"/>
          <w:sz w:val="36"/>
          <w:szCs w:val="36"/>
        </w:rPr>
        <w:t>报价文件目录</w:t>
      </w:r>
    </w:p>
    <w:p w14:paraId="132836D6">
      <w:pPr>
        <w:rPr>
          <w:rFonts w:ascii="仿宋" w:hAnsi="仿宋" w:eastAsia="仿宋" w:cs="Times New Roman"/>
          <w:color w:val="000000"/>
        </w:rPr>
      </w:pPr>
    </w:p>
    <w:p w14:paraId="73210E23">
      <w:pPr>
        <w:snapToGrid w:val="0"/>
        <w:spacing w:after="120"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（1）开标一览表（见附件15）；</w:t>
      </w:r>
    </w:p>
    <w:p w14:paraId="4079C564">
      <w:pPr>
        <w:snapToGrid w:val="0"/>
        <w:spacing w:after="120"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（2）投标人针对报价需要说明的其他文件和说明（格式自拟）；</w:t>
      </w:r>
    </w:p>
    <w:p w14:paraId="6FAE17DE">
      <w:pPr>
        <w:snapToGrid w:val="0"/>
        <w:spacing w:after="120"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（3）中小企业声明函（若需要，格式见附件16）；</w:t>
      </w:r>
    </w:p>
    <w:p w14:paraId="18FBF6B7">
      <w:pPr>
        <w:snapToGrid w:val="0"/>
        <w:spacing w:after="120"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（4）残疾人福利企业声明函（若需要，格式见附件17）；</w:t>
      </w:r>
    </w:p>
    <w:p w14:paraId="3FC8376B">
      <w:pPr>
        <w:snapToGrid w:val="0"/>
        <w:spacing w:after="120"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（5）监狱企业证明文件（若需要）。</w:t>
      </w:r>
    </w:p>
    <w:p w14:paraId="1CED8A52">
      <w:pPr>
        <w:snapToGrid w:val="0"/>
        <w:spacing w:after="120" w:line="460" w:lineRule="exact"/>
        <w:rPr>
          <w:rFonts w:ascii="仿宋" w:hAnsi="仿宋" w:eastAsia="仿宋" w:cs="Times New Roman"/>
          <w:color w:val="000000"/>
          <w:sz w:val="30"/>
          <w:szCs w:val="30"/>
        </w:rPr>
      </w:pPr>
    </w:p>
    <w:p w14:paraId="5B12EA67">
      <w:pPr>
        <w:snapToGrid w:val="0"/>
        <w:spacing w:before="156" w:beforeLines="50" w:after="156" w:afterLines="50"/>
        <w:jc w:val="left"/>
        <w:rPr>
          <w:rFonts w:ascii="仿宋" w:hAnsi="仿宋" w:eastAsia="仿宋" w:cs="Times New Roman"/>
          <w:b/>
          <w:color w:val="000000"/>
          <w:sz w:val="36"/>
          <w:szCs w:val="36"/>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附件15：</w:t>
      </w:r>
    </w:p>
    <w:p w14:paraId="50BE12A8">
      <w:pPr>
        <w:snapToGrid w:val="0"/>
        <w:spacing w:before="156" w:beforeLines="50" w:after="156" w:afterLines="50"/>
        <w:ind w:firstLine="1084" w:firstLineChars="300"/>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开 标 一 览 表</w:t>
      </w:r>
    </w:p>
    <w:p w14:paraId="69842679">
      <w:pPr>
        <w:snapToGrid w:val="0"/>
        <w:spacing w:before="156" w:beforeLines="50" w:after="156" w:afterLines="50"/>
        <w:ind w:firstLine="1084" w:firstLineChars="300"/>
        <w:jc w:val="center"/>
        <w:rPr>
          <w:rFonts w:ascii="仿宋" w:hAnsi="仿宋" w:eastAsia="仿宋" w:cs="Times New Roman"/>
          <w:b/>
          <w:color w:val="000000"/>
          <w:sz w:val="36"/>
          <w:szCs w:val="36"/>
        </w:rPr>
      </w:pPr>
    </w:p>
    <w:p w14:paraId="27641A02">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370D62B2">
      <w:pPr>
        <w:snapToGrid w:val="0"/>
        <w:rPr>
          <w:rFonts w:ascii="仿宋" w:hAnsi="仿宋" w:eastAsia="仿宋" w:cs="Times New Roman"/>
          <w:color w:val="000000"/>
          <w:sz w:val="28"/>
          <w:szCs w:val="28"/>
        </w:rPr>
      </w:pPr>
    </w:p>
    <w:p w14:paraId="29FF4F0B">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0469DBC1">
      <w:pPr>
        <w:snapToGrid w:val="0"/>
        <w:rPr>
          <w:rFonts w:ascii="仿宋" w:hAnsi="仿宋" w:eastAsia="仿宋" w:cs="Times New Roman"/>
          <w:b/>
          <w:color w:val="000000"/>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47ED4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7757FD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货物类</w:t>
            </w:r>
          </w:p>
        </w:tc>
      </w:tr>
      <w:tr w14:paraId="01289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783DB4C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w:t>
            </w:r>
          </w:p>
          <w:p w14:paraId="365D39A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vAlign w:val="center"/>
          </w:tcPr>
          <w:p w14:paraId="1217889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vAlign w:val="center"/>
          </w:tcPr>
          <w:p w14:paraId="4FB28F7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vAlign w:val="center"/>
          </w:tcPr>
          <w:p w14:paraId="174A594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规格</w:t>
            </w:r>
          </w:p>
          <w:p w14:paraId="57921C12">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vAlign w:val="center"/>
          </w:tcPr>
          <w:p w14:paraId="26A7061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vAlign w:val="center"/>
          </w:tcPr>
          <w:p w14:paraId="74B3DC21">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0F18C43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vAlign w:val="center"/>
          </w:tcPr>
          <w:p w14:paraId="39A365E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7836F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7D587CA9">
            <w:pPr>
              <w:widowControl/>
              <w:jc w:val="left"/>
              <w:rPr>
                <w:rFonts w:ascii="仿宋" w:hAnsi="仿宋" w:eastAsia="仿宋" w:cs="Times New Roman"/>
                <w:b/>
                <w:color w:val="000000"/>
                <w:sz w:val="24"/>
                <w:szCs w:val="24"/>
              </w:rPr>
            </w:pPr>
          </w:p>
        </w:tc>
        <w:tc>
          <w:tcPr>
            <w:tcW w:w="1331" w:type="dxa"/>
            <w:vMerge w:val="continue"/>
            <w:tcBorders>
              <w:top w:val="single" w:color="auto" w:sz="4" w:space="0"/>
              <w:left w:val="single" w:color="auto" w:sz="4" w:space="0"/>
              <w:bottom w:val="nil"/>
              <w:right w:val="single" w:color="auto" w:sz="4" w:space="0"/>
            </w:tcBorders>
            <w:vAlign w:val="center"/>
          </w:tcPr>
          <w:p w14:paraId="0857E2A1">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5B60C2CD">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61A1EC87">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15839D5B">
            <w:pPr>
              <w:widowControl/>
              <w:jc w:val="left"/>
              <w:rPr>
                <w:rFonts w:ascii="仿宋" w:hAnsi="仿宋" w:eastAsia="仿宋" w:cs="Times New Roman"/>
                <w:b/>
                <w:color w:val="000000"/>
                <w:sz w:val="24"/>
                <w:szCs w:val="24"/>
              </w:rPr>
            </w:pPr>
          </w:p>
        </w:tc>
        <w:tc>
          <w:tcPr>
            <w:tcW w:w="1455" w:type="dxa"/>
            <w:vMerge w:val="continue"/>
            <w:tcBorders>
              <w:top w:val="single" w:color="auto" w:sz="4" w:space="0"/>
              <w:left w:val="single" w:color="auto" w:sz="4" w:space="0"/>
              <w:bottom w:val="nil"/>
              <w:right w:val="single" w:color="auto" w:sz="4" w:space="0"/>
            </w:tcBorders>
            <w:vAlign w:val="center"/>
          </w:tcPr>
          <w:p w14:paraId="2850774F">
            <w:pPr>
              <w:widowControl/>
              <w:jc w:val="left"/>
              <w:rPr>
                <w:rFonts w:ascii="仿宋" w:hAnsi="仿宋" w:eastAsia="仿宋" w:cs="Times New Roman"/>
                <w:b/>
                <w:color w:val="000000"/>
                <w:sz w:val="24"/>
                <w:szCs w:val="24"/>
              </w:rPr>
            </w:pPr>
          </w:p>
        </w:tc>
        <w:tc>
          <w:tcPr>
            <w:tcW w:w="1293" w:type="dxa"/>
            <w:vMerge w:val="continue"/>
            <w:tcBorders>
              <w:top w:val="single" w:color="auto" w:sz="4" w:space="0"/>
              <w:left w:val="single" w:color="auto" w:sz="4" w:space="0"/>
              <w:bottom w:val="nil"/>
              <w:right w:val="single" w:color="auto" w:sz="4" w:space="0"/>
            </w:tcBorders>
            <w:vAlign w:val="center"/>
          </w:tcPr>
          <w:p w14:paraId="2833360D">
            <w:pPr>
              <w:widowControl/>
              <w:jc w:val="left"/>
              <w:rPr>
                <w:rFonts w:ascii="仿宋" w:hAnsi="仿宋" w:eastAsia="仿宋" w:cs="Times New Roman"/>
                <w:b/>
                <w:color w:val="000000"/>
                <w:sz w:val="24"/>
                <w:szCs w:val="24"/>
              </w:rPr>
            </w:pPr>
          </w:p>
        </w:tc>
      </w:tr>
      <w:tr w14:paraId="3D62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05E259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66E00AC7">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6374309">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54E1AF4">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69B639E2">
            <w:pPr>
              <w:snapToGrid w:val="0"/>
              <w:spacing w:line="400" w:lineRule="exact"/>
              <w:jc w:val="center"/>
              <w:rPr>
                <w:rFonts w:ascii="仿宋" w:hAnsi="仿宋" w:eastAsia="仿宋" w:cs="Times New Roman"/>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48FA059B">
            <w:pPr>
              <w:snapToGrid w:val="0"/>
              <w:spacing w:line="400" w:lineRule="exact"/>
              <w:jc w:val="center"/>
              <w:rPr>
                <w:rFonts w:ascii="仿宋" w:hAnsi="仿宋" w:eastAsia="仿宋" w:cs="Times New Roman"/>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3C9116B5">
            <w:pPr>
              <w:snapToGrid w:val="0"/>
              <w:spacing w:line="400" w:lineRule="exact"/>
              <w:jc w:val="center"/>
              <w:rPr>
                <w:rFonts w:ascii="仿宋" w:hAnsi="仿宋" w:eastAsia="仿宋" w:cs="Times New Roman"/>
                <w:b/>
                <w:color w:val="000000"/>
                <w:sz w:val="24"/>
                <w:szCs w:val="24"/>
              </w:rPr>
            </w:pPr>
          </w:p>
        </w:tc>
      </w:tr>
      <w:tr w14:paraId="03ABF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20B7E50">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5374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E13BA23">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5B499FD7">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44B5780C">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4868AAF3">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717B092D">
            <w:pPr>
              <w:snapToGrid w:val="0"/>
              <w:rPr>
                <w:rFonts w:ascii="仿宋" w:hAnsi="仿宋" w:eastAsia="仿宋" w:cs="Times New Roman"/>
                <w:b/>
                <w:color w:val="000000"/>
                <w:sz w:val="24"/>
                <w:szCs w:val="24"/>
              </w:rPr>
            </w:pPr>
            <w:r>
              <w:rPr>
                <w:rFonts w:hint="eastAsia" w:ascii="仿宋" w:hAnsi="仿宋" w:eastAsia="仿宋" w:cs="Times New Roman"/>
                <w:color w:val="000000"/>
                <w:sz w:val="24"/>
                <w:szCs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744B1688">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01902EDF">
      <w:pPr>
        <w:snapToGrid w:val="0"/>
        <w:spacing w:line="400" w:lineRule="exact"/>
        <w:jc w:val="left"/>
        <w:rPr>
          <w:rFonts w:ascii="仿宋" w:hAnsi="仿宋" w:eastAsia="仿宋" w:cs="Times New Roman"/>
          <w:color w:val="000000"/>
          <w:sz w:val="24"/>
          <w:szCs w:val="24"/>
        </w:rPr>
      </w:pPr>
    </w:p>
    <w:p w14:paraId="3850F039">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207A1371">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68F8C4B6">
      <w:pPr>
        <w:snapToGrid w:val="0"/>
        <w:spacing w:before="156" w:beforeLines="50" w:after="156" w:afterLines="50"/>
        <w:ind w:firstLine="1084" w:firstLineChars="300"/>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开 标 一 览 表</w:t>
      </w:r>
    </w:p>
    <w:p w14:paraId="7447F670">
      <w:pPr>
        <w:snapToGrid w:val="0"/>
        <w:spacing w:before="156" w:beforeLines="50" w:after="156" w:afterLines="50"/>
        <w:ind w:firstLine="1084" w:firstLineChars="300"/>
        <w:jc w:val="center"/>
        <w:rPr>
          <w:rFonts w:ascii="仿宋" w:hAnsi="仿宋" w:eastAsia="仿宋" w:cs="Times New Roman"/>
          <w:b/>
          <w:color w:val="000000"/>
          <w:sz w:val="36"/>
          <w:szCs w:val="36"/>
        </w:rPr>
      </w:pPr>
    </w:p>
    <w:p w14:paraId="68BA0F72">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504707FB">
      <w:pPr>
        <w:snapToGrid w:val="0"/>
        <w:rPr>
          <w:rFonts w:ascii="仿宋" w:hAnsi="仿宋" w:eastAsia="仿宋" w:cs="Times New Roman"/>
          <w:color w:val="000000"/>
          <w:sz w:val="28"/>
          <w:szCs w:val="28"/>
        </w:rPr>
      </w:pPr>
    </w:p>
    <w:p w14:paraId="284C0000">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5F83EA69">
      <w:pPr>
        <w:snapToGrid w:val="0"/>
        <w:spacing w:line="360" w:lineRule="auto"/>
        <w:rPr>
          <w:rFonts w:ascii="仿宋" w:hAnsi="仿宋" w:eastAsia="仿宋" w:cs="Times New Roman"/>
          <w:color w:val="000000"/>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21A17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F49D0CE">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服务类</w:t>
            </w:r>
          </w:p>
        </w:tc>
      </w:tr>
      <w:tr w14:paraId="795C2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49BA89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39F1CFA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541EE8B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234EC4A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5F4BE52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7285970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77771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2C919A88">
            <w:pPr>
              <w:widowControl/>
              <w:jc w:val="left"/>
              <w:rPr>
                <w:rFonts w:ascii="仿宋" w:hAnsi="仿宋" w:eastAsia="仿宋" w:cs="Times New Roman"/>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1B43577A">
            <w:pPr>
              <w:widowControl/>
              <w:jc w:val="left"/>
              <w:rPr>
                <w:rFonts w:ascii="仿宋" w:hAnsi="仿宋" w:eastAsia="仿宋" w:cs="Times New Roman"/>
                <w:b/>
                <w:color w:val="000000"/>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0E31A3B5">
            <w:pPr>
              <w:widowControl/>
              <w:jc w:val="left"/>
              <w:rPr>
                <w:rFonts w:ascii="仿宋" w:hAnsi="仿宋" w:eastAsia="仿宋" w:cs="Times New Roman"/>
                <w:b/>
                <w:color w:val="000000"/>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291D291B">
            <w:pPr>
              <w:widowControl/>
              <w:jc w:val="left"/>
              <w:rPr>
                <w:rFonts w:ascii="仿宋" w:hAnsi="仿宋" w:eastAsia="仿宋" w:cs="Times New Roman"/>
                <w:b/>
                <w:color w:val="000000"/>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74F1D393">
            <w:pPr>
              <w:widowControl/>
              <w:jc w:val="left"/>
              <w:rPr>
                <w:rFonts w:ascii="仿宋" w:hAnsi="仿宋" w:eastAsia="仿宋" w:cs="Times New Roman"/>
                <w:b/>
                <w:color w:val="000000"/>
                <w:sz w:val="24"/>
                <w:szCs w:val="24"/>
              </w:rPr>
            </w:pPr>
          </w:p>
        </w:tc>
      </w:tr>
      <w:tr w14:paraId="74FC0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26B54CA">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34E783FE">
            <w:pPr>
              <w:snapToGrid w:val="0"/>
              <w:spacing w:line="400" w:lineRule="exact"/>
              <w:jc w:val="center"/>
              <w:rPr>
                <w:rFonts w:ascii="仿宋" w:hAnsi="仿宋" w:eastAsia="仿宋" w:cs="Times New Roman"/>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307581C1">
            <w:pPr>
              <w:snapToGrid w:val="0"/>
              <w:spacing w:line="400" w:lineRule="exact"/>
              <w:jc w:val="center"/>
              <w:rPr>
                <w:rFonts w:ascii="仿宋" w:hAnsi="仿宋" w:eastAsia="仿宋" w:cs="Times New Roman"/>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3F7CBDB9">
            <w:pPr>
              <w:snapToGrid w:val="0"/>
              <w:spacing w:line="400" w:lineRule="exact"/>
              <w:jc w:val="center"/>
              <w:rPr>
                <w:rFonts w:ascii="仿宋" w:hAnsi="仿宋" w:eastAsia="仿宋" w:cs="Times New Roman"/>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7B7063DB">
            <w:pPr>
              <w:snapToGrid w:val="0"/>
              <w:spacing w:line="400" w:lineRule="exact"/>
              <w:jc w:val="center"/>
              <w:rPr>
                <w:rFonts w:ascii="仿宋" w:hAnsi="仿宋" w:eastAsia="仿宋" w:cs="Times New Roman"/>
                <w:b/>
                <w:color w:val="000000"/>
                <w:sz w:val="24"/>
                <w:szCs w:val="24"/>
              </w:rPr>
            </w:pPr>
          </w:p>
        </w:tc>
      </w:tr>
      <w:tr w14:paraId="69CD2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3155128">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2AE8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168AD1B">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61521AC">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22721467">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0E142429">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145F46A6">
            <w:pPr>
              <w:snapToGrid w:val="0"/>
              <w:rPr>
                <w:rFonts w:ascii="仿宋" w:hAnsi="仿宋" w:eastAsia="仿宋" w:cs="Times New Roman"/>
                <w:b/>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17986144">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66E584F4">
      <w:pPr>
        <w:snapToGrid w:val="0"/>
        <w:spacing w:line="360" w:lineRule="auto"/>
        <w:rPr>
          <w:rFonts w:ascii="仿宋" w:hAnsi="仿宋" w:eastAsia="仿宋" w:cs="Times New Roman"/>
          <w:color w:val="000000"/>
          <w:sz w:val="30"/>
          <w:szCs w:val="30"/>
        </w:rPr>
      </w:pPr>
    </w:p>
    <w:p w14:paraId="341C61C4">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0A0EFB30">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79FB04A4">
      <w:pPr>
        <w:snapToGrid w:val="0"/>
        <w:spacing w:before="156" w:beforeLines="50" w:after="156" w:afterLines="50"/>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开 标 一 览 表</w:t>
      </w:r>
    </w:p>
    <w:p w14:paraId="0C3B5BE2">
      <w:pPr>
        <w:snapToGrid w:val="0"/>
        <w:spacing w:before="156" w:beforeLines="50" w:after="156" w:afterLines="50"/>
        <w:ind w:firstLine="1084" w:firstLineChars="300"/>
        <w:jc w:val="center"/>
        <w:rPr>
          <w:rFonts w:ascii="仿宋" w:hAnsi="仿宋" w:eastAsia="仿宋" w:cs="Times New Roman"/>
          <w:b/>
          <w:color w:val="000000"/>
          <w:sz w:val="36"/>
          <w:szCs w:val="36"/>
        </w:rPr>
      </w:pPr>
    </w:p>
    <w:p w14:paraId="3498254D">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2DCABAAF">
      <w:pPr>
        <w:snapToGrid w:val="0"/>
        <w:rPr>
          <w:rFonts w:ascii="仿宋" w:hAnsi="仿宋" w:eastAsia="仿宋" w:cs="Times New Roman"/>
          <w:color w:val="000000"/>
          <w:sz w:val="28"/>
          <w:szCs w:val="28"/>
        </w:rPr>
      </w:pPr>
    </w:p>
    <w:p w14:paraId="79634EFB">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04B408DA">
      <w:pPr>
        <w:snapToGrid w:val="0"/>
        <w:rPr>
          <w:rFonts w:ascii="仿宋" w:hAnsi="仿宋" w:eastAsia="仿宋" w:cs="Times New Roman"/>
          <w:b/>
          <w:color w:val="000000"/>
          <w:sz w:val="24"/>
          <w:szCs w:val="24"/>
          <w:u w:val="single"/>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24392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15C0DA5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56B77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3DB1747E">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77222D6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41C4734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054F494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4DAF9AA6">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1838" w:type="dxa"/>
            <w:vMerge w:val="restart"/>
            <w:tcBorders>
              <w:top w:val="single" w:color="auto" w:sz="4" w:space="0"/>
              <w:left w:val="single" w:color="auto" w:sz="4" w:space="0"/>
              <w:bottom w:val="nil"/>
              <w:right w:val="single" w:color="auto" w:sz="4" w:space="0"/>
            </w:tcBorders>
            <w:vAlign w:val="center"/>
          </w:tcPr>
          <w:p w14:paraId="25DEBBA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27767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7A2D647A">
            <w:pPr>
              <w:widowControl/>
              <w:jc w:val="left"/>
              <w:rPr>
                <w:rFonts w:ascii="仿宋" w:hAnsi="仿宋" w:eastAsia="仿宋" w:cs="Times New Roman"/>
                <w:b/>
                <w:color w:val="00000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4C4A7D96">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65845BC8">
            <w:pPr>
              <w:widowControl/>
              <w:jc w:val="left"/>
              <w:rPr>
                <w:rFonts w:ascii="仿宋" w:hAnsi="仿宋" w:eastAsia="仿宋" w:cs="Times New Roman"/>
                <w:b/>
                <w:color w:val="000000"/>
                <w:sz w:val="24"/>
                <w:szCs w:val="24"/>
              </w:rPr>
            </w:pPr>
          </w:p>
        </w:tc>
        <w:tc>
          <w:tcPr>
            <w:tcW w:w="1560" w:type="dxa"/>
            <w:vMerge w:val="continue"/>
            <w:tcBorders>
              <w:top w:val="single" w:color="auto" w:sz="4" w:space="0"/>
              <w:left w:val="single" w:color="auto" w:sz="4" w:space="0"/>
              <w:bottom w:val="nil"/>
              <w:right w:val="single" w:color="auto" w:sz="4" w:space="0"/>
            </w:tcBorders>
            <w:vAlign w:val="center"/>
          </w:tcPr>
          <w:p w14:paraId="6746060A">
            <w:pPr>
              <w:widowControl/>
              <w:jc w:val="left"/>
              <w:rPr>
                <w:rFonts w:ascii="仿宋" w:hAnsi="仿宋" w:eastAsia="仿宋" w:cs="Times New Roman"/>
                <w:b/>
                <w:color w:val="000000"/>
                <w:sz w:val="24"/>
                <w:szCs w:val="24"/>
              </w:rPr>
            </w:pPr>
          </w:p>
        </w:tc>
        <w:tc>
          <w:tcPr>
            <w:tcW w:w="1710" w:type="dxa"/>
            <w:vMerge w:val="continue"/>
            <w:tcBorders>
              <w:top w:val="single" w:color="auto" w:sz="4" w:space="0"/>
              <w:left w:val="single" w:color="auto" w:sz="4" w:space="0"/>
              <w:bottom w:val="nil"/>
              <w:right w:val="single" w:color="auto" w:sz="4" w:space="0"/>
            </w:tcBorders>
            <w:vAlign w:val="center"/>
          </w:tcPr>
          <w:p w14:paraId="7511C176">
            <w:pPr>
              <w:widowControl/>
              <w:jc w:val="left"/>
              <w:rPr>
                <w:rFonts w:ascii="仿宋" w:hAnsi="仿宋" w:eastAsia="仿宋" w:cs="Times New Roman"/>
                <w:b/>
                <w:color w:val="000000"/>
                <w:sz w:val="24"/>
                <w:szCs w:val="24"/>
              </w:rPr>
            </w:pPr>
          </w:p>
        </w:tc>
        <w:tc>
          <w:tcPr>
            <w:tcW w:w="1838" w:type="dxa"/>
            <w:vMerge w:val="continue"/>
            <w:tcBorders>
              <w:top w:val="single" w:color="auto" w:sz="4" w:space="0"/>
              <w:left w:val="single" w:color="auto" w:sz="4" w:space="0"/>
              <w:bottom w:val="nil"/>
              <w:right w:val="single" w:color="auto" w:sz="4" w:space="0"/>
            </w:tcBorders>
            <w:vAlign w:val="center"/>
          </w:tcPr>
          <w:p w14:paraId="3A51144A">
            <w:pPr>
              <w:widowControl/>
              <w:jc w:val="left"/>
              <w:rPr>
                <w:rFonts w:ascii="仿宋" w:hAnsi="仿宋" w:eastAsia="仿宋" w:cs="Times New Roman"/>
                <w:b/>
                <w:color w:val="000000"/>
                <w:sz w:val="24"/>
                <w:szCs w:val="24"/>
              </w:rPr>
            </w:pPr>
          </w:p>
        </w:tc>
      </w:tr>
      <w:tr w14:paraId="20FC7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368A9E48">
            <w:pPr>
              <w:widowControl/>
              <w:jc w:val="left"/>
              <w:rPr>
                <w:rFonts w:ascii="仿宋" w:hAnsi="仿宋" w:eastAsia="仿宋" w:cs="Times New Roman"/>
                <w:b/>
                <w:color w:val="000000"/>
                <w:sz w:val="24"/>
                <w:szCs w:val="24"/>
              </w:rPr>
            </w:pPr>
          </w:p>
        </w:tc>
        <w:tc>
          <w:tcPr>
            <w:tcW w:w="1332" w:type="dxa"/>
            <w:tcBorders>
              <w:top w:val="single" w:color="auto" w:sz="4" w:space="0"/>
              <w:left w:val="single" w:color="auto" w:sz="4" w:space="0"/>
              <w:bottom w:val="nil"/>
              <w:right w:val="single" w:color="auto" w:sz="4" w:space="0"/>
            </w:tcBorders>
            <w:vAlign w:val="center"/>
          </w:tcPr>
          <w:p w14:paraId="66987CB6">
            <w:pPr>
              <w:widowControl/>
              <w:jc w:val="left"/>
              <w:rPr>
                <w:rFonts w:ascii="仿宋" w:hAnsi="仿宋" w:eastAsia="仿宋" w:cs="Times New Roman"/>
                <w:b/>
                <w:color w:val="000000"/>
                <w:sz w:val="24"/>
                <w:szCs w:val="24"/>
              </w:rPr>
            </w:pPr>
          </w:p>
        </w:tc>
        <w:tc>
          <w:tcPr>
            <w:tcW w:w="1515" w:type="dxa"/>
            <w:tcBorders>
              <w:top w:val="single" w:color="auto" w:sz="4" w:space="0"/>
              <w:left w:val="single" w:color="auto" w:sz="4" w:space="0"/>
              <w:bottom w:val="nil"/>
              <w:right w:val="single" w:color="auto" w:sz="4" w:space="0"/>
            </w:tcBorders>
            <w:vAlign w:val="center"/>
          </w:tcPr>
          <w:p w14:paraId="78A19E1A">
            <w:pPr>
              <w:widowControl/>
              <w:jc w:val="left"/>
              <w:rPr>
                <w:rFonts w:ascii="仿宋" w:hAnsi="仿宋" w:eastAsia="仿宋" w:cs="Times New Roman"/>
                <w:b/>
                <w:color w:val="000000"/>
                <w:sz w:val="24"/>
                <w:szCs w:val="24"/>
              </w:rPr>
            </w:pPr>
          </w:p>
        </w:tc>
        <w:tc>
          <w:tcPr>
            <w:tcW w:w="1560" w:type="dxa"/>
            <w:tcBorders>
              <w:top w:val="single" w:color="auto" w:sz="4" w:space="0"/>
              <w:left w:val="single" w:color="auto" w:sz="4" w:space="0"/>
              <w:bottom w:val="nil"/>
              <w:right w:val="single" w:color="auto" w:sz="4" w:space="0"/>
            </w:tcBorders>
            <w:vAlign w:val="center"/>
          </w:tcPr>
          <w:p w14:paraId="52EFD668">
            <w:pPr>
              <w:widowControl/>
              <w:jc w:val="left"/>
              <w:rPr>
                <w:rFonts w:ascii="仿宋" w:hAnsi="仿宋" w:eastAsia="仿宋" w:cs="Times New Roman"/>
                <w:b/>
                <w:color w:val="000000"/>
                <w:sz w:val="24"/>
                <w:szCs w:val="24"/>
              </w:rPr>
            </w:pPr>
          </w:p>
        </w:tc>
        <w:tc>
          <w:tcPr>
            <w:tcW w:w="1710" w:type="dxa"/>
            <w:tcBorders>
              <w:top w:val="single" w:color="auto" w:sz="4" w:space="0"/>
              <w:left w:val="single" w:color="auto" w:sz="4" w:space="0"/>
              <w:bottom w:val="nil"/>
              <w:right w:val="single" w:color="auto" w:sz="4" w:space="0"/>
            </w:tcBorders>
            <w:vAlign w:val="center"/>
          </w:tcPr>
          <w:p w14:paraId="49968CE5">
            <w:pPr>
              <w:widowControl/>
              <w:jc w:val="left"/>
              <w:rPr>
                <w:rFonts w:ascii="仿宋" w:hAnsi="仿宋" w:eastAsia="仿宋" w:cs="Times New Roman"/>
                <w:b/>
                <w:color w:val="000000"/>
                <w:sz w:val="24"/>
                <w:szCs w:val="24"/>
              </w:rPr>
            </w:pPr>
          </w:p>
        </w:tc>
        <w:tc>
          <w:tcPr>
            <w:tcW w:w="1838" w:type="dxa"/>
            <w:tcBorders>
              <w:top w:val="single" w:color="auto" w:sz="4" w:space="0"/>
              <w:left w:val="single" w:color="auto" w:sz="4" w:space="0"/>
              <w:bottom w:val="nil"/>
              <w:right w:val="single" w:color="auto" w:sz="4" w:space="0"/>
            </w:tcBorders>
            <w:vAlign w:val="center"/>
          </w:tcPr>
          <w:p w14:paraId="11D5A438">
            <w:pPr>
              <w:widowControl/>
              <w:jc w:val="left"/>
              <w:rPr>
                <w:rFonts w:ascii="仿宋" w:hAnsi="仿宋" w:eastAsia="仿宋" w:cs="Times New Roman"/>
                <w:b/>
                <w:color w:val="000000"/>
                <w:sz w:val="24"/>
                <w:szCs w:val="24"/>
              </w:rPr>
            </w:pPr>
          </w:p>
        </w:tc>
      </w:tr>
      <w:tr w14:paraId="716FE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00BE100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2" w:type="dxa"/>
            <w:tcBorders>
              <w:top w:val="single" w:color="auto" w:sz="4" w:space="0"/>
              <w:left w:val="single" w:color="auto" w:sz="4" w:space="0"/>
              <w:bottom w:val="single" w:color="auto" w:sz="4" w:space="0"/>
              <w:right w:val="single" w:color="auto" w:sz="4" w:space="0"/>
            </w:tcBorders>
            <w:vAlign w:val="center"/>
          </w:tcPr>
          <w:p w14:paraId="16ABA8D4">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5ABCFF03">
            <w:pPr>
              <w:snapToGrid w:val="0"/>
              <w:spacing w:line="400" w:lineRule="exact"/>
              <w:jc w:val="center"/>
              <w:rPr>
                <w:rFonts w:ascii="仿宋" w:hAnsi="仿宋" w:eastAsia="仿宋" w:cs="Times New Roman"/>
                <w:b/>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92F8ADC">
            <w:pPr>
              <w:snapToGrid w:val="0"/>
              <w:spacing w:line="400" w:lineRule="exact"/>
              <w:jc w:val="center"/>
              <w:rPr>
                <w:rFonts w:ascii="仿宋" w:hAnsi="仿宋" w:eastAsia="仿宋" w:cs="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0BBC177E">
            <w:pPr>
              <w:snapToGrid w:val="0"/>
              <w:spacing w:line="400" w:lineRule="exact"/>
              <w:jc w:val="center"/>
              <w:rPr>
                <w:rFonts w:ascii="仿宋" w:hAnsi="仿宋" w:eastAsia="仿宋" w:cs="Times New Roman"/>
                <w:b/>
                <w:color w:val="00000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8C6701B">
            <w:pPr>
              <w:snapToGrid w:val="0"/>
              <w:spacing w:line="400" w:lineRule="exact"/>
              <w:jc w:val="center"/>
              <w:rPr>
                <w:rFonts w:ascii="仿宋" w:hAnsi="仿宋" w:eastAsia="仿宋" w:cs="Times New Roman"/>
                <w:b/>
                <w:color w:val="000000"/>
                <w:sz w:val="24"/>
                <w:szCs w:val="24"/>
              </w:rPr>
            </w:pPr>
          </w:p>
        </w:tc>
      </w:tr>
      <w:tr w14:paraId="75398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05C0A211">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投标总价合计金额大写：小写：￥</w:t>
            </w:r>
          </w:p>
        </w:tc>
      </w:tr>
      <w:tr w14:paraId="65EED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25F900A3">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03B20874">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687DF3CC">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6AFFB06E">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051859B5">
            <w:pPr>
              <w:snapToGrid w:val="0"/>
              <w:rPr>
                <w:rFonts w:ascii="仿宋" w:hAnsi="仿宋" w:eastAsia="仿宋" w:cs="Times New Roman"/>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21C56020">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2DABF0F2">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4A53DACB">
      <w:pPr>
        <w:rPr>
          <w:rFonts w:eastAsia="宋体" w:cs="Times New Roman"/>
        </w:rPr>
      </w:pPr>
    </w:p>
    <w:p w14:paraId="2A4E6BF3">
      <w:pPr>
        <w:rPr>
          <w:rFonts w:eastAsia="宋体" w:cs="Times New Roman"/>
        </w:rPr>
      </w:pPr>
    </w:p>
    <w:p w14:paraId="103B6355">
      <w:pPr>
        <w:rPr>
          <w:rFonts w:eastAsia="宋体" w:cs="Times New Roman"/>
        </w:rPr>
      </w:pPr>
    </w:p>
    <w:p w14:paraId="0A866328">
      <w:pPr>
        <w:rPr>
          <w:rFonts w:eastAsia="宋体" w:cs="Times New Roman"/>
        </w:rPr>
      </w:pPr>
    </w:p>
    <w:p w14:paraId="51A42BE5">
      <w:pPr>
        <w:rPr>
          <w:rFonts w:eastAsia="宋体" w:cs="Times New Roman"/>
        </w:rPr>
      </w:pPr>
    </w:p>
    <w:p w14:paraId="0619A5D7">
      <w:pPr>
        <w:rPr>
          <w:rFonts w:eastAsia="宋体" w:cs="Times New Roman"/>
        </w:rPr>
      </w:pPr>
    </w:p>
    <w:p w14:paraId="3B092EF7">
      <w:pPr>
        <w:rPr>
          <w:rFonts w:eastAsia="宋体" w:cs="Times New Roman"/>
        </w:rPr>
      </w:pPr>
    </w:p>
    <w:p w14:paraId="2E3F105C">
      <w:pPr>
        <w:rPr>
          <w:rFonts w:eastAsia="宋体" w:cs="Times New Roman"/>
        </w:rPr>
      </w:pPr>
    </w:p>
    <w:p w14:paraId="2447371A">
      <w:pPr>
        <w:rPr>
          <w:rFonts w:eastAsia="宋体" w:cs="Times New Roman"/>
        </w:rPr>
      </w:pPr>
    </w:p>
    <w:p w14:paraId="411949E3">
      <w:pPr>
        <w:rPr>
          <w:rFonts w:eastAsia="宋体" w:cs="Times New Roman"/>
        </w:rPr>
      </w:pPr>
    </w:p>
    <w:p w14:paraId="3281BD15">
      <w:pPr>
        <w:rPr>
          <w:rFonts w:eastAsia="宋体" w:cs="Times New Roman"/>
        </w:rPr>
      </w:pPr>
    </w:p>
    <w:p w14:paraId="5A9080DD">
      <w:pPr>
        <w:rPr>
          <w:rFonts w:eastAsia="宋体" w:cs="Times New Roman"/>
        </w:rPr>
      </w:pPr>
    </w:p>
    <w:p w14:paraId="627D6C82">
      <w:pPr>
        <w:rPr>
          <w:rFonts w:eastAsia="宋体" w:cs="Times New Roman"/>
        </w:rPr>
      </w:pPr>
    </w:p>
    <w:p w14:paraId="2B70C87F">
      <w:pPr>
        <w:rPr>
          <w:rFonts w:eastAsia="宋体" w:cs="Times New Roman"/>
        </w:rPr>
      </w:pPr>
    </w:p>
    <w:p w14:paraId="77FD2DF0">
      <w:pPr>
        <w:rPr>
          <w:rFonts w:eastAsia="宋体" w:cs="Times New Roman"/>
        </w:rPr>
      </w:pPr>
    </w:p>
    <w:p w14:paraId="34B1269B">
      <w:pPr>
        <w:snapToGrid w:val="0"/>
        <w:spacing w:before="50" w:after="50"/>
        <w:jc w:val="left"/>
        <w:rPr>
          <w:rFonts w:ascii="仿宋" w:hAnsi="仿宋" w:eastAsia="仿宋" w:cs="Times New Roman"/>
          <w:sz w:val="30"/>
          <w:szCs w:val="30"/>
        </w:rPr>
      </w:pPr>
      <w:r>
        <w:rPr>
          <w:rFonts w:hint="eastAsia" w:ascii="仿宋" w:hAnsi="仿宋" w:eastAsia="仿宋" w:cs="Times New Roman"/>
          <w:sz w:val="30"/>
          <w:szCs w:val="30"/>
        </w:rPr>
        <w:t>附件16：</w:t>
      </w:r>
    </w:p>
    <w:p w14:paraId="21EA6B34">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4BFB8560">
      <w:pPr>
        <w:snapToGrid w:val="0"/>
        <w:spacing w:line="360" w:lineRule="auto"/>
        <w:rPr>
          <w:rFonts w:ascii="仿宋" w:hAnsi="仿宋" w:eastAsia="仿宋" w:cs="Times New Roman"/>
          <w:sz w:val="28"/>
          <w:szCs w:val="28"/>
        </w:rPr>
      </w:pPr>
    </w:p>
    <w:p w14:paraId="7698058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61C51265">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6B8079E7">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20E32F1F">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2D24179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3C0A1EA6">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3A6BB77A">
      <w:pPr>
        <w:snapToGrid w:val="0"/>
        <w:spacing w:line="360" w:lineRule="auto"/>
        <w:ind w:left="3640"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p>
    <w:p w14:paraId="7D9DB93F">
      <w:pPr>
        <w:wordWrap w:val="0"/>
        <w:snapToGrid w:val="0"/>
        <w:spacing w:line="360" w:lineRule="auto"/>
        <w:ind w:right="1120"/>
        <w:jc w:val="right"/>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111A2EAC">
      <w:pPr>
        <w:spacing w:before="156" w:beforeLines="50" w:after="156" w:afterLines="50" w:line="360" w:lineRule="auto"/>
        <w:rPr>
          <w:rFonts w:ascii="宋体" w:hAnsi="Courier New" w:eastAsia="宋体" w:cs="Times New Roman"/>
          <w:sz w:val="18"/>
          <w:szCs w:val="24"/>
        </w:rPr>
      </w:pPr>
      <w:r>
        <w:rPr>
          <w:rFonts w:ascii="Times New Roman" w:hAnsi="Courier New" w:eastAsia="Times New Roman" w:cs="Times New Roman"/>
          <w:position w:val="6"/>
          <w:sz w:val="11"/>
          <w:szCs w:val="24"/>
        </w:rPr>
        <w:t>1</w:t>
      </w:r>
      <w:r>
        <w:rPr>
          <w:rFonts w:hint="eastAsia" w:ascii="宋体" w:hAnsi="Courier New" w:eastAsia="宋体" w:cs="Times New Roman"/>
          <w:sz w:val="18"/>
          <w:szCs w:val="24"/>
        </w:rPr>
        <w:t>从业人员、营业收入、资产总额填报上一年度数据，无上一年度数据的新成立企业可不填报。</w:t>
      </w:r>
    </w:p>
    <w:p w14:paraId="0B4DAA90">
      <w:pPr>
        <w:spacing w:before="156" w:beforeLines="50" w:after="156" w:afterLines="50" w:line="400" w:lineRule="exact"/>
        <w:rPr>
          <w:rFonts w:ascii="宋体" w:hAnsi="Courier New" w:eastAsia="宋体" w:cs="Times New Roman"/>
          <w:b/>
          <w:bCs/>
          <w:color w:val="FF0000"/>
          <w:sz w:val="18"/>
          <w:szCs w:val="24"/>
        </w:rPr>
      </w:pPr>
      <w:r>
        <w:rPr>
          <w:rFonts w:hint="eastAsia" w:ascii="Times New Roman" w:hAnsi="Courier New" w:eastAsia="Times New Roman" w:cs="Times New Roman"/>
          <w:b/>
          <w:bCs/>
          <w:color w:val="FF0000"/>
          <w:position w:val="6"/>
          <w:sz w:val="11"/>
          <w:szCs w:val="24"/>
        </w:rPr>
        <w:t>2</w:t>
      </w:r>
      <w:r>
        <w:rPr>
          <w:rFonts w:hint="eastAsia" w:ascii="宋体" w:hAnsi="Courier New" w:eastAsia="宋体" w:cs="Times New Roman"/>
          <w:b/>
          <w:bCs/>
          <w:color w:val="FF0000"/>
          <w:sz w:val="18"/>
          <w:szCs w:val="24"/>
        </w:rPr>
        <w:t>标的名称请按需求中的采购清单列报。</w:t>
      </w:r>
    </w:p>
    <w:p w14:paraId="2F1A0265">
      <w:pPr>
        <w:rPr>
          <w:rFonts w:ascii="Times New Roman" w:hAnsi="Times New Roman" w:eastAsia="宋体" w:cs="Times New Roman"/>
          <w:szCs w:val="20"/>
        </w:rPr>
      </w:pPr>
    </w:p>
    <w:p w14:paraId="51DB7AF0">
      <w:pPr>
        <w:snapToGrid w:val="0"/>
        <w:spacing w:line="360" w:lineRule="auto"/>
        <w:jc w:val="right"/>
        <w:rPr>
          <w:rFonts w:ascii="仿宋" w:hAnsi="仿宋" w:eastAsia="仿宋" w:cs="Times New Roman"/>
          <w:sz w:val="28"/>
          <w:szCs w:val="28"/>
        </w:rPr>
      </w:pPr>
    </w:p>
    <w:p w14:paraId="45DCA16D">
      <w:pPr>
        <w:widowControl/>
        <w:jc w:val="left"/>
        <w:rPr>
          <w:rFonts w:ascii="仿宋" w:hAnsi="仿宋" w:eastAsia="仿宋" w:cs="Times New Roman"/>
          <w:b/>
          <w:sz w:val="36"/>
          <w:szCs w:val="36"/>
        </w:rPr>
      </w:pPr>
      <w:r>
        <w:rPr>
          <w:rFonts w:hint="eastAsia" w:ascii="仿宋" w:hAnsi="仿宋" w:eastAsia="仿宋" w:cs="Times New Roman"/>
          <w:b/>
          <w:kern w:val="0"/>
          <w:sz w:val="36"/>
          <w:szCs w:val="36"/>
        </w:rPr>
        <w:br w:type="page"/>
      </w:r>
    </w:p>
    <w:p w14:paraId="24FC925D">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中小企业声明函（工程、服务）</w:t>
      </w:r>
    </w:p>
    <w:p w14:paraId="674BA480">
      <w:pPr>
        <w:snapToGrid w:val="0"/>
        <w:spacing w:line="312" w:lineRule="auto"/>
        <w:ind w:firstLine="560" w:firstLineChars="200"/>
        <w:rPr>
          <w:rFonts w:ascii="仿宋" w:hAnsi="仿宋" w:eastAsia="仿宋" w:cs="Times New Roman"/>
          <w:sz w:val="28"/>
          <w:szCs w:val="28"/>
        </w:rPr>
      </w:pPr>
    </w:p>
    <w:p w14:paraId="4D503399">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DCF52E5">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 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10B0D68D">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62006720">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 </w:t>
      </w:r>
    </w:p>
    <w:p w14:paraId="29CD158E">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以上企业，不属于大企业的分支机构，不存在控股股东为大企业的情形，也不存在与大企业的负责人为同一人的情形。</w:t>
      </w:r>
    </w:p>
    <w:p w14:paraId="0E522227">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本企业对上述声明内容的真实性负责。如有虚假，将依法承担相应责任。 </w:t>
      </w:r>
    </w:p>
    <w:p w14:paraId="520AA616">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5F864CB7">
      <w:pPr>
        <w:snapToGrid w:val="0"/>
        <w:spacing w:line="312" w:lineRule="auto"/>
        <w:ind w:firstLine="4620" w:firstLineChars="1650"/>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2D7D574B">
      <w:pPr>
        <w:spacing w:before="156" w:beforeLines="50" w:after="156" w:afterLines="50" w:line="360" w:lineRule="auto"/>
        <w:rPr>
          <w:rFonts w:ascii="Times New Roman" w:hAnsi="Times New Roman" w:eastAsia="宋体" w:cs="Times New Roman"/>
          <w:b/>
          <w:sz w:val="24"/>
          <w:szCs w:val="24"/>
        </w:rPr>
      </w:pPr>
      <w:r>
        <w:rPr>
          <w:rFonts w:ascii="Times New Roman" w:hAnsi="Courier New" w:eastAsia="Times New Roman" w:cs="Times New Roman"/>
          <w:position w:val="6"/>
          <w:sz w:val="11"/>
          <w:szCs w:val="24"/>
        </w:rPr>
        <w:t>1</w:t>
      </w:r>
      <w:r>
        <w:rPr>
          <w:rFonts w:hint="eastAsia" w:ascii="宋体" w:hAnsi="Courier New" w:eastAsia="宋体" w:cs="Times New Roman"/>
          <w:sz w:val="18"/>
          <w:szCs w:val="24"/>
        </w:rPr>
        <w:t>从业人员、营业收入、资产总额填报上一年度数据，无上一年度数据的新成立企业可不填报。</w:t>
      </w:r>
    </w:p>
    <w:p w14:paraId="57BED0F4">
      <w:pPr>
        <w:widowControl/>
        <w:jc w:val="left"/>
        <w:rPr>
          <w:rFonts w:ascii="仿宋" w:hAnsi="仿宋" w:eastAsia="仿宋" w:cs="Times New Roman"/>
          <w:sz w:val="28"/>
          <w:szCs w:val="28"/>
        </w:rPr>
      </w:pPr>
      <w:r>
        <w:rPr>
          <w:rFonts w:ascii="仿宋" w:hAnsi="仿宋" w:eastAsia="仿宋" w:cs="Times New Roman"/>
          <w:sz w:val="28"/>
          <w:szCs w:val="28"/>
        </w:rPr>
        <w:br w:type="page"/>
      </w:r>
    </w:p>
    <w:p w14:paraId="74A8DFD0">
      <w:pPr>
        <w:widowControl/>
        <w:jc w:val="left"/>
        <w:rPr>
          <w:rFonts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14:paraId="0837D766">
      <w:pPr>
        <w:jc w:val="left"/>
        <w:rPr>
          <w:rFonts w:ascii="仿宋" w:hAnsi="仿宋" w:eastAsia="仿宋" w:cs="Times New Roman"/>
        </w:rPr>
      </w:pPr>
      <w:r>
        <w:rPr>
          <w:rFonts w:hint="eastAsia" w:ascii="仿宋" w:hAnsi="仿宋" w:eastAsia="仿宋" w:cs="Times New Roman"/>
          <w:sz w:val="30"/>
          <w:szCs w:val="30"/>
        </w:rPr>
        <w:t>附件17：</w:t>
      </w:r>
    </w:p>
    <w:p w14:paraId="51890AF4">
      <w:pPr>
        <w:rPr>
          <w:rFonts w:ascii="仿宋" w:hAnsi="仿宋" w:eastAsia="仿宋" w:cs="Times New Roman"/>
        </w:rPr>
      </w:pPr>
    </w:p>
    <w:p w14:paraId="4BB638C1">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残疾人福利性单位声明函</w:t>
      </w:r>
    </w:p>
    <w:p w14:paraId="3F6B77BE">
      <w:pPr>
        <w:spacing w:line="588" w:lineRule="exact"/>
        <w:rPr>
          <w:rFonts w:ascii="仿宋_GB2312" w:eastAsia="仿宋_GB2312" w:cs="Times New Roman"/>
          <w:b/>
          <w:spacing w:val="6"/>
          <w:sz w:val="30"/>
          <w:szCs w:val="30"/>
        </w:rPr>
      </w:pPr>
    </w:p>
    <w:p w14:paraId="766B1463">
      <w:pPr>
        <w:snapToGrid w:val="0"/>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40A5D4">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11F60A7A">
      <w:pPr>
        <w:snapToGrid w:val="0"/>
        <w:spacing w:line="360" w:lineRule="auto"/>
        <w:ind w:firstLine="560" w:firstLineChars="200"/>
        <w:rPr>
          <w:rFonts w:ascii="仿宋" w:hAnsi="仿宋" w:eastAsia="仿宋" w:cs="Times New Roman"/>
          <w:sz w:val="28"/>
          <w:szCs w:val="28"/>
        </w:rPr>
      </w:pPr>
    </w:p>
    <w:p w14:paraId="605C137C">
      <w:pPr>
        <w:spacing w:line="588" w:lineRule="exact"/>
        <w:ind w:firstLine="624" w:firstLineChars="200"/>
        <w:rPr>
          <w:rFonts w:ascii="仿宋_GB2312" w:eastAsia="仿宋_GB2312" w:cs="Times New Roman"/>
          <w:spacing w:val="6"/>
          <w:sz w:val="30"/>
          <w:szCs w:val="30"/>
        </w:rPr>
      </w:pPr>
    </w:p>
    <w:p w14:paraId="1D0E3DF8">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投标人名称（盖章）：</w:t>
      </w:r>
      <w:r>
        <w:rPr>
          <w:rFonts w:hint="eastAsia" w:ascii="仿宋" w:hAnsi="仿宋" w:eastAsia="仿宋" w:cs="Times New Roman"/>
          <w:sz w:val="28"/>
          <w:szCs w:val="28"/>
          <w:u w:val="single"/>
        </w:rPr>
        <w:t xml:space="preserve">        </w:t>
      </w:r>
    </w:p>
    <w:p w14:paraId="762E4F45">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日  期：</w:t>
      </w:r>
      <w:r>
        <w:rPr>
          <w:rFonts w:hint="eastAsia" w:ascii="仿宋" w:hAnsi="仿宋" w:eastAsia="仿宋" w:cs="Times New Roman"/>
          <w:sz w:val="28"/>
          <w:szCs w:val="28"/>
          <w:u w:val="single"/>
        </w:rPr>
        <w:t xml:space="preserve">       </w:t>
      </w:r>
    </w:p>
    <w:p w14:paraId="1E4D5C4B">
      <w:pPr>
        <w:wordWrap w:val="0"/>
        <w:snapToGrid w:val="0"/>
        <w:spacing w:line="360" w:lineRule="auto"/>
        <w:rPr>
          <w:rFonts w:ascii="仿宋" w:hAnsi="仿宋" w:eastAsia="仿宋" w:cs="Times New Roman"/>
          <w:color w:val="000000"/>
          <w:sz w:val="28"/>
          <w:szCs w:val="28"/>
          <w:u w:val="single"/>
        </w:rPr>
      </w:pPr>
    </w:p>
    <w:p w14:paraId="2415E4AE">
      <w:pPr>
        <w:rPr>
          <w:rFonts w:eastAsia="宋体" w:cs="Times New Roman"/>
        </w:rPr>
      </w:pPr>
    </w:p>
    <w:p w14:paraId="337FC743">
      <w:pPr>
        <w:rPr>
          <w:rFonts w:eastAsia="宋体" w:cs="Times New Roman"/>
        </w:rPr>
      </w:pPr>
    </w:p>
    <w:p w14:paraId="610D53A1">
      <w:pPr>
        <w:rPr>
          <w:rFonts w:eastAsia="宋体" w:cs="Times New Roman"/>
        </w:rPr>
      </w:pPr>
    </w:p>
    <w:p w14:paraId="42CFC072">
      <w:pPr>
        <w:rPr>
          <w:rFonts w:eastAsia="宋体" w:cs="Times New Roman"/>
        </w:rPr>
      </w:pPr>
    </w:p>
    <w:p w14:paraId="51457B68"/>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7B32">
    <w:pPr>
      <w:tabs>
        <w:tab w:val="center" w:pos="4153"/>
        <w:tab w:val="right" w:pos="8306"/>
      </w:tabs>
      <w:snapToGrid w:val="0"/>
      <w:jc w:val="left"/>
      <w:rPr>
        <w:rFonts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FE79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AFE79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0F4F">
    <w:pPr>
      <w:pStyle w:val="39"/>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8C795">
                          <w:pPr>
                            <w:pStyle w:val="3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28C795">
                    <w:pPr>
                      <w:pStyle w:val="39"/>
                    </w:pPr>
                    <w:r>
                      <w:fldChar w:fldCharType="begin"/>
                    </w:r>
                    <w:r>
                      <w:instrText xml:space="preserve"> PAGE  \* MERGEFORMAT </w:instrText>
                    </w:r>
                    <w:r>
                      <w:fldChar w:fldCharType="separate"/>
                    </w:r>
                    <w:r>
                      <w:t>90</w:t>
                    </w:r>
                    <w:r>
                      <w:fldChar w:fldCharType="end"/>
                    </w:r>
                  </w:p>
                </w:txbxContent>
              </v:textbox>
            </v:shape>
          </w:pict>
        </mc:Fallback>
      </mc:AlternateContent>
    </w: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9"/>
      <w:framePr w:wrap="around" w:vAnchor="text" w:hAnchor="margin" w:xAlign="outside" w:y="1"/>
      <w:rPr>
        <w:rStyle w:val="67"/>
      </w:rPr>
    </w:pPr>
    <w:r>
      <w:fldChar w:fldCharType="begin"/>
    </w:r>
    <w:r>
      <w:rPr>
        <w:rStyle w:val="67"/>
      </w:rPr>
      <w:instrText xml:space="preserve">PAGE  </w:instrText>
    </w:r>
    <w:r>
      <w:fldChar w:fldCharType="end"/>
    </w:r>
  </w:p>
  <w:p w14:paraId="29A3214B">
    <w:pPr>
      <w:pStyle w:val="39"/>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3"/>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DCCB345"/>
    <w:multiLevelType w:val="singleLevel"/>
    <w:tmpl w:val="0DCCB345"/>
    <w:lvl w:ilvl="0" w:tentative="0">
      <w:start w:val="2"/>
      <w:numFmt w:val="decimal"/>
      <w:suff w:val="nothing"/>
      <w:lvlText w:val="%1）"/>
      <w:lvlJc w:val="left"/>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4"/>
  </w:num>
  <w:num w:numId="21">
    <w:abstractNumId w:val="12"/>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58F525C"/>
    <w:rsid w:val="15FD65F0"/>
    <w:rsid w:val="18FE7F62"/>
    <w:rsid w:val="1B061265"/>
    <w:rsid w:val="1B4D6E1B"/>
    <w:rsid w:val="23BA0DDD"/>
    <w:rsid w:val="2BAA429E"/>
    <w:rsid w:val="2C2C4A8C"/>
    <w:rsid w:val="32EC5079"/>
    <w:rsid w:val="48F87DD4"/>
    <w:rsid w:val="5674612B"/>
    <w:rsid w:val="58094E28"/>
    <w:rsid w:val="5B2B14B5"/>
    <w:rsid w:val="688E788F"/>
    <w:rsid w:val="6CC93838"/>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99"/>
    <w:pPr>
      <w:ind w:firstLine="420"/>
    </w:pPr>
    <w:rPr>
      <w:rFonts w:ascii="Times New Roman" w:hAnsi="Times New Roman"/>
      <w:szCs w:val="20"/>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3"/>
    <w:semiHidden/>
    <w:unhideWhenUsed/>
    <w:qFormat/>
    <w:uiPriority w:val="99"/>
    <w:pPr>
      <w:ind w:firstLine="420"/>
    </w:pPr>
    <w:rPr>
      <w:szCs w:val="20"/>
    </w:rPr>
  </w:style>
  <w:style w:type="paragraph" w:styleId="19">
    <w:name w:val="caption"/>
    <w:basedOn w:val="1"/>
    <w:next w:val="1"/>
    <w:link w:val="108"/>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semiHidden/>
    <w:unhideWhenUsed/>
    <w:qFormat/>
    <w:uiPriority w:val="99"/>
    <w:rPr>
      <w:rFonts w:ascii="宋体"/>
      <w:sz w:val="18"/>
      <w:szCs w:val="18"/>
    </w:rPr>
  </w:style>
  <w:style w:type="paragraph" w:styleId="22">
    <w:name w:val="annotation text"/>
    <w:basedOn w:val="1"/>
    <w:link w:val="964"/>
    <w:unhideWhenUsed/>
    <w:qFormat/>
    <w:uiPriority w:val="99"/>
    <w:pPr>
      <w:jc w:val="left"/>
    </w:pPr>
  </w:style>
  <w:style w:type="paragraph" w:styleId="23">
    <w:name w:val="Salutation"/>
    <w:basedOn w:val="1"/>
    <w:next w:val="1"/>
    <w:link w:val="84"/>
    <w:semiHidden/>
    <w:unhideWhenUsed/>
    <w:qFormat/>
    <w:uiPriority w:val="99"/>
    <w:rPr>
      <w:rFonts w:ascii="宋体" w:hAnsi="Times New Roman"/>
      <w:b/>
      <w:sz w:val="28"/>
      <w:szCs w:val="20"/>
    </w:rPr>
  </w:style>
  <w:style w:type="paragraph" w:styleId="24">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link w:val="86"/>
    <w:semiHidden/>
    <w:unhideWhenUsed/>
    <w:qFormat/>
    <w:uiPriority w:val="99"/>
    <w:pPr>
      <w:spacing w:after="120"/>
    </w:pPr>
    <w:rPr>
      <w:sz w:val="28"/>
      <w:szCs w:val="24"/>
    </w:rPr>
  </w:style>
  <w:style w:type="paragraph" w:styleId="26">
    <w:name w:val="Body Text Indent"/>
    <w:basedOn w:val="1"/>
    <w:link w:val="87"/>
    <w:semiHidden/>
    <w:unhideWhenUsed/>
    <w:qFormat/>
    <w:uiPriority w:val="99"/>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Plain Text"/>
    <w:basedOn w:val="1"/>
    <w:link w:val="88"/>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9"/>
    <w:semiHidden/>
    <w:unhideWhenUsed/>
    <w:qFormat/>
    <w:uiPriority w:val="99"/>
    <w:pPr>
      <w:ind w:left="2500" w:leftChars="2500"/>
    </w:pPr>
    <w:rPr>
      <w:rFonts w:eastAsia="楷体_GB2312"/>
      <w:sz w:val="32"/>
      <w:szCs w:val="20"/>
    </w:rPr>
  </w:style>
  <w:style w:type="paragraph" w:styleId="36">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2"/>
    <w:semiHidden/>
    <w:unhideWhenUsed/>
    <w:qFormat/>
    <w:uiPriority w:val="99"/>
    <w:rPr>
      <w:sz w:val="18"/>
      <w:szCs w:val="18"/>
    </w:rPr>
  </w:style>
  <w:style w:type="paragraph" w:styleId="39">
    <w:name w:val="footer"/>
    <w:basedOn w:val="1"/>
    <w:link w:val="819"/>
    <w:unhideWhenUsed/>
    <w:qFormat/>
    <w:uiPriority w:val="99"/>
    <w:pPr>
      <w:tabs>
        <w:tab w:val="center" w:pos="4153"/>
        <w:tab w:val="right" w:pos="8306"/>
      </w:tabs>
      <w:snapToGrid w:val="0"/>
      <w:jc w:val="left"/>
    </w:pPr>
    <w:rPr>
      <w:sz w:val="18"/>
      <w:szCs w:val="18"/>
    </w:rPr>
  </w:style>
  <w:style w:type="paragraph" w:styleId="40">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2">
    <w:name w:val="toc 4"/>
    <w:basedOn w:val="1"/>
    <w:next w:val="1"/>
    <w:semiHidden/>
    <w:unhideWhenUsed/>
    <w:qFormat/>
    <w:uiPriority w:val="39"/>
    <w:pPr>
      <w:ind w:left="1260" w:leftChars="600"/>
    </w:pPr>
  </w:style>
  <w:style w:type="paragraph" w:styleId="43">
    <w:name w:val="Subtitle"/>
    <w:basedOn w:val="1"/>
    <w:next w:val="1"/>
    <w:link w:val="95"/>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6"/>
    <w:semiHidden/>
    <w:unhideWhenUsed/>
    <w:qFormat/>
    <w:uiPriority w:val="99"/>
    <w:pPr>
      <w:snapToGrid w:val="0"/>
      <w:jc w:val="left"/>
    </w:pPr>
    <w:rPr>
      <w:sz w:val="18"/>
      <w:szCs w:val="18"/>
    </w:rPr>
  </w:style>
  <w:style w:type="paragraph" w:styleId="46">
    <w:name w:val="toc 6"/>
    <w:basedOn w:val="1"/>
    <w:next w:val="1"/>
    <w:semiHidden/>
    <w:unhideWhenUsed/>
    <w:qFormat/>
    <w:uiPriority w:val="39"/>
    <w:pPr>
      <w:ind w:left="1050"/>
      <w:jc w:val="left"/>
    </w:pPr>
    <w:rPr>
      <w:rFonts w:ascii="Times New Roman" w:hAnsi="Times New Roman"/>
      <w:sz w:val="18"/>
      <w:szCs w:val="18"/>
    </w:rPr>
  </w:style>
  <w:style w:type="paragraph" w:styleId="47">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qFormat/>
    <w:uiPriority w:val="39"/>
    <w:pPr>
      <w:ind w:left="1680"/>
      <w:jc w:val="left"/>
    </w:pPr>
    <w:rPr>
      <w:rFonts w:ascii="Times New Roman" w:hAnsi="Times New Roman"/>
      <w:sz w:val="18"/>
      <w:szCs w:val="18"/>
    </w:rPr>
  </w:style>
  <w:style w:type="paragraph" w:styleId="51">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99"/>
    <w:rPr>
      <w:rFonts w:ascii="Courier New" w:hAnsi="Courier New"/>
      <w:sz w:val="20"/>
      <w:szCs w:val="20"/>
    </w:rPr>
  </w:style>
  <w:style w:type="paragraph" w:styleId="5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next w:val="1"/>
    <w:link w:val="100"/>
    <w:qFormat/>
    <w:uiPriority w:val="10"/>
    <w:pPr>
      <w:spacing w:before="240" w:after="60"/>
      <w:jc w:val="center"/>
      <w:outlineLvl w:val="0"/>
    </w:pPr>
    <w:rPr>
      <w:rFonts w:ascii="Arial" w:hAnsi="Arial"/>
      <w:b/>
      <w:bCs/>
      <w:sz w:val="32"/>
      <w:szCs w:val="32"/>
    </w:rPr>
  </w:style>
  <w:style w:type="paragraph" w:styleId="57">
    <w:name w:val="annotation subject"/>
    <w:basedOn w:val="22"/>
    <w:next w:val="22"/>
    <w:link w:val="963"/>
    <w:semiHidden/>
    <w:unhideWhenUsed/>
    <w:qFormat/>
    <w:uiPriority w:val="99"/>
    <w:rPr>
      <w:b/>
      <w:bCs/>
    </w:rPr>
  </w:style>
  <w:style w:type="paragraph" w:styleId="58">
    <w:name w:val="Body Text First Indent"/>
    <w:basedOn w:val="25"/>
    <w:link w:val="103"/>
    <w:semiHidden/>
    <w:unhideWhenUsed/>
    <w:qFormat/>
    <w:uiPriority w:val="99"/>
    <w:pPr>
      <w:ind w:firstLine="420" w:firstLineChars="100"/>
    </w:pPr>
    <w:rPr>
      <w:sz w:val="21"/>
      <w:szCs w:val="22"/>
    </w:rPr>
  </w:style>
  <w:style w:type="paragraph" w:styleId="59">
    <w:name w:val="Body Text First Indent 2"/>
    <w:basedOn w:val="26"/>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semiHidden/>
    <w:unhideWhenUsed/>
    <w:qFormat/>
    <w:uiPriority w:val="99"/>
  </w:style>
  <w:style w:type="character" w:styleId="68">
    <w:name w:val="FollowedHyperlink"/>
    <w:semiHidden/>
    <w:unhideWhenUsed/>
    <w:qFormat/>
    <w:uiPriority w:val="99"/>
    <w:rPr>
      <w:color w:val="800080"/>
      <w:u w:val="single"/>
    </w:rPr>
  </w:style>
  <w:style w:type="character" w:styleId="69">
    <w:name w:val="Emphasis"/>
    <w:qFormat/>
    <w:uiPriority w:val="20"/>
    <w:rPr>
      <w:color w:val="CC0033"/>
    </w:rPr>
  </w:style>
  <w:style w:type="character" w:styleId="70">
    <w:name w:val="Hyperlink"/>
    <w:semiHidden/>
    <w:unhideWhenUsed/>
    <w:qFormat/>
    <w:uiPriority w:val="99"/>
    <w:rPr>
      <w:color w:val="0000FF"/>
      <w:u w:val="single"/>
    </w:rPr>
  </w:style>
  <w:style w:type="character" w:styleId="71">
    <w:name w:val="annotation reference"/>
    <w:semiHidden/>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5"/>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7"/>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7"/>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8"/>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8"/>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5"/>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basedOn w:val="65"/>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964"/>
    <w:link w:val="57"/>
    <w:qFormat/>
    <w:uiPriority w:val="99"/>
    <w:rPr>
      <w:rFonts w:ascii="Calibri" w:hAnsi="Calibri" w:eastAsia="宋体" w:cs="Times New Roman"/>
      <w:b/>
      <w:bCs/>
    </w:rPr>
  </w:style>
  <w:style w:type="character" w:customStyle="1" w:styleId="964">
    <w:name w:val="批注文字 字符"/>
    <w:basedOn w:val="65"/>
    <w:link w:val="22"/>
    <w:qFormat/>
    <w:uiPriority w:val="99"/>
    <w:rPr>
      <w:kern w:val="2"/>
      <w:sz w:val="21"/>
      <w:szCs w:val="22"/>
    </w:rPr>
  </w:style>
  <w:style w:type="character" w:customStyle="1" w:styleId="965">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6">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标题3"/>
    <w:basedOn w:val="5"/>
    <w:link w:val="993"/>
    <w:autoRedefine/>
    <w:qFormat/>
    <w:uiPriority w:val="0"/>
    <w:pPr>
      <w:spacing w:before="260" w:after="260" w:line="416" w:lineRule="auto"/>
    </w:pPr>
    <w:rPr>
      <w:rFonts w:ascii="楷体" w:hAnsi="楷体" w:eastAsia="楷体" w:cstheme="minorBidi"/>
      <w:color w:val="auto"/>
      <w:sz w:val="36"/>
      <w:szCs w:val="36"/>
      <w14:ligatures w14:val="none"/>
    </w:rPr>
  </w:style>
  <w:style w:type="character" w:customStyle="1" w:styleId="993">
    <w:name w:val="标题3 字符"/>
    <w:basedOn w:val="65"/>
    <w:link w:val="992"/>
    <w:qFormat/>
    <w:uiPriority w:val="0"/>
    <w:rPr>
      <w:rFonts w:ascii="楷体" w:hAnsi="楷体" w:eastAsia="楷体" w:cstheme="minorBidi"/>
      <w:b/>
      <w:bCs/>
      <w:color w:val="auto"/>
      <w:sz w:val="36"/>
      <w:szCs w:val="36"/>
    </w:rPr>
  </w:style>
  <w:style w:type="paragraph" w:styleId="994">
    <w:name w:val="Quote"/>
    <w:basedOn w:val="1"/>
    <w:next w:val="1"/>
    <w:link w:val="995"/>
    <w:qFormat/>
    <w:uiPriority w:val="29"/>
    <w:pPr>
      <w:spacing w:before="160" w:after="160" w:line="278" w:lineRule="auto"/>
      <w:jc w:val="center"/>
    </w:pPr>
    <w:rPr>
      <w:rFonts w:eastAsia="宋体" w:cs="Times New Roman"/>
      <w:i/>
      <w:iCs/>
      <w:color w:val="404040" w:themeColor="text1" w:themeTint="BF"/>
      <w14:textFill>
        <w14:solidFill>
          <w14:schemeClr w14:val="tx1">
            <w14:lumMod w14:val="75000"/>
            <w14:lumOff w14:val="25000"/>
          </w14:schemeClr>
        </w14:solidFill>
      </w14:textFill>
      <w14:ligatures w14:val="none"/>
    </w:rPr>
  </w:style>
  <w:style w:type="character" w:customStyle="1" w:styleId="995">
    <w:name w:val="引用 字符"/>
    <w:basedOn w:val="65"/>
    <w:link w:val="994"/>
    <w:qFormat/>
    <w:uiPriority w:val="29"/>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996">
    <w:name w:val="Intense Emphasis"/>
    <w:basedOn w:val="65"/>
    <w:qFormat/>
    <w:uiPriority w:val="21"/>
    <w:rPr>
      <w:rFonts w:asciiTheme="minorHAnsi" w:hAnsiTheme="minorHAnsi" w:eastAsiaTheme="minorEastAsia" w:cstheme="minorBidi"/>
      <w:i/>
      <w:iCs/>
      <w:color w:val="376092" w:themeColor="accent1" w:themeShade="BF"/>
    </w:rPr>
  </w:style>
  <w:style w:type="paragraph" w:styleId="997">
    <w:name w:val="Intense Quote"/>
    <w:basedOn w:val="1"/>
    <w:next w:val="1"/>
    <w:link w:val="998"/>
    <w:qFormat/>
    <w:uiPriority w:val="30"/>
    <w:pPr>
      <w:pBdr>
        <w:top w:val="single" w:color="366091" w:themeColor="accent1" w:themeShade="BF" w:sz="4" w:space="10"/>
        <w:bottom w:val="single" w:color="366091" w:themeColor="accent1" w:themeShade="BF" w:sz="4" w:space="10"/>
      </w:pBdr>
      <w:spacing w:before="360" w:after="360" w:line="278" w:lineRule="auto"/>
      <w:ind w:left="864" w:right="864"/>
      <w:jc w:val="center"/>
    </w:pPr>
    <w:rPr>
      <w:rFonts w:eastAsia="宋体" w:cs="Times New Roman"/>
      <w:i/>
      <w:iCs/>
      <w:color w:val="376092" w:themeColor="accent1" w:themeShade="BF"/>
      <w14:ligatures w14:val="none"/>
    </w:rPr>
  </w:style>
  <w:style w:type="character" w:customStyle="1" w:styleId="998">
    <w:name w:val="明显引用 字符"/>
    <w:basedOn w:val="65"/>
    <w:link w:val="997"/>
    <w:qFormat/>
    <w:uiPriority w:val="30"/>
    <w:rPr>
      <w:rFonts w:asciiTheme="minorHAnsi" w:hAnsiTheme="minorHAnsi" w:eastAsiaTheme="minorEastAsia" w:cstheme="minorBidi"/>
      <w:i/>
      <w:iCs/>
      <w:color w:val="376092" w:themeColor="accent1" w:themeShade="BF"/>
    </w:rPr>
  </w:style>
  <w:style w:type="paragraph" w:customStyle="1" w:styleId="999">
    <w:name w:val="标题1DJF"/>
    <w:basedOn w:val="3"/>
    <w:link w:val="1000"/>
    <w:autoRedefine/>
    <w:qFormat/>
    <w:uiPriority w:val="0"/>
    <w:pPr>
      <w:keepNext/>
      <w:keepLines/>
      <w:autoSpaceDE/>
      <w:autoSpaceDN/>
      <w:adjustRightInd/>
      <w:spacing w:before="156" w:after="156" w:line="278" w:lineRule="auto"/>
      <w:jc w:val="left"/>
    </w:pPr>
    <w:rPr>
      <w:rFonts w:eastAsia="宋体" w:cs="Times New Roman" w:asciiTheme="majorHAnsi" w:hAnsiTheme="majorHAnsi"/>
      <w:b w:val="0"/>
      <w:bCs w:val="0"/>
      <w:color w:val="auto"/>
      <w:kern w:val="2"/>
      <w:sz w:val="40"/>
      <w:szCs w:val="48"/>
      <w14:ligatures w14:val="none"/>
    </w:rPr>
  </w:style>
  <w:style w:type="character" w:customStyle="1" w:styleId="1000">
    <w:name w:val="标题1DJF 字符"/>
    <w:basedOn w:val="73"/>
    <w:link w:val="999"/>
    <w:qFormat/>
    <w:uiPriority w:val="0"/>
    <w:rPr>
      <w:rFonts w:eastAsia="宋体" w:cs="Times New Roman" w:asciiTheme="majorHAnsi" w:hAnsiTheme="majorHAnsi"/>
      <w:b w:val="0"/>
      <w:bCs w:val="0"/>
      <w:color w:val="auto"/>
      <w:kern w:val="0"/>
      <w:sz w:val="40"/>
      <w:szCs w:val="48"/>
    </w:rPr>
  </w:style>
  <w:style w:type="paragraph" w:customStyle="1" w:styleId="1001">
    <w:name w:val="列出段落3"/>
    <w:basedOn w:val="1"/>
    <w:qFormat/>
    <w:uiPriority w:val="0"/>
    <w:pPr>
      <w:spacing w:after="0" w:line="278" w:lineRule="auto"/>
      <w:ind w:firstLine="420" w:firstLineChars="200"/>
    </w:pPr>
    <w:rPr>
      <w:rFonts w:eastAsia="宋体" w:cs="Times New Roman"/>
      <w:szCs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17575</Words>
  <Characters>18803</Characters>
  <Lines>1280</Lines>
  <Paragraphs>1000</Paragraphs>
  <TotalTime>0</TotalTime>
  <ScaleCrop>false</ScaleCrop>
  <LinksUpToDate>false</LinksUpToDate>
  <CharactersWithSpaces>18905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2025-07-17T02:40:02Z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2052-12.1.0.21915</vt:lpwstr>
  </property>
  <property fmtid="{D5CDD505-2E9C-101B-9397-08002B2CF9AE}" pid="4" name="ICV">
    <vt:lpwstr>452179FAC415465793AB23B5A1907CDE_12</vt:lpwstr>
  </property>
</Properties>
</file>