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8D3E">
      <w:pPr>
        <w:jc w:val="center"/>
        <w:rPr>
          <w:rFonts w:hint="eastAsia" w:ascii="宋体" w:hAnsi="宋体" w:eastAsia="宋体" w:cs="宋体"/>
          <w:spacing w:val="30"/>
          <w:sz w:val="48"/>
          <w:szCs w:val="48"/>
          <w:lang w:val="en-US" w:eastAsia="zh-CN"/>
        </w:rPr>
      </w:pPr>
    </w:p>
    <w:p w14:paraId="44D50545">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浙江省教育考试院物业服务项目</w:t>
      </w:r>
      <w:bookmarkEnd w:id="0"/>
    </w:p>
    <w:p w14:paraId="299D58B7">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ZZCG2025H-CS-113</w:t>
      </w:r>
      <w:bookmarkEnd w:id="1"/>
    </w:p>
    <w:p w14:paraId="1B0AECBA">
      <w:pPr>
        <w:spacing w:after="100" w:afterAutospacing="1" w:line="800" w:lineRule="exact"/>
        <w:ind w:right="-108"/>
        <w:rPr>
          <w:rFonts w:ascii="仿宋" w:hAnsi="仿宋" w:eastAsia="仿宋"/>
          <w:b/>
          <w:spacing w:val="40"/>
          <w:sz w:val="52"/>
          <w:szCs w:val="52"/>
        </w:rPr>
      </w:pPr>
    </w:p>
    <w:p w14:paraId="4E63F10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E29621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1AC72D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707F94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8D01A8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B7F1BD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89DAA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24B3897">
      <w:pPr>
        <w:ind w:right="-110"/>
        <w:rPr>
          <w:rFonts w:ascii="仿宋" w:hAnsi="仿宋" w:eastAsia="仿宋"/>
          <w:sz w:val="32"/>
          <w:szCs w:val="32"/>
        </w:rPr>
      </w:pPr>
    </w:p>
    <w:p w14:paraId="57691A29">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3CB5E79">
      <w:pPr>
        <w:spacing w:line="500" w:lineRule="exact"/>
        <w:ind w:right="532"/>
        <w:jc w:val="center"/>
        <w:rPr>
          <w:rFonts w:ascii="仿宋" w:hAnsi="仿宋" w:eastAsia="仿宋"/>
          <w:sz w:val="36"/>
          <w:szCs w:val="36"/>
        </w:rPr>
      </w:pPr>
    </w:p>
    <w:p w14:paraId="5A41CA53">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07237B11">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3EA08DD4">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0C33727">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318E07EA">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D786AD5">
      <w:pPr>
        <w:pStyle w:val="37"/>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8</w:t>
      </w:r>
    </w:p>
    <w:p w14:paraId="496C806B">
      <w:pPr>
        <w:pStyle w:val="37"/>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0</w:t>
      </w:r>
    </w:p>
    <w:p w14:paraId="54E30C77">
      <w:pPr>
        <w:pStyle w:val="37"/>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3</w:t>
      </w:r>
    </w:p>
    <w:p w14:paraId="101FF1EE">
      <w:pPr>
        <w:pStyle w:val="37"/>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3</w:t>
      </w:r>
      <w:r>
        <w:rPr>
          <w:rStyle w:val="60"/>
          <w:sz w:val="28"/>
          <w:szCs w:val="28"/>
        </w:rPr>
        <w:fldChar w:fldCharType="end"/>
      </w:r>
      <w:r>
        <w:rPr>
          <w:rStyle w:val="60"/>
          <w:rFonts w:hint="eastAsia"/>
          <w:sz w:val="28"/>
          <w:szCs w:val="28"/>
          <w:lang w:val="en-US" w:eastAsia="zh-CN"/>
        </w:rPr>
        <w:t>9</w:t>
      </w:r>
    </w:p>
    <w:p w14:paraId="6C7F52A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1BB3346">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3879552B">
      <w:pPr>
        <w:pStyle w:val="2"/>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25BDA38D"/>
    <w:p w14:paraId="268B1171">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sz w:val="30"/>
          <w:szCs w:val="30"/>
          <w:lang w:val="en-US" w:eastAsia="zh-CN"/>
        </w:rPr>
        <w:t>响应</w:t>
      </w:r>
      <w:r>
        <w:rPr>
          <w:rFonts w:hint="eastAsia" w:ascii="仿宋" w:hAnsi="仿宋" w:eastAsia="仿宋"/>
          <w:sz w:val="30"/>
          <w:szCs w:val="30"/>
        </w:rPr>
        <w:t>：</w:t>
      </w:r>
    </w:p>
    <w:p w14:paraId="12D04205">
      <w:pPr>
        <w:spacing w:line="480" w:lineRule="exact"/>
        <w:rPr>
          <w:rFonts w:ascii="仿宋" w:hAnsi="仿宋" w:eastAsia="仿宋"/>
          <w:sz w:val="30"/>
          <w:szCs w:val="30"/>
        </w:rPr>
      </w:pPr>
    </w:p>
    <w:p w14:paraId="3D8B9C9D">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6128055">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浙江省教育考试院物业服务项目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23</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4A96D33">
      <w:pPr>
        <w:spacing w:line="480" w:lineRule="exact"/>
        <w:ind w:firstLine="602" w:firstLineChars="200"/>
        <w:rPr>
          <w:rFonts w:ascii="仿宋" w:hAnsi="仿宋" w:eastAsia="仿宋"/>
          <w:b/>
          <w:sz w:val="30"/>
          <w:szCs w:val="30"/>
        </w:rPr>
      </w:pPr>
    </w:p>
    <w:p w14:paraId="6FCFEA6C">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6D208F4">
      <w:pPr>
        <w:spacing w:line="480" w:lineRule="exact"/>
        <w:ind w:firstLine="600" w:firstLineChars="200"/>
        <w:rPr>
          <w:rFonts w:hint="eastAsia" w:ascii="仿宋" w:hAnsi="仿宋" w:eastAsia="仿宋" w:cs="Arial"/>
          <w:b/>
          <w:bCs/>
          <w:sz w:val="30"/>
          <w:szCs w:val="30"/>
          <w:lang w:eastAsia="zh-CN"/>
        </w:rPr>
      </w:pPr>
      <w:bookmarkStart w:id="6" w:name="_Toc28359012"/>
      <w:bookmarkStart w:id="7" w:name="_Toc35393798"/>
      <w:bookmarkStart w:id="8" w:name="_Toc35393629"/>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ZZCG2025H-CS-113</w:t>
      </w:r>
      <w:bookmarkEnd w:id="10"/>
    </w:p>
    <w:p w14:paraId="47BB20B1">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浙江省教育考试院物业服务项目</w:t>
      </w:r>
      <w:bookmarkEnd w:id="11"/>
    </w:p>
    <w:p w14:paraId="7EBB25F4">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B5EAE7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1000000</w:t>
      </w:r>
      <w:bookmarkEnd w:id="12"/>
    </w:p>
    <w:p w14:paraId="014E9382">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D9061DD">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60ED826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3A1D74EC">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69915A3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预算金额（元）：1000000</w:t>
      </w:r>
    </w:p>
    <w:p w14:paraId="2619E82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14:paraId="45FDE7C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47A392E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1AAAE86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466AC4DF">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w:t>
      </w:r>
      <w:bookmarkStart w:id="14" w:name="PO_3000001756_PM007"/>
      <w:r>
        <w:rPr>
          <w:rFonts w:hint="eastAsia" w:ascii="仿宋" w:hAnsi="仿宋" w:eastAsia="仿宋"/>
          <w:sz w:val="30"/>
          <w:szCs w:val="30"/>
          <w:lang w:val="en-US" w:eastAsia="zh-CN"/>
        </w:rPr>
        <w:t>标项1:允许联合体投标</w:t>
      </w:r>
      <w:bookmarkEnd w:id="14"/>
      <w:r>
        <w:rPr>
          <w:rFonts w:hint="eastAsia" w:ascii="仿宋" w:hAnsi="仿宋" w:eastAsia="仿宋"/>
          <w:sz w:val="30"/>
          <w:szCs w:val="30"/>
        </w:rPr>
        <w:t>。</w:t>
      </w:r>
      <w:r>
        <w:rPr>
          <w:rFonts w:eastAsia="仿宋"/>
          <w:sz w:val="30"/>
          <w:szCs w:val="30"/>
        </w:rPr>
        <w:t>  </w:t>
      </w:r>
    </w:p>
    <w:p w14:paraId="0F07F2C1">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00D5718">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7AEC61E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标项1供应商为中小企业/小微企业/残疾人福利企业/监狱企业</w:t>
      </w:r>
      <w:bookmarkEnd w:id="15"/>
    </w:p>
    <w:p w14:paraId="652DB52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标项1:本项目专门面向中小企业，请单独上传《中小企业声明函》。</w:t>
      </w:r>
      <w:bookmarkEnd w:id="16"/>
    </w:p>
    <w:bookmarkEnd w:id="6"/>
    <w:bookmarkEnd w:id="7"/>
    <w:bookmarkEnd w:id="8"/>
    <w:bookmarkEnd w:id="9"/>
    <w:p w14:paraId="7173E9CC">
      <w:pPr>
        <w:spacing w:line="480" w:lineRule="exact"/>
        <w:ind w:firstLine="602" w:firstLineChars="200"/>
        <w:rPr>
          <w:rFonts w:ascii="仿宋" w:hAnsi="仿宋" w:eastAsia="仿宋"/>
          <w:b/>
          <w:sz w:val="30"/>
          <w:szCs w:val="30"/>
        </w:rPr>
      </w:pPr>
      <w:bookmarkStart w:id="17" w:name="_Toc35393800"/>
      <w:bookmarkStart w:id="18" w:name="_Toc28359091"/>
      <w:bookmarkStart w:id="19" w:name="_Toc28359014"/>
      <w:bookmarkStart w:id="20" w:name="_Toc35393631"/>
      <w:r>
        <w:rPr>
          <w:rFonts w:hint="eastAsia" w:ascii="仿宋" w:hAnsi="仿宋" w:eastAsia="仿宋"/>
          <w:b/>
          <w:sz w:val="30"/>
          <w:szCs w:val="30"/>
        </w:rPr>
        <w:t>三、获取磋商文件</w:t>
      </w:r>
      <w:bookmarkEnd w:id="17"/>
      <w:bookmarkEnd w:id="18"/>
      <w:bookmarkEnd w:id="19"/>
      <w:bookmarkEnd w:id="20"/>
    </w:p>
    <w:p w14:paraId="4EC97681">
      <w:pPr>
        <w:spacing w:line="480" w:lineRule="exact"/>
        <w:ind w:firstLine="600" w:firstLineChars="200"/>
        <w:rPr>
          <w:rFonts w:ascii="仿宋" w:hAnsi="仿宋" w:eastAsia="仿宋"/>
          <w:sz w:val="30"/>
          <w:szCs w:val="30"/>
        </w:rPr>
      </w:pPr>
      <w:bookmarkStart w:id="21" w:name="_Toc28359015"/>
      <w:bookmarkStart w:id="22" w:name="_Toc28359092"/>
      <w:bookmarkStart w:id="23" w:name="_Toc35393632"/>
      <w:bookmarkStart w:id="24" w:name="_Toc35393801"/>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 xml:space="preserve"> </w:t>
      </w:r>
      <w:bookmarkEnd w:id="25"/>
      <w:r>
        <w:rPr>
          <w:rFonts w:hint="eastAsia" w:ascii="仿宋" w:hAnsi="仿宋" w:eastAsia="仿宋"/>
          <w:b/>
          <w:color w:val="FF0000"/>
          <w:kern w:val="0"/>
          <w:sz w:val="30"/>
          <w:szCs w:val="30"/>
          <w:lang w:eastAsia="zh-CN"/>
        </w:rPr>
        <w:t>2025-07-23 09:00:00</w:t>
      </w:r>
      <w:r>
        <w:rPr>
          <w:rFonts w:hint="eastAsia" w:ascii="仿宋" w:hAnsi="仿宋" w:eastAsia="仿宋"/>
          <w:sz w:val="30"/>
          <w:szCs w:val="30"/>
        </w:rPr>
        <w:t>。</w:t>
      </w:r>
    </w:p>
    <w:p w14:paraId="612AB082">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获取方式：本项目采购文件实行网上获取。供应商登录浙江政府采购网（http://zfcg.czt.zj.gov.cn/）进入政采云系统“项目采购”模块“获取采购文件”菜单，进行网上获取采购文件。</w:t>
      </w:r>
    </w:p>
    <w:p w14:paraId="50D79B72">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磋商文件免费获取。</w:t>
      </w:r>
    </w:p>
    <w:p w14:paraId="59CD5B64">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1EB1ACF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6" w:name="PO_15530_PM015"/>
      <w:r>
        <w:rPr>
          <w:rFonts w:hint="eastAsia" w:ascii="仿宋" w:hAnsi="仿宋" w:eastAsia="仿宋"/>
          <w:b/>
          <w:color w:val="FF0000"/>
          <w:kern w:val="0"/>
          <w:sz w:val="30"/>
          <w:szCs w:val="30"/>
          <w:lang w:eastAsia="zh-CN"/>
        </w:rPr>
        <w:t>2025-07-23 09:00:00</w:t>
      </w:r>
      <w:r>
        <w:rPr>
          <w:rFonts w:hint="eastAsia" w:ascii="仿宋" w:hAnsi="仿宋" w:eastAsia="仿宋" w:cs="Arial"/>
          <w:sz w:val="30"/>
          <w:szCs w:val="30"/>
          <w:lang w:eastAsia="zh-CN"/>
        </w:rPr>
        <w:t xml:space="preserve"> </w:t>
      </w:r>
      <w:bookmarkEnd w:id="26"/>
    </w:p>
    <w:p w14:paraId="79F81164">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177A05DD">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10D9746C">
      <w:pPr>
        <w:ind w:firstLine="600" w:firstLineChars="200"/>
        <w:rPr>
          <w:rFonts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w:t>
      </w:r>
      <w:r>
        <w:rPr>
          <w:rFonts w:ascii="仿宋" w:hAnsi="仿宋" w:eastAsia="仿宋"/>
          <w:sz w:val="30"/>
          <w:szCs w:val="30"/>
        </w:rPr>
        <w:t xml:space="preserve"> U 盘或 DVD 光盘形式存储，并在</w:t>
      </w:r>
      <w:r>
        <w:rPr>
          <w:rFonts w:hint="eastAsia" w:ascii="仿宋" w:hAnsi="仿宋" w:eastAsia="仿宋"/>
          <w:sz w:val="30"/>
          <w:szCs w:val="30"/>
          <w:lang w:val="en-US" w:eastAsia="zh-CN"/>
        </w:rPr>
        <w:t>响应</w:t>
      </w:r>
      <w:r>
        <w:rPr>
          <w:rFonts w:ascii="仿宋" w:hAnsi="仿宋" w:eastAsia="仿宋"/>
          <w:sz w:val="30"/>
          <w:szCs w:val="30"/>
        </w:rPr>
        <w:t>截止时间前，通过邮寄或直接递交的方式，送达指定地点，逾期送达或未密封将被拒收。</w:t>
      </w:r>
    </w:p>
    <w:p w14:paraId="2BA68EA4">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lang w:val="en-US" w:eastAsia="zh-CN"/>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6DCE300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137951C5">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7C690BCF">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本次磋商将于</w:t>
      </w:r>
      <w:bookmarkStart w:id="27" w:name="PO_15530_PM015_1"/>
      <w:r>
        <w:rPr>
          <w:rFonts w:hint="eastAsia" w:ascii="仿宋" w:hAnsi="仿宋" w:eastAsia="仿宋" w:cs="Arial"/>
          <w:sz w:val="30"/>
          <w:szCs w:val="30"/>
          <w:lang w:eastAsia="zh-CN"/>
        </w:rPr>
        <w:t>2025-07-23 09:00:00</w:t>
      </w:r>
      <w:bookmarkEnd w:id="27"/>
      <w:r>
        <w:rPr>
          <w:rFonts w:hint="eastAsia" w:ascii="仿宋" w:hAnsi="仿宋" w:eastAsia="仿宋"/>
          <w:sz w:val="30"/>
          <w:szCs w:val="30"/>
        </w:rPr>
        <w:t>在</w:t>
      </w:r>
      <w:bookmarkStart w:id="28" w:name="PO_3000001756_PM016"/>
      <w:r>
        <w:rPr>
          <w:rFonts w:hint="eastAsia" w:ascii="仿宋" w:hAnsi="仿宋" w:eastAsia="仿宋"/>
          <w:b/>
          <w:color w:val="FF0000"/>
          <w:sz w:val="30"/>
          <w:szCs w:val="30"/>
          <w:lang w:eastAsia="zh-CN"/>
        </w:rPr>
        <w:t>西湖区浙江省杭州市西湖区宝石一路3号</w:t>
      </w:r>
      <w:r>
        <w:rPr>
          <w:rFonts w:hint="eastAsia" w:ascii="仿宋" w:hAnsi="仿宋" w:eastAsia="仿宋"/>
          <w:b/>
          <w:color w:val="FF0000"/>
          <w:sz w:val="30"/>
          <w:szCs w:val="30"/>
          <w:lang w:val="en-US" w:eastAsia="zh-CN"/>
        </w:rPr>
        <w:t>301</w:t>
      </w:r>
      <w:r>
        <w:rPr>
          <w:rFonts w:hint="eastAsia" w:ascii="仿宋" w:hAnsi="仿宋" w:eastAsia="仿宋"/>
          <w:b/>
          <w:color w:val="FF0000"/>
          <w:sz w:val="30"/>
          <w:szCs w:val="30"/>
          <w:lang w:eastAsia="zh-CN"/>
        </w:rPr>
        <w:t>开标室</w:t>
      </w:r>
      <w:bookmarkEnd w:id="28"/>
      <w:r>
        <w:rPr>
          <w:rFonts w:hint="eastAsia" w:ascii="仿宋" w:hAnsi="仿宋" w:eastAsia="仿宋"/>
          <w:sz w:val="30"/>
          <w:szCs w:val="30"/>
        </w:rPr>
        <w:t>开启。</w:t>
      </w:r>
    </w:p>
    <w:p w14:paraId="226C0F21">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6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bookmarkStart w:id="29" w:name="_Toc35393803"/>
            <w:bookmarkStart w:id="30" w:name="_Toc28359017"/>
            <w:bookmarkStart w:id="31" w:name="_Toc35393634"/>
            <w:bookmarkStart w:id="32" w:name="_Toc28359094"/>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3F37A65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9"/>
      <w:bookmarkEnd w:id="30"/>
      <w:bookmarkEnd w:id="31"/>
      <w:bookmarkEnd w:id="32"/>
    </w:p>
    <w:p w14:paraId="6EB5931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61E67AD1">
      <w:pPr>
        <w:spacing w:line="480" w:lineRule="exact"/>
        <w:ind w:firstLine="602" w:firstLineChars="200"/>
        <w:rPr>
          <w:rFonts w:ascii="仿宋" w:hAnsi="仿宋" w:eastAsia="仿宋"/>
          <w:b/>
          <w:sz w:val="30"/>
          <w:szCs w:val="30"/>
        </w:rPr>
      </w:pPr>
      <w:bookmarkStart w:id="33" w:name="_Toc35393804"/>
      <w:bookmarkStart w:id="34" w:name="_Toc35393635"/>
      <w:r>
        <w:rPr>
          <w:rFonts w:hint="eastAsia" w:ascii="仿宋" w:hAnsi="仿宋" w:eastAsia="仿宋"/>
          <w:b/>
          <w:sz w:val="30"/>
          <w:szCs w:val="30"/>
        </w:rPr>
        <w:t>七、其他补充事宜</w:t>
      </w:r>
      <w:bookmarkEnd w:id="33"/>
      <w:bookmarkEnd w:id="34"/>
    </w:p>
    <w:p w14:paraId="6791CDE4">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电子交易平台的网络地址和登录方法</w:t>
      </w:r>
    </w:p>
    <w:p w14:paraId="1F8267D7">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24FC3186">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65986828">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CCD87">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其他事项：无</w:t>
      </w:r>
    </w:p>
    <w:p w14:paraId="78F81D94">
      <w:pPr>
        <w:spacing w:line="480" w:lineRule="exact"/>
        <w:ind w:firstLine="600" w:firstLineChars="200"/>
        <w:rPr>
          <w:rFonts w:ascii="仿宋" w:hAnsi="仿宋" w:eastAsia="仿宋"/>
          <w:sz w:val="30"/>
          <w:szCs w:val="30"/>
        </w:rPr>
      </w:pPr>
    </w:p>
    <w:p w14:paraId="4E0BB1C9">
      <w:pPr>
        <w:spacing w:line="480" w:lineRule="exact"/>
        <w:ind w:firstLine="602" w:firstLineChars="200"/>
        <w:rPr>
          <w:rFonts w:ascii="仿宋" w:hAnsi="仿宋" w:eastAsia="仿宋"/>
          <w:b/>
          <w:sz w:val="30"/>
          <w:szCs w:val="30"/>
        </w:rPr>
      </w:pPr>
      <w:bookmarkStart w:id="35" w:name="_Toc35393805"/>
      <w:bookmarkStart w:id="36" w:name="_Toc28359018"/>
      <w:bookmarkStart w:id="37" w:name="_Toc35393636"/>
      <w:bookmarkStart w:id="38" w:name="_Toc28359095"/>
      <w:r>
        <w:rPr>
          <w:rFonts w:hint="eastAsia" w:ascii="仿宋" w:hAnsi="仿宋" w:eastAsia="仿宋"/>
          <w:b/>
          <w:sz w:val="30"/>
          <w:szCs w:val="30"/>
        </w:rPr>
        <w:t>八、</w:t>
      </w:r>
      <w:bookmarkEnd w:id="35"/>
      <w:bookmarkEnd w:id="36"/>
      <w:bookmarkEnd w:id="37"/>
      <w:bookmarkEnd w:id="38"/>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10DE8A7">
      <w:pPr>
        <w:spacing w:line="480" w:lineRule="exact"/>
        <w:ind w:firstLine="600" w:firstLineChars="200"/>
        <w:rPr>
          <w:rFonts w:ascii="仿宋" w:hAnsi="仿宋" w:eastAsia="仿宋"/>
          <w:sz w:val="30"/>
          <w:szCs w:val="30"/>
        </w:rPr>
      </w:pPr>
      <w:bookmarkStart w:id="39" w:name="_Toc28359096"/>
      <w:bookmarkStart w:id="40" w:name="_Toc35393806"/>
      <w:bookmarkStart w:id="41" w:name="_Toc28359019"/>
      <w:bookmarkStart w:id="42" w:name="_Toc35393637"/>
      <w:r>
        <w:rPr>
          <w:rFonts w:hint="eastAsia" w:ascii="仿宋" w:hAnsi="仿宋" w:eastAsia="仿宋"/>
          <w:sz w:val="30"/>
          <w:szCs w:val="30"/>
        </w:rPr>
        <w:t>1.采购人信息</w:t>
      </w:r>
      <w:bookmarkEnd w:id="39"/>
      <w:bookmarkEnd w:id="40"/>
      <w:bookmarkEnd w:id="41"/>
      <w:bookmarkEnd w:id="42"/>
    </w:p>
    <w:p w14:paraId="3EB637A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3" w:name="PO_421_PM026"/>
      <w:r>
        <w:rPr>
          <w:rFonts w:hint="eastAsia" w:ascii="仿宋" w:hAnsi="仿宋" w:eastAsia="仿宋"/>
          <w:color w:val="000000" w:themeColor="text1"/>
          <w:sz w:val="30"/>
          <w:szCs w:val="30"/>
          <w:lang w:eastAsia="zh-CN"/>
          <w14:textFill>
            <w14:solidFill>
              <w14:schemeClr w14:val="tx1"/>
            </w14:solidFill>
          </w14:textFill>
        </w:rPr>
        <w:t>浙江省教育考试院</w:t>
      </w:r>
      <w:bookmarkEnd w:id="43"/>
    </w:p>
    <w:p w14:paraId="01CA65D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4" w:name="PO_421_PM030"/>
      <w:r>
        <w:rPr>
          <w:rFonts w:hint="eastAsia" w:ascii="Calibri" w:hAnsi="Calibri" w:eastAsia="仿宋" w:cs="Calibri"/>
          <w:color w:val="000000" w:themeColor="text1"/>
          <w:sz w:val="30"/>
          <w:szCs w:val="30"/>
          <w:lang w:eastAsia="zh-CN"/>
          <w14:textFill>
            <w14:solidFill>
              <w14:schemeClr w14:val="tx1"/>
            </w14:solidFill>
          </w14:textFill>
        </w:rPr>
        <w:t>杭州市西湖区蔷薇弄6号</w:t>
      </w:r>
      <w:bookmarkEnd w:id="44"/>
    </w:p>
    <w:p w14:paraId="7274EAF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5"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5"/>
    </w:p>
    <w:p w14:paraId="55320E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6" w:name="PO_3000001756_PM027"/>
      <w:r>
        <w:rPr>
          <w:rFonts w:hint="eastAsia" w:ascii="Calibri" w:hAnsi="Calibri" w:eastAsia="仿宋" w:cs="Calibri"/>
          <w:color w:val="000000" w:themeColor="text1"/>
          <w:sz w:val="30"/>
          <w:szCs w:val="30"/>
          <w:lang w:eastAsia="zh-CN"/>
          <w14:textFill>
            <w14:solidFill>
              <w14:schemeClr w14:val="tx1"/>
            </w14:solidFill>
          </w14:textFill>
        </w:rPr>
        <w:t>吴佳俊</w:t>
      </w:r>
      <w:bookmarkEnd w:id="46"/>
    </w:p>
    <w:p w14:paraId="5C561BB4">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7" w:name="PO_3000001756_PM028"/>
      <w:r>
        <w:rPr>
          <w:rFonts w:hint="eastAsia" w:ascii="仿宋" w:hAnsi="仿宋" w:eastAsia="仿宋"/>
          <w:color w:val="000000" w:themeColor="text1"/>
          <w:sz w:val="30"/>
          <w:szCs w:val="30"/>
          <w:lang w:eastAsia="zh-CN"/>
          <w14:textFill>
            <w14:solidFill>
              <w14:schemeClr w14:val="tx1"/>
            </w14:solidFill>
          </w14:textFill>
        </w:rPr>
        <w:t>0571-87633556</w:t>
      </w:r>
      <w:bookmarkEnd w:id="47"/>
    </w:p>
    <w:p w14:paraId="6F3677B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8" w:name="PO_421_PM001390"/>
      <w:r>
        <w:rPr>
          <w:rFonts w:hint="eastAsia" w:ascii="仿宋" w:hAnsi="仿宋" w:eastAsia="仿宋"/>
          <w:color w:val="000000" w:themeColor="text1"/>
          <w:sz w:val="30"/>
          <w:szCs w:val="30"/>
          <w:lang w:eastAsia="zh-CN"/>
          <w14:textFill>
            <w14:solidFill>
              <w14:schemeClr w14:val="tx1"/>
            </w14:solidFill>
          </w14:textFill>
        </w:rPr>
        <w:t>余老师</w:t>
      </w:r>
      <w:bookmarkEnd w:id="48"/>
    </w:p>
    <w:p w14:paraId="7261FBC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9" w:name="PO_421_PM001391"/>
      <w:r>
        <w:rPr>
          <w:rFonts w:hint="eastAsia" w:ascii="仿宋" w:hAnsi="仿宋" w:eastAsia="仿宋"/>
          <w:color w:val="000000" w:themeColor="text1"/>
          <w:sz w:val="30"/>
          <w:szCs w:val="30"/>
          <w:lang w:eastAsia="zh-CN"/>
          <w14:textFill>
            <w14:solidFill>
              <w14:schemeClr w14:val="tx1"/>
            </w14:solidFill>
          </w14:textFill>
        </w:rPr>
        <w:t>0571-87633160</w:t>
      </w:r>
      <w:bookmarkEnd w:id="49"/>
    </w:p>
    <w:p w14:paraId="15CC9E0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30B8FA9">
      <w:pPr>
        <w:spacing w:line="480" w:lineRule="exact"/>
        <w:ind w:firstLine="600" w:firstLineChars="200"/>
        <w:rPr>
          <w:rFonts w:ascii="仿宋" w:hAnsi="仿宋" w:eastAsia="仿宋"/>
          <w:sz w:val="30"/>
          <w:szCs w:val="30"/>
        </w:rPr>
      </w:pPr>
      <w:bookmarkStart w:id="50" w:name="_Toc35393638"/>
      <w:bookmarkStart w:id="51" w:name="_Toc35393807"/>
      <w:bookmarkStart w:id="52" w:name="_Toc28359020"/>
      <w:bookmarkStart w:id="53" w:name="_Toc28359097"/>
      <w:r>
        <w:rPr>
          <w:rFonts w:hint="eastAsia" w:ascii="仿宋" w:hAnsi="仿宋" w:eastAsia="仿宋"/>
          <w:sz w:val="30"/>
          <w:szCs w:val="30"/>
        </w:rPr>
        <w:t>2.采购代理机构信息（如有）</w:t>
      </w:r>
      <w:bookmarkEnd w:id="50"/>
      <w:bookmarkEnd w:id="51"/>
      <w:bookmarkEnd w:id="52"/>
      <w:bookmarkEnd w:id="53"/>
    </w:p>
    <w:p w14:paraId="2BBDCF29">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7B63B951">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90728B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3E6D696F">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项目联系人（询问）：A岗：方岚</w:t>
      </w:r>
    </w:p>
    <w:p w14:paraId="77129BD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B岗：孙松丽</w:t>
      </w:r>
    </w:p>
    <w:p w14:paraId="551091B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项目联系方式（询问）：A岗：0571-88907784</w:t>
      </w:r>
    </w:p>
    <w:p w14:paraId="0D268E7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B岗：0571-88906928</w:t>
      </w:r>
    </w:p>
    <w:p w14:paraId="40643143">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质疑联系人：张哲</w:t>
      </w:r>
      <w:r>
        <w:rPr>
          <w:rFonts w:hint="eastAsia" w:ascii="仿宋" w:hAnsi="仿宋" w:eastAsia="仿宋"/>
          <w:sz w:val="30"/>
          <w:szCs w:val="30"/>
        </w:rPr>
        <w:tab/>
      </w:r>
      <w:r>
        <w:rPr>
          <w:rFonts w:hint="eastAsia" w:ascii="仿宋" w:hAnsi="仿宋" w:eastAsia="仿宋"/>
          <w:sz w:val="30"/>
          <w:szCs w:val="30"/>
        </w:rPr>
        <w:t>0571-88907707</w:t>
      </w:r>
    </w:p>
    <w:p w14:paraId="487E4091">
      <w:pPr>
        <w:spacing w:line="480" w:lineRule="exact"/>
        <w:ind w:firstLine="600" w:firstLineChars="200"/>
        <w:rPr>
          <w:rFonts w:hint="default" w:eastAsia="仿宋"/>
          <w:sz w:val="30"/>
          <w:szCs w:val="30"/>
          <w:lang w:val="en-US" w:eastAsia="zh-CN"/>
        </w:rPr>
      </w:pPr>
      <w:r>
        <w:rPr>
          <w:rFonts w:hint="eastAsia" w:ascii="仿宋" w:hAnsi="仿宋" w:eastAsia="仿宋"/>
          <w:sz w:val="30"/>
          <w:szCs w:val="30"/>
        </w:rPr>
        <w:t>质疑联系方式：0571-88907707</w:t>
      </w:r>
    </w:p>
    <w:p w14:paraId="01631873">
      <w:pPr>
        <w:spacing w:line="480" w:lineRule="exact"/>
        <w:ind w:firstLine="600" w:firstLineChars="200"/>
        <w:rPr>
          <w:rFonts w:ascii="仿宋" w:hAnsi="仿宋" w:eastAsia="仿宋"/>
          <w:sz w:val="30"/>
          <w:szCs w:val="30"/>
        </w:rPr>
      </w:pPr>
    </w:p>
    <w:bookmarkEnd w:id="2"/>
    <w:bookmarkEnd w:id="3"/>
    <w:p w14:paraId="2A3DB45D">
      <w:pPr>
        <w:spacing w:line="480" w:lineRule="exact"/>
        <w:ind w:firstLine="600" w:firstLineChars="200"/>
        <w:rPr>
          <w:rFonts w:ascii="仿宋" w:hAnsi="仿宋" w:eastAsia="仿宋"/>
          <w:sz w:val="30"/>
          <w:szCs w:val="30"/>
        </w:rPr>
      </w:pPr>
      <w:bookmarkStart w:id="54" w:name="_Toc28359021"/>
      <w:bookmarkStart w:id="55" w:name="_Toc35393808"/>
      <w:bookmarkStart w:id="56" w:name="_Toc35393639"/>
      <w:bookmarkStart w:id="57" w:name="_Toc28359098"/>
      <w:r>
        <w:rPr>
          <w:rFonts w:hint="eastAsia" w:ascii="仿宋" w:hAnsi="仿宋" w:eastAsia="仿宋"/>
          <w:sz w:val="30"/>
          <w:szCs w:val="30"/>
        </w:rPr>
        <w:t>3.</w:t>
      </w:r>
      <w:bookmarkEnd w:id="54"/>
      <w:bookmarkEnd w:id="55"/>
      <w:bookmarkEnd w:id="56"/>
      <w:bookmarkEnd w:id="57"/>
      <w:r>
        <w:rPr>
          <w:rFonts w:hint="eastAsia" w:ascii="仿宋" w:hAnsi="仿宋" w:eastAsia="仿宋"/>
          <w:sz w:val="30"/>
          <w:szCs w:val="30"/>
        </w:rPr>
        <w:t xml:space="preserve"> 同级政府采购监督管理部门</w:t>
      </w:r>
    </w:p>
    <w:p w14:paraId="5138057F">
      <w:pPr>
        <w:snapToGrid w:val="0"/>
        <w:spacing w:before="120" w:beforeLines="50" w:after="120" w:afterLines="50" w:line="460" w:lineRule="exact"/>
        <w:ind w:firstLine="600" w:firstLineChars="200"/>
        <w:rPr>
          <w:rFonts w:ascii="仿宋" w:hAnsi="仿宋" w:eastAsia="仿宋"/>
          <w:sz w:val="30"/>
          <w:szCs w:val="30"/>
        </w:rPr>
      </w:pPr>
      <w:bookmarkStart w:id="58" w:name="_Toc510137460"/>
      <w:bookmarkStart w:id="59" w:name="_Toc451762243"/>
      <w:r>
        <w:rPr>
          <w:rFonts w:hint="eastAsia" w:ascii="仿宋" w:hAnsi="仿宋" w:eastAsia="仿宋"/>
          <w:sz w:val="30"/>
          <w:szCs w:val="30"/>
        </w:rPr>
        <w:t>名   称：浙江省财政厅政府采购监管处、浙江省政府采购行政裁决服务中心（杭州）</w:t>
      </w:r>
    </w:p>
    <w:p w14:paraId="030A671D">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7528FEF">
      <w:pPr>
        <w:snapToGrid w:val="0"/>
        <w:spacing w:before="120" w:beforeLines="50" w:after="120" w:afterLines="50" w:line="4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传   真：/</w:t>
      </w:r>
    </w:p>
    <w:p w14:paraId="33B5FB4C">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3908E0D8">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监督投诉电话：0571-87807798</w:t>
      </w:r>
    </w:p>
    <w:p w14:paraId="68653DC5">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FC1A3B3">
      <w:pPr>
        <w:spacing w:line="480" w:lineRule="exact"/>
        <w:ind w:firstLine="723" w:firstLineChars="200"/>
        <w:rPr>
          <w:b/>
          <w:sz w:val="36"/>
          <w:szCs w:val="36"/>
        </w:rPr>
      </w:pPr>
    </w:p>
    <w:p w14:paraId="388007F6">
      <w:pPr>
        <w:spacing w:line="480" w:lineRule="exact"/>
        <w:ind w:firstLine="723" w:firstLineChars="200"/>
        <w:rPr>
          <w:b/>
          <w:sz w:val="36"/>
          <w:szCs w:val="36"/>
        </w:rPr>
      </w:pPr>
    </w:p>
    <w:p w14:paraId="1A1A426F">
      <w:pPr>
        <w:spacing w:line="480" w:lineRule="exact"/>
        <w:ind w:firstLine="723" w:firstLineChars="200"/>
        <w:rPr>
          <w:b/>
          <w:sz w:val="36"/>
          <w:szCs w:val="36"/>
        </w:rPr>
      </w:pPr>
    </w:p>
    <w:p w14:paraId="3DE15EF4">
      <w:pPr>
        <w:spacing w:line="480" w:lineRule="exact"/>
        <w:ind w:firstLine="723" w:firstLineChars="200"/>
        <w:rPr>
          <w:b/>
          <w:sz w:val="36"/>
          <w:szCs w:val="36"/>
        </w:rPr>
      </w:pPr>
    </w:p>
    <w:p w14:paraId="5FCEE18B">
      <w:pPr>
        <w:spacing w:line="480" w:lineRule="exact"/>
        <w:ind w:firstLine="723" w:firstLineChars="200"/>
        <w:rPr>
          <w:b/>
          <w:sz w:val="36"/>
          <w:szCs w:val="36"/>
        </w:rPr>
      </w:pPr>
    </w:p>
    <w:p w14:paraId="08E2A8AD">
      <w:pPr>
        <w:spacing w:line="480" w:lineRule="exact"/>
        <w:ind w:firstLine="723" w:firstLineChars="200"/>
        <w:rPr>
          <w:b/>
          <w:sz w:val="36"/>
          <w:szCs w:val="36"/>
        </w:rPr>
      </w:pPr>
    </w:p>
    <w:p w14:paraId="7B60609B">
      <w:pPr>
        <w:spacing w:line="480" w:lineRule="exact"/>
        <w:ind w:firstLine="723" w:firstLineChars="200"/>
        <w:rPr>
          <w:b/>
          <w:sz w:val="36"/>
          <w:szCs w:val="36"/>
        </w:rPr>
      </w:pPr>
    </w:p>
    <w:p w14:paraId="16F102B9">
      <w:pPr>
        <w:spacing w:line="480" w:lineRule="exact"/>
        <w:ind w:firstLine="723" w:firstLineChars="200"/>
        <w:rPr>
          <w:b/>
          <w:sz w:val="36"/>
          <w:szCs w:val="36"/>
        </w:rPr>
      </w:pPr>
    </w:p>
    <w:p w14:paraId="44BC214B">
      <w:pPr>
        <w:spacing w:line="480" w:lineRule="exact"/>
        <w:ind w:firstLine="723" w:firstLineChars="200"/>
        <w:rPr>
          <w:b/>
          <w:sz w:val="36"/>
          <w:szCs w:val="36"/>
        </w:rPr>
      </w:pPr>
    </w:p>
    <w:p w14:paraId="6BB53E74">
      <w:pPr>
        <w:spacing w:line="480" w:lineRule="exact"/>
        <w:ind w:firstLine="723" w:firstLineChars="200"/>
        <w:rPr>
          <w:b/>
          <w:sz w:val="36"/>
          <w:szCs w:val="36"/>
        </w:rPr>
      </w:pPr>
    </w:p>
    <w:p w14:paraId="6128E00C">
      <w:pPr>
        <w:spacing w:line="480" w:lineRule="exact"/>
        <w:ind w:firstLine="723" w:firstLineChars="200"/>
        <w:rPr>
          <w:b/>
          <w:sz w:val="36"/>
          <w:szCs w:val="36"/>
        </w:rPr>
      </w:pPr>
    </w:p>
    <w:p w14:paraId="4AD62D39">
      <w:pPr>
        <w:spacing w:line="480" w:lineRule="exact"/>
        <w:ind w:firstLine="723" w:firstLineChars="200"/>
        <w:rPr>
          <w:b/>
          <w:sz w:val="36"/>
          <w:szCs w:val="36"/>
        </w:rPr>
      </w:pPr>
    </w:p>
    <w:p w14:paraId="7FF5A24A">
      <w:pPr>
        <w:spacing w:line="480" w:lineRule="exact"/>
        <w:ind w:firstLine="723" w:firstLineChars="200"/>
        <w:rPr>
          <w:b/>
          <w:sz w:val="36"/>
          <w:szCs w:val="36"/>
        </w:rPr>
      </w:pPr>
    </w:p>
    <w:p w14:paraId="754B69A9">
      <w:pPr>
        <w:spacing w:line="480" w:lineRule="exact"/>
        <w:ind w:firstLine="723" w:firstLineChars="200"/>
        <w:rPr>
          <w:b/>
          <w:sz w:val="36"/>
          <w:szCs w:val="36"/>
        </w:rPr>
      </w:pPr>
    </w:p>
    <w:p w14:paraId="69376F41">
      <w:pPr>
        <w:spacing w:line="480" w:lineRule="exact"/>
        <w:ind w:firstLine="723" w:firstLineChars="200"/>
        <w:rPr>
          <w:b/>
          <w:sz w:val="36"/>
          <w:szCs w:val="36"/>
        </w:rPr>
      </w:pPr>
    </w:p>
    <w:p w14:paraId="59032967">
      <w:pPr>
        <w:spacing w:line="480" w:lineRule="exact"/>
        <w:ind w:firstLine="723" w:firstLineChars="200"/>
        <w:rPr>
          <w:b/>
          <w:sz w:val="36"/>
          <w:szCs w:val="36"/>
        </w:rPr>
      </w:pPr>
    </w:p>
    <w:p w14:paraId="57E3878E">
      <w:pPr>
        <w:spacing w:line="480" w:lineRule="exact"/>
        <w:ind w:firstLine="723" w:firstLineChars="200"/>
        <w:rPr>
          <w:b/>
          <w:sz w:val="36"/>
          <w:szCs w:val="36"/>
        </w:rPr>
      </w:pPr>
    </w:p>
    <w:p w14:paraId="797299DE">
      <w:pPr>
        <w:spacing w:line="480" w:lineRule="exact"/>
        <w:ind w:firstLine="723" w:firstLineChars="200"/>
        <w:rPr>
          <w:b/>
          <w:sz w:val="36"/>
          <w:szCs w:val="36"/>
        </w:rPr>
      </w:pPr>
    </w:p>
    <w:p w14:paraId="2FDB5750">
      <w:pPr>
        <w:spacing w:line="480" w:lineRule="exact"/>
        <w:rPr>
          <w:b/>
          <w:sz w:val="36"/>
          <w:szCs w:val="36"/>
        </w:rPr>
      </w:pPr>
    </w:p>
    <w:p w14:paraId="2A787DC3">
      <w:pPr>
        <w:spacing w:line="480" w:lineRule="exact"/>
        <w:ind w:firstLine="723" w:firstLineChars="200"/>
        <w:jc w:val="center"/>
        <w:rPr>
          <w:rFonts w:hint="eastAsia" w:ascii="仿宋" w:hAnsi="仿宋"/>
        </w:rPr>
      </w:pPr>
      <w:r>
        <w:rPr>
          <w:rFonts w:hint="eastAsia"/>
          <w:b/>
          <w:sz w:val="36"/>
          <w:szCs w:val="36"/>
        </w:rPr>
        <w:t>第二章响应方须知</w:t>
      </w:r>
      <w:bookmarkEnd w:id="58"/>
      <w:bookmarkEnd w:id="59"/>
    </w:p>
    <w:p w14:paraId="5EBDD2E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5A2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4B60CB0">
            <w:pPr>
              <w:snapToGrid w:val="0"/>
              <w:jc w:val="center"/>
              <w:rPr>
                <w:rFonts w:ascii="仿宋" w:hAnsi="仿宋" w:eastAsia="仿宋"/>
                <w:sz w:val="30"/>
                <w:szCs w:val="30"/>
              </w:rPr>
            </w:pPr>
            <w:r>
              <w:rPr>
                <w:rFonts w:hint="eastAsia" w:ascii="仿宋" w:hAnsi="仿宋" w:eastAsia="仿宋"/>
                <w:sz w:val="30"/>
                <w:szCs w:val="30"/>
              </w:rPr>
              <w:t>序</w:t>
            </w:r>
          </w:p>
          <w:p w14:paraId="646CBC6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E577FA6">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269DF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3EFBB6E">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1E2B233C">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66B27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3672CEF">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3BC559DE">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26D0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A29C11E">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6A1ABB57">
            <w:pPr>
              <w:snapToGrid w:val="0"/>
              <w:jc w:val="left"/>
              <w:rPr>
                <w:rFonts w:ascii="仿宋" w:hAnsi="仿宋" w:eastAsia="仿宋"/>
                <w:sz w:val="24"/>
                <w:szCs w:val="24"/>
              </w:rPr>
            </w:pPr>
            <w:r>
              <w:rPr>
                <w:rFonts w:hint="eastAsia" w:ascii="仿宋" w:hAnsi="仿宋" w:eastAsia="仿宋"/>
                <w:sz w:val="24"/>
                <w:szCs w:val="24"/>
              </w:rPr>
              <w:t xml:space="preserve">政府采购节能环保产品: </w:t>
            </w:r>
            <w:r>
              <w:rPr>
                <w:rFonts w:hint="eastAsia" w:ascii="仿宋" w:hAnsi="仿宋" w:eastAsia="仿宋"/>
                <w:sz w:val="24"/>
                <w:szCs w:val="24"/>
                <w:lang w:val="en-US" w:eastAsia="zh-CN"/>
              </w:rPr>
              <w:t>响应</w:t>
            </w:r>
            <w:r>
              <w:rPr>
                <w:rFonts w:hint="eastAsia" w:ascii="仿宋" w:hAnsi="仿宋" w:eastAsia="仿宋"/>
                <w:sz w:val="24"/>
                <w:szCs w:val="24"/>
              </w:rPr>
              <w:t>产品若属于节能（环保）产品的，请提供参与实施政府采购节能（环境标志）产品认证机构出具的认证证书或证书发布平台的</w:t>
            </w:r>
            <w:r>
              <w:rPr>
                <w:rFonts w:hint="eastAsia" w:ascii="仿宋" w:hAnsi="仿宋" w:eastAsia="仿宋"/>
                <w:sz w:val="24"/>
                <w:szCs w:val="24"/>
                <w:lang w:val="en-US" w:eastAsia="zh-CN"/>
              </w:rPr>
              <w:t>响应</w:t>
            </w:r>
            <w:r>
              <w:rPr>
                <w:rFonts w:hint="eastAsia" w:ascii="仿宋" w:hAnsi="仿宋" w:eastAsia="仿宋"/>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E01D162">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54B5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428A89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62CE4F7">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B730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73EC2F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75D11F32">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7D12A3FC">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1279823">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采购标的： 浙江省教育考试院物业服务项目 ，所属行业： 物业管理 </w:t>
            </w:r>
          </w:p>
          <w:p w14:paraId="55A6CA66">
            <w:pPr>
              <w:numPr>
                <w:ilvl w:val="0"/>
                <w:numId w:val="18"/>
              </w:numPr>
              <w:snapToGrid w:val="0"/>
              <w:spacing w:line="460" w:lineRule="exact"/>
              <w:ind w:left="960" w:leftChars="0" w:hanging="360"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03F9F80E">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021FAE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77297FA0">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54034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2C8C9B7">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665A7257">
            <w:pPr>
              <w:snapToGrid w:val="0"/>
              <w:rPr>
                <w:rFonts w:hint="eastAsia" w:ascii="仿宋" w:hAnsi="仿宋" w:eastAsia="仿宋"/>
                <w:sz w:val="24"/>
                <w:szCs w:val="24"/>
                <w:lang w:eastAsia="zh-CN"/>
              </w:rPr>
            </w:pPr>
            <w:bookmarkStart w:id="60"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0"/>
          </w:p>
        </w:tc>
      </w:tr>
      <w:tr w14:paraId="1442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5D09F09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0A8DCAC5">
            <w:pPr>
              <w:ind w:firstLine="480" w:firstLineChars="200"/>
              <w:rPr>
                <w:rFonts w:hint="default" w:ascii="仿宋" w:hAnsi="仿宋" w:eastAsia="仿宋"/>
                <w:sz w:val="24"/>
                <w:szCs w:val="24"/>
                <w:lang w:val="en-US" w:eastAsia="zh-CN"/>
              </w:rPr>
            </w:pP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sz w:val="24"/>
                <w:szCs w:val="24"/>
                <w:u w:val="single"/>
                <w:lang w:val="en-US" w:eastAsia="zh-CN"/>
              </w:rPr>
              <w:t>格式及内容要求详见总则（六）询问和质疑</w:t>
            </w:r>
          </w:p>
        </w:tc>
      </w:tr>
      <w:tr w14:paraId="1CDDC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2DB1A33">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2C051475">
            <w:pPr>
              <w:snapToGrid w:val="0"/>
              <w:rPr>
                <w:rFonts w:hint="eastAsia" w:ascii="仿宋" w:hAnsi="仿宋" w:eastAsia="仿宋"/>
                <w:b/>
                <w:bCs/>
                <w:sz w:val="24"/>
                <w:szCs w:val="24"/>
                <w:lang w:eastAsia="zh-CN"/>
              </w:rPr>
            </w:pPr>
            <w:bookmarkStart w:id="61" w:name="PO_3000001756_PM044"/>
            <w:r>
              <w:rPr>
                <w:rFonts w:hint="eastAsia" w:ascii="仿宋" w:hAnsi="仿宋" w:eastAsia="仿宋"/>
                <w:b/>
                <w:bCs/>
                <w:sz w:val="24"/>
                <w:szCs w:val="24"/>
                <w:lang w:eastAsia="zh-CN"/>
              </w:rPr>
              <w:t>不允许分包</w:t>
            </w:r>
            <w:bookmarkEnd w:id="61"/>
          </w:p>
          <w:p w14:paraId="0BAA0C8B">
            <w:pPr>
              <w:snapToGrid w:val="0"/>
              <w:rPr>
                <w:rFonts w:hint="eastAsia" w:ascii="仿宋" w:hAnsi="仿宋" w:eastAsia="仿宋"/>
                <w:b/>
                <w:bCs/>
                <w:sz w:val="24"/>
                <w:szCs w:val="24"/>
                <w:lang w:val="en-US"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采购人来函说明：1.联合体投标已可满足我院物业服务需求：联合体模</w:t>
            </w:r>
          </w:p>
          <w:p w14:paraId="4C67869A">
            <w:pPr>
              <w:snapToGrid w:val="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式已整合不同供应商的专业能力，无需再通过分包引入额外供</w:t>
            </w:r>
          </w:p>
          <w:p w14:paraId="4AE0728B">
            <w:pPr>
              <w:snapToGrid w:val="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应商，避免管理链条过长；2.责任主体唯一性：中标方（或联合体）须直接提供服务，确保业主方对接顺畅，避免因分包导致权责不清；3.可控制服务质量：防止分包商能力不足或管理不善</w:t>
            </w:r>
          </w:p>
          <w:p w14:paraId="0C715C7D">
            <w:pPr>
              <w:snapToGrid w:val="0"/>
              <w:rPr>
                <w:rFonts w:hint="eastAsia" w:ascii="仿宋" w:hAnsi="仿宋" w:eastAsia="仿宋"/>
                <w:b/>
                <w:bCs/>
                <w:sz w:val="24"/>
                <w:szCs w:val="24"/>
                <w:lang w:eastAsia="zh-CN"/>
              </w:rPr>
            </w:pPr>
            <w:r>
              <w:rPr>
                <w:rFonts w:hint="eastAsia" w:ascii="仿宋" w:hAnsi="仿宋" w:eastAsia="仿宋"/>
                <w:b/>
                <w:bCs/>
                <w:sz w:val="24"/>
                <w:szCs w:val="24"/>
                <w:lang w:val="en-US" w:eastAsia="zh-CN"/>
              </w:rPr>
              <w:t>影响整体服务水平；4.可控制风险：保障业主权益，杜绝层层转包引发的纠纷风险。故不允许分包。</w:t>
            </w:r>
            <w:r>
              <w:rPr>
                <w:rFonts w:hint="eastAsia" w:ascii="仿宋" w:hAnsi="仿宋" w:eastAsia="仿宋"/>
                <w:b/>
                <w:bCs/>
                <w:sz w:val="24"/>
                <w:szCs w:val="24"/>
                <w:lang w:eastAsia="zh-CN"/>
              </w:rPr>
              <w:t>）</w:t>
            </w:r>
          </w:p>
          <w:p w14:paraId="729C9498">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033BF744">
            <w:pPr>
              <w:snapToGrid w:val="0"/>
              <w:rPr>
                <w:rFonts w:ascii="仿宋" w:hAnsi="仿宋" w:eastAsia="仿宋"/>
                <w:sz w:val="24"/>
                <w:szCs w:val="24"/>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p w14:paraId="42CE5FAB">
            <w:pPr>
              <w:snapToGrid w:val="0"/>
              <w:rPr>
                <w:rFonts w:hint="eastAsia" w:ascii="仿宋" w:hAnsi="仿宋" w:eastAsia="仿宋"/>
                <w:sz w:val="24"/>
                <w:szCs w:val="24"/>
              </w:rPr>
            </w:pPr>
            <w:r>
              <w:rPr>
                <w:rFonts w:hint="eastAsia" w:ascii="仿宋" w:hAnsi="仿宋" w:eastAsia="仿宋"/>
                <w:sz w:val="24"/>
                <w:szCs w:val="24"/>
              </w:rPr>
              <w:t>联合</w:t>
            </w:r>
            <w:r>
              <w:rPr>
                <w:rFonts w:hint="eastAsia" w:ascii="仿宋" w:hAnsi="仿宋" w:eastAsia="仿宋"/>
                <w:sz w:val="24"/>
                <w:szCs w:val="24"/>
                <w:lang w:val="en-US" w:eastAsia="zh-CN"/>
              </w:rPr>
              <w:t>响应</w:t>
            </w:r>
            <w:r>
              <w:rPr>
                <w:rFonts w:hint="eastAsia" w:ascii="仿宋" w:hAnsi="仿宋" w:eastAsia="仿宋"/>
                <w:sz w:val="24"/>
                <w:szCs w:val="24"/>
              </w:rPr>
              <w:t>：</w:t>
            </w:r>
            <w:bookmarkStart w:id="62" w:name="PO_15528_PM007_1"/>
            <w:r>
              <w:rPr>
                <w:rFonts w:hint="eastAsia" w:ascii="仿宋" w:hAnsi="仿宋" w:eastAsia="仿宋"/>
                <w:sz w:val="24"/>
                <w:szCs w:val="24"/>
                <w:lang w:eastAsia="zh-CN"/>
              </w:rPr>
              <w:t>标项1:允许联合体投标</w:t>
            </w:r>
            <w:bookmarkEnd w:id="62"/>
            <w:r>
              <w:rPr>
                <w:rFonts w:hint="eastAsia" w:ascii="仿宋" w:hAnsi="仿宋" w:eastAsia="仿宋"/>
                <w:sz w:val="24"/>
                <w:szCs w:val="24"/>
              </w:rPr>
              <w:t>。</w:t>
            </w:r>
          </w:p>
        </w:tc>
      </w:tr>
      <w:tr w14:paraId="13264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940CBD5">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62690B70">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1</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联合体业绩认定</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响应</w:t>
            </w:r>
            <w:r>
              <w:rPr>
                <w:rFonts w:hint="eastAsia" w:ascii="仿宋" w:hAnsi="仿宋" w:eastAsia="仿宋" w:cs="Times New Roman"/>
                <w:b w:val="0"/>
                <w:bCs w:val="0"/>
                <w:color w:val="000000" w:themeColor="text1"/>
                <w:sz w:val="24"/>
                <w:szCs w:val="24"/>
                <w:u w:val="none"/>
                <w14:textFill>
                  <w14:solidFill>
                    <w14:schemeClr w14:val="tx1"/>
                  </w14:solidFill>
                </w14:textFill>
              </w:rPr>
              <w:t>的，联合体各方分别提供与联合体协议中规定的分工内容相应的业绩证明材料，</w:t>
            </w:r>
            <w:r>
              <w:rPr>
                <w:rFonts w:hint="eastAsia" w:ascii="仿宋" w:hAnsi="仿宋" w:eastAsia="仿宋" w:cs="Times New Roman"/>
                <w:b/>
                <w:bCs/>
                <w:color w:val="000000" w:themeColor="text1"/>
                <w:sz w:val="24"/>
                <w:szCs w:val="24"/>
                <w:u w:val="none"/>
                <w14:textFill>
                  <w14:solidFill>
                    <w14:schemeClr w14:val="tx1"/>
                  </w14:solidFill>
                </w14:textFill>
              </w:rPr>
              <w:t>业绩数量以</w:t>
            </w:r>
            <w:r>
              <w:rPr>
                <w:rFonts w:hint="eastAsia" w:ascii="仿宋" w:hAnsi="仿宋" w:eastAsia="仿宋" w:cs="Times New Roman"/>
                <w:b/>
                <w:bCs/>
                <w:color w:val="000000" w:themeColor="text1"/>
                <w:sz w:val="24"/>
                <w:szCs w:val="24"/>
                <w:u w:val="none"/>
                <w:lang w:val="en-US" w:eastAsia="zh-CN"/>
                <w14:textFill>
                  <w14:solidFill>
                    <w14:schemeClr w14:val="tx1"/>
                  </w14:solidFill>
                </w14:textFill>
              </w:rPr>
              <w:t>主办人</w:t>
            </w:r>
            <w:r>
              <w:rPr>
                <w:rFonts w:hint="eastAsia" w:ascii="仿宋" w:hAnsi="仿宋" w:eastAsia="仿宋" w:cs="Times New Roman"/>
                <w:b/>
                <w:bCs/>
                <w:color w:val="000000" w:themeColor="text1"/>
                <w:sz w:val="24"/>
                <w:szCs w:val="24"/>
                <w:u w:val="none"/>
                <w14:textFill>
                  <w14:solidFill>
                    <w14:schemeClr w14:val="tx1"/>
                  </w14:solidFill>
                </w14:textFill>
              </w:rPr>
              <w:t>为准</w:t>
            </w:r>
            <w:r>
              <w:rPr>
                <w:rFonts w:hint="eastAsia" w:ascii="仿宋" w:hAnsi="仿宋" w:eastAsia="仿宋" w:cs="Times New Roman"/>
                <w:b w:val="0"/>
                <w:bCs w:val="0"/>
                <w:color w:val="000000" w:themeColor="text1"/>
                <w:sz w:val="24"/>
                <w:szCs w:val="24"/>
                <w:u w:val="none"/>
                <w14:textFill>
                  <w14:solidFill>
                    <w14:schemeClr w14:val="tx1"/>
                  </w14:solidFill>
                </w14:textFill>
              </w:rPr>
              <w:t>。</w:t>
            </w:r>
          </w:p>
          <w:p w14:paraId="2BA4705E">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2</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联合体商务和技术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材料认定：</w:t>
            </w:r>
          </w:p>
          <w:p w14:paraId="4B5FEA21">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的，联合体各方均需按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，否则视为不符合相关要求。</w:t>
            </w:r>
          </w:p>
          <w:p w14:paraId="6BA0CE93">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的，联合体中有一方或者联合体成员根据分工按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要求提供了</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的，视为符合了相关要求。</w:t>
            </w:r>
          </w:p>
          <w:p w14:paraId="5DE31A94">
            <w:pPr>
              <w:snapToGrid w:val="0"/>
              <w:rPr>
                <w:rFonts w:hint="eastAsia" w:ascii="仿宋" w:hAnsi="仿宋" w:eastAsia="仿宋"/>
                <w:sz w:val="24"/>
                <w:szCs w:val="24"/>
              </w:rPr>
            </w:pP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注：“</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有其他约定的，以“</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为准。</w:t>
            </w:r>
          </w:p>
        </w:tc>
      </w:tr>
      <w:tr w14:paraId="6224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A80F330">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10</w:t>
            </w:r>
          </w:p>
        </w:tc>
        <w:tc>
          <w:tcPr>
            <w:tcW w:w="8024" w:type="dxa"/>
            <w:tcBorders>
              <w:top w:val="single" w:color="auto" w:sz="4" w:space="0"/>
              <w:left w:val="single" w:color="auto" w:sz="4" w:space="0"/>
              <w:bottom w:val="single" w:color="auto" w:sz="4" w:space="0"/>
              <w:right w:val="single" w:color="auto" w:sz="4" w:space="0"/>
            </w:tcBorders>
            <w:vAlign w:val="center"/>
          </w:tcPr>
          <w:p w14:paraId="15FAECB6">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tc>
      </w:tr>
      <w:tr w14:paraId="00F4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D873BBB">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24153F6A">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4A93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D2C67D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2</w:t>
            </w:r>
          </w:p>
        </w:tc>
        <w:tc>
          <w:tcPr>
            <w:tcW w:w="8024" w:type="dxa"/>
            <w:tcBorders>
              <w:top w:val="single" w:color="auto" w:sz="4" w:space="0"/>
              <w:left w:val="single" w:color="auto" w:sz="4" w:space="0"/>
              <w:bottom w:val="single" w:color="auto" w:sz="4" w:space="0"/>
              <w:right w:val="single" w:color="auto" w:sz="4" w:space="0"/>
            </w:tcBorders>
            <w:vAlign w:val="center"/>
          </w:tcPr>
          <w:p w14:paraId="438AB5E1">
            <w:pPr>
              <w:snapToGrid w:val="0"/>
              <w:rPr>
                <w:rFonts w:hint="default" w:ascii="仿宋" w:hAnsi="仿宋" w:eastAsia="仿宋"/>
                <w:sz w:val="24"/>
                <w:szCs w:val="24"/>
                <w:u w:val="single"/>
                <w:lang w:val="en-US"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61A92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77A9EAD9">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3</w:t>
            </w:r>
          </w:p>
        </w:tc>
        <w:tc>
          <w:tcPr>
            <w:tcW w:w="8024" w:type="dxa"/>
            <w:tcBorders>
              <w:top w:val="single" w:color="auto" w:sz="4" w:space="0"/>
              <w:left w:val="single" w:color="auto" w:sz="4" w:space="0"/>
              <w:bottom w:val="single" w:color="auto" w:sz="4" w:space="0"/>
              <w:right w:val="single" w:color="auto" w:sz="4" w:space="0"/>
            </w:tcBorders>
            <w:vAlign w:val="center"/>
          </w:tcPr>
          <w:p w14:paraId="62BF03C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3C33EED9">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2FF2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90F8CF3">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4</w:t>
            </w:r>
          </w:p>
        </w:tc>
        <w:tc>
          <w:tcPr>
            <w:tcW w:w="8024" w:type="dxa"/>
            <w:tcBorders>
              <w:top w:val="single" w:color="auto" w:sz="4" w:space="0"/>
              <w:left w:val="single" w:color="auto" w:sz="4" w:space="0"/>
              <w:bottom w:val="single" w:color="auto" w:sz="4" w:space="0"/>
              <w:right w:val="single" w:color="auto" w:sz="4" w:space="0"/>
            </w:tcBorders>
            <w:vAlign w:val="center"/>
          </w:tcPr>
          <w:p w14:paraId="4E6F470D">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98A1D94">
            <w:pPr>
              <w:spacing w:line="500" w:lineRule="exact"/>
              <w:jc w:val="left"/>
              <w:rPr>
                <w:rFonts w:hint="eastAsia" w:ascii="仿宋" w:hAnsi="仿宋" w:eastAsia="仿宋"/>
                <w:sz w:val="24"/>
                <w:szCs w:val="24"/>
                <w:lang w:val="en-US" w:eastAsia="zh-CN"/>
              </w:rPr>
            </w:pPr>
            <w:r>
              <w:rPr>
                <w:rFonts w:hint="eastAsia" w:ascii="仿宋" w:hAnsi="仿宋" w:eastAsia="仿宋"/>
                <w:sz w:val="24"/>
                <w:szCs w:val="24"/>
              </w:rPr>
              <w:t>第一步：供应商</w:t>
            </w:r>
            <w:r>
              <w:rPr>
                <w:rFonts w:hint="eastAsia" w:ascii="仿宋" w:hAnsi="仿宋" w:eastAsia="仿宋"/>
                <w:sz w:val="24"/>
                <w:szCs w:val="24"/>
                <w:lang w:val="en-US" w:eastAsia="zh-CN"/>
              </w:rPr>
              <w:t>登记</w:t>
            </w:r>
          </w:p>
          <w:p w14:paraId="51D5CB11">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w:t>
            </w:r>
            <w:r>
              <w:rPr>
                <w:rFonts w:hint="eastAsia" w:ascii="仿宋" w:hAnsi="仿宋" w:eastAsia="仿宋"/>
                <w:sz w:val="24"/>
                <w:szCs w:val="24"/>
                <w:lang w:val="en-US" w:eastAsia="zh-CN"/>
              </w:rPr>
              <w:t>登记</w:t>
            </w:r>
            <w:r>
              <w:rPr>
                <w:rFonts w:hint="eastAsia" w:ascii="仿宋" w:hAnsi="仿宋" w:eastAsia="仿宋"/>
                <w:sz w:val="24"/>
                <w:szCs w:val="24"/>
              </w:rPr>
              <w:t>成为浙江政府采购网的正式供应商（</w:t>
            </w:r>
            <w:r>
              <w:rPr>
                <w:rFonts w:hint="eastAsia" w:ascii="仿宋" w:hAnsi="仿宋" w:eastAsia="仿宋"/>
                <w:sz w:val="24"/>
                <w:szCs w:val="24"/>
                <w:lang w:val="en-US" w:eastAsia="zh-CN"/>
              </w:rPr>
              <w:t>登记</w:t>
            </w:r>
            <w:r>
              <w:rPr>
                <w:rFonts w:hint="eastAsia" w:ascii="仿宋" w:hAnsi="仿宋" w:eastAsia="仿宋"/>
                <w:sz w:val="24"/>
                <w:szCs w:val="24"/>
              </w:rPr>
              <w:t>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9476E7B">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6D143AED">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前完成CA数字证书办理（办理流程详见http://zfcg.czt.zj.gov.cn/bidClientTemplate/2019-05-27/12945.html）。完成CA数字证书办理预计一周左右，建议各磋商响应方抓紧时间办理；</w:t>
            </w:r>
          </w:p>
          <w:p w14:paraId="36E877B0">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299133BC">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F380A52">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F1A7B79">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881115F">
            <w:pPr>
              <w:snapToGrid w:val="0"/>
              <w:rPr>
                <w:rFonts w:hint="eastAsia" w:ascii="仿宋" w:hAnsi="仿宋" w:eastAsia="仿宋"/>
                <w:sz w:val="24"/>
                <w:szCs w:val="24"/>
              </w:rPr>
            </w:pPr>
            <w:r>
              <w:rPr>
                <w:rFonts w:hint="eastAsia" w:ascii="仿宋" w:hAnsi="仿宋" w:eastAsia="仿宋"/>
                <w:sz w:val="24"/>
                <w:szCs w:val="24"/>
              </w:rPr>
              <w:t>提醒：</w:t>
            </w:r>
            <w:r>
              <w:rPr>
                <w:rFonts w:hint="eastAsia" w:ascii="仿宋" w:hAnsi="仿宋" w:eastAsia="仿宋"/>
                <w:sz w:val="24"/>
                <w:szCs w:val="24"/>
                <w:lang w:val="en-US" w:eastAsia="zh-CN"/>
              </w:rPr>
              <w:t>1.</w:t>
            </w:r>
            <w:r>
              <w:rPr>
                <w:rFonts w:hint="eastAsia" w:ascii="仿宋" w:hAnsi="仿宋" w:eastAsia="仿宋"/>
                <w:sz w:val="24"/>
                <w:szCs w:val="24"/>
              </w:rPr>
              <w:t>请各磋商响应方合理安排时间，尽快完成第一、二、三步骤，避免影响</w:t>
            </w:r>
            <w:r>
              <w:rPr>
                <w:rFonts w:hint="eastAsia" w:ascii="仿宋" w:hAnsi="仿宋" w:eastAsia="仿宋"/>
                <w:sz w:val="24"/>
                <w:szCs w:val="24"/>
                <w:lang w:val="en-US" w:eastAsia="zh-CN"/>
              </w:rPr>
              <w:t>响应</w:t>
            </w:r>
            <w:r>
              <w:rPr>
                <w:rFonts w:hint="eastAsia" w:ascii="仿宋" w:hAnsi="仿宋" w:eastAsia="仿宋"/>
                <w:sz w:val="24"/>
                <w:szCs w:val="24"/>
              </w:rPr>
              <w:t>。</w:t>
            </w:r>
          </w:p>
          <w:p w14:paraId="79C1EDE5">
            <w:pPr>
              <w:snapToGrid w:val="0"/>
              <w:ind w:firstLine="720" w:firstLineChars="3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b w:val="0"/>
                <w:sz w:val="24"/>
                <w:szCs w:val="24"/>
              </w:rPr>
              <w:t>为避免页面存在兼容性等问题，</w:t>
            </w:r>
            <w:r>
              <w:rPr>
                <w:rFonts w:hint="eastAsia" w:ascii="仿宋" w:hAnsi="仿宋" w:eastAsia="仿宋"/>
                <w:b w:val="0"/>
                <w:sz w:val="24"/>
                <w:szCs w:val="24"/>
                <w:lang w:val="en-US" w:eastAsia="zh-CN"/>
              </w:rPr>
              <w:t>磋商响应方</w:t>
            </w:r>
            <w:r>
              <w:rPr>
                <w:rFonts w:hint="eastAsia" w:ascii="仿宋" w:hAnsi="仿宋" w:eastAsia="仿宋"/>
                <w:b w:val="0"/>
                <w:sz w:val="24"/>
                <w:szCs w:val="24"/>
              </w:rPr>
              <w:t>须使用谷歌Chrome浏览器或360浏览器极速模式，涉及视频会议等功能的，还应安装摄像头和麦克风。</w:t>
            </w:r>
          </w:p>
        </w:tc>
      </w:tr>
      <w:tr w14:paraId="354B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DEA554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5</w:t>
            </w:r>
          </w:p>
        </w:tc>
        <w:tc>
          <w:tcPr>
            <w:tcW w:w="8024" w:type="dxa"/>
            <w:tcBorders>
              <w:top w:val="single" w:color="auto" w:sz="4" w:space="0"/>
              <w:left w:val="single" w:color="auto" w:sz="4" w:space="0"/>
              <w:bottom w:val="single" w:color="auto" w:sz="4" w:space="0"/>
              <w:right w:val="single" w:color="auto" w:sz="4" w:space="0"/>
            </w:tcBorders>
            <w:vAlign w:val="center"/>
          </w:tcPr>
          <w:p w14:paraId="4BFA21E3">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w:t>
            </w:r>
            <w:r>
              <w:rPr>
                <w:rFonts w:hint="eastAsia" w:ascii="仿宋" w:hAnsi="仿宋" w:eastAsia="仿宋"/>
                <w:sz w:val="24"/>
                <w:szCs w:val="24"/>
                <w:lang w:val="en-US" w:eastAsia="zh-CN"/>
              </w:rPr>
              <w:t>响应</w:t>
            </w:r>
            <w:r>
              <w:rPr>
                <w:rFonts w:hint="eastAsia" w:ascii="仿宋" w:hAnsi="仿宋" w:eastAsia="仿宋"/>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sz w:val="24"/>
                <w:szCs w:val="24"/>
                <w:lang w:val="en-US" w:eastAsia="zh-CN"/>
              </w:rPr>
              <w:t>响应</w:t>
            </w:r>
            <w:r>
              <w:rPr>
                <w:rFonts w:hint="eastAsia" w:ascii="仿宋" w:hAnsi="仿宋" w:eastAsia="仿宋"/>
                <w:sz w:val="24"/>
                <w:szCs w:val="24"/>
              </w:rPr>
              <w:t>截止时间前未完成传输的，视为撤回磋商响应文件。</w:t>
            </w:r>
            <w:r>
              <w:rPr>
                <w:rFonts w:hint="eastAsia" w:ascii="仿宋" w:hAnsi="仿宋" w:eastAsia="仿宋"/>
                <w:sz w:val="24"/>
                <w:szCs w:val="24"/>
                <w:lang w:val="en-US" w:eastAsia="zh-CN"/>
              </w:rPr>
              <w:t>响应</w:t>
            </w:r>
            <w:r>
              <w:rPr>
                <w:rFonts w:hint="eastAsia" w:ascii="仿宋" w:hAnsi="仿宋" w:eastAsia="仿宋"/>
                <w:sz w:val="24"/>
                <w:szCs w:val="24"/>
              </w:rPr>
              <w:t>截止时间后送达的磋商响应文件，将被电子交易平台拒收。</w:t>
            </w:r>
          </w:p>
          <w:p w14:paraId="1FD2AB81">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7791545C">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666A8F5A">
            <w:pPr>
              <w:spacing w:line="500" w:lineRule="exact"/>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未按规定密封或标记的；</w:t>
            </w:r>
          </w:p>
          <w:p w14:paraId="07FB95E4">
            <w:pPr>
              <w:spacing w:line="500" w:lineRule="exact"/>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由于包装不妥，在送交途中严重破损或失散的；</w:t>
            </w:r>
          </w:p>
          <w:p w14:paraId="3C067ACF">
            <w:pPr>
              <w:spacing w:line="500" w:lineRule="exact"/>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超过</w:t>
            </w:r>
            <w:r>
              <w:rPr>
                <w:rFonts w:hint="eastAsia" w:ascii="仿宋" w:hAnsi="仿宋" w:eastAsia="仿宋"/>
                <w:sz w:val="24"/>
                <w:szCs w:val="24"/>
                <w:lang w:val="en-US" w:eastAsia="zh-CN"/>
              </w:rPr>
              <w:t>响应</w:t>
            </w:r>
            <w:r>
              <w:rPr>
                <w:rFonts w:hint="eastAsia" w:ascii="仿宋" w:hAnsi="仿宋" w:eastAsia="仿宋"/>
                <w:sz w:val="24"/>
                <w:szCs w:val="24"/>
              </w:rPr>
              <w:t>截止时间送达的。</w:t>
            </w:r>
          </w:p>
        </w:tc>
      </w:tr>
      <w:tr w14:paraId="57C6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6912B3F">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6</w:t>
            </w:r>
          </w:p>
        </w:tc>
        <w:tc>
          <w:tcPr>
            <w:tcW w:w="8024" w:type="dxa"/>
            <w:tcBorders>
              <w:top w:val="single" w:color="auto" w:sz="4" w:space="0"/>
              <w:left w:val="single" w:color="auto" w:sz="4" w:space="0"/>
              <w:bottom w:val="single" w:color="auto" w:sz="4" w:space="0"/>
              <w:right w:val="single" w:color="auto" w:sz="4" w:space="0"/>
            </w:tcBorders>
            <w:vAlign w:val="center"/>
          </w:tcPr>
          <w:p w14:paraId="22A1418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sz w:val="24"/>
                <w:szCs w:val="24"/>
                <w:lang w:val="en-US" w:eastAsia="zh-CN"/>
              </w:rPr>
              <w:t>成交</w:t>
            </w:r>
            <w:r>
              <w:rPr>
                <w:rFonts w:hint="eastAsia" w:ascii="仿宋" w:hAnsi="仿宋" w:eastAsia="仿宋"/>
                <w:sz w:val="24"/>
                <w:szCs w:val="24"/>
              </w:rPr>
              <w:t>结果同时公告），并向成交供应商发出成交通知书。</w:t>
            </w:r>
          </w:p>
        </w:tc>
      </w:tr>
      <w:tr w14:paraId="24143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9CE06F7">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7</w:t>
            </w:r>
          </w:p>
        </w:tc>
        <w:tc>
          <w:tcPr>
            <w:tcW w:w="8024" w:type="dxa"/>
            <w:tcBorders>
              <w:top w:val="single" w:color="auto" w:sz="4" w:space="0"/>
              <w:left w:val="single" w:color="auto" w:sz="4" w:space="0"/>
              <w:bottom w:val="single" w:color="auto" w:sz="4" w:space="0"/>
              <w:right w:val="single" w:color="auto" w:sz="4" w:space="0"/>
            </w:tcBorders>
            <w:vAlign w:val="center"/>
          </w:tcPr>
          <w:p w14:paraId="22B0B90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1723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685B93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8</w:t>
            </w:r>
          </w:p>
        </w:tc>
        <w:tc>
          <w:tcPr>
            <w:tcW w:w="8024" w:type="dxa"/>
            <w:tcBorders>
              <w:top w:val="single" w:color="auto" w:sz="4" w:space="0"/>
              <w:left w:val="single" w:color="auto" w:sz="4" w:space="0"/>
              <w:bottom w:val="single" w:color="auto" w:sz="4" w:space="0"/>
              <w:right w:val="single" w:color="auto" w:sz="4" w:space="0"/>
            </w:tcBorders>
            <w:vAlign w:val="center"/>
          </w:tcPr>
          <w:p w14:paraId="1A680E8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14C2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2E3D7BC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2EE174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DAEC216">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sz w:val="24"/>
                <w:szCs w:val="24"/>
                <w:lang w:val="en-US" w:eastAsia="zh-CN"/>
              </w:rPr>
              <w:t>项目</w:t>
            </w:r>
            <w:r>
              <w:rPr>
                <w:rFonts w:hint="eastAsia" w:ascii="仿宋" w:hAnsi="仿宋" w:eastAsia="仿宋"/>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3E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25AF5D53">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20</w:t>
            </w:r>
          </w:p>
        </w:tc>
        <w:tc>
          <w:tcPr>
            <w:tcW w:w="8024" w:type="dxa"/>
            <w:tcBorders>
              <w:top w:val="single" w:color="auto" w:sz="4" w:space="0"/>
              <w:left w:val="single" w:color="auto" w:sz="4" w:space="0"/>
              <w:bottom w:val="single" w:color="auto" w:sz="4" w:space="0"/>
              <w:right w:val="single" w:color="auto" w:sz="4" w:space="0"/>
            </w:tcBorders>
            <w:vAlign w:val="center"/>
          </w:tcPr>
          <w:p w14:paraId="4D8056FB">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63AC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490E80A4">
            <w:pPr>
              <w:snapToGrid w:val="0"/>
              <w:jc w:val="center"/>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7B2B0640">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22B6053C">
      <w:pPr>
        <w:snapToGrid w:val="0"/>
        <w:rPr>
          <w:rFonts w:ascii="仿宋" w:hAnsi="仿宋" w:eastAsia="仿宋"/>
          <w:sz w:val="30"/>
          <w:szCs w:val="30"/>
        </w:rPr>
      </w:pPr>
    </w:p>
    <w:p w14:paraId="66B253AC">
      <w:pPr>
        <w:pStyle w:val="28"/>
        <w:snapToGrid w:val="0"/>
        <w:spacing w:before="120" w:after="120" w:line="240" w:lineRule="auto"/>
        <w:ind w:firstLine="602" w:firstLineChars="200"/>
        <w:rPr>
          <w:rFonts w:ascii="仿宋" w:hAnsi="仿宋" w:eastAsia="仿宋"/>
          <w:b/>
          <w:sz w:val="30"/>
          <w:szCs w:val="30"/>
        </w:rPr>
      </w:pPr>
    </w:p>
    <w:p w14:paraId="61D2F807">
      <w:pPr>
        <w:pStyle w:val="28"/>
        <w:snapToGrid w:val="0"/>
        <w:spacing w:before="120" w:after="120" w:line="240" w:lineRule="auto"/>
        <w:ind w:firstLine="602" w:firstLineChars="200"/>
        <w:rPr>
          <w:rFonts w:ascii="仿宋" w:hAnsi="仿宋" w:eastAsia="仿宋"/>
          <w:b/>
          <w:sz w:val="30"/>
          <w:szCs w:val="30"/>
        </w:rPr>
      </w:pPr>
    </w:p>
    <w:p w14:paraId="5740DB9F">
      <w:pPr>
        <w:pStyle w:val="28"/>
        <w:snapToGrid w:val="0"/>
        <w:spacing w:before="120" w:after="120" w:line="240" w:lineRule="auto"/>
        <w:rPr>
          <w:rFonts w:ascii="仿宋" w:hAnsi="仿宋" w:eastAsia="仿宋"/>
          <w:b/>
          <w:sz w:val="30"/>
          <w:szCs w:val="30"/>
        </w:rPr>
      </w:pPr>
    </w:p>
    <w:p w14:paraId="76C42E41">
      <w:pPr>
        <w:widowControl/>
        <w:jc w:val="left"/>
        <w:rPr>
          <w:rFonts w:ascii="宋体" w:hAnsi="宋体"/>
          <w:b/>
          <w:sz w:val="30"/>
          <w:szCs w:val="30"/>
        </w:rPr>
      </w:pPr>
      <w:r>
        <w:rPr>
          <w:rFonts w:hAnsi="宋体"/>
          <w:b/>
          <w:sz w:val="30"/>
          <w:szCs w:val="30"/>
        </w:rPr>
        <w:br w:type="page"/>
      </w:r>
    </w:p>
    <w:p w14:paraId="609959B9">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46AEBA93">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5C32F545">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03F442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0B4E3D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1C7F2F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2DC990B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B86417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2001845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68A83A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5B19BA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8DE37D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7AE0C74C">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42F0801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9CF8380">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459CDD0">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lang w:eastAsia="zh-CN"/>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如授权代表不是法定代表人，须有法定代表人出具的授权委托书</w:t>
      </w:r>
      <w:r>
        <w:rPr>
          <w:rFonts w:hint="eastAsia" w:ascii="仿宋" w:hAnsi="仿宋" w:eastAsia="仿宋"/>
          <w:b/>
          <w:bCs w:val="0"/>
          <w:color w:val="000000" w:themeColor="text1"/>
          <w:sz w:val="30"/>
          <w:szCs w:val="30"/>
          <w14:textFill>
            <w14:solidFill>
              <w14:schemeClr w14:val="tx1"/>
            </w14:solidFill>
          </w14:textFill>
        </w:rPr>
        <w:t>（格式见附件）</w:t>
      </w:r>
      <w:r>
        <w:rPr>
          <w:rFonts w:hint="eastAsia"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lang w:val="en-US" w:eastAsia="zh-CN"/>
          <w14:textFill>
            <w14:solidFill>
              <w14:schemeClr w14:val="tx1"/>
            </w14:solidFill>
          </w14:textFill>
        </w:rPr>
        <w:t>响应方</w:t>
      </w:r>
      <w:r>
        <w:rPr>
          <w:rFonts w:hint="eastAsia" w:ascii="仿宋" w:hAnsi="仿宋" w:eastAsia="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bCs/>
          <w:color w:val="000000" w:themeColor="text1"/>
          <w:sz w:val="30"/>
          <w:szCs w:val="30"/>
          <w:lang w:val="en-US" w:eastAsia="zh-CN"/>
          <w14:textFill>
            <w14:solidFill>
              <w14:schemeClr w14:val="tx1"/>
            </w14:solidFill>
          </w14:textFill>
        </w:rPr>
        <w:t>响应</w:t>
      </w:r>
      <w:r>
        <w:rPr>
          <w:rFonts w:hint="eastAsia" w:ascii="仿宋" w:hAnsi="仿宋" w:eastAsia="仿宋"/>
          <w:bCs/>
          <w:color w:val="000000" w:themeColor="text1"/>
          <w:sz w:val="30"/>
          <w:szCs w:val="30"/>
          <w14:textFill>
            <w14:solidFill>
              <w14:schemeClr w14:val="tx1"/>
            </w14:solidFill>
          </w14:textFill>
        </w:rPr>
        <w:t>文件中，说明具体原因、授权代表缴纳社保的单位，并附列该授权代表缴纳社保清单。</w:t>
      </w:r>
    </w:p>
    <w:p w14:paraId="4F6AED0A">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0029497B">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4CFE7028">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25E008D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6A363FED">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51B463C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52381EEC">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27A26CC7">
      <w:pPr>
        <w:numPr>
          <w:ilvl w:val="-1"/>
          <w:numId w:val="0"/>
        </w:numPr>
        <w:snapToGrid w:val="0"/>
        <w:spacing w:before="0" w:beforeLines="-2147483648" w:line="460" w:lineRule="exact"/>
        <w:ind w:firstLine="560" w:firstLineChars="200"/>
        <w:jc w:val="left"/>
        <w:outlineLvl w:val="9"/>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lang w:val="en-US" w:eastAsia="zh-CN"/>
          <w14:textFill>
            <w14:solidFill>
              <w14:schemeClr w14:val="tx1"/>
            </w14:solidFill>
          </w14:textFill>
        </w:rPr>
        <w:t>1.</w:t>
      </w:r>
      <w:r>
        <w:rPr>
          <w:rFonts w:hint="eastAsia" w:ascii="仿宋" w:hAnsi="仿宋" w:eastAsia="仿宋" w:cs="Times New Roman"/>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C9280">
      <w:pPr>
        <w:numPr>
          <w:ilvl w:val="-1"/>
          <w:numId w:val="0"/>
        </w:numPr>
        <w:snapToGrid w:val="0"/>
        <w:spacing w:before="120" w:beforeLines="50" w:line="460" w:lineRule="exact"/>
        <w:ind w:firstLine="560" w:firstLineChars="200"/>
        <w:jc w:val="left"/>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3D1FB5B2">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054F4836">
      <w:pPr>
        <w:numPr>
          <w:ilvl w:val="-1"/>
          <w:numId w:val="0"/>
        </w:numPr>
        <w:snapToGrid w:val="0"/>
        <w:spacing w:before="0" w:beforeLines="-2147483648" w:line="460" w:lineRule="exact"/>
        <w:ind w:firstLine="560" w:firstLineChars="200"/>
        <w:jc w:val="left"/>
        <w:outlineLvl w:val="9"/>
        <w:rPr>
          <w:rFonts w:hint="eastAsia" w:ascii="仿宋" w:hAnsi="仿宋" w:eastAsia="仿宋" w:cs="Arial"/>
          <w:sz w:val="28"/>
          <w:szCs w:val="28"/>
          <w:lang w:val="en-US" w:eastAsia="zh-CN"/>
        </w:rPr>
      </w:pPr>
      <w:r>
        <w:rPr>
          <w:rFonts w:hint="eastAsia" w:ascii="仿宋" w:hAnsi="仿宋" w:eastAsia="仿宋"/>
          <w:bCs/>
          <w:color w:val="000000" w:themeColor="text1"/>
          <w:sz w:val="28"/>
          <w:szCs w:val="28"/>
          <w:lang w:val="en-US" w:eastAsia="zh-CN"/>
          <w14:textFill>
            <w14:solidFill>
              <w14:schemeClr w14:val="tx1"/>
            </w14:solidFill>
          </w14:textFill>
        </w:rPr>
        <w:t>3.磋商响应方的质疑</w:t>
      </w:r>
    </w:p>
    <w:p w14:paraId="7535BC3A">
      <w:pPr>
        <w:snapToGrid w:val="0"/>
        <w:spacing w:before="120" w:beforeLines="50" w:line="460" w:lineRule="exact"/>
        <w:ind w:firstLine="548" w:firstLineChars="196"/>
        <w:jc w:val="left"/>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545C3BC8">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1BAE84D">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7D126A03">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b质疑项目的名称、编号；</w:t>
      </w:r>
    </w:p>
    <w:p w14:paraId="3913E690">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5167E06C">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d事实依据；</w:t>
      </w:r>
    </w:p>
    <w:p w14:paraId="12BFA9AA">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e必要的法律依据；</w:t>
      </w:r>
    </w:p>
    <w:p w14:paraId="370B2E4E">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f提出质疑的日期。</w:t>
      </w:r>
    </w:p>
    <w:p w14:paraId="50E0B530">
      <w:pPr>
        <w:pStyle w:val="13"/>
        <w:widowControl w:val="0"/>
        <w:tabs>
          <w:tab w:val="clear" w:pos="454"/>
        </w:tabs>
        <w:snapToGrid w:val="0"/>
        <w:spacing w:before="120" w:beforeLines="50" w:after="120" w:line="460" w:lineRule="exact"/>
        <w:ind w:left="0" w:firstLine="548" w:firstLineChars="196"/>
        <w:rPr>
          <w:rFonts w:hint="eastAsia" w:ascii="仿宋" w:hAnsi="仿宋" w:eastAsia="仿宋" w:cs="Arial"/>
          <w:sz w:val="30"/>
          <w:szCs w:val="30"/>
        </w:rPr>
      </w:pPr>
      <w:r>
        <w:rPr>
          <w:rFonts w:hint="eastAsia" w:ascii="仿宋" w:hAnsi="仿宋" w:eastAsia="仿宋" w:cs="Arial"/>
          <w:sz w:val="28"/>
          <w:szCs w:val="28"/>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sz w:val="30"/>
          <w:szCs w:val="30"/>
        </w:rPr>
        <w:t>。</w:t>
      </w:r>
    </w:p>
    <w:p w14:paraId="0F468B9F">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1D628D60">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C41A7A3">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3A0EA9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497D6EB8">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2260FC4C">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02D6E33B">
      <w:pPr>
        <w:snapToGrid w:val="0"/>
        <w:spacing w:line="460" w:lineRule="exact"/>
        <w:ind w:firstLine="551" w:firstLineChars="196"/>
        <w:jc w:val="left"/>
        <w:rPr>
          <w:rFonts w:ascii="宋体"/>
          <w:b/>
          <w:sz w:val="28"/>
          <w:szCs w:val="28"/>
        </w:rPr>
      </w:pPr>
      <w:bookmarkStart w:id="66" w:name="_Toc451762244"/>
      <w:bookmarkStart w:id="67" w:name="_Toc451762175"/>
      <w:bookmarkStart w:id="68" w:name="_Toc510137461"/>
      <w:r>
        <w:rPr>
          <w:rFonts w:hint="eastAsia" w:ascii="宋体" w:hAnsi="宋体"/>
          <w:b/>
          <w:sz w:val="28"/>
          <w:szCs w:val="28"/>
        </w:rPr>
        <w:t>（一）磋商响应文件编制工具</w:t>
      </w:r>
    </w:p>
    <w:p w14:paraId="594AAA87">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5FBA83E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4B7CB94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18F0CD94">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AFC72A5">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077F066">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注：法定代表人授权委托书、声明书、报价明细</w:t>
      </w:r>
      <w:r>
        <w:rPr>
          <w:rFonts w:hint="eastAsia"/>
          <w:b/>
          <w:color w:val="auto"/>
          <w:sz w:val="28"/>
          <w:szCs w:val="28"/>
          <w:lang w:val="en-US" w:eastAsia="zh-CN"/>
        </w:rPr>
        <w:t>一览</w:t>
      </w:r>
      <w:r>
        <w:rPr>
          <w:rFonts w:hint="eastAsia"/>
          <w:b/>
          <w:color w:val="auto"/>
          <w:sz w:val="28"/>
          <w:szCs w:val="28"/>
        </w:rPr>
        <w:t>表必须按磋商文件格式要求正确签署并加盖磋商响应方公章。磋商响应文件中所须加盖公章部分均采用CA签章。</w:t>
      </w:r>
    </w:p>
    <w:p w14:paraId="06544796">
      <w:pPr>
        <w:snapToGrid w:val="0"/>
        <w:spacing w:line="460" w:lineRule="exact"/>
        <w:ind w:firstLine="551" w:firstLineChars="196"/>
        <w:jc w:val="left"/>
        <w:rPr>
          <w:rFonts w:ascii="仿宋" w:hAnsi="仿宋" w:eastAsia="仿宋"/>
          <w:sz w:val="30"/>
          <w:szCs w:val="30"/>
        </w:rPr>
      </w:pPr>
      <w:r>
        <w:rPr>
          <w:rFonts w:hint="eastAsia" w:ascii="宋体" w:hAnsi="宋体"/>
          <w:b/>
          <w:sz w:val="28"/>
          <w:szCs w:val="28"/>
        </w:rPr>
        <w:t>磋商响应文件的效力</w:t>
      </w:r>
      <w:r>
        <w:rPr>
          <w:rFonts w:hint="eastAsia" w:ascii="宋体" w:hAnsi="宋体"/>
          <w:b/>
          <w:sz w:val="28"/>
          <w:szCs w:val="28"/>
          <w:lang w:eastAsia="zh-CN"/>
        </w:rPr>
        <w:t>：</w:t>
      </w: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3E5A5220">
      <w:pPr>
        <w:snapToGrid w:val="0"/>
        <w:spacing w:line="460" w:lineRule="exact"/>
        <w:ind w:firstLine="590" w:firstLineChars="196"/>
        <w:jc w:val="left"/>
        <w:outlineLvl w:val="0"/>
        <w:rPr>
          <w:rFonts w:ascii="仿宋" w:hAnsi="仿宋" w:eastAsia="仿宋"/>
          <w:b/>
          <w:sz w:val="30"/>
          <w:szCs w:val="30"/>
        </w:rPr>
      </w:pPr>
      <w:bookmarkStart w:id="69" w:name="_Toc510137462"/>
      <w:bookmarkStart w:id="70" w:name="_Toc451762176"/>
      <w:bookmarkStart w:id="71" w:name="_Toc451762245"/>
      <w:r>
        <w:rPr>
          <w:rFonts w:hint="eastAsia" w:ascii="仿宋" w:hAnsi="仿宋" w:eastAsia="仿宋"/>
          <w:b/>
          <w:sz w:val="30"/>
          <w:szCs w:val="30"/>
        </w:rPr>
        <w:t>（三）磋商响应文件的语言及计量</w:t>
      </w:r>
      <w:bookmarkEnd w:id="69"/>
      <w:bookmarkEnd w:id="70"/>
      <w:bookmarkEnd w:id="71"/>
    </w:p>
    <w:p w14:paraId="73E1402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2BF07E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磋商响应计量单位，磋商文件已有明确规定的，使用磋商文件规定的计量单位；磋商文件没有规定的，应采用中华人民共和国法定计量单位（货币单位：人民币元），否则视同未响应。</w:t>
      </w:r>
    </w:p>
    <w:p w14:paraId="59B9E042">
      <w:pPr>
        <w:snapToGrid w:val="0"/>
        <w:spacing w:before="120" w:beforeLines="50" w:line="460" w:lineRule="exact"/>
        <w:ind w:firstLine="590" w:firstLineChars="196"/>
        <w:jc w:val="left"/>
        <w:outlineLvl w:val="0"/>
        <w:rPr>
          <w:rFonts w:ascii="宋体"/>
          <w:b/>
          <w:sz w:val="30"/>
          <w:szCs w:val="30"/>
        </w:rPr>
      </w:pPr>
      <w:bookmarkStart w:id="72" w:name="_Toc510137463"/>
      <w:bookmarkStart w:id="73" w:name="_Toc451762246"/>
      <w:bookmarkStart w:id="74" w:name="_Toc451762177"/>
      <w:r>
        <w:rPr>
          <w:rFonts w:hint="eastAsia" w:ascii="宋体" w:hAnsi="宋体"/>
          <w:b/>
          <w:sz w:val="30"/>
          <w:szCs w:val="30"/>
        </w:rPr>
        <w:t>（四）磋商响应报价</w:t>
      </w:r>
      <w:bookmarkEnd w:id="72"/>
      <w:bookmarkEnd w:id="73"/>
      <w:bookmarkEnd w:id="74"/>
    </w:p>
    <w:p w14:paraId="4D4A227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磋商响应报价应按磋商文件中相关附表格式填报；</w:t>
      </w:r>
    </w:p>
    <w:p w14:paraId="1F34492F">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磋商响应报价是履行合同的最终价格，应包括货款、标准附件、备品备件、专用工具、包装、运输、装卸、保险、税金、货到就位以及安装、调试、培训、保修等一切税金和费用。</w:t>
      </w:r>
    </w:p>
    <w:p w14:paraId="112D9976">
      <w:pPr>
        <w:snapToGrid w:val="0"/>
        <w:spacing w:line="460" w:lineRule="exact"/>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rPr>
        <w:t>磋商响应报价金额到</w:t>
      </w:r>
      <w:r>
        <w:rPr>
          <w:rFonts w:hint="eastAsia" w:ascii="仿宋" w:hAnsi="仿宋" w:eastAsia="仿宋"/>
          <w:sz w:val="30"/>
          <w:szCs w:val="30"/>
          <w:lang w:val="en-US" w:eastAsia="zh-CN"/>
        </w:rPr>
        <w:t>分为止。</w:t>
      </w:r>
    </w:p>
    <w:p w14:paraId="13B73851">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4.最终报价</w:t>
      </w:r>
      <w:r>
        <w:rPr>
          <w:rFonts w:hint="eastAsia" w:ascii="仿宋" w:hAnsi="仿宋" w:eastAsia="仿宋"/>
          <w:sz w:val="30"/>
          <w:szCs w:val="30"/>
        </w:rPr>
        <w:t>出现下列情形之一的，</w:t>
      </w:r>
      <w:r>
        <w:rPr>
          <w:rFonts w:hint="eastAsia" w:ascii="仿宋" w:hAnsi="仿宋" w:eastAsia="仿宋"/>
          <w:sz w:val="30"/>
          <w:szCs w:val="30"/>
          <w:lang w:val="en-US" w:eastAsia="zh-CN"/>
        </w:rPr>
        <w:t>磋商小组将对相关供应商进行询标</w:t>
      </w:r>
      <w:r>
        <w:rPr>
          <w:rFonts w:hint="eastAsia" w:ascii="仿宋" w:hAnsi="仿宋" w:eastAsia="仿宋"/>
          <w:sz w:val="30"/>
          <w:szCs w:val="30"/>
        </w:rPr>
        <w:t>：（一）</w:t>
      </w:r>
      <w:r>
        <w:rPr>
          <w:rFonts w:hint="eastAsia" w:ascii="仿宋" w:hAnsi="仿宋" w:eastAsia="仿宋"/>
          <w:sz w:val="30"/>
          <w:szCs w:val="30"/>
          <w:lang w:val="en-US" w:eastAsia="zh-CN"/>
        </w:rPr>
        <w:t>最终</w:t>
      </w:r>
      <w:r>
        <w:rPr>
          <w:rFonts w:hint="eastAsia" w:ascii="仿宋" w:hAnsi="仿宋" w:eastAsia="仿宋"/>
          <w:sz w:val="30"/>
          <w:szCs w:val="30"/>
        </w:rPr>
        <w:t>报价低于全部通过符合性审查供应商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报价平均值50%的，即</w:t>
      </w:r>
      <w:r>
        <w:rPr>
          <w:rFonts w:hint="eastAsia" w:ascii="仿宋" w:hAnsi="仿宋" w:eastAsia="仿宋"/>
          <w:sz w:val="30"/>
          <w:szCs w:val="30"/>
          <w:lang w:val="en-US" w:eastAsia="zh-CN"/>
        </w:rPr>
        <w:t>最终</w:t>
      </w:r>
      <w:r>
        <w:rPr>
          <w:rFonts w:hint="eastAsia" w:ascii="仿宋" w:hAnsi="仿宋" w:eastAsia="仿宋"/>
          <w:sz w:val="30"/>
          <w:szCs w:val="30"/>
        </w:rPr>
        <w:t>报价&lt;全部通过符合性审查供应商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报价平均值×50%；（二）</w:t>
      </w:r>
      <w:r>
        <w:rPr>
          <w:rFonts w:hint="eastAsia" w:ascii="仿宋" w:hAnsi="仿宋" w:eastAsia="仿宋"/>
          <w:sz w:val="30"/>
          <w:szCs w:val="30"/>
          <w:lang w:val="en-US" w:eastAsia="zh-CN"/>
        </w:rPr>
        <w:t>最终</w:t>
      </w:r>
      <w:r>
        <w:rPr>
          <w:rFonts w:hint="eastAsia" w:ascii="仿宋" w:hAnsi="仿宋" w:eastAsia="仿宋"/>
          <w:sz w:val="30"/>
          <w:szCs w:val="30"/>
        </w:rPr>
        <w:t>报价低于通过符合性审查且报价次低供应商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报价50%的，即</w:t>
      </w:r>
      <w:r>
        <w:rPr>
          <w:rFonts w:hint="eastAsia" w:ascii="仿宋" w:hAnsi="仿宋" w:eastAsia="仿宋"/>
          <w:sz w:val="30"/>
          <w:szCs w:val="30"/>
          <w:lang w:val="en-US" w:eastAsia="zh-CN"/>
        </w:rPr>
        <w:t>最终</w:t>
      </w:r>
      <w:r>
        <w:rPr>
          <w:rFonts w:hint="eastAsia" w:ascii="仿宋" w:hAnsi="仿宋" w:eastAsia="仿宋"/>
          <w:sz w:val="30"/>
          <w:szCs w:val="30"/>
        </w:rPr>
        <w:t>报价&lt;通过符合性审查且报价次低供应商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报价×50%；（三）</w:t>
      </w:r>
      <w:r>
        <w:rPr>
          <w:rFonts w:hint="eastAsia" w:ascii="仿宋" w:hAnsi="仿宋" w:eastAsia="仿宋"/>
          <w:sz w:val="30"/>
          <w:szCs w:val="30"/>
          <w:lang w:val="en-US" w:eastAsia="zh-CN"/>
        </w:rPr>
        <w:t>最终</w:t>
      </w:r>
      <w:r>
        <w:rPr>
          <w:rFonts w:hint="eastAsia" w:ascii="仿宋" w:hAnsi="仿宋" w:eastAsia="仿宋"/>
          <w:sz w:val="30"/>
          <w:szCs w:val="30"/>
        </w:rPr>
        <w:t>报价低于采购项目最高限价45%的，即</w:t>
      </w:r>
      <w:r>
        <w:rPr>
          <w:rFonts w:hint="eastAsia" w:ascii="仿宋" w:hAnsi="仿宋" w:eastAsia="仿宋"/>
          <w:sz w:val="30"/>
          <w:szCs w:val="30"/>
          <w:lang w:val="en-US" w:eastAsia="zh-CN"/>
        </w:rPr>
        <w:t>最终</w:t>
      </w:r>
      <w:r>
        <w:rPr>
          <w:rFonts w:hint="eastAsia" w:ascii="仿宋" w:hAnsi="仿宋" w:eastAsia="仿宋"/>
          <w:sz w:val="30"/>
          <w:szCs w:val="30"/>
        </w:rPr>
        <w:t>报价&lt;采购项目最高限价×45%；（四）其他</w:t>
      </w:r>
      <w:r>
        <w:rPr>
          <w:rFonts w:hint="eastAsia" w:ascii="仿宋" w:hAnsi="仿宋" w:eastAsia="仿宋"/>
          <w:sz w:val="30"/>
          <w:szCs w:val="30"/>
          <w:lang w:val="en-US" w:eastAsia="zh-CN"/>
        </w:rPr>
        <w:t>磋商小组</w:t>
      </w:r>
      <w:r>
        <w:rPr>
          <w:rFonts w:hint="eastAsia" w:ascii="仿宋" w:hAnsi="仿宋" w:eastAsia="仿宋"/>
          <w:sz w:val="30"/>
          <w:szCs w:val="30"/>
        </w:rPr>
        <w:t>认为供应商报价过低，有可能影响产品质量或者不能诚信履约的情形。</w:t>
      </w:r>
      <w:r>
        <w:rPr>
          <w:rFonts w:hint="eastAsia" w:ascii="仿宋" w:hAnsi="仿宋" w:eastAsia="仿宋"/>
          <w:sz w:val="30"/>
          <w:szCs w:val="30"/>
          <w:lang w:val="en-US" w:eastAsia="zh-CN"/>
        </w:rPr>
        <w:t>磋商小组发起询标</w:t>
      </w:r>
      <w:r>
        <w:rPr>
          <w:rFonts w:hint="eastAsia" w:ascii="仿宋" w:hAnsi="仿宋" w:eastAsia="仿宋"/>
          <w:sz w:val="30"/>
          <w:szCs w:val="30"/>
        </w:rPr>
        <w:t>后，</w:t>
      </w:r>
      <w:r>
        <w:rPr>
          <w:rFonts w:hint="eastAsia" w:ascii="仿宋" w:hAnsi="仿宋" w:eastAsia="仿宋"/>
          <w:sz w:val="30"/>
          <w:szCs w:val="30"/>
          <w:lang w:eastAsia="zh-CN"/>
        </w:rPr>
        <w:t>磋商响应方</w:t>
      </w:r>
      <w:r>
        <w:rPr>
          <w:rFonts w:hint="eastAsia" w:ascii="仿宋" w:hAnsi="仿宋" w:eastAsia="仿宋"/>
          <w:sz w:val="30"/>
          <w:szCs w:val="30"/>
          <w:lang w:val="en-US" w:eastAsia="zh-CN"/>
        </w:rPr>
        <w:t>必须</w:t>
      </w:r>
      <w:r>
        <w:rPr>
          <w:rFonts w:hint="eastAsia" w:ascii="仿宋" w:hAnsi="仿宋" w:eastAsia="仿宋"/>
          <w:sz w:val="30"/>
          <w:szCs w:val="30"/>
        </w:rPr>
        <w:t>在评审现场合理的时间内提供书面说明及必要的证明材料，对</w:t>
      </w:r>
      <w:r>
        <w:rPr>
          <w:rFonts w:hint="eastAsia" w:ascii="仿宋" w:hAnsi="仿宋" w:eastAsia="仿宋"/>
          <w:sz w:val="30"/>
          <w:szCs w:val="30"/>
          <w:lang w:val="en-US" w:eastAsia="zh-CN"/>
        </w:rPr>
        <w:t>最终报价</w:t>
      </w:r>
      <w:r>
        <w:rPr>
          <w:rFonts w:hint="eastAsia" w:ascii="仿宋" w:hAnsi="仿宋" w:eastAsia="仿宋"/>
          <w:sz w:val="30"/>
          <w:szCs w:val="30"/>
        </w:rPr>
        <w:t>作出解释。书面说明、证明材料主要是项目具体成本测算等与报价合理性相关的说明、材料</w:t>
      </w:r>
      <w:r>
        <w:rPr>
          <w:rFonts w:hint="eastAsia" w:ascii="仿宋" w:hAnsi="仿宋" w:eastAsia="仿宋"/>
          <w:sz w:val="30"/>
          <w:szCs w:val="30"/>
          <w:lang w:eastAsia="zh-CN"/>
        </w:rPr>
        <w:t>。</w:t>
      </w:r>
    </w:p>
    <w:p w14:paraId="6F2A238F">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45CC22C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自磋商响应截止日起90天内磋商响应文件应保持有效。有效期不足的磋商响应文件将被拒绝。</w:t>
      </w:r>
    </w:p>
    <w:p w14:paraId="3D2D459C">
      <w:pPr>
        <w:snapToGrid w:val="0"/>
        <w:spacing w:line="460" w:lineRule="exact"/>
        <w:ind w:firstLine="600" w:firstLineChars="200"/>
        <w:jc w:val="left"/>
        <w:rPr>
          <w:rFonts w:eastAsia="仿宋"/>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成交人的磋商响应文件自磋商之日起至合同履行完毕止均应保持有效。</w:t>
      </w:r>
    </w:p>
    <w:p w14:paraId="7F0C91C7">
      <w:pPr>
        <w:snapToGrid w:val="0"/>
        <w:spacing w:before="120" w:beforeLines="50" w:line="460" w:lineRule="exact"/>
        <w:ind w:firstLine="590" w:firstLineChars="196"/>
        <w:jc w:val="left"/>
        <w:outlineLvl w:val="0"/>
        <w:rPr>
          <w:rFonts w:ascii="宋体"/>
          <w:b/>
          <w:sz w:val="30"/>
          <w:szCs w:val="30"/>
        </w:rPr>
      </w:pPr>
      <w:bookmarkStart w:id="75" w:name="_Toc510137464"/>
      <w:bookmarkStart w:id="76" w:name="_Toc451762247"/>
      <w:bookmarkStart w:id="77" w:name="_Toc451762178"/>
      <w:r>
        <w:rPr>
          <w:rFonts w:hint="eastAsia" w:ascii="宋体" w:hAnsi="宋体"/>
          <w:b/>
          <w:sz w:val="30"/>
          <w:szCs w:val="30"/>
        </w:rPr>
        <w:t>（六）</w:t>
      </w:r>
      <w:bookmarkEnd w:id="75"/>
      <w:bookmarkEnd w:id="76"/>
      <w:bookmarkEnd w:id="77"/>
      <w:bookmarkStart w:id="78" w:name="_Toc510137465"/>
      <w:bookmarkStart w:id="79" w:name="_Toc451762180"/>
      <w:bookmarkStart w:id="80" w:name="_Toc451762249"/>
      <w:r>
        <w:rPr>
          <w:rFonts w:hint="eastAsia" w:ascii="宋体" w:hAnsi="宋体"/>
          <w:b/>
          <w:sz w:val="30"/>
          <w:szCs w:val="30"/>
        </w:rPr>
        <w:t>磋商响应文件的签署和份数</w:t>
      </w:r>
      <w:bookmarkEnd w:id="78"/>
      <w:bookmarkEnd w:id="79"/>
      <w:bookmarkEnd w:id="80"/>
    </w:p>
    <w:p w14:paraId="07A5EE5B">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宋体" w:hAnsi="宋体"/>
          <w:b/>
          <w:bCs/>
          <w:sz w:val="28"/>
          <w:szCs w:val="28"/>
        </w:rPr>
        <w:t>电子磋商响应文件部分：</w:t>
      </w:r>
    </w:p>
    <w:p w14:paraId="54A1E413">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2EF134EF">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4274BF72">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A6BBD7F">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7B3D074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74AB7B6">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D5061E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仿宋" w:hAnsi="仿宋" w:eastAsia="仿宋"/>
          <w:b/>
          <w:bCs/>
          <w:sz w:val="30"/>
          <w:szCs w:val="30"/>
        </w:rPr>
        <w:t>仅提供备份磋商响应文件的；</w:t>
      </w:r>
    </w:p>
    <w:p w14:paraId="393C39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电子磋商响应文件解密失败，且未在规定时间内提交备份磋商响应文件的；</w:t>
      </w:r>
    </w:p>
    <w:p w14:paraId="3268AB0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电子磋商响应文件解密失败，虽然在规定时间内提交了备份磋商响应文件，但是备份磋商响应文件无法导入或者无法读取或者不符合本磋商文件和电子交易平台要求的；</w:t>
      </w:r>
    </w:p>
    <w:p w14:paraId="1FCE378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w:t>
      </w:r>
      <w:r>
        <w:rPr>
          <w:rFonts w:hint="eastAsia" w:ascii="仿宋" w:hAnsi="仿宋" w:eastAsia="仿宋"/>
          <w:b/>
          <w:bCs/>
          <w:sz w:val="30"/>
          <w:szCs w:val="30"/>
          <w:lang w:eastAsia="zh-CN"/>
        </w:rPr>
        <w:t>.</w:t>
      </w:r>
      <w:r>
        <w:rPr>
          <w:rFonts w:hint="eastAsia" w:ascii="仿宋" w:hAnsi="仿宋" w:eastAsia="仿宋"/>
          <w:b/>
          <w:bCs/>
          <w:sz w:val="30"/>
          <w:szCs w:val="30"/>
        </w:rPr>
        <w:t>磋商响应方未能提供合格的资格文件；</w:t>
      </w:r>
    </w:p>
    <w:p w14:paraId="7F496D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w:t>
      </w:r>
      <w:r>
        <w:rPr>
          <w:rFonts w:hint="eastAsia" w:ascii="仿宋" w:hAnsi="仿宋" w:eastAsia="仿宋"/>
          <w:b/>
          <w:bCs/>
          <w:sz w:val="30"/>
          <w:szCs w:val="30"/>
          <w:lang w:eastAsia="zh-CN"/>
        </w:rPr>
        <w:t>.</w:t>
      </w:r>
      <w:r>
        <w:rPr>
          <w:rFonts w:hint="eastAsia" w:ascii="仿宋" w:hAnsi="仿宋" w:eastAsia="仿宋"/>
          <w:b/>
          <w:bCs/>
          <w:sz w:val="30"/>
          <w:szCs w:val="30"/>
        </w:rPr>
        <w:t>与磋商文件有重大偏离、未满足带“▲”号实质性指标的磋商响应文件；</w:t>
      </w:r>
    </w:p>
    <w:p w14:paraId="52E5862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w:t>
      </w:r>
      <w:r>
        <w:rPr>
          <w:rFonts w:hint="eastAsia" w:ascii="仿宋" w:hAnsi="仿宋" w:eastAsia="仿宋"/>
          <w:b/>
          <w:bCs/>
          <w:sz w:val="30"/>
          <w:szCs w:val="30"/>
          <w:lang w:eastAsia="zh-CN"/>
        </w:rPr>
        <w:t>.</w:t>
      </w:r>
      <w:r>
        <w:rPr>
          <w:rFonts w:hint="eastAsia" w:ascii="仿宋" w:hAnsi="仿宋" w:eastAsia="仿宋"/>
          <w:b/>
          <w:bCs/>
          <w:sz w:val="30"/>
          <w:szCs w:val="30"/>
        </w:rPr>
        <w:t>标项以赠送方式磋商响应的；</w:t>
      </w:r>
    </w:p>
    <w:p w14:paraId="3993CCE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w:t>
      </w:r>
      <w:r>
        <w:rPr>
          <w:rFonts w:hint="eastAsia" w:ascii="仿宋" w:hAnsi="仿宋" w:eastAsia="仿宋"/>
          <w:b/>
          <w:bCs/>
          <w:sz w:val="30"/>
          <w:szCs w:val="30"/>
          <w:lang w:eastAsia="zh-CN"/>
        </w:rPr>
        <w:t>.</w:t>
      </w:r>
      <w:r>
        <w:rPr>
          <w:rFonts w:hint="eastAsia" w:ascii="仿宋" w:hAnsi="仿宋" w:eastAsia="仿宋"/>
          <w:b/>
          <w:bCs/>
          <w:sz w:val="30"/>
          <w:szCs w:val="30"/>
        </w:rPr>
        <w:t>磋商响应文件应盖公章而未盖公章或盖非公司公章、未有效授权、法定代表人授权书填写不完整或有涂改的；</w:t>
      </w:r>
    </w:p>
    <w:p w14:paraId="631CA5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w:t>
      </w:r>
      <w:r>
        <w:rPr>
          <w:rFonts w:hint="eastAsia" w:ascii="仿宋" w:hAnsi="仿宋" w:eastAsia="仿宋"/>
          <w:b/>
          <w:bCs/>
          <w:sz w:val="30"/>
          <w:szCs w:val="30"/>
          <w:lang w:eastAsia="zh-CN"/>
        </w:rPr>
        <w:t>.</w:t>
      </w:r>
      <w:r>
        <w:rPr>
          <w:rFonts w:hint="eastAsia" w:ascii="仿宋" w:hAnsi="仿宋" w:eastAsia="仿宋"/>
          <w:b/>
          <w:bCs/>
          <w:sz w:val="30"/>
          <w:szCs w:val="30"/>
        </w:rPr>
        <w:t>未成功办理磋商响应方采购文件获取手续的；</w:t>
      </w:r>
    </w:p>
    <w:p w14:paraId="7301AB4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w:t>
      </w:r>
      <w:r>
        <w:rPr>
          <w:rFonts w:hint="eastAsia" w:ascii="仿宋" w:hAnsi="仿宋" w:eastAsia="仿宋"/>
          <w:b/>
          <w:bCs/>
          <w:sz w:val="30"/>
          <w:szCs w:val="30"/>
          <w:lang w:eastAsia="zh-CN"/>
        </w:rPr>
        <w:t>.</w:t>
      </w:r>
      <w:r>
        <w:rPr>
          <w:rFonts w:hint="eastAsia" w:ascii="仿宋" w:hAnsi="仿宋" w:eastAsia="仿宋"/>
          <w:b/>
          <w:bCs/>
          <w:sz w:val="30"/>
          <w:szCs w:val="30"/>
        </w:rPr>
        <w:t>磋商最终报价超出预算</w:t>
      </w:r>
      <w:r>
        <w:rPr>
          <w:rFonts w:hint="eastAsia" w:ascii="仿宋" w:hAnsi="仿宋" w:eastAsia="仿宋"/>
          <w:b/>
          <w:bCs/>
          <w:sz w:val="30"/>
          <w:szCs w:val="30"/>
          <w:lang w:val="en-US" w:eastAsia="zh-CN"/>
        </w:rPr>
        <w:t>或最高限价</w:t>
      </w:r>
      <w:r>
        <w:rPr>
          <w:rFonts w:hint="eastAsia" w:ascii="仿宋" w:hAnsi="仿宋" w:eastAsia="仿宋"/>
          <w:b/>
          <w:bCs/>
          <w:sz w:val="30"/>
          <w:szCs w:val="30"/>
        </w:rPr>
        <w:t>的；</w:t>
      </w:r>
    </w:p>
    <w:p w14:paraId="17AF21AD">
      <w:pPr>
        <w:snapToGrid w:val="0"/>
        <w:spacing w:line="460" w:lineRule="exact"/>
        <w:ind w:firstLine="572" w:firstLineChars="190"/>
        <w:jc w:val="left"/>
        <w:rPr>
          <w:rFonts w:hint="eastAsia" w:ascii="仿宋" w:hAnsi="仿宋" w:eastAsia="仿宋"/>
          <w:b/>
          <w:bCs/>
          <w:sz w:val="30"/>
          <w:szCs w:val="30"/>
        </w:rPr>
      </w:pPr>
      <w:r>
        <w:rPr>
          <w:rFonts w:hint="eastAsia" w:ascii="仿宋" w:hAnsi="仿宋" w:eastAsia="仿宋"/>
          <w:b/>
          <w:bCs/>
          <w:sz w:val="30"/>
          <w:szCs w:val="30"/>
        </w:rPr>
        <w:t>10</w:t>
      </w:r>
      <w:r>
        <w:rPr>
          <w:rFonts w:hint="eastAsia" w:ascii="仿宋" w:hAnsi="仿宋" w:eastAsia="仿宋"/>
          <w:b/>
          <w:bCs/>
          <w:sz w:val="30"/>
          <w:szCs w:val="30"/>
          <w:lang w:eastAsia="zh-CN"/>
        </w:rPr>
        <w:t>.</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14:paraId="3D45CF10">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329CF10C">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12FC05DC">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48ED9175">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357F71BF">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0C0B823E">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6901E94F">
      <w:pPr>
        <w:pStyle w:val="28"/>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2185B954">
      <w:pPr>
        <w:snapToGrid w:val="0"/>
        <w:spacing w:line="460" w:lineRule="exact"/>
        <w:ind w:firstLine="572" w:firstLineChars="190"/>
        <w:jc w:val="left"/>
        <w:rPr>
          <w:rFonts w:ascii="仿宋" w:hAnsi="仿宋" w:eastAsia="仿宋"/>
          <w:b/>
          <w:bCs/>
          <w:sz w:val="30"/>
          <w:szCs w:val="30"/>
        </w:rPr>
      </w:pPr>
    </w:p>
    <w:p w14:paraId="46F0EC89">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FE37401">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75D437D4">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442CDCC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5E314E2D">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8E2C8B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BEE73D6">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C46063E">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32FD165">
      <w:pPr>
        <w:pStyle w:val="28"/>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14:paraId="428D1FDB">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A0B71B0">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0D21BCC5">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40BE58AA">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E6B97D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8E50CD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55E138C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2781C60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 xml:space="preserve">3. </w:t>
      </w:r>
      <w:r>
        <w:rPr>
          <w:rFonts w:hint="eastAsia" w:ascii="仿宋" w:hAnsi="仿宋" w:eastAsia="仿宋"/>
          <w:sz w:val="30"/>
          <w:szCs w:val="30"/>
          <w:lang w:val="en-US" w:eastAsia="zh-CN"/>
        </w:rPr>
        <w:t>响应</w:t>
      </w:r>
      <w:r>
        <w:rPr>
          <w:rFonts w:hint="eastAsia" w:ascii="仿宋" w:hAnsi="仿宋" w:eastAsia="仿宋"/>
          <w:sz w:val="30"/>
          <w:szCs w:val="30"/>
        </w:rPr>
        <w:t>截止时，电子交易平台自动提取所有电子磋商响应文件。磋商方点击[开始解密]按钮后，磋商响应方可以在线解密，解密时限为30分钟。</w:t>
      </w:r>
    </w:p>
    <w:p w14:paraId="0E692437">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7E8D93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73BD36B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sz w:val="30"/>
          <w:szCs w:val="30"/>
          <w:lang w:val="en-US" w:eastAsia="zh-CN"/>
        </w:rPr>
        <w:t>磋商专家</w:t>
      </w:r>
      <w:r>
        <w:rPr>
          <w:rFonts w:hint="eastAsia" w:ascii="仿宋" w:hAnsi="仿宋" w:eastAsia="仿宋"/>
          <w:sz w:val="30"/>
          <w:szCs w:val="30"/>
        </w:rPr>
        <w:t>可以通过电子交易平台发出“视频会议”邀请，与相关</w:t>
      </w:r>
      <w:r>
        <w:rPr>
          <w:rFonts w:hint="eastAsia" w:ascii="仿宋" w:hAnsi="仿宋" w:eastAsia="仿宋"/>
          <w:sz w:val="30"/>
          <w:szCs w:val="30"/>
          <w:lang w:val="en-US" w:eastAsia="zh-CN"/>
        </w:rPr>
        <w:t>响应方</w:t>
      </w:r>
      <w:r>
        <w:rPr>
          <w:rFonts w:hint="eastAsia" w:ascii="仿宋" w:hAnsi="仿宋" w:eastAsia="仿宋"/>
          <w:sz w:val="30"/>
          <w:szCs w:val="30"/>
        </w:rPr>
        <w:t>以视频会议形式进行，并在平台“讨论”组件中进行数据电文交换。为避免页面存在兼容性等问题，</w:t>
      </w:r>
      <w:r>
        <w:rPr>
          <w:rFonts w:hint="eastAsia" w:ascii="仿宋" w:hAnsi="仿宋" w:eastAsia="仿宋"/>
          <w:sz w:val="30"/>
          <w:szCs w:val="30"/>
          <w:lang w:val="en-US" w:eastAsia="zh-CN"/>
        </w:rPr>
        <w:t>磋商响应方</w:t>
      </w:r>
      <w:r>
        <w:rPr>
          <w:rFonts w:hint="eastAsia" w:ascii="仿宋" w:hAnsi="仿宋" w:eastAsia="仿宋"/>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5D060AA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96422A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6E0A09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9833A9E">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6D7EE9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24B6EB2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核验出席磋商活动现场的磋商小组各成员和相关监督人员身份，并要求其分别登记、签到，按规定统一收缴、保存其通讯工具，无关人员一律拒绝其进入磋商现场。</w:t>
      </w:r>
    </w:p>
    <w:p w14:paraId="32440A7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介绍磋商现场的人员情况，宣布磋商工作纪律，告知磋商人员应当回避情形；组织推选磋商小组组长。</w:t>
      </w:r>
    </w:p>
    <w:p w14:paraId="4299E8B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宣读提交竞争性磋商响应文件的响应方名单，组织磋商小组各位成员签订《政府采购评审人员廉洁自律承诺书》。</w:t>
      </w:r>
    </w:p>
    <w:p w14:paraId="76A9234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5736E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磋商小组组长组织磋商小组人员独立评审。采购人代表或</w:t>
      </w:r>
      <w:r>
        <w:rPr>
          <w:rFonts w:hint="eastAsia" w:ascii="仿宋" w:hAnsi="仿宋" w:eastAsia="仿宋"/>
          <w:bCs/>
          <w:sz w:val="30"/>
          <w:szCs w:val="30"/>
          <w:lang w:val="en-US" w:eastAsia="zh-CN"/>
        </w:rPr>
        <w:t>由</w:t>
      </w:r>
      <w:r>
        <w:rPr>
          <w:rFonts w:hint="eastAsia" w:ascii="仿宋" w:hAnsi="仿宋" w:eastAsia="仿宋"/>
          <w:bCs/>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52490CB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做好磋商现场相关记录，协助磋商小组组长做好评审报告起草、有关内容电脑文字录入等工作，并要求磋商小组各成员签字确认。</w:t>
      </w:r>
    </w:p>
    <w:p w14:paraId="0BAB157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584AC54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磋商方将在《</w:t>
      </w:r>
      <w:r>
        <w:rPr>
          <w:rFonts w:hint="eastAsia" w:ascii="仿宋" w:hAnsi="仿宋" w:eastAsia="仿宋"/>
          <w:bCs/>
          <w:sz w:val="30"/>
          <w:szCs w:val="30"/>
          <w:lang w:val="en-US" w:eastAsia="zh-CN"/>
        </w:rPr>
        <w:t>成交</w:t>
      </w:r>
      <w:r>
        <w:rPr>
          <w:rFonts w:hint="eastAsia" w:ascii="仿宋" w:hAnsi="仿宋" w:eastAsia="仿宋"/>
          <w:bCs/>
          <w:sz w:val="30"/>
          <w:szCs w:val="30"/>
        </w:rPr>
        <w:t>公告》中，公开磋商小组对每个响应方的《评分明细》以及《得分汇总表》情况。</w:t>
      </w:r>
    </w:p>
    <w:p w14:paraId="0AEF1AA6">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5324BA8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在磋商小组中推选组长。</w:t>
      </w:r>
    </w:p>
    <w:p w14:paraId="1BEFF29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120AE4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磋商小组组长召集成员讨论确定磋商方法和磋商轮次。</w:t>
      </w:r>
    </w:p>
    <w:p w14:paraId="4494827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D69F27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1FEDBEF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7B85FCC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B9749F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磋商小组根据第三章《评审办法与评审标准》对提交最终报价的响应方的响应文件和最后报价进行综合评分。</w:t>
      </w:r>
    </w:p>
    <w:p w14:paraId="042F028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774E61A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w:t>
      </w:r>
      <w:r>
        <w:rPr>
          <w:rFonts w:hint="eastAsia" w:ascii="仿宋" w:hAnsi="仿宋" w:eastAsia="仿宋"/>
          <w:bCs/>
          <w:sz w:val="30"/>
          <w:szCs w:val="30"/>
          <w:lang w:eastAsia="zh-CN"/>
        </w:rPr>
        <w:t>.</w:t>
      </w:r>
      <w:r>
        <w:rPr>
          <w:rFonts w:hint="eastAsia" w:ascii="仿宋" w:hAnsi="仿宋" w:eastAsia="仿宋"/>
          <w:bCs/>
          <w:sz w:val="30"/>
          <w:szCs w:val="30"/>
        </w:rPr>
        <w:t>起草评审报告，所有磋商小组成员须在评审报告上签字确认。</w:t>
      </w:r>
    </w:p>
    <w:p w14:paraId="5C1EA3F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BDA9A99">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31802FC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6D130B83">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4AD7389">
      <w:pPr>
        <w:pStyle w:val="28"/>
        <w:snapToGrid w:val="0"/>
        <w:spacing w:before="120" w:after="120" w:line="460" w:lineRule="exact"/>
        <w:ind w:firstLine="594" w:firstLineChars="198"/>
        <w:outlineLvl w:val="1"/>
        <w:rPr>
          <w:rFonts w:hint="eastAsia" w:hAnsi="宋体"/>
          <w:b/>
          <w:sz w:val="30"/>
          <w:szCs w:val="30"/>
        </w:rPr>
      </w:pPr>
      <w:r>
        <w:rPr>
          <w:rFonts w:hint="eastAsia" w:ascii="仿宋" w:hAnsi="仿宋" w:eastAsia="仿宋" w:cs="仿宋"/>
          <w:b w:val="0"/>
          <w:bCs/>
          <w:sz w:val="30"/>
          <w:szCs w:val="30"/>
        </w:rPr>
        <w:t>4</w:t>
      </w:r>
      <w:r>
        <w:rPr>
          <w:rFonts w:hint="eastAsia" w:ascii="仿宋" w:hAnsi="仿宋" w:eastAsia="仿宋" w:cs="仿宋"/>
          <w:b w:val="0"/>
          <w:bCs/>
          <w:sz w:val="30"/>
          <w:szCs w:val="30"/>
          <w:lang w:val="en-US" w:eastAsia="zh-CN"/>
        </w:rPr>
        <w:t>.参照</w:t>
      </w:r>
      <w:r>
        <w:rPr>
          <w:rFonts w:hint="eastAsia" w:ascii="仿宋" w:hAnsi="仿宋" w:eastAsia="仿宋" w:cs="仿宋"/>
          <w:b w:val="0"/>
          <w:bCs/>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文件规定的方式确定一个投标人获得中标人推荐资格，</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文件未规定的采取随机抽取方式确定，其他同品牌投标人不作为中标候选人。非单一产品采购项目，采购人应当根据采购项目技术构成、产品价格比重等合理确定核心产品，并在</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文件中载明。多家投标人提供的核心产品品牌相同的，按前款规定处理。</w:t>
      </w:r>
    </w:p>
    <w:p w14:paraId="5F8614E7">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75EAFEFB">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成交结果由采购人确认。采购人未确定成交供应商且在规定时间内不提出异议的，视为默认。</w:t>
      </w:r>
    </w:p>
    <w:p w14:paraId="737EAA90">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7A0D2B86">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3F9C62C">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37F9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9D3415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w:t>
      </w:r>
      <w:r>
        <w:rPr>
          <w:rFonts w:hint="eastAsia" w:ascii="仿宋" w:hAnsi="仿宋" w:eastAsia="仿宋"/>
          <w:bCs/>
          <w:sz w:val="28"/>
          <w:szCs w:val="28"/>
          <w:lang w:val="en-US" w:eastAsia="zh-CN"/>
        </w:rPr>
        <w:t>成交</w:t>
      </w:r>
      <w:r>
        <w:rPr>
          <w:rFonts w:hint="eastAsia" w:ascii="仿宋" w:hAnsi="仿宋" w:eastAsia="仿宋"/>
          <w:bCs/>
          <w:sz w:val="28"/>
          <w:szCs w:val="28"/>
        </w:rPr>
        <w:t>资格。</w:t>
      </w:r>
    </w:p>
    <w:p w14:paraId="53E1EA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167870">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333C6CB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0EFC9B3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按合同约定办理履约保证金退还手续。</w:t>
      </w:r>
    </w:p>
    <w:p w14:paraId="29864978">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3211E2B9">
      <w:pPr>
        <w:pStyle w:val="28"/>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F1C7E1E">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048C612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717F11D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C8F58C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792B8E4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53B38E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2A1C96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21E3CEC0">
      <w:pPr>
        <w:pStyle w:val="28"/>
        <w:snapToGrid w:val="0"/>
        <w:spacing w:before="120" w:after="120" w:line="460" w:lineRule="exact"/>
        <w:ind w:firstLine="2530" w:firstLineChars="700"/>
        <w:rPr>
          <w:rFonts w:hAnsi="宋体"/>
          <w:b/>
          <w:sz w:val="36"/>
          <w:szCs w:val="36"/>
        </w:rPr>
      </w:pPr>
    </w:p>
    <w:p w14:paraId="6669F961">
      <w:pPr>
        <w:widowControl/>
        <w:jc w:val="left"/>
        <w:rPr>
          <w:rFonts w:ascii="宋体" w:hAnsi="宋体"/>
          <w:b/>
          <w:sz w:val="36"/>
          <w:szCs w:val="36"/>
        </w:rPr>
      </w:pPr>
      <w:r>
        <w:rPr>
          <w:rFonts w:hAnsi="宋体"/>
          <w:b/>
          <w:sz w:val="36"/>
          <w:szCs w:val="36"/>
        </w:rPr>
        <w:br w:type="page"/>
      </w:r>
    </w:p>
    <w:p w14:paraId="362F9466">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103E9722">
      <w:pPr>
        <w:pStyle w:val="28"/>
        <w:snapToGrid w:val="0"/>
        <w:spacing w:before="120" w:after="120" w:line="460" w:lineRule="exact"/>
        <w:jc w:val="center"/>
        <w:outlineLvl w:val="0"/>
        <w:rPr>
          <w:rFonts w:ascii="仿宋" w:hAnsi="仿宋" w:eastAsia="仿宋"/>
          <w:sz w:val="30"/>
          <w:szCs w:val="30"/>
        </w:rPr>
      </w:pPr>
    </w:p>
    <w:p w14:paraId="0602233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558DE24">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872533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CCFA9C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B1E34B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C0D5F9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ED45F17">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9F63A8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1446C601">
      <w:pPr>
        <w:spacing w:before="120" w:beforeLines="50" w:after="120" w:afterLines="50" w:line="460" w:lineRule="exact"/>
        <w:ind w:firstLine="600" w:firstLineChars="200"/>
        <w:rPr>
          <w:rFonts w:ascii="仿宋" w:hAnsi="仿宋" w:eastAsia="仿宋"/>
          <w:bCs/>
          <w:sz w:val="30"/>
          <w:szCs w:val="30"/>
        </w:rPr>
      </w:pPr>
    </w:p>
    <w:p w14:paraId="6E2BA199">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06958FE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p w14:paraId="63EFCB7E">
      <w:pPr>
        <w:pStyle w:val="28"/>
        <w:snapToGrid w:val="0"/>
        <w:spacing w:before="120" w:after="120" w:line="480" w:lineRule="auto"/>
        <w:jc w:val="center"/>
        <w:outlineLvl w:val="0"/>
        <w:rPr>
          <w:rFonts w:hint="eastAsia" w:ascii="仿宋" w:hAnsi="仿宋" w:eastAsia="仿宋"/>
          <w:vertAlign w:val="baseline"/>
          <w:lang w:eastAsia="zh-CN"/>
        </w:rPr>
      </w:pPr>
      <w:bookmarkStart w:id="84" w:name="PO_15530_PM051"/>
      <w:bookmarkStart w:id="85" w:name="_Toc510137467"/>
      <w:r>
        <w:rPr>
          <w:rFonts w:hint="eastAsia" w:ascii="仿宋" w:hAnsi="仿宋" w:eastAsia="仿宋"/>
          <w:lang w:eastAsia="zh-CN"/>
        </w:rPr>
        <w:t xml:space="preserve"> </w:t>
      </w:r>
      <w:bookmarkEnd w:id="84"/>
      <w:bookmarkStart w:id="86" w:name="PO_TDCUS_ITEM_SM_TABLE_1_0"/>
    </w:p>
    <w:tbl>
      <w:tblPr>
        <w:tblStyle w:val="638"/>
        <w:tblpPr w:leftFromText="180" w:rightFromText="180" w:vertAnchor="text" w:horzAnchor="page" w:tblpX="1900" w:tblpY="3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592"/>
        <w:gridCol w:w="4976"/>
        <w:gridCol w:w="948"/>
        <w:gridCol w:w="1001"/>
      </w:tblGrid>
      <w:tr w14:paraId="1A0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90F7744">
            <w:pPr>
              <w:rPr>
                <w:lang w:bidi="ar"/>
              </w:rPr>
            </w:pPr>
            <w:r>
              <w:rPr>
                <w:rFonts w:hint="eastAsia"/>
                <w:lang w:bidi="ar"/>
              </w:rPr>
              <w:t>序号</w:t>
            </w:r>
          </w:p>
        </w:tc>
        <w:tc>
          <w:tcPr>
            <w:tcW w:w="878"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5DD7103">
            <w:pPr>
              <w:rPr>
                <w:rFonts w:hint="eastAsia" w:eastAsia="宋体"/>
                <w:lang w:eastAsia="zh-CN" w:bidi="ar"/>
              </w:rPr>
            </w:pPr>
            <w:r>
              <w:rPr>
                <w:rFonts w:hint="eastAsia"/>
                <w:lang w:bidi="ar"/>
              </w:rPr>
              <w:t>评分类型</w:t>
            </w:r>
            <w:r>
              <w:rPr>
                <w:rFonts w:hint="eastAsia"/>
                <w:lang w:eastAsia="zh-CN" w:bidi="ar"/>
              </w:rPr>
              <w:t>（</w:t>
            </w:r>
            <w:r>
              <w:rPr>
                <w:rFonts w:hint="eastAsia"/>
                <w:lang w:val="en-US" w:eastAsia="zh-CN" w:bidi="ar"/>
              </w:rPr>
              <w:t>商务资信 / 技术</w:t>
            </w:r>
            <w:r>
              <w:rPr>
                <w:rFonts w:hint="eastAsia"/>
                <w:lang w:eastAsia="zh-CN" w:bidi="ar"/>
              </w:rPr>
              <w:t>）</w:t>
            </w:r>
          </w:p>
        </w:tc>
        <w:tc>
          <w:tcPr>
            <w:tcW w:w="274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683A5A2">
            <w:r>
              <w:rPr>
                <w:rFonts w:hint="eastAsia"/>
                <w:lang w:bidi="ar"/>
              </w:rPr>
              <w:t>评分细则</w:t>
            </w:r>
          </w:p>
        </w:tc>
        <w:tc>
          <w:tcPr>
            <w:tcW w:w="5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A25EE64">
            <w:pPr>
              <w:rPr>
                <w:lang w:bidi="ar"/>
              </w:rPr>
            </w:pPr>
            <w:r>
              <w:rPr>
                <w:rFonts w:hint="eastAsia"/>
                <w:lang w:bidi="ar"/>
              </w:rPr>
              <w:t>分值</w:t>
            </w:r>
          </w:p>
        </w:tc>
        <w:tc>
          <w:tcPr>
            <w:tcW w:w="55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0701DF">
            <w:pPr>
              <w:rPr>
                <w:lang w:bidi="ar"/>
              </w:rPr>
            </w:pPr>
            <w:r>
              <w:rPr>
                <w:rFonts w:hint="eastAsia"/>
                <w:lang w:bidi="ar"/>
              </w:rPr>
              <w:t>主</w:t>
            </w:r>
            <w:r>
              <w:rPr>
                <w:rFonts w:hint="eastAsia"/>
                <w:lang w:val="en-US" w:eastAsia="zh-CN" w:bidi="ar"/>
              </w:rPr>
              <w:t xml:space="preserve"> </w:t>
            </w:r>
            <w:r>
              <w:rPr>
                <w:rFonts w:hint="eastAsia"/>
                <w:lang w:bidi="ar"/>
              </w:rPr>
              <w:t>/</w:t>
            </w:r>
            <w:r>
              <w:rPr>
                <w:rFonts w:hint="eastAsia"/>
                <w:lang w:val="en-US" w:eastAsia="zh-CN" w:bidi="ar"/>
              </w:rPr>
              <w:t xml:space="preserve"> </w:t>
            </w:r>
            <w:r>
              <w:rPr>
                <w:rFonts w:hint="eastAsia"/>
                <w:lang w:bidi="ar"/>
              </w:rPr>
              <w:t>客观分属性</w:t>
            </w:r>
          </w:p>
        </w:tc>
      </w:tr>
      <w:tr w14:paraId="6C5B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0" w:type="pct"/>
            <w:tcBorders>
              <w:top w:val="single" w:color="auto" w:sz="4" w:space="0"/>
              <w:left w:val="single" w:color="auto" w:sz="4" w:space="0"/>
              <w:bottom w:val="single" w:color="auto" w:sz="4" w:space="0"/>
              <w:right w:val="single" w:color="auto" w:sz="4" w:space="0"/>
            </w:tcBorders>
            <w:vAlign w:val="center"/>
          </w:tcPr>
          <w:p w14:paraId="44612154">
            <w:pPr>
              <w:jc w:val="center"/>
            </w:pPr>
            <w:r>
              <w:rPr>
                <w:rFonts w:hint="eastAsia"/>
              </w:rPr>
              <w:t>1</w:t>
            </w:r>
          </w:p>
        </w:tc>
        <w:tc>
          <w:tcPr>
            <w:tcW w:w="878" w:type="pct"/>
            <w:tcBorders>
              <w:top w:val="single" w:color="auto" w:sz="4" w:space="0"/>
              <w:left w:val="single" w:color="auto" w:sz="4" w:space="0"/>
              <w:bottom w:val="single" w:color="auto" w:sz="4" w:space="0"/>
              <w:right w:val="single" w:color="auto" w:sz="4" w:space="0"/>
            </w:tcBorders>
            <w:vAlign w:val="center"/>
          </w:tcPr>
          <w:p w14:paraId="00113421">
            <w:pPr>
              <w:jc w:val="center"/>
              <w:rPr>
                <w:lang w:bidi="ar"/>
              </w:rPr>
            </w:pPr>
            <w:r>
              <w:rPr>
                <w:rFonts w:hint="eastAsia"/>
                <w:lang w:bidi="ar"/>
              </w:rPr>
              <w:t>价格评审</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7B61B920">
            <w:pPr>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满足招标文件要求且有效报价中的最低的投标报价为评标基准价，其价格分为满分。其他投标人的价格分统一按照下列公式计算：投标报价得分=（评标基准价/投标报价）×</w:t>
            </w:r>
            <w:r>
              <w:rPr>
                <w:rFonts w:ascii="Times New Roman" w:hAnsi="Times New Roman" w:eastAsia="宋体"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0。</w:t>
            </w:r>
          </w:p>
        </w:tc>
        <w:tc>
          <w:tcPr>
            <w:tcW w:w="523" w:type="pct"/>
            <w:tcBorders>
              <w:top w:val="single" w:color="auto" w:sz="4" w:space="0"/>
              <w:left w:val="single" w:color="auto" w:sz="4" w:space="0"/>
              <w:bottom w:val="single" w:color="auto" w:sz="4" w:space="0"/>
              <w:right w:val="single" w:color="auto" w:sz="4" w:space="0"/>
            </w:tcBorders>
            <w:vAlign w:val="center"/>
          </w:tcPr>
          <w:p w14:paraId="717D5802">
            <w:pPr>
              <w:jc w:val="center"/>
              <w:rPr>
                <w:rFonts w:hint="default" w:eastAsia="宋体"/>
                <w:lang w:val="en-US" w:eastAsia="zh-CN" w:bidi="ar"/>
              </w:rPr>
            </w:pPr>
            <w:r>
              <w:t>10</w:t>
            </w:r>
          </w:p>
        </w:tc>
        <w:tc>
          <w:tcPr>
            <w:tcW w:w="552" w:type="pct"/>
            <w:tcBorders>
              <w:top w:val="single" w:color="auto" w:sz="4" w:space="0"/>
              <w:left w:val="single" w:color="auto" w:sz="4" w:space="0"/>
              <w:bottom w:val="single" w:color="auto" w:sz="4" w:space="0"/>
              <w:right w:val="single" w:color="auto" w:sz="4" w:space="0"/>
            </w:tcBorders>
            <w:vAlign w:val="center"/>
          </w:tcPr>
          <w:p w14:paraId="48A9FA00">
            <w:pPr>
              <w:jc w:val="center"/>
              <w:rPr>
                <w:lang w:bidi="ar"/>
              </w:rPr>
            </w:pPr>
            <w:r>
              <w:rPr>
                <w:rFonts w:hint="eastAsia"/>
                <w:lang w:bidi="ar"/>
              </w:rPr>
              <w:t>/</w:t>
            </w:r>
          </w:p>
        </w:tc>
      </w:tr>
      <w:tr w14:paraId="75A9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00" w:type="pct"/>
            <w:tcBorders>
              <w:top w:val="single" w:color="auto" w:sz="4" w:space="0"/>
              <w:left w:val="single" w:color="auto" w:sz="4" w:space="0"/>
              <w:bottom w:val="single" w:color="auto" w:sz="4" w:space="0"/>
              <w:right w:val="single" w:color="auto" w:sz="4" w:space="0"/>
            </w:tcBorders>
            <w:vAlign w:val="center"/>
          </w:tcPr>
          <w:p w14:paraId="27955D30">
            <w:pPr>
              <w:jc w:val="center"/>
              <w:rPr>
                <w:rFonts w:hint="default" w:eastAsia="宋体"/>
                <w:lang w:val="en-US" w:eastAsia="zh-CN" w:bidi="ar"/>
              </w:rPr>
            </w:pPr>
            <w:r>
              <w:rPr>
                <w:rFonts w:hint="eastAsia"/>
                <w:lang w:val="en-US" w:eastAsia="zh-CN" w:bidi="ar"/>
              </w:rPr>
              <w:t>1</w:t>
            </w:r>
          </w:p>
        </w:tc>
        <w:tc>
          <w:tcPr>
            <w:tcW w:w="878" w:type="pct"/>
            <w:tcBorders>
              <w:top w:val="single" w:color="auto" w:sz="4" w:space="0"/>
              <w:left w:val="single" w:color="auto" w:sz="4" w:space="0"/>
              <w:bottom w:val="single" w:color="auto" w:sz="4" w:space="0"/>
              <w:right w:val="single" w:color="auto" w:sz="4" w:space="0"/>
            </w:tcBorders>
            <w:vAlign w:val="center"/>
          </w:tcPr>
          <w:p w14:paraId="091AB283">
            <w:pPr>
              <w:jc w:val="cente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2B4A46ED">
            <w:pPr>
              <w:jc w:val="left"/>
              <w:rPr>
                <w:rFonts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针对本项目需求，提出人员配备方案：</w:t>
            </w:r>
          </w:p>
          <w:p w14:paraId="3836212F">
            <w:pPr>
              <w:jc w:val="left"/>
              <w:rPr>
                <w:rFonts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管理团队：项目负责人1人，5年以上物业工作经验；（1分）</w:t>
            </w:r>
          </w:p>
          <w:p w14:paraId="018F1FC6">
            <w:pPr>
              <w:jc w:val="left"/>
              <w:rPr>
                <w:rFonts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项目主管</w:t>
            </w:r>
            <w:r>
              <w:rPr>
                <w:rFonts w:hint="eastAsia" w:cs="Times New Roman"/>
                <w:kern w:val="2"/>
                <w:sz w:val="21"/>
                <w:szCs w:val="24"/>
                <w:highlight w:val="none"/>
                <w:lang w:val="en-US" w:eastAsia="zh-CN" w:bidi="ar-SA"/>
              </w:rPr>
              <w:t>4</w:t>
            </w:r>
            <w:r>
              <w:rPr>
                <w:rFonts w:hint="eastAsia" w:ascii="Times New Roman" w:hAnsi="Times New Roman" w:eastAsia="宋体" w:cs="Times New Roman"/>
                <w:kern w:val="2"/>
                <w:sz w:val="21"/>
                <w:szCs w:val="24"/>
                <w:highlight w:val="none"/>
                <w:lang w:val="en-US" w:eastAsia="zh-CN" w:bidi="ar-SA"/>
              </w:rPr>
              <w:t>人（</w:t>
            </w:r>
            <w:r>
              <w:rPr>
                <w:rFonts w:hint="eastAsia" w:cs="Times New Roman"/>
                <w:kern w:val="2"/>
                <w:sz w:val="21"/>
                <w:szCs w:val="24"/>
                <w:highlight w:val="none"/>
                <w:lang w:val="en-US" w:eastAsia="zh-CN" w:bidi="ar-SA"/>
              </w:rPr>
              <w:t>不</w:t>
            </w:r>
            <w:r>
              <w:rPr>
                <w:rFonts w:hint="eastAsia" w:ascii="Times New Roman" w:hAnsi="Times New Roman" w:eastAsia="宋体" w:cs="Times New Roman"/>
                <w:kern w:val="2"/>
                <w:sz w:val="21"/>
                <w:szCs w:val="24"/>
                <w:highlight w:val="none"/>
                <w:lang w:val="en-US" w:eastAsia="zh-CN" w:bidi="ar-SA"/>
              </w:rPr>
              <w:t>含项目负责人），</w:t>
            </w:r>
            <w:r>
              <w:rPr>
                <w:rFonts w:hint="eastAsia" w:cs="Times New Roman"/>
                <w:kern w:val="2"/>
                <w:sz w:val="21"/>
                <w:szCs w:val="24"/>
                <w:highlight w:val="none"/>
                <w:lang w:val="en-US" w:eastAsia="zh-CN" w:bidi="ar-SA"/>
              </w:rPr>
              <w:t>均要求</w:t>
            </w:r>
            <w:r>
              <w:rPr>
                <w:rFonts w:hint="eastAsia" w:ascii="Times New Roman" w:hAnsi="Times New Roman" w:eastAsia="宋体" w:cs="Times New Roman"/>
                <w:kern w:val="2"/>
                <w:sz w:val="21"/>
                <w:szCs w:val="24"/>
                <w:highlight w:val="none"/>
                <w:lang w:val="en-US" w:eastAsia="zh-CN" w:bidi="ar-SA"/>
              </w:rPr>
              <w:t>3年以上工作经验。（</w:t>
            </w:r>
            <w:r>
              <w:rPr>
                <w:rFonts w:hint="eastAsia" w:cs="Times New Roman"/>
                <w:kern w:val="2"/>
                <w:sz w:val="21"/>
                <w:szCs w:val="24"/>
                <w:highlight w:val="none"/>
                <w:lang w:val="en-US" w:eastAsia="zh-CN" w:bidi="ar-SA"/>
              </w:rPr>
              <w:t>3</w:t>
            </w:r>
            <w:r>
              <w:rPr>
                <w:rFonts w:hint="eastAsia" w:ascii="Times New Roman" w:hAnsi="Times New Roman" w:eastAsia="宋体" w:cs="Times New Roman"/>
                <w:kern w:val="2"/>
                <w:sz w:val="21"/>
                <w:szCs w:val="24"/>
                <w:highlight w:val="none"/>
                <w:lang w:val="en-US" w:eastAsia="zh-CN" w:bidi="ar-SA"/>
              </w:rPr>
              <w:t>分）</w:t>
            </w:r>
          </w:p>
          <w:p w14:paraId="5DF8D320">
            <w:pPr>
              <w:jc w:val="left"/>
              <w:rPr>
                <w:rFonts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每增加1名3年以上工作经验</w:t>
            </w:r>
            <w:r>
              <w:rPr>
                <w:rFonts w:hint="eastAsia" w:cs="Times New Roman"/>
                <w:kern w:val="2"/>
                <w:sz w:val="21"/>
                <w:szCs w:val="24"/>
                <w:highlight w:val="none"/>
                <w:lang w:val="en-US" w:eastAsia="zh-CN" w:bidi="ar-SA"/>
              </w:rPr>
              <w:t>的</w:t>
            </w:r>
            <w:r>
              <w:rPr>
                <w:rFonts w:hint="eastAsia" w:ascii="Times New Roman" w:hAnsi="Times New Roman" w:eastAsia="宋体" w:cs="Times New Roman"/>
                <w:kern w:val="2"/>
                <w:sz w:val="21"/>
                <w:szCs w:val="24"/>
                <w:highlight w:val="none"/>
                <w:lang w:val="en-US" w:eastAsia="zh-CN" w:bidi="ar-SA"/>
              </w:rPr>
              <w:t>主管，得</w:t>
            </w:r>
            <w:r>
              <w:rPr>
                <w:rFonts w:hint="eastAsia"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分，最多得2分。</w:t>
            </w:r>
          </w:p>
          <w:p w14:paraId="5C68B575">
            <w:pPr>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2、根据物业服务内容、岗位设置、岗位职责和服务质量标准科学合理配置服务人员，充分满足各岗位和工作量的需求</w:t>
            </w:r>
            <w:r>
              <w:rPr>
                <w:rFonts w:hint="eastAsia" w:cs="Times New Roman"/>
                <w:kern w:val="2"/>
                <w:sz w:val="21"/>
                <w:szCs w:val="24"/>
                <w:highlight w:val="none"/>
                <w:lang w:val="en-US" w:eastAsia="zh-CN" w:bidi="ar-SA"/>
              </w:rPr>
              <w:t>（4分）：</w:t>
            </w:r>
          </w:p>
          <w:p w14:paraId="4E5E413E">
            <w:pPr>
              <w:jc w:val="left"/>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安保服务：人员配置不少于9人</w:t>
            </w:r>
            <w:r>
              <w:rPr>
                <w:rFonts w:hint="eastAsia" w:cs="Times New Roman"/>
                <w:kern w:val="2"/>
                <w:sz w:val="21"/>
                <w:szCs w:val="24"/>
                <w:highlight w:val="none"/>
                <w:lang w:val="en-US" w:eastAsia="zh-CN" w:bidi="ar-SA"/>
              </w:rPr>
              <w:t>，得1分。</w:t>
            </w:r>
          </w:p>
          <w:p w14:paraId="0E67E5B0">
            <w:pPr>
              <w:jc w:val="left"/>
              <w:rPr>
                <w:rFonts w:hint="eastAsia"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保洁服务：人员配置不少于6人</w:t>
            </w:r>
            <w:r>
              <w:rPr>
                <w:rFonts w:hint="eastAsia" w:cs="Times New Roman"/>
                <w:kern w:val="2"/>
                <w:sz w:val="21"/>
                <w:szCs w:val="24"/>
                <w:highlight w:val="none"/>
                <w:lang w:val="en-US" w:eastAsia="zh-CN" w:bidi="ar-SA"/>
              </w:rPr>
              <w:t>，得1分。</w:t>
            </w:r>
          </w:p>
          <w:p w14:paraId="42E9A57F">
            <w:pPr>
              <w:jc w:val="left"/>
              <w:rPr>
                <w:rFonts w:hint="eastAsia"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绿化管理维护服务：配备专职人员1人，具有4年以上绿化管理维护经验。各证明材料需提供复印件，原件备查</w:t>
            </w:r>
            <w:r>
              <w:rPr>
                <w:rFonts w:hint="eastAsia" w:cs="Times New Roman"/>
                <w:kern w:val="2"/>
                <w:sz w:val="21"/>
                <w:szCs w:val="24"/>
                <w:highlight w:val="none"/>
                <w:lang w:val="en-US" w:eastAsia="zh-CN" w:bidi="ar-SA"/>
              </w:rPr>
              <w:t>，得1分。</w:t>
            </w:r>
          </w:p>
          <w:p w14:paraId="68B49544">
            <w:pPr>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食堂运行管理服务：</w:t>
            </w:r>
            <w:r>
              <w:rPr>
                <w:rFonts w:hint="eastAsia" w:cs="Times New Roman"/>
                <w:kern w:val="2"/>
                <w:sz w:val="21"/>
                <w:szCs w:val="24"/>
                <w:highlight w:val="none"/>
                <w:lang w:val="en-US" w:eastAsia="zh-CN" w:bidi="ar-SA"/>
              </w:rPr>
              <w:t>按采购需求</w:t>
            </w:r>
            <w:r>
              <w:rPr>
                <w:rFonts w:hint="eastAsia" w:ascii="Times New Roman" w:hAnsi="Times New Roman" w:eastAsia="宋体" w:cs="Times New Roman"/>
                <w:kern w:val="2"/>
                <w:sz w:val="21"/>
                <w:szCs w:val="24"/>
                <w:highlight w:val="none"/>
                <w:lang w:val="en-US" w:eastAsia="zh-CN" w:bidi="ar-SA"/>
              </w:rPr>
              <w:t>配置</w:t>
            </w:r>
            <w:r>
              <w:rPr>
                <w:rFonts w:hint="eastAsia" w:cs="Times New Roman"/>
                <w:kern w:val="2"/>
                <w:sz w:val="21"/>
                <w:szCs w:val="24"/>
                <w:highlight w:val="none"/>
                <w:lang w:val="en-US" w:eastAsia="zh-CN" w:bidi="ar-SA"/>
              </w:rPr>
              <w:t>人员</w:t>
            </w:r>
            <w:r>
              <w:rPr>
                <w:rFonts w:hint="eastAsia" w:ascii="Times New Roman" w:hAnsi="Times New Roman" w:eastAsia="宋体" w:cs="Times New Roman"/>
                <w:kern w:val="2"/>
                <w:sz w:val="21"/>
                <w:szCs w:val="24"/>
                <w:highlight w:val="none"/>
                <w:lang w:val="en-US" w:eastAsia="zh-CN" w:bidi="ar-SA"/>
              </w:rPr>
              <w:t>14人</w:t>
            </w:r>
            <w:r>
              <w:rPr>
                <w:rFonts w:hint="eastAsia" w:cs="Times New Roman"/>
                <w:kern w:val="2"/>
                <w:sz w:val="21"/>
                <w:szCs w:val="24"/>
                <w:highlight w:val="none"/>
                <w:lang w:val="en-US" w:eastAsia="zh-CN" w:bidi="ar-SA"/>
              </w:rPr>
              <w:t>，得1分。</w:t>
            </w:r>
          </w:p>
          <w:p w14:paraId="5FEF15BF">
            <w:pPr>
              <w:jc w:val="left"/>
              <w:rPr>
                <w:rFonts w:hint="eastAsia" w:ascii="Times New Roman" w:hAnsi="Times New Roman" w:eastAsia="宋体" w:cs="Times New Roman"/>
                <w:kern w:val="2"/>
                <w:sz w:val="21"/>
                <w:szCs w:val="24"/>
                <w:highlight w:val="none"/>
                <w:lang w:val="en-US" w:eastAsia="zh-CN" w:bidi="ar-SA"/>
              </w:rPr>
            </w:pPr>
            <w:r>
              <w:rPr>
                <w:rFonts w:hint="eastAsia"/>
                <w:lang w:val="en-US" w:eastAsia="zh-CN"/>
              </w:rPr>
              <w:t>注：各项目服务人员配置须详细列出，管理团队人员在采购人处所办公时间不低于全年出勤率的</w:t>
            </w:r>
            <w:r>
              <w:rPr>
                <w:rFonts w:hint="eastAsia" w:ascii="Times New Roman" w:hAnsi="Times New Roman" w:eastAsia="宋体" w:cs="Times New Roman"/>
                <w:kern w:val="2"/>
                <w:sz w:val="21"/>
                <w:szCs w:val="24"/>
                <w:highlight w:val="none"/>
                <w:lang w:val="en-US" w:eastAsia="zh-CN" w:bidi="ar-SA"/>
              </w:rPr>
              <w:t>85%。</w:t>
            </w:r>
          </w:p>
          <w:p w14:paraId="04E89F8E">
            <w:pPr>
              <w:jc w:val="left"/>
              <w:rPr>
                <w:rFonts w:hint="default"/>
                <w:lang w:val="en-US" w:eastAsia="zh-CN"/>
              </w:rPr>
            </w:pPr>
            <w:r>
              <w:rPr>
                <w:rFonts w:hint="eastAsia" w:ascii="Times New Roman" w:hAnsi="Times New Roman" w:eastAsia="宋体" w:cs="Times New Roman"/>
                <w:kern w:val="2"/>
                <w:sz w:val="21"/>
                <w:szCs w:val="24"/>
                <w:highlight w:val="none"/>
                <w:lang w:val="en-US" w:eastAsia="zh-CN" w:bidi="ar-SA"/>
              </w:rPr>
              <w:t>管理团队人员</w:t>
            </w:r>
            <w:r>
              <w:rPr>
                <w:rFonts w:hint="default" w:ascii="Times New Roman" w:hAnsi="Times New Roman" w:eastAsia="宋体" w:cs="Times New Roman"/>
                <w:kern w:val="2"/>
                <w:sz w:val="21"/>
                <w:szCs w:val="24"/>
                <w:highlight w:val="none"/>
                <w:lang w:val="en-US" w:eastAsia="zh-CN" w:bidi="ar-SA"/>
              </w:rPr>
              <w:t>须为投标人正式员工，需提供在投标单位近6个月内任意一个月社保缴纳证明</w:t>
            </w:r>
            <w:r>
              <w:rPr>
                <w:rFonts w:hint="eastAsia" w:ascii="Times New Roman" w:hAnsi="Times New Roman" w:eastAsia="宋体" w:cs="Times New Roman"/>
                <w:kern w:val="2"/>
                <w:sz w:val="21"/>
                <w:szCs w:val="24"/>
                <w:highlight w:val="none"/>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7F00F0B">
            <w:pPr>
              <w:jc w:val="center"/>
              <w:rPr>
                <w:rFonts w:hint="default" w:eastAsia="宋体"/>
                <w:highlight w:val="yellow"/>
                <w:lang w:val="en-US" w:eastAsia="zh-CN" w:bidi="ar"/>
              </w:rPr>
            </w:pPr>
            <w:r>
              <w:rPr>
                <w:rFonts w:hint="eastAsia"/>
                <w:highlight w:val="none"/>
                <w:lang w:val="en-US" w:eastAsia="zh-CN" w:bidi="ar"/>
              </w:rPr>
              <w:t>10</w:t>
            </w:r>
          </w:p>
        </w:tc>
        <w:tc>
          <w:tcPr>
            <w:tcW w:w="552" w:type="pct"/>
            <w:tcBorders>
              <w:top w:val="single" w:color="auto" w:sz="4" w:space="0"/>
              <w:left w:val="single" w:color="auto" w:sz="4" w:space="0"/>
              <w:bottom w:val="single" w:color="auto" w:sz="4" w:space="0"/>
              <w:right w:val="single" w:color="auto" w:sz="4" w:space="0"/>
            </w:tcBorders>
            <w:vAlign w:val="center"/>
          </w:tcPr>
          <w:p w14:paraId="2B8D0015">
            <w:pPr>
              <w:jc w:val="center"/>
              <w:rPr>
                <w:lang w:bidi="ar"/>
              </w:rPr>
            </w:pPr>
            <w:r>
              <w:rPr>
                <w:rFonts w:hint="eastAsia"/>
                <w:lang w:val="en-US" w:eastAsia="zh-CN" w:bidi="ar"/>
              </w:rPr>
              <w:t>客观</w:t>
            </w:r>
          </w:p>
        </w:tc>
      </w:tr>
      <w:tr w14:paraId="05BA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00" w:type="pct"/>
            <w:tcBorders>
              <w:top w:val="single" w:color="auto" w:sz="4" w:space="0"/>
              <w:left w:val="single" w:color="auto" w:sz="4" w:space="0"/>
              <w:bottom w:val="single" w:color="auto" w:sz="4" w:space="0"/>
              <w:right w:val="single" w:color="auto" w:sz="4" w:space="0"/>
            </w:tcBorders>
            <w:vAlign w:val="center"/>
          </w:tcPr>
          <w:p w14:paraId="7C7B30EC">
            <w:pPr>
              <w:jc w:val="center"/>
              <w:rPr>
                <w:rFonts w:hint="default" w:eastAsia="宋体"/>
                <w:lang w:val="en-US" w:eastAsia="zh-CN" w:bidi="ar"/>
              </w:rPr>
            </w:pPr>
            <w:r>
              <w:rPr>
                <w:rFonts w:hint="eastAsia"/>
                <w:lang w:val="en-US" w:eastAsia="zh-CN" w:bidi="ar"/>
              </w:rPr>
              <w:t>2</w:t>
            </w:r>
          </w:p>
        </w:tc>
        <w:tc>
          <w:tcPr>
            <w:tcW w:w="878" w:type="pct"/>
            <w:tcBorders>
              <w:top w:val="single" w:color="auto" w:sz="4" w:space="0"/>
              <w:left w:val="single" w:color="auto" w:sz="4" w:space="0"/>
              <w:bottom w:val="single" w:color="auto" w:sz="4" w:space="0"/>
              <w:right w:val="single" w:color="auto" w:sz="4" w:space="0"/>
            </w:tcBorders>
            <w:vAlign w:val="center"/>
          </w:tcPr>
          <w:p w14:paraId="08C1287C">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6DFB24E6">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本项目物业使用特点提出合理的物业管理服务理念，提出服务定位、目标、投标人的管理模式能够切合实际，投标方案充分考虑用户的日常用途和需求，且安全可行。对本次物管服务内容的目标有较深入的理解和渗透</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1C851D9E">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3AD45695">
            <w:pPr>
              <w:jc w:val="center"/>
              <w:rPr>
                <w:lang w:bidi="ar"/>
              </w:rPr>
            </w:pPr>
            <w:r>
              <w:rPr>
                <w:rFonts w:hint="eastAsia"/>
                <w:lang w:val="en-US" w:eastAsia="zh-CN"/>
              </w:rPr>
              <w:t>主观</w:t>
            </w:r>
          </w:p>
        </w:tc>
      </w:tr>
      <w:tr w14:paraId="70AA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vAlign w:val="center"/>
          </w:tcPr>
          <w:p w14:paraId="7CA1CF9B">
            <w:pPr>
              <w:jc w:val="center"/>
              <w:rPr>
                <w:rFonts w:hint="default" w:eastAsia="宋体"/>
                <w:lang w:val="en-US" w:eastAsia="zh-CN" w:bidi="ar"/>
              </w:rPr>
            </w:pPr>
            <w:r>
              <w:rPr>
                <w:rFonts w:hint="eastAsia"/>
                <w:lang w:val="en-US" w:eastAsia="zh-CN" w:bidi="ar"/>
              </w:rPr>
              <w:t>3</w:t>
            </w:r>
          </w:p>
        </w:tc>
        <w:tc>
          <w:tcPr>
            <w:tcW w:w="878" w:type="pct"/>
            <w:tcBorders>
              <w:top w:val="single" w:color="auto" w:sz="4" w:space="0"/>
              <w:left w:val="single" w:color="auto" w:sz="4" w:space="0"/>
              <w:bottom w:val="single" w:color="auto" w:sz="4" w:space="0"/>
              <w:right w:val="single" w:color="auto" w:sz="4" w:space="0"/>
            </w:tcBorders>
            <w:vAlign w:val="center"/>
          </w:tcPr>
          <w:p w14:paraId="39CBEE3C">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30B192AE">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有比较完善的组织架构，清晰简练地列出主要管理流程，包括运作流程图、激励机制、监督机制、自我约束机制、信息反馈渠道及处理机制，管理指标</w:t>
            </w:r>
            <w:r>
              <w:rPr>
                <w:rFonts w:hint="eastAsia"/>
                <w:lang w:val="en-US" w:eastAsia="zh-CN"/>
              </w:rPr>
              <w:t>须</w:t>
            </w:r>
            <w:r>
              <w:rPr>
                <w:rFonts w:hint="eastAsia" w:ascii="Times New Roman" w:hAnsi="Times New Roman" w:eastAsia="宋体" w:cs="Times New Roman"/>
                <w:kern w:val="2"/>
                <w:sz w:val="21"/>
                <w:szCs w:val="24"/>
                <w:lang w:val="en-US" w:eastAsia="zh-CN" w:bidi="ar-SA"/>
              </w:rPr>
              <w:t>达到物业管理标准</w:t>
            </w:r>
            <w:r>
              <w:rPr>
                <w:rFonts w:hint="eastAsia" w:cs="Times New Roman"/>
                <w:kern w:val="2"/>
                <w:sz w:val="21"/>
                <w:szCs w:val="24"/>
                <w:lang w:val="en-US" w:eastAsia="zh-CN" w:bidi="ar-SA"/>
              </w:rPr>
              <w:t>，写出详细内容。评分范围</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44F692BB">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552" w:type="pct"/>
            <w:tcBorders>
              <w:top w:val="single" w:color="auto" w:sz="4" w:space="0"/>
              <w:left w:val="single" w:color="auto" w:sz="4" w:space="0"/>
              <w:bottom w:val="single" w:color="auto" w:sz="4" w:space="0"/>
              <w:right w:val="single" w:color="auto" w:sz="4" w:space="0"/>
            </w:tcBorders>
            <w:vAlign w:val="center"/>
          </w:tcPr>
          <w:p w14:paraId="74DB4D33">
            <w:pPr>
              <w:jc w:val="center"/>
              <w:rPr>
                <w:lang w:bidi="ar"/>
              </w:rPr>
            </w:pPr>
            <w:r>
              <w:rPr>
                <w:rFonts w:hint="eastAsia"/>
                <w:lang w:val="en-US" w:eastAsia="zh-CN"/>
              </w:rPr>
              <w:t>主观</w:t>
            </w:r>
          </w:p>
        </w:tc>
      </w:tr>
      <w:tr w14:paraId="39D8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00" w:type="pct"/>
            <w:tcBorders>
              <w:top w:val="single" w:color="auto" w:sz="4" w:space="0"/>
              <w:left w:val="single" w:color="auto" w:sz="4" w:space="0"/>
              <w:bottom w:val="single" w:color="auto" w:sz="4" w:space="0"/>
              <w:right w:val="single" w:color="auto" w:sz="4" w:space="0"/>
            </w:tcBorders>
            <w:vAlign w:val="center"/>
          </w:tcPr>
          <w:p w14:paraId="3A6FAEA2">
            <w:pPr>
              <w:jc w:val="center"/>
              <w:rPr>
                <w:rFonts w:hint="default" w:eastAsia="宋体"/>
                <w:lang w:val="en-US" w:eastAsia="zh-CN" w:bidi="ar"/>
              </w:rPr>
            </w:pPr>
            <w:r>
              <w:rPr>
                <w:rFonts w:hint="eastAsia"/>
                <w:lang w:val="en-US" w:eastAsia="zh-CN" w:bidi="ar"/>
              </w:rPr>
              <w:t>4</w:t>
            </w:r>
          </w:p>
        </w:tc>
        <w:tc>
          <w:tcPr>
            <w:tcW w:w="878" w:type="pct"/>
            <w:tcBorders>
              <w:top w:val="single" w:color="auto" w:sz="4" w:space="0"/>
              <w:left w:val="single" w:color="auto" w:sz="4" w:space="0"/>
              <w:bottom w:val="single" w:color="auto" w:sz="4" w:space="0"/>
              <w:right w:val="single" w:color="auto" w:sz="4" w:space="0"/>
            </w:tcBorders>
            <w:vAlign w:val="center"/>
          </w:tcPr>
          <w:p w14:paraId="0B23BFC2">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7EBC9ED5">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有完善的物业管理制度、作业流程及物业管理工作计划及实施时间，并建立和完善档案管理制度、物业管理制度及其配套设施权属清册等，体现标准化服务。</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072B1DE1">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552" w:type="pct"/>
            <w:tcBorders>
              <w:top w:val="single" w:color="auto" w:sz="4" w:space="0"/>
              <w:left w:val="single" w:color="auto" w:sz="4" w:space="0"/>
              <w:bottom w:val="single" w:color="auto" w:sz="4" w:space="0"/>
              <w:right w:val="single" w:color="auto" w:sz="4" w:space="0"/>
            </w:tcBorders>
            <w:vAlign w:val="center"/>
          </w:tcPr>
          <w:p w14:paraId="12B700C0">
            <w:pPr>
              <w:jc w:val="center"/>
              <w:rPr>
                <w:lang w:bidi="ar"/>
              </w:rPr>
            </w:pPr>
            <w:r>
              <w:rPr>
                <w:rFonts w:hint="eastAsia"/>
                <w:lang w:val="en-US" w:eastAsia="zh-CN"/>
              </w:rPr>
              <w:t>主观</w:t>
            </w:r>
          </w:p>
        </w:tc>
      </w:tr>
      <w:tr w14:paraId="14D9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00" w:type="pct"/>
            <w:tcBorders>
              <w:top w:val="single" w:color="auto" w:sz="4" w:space="0"/>
              <w:left w:val="single" w:color="auto" w:sz="4" w:space="0"/>
              <w:bottom w:val="single" w:color="auto" w:sz="4" w:space="0"/>
              <w:right w:val="single" w:color="auto" w:sz="4" w:space="0"/>
            </w:tcBorders>
            <w:vAlign w:val="center"/>
          </w:tcPr>
          <w:p w14:paraId="257C7668">
            <w:pPr>
              <w:jc w:val="center"/>
              <w:rPr>
                <w:rFonts w:hint="default" w:eastAsia="宋体"/>
                <w:lang w:val="en-US" w:eastAsia="zh-CN" w:bidi="ar"/>
              </w:rPr>
            </w:pPr>
            <w:r>
              <w:rPr>
                <w:rFonts w:hint="eastAsia"/>
                <w:lang w:val="en-US" w:eastAsia="zh-CN" w:bidi="ar"/>
              </w:rPr>
              <w:t>5</w:t>
            </w:r>
          </w:p>
        </w:tc>
        <w:tc>
          <w:tcPr>
            <w:tcW w:w="878" w:type="pct"/>
            <w:tcBorders>
              <w:top w:val="single" w:color="auto" w:sz="4" w:space="0"/>
              <w:left w:val="single" w:color="auto" w:sz="4" w:space="0"/>
              <w:bottom w:val="single" w:color="auto" w:sz="4" w:space="0"/>
              <w:right w:val="single" w:color="auto" w:sz="4" w:space="0"/>
            </w:tcBorders>
            <w:vAlign w:val="center"/>
          </w:tcPr>
          <w:p w14:paraId="12676954">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2B71FF26">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房屋及设施日常养护维修方案。包括办公楼（区）房屋地面、墙台面及吊顶、门窗、楼梯、通风道等的日常巡查和养护维修；服务质量标准是否符合采购需求。</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478EE63B">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69BD895D">
            <w:pPr>
              <w:jc w:val="center"/>
              <w:rPr>
                <w:lang w:bidi="ar"/>
              </w:rPr>
            </w:pPr>
            <w:r>
              <w:rPr>
                <w:rFonts w:hint="eastAsia"/>
                <w:lang w:val="en-US" w:eastAsia="zh-CN"/>
              </w:rPr>
              <w:t>主观</w:t>
            </w:r>
          </w:p>
        </w:tc>
      </w:tr>
      <w:tr w14:paraId="616E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00" w:type="pct"/>
            <w:tcBorders>
              <w:top w:val="single" w:color="auto" w:sz="4" w:space="0"/>
              <w:left w:val="single" w:color="auto" w:sz="4" w:space="0"/>
              <w:bottom w:val="single" w:color="auto" w:sz="4" w:space="0"/>
              <w:right w:val="single" w:color="auto" w:sz="4" w:space="0"/>
            </w:tcBorders>
            <w:vAlign w:val="center"/>
          </w:tcPr>
          <w:p w14:paraId="6A2334F6">
            <w:pPr>
              <w:jc w:val="center"/>
              <w:rPr>
                <w:rFonts w:hint="default" w:eastAsia="宋体"/>
                <w:lang w:val="en-US" w:eastAsia="zh-CN" w:bidi="ar"/>
              </w:rPr>
            </w:pPr>
            <w:r>
              <w:rPr>
                <w:rFonts w:hint="eastAsia"/>
                <w:lang w:val="en-US" w:eastAsia="zh-CN" w:bidi="ar"/>
              </w:rPr>
              <w:t>6</w:t>
            </w:r>
          </w:p>
        </w:tc>
        <w:tc>
          <w:tcPr>
            <w:tcW w:w="878" w:type="pct"/>
            <w:tcBorders>
              <w:top w:val="single" w:color="auto" w:sz="4" w:space="0"/>
              <w:left w:val="single" w:color="auto" w:sz="4" w:space="0"/>
              <w:bottom w:val="single" w:color="auto" w:sz="4" w:space="0"/>
              <w:right w:val="single" w:color="auto" w:sz="4" w:space="0"/>
            </w:tcBorders>
            <w:vAlign w:val="center"/>
          </w:tcPr>
          <w:p w14:paraId="15F5ECAD">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6D4C0228">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设施设备运行及维护方案。包括对办公楼（区）室内外给排水系统的设备、设施、如水、水箱、气压给水装置、水处理设备、消火栓、管道、管件、阀门、水嘴、卫生洁具、排水管、透气管、水封设备、室外排水管及附属构筑物等进行日常养护维修，保持正常运行；对办公楼（区）供电系统高、低压电器设备、电线电缆、电气照明装置等设备进行日常管理和维修，保持正常运行集中空调系统的运行管理、风机盘管、热交换器、管道系统、各种阀类、采气装置、各类风口、自动控制系统等设备的日常养护维修；电梯管理方案及故障时的应急措施；服务质量标准是否符合采购需求。</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82F9E90">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6921ED2A">
            <w:pPr>
              <w:jc w:val="center"/>
              <w:rPr>
                <w:rFonts w:hint="default" w:eastAsia="宋体"/>
                <w:lang w:val="en-US" w:eastAsia="zh-CN" w:bidi="ar"/>
              </w:rPr>
            </w:pPr>
            <w:r>
              <w:rPr>
                <w:rFonts w:hint="eastAsia"/>
                <w:lang w:val="en-US" w:eastAsia="zh-CN" w:bidi="ar"/>
              </w:rPr>
              <w:t>主观</w:t>
            </w:r>
          </w:p>
        </w:tc>
      </w:tr>
      <w:tr w14:paraId="3E77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00" w:type="pct"/>
            <w:tcBorders>
              <w:top w:val="single" w:color="auto" w:sz="4" w:space="0"/>
              <w:left w:val="single" w:color="auto" w:sz="4" w:space="0"/>
              <w:bottom w:val="single" w:color="auto" w:sz="4" w:space="0"/>
              <w:right w:val="single" w:color="auto" w:sz="4" w:space="0"/>
            </w:tcBorders>
            <w:vAlign w:val="center"/>
          </w:tcPr>
          <w:p w14:paraId="69C5BF23">
            <w:pPr>
              <w:jc w:val="center"/>
              <w:rPr>
                <w:rFonts w:hint="default" w:eastAsia="宋体"/>
                <w:lang w:val="en-US" w:eastAsia="zh-CN" w:bidi="ar"/>
              </w:rPr>
            </w:pPr>
            <w:r>
              <w:rPr>
                <w:rFonts w:hint="eastAsia"/>
                <w:lang w:val="en-US" w:eastAsia="zh-CN" w:bidi="ar"/>
              </w:rPr>
              <w:t>7</w:t>
            </w:r>
          </w:p>
        </w:tc>
        <w:tc>
          <w:tcPr>
            <w:tcW w:w="878" w:type="pct"/>
            <w:tcBorders>
              <w:top w:val="single" w:color="auto" w:sz="4" w:space="0"/>
              <w:left w:val="single" w:color="auto" w:sz="4" w:space="0"/>
              <w:bottom w:val="single" w:color="auto" w:sz="4" w:space="0"/>
              <w:right w:val="single" w:color="auto" w:sz="4" w:space="0"/>
            </w:tcBorders>
            <w:vAlign w:val="center"/>
          </w:tcPr>
          <w:p w14:paraId="457C4235">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1ADE753E">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物业管理区域内绿化管理方案。包括绿化养护、绿植摆放采购方特殊需求，服务质量标准是否符合采购需求。</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85EA14D">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318C6852">
            <w:pPr>
              <w:jc w:val="center"/>
              <w:rPr>
                <w:lang w:bidi="ar"/>
              </w:rPr>
            </w:pPr>
            <w:r>
              <w:rPr>
                <w:rFonts w:hint="eastAsia"/>
                <w:lang w:val="en-US" w:eastAsia="zh-CN" w:bidi="ar"/>
              </w:rPr>
              <w:t>主观</w:t>
            </w:r>
          </w:p>
        </w:tc>
      </w:tr>
      <w:tr w14:paraId="718D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00" w:type="pct"/>
            <w:tcBorders>
              <w:top w:val="single" w:color="auto" w:sz="4" w:space="0"/>
              <w:left w:val="single" w:color="auto" w:sz="4" w:space="0"/>
              <w:bottom w:val="single" w:color="auto" w:sz="4" w:space="0"/>
              <w:right w:val="single" w:color="auto" w:sz="4" w:space="0"/>
            </w:tcBorders>
            <w:vAlign w:val="center"/>
          </w:tcPr>
          <w:p w14:paraId="23CF5638">
            <w:pPr>
              <w:jc w:val="center"/>
              <w:rPr>
                <w:rFonts w:hint="default" w:eastAsia="宋体"/>
                <w:lang w:val="en-US" w:eastAsia="zh-CN" w:bidi="ar"/>
              </w:rPr>
            </w:pPr>
            <w:r>
              <w:rPr>
                <w:rFonts w:hint="eastAsia"/>
                <w:lang w:val="en-US" w:eastAsia="zh-CN" w:bidi="ar"/>
              </w:rPr>
              <w:t>8</w:t>
            </w:r>
          </w:p>
        </w:tc>
        <w:tc>
          <w:tcPr>
            <w:tcW w:w="878" w:type="pct"/>
            <w:tcBorders>
              <w:top w:val="single" w:color="auto" w:sz="4" w:space="0"/>
              <w:left w:val="single" w:color="auto" w:sz="4" w:space="0"/>
              <w:bottom w:val="single" w:color="auto" w:sz="4" w:space="0"/>
              <w:right w:val="single" w:color="auto" w:sz="4" w:space="0"/>
            </w:tcBorders>
            <w:vAlign w:val="center"/>
          </w:tcPr>
          <w:p w14:paraId="71E9B8CF">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2B2E5F66">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安保服务方案。包括值班及安保巡查；消控、监控室值班及设施管理；车辆管理；各入口门禁管理；各楼层安全管理；消防管理；突发事件及安全事故处理。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151CC3A5">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5706618E">
            <w:pPr>
              <w:jc w:val="center"/>
              <w:rPr>
                <w:lang w:bidi="ar"/>
              </w:rPr>
            </w:pPr>
            <w:r>
              <w:rPr>
                <w:rFonts w:hint="eastAsia"/>
                <w:lang w:val="en-US" w:eastAsia="zh-CN"/>
              </w:rPr>
              <w:t>主观</w:t>
            </w:r>
          </w:p>
        </w:tc>
      </w:tr>
      <w:tr w14:paraId="3E80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0" w:type="pct"/>
            <w:tcBorders>
              <w:top w:val="single" w:color="auto" w:sz="4" w:space="0"/>
              <w:left w:val="single" w:color="auto" w:sz="4" w:space="0"/>
              <w:bottom w:val="single" w:color="auto" w:sz="4" w:space="0"/>
              <w:right w:val="single" w:color="auto" w:sz="4" w:space="0"/>
            </w:tcBorders>
            <w:vAlign w:val="center"/>
          </w:tcPr>
          <w:p w14:paraId="7BC60C13">
            <w:pPr>
              <w:jc w:val="center"/>
              <w:rPr>
                <w:rFonts w:hint="default" w:eastAsia="宋体"/>
                <w:lang w:val="en-US" w:eastAsia="zh-CN" w:bidi="ar"/>
              </w:rPr>
            </w:pPr>
            <w:r>
              <w:rPr>
                <w:rFonts w:hint="eastAsia"/>
                <w:lang w:val="en-US" w:eastAsia="zh-CN" w:bidi="ar"/>
              </w:rPr>
              <w:t>9</w:t>
            </w:r>
          </w:p>
        </w:tc>
        <w:tc>
          <w:tcPr>
            <w:tcW w:w="878" w:type="pct"/>
            <w:tcBorders>
              <w:top w:val="single" w:color="auto" w:sz="4" w:space="0"/>
              <w:left w:val="single" w:color="auto" w:sz="4" w:space="0"/>
              <w:bottom w:val="single" w:color="auto" w:sz="4" w:space="0"/>
              <w:right w:val="single" w:color="auto" w:sz="4" w:space="0"/>
            </w:tcBorders>
            <w:vAlign w:val="center"/>
          </w:tcPr>
          <w:p w14:paraId="64D1A13B">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260A7CFE">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保洁服务方案。包括大楼室内地面、墙面、天花板、会议室、大堂、电梯、洗手间、楼梯、窗户玻璃等办公区域、公共区域及公共设施的日常保洁；室外地面、路面、绿化带、停车场、垃圾房等所有公共场地及设施和“门前三包”区域的日常保洁保养；垃圾分类管理、废弃物清理；④“消灭四害”处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2E50CBB7">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1FB36179">
            <w:pPr>
              <w:jc w:val="center"/>
              <w:rPr>
                <w:lang w:bidi="ar"/>
              </w:rPr>
            </w:pPr>
            <w:r>
              <w:rPr>
                <w:rFonts w:hint="eastAsia"/>
                <w:lang w:val="en-US" w:eastAsia="zh-CN"/>
              </w:rPr>
              <w:t>主观</w:t>
            </w:r>
          </w:p>
        </w:tc>
      </w:tr>
      <w:tr w14:paraId="4433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0" w:type="pct"/>
            <w:tcBorders>
              <w:top w:val="single" w:color="auto" w:sz="4" w:space="0"/>
              <w:left w:val="single" w:color="auto" w:sz="4" w:space="0"/>
              <w:bottom w:val="single" w:color="auto" w:sz="4" w:space="0"/>
              <w:right w:val="single" w:color="auto" w:sz="4" w:space="0"/>
            </w:tcBorders>
            <w:vAlign w:val="center"/>
          </w:tcPr>
          <w:p w14:paraId="44709B74">
            <w:pPr>
              <w:jc w:val="center"/>
              <w:rPr>
                <w:rFonts w:hint="default"/>
                <w:lang w:val="en-US" w:eastAsia="zh-CN" w:bidi="ar"/>
              </w:rPr>
            </w:pPr>
            <w:r>
              <w:rPr>
                <w:rFonts w:hint="eastAsia"/>
                <w:lang w:val="en-US" w:eastAsia="zh-CN" w:bidi="ar"/>
              </w:rPr>
              <w:t>10</w:t>
            </w:r>
          </w:p>
        </w:tc>
        <w:tc>
          <w:tcPr>
            <w:tcW w:w="878" w:type="pct"/>
            <w:tcBorders>
              <w:top w:val="single" w:color="auto" w:sz="4" w:space="0"/>
              <w:left w:val="single" w:color="auto" w:sz="4" w:space="0"/>
              <w:bottom w:val="single" w:color="auto" w:sz="4" w:space="0"/>
              <w:right w:val="single" w:color="auto" w:sz="4" w:space="0"/>
            </w:tcBorders>
            <w:vAlign w:val="center"/>
          </w:tcPr>
          <w:p w14:paraId="5EDB2C68">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6E3F9AB5">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食堂运行管理及服务方案。包括：食堂食材采购；食堂餐饮安全；食堂餐饮服务（餐厅、包厢）；食堂小超市服务；信息化管理。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5705B4AE">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43568069">
            <w:pPr>
              <w:jc w:val="center"/>
              <w:rPr>
                <w:lang w:bidi="ar"/>
              </w:rPr>
            </w:pPr>
            <w:r>
              <w:rPr>
                <w:rFonts w:hint="eastAsia"/>
                <w:lang w:val="en-US" w:eastAsia="zh-CN"/>
              </w:rPr>
              <w:t>主观</w:t>
            </w:r>
          </w:p>
        </w:tc>
      </w:tr>
      <w:tr w14:paraId="2B96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00" w:type="pct"/>
            <w:tcBorders>
              <w:top w:val="single" w:color="auto" w:sz="4" w:space="0"/>
              <w:left w:val="single" w:color="auto" w:sz="4" w:space="0"/>
              <w:bottom w:val="single" w:color="auto" w:sz="4" w:space="0"/>
              <w:right w:val="single" w:color="auto" w:sz="4" w:space="0"/>
            </w:tcBorders>
            <w:vAlign w:val="center"/>
          </w:tcPr>
          <w:p w14:paraId="1C77BEFA">
            <w:pPr>
              <w:jc w:val="center"/>
              <w:rPr>
                <w:rFonts w:hint="default" w:eastAsia="宋体"/>
                <w:lang w:val="en-US" w:eastAsia="zh-CN" w:bidi="ar"/>
              </w:rPr>
            </w:pPr>
            <w:r>
              <w:rPr>
                <w:rFonts w:hint="eastAsia"/>
                <w:lang w:val="en-US" w:eastAsia="zh-CN" w:bidi="ar"/>
              </w:rPr>
              <w:t>11</w:t>
            </w:r>
          </w:p>
        </w:tc>
        <w:tc>
          <w:tcPr>
            <w:tcW w:w="878" w:type="pct"/>
            <w:tcBorders>
              <w:top w:val="single" w:color="auto" w:sz="4" w:space="0"/>
              <w:left w:val="single" w:color="auto" w:sz="4" w:space="0"/>
              <w:bottom w:val="single" w:color="auto" w:sz="4" w:space="0"/>
              <w:right w:val="single" w:color="auto" w:sz="4" w:space="0"/>
            </w:tcBorders>
            <w:vAlign w:val="center"/>
          </w:tcPr>
          <w:p w14:paraId="1BD2146E">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93015BB">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会议服务方案。包括服务人员、会前布置、会中服务、会后整理，制定完备的会务服务工作流程。</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11419FE">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26D20683">
            <w:pPr>
              <w:jc w:val="center"/>
              <w:rPr>
                <w:lang w:bidi="ar"/>
              </w:rPr>
            </w:pPr>
            <w:r>
              <w:rPr>
                <w:rFonts w:hint="eastAsia"/>
                <w:lang w:val="en-US" w:eastAsia="zh-CN"/>
              </w:rPr>
              <w:t>主观</w:t>
            </w:r>
          </w:p>
        </w:tc>
      </w:tr>
      <w:tr w14:paraId="296C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00" w:type="pct"/>
            <w:tcBorders>
              <w:top w:val="single" w:color="auto" w:sz="4" w:space="0"/>
              <w:left w:val="single" w:color="auto" w:sz="4" w:space="0"/>
              <w:bottom w:val="single" w:color="auto" w:sz="4" w:space="0"/>
              <w:right w:val="single" w:color="auto" w:sz="4" w:space="0"/>
            </w:tcBorders>
            <w:vAlign w:val="center"/>
          </w:tcPr>
          <w:p w14:paraId="251BC8D5">
            <w:pPr>
              <w:jc w:val="center"/>
              <w:rPr>
                <w:rFonts w:hint="default" w:eastAsia="宋体"/>
                <w:lang w:val="en-US" w:eastAsia="zh-CN" w:bidi="ar"/>
              </w:rPr>
            </w:pPr>
            <w:r>
              <w:rPr>
                <w:rFonts w:hint="eastAsia"/>
                <w:lang w:val="en-US" w:eastAsia="zh-CN" w:bidi="ar"/>
              </w:rPr>
              <w:t>12</w:t>
            </w:r>
          </w:p>
        </w:tc>
        <w:tc>
          <w:tcPr>
            <w:tcW w:w="878" w:type="pct"/>
            <w:tcBorders>
              <w:top w:val="single" w:color="auto" w:sz="4" w:space="0"/>
              <w:left w:val="single" w:color="auto" w:sz="4" w:space="0"/>
              <w:bottom w:val="single" w:color="auto" w:sz="4" w:space="0"/>
              <w:right w:val="single" w:color="auto" w:sz="4" w:space="0"/>
            </w:tcBorders>
            <w:vAlign w:val="center"/>
          </w:tcPr>
          <w:p w14:paraId="0963A6C7">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7A947133">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针对服务人员的培训方案，包括岗前培训、日常培训响应方案。根据方案的可行性、与项目的匹配性进行评分。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63E498EE">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4C18B6DA">
            <w:pPr>
              <w:jc w:val="center"/>
              <w:rPr>
                <w:lang w:bidi="ar"/>
              </w:rPr>
            </w:pPr>
            <w:r>
              <w:rPr>
                <w:rFonts w:hint="eastAsia"/>
                <w:lang w:val="en-US" w:eastAsia="zh-CN"/>
              </w:rPr>
              <w:t>主观</w:t>
            </w:r>
          </w:p>
        </w:tc>
      </w:tr>
      <w:tr w14:paraId="57B1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00" w:type="pct"/>
            <w:tcBorders>
              <w:top w:val="single" w:color="auto" w:sz="4" w:space="0"/>
              <w:left w:val="single" w:color="auto" w:sz="4" w:space="0"/>
              <w:bottom w:val="single" w:color="auto" w:sz="4" w:space="0"/>
              <w:right w:val="single" w:color="auto" w:sz="4" w:space="0"/>
            </w:tcBorders>
            <w:vAlign w:val="center"/>
          </w:tcPr>
          <w:p w14:paraId="580DF209">
            <w:pPr>
              <w:jc w:val="center"/>
              <w:rPr>
                <w:rFonts w:hint="default"/>
                <w:lang w:val="en-US" w:eastAsia="zh-CN" w:bidi="ar"/>
              </w:rPr>
            </w:pPr>
            <w:r>
              <w:rPr>
                <w:rFonts w:hint="eastAsia"/>
                <w:lang w:val="en-US" w:eastAsia="zh-CN" w:bidi="ar"/>
              </w:rPr>
              <w:t>13</w:t>
            </w:r>
          </w:p>
        </w:tc>
        <w:tc>
          <w:tcPr>
            <w:tcW w:w="878" w:type="pct"/>
            <w:tcBorders>
              <w:top w:val="single" w:color="auto" w:sz="4" w:space="0"/>
              <w:left w:val="single" w:color="auto" w:sz="4" w:space="0"/>
              <w:bottom w:val="single" w:color="auto" w:sz="4" w:space="0"/>
              <w:right w:val="single" w:color="auto" w:sz="4" w:space="0"/>
            </w:tcBorders>
            <w:vAlign w:val="center"/>
          </w:tcPr>
          <w:p w14:paraId="53EF30C9">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7FB50E8">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提供防止人员意外情况或重大过失的预防方案。根据方案的全面性、针对性以及符合采购需求情况等进行打分。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17B6C2D7">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24B988F3">
            <w:pPr>
              <w:jc w:val="center"/>
              <w:rPr>
                <w:lang w:bidi="ar"/>
              </w:rPr>
            </w:pPr>
            <w:r>
              <w:rPr>
                <w:rFonts w:hint="eastAsia"/>
                <w:lang w:val="en-US" w:eastAsia="zh-CN"/>
              </w:rPr>
              <w:t>主观</w:t>
            </w:r>
          </w:p>
        </w:tc>
      </w:tr>
      <w:tr w14:paraId="0D00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00" w:type="pct"/>
            <w:tcBorders>
              <w:top w:val="single" w:color="auto" w:sz="4" w:space="0"/>
              <w:left w:val="single" w:color="auto" w:sz="4" w:space="0"/>
              <w:bottom w:val="single" w:color="auto" w:sz="4" w:space="0"/>
              <w:right w:val="single" w:color="auto" w:sz="4" w:space="0"/>
            </w:tcBorders>
            <w:vAlign w:val="center"/>
          </w:tcPr>
          <w:p w14:paraId="67340E1A">
            <w:pPr>
              <w:jc w:val="center"/>
              <w:rPr>
                <w:rFonts w:hint="default"/>
                <w:lang w:val="en-US" w:eastAsia="zh-CN" w:bidi="ar"/>
              </w:rPr>
            </w:pPr>
            <w:r>
              <w:rPr>
                <w:rFonts w:hint="eastAsia"/>
                <w:lang w:val="en-US" w:eastAsia="zh-CN" w:bidi="ar"/>
              </w:rPr>
              <w:t>14</w:t>
            </w:r>
          </w:p>
        </w:tc>
        <w:tc>
          <w:tcPr>
            <w:tcW w:w="878" w:type="pct"/>
            <w:tcBorders>
              <w:top w:val="single" w:color="auto" w:sz="4" w:space="0"/>
              <w:left w:val="single" w:color="auto" w:sz="4" w:space="0"/>
              <w:bottom w:val="single" w:color="auto" w:sz="4" w:space="0"/>
              <w:right w:val="single" w:color="auto" w:sz="4" w:space="0"/>
            </w:tcBorders>
            <w:vAlign w:val="center"/>
          </w:tcPr>
          <w:p w14:paraId="64F50DBD">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A64273E">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人员稳定性保障方案。根据方案的全面性、针对性以及符合采购需求情况等进行打分。</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A56D87B">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349626E8">
            <w:pPr>
              <w:jc w:val="center"/>
              <w:rPr>
                <w:lang w:bidi="ar"/>
              </w:rPr>
            </w:pPr>
            <w:r>
              <w:rPr>
                <w:rFonts w:hint="eastAsia"/>
                <w:lang w:val="en-US" w:eastAsia="zh-CN"/>
              </w:rPr>
              <w:t>主观</w:t>
            </w:r>
          </w:p>
        </w:tc>
      </w:tr>
      <w:tr w14:paraId="4587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00" w:type="pct"/>
            <w:tcBorders>
              <w:top w:val="single" w:color="auto" w:sz="4" w:space="0"/>
              <w:left w:val="single" w:color="auto" w:sz="4" w:space="0"/>
              <w:bottom w:val="single" w:color="auto" w:sz="4" w:space="0"/>
              <w:right w:val="single" w:color="auto" w:sz="4" w:space="0"/>
            </w:tcBorders>
            <w:vAlign w:val="center"/>
          </w:tcPr>
          <w:p w14:paraId="32B08914">
            <w:pPr>
              <w:jc w:val="center"/>
              <w:rPr>
                <w:rFonts w:hint="default"/>
                <w:lang w:val="en-US" w:eastAsia="zh-CN" w:bidi="ar"/>
              </w:rPr>
            </w:pPr>
            <w:r>
              <w:rPr>
                <w:rFonts w:hint="eastAsia"/>
                <w:lang w:val="en-US" w:eastAsia="zh-CN" w:bidi="ar"/>
              </w:rPr>
              <w:t>15</w:t>
            </w:r>
          </w:p>
        </w:tc>
        <w:tc>
          <w:tcPr>
            <w:tcW w:w="878" w:type="pct"/>
            <w:tcBorders>
              <w:top w:val="single" w:color="auto" w:sz="4" w:space="0"/>
              <w:left w:val="single" w:color="auto" w:sz="4" w:space="0"/>
              <w:bottom w:val="single" w:color="auto" w:sz="4" w:space="0"/>
              <w:right w:val="single" w:color="auto" w:sz="4" w:space="0"/>
            </w:tcBorders>
            <w:vAlign w:val="center"/>
          </w:tcPr>
          <w:p w14:paraId="67E32D11">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5BE67F6">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综合考量各方案、措施的全面性、科学性合理性打分：</w:t>
            </w:r>
          </w:p>
          <w:p w14:paraId="11D2B5C1">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1、对物业突发事件（包括疫情防控、发生台风、暴雨等灾害性天气及其他突发事件；针对防台防汛有应急工作指引）时的应急预案及相应的措施；</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p w14:paraId="106F1F4B">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2、对智能化设施（如监控设备、办公楼（区）供电系统、电气照明装置等公共设施）的日常管理和应急维修方案等；</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p w14:paraId="114DF96F">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3、消防及安全突发事件应急处理预案（包括火灾、盗窃、抢劫、高空坠物、易燃易爆品处理及安全突发事件）；</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p w14:paraId="05EFE1C9">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4、突然断水、断电、断气的应急措施，排水设施阻塞的应急措施，雨、污水管及排水管网阻塞的应急措施；</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p w14:paraId="18BB2E6E">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5、对其他突发事件的应急措施。</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74CB3CE3">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w:t>
            </w:r>
          </w:p>
        </w:tc>
        <w:tc>
          <w:tcPr>
            <w:tcW w:w="552" w:type="pct"/>
            <w:tcBorders>
              <w:top w:val="single" w:color="auto" w:sz="4" w:space="0"/>
              <w:left w:val="single" w:color="auto" w:sz="4" w:space="0"/>
              <w:bottom w:val="single" w:color="auto" w:sz="4" w:space="0"/>
              <w:right w:val="single" w:color="auto" w:sz="4" w:space="0"/>
            </w:tcBorders>
            <w:vAlign w:val="center"/>
          </w:tcPr>
          <w:p w14:paraId="7210562F">
            <w:pPr>
              <w:jc w:val="center"/>
              <w:rPr>
                <w:lang w:bidi="ar"/>
              </w:rPr>
            </w:pPr>
            <w:r>
              <w:rPr>
                <w:rFonts w:hint="eastAsia"/>
                <w:lang w:val="en-US" w:eastAsia="zh-CN"/>
              </w:rPr>
              <w:t>主观</w:t>
            </w:r>
          </w:p>
        </w:tc>
      </w:tr>
      <w:tr w14:paraId="1D75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0" w:type="pct"/>
            <w:tcBorders>
              <w:top w:val="single" w:color="auto" w:sz="4" w:space="0"/>
              <w:left w:val="single" w:color="auto" w:sz="4" w:space="0"/>
              <w:bottom w:val="single" w:color="auto" w:sz="4" w:space="0"/>
              <w:right w:val="single" w:color="auto" w:sz="4" w:space="0"/>
            </w:tcBorders>
            <w:vAlign w:val="center"/>
          </w:tcPr>
          <w:p w14:paraId="4361E8E8">
            <w:pPr>
              <w:jc w:val="center"/>
              <w:rPr>
                <w:rFonts w:hint="default"/>
                <w:lang w:val="en-US" w:eastAsia="zh-CN" w:bidi="ar"/>
              </w:rPr>
            </w:pPr>
            <w:r>
              <w:rPr>
                <w:rFonts w:hint="eastAsia"/>
                <w:lang w:val="en-US" w:eastAsia="zh-CN" w:bidi="ar"/>
              </w:rPr>
              <w:t>16</w:t>
            </w:r>
          </w:p>
        </w:tc>
        <w:tc>
          <w:tcPr>
            <w:tcW w:w="878" w:type="pct"/>
            <w:tcBorders>
              <w:top w:val="single" w:color="auto" w:sz="4" w:space="0"/>
              <w:left w:val="single" w:color="auto" w:sz="4" w:space="0"/>
              <w:bottom w:val="single" w:color="auto" w:sz="4" w:space="0"/>
              <w:right w:val="single" w:color="auto" w:sz="4" w:space="0"/>
            </w:tcBorders>
            <w:vAlign w:val="center"/>
          </w:tcPr>
          <w:p w14:paraId="12530129">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D04E8FB">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投标人针对保密措施的相关承诺。</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3D4910A1">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552" w:type="pct"/>
            <w:tcBorders>
              <w:top w:val="single" w:color="auto" w:sz="4" w:space="0"/>
              <w:left w:val="single" w:color="auto" w:sz="4" w:space="0"/>
              <w:bottom w:val="single" w:color="auto" w:sz="4" w:space="0"/>
              <w:right w:val="single" w:color="auto" w:sz="4" w:space="0"/>
            </w:tcBorders>
            <w:vAlign w:val="center"/>
          </w:tcPr>
          <w:p w14:paraId="6A7F13D6">
            <w:pPr>
              <w:jc w:val="center"/>
              <w:rPr>
                <w:lang w:bidi="ar"/>
              </w:rPr>
            </w:pPr>
            <w:r>
              <w:rPr>
                <w:rFonts w:hint="eastAsia"/>
                <w:lang w:val="en-US" w:eastAsia="zh-CN"/>
              </w:rPr>
              <w:t>主观</w:t>
            </w:r>
          </w:p>
        </w:tc>
      </w:tr>
      <w:tr w14:paraId="0E53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0" w:type="pct"/>
            <w:tcBorders>
              <w:top w:val="single" w:color="auto" w:sz="4" w:space="0"/>
              <w:left w:val="single" w:color="auto" w:sz="4" w:space="0"/>
              <w:bottom w:val="single" w:color="auto" w:sz="4" w:space="0"/>
              <w:right w:val="single" w:color="auto" w:sz="4" w:space="0"/>
            </w:tcBorders>
            <w:vAlign w:val="center"/>
          </w:tcPr>
          <w:p w14:paraId="36A356DF">
            <w:pPr>
              <w:jc w:val="center"/>
              <w:rPr>
                <w:rFonts w:hint="default"/>
                <w:lang w:val="en-US" w:eastAsia="zh-CN" w:bidi="ar"/>
              </w:rPr>
            </w:pPr>
            <w:r>
              <w:rPr>
                <w:rFonts w:hint="eastAsia"/>
                <w:lang w:val="en-US" w:eastAsia="zh-CN" w:bidi="ar"/>
              </w:rPr>
              <w:t>17</w:t>
            </w:r>
          </w:p>
        </w:tc>
        <w:tc>
          <w:tcPr>
            <w:tcW w:w="878" w:type="pct"/>
            <w:tcBorders>
              <w:top w:val="single" w:color="auto" w:sz="4" w:space="0"/>
              <w:left w:val="single" w:color="auto" w:sz="4" w:space="0"/>
              <w:bottom w:val="single" w:color="auto" w:sz="4" w:space="0"/>
              <w:right w:val="single" w:color="auto" w:sz="4" w:space="0"/>
            </w:tcBorders>
            <w:vAlign w:val="center"/>
          </w:tcPr>
          <w:p w14:paraId="4EC17FB0">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58D85C2C">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供应商各项规章制度的完整性、规范性，包括质量管理制度、岗位责任制度等。</w:t>
            </w:r>
            <w:r>
              <w:rPr>
                <w:rFonts w:hint="eastAsia" w:cs="Times New Roman"/>
                <w:kern w:val="2"/>
                <w:sz w:val="21"/>
                <w:szCs w:val="24"/>
                <w:lang w:val="en-US" w:eastAsia="zh-CN" w:bidi="ar-SA"/>
              </w:rPr>
              <w:t>评分范围</w:t>
            </w:r>
            <w:r>
              <w:rPr>
                <w:rFonts w:hint="eastAsia" w:ascii="Times New Roman" w:hAnsi="Times New Roman" w:eastAsia="宋体" w:cs="Times New Roman"/>
                <w:kern w:val="2"/>
                <w:sz w:val="21"/>
                <w:szCs w:val="24"/>
                <w:lang w:val="en-US" w:eastAsia="zh-CN" w:bidi="ar-SA"/>
              </w:rPr>
              <w:t>（4,</w:t>
            </w:r>
            <w:r>
              <w:rPr>
                <w:rFonts w:hint="eastAsia" w:cs="Times New Roman"/>
                <w:kern w:val="2"/>
                <w:sz w:val="21"/>
                <w:szCs w:val="24"/>
                <w:lang w:val="en-US" w:eastAsia="zh-CN" w:bidi="ar-SA"/>
              </w:rPr>
              <w:t>3,2,1,0</w:t>
            </w:r>
            <w:r>
              <w:rPr>
                <w:rFonts w:hint="eastAsia" w:ascii="Times New Roman" w:hAnsi="Times New Roman" w:eastAsia="宋体" w:cs="Times New Roman"/>
                <w:kern w:val="2"/>
                <w:sz w:val="21"/>
                <w:szCs w:val="24"/>
                <w:lang w:val="en-US" w:eastAsia="zh-CN" w:bidi="ar-SA"/>
              </w:rPr>
              <w:t>）</w:t>
            </w:r>
          </w:p>
        </w:tc>
        <w:tc>
          <w:tcPr>
            <w:tcW w:w="523" w:type="pct"/>
            <w:tcBorders>
              <w:top w:val="single" w:color="auto" w:sz="4" w:space="0"/>
              <w:left w:val="single" w:color="auto" w:sz="4" w:space="0"/>
              <w:bottom w:val="single" w:color="auto" w:sz="4" w:space="0"/>
              <w:right w:val="single" w:color="auto" w:sz="4" w:space="0"/>
            </w:tcBorders>
            <w:vAlign w:val="center"/>
          </w:tcPr>
          <w:p w14:paraId="4870906E">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552" w:type="pct"/>
            <w:tcBorders>
              <w:top w:val="single" w:color="auto" w:sz="4" w:space="0"/>
              <w:left w:val="single" w:color="auto" w:sz="4" w:space="0"/>
              <w:bottom w:val="single" w:color="auto" w:sz="4" w:space="0"/>
              <w:right w:val="single" w:color="auto" w:sz="4" w:space="0"/>
            </w:tcBorders>
            <w:vAlign w:val="center"/>
          </w:tcPr>
          <w:p w14:paraId="6686D198">
            <w:pPr>
              <w:jc w:val="center"/>
              <w:rPr>
                <w:lang w:bidi="ar"/>
              </w:rPr>
            </w:pPr>
            <w:r>
              <w:rPr>
                <w:rFonts w:hint="eastAsia"/>
                <w:lang w:val="en-US" w:eastAsia="zh-CN"/>
              </w:rPr>
              <w:t>主观</w:t>
            </w:r>
          </w:p>
        </w:tc>
      </w:tr>
      <w:tr w14:paraId="5A8F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0" w:type="pct"/>
            <w:tcBorders>
              <w:top w:val="single" w:color="auto" w:sz="4" w:space="0"/>
              <w:left w:val="single" w:color="auto" w:sz="4" w:space="0"/>
              <w:bottom w:val="single" w:color="auto" w:sz="4" w:space="0"/>
              <w:right w:val="single" w:color="auto" w:sz="4" w:space="0"/>
            </w:tcBorders>
            <w:vAlign w:val="center"/>
          </w:tcPr>
          <w:p w14:paraId="5651ECE7">
            <w:pPr>
              <w:jc w:val="center"/>
              <w:rPr>
                <w:rFonts w:hint="default"/>
                <w:lang w:val="en-US" w:eastAsia="zh-CN" w:bidi="ar"/>
              </w:rPr>
            </w:pPr>
            <w:r>
              <w:rPr>
                <w:rFonts w:hint="eastAsia"/>
                <w:lang w:val="en-US" w:eastAsia="zh-CN" w:bidi="ar"/>
              </w:rPr>
              <w:t>18</w:t>
            </w:r>
          </w:p>
        </w:tc>
        <w:tc>
          <w:tcPr>
            <w:tcW w:w="878" w:type="pct"/>
            <w:tcBorders>
              <w:top w:val="single" w:color="auto" w:sz="4" w:space="0"/>
              <w:left w:val="single" w:color="auto" w:sz="4" w:space="0"/>
              <w:bottom w:val="single" w:color="auto" w:sz="4" w:space="0"/>
              <w:right w:val="single" w:color="auto" w:sz="4" w:space="0"/>
            </w:tcBorders>
            <w:vAlign w:val="center"/>
          </w:tcPr>
          <w:p w14:paraId="51C59956">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商务资信</w:t>
            </w:r>
          </w:p>
        </w:tc>
        <w:tc>
          <w:tcPr>
            <w:tcW w:w="2745" w:type="pct"/>
            <w:tcBorders>
              <w:top w:val="single" w:color="auto" w:sz="4" w:space="0"/>
              <w:left w:val="single" w:color="auto" w:sz="4" w:space="0"/>
              <w:bottom w:val="single" w:color="auto" w:sz="4" w:space="0"/>
              <w:right w:val="single" w:color="auto" w:sz="4" w:space="0"/>
            </w:tcBorders>
            <w:shd w:val="clear" w:color="auto" w:fill="auto"/>
            <w:vAlign w:val="center"/>
          </w:tcPr>
          <w:p w14:paraId="78CC8072">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经验及业绩（详见商务要求表）</w:t>
            </w:r>
          </w:p>
        </w:tc>
        <w:tc>
          <w:tcPr>
            <w:tcW w:w="523" w:type="pct"/>
            <w:tcBorders>
              <w:top w:val="single" w:color="auto" w:sz="4" w:space="0"/>
              <w:left w:val="single" w:color="auto" w:sz="4" w:space="0"/>
              <w:bottom w:val="single" w:color="auto" w:sz="4" w:space="0"/>
              <w:right w:val="single" w:color="auto" w:sz="4" w:space="0"/>
            </w:tcBorders>
            <w:vAlign w:val="center"/>
          </w:tcPr>
          <w:p w14:paraId="416107B0">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552" w:type="pct"/>
            <w:tcBorders>
              <w:top w:val="single" w:color="auto" w:sz="4" w:space="0"/>
              <w:left w:val="single" w:color="auto" w:sz="4" w:space="0"/>
              <w:bottom w:val="single" w:color="auto" w:sz="4" w:space="0"/>
              <w:right w:val="single" w:color="auto" w:sz="4" w:space="0"/>
            </w:tcBorders>
            <w:vAlign w:val="center"/>
          </w:tcPr>
          <w:p w14:paraId="26DF1BFB">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客观</w:t>
            </w:r>
          </w:p>
        </w:tc>
      </w:tr>
    </w:tbl>
    <w:p w14:paraId="7BDB4405">
      <w:pPr>
        <w:pStyle w:val="28"/>
        <w:snapToGrid w:val="0"/>
        <w:spacing w:before="120" w:after="120" w:line="480" w:lineRule="auto"/>
        <w:jc w:val="center"/>
        <w:outlineLvl w:val="0"/>
        <w:rPr>
          <w:rFonts w:hint="eastAsia" w:ascii="仿宋" w:hAnsi="仿宋" w:eastAsia="仿宋"/>
          <w:vertAlign w:val="baseline"/>
          <w:lang w:eastAsia="zh-CN"/>
        </w:rPr>
      </w:pPr>
    </w:p>
    <w:p w14:paraId="1483A542">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6"/>
    </w:p>
    <w:p w14:paraId="5E3B61E9">
      <w:pPr>
        <w:pStyle w:val="28"/>
        <w:snapToGrid w:val="0"/>
        <w:spacing w:before="120" w:after="120" w:line="480" w:lineRule="auto"/>
        <w:jc w:val="center"/>
        <w:outlineLvl w:val="0"/>
        <w:rPr>
          <w:rFonts w:hAnsi="宋体"/>
          <w:b/>
          <w:sz w:val="36"/>
          <w:szCs w:val="36"/>
        </w:rPr>
      </w:pPr>
    </w:p>
    <w:p w14:paraId="65AC833C">
      <w:pPr>
        <w:pStyle w:val="28"/>
        <w:snapToGrid w:val="0"/>
        <w:spacing w:before="120" w:after="120" w:line="480" w:lineRule="auto"/>
        <w:jc w:val="center"/>
        <w:outlineLvl w:val="0"/>
        <w:rPr>
          <w:rFonts w:hAnsi="宋体"/>
          <w:b/>
          <w:sz w:val="36"/>
          <w:szCs w:val="36"/>
        </w:rPr>
      </w:pPr>
    </w:p>
    <w:p w14:paraId="2AD758F7">
      <w:pPr>
        <w:pStyle w:val="28"/>
        <w:snapToGrid w:val="0"/>
        <w:spacing w:before="120" w:after="120" w:line="480" w:lineRule="auto"/>
        <w:jc w:val="center"/>
        <w:outlineLvl w:val="0"/>
        <w:rPr>
          <w:rFonts w:hAnsi="宋体"/>
          <w:b/>
          <w:sz w:val="36"/>
          <w:szCs w:val="36"/>
        </w:rPr>
      </w:pPr>
    </w:p>
    <w:p w14:paraId="239C8760">
      <w:pPr>
        <w:pStyle w:val="28"/>
        <w:snapToGrid w:val="0"/>
        <w:spacing w:before="120" w:after="120" w:line="480" w:lineRule="auto"/>
        <w:jc w:val="center"/>
        <w:outlineLvl w:val="0"/>
        <w:rPr>
          <w:rFonts w:hAnsi="宋体"/>
          <w:b/>
          <w:sz w:val="36"/>
          <w:szCs w:val="36"/>
        </w:rPr>
      </w:pPr>
    </w:p>
    <w:p w14:paraId="0AE00005">
      <w:pPr>
        <w:pStyle w:val="28"/>
        <w:snapToGrid w:val="0"/>
        <w:spacing w:before="120" w:after="120" w:line="480" w:lineRule="auto"/>
        <w:jc w:val="center"/>
        <w:outlineLvl w:val="0"/>
        <w:rPr>
          <w:rFonts w:hAnsi="宋体"/>
          <w:b/>
          <w:sz w:val="36"/>
          <w:szCs w:val="36"/>
        </w:rPr>
      </w:pPr>
    </w:p>
    <w:p w14:paraId="146BD4D3">
      <w:pPr>
        <w:pStyle w:val="28"/>
        <w:snapToGrid w:val="0"/>
        <w:spacing w:before="120" w:after="120" w:line="480" w:lineRule="auto"/>
        <w:jc w:val="both"/>
        <w:outlineLvl w:val="0"/>
        <w:rPr>
          <w:rFonts w:hAnsi="宋体"/>
          <w:b/>
          <w:sz w:val="36"/>
          <w:szCs w:val="36"/>
        </w:rPr>
      </w:pPr>
    </w:p>
    <w:p w14:paraId="4032C293">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5"/>
    </w:p>
    <w:p w14:paraId="0C2C9932">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35A6AC1">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1.核心产品在各标项内容中明确，如出现同品牌情况的，磋商小组会根据磋商原则第4条规定执行。</w:t>
      </w:r>
    </w:p>
    <w:p w14:paraId="19A5E7E4">
      <w:p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b/>
          <w:sz w:val="28"/>
          <w:szCs w:val="28"/>
          <w:lang w:eastAsia="zh-CN"/>
        </w:rPr>
        <w:t>。</w:t>
      </w:r>
    </w:p>
    <w:p w14:paraId="0F974F87">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874C92B">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val="en-US" w:eastAsia="zh-CN"/>
        </w:rPr>
        <w:t>4</w:t>
      </w:r>
      <w:r>
        <w:rPr>
          <w:rFonts w:hint="eastAsia" w:ascii="仿宋" w:hAnsi="仿宋" w:eastAsia="仿宋"/>
          <w:b/>
          <w:sz w:val="28"/>
          <w:szCs w:val="28"/>
        </w:rPr>
        <w:t xml:space="preserve">. </w:t>
      </w:r>
      <w:r>
        <w:rPr>
          <w:rFonts w:hint="eastAsia" w:ascii="仿宋" w:hAnsi="仿宋" w:eastAsia="仿宋"/>
          <w:b/>
          <w:sz w:val="28"/>
          <w:szCs w:val="28"/>
          <w:lang w:val="en-US" w:eastAsia="zh-CN"/>
        </w:rPr>
        <w:t>响应方响应</w:t>
      </w:r>
      <w:r>
        <w:rPr>
          <w:rFonts w:hint="eastAsia" w:ascii="仿宋" w:hAnsi="仿宋" w:eastAsia="仿宋"/>
          <w:b/>
          <w:sz w:val="28"/>
          <w:szCs w:val="28"/>
        </w:rPr>
        <w:t>产品规格型号与官网公布的产品规格型号一致，但技术参数不一致的，应当在</w:t>
      </w:r>
      <w:r>
        <w:rPr>
          <w:rFonts w:hint="eastAsia" w:ascii="仿宋" w:hAnsi="仿宋" w:eastAsia="仿宋"/>
          <w:b/>
          <w:sz w:val="28"/>
          <w:szCs w:val="28"/>
          <w:lang w:val="en-US" w:eastAsia="zh-CN"/>
        </w:rPr>
        <w:t>响应</w:t>
      </w:r>
      <w:r>
        <w:rPr>
          <w:rFonts w:hint="eastAsia" w:ascii="仿宋" w:hAnsi="仿宋" w:eastAsia="仿宋"/>
          <w:b/>
          <w:sz w:val="28"/>
          <w:szCs w:val="28"/>
        </w:rPr>
        <w:t>文件中阐述技术参数不一致的原因，以及通过何种技术路线来实现</w:t>
      </w:r>
      <w:r>
        <w:rPr>
          <w:rFonts w:hint="eastAsia" w:ascii="仿宋" w:hAnsi="仿宋" w:eastAsia="仿宋"/>
          <w:b/>
          <w:sz w:val="28"/>
          <w:szCs w:val="28"/>
          <w:lang w:val="en-US" w:eastAsia="zh-CN"/>
        </w:rPr>
        <w:t>响应</w:t>
      </w:r>
      <w:r>
        <w:rPr>
          <w:rFonts w:hint="eastAsia" w:ascii="仿宋" w:hAnsi="仿宋" w:eastAsia="仿宋"/>
          <w:b/>
          <w:sz w:val="28"/>
          <w:szCs w:val="28"/>
        </w:rPr>
        <w:t>产品技术参数。</w:t>
      </w:r>
      <w:r>
        <w:rPr>
          <w:rFonts w:hint="eastAsia" w:ascii="仿宋" w:hAnsi="仿宋" w:eastAsia="仿宋"/>
          <w:b/>
          <w:sz w:val="28"/>
          <w:szCs w:val="28"/>
          <w:lang w:val="en-US" w:eastAsia="zh-CN"/>
        </w:rPr>
        <w:t>响应方</w:t>
      </w:r>
      <w:r>
        <w:rPr>
          <w:rFonts w:hint="eastAsia" w:ascii="仿宋" w:hAnsi="仿宋" w:eastAsia="仿宋"/>
          <w:b/>
          <w:sz w:val="28"/>
          <w:szCs w:val="28"/>
        </w:rPr>
        <w:t>未作说明的，</w:t>
      </w:r>
      <w:r>
        <w:rPr>
          <w:rFonts w:hint="eastAsia" w:ascii="仿宋" w:hAnsi="仿宋" w:eastAsia="仿宋"/>
          <w:b/>
          <w:sz w:val="28"/>
          <w:szCs w:val="28"/>
          <w:lang w:val="en-US" w:eastAsia="zh-CN"/>
        </w:rPr>
        <w:t>磋商小组</w:t>
      </w:r>
      <w:r>
        <w:rPr>
          <w:rFonts w:hint="eastAsia" w:ascii="仿宋" w:hAnsi="仿宋" w:eastAsia="仿宋"/>
          <w:b/>
          <w:sz w:val="28"/>
          <w:szCs w:val="28"/>
        </w:rPr>
        <w:t>有权对该</w:t>
      </w:r>
      <w:r>
        <w:rPr>
          <w:rFonts w:hint="eastAsia" w:ascii="仿宋" w:hAnsi="仿宋" w:eastAsia="仿宋"/>
          <w:b/>
          <w:sz w:val="28"/>
          <w:szCs w:val="28"/>
          <w:lang w:val="en-US" w:eastAsia="zh-CN"/>
        </w:rPr>
        <w:t>响应</w:t>
      </w:r>
      <w:r>
        <w:rPr>
          <w:rFonts w:hint="eastAsia" w:ascii="仿宋" w:hAnsi="仿宋" w:eastAsia="仿宋"/>
          <w:b/>
          <w:sz w:val="28"/>
          <w:szCs w:val="28"/>
        </w:rPr>
        <w:t>文件作出不利于</w:t>
      </w:r>
      <w:r>
        <w:rPr>
          <w:rFonts w:hint="eastAsia" w:ascii="仿宋" w:hAnsi="仿宋" w:eastAsia="仿宋"/>
          <w:b/>
          <w:sz w:val="28"/>
          <w:szCs w:val="28"/>
          <w:lang w:val="en-US" w:eastAsia="zh-CN"/>
        </w:rPr>
        <w:t>响应方</w:t>
      </w:r>
      <w:r>
        <w:rPr>
          <w:rFonts w:hint="eastAsia" w:ascii="仿宋" w:hAnsi="仿宋" w:eastAsia="仿宋"/>
          <w:b/>
          <w:sz w:val="28"/>
          <w:szCs w:val="28"/>
        </w:rPr>
        <w:t>的评判。</w:t>
      </w:r>
    </w:p>
    <w:p w14:paraId="22CB9CED">
      <w:pPr>
        <w:pStyle w:val="49"/>
        <w:spacing w:after="120"/>
        <w:rPr>
          <w:rFonts w:ascii="宋体" w:hAnsi="宋体"/>
          <w:color w:val="000000"/>
          <w:sz w:val="36"/>
          <w:szCs w:val="36"/>
        </w:rPr>
      </w:pPr>
      <w:bookmarkStart w:id="87" w:name="_Toc44941459"/>
      <w:bookmarkStart w:id="88" w:name="_Toc44941660"/>
    </w:p>
    <w:p w14:paraId="43EC2FFA">
      <w:pPr>
        <w:pStyle w:val="49"/>
        <w:spacing w:after="120"/>
        <w:rPr>
          <w:rFonts w:ascii="宋体" w:hAnsi="宋体"/>
          <w:color w:val="000000"/>
          <w:sz w:val="36"/>
          <w:szCs w:val="36"/>
        </w:rPr>
      </w:pPr>
    </w:p>
    <w:p w14:paraId="170ECA5E">
      <w:pPr>
        <w:pStyle w:val="49"/>
        <w:spacing w:after="120"/>
        <w:rPr>
          <w:rFonts w:ascii="宋体" w:hAnsi="宋体"/>
          <w:color w:val="000000"/>
          <w:sz w:val="36"/>
          <w:szCs w:val="36"/>
        </w:rPr>
      </w:pPr>
    </w:p>
    <w:p w14:paraId="41101CFB">
      <w:pPr>
        <w:pStyle w:val="49"/>
        <w:spacing w:after="120"/>
        <w:rPr>
          <w:rFonts w:ascii="宋体" w:hAnsi="宋体"/>
          <w:color w:val="000000"/>
          <w:sz w:val="36"/>
          <w:szCs w:val="36"/>
        </w:rPr>
      </w:pPr>
    </w:p>
    <w:p w14:paraId="76F1A053">
      <w:pPr>
        <w:pStyle w:val="49"/>
        <w:spacing w:after="120"/>
        <w:rPr>
          <w:rFonts w:ascii="宋体" w:hAnsi="宋体"/>
          <w:color w:val="000000"/>
          <w:sz w:val="36"/>
          <w:szCs w:val="36"/>
        </w:rPr>
      </w:pPr>
    </w:p>
    <w:p w14:paraId="720BDF0E">
      <w:pPr>
        <w:pStyle w:val="49"/>
        <w:spacing w:after="120"/>
        <w:rPr>
          <w:rFonts w:ascii="宋体" w:hAnsi="宋体"/>
          <w:color w:val="000000"/>
          <w:sz w:val="36"/>
          <w:szCs w:val="36"/>
        </w:rPr>
      </w:pPr>
    </w:p>
    <w:p w14:paraId="499E3BD6">
      <w:pPr>
        <w:pStyle w:val="49"/>
        <w:spacing w:after="120"/>
        <w:rPr>
          <w:rFonts w:ascii="宋体" w:hAnsi="宋体"/>
          <w:color w:val="000000"/>
          <w:sz w:val="36"/>
          <w:szCs w:val="36"/>
        </w:rPr>
      </w:pPr>
    </w:p>
    <w:p w14:paraId="3DC500CF">
      <w:pPr>
        <w:pStyle w:val="49"/>
        <w:spacing w:after="120"/>
        <w:rPr>
          <w:rFonts w:ascii="宋体" w:hAnsi="宋体"/>
          <w:color w:val="000000"/>
          <w:sz w:val="36"/>
          <w:szCs w:val="36"/>
        </w:rPr>
      </w:pPr>
    </w:p>
    <w:p w14:paraId="59F0F7F7">
      <w:pPr>
        <w:pStyle w:val="49"/>
        <w:spacing w:after="120"/>
        <w:rPr>
          <w:rFonts w:ascii="宋体" w:hAnsi="宋体"/>
          <w:color w:val="000000"/>
          <w:sz w:val="36"/>
          <w:szCs w:val="36"/>
        </w:rPr>
      </w:pPr>
    </w:p>
    <w:p w14:paraId="47FDEE1C">
      <w:pPr>
        <w:pStyle w:val="49"/>
        <w:spacing w:after="120"/>
        <w:rPr>
          <w:rFonts w:ascii="宋体" w:hAnsi="宋体"/>
          <w:color w:val="000000"/>
          <w:sz w:val="36"/>
          <w:szCs w:val="36"/>
        </w:rPr>
      </w:pPr>
    </w:p>
    <w:p w14:paraId="039AAE10">
      <w:pPr>
        <w:pStyle w:val="49"/>
        <w:spacing w:after="120"/>
        <w:rPr>
          <w:rFonts w:ascii="宋体" w:hAnsi="宋体"/>
          <w:color w:val="000000"/>
          <w:sz w:val="36"/>
          <w:szCs w:val="36"/>
        </w:rPr>
      </w:pPr>
    </w:p>
    <w:p w14:paraId="250A7A11">
      <w:pPr>
        <w:pStyle w:val="49"/>
        <w:spacing w:after="120"/>
        <w:rPr>
          <w:rFonts w:ascii="宋体" w:hAnsi="宋体"/>
          <w:color w:val="000000"/>
          <w:sz w:val="36"/>
          <w:szCs w:val="36"/>
        </w:rPr>
      </w:pPr>
    </w:p>
    <w:p w14:paraId="2222EF5E">
      <w:pPr>
        <w:pStyle w:val="49"/>
        <w:spacing w:after="120"/>
        <w:rPr>
          <w:rFonts w:ascii="宋体" w:hAnsi="宋体"/>
          <w:color w:val="000000"/>
          <w:sz w:val="36"/>
          <w:szCs w:val="36"/>
        </w:rPr>
      </w:pPr>
    </w:p>
    <w:p w14:paraId="3AC8479E">
      <w:pPr>
        <w:pStyle w:val="49"/>
        <w:spacing w:after="120"/>
        <w:rPr>
          <w:rFonts w:ascii="宋体" w:hAnsi="宋体"/>
          <w:color w:val="000000"/>
          <w:sz w:val="36"/>
          <w:szCs w:val="36"/>
        </w:rPr>
      </w:pPr>
    </w:p>
    <w:p w14:paraId="3F5869D2">
      <w:pPr>
        <w:spacing w:line="52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一、物业基本情况</w:t>
      </w:r>
    </w:p>
    <w:p w14:paraId="728464B4">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物业名称：浙江省教育考试院办公楼</w:t>
      </w:r>
    </w:p>
    <w:p w14:paraId="050D05B3">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物业类型：办公业务用房</w:t>
      </w:r>
    </w:p>
    <w:p w14:paraId="6290F231">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总建筑面积：28740平方米，由行政办公区、服务大厅、指挥中心、陈列馆、辅助用房、职工食堂等组成。</w:t>
      </w:r>
    </w:p>
    <w:p w14:paraId="6240D838">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坐落位置：杭州市西湖区蔷薇弄6号</w:t>
      </w:r>
    </w:p>
    <w:p w14:paraId="4AA7CDFD">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业主构成：浙江省教育考试院</w:t>
      </w:r>
    </w:p>
    <w:p w14:paraId="3F3CC5BA">
      <w:pPr>
        <w:spacing w:line="520" w:lineRule="exact"/>
        <w:jc w:val="center"/>
        <w:rPr>
          <w:rFonts w:hint="default" w:ascii="Times New Roman" w:hAnsi="Times New Roman" w:eastAsia="楷体_GB2312" w:cs="Times New Roman"/>
          <w:color w:val="auto"/>
          <w:sz w:val="32"/>
          <w:szCs w:val="32"/>
        </w:rPr>
      </w:pPr>
    </w:p>
    <w:p w14:paraId="5CE888AD">
      <w:pPr>
        <w:spacing w:line="52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二、委托物业服务内容（包括且不仅限于以下）</w:t>
      </w:r>
    </w:p>
    <w:p w14:paraId="710C9B11">
      <w:pPr>
        <w:spacing w:line="52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（一）房屋维护服务</w:t>
      </w:r>
    </w:p>
    <w:p w14:paraId="3F487B51">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1、服务内容：办公楼(区)、服务大厅、指挥中心、陈列馆、辅助用房、职工食堂等地面、墙、台面及吊顶、门窗、楼梯、通风道、玻璃顶等的日常巡查和养护维修。</w:t>
      </w:r>
    </w:p>
    <w:p w14:paraId="49F55FCB">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5E5145E4">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（1）确保大楼(区)房屋及设施的完好和正常使用。</w:t>
      </w:r>
    </w:p>
    <w:p w14:paraId="5B7C1984">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（2）玻璃无破裂，五金配件完</w:t>
      </w:r>
      <w:bookmarkStart w:id="89" w:name="_Toc825546499_WPSOffice_Level2"/>
      <w:r>
        <w:rPr>
          <w:rFonts w:hint="default" w:ascii="Times New Roman" w:hAnsi="Times New Roman" w:eastAsia="仿宋_GB2312" w:cs="Times New Roman"/>
          <w:color w:val="auto"/>
          <w:sz w:val="32"/>
          <w:szCs w:val="32"/>
        </w:rPr>
        <w:t>好，门窗开闭灵活、</w:t>
      </w:r>
      <w:bookmarkEnd w:id="89"/>
      <w:r>
        <w:rPr>
          <w:rFonts w:hint="default" w:ascii="Times New Roman" w:hAnsi="Times New Roman" w:eastAsia="仿宋_GB2312" w:cs="Times New Roman"/>
          <w:color w:val="auto"/>
          <w:sz w:val="32"/>
          <w:szCs w:val="32"/>
        </w:rPr>
        <w:t>密封性好、无异常声响。否则应及时修复或更换，不能立即修复的涉及安全性的应采取措施消除安全隐患。</w:t>
      </w:r>
    </w:p>
    <w:p w14:paraId="06F2423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（3）粉刷无明显剥落开裂，墙面砖、地坪、地砖、地板平整不起壳、无遗缺，否则应及时修复或更换。</w:t>
      </w:r>
    </w:p>
    <w:p w14:paraId="50A9F299">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（4）屋面排水沟、室内室外排水管保障畅通；雨前及时巡查，排除隐患。发现过滤网及管道破损及时修复或更换。</w:t>
      </w:r>
    </w:p>
    <w:p w14:paraId="763DB8E0">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pacing w:val="-4"/>
          <w:sz w:val="32"/>
          <w:szCs w:val="32"/>
        </w:rPr>
        <w:t>发现屋面或其他防水层有气鼓、破裂，隔热板有断裂、缺损的，屋面、墙面有渗漏的，应在3个工作日内安排专项修理。</w:t>
      </w:r>
    </w:p>
    <w:p w14:paraId="593DE827">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pacing w:val="-4"/>
          <w:sz w:val="32"/>
          <w:szCs w:val="32"/>
        </w:rPr>
        <w:t xml:space="preserve">应保持房屋建筑的完好和设施设备的正常运行，完好率达100%。 </w:t>
      </w:r>
    </w:p>
    <w:p w14:paraId="1EE88425">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(二）设施设备维护维保服务</w:t>
      </w:r>
    </w:p>
    <w:p w14:paraId="7FFC7000">
      <w:pPr>
        <w:spacing w:line="56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1、服务内容</w:t>
      </w:r>
    </w:p>
    <w:p w14:paraId="7714F9B3">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4"/>
          <w:sz w:val="32"/>
          <w:szCs w:val="32"/>
        </w:rPr>
        <w:t>日常维护：</w:t>
      </w:r>
    </w:p>
    <w:p w14:paraId="761FFEA5">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pacing w:val="-4"/>
          <w:sz w:val="32"/>
          <w:szCs w:val="32"/>
        </w:rPr>
        <w:t>对办公楼室内外给排水、排污系统的设备、设施，如水泵、气压给水装置、水处理设备、消火栓、管道、管件、阀门、水嘴、卫生洁具、排水管、透气管、水封设备、进水管及排水管、排污管及附属构筑物等进行日常养护维修，保持正常运行。</w:t>
      </w:r>
    </w:p>
    <w:p w14:paraId="3BE59598">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pacing w:val="-4"/>
          <w:sz w:val="32"/>
          <w:szCs w:val="32"/>
        </w:rPr>
        <w:t>对院内、外监控设施设备管理维护。</w:t>
      </w:r>
    </w:p>
    <w:p w14:paraId="361B153F">
      <w:pPr>
        <w:spacing w:line="560" w:lineRule="exact"/>
        <w:ind w:firstLine="640" w:firstLineChars="200"/>
        <w:rPr>
          <w:rFonts w:hint="default"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pacing w:val="-4"/>
          <w:sz w:val="32"/>
          <w:szCs w:val="32"/>
        </w:rPr>
        <w:t>对院内外的综合布线、变压器、高、低压配电柜、能量管理系统、楼层配电间低压配电柜、设备机房电气控制柜、疏散指示系统、电气管线、电线电缆、电源开关、动力插座、电开水炉、水泵等低压用电设施进行日常管理和维护、维修，保</w:t>
      </w:r>
      <w:r>
        <w:rPr>
          <w:rFonts w:hint="default" w:ascii="Times New Roman" w:hAnsi="Times New Roman" w:eastAsia="仿宋_GB2312" w:cs="Times New Roman"/>
          <w:color w:val="auto"/>
          <w:spacing w:val="-4"/>
          <w:sz w:val="32"/>
          <w:szCs w:val="32"/>
          <w:highlight w:val="none"/>
        </w:rPr>
        <w:t>持设施正常运行。</w:t>
      </w:r>
    </w:p>
    <w:p w14:paraId="26CE4469">
      <w:pPr>
        <w:spacing w:line="560" w:lineRule="exact"/>
        <w:ind w:firstLine="64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highlight w:val="none"/>
        </w:rPr>
        <w:t>工程综合维修人员须持有</w:t>
      </w:r>
      <w:r>
        <w:rPr>
          <w:rFonts w:hint="default" w:ascii="Times New Roman" w:hAnsi="Times New Roman" w:eastAsia="仿宋_GB2312" w:cs="Times New Roman"/>
          <w:color w:val="auto"/>
          <w:spacing w:val="-4"/>
          <w:sz w:val="32"/>
          <w:szCs w:val="32"/>
          <w:highlight w:val="none"/>
          <w:lang w:val="en-US" w:eastAsia="zh-CN"/>
        </w:rPr>
        <w:t>中华人民共和国特种作业操作证，准操高压电工作业、低压电工作业。</w:t>
      </w:r>
      <w:r>
        <w:rPr>
          <w:rFonts w:hint="default" w:ascii="Times New Roman" w:hAnsi="Times New Roman" w:eastAsia="仿宋_GB2312" w:cs="Times New Roman"/>
          <w:color w:val="auto"/>
          <w:spacing w:val="-4"/>
          <w:sz w:val="32"/>
          <w:szCs w:val="32"/>
        </w:rPr>
        <w:t>工程综合维修人员日常工作除特定工作外，实行定期巡查维修制度，巡查内容包括配电设施、照明及供用电设施、空调设施、给排水设施、房屋及装修设施、室外构筑设施、办公与其他公用设施。</w:t>
      </w:r>
    </w:p>
    <w:p w14:paraId="690B1423">
      <w:pPr>
        <w:spacing w:line="560" w:lineRule="exact"/>
        <w:ind w:firstLine="64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每天对所有区域和房间巡查到1次，并随时记录和处理。</w:t>
      </w:r>
    </w:p>
    <w:p w14:paraId="0303B7F7">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pacing w:val="-4"/>
          <w:sz w:val="32"/>
          <w:szCs w:val="32"/>
        </w:rPr>
        <w:t>专业维护：对电梯、消防报警系统、空调、中央空调附属设施设备、管道燃气等进行专业维保，电梯年检、消防设施检测等进行年度检测。</w:t>
      </w:r>
    </w:p>
    <w:p w14:paraId="6ADAF41E">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65148EEA">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（1）定期（每月1次）对给排水系统进行维护、润滑。</w:t>
      </w:r>
    </w:p>
    <w:p w14:paraId="6683A86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（2）每天检查1次提升泵、排水泵、阀门等，确保排水系统通畅，各种管道阀门完好，仪表显示正常，无跑、冒、滴、漏现象。</w:t>
      </w:r>
    </w:p>
    <w:p w14:paraId="50546D67">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（3）每年对雨水管、排污管进行全面防渗漏、防错位等检查、维护。                               </w:t>
      </w:r>
    </w:p>
    <w:p w14:paraId="13683DE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（4）制定定期维护计划：根据监控装置的类型和规模，制定定期的维护计划，保证监控装置的正常运行。</w:t>
      </w:r>
    </w:p>
    <w:p w14:paraId="72848BD9">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（5）检查设备状态：在每次维护保养时，对监控装置进行全面的检查，包括外观、储存系统等，确保设备没有损坏或松动现象。</w:t>
      </w:r>
    </w:p>
    <w:p w14:paraId="4051E3A3">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（6）清洁设备表面：定期清洁监控装置的表面，防止灰尘积聚，影响设备的运行效果。</w:t>
      </w:r>
    </w:p>
    <w:p w14:paraId="0F75A058">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（7）更换损坏零件：如发现设备有损坏的零部件，应及时更换，并注意使用原厂的备件，以保证设备的正常运行。</w:t>
      </w:r>
    </w:p>
    <w:p w14:paraId="4933067E">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（8）记录维护情况：在维护保养过程中，应详细记录每次的维护情况，包括维护人员、维护日期、维护内容等，便于后期分析和跟踪设备运行情况。</w:t>
      </w:r>
    </w:p>
    <w:p w14:paraId="64CB7C6D">
      <w:pPr>
        <w:spacing w:line="560" w:lineRule="exact"/>
        <w:ind w:firstLine="640" w:firstLineChars="200"/>
        <w:jc w:val="left"/>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32"/>
          <w:szCs w:val="32"/>
        </w:rPr>
        <w:t>（9）建立故障处理机制：在设备发生故障时，及时进行排除，并记录故障原因和处理过程，以便后续的故障分析和改进措施。</w:t>
      </w:r>
    </w:p>
    <w:p w14:paraId="71D5F79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（10）按规定标准工作时间排除故障，保证各弱电系统正常工作。</w:t>
      </w:r>
    </w:p>
    <w:p w14:paraId="4A9CEAC2">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（11）设备零星维修合格率达到100%，一般性维修不过夜。维修、报修及时率达到100%，返修率小于1%。</w:t>
      </w:r>
    </w:p>
    <w:p w14:paraId="028CE82C">
      <w:pPr>
        <w:spacing w:line="560" w:lineRule="exact"/>
        <w:ind w:firstLine="640" w:firstLineChars="200"/>
        <w:jc w:val="left"/>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32"/>
          <w:szCs w:val="32"/>
        </w:rPr>
        <w:t>（12）严格执行用电安全规范，确保用电安全。</w:t>
      </w:r>
    </w:p>
    <w:p w14:paraId="54CDA921">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（13）做好各弱电机房、操作机房的清洁工作。</w:t>
      </w:r>
    </w:p>
    <w:p w14:paraId="05D51395">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w:t>
      </w:r>
      <w:r>
        <w:rPr>
          <w:rFonts w:hint="default" w:ascii="Times New Roman" w:hAnsi="Times New Roman" w:eastAsia="仿宋_GB2312" w:cs="Times New Roman"/>
          <w:color w:val="auto"/>
          <w:spacing w:val="-4"/>
          <w:sz w:val="32"/>
          <w:szCs w:val="32"/>
        </w:rPr>
        <w:t>制定弱电设备的规范操作流程。</w:t>
      </w:r>
    </w:p>
    <w:p w14:paraId="160FF32E">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（15）建立严格的高配供电室任岗责任制，高低配交接班制度、高低配操作规程制度、高配</w:t>
      </w:r>
      <w:r>
        <w:rPr>
          <w:rFonts w:hint="default" w:ascii="Times New Roman" w:hAnsi="Times New Roman" w:eastAsia="仿宋_GB2312" w:cs="Times New Roman"/>
          <w:color w:val="auto"/>
          <w:sz w:val="32"/>
          <w:szCs w:val="32"/>
          <w:lang w:val="en-US" w:eastAsia="zh-CN"/>
        </w:rPr>
        <w:t>道</w:t>
      </w:r>
      <w:r>
        <w:rPr>
          <w:rFonts w:hint="default" w:ascii="Times New Roman" w:hAnsi="Times New Roman" w:eastAsia="仿宋_GB2312" w:cs="Times New Roman"/>
          <w:color w:val="auto"/>
          <w:sz w:val="32"/>
          <w:szCs w:val="32"/>
        </w:rPr>
        <w:t>闸操作制度、工作管理制度、高低配及维修巡回检查等制度。</w:t>
      </w:r>
    </w:p>
    <w:p w14:paraId="0EA45685">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（16）高配变电值班室保证全年365天、每天24小时有人值班，保证整个大楼的供电安全。</w:t>
      </w:r>
    </w:p>
    <w:p w14:paraId="7D93ED95">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（17）按照规定周期对变配电设备设施进行检查、维护、清洁，并做好记录，确保高(低)压变(配)电柜操作运行正常，各计量检测表计显示正常。</w:t>
      </w:r>
    </w:p>
    <w:p w14:paraId="62EE7289">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（18）变(配)电柜、低压配电柜运行正常，符合工作要求，各类表计显示正常。</w:t>
      </w:r>
    </w:p>
    <w:p w14:paraId="2A726CA4">
      <w:pPr>
        <w:spacing w:line="56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rPr>
        <w:t>（19）变(配)电系统联络切换正常。</w:t>
      </w:r>
    </w:p>
    <w:p w14:paraId="1B15BE50">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（20）负责各类照明灯具、泛光照明系统、供用电设备设施（包括配电箱柜、桥架、井道、分电箱、开关、插座等）的日常管理和维护修理。</w:t>
      </w:r>
    </w:p>
    <w:p w14:paraId="15CEB2D9">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（21）高配变电值班室等特殊机房保证24小时配备值班人员，遇到节假日、双休日现场维护人员数量不能低于日常人员配置。</w:t>
      </w:r>
    </w:p>
    <w:p w14:paraId="2E22469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（22）通过有效的管理措施及技术措施，积极开展节能管理工作。</w:t>
      </w:r>
    </w:p>
    <w:p w14:paraId="4A56E1AB">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（23）建立运行安全管理制度，确保电梯按规定时间运行；对专业人员电梯保养工作进行监督，并对电梯运行进行管理。</w:t>
      </w:r>
    </w:p>
    <w:p w14:paraId="1FC8549D">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（24）电梯发生一般故障时，应立即通知专业维保单位。发生电梯困人或其他重大事件时，应立即通知专业维保单位并在第一时间赶到现场，协助专业维保单位做好现场的应急处理工作。</w:t>
      </w:r>
    </w:p>
    <w:p w14:paraId="1ED220D1">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（25）建立运行安全管理制度，确保空调按规定时间运行；对专业人员空调保养工作进行监督，并对空调运行进行管理。</w:t>
      </w:r>
    </w:p>
    <w:p w14:paraId="08B1E4A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（26）空调发生一般故障时，应立即通知专业维保单位。</w:t>
      </w:r>
    </w:p>
    <w:p w14:paraId="0BA1AC7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（27）对区域内的消防灭火器、消防喷淋灭火系统、气体灭火系统、火灾报警系统、电器火灾报警系统、消防排烟机组等消控设备按标准进行维护管理。</w:t>
      </w:r>
    </w:p>
    <w:p w14:paraId="1515ECAE">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专业设备维保的质量要求原则上不得低于原出厂要求，设备维保使用的配件需采用原厂配件或不低于原厂质量且与原设备适配的零配件。</w:t>
      </w:r>
    </w:p>
    <w:p w14:paraId="78E93593">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▲消防，电梯，空调</w:t>
      </w:r>
      <w:r>
        <w:rPr>
          <w:rFonts w:hint="eastAsia" w:ascii="Times New Roman" w:hAnsi="Times New Roman" w:eastAsia="仿宋_GB2312" w:cs="Times New Roman"/>
          <w:color w:val="auto"/>
          <w:sz w:val="32"/>
          <w:szCs w:val="32"/>
          <w:lang w:val="en-US" w:eastAsia="zh-CN"/>
        </w:rPr>
        <w:t>维保需</w:t>
      </w:r>
      <w:r>
        <w:rPr>
          <w:rFonts w:hint="default" w:ascii="Times New Roman" w:hAnsi="Times New Roman" w:eastAsia="仿宋_GB2312" w:cs="Times New Roman"/>
          <w:color w:val="auto"/>
          <w:sz w:val="32"/>
          <w:szCs w:val="32"/>
        </w:rPr>
        <w:t>有资质要求，</w:t>
      </w:r>
      <w:r>
        <w:rPr>
          <w:rFonts w:hint="default" w:ascii="Times New Roman" w:hAnsi="Times New Roman" w:eastAsia="仿宋_GB2312" w:cs="Times New Roman"/>
          <w:snapToGrid w:val="0"/>
          <w:color w:val="auto"/>
          <w:kern w:val="0"/>
          <w:sz w:val="32"/>
          <w:szCs w:val="32"/>
        </w:rPr>
        <w:t>投标人如无直接服务能力和资质，必须</w:t>
      </w:r>
      <w:r>
        <w:rPr>
          <w:rFonts w:hint="default" w:ascii="Times New Roman" w:hAnsi="Times New Roman" w:eastAsia="仿宋_GB2312" w:cs="Times New Roman"/>
          <w:color w:val="auto"/>
          <w:sz w:val="32"/>
          <w:szCs w:val="32"/>
        </w:rPr>
        <w:t>委托具备相关专业资质的第三方机构进行维保或检测。提供承诺函，格式自拟。</w:t>
      </w:r>
    </w:p>
    <w:p w14:paraId="5978D194">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设施设备维保应保持设施设备的正常运行，完好率达100%。</w:t>
      </w:r>
    </w:p>
    <w:p w14:paraId="3F97CAD7">
      <w:pPr>
        <w:autoSpaceDE w:val="0"/>
        <w:autoSpaceDN w:val="0"/>
        <w:adjustRightInd w:val="0"/>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（三）安保服务</w:t>
      </w:r>
    </w:p>
    <w:p w14:paraId="5184769D">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1、服务内容：</w:t>
      </w:r>
      <w:r>
        <w:rPr>
          <w:rFonts w:hint="default" w:ascii="Times New Roman" w:hAnsi="Times New Roman" w:eastAsia="仿宋_GB2312" w:cs="Times New Roman"/>
          <w:color w:val="auto"/>
          <w:sz w:val="32"/>
          <w:szCs w:val="36"/>
        </w:rPr>
        <w:t>包括工作场所值勤守卫、办公区域安全巡查（含消防巡检）、消控室值守、夜间住行备勤值守及应急处置、监控报警设备检查、考试安检管理、访客管理、客户车辆引导等。</w:t>
      </w:r>
      <w:r>
        <w:rPr>
          <w:rFonts w:hint="default" w:ascii="Times New Roman" w:hAnsi="Times New Roman" w:eastAsia="仿宋_GB2312" w:cs="Times New Roman"/>
          <w:color w:val="auto"/>
          <w:sz w:val="32"/>
          <w:szCs w:val="32"/>
        </w:rPr>
        <w:t xml:space="preserve">                </w:t>
      </w:r>
    </w:p>
    <w:p w14:paraId="26A4370E">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岗位配置：</w:t>
      </w:r>
      <w:r>
        <w:rPr>
          <w:rFonts w:hint="default" w:ascii="Times New Roman" w:hAnsi="Times New Roman" w:eastAsia="仿宋_GB2312" w:cs="Times New Roman"/>
          <w:color w:val="auto"/>
          <w:sz w:val="32"/>
          <w:szCs w:val="36"/>
        </w:rPr>
        <w:t>全年无休，</w:t>
      </w:r>
      <w:r>
        <w:rPr>
          <w:rFonts w:hint="default" w:ascii="Times New Roman" w:hAnsi="Times New Roman" w:eastAsia="仿宋_GB2312" w:cs="Times New Roman"/>
          <w:color w:val="auto"/>
          <w:sz w:val="32"/>
          <w:szCs w:val="32"/>
        </w:rPr>
        <w:t>24小时值班。人员配置不少于9人，分为13个岗位（其中班长1人，持有（构）建筑物消防员证2人），早中晚三班，分为门岗、办公楼大厅执勤岗、院内巡逻岗、消控值班岗。</w:t>
      </w:r>
    </w:p>
    <w:p w14:paraId="53CE528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（1）班长职责：</w:t>
      </w:r>
    </w:p>
    <w:p w14:paraId="7858181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①科学合理地安排勤务，检查、考核全班（组）人员的执勤情况。</w:t>
      </w:r>
    </w:p>
    <w:p w14:paraId="06D95BD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②负责对保安员的管理教育，组织全班（组）政治、业务学习，及时传达上级的各项指示精神。</w:t>
      </w:r>
    </w:p>
    <w:p w14:paraId="0190C45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③带班执勤，时刻保证全班（组）保安员精神饱满地工作，做到不睡岗，不漏岗，不脱岗。</w:t>
      </w:r>
    </w:p>
    <w:p w14:paraId="17EC5473">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④做好保安员的思想政治工作，关心保安员生活，加强保安员之间的团结，处理班（组）内纠纷，提高保安员的工作积极性。</w:t>
      </w:r>
    </w:p>
    <w:p w14:paraId="27500706">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⑤</w:t>
      </w:r>
      <w:r>
        <w:rPr>
          <w:rFonts w:hint="default" w:ascii="Times New Roman" w:hAnsi="Times New Roman" w:eastAsia="仿宋_GB2312" w:cs="Times New Roman"/>
          <w:color w:val="auto"/>
          <w:sz w:val="32"/>
          <w:szCs w:val="32"/>
        </w:rPr>
        <w:t>负责管理班（组）内的考勤，请假、销假登记制度，考核班（组）各保安员岗位执勤情况。</w:t>
      </w:r>
    </w:p>
    <w:p w14:paraId="7F5B86D9">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（2）门岗职责：</w:t>
      </w:r>
    </w:p>
    <w:p w14:paraId="4FCBE311">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①负责单位大门的安全管理；</w:t>
      </w:r>
    </w:p>
    <w:p w14:paraId="4B1A70C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②外来人员的身份证登记，核实人员身份后的进出管理。</w:t>
      </w:r>
    </w:p>
    <w:p w14:paraId="4036FFB8">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③外来车辆的登记，指引车辆按照我院规定停放。</w:t>
      </w:r>
    </w:p>
    <w:p w14:paraId="7B94319E">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④快递接收，做好接收快递的登记，把快递放置到指定位置。</w:t>
      </w:r>
    </w:p>
    <w:p w14:paraId="5B8BEFDB">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（3）办公楼大厅执勤岗：</w:t>
      </w:r>
    </w:p>
    <w:p w14:paraId="7F00DF9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①办公楼人员进出管理，严禁非办公人员进入办公区域。</w:t>
      </w:r>
    </w:p>
    <w:p w14:paraId="67BB685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②再次核实前来办事人员，主动联系我院老师核实前来办事人员身份。</w:t>
      </w:r>
    </w:p>
    <w:p w14:paraId="1A314D76">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③管理快递文件，做好每份文件的登记，确保准确的送到对应老师的手中。</w:t>
      </w:r>
    </w:p>
    <w:p w14:paraId="1927CE6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（4）院内巡逻岗：</w:t>
      </w:r>
    </w:p>
    <w:p w14:paraId="460B1C5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①巡逻时间根据内部规定，</w:t>
      </w:r>
      <w:bookmarkStart w:id="90" w:name="OLE_LINK4"/>
      <w:bookmarkStart w:id="91" w:name="OLE_LINK3"/>
      <w:r>
        <w:rPr>
          <w:rFonts w:hint="default" w:ascii="Times New Roman" w:hAnsi="Times New Roman" w:eastAsia="仿宋_GB2312" w:cs="Times New Roman"/>
          <w:color w:val="auto"/>
          <w:sz w:val="32"/>
          <w:szCs w:val="32"/>
        </w:rPr>
        <w:t>每1小时1次，每次巡逻时间不得少于30分钟</w:t>
      </w:r>
      <w:bookmarkEnd w:id="90"/>
      <w:bookmarkEnd w:id="91"/>
      <w:r>
        <w:rPr>
          <w:rFonts w:hint="default" w:ascii="Times New Roman" w:hAnsi="Times New Roman" w:eastAsia="仿宋_GB2312" w:cs="Times New Roman"/>
          <w:color w:val="auto"/>
          <w:sz w:val="32"/>
          <w:szCs w:val="32"/>
        </w:rPr>
        <w:t>。</w:t>
      </w:r>
    </w:p>
    <w:p w14:paraId="493E44F1">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②按照巡逻路线要求做好巡逻工作。在执行巡逻任务时，必须保持高度的警惕性，细心观察周围的事物，按时按位仔细检查、认真做好巡逻记录，及时发现各种可疑情况。</w:t>
      </w:r>
    </w:p>
    <w:p w14:paraId="62ECC23D">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③巡逻中发现各种违反责任区管理规定的行为或违法犯罪行为，要及时进行劝阻和制止，情节严重的要及时报告我院有关领导</w:t>
      </w:r>
    </w:p>
    <w:p w14:paraId="7ACA4615">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（5）消控值班岗：</w:t>
      </w:r>
    </w:p>
    <w:p w14:paraId="3D312FEA">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①24小时值守。消控室必须全天候专人值守，不得擅离职守，确保消防系统实时监控。值班人员需持证上岗（如建（构）筑物消防员资格证），熟悉设备操作流程。</w:t>
      </w:r>
    </w:p>
    <w:p w14:paraId="6CDCA40C">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②消防设备监控。实时监视火灾自动报警系统、消防联动控制器、视频监控等设备状态。发现设备故障或异常信号，立即记录并通知维修部门处理。</w:t>
      </w:r>
    </w:p>
    <w:p w14:paraId="18B55392">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③信息处理与记录。对报警信号（火警、故障、屏蔽等）迅速核实，确认后按预案处置。填写《消防控制室值班记录表》，详细记录设备运行、报警处理及交接班情况。</w:t>
      </w:r>
    </w:p>
    <w:p w14:paraId="4D5F0715">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保人员能正确使用各类消防、物防、技防器械和设备，能够熟悉、掌握各类刑事、治安案件和各类灾害事故的应急预案；负责防盗、防火报警监控设备运行管理。建立完善的消防制度和消防工作计划，人员应定期接受消防培训并掌握现有消防设施设备的使用方</w:t>
      </w:r>
      <w:bookmarkStart w:id="92" w:name="_Toc1340711381_WPSOffice_Level2"/>
      <w:r>
        <w:rPr>
          <w:rFonts w:hint="default" w:ascii="Times New Roman" w:hAnsi="Times New Roman" w:eastAsia="仿宋_GB2312" w:cs="Times New Roman"/>
          <w:color w:val="auto"/>
          <w:sz w:val="32"/>
          <w:szCs w:val="32"/>
        </w:rPr>
        <w:t>法，并能及时处理各种火灾事</w:t>
      </w:r>
      <w:bookmarkEnd w:id="92"/>
      <w:r>
        <w:rPr>
          <w:rFonts w:hint="default" w:ascii="Times New Roman" w:hAnsi="Times New Roman" w:eastAsia="仿宋_GB2312" w:cs="Times New Roman"/>
          <w:color w:val="auto"/>
          <w:sz w:val="32"/>
          <w:szCs w:val="32"/>
        </w:rPr>
        <w:t>故。明确防火责任人，按照突发火灾的应急方案，设立消防疏散示意图，照明设施及引路标志完好，紧急疏散通道畅通。</w:t>
      </w:r>
      <w:r>
        <w:rPr>
          <w:rFonts w:hint="default" w:ascii="Times New Roman" w:hAnsi="Times New Roman" w:eastAsia="仿宋_GB2312" w:cs="Times New Roman"/>
          <w:color w:val="auto"/>
          <w:sz w:val="32"/>
          <w:szCs w:val="36"/>
        </w:rPr>
        <w:t>安保人员须遵守各项保密规定，不得泄露内部保密、安全信息。</w:t>
      </w:r>
    </w:p>
    <w:p w14:paraId="06C48B1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5703440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（1）门卫值班</w:t>
      </w:r>
    </w:p>
    <w:p w14:paraId="70606181">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岗时佩戴统一标志，按需求穿戴统一制服，装备佩戴规范，仪容仪表规范整齐，当值时坐姿挺直，站岗时不倚不靠。文明执勤，训练有素，言语规范，认真负责；配备对讲装置和其他必备的安全护卫器械。建立门岗、秩序维护、车辆、公共秩序管理等制度。用语规范，礼貌待客，文明工作。严格验证、登记制度，杜绝闲杂人员进入办公区域内，维护行政区域安全、正常的工作环境。对物品进出实施管理，实行物品进出审验制度，杜绝危险物品进入办公区域内。</w:t>
      </w:r>
    </w:p>
    <w:p w14:paraId="4FD5D2E3">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（2）安保巡查</w:t>
      </w:r>
    </w:p>
    <w:p w14:paraId="2819A546">
      <w:pPr>
        <w:spacing w:line="56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明确巡查工作职责，实行24小时定时巡更（</w:t>
      </w:r>
      <w:r>
        <w:rPr>
          <w:rFonts w:hint="default" w:ascii="Times New Roman" w:hAnsi="Times New Roman" w:eastAsia="仿宋_GB2312" w:cs="Times New Roman"/>
          <w:color w:val="auto"/>
          <w:sz w:val="32"/>
          <w:szCs w:val="32"/>
        </w:rPr>
        <w:t>每1小时1次，每次巡逻时间不得少于30分钟</w:t>
      </w:r>
      <w:r>
        <w:rPr>
          <w:rFonts w:hint="default" w:ascii="Times New Roman" w:hAnsi="Times New Roman" w:eastAsia="仿宋_GB2312" w:cs="Times New Roman"/>
          <w:color w:val="auto"/>
          <w:spacing w:val="-4"/>
          <w:sz w:val="32"/>
          <w:szCs w:val="32"/>
        </w:rPr>
        <w:t>）。规范巡视工作流程，制定固定的巡查制度，对重要区域、部位、设备机房进行重点巡视并记录巡视情况，及时发现和处理各种安全和事故隐患。在接到监控室发出的指令后，巡视人员应及时到达事发现场，采取相应措施妥善处理；如巡视中发现异常情况，应立即通知有关部门并在现场采取必要措施，随时准备启动并执行相应的应急预案。安保服务应为采购人提供全天候的公共秩序维护服务和安全服务。</w:t>
      </w:r>
    </w:p>
    <w:p w14:paraId="3CC91EA5">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（3）消控、监控室值班</w:t>
      </w:r>
    </w:p>
    <w:p w14:paraId="673ADBCB">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消控、监控设施应保持24小时开通，双人24小时值班，并保持完整的监控记录，保证对各出入口、内部重点区域的安全监控、录像及协助布警。监控室收到火情、险情及其他异常情况报警信号后，应及时报警，并派专人赶到现场进行前期处理。监控资料应至少保持90天，有特殊要求的参照相关规定或行业标准执行。同时，确保治安电话畅通，接听及时，须保证在铃响三声内接听。</w:t>
      </w:r>
    </w:p>
    <w:p w14:paraId="3412DD8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（4）停车管理</w:t>
      </w:r>
    </w:p>
    <w:p w14:paraId="209B4F4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定专人负责车辆管理。机动车应按要求停放在车位内，应停放整齐、规范。非机动车应按要求停放在非机动停放点。对进出院内的各类车辆要进行严格管理，执行管理规章制度，保证车辆有序通行、有序停放。设1名专职电动自行车管理员</w:t>
      </w:r>
    </w:p>
    <w:p w14:paraId="6DC24A3C">
      <w:pPr>
        <w:numPr>
          <w:ilvl w:val="0"/>
          <w:numId w:val="19"/>
        </w:num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访客管理</w:t>
      </w:r>
    </w:p>
    <w:p w14:paraId="10E6EE29">
      <w:pPr>
        <w:pStyle w:val="350"/>
        <w:snapToGrid w:val="0"/>
        <w:spacing w:line="60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对进入院内的来访人员必须凭身份证实名登记，经保安与各处室确认后方可进入院内，只允许进入相关办公区域，离开时须签退。做好外来人员统计工作。</w:t>
      </w:r>
      <w:r>
        <w:rPr>
          <w:rFonts w:hint="default" w:ascii="Times New Roman" w:hAnsi="Times New Roman" w:eastAsia="仿宋_GB2312" w:cs="Times New Roman"/>
          <w:color w:val="auto"/>
          <w:sz w:val="32"/>
          <w:szCs w:val="32"/>
        </w:rPr>
        <w:t>访客登记率100%。</w:t>
      </w:r>
    </w:p>
    <w:p w14:paraId="796B7DB9">
      <w:pPr>
        <w:numPr>
          <w:ilvl w:val="0"/>
          <w:numId w:val="19"/>
        </w:num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考试安检管理</w:t>
      </w:r>
    </w:p>
    <w:p w14:paraId="5D4DBA4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熟练掌握X光机、金属探测器等安检设备的使用方法和工作原理；与教师和其他工作人员进行有效沟通，以解决各种问题并确保考试安检顺利进行；严格遵守相关规定和操作流程，以确保安全检查的有效性和准确性。</w:t>
      </w:r>
    </w:p>
    <w:p w14:paraId="4A97C01A">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（7）突发事件及安全事故处理</w:t>
      </w:r>
    </w:p>
    <w:p w14:paraId="09114944">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要求制订各类突发事件应急预案。在各楼层固定位置悬挂疏散示意图及疏散标志，每年组织不少于2次的突发事件应急演习。当发生台风、暴雨等灾害性天气及其他危害公共安全突发事件时，应采取以下应急措施：对设备机房、停车棚等露天设施进行检查和加固。各岗位人员必须按规定实行岗位警戒，根据不同突发事件的现场情况进行应变处理，在有关部门到达现场前，确保人身安全，减少财产损失，并全力协助处理相关事宜。</w:t>
      </w:r>
    </w:p>
    <w:p w14:paraId="2E86FE8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（8）消防设施管理</w:t>
      </w:r>
    </w:p>
    <w:p w14:paraId="7A0D75FD">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月对消防主机及各消防点的设备进行巡查，确保运行无故障；每月对室外的消防栓、消防水带、消防泵等设备进行检查，是否有埋压或损坏和失效等情况；每月对各楼层消防栓进行检查，设施是否齐全；每月对各楼层的喷淋头、感烟探测器、感温探测器、手动报警按钮及其他形式的消防设施、设备进行检查，是否有遮挡或损坏等情况；每月对各楼层的灭火器进行检查更换，是否有缺少或压力不足等情况；每月对各楼层消防通道进行检查，是否有遮挡或堵塞，各楼层的疏散指示标志是否有损坏或缺少等情况；每月对各楼层应急电源的主、备电情况进行检查。消防泵：启动检查每月1次并记录，运行正常，设施完好、无渗漏；一级保养，每年1次。消防栓：每月巡查1次，消防栓箱内各种配件完好。每年保养1次，表面无生锈现象，颜色一致；阀杆每半年加注润滑油，启动灵活运行正常，每半年放水检查。火警、报警、探测器功能：功能正常。消防水带：每半年检查一次完好无缺，无霉变。灭火器：检查及时，发现问题更新或充压。同时，负责上述检查缺陷的修复和复原，涉及维修的配合采购人或者专业的第三方处理。安保服务必须保证服务范围内无火灾责任事故、无治安案件和重大事故发生。</w:t>
      </w:r>
    </w:p>
    <w:p w14:paraId="11F8EFC7">
      <w:pPr>
        <w:autoSpaceDE w:val="0"/>
        <w:autoSpaceDN w:val="0"/>
        <w:adjustRightInd w:val="0"/>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（四）保洁服务</w:t>
      </w:r>
    </w:p>
    <w:p w14:paraId="483718A8">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内容：大楼内的楼梯（含安全通道）、大厅、走廊、电梯厅、电梯间、卫生间、会议室、车（库）棚、办公区域、辅助用房、公共活动场所的台（地）面、明沟、墙面、门、窗、灯具、垃圾箱等设施和器皿，楼宇外墙（不含砂岩及幕墙部分）等所有公共部位设施，停车场(库)、垃圾房等所有公共场地及设施和“门前三包”区域的日常保洁保养以及垃圾分类管理、废弃物清理和灭“四害”等所有环境卫生保洁。</w:t>
      </w:r>
    </w:p>
    <w:p w14:paraId="45D9F469">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人员配置：保洁人员6人，工作时间为一周六天，每天上班时间为7:30-17:00（含午餐轮休1.5小时）。</w:t>
      </w:r>
    </w:p>
    <w:p w14:paraId="2F507994">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（1）保洁领班1人</w:t>
      </w:r>
    </w:p>
    <w:p w14:paraId="0FD43235">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①负责对保洁人员的服务理念培训及岗位技能培训；</w:t>
      </w:r>
    </w:p>
    <w:p w14:paraId="10372D3B">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②负责保洁用品的登记、领用；控制保洁用品的合理使用；</w:t>
      </w:r>
    </w:p>
    <w:p w14:paraId="4EE5E75E">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③负责做好每日员工仪容仪表、礼貌服务、操作规范的检查；</w:t>
      </w:r>
    </w:p>
    <w:p w14:paraId="77211D34">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④负责检查所辖范围各责任区的清洁卫生情况；保洁员的工作状况，及时调整各种工具及人力的配置；</w:t>
      </w:r>
    </w:p>
    <w:p w14:paraId="029DEF12">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⑤负责做好保洁员排班和考勤统计工作；</w:t>
      </w:r>
    </w:p>
    <w:p w14:paraId="28CF9FF6">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（2）保洁员3人</w:t>
      </w:r>
    </w:p>
    <w:p w14:paraId="08F97A8F">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bookmarkStart w:id="93" w:name="_Hlk12811113"/>
      <w:r>
        <w:rPr>
          <w:rFonts w:hint="default" w:ascii="Times New Roman" w:hAnsi="Times New Roman" w:eastAsia="仿宋_GB2312" w:cs="Times New Roman"/>
          <w:color w:val="auto"/>
          <w:sz w:val="32"/>
          <w:szCs w:val="32"/>
        </w:rPr>
        <w:t>①牢记公司服务理念，通过服务为业主提供整洁的环境；</w:t>
      </w:r>
    </w:p>
    <w:p w14:paraId="49F1F4E6">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②注重仪容仪表、言行举止，遵守各项规章制度；</w:t>
      </w:r>
    </w:p>
    <w:p w14:paraId="491F09BF">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③对保洁领班负责，服从安排；</w:t>
      </w:r>
    </w:p>
    <w:p w14:paraId="06B969D7">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负责楼内的公共区域保洁；公共区域地面的清扫、推尘，去除地面污渍、油渍；楼内标牌、消防橱柜、门、窗、墙面、地面等公用部位的保洁；公共区域公共设施（如：卫生间、茶水室等）的清洁；楼层公共设施（如：消火栓、消防管道、垃圾桶、标识牌等）的清洁；对楼道清扫保洁，每天清运楼内垃圾；</w:t>
      </w:r>
    </w:p>
    <w:p w14:paraId="015508BE">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⑤</w:t>
      </w:r>
      <w:r>
        <w:rPr>
          <w:rFonts w:hint="default" w:ascii="Times New Roman" w:hAnsi="Times New Roman" w:eastAsia="仿宋_GB2312" w:cs="Times New Roman"/>
          <w:color w:val="auto"/>
          <w:sz w:val="32"/>
          <w:szCs w:val="32"/>
        </w:rPr>
        <w:t>每次使用完保洁工具、器具后应清洗干净，统一存放于指定地点，并及时补充或领用保洁工具、器具；</w:t>
      </w:r>
    </w:p>
    <w:p w14:paraId="3EC565FE">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⑥发现楼内公共设施损坏情况，及时上报主管；</w:t>
      </w:r>
    </w:p>
    <w:p w14:paraId="4458B628">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⑦发现楼内来访人员之可疑情况及时与安保人员联系；</w:t>
      </w:r>
    </w:p>
    <w:p w14:paraId="39CAC0BF">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⑧负责责任区域内的巡回保洁；保持公共走道畅通，发现污物杂物应及时处理，随时保证清洁卫生；</w:t>
      </w:r>
    </w:p>
    <w:p w14:paraId="11B001C9">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w:t>
      </w:r>
      <w:bookmarkEnd w:id="93"/>
      <w:r>
        <w:rPr>
          <w:rFonts w:hint="default" w:ascii="Times New Roman" w:hAnsi="Times New Roman" w:eastAsia="仿宋_GB2312" w:cs="Times New Roman"/>
          <w:color w:val="auto"/>
          <w:sz w:val="32"/>
          <w:szCs w:val="32"/>
        </w:rPr>
        <w:t>不准私拿公物，私卖废品。拾到物品，应及时上交主管。</w:t>
      </w:r>
    </w:p>
    <w:p w14:paraId="4A1050CA">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（3）外围打扫1人</w:t>
      </w:r>
    </w:p>
    <w:p w14:paraId="640F808F">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①服从工作安排，文明服务，礼貌待人，服装整洁，严</w:t>
      </w:r>
    </w:p>
    <w:p w14:paraId="5097935C">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格遵守工作纪律；</w:t>
      </w:r>
    </w:p>
    <w:p w14:paraId="0ACE50AA">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②负责露天区域的保洁，每天8:00之前（每周一7:30之前）全面清扫完成院内道路、停车场、通道，清洁露天区域的瓜皮纸屑等垃圾；</w:t>
      </w:r>
    </w:p>
    <w:p w14:paraId="22BE7F01">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③露天区域的垃圾桶定期清理，垃圾桶无满溢现象；</w:t>
      </w:r>
    </w:p>
    <w:p w14:paraId="5EFC10BC">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④每次使用完保洁工具、器具后应清洗干净，统一存放于指定地点，并及时补充或领用保洁工具、器具；</w:t>
      </w:r>
    </w:p>
    <w:p w14:paraId="09B6B5E4">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⑤发现院内公共设施损坏情况，及时上报主管；</w:t>
      </w:r>
    </w:p>
    <w:p w14:paraId="3E4B4200">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⑥负责责任区域内的巡回保洁；每两小时巡查1次，保证路面无垃圾、无杂物。</w:t>
      </w:r>
    </w:p>
    <w:p w14:paraId="0383E7E5">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（4）玻璃清洁1人</w:t>
      </w:r>
    </w:p>
    <w:p w14:paraId="515A2F79">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①一周2次清洗玻璃，保持玻璃清洁明亮。进入办公室清洁玻璃时，须经过办公人员允许;</w:t>
      </w:r>
    </w:p>
    <w:p w14:paraId="4C6A9521">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②玻璃清洁操作过程中，注意保持安全距离，防止跌落；</w:t>
      </w:r>
    </w:p>
    <w:p w14:paraId="354FC4A4">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③清洁玻璃时，正确使用工具及材料，检查玻璃表面是否干净，如有污渍，重新清洗；</w:t>
      </w:r>
    </w:p>
    <w:p w14:paraId="1A537E04">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④操作完成后，清理现场，归置工具与材料。</w:t>
      </w:r>
    </w:p>
    <w:p w14:paraId="25036563">
      <w:pPr>
        <w:pStyle w:val="22"/>
        <w:ind w:left="0" w:leftChars="0"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bCs/>
          <w:color w:val="auto"/>
          <w:sz w:val="32"/>
          <w:szCs w:val="32"/>
        </w:rPr>
        <w:t>⑤每半年对单位内所有玻璃完成一次清洗。</w:t>
      </w:r>
    </w:p>
    <w:p w14:paraId="091D330E">
      <w:pPr>
        <w:autoSpaceDE w:val="0"/>
        <w:autoSpaceDN w:val="0"/>
        <w:adjustRightInd w:val="0"/>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具体服务包括且不限于下列内容：</w:t>
      </w:r>
    </w:p>
    <w:p w14:paraId="24D05D4C">
      <w:pPr>
        <w:autoSpaceDE w:val="0"/>
        <w:autoSpaceDN w:val="0"/>
        <w:adjustRightIn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（1）公共场所日常服务内容：水泥地面、石材地面、扶手、门窗玻璃、门及门窗框、天花板、栏杆、消防楼梯区域、草坪花坛、停车场等，及时清除各种垃圾等杂物，无积灰、印迹、污渍等</w:t>
      </w:r>
      <w:r>
        <w:rPr>
          <w:rFonts w:hint="default" w:ascii="Times New Roman" w:hAnsi="Times New Roman" w:eastAsia="仿宋_GB2312" w:cs="Times New Roman"/>
          <w:color w:val="auto"/>
          <w:sz w:val="32"/>
          <w:szCs w:val="32"/>
        </w:rPr>
        <w:t>。</w:t>
      </w:r>
    </w:p>
    <w:p w14:paraId="099578BB">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门厅、办公区域等特定区域保洁服务内容：地面、天花板、门窗玻璃、门及门窗框、墙壁附体，灯具、垃圾桶等公用设施表面，电梯及卫生间等严格按要求做好清洁、清运及日常消杀工作，无积灰、印迹、污渍。白色墙面及顶面如有污渍等应及时清除。</w:t>
      </w:r>
    </w:p>
    <w:p w14:paraId="3439AA1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（3）顶篷等边缘区域服务内容：屋顶屋面、沟槽、地面及边角区域，各种附体表面及时进行清洁。</w:t>
      </w:r>
    </w:p>
    <w:p w14:paraId="205438A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（4）水电和设备等设施类服务内容：一般机器表面清洁（有特殊规定的设备除外），消防设施、空调的表面洗尘与保洁。</w:t>
      </w:r>
    </w:p>
    <w:p w14:paraId="2AD8BB2A">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（5）电梯服务内容：保持电梯轿厢内外无果壳、纸屑等杂物，无污渍、无灰尘、手印、鞋印，表面光亮可映出人影。每天对轿厢内外用油布擦拭</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次，每周用不锈钢油对轿厢内外进行轻抹保养</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w:t>
      </w:r>
    </w:p>
    <w:p w14:paraId="0F64217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（6）不锈钢保洁服务内容：包括所有不锈钢制品、设施、设备，除有明确规定的保洁要求外，至少每</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个月用不锈钢油保养</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次。哑光不锈钢表面无污渍、无灰尘；镜面不锈钢表面光亮。</w:t>
      </w:r>
    </w:p>
    <w:p w14:paraId="631F7273">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（7）特殊区域必须在采购人指导下，开展日常保洁工作。保洁人员清理完成后，必须马上离开特殊区域，不得在特殊区域逗留、休息。</w:t>
      </w:r>
    </w:p>
    <w:p w14:paraId="16646ACD">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垃圾清运服务内容：做好垃圾分类管理，垃圾箱、桶的垃圾存量不超过上缘，每日清理2次，做到日产日清，定期清洗，每周消毒1次，无明显积水，无蚊蝇飞舞。垃圾清运工具应保持清洁无破损，清运过程中不得产生二次污染。各类垃圾运到规定的垃圾房，其中公共区域、卫生间无堆积垃圾（根据实际情况增加垃圾清理次数）。</w:t>
      </w:r>
    </w:p>
    <w:p w14:paraId="4AEFDE1A">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238FE85D">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日常保洁时，要求大楼地面、盥洗间、开水间、会议室等每天巡回保洁，达到地面干净无垃圾、无杂物、无污渍、无积水、无泥沙灰尘、无痰迹、无烟蒂；卫生洁具干净、光亮、无污迹，不变色（无黄渍），无异味，下水道畅通无堵塞，玻璃镜面干净光亮、无污迹、无灰尘、无水迹、无手印迹；沙发、茶几等干净无垃圾、无杂物、无污渍、无灰尘、光亮整洁；接待室、会议室等随用随清，桌椅摆放整齐，上面无杂物、无垃圾、无水渍、无灰尘；开水房保持整洁，地面干燥、无垃圾、无杂物。</w:t>
      </w:r>
    </w:p>
    <w:p w14:paraId="08FEB67C">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（2）其它日常保洁（非巡回保洁）及专业清洁时，须达到以下标准：</w:t>
      </w:r>
    </w:p>
    <w:p w14:paraId="5232D748">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①墙面、天顶干净无污迹、浮尘；</w:t>
      </w:r>
    </w:p>
    <w:p w14:paraId="5F6FF802">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②目视灯具、灯管、灯杆、灯罩、灯盖等照明设施无积灰、无脏污、无粘附物，灯具内无蚊虫，无积灰、无污迹；</w:t>
      </w:r>
    </w:p>
    <w:p w14:paraId="5DE25112">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③金属件干净、光亮无污迹，不变色；</w:t>
      </w:r>
    </w:p>
    <w:p w14:paraId="064EB5DF">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④库房整洁卫生（根据采购人要求定期清理）；                                                      ⑤目视墙面、管道、标识、指示牌无灰尘；</w:t>
      </w:r>
    </w:p>
    <w:p w14:paraId="0DEB47C4">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⑥墙面四周无污迹，顶部无蜘蛛网；</w:t>
      </w:r>
    </w:p>
    <w:p w14:paraId="3DE91DD8">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⑦门、窗干净无污渍、浮尘；</w:t>
      </w:r>
    </w:p>
    <w:p w14:paraId="70BD95B7">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⑧垃圾桶表面无积灰、污迹，冲洗空桶内壁无异味，垃圾桶周边无污迹、粘附物，干净、干燥无异味；</w:t>
      </w:r>
    </w:p>
    <w:p w14:paraId="76828CA9">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⑨卫生间墙面、隔屏干净光亮、无污迹、无污渍，天顶无蜘蛛网，无异味；</w:t>
      </w:r>
    </w:p>
    <w:p w14:paraId="08348CE5">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⑩监控设备干净无积灰、浮尘；</w:t>
      </w:r>
    </w:p>
    <w:p w14:paraId="798AB204">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⑪消防烟感器、指示灯、消防栓、消防箱内无积灰，出风口无灰尘、污迹；</w:t>
      </w:r>
    </w:p>
    <w:p w14:paraId="06F86C94">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⑫消防控制室地面、墙面、天顶干净无脏污、无积灰、蜘蛛网；</w:t>
      </w:r>
    </w:p>
    <w:p w14:paraId="23E927C5">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⑬目视排水沟干净无杂草、杂物，排水畅通无堵塞，积水、异味；</w:t>
      </w:r>
    </w:p>
    <w:p w14:paraId="353AF80A">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⑭内庭院池水无异味、水面干净无杂物；</w:t>
      </w:r>
    </w:p>
    <w:p w14:paraId="61B15100">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⑮化粪池及雨污水池无溢出、周边干净、无异味；</w:t>
      </w:r>
    </w:p>
    <w:p w14:paraId="6E6B743E">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围墙内的道路、停车场和“门前三包”及所有公共</w:t>
      </w:r>
      <w:bookmarkStart w:id="94" w:name="_Toc778605957_WPSOffice_Level2"/>
      <w:r>
        <w:rPr>
          <w:rFonts w:hint="default" w:ascii="Times New Roman" w:hAnsi="Times New Roman" w:eastAsia="仿宋_GB2312" w:cs="Times New Roman"/>
          <w:color w:val="auto"/>
          <w:sz w:val="32"/>
          <w:szCs w:val="32"/>
        </w:rPr>
        <w:t>区域的地面，无有形垃圾</w:t>
      </w:r>
      <w:bookmarkEnd w:id="94"/>
      <w:r>
        <w:rPr>
          <w:rFonts w:hint="default" w:ascii="Times New Roman" w:hAnsi="Times New Roman" w:eastAsia="仿宋_GB2312" w:cs="Times New Roman"/>
          <w:color w:val="auto"/>
          <w:sz w:val="32"/>
          <w:szCs w:val="32"/>
        </w:rPr>
        <w:t>和建筑垃圾、无堆积杂物、无积水和淤泥、无阻塞等，做到每日清扫两次，巡回保洁。环境卫生、清洁率达100%。</w:t>
      </w:r>
    </w:p>
    <w:p w14:paraId="705DD5C0">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（五）绿化管理维护服务</w:t>
      </w:r>
    </w:p>
    <w:p w14:paraId="6C66AE5C">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配备专职人员1人，具有</w:t>
      </w:r>
      <w:r>
        <w:rPr>
          <w:rFonts w:hint="default" w:ascii="Times New Roman" w:hAnsi="Times New Roman" w:eastAsia="仿宋_GB2312" w:cs="Times New Roman"/>
          <w:color w:val="auto"/>
          <w:sz w:val="32"/>
          <w:szCs w:val="32"/>
          <w:shd w:val="clear" w:color="auto" w:fill="auto"/>
          <w:lang w:val="en-US" w:eastAsia="zh-CN"/>
        </w:rPr>
        <w:t>4</w:t>
      </w:r>
      <w:r>
        <w:rPr>
          <w:rFonts w:hint="default" w:ascii="Times New Roman" w:hAnsi="Times New Roman" w:eastAsia="仿宋_GB2312" w:cs="Times New Roman"/>
          <w:color w:val="auto"/>
          <w:sz w:val="32"/>
          <w:szCs w:val="32"/>
          <w:shd w:val="clear" w:color="auto" w:fill="auto"/>
        </w:rPr>
        <w:t>年以上</w:t>
      </w:r>
      <w:r>
        <w:rPr>
          <w:rFonts w:hint="default" w:ascii="Times New Roman" w:hAnsi="Times New Roman" w:eastAsia="仿宋_GB2312" w:cs="Times New Roman"/>
          <w:color w:val="auto"/>
          <w:sz w:val="32"/>
          <w:szCs w:val="32"/>
        </w:rPr>
        <w:t>绿化管理维护工作经验。</w:t>
      </w:r>
    </w:p>
    <w:p w14:paraId="60F3BD46">
      <w:pPr>
        <w:autoSpaceDE w:val="0"/>
        <w:autoSpaceDN w:val="0"/>
        <w:adjustRightInd w:val="0"/>
        <w:spacing w:line="5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每周工作时间：周一至周五，7:30-1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0，9小时（含午餐轮休1.5小时）。</w:t>
      </w:r>
    </w:p>
    <w:p w14:paraId="7A6E71FD">
      <w:pPr>
        <w:autoSpaceDE w:val="0"/>
        <w:autoSpaceDN w:val="0"/>
        <w:adjustRightIn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内容：室内外公共区域绿地（绿化面积约2000㎡）以及门前三包范围绿化（面积和绿植数量等数据看看是否能补充一点）的养护、修剪、整理及补种（包括乔木、灌木和草坪等），包括消杀除虫；公共区域的绿色植物的摆放、养护与管理。</w:t>
      </w:r>
      <w:r>
        <w:rPr>
          <w:rFonts w:hint="default" w:ascii="Times New Roman" w:hAnsi="Times New Roman" w:eastAsia="仿宋_GB2312" w:cs="Times New Roman"/>
          <w:color w:val="auto"/>
          <w:sz w:val="32"/>
          <w:szCs w:val="32"/>
        </w:rPr>
        <w:tab/>
      </w:r>
    </w:p>
    <w:p w14:paraId="65978260">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2、服务质量标准</w:t>
      </w:r>
    </w:p>
    <w:p w14:paraId="4CC2AE56">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（1）绿化养护</w:t>
      </w:r>
    </w:p>
    <w:p w14:paraId="70377629">
      <w:pPr>
        <w:autoSpaceDE w:val="0"/>
        <w:autoSpaceDN w:val="0"/>
        <w:adjustRightInd w:val="0"/>
        <w:spacing w:line="580" w:lineRule="exact"/>
        <w:ind w:firstLine="5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养护种类、内容、要求如下：</w:t>
      </w:r>
    </w:p>
    <w:tbl>
      <w:tblPr>
        <w:tblStyle w:val="53"/>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360"/>
        <w:gridCol w:w="7403"/>
      </w:tblGrid>
      <w:tr w14:paraId="369F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tblHeader/>
          <w:jc w:val="center"/>
        </w:trPr>
        <w:tc>
          <w:tcPr>
            <w:tcW w:w="1360" w:type="dxa"/>
            <w:vAlign w:val="center"/>
          </w:tcPr>
          <w:p w14:paraId="30DB040F">
            <w:pPr>
              <w:overflowPunct w:val="0"/>
              <w:autoSpaceDN w:val="0"/>
              <w:adjustRightInd w:val="0"/>
              <w:snapToGrid w:val="0"/>
              <w:spacing w:line="380" w:lineRule="exact"/>
              <w:jc w:val="center"/>
              <w:textAlignment w:val="top"/>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养护种类</w:t>
            </w:r>
          </w:p>
        </w:tc>
        <w:tc>
          <w:tcPr>
            <w:tcW w:w="7403" w:type="dxa"/>
            <w:vAlign w:val="center"/>
          </w:tcPr>
          <w:p w14:paraId="6FD296E0">
            <w:pPr>
              <w:autoSpaceDN w:val="0"/>
              <w:adjustRightInd w:val="0"/>
              <w:snapToGrid w:val="0"/>
              <w:spacing w:line="380" w:lineRule="exact"/>
              <w:jc w:val="center"/>
              <w:textAlignment w:val="top"/>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养护内容</w:t>
            </w:r>
          </w:p>
        </w:tc>
      </w:tr>
      <w:tr w14:paraId="725C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265" w:hRule="atLeast"/>
          <w:jc w:val="center"/>
        </w:trPr>
        <w:tc>
          <w:tcPr>
            <w:tcW w:w="1360" w:type="dxa"/>
            <w:vMerge w:val="restart"/>
            <w:vAlign w:val="center"/>
          </w:tcPr>
          <w:p w14:paraId="2425A48C">
            <w:pPr>
              <w:autoSpaceDN w:val="0"/>
              <w:adjustRightInd w:val="0"/>
              <w:snapToGrid w:val="0"/>
              <w:spacing w:line="380" w:lineRule="exact"/>
              <w:jc w:val="center"/>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常绿乔木、落叶乔木的养护</w:t>
            </w:r>
          </w:p>
        </w:tc>
        <w:tc>
          <w:tcPr>
            <w:tcW w:w="7403" w:type="dxa"/>
            <w:vAlign w:val="center"/>
          </w:tcPr>
          <w:p w14:paraId="0E2174F9">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春季：</w:t>
            </w:r>
          </w:p>
          <w:p w14:paraId="153156D7">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①逐步撤除防寒设施和防寒物，进行灌溉与施肥，为树木萌发生长创造适宜的水肥条件</w:t>
            </w:r>
          </w:p>
          <w:p w14:paraId="6156B926">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②对原有和新植树木进行抺牙、除檗</w:t>
            </w:r>
          </w:p>
          <w:p w14:paraId="3EDB4224">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③风害树木顺势扶正，根部培土成馒头型</w:t>
            </w:r>
          </w:p>
          <w:p w14:paraId="1077C6A7">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④做好春季病虫害防治工作，</w:t>
            </w:r>
            <w:r>
              <w:rPr>
                <w:rFonts w:hint="eastAsia" w:ascii="Times New Roman" w:hAnsi="Times New Roman" w:eastAsia="仿宋_GB2312" w:cs="Times New Roman"/>
                <w:bCs/>
                <w:color w:val="auto"/>
                <w:sz w:val="24"/>
                <w:szCs w:val="24"/>
                <w:lang w:val="en-US" w:eastAsia="zh-CN"/>
              </w:rPr>
              <w:t>3</w:t>
            </w:r>
            <w:r>
              <w:rPr>
                <w:rFonts w:hint="default" w:ascii="Times New Roman" w:hAnsi="Times New Roman" w:eastAsia="仿宋_GB2312" w:cs="Times New Roman"/>
                <w:bCs/>
                <w:color w:val="auto"/>
                <w:sz w:val="24"/>
                <w:szCs w:val="24"/>
              </w:rPr>
              <w:t>月份即开始进行全面预防喷药</w:t>
            </w:r>
          </w:p>
          <w:p w14:paraId="3FC55A67">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⑤做好雨季防涝的准备工作</w:t>
            </w:r>
          </w:p>
        </w:tc>
      </w:tr>
      <w:tr w14:paraId="13B1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jc w:val="center"/>
        </w:trPr>
        <w:tc>
          <w:tcPr>
            <w:tcW w:w="1360" w:type="dxa"/>
            <w:vMerge w:val="continue"/>
          </w:tcPr>
          <w:p w14:paraId="18915C26">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p>
        </w:tc>
        <w:tc>
          <w:tcPr>
            <w:tcW w:w="7403" w:type="dxa"/>
            <w:vAlign w:val="center"/>
          </w:tcPr>
          <w:p w14:paraId="4679E107">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夏季：</w:t>
            </w:r>
          </w:p>
          <w:p w14:paraId="4C3BF4F0">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①及时浇水抗旱，雨水过多时加强排水防涝</w:t>
            </w:r>
          </w:p>
          <w:p w14:paraId="7875C552">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②严防病虫害，特别是叶面病虫害的发生</w:t>
            </w:r>
          </w:p>
          <w:p w14:paraId="6EE4B0F9">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③进行生长期修剪，宜尽量从轻，主要控制竞争枝、内膛枝、直立枝、徒长枝的发生和长势，以集中营养供骨干枝旺盛生长之需</w:t>
            </w:r>
          </w:p>
        </w:tc>
      </w:tr>
      <w:tr w14:paraId="7D92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jc w:val="center"/>
        </w:trPr>
        <w:tc>
          <w:tcPr>
            <w:tcW w:w="1360" w:type="dxa"/>
            <w:vMerge w:val="continue"/>
          </w:tcPr>
          <w:p w14:paraId="78FCAFC4">
            <w:pPr>
              <w:adjustRightInd w:val="0"/>
              <w:snapToGrid w:val="0"/>
              <w:spacing w:line="380" w:lineRule="exact"/>
              <w:rPr>
                <w:rFonts w:hint="default" w:ascii="Times New Roman" w:hAnsi="Times New Roman" w:eastAsia="仿宋_GB2312" w:cs="Times New Roman"/>
                <w:bCs/>
                <w:color w:val="auto"/>
                <w:sz w:val="24"/>
                <w:szCs w:val="24"/>
              </w:rPr>
            </w:pPr>
          </w:p>
        </w:tc>
        <w:tc>
          <w:tcPr>
            <w:tcW w:w="7403" w:type="dxa"/>
            <w:vAlign w:val="center"/>
          </w:tcPr>
          <w:p w14:paraId="6A28D72A">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秋季：</w:t>
            </w:r>
          </w:p>
          <w:p w14:paraId="72715F5B">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①继续做好抗旱排涝后期工作，旱时灌水，涝时及时排积水</w:t>
            </w:r>
          </w:p>
          <w:p w14:paraId="7E9C27B6">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②做好秋季植树</w:t>
            </w:r>
          </w:p>
          <w:p w14:paraId="70C5C55C">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③防治病虫害，及时进行药物喷洒</w:t>
            </w:r>
          </w:p>
          <w:p w14:paraId="6A98C3E1">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④为施冬肥做好准备</w:t>
            </w:r>
          </w:p>
        </w:tc>
      </w:tr>
      <w:tr w14:paraId="2549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45" w:hRule="atLeast"/>
          <w:jc w:val="center"/>
        </w:trPr>
        <w:tc>
          <w:tcPr>
            <w:tcW w:w="1360" w:type="dxa"/>
            <w:vMerge w:val="continue"/>
          </w:tcPr>
          <w:p w14:paraId="3607EA9C">
            <w:pPr>
              <w:adjustRightInd w:val="0"/>
              <w:snapToGrid w:val="0"/>
              <w:spacing w:line="380" w:lineRule="exact"/>
              <w:rPr>
                <w:rFonts w:hint="default" w:ascii="Times New Roman" w:hAnsi="Times New Roman" w:eastAsia="仿宋_GB2312" w:cs="Times New Roman"/>
                <w:bCs/>
                <w:color w:val="auto"/>
                <w:sz w:val="24"/>
                <w:szCs w:val="24"/>
              </w:rPr>
            </w:pPr>
          </w:p>
        </w:tc>
        <w:tc>
          <w:tcPr>
            <w:tcW w:w="7403" w:type="dxa"/>
            <w:vAlign w:val="center"/>
          </w:tcPr>
          <w:p w14:paraId="4361AD9F">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冬季：</w:t>
            </w:r>
          </w:p>
          <w:p w14:paraId="21649D59">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xml:space="preserve">①进行冬季整形修剪，幼树的修剪以整形为主，对观叶树以控制侧枝生长， </w:t>
            </w:r>
          </w:p>
          <w:p w14:paraId="4C1606F0">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②促进主枝生长为目的，修去病虫枝、徒长枝、过密枝、枯死枝以及藤蔓寄生植物，保持树形优美</w:t>
            </w:r>
          </w:p>
          <w:p w14:paraId="219BEB52">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③开环状沟施冬肥，保障来年生长</w:t>
            </w:r>
          </w:p>
          <w:p w14:paraId="59089575">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④做好防寒工作，对新栽不耐寒树种树干基部以上缠绕草绳御寒</w:t>
            </w:r>
          </w:p>
          <w:p w14:paraId="7CC7D28C">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⑤防治病虫害，消灭越冬虫包、虫茧和幼虫</w:t>
            </w:r>
          </w:p>
          <w:p w14:paraId="03D8ECEB">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⑥刷白：对生长良好的树干在主干基部以上1.2~1.5米处涂石灰液（浆）加盐刷白，做到涂布均匀，上缘平整</w:t>
            </w:r>
          </w:p>
        </w:tc>
      </w:tr>
      <w:tr w14:paraId="475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652" w:hRule="atLeast"/>
          <w:jc w:val="center"/>
        </w:trPr>
        <w:tc>
          <w:tcPr>
            <w:tcW w:w="1360" w:type="dxa"/>
            <w:vMerge w:val="restart"/>
            <w:vAlign w:val="center"/>
          </w:tcPr>
          <w:p w14:paraId="468C2A91">
            <w:pPr>
              <w:autoSpaceDN w:val="0"/>
              <w:adjustRightInd w:val="0"/>
              <w:snapToGrid w:val="0"/>
              <w:spacing w:line="380" w:lineRule="exact"/>
              <w:jc w:val="center"/>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小乔木、灌木、开花植物的养护</w:t>
            </w:r>
          </w:p>
        </w:tc>
        <w:tc>
          <w:tcPr>
            <w:tcW w:w="7403" w:type="dxa"/>
          </w:tcPr>
          <w:p w14:paraId="7C5605F6">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春季：</w:t>
            </w:r>
          </w:p>
          <w:p w14:paraId="04532091">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①撤除防寒设施和防寒物</w:t>
            </w:r>
            <w:bookmarkStart w:id="95" w:name="_Toc239899967_WPSOffice_Level2"/>
          </w:p>
          <w:p w14:paraId="78B5F76B">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②开展春季施肥</w:t>
            </w:r>
            <w:bookmarkEnd w:id="95"/>
            <w:r>
              <w:rPr>
                <w:rFonts w:hint="default" w:ascii="Times New Roman" w:hAnsi="Times New Roman" w:eastAsia="仿宋_GB2312" w:cs="Times New Roman"/>
                <w:bCs/>
                <w:color w:val="auto"/>
                <w:sz w:val="24"/>
                <w:szCs w:val="24"/>
              </w:rPr>
              <w:t>工作及深挖松土工作，尤其是早春植物，施以磷钾为主的肥料，促进花芽分化，松土要耐心细致，尽量减少伤害植物根系</w:t>
            </w:r>
          </w:p>
          <w:p w14:paraId="0492A999">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③进行春季整形修剪及开花植物疏蕾工作，蔷薇科植物的整形修剪只宜在春季进行</w:t>
            </w:r>
          </w:p>
          <w:p w14:paraId="23C20E59">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④对春花植物的花后整形修剪，应选在叶芽开始膨大尚未萌发时进行，花后追肥施以氮为主的肥料</w:t>
            </w:r>
          </w:p>
          <w:p w14:paraId="3D947A01">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⑤中耕除草，抗旱排涝</w:t>
            </w:r>
          </w:p>
          <w:p w14:paraId="298E8A8A">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⑥防治病虫害，提早进行预防喷药，病虫害发生及时采取应对措施</w:t>
            </w:r>
          </w:p>
          <w:p w14:paraId="3D27C1BE">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⑦做好例行的整形修剪工作</w:t>
            </w:r>
          </w:p>
        </w:tc>
      </w:tr>
      <w:tr w14:paraId="33FA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55" w:hRule="atLeast"/>
          <w:jc w:val="center"/>
        </w:trPr>
        <w:tc>
          <w:tcPr>
            <w:tcW w:w="1360" w:type="dxa"/>
            <w:vMerge w:val="continue"/>
          </w:tcPr>
          <w:p w14:paraId="6BC0D16E">
            <w:pPr>
              <w:adjustRightInd w:val="0"/>
              <w:snapToGrid w:val="0"/>
              <w:spacing w:line="380" w:lineRule="exact"/>
              <w:rPr>
                <w:rFonts w:hint="default" w:ascii="Times New Roman" w:hAnsi="Times New Roman" w:eastAsia="仿宋_GB2312" w:cs="Times New Roman"/>
                <w:bCs/>
                <w:color w:val="auto"/>
                <w:sz w:val="24"/>
                <w:szCs w:val="24"/>
              </w:rPr>
            </w:pPr>
          </w:p>
        </w:tc>
        <w:tc>
          <w:tcPr>
            <w:tcW w:w="7403" w:type="dxa"/>
          </w:tcPr>
          <w:p w14:paraId="61559C06">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夏季：</w:t>
            </w:r>
          </w:p>
          <w:p w14:paraId="01E71342">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①抓紧抗旱排涝工作，结合浇水适当施肥</w:t>
            </w:r>
          </w:p>
          <w:p w14:paraId="3CB8A628">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②紫薇等夏花植物的花前花后施肥修剪工作，及时剪除残花，节约养分</w:t>
            </w:r>
          </w:p>
          <w:p w14:paraId="63193737">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③高温高湿注意防治病虫害的发生，提早预防，及时喷药</w:t>
            </w:r>
          </w:p>
          <w:p w14:paraId="44232BA8">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④修剪整形以整齐美观为主</w:t>
            </w:r>
          </w:p>
        </w:tc>
      </w:tr>
      <w:tr w14:paraId="49E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680" w:hRule="atLeast"/>
          <w:jc w:val="center"/>
        </w:trPr>
        <w:tc>
          <w:tcPr>
            <w:tcW w:w="1360" w:type="dxa"/>
            <w:vMerge w:val="continue"/>
          </w:tcPr>
          <w:p w14:paraId="418EE92C">
            <w:pPr>
              <w:adjustRightInd w:val="0"/>
              <w:snapToGrid w:val="0"/>
              <w:spacing w:line="380" w:lineRule="exact"/>
              <w:rPr>
                <w:rFonts w:hint="default" w:ascii="Times New Roman" w:hAnsi="Times New Roman" w:eastAsia="仿宋_GB2312" w:cs="Times New Roman"/>
                <w:bCs/>
                <w:color w:val="auto"/>
                <w:sz w:val="24"/>
                <w:szCs w:val="24"/>
              </w:rPr>
            </w:pPr>
          </w:p>
        </w:tc>
        <w:tc>
          <w:tcPr>
            <w:tcW w:w="7403" w:type="dxa"/>
          </w:tcPr>
          <w:p w14:paraId="05A1889A">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秋季：</w:t>
            </w:r>
          </w:p>
          <w:p w14:paraId="54709B9D">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①继续做好抗旱排涝工作及病虫害防治工作</w:t>
            </w:r>
          </w:p>
          <w:p w14:paraId="2BCF3EFF">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②整理除杂，做到植物清枝绿叶，园容干净整齐</w:t>
            </w:r>
          </w:p>
          <w:p w14:paraId="50BE39A2">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③清除死树，进行秋季补植工作</w:t>
            </w:r>
          </w:p>
          <w:p w14:paraId="032218D5">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④秋花植物花前花后的修剪施肥</w:t>
            </w:r>
          </w:p>
        </w:tc>
      </w:tr>
      <w:tr w14:paraId="0E9A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270" w:hRule="atLeast"/>
          <w:jc w:val="center"/>
        </w:trPr>
        <w:tc>
          <w:tcPr>
            <w:tcW w:w="1360" w:type="dxa"/>
            <w:vMerge w:val="continue"/>
          </w:tcPr>
          <w:p w14:paraId="393F8158">
            <w:pPr>
              <w:adjustRightInd w:val="0"/>
              <w:snapToGrid w:val="0"/>
              <w:spacing w:line="380" w:lineRule="exact"/>
              <w:rPr>
                <w:rFonts w:hint="default" w:ascii="Times New Roman" w:hAnsi="Times New Roman" w:eastAsia="仿宋_GB2312" w:cs="Times New Roman"/>
                <w:bCs/>
                <w:color w:val="auto"/>
                <w:sz w:val="24"/>
                <w:szCs w:val="24"/>
              </w:rPr>
            </w:pPr>
          </w:p>
        </w:tc>
        <w:tc>
          <w:tcPr>
            <w:tcW w:w="7403" w:type="dxa"/>
          </w:tcPr>
          <w:p w14:paraId="67D9B200">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冬季：</w:t>
            </w:r>
          </w:p>
          <w:p w14:paraId="65443FF4">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①进行冬季整形修剪，修去病虫枝、徒长枝、过密枝、枯死枝及藤蔓寄生物，保持树形优美</w:t>
            </w:r>
          </w:p>
          <w:p w14:paraId="30496271">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②冬翻土地，翻晒使虫卵死亡，施冬肥要深施、施足，以此改良土壤，使来年树木、花草生长迅速</w:t>
            </w:r>
          </w:p>
          <w:p w14:paraId="1BFB55DF">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③做好防寒工作，如苏铁的包扎</w:t>
            </w:r>
          </w:p>
          <w:p w14:paraId="18020B7C">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④防治病虫害，消灭越冬虫包、虫茧和幼虫</w:t>
            </w:r>
          </w:p>
        </w:tc>
      </w:tr>
      <w:tr w14:paraId="1B8A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00" w:hRule="atLeast"/>
          <w:jc w:val="center"/>
        </w:trPr>
        <w:tc>
          <w:tcPr>
            <w:tcW w:w="1360" w:type="dxa"/>
            <w:vMerge w:val="restart"/>
            <w:vAlign w:val="center"/>
          </w:tcPr>
          <w:p w14:paraId="76893108">
            <w:pPr>
              <w:autoSpaceDN w:val="0"/>
              <w:adjustRightInd w:val="0"/>
              <w:snapToGrid w:val="0"/>
              <w:spacing w:line="380" w:lineRule="exact"/>
              <w:jc w:val="center"/>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草地的养护</w:t>
            </w:r>
          </w:p>
        </w:tc>
        <w:tc>
          <w:tcPr>
            <w:tcW w:w="7403" w:type="dxa"/>
            <w:vAlign w:val="center"/>
          </w:tcPr>
          <w:p w14:paraId="7940F4D3">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春季：</w:t>
            </w:r>
          </w:p>
          <w:p w14:paraId="04700958">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①对已被破坏的草皮地段进行春季修复工作</w:t>
            </w:r>
          </w:p>
          <w:p w14:paraId="7062A10B">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②用打孔或划破的方法增强草皮的透气性，促使草皮更新复壮</w:t>
            </w:r>
          </w:p>
          <w:p w14:paraId="741FED6A">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③防治草皮病虫害，春季主要防治地老虎和草坪锈病、枯萎病</w:t>
            </w:r>
          </w:p>
          <w:p w14:paraId="1D6F0F60">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④四月份开始对草坪进行修剪</w:t>
            </w:r>
          </w:p>
          <w:p w14:paraId="3C4D42BE">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⑤春末进行草坪施肥，以氮、磷、钾为主</w:t>
            </w:r>
          </w:p>
          <w:p w14:paraId="26BDAB06">
            <w:pPr>
              <w:autoSpaceDN w:val="0"/>
              <w:adjustRightInd w:val="0"/>
              <w:snapToGrid w:val="0"/>
              <w:spacing w:line="36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⑥杂草防除是春季草坪养护重点。对阔叶型杂草可用除莠剂进行化学防治，其他杂草应加紧预防，加强人工拔除</w:t>
            </w:r>
          </w:p>
        </w:tc>
      </w:tr>
      <w:tr w14:paraId="349E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jc w:val="center"/>
        </w:trPr>
        <w:tc>
          <w:tcPr>
            <w:tcW w:w="1360" w:type="dxa"/>
            <w:vMerge w:val="continue"/>
          </w:tcPr>
          <w:p w14:paraId="4A4EC7DB">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p>
        </w:tc>
        <w:tc>
          <w:tcPr>
            <w:tcW w:w="7403" w:type="dxa"/>
          </w:tcPr>
          <w:p w14:paraId="2CDB3988">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夏季：</w:t>
            </w:r>
          </w:p>
          <w:p w14:paraId="584A30D2">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①做好草坪抗旱工作，及时浇水，水量要充足</w:t>
            </w:r>
          </w:p>
          <w:p w14:paraId="592F0F0C">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②根据草坪营养状况，酌情施肥</w:t>
            </w:r>
          </w:p>
          <w:p w14:paraId="42C28F21">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③草坪到一定高度及时修剪，及时清场，防止草坪的过于茂盛滋生病害影响后期生长</w:t>
            </w:r>
          </w:p>
          <w:p w14:paraId="70386580">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④检查虫情病情，采取预防措施</w:t>
            </w:r>
          </w:p>
        </w:tc>
      </w:tr>
      <w:tr w14:paraId="0E5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jc w:val="center"/>
        </w:trPr>
        <w:tc>
          <w:tcPr>
            <w:tcW w:w="1360" w:type="dxa"/>
            <w:vMerge w:val="continue"/>
          </w:tcPr>
          <w:p w14:paraId="3BAAD7C5">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p>
        </w:tc>
        <w:tc>
          <w:tcPr>
            <w:tcW w:w="7403" w:type="dxa"/>
            <w:vAlign w:val="center"/>
          </w:tcPr>
          <w:p w14:paraId="77B3BF0D">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秋季：</w:t>
            </w:r>
          </w:p>
          <w:p w14:paraId="69102AD2">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①草坪出现缺水指标时及时进行灌溉</w:t>
            </w:r>
          </w:p>
          <w:p w14:paraId="790A193B">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②九月份可照旧剪草，到十月份逐渐停止，最后一、二次修剪应提高留茬高度</w:t>
            </w:r>
          </w:p>
          <w:p w14:paraId="4AD493F8">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③挖除丛生的荒草，修复草坪</w:t>
            </w:r>
          </w:p>
          <w:p w14:paraId="30CB480A">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④做好病虫害防治工作</w:t>
            </w:r>
          </w:p>
          <w:p w14:paraId="26EC6984">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⑤清除落叶杂物，保持草坪清洁干净</w:t>
            </w:r>
          </w:p>
          <w:p w14:paraId="38DD16B2">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⑥视草坪生长情况，进行一次秋季施肥，可施以氮肥</w:t>
            </w:r>
          </w:p>
        </w:tc>
      </w:tr>
      <w:tr w14:paraId="595A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jc w:val="center"/>
        </w:trPr>
        <w:tc>
          <w:tcPr>
            <w:tcW w:w="1360" w:type="dxa"/>
            <w:vMerge w:val="continue"/>
          </w:tcPr>
          <w:p w14:paraId="7271C2B8">
            <w:pPr>
              <w:autoSpaceDN w:val="0"/>
              <w:adjustRightInd w:val="0"/>
              <w:snapToGrid w:val="0"/>
              <w:spacing w:line="380" w:lineRule="exact"/>
              <w:textAlignment w:val="center"/>
              <w:rPr>
                <w:rFonts w:hint="default" w:ascii="Times New Roman" w:hAnsi="Times New Roman" w:eastAsia="仿宋_GB2312" w:cs="Times New Roman"/>
                <w:bCs/>
                <w:color w:val="auto"/>
                <w:sz w:val="24"/>
                <w:szCs w:val="24"/>
              </w:rPr>
            </w:pPr>
          </w:p>
        </w:tc>
        <w:tc>
          <w:tcPr>
            <w:tcW w:w="7403" w:type="dxa"/>
            <w:vAlign w:val="center"/>
          </w:tcPr>
          <w:p w14:paraId="4364FAF1">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冬季：</w:t>
            </w:r>
          </w:p>
          <w:p w14:paraId="1701608E">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①在晴朗天气对草坪进行最后一次高茬修剪</w:t>
            </w:r>
          </w:p>
          <w:p w14:paraId="3272A7DB">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②继续除杂</w:t>
            </w:r>
          </w:p>
          <w:p w14:paraId="1CAD28B7">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③清理、保养好所有草坪设备，以便过冬</w:t>
            </w:r>
          </w:p>
          <w:p w14:paraId="64D6FE6F">
            <w:pPr>
              <w:autoSpaceDN w:val="0"/>
              <w:adjustRightInd w:val="0"/>
              <w:snapToGrid w:val="0"/>
              <w:spacing w:line="380" w:lineRule="exact"/>
              <w:textAlignment w:val="top"/>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④全面清理草坪</w:t>
            </w:r>
          </w:p>
        </w:tc>
      </w:tr>
    </w:tbl>
    <w:p w14:paraId="38A79307">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①按</w:t>
      </w:r>
      <w:r>
        <w:rPr>
          <w:rFonts w:hint="default" w:ascii="Times New Roman" w:hAnsi="Times New Roman" w:eastAsia="仿宋_GB2312" w:cs="Times New Roman"/>
          <w:color w:val="auto"/>
          <w:sz w:val="32"/>
          <w:szCs w:val="32"/>
        </w:rPr>
        <w:t>《浙江省园林绿化技术标准》（试行）之《园林植物养护管理技术规程（DBJ33/T 1009-2023）》、</w:t>
      </w:r>
      <w:bookmarkStart w:id="96" w:name="OLE_LINK1"/>
      <w:bookmarkStart w:id="97" w:name="OLE_LINK2"/>
      <w:r>
        <w:rPr>
          <w:rFonts w:hint="default" w:ascii="Times New Roman" w:hAnsi="Times New Roman" w:eastAsia="仿宋_GB2312" w:cs="Times New Roman"/>
          <w:color w:val="auto"/>
          <w:sz w:val="32"/>
          <w:szCs w:val="32"/>
        </w:rPr>
        <w:t>《杭州市城区绿地养护质量标准》</w:t>
      </w:r>
      <w:bookmarkEnd w:id="96"/>
      <w:bookmarkEnd w:id="97"/>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bCs/>
          <w:color w:val="auto"/>
          <w:sz w:val="32"/>
          <w:szCs w:val="32"/>
        </w:rPr>
        <w:t>对树木、花卉及草坪进行精心养护、保持其良好的生长状况。</w:t>
      </w:r>
    </w:p>
    <w:p w14:paraId="4E718EF6">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②及时清理绿化带、草坪内的石块、垃圾、杂草，及时修剪乔木的枯枝、损伤树枝等。做到绿地内无杂草、</w:t>
      </w:r>
      <w:bookmarkStart w:id="98" w:name="_Toc1528738915_WPSOffice_Level2"/>
      <w:r>
        <w:rPr>
          <w:rFonts w:hint="default" w:ascii="Times New Roman" w:hAnsi="Times New Roman" w:eastAsia="仿宋_GB2312" w:cs="Times New Roman"/>
          <w:bCs/>
          <w:color w:val="auto"/>
          <w:sz w:val="32"/>
          <w:szCs w:val="32"/>
        </w:rPr>
        <w:t>垃圾、杂物</w:t>
      </w:r>
      <w:bookmarkEnd w:id="98"/>
      <w:r>
        <w:rPr>
          <w:rFonts w:hint="default" w:ascii="Times New Roman" w:hAnsi="Times New Roman" w:eastAsia="仿宋_GB2312" w:cs="Times New Roman"/>
          <w:bCs/>
          <w:color w:val="auto"/>
          <w:sz w:val="32"/>
          <w:szCs w:val="32"/>
        </w:rPr>
        <w:t>、枯废树枝，绿地与道路之间分隔清晰。</w:t>
      </w:r>
    </w:p>
    <w:p w14:paraId="62D6FC4C">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③根据气候变化及时对乔木、草坪、花卉、灌木进行浇水，保持无积水、无旱情，不得因涝、旱影响植物生长。</w:t>
      </w:r>
    </w:p>
    <w:p w14:paraId="34BE1BE6">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④根据植物生长态势和采购人绿化的实际要求，有计划地做好植被施肥、全年购置各种肥的数量和价格进行登记，及时做好更换补种工作。</w:t>
      </w:r>
    </w:p>
    <w:p w14:paraId="6CF64CDF">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⑤每天有足够的人员做好日常绿地巡查和养护工作，保证树木保活率达到99%以上，其中名贵树木应达到100%，同时应保持树干挺直、新栽树须立支撑，有倾斜的树木应及时扶正。</w:t>
      </w:r>
    </w:p>
    <w:p w14:paraId="27C5DF4F">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⑥及时修剪草坪，保持草坪平整，割草每季度不少于2次，其中生长旺季每月为1次，同时，对草坪内的杂草、杂物必须及时拔除清理，不影响草坪的景观效果。</w:t>
      </w:r>
    </w:p>
    <w:p w14:paraId="1B8C7906">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⑦对灌木及时进行修剪，树木每年整枝抹芽各2次；合理调整，保证树木骨架均匀，树形圆整；绿篱应勤修剪，保持平整，植物与花灌木的界线清晰、线条流畅，修剪时间应根据季节合理安排。</w:t>
      </w:r>
    </w:p>
    <w:p w14:paraId="50CFC30B">
      <w:pPr>
        <w:adjustRightInd w:val="0"/>
        <w:snapToGrid w:val="0"/>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⑧及时清除各种杂草，如使用化学除草剂必须保证园林植物、水体、土质的安全，无污染、无危害。</w:t>
      </w:r>
    </w:p>
    <w:p w14:paraId="11012681">
      <w:pPr>
        <w:adjustRightInd w:val="0"/>
        <w:snapToGrid w:val="0"/>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bCs/>
          <w:color w:val="auto"/>
          <w:sz w:val="32"/>
          <w:szCs w:val="32"/>
        </w:rPr>
        <w:t>⑨遇到灾害性气候，采购人应及时组织人员进行抗旱浇水、抗台护树、抗雪保树、抗寒保暖工作，自然灾害苗木损失由采购人承担，人工费用由供应商负责。</w:t>
      </w:r>
    </w:p>
    <w:p w14:paraId="1BE3B49A">
      <w:pPr>
        <w:adjustRightInd w:val="0"/>
        <w:snapToGrid w:val="0"/>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Cs/>
          <w:color w:val="auto"/>
          <w:sz w:val="32"/>
          <w:szCs w:val="32"/>
        </w:rPr>
        <w:t>绿植租摆服务</w:t>
      </w:r>
    </w:p>
    <w:p w14:paraId="174F33E4">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①摆放的苗木花卉要保质保量，室内完好率≥98%；应定期做好服务，原则上每周不少于</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w:t>
      </w:r>
    </w:p>
    <w:p w14:paraId="3D72BD9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②按时调整、更换，保持常绿；加强日常养护，及时修剪，无枯枝败叶。 </w:t>
      </w:r>
    </w:p>
    <w:p w14:paraId="7027B88F">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③在养护工作中，认真擦拭盆体、树干和叶面，做到盆体无污泥，树干和叶面无灰尘，保持周边环境整洁。</w:t>
      </w:r>
    </w:p>
    <w:p w14:paraId="1015BAB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④加强植物病虫害防治，做到预防为主，措施有效，使用的农药符合环保要求。</w:t>
      </w:r>
    </w:p>
    <w:p w14:paraId="77B4DCEA">
      <w:pPr>
        <w:adjustRightInd w:val="0"/>
        <w:snapToGrid w:val="0"/>
        <w:spacing w:line="53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⑤时刻保证安全、卫生工作，苗木花盆轻搬轻放，不损坏地板、大理石和其他相关物品。养护过程中应随时清洁，做好善后工作。</w:t>
      </w:r>
    </w:p>
    <w:p w14:paraId="5FE8C0E1">
      <w:pPr>
        <w:adjustRightInd w:val="0"/>
        <w:snapToGrid w:val="0"/>
        <w:spacing w:line="53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bCs/>
          <w:color w:val="auto"/>
          <w:sz w:val="32"/>
          <w:szCs w:val="32"/>
        </w:rPr>
        <w:t>⑥加强绿植巡视检查，发现问题，及时主动解决。</w:t>
      </w:r>
    </w:p>
    <w:p w14:paraId="0F47CC79">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bookmarkStart w:id="99" w:name="_Toc147327134_WPSOffice_Level2"/>
      <w:r>
        <w:rPr>
          <w:rFonts w:hint="default" w:ascii="Times New Roman" w:hAnsi="Times New Roman" w:eastAsia="仿宋_GB2312" w:cs="Times New Roman"/>
          <w:b/>
          <w:bCs/>
          <w:color w:val="auto"/>
          <w:sz w:val="32"/>
          <w:szCs w:val="32"/>
        </w:rPr>
        <w:t>（六）食堂运行管理服务</w:t>
      </w:r>
      <w:bookmarkEnd w:id="99"/>
    </w:p>
    <w:p w14:paraId="302573A1">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1、供应商需具备食品经营许可证。</w:t>
      </w:r>
    </w:p>
    <w:p w14:paraId="4634D4B7">
      <w:pPr>
        <w:autoSpaceDE w:val="0"/>
        <w:autoSpaceDN w:val="0"/>
        <w:adjustRightInd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2、服务内容：</w:t>
      </w:r>
    </w:p>
    <w:p w14:paraId="40A8AD47">
      <w:pPr>
        <w:autoSpaceDE w:val="0"/>
        <w:autoSpaceDN w:val="0"/>
        <w:adjustRightInd w:val="0"/>
        <w:spacing w:line="54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（1）采购人食堂目前有1个餐厅，用于员工就餐，需提供早餐、午餐及晚餐，每天用餐人数平均约</w:t>
      </w:r>
      <w:r>
        <w:rPr>
          <w:rFonts w:hint="default" w:ascii="Times New Roman" w:hAnsi="Times New Roman" w:eastAsia="仿宋_GB2312" w:cs="Times New Roman"/>
          <w:bCs/>
          <w:color w:val="auto"/>
          <w:sz w:val="32"/>
          <w:szCs w:val="32"/>
          <w:lang w:val="en-US" w:eastAsia="zh-CN"/>
        </w:rPr>
        <w:t>160</w:t>
      </w:r>
      <w:r>
        <w:rPr>
          <w:rFonts w:hint="default" w:ascii="Times New Roman" w:hAnsi="Times New Roman" w:eastAsia="仿宋_GB2312" w:cs="Times New Roman"/>
          <w:bCs/>
          <w:color w:val="auto"/>
          <w:sz w:val="32"/>
          <w:szCs w:val="32"/>
        </w:rPr>
        <w:t>人</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高考等业务高峰期</w:t>
      </w:r>
      <w:r>
        <w:rPr>
          <w:rFonts w:hint="default" w:ascii="Times New Roman" w:hAnsi="Times New Roman" w:eastAsia="仿宋_GB2312" w:cs="Times New Roman"/>
          <w:bCs/>
          <w:color w:val="auto"/>
          <w:sz w:val="32"/>
          <w:szCs w:val="32"/>
        </w:rPr>
        <w:t>人数</w:t>
      </w:r>
      <w:r>
        <w:rPr>
          <w:rFonts w:hint="default" w:ascii="Times New Roman" w:hAnsi="Times New Roman" w:eastAsia="仿宋_GB2312" w:cs="Times New Roman"/>
          <w:bCs/>
          <w:color w:val="auto"/>
          <w:sz w:val="32"/>
          <w:szCs w:val="32"/>
          <w:lang w:val="en-US" w:eastAsia="zh-CN"/>
        </w:rPr>
        <w:t>平均约300人，其他</w:t>
      </w:r>
      <w:r>
        <w:rPr>
          <w:rFonts w:hint="default" w:ascii="Times New Roman" w:hAnsi="Times New Roman" w:eastAsia="仿宋_GB2312" w:cs="Times New Roman"/>
          <w:bCs/>
          <w:color w:val="auto"/>
          <w:sz w:val="32"/>
          <w:szCs w:val="32"/>
        </w:rPr>
        <w:t>临时性用餐以实际需求为准。</w:t>
      </w:r>
    </w:p>
    <w:p w14:paraId="28E8347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）餐厅用餐时间：早餐7:00--8:30、午餐12:00—13:00、晚餐17:30---18:30</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除春节、国庆等国家法定假日外均提供服务</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p>
    <w:p w14:paraId="3654F32E">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）岗位配置：14个岗位（其中负责人1人，厨师长1人，具有中式烹调师三级证书及有效期内健康证）</w:t>
      </w:r>
    </w:p>
    <w:p w14:paraId="2CBB8ED9">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1）餐厅经理1名：</w:t>
      </w:r>
    </w:p>
    <w:p w14:paraId="6F85233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①全面负责餐厅的经营和日常管理。</w:t>
      </w:r>
    </w:p>
    <w:p w14:paraId="5C51FFAF">
      <w:pPr>
        <w:adjustRightInd w:val="0"/>
        <w:snapToGrid w:val="0"/>
        <w:spacing w:line="53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②</w:t>
      </w:r>
      <w:r>
        <w:rPr>
          <w:rFonts w:hint="eastAsia" w:ascii="Times New Roman" w:hAnsi="Times New Roman" w:eastAsia="仿宋_GB2312" w:cs="Times New Roman"/>
          <w:bCs/>
          <w:color w:val="auto"/>
          <w:sz w:val="32"/>
          <w:szCs w:val="32"/>
          <w:lang w:val="en-US" w:eastAsia="zh-CN"/>
        </w:rPr>
        <w:t>负责制定和实施餐厅各项管理制度。</w:t>
      </w:r>
    </w:p>
    <w:p w14:paraId="3D429F5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③及时发现和解决服务中出现的问题，统筹安排人员工作内容。具体落实各项工作计划和安排，按时按质完成各项工作任务。</w:t>
      </w:r>
    </w:p>
    <w:p w14:paraId="1328FEC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④负责餐厅美化工作和餐厅的清洁卫生工作，抓好餐具、用具的清洁消毒工作。</w:t>
      </w:r>
    </w:p>
    <w:p w14:paraId="4C11CBE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⑤及时检查餐厅设备的情况，并做好维护保养工作，做好餐厅安全和防火工作。</w:t>
      </w:r>
    </w:p>
    <w:p w14:paraId="6528B619">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kern w:val="2"/>
          <w:sz w:val="32"/>
          <w:szCs w:val="32"/>
          <w:lang w:val="en-US" w:eastAsia="zh-CN" w:bidi="ar-SA"/>
        </w:rPr>
        <w:t>⑥</w:t>
      </w:r>
      <w:r>
        <w:rPr>
          <w:rFonts w:hint="eastAsia" w:ascii="Times New Roman" w:hAnsi="Times New Roman" w:eastAsia="仿宋_GB2312" w:cs="Times New Roman"/>
          <w:bCs/>
          <w:color w:val="auto"/>
          <w:sz w:val="32"/>
          <w:szCs w:val="32"/>
          <w:lang w:val="en-US" w:eastAsia="zh-CN"/>
        </w:rPr>
        <w:t>负责餐厅物资管理，确保食材、用具、用品采购规范、合理</w:t>
      </w:r>
      <w:r>
        <w:rPr>
          <w:rFonts w:hint="default" w:ascii="Times New Roman" w:hAnsi="Times New Roman" w:eastAsia="仿宋_GB2312" w:cs="Times New Roman"/>
          <w:bCs/>
          <w:color w:val="auto"/>
          <w:sz w:val="32"/>
          <w:szCs w:val="32"/>
        </w:rPr>
        <w:t>。</w:t>
      </w:r>
    </w:p>
    <w:p w14:paraId="03703748">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2）厨师长1名：</w:t>
      </w:r>
    </w:p>
    <w:p w14:paraId="4F5C0D8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①在餐厅经理的领导下，</w:t>
      </w:r>
      <w:r>
        <w:rPr>
          <w:rFonts w:hint="eastAsia" w:ascii="Times New Roman" w:hAnsi="Times New Roman" w:eastAsia="仿宋_GB2312" w:cs="Times New Roman"/>
          <w:bCs/>
          <w:color w:val="auto"/>
          <w:sz w:val="32"/>
          <w:szCs w:val="32"/>
          <w:lang w:val="en-US" w:eastAsia="zh-CN"/>
        </w:rPr>
        <w:t>负责餐厅菜品开发，</w:t>
      </w:r>
      <w:r>
        <w:rPr>
          <w:rFonts w:hint="default" w:ascii="Times New Roman" w:hAnsi="Times New Roman" w:eastAsia="仿宋_GB2312" w:cs="Times New Roman"/>
          <w:bCs/>
          <w:color w:val="auto"/>
          <w:sz w:val="32"/>
          <w:szCs w:val="32"/>
        </w:rPr>
        <w:t>严格按照食品安全法操作，贯彻“六常”要求，认真做好食品卫生、安全生产、环境卫生和员工个人卫生的管理工作。</w:t>
      </w:r>
    </w:p>
    <w:p w14:paraId="4F7BC0E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②掌握烹饪技巧，搭配时要按一定的规格、标准、质量、层次等执行。</w:t>
      </w:r>
    </w:p>
    <w:p w14:paraId="44B2092F">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③开餐时，要及时掌握窗口供需情况，调剂窗口余缺，及时补充，确保供应，不得脱销，不得过剩。负责厨师、面点工、切配等员工的安全操作和技能培训工作。</w:t>
      </w:r>
    </w:p>
    <w:p w14:paraId="7516B1B9">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④根据仓库留存情况制定食品原料的采购计划，并把好验货关。</w:t>
      </w:r>
    </w:p>
    <w:p w14:paraId="0ED97ECF">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3）西点师1名：</w:t>
      </w:r>
    </w:p>
    <w:p w14:paraId="243D9DC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①在餐厅经理的领导下，根据标准流程，制作各类西点，如蛋糕、面包、饼干、甜点等，确保产品的口味、质地和外观符合质量要求。</w:t>
      </w:r>
    </w:p>
    <w:p w14:paraId="5F280B8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②负责西点的装饰和摆盘，使其具有吸引力和美感，提升产品的视觉效果。</w:t>
      </w:r>
    </w:p>
    <w:p w14:paraId="64381A5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③控制制作过程中的原材料用量和成本，避免浪费，确保产品的成本效益。</w:t>
      </w:r>
    </w:p>
    <w:p w14:paraId="3425B9DF">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④负责原材料的验收、储存和保管，确保原材料的质量和新鲜度，定期盘点原材料库存，确保原材料的充足供应，避免因原材料短缺而影响生产。</w:t>
      </w:r>
    </w:p>
    <w:p w14:paraId="1AD77DC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⑤正确使用和操作西点制作设备，定期对设备进行清洁、保养和维护，确保设备的正常运行。</w:t>
      </w:r>
    </w:p>
    <w:p w14:paraId="1849EBB0">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4）领班兼仓管1名：</w:t>
      </w:r>
    </w:p>
    <w:p w14:paraId="70F62FF3">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①带领服务员、保洁员做好各项日常餐饮服务保障工作。</w:t>
      </w:r>
    </w:p>
    <w:p w14:paraId="6D68EC13">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②及时妥善处理窗口服务过程中发生的投诉和纠纷，并及时向餐厅经理汇报。</w:t>
      </w:r>
    </w:p>
    <w:p w14:paraId="6C038695">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定期对服务员和保洁员进行业务（操作规范、微笑服务、洗切标准等）培训，不断提高员工的专业知识和服务技巧。负责开餐前的各项准备工作，及时安排人员开餐，杜绝窗口无人开餐现象，检查服务员仪容、仪表、口罩、手套等的佩戴情况。</w:t>
      </w:r>
    </w:p>
    <w:p w14:paraId="009E10F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④熟悉食品仓库管理制度（如验收入库、发货出库的程序）和食品保存相关业务知识，做好盘存核账等日常工作。</w:t>
      </w:r>
    </w:p>
    <w:p w14:paraId="02BA0BBE">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⑤物品未经验收不得入库，到库物品与送货单据须逐一核对（品名、规格、数量、单价、金额、生产日期等），按标准验收合格方可入库，严格按照先进先出原则出库。</w:t>
      </w:r>
    </w:p>
    <w:p w14:paraId="689FBE3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⑥如实记录入库食品的名称、规格、数量、进货日期以及供货者名称、地址、联系方式等内容，保证账物统一，并妥善保存相关凭证。</w:t>
      </w:r>
    </w:p>
    <w:p w14:paraId="760B7580">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⑦食品添加剂要做好进货台账登记，入库后要专人管理，设立专柜（防盗锁柜），出入库要做好严格的登记。如实记录食品添加剂的名称、规格、数量、生产日期或者生产批号、保质期、进货日期以及供货者名称、地址、联系方式等内容。</w:t>
      </w:r>
    </w:p>
    <w:p w14:paraId="3B267A75">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5）面点工1名：</w:t>
      </w:r>
    </w:p>
    <w:p w14:paraId="69EC27AE">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①对本职工作认真负责，加工制作面食时，要求精心操作，保证口味和质量。</w:t>
      </w:r>
    </w:p>
    <w:p w14:paraId="0621A15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②严格遵守劳动纪律、餐厅规定，确保早点各种品种、数量，质量要求。</w:t>
      </w:r>
    </w:p>
    <w:p w14:paraId="10CFCE7C">
      <w:pPr>
        <w:adjustRightInd w:val="0"/>
        <w:snapToGrid w:val="0"/>
        <w:spacing w:line="530" w:lineRule="exact"/>
        <w:ind w:firstLine="600" w:firstLineChars="200"/>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③品种质量要求色纯正，形状大小均匀，份量适当，馅心制作口味好，成品符合卫生要求。</w:t>
      </w:r>
    </w:p>
    <w:p w14:paraId="063E27C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6）厨师2名：</w:t>
      </w:r>
    </w:p>
    <w:p w14:paraId="7F188B49">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①在厨师长的领导下，积极工作，对本职工作认真负责，加工烹调食品菜肴要求精心操作，保证口味和质量，积极开发新品。</w:t>
      </w:r>
    </w:p>
    <w:p w14:paraId="26940CE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②食品要烧熟煮透，烧好的菜要及时送进熟食间，生熟严格分开。配菜时要注意规格、质量，档次按配比标准执行，节约成本，杜绝浪费。</w:t>
      </w:r>
    </w:p>
    <w:p w14:paraId="61389D9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③注意做好防火工作，安全使用燃气，人离火灭，防止火灾，下班及时关闭天然气大小阀门，并做好登记。</w:t>
      </w:r>
    </w:p>
    <w:p w14:paraId="0472DE9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7）切配1名：</w:t>
      </w:r>
    </w:p>
    <w:p w14:paraId="01F58CAD">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①负责荤素菜的领料、加工。按厨师烹饪要求对食品进行细加工，剔肉除骨，分档加工。要求刀功整齐利落，大小、长短、厚薄、粗细均匀，选配适当，节约原料，做到物尽其用。</w:t>
      </w:r>
    </w:p>
    <w:p w14:paraId="47B30B0D">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②按食品安全要求，分区域、砧墩、案板进行切配和加工，搞好砧墩、案板、地面的卫生和刀、砧洁净与保养工作，管理好机械设备</w:t>
      </w:r>
    </w:p>
    <w:p w14:paraId="67D87724">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③冰箱食品原料、半成品存放整齐规范，工用具分类使用、存放，防止交叉污染。</w:t>
      </w:r>
    </w:p>
    <w:p w14:paraId="4338C4A9">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④讲究个人卫生，坚持做好“四勤”（勤洗手、勤剪指甲、勤理发洗澡、勤换工作服帽）。</w:t>
      </w:r>
    </w:p>
    <w:p w14:paraId="143EE226">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⑤安全使用机械，严格遵守操作规程，杜绝安全事故的发生。</w:t>
      </w:r>
    </w:p>
    <w:p w14:paraId="4FF276CD">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8）保洁员2名：</w:t>
      </w:r>
    </w:p>
    <w:p w14:paraId="679831DB">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①在领班的领导下，积极工作。上班时间严格遵守工作要求，无故不能擅自离岗、窜岗，</w:t>
      </w:r>
    </w:p>
    <w:p w14:paraId="2F87500D">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②勤收餐具，保持桌面整洁，做到干净无油腻、无残渣，并保持桌椅排列整齐。</w:t>
      </w:r>
    </w:p>
    <w:p w14:paraId="274CC575">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③保持就餐区自助餐台、餐厨具、地面清洁卫生，随时清理地面遗留杂物和积水，卫生无死角、无蛛网等。</w:t>
      </w:r>
    </w:p>
    <w:p w14:paraId="7CA5AACC">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④餐（厨）具必须实行 “六过关”(1刮、2冲、3洗、4清、5消毒、6保洁)。</w:t>
      </w:r>
    </w:p>
    <w:p w14:paraId="3A7F355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⑤每日清理泔水桶，每餐开餐前确保泔水桶保持干净、封闭。坚持消毒制度，防止病菌传染或交叉感染。</w:t>
      </w:r>
    </w:p>
    <w:p w14:paraId="32BEBB57">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⑥安全使用机械，对蒸汽消毒柜、电力消毒柜等设备，严格遵守操作规程，常维护、常清洁，杜绝安全事故的发生。</w:t>
      </w:r>
    </w:p>
    <w:p w14:paraId="1E29FA70">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9）服务员4名：</w:t>
      </w:r>
    </w:p>
    <w:p w14:paraId="46D27A7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①在领班的领导下，做好餐前的各项准备工作和餐后收尾工作。</w:t>
      </w:r>
    </w:p>
    <w:p w14:paraId="6B723FDE">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②仪表整洁，头发不散乱，不浓妆艳抹，统一着工作服。</w:t>
      </w:r>
    </w:p>
    <w:p w14:paraId="0E2B0F5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③严格按《食品安全法》要求执行，发现不合格食品，不出窗口，并向上级汇报。上班时间严格遵守工作要求，无故不能擅自离岗、窜岗，不得长时间聊天而影响正常工作。</w:t>
      </w:r>
    </w:p>
    <w:p w14:paraId="798BB890">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④熟练使用卡机，打饭打菜要均匀、准确、不徇私情，确保刷卡计算准确。在领班的领导下，做好餐前的各项准备工作和餐后收尾工作。</w:t>
      </w:r>
    </w:p>
    <w:p w14:paraId="5A90807A">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⑤搞好工作用具和环境卫生，做到地面净、售菜台净，每天工作结束前，做好卫生清理工作；</w:t>
      </w:r>
    </w:p>
    <w:p w14:paraId="297D8702">
      <w:pPr>
        <w:adjustRightInd w:val="0"/>
        <w:snapToGrid w:val="0"/>
        <w:spacing w:line="53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⑥积极参与餐厅组织的各项业务培训，不断提高服务技能。</w:t>
      </w:r>
    </w:p>
    <w:p w14:paraId="138534D0">
      <w:pPr>
        <w:pStyle w:val="2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（5）为食堂运行提供信息化和智能化管理服务。</w:t>
      </w:r>
    </w:p>
    <w:p w14:paraId="709F51E5">
      <w:pPr>
        <w:autoSpaceDE w:val="0"/>
        <w:autoSpaceDN w:val="0"/>
        <w:adjustRightInd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3、服务质量标准</w:t>
      </w:r>
    </w:p>
    <w:p w14:paraId="7D455D14">
      <w:pPr>
        <w:pStyle w:val="22"/>
        <w:spacing w:line="540" w:lineRule="exact"/>
        <w:ind w:left="0" w:left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食堂早、中、晚餐供应的品种、数量要求如下：</w:t>
      </w:r>
    </w:p>
    <w:p w14:paraId="0A120A9F">
      <w:pPr>
        <w:pStyle w:val="22"/>
        <w:spacing w:line="540" w:lineRule="exact"/>
        <w:ind w:left="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早餐：工作日每天供应花色品种各色早点不少于15种（各类稀饭、点心、面食、粗粮、甜点、汤面、果汁、水果等），小菜不少于3种。早餐提供的所有面食、点心、小菜等品种均要求纯手工制作，不得使用半成品加工售卖，汤面等现点现烧。</w:t>
      </w:r>
    </w:p>
    <w:p w14:paraId="7E85C2B6">
      <w:pPr>
        <w:pStyle w:val="22"/>
        <w:spacing w:line="540" w:lineRule="exact"/>
        <w:ind w:left="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餐：二周内中餐菜品品种每天不重样，菜品不少于30种（荤菜、半荤菜、素菜、蒸菜、卤菜、特色小吃、锅仔、水果），汤不少于10种。中餐要求按三个批次分锅烹饪出餐，做到少量多出，保证菜肴的新鲜度和口味；出餐时间根据实际用餐情况确定；适量备菜，后期随时添加，确保不发生断档现象。</w:t>
      </w:r>
    </w:p>
    <w:p w14:paraId="024A4209">
      <w:pPr>
        <w:pStyle w:val="22"/>
        <w:spacing w:line="540" w:lineRule="exact"/>
        <w:ind w:left="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晚餐：一周内晚餐菜品品种每天不重样，菜品不少于25种（荤菜、半荤菜、素菜、特色小炒等），汤5种。晚餐期间要求提供净菜加工服务和成品打包服务。</w:t>
      </w:r>
    </w:p>
    <w:p w14:paraId="61C08A51">
      <w:pPr>
        <w:pStyle w:val="22"/>
        <w:spacing w:line="540" w:lineRule="exact"/>
        <w:ind w:left="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临时性用餐：临时性用餐将会根据实际需求提前一天通知，在确定用餐方式后（桌餐或分餐），用餐当日以实际需求量为准进行菜品制作。</w:t>
      </w:r>
    </w:p>
    <w:p w14:paraId="22D648FD">
      <w:pPr>
        <w:pStyle w:val="22"/>
        <w:spacing w:line="540" w:lineRule="exact"/>
        <w:ind w:left="0" w:leftChars="0"/>
        <w:rPr>
          <w:rFonts w:hint="default" w:ascii="Times New Roman" w:hAnsi="Times New Roman" w:eastAsia="仿宋_GB2312" w:cs="Times New Roman"/>
          <w:color w:val="auto"/>
          <w:sz w:val="32"/>
          <w:szCs w:val="32"/>
          <w:lang w:val="en-US" w:eastAsia="zh-CN"/>
        </w:rPr>
      </w:pPr>
    </w:p>
    <w:p w14:paraId="09D13DE0">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同时要求：</w:t>
      </w:r>
    </w:p>
    <w:p w14:paraId="29F650F7">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（1）在中国传统节日应根据民俗习惯提供特色食品（以自制为主），如汤圆、青团、粽子、月饼、腊八粥、饺子等，时间及数量以采购人通知为准。</w:t>
      </w:r>
    </w:p>
    <w:p w14:paraId="09C43E0F">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（2）每年7至8月提供防暑降温饮品（绿豆汤、白木耳等）。</w:t>
      </w:r>
    </w:p>
    <w:p w14:paraId="39EC193C">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（3）餐品以本地菜系为主。供应商应根据季节不同列出适时菜品，每周各推出1个以上特色菜</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新菜。</w:t>
      </w:r>
    </w:p>
    <w:p w14:paraId="46CAF669">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（4）做到准时开餐、质量保证、卫生安全。</w:t>
      </w:r>
    </w:p>
    <w:p w14:paraId="05B9C749">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（5）采购人提供小超市供供应商经营，商品应以成本出售，价格由供应商拟定并报采购人核定。</w:t>
      </w:r>
    </w:p>
    <w:p w14:paraId="7D5534F1">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（6）食堂餐厅采购主、副食品原材料、肉、鱼以及其它水产品应当保证新鲜，保障质量。</w:t>
      </w:r>
    </w:p>
    <w:p w14:paraId="42999DB7">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（7）供应商负责管理食堂经营所延伸的一切工作事务，并承担由此产生的相关费用。</w:t>
      </w:r>
    </w:p>
    <w:p w14:paraId="5C371513">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（8）供应商负责食堂整个场地的管理，以及食堂各种设备的安全操作、清洁、卫生、消毒、杀虫等维护工作，确保食堂的场地卫生环境符合国家相关的管理要求和行业规范要求。</w:t>
      </w:r>
    </w:p>
    <w:p w14:paraId="080A59AE">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（9）供应商负责食堂范围内的消防管理工作，包括消防设施的日常检查、维护和保养，保证每年清洗油烟管道四次以上；</w:t>
      </w:r>
    </w:p>
    <w:p w14:paraId="78BB9AC2">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（10）供应商须保证所经营的食品必须在品种、质量、数量、重量、价格等方面符合采购人要求，同时符合国家和地方卫生行政部门有关食品安全卫生方面的法律、法规之规定。</w:t>
      </w:r>
    </w:p>
    <w:p w14:paraId="65DD0A24">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供应商担负食堂采购工作，采购期间产生的如交通费等一切费用，均由供应商承担。供应商对采购的食材原料按有关规定进行检验，对食材原料按有关规定进行存储，因存储不当造成的损失和相应责任由供应商承担。供应商对食品添加剂的采购、保管、使用应符合有关规定，建立台账，如实登记相关信息，记录资料保存期不少于</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p>
    <w:p w14:paraId="13680F39">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（12）供应商要不断提高餐饮服务质量，不断优化菜品结构。经采购人许可后，供应商可以以小卖部形式向采购人干部职工平价供应食品等日常用品，具体实施细则由双方另行约定。</w:t>
      </w:r>
    </w:p>
    <w:p w14:paraId="18E31EC8">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供应商应在采购人指导下负责监督食堂采购，保证厨师及相关工作员符合卫生部门的健康要求，承担现场工作人员的安全卫生教育及管理工作，严格遵守食堂食品安全制度、采购规章制度、财务管理制度、仓库保管制度等一系列规章制度，以堵塞食堂管理漏洞，保存好食材购买清单并建立台帐，提高食堂服务质量。</w:t>
      </w:r>
    </w:p>
    <w:p w14:paraId="70BAB7A7">
      <w:pPr>
        <w:tabs>
          <w:tab w:val="left" w:pos="282"/>
        </w:tab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（15）供应商聘用的工作人员发生人身安全事故、财产损失、劳资纠纷等，均由供应商处理。</w:t>
      </w:r>
    </w:p>
    <w:p w14:paraId="5FA51EFA">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（七）会议服务</w:t>
      </w:r>
    </w:p>
    <w:p w14:paraId="14A59870">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1、服务内容主要包括会议服务。包括会场布置、会议系统使用设备调试、会场指引、会中服务、会后清场等工作。</w:t>
      </w:r>
    </w:p>
    <w:p w14:paraId="1A563AEA">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33FB522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配备3名专职人员。重要会议期间全过程值班，制定完备的会务服务工作流程、细则及服务工作计划并严格执行，保证各类会议的正常进行。</w:t>
      </w:r>
    </w:p>
    <w:p w14:paraId="485FAB44">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（八）零星维修服务</w:t>
      </w:r>
    </w:p>
    <w:p w14:paraId="3B41CE40">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1、服务内容：零星维修是指设备维保范围之外的，物业公司没有能力自行开展（比如土建工程等），并经采购人认可，需要委托第三方组织实施的所有大楼及附属用房、公共区域以及相关设施设备的维修。</w:t>
      </w:r>
    </w:p>
    <w:p w14:paraId="75DAC23D">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2、服务质量标准</w:t>
      </w:r>
    </w:p>
    <w:p w14:paraId="72CA4143">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零星维修要根据采购人具体要求实施。维修之前一般</w:t>
      </w:r>
      <w:r>
        <w:rPr>
          <w:rFonts w:hint="eastAsia" w:ascii="Times New Roman" w:hAnsi="Times New Roman" w:eastAsia="仿宋_GB2312" w:cs="Times New Roman"/>
          <w:color w:val="auto"/>
          <w:sz w:val="32"/>
          <w:szCs w:val="32"/>
          <w:lang w:val="en-US" w:eastAsia="zh-CN"/>
        </w:rPr>
        <w:t>至少</w:t>
      </w:r>
      <w:r>
        <w:rPr>
          <w:rFonts w:hint="default" w:ascii="Times New Roman" w:hAnsi="Times New Roman" w:eastAsia="仿宋_GB2312" w:cs="Times New Roman"/>
          <w:color w:val="auto"/>
          <w:sz w:val="32"/>
          <w:szCs w:val="32"/>
        </w:rPr>
        <w:t>需在3天</w:t>
      </w:r>
      <w:r>
        <w:rPr>
          <w:rFonts w:hint="eastAsia"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rPr>
        <w:t>向采购人提供工程预算明细和维修方案，经采购人审核同意后方可开展维修。维修过程允许采购人相关人员全程参与管理监督。维修任务结束后，采购人将根据需要开展结算审价。所有维修工程均需经过采购人审核并验收通过后方可支付款项。根据采购人的审核结果，如需修改完善的，在修改完善后第一时间开展维修。如有紧急情况，应当下立即响应，并开展维修工作，同时报告采购人。</w:t>
      </w:r>
    </w:p>
    <w:p w14:paraId="70ECB54E">
      <w:pPr>
        <w:autoSpaceDE w:val="0"/>
        <w:autoSpaceDN w:val="0"/>
        <w:adjustRightInd w:val="0"/>
        <w:spacing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（九）其他要求</w:t>
      </w:r>
    </w:p>
    <w:p w14:paraId="571DF5B2">
      <w:pPr>
        <w:autoSpaceDE w:val="0"/>
        <w:autoSpaceDN w:val="0"/>
        <w:adjustRightIn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1、保障设施设备运行及基本维护</w:t>
      </w:r>
    </w:p>
    <w:p w14:paraId="4BFB54D3">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楼设施设备做到安全运行和节能操作，发现故障立即通知及时排除；水、电、卫浴设备、门锁维修不过夜；遇电路故障没电，水管爆裂、水龙头漏水、门锁开不了、门窗毁坏及墙面破损，要随叫随修；排水管、排</w:t>
      </w:r>
      <w:bookmarkStart w:id="100" w:name="_Toc1211990047_WPSOffice_Level1"/>
      <w:r>
        <w:rPr>
          <w:rFonts w:hint="default" w:ascii="Times New Roman" w:hAnsi="Times New Roman" w:eastAsia="仿宋_GB2312" w:cs="Times New Roman"/>
          <w:color w:val="auto"/>
          <w:sz w:val="32"/>
          <w:szCs w:val="32"/>
        </w:rPr>
        <w:t>污管要保持畅</w:t>
      </w:r>
      <w:bookmarkEnd w:id="100"/>
      <w:r>
        <w:rPr>
          <w:rFonts w:hint="default" w:ascii="Times New Roman" w:hAnsi="Times New Roman" w:eastAsia="仿宋_GB2312" w:cs="Times New Roman"/>
          <w:color w:val="auto"/>
          <w:sz w:val="32"/>
          <w:szCs w:val="32"/>
        </w:rPr>
        <w:t>通，如有堵塞应立即疏通，厕所堵塞应当天疏通（需换厕盆的除外）。公共照明、水电设施每天检查一遍。大厅灯具每季清洗、检修更换1次。楼宇内门窗、卫浴设施、内墙面、所有照明设施的检查每季度1次。</w:t>
      </w:r>
    </w:p>
    <w:p w14:paraId="1339542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（2）日常维修接到报修信息后，必须15分钟内赶到现场进行处理。若无能力修复，立即报告采购人的有关人员。</w:t>
      </w:r>
    </w:p>
    <w:p w14:paraId="76464AB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（3）配合专业单位进行保养及维修工作。</w:t>
      </w:r>
    </w:p>
    <w:p w14:paraId="4878B45E">
      <w:pPr>
        <w:autoSpaceDE w:val="0"/>
        <w:autoSpaceDN w:val="0"/>
        <w:adjustRightIn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2、环境卫生</w:t>
      </w:r>
    </w:p>
    <w:p w14:paraId="11ADF0BB">
      <w:pPr>
        <w:autoSpaceDE w:val="0"/>
        <w:autoSpaceDN w:val="0"/>
        <w:adjustRightIn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1）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314A6D64">
      <w:pPr>
        <w:autoSpaceDE w:val="0"/>
        <w:autoSpaceDN w:val="0"/>
        <w:adjustRightIn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（2）内外墙无乱贴、涂、划之物。做好符合辖区要求的门前工作。</w:t>
      </w:r>
    </w:p>
    <w:p w14:paraId="19BAEED8">
      <w:pPr>
        <w:autoSpaceDE w:val="0"/>
        <w:autoSpaceDN w:val="0"/>
        <w:adjustRightIn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（3）保洁人员每天上班时间为采购人上班前一小时。</w:t>
      </w:r>
    </w:p>
    <w:p w14:paraId="1F048490">
      <w:pPr>
        <w:widowControl/>
        <w:autoSpaceDE w:val="0"/>
        <w:autoSpaceDN w:val="0"/>
        <w:adjustRightInd w:val="0"/>
        <w:spacing w:line="560" w:lineRule="exact"/>
        <w:ind w:firstLine="640" w:firstLineChars="200"/>
        <w:rPr>
          <w:rFonts w:hint="default" w:ascii="Times New Roman" w:hAnsi="Times New Roman" w:eastAsia="黑体" w:cs="Times New Roman"/>
          <w:color w:val="auto"/>
          <w:sz w:val="32"/>
          <w:szCs w:val="32"/>
        </w:rPr>
      </w:pPr>
      <w:bookmarkStart w:id="101" w:name="_Toc170588731_WPSOffice_Level1"/>
      <w:r>
        <w:rPr>
          <w:rFonts w:hint="default" w:ascii="Times New Roman" w:hAnsi="Times New Roman" w:eastAsia="黑体" w:cs="Times New Roman"/>
          <w:color w:val="auto"/>
          <w:sz w:val="32"/>
          <w:szCs w:val="32"/>
        </w:rPr>
        <w:t>三、服务人员要求</w:t>
      </w:r>
      <w:bookmarkEnd w:id="101"/>
    </w:p>
    <w:p w14:paraId="625E73B5">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物业服务方案中人员安排必须科学合理配置管理和服务人员，充分满足各岗位和工作量的需要。其中，配备1名项目负责人，5年以上物业工作经验；各项服务内容配备1名主管，3年以上物业工作经验。项目负责人、项目主管应在投标文件中予以明确，且中标后前述人员须为投标人正式员工，至少为采购人服务6个月以上，在采购人的处所办公时间不低于全年出勤率的85%。</w:t>
      </w:r>
    </w:p>
    <w:p w14:paraId="6C3555B2">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（二）管理与服务人员应接受过相关专业技能的培训，掌握基本法律法规，尽快熟悉采购人的基本情况、熟练操作和正确使用相关专用设备。</w:t>
      </w:r>
    </w:p>
    <w:p w14:paraId="2658D15F">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（三）管理与服务人员要求政治上可靠、身心健康，并提供公安部门出具的无违法犯罪记录证明。</w:t>
      </w:r>
    </w:p>
    <w:p w14:paraId="788A611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（四）保洁服务项目、安保服务项目、设施设备维护服务项目日常维护部分、食堂运行管理服务项目等项目的项目组核心人员为投标人正式员工。</w:t>
      </w:r>
    </w:p>
    <w:p w14:paraId="69224C22">
      <w:pPr>
        <w:widowControl/>
        <w:autoSpaceDE w:val="0"/>
        <w:autoSpaceDN w:val="0"/>
        <w:adjustRightInd w:val="0"/>
        <w:spacing w:line="560" w:lineRule="exact"/>
        <w:ind w:firstLine="640" w:firstLineChars="200"/>
        <w:rPr>
          <w:rFonts w:hint="default" w:ascii="Times New Roman" w:hAnsi="Times New Roman" w:eastAsia="黑体" w:cs="Times New Roman"/>
          <w:color w:val="auto"/>
          <w:sz w:val="32"/>
          <w:szCs w:val="32"/>
        </w:rPr>
      </w:pPr>
      <w:bookmarkStart w:id="102" w:name="_Toc563041074_WPSOffice_Level1"/>
      <w:r>
        <w:rPr>
          <w:rFonts w:hint="default" w:ascii="Times New Roman" w:hAnsi="Times New Roman" w:eastAsia="黑体" w:cs="Times New Roman"/>
          <w:color w:val="auto"/>
          <w:sz w:val="32"/>
          <w:szCs w:val="32"/>
        </w:rPr>
        <w:t>四、管理服务总体要求</w:t>
      </w:r>
      <w:bookmarkEnd w:id="102"/>
    </w:p>
    <w:p w14:paraId="61BB8D07">
      <w:pPr>
        <w:widowControl/>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（一）供应商</w:t>
      </w:r>
      <w:r>
        <w:rPr>
          <w:rFonts w:hint="default" w:ascii="Times New Roman" w:hAnsi="Times New Roman" w:eastAsia="仿宋_GB2312" w:cs="Times New Roman"/>
          <w:bCs/>
          <w:color w:val="auto"/>
          <w:sz w:val="32"/>
          <w:szCs w:val="32"/>
        </w:rPr>
        <w:t>须从实际出发，认真制定合适、有效的节约能源方案，并付诸实施。</w:t>
      </w:r>
      <w:r>
        <w:rPr>
          <w:rFonts w:hint="default" w:ascii="Times New Roman" w:hAnsi="Times New Roman" w:eastAsia="仿宋_GB2312" w:cs="Times New Roman"/>
          <w:color w:val="auto"/>
          <w:sz w:val="32"/>
          <w:szCs w:val="32"/>
        </w:rPr>
        <w:t>供应商应制订具体的质量保证措施及质量保证相关服务的承诺。</w:t>
      </w:r>
    </w:p>
    <w:p w14:paraId="3505E132">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（二）供应商的维护保养工作，应保持房屋建筑的完好和设施设备的正常运行。</w:t>
      </w:r>
    </w:p>
    <w:p w14:paraId="040B0960">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（三）供应商应提供全天候的公共秩序维护服务和安全服务，维护大楼的人员、财产和建筑物的安全。</w:t>
      </w:r>
    </w:p>
    <w:p w14:paraId="23D236CB">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（四）为提高物业管理服务水平，所有管理和服务人员在服务期间按岗位要求定期进行短期培训。</w:t>
      </w:r>
    </w:p>
    <w:p w14:paraId="5DFFB8D8">
      <w:pPr>
        <w:autoSpaceDE w:val="0"/>
        <w:autoSpaceDN w:val="0"/>
        <w:adjustRightInd w:val="0"/>
        <w:spacing w:line="560" w:lineRule="exact"/>
        <w:ind w:firstLine="48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（五）供应商</w:t>
      </w:r>
      <w:r>
        <w:rPr>
          <w:rFonts w:hint="default" w:ascii="Times New Roman" w:hAnsi="Times New Roman" w:eastAsia="仿宋_GB2312" w:cs="Times New Roman"/>
          <w:bCs/>
          <w:color w:val="auto"/>
          <w:sz w:val="32"/>
          <w:szCs w:val="32"/>
        </w:rPr>
        <w:t>应建立物业档案，准确、及时地对文件资料和服务记录进行归档保存，并确保其安全。</w:t>
      </w:r>
    </w:p>
    <w:p w14:paraId="77886AC1">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（六）供应商应严格遵守相关保密安全规定，加强保密安全意识，工作期间必须在采购人指定的场所内进行，确保场所安全和正常秩序。供应商须加强对项目人员的保密教育，与项目人员签订安全保密承诺书。</w:t>
      </w:r>
    </w:p>
    <w:p w14:paraId="1667CE6F">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（七）供应商接受采购人的安全监督管理</w:t>
      </w:r>
    </w:p>
    <w:p w14:paraId="3BAFE028">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供应商应对自然灾害、事故灾害、公共卫生事件和社会安全事件等突发公共事件建立应急预案，并组织实施培训、演习、评价和改进，事发时按规定途径及时报告物业管理企业和有关部门，并采取相应措施。</w:t>
      </w:r>
    </w:p>
    <w:p w14:paraId="0FB3F2AF">
      <w:pPr>
        <w:autoSpaceDE w:val="0"/>
        <w:autoSpaceDN w:val="0"/>
        <w:adjustRightInd w:val="0"/>
        <w:spacing w:line="560" w:lineRule="exact"/>
        <w:ind w:firstLine="48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（九）供应商按国家和当地政府有关劳动法规、条例，向管理和服务人员提供相应工种的劳动工资、加班工资、劳动保护等待遇。为保证服务人员的技能素质、队伍的相对稳定，应保障关键技术岗位的工资待遇。</w:t>
      </w:r>
    </w:p>
    <w:p w14:paraId="414F1C70">
      <w:pPr>
        <w:pStyle w:val="22"/>
        <w:rPr>
          <w:rFonts w:hint="default" w:ascii="Times New Roman" w:hAnsi="Times New Roman" w:cs="Times New Roman"/>
          <w:color w:val="auto"/>
        </w:rPr>
      </w:pPr>
    </w:p>
    <w:p w14:paraId="5D49235D">
      <w:pPr>
        <w:widowControl/>
        <w:autoSpaceDE w:val="0"/>
        <w:autoSpaceDN w:val="0"/>
        <w:adjustRightIn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五、物业管理中使用的相关设备及产品的说明</w:t>
      </w:r>
    </w:p>
    <w:p w14:paraId="7FC967D7">
      <w:pPr>
        <w:autoSpaceDE w:val="0"/>
        <w:autoSpaceDN w:val="0"/>
        <w:spacing w:line="480" w:lineRule="exact"/>
        <w:ind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采购人提供物业管理的办公场地，物业公司所需的办公设备用品、维护工具、安保用品与一次性用品（如：垃圾袋等）由物业公司自行提供使用。</w:t>
      </w:r>
    </w:p>
    <w:p w14:paraId="668B50CE">
      <w:pPr>
        <w:spacing w:line="560" w:lineRule="exact"/>
        <w:ind w:firstLine="640" w:firstLineChars="200"/>
        <w:rPr>
          <w:rFonts w:hint="default" w:ascii="Times New Roman" w:hAnsi="Times New Roman" w:eastAsia="黑体" w:cs="Times New Roman"/>
          <w:color w:val="auto"/>
          <w:sz w:val="32"/>
          <w:szCs w:val="32"/>
        </w:rPr>
      </w:pPr>
      <w:bookmarkStart w:id="103" w:name="_Toc1723804823_WPSOffice_Level1"/>
      <w:bookmarkStart w:id="104" w:name="_Toc1532523200_WPSOffice_Level1"/>
      <w:r>
        <w:rPr>
          <w:rFonts w:hint="default" w:ascii="Times New Roman" w:hAnsi="Times New Roman" w:eastAsia="黑体" w:cs="Times New Roman"/>
          <w:color w:val="auto"/>
          <w:sz w:val="32"/>
          <w:szCs w:val="32"/>
        </w:rPr>
        <w:t>六、特别约定</w:t>
      </w:r>
      <w:bookmarkEnd w:id="103"/>
      <w:bookmarkEnd w:id="104"/>
    </w:p>
    <w:p w14:paraId="10A9708B">
      <w:pPr>
        <w:tabs>
          <w:tab w:val="left" w:pos="1080"/>
        </w:tabs>
        <w:spacing w:line="560" w:lineRule="exact"/>
        <w:ind w:firstLine="640" w:firstLineChars="200"/>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维护保</w:t>
      </w:r>
      <w:bookmarkStart w:id="105" w:name="_Toc1402423653_WPSOffice_Level1"/>
      <w:r>
        <w:rPr>
          <w:rFonts w:hint="default" w:ascii="Times New Roman" w:hAnsi="Times New Roman" w:eastAsia="仿宋_GB2312" w:cs="Times New Roman"/>
          <w:color w:val="auto"/>
          <w:sz w:val="32"/>
          <w:szCs w:val="32"/>
        </w:rPr>
        <w:t>养期间单次单</w:t>
      </w:r>
      <w:bookmarkEnd w:id="105"/>
      <w:r>
        <w:rPr>
          <w:rFonts w:hint="default" w:ascii="Times New Roman" w:hAnsi="Times New Roman" w:eastAsia="仿宋_GB2312" w:cs="Times New Roman"/>
          <w:color w:val="auto"/>
          <w:sz w:val="32"/>
          <w:szCs w:val="32"/>
        </w:rPr>
        <w:t>个维修所需的零部件费用在300元以内的，供应商不再另行收取费用，单次单个维修超出300元的部分由采购人审核后另行支付（如，单次维修保养为800元，超出的500元部分由采购人审核后另行支付）。供应商如需采购人提供未包含在合同及其附件范围内的额外产品或服务，应就增加的内容事先与采购人达</w:t>
      </w:r>
      <w:bookmarkStart w:id="106" w:name="_Toc1673618082_WPSOffice_Level2"/>
      <w:r>
        <w:rPr>
          <w:rFonts w:hint="default" w:ascii="Times New Roman" w:hAnsi="Times New Roman" w:eastAsia="仿宋_GB2312" w:cs="Times New Roman"/>
          <w:color w:val="auto"/>
          <w:sz w:val="32"/>
          <w:szCs w:val="32"/>
        </w:rPr>
        <w:t>成单独的书面协议</w:t>
      </w:r>
      <w:bookmarkEnd w:id="106"/>
      <w:r>
        <w:rPr>
          <w:rFonts w:hint="default" w:ascii="Times New Roman" w:hAnsi="Times New Roman" w:eastAsia="仿宋_GB2312" w:cs="Times New Roman"/>
          <w:color w:val="auto"/>
          <w:sz w:val="32"/>
          <w:szCs w:val="32"/>
        </w:rPr>
        <w:t>。</w:t>
      </w:r>
    </w:p>
    <w:p w14:paraId="2E718918">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设施设备保养维护过程中，由于供应商人员工作失误导致设备配件损坏，所需修复或更换的（包括配件等）所有费用由供应商负责。供应商承诺并保证，供应商派遣至本项目的工作人员应具备相应的设备维护资质，在设施设备保养维护中切实做好安全防护工作，因操作不当或非采购人原因造成的一切人身伤害及财产损失均与采购人无关，不得由此向采购人索赔，所产生的一切费用（包括赔偿等）均由供应商自行解决。</w:t>
      </w:r>
    </w:p>
    <w:p w14:paraId="0D1DDAC8">
      <w:pPr>
        <w:autoSpaceDE w:val="0"/>
        <w:autoSpaceDN w:val="0"/>
        <w:adjustRightInd w:val="0"/>
        <w:spacing w:line="560" w:lineRule="exact"/>
        <w:ind w:firstLine="640" w:firstLineChars="200"/>
        <w:rPr>
          <w:rFonts w:hint="default" w:ascii="Times New Roman" w:hAnsi="Times New Roman" w:eastAsia="CESI黑体-GB2312" w:cs="Times New Roman"/>
          <w:color w:val="auto"/>
          <w:sz w:val="32"/>
          <w:szCs w:val="32"/>
        </w:rPr>
      </w:pPr>
      <w:bookmarkStart w:id="107" w:name="_Toc1874750997_WPSOffice_Level1"/>
      <w:r>
        <w:rPr>
          <w:rFonts w:hint="default" w:ascii="Times New Roman" w:hAnsi="Times New Roman" w:eastAsia="CESI黑体-GB2312" w:cs="Times New Roman"/>
          <w:color w:val="auto"/>
          <w:sz w:val="32"/>
          <w:szCs w:val="32"/>
        </w:rPr>
        <w:t>七、检查与考核</w:t>
      </w:r>
      <w:bookmarkEnd w:id="107"/>
    </w:p>
    <w:p w14:paraId="20F8C00E">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采购人定期或不定期对供应商按要求制定的质量保证措施及相关服务承诺的执行情况进行检查。如质量未达到目标，采购人有权要求供应商整改。整改情况作为月度考核的重要参考依据。</w:t>
      </w:r>
    </w:p>
    <w:p w14:paraId="6EC4A9F1">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人每月组织对供应商的保洁服务、安保服务、会议服务、房屋维护服务、设施设备维护服务、零星维修服务、绿化管理服务、食堂运行管理服务等进行考核。具体从人员到位情况、任务落实情况、服务质量标准情况、成本把控情况、安全管理及责任落实情况、应急事件处置情况、执行整改情况、其他约定的履约情况等方面来考核。</w:t>
      </w:r>
    </w:p>
    <w:p w14:paraId="089F75FC">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采购人每年对供应商的保洁服务、安保服务、会议服务、房屋维护服务、设施设备维护服务、零星维修服务、绿化管理服务、食堂运行管理服务等进行满意度测评。</w:t>
      </w:r>
    </w:p>
    <w:p w14:paraId="69B32653">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方按照物业管理费的5%作为考核期内履约保证金，根据日常监督考核情况和满意度测评结果，按考核等级支付。年度考核分优秀、良好、及格、不及格四个等第，如果采购方对供应商各项服务指标的年度满意度测评达到优秀，则全额支付考核期内的履约保证金；考核为良好，则支付考核期内的履约保证金的75%：考核为及格，则支付考核期内的履约保证金的50%：考核为不及格，则扣下考核期内履约保证金100%。</w:t>
      </w:r>
    </w:p>
    <w:p w14:paraId="0BDEDFE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度物业项目发生重大责任事故（含设施设备运行事故），给采购方造成严重经济损失或不良影响的，除赔偿相应损失外，采购人有权按政府采购法律法规将相关情况提交到浙江省财政厅政府采购监管处处理，并不支付任何形式的赔偿金或补偿金。</w:t>
      </w:r>
    </w:p>
    <w:p w14:paraId="64171405">
      <w:pPr>
        <w:pStyle w:val="22"/>
        <w:rPr>
          <w:rFonts w:hint="default" w:ascii="Times New Roman" w:hAnsi="Times New Roman" w:cs="Times New Roman"/>
          <w:color w:val="auto"/>
        </w:rPr>
      </w:pPr>
    </w:p>
    <w:p w14:paraId="1F42963F">
      <w:pPr>
        <w:pStyle w:val="22"/>
        <w:rPr>
          <w:rFonts w:hint="default" w:ascii="Times New Roman" w:hAnsi="Times New Roman" w:cs="Times New Roman"/>
          <w:color w:val="auto"/>
        </w:rPr>
      </w:pPr>
    </w:p>
    <w:p w14:paraId="3AABCD9C">
      <w:pPr>
        <w:pStyle w:val="22"/>
        <w:rPr>
          <w:rFonts w:hint="default" w:ascii="Times New Roman" w:hAnsi="Times New Roman" w:cs="Times New Roman"/>
          <w:color w:val="auto"/>
        </w:rPr>
      </w:pPr>
    </w:p>
    <w:p w14:paraId="317E05BC">
      <w:pPr>
        <w:spacing w:line="360" w:lineRule="auto"/>
        <w:rPr>
          <w:rFonts w:hint="eastAsia" w:ascii="仿宋" w:hAnsi="仿宋" w:eastAsia="仿宋" w:cs="仿宋"/>
          <w:sz w:val="32"/>
          <w:szCs w:val="32"/>
          <w:lang w:val="en-US" w:eastAsia="zh-CN"/>
        </w:rPr>
      </w:pPr>
      <w:r>
        <w:rPr>
          <w:rFonts w:hint="eastAsia" w:ascii="仿宋" w:hAnsi="仿宋" w:eastAsia="仿宋"/>
          <w:b/>
          <w:bCs/>
          <w:sz w:val="28"/>
          <w:szCs w:val="28"/>
        </w:rPr>
        <w:t>商务要求表</w:t>
      </w:r>
    </w:p>
    <w:tbl>
      <w:tblPr>
        <w:tblStyle w:val="5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86"/>
        <w:gridCol w:w="6775"/>
      </w:tblGrid>
      <w:tr w14:paraId="240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BDF04D0">
            <w:pPr>
              <w:keepNext w:val="0"/>
              <w:keepLines w:val="0"/>
              <w:pageBreakBefore w:val="0"/>
              <w:kinsoku/>
              <w:wordWrap/>
              <w:overflowPunct/>
              <w:topLinePunct w:val="0"/>
              <w:autoSpaceDE/>
              <w:autoSpaceDN/>
              <w:bidi w:val="0"/>
              <w:snapToGrid w:val="0"/>
              <w:spacing w:line="520" w:lineRule="exact"/>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1C72FD3">
            <w:pPr>
              <w:keepNext w:val="0"/>
              <w:keepLines w:val="0"/>
              <w:pageBreakBefore w:val="0"/>
              <w:kinsoku/>
              <w:wordWrap/>
              <w:overflowPunct/>
              <w:topLinePunct w:val="0"/>
              <w:autoSpaceDE/>
              <w:autoSpaceDN/>
              <w:bidi w:val="0"/>
              <w:spacing w:line="52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服务期限：六个月</w:t>
            </w:r>
          </w:p>
          <w:p w14:paraId="44EAF73B">
            <w:pPr>
              <w:keepNext w:val="0"/>
              <w:keepLines w:val="0"/>
              <w:pageBreakBefore w:val="0"/>
              <w:kinsoku/>
              <w:wordWrap/>
              <w:overflowPunct/>
              <w:topLinePunct w:val="0"/>
              <w:autoSpaceDE/>
              <w:autoSpaceDN/>
              <w:bidi w:val="0"/>
              <w:spacing w:line="52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服务地点：浙江省教育考试院（杭州市西湖区蔷薇弄6号）</w:t>
            </w:r>
          </w:p>
        </w:tc>
      </w:tr>
      <w:tr w14:paraId="16C8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96F8136">
            <w:pPr>
              <w:keepNext w:val="0"/>
              <w:keepLines w:val="0"/>
              <w:pageBreakBefore w:val="0"/>
              <w:kinsoku/>
              <w:wordWrap/>
              <w:overflowPunct/>
              <w:topLinePunct w:val="0"/>
              <w:autoSpaceDE/>
              <w:autoSpaceDN/>
              <w:bidi w:val="0"/>
              <w:snapToGrid w:val="0"/>
              <w:spacing w:line="520" w:lineRule="exact"/>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A24D18F">
            <w:pPr>
              <w:keepNext w:val="0"/>
              <w:keepLines w:val="0"/>
              <w:pageBreakBefore w:val="0"/>
              <w:kinsoku/>
              <w:wordWrap/>
              <w:overflowPunct/>
              <w:topLinePunct w:val="0"/>
              <w:autoSpaceDE/>
              <w:autoSpaceDN/>
              <w:bidi w:val="0"/>
              <w:adjustRightInd w:val="0"/>
              <w:spacing w:line="520" w:lineRule="exact"/>
              <w:textAlignment w:val="baseline"/>
              <w:rPr>
                <w:rFonts w:ascii="仿宋" w:hAnsi="仿宋" w:eastAsia="仿宋" w:cs="仿宋"/>
                <w:b/>
                <w:sz w:val="22"/>
                <w:szCs w:val="21"/>
              </w:rPr>
            </w:pPr>
            <w:r>
              <w:rPr>
                <w:rFonts w:hint="eastAsia" w:ascii="仿宋" w:hAnsi="仿宋" w:eastAsia="仿宋" w:cs="仿宋"/>
                <w:b/>
                <w:sz w:val="22"/>
                <w:szCs w:val="21"/>
              </w:rPr>
              <w:t>付款方式：根据相关规定，请采购人按实际需求出发确定付款方式。</w:t>
            </w:r>
          </w:p>
          <w:p w14:paraId="53ACFCDC">
            <w:pPr>
              <w:keepNext w:val="0"/>
              <w:keepLines w:val="0"/>
              <w:pageBreakBefore w:val="0"/>
              <w:kinsoku/>
              <w:wordWrap/>
              <w:overflowPunct/>
              <w:topLinePunct w:val="0"/>
              <w:autoSpaceDE/>
              <w:autoSpaceDN/>
              <w:bidi w:val="0"/>
              <w:adjustRightInd w:val="0"/>
              <w:spacing w:line="520" w:lineRule="exact"/>
              <w:textAlignment w:val="baseline"/>
              <w:rPr>
                <w:rFonts w:ascii="仿宋" w:hAnsi="仿宋" w:eastAsia="仿宋" w:cs="仿宋"/>
                <w:b/>
                <w:sz w:val="22"/>
                <w:szCs w:val="21"/>
                <w:shd w:val="pct10" w:color="auto" w:fill="FFFFFF"/>
              </w:rPr>
            </w:pPr>
            <w:r>
              <w:rPr>
                <w:rFonts w:hint="eastAsia" w:ascii="仿宋" w:hAnsi="仿宋" w:eastAsia="仿宋" w:cs="仿宋"/>
                <w:b/>
                <w:sz w:val="22"/>
                <w:szCs w:val="21"/>
                <w:shd w:val="pct10" w:color="auto" w:fill="FFFFFF"/>
              </w:rPr>
              <w:t>（备注：1.对中小企业合同预付款比例原则上不低于合同金额的40％，不高于合同金额的70%；</w:t>
            </w:r>
          </w:p>
          <w:p w14:paraId="6EC30C94">
            <w:pPr>
              <w:keepNext w:val="0"/>
              <w:keepLines w:val="0"/>
              <w:pageBreakBefore w:val="0"/>
              <w:kinsoku/>
              <w:wordWrap/>
              <w:overflowPunct/>
              <w:topLinePunct w:val="0"/>
              <w:autoSpaceDE/>
              <w:autoSpaceDN/>
              <w:bidi w:val="0"/>
              <w:adjustRightInd w:val="0"/>
              <w:spacing w:line="520" w:lineRule="exact"/>
              <w:textAlignment w:val="baseline"/>
              <w:rPr>
                <w:rFonts w:ascii="仿宋" w:hAnsi="仿宋" w:eastAsia="仿宋" w:cs="仿宋"/>
                <w:b/>
                <w:sz w:val="22"/>
                <w:szCs w:val="21"/>
                <w:shd w:val="pct10" w:color="auto" w:fill="FFFFFF"/>
              </w:rPr>
            </w:pPr>
            <w:r>
              <w:rPr>
                <w:rFonts w:hint="eastAsia" w:ascii="仿宋" w:hAnsi="仿宋" w:eastAsia="仿宋" w:cs="仿宋"/>
                <w:b/>
                <w:sz w:val="22"/>
                <w:szCs w:val="21"/>
                <w:shd w:val="pct10" w:color="auto" w:fill="FFFFFF"/>
              </w:rPr>
              <w:t>2.项目分年安排预算的，每年预付款比例不低于项目年度计划支付资金额的40％，不高于年度计划支付资金额的70%；</w:t>
            </w:r>
          </w:p>
          <w:p w14:paraId="2E374FDB">
            <w:pPr>
              <w:keepNext w:val="0"/>
              <w:keepLines w:val="0"/>
              <w:pageBreakBefore w:val="0"/>
              <w:kinsoku/>
              <w:wordWrap/>
              <w:overflowPunct/>
              <w:topLinePunct w:val="0"/>
              <w:autoSpaceDE/>
              <w:autoSpaceDN/>
              <w:bidi w:val="0"/>
              <w:adjustRightInd w:val="0"/>
              <w:spacing w:line="520" w:lineRule="exact"/>
              <w:textAlignment w:val="baseline"/>
              <w:rPr>
                <w:rFonts w:ascii="仿宋" w:hAnsi="仿宋" w:eastAsia="仿宋" w:cs="仿宋"/>
                <w:b/>
                <w:sz w:val="22"/>
                <w:szCs w:val="21"/>
                <w:shd w:val="pct10" w:color="auto" w:fill="FFFFFF"/>
              </w:rPr>
            </w:pPr>
            <w:r>
              <w:rPr>
                <w:rFonts w:hint="eastAsia" w:ascii="仿宋" w:hAnsi="仿宋" w:eastAsia="仿宋" w:cs="仿宋"/>
                <w:b/>
                <w:sz w:val="22"/>
                <w:szCs w:val="21"/>
                <w:shd w:val="pct10" w:color="auto" w:fill="FFFFFF"/>
              </w:rPr>
              <w:t>3.采购项目实施以人工投入为主的，可适当降低预付款比例，但不得低于20%。</w:t>
            </w:r>
          </w:p>
          <w:p w14:paraId="7B454D54">
            <w:pPr>
              <w:keepNext w:val="0"/>
              <w:keepLines w:val="0"/>
              <w:pageBreakBefore w:val="0"/>
              <w:kinsoku/>
              <w:wordWrap/>
              <w:overflowPunct/>
              <w:topLinePunct w:val="0"/>
              <w:autoSpaceDE/>
              <w:autoSpaceDN/>
              <w:bidi w:val="0"/>
              <w:spacing w:line="520" w:lineRule="exact"/>
              <w:rPr>
                <w:rFonts w:hint="eastAsia" w:ascii="仿宋" w:hAnsi="仿宋" w:eastAsia="仿宋" w:cs="仿宋"/>
                <w:b/>
                <w:sz w:val="22"/>
                <w:szCs w:val="21"/>
                <w:shd w:val="pct10" w:color="auto" w:fill="FFFFFF"/>
              </w:rPr>
            </w:pPr>
            <w:r>
              <w:rPr>
                <w:rFonts w:hint="eastAsia" w:ascii="仿宋" w:hAnsi="仿宋" w:eastAsia="仿宋" w:cs="仿宋"/>
                <w:b/>
                <w:sz w:val="22"/>
                <w:szCs w:val="21"/>
                <w:shd w:val="pct10" w:color="auto" w:fill="FFFFFF"/>
              </w:rPr>
              <w:t>4.对供应商为大型企业的项目或者以人工投入为主且实行按月定期结算支付款项的项目，预付款可低于上述比例或者不约定预付款。）</w:t>
            </w:r>
          </w:p>
          <w:p w14:paraId="37501EDB">
            <w:pPr>
              <w:pStyle w:val="51"/>
              <w:keepNext w:val="0"/>
              <w:keepLines w:val="0"/>
              <w:pageBreakBefore w:val="0"/>
              <w:kinsoku/>
              <w:wordWrap/>
              <w:overflowPunct/>
              <w:topLinePunct w:val="0"/>
              <w:autoSpaceDE/>
              <w:autoSpaceDN/>
              <w:bidi w:val="0"/>
              <w:spacing w:line="52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需提供履约保证金：采购方收取物业管理费金额的</w:t>
            </w:r>
            <w:r>
              <w:rPr>
                <w:rFonts w:hint="eastAsia" w:ascii="仿宋" w:hAnsi="仿宋" w:eastAsia="仿宋" w:cs="Times New Roman"/>
                <w:kern w:val="2"/>
                <w:sz w:val="24"/>
                <w:szCs w:val="24"/>
                <w:highlight w:val="none"/>
                <w:lang w:val="en-US" w:eastAsia="zh-CN" w:bidi="ar-SA"/>
              </w:rPr>
              <w:t>1%</w:t>
            </w:r>
            <w:r>
              <w:rPr>
                <w:rFonts w:hint="eastAsia" w:ascii="仿宋" w:hAnsi="仿宋" w:eastAsia="仿宋" w:cs="Times New Roman"/>
                <w:kern w:val="2"/>
                <w:sz w:val="24"/>
                <w:szCs w:val="24"/>
                <w:lang w:val="en-US" w:eastAsia="zh-CN" w:bidi="ar-SA"/>
              </w:rPr>
              <w:t>作为考核期内履约保证金，根据日常监督考核情况和满意度测评结果，按考核等级支付。年度考核分优秀、良好、及格、不及格四个等第，如果采购方对供应商各项服务指标的年度满意度测评达到优秀，则全额返还履约保证金；考核为良好，则返还履约保证金的75%：考核为及格，则返还履约保证金的50%：考核为不及格，则扣下履约保证金。</w:t>
            </w:r>
          </w:p>
          <w:p w14:paraId="226EFFF2">
            <w:pPr>
              <w:pStyle w:val="51"/>
              <w:keepNext w:val="0"/>
              <w:keepLines w:val="0"/>
              <w:pageBreakBefore w:val="0"/>
              <w:kinsoku/>
              <w:wordWrap/>
              <w:overflowPunct/>
              <w:topLinePunct w:val="0"/>
              <w:autoSpaceDE/>
              <w:autoSpaceDN/>
              <w:bidi w:val="0"/>
              <w:spacing w:line="520" w:lineRule="exact"/>
              <w:rPr>
                <w:rFonts w:hint="default" w:ascii="仿宋" w:hAnsi="仿宋" w:eastAsia="宋体"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于11月30日前向中标供应商支付合同总金额的95%，剩余5%的费用将于完成对中标供应商的考核后一次性支付。支付合同款前，中标供应商应向采购方提供发票，采购方将于收到发票后10个工作日内以银行转账的形式向中标供应商支付费用，本合同执行中相关的一切税费均由中标供应商负担。</w:t>
            </w:r>
          </w:p>
        </w:tc>
      </w:tr>
      <w:tr w14:paraId="56EF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0D6516F">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EAEAC7E">
            <w:pPr>
              <w:pStyle w:val="51"/>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无特别说明，按“第五章  浙江省政府采购合同主要条款指引”相关违约责任及争议解决方式内容。</w:t>
            </w:r>
          </w:p>
        </w:tc>
      </w:tr>
      <w:tr w14:paraId="4C2D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94" w:type="dxa"/>
            <w:vMerge w:val="restart"/>
            <w:tcBorders>
              <w:top w:val="single" w:color="auto" w:sz="4" w:space="0"/>
              <w:left w:val="single" w:color="auto" w:sz="4" w:space="0"/>
              <w:bottom w:val="single" w:color="auto" w:sz="4" w:space="0"/>
              <w:right w:val="single" w:color="auto" w:sz="4" w:space="0"/>
            </w:tcBorders>
            <w:vAlign w:val="center"/>
          </w:tcPr>
          <w:p w14:paraId="575AE215">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售</w:t>
            </w:r>
          </w:p>
          <w:p w14:paraId="1ABC5205">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后</w:t>
            </w:r>
          </w:p>
          <w:p w14:paraId="14843E6D">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服务</w:t>
            </w:r>
          </w:p>
        </w:tc>
        <w:tc>
          <w:tcPr>
            <w:tcW w:w="1286" w:type="dxa"/>
            <w:tcBorders>
              <w:top w:val="single" w:color="auto" w:sz="4" w:space="0"/>
              <w:left w:val="single" w:color="auto" w:sz="4" w:space="0"/>
              <w:bottom w:val="single" w:color="auto" w:sz="4" w:space="0"/>
              <w:right w:val="single" w:color="auto" w:sz="4" w:space="0"/>
            </w:tcBorders>
            <w:vAlign w:val="center"/>
          </w:tcPr>
          <w:p w14:paraId="40556372">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0D5E6EE0">
            <w:pPr>
              <w:pStyle w:val="51"/>
              <w:keepNext w:val="0"/>
              <w:keepLines w:val="0"/>
              <w:pageBreakBefore w:val="0"/>
              <w:kinsoku/>
              <w:wordWrap/>
              <w:overflowPunct/>
              <w:topLinePunct w:val="0"/>
              <w:autoSpaceDE/>
              <w:autoSpaceDN/>
              <w:bidi w:val="0"/>
              <w:adjustRightInd/>
              <w:spacing w:line="520" w:lineRule="exac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如有，请供应商提供。</w:t>
            </w:r>
          </w:p>
        </w:tc>
      </w:tr>
      <w:tr w14:paraId="792A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0BFCBA6C">
            <w:pPr>
              <w:keepNext w:val="0"/>
              <w:keepLines w:val="0"/>
              <w:pageBreakBefore w:val="0"/>
              <w:widowControl/>
              <w:kinsoku/>
              <w:wordWrap/>
              <w:overflowPunct/>
              <w:topLinePunct w:val="0"/>
              <w:autoSpaceDE/>
              <w:autoSpaceDN/>
              <w:bidi w:val="0"/>
              <w:adjustRightInd/>
              <w:spacing w:line="520" w:lineRule="exact"/>
              <w:jc w:val="left"/>
              <w:textAlignment w:val="auto"/>
              <w:rPr>
                <w:rFonts w:ascii="仿宋" w:hAnsi="仿宋" w:eastAsia="仿宋" w:cs="仿宋_GB2312"/>
                <w:b/>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14:paraId="7A7AC4FF">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53C11A38">
            <w:pPr>
              <w:pStyle w:val="51"/>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如有，请供应商提供。</w:t>
            </w:r>
          </w:p>
        </w:tc>
      </w:tr>
      <w:tr w14:paraId="2B12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7C67FAB2">
            <w:pPr>
              <w:keepNext w:val="0"/>
              <w:keepLines w:val="0"/>
              <w:pageBreakBefore w:val="0"/>
              <w:widowControl/>
              <w:kinsoku/>
              <w:wordWrap/>
              <w:overflowPunct/>
              <w:topLinePunct w:val="0"/>
              <w:autoSpaceDE/>
              <w:autoSpaceDN/>
              <w:bidi w:val="0"/>
              <w:adjustRightInd/>
              <w:spacing w:line="520" w:lineRule="exact"/>
              <w:jc w:val="left"/>
              <w:textAlignment w:val="auto"/>
              <w:rPr>
                <w:rFonts w:ascii="仿宋" w:hAnsi="仿宋" w:eastAsia="仿宋" w:cs="仿宋_GB2312"/>
                <w:b/>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14:paraId="25D7E2A9">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6A721775">
            <w:pPr>
              <w:pStyle w:val="51"/>
              <w:keepNext w:val="0"/>
              <w:keepLines w:val="0"/>
              <w:pageBreakBefore w:val="0"/>
              <w:kinsoku/>
              <w:wordWrap/>
              <w:overflowPunct/>
              <w:topLinePunct w:val="0"/>
              <w:autoSpaceDE/>
              <w:autoSpaceDN/>
              <w:bidi w:val="0"/>
              <w:adjustRightInd/>
              <w:spacing w:line="520" w:lineRule="exact"/>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为提高物业管理服务水平，所有管理和服务人员在服务期间按岗位要求定期进行短期培训，请供应商提供相应培训方案。</w:t>
            </w:r>
          </w:p>
        </w:tc>
      </w:tr>
      <w:tr w14:paraId="7B51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94" w:type="dxa"/>
            <w:vMerge w:val="restart"/>
            <w:tcBorders>
              <w:top w:val="single" w:color="auto" w:sz="4" w:space="0"/>
              <w:left w:val="single" w:color="auto" w:sz="4" w:space="0"/>
              <w:bottom w:val="single" w:color="auto" w:sz="4" w:space="0"/>
              <w:right w:val="single" w:color="auto" w:sz="4" w:space="0"/>
            </w:tcBorders>
            <w:vAlign w:val="center"/>
          </w:tcPr>
          <w:p w14:paraId="04D6E29E">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履约能力</w:t>
            </w:r>
          </w:p>
        </w:tc>
        <w:tc>
          <w:tcPr>
            <w:tcW w:w="1286" w:type="dxa"/>
            <w:tcBorders>
              <w:top w:val="single" w:color="auto" w:sz="4" w:space="0"/>
              <w:left w:val="single" w:color="auto" w:sz="4" w:space="0"/>
              <w:bottom w:val="single" w:color="auto" w:sz="4" w:space="0"/>
              <w:right w:val="single" w:color="auto" w:sz="4" w:space="0"/>
            </w:tcBorders>
            <w:vAlign w:val="center"/>
          </w:tcPr>
          <w:p w14:paraId="2BA3C4A3">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60D0D353">
            <w:pPr>
              <w:pStyle w:val="51"/>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投标人能够完成浙江省教育考试院物业服务项目采购需求中所提到的所有服务内容，并保证服务质量。</w:t>
            </w:r>
          </w:p>
        </w:tc>
      </w:tr>
      <w:tr w14:paraId="3BA0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43B3DE37">
            <w:pPr>
              <w:keepNext w:val="0"/>
              <w:keepLines w:val="0"/>
              <w:pageBreakBefore w:val="0"/>
              <w:widowControl/>
              <w:kinsoku/>
              <w:wordWrap/>
              <w:overflowPunct/>
              <w:topLinePunct w:val="0"/>
              <w:autoSpaceDE/>
              <w:autoSpaceDN/>
              <w:bidi w:val="0"/>
              <w:adjustRightInd/>
              <w:spacing w:line="520" w:lineRule="exact"/>
              <w:jc w:val="left"/>
              <w:textAlignment w:val="auto"/>
              <w:rPr>
                <w:rFonts w:ascii="仿宋" w:hAnsi="仿宋" w:eastAsia="仿宋" w:cs="仿宋_GB2312"/>
                <w:b/>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14:paraId="03074F30">
            <w:pPr>
              <w:keepNext w:val="0"/>
              <w:keepLines w:val="0"/>
              <w:pageBreakBefore w:val="0"/>
              <w:kinsoku/>
              <w:wordWrap/>
              <w:overflowPunct/>
              <w:topLinePunct w:val="0"/>
              <w:autoSpaceDE/>
              <w:autoSpaceDN/>
              <w:bidi w:val="0"/>
              <w:adjustRightInd/>
              <w:snapToGrid w:val="0"/>
              <w:spacing w:line="520" w:lineRule="exact"/>
              <w:jc w:val="left"/>
              <w:textAlignment w:val="auto"/>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65D77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投标人自2022年3 月1 日起完成类似项目业绩的</w:t>
            </w:r>
            <w:r>
              <w:rPr>
                <w:rFonts w:hint="eastAsia" w:ascii="仿宋" w:hAnsi="仿宋" w:eastAsia="仿宋" w:cs="Times New Roman"/>
                <w:kern w:val="2"/>
                <w:sz w:val="24"/>
                <w:szCs w:val="24"/>
                <w:lang w:val="en-US" w:eastAsia="zh-CN" w:bidi="ar-SA"/>
              </w:rPr>
              <w:t>（允许同一家业主单位）</w:t>
            </w:r>
            <w:r>
              <w:rPr>
                <w:rFonts w:hint="default" w:ascii="仿宋" w:hAnsi="仿宋" w:eastAsia="仿宋" w:cs="Times New Roman"/>
                <w:kern w:val="2"/>
                <w:sz w:val="24"/>
                <w:szCs w:val="24"/>
                <w:lang w:val="en-US" w:eastAsia="zh-CN" w:bidi="ar-SA"/>
              </w:rPr>
              <w:t>，或正在履约的（含保洁、安保、绿化、维修等内容，合同至少包含2项以上内容）。每个项目业绩（合同）得</w:t>
            </w:r>
            <w:r>
              <w:rPr>
                <w:rFonts w:hint="eastAsia" w:ascii="仿宋" w:hAnsi="仿宋" w:eastAsia="仿宋" w:cs="Times New Roman"/>
                <w:kern w:val="2"/>
                <w:sz w:val="24"/>
                <w:szCs w:val="24"/>
                <w:lang w:val="en-US" w:eastAsia="zh-CN" w:bidi="ar-SA"/>
              </w:rPr>
              <w:t>0.5</w:t>
            </w:r>
            <w:r>
              <w:rPr>
                <w:rFonts w:hint="default" w:ascii="仿宋" w:hAnsi="仿宋" w:eastAsia="仿宋" w:cs="Times New Roman"/>
                <w:kern w:val="2"/>
                <w:sz w:val="24"/>
                <w:szCs w:val="24"/>
                <w:lang w:val="en-US" w:eastAsia="zh-CN" w:bidi="ar-SA"/>
              </w:rPr>
              <w:t>分（以签订合同为准），最高得</w:t>
            </w:r>
            <w:r>
              <w:rPr>
                <w:rFonts w:hint="eastAsia" w:ascii="仿宋" w:hAnsi="仿宋" w:eastAsia="仿宋" w:cs="Times New Roman"/>
                <w:kern w:val="2"/>
                <w:sz w:val="24"/>
                <w:szCs w:val="24"/>
                <w:lang w:val="en-US" w:eastAsia="zh-CN" w:bidi="ar-SA"/>
              </w:rPr>
              <w:t>1</w:t>
            </w:r>
            <w:r>
              <w:rPr>
                <w:rFonts w:hint="default" w:ascii="仿宋" w:hAnsi="仿宋" w:eastAsia="仿宋" w:cs="Times New Roman"/>
                <w:kern w:val="2"/>
                <w:sz w:val="24"/>
                <w:szCs w:val="24"/>
                <w:lang w:val="en-US" w:eastAsia="zh-CN" w:bidi="ar-SA"/>
              </w:rPr>
              <w:t>分。</w:t>
            </w:r>
          </w:p>
          <w:p w14:paraId="37D6CC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注：须提供合同或用户验收回复资料复印件</w:t>
            </w:r>
            <w:r>
              <w:rPr>
                <w:rFonts w:hint="eastAsia" w:ascii="仿宋" w:hAnsi="仿宋" w:eastAsia="仿宋" w:cs="Times New Roman"/>
                <w:kern w:val="2"/>
                <w:sz w:val="24"/>
                <w:szCs w:val="24"/>
                <w:lang w:val="en-US" w:eastAsia="zh-CN" w:bidi="ar-SA"/>
              </w:rPr>
              <w:t>。</w:t>
            </w:r>
          </w:p>
          <w:p w14:paraId="76E96E0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rFonts w:hint="eastAsia" w:ascii="仿宋" w:hAnsi="仿宋" w:eastAsia="仿宋" w:cs="Times New Roman"/>
                <w:kern w:val="2"/>
                <w:sz w:val="24"/>
                <w:szCs w:val="24"/>
                <w:lang w:val="en-US" w:eastAsia="zh-CN" w:bidi="ar-SA"/>
              </w:rPr>
              <w:t>每个对应业绩获得业主单位服务优秀评价的，得1分，良好的得0.5分，合格的不得分。最高得2分（须提供合同复印件及服务评价，不能提供的视作服务评价合格）。</w:t>
            </w:r>
          </w:p>
        </w:tc>
      </w:tr>
    </w:tbl>
    <w:p w14:paraId="01325668">
      <w:pPr>
        <w:keepNext w:val="0"/>
        <w:keepLines w:val="0"/>
        <w:pageBreakBefore w:val="0"/>
        <w:kinsoku/>
        <w:wordWrap/>
        <w:overflowPunct/>
        <w:topLinePunct w:val="0"/>
        <w:autoSpaceDE/>
        <w:autoSpaceDN/>
        <w:bidi w:val="0"/>
        <w:adjustRightInd/>
        <w:spacing w:line="560" w:lineRule="exact"/>
        <w:textAlignment w:val="auto"/>
      </w:pPr>
    </w:p>
    <w:p w14:paraId="28489D52">
      <w:pPr>
        <w:pStyle w:val="22"/>
        <w:rPr>
          <w:rFonts w:hint="default" w:ascii="Times New Roman" w:hAnsi="Times New Roman" w:cs="Times New Roman"/>
          <w:color w:val="auto"/>
        </w:rPr>
      </w:pPr>
    </w:p>
    <w:p w14:paraId="5DA56573">
      <w:pPr>
        <w:pStyle w:val="22"/>
        <w:rPr>
          <w:rFonts w:hint="default" w:ascii="Times New Roman" w:hAnsi="Times New Roman" w:cs="Times New Roman"/>
          <w:color w:val="auto"/>
        </w:rPr>
      </w:pPr>
    </w:p>
    <w:p w14:paraId="2DB9C956">
      <w:pPr>
        <w:pStyle w:val="22"/>
        <w:rPr>
          <w:rFonts w:hint="default" w:ascii="Times New Roman" w:hAnsi="Times New Roman" w:cs="Times New Roman"/>
          <w:color w:val="auto"/>
        </w:rPr>
      </w:pPr>
    </w:p>
    <w:p w14:paraId="25B19EE4">
      <w:pPr>
        <w:pStyle w:val="22"/>
        <w:rPr>
          <w:rFonts w:hint="default" w:ascii="Times New Roman" w:hAnsi="Times New Roman" w:cs="Times New Roman"/>
          <w:color w:val="auto"/>
        </w:rPr>
      </w:pPr>
    </w:p>
    <w:p w14:paraId="15151A26">
      <w:pPr>
        <w:pStyle w:val="22"/>
        <w:rPr>
          <w:rFonts w:hint="default" w:ascii="Times New Roman" w:hAnsi="Times New Roman" w:cs="Times New Roman"/>
          <w:color w:val="auto"/>
        </w:rPr>
      </w:pPr>
    </w:p>
    <w:p w14:paraId="5F22FF9E">
      <w:pPr>
        <w:pStyle w:val="22"/>
        <w:rPr>
          <w:rFonts w:hint="default" w:ascii="Times New Roman" w:hAnsi="Times New Roman" w:cs="Times New Roman"/>
          <w:color w:val="auto"/>
        </w:rPr>
      </w:pPr>
    </w:p>
    <w:p w14:paraId="79B95A44">
      <w:pPr>
        <w:pStyle w:val="22"/>
        <w:rPr>
          <w:rFonts w:hint="default" w:ascii="Times New Roman" w:hAnsi="Times New Roman" w:cs="Times New Roman"/>
          <w:color w:val="auto"/>
        </w:rPr>
      </w:pPr>
    </w:p>
    <w:p w14:paraId="113237E9">
      <w:pPr>
        <w:pStyle w:val="22"/>
        <w:rPr>
          <w:rFonts w:hint="default" w:ascii="Times New Roman" w:hAnsi="Times New Roman" w:cs="Times New Roman"/>
          <w:color w:val="auto"/>
        </w:rPr>
      </w:pPr>
    </w:p>
    <w:p w14:paraId="071F0E57">
      <w:pPr>
        <w:pStyle w:val="49"/>
        <w:spacing w:after="120"/>
        <w:rPr>
          <w:rFonts w:ascii="宋体" w:hAnsi="宋体"/>
          <w:color w:val="000000"/>
          <w:sz w:val="36"/>
          <w:szCs w:val="36"/>
        </w:rPr>
      </w:pPr>
    </w:p>
    <w:p w14:paraId="4779D045">
      <w:pPr>
        <w:pStyle w:val="49"/>
        <w:spacing w:after="120"/>
        <w:rPr>
          <w:rFonts w:ascii="宋体" w:hAnsi="宋体"/>
          <w:color w:val="000000"/>
          <w:sz w:val="36"/>
          <w:szCs w:val="36"/>
        </w:rPr>
      </w:pPr>
    </w:p>
    <w:p w14:paraId="58398656">
      <w:pPr>
        <w:pStyle w:val="49"/>
        <w:spacing w:after="120"/>
        <w:rPr>
          <w:rFonts w:ascii="宋体" w:hAnsi="宋体"/>
          <w:color w:val="000000"/>
          <w:sz w:val="36"/>
          <w:szCs w:val="36"/>
        </w:rPr>
      </w:pPr>
    </w:p>
    <w:p w14:paraId="4372BF5A">
      <w:pPr>
        <w:pStyle w:val="49"/>
        <w:spacing w:after="120"/>
        <w:rPr>
          <w:rFonts w:ascii="宋体" w:hAnsi="宋体"/>
          <w:color w:val="000000"/>
          <w:sz w:val="36"/>
          <w:szCs w:val="36"/>
        </w:rPr>
      </w:pPr>
    </w:p>
    <w:p w14:paraId="0292FA79">
      <w:pPr>
        <w:pStyle w:val="49"/>
        <w:spacing w:after="120"/>
        <w:rPr>
          <w:rFonts w:ascii="宋体" w:hAnsi="宋体"/>
          <w:color w:val="000000"/>
          <w:sz w:val="36"/>
          <w:szCs w:val="36"/>
        </w:rPr>
      </w:pPr>
    </w:p>
    <w:p w14:paraId="1ED9CB7A">
      <w:pPr>
        <w:widowControl/>
        <w:jc w:val="left"/>
        <w:rPr>
          <w:rFonts w:ascii="宋体" w:hAnsi="宋体"/>
          <w:b/>
          <w:bCs/>
          <w:color w:val="000000"/>
          <w:sz w:val="36"/>
          <w:szCs w:val="36"/>
        </w:rPr>
      </w:pPr>
    </w:p>
    <w:p w14:paraId="36962C0D">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7"/>
      <w:bookmarkEnd w:id="88"/>
    </w:p>
    <w:p w14:paraId="67B394B3">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B26B2FB">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5C602C1C">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560B34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281AEAB4">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03A41BA">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329E5ED">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AD084D7">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C5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0566948">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08A2594">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6311303">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753323C">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735C334">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C0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C94FE29">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5464D06">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B225188">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B2ACB3">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8119AF5">
            <w:pPr>
              <w:pStyle w:val="521"/>
              <w:spacing w:after="120" w:line="460" w:lineRule="exact"/>
              <w:ind w:left="570"/>
              <w:rPr>
                <w:rFonts w:ascii="仿宋" w:hAnsi="仿宋" w:eastAsia="仿宋"/>
                <w:color w:val="auto"/>
                <w:kern w:val="2"/>
                <w:sz w:val="30"/>
                <w:szCs w:val="30"/>
              </w:rPr>
            </w:pPr>
          </w:p>
        </w:tc>
      </w:tr>
      <w:tr w14:paraId="4A8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599995D">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1C0903BC">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0AD8451">
            <w:pPr>
              <w:pStyle w:val="521"/>
              <w:spacing w:after="120" w:line="460" w:lineRule="exact"/>
              <w:ind w:firstLine="639" w:firstLineChars="213"/>
              <w:rPr>
                <w:rFonts w:ascii="仿宋" w:hAnsi="仿宋" w:eastAsia="仿宋"/>
                <w:color w:val="auto"/>
                <w:kern w:val="2"/>
                <w:sz w:val="30"/>
                <w:szCs w:val="30"/>
              </w:rPr>
            </w:pPr>
          </w:p>
        </w:tc>
      </w:tr>
      <w:tr w14:paraId="4A4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DEE0B62">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651ADC40">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4A07520">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B4AA0C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58D4EC6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1D254E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25D44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2E52526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58417AE8">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D1AB726">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32D2FB69">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6FF53D6">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D11BF79">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188EF6B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049E45EA">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4F0CFB1">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7EDDB9F7">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F76BA33">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308890E5">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30588352">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0F44BBD2">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w:t>
      </w:r>
      <w:r>
        <w:rPr>
          <w:rFonts w:hint="eastAsia" w:ascii="宋体" w:hAnsi="宋体" w:cs="宋体"/>
          <w:bCs/>
          <w:color w:val="FF0000"/>
          <w:kern w:val="0"/>
          <w:sz w:val="28"/>
          <w:szCs w:val="28"/>
          <w:lang w:eastAsia="zh-CN"/>
        </w:rPr>
        <w:t>（</w:t>
      </w:r>
      <w:r>
        <w:rPr>
          <w:rFonts w:hint="eastAsia" w:ascii="宋体" w:hAnsi="宋体" w:cs="宋体"/>
          <w:bCs/>
          <w:color w:val="FF0000"/>
          <w:kern w:val="0"/>
          <w:sz w:val="28"/>
          <w:szCs w:val="28"/>
          <w:lang w:val="en-US" w:eastAsia="zh-CN"/>
        </w:rPr>
        <w:t xml:space="preserve"> ）</w:t>
      </w:r>
      <w:r>
        <w:rPr>
          <w:rFonts w:hint="eastAsia" w:ascii="宋体" w:hAnsi="宋体" w:cs="宋体"/>
          <w:bCs/>
          <w:color w:val="FF0000"/>
          <w:kern w:val="0"/>
          <w:sz w:val="28"/>
          <w:szCs w:val="28"/>
        </w:rPr>
        <w:t>%，审计结算完成后并符合财政相关流程退回履约保证金，竣工验收合格后退回质量保证金。</w:t>
      </w:r>
    </w:p>
    <w:p w14:paraId="6A1A1986">
      <w:pPr>
        <w:pStyle w:val="28"/>
        <w:adjustRightInd w:val="0"/>
        <w:snapToGrid w:val="0"/>
        <w:spacing w:before="120" w:after="120" w:line="460" w:lineRule="exact"/>
        <w:ind w:firstLine="641" w:firstLineChars="213"/>
        <w:rPr>
          <w:rFonts w:hint="eastAsia" w:ascii="仿宋" w:hAnsi="仿宋" w:eastAsia="仿宋"/>
          <w:b/>
          <w:snapToGrid w:val="0"/>
          <w:sz w:val="30"/>
          <w:szCs w:val="30"/>
        </w:rPr>
      </w:pPr>
    </w:p>
    <w:p w14:paraId="16F8821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0402E76">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526F7E5">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F21988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0C8C682E">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685552D9">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6AD6B20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8C1E79D">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9927DAC">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0AA667F1">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33C2E6A1">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03B6499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73EEA2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609E791">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D34D57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5120C21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BAB51BE">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26B319D9">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232F886B">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49B1F4A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1900706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ED47F0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0C4996A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3A90A5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4123F22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5B6D80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889B3A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6331DFD5">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w:t>
      </w:r>
      <w:r>
        <w:rPr>
          <w:rFonts w:hint="eastAsia" w:ascii="仿宋" w:hAnsi="仿宋" w:eastAsia="仿宋"/>
          <w:b/>
          <w:snapToGrid w:val="0"/>
          <w:sz w:val="30"/>
          <w:szCs w:val="30"/>
        </w:rPr>
        <w:t>日内将采购资金支付到乙方约定账户。</w:t>
      </w:r>
    </w:p>
    <w:p w14:paraId="1B032E6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2F589B9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34AA20">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59DF70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24CAF1B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498CF3D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0946C7A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16E7477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F1EC5A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66BB5EA">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75C0C17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42CACE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4F80D8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274E9E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947CF9A">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2EC8D3">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2FEC1641">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457E227">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61392C5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646395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98A41C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C47B9E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36D96F0">
      <w:pPr>
        <w:pStyle w:val="28"/>
        <w:adjustRightInd w:val="0"/>
        <w:snapToGrid w:val="0"/>
        <w:spacing w:before="120" w:after="120" w:line="460" w:lineRule="exact"/>
        <w:ind w:firstLine="639" w:firstLineChars="213"/>
        <w:rPr>
          <w:rFonts w:ascii="仿宋" w:hAnsi="仿宋" w:eastAsia="仿宋"/>
          <w:snapToGrid w:val="0"/>
          <w:sz w:val="30"/>
          <w:szCs w:val="30"/>
        </w:rPr>
      </w:pPr>
    </w:p>
    <w:p w14:paraId="618E564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1588F16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DD1974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8E3738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F2149A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D74210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7F29A7B">
      <w:pPr>
        <w:pStyle w:val="28"/>
        <w:adjustRightInd w:val="0"/>
        <w:snapToGrid w:val="0"/>
        <w:spacing w:before="120" w:after="120" w:line="460" w:lineRule="exact"/>
        <w:ind w:left="1" w:firstLine="639" w:firstLineChars="213"/>
        <w:rPr>
          <w:rFonts w:hAnsi="宋体"/>
          <w:snapToGrid w:val="0"/>
          <w:color w:val="000000"/>
          <w:sz w:val="30"/>
          <w:szCs w:val="30"/>
        </w:rPr>
      </w:pPr>
    </w:p>
    <w:p w14:paraId="5B9D0872">
      <w:pPr>
        <w:pStyle w:val="28"/>
        <w:adjustRightInd w:val="0"/>
        <w:snapToGrid w:val="0"/>
        <w:spacing w:before="120" w:after="120" w:line="460" w:lineRule="exact"/>
        <w:ind w:left="1" w:firstLine="639" w:firstLineChars="213"/>
        <w:rPr>
          <w:rFonts w:hAnsi="宋体"/>
          <w:snapToGrid w:val="0"/>
          <w:color w:val="000000"/>
          <w:sz w:val="30"/>
          <w:szCs w:val="30"/>
        </w:rPr>
      </w:pPr>
    </w:p>
    <w:p w14:paraId="51D1ED24">
      <w:pPr>
        <w:pStyle w:val="28"/>
        <w:adjustRightInd w:val="0"/>
        <w:snapToGrid w:val="0"/>
        <w:spacing w:before="120" w:after="120" w:line="460" w:lineRule="exact"/>
        <w:ind w:left="1" w:firstLine="639" w:firstLineChars="213"/>
        <w:rPr>
          <w:rFonts w:hAnsi="宋体"/>
          <w:snapToGrid w:val="0"/>
          <w:color w:val="000000"/>
          <w:sz w:val="30"/>
          <w:szCs w:val="30"/>
        </w:rPr>
      </w:pPr>
    </w:p>
    <w:p w14:paraId="1E30B574">
      <w:pPr>
        <w:pStyle w:val="28"/>
        <w:adjustRightInd w:val="0"/>
        <w:snapToGrid w:val="0"/>
        <w:spacing w:before="120" w:after="120" w:line="460" w:lineRule="exact"/>
        <w:ind w:left="1" w:firstLine="639" w:firstLineChars="213"/>
        <w:rPr>
          <w:rFonts w:hAnsi="宋体"/>
          <w:snapToGrid w:val="0"/>
          <w:color w:val="000000"/>
          <w:sz w:val="30"/>
          <w:szCs w:val="30"/>
        </w:rPr>
      </w:pPr>
    </w:p>
    <w:p w14:paraId="270C5B72">
      <w:pPr>
        <w:pStyle w:val="28"/>
        <w:adjustRightInd w:val="0"/>
        <w:snapToGrid w:val="0"/>
        <w:spacing w:before="120" w:after="120" w:line="460" w:lineRule="exact"/>
        <w:ind w:left="1" w:firstLine="639" w:firstLineChars="213"/>
        <w:rPr>
          <w:rFonts w:hAnsi="宋体"/>
          <w:snapToGrid w:val="0"/>
          <w:color w:val="000000"/>
          <w:sz w:val="30"/>
          <w:szCs w:val="30"/>
        </w:rPr>
      </w:pPr>
    </w:p>
    <w:p w14:paraId="1E3CF15E">
      <w:pPr>
        <w:pStyle w:val="28"/>
        <w:adjustRightInd w:val="0"/>
        <w:snapToGrid w:val="0"/>
        <w:spacing w:before="120" w:after="120" w:line="460" w:lineRule="exact"/>
        <w:ind w:left="1" w:firstLine="639" w:firstLineChars="213"/>
        <w:rPr>
          <w:rFonts w:hAnsi="宋体"/>
          <w:snapToGrid w:val="0"/>
          <w:color w:val="000000"/>
          <w:sz w:val="30"/>
          <w:szCs w:val="30"/>
        </w:rPr>
      </w:pPr>
    </w:p>
    <w:p w14:paraId="718D2D45">
      <w:pPr>
        <w:pStyle w:val="28"/>
        <w:adjustRightInd w:val="0"/>
        <w:snapToGrid w:val="0"/>
        <w:spacing w:before="120" w:after="120" w:line="460" w:lineRule="exact"/>
        <w:ind w:left="1" w:firstLine="639" w:firstLineChars="213"/>
        <w:rPr>
          <w:rFonts w:hAnsi="宋体"/>
          <w:snapToGrid w:val="0"/>
          <w:color w:val="000000"/>
          <w:sz w:val="30"/>
          <w:szCs w:val="30"/>
        </w:rPr>
      </w:pPr>
    </w:p>
    <w:p w14:paraId="1900F0BC">
      <w:pPr>
        <w:pStyle w:val="28"/>
        <w:adjustRightInd w:val="0"/>
        <w:snapToGrid w:val="0"/>
        <w:spacing w:before="120" w:after="120" w:line="460" w:lineRule="exact"/>
        <w:ind w:left="1" w:firstLine="639" w:firstLineChars="213"/>
        <w:rPr>
          <w:rFonts w:hAnsi="宋体"/>
          <w:snapToGrid w:val="0"/>
          <w:color w:val="000000"/>
          <w:sz w:val="30"/>
          <w:szCs w:val="30"/>
        </w:rPr>
      </w:pPr>
    </w:p>
    <w:p w14:paraId="1150730F">
      <w:pPr>
        <w:pStyle w:val="28"/>
        <w:adjustRightInd w:val="0"/>
        <w:snapToGrid w:val="0"/>
        <w:spacing w:before="120" w:after="120" w:line="460" w:lineRule="exact"/>
        <w:ind w:left="1" w:firstLine="639" w:firstLineChars="213"/>
        <w:rPr>
          <w:rFonts w:hAnsi="宋体"/>
          <w:snapToGrid w:val="0"/>
          <w:color w:val="000000"/>
          <w:sz w:val="30"/>
          <w:szCs w:val="30"/>
        </w:rPr>
      </w:pPr>
    </w:p>
    <w:p w14:paraId="2FC32E21">
      <w:pPr>
        <w:pStyle w:val="28"/>
        <w:adjustRightInd w:val="0"/>
        <w:snapToGrid w:val="0"/>
        <w:spacing w:before="120" w:after="120" w:line="460" w:lineRule="exact"/>
        <w:ind w:left="1" w:firstLine="639" w:firstLineChars="213"/>
        <w:rPr>
          <w:rFonts w:hAnsi="宋体"/>
          <w:snapToGrid w:val="0"/>
          <w:color w:val="000000"/>
          <w:sz w:val="30"/>
          <w:szCs w:val="30"/>
        </w:rPr>
      </w:pPr>
    </w:p>
    <w:p w14:paraId="59AC8E7E">
      <w:pPr>
        <w:pStyle w:val="28"/>
        <w:adjustRightInd w:val="0"/>
        <w:snapToGrid w:val="0"/>
        <w:spacing w:before="120" w:after="120" w:line="460" w:lineRule="exact"/>
        <w:ind w:left="1" w:firstLine="639" w:firstLineChars="213"/>
        <w:rPr>
          <w:rFonts w:hAnsi="宋体"/>
          <w:snapToGrid w:val="0"/>
          <w:color w:val="000000"/>
          <w:sz w:val="30"/>
          <w:szCs w:val="30"/>
        </w:rPr>
      </w:pPr>
    </w:p>
    <w:p w14:paraId="5A06B12F">
      <w:pPr>
        <w:pStyle w:val="28"/>
        <w:adjustRightInd w:val="0"/>
        <w:snapToGrid w:val="0"/>
        <w:spacing w:before="120" w:after="120" w:line="460" w:lineRule="exact"/>
        <w:ind w:left="1" w:firstLine="639" w:firstLineChars="213"/>
        <w:rPr>
          <w:rFonts w:hAnsi="宋体"/>
          <w:snapToGrid w:val="0"/>
          <w:color w:val="000000"/>
          <w:sz w:val="30"/>
          <w:szCs w:val="30"/>
        </w:rPr>
      </w:pPr>
    </w:p>
    <w:p w14:paraId="0A3755F7">
      <w:pPr>
        <w:pStyle w:val="28"/>
        <w:snapToGrid w:val="0"/>
        <w:spacing w:before="120" w:after="120" w:line="480" w:lineRule="auto"/>
        <w:jc w:val="both"/>
        <w:outlineLvl w:val="0"/>
        <w:rPr>
          <w:rFonts w:hint="eastAsia" w:hAnsi="宋体"/>
          <w:b/>
          <w:sz w:val="36"/>
          <w:szCs w:val="36"/>
        </w:rPr>
      </w:pPr>
      <w:bookmarkStart w:id="108" w:name="_Toc510137469"/>
    </w:p>
    <w:p w14:paraId="5C21746D">
      <w:pPr>
        <w:pStyle w:val="28"/>
        <w:snapToGrid w:val="0"/>
        <w:spacing w:before="120" w:after="120" w:line="480" w:lineRule="auto"/>
        <w:jc w:val="center"/>
        <w:outlineLvl w:val="0"/>
        <w:rPr>
          <w:rFonts w:hAnsi="宋体"/>
          <w:b/>
          <w:sz w:val="36"/>
          <w:szCs w:val="36"/>
        </w:rPr>
      </w:pPr>
      <w:r>
        <w:rPr>
          <w:rFonts w:hint="eastAsia" w:hAnsi="宋体"/>
          <w:b/>
          <w:sz w:val="36"/>
          <w:szCs w:val="36"/>
        </w:rPr>
        <w:t>第六章响应文件格式附件</w:t>
      </w:r>
      <w:bookmarkEnd w:id="108"/>
    </w:p>
    <w:p w14:paraId="5496E73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7CA21B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92038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7AE403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B0596E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BA9A99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7FB06A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4D1F0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88A909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E9D6E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5065B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D34C3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AD1F65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9DBECB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029A6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97449B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0E62110">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12D630C">
      <w:pPr>
        <w:snapToGrid w:val="0"/>
        <w:spacing w:before="120" w:beforeLines="50" w:after="50"/>
        <w:jc w:val="right"/>
        <w:rPr>
          <w:rFonts w:ascii="仿宋" w:hAnsi="仿宋" w:eastAsia="仿宋"/>
          <w:bCs/>
          <w:sz w:val="30"/>
          <w:szCs w:val="30"/>
        </w:rPr>
      </w:pPr>
    </w:p>
    <w:p w14:paraId="0CB02D67">
      <w:pPr>
        <w:ind w:right="-110"/>
        <w:jc w:val="center"/>
        <w:rPr>
          <w:rFonts w:hint="eastAsia" w:ascii="仿宋" w:hAnsi="仿宋" w:eastAsia="仿宋"/>
          <w:spacing w:val="40"/>
          <w:sz w:val="52"/>
          <w:szCs w:val="52"/>
          <w:lang w:eastAsia="zh-CN"/>
        </w:rPr>
      </w:pPr>
      <w:bookmarkStart w:id="109" w:name="PO_3000001756_PM002_2"/>
      <w:r>
        <w:rPr>
          <w:rFonts w:hint="eastAsia" w:ascii="仿宋" w:hAnsi="仿宋" w:eastAsia="仿宋"/>
          <w:b/>
          <w:spacing w:val="40"/>
          <w:sz w:val="52"/>
          <w:szCs w:val="52"/>
          <w:lang w:eastAsia="zh-CN"/>
        </w:rPr>
        <w:t>浙江省教育考试院物业服务项目</w:t>
      </w:r>
      <w:bookmarkEnd w:id="109"/>
    </w:p>
    <w:p w14:paraId="7269EF3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10" w:name="PO_15530_PM001_2"/>
      <w:r>
        <w:rPr>
          <w:rFonts w:hint="eastAsia" w:ascii="仿宋" w:hAnsi="仿宋" w:eastAsia="仿宋"/>
          <w:sz w:val="36"/>
          <w:szCs w:val="36"/>
          <w:lang w:eastAsia="zh-CN"/>
        </w:rPr>
        <w:t>ZZCG2025H-CS-113</w:t>
      </w:r>
      <w:bookmarkEnd w:id="110"/>
      <w:r>
        <w:rPr>
          <w:rFonts w:hint="eastAsia" w:ascii="仿宋" w:hAnsi="仿宋" w:eastAsia="仿宋"/>
          <w:sz w:val="36"/>
          <w:szCs w:val="36"/>
        </w:rPr>
        <w:t xml:space="preserve"> （标项）</w:t>
      </w:r>
    </w:p>
    <w:p w14:paraId="21AF033E">
      <w:pPr>
        <w:spacing w:after="100" w:afterAutospacing="1" w:line="800" w:lineRule="exact"/>
        <w:ind w:right="-108"/>
        <w:jc w:val="center"/>
        <w:rPr>
          <w:rFonts w:ascii="仿宋" w:hAnsi="仿宋" w:eastAsia="仿宋"/>
          <w:b/>
          <w:spacing w:val="40"/>
          <w:sz w:val="84"/>
          <w:szCs w:val="84"/>
        </w:rPr>
      </w:pPr>
    </w:p>
    <w:p w14:paraId="70AD20D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5EEA06D">
      <w:pPr>
        <w:spacing w:after="100" w:afterAutospacing="1" w:line="800" w:lineRule="exact"/>
        <w:ind w:right="-108"/>
        <w:jc w:val="center"/>
        <w:rPr>
          <w:rFonts w:ascii="仿宋" w:hAnsi="仿宋" w:eastAsia="仿宋"/>
          <w:b/>
          <w:spacing w:val="40"/>
          <w:sz w:val="84"/>
          <w:szCs w:val="84"/>
        </w:rPr>
      </w:pPr>
    </w:p>
    <w:p w14:paraId="45C3D29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5FA774CA">
      <w:pPr>
        <w:spacing w:after="100" w:afterAutospacing="1" w:line="800" w:lineRule="exact"/>
        <w:ind w:right="-108"/>
        <w:jc w:val="center"/>
        <w:rPr>
          <w:rFonts w:ascii="仿宋" w:hAnsi="仿宋" w:eastAsia="仿宋"/>
          <w:b/>
          <w:spacing w:val="40"/>
          <w:sz w:val="84"/>
          <w:szCs w:val="84"/>
        </w:rPr>
      </w:pPr>
    </w:p>
    <w:p w14:paraId="6B1E6B8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C19F477">
      <w:pPr>
        <w:spacing w:after="100" w:afterAutospacing="1" w:line="800" w:lineRule="exact"/>
        <w:ind w:right="-108"/>
        <w:jc w:val="center"/>
        <w:rPr>
          <w:rFonts w:ascii="仿宋" w:hAnsi="仿宋" w:eastAsia="仿宋"/>
          <w:b/>
          <w:spacing w:val="40"/>
          <w:sz w:val="84"/>
          <w:szCs w:val="84"/>
        </w:rPr>
      </w:pPr>
    </w:p>
    <w:p w14:paraId="4FE8DA0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1541B37">
      <w:pPr>
        <w:spacing w:line="500" w:lineRule="exact"/>
        <w:ind w:right="532"/>
        <w:rPr>
          <w:rFonts w:ascii="仿宋" w:hAnsi="仿宋" w:eastAsia="仿宋"/>
          <w:sz w:val="36"/>
          <w:szCs w:val="36"/>
        </w:rPr>
      </w:pPr>
    </w:p>
    <w:p w14:paraId="6CF2DA7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9D32889">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4E6ADD9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E66BF75">
      <w:pPr>
        <w:spacing w:line="600" w:lineRule="exact"/>
        <w:ind w:right="532" w:firstLine="720" w:firstLineChars="200"/>
        <w:rPr>
          <w:rFonts w:ascii="仿宋" w:hAnsi="仿宋" w:eastAsia="仿宋"/>
          <w:sz w:val="36"/>
          <w:szCs w:val="36"/>
        </w:rPr>
      </w:pPr>
    </w:p>
    <w:p w14:paraId="1CD3986C">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200912A">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（1）磋商响应声明书 (格式见附件2)；</w:t>
      </w:r>
    </w:p>
    <w:p w14:paraId="6527ADA4">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511C842D">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A45EF9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3773712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2AC9F292">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）中小企业声明函（若需要，格式见附件7）；</w:t>
      </w:r>
    </w:p>
    <w:p w14:paraId="58181606">
      <w:pPr>
        <w:snapToGrid w:val="0"/>
        <w:spacing w:before="50" w:after="120" w:afterLines="5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）残疾人福利企业声明函（若需要，格式见附件8）；</w:t>
      </w:r>
    </w:p>
    <w:p w14:paraId="24218EAB">
      <w:pPr>
        <w:snapToGrid w:val="0"/>
        <w:spacing w:before="50" w:after="120" w:afterLines="50" w:line="460" w:lineRule="exact"/>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lang w:val="en-US" w:eastAsia="zh-CN"/>
        </w:rPr>
        <w:t>（8）监狱企业证明文件（若需要）；</w:t>
      </w:r>
    </w:p>
    <w:p w14:paraId="2CE7415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）提供采购公告中符合磋商响应方的特定条件要求的有效的其他资质复印件并加盖公司公章及需要说明的资料。</w:t>
      </w:r>
    </w:p>
    <w:p w14:paraId="1E3282C6">
      <w:pPr>
        <w:snapToGrid w:val="0"/>
        <w:spacing w:before="50" w:after="120" w:afterLines="50"/>
        <w:jc w:val="left"/>
        <w:rPr>
          <w:rFonts w:ascii="仿宋" w:hAnsi="仿宋" w:eastAsia="仿宋"/>
          <w:color w:val="FF0000"/>
          <w:sz w:val="30"/>
          <w:szCs w:val="30"/>
        </w:rPr>
      </w:pPr>
    </w:p>
    <w:p w14:paraId="12BF61EF">
      <w:pPr>
        <w:snapToGrid w:val="0"/>
        <w:spacing w:before="50" w:after="120" w:afterLines="50"/>
        <w:jc w:val="left"/>
        <w:rPr>
          <w:rFonts w:ascii="仿宋" w:hAnsi="仿宋" w:eastAsia="仿宋"/>
          <w:color w:val="FF0000"/>
          <w:sz w:val="30"/>
          <w:szCs w:val="30"/>
        </w:rPr>
      </w:pPr>
    </w:p>
    <w:p w14:paraId="78D33383">
      <w:pPr>
        <w:snapToGrid w:val="0"/>
        <w:spacing w:before="50" w:after="120" w:afterLines="50"/>
        <w:jc w:val="left"/>
        <w:rPr>
          <w:rFonts w:ascii="仿宋" w:hAnsi="仿宋" w:eastAsia="仿宋"/>
          <w:color w:val="FF0000"/>
          <w:sz w:val="30"/>
          <w:szCs w:val="30"/>
        </w:rPr>
      </w:pPr>
    </w:p>
    <w:p w14:paraId="5AD24276">
      <w:pPr>
        <w:snapToGrid w:val="0"/>
        <w:spacing w:before="50" w:after="120" w:afterLines="50"/>
        <w:jc w:val="left"/>
        <w:rPr>
          <w:rFonts w:ascii="仿宋" w:hAnsi="仿宋" w:eastAsia="仿宋"/>
          <w:color w:val="FF0000"/>
          <w:sz w:val="30"/>
          <w:szCs w:val="30"/>
        </w:rPr>
      </w:pPr>
    </w:p>
    <w:p w14:paraId="72AA81B2">
      <w:pPr>
        <w:snapToGrid w:val="0"/>
        <w:spacing w:before="50" w:after="120" w:afterLines="50"/>
        <w:jc w:val="left"/>
        <w:rPr>
          <w:rFonts w:ascii="仿宋" w:hAnsi="仿宋" w:eastAsia="仿宋"/>
          <w:color w:val="FF0000"/>
          <w:sz w:val="30"/>
          <w:szCs w:val="30"/>
        </w:rPr>
      </w:pPr>
    </w:p>
    <w:p w14:paraId="12C98B8C">
      <w:pPr>
        <w:snapToGrid w:val="0"/>
        <w:spacing w:before="50" w:after="120" w:afterLines="50"/>
        <w:jc w:val="left"/>
        <w:rPr>
          <w:rFonts w:ascii="宋体" w:hAnsi="宋体"/>
          <w:b/>
          <w:sz w:val="30"/>
          <w:szCs w:val="30"/>
        </w:rPr>
      </w:pPr>
    </w:p>
    <w:p w14:paraId="1D717310">
      <w:pPr>
        <w:snapToGrid w:val="0"/>
        <w:spacing w:line="460" w:lineRule="exact"/>
        <w:ind w:firstLine="446" w:firstLineChars="148"/>
        <w:jc w:val="left"/>
        <w:outlineLvl w:val="1"/>
        <w:rPr>
          <w:rFonts w:hint="eastAsia" w:ascii="仿宋" w:hAnsi="仿宋" w:eastAsia="仿宋"/>
          <w:b/>
          <w:bCs/>
          <w:sz w:val="30"/>
          <w:szCs w:val="30"/>
        </w:rPr>
      </w:pPr>
    </w:p>
    <w:p w14:paraId="5006BD27">
      <w:pPr>
        <w:snapToGrid w:val="0"/>
        <w:spacing w:line="460" w:lineRule="exact"/>
        <w:ind w:firstLine="446" w:firstLineChars="148"/>
        <w:jc w:val="left"/>
        <w:outlineLvl w:val="1"/>
        <w:rPr>
          <w:rFonts w:hint="eastAsia" w:ascii="仿宋" w:hAnsi="仿宋" w:eastAsia="仿宋"/>
          <w:b/>
          <w:bCs/>
          <w:sz w:val="30"/>
          <w:szCs w:val="30"/>
        </w:rPr>
      </w:pPr>
    </w:p>
    <w:p w14:paraId="430E0F5B">
      <w:pPr>
        <w:snapToGrid w:val="0"/>
        <w:spacing w:line="460" w:lineRule="exact"/>
        <w:ind w:firstLine="446" w:firstLineChars="148"/>
        <w:jc w:val="left"/>
        <w:outlineLvl w:val="1"/>
        <w:rPr>
          <w:rFonts w:hint="eastAsia" w:ascii="仿宋" w:hAnsi="仿宋" w:eastAsia="仿宋"/>
          <w:b/>
          <w:bCs/>
          <w:sz w:val="30"/>
          <w:szCs w:val="30"/>
        </w:rPr>
      </w:pPr>
    </w:p>
    <w:p w14:paraId="62C2809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36BFBAF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BF9BD6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09C7D36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FF77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78EB62E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391E38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31CF99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651492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5862FE1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A74B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6638264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456FFEA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3F0FF4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13400D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4D18020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77080D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7C204C4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3C7535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947D20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p>
    <w:p w14:paraId="7C8DE018">
      <w:pPr>
        <w:widowControl/>
        <w:jc w:val="left"/>
        <w:rPr>
          <w:rFonts w:ascii="仿宋" w:hAnsi="仿宋" w:eastAsia="仿宋"/>
          <w:sz w:val="30"/>
          <w:szCs w:val="30"/>
        </w:rPr>
      </w:pPr>
      <w:r>
        <w:rPr>
          <w:rFonts w:hint="eastAsia" w:ascii="仿宋" w:hAnsi="仿宋" w:eastAsia="仿宋"/>
          <w:sz w:val="30"/>
          <w:szCs w:val="30"/>
        </w:rPr>
        <w:br w:type="page"/>
      </w:r>
    </w:p>
    <w:p w14:paraId="1734863A">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30E87C6">
      <w:pPr>
        <w:snapToGrid w:val="0"/>
        <w:spacing w:before="50" w:after="50"/>
        <w:jc w:val="center"/>
        <w:rPr>
          <w:rFonts w:ascii="宋体"/>
          <w:b/>
          <w:sz w:val="36"/>
          <w:szCs w:val="36"/>
        </w:rPr>
      </w:pPr>
      <w:r>
        <w:rPr>
          <w:rFonts w:hint="eastAsia" w:ascii="宋体" w:hAnsi="宋体"/>
          <w:b/>
          <w:sz w:val="36"/>
          <w:szCs w:val="36"/>
        </w:rPr>
        <w:t>声明书</w:t>
      </w:r>
    </w:p>
    <w:p w14:paraId="036F7644">
      <w:pPr>
        <w:snapToGrid w:val="0"/>
        <w:spacing w:before="120" w:beforeLines="50" w:after="50" w:line="500" w:lineRule="exact"/>
        <w:jc w:val="center"/>
        <w:rPr>
          <w:rFonts w:ascii="仿宋" w:hAnsi="仿宋" w:eastAsia="仿宋"/>
          <w:b/>
          <w:sz w:val="36"/>
          <w:szCs w:val="36"/>
        </w:rPr>
      </w:pPr>
    </w:p>
    <w:p w14:paraId="7034000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C8ACEE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bookmarkStart w:id="111" w:name="PO_15530_PM001_3"/>
      <w:r>
        <w:rPr>
          <w:rFonts w:hint="eastAsia" w:ascii="仿宋" w:hAnsi="仿宋" w:eastAsia="仿宋"/>
          <w:sz w:val="30"/>
          <w:szCs w:val="30"/>
          <w:u w:val="single"/>
          <w:lang w:eastAsia="zh-CN"/>
        </w:rPr>
        <w:t>ZZCG2025H-CS-113</w:t>
      </w:r>
      <w:bookmarkEnd w:id="111"/>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2CE9A28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5D231FE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5F57659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3B343D2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35C7409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353703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EA587D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544B822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00FE6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C8205F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27742C62">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1CF54239">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70F446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76510A09">
      <w:pPr>
        <w:snapToGrid w:val="0"/>
        <w:spacing w:before="50" w:after="50"/>
        <w:jc w:val="center"/>
        <w:rPr>
          <w:rFonts w:ascii="宋体"/>
          <w:b/>
          <w:sz w:val="36"/>
          <w:szCs w:val="36"/>
        </w:rPr>
      </w:pPr>
      <w:r>
        <w:rPr>
          <w:rFonts w:hint="eastAsia" w:ascii="宋体" w:hAnsi="宋体"/>
          <w:b/>
          <w:sz w:val="36"/>
          <w:szCs w:val="36"/>
        </w:rPr>
        <w:t>法定代表人授权委托书</w:t>
      </w:r>
    </w:p>
    <w:p w14:paraId="182A0BE3">
      <w:pPr>
        <w:snapToGrid w:val="0"/>
        <w:spacing w:before="120" w:beforeLines="50" w:after="50"/>
        <w:jc w:val="center"/>
        <w:rPr>
          <w:rFonts w:ascii="仿宋" w:hAnsi="仿宋" w:eastAsia="仿宋"/>
          <w:b/>
          <w:sz w:val="30"/>
          <w:szCs w:val="30"/>
        </w:rPr>
      </w:pPr>
    </w:p>
    <w:p w14:paraId="5C05394D">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03450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6D711D14">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717FEF9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4059144">
      <w:pPr>
        <w:snapToGrid w:val="0"/>
        <w:spacing w:before="120" w:beforeLines="50" w:after="50" w:line="460" w:lineRule="exact"/>
        <w:ind w:firstLine="480"/>
        <w:rPr>
          <w:rFonts w:ascii="仿宋" w:hAnsi="仿宋" w:eastAsia="仿宋"/>
          <w:sz w:val="30"/>
          <w:szCs w:val="30"/>
        </w:rPr>
      </w:pPr>
    </w:p>
    <w:p w14:paraId="5B288257">
      <w:pPr>
        <w:snapToGrid w:val="0"/>
        <w:spacing w:before="120" w:beforeLines="50" w:after="50" w:line="460" w:lineRule="exact"/>
        <w:ind w:firstLine="480"/>
        <w:rPr>
          <w:rFonts w:ascii="仿宋" w:hAnsi="仿宋" w:eastAsia="仿宋"/>
          <w:sz w:val="30"/>
          <w:szCs w:val="30"/>
        </w:rPr>
      </w:pPr>
    </w:p>
    <w:p w14:paraId="46E1130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A0E0481">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89FBE2">
      <w:pPr>
        <w:snapToGrid w:val="0"/>
        <w:spacing w:before="120" w:beforeLines="50" w:after="50" w:line="460" w:lineRule="exact"/>
        <w:rPr>
          <w:rFonts w:hint="eastAsia" w:ascii="仿宋" w:hAnsi="仿宋" w:eastAsia="仿宋"/>
          <w:sz w:val="30"/>
          <w:szCs w:val="30"/>
        </w:rPr>
      </w:pPr>
    </w:p>
    <w:p w14:paraId="6F4C2CA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D24E9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8DB3535">
      <w:pPr>
        <w:snapToGrid w:val="0"/>
        <w:spacing w:before="120" w:beforeLines="50" w:after="50" w:line="460" w:lineRule="exact"/>
        <w:rPr>
          <w:rFonts w:ascii="仿宋" w:hAnsi="仿宋" w:eastAsia="仿宋"/>
          <w:sz w:val="30"/>
          <w:szCs w:val="30"/>
        </w:rPr>
      </w:pPr>
    </w:p>
    <w:p w14:paraId="3EE39F7A">
      <w:pPr>
        <w:snapToGrid w:val="0"/>
        <w:spacing w:before="120" w:beforeLines="50" w:after="50" w:line="460" w:lineRule="exact"/>
        <w:ind w:firstLine="6150" w:firstLineChars="2050"/>
        <w:rPr>
          <w:rFonts w:ascii="仿宋" w:hAnsi="仿宋" w:eastAsia="仿宋"/>
          <w:sz w:val="30"/>
          <w:szCs w:val="30"/>
        </w:rPr>
      </w:pPr>
    </w:p>
    <w:p w14:paraId="67CB044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A190E41">
      <w:pPr>
        <w:widowControl/>
        <w:jc w:val="left"/>
        <w:rPr>
          <w:rFonts w:hint="eastAsia" w:ascii="仿宋" w:hAnsi="仿宋" w:eastAsia="仿宋"/>
          <w:color w:val="000000"/>
          <w:sz w:val="30"/>
          <w:szCs w:val="30"/>
        </w:rPr>
      </w:pPr>
    </w:p>
    <w:p w14:paraId="0246DF15">
      <w:pPr>
        <w:widowControl/>
        <w:jc w:val="left"/>
        <w:rPr>
          <w:rFonts w:hint="eastAsia" w:ascii="仿宋" w:hAnsi="仿宋" w:eastAsia="仿宋"/>
          <w:color w:val="000000"/>
          <w:sz w:val="30"/>
          <w:szCs w:val="30"/>
        </w:rPr>
      </w:pPr>
    </w:p>
    <w:p w14:paraId="422E9C7B">
      <w:pPr>
        <w:widowControl/>
        <w:jc w:val="left"/>
        <w:rPr>
          <w:rFonts w:hint="eastAsia" w:ascii="仿宋" w:hAnsi="仿宋" w:eastAsia="仿宋"/>
          <w:color w:val="000000"/>
          <w:sz w:val="30"/>
          <w:szCs w:val="30"/>
        </w:rPr>
      </w:pPr>
    </w:p>
    <w:p w14:paraId="1113D273">
      <w:pPr>
        <w:widowControl/>
        <w:jc w:val="left"/>
        <w:rPr>
          <w:rFonts w:hint="eastAsia" w:ascii="仿宋" w:hAnsi="仿宋" w:eastAsia="仿宋"/>
          <w:color w:val="000000"/>
          <w:sz w:val="30"/>
          <w:szCs w:val="30"/>
        </w:rPr>
      </w:pPr>
    </w:p>
    <w:p w14:paraId="203EFF9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1B9391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E84A93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E9302B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7EE4670">
      <w:pPr>
        <w:snapToGrid w:val="0"/>
        <w:spacing w:before="156" w:beforeLines="50" w:after="50" w:line="460" w:lineRule="exact"/>
        <w:rPr>
          <w:rFonts w:ascii="仿宋" w:hAnsi="仿宋" w:eastAsia="仿宋"/>
          <w:sz w:val="30"/>
          <w:szCs w:val="30"/>
        </w:rPr>
      </w:pPr>
    </w:p>
    <w:p w14:paraId="1FCEDD4C">
      <w:pPr>
        <w:snapToGrid w:val="0"/>
        <w:spacing w:before="156" w:beforeLines="50" w:after="50" w:line="460" w:lineRule="exact"/>
        <w:rPr>
          <w:rFonts w:ascii="仿宋" w:hAnsi="仿宋" w:eastAsia="仿宋"/>
          <w:sz w:val="30"/>
          <w:szCs w:val="30"/>
        </w:rPr>
      </w:pPr>
    </w:p>
    <w:p w14:paraId="19E35F2B">
      <w:pPr>
        <w:snapToGrid w:val="0"/>
        <w:spacing w:before="156" w:beforeLines="50" w:after="50" w:line="460" w:lineRule="exact"/>
        <w:rPr>
          <w:rFonts w:ascii="仿宋" w:hAnsi="仿宋" w:eastAsia="仿宋"/>
          <w:sz w:val="30"/>
          <w:szCs w:val="30"/>
        </w:rPr>
      </w:pPr>
    </w:p>
    <w:p w14:paraId="710D25D6">
      <w:pPr>
        <w:snapToGrid w:val="0"/>
        <w:spacing w:before="156" w:beforeLines="50" w:after="50" w:line="460" w:lineRule="exact"/>
        <w:rPr>
          <w:rFonts w:ascii="仿宋" w:hAnsi="仿宋" w:eastAsia="仿宋"/>
          <w:sz w:val="30"/>
          <w:szCs w:val="30"/>
        </w:rPr>
      </w:pPr>
    </w:p>
    <w:p w14:paraId="5DB2B786">
      <w:pPr>
        <w:snapToGrid w:val="0"/>
        <w:spacing w:before="156" w:beforeLines="50" w:after="50" w:line="460" w:lineRule="exact"/>
        <w:rPr>
          <w:rFonts w:ascii="仿宋" w:hAnsi="仿宋" w:eastAsia="仿宋"/>
          <w:sz w:val="30"/>
          <w:szCs w:val="30"/>
        </w:rPr>
      </w:pPr>
    </w:p>
    <w:p w14:paraId="4011D3EF">
      <w:pPr>
        <w:snapToGrid w:val="0"/>
        <w:spacing w:before="156" w:beforeLines="50" w:after="50" w:line="460" w:lineRule="exact"/>
        <w:rPr>
          <w:rFonts w:ascii="仿宋" w:hAnsi="仿宋" w:eastAsia="仿宋"/>
          <w:sz w:val="30"/>
          <w:szCs w:val="30"/>
        </w:rPr>
      </w:pPr>
    </w:p>
    <w:p w14:paraId="7FF44DAF">
      <w:pPr>
        <w:snapToGrid w:val="0"/>
        <w:spacing w:before="156" w:beforeLines="50" w:after="50" w:line="460" w:lineRule="exact"/>
        <w:rPr>
          <w:rFonts w:ascii="仿宋" w:hAnsi="仿宋" w:eastAsia="仿宋"/>
          <w:sz w:val="30"/>
          <w:szCs w:val="30"/>
        </w:rPr>
      </w:pPr>
    </w:p>
    <w:p w14:paraId="7023984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4E5D478">
      <w:pPr>
        <w:widowControl/>
        <w:jc w:val="left"/>
        <w:rPr>
          <w:rFonts w:hAnsi="宋体" w:cs="宋体"/>
          <w:bCs/>
          <w:sz w:val="24"/>
        </w:rPr>
      </w:pPr>
    </w:p>
    <w:p w14:paraId="79919220">
      <w:pPr>
        <w:widowControl/>
        <w:jc w:val="left"/>
        <w:rPr>
          <w:rFonts w:hAnsi="宋体" w:cs="宋体"/>
          <w:bCs/>
          <w:sz w:val="24"/>
        </w:rPr>
      </w:pPr>
    </w:p>
    <w:p w14:paraId="1794EA40">
      <w:pPr>
        <w:widowControl/>
        <w:jc w:val="left"/>
        <w:rPr>
          <w:rFonts w:hAnsi="宋体" w:cs="宋体"/>
          <w:bCs/>
          <w:sz w:val="24"/>
        </w:rPr>
      </w:pPr>
    </w:p>
    <w:p w14:paraId="4CBAE4A1">
      <w:pPr>
        <w:snapToGrid w:val="0"/>
        <w:spacing w:before="156" w:beforeLines="50" w:after="50" w:line="460" w:lineRule="exact"/>
        <w:rPr>
          <w:rFonts w:ascii="仿宋" w:hAnsi="仿宋" w:eastAsia="仿宋"/>
          <w:sz w:val="30"/>
          <w:szCs w:val="30"/>
        </w:rPr>
      </w:pPr>
    </w:p>
    <w:p w14:paraId="564CD71C">
      <w:pPr>
        <w:snapToGrid w:val="0"/>
        <w:spacing w:before="156" w:beforeLines="50" w:after="50" w:line="460" w:lineRule="exact"/>
        <w:rPr>
          <w:rFonts w:ascii="仿宋" w:hAnsi="仿宋" w:eastAsia="仿宋"/>
          <w:sz w:val="30"/>
          <w:szCs w:val="30"/>
        </w:rPr>
      </w:pPr>
    </w:p>
    <w:p w14:paraId="19AB42F7">
      <w:pPr>
        <w:widowControl/>
        <w:jc w:val="left"/>
        <w:rPr>
          <w:rFonts w:hAnsi="宋体" w:cs="宋体"/>
          <w:bCs/>
          <w:sz w:val="24"/>
        </w:rPr>
      </w:pPr>
    </w:p>
    <w:p w14:paraId="1B1E5255">
      <w:pPr>
        <w:widowControl/>
        <w:jc w:val="left"/>
        <w:rPr>
          <w:rFonts w:hAnsi="宋体" w:cs="宋体"/>
          <w:bCs/>
          <w:sz w:val="24"/>
        </w:rPr>
      </w:pPr>
    </w:p>
    <w:p w14:paraId="01F4EC9C">
      <w:pPr>
        <w:widowControl/>
        <w:jc w:val="left"/>
        <w:rPr>
          <w:rFonts w:hAnsi="宋体" w:cs="宋体"/>
          <w:bCs/>
          <w:sz w:val="24"/>
        </w:rPr>
      </w:pPr>
    </w:p>
    <w:p w14:paraId="2A80FA81">
      <w:pPr>
        <w:widowControl/>
        <w:jc w:val="left"/>
        <w:rPr>
          <w:rFonts w:hAnsi="宋体" w:cs="宋体"/>
          <w:bCs/>
          <w:sz w:val="24"/>
        </w:rPr>
      </w:pPr>
    </w:p>
    <w:p w14:paraId="0E0CC22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0CF6A1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245270">
      <w:pPr>
        <w:widowControl/>
        <w:jc w:val="left"/>
        <w:rPr>
          <w:rFonts w:hAnsi="宋体" w:cs="宋体"/>
          <w:bCs/>
          <w:sz w:val="24"/>
        </w:rPr>
      </w:pPr>
    </w:p>
    <w:p w14:paraId="686D19C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88B64E">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04BC1102">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642C76F7">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05FD4A3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23E3B2F2">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FC04E9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97E5C5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bookmarkStart w:id="112" w:name="PO_3000002632_PM001_1"/>
      <w:r>
        <w:rPr>
          <w:rFonts w:hint="eastAsia" w:ascii="仿宋" w:hAnsi="仿宋" w:eastAsia="仿宋"/>
          <w:b/>
          <w:sz w:val="30"/>
          <w:szCs w:val="30"/>
          <w:u w:val="single"/>
          <w:lang w:eastAsia="zh-CN"/>
        </w:rPr>
        <w:t>ZZCG2025H-CS-113</w:t>
      </w:r>
      <w:bookmarkEnd w:id="112"/>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76F13F2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7F143E7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021C2A8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2A0ECA5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20577A4C">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EBDEAD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BAABEE3">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A13FDBB">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CB2A06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1E9B39E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5CB59CA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542CBBFA">
        <w:tblPrEx>
          <w:tblCellMar>
            <w:top w:w="0" w:type="dxa"/>
            <w:left w:w="108" w:type="dxa"/>
            <w:bottom w:w="0" w:type="dxa"/>
            <w:right w:w="108" w:type="dxa"/>
          </w:tblCellMar>
        </w:tblPrEx>
        <w:trPr>
          <w:jc w:val="center"/>
        </w:trPr>
        <w:tc>
          <w:tcPr>
            <w:tcW w:w="4264" w:type="dxa"/>
          </w:tcPr>
          <w:p w14:paraId="7F0C98B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8F2595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E4659E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6DFC5B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BA225F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AAA4E2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C606242">
      <w:pPr>
        <w:pStyle w:val="14"/>
        <w:overflowPunct w:val="0"/>
        <w:spacing w:line="460" w:lineRule="exact"/>
        <w:ind w:firstLine="0"/>
        <w:rPr>
          <w:rFonts w:hint="eastAsia" w:ascii="仿宋" w:hAnsi="仿宋" w:eastAsia="仿宋"/>
          <w:color w:val="000000"/>
          <w:sz w:val="30"/>
          <w:szCs w:val="30"/>
        </w:rPr>
      </w:pPr>
    </w:p>
    <w:p w14:paraId="5BB262BC">
      <w:pPr>
        <w:pStyle w:val="14"/>
        <w:overflowPunct w:val="0"/>
        <w:spacing w:line="460" w:lineRule="exact"/>
        <w:ind w:firstLine="0"/>
        <w:rPr>
          <w:rFonts w:hint="eastAsia" w:ascii="仿宋" w:hAnsi="仿宋" w:eastAsia="仿宋"/>
          <w:color w:val="000000"/>
          <w:sz w:val="30"/>
          <w:szCs w:val="30"/>
        </w:rPr>
      </w:pPr>
    </w:p>
    <w:p w14:paraId="34F073D1">
      <w:pPr>
        <w:pStyle w:val="14"/>
        <w:overflowPunct w:val="0"/>
        <w:spacing w:line="460" w:lineRule="exact"/>
        <w:ind w:firstLine="0"/>
        <w:rPr>
          <w:rFonts w:hint="eastAsia" w:ascii="仿宋" w:hAnsi="仿宋" w:eastAsia="仿宋"/>
          <w:color w:val="000000"/>
          <w:sz w:val="30"/>
          <w:szCs w:val="30"/>
        </w:rPr>
      </w:pPr>
    </w:p>
    <w:p w14:paraId="582EC67A">
      <w:pPr>
        <w:pStyle w:val="14"/>
        <w:overflowPunct w:val="0"/>
        <w:spacing w:line="460" w:lineRule="exact"/>
        <w:ind w:firstLine="0"/>
        <w:rPr>
          <w:rFonts w:hint="eastAsia" w:ascii="仿宋" w:hAnsi="仿宋" w:eastAsia="仿宋"/>
          <w:color w:val="000000"/>
          <w:sz w:val="30"/>
          <w:szCs w:val="30"/>
        </w:rPr>
      </w:pPr>
    </w:p>
    <w:p w14:paraId="5107E64B">
      <w:pPr>
        <w:pStyle w:val="14"/>
        <w:overflowPunct w:val="0"/>
        <w:spacing w:line="460" w:lineRule="exact"/>
        <w:ind w:firstLine="0"/>
        <w:rPr>
          <w:rFonts w:hint="eastAsia" w:ascii="仿宋" w:hAnsi="仿宋" w:eastAsia="仿宋"/>
          <w:color w:val="000000"/>
          <w:sz w:val="30"/>
          <w:szCs w:val="30"/>
        </w:rPr>
      </w:pPr>
    </w:p>
    <w:p w14:paraId="65D4A1B8">
      <w:pPr>
        <w:pStyle w:val="14"/>
        <w:overflowPunct w:val="0"/>
        <w:spacing w:line="460" w:lineRule="exact"/>
        <w:ind w:firstLine="0"/>
        <w:rPr>
          <w:rFonts w:hint="eastAsia" w:ascii="仿宋" w:hAnsi="仿宋" w:eastAsia="仿宋"/>
          <w:color w:val="000000"/>
          <w:sz w:val="30"/>
          <w:szCs w:val="30"/>
        </w:rPr>
      </w:pPr>
    </w:p>
    <w:p w14:paraId="48DD592C">
      <w:pPr>
        <w:pStyle w:val="14"/>
        <w:overflowPunct w:val="0"/>
        <w:spacing w:line="460" w:lineRule="exact"/>
        <w:ind w:firstLine="0"/>
        <w:rPr>
          <w:rFonts w:hint="eastAsia" w:ascii="仿宋" w:hAnsi="仿宋" w:eastAsia="仿宋"/>
          <w:color w:val="000000"/>
          <w:sz w:val="30"/>
          <w:szCs w:val="30"/>
        </w:rPr>
      </w:pPr>
    </w:p>
    <w:p w14:paraId="77B4335B">
      <w:pPr>
        <w:pStyle w:val="14"/>
        <w:overflowPunct w:val="0"/>
        <w:spacing w:line="460" w:lineRule="exact"/>
        <w:ind w:firstLine="0"/>
        <w:rPr>
          <w:rFonts w:hint="eastAsia" w:ascii="仿宋" w:hAnsi="仿宋" w:eastAsia="仿宋"/>
          <w:color w:val="000000"/>
          <w:sz w:val="30"/>
          <w:szCs w:val="30"/>
        </w:rPr>
      </w:pPr>
    </w:p>
    <w:p w14:paraId="5F1C841F">
      <w:pPr>
        <w:pStyle w:val="14"/>
        <w:overflowPunct w:val="0"/>
        <w:spacing w:line="460" w:lineRule="exact"/>
        <w:ind w:firstLine="0"/>
        <w:rPr>
          <w:rFonts w:hint="eastAsia" w:ascii="仿宋" w:hAnsi="仿宋" w:eastAsia="仿宋"/>
          <w:color w:val="000000"/>
          <w:sz w:val="30"/>
          <w:szCs w:val="30"/>
        </w:rPr>
      </w:pPr>
    </w:p>
    <w:p w14:paraId="41752200">
      <w:pPr>
        <w:pStyle w:val="14"/>
        <w:overflowPunct w:val="0"/>
        <w:spacing w:line="460" w:lineRule="exact"/>
        <w:ind w:firstLine="0"/>
        <w:rPr>
          <w:rFonts w:hint="eastAsia" w:ascii="仿宋" w:hAnsi="仿宋" w:eastAsia="仿宋"/>
          <w:color w:val="000000"/>
          <w:sz w:val="30"/>
          <w:szCs w:val="30"/>
        </w:rPr>
      </w:pPr>
    </w:p>
    <w:p w14:paraId="6583E985">
      <w:pPr>
        <w:pStyle w:val="14"/>
        <w:overflowPunct w:val="0"/>
        <w:spacing w:line="460" w:lineRule="exact"/>
        <w:ind w:firstLine="0"/>
        <w:rPr>
          <w:rFonts w:hint="eastAsia" w:ascii="仿宋" w:hAnsi="仿宋" w:eastAsia="仿宋"/>
          <w:color w:val="000000"/>
          <w:sz w:val="30"/>
          <w:szCs w:val="30"/>
        </w:rPr>
      </w:pPr>
    </w:p>
    <w:p w14:paraId="14EC4F44">
      <w:pPr>
        <w:pStyle w:val="14"/>
        <w:overflowPunct w:val="0"/>
        <w:spacing w:line="460" w:lineRule="exact"/>
        <w:ind w:firstLine="0"/>
        <w:rPr>
          <w:rFonts w:hint="eastAsia" w:ascii="仿宋" w:hAnsi="仿宋" w:eastAsia="仿宋"/>
          <w:color w:val="000000"/>
          <w:sz w:val="30"/>
          <w:szCs w:val="30"/>
        </w:rPr>
      </w:pPr>
    </w:p>
    <w:p w14:paraId="534ADB3A">
      <w:pPr>
        <w:pStyle w:val="14"/>
        <w:overflowPunct w:val="0"/>
        <w:spacing w:line="460" w:lineRule="exact"/>
        <w:ind w:firstLine="0"/>
        <w:rPr>
          <w:rFonts w:hint="eastAsia" w:ascii="仿宋" w:hAnsi="仿宋" w:eastAsia="仿宋"/>
          <w:color w:val="000000"/>
          <w:sz w:val="30"/>
          <w:szCs w:val="30"/>
        </w:rPr>
      </w:pPr>
    </w:p>
    <w:p w14:paraId="1FD44BF8">
      <w:pPr>
        <w:pStyle w:val="14"/>
        <w:overflowPunct w:val="0"/>
        <w:spacing w:line="460" w:lineRule="exact"/>
        <w:ind w:firstLine="0"/>
        <w:rPr>
          <w:rFonts w:hint="eastAsia" w:ascii="仿宋" w:hAnsi="仿宋" w:eastAsia="仿宋"/>
          <w:color w:val="000000"/>
          <w:sz w:val="30"/>
          <w:szCs w:val="30"/>
        </w:rPr>
      </w:pPr>
    </w:p>
    <w:p w14:paraId="4887AC2B">
      <w:pPr>
        <w:pStyle w:val="14"/>
        <w:overflowPunct w:val="0"/>
        <w:spacing w:line="460" w:lineRule="exact"/>
        <w:ind w:firstLine="0"/>
        <w:rPr>
          <w:rFonts w:hint="eastAsia" w:ascii="仿宋" w:hAnsi="仿宋" w:eastAsia="仿宋"/>
          <w:color w:val="000000"/>
          <w:sz w:val="30"/>
          <w:szCs w:val="30"/>
        </w:rPr>
      </w:pPr>
    </w:p>
    <w:p w14:paraId="42D84DD7">
      <w:pPr>
        <w:pStyle w:val="14"/>
        <w:overflowPunct w:val="0"/>
        <w:spacing w:line="460" w:lineRule="exact"/>
        <w:ind w:firstLine="0"/>
        <w:rPr>
          <w:rFonts w:hint="eastAsia" w:ascii="仿宋" w:hAnsi="仿宋" w:eastAsia="仿宋"/>
          <w:color w:val="000000"/>
          <w:sz w:val="30"/>
          <w:szCs w:val="30"/>
        </w:rPr>
      </w:pPr>
    </w:p>
    <w:p w14:paraId="356CE244">
      <w:pPr>
        <w:pStyle w:val="14"/>
        <w:overflowPunct w:val="0"/>
        <w:spacing w:line="460" w:lineRule="exact"/>
        <w:ind w:firstLine="0"/>
        <w:rPr>
          <w:rFonts w:hint="eastAsia" w:ascii="仿宋" w:hAnsi="仿宋" w:eastAsia="仿宋"/>
          <w:color w:val="000000"/>
          <w:sz w:val="30"/>
          <w:szCs w:val="30"/>
        </w:rPr>
      </w:pPr>
    </w:p>
    <w:p w14:paraId="7E9BD22D">
      <w:pPr>
        <w:pStyle w:val="14"/>
        <w:overflowPunct w:val="0"/>
        <w:spacing w:line="460" w:lineRule="exact"/>
        <w:ind w:firstLine="0"/>
        <w:rPr>
          <w:rFonts w:hint="eastAsia" w:ascii="仿宋" w:hAnsi="仿宋" w:eastAsia="仿宋"/>
          <w:color w:val="000000"/>
          <w:sz w:val="30"/>
          <w:szCs w:val="30"/>
        </w:rPr>
      </w:pPr>
    </w:p>
    <w:p w14:paraId="587E76B0">
      <w:pPr>
        <w:pStyle w:val="14"/>
        <w:overflowPunct w:val="0"/>
        <w:spacing w:line="460" w:lineRule="exact"/>
        <w:ind w:firstLine="0"/>
        <w:rPr>
          <w:rFonts w:hint="eastAsia" w:ascii="仿宋" w:hAnsi="仿宋" w:eastAsia="仿宋"/>
          <w:color w:val="000000"/>
          <w:sz w:val="30"/>
          <w:szCs w:val="30"/>
        </w:rPr>
      </w:pPr>
    </w:p>
    <w:p w14:paraId="6A4EAB9B">
      <w:pPr>
        <w:pStyle w:val="14"/>
        <w:overflowPunct w:val="0"/>
        <w:spacing w:line="460" w:lineRule="exact"/>
        <w:ind w:firstLine="0"/>
        <w:rPr>
          <w:rFonts w:hint="eastAsia" w:ascii="仿宋" w:hAnsi="仿宋" w:eastAsia="仿宋"/>
          <w:color w:val="000000"/>
          <w:sz w:val="30"/>
          <w:szCs w:val="30"/>
        </w:rPr>
      </w:pPr>
    </w:p>
    <w:p w14:paraId="2DE850DA">
      <w:pPr>
        <w:pStyle w:val="14"/>
        <w:overflowPunct w:val="0"/>
        <w:spacing w:line="460" w:lineRule="exact"/>
        <w:ind w:firstLine="0"/>
        <w:rPr>
          <w:rFonts w:hint="eastAsia" w:ascii="仿宋" w:hAnsi="仿宋" w:eastAsia="仿宋"/>
          <w:color w:val="000000"/>
          <w:sz w:val="30"/>
          <w:szCs w:val="30"/>
        </w:rPr>
      </w:pPr>
    </w:p>
    <w:p w14:paraId="2B489238">
      <w:pPr>
        <w:pStyle w:val="14"/>
        <w:overflowPunct w:val="0"/>
        <w:spacing w:line="460" w:lineRule="exact"/>
        <w:ind w:firstLine="0"/>
        <w:rPr>
          <w:rFonts w:hint="eastAsia" w:ascii="仿宋" w:hAnsi="仿宋" w:eastAsia="仿宋"/>
          <w:color w:val="000000"/>
          <w:sz w:val="30"/>
          <w:szCs w:val="30"/>
        </w:rPr>
      </w:pPr>
    </w:p>
    <w:p w14:paraId="10971336">
      <w:pPr>
        <w:pStyle w:val="14"/>
        <w:overflowPunct w:val="0"/>
        <w:spacing w:line="460" w:lineRule="exact"/>
        <w:ind w:firstLine="0"/>
        <w:rPr>
          <w:rFonts w:hint="eastAsia" w:ascii="仿宋" w:hAnsi="仿宋" w:eastAsia="仿宋"/>
          <w:color w:val="000000"/>
          <w:sz w:val="30"/>
          <w:szCs w:val="30"/>
        </w:rPr>
      </w:pPr>
    </w:p>
    <w:p w14:paraId="4FBEB9DB">
      <w:pPr>
        <w:pStyle w:val="14"/>
        <w:overflowPunct w:val="0"/>
        <w:spacing w:line="460" w:lineRule="exact"/>
        <w:ind w:firstLine="0"/>
        <w:rPr>
          <w:rFonts w:hint="eastAsia" w:ascii="仿宋" w:hAnsi="仿宋" w:eastAsia="仿宋"/>
          <w:color w:val="000000"/>
          <w:sz w:val="30"/>
          <w:szCs w:val="30"/>
        </w:rPr>
      </w:pPr>
    </w:p>
    <w:p w14:paraId="13ABA644">
      <w:pPr>
        <w:pStyle w:val="14"/>
        <w:overflowPunct w:val="0"/>
        <w:spacing w:line="460" w:lineRule="exact"/>
        <w:ind w:firstLine="0"/>
        <w:rPr>
          <w:rFonts w:hint="eastAsia" w:ascii="仿宋" w:hAnsi="仿宋" w:eastAsia="仿宋"/>
          <w:color w:val="000000"/>
          <w:sz w:val="30"/>
          <w:szCs w:val="30"/>
        </w:rPr>
      </w:pPr>
    </w:p>
    <w:p w14:paraId="4120743A">
      <w:pPr>
        <w:pStyle w:val="14"/>
        <w:overflowPunct w:val="0"/>
        <w:spacing w:line="460" w:lineRule="exact"/>
        <w:ind w:firstLine="0"/>
        <w:rPr>
          <w:rFonts w:hint="eastAsia" w:ascii="仿宋" w:hAnsi="仿宋" w:eastAsia="仿宋"/>
          <w:color w:val="000000"/>
          <w:sz w:val="30"/>
          <w:szCs w:val="30"/>
        </w:rPr>
      </w:pPr>
    </w:p>
    <w:p w14:paraId="1CF4EE48">
      <w:pPr>
        <w:pStyle w:val="14"/>
        <w:overflowPunct w:val="0"/>
        <w:spacing w:line="460" w:lineRule="exact"/>
        <w:ind w:firstLine="0"/>
        <w:rPr>
          <w:rFonts w:hint="eastAsia" w:ascii="仿宋" w:hAnsi="仿宋" w:eastAsia="仿宋"/>
          <w:color w:val="000000"/>
          <w:sz w:val="30"/>
          <w:szCs w:val="30"/>
        </w:rPr>
      </w:pPr>
    </w:p>
    <w:p w14:paraId="5BCBA0F2">
      <w:pPr>
        <w:pStyle w:val="14"/>
        <w:overflowPunct w:val="0"/>
        <w:spacing w:line="460" w:lineRule="exact"/>
        <w:ind w:firstLine="0"/>
        <w:rPr>
          <w:rFonts w:hint="eastAsia" w:ascii="仿宋" w:hAnsi="仿宋" w:eastAsia="仿宋"/>
          <w:color w:val="000000"/>
          <w:sz w:val="30"/>
          <w:szCs w:val="30"/>
        </w:rPr>
      </w:pPr>
    </w:p>
    <w:p w14:paraId="51497504">
      <w:pPr>
        <w:pStyle w:val="14"/>
        <w:overflowPunct w:val="0"/>
        <w:spacing w:line="460" w:lineRule="exact"/>
        <w:ind w:firstLine="0"/>
        <w:rPr>
          <w:rFonts w:hint="eastAsia" w:ascii="仿宋" w:hAnsi="仿宋" w:eastAsia="仿宋"/>
          <w:color w:val="000000"/>
          <w:sz w:val="30"/>
          <w:szCs w:val="30"/>
        </w:rPr>
      </w:pPr>
    </w:p>
    <w:p w14:paraId="26CE308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附件5：</w:t>
      </w:r>
    </w:p>
    <w:p w14:paraId="6E6B16E4">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1A6B6A0A">
      <w:pPr>
        <w:pStyle w:val="14"/>
        <w:overflowPunct w:val="0"/>
        <w:spacing w:line="460" w:lineRule="exact"/>
        <w:rPr>
          <w:rFonts w:ascii="仿宋" w:hAnsi="仿宋" w:eastAsia="仿宋"/>
          <w:color w:val="000000"/>
          <w:sz w:val="30"/>
          <w:szCs w:val="30"/>
        </w:rPr>
      </w:pPr>
    </w:p>
    <w:p w14:paraId="34AF22BF">
      <w:pPr>
        <w:pStyle w:val="14"/>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785BAE8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F26F14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2F49F1">
      <w:pPr>
        <w:pStyle w:val="14"/>
        <w:overflowPunct w:val="0"/>
        <w:spacing w:line="460" w:lineRule="exact"/>
        <w:rPr>
          <w:rFonts w:ascii="仿宋" w:hAnsi="仿宋" w:eastAsia="仿宋"/>
          <w:sz w:val="30"/>
          <w:szCs w:val="30"/>
        </w:rPr>
      </w:pPr>
    </w:p>
    <w:p w14:paraId="77E210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0B43A4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4D979E2C">
      <w:pPr>
        <w:tabs>
          <w:tab w:val="left" w:pos="606"/>
        </w:tabs>
        <w:spacing w:line="460" w:lineRule="exact"/>
        <w:rPr>
          <w:rFonts w:ascii="仿宋" w:hAnsi="仿宋" w:eastAsia="仿宋"/>
          <w:color w:val="000000"/>
          <w:spacing w:val="20"/>
          <w:sz w:val="30"/>
          <w:szCs w:val="30"/>
        </w:rPr>
      </w:pPr>
    </w:p>
    <w:p w14:paraId="2FE237B9">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0E63655">
        <w:tblPrEx>
          <w:tblCellMar>
            <w:top w:w="0" w:type="dxa"/>
            <w:left w:w="108" w:type="dxa"/>
            <w:bottom w:w="0" w:type="dxa"/>
            <w:right w:w="108" w:type="dxa"/>
          </w:tblCellMar>
        </w:tblPrEx>
        <w:trPr>
          <w:jc w:val="center"/>
        </w:trPr>
        <w:tc>
          <w:tcPr>
            <w:tcW w:w="4264" w:type="dxa"/>
          </w:tcPr>
          <w:p w14:paraId="03D2BB16">
            <w:pPr>
              <w:pStyle w:val="14"/>
              <w:overflowPunct w:val="0"/>
              <w:spacing w:line="460" w:lineRule="exact"/>
              <w:ind w:firstLine="0"/>
              <w:rPr>
                <w:rFonts w:ascii="仿宋" w:hAnsi="仿宋" w:eastAsia="仿宋"/>
                <w:color w:val="000000"/>
                <w:sz w:val="30"/>
                <w:szCs w:val="30"/>
              </w:rPr>
            </w:pPr>
          </w:p>
          <w:p w14:paraId="2F00CDF0">
            <w:pPr>
              <w:pStyle w:val="14"/>
              <w:overflowPunct w:val="0"/>
              <w:spacing w:line="460" w:lineRule="exact"/>
              <w:ind w:firstLine="0"/>
              <w:rPr>
                <w:rFonts w:ascii="仿宋" w:hAnsi="仿宋" w:eastAsia="仿宋"/>
                <w:color w:val="000000"/>
                <w:sz w:val="30"/>
                <w:szCs w:val="30"/>
              </w:rPr>
            </w:pPr>
          </w:p>
          <w:p w14:paraId="51C2A9C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2D6F4E7">
            <w:pPr>
              <w:pStyle w:val="14"/>
              <w:overflowPunct w:val="0"/>
              <w:spacing w:line="460" w:lineRule="exact"/>
              <w:ind w:firstLine="0"/>
              <w:rPr>
                <w:rFonts w:ascii="仿宋" w:hAnsi="仿宋" w:eastAsia="仿宋"/>
                <w:color w:val="000000"/>
                <w:sz w:val="30"/>
                <w:szCs w:val="30"/>
              </w:rPr>
            </w:pPr>
          </w:p>
          <w:p w14:paraId="525857B9">
            <w:pPr>
              <w:pStyle w:val="14"/>
              <w:overflowPunct w:val="0"/>
              <w:spacing w:line="460" w:lineRule="exact"/>
              <w:ind w:firstLine="0"/>
              <w:rPr>
                <w:rFonts w:ascii="仿宋" w:hAnsi="仿宋" w:eastAsia="仿宋"/>
                <w:color w:val="000000"/>
                <w:sz w:val="30"/>
                <w:szCs w:val="30"/>
              </w:rPr>
            </w:pPr>
          </w:p>
          <w:p w14:paraId="1EDCE8D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8D1BFC5">
            <w:pPr>
              <w:pStyle w:val="14"/>
              <w:overflowPunct w:val="0"/>
              <w:spacing w:line="460" w:lineRule="exact"/>
              <w:ind w:firstLine="0"/>
              <w:rPr>
                <w:rFonts w:ascii="仿宋" w:hAnsi="仿宋" w:eastAsia="仿宋"/>
                <w:color w:val="000000"/>
                <w:sz w:val="30"/>
                <w:szCs w:val="30"/>
              </w:rPr>
            </w:pPr>
          </w:p>
          <w:p w14:paraId="0A1CCA8D">
            <w:pPr>
              <w:pStyle w:val="14"/>
              <w:overflowPunct w:val="0"/>
              <w:spacing w:line="460" w:lineRule="exact"/>
              <w:ind w:firstLine="0"/>
              <w:rPr>
                <w:rFonts w:ascii="仿宋" w:hAnsi="仿宋" w:eastAsia="仿宋"/>
                <w:color w:val="000000"/>
                <w:sz w:val="30"/>
                <w:szCs w:val="30"/>
              </w:rPr>
            </w:pPr>
          </w:p>
          <w:p w14:paraId="155DB2D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F35264E">
            <w:pPr>
              <w:pStyle w:val="14"/>
              <w:overflowPunct w:val="0"/>
              <w:spacing w:line="460" w:lineRule="exact"/>
              <w:ind w:firstLine="0"/>
              <w:rPr>
                <w:rFonts w:ascii="仿宋" w:hAnsi="仿宋" w:eastAsia="仿宋"/>
                <w:color w:val="000000"/>
                <w:sz w:val="30"/>
                <w:szCs w:val="30"/>
              </w:rPr>
            </w:pPr>
          </w:p>
          <w:p w14:paraId="0E27C512">
            <w:pPr>
              <w:pStyle w:val="14"/>
              <w:overflowPunct w:val="0"/>
              <w:spacing w:line="460" w:lineRule="exact"/>
              <w:ind w:firstLine="0"/>
              <w:rPr>
                <w:rFonts w:ascii="仿宋" w:hAnsi="仿宋" w:eastAsia="仿宋"/>
                <w:color w:val="000000"/>
                <w:sz w:val="30"/>
                <w:szCs w:val="30"/>
              </w:rPr>
            </w:pPr>
          </w:p>
          <w:p w14:paraId="31A4EA4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38DFEF1A">
            <w:pPr>
              <w:pStyle w:val="14"/>
              <w:overflowPunct w:val="0"/>
              <w:spacing w:line="460" w:lineRule="exact"/>
              <w:ind w:firstLine="0"/>
              <w:rPr>
                <w:rFonts w:ascii="仿宋" w:hAnsi="仿宋" w:eastAsia="仿宋"/>
                <w:color w:val="000000"/>
                <w:sz w:val="30"/>
                <w:szCs w:val="30"/>
              </w:rPr>
            </w:pPr>
          </w:p>
          <w:p w14:paraId="7712964A">
            <w:pPr>
              <w:pStyle w:val="14"/>
              <w:overflowPunct w:val="0"/>
              <w:spacing w:line="460" w:lineRule="exact"/>
              <w:ind w:firstLine="0"/>
              <w:rPr>
                <w:rFonts w:ascii="仿宋" w:hAnsi="仿宋" w:eastAsia="仿宋"/>
                <w:color w:val="000000"/>
                <w:sz w:val="30"/>
                <w:szCs w:val="30"/>
              </w:rPr>
            </w:pPr>
          </w:p>
          <w:p w14:paraId="42A841D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5F48181">
            <w:pPr>
              <w:pStyle w:val="14"/>
              <w:overflowPunct w:val="0"/>
              <w:spacing w:line="460" w:lineRule="exact"/>
              <w:ind w:firstLine="0"/>
              <w:rPr>
                <w:rFonts w:ascii="仿宋" w:hAnsi="仿宋" w:eastAsia="仿宋"/>
                <w:color w:val="000000"/>
                <w:sz w:val="30"/>
                <w:szCs w:val="30"/>
              </w:rPr>
            </w:pPr>
          </w:p>
          <w:p w14:paraId="56F63611">
            <w:pPr>
              <w:pStyle w:val="14"/>
              <w:overflowPunct w:val="0"/>
              <w:spacing w:line="460" w:lineRule="exact"/>
              <w:ind w:firstLine="0"/>
              <w:rPr>
                <w:rFonts w:ascii="仿宋" w:hAnsi="仿宋" w:eastAsia="仿宋"/>
                <w:color w:val="000000"/>
                <w:sz w:val="30"/>
                <w:szCs w:val="30"/>
              </w:rPr>
            </w:pPr>
          </w:p>
          <w:p w14:paraId="2C04529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3067438F">
      <w:pPr>
        <w:pStyle w:val="533"/>
        <w:widowControl w:val="0"/>
        <w:snapToGrid w:val="0"/>
        <w:spacing w:line="500" w:lineRule="exact"/>
        <w:rPr>
          <w:rFonts w:ascii="仿宋" w:hAnsi="仿宋" w:eastAsia="仿宋"/>
          <w:color w:val="000000"/>
          <w:sz w:val="30"/>
          <w:szCs w:val="30"/>
        </w:rPr>
      </w:pPr>
    </w:p>
    <w:p w14:paraId="65E48A89">
      <w:pPr>
        <w:pStyle w:val="533"/>
        <w:widowControl w:val="0"/>
        <w:snapToGrid w:val="0"/>
        <w:spacing w:line="500" w:lineRule="exact"/>
        <w:rPr>
          <w:rFonts w:ascii="仿宋" w:hAnsi="仿宋" w:eastAsia="仿宋"/>
          <w:color w:val="000000"/>
          <w:sz w:val="30"/>
          <w:szCs w:val="30"/>
        </w:rPr>
      </w:pPr>
    </w:p>
    <w:p w14:paraId="6D979084">
      <w:pPr>
        <w:pStyle w:val="533"/>
        <w:widowControl w:val="0"/>
        <w:snapToGrid w:val="0"/>
        <w:spacing w:line="500" w:lineRule="exact"/>
        <w:rPr>
          <w:rFonts w:ascii="仿宋" w:hAnsi="仿宋" w:eastAsia="仿宋"/>
          <w:color w:val="000000"/>
          <w:sz w:val="24"/>
          <w:szCs w:val="24"/>
        </w:rPr>
      </w:pPr>
    </w:p>
    <w:p w14:paraId="53A75287">
      <w:pPr>
        <w:snapToGrid w:val="0"/>
        <w:spacing w:line="360" w:lineRule="auto"/>
        <w:rPr>
          <w:rFonts w:ascii="仿宋" w:hAnsi="仿宋" w:eastAsia="仿宋"/>
          <w:spacing w:val="20"/>
          <w:sz w:val="30"/>
          <w:szCs w:val="30"/>
        </w:rPr>
      </w:pPr>
    </w:p>
    <w:p w14:paraId="4AF2F8D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1B9EAA7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509BFD8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9029BE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C2477B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9E793F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E488D3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1BA177FA">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0168A1E">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30860A6">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F0E4A96">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E84E62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374FFFA0">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A5CC87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65361108">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28EFC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6B39DD51">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04E91A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E1E6CE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EF3D50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B05374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873DA2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F7FFF8F">
      <w:pPr>
        <w:snapToGrid w:val="0"/>
        <w:spacing w:line="360" w:lineRule="auto"/>
        <w:rPr>
          <w:rFonts w:hint="eastAsia" w:ascii="仿宋" w:hAnsi="仿宋" w:eastAsia="仿宋"/>
          <w:color w:val="000000"/>
          <w:sz w:val="30"/>
          <w:szCs w:val="30"/>
        </w:rPr>
      </w:pPr>
    </w:p>
    <w:p w14:paraId="5D51FB7D">
      <w:pPr>
        <w:snapToGrid w:val="0"/>
        <w:spacing w:line="360" w:lineRule="auto"/>
        <w:rPr>
          <w:rFonts w:hint="eastAsia" w:ascii="仿宋" w:hAnsi="仿宋" w:eastAsia="仿宋"/>
          <w:color w:val="000000"/>
          <w:sz w:val="30"/>
          <w:szCs w:val="30"/>
        </w:rPr>
      </w:pPr>
    </w:p>
    <w:p w14:paraId="6C1B551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053565A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7FFE4FA">
      <w:pPr>
        <w:snapToGrid w:val="0"/>
        <w:spacing w:line="360" w:lineRule="auto"/>
        <w:rPr>
          <w:rFonts w:ascii="仿宋" w:hAnsi="仿宋" w:eastAsia="仿宋"/>
          <w:sz w:val="28"/>
          <w:szCs w:val="28"/>
        </w:rPr>
      </w:pPr>
    </w:p>
    <w:p w14:paraId="75A461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5894D5D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43D52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B165FB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C5A8E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5DD50B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F0F4B0">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BCF7104">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0C84A515">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68DCE31">
      <w:pPr>
        <w:snapToGrid w:val="0"/>
        <w:spacing w:line="360" w:lineRule="auto"/>
        <w:jc w:val="right"/>
        <w:rPr>
          <w:rFonts w:ascii="仿宋" w:hAnsi="仿宋" w:eastAsia="仿宋"/>
          <w:sz w:val="28"/>
          <w:szCs w:val="28"/>
        </w:rPr>
      </w:pPr>
    </w:p>
    <w:p w14:paraId="5B96DAE2">
      <w:pPr>
        <w:snapToGrid w:val="0"/>
        <w:spacing w:line="360" w:lineRule="auto"/>
        <w:jc w:val="right"/>
        <w:rPr>
          <w:rFonts w:ascii="仿宋" w:hAnsi="仿宋" w:eastAsia="仿宋"/>
          <w:sz w:val="28"/>
          <w:szCs w:val="28"/>
        </w:rPr>
      </w:pPr>
    </w:p>
    <w:p w14:paraId="0F6CCF74">
      <w:pPr>
        <w:snapToGrid w:val="0"/>
        <w:spacing w:line="360" w:lineRule="auto"/>
        <w:jc w:val="right"/>
        <w:rPr>
          <w:rFonts w:ascii="仿宋" w:hAnsi="仿宋" w:eastAsia="仿宋"/>
          <w:sz w:val="28"/>
          <w:szCs w:val="28"/>
        </w:rPr>
      </w:pPr>
    </w:p>
    <w:p w14:paraId="26B697DA">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B2080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F45AC9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7A03B8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0B616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AAE8D31">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F6D1DD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1052EF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2927E2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6100116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1089424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366DBA2">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99D8F5E">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89B6A87">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A7C98EF">
      <w:pPr>
        <w:spacing w:line="588" w:lineRule="exact"/>
        <w:rPr>
          <w:rFonts w:ascii="仿宋_GB2312" w:eastAsia="Times New Roman"/>
          <w:b/>
          <w:spacing w:val="6"/>
          <w:sz w:val="30"/>
          <w:szCs w:val="30"/>
        </w:rPr>
      </w:pPr>
    </w:p>
    <w:p w14:paraId="4378988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A782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B2323C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88A8A16">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21857036">
      <w:pPr>
        <w:snapToGrid w:val="0"/>
        <w:spacing w:before="240" w:after="50" w:line="400" w:lineRule="exact"/>
        <w:jc w:val="left"/>
        <w:rPr>
          <w:rFonts w:ascii="仿宋" w:hAnsi="仿宋" w:eastAsia="仿宋"/>
          <w:sz w:val="30"/>
          <w:szCs w:val="30"/>
        </w:rPr>
      </w:pPr>
    </w:p>
    <w:p w14:paraId="56829D50">
      <w:pPr>
        <w:snapToGrid w:val="0"/>
        <w:spacing w:before="50" w:after="50"/>
        <w:rPr>
          <w:rFonts w:ascii="仿宋" w:hAnsi="仿宋" w:eastAsia="仿宋"/>
          <w:spacing w:val="20"/>
          <w:sz w:val="30"/>
          <w:szCs w:val="30"/>
        </w:rPr>
      </w:pPr>
    </w:p>
    <w:p w14:paraId="7A32720E">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38CE7BAE">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F642D54">
      <w:pPr>
        <w:spacing w:before="240" w:beforeLines="100" w:line="240" w:lineRule="atLeast"/>
        <w:jc w:val="center"/>
        <w:rPr>
          <w:rFonts w:hint="eastAsia" w:ascii="仿宋" w:hAnsi="仿宋" w:eastAsia="仿宋"/>
          <w:sz w:val="36"/>
          <w:szCs w:val="36"/>
          <w:lang w:eastAsia="zh-CN"/>
        </w:rPr>
      </w:pPr>
      <w:bookmarkStart w:id="113" w:name="PO_3000001756_PM002_1"/>
      <w:r>
        <w:rPr>
          <w:rFonts w:hint="eastAsia" w:ascii="仿宋" w:hAnsi="仿宋" w:eastAsia="仿宋"/>
          <w:b/>
          <w:spacing w:val="40"/>
          <w:sz w:val="52"/>
          <w:szCs w:val="52"/>
          <w:lang w:eastAsia="zh-CN"/>
        </w:rPr>
        <w:t>浙江省教育考试院物业服务项目</w:t>
      </w:r>
      <w:bookmarkEnd w:id="113"/>
    </w:p>
    <w:p w14:paraId="306BBDD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14" w:name="PO_15530_PM001_4"/>
      <w:r>
        <w:rPr>
          <w:rFonts w:hint="eastAsia" w:ascii="仿宋" w:hAnsi="仿宋" w:eastAsia="仿宋"/>
          <w:sz w:val="36"/>
          <w:szCs w:val="36"/>
          <w:lang w:eastAsia="zh-CN"/>
        </w:rPr>
        <w:t>ZZCG2025H-CS-113</w:t>
      </w:r>
      <w:bookmarkEnd w:id="114"/>
      <w:r>
        <w:rPr>
          <w:rFonts w:hint="eastAsia" w:ascii="仿宋" w:hAnsi="仿宋" w:eastAsia="仿宋"/>
          <w:sz w:val="36"/>
          <w:szCs w:val="36"/>
        </w:rPr>
        <w:t xml:space="preserve">  （标项）</w:t>
      </w:r>
    </w:p>
    <w:p w14:paraId="72F6FED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47ED36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17030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087D6CC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F5B7B6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2D45D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2199AE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D3CA12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425314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2DE8C86">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6139272">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021C83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E8EA8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7CCB3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F5FB4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2A6695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4120E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0E867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18D2E9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B20BB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5EA5B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9EA99B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46A0DF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3E799CC8">
      <w:pPr>
        <w:snapToGrid w:val="0"/>
        <w:spacing w:line="460" w:lineRule="exact"/>
        <w:ind w:firstLine="588" w:firstLineChars="196"/>
        <w:jc w:val="left"/>
        <w:rPr>
          <w:rFonts w:ascii="仿宋" w:hAnsi="仿宋" w:eastAsia="仿宋"/>
          <w:sz w:val="30"/>
          <w:szCs w:val="30"/>
        </w:rPr>
      </w:pPr>
    </w:p>
    <w:p w14:paraId="37D97B13">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520C8C2F">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8D22509">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13DC51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414B7F34">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262C06D5">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76548C9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415DD5D">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126D2905">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F7C1B7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2048B53E">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7C9E7F5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9424E6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663FAC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4A59E2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6783C00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0F41990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F42974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3FF221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5EA3B4F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1402228">
      <w:pPr>
        <w:snapToGrid w:val="0"/>
        <w:spacing w:line="460" w:lineRule="exact"/>
        <w:ind w:firstLine="588" w:firstLineChars="196"/>
        <w:jc w:val="left"/>
        <w:rPr>
          <w:rFonts w:ascii="仿宋" w:hAnsi="仿宋" w:eastAsia="仿宋"/>
          <w:sz w:val="30"/>
          <w:szCs w:val="30"/>
        </w:rPr>
      </w:pPr>
    </w:p>
    <w:p w14:paraId="01435617">
      <w:pPr>
        <w:snapToGrid w:val="0"/>
        <w:spacing w:line="460" w:lineRule="exact"/>
        <w:jc w:val="left"/>
        <w:rPr>
          <w:rFonts w:ascii="仿宋" w:hAnsi="仿宋" w:eastAsia="仿宋"/>
          <w:sz w:val="30"/>
          <w:szCs w:val="30"/>
        </w:rPr>
      </w:pPr>
    </w:p>
    <w:p w14:paraId="24E78493">
      <w:pPr>
        <w:snapToGrid w:val="0"/>
        <w:spacing w:before="50"/>
        <w:jc w:val="left"/>
        <w:rPr>
          <w:rFonts w:ascii="仿宋" w:hAnsi="仿宋" w:eastAsia="仿宋"/>
          <w:sz w:val="30"/>
          <w:szCs w:val="30"/>
        </w:rPr>
      </w:pPr>
      <w:r>
        <w:rPr>
          <w:rFonts w:hint="eastAsia" w:ascii="仿宋" w:hAnsi="仿宋" w:eastAsia="仿宋"/>
          <w:sz w:val="30"/>
          <w:szCs w:val="30"/>
        </w:rPr>
        <w:br w:type="page"/>
      </w:r>
    </w:p>
    <w:p w14:paraId="18E0FBCE">
      <w:pPr>
        <w:snapToGrid w:val="0"/>
        <w:spacing w:before="50"/>
        <w:jc w:val="left"/>
        <w:rPr>
          <w:rFonts w:ascii="仿宋" w:hAnsi="仿宋" w:eastAsia="仿宋"/>
          <w:sz w:val="30"/>
          <w:szCs w:val="30"/>
        </w:rPr>
      </w:pPr>
      <w:r>
        <w:rPr>
          <w:rFonts w:hint="eastAsia" w:ascii="仿宋" w:hAnsi="仿宋" w:eastAsia="仿宋"/>
          <w:sz w:val="30"/>
          <w:szCs w:val="30"/>
        </w:rPr>
        <w:t>附件10：</w:t>
      </w:r>
    </w:p>
    <w:p w14:paraId="353188D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520A0716">
      <w:pPr>
        <w:snapToGrid w:val="0"/>
        <w:spacing w:before="50"/>
        <w:jc w:val="center"/>
        <w:rPr>
          <w:rFonts w:ascii="仿宋" w:hAnsi="仿宋" w:eastAsia="仿宋"/>
          <w:b/>
          <w:sz w:val="32"/>
          <w:szCs w:val="32"/>
        </w:rPr>
      </w:pPr>
    </w:p>
    <w:p w14:paraId="113C8C1F">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3CE0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3421EB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E1600D8">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8CCD1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258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F25DD6">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88B26A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260336">
            <w:pPr>
              <w:snapToGrid w:val="0"/>
              <w:spacing w:before="120" w:beforeLines="50"/>
              <w:rPr>
                <w:rFonts w:ascii="仿宋" w:hAnsi="仿宋" w:eastAsia="仿宋"/>
                <w:sz w:val="30"/>
                <w:szCs w:val="30"/>
              </w:rPr>
            </w:pPr>
          </w:p>
        </w:tc>
      </w:tr>
      <w:tr w14:paraId="06DE5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110378">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9F8C63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267D9D">
            <w:pPr>
              <w:snapToGrid w:val="0"/>
              <w:spacing w:before="120" w:beforeLines="50"/>
              <w:ind w:left="43"/>
              <w:rPr>
                <w:rFonts w:ascii="仿宋" w:hAnsi="仿宋" w:eastAsia="仿宋"/>
                <w:sz w:val="30"/>
                <w:szCs w:val="30"/>
              </w:rPr>
            </w:pPr>
          </w:p>
        </w:tc>
      </w:tr>
      <w:tr w14:paraId="4F5A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F2E0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37343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0AB7FC">
            <w:pPr>
              <w:snapToGrid w:val="0"/>
              <w:spacing w:before="120" w:beforeLines="50"/>
              <w:ind w:left="43"/>
              <w:rPr>
                <w:rFonts w:ascii="仿宋" w:hAnsi="仿宋" w:eastAsia="仿宋"/>
                <w:sz w:val="30"/>
                <w:szCs w:val="30"/>
              </w:rPr>
            </w:pPr>
          </w:p>
        </w:tc>
      </w:tr>
      <w:tr w14:paraId="7B32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FD5B5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80D06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2916EB">
            <w:pPr>
              <w:snapToGrid w:val="0"/>
              <w:spacing w:before="120" w:beforeLines="50"/>
              <w:ind w:left="43"/>
              <w:rPr>
                <w:rFonts w:ascii="仿宋" w:hAnsi="仿宋" w:eastAsia="仿宋"/>
                <w:sz w:val="30"/>
                <w:szCs w:val="30"/>
              </w:rPr>
            </w:pPr>
          </w:p>
        </w:tc>
      </w:tr>
      <w:tr w14:paraId="59052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F5B05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7358DC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BD00C3">
            <w:pPr>
              <w:snapToGrid w:val="0"/>
              <w:spacing w:before="120" w:beforeLines="50"/>
              <w:rPr>
                <w:rFonts w:ascii="仿宋" w:hAnsi="仿宋" w:eastAsia="仿宋"/>
                <w:sz w:val="30"/>
                <w:szCs w:val="30"/>
              </w:rPr>
            </w:pPr>
          </w:p>
        </w:tc>
      </w:tr>
      <w:tr w14:paraId="1C10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13CF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F390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AF7223">
            <w:pPr>
              <w:snapToGrid w:val="0"/>
              <w:spacing w:before="120" w:beforeLines="50"/>
              <w:rPr>
                <w:rFonts w:ascii="仿宋" w:hAnsi="仿宋" w:eastAsia="仿宋"/>
                <w:sz w:val="30"/>
                <w:szCs w:val="30"/>
              </w:rPr>
            </w:pPr>
          </w:p>
        </w:tc>
      </w:tr>
      <w:tr w14:paraId="2158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1644D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0185C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4EAAA">
            <w:pPr>
              <w:snapToGrid w:val="0"/>
              <w:spacing w:before="120" w:beforeLines="50"/>
              <w:rPr>
                <w:rFonts w:ascii="仿宋" w:hAnsi="仿宋" w:eastAsia="仿宋"/>
                <w:sz w:val="30"/>
                <w:szCs w:val="30"/>
              </w:rPr>
            </w:pPr>
          </w:p>
        </w:tc>
      </w:tr>
      <w:tr w14:paraId="03C7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873A4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BCB3B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25F92A">
            <w:pPr>
              <w:snapToGrid w:val="0"/>
              <w:spacing w:before="120" w:beforeLines="50"/>
              <w:rPr>
                <w:rFonts w:ascii="仿宋" w:hAnsi="仿宋" w:eastAsia="仿宋"/>
                <w:sz w:val="30"/>
                <w:szCs w:val="30"/>
              </w:rPr>
            </w:pPr>
          </w:p>
        </w:tc>
      </w:tr>
      <w:tr w14:paraId="4F0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FACF7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A444B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548004">
            <w:pPr>
              <w:snapToGrid w:val="0"/>
              <w:spacing w:before="120" w:beforeLines="50"/>
              <w:rPr>
                <w:rFonts w:ascii="仿宋" w:hAnsi="仿宋" w:eastAsia="仿宋"/>
                <w:sz w:val="30"/>
                <w:szCs w:val="30"/>
              </w:rPr>
            </w:pPr>
          </w:p>
        </w:tc>
      </w:tr>
    </w:tbl>
    <w:p w14:paraId="2105D6C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4CB2DE">
      <w:pPr>
        <w:snapToGrid w:val="0"/>
        <w:spacing w:before="50" w:after="120" w:afterLines="50"/>
        <w:jc w:val="left"/>
        <w:rPr>
          <w:rFonts w:ascii="仿宋" w:hAnsi="仿宋" w:eastAsia="仿宋"/>
          <w:sz w:val="30"/>
          <w:szCs w:val="30"/>
        </w:rPr>
      </w:pPr>
    </w:p>
    <w:p w14:paraId="741C2B3E">
      <w:pPr>
        <w:snapToGrid w:val="0"/>
        <w:spacing w:before="50" w:after="120" w:afterLines="50"/>
        <w:jc w:val="left"/>
        <w:rPr>
          <w:rFonts w:ascii="仿宋" w:hAnsi="仿宋" w:eastAsia="仿宋"/>
          <w:sz w:val="30"/>
          <w:szCs w:val="30"/>
        </w:rPr>
      </w:pPr>
    </w:p>
    <w:p w14:paraId="5C4064B4">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0DE4A2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34F3C079">
      <w:pPr>
        <w:snapToGrid w:val="0"/>
        <w:spacing w:before="50" w:after="120" w:afterLines="50"/>
        <w:rPr>
          <w:rFonts w:ascii="仿宋" w:hAnsi="仿宋" w:eastAsia="仿宋"/>
          <w:b/>
          <w:spacing w:val="40"/>
          <w:kern w:val="0"/>
          <w:sz w:val="36"/>
          <w:szCs w:val="36"/>
        </w:rPr>
      </w:pPr>
    </w:p>
    <w:p w14:paraId="1DD6B2B7">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0E808644">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FF0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8F12A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0B72D24">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CEF591F">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F844B39">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1336335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4DA6D3">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7DCA84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03A92E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ABEAC8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0AE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18C40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E40771D">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6CA460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A15767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A7F3C49">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76862A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8FE1F6F">
            <w:pPr>
              <w:snapToGrid w:val="0"/>
              <w:spacing w:before="50" w:after="50"/>
              <w:jc w:val="center"/>
              <w:rPr>
                <w:rFonts w:ascii="仿宋" w:hAnsi="仿宋" w:eastAsia="仿宋"/>
                <w:sz w:val="30"/>
                <w:szCs w:val="30"/>
              </w:rPr>
            </w:pPr>
          </w:p>
        </w:tc>
      </w:tr>
      <w:tr w14:paraId="3AD8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91FFBA">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0A4087B">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2F2BC5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EB1B9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F59EE1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350A1C5">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D5A856C">
            <w:pPr>
              <w:snapToGrid w:val="0"/>
              <w:spacing w:before="50" w:after="50"/>
              <w:jc w:val="center"/>
              <w:rPr>
                <w:rFonts w:ascii="仿宋" w:hAnsi="仿宋" w:eastAsia="仿宋"/>
                <w:sz w:val="30"/>
                <w:szCs w:val="30"/>
              </w:rPr>
            </w:pPr>
          </w:p>
        </w:tc>
      </w:tr>
    </w:tbl>
    <w:p w14:paraId="71B72421">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A97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A0BD9A4">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3F8FAB">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112493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F5BF8F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6999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AEEB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DA54EF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64D82F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EE50F29">
            <w:pPr>
              <w:snapToGrid w:val="0"/>
              <w:spacing w:before="50" w:after="50"/>
              <w:jc w:val="center"/>
              <w:rPr>
                <w:rFonts w:ascii="仿宋" w:hAnsi="仿宋" w:eastAsia="仿宋"/>
                <w:sz w:val="30"/>
                <w:szCs w:val="30"/>
              </w:rPr>
            </w:pPr>
          </w:p>
        </w:tc>
      </w:tr>
      <w:tr w14:paraId="4150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0236B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26462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4A66BA1">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DEACE21">
            <w:pPr>
              <w:snapToGrid w:val="0"/>
              <w:spacing w:before="50" w:after="50"/>
              <w:jc w:val="center"/>
              <w:rPr>
                <w:rFonts w:ascii="仿宋" w:hAnsi="仿宋" w:eastAsia="仿宋"/>
                <w:sz w:val="30"/>
                <w:szCs w:val="30"/>
              </w:rPr>
            </w:pPr>
          </w:p>
        </w:tc>
      </w:tr>
    </w:tbl>
    <w:p w14:paraId="4B28AAB4">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54412DE9">
      <w:pPr>
        <w:snapToGrid w:val="0"/>
        <w:spacing w:before="120" w:beforeLines="50"/>
        <w:rPr>
          <w:rFonts w:ascii="仿宋" w:hAnsi="仿宋" w:eastAsia="仿宋"/>
          <w:sz w:val="30"/>
          <w:szCs w:val="30"/>
        </w:rPr>
      </w:pPr>
    </w:p>
    <w:p w14:paraId="6268FC5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27860F5">
      <w:pPr>
        <w:snapToGrid w:val="0"/>
        <w:spacing w:before="50" w:after="50"/>
        <w:rPr>
          <w:rFonts w:ascii="仿宋" w:hAnsi="仿宋" w:eastAsia="仿宋"/>
          <w:spacing w:val="20"/>
          <w:sz w:val="30"/>
          <w:szCs w:val="30"/>
        </w:rPr>
      </w:pPr>
    </w:p>
    <w:p w14:paraId="4E6EF696">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2CFD28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9992E14">
      <w:pPr>
        <w:snapToGrid w:val="0"/>
        <w:spacing w:before="50" w:after="120" w:afterLines="50"/>
        <w:rPr>
          <w:rFonts w:ascii="仿宋" w:hAnsi="仿宋" w:eastAsia="仿宋"/>
          <w:b/>
          <w:sz w:val="32"/>
          <w:szCs w:val="32"/>
        </w:rPr>
      </w:pPr>
    </w:p>
    <w:p w14:paraId="3FBF1146">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D64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ED1400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904FBD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2D1D8A17">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9542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8EB8CE">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D0A18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5F77E2C">
            <w:pPr>
              <w:pStyle w:val="28"/>
              <w:snapToGrid w:val="0"/>
              <w:spacing w:before="120" w:after="120" w:line="240" w:lineRule="auto"/>
              <w:outlineLvl w:val="0"/>
              <w:rPr>
                <w:rFonts w:ascii="仿宋" w:hAnsi="仿宋" w:eastAsia="仿宋"/>
                <w:sz w:val="30"/>
                <w:szCs w:val="30"/>
              </w:rPr>
            </w:pPr>
          </w:p>
        </w:tc>
      </w:tr>
      <w:tr w14:paraId="65E0B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86B25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DB77F48">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A3354A6">
            <w:pPr>
              <w:pStyle w:val="28"/>
              <w:snapToGrid w:val="0"/>
              <w:spacing w:before="120" w:after="120" w:line="240" w:lineRule="auto"/>
              <w:rPr>
                <w:rFonts w:ascii="仿宋" w:hAnsi="仿宋" w:eastAsia="仿宋"/>
                <w:sz w:val="30"/>
                <w:szCs w:val="30"/>
              </w:rPr>
            </w:pPr>
          </w:p>
        </w:tc>
      </w:tr>
      <w:tr w14:paraId="5A473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BC134D">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E03D658">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C59C14C">
            <w:pPr>
              <w:pStyle w:val="28"/>
              <w:snapToGrid w:val="0"/>
              <w:spacing w:before="120" w:after="120" w:line="240" w:lineRule="auto"/>
              <w:outlineLvl w:val="0"/>
              <w:rPr>
                <w:rFonts w:ascii="仿宋" w:hAnsi="仿宋" w:eastAsia="仿宋"/>
                <w:sz w:val="30"/>
                <w:szCs w:val="30"/>
              </w:rPr>
            </w:pPr>
          </w:p>
        </w:tc>
      </w:tr>
      <w:tr w14:paraId="6673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30A92C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4AA5F9">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3245BA4C">
            <w:pPr>
              <w:pStyle w:val="28"/>
              <w:snapToGrid w:val="0"/>
              <w:spacing w:before="120" w:after="120" w:line="240" w:lineRule="auto"/>
              <w:outlineLvl w:val="0"/>
              <w:rPr>
                <w:rFonts w:ascii="仿宋" w:hAnsi="仿宋" w:eastAsia="仿宋"/>
                <w:sz w:val="30"/>
                <w:szCs w:val="30"/>
              </w:rPr>
            </w:pPr>
          </w:p>
        </w:tc>
      </w:tr>
      <w:tr w14:paraId="5EE8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853994">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C00D21">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F76478">
            <w:pPr>
              <w:pStyle w:val="28"/>
              <w:snapToGrid w:val="0"/>
              <w:spacing w:before="120" w:after="120" w:line="240" w:lineRule="auto"/>
              <w:outlineLvl w:val="0"/>
              <w:rPr>
                <w:rFonts w:ascii="仿宋" w:hAnsi="仿宋" w:eastAsia="仿宋"/>
                <w:sz w:val="30"/>
                <w:szCs w:val="30"/>
              </w:rPr>
            </w:pPr>
          </w:p>
        </w:tc>
      </w:tr>
      <w:tr w14:paraId="0F46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38079A">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7BE9A5E">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3D4DE26">
            <w:pPr>
              <w:pStyle w:val="28"/>
              <w:snapToGrid w:val="0"/>
              <w:spacing w:before="120" w:after="120" w:line="240" w:lineRule="auto"/>
              <w:outlineLvl w:val="0"/>
              <w:rPr>
                <w:rFonts w:ascii="仿宋" w:hAnsi="仿宋" w:eastAsia="仿宋"/>
                <w:sz w:val="30"/>
                <w:szCs w:val="30"/>
              </w:rPr>
            </w:pPr>
          </w:p>
        </w:tc>
      </w:tr>
    </w:tbl>
    <w:p w14:paraId="69073674">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4140E1E3">
      <w:pPr>
        <w:snapToGrid w:val="0"/>
        <w:spacing w:before="50" w:after="50"/>
        <w:rPr>
          <w:rFonts w:ascii="仿宋" w:hAnsi="仿宋" w:eastAsia="仿宋"/>
          <w:spacing w:val="20"/>
          <w:sz w:val="30"/>
          <w:szCs w:val="30"/>
        </w:rPr>
      </w:pPr>
    </w:p>
    <w:p w14:paraId="0D941E5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0E7883D">
      <w:pPr>
        <w:snapToGrid w:val="0"/>
        <w:spacing w:before="50" w:after="120" w:afterLines="50"/>
        <w:jc w:val="left"/>
        <w:rPr>
          <w:rFonts w:ascii="仿宋" w:hAnsi="仿宋" w:eastAsia="仿宋"/>
          <w:sz w:val="30"/>
          <w:szCs w:val="30"/>
        </w:rPr>
      </w:pPr>
    </w:p>
    <w:p w14:paraId="548678F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1B2485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5FF0E5D">
      <w:pPr>
        <w:snapToGrid w:val="0"/>
        <w:spacing w:before="120" w:beforeLines="50" w:after="50"/>
        <w:rPr>
          <w:rFonts w:ascii="仿宋" w:hAnsi="仿宋" w:eastAsia="仿宋"/>
          <w:b/>
          <w:sz w:val="30"/>
          <w:szCs w:val="30"/>
        </w:rPr>
      </w:pPr>
    </w:p>
    <w:p w14:paraId="43AA3B14">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30F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1C65FA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CAD22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AACD67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377C043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CBEC8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0E34BE8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0728C9">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17B4B6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290A4E9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E3A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A312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E4304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F43E3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504D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3DCF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35AD4A">
            <w:pPr>
              <w:snapToGrid w:val="0"/>
              <w:spacing w:before="120" w:beforeLines="50" w:after="50" w:line="460" w:lineRule="exact"/>
              <w:rPr>
                <w:rFonts w:ascii="仿宋" w:hAnsi="仿宋" w:eastAsia="仿宋"/>
                <w:b/>
                <w:bCs/>
                <w:kern w:val="0"/>
                <w:sz w:val="30"/>
                <w:szCs w:val="30"/>
              </w:rPr>
            </w:pPr>
          </w:p>
        </w:tc>
      </w:tr>
      <w:tr w14:paraId="6BD7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C97CD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37131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94B40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43EA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F87E9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805269">
            <w:pPr>
              <w:snapToGrid w:val="0"/>
              <w:spacing w:before="120" w:beforeLines="50" w:after="50" w:line="460" w:lineRule="exact"/>
              <w:rPr>
                <w:rFonts w:ascii="仿宋" w:hAnsi="仿宋" w:eastAsia="仿宋"/>
                <w:b/>
                <w:bCs/>
                <w:kern w:val="0"/>
                <w:sz w:val="30"/>
                <w:szCs w:val="30"/>
              </w:rPr>
            </w:pPr>
          </w:p>
        </w:tc>
      </w:tr>
      <w:tr w14:paraId="2E05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DA75F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6679C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12F3978">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35A22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BB32F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2CA3D3">
            <w:pPr>
              <w:snapToGrid w:val="0"/>
              <w:spacing w:before="120" w:beforeLines="50" w:after="50" w:line="460" w:lineRule="exact"/>
              <w:rPr>
                <w:rFonts w:ascii="仿宋" w:hAnsi="仿宋" w:eastAsia="仿宋"/>
                <w:b/>
                <w:bCs/>
                <w:kern w:val="0"/>
                <w:sz w:val="30"/>
                <w:szCs w:val="30"/>
              </w:rPr>
            </w:pPr>
          </w:p>
        </w:tc>
      </w:tr>
      <w:tr w14:paraId="647DA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40317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B2E7A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3C4DEC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BB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29D74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EEECA1">
            <w:pPr>
              <w:snapToGrid w:val="0"/>
              <w:spacing w:before="120" w:beforeLines="50" w:after="50" w:line="460" w:lineRule="exact"/>
              <w:rPr>
                <w:rFonts w:ascii="仿宋" w:hAnsi="仿宋" w:eastAsia="仿宋"/>
                <w:b/>
                <w:bCs/>
                <w:kern w:val="0"/>
                <w:sz w:val="30"/>
                <w:szCs w:val="30"/>
              </w:rPr>
            </w:pPr>
          </w:p>
        </w:tc>
      </w:tr>
      <w:tr w14:paraId="7DBA0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A9E8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E62EE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46591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700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6C041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BAFC96">
            <w:pPr>
              <w:snapToGrid w:val="0"/>
              <w:spacing w:before="120" w:beforeLines="50" w:after="50" w:line="460" w:lineRule="exact"/>
              <w:rPr>
                <w:rFonts w:ascii="仿宋" w:hAnsi="仿宋" w:eastAsia="仿宋"/>
                <w:b/>
                <w:bCs/>
                <w:kern w:val="0"/>
                <w:sz w:val="30"/>
                <w:szCs w:val="30"/>
              </w:rPr>
            </w:pPr>
          </w:p>
        </w:tc>
      </w:tr>
      <w:tr w14:paraId="6771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64BC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0A2FE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C60B4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DBD66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0D2FA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50B723">
            <w:pPr>
              <w:snapToGrid w:val="0"/>
              <w:spacing w:before="120" w:beforeLines="50" w:after="50" w:line="460" w:lineRule="exact"/>
              <w:rPr>
                <w:rFonts w:ascii="仿宋" w:hAnsi="仿宋" w:eastAsia="仿宋"/>
                <w:b/>
                <w:bCs/>
                <w:kern w:val="0"/>
                <w:sz w:val="30"/>
                <w:szCs w:val="30"/>
              </w:rPr>
            </w:pPr>
          </w:p>
        </w:tc>
      </w:tr>
      <w:tr w14:paraId="6C4A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C166AE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50AD8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EA6EA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54B9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7D83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A57BE2">
            <w:pPr>
              <w:snapToGrid w:val="0"/>
              <w:spacing w:before="120" w:beforeLines="50" w:after="50" w:line="460" w:lineRule="exact"/>
              <w:rPr>
                <w:rFonts w:ascii="仿宋" w:hAnsi="仿宋" w:eastAsia="仿宋"/>
                <w:b/>
                <w:bCs/>
                <w:kern w:val="0"/>
                <w:sz w:val="30"/>
                <w:szCs w:val="30"/>
              </w:rPr>
            </w:pPr>
          </w:p>
        </w:tc>
      </w:tr>
      <w:tr w14:paraId="7C56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D40CE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B8715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EB730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3EF20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B48B7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83ADD5">
            <w:pPr>
              <w:snapToGrid w:val="0"/>
              <w:spacing w:before="120" w:beforeLines="50" w:after="50" w:line="460" w:lineRule="exact"/>
              <w:rPr>
                <w:rFonts w:ascii="仿宋" w:hAnsi="仿宋" w:eastAsia="仿宋"/>
                <w:b/>
                <w:bCs/>
                <w:kern w:val="0"/>
                <w:sz w:val="30"/>
                <w:szCs w:val="30"/>
              </w:rPr>
            </w:pPr>
          </w:p>
        </w:tc>
      </w:tr>
      <w:tr w14:paraId="14902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0F707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D6953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B9DAC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0854F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A7562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F474DC">
            <w:pPr>
              <w:snapToGrid w:val="0"/>
              <w:spacing w:before="120" w:beforeLines="50" w:after="50" w:line="460" w:lineRule="exact"/>
              <w:rPr>
                <w:rFonts w:ascii="仿宋" w:hAnsi="仿宋" w:eastAsia="仿宋"/>
                <w:b/>
                <w:bCs/>
                <w:kern w:val="0"/>
                <w:sz w:val="30"/>
                <w:szCs w:val="30"/>
              </w:rPr>
            </w:pPr>
          </w:p>
        </w:tc>
      </w:tr>
    </w:tbl>
    <w:p w14:paraId="5547F44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3DB9FFC">
      <w:pPr>
        <w:snapToGrid w:val="0"/>
        <w:spacing w:before="50" w:after="120" w:afterLines="50" w:line="460" w:lineRule="exact"/>
        <w:jc w:val="left"/>
        <w:rPr>
          <w:rFonts w:ascii="仿宋" w:hAnsi="仿宋" w:eastAsia="仿宋"/>
          <w:sz w:val="30"/>
          <w:szCs w:val="30"/>
        </w:rPr>
      </w:pPr>
    </w:p>
    <w:p w14:paraId="5C1C9E3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2F371F78">
      <w:pPr>
        <w:snapToGrid w:val="0"/>
        <w:spacing w:before="50" w:after="120" w:afterLines="50" w:line="460" w:lineRule="exact"/>
        <w:jc w:val="left"/>
        <w:rPr>
          <w:rFonts w:ascii="仿宋" w:hAnsi="仿宋" w:eastAsia="仿宋"/>
          <w:sz w:val="30"/>
          <w:szCs w:val="30"/>
        </w:rPr>
      </w:pPr>
    </w:p>
    <w:p w14:paraId="077B471B">
      <w:pPr>
        <w:pStyle w:val="28"/>
        <w:snapToGrid w:val="0"/>
        <w:spacing w:before="120" w:after="120" w:line="460" w:lineRule="exact"/>
        <w:rPr>
          <w:rFonts w:ascii="仿宋" w:hAnsi="仿宋" w:eastAsia="仿宋"/>
          <w:sz w:val="30"/>
          <w:szCs w:val="30"/>
        </w:rPr>
      </w:pPr>
    </w:p>
    <w:p w14:paraId="5354FFDA">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4A5B59F5">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1A8ADA47">
      <w:pPr>
        <w:snapToGrid w:val="0"/>
        <w:spacing w:before="50"/>
        <w:jc w:val="center"/>
        <w:rPr>
          <w:rFonts w:ascii="仿宋" w:hAnsi="仿宋" w:eastAsia="仿宋"/>
          <w:b/>
          <w:sz w:val="32"/>
          <w:szCs w:val="32"/>
        </w:rPr>
      </w:pPr>
    </w:p>
    <w:p w14:paraId="7FECBDF5">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8D2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3F8817CE">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74EFD7">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9C33B1">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C727C5F">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3E446A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2AF9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55D039D">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9C3C11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5993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29AA04">
            <w:pPr>
              <w:snapToGrid w:val="0"/>
              <w:spacing w:before="120" w:beforeLines="50"/>
              <w:rPr>
                <w:rFonts w:ascii="仿宋" w:hAnsi="仿宋" w:eastAsia="仿宋"/>
                <w:sz w:val="30"/>
                <w:szCs w:val="30"/>
              </w:rPr>
            </w:pPr>
          </w:p>
        </w:tc>
      </w:tr>
      <w:tr w14:paraId="711A3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154100C">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2FEE69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F016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547FAF">
            <w:pPr>
              <w:snapToGrid w:val="0"/>
              <w:spacing w:before="120" w:beforeLines="50"/>
              <w:ind w:left="43"/>
              <w:rPr>
                <w:rFonts w:ascii="仿宋" w:hAnsi="仿宋" w:eastAsia="仿宋"/>
                <w:sz w:val="30"/>
                <w:szCs w:val="30"/>
              </w:rPr>
            </w:pPr>
          </w:p>
        </w:tc>
      </w:tr>
      <w:tr w14:paraId="133A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2BBCE34">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25D2D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5C2F4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5DE8AB">
            <w:pPr>
              <w:snapToGrid w:val="0"/>
              <w:spacing w:before="120" w:beforeLines="50"/>
              <w:ind w:left="43"/>
              <w:rPr>
                <w:rFonts w:ascii="仿宋" w:hAnsi="仿宋" w:eastAsia="仿宋"/>
                <w:sz w:val="30"/>
                <w:szCs w:val="30"/>
              </w:rPr>
            </w:pPr>
          </w:p>
        </w:tc>
      </w:tr>
      <w:tr w14:paraId="7D7A3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87C5C3">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EA81DB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843E6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7C292">
            <w:pPr>
              <w:snapToGrid w:val="0"/>
              <w:spacing w:before="120" w:beforeLines="50"/>
              <w:ind w:left="43"/>
              <w:rPr>
                <w:rFonts w:ascii="仿宋" w:hAnsi="仿宋" w:eastAsia="仿宋"/>
                <w:sz w:val="30"/>
                <w:szCs w:val="30"/>
              </w:rPr>
            </w:pPr>
          </w:p>
        </w:tc>
      </w:tr>
      <w:tr w14:paraId="09A6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D9A3B9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C6BEBF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1111A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2B909C">
            <w:pPr>
              <w:snapToGrid w:val="0"/>
              <w:spacing w:before="120" w:beforeLines="50"/>
              <w:rPr>
                <w:rFonts w:ascii="仿宋" w:hAnsi="仿宋" w:eastAsia="仿宋"/>
                <w:sz w:val="30"/>
                <w:szCs w:val="30"/>
              </w:rPr>
            </w:pPr>
          </w:p>
        </w:tc>
      </w:tr>
      <w:tr w14:paraId="7DB1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1E83C9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0CACDB3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5F071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24021C6">
            <w:pPr>
              <w:snapToGrid w:val="0"/>
              <w:spacing w:before="120" w:beforeLines="50"/>
              <w:rPr>
                <w:rFonts w:ascii="仿宋" w:hAnsi="仿宋" w:eastAsia="仿宋"/>
                <w:sz w:val="30"/>
                <w:szCs w:val="30"/>
              </w:rPr>
            </w:pPr>
          </w:p>
        </w:tc>
      </w:tr>
      <w:tr w14:paraId="2A6F5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769452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5E6B01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03EED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A69185">
            <w:pPr>
              <w:snapToGrid w:val="0"/>
              <w:spacing w:before="120" w:beforeLines="50"/>
              <w:rPr>
                <w:rFonts w:ascii="仿宋" w:hAnsi="仿宋" w:eastAsia="仿宋"/>
                <w:sz w:val="30"/>
                <w:szCs w:val="30"/>
              </w:rPr>
            </w:pPr>
          </w:p>
        </w:tc>
      </w:tr>
      <w:tr w14:paraId="1500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172BAD6">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40B0C7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4F85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AD1C46">
            <w:pPr>
              <w:snapToGrid w:val="0"/>
              <w:spacing w:before="120" w:beforeLines="50"/>
              <w:rPr>
                <w:rFonts w:ascii="仿宋" w:hAnsi="仿宋" w:eastAsia="仿宋"/>
                <w:sz w:val="30"/>
                <w:szCs w:val="30"/>
              </w:rPr>
            </w:pPr>
          </w:p>
        </w:tc>
      </w:tr>
      <w:tr w14:paraId="4F52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9D7AC9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75750CC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99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3C09C52">
            <w:pPr>
              <w:snapToGrid w:val="0"/>
              <w:spacing w:before="120" w:beforeLines="50"/>
              <w:rPr>
                <w:rFonts w:ascii="仿宋" w:hAnsi="仿宋" w:eastAsia="仿宋"/>
                <w:sz w:val="30"/>
                <w:szCs w:val="30"/>
              </w:rPr>
            </w:pPr>
          </w:p>
        </w:tc>
      </w:tr>
      <w:tr w14:paraId="7873A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83FE15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51F34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9308E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F3A43B7">
            <w:pPr>
              <w:snapToGrid w:val="0"/>
              <w:spacing w:before="120" w:beforeLines="50"/>
              <w:rPr>
                <w:rFonts w:ascii="仿宋" w:hAnsi="仿宋" w:eastAsia="仿宋"/>
                <w:b/>
                <w:bCs/>
                <w:sz w:val="30"/>
                <w:szCs w:val="30"/>
              </w:rPr>
            </w:pPr>
          </w:p>
        </w:tc>
      </w:tr>
    </w:tbl>
    <w:p w14:paraId="51DAAC89">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9488A1A">
      <w:pPr>
        <w:widowControl/>
        <w:jc w:val="left"/>
        <w:rPr>
          <w:rFonts w:ascii="仿宋" w:hAnsi="仿宋" w:eastAsia="仿宋"/>
          <w:sz w:val="30"/>
          <w:szCs w:val="30"/>
        </w:rPr>
        <w:sectPr>
          <w:pgSz w:w="11906" w:h="16838"/>
          <w:pgMar w:top="1474" w:right="1797" w:bottom="1247" w:left="1797" w:header="851" w:footer="851" w:gutter="0"/>
          <w:cols w:space="720" w:num="1"/>
        </w:sectPr>
      </w:pPr>
    </w:p>
    <w:p w14:paraId="0EB44D88">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8AE2EE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338E7030">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BD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37F5D7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3AD2B08">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F7DB613">
            <w:pPr>
              <w:snapToGrid w:val="0"/>
              <w:jc w:val="center"/>
              <w:rPr>
                <w:rFonts w:ascii="仿宋" w:hAnsi="仿宋" w:eastAsia="仿宋"/>
                <w:sz w:val="30"/>
                <w:szCs w:val="30"/>
              </w:rPr>
            </w:pPr>
            <w:r>
              <w:rPr>
                <w:rFonts w:hint="eastAsia" w:ascii="仿宋" w:hAnsi="仿宋" w:eastAsia="仿宋"/>
                <w:sz w:val="30"/>
                <w:szCs w:val="30"/>
              </w:rPr>
              <w:t>采购</w:t>
            </w:r>
          </w:p>
          <w:p w14:paraId="54BB692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F64DC1">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6C7283">
            <w:pPr>
              <w:snapToGrid w:val="0"/>
              <w:jc w:val="center"/>
              <w:rPr>
                <w:rFonts w:ascii="仿宋" w:hAnsi="仿宋" w:eastAsia="仿宋"/>
                <w:sz w:val="30"/>
                <w:szCs w:val="30"/>
              </w:rPr>
            </w:pPr>
            <w:r>
              <w:rPr>
                <w:rFonts w:hint="eastAsia" w:ascii="仿宋" w:hAnsi="仿宋" w:eastAsia="仿宋"/>
                <w:sz w:val="30"/>
                <w:szCs w:val="30"/>
              </w:rPr>
              <w:t>合同</w:t>
            </w:r>
          </w:p>
          <w:p w14:paraId="51C2B892">
            <w:pPr>
              <w:snapToGrid w:val="0"/>
              <w:jc w:val="center"/>
              <w:rPr>
                <w:rFonts w:ascii="仿宋" w:hAnsi="仿宋" w:eastAsia="仿宋"/>
                <w:sz w:val="30"/>
                <w:szCs w:val="30"/>
              </w:rPr>
            </w:pPr>
            <w:r>
              <w:rPr>
                <w:rFonts w:hint="eastAsia" w:ascii="仿宋" w:hAnsi="仿宋" w:eastAsia="仿宋"/>
                <w:sz w:val="30"/>
                <w:szCs w:val="30"/>
              </w:rPr>
              <w:t>金额</w:t>
            </w:r>
          </w:p>
          <w:p w14:paraId="2765336E">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448884">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0E5FB9B">
            <w:pPr>
              <w:snapToGrid w:val="0"/>
              <w:jc w:val="center"/>
              <w:rPr>
                <w:rFonts w:ascii="仿宋" w:hAnsi="仿宋" w:eastAsia="仿宋"/>
                <w:sz w:val="30"/>
                <w:szCs w:val="30"/>
              </w:rPr>
            </w:pPr>
            <w:r>
              <w:rPr>
                <w:rFonts w:hint="eastAsia" w:ascii="仿宋" w:hAnsi="仿宋" w:eastAsia="仿宋"/>
                <w:sz w:val="30"/>
                <w:szCs w:val="30"/>
              </w:rPr>
              <w:t>采购单位联系人及</w:t>
            </w:r>
          </w:p>
          <w:p w14:paraId="255B5004">
            <w:pPr>
              <w:snapToGrid w:val="0"/>
              <w:jc w:val="center"/>
              <w:rPr>
                <w:rFonts w:ascii="仿宋" w:hAnsi="仿宋" w:eastAsia="仿宋"/>
                <w:sz w:val="30"/>
                <w:szCs w:val="30"/>
              </w:rPr>
            </w:pPr>
            <w:r>
              <w:rPr>
                <w:rFonts w:hint="eastAsia" w:ascii="仿宋" w:hAnsi="仿宋" w:eastAsia="仿宋"/>
                <w:sz w:val="30"/>
                <w:szCs w:val="30"/>
              </w:rPr>
              <w:t>联系电话</w:t>
            </w:r>
          </w:p>
        </w:tc>
      </w:tr>
      <w:tr w14:paraId="6CD5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2DDA6BF">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FA2DE1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07EB7E">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7D09BD">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6B0B105">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56EEC8">
            <w:pPr>
              <w:snapToGrid w:val="0"/>
              <w:jc w:val="center"/>
              <w:rPr>
                <w:rFonts w:ascii="仿宋" w:hAnsi="仿宋" w:eastAsia="仿宋"/>
                <w:sz w:val="30"/>
                <w:szCs w:val="30"/>
              </w:rPr>
            </w:pPr>
            <w:r>
              <w:rPr>
                <w:rFonts w:hint="eastAsia" w:ascii="仿宋" w:hAnsi="仿宋" w:eastAsia="仿宋"/>
                <w:sz w:val="30"/>
                <w:szCs w:val="30"/>
              </w:rPr>
              <w:t>合</w:t>
            </w:r>
          </w:p>
          <w:p w14:paraId="3599056F">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5A86819">
            <w:pPr>
              <w:snapToGrid w:val="0"/>
              <w:jc w:val="center"/>
              <w:rPr>
                <w:rFonts w:ascii="仿宋" w:hAnsi="仿宋" w:eastAsia="仿宋"/>
                <w:sz w:val="30"/>
                <w:szCs w:val="30"/>
              </w:rPr>
            </w:pPr>
            <w:r>
              <w:rPr>
                <w:rFonts w:hint="eastAsia" w:ascii="仿宋" w:hAnsi="仿宋" w:eastAsia="仿宋"/>
                <w:sz w:val="30"/>
                <w:szCs w:val="30"/>
              </w:rPr>
              <w:t>验收</w:t>
            </w:r>
          </w:p>
          <w:p w14:paraId="50A9D0F4">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52491F">
            <w:pPr>
              <w:widowControl/>
              <w:jc w:val="left"/>
              <w:rPr>
                <w:rFonts w:ascii="仿宋" w:hAnsi="仿宋" w:eastAsia="仿宋"/>
                <w:sz w:val="30"/>
                <w:szCs w:val="30"/>
              </w:rPr>
            </w:pPr>
          </w:p>
        </w:tc>
      </w:tr>
      <w:tr w14:paraId="157F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FECCC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80A9D4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82D23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689FA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330EA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280B7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5B5D8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42E4346">
            <w:pPr>
              <w:snapToGrid w:val="0"/>
              <w:spacing w:before="50" w:after="120" w:afterLines="50" w:line="400" w:lineRule="exact"/>
              <w:jc w:val="left"/>
              <w:rPr>
                <w:rFonts w:ascii="仿宋" w:hAnsi="仿宋" w:eastAsia="仿宋"/>
                <w:b/>
                <w:bCs/>
                <w:kern w:val="0"/>
                <w:sz w:val="30"/>
                <w:szCs w:val="30"/>
              </w:rPr>
            </w:pPr>
          </w:p>
        </w:tc>
      </w:tr>
      <w:tr w14:paraId="34CA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A94290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8C0E8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6721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287F5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1C6CB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AAA56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96958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FF3FABC">
            <w:pPr>
              <w:snapToGrid w:val="0"/>
              <w:spacing w:before="50" w:after="120" w:afterLines="50" w:line="400" w:lineRule="exact"/>
              <w:jc w:val="left"/>
              <w:rPr>
                <w:rFonts w:ascii="仿宋" w:hAnsi="仿宋" w:eastAsia="仿宋"/>
                <w:b/>
                <w:bCs/>
                <w:kern w:val="0"/>
                <w:sz w:val="30"/>
                <w:szCs w:val="30"/>
              </w:rPr>
            </w:pPr>
          </w:p>
        </w:tc>
      </w:tr>
      <w:tr w14:paraId="5B3B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2FB8D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4DDB4A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FDE79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9308D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3113E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96B6C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8BFC9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A068189">
            <w:pPr>
              <w:snapToGrid w:val="0"/>
              <w:spacing w:before="50" w:after="120" w:afterLines="50" w:line="400" w:lineRule="exact"/>
              <w:jc w:val="left"/>
              <w:rPr>
                <w:rFonts w:ascii="仿宋" w:hAnsi="仿宋" w:eastAsia="仿宋"/>
                <w:b/>
                <w:bCs/>
                <w:kern w:val="0"/>
                <w:sz w:val="30"/>
                <w:szCs w:val="30"/>
              </w:rPr>
            </w:pPr>
          </w:p>
        </w:tc>
      </w:tr>
      <w:tr w14:paraId="25EF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01589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DDD867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A2B0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AB8DE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46322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3FB3C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3D05D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DC7B37E">
            <w:pPr>
              <w:snapToGrid w:val="0"/>
              <w:spacing w:before="50" w:after="120" w:afterLines="50" w:line="400" w:lineRule="exact"/>
              <w:jc w:val="left"/>
              <w:rPr>
                <w:rFonts w:ascii="仿宋" w:hAnsi="仿宋" w:eastAsia="仿宋"/>
                <w:b/>
                <w:bCs/>
                <w:kern w:val="0"/>
                <w:sz w:val="30"/>
                <w:szCs w:val="30"/>
              </w:rPr>
            </w:pPr>
          </w:p>
        </w:tc>
      </w:tr>
      <w:tr w14:paraId="1F3B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C3202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BFCC9EC">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3460E51">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84AF5BC">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9835DDC">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0A168EF3">
      <w:pPr>
        <w:ind w:right="-110"/>
        <w:rPr>
          <w:rFonts w:ascii="仿宋" w:hAnsi="仿宋" w:eastAsia="仿宋"/>
          <w:spacing w:val="40"/>
          <w:sz w:val="52"/>
          <w:szCs w:val="52"/>
        </w:rPr>
      </w:pPr>
    </w:p>
    <w:p w14:paraId="07F4CF29">
      <w:pPr>
        <w:ind w:right="-110"/>
        <w:jc w:val="center"/>
        <w:rPr>
          <w:rFonts w:hint="eastAsia" w:ascii="仿宋" w:hAnsi="仿宋" w:eastAsia="仿宋"/>
          <w:spacing w:val="40"/>
          <w:sz w:val="52"/>
          <w:szCs w:val="52"/>
          <w:lang w:eastAsia="zh-CN"/>
        </w:rPr>
      </w:pPr>
      <w:bookmarkStart w:id="115" w:name="PO_3000001756_PM002"/>
      <w:r>
        <w:rPr>
          <w:rFonts w:hint="eastAsia" w:ascii="仿宋" w:hAnsi="仿宋" w:eastAsia="仿宋"/>
          <w:b/>
          <w:spacing w:val="40"/>
          <w:sz w:val="52"/>
          <w:szCs w:val="52"/>
          <w:lang w:eastAsia="zh-CN"/>
        </w:rPr>
        <w:t>浙江省教育考试院物业服务项目</w:t>
      </w:r>
      <w:bookmarkEnd w:id="115"/>
    </w:p>
    <w:p w14:paraId="064D2AC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16" w:name="PO_3000001756_PM001"/>
      <w:r>
        <w:rPr>
          <w:rFonts w:hint="eastAsia" w:ascii="仿宋" w:hAnsi="仿宋" w:eastAsia="仿宋"/>
          <w:b/>
          <w:sz w:val="36"/>
          <w:szCs w:val="36"/>
          <w:lang w:eastAsia="zh-CN"/>
        </w:rPr>
        <w:t>ZZCG2025H-CS-113</w:t>
      </w:r>
      <w:bookmarkEnd w:id="116"/>
      <w:r>
        <w:rPr>
          <w:rFonts w:hint="eastAsia" w:ascii="仿宋" w:hAnsi="仿宋" w:eastAsia="仿宋"/>
          <w:sz w:val="36"/>
          <w:szCs w:val="36"/>
        </w:rPr>
        <w:t>（标项）</w:t>
      </w:r>
    </w:p>
    <w:p w14:paraId="4632C470">
      <w:pPr>
        <w:spacing w:after="100" w:afterAutospacing="1" w:line="800" w:lineRule="exact"/>
        <w:ind w:right="-108"/>
        <w:jc w:val="center"/>
        <w:rPr>
          <w:rFonts w:ascii="仿宋" w:hAnsi="仿宋" w:eastAsia="仿宋"/>
          <w:b/>
          <w:spacing w:val="40"/>
          <w:sz w:val="84"/>
          <w:szCs w:val="84"/>
        </w:rPr>
      </w:pPr>
    </w:p>
    <w:p w14:paraId="02FE888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FA20C0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2DA3FD3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5FFAC4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50CA1A2">
      <w:pPr>
        <w:spacing w:line="500" w:lineRule="exact"/>
        <w:ind w:right="532"/>
        <w:jc w:val="center"/>
        <w:rPr>
          <w:rFonts w:ascii="仿宋" w:hAnsi="仿宋" w:eastAsia="仿宋"/>
          <w:sz w:val="36"/>
          <w:szCs w:val="36"/>
        </w:rPr>
      </w:pPr>
    </w:p>
    <w:p w14:paraId="691C84C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28237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55D799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CF139B4">
      <w:pPr>
        <w:spacing w:line="600" w:lineRule="exact"/>
        <w:ind w:right="532"/>
        <w:rPr>
          <w:rFonts w:ascii="仿宋" w:hAnsi="仿宋" w:eastAsia="仿宋"/>
          <w:sz w:val="30"/>
          <w:szCs w:val="30"/>
        </w:rPr>
      </w:pPr>
    </w:p>
    <w:p w14:paraId="48FCCE4C">
      <w:pPr>
        <w:spacing w:line="600" w:lineRule="exact"/>
        <w:ind w:right="-108" w:firstLine="720" w:firstLineChars="200"/>
        <w:rPr>
          <w:rFonts w:ascii="仿宋" w:hAnsi="仿宋" w:eastAsia="仿宋"/>
          <w:sz w:val="36"/>
          <w:szCs w:val="36"/>
        </w:rPr>
      </w:pPr>
    </w:p>
    <w:p w14:paraId="726AB5DF">
      <w:pPr>
        <w:spacing w:line="600" w:lineRule="exact"/>
        <w:ind w:right="532" w:firstLine="600" w:firstLineChars="200"/>
        <w:rPr>
          <w:rFonts w:ascii="仿宋" w:hAnsi="仿宋" w:eastAsia="仿宋"/>
          <w:sz w:val="30"/>
          <w:szCs w:val="30"/>
        </w:rPr>
      </w:pPr>
    </w:p>
    <w:p w14:paraId="2659D027">
      <w:pPr>
        <w:tabs>
          <w:tab w:val="left" w:pos="6540"/>
        </w:tabs>
        <w:snapToGrid w:val="0"/>
        <w:spacing w:line="460" w:lineRule="exact"/>
        <w:ind w:firstLine="602" w:firstLineChars="200"/>
        <w:jc w:val="left"/>
        <w:rPr>
          <w:rFonts w:ascii="仿宋" w:hAnsi="仿宋" w:eastAsia="仿宋"/>
          <w:b/>
          <w:sz w:val="30"/>
          <w:szCs w:val="30"/>
        </w:rPr>
      </w:pPr>
    </w:p>
    <w:p w14:paraId="754EF90F">
      <w:pPr>
        <w:snapToGrid w:val="0"/>
        <w:spacing w:before="50" w:after="120" w:afterLines="50" w:line="460" w:lineRule="exact"/>
        <w:ind w:firstLine="600" w:firstLineChars="200"/>
        <w:jc w:val="left"/>
        <w:rPr>
          <w:rFonts w:ascii="仿宋" w:hAnsi="仿宋" w:eastAsia="仿宋"/>
          <w:sz w:val="30"/>
          <w:szCs w:val="30"/>
        </w:rPr>
      </w:pPr>
    </w:p>
    <w:p w14:paraId="7375762C">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09C4499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AFE8FB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165119D">
      <w:pPr>
        <w:pStyle w:val="45"/>
        <w:widowControl w:val="0"/>
        <w:spacing w:after="120" w:line="460" w:lineRule="exact"/>
        <w:ind w:firstLine="600" w:firstLineChars="200"/>
        <w:jc w:val="both"/>
        <w:rPr>
          <w:rFonts w:ascii="仿宋" w:hAnsi="仿宋" w:eastAsia="仿宋"/>
          <w:sz w:val="30"/>
          <w:szCs w:val="30"/>
        </w:rPr>
      </w:pPr>
    </w:p>
    <w:p w14:paraId="6D532364">
      <w:pPr>
        <w:snapToGrid w:val="0"/>
        <w:spacing w:line="460" w:lineRule="exact"/>
        <w:ind w:firstLine="600" w:firstLineChars="200"/>
        <w:jc w:val="left"/>
        <w:rPr>
          <w:rFonts w:ascii="仿宋" w:hAnsi="仿宋" w:eastAsia="仿宋"/>
          <w:sz w:val="30"/>
          <w:szCs w:val="30"/>
        </w:rPr>
      </w:pPr>
    </w:p>
    <w:p w14:paraId="1F8235C6">
      <w:pPr>
        <w:snapToGrid w:val="0"/>
        <w:spacing w:before="50" w:after="50"/>
        <w:rPr>
          <w:rFonts w:ascii="仿宋" w:hAnsi="仿宋" w:eastAsia="仿宋"/>
          <w:spacing w:val="20"/>
          <w:sz w:val="30"/>
          <w:szCs w:val="30"/>
        </w:rPr>
      </w:pPr>
    </w:p>
    <w:p w14:paraId="284A2B4F">
      <w:pPr>
        <w:snapToGrid w:val="0"/>
        <w:spacing w:before="50" w:after="50"/>
        <w:rPr>
          <w:rFonts w:ascii="仿宋" w:hAnsi="仿宋" w:eastAsia="仿宋"/>
          <w:spacing w:val="20"/>
          <w:sz w:val="30"/>
          <w:szCs w:val="30"/>
        </w:rPr>
      </w:pPr>
    </w:p>
    <w:p w14:paraId="5AD94E56">
      <w:pPr>
        <w:snapToGrid w:val="0"/>
        <w:spacing w:before="50" w:after="50"/>
        <w:rPr>
          <w:rFonts w:ascii="仿宋" w:hAnsi="仿宋" w:eastAsia="仿宋"/>
          <w:spacing w:val="20"/>
          <w:sz w:val="30"/>
          <w:szCs w:val="30"/>
        </w:rPr>
      </w:pPr>
    </w:p>
    <w:p w14:paraId="5A7475B0">
      <w:pPr>
        <w:snapToGrid w:val="0"/>
        <w:spacing w:before="50" w:after="50"/>
        <w:rPr>
          <w:rFonts w:ascii="仿宋" w:hAnsi="仿宋" w:eastAsia="仿宋"/>
          <w:spacing w:val="20"/>
          <w:sz w:val="30"/>
          <w:szCs w:val="30"/>
        </w:rPr>
      </w:pPr>
    </w:p>
    <w:p w14:paraId="137A71A5">
      <w:pPr>
        <w:snapToGrid w:val="0"/>
        <w:spacing w:before="50" w:after="50"/>
        <w:rPr>
          <w:rFonts w:ascii="仿宋" w:hAnsi="仿宋" w:eastAsia="仿宋"/>
          <w:spacing w:val="20"/>
          <w:sz w:val="30"/>
          <w:szCs w:val="30"/>
        </w:rPr>
      </w:pPr>
    </w:p>
    <w:p w14:paraId="3CFF2E8B">
      <w:pPr>
        <w:snapToGrid w:val="0"/>
        <w:spacing w:before="50" w:after="50"/>
        <w:rPr>
          <w:rFonts w:ascii="仿宋" w:hAnsi="仿宋" w:eastAsia="仿宋"/>
          <w:spacing w:val="20"/>
          <w:sz w:val="30"/>
          <w:szCs w:val="30"/>
        </w:rPr>
      </w:pPr>
    </w:p>
    <w:p w14:paraId="20654F7A">
      <w:pPr>
        <w:snapToGrid w:val="0"/>
        <w:spacing w:before="50" w:after="50"/>
        <w:rPr>
          <w:rFonts w:ascii="仿宋" w:hAnsi="仿宋" w:eastAsia="仿宋"/>
          <w:spacing w:val="20"/>
          <w:sz w:val="30"/>
          <w:szCs w:val="30"/>
        </w:rPr>
      </w:pPr>
    </w:p>
    <w:p w14:paraId="3CBF1F80">
      <w:pPr>
        <w:snapToGrid w:val="0"/>
        <w:spacing w:before="50" w:after="50"/>
        <w:rPr>
          <w:rFonts w:ascii="仿宋" w:hAnsi="仿宋" w:eastAsia="仿宋"/>
          <w:spacing w:val="20"/>
          <w:sz w:val="30"/>
          <w:szCs w:val="30"/>
        </w:rPr>
      </w:pPr>
    </w:p>
    <w:p w14:paraId="1420FE68">
      <w:pPr>
        <w:snapToGrid w:val="0"/>
        <w:spacing w:before="50" w:after="50"/>
        <w:rPr>
          <w:rFonts w:ascii="仿宋" w:hAnsi="仿宋" w:eastAsia="仿宋"/>
          <w:spacing w:val="20"/>
          <w:sz w:val="30"/>
          <w:szCs w:val="30"/>
        </w:rPr>
      </w:pPr>
    </w:p>
    <w:p w14:paraId="0C22259C">
      <w:pPr>
        <w:snapToGrid w:val="0"/>
        <w:spacing w:before="50" w:after="50"/>
        <w:rPr>
          <w:rFonts w:ascii="仿宋" w:hAnsi="仿宋" w:eastAsia="仿宋"/>
          <w:spacing w:val="20"/>
          <w:sz w:val="30"/>
          <w:szCs w:val="30"/>
        </w:rPr>
      </w:pPr>
    </w:p>
    <w:p w14:paraId="50C9BD1C">
      <w:pPr>
        <w:snapToGrid w:val="0"/>
        <w:spacing w:before="50" w:after="50"/>
        <w:rPr>
          <w:rFonts w:ascii="仿宋" w:hAnsi="仿宋" w:eastAsia="仿宋"/>
          <w:spacing w:val="20"/>
          <w:sz w:val="30"/>
          <w:szCs w:val="30"/>
        </w:rPr>
      </w:pPr>
    </w:p>
    <w:p w14:paraId="50005BF9">
      <w:pPr>
        <w:snapToGrid w:val="0"/>
        <w:spacing w:before="50" w:after="50"/>
        <w:rPr>
          <w:rFonts w:ascii="仿宋" w:hAnsi="仿宋" w:eastAsia="仿宋"/>
          <w:spacing w:val="20"/>
          <w:sz w:val="30"/>
          <w:szCs w:val="30"/>
        </w:rPr>
      </w:pPr>
    </w:p>
    <w:p w14:paraId="3A33947F">
      <w:pPr>
        <w:snapToGrid w:val="0"/>
        <w:spacing w:before="50" w:after="50"/>
        <w:rPr>
          <w:rFonts w:ascii="仿宋" w:hAnsi="仿宋" w:eastAsia="仿宋"/>
          <w:spacing w:val="20"/>
          <w:sz w:val="30"/>
          <w:szCs w:val="30"/>
        </w:rPr>
      </w:pPr>
    </w:p>
    <w:p w14:paraId="14ECE836">
      <w:pPr>
        <w:snapToGrid w:val="0"/>
        <w:spacing w:before="50" w:after="50"/>
        <w:rPr>
          <w:rFonts w:ascii="仿宋" w:hAnsi="仿宋" w:eastAsia="仿宋"/>
          <w:spacing w:val="20"/>
          <w:sz w:val="30"/>
          <w:szCs w:val="30"/>
        </w:rPr>
      </w:pPr>
    </w:p>
    <w:p w14:paraId="316A2E4B">
      <w:pPr>
        <w:snapToGrid w:val="0"/>
        <w:spacing w:before="50" w:after="50"/>
        <w:rPr>
          <w:rFonts w:ascii="仿宋" w:hAnsi="仿宋" w:eastAsia="仿宋"/>
          <w:spacing w:val="20"/>
          <w:sz w:val="30"/>
          <w:szCs w:val="30"/>
        </w:rPr>
      </w:pPr>
    </w:p>
    <w:p w14:paraId="1E4FBA42">
      <w:pPr>
        <w:snapToGrid w:val="0"/>
        <w:spacing w:before="50" w:after="50"/>
        <w:rPr>
          <w:rFonts w:ascii="仿宋" w:hAnsi="仿宋" w:eastAsia="仿宋"/>
          <w:spacing w:val="20"/>
          <w:sz w:val="30"/>
          <w:szCs w:val="30"/>
        </w:rPr>
      </w:pPr>
    </w:p>
    <w:p w14:paraId="4B20C47D">
      <w:pPr>
        <w:snapToGrid w:val="0"/>
        <w:spacing w:before="50" w:after="50"/>
        <w:rPr>
          <w:rFonts w:ascii="仿宋" w:hAnsi="仿宋" w:eastAsia="仿宋"/>
          <w:spacing w:val="20"/>
          <w:sz w:val="30"/>
          <w:szCs w:val="30"/>
        </w:rPr>
      </w:pPr>
    </w:p>
    <w:p w14:paraId="23B6E99D">
      <w:pPr>
        <w:snapToGrid w:val="0"/>
        <w:spacing w:before="50" w:after="50"/>
        <w:rPr>
          <w:rFonts w:ascii="仿宋" w:hAnsi="仿宋" w:eastAsia="仿宋"/>
          <w:spacing w:val="20"/>
          <w:sz w:val="30"/>
          <w:szCs w:val="30"/>
        </w:rPr>
      </w:pPr>
    </w:p>
    <w:p w14:paraId="792ADD7A">
      <w:pPr>
        <w:snapToGrid w:val="0"/>
        <w:spacing w:before="50" w:after="50"/>
        <w:rPr>
          <w:rFonts w:ascii="仿宋" w:hAnsi="仿宋" w:eastAsia="仿宋"/>
          <w:spacing w:val="20"/>
          <w:sz w:val="30"/>
          <w:szCs w:val="30"/>
        </w:rPr>
      </w:pPr>
    </w:p>
    <w:p w14:paraId="7FF797DD">
      <w:pPr>
        <w:snapToGrid w:val="0"/>
        <w:spacing w:before="50" w:after="50"/>
        <w:rPr>
          <w:rFonts w:ascii="仿宋" w:hAnsi="仿宋" w:eastAsia="仿宋"/>
          <w:spacing w:val="20"/>
          <w:sz w:val="30"/>
          <w:szCs w:val="30"/>
        </w:rPr>
      </w:pPr>
    </w:p>
    <w:p w14:paraId="15F59B70">
      <w:pPr>
        <w:snapToGrid w:val="0"/>
        <w:spacing w:before="50" w:after="50"/>
        <w:rPr>
          <w:rFonts w:ascii="仿宋" w:hAnsi="仿宋" w:eastAsia="仿宋"/>
          <w:spacing w:val="20"/>
          <w:sz w:val="30"/>
          <w:szCs w:val="30"/>
        </w:rPr>
      </w:pPr>
    </w:p>
    <w:p w14:paraId="21497C53">
      <w:pPr>
        <w:snapToGrid w:val="0"/>
        <w:spacing w:before="50" w:after="50"/>
        <w:rPr>
          <w:rFonts w:ascii="仿宋" w:hAnsi="仿宋" w:eastAsia="仿宋"/>
          <w:spacing w:val="20"/>
          <w:sz w:val="30"/>
          <w:szCs w:val="30"/>
        </w:rPr>
      </w:pPr>
    </w:p>
    <w:p w14:paraId="518AB7EF">
      <w:pPr>
        <w:snapToGrid w:val="0"/>
        <w:spacing w:before="50" w:after="50"/>
        <w:rPr>
          <w:rFonts w:ascii="仿宋" w:hAnsi="仿宋" w:eastAsia="仿宋"/>
          <w:spacing w:val="20"/>
          <w:sz w:val="30"/>
          <w:szCs w:val="30"/>
        </w:rPr>
      </w:pPr>
    </w:p>
    <w:p w14:paraId="2BF15646">
      <w:pPr>
        <w:widowControl/>
        <w:jc w:val="left"/>
        <w:rPr>
          <w:rFonts w:ascii="仿宋" w:hAnsi="仿宋" w:eastAsia="仿宋"/>
          <w:sz w:val="30"/>
          <w:szCs w:val="30"/>
        </w:rPr>
      </w:pPr>
      <w:r>
        <w:rPr>
          <w:rFonts w:hint="eastAsia" w:ascii="仿宋" w:hAnsi="仿宋" w:eastAsia="仿宋"/>
          <w:sz w:val="30"/>
          <w:szCs w:val="30"/>
        </w:rPr>
        <w:br w:type="page"/>
      </w:r>
    </w:p>
    <w:p w14:paraId="76BD90CC">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07670A15">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238904ED">
      <w:pPr>
        <w:snapToGrid w:val="0"/>
        <w:rPr>
          <w:rFonts w:ascii="仿宋" w:hAnsi="仿宋" w:eastAsia="仿宋"/>
          <w:sz w:val="28"/>
          <w:szCs w:val="28"/>
        </w:rPr>
      </w:pPr>
    </w:p>
    <w:p w14:paraId="1E43C527">
      <w:pPr>
        <w:snapToGrid w:val="0"/>
        <w:rPr>
          <w:rFonts w:ascii="仿宋" w:hAnsi="仿宋" w:eastAsia="仿宋"/>
          <w:sz w:val="28"/>
          <w:szCs w:val="28"/>
        </w:rPr>
      </w:pPr>
      <w:r>
        <w:rPr>
          <w:rFonts w:hint="eastAsia" w:ascii="仿宋" w:hAnsi="仿宋" w:eastAsia="仿宋"/>
          <w:sz w:val="28"/>
          <w:szCs w:val="28"/>
        </w:rPr>
        <w:t>响应方全称（公章）：</w:t>
      </w:r>
    </w:p>
    <w:p w14:paraId="1F34D7A6">
      <w:pPr>
        <w:snapToGrid w:val="0"/>
        <w:rPr>
          <w:rFonts w:ascii="仿宋" w:hAnsi="仿宋" w:eastAsia="仿宋"/>
          <w:sz w:val="28"/>
          <w:szCs w:val="28"/>
        </w:rPr>
      </w:pPr>
    </w:p>
    <w:p w14:paraId="3465CBC0">
      <w:pPr>
        <w:snapToGrid w:val="0"/>
        <w:rPr>
          <w:rFonts w:ascii="仿宋" w:hAnsi="仿宋" w:eastAsia="仿宋"/>
          <w:b/>
          <w:sz w:val="28"/>
          <w:szCs w:val="28"/>
          <w:u w:val="single"/>
        </w:rPr>
      </w:pPr>
      <w:r>
        <w:rPr>
          <w:rFonts w:hint="eastAsia" w:ascii="仿宋" w:hAnsi="仿宋" w:eastAsia="仿宋"/>
          <w:sz w:val="28"/>
          <w:szCs w:val="28"/>
        </w:rPr>
        <w:t>项目编号及标项：</w:t>
      </w:r>
    </w:p>
    <w:p w14:paraId="2AC8CCA0">
      <w:pPr>
        <w:snapToGrid w:val="0"/>
        <w:rPr>
          <w:rFonts w:ascii="仿宋" w:hAnsi="仿宋" w:eastAsia="仿宋"/>
          <w:b/>
          <w:sz w:val="24"/>
          <w:szCs w:val="24"/>
          <w:u w:val="single"/>
        </w:rPr>
      </w:pPr>
    </w:p>
    <w:p w14:paraId="450501E4">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7937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4F34E98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DA55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38F861D6">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139AC8F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17C43139">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64C946FF">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50902519">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4C03B53">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47C7790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2CEE9609">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B03C8F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1ADEA10B"/>
          <w:p w14:paraId="18B9127C"/>
          <w:p w14:paraId="4F4CC2DC"/>
          <w:p w14:paraId="1DD6892A">
            <w:pPr>
              <w:snapToGrid w:val="0"/>
              <w:spacing w:line="400" w:lineRule="exact"/>
              <w:jc w:val="center"/>
              <w:rPr>
                <w:rFonts w:ascii="仿宋" w:hAnsi="仿宋" w:eastAsia="仿宋"/>
                <w:b/>
                <w:sz w:val="13"/>
                <w:szCs w:val="13"/>
              </w:rPr>
            </w:pPr>
          </w:p>
        </w:tc>
      </w:tr>
      <w:tr w14:paraId="6366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1929E52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9C689EE">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73063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E9B6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43C991">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937837">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16759">
            <w:pPr>
              <w:snapToGrid w:val="0"/>
              <w:spacing w:line="400" w:lineRule="exact"/>
              <w:jc w:val="center"/>
              <w:rPr>
                <w:rFonts w:ascii="仿宋" w:hAnsi="仿宋" w:eastAsia="仿宋"/>
                <w:b/>
                <w:sz w:val="24"/>
                <w:szCs w:val="24"/>
              </w:rPr>
            </w:pPr>
          </w:p>
        </w:tc>
      </w:tr>
      <w:tr w14:paraId="566B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778C07CD">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70E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2F51944">
            <w:pPr>
              <w:snapToGrid w:val="0"/>
              <w:rPr>
                <w:rFonts w:ascii="仿宋" w:hAnsi="仿宋" w:eastAsia="仿宋"/>
                <w:sz w:val="24"/>
                <w:szCs w:val="24"/>
              </w:rPr>
            </w:pPr>
            <w:r>
              <w:rPr>
                <w:rFonts w:hint="eastAsia" w:ascii="仿宋" w:hAnsi="仿宋" w:eastAsia="仿宋"/>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494C0A6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6984AF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18D237F">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014CC387">
      <w:pPr>
        <w:snapToGrid w:val="0"/>
        <w:spacing w:line="360" w:lineRule="auto"/>
        <w:rPr>
          <w:rFonts w:ascii="仿宋" w:hAnsi="仿宋" w:eastAsia="仿宋"/>
          <w:sz w:val="30"/>
          <w:szCs w:val="30"/>
        </w:rPr>
      </w:pPr>
    </w:p>
    <w:p w14:paraId="3F8CC42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ED6DB96">
      <w:pPr>
        <w:pStyle w:val="28"/>
        <w:snapToGrid w:val="0"/>
        <w:spacing w:before="120" w:after="120" w:line="240" w:lineRule="auto"/>
        <w:ind w:firstLine="2168" w:firstLineChars="600"/>
        <w:rPr>
          <w:rFonts w:hint="eastAsia" w:hAnsi="宋体"/>
          <w:b/>
          <w:sz w:val="36"/>
          <w:szCs w:val="36"/>
        </w:rPr>
      </w:pPr>
    </w:p>
    <w:p w14:paraId="7A841FA6">
      <w:pPr>
        <w:pStyle w:val="28"/>
        <w:snapToGrid w:val="0"/>
        <w:spacing w:before="120" w:after="120" w:line="240" w:lineRule="auto"/>
        <w:ind w:firstLine="2168" w:firstLineChars="600"/>
        <w:rPr>
          <w:rFonts w:hint="eastAsia" w:hAnsi="宋体"/>
          <w:b/>
          <w:sz w:val="36"/>
          <w:szCs w:val="36"/>
        </w:rPr>
      </w:pPr>
    </w:p>
    <w:p w14:paraId="0A8382A6">
      <w:pPr>
        <w:pStyle w:val="28"/>
        <w:snapToGrid w:val="0"/>
        <w:spacing w:before="120" w:after="120" w:line="240" w:lineRule="auto"/>
        <w:ind w:firstLine="2168" w:firstLineChars="600"/>
        <w:rPr>
          <w:rFonts w:hint="eastAsia" w:hAnsi="宋体"/>
          <w:b/>
          <w:sz w:val="36"/>
          <w:szCs w:val="36"/>
        </w:rPr>
      </w:pPr>
    </w:p>
    <w:p w14:paraId="4C49F392">
      <w:pPr>
        <w:pStyle w:val="28"/>
        <w:snapToGrid w:val="0"/>
        <w:spacing w:before="120" w:after="120" w:line="240" w:lineRule="auto"/>
        <w:ind w:firstLine="2168" w:firstLineChars="600"/>
        <w:rPr>
          <w:rFonts w:hint="eastAsia" w:hAnsi="宋体"/>
          <w:b/>
          <w:sz w:val="36"/>
          <w:szCs w:val="36"/>
        </w:rPr>
      </w:pPr>
    </w:p>
    <w:p w14:paraId="2E902032">
      <w:pPr>
        <w:pStyle w:val="28"/>
        <w:snapToGrid w:val="0"/>
        <w:spacing w:before="120" w:after="120" w:line="240" w:lineRule="auto"/>
        <w:ind w:firstLine="2168" w:firstLineChars="600"/>
        <w:rPr>
          <w:rFonts w:hint="eastAsia" w:hAnsi="宋体"/>
          <w:b/>
          <w:sz w:val="36"/>
          <w:szCs w:val="36"/>
        </w:rPr>
      </w:pPr>
    </w:p>
    <w:p w14:paraId="6D248F65">
      <w:pPr>
        <w:pStyle w:val="28"/>
        <w:snapToGrid w:val="0"/>
        <w:spacing w:before="120" w:after="120" w:line="240" w:lineRule="auto"/>
        <w:ind w:firstLine="2168" w:firstLineChars="600"/>
        <w:rPr>
          <w:rFonts w:hint="eastAsia" w:hAnsi="宋体"/>
          <w:b/>
          <w:sz w:val="36"/>
          <w:szCs w:val="36"/>
        </w:rPr>
      </w:pPr>
    </w:p>
    <w:p w14:paraId="4F3F3561">
      <w:pPr>
        <w:pStyle w:val="28"/>
        <w:snapToGrid w:val="0"/>
        <w:spacing w:before="120" w:after="120" w:line="240" w:lineRule="auto"/>
        <w:ind w:firstLine="2168" w:firstLineChars="600"/>
        <w:rPr>
          <w:rFonts w:hint="eastAsia" w:hAnsi="宋体"/>
          <w:b/>
          <w:sz w:val="36"/>
          <w:szCs w:val="36"/>
        </w:rPr>
      </w:pPr>
    </w:p>
    <w:p w14:paraId="076DBE5A">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5C2A0B4">
      <w:pPr>
        <w:pStyle w:val="28"/>
        <w:snapToGrid w:val="0"/>
        <w:spacing w:before="120" w:after="120" w:line="240" w:lineRule="auto"/>
        <w:ind w:firstLine="1084" w:firstLineChars="300"/>
        <w:jc w:val="center"/>
        <w:rPr>
          <w:rFonts w:ascii="仿宋" w:hAnsi="仿宋" w:eastAsia="仿宋"/>
          <w:b/>
          <w:sz w:val="36"/>
          <w:szCs w:val="36"/>
        </w:rPr>
      </w:pPr>
    </w:p>
    <w:p w14:paraId="3663E5D9">
      <w:pPr>
        <w:snapToGrid w:val="0"/>
        <w:rPr>
          <w:rFonts w:ascii="仿宋" w:hAnsi="仿宋" w:eastAsia="仿宋"/>
          <w:sz w:val="28"/>
          <w:szCs w:val="28"/>
        </w:rPr>
      </w:pPr>
      <w:r>
        <w:rPr>
          <w:rFonts w:hint="eastAsia" w:ascii="仿宋" w:hAnsi="仿宋" w:eastAsia="仿宋"/>
          <w:sz w:val="28"/>
          <w:szCs w:val="28"/>
        </w:rPr>
        <w:t>响应方全称（公章）：</w:t>
      </w:r>
    </w:p>
    <w:p w14:paraId="4D7850AA">
      <w:pPr>
        <w:snapToGrid w:val="0"/>
        <w:rPr>
          <w:rFonts w:ascii="仿宋" w:hAnsi="仿宋" w:eastAsia="仿宋"/>
          <w:sz w:val="28"/>
          <w:szCs w:val="28"/>
        </w:rPr>
      </w:pPr>
    </w:p>
    <w:p w14:paraId="728BEE00">
      <w:pPr>
        <w:snapToGrid w:val="0"/>
        <w:rPr>
          <w:rFonts w:ascii="仿宋" w:hAnsi="仿宋" w:eastAsia="仿宋"/>
          <w:b/>
          <w:sz w:val="28"/>
          <w:szCs w:val="28"/>
          <w:u w:val="single"/>
        </w:rPr>
      </w:pPr>
      <w:r>
        <w:rPr>
          <w:rFonts w:hint="eastAsia" w:ascii="仿宋" w:hAnsi="仿宋" w:eastAsia="仿宋"/>
          <w:sz w:val="28"/>
          <w:szCs w:val="28"/>
        </w:rPr>
        <w:t>项目编号及标项：</w:t>
      </w:r>
    </w:p>
    <w:p w14:paraId="783E47EA">
      <w:pPr>
        <w:snapToGrid w:val="0"/>
        <w:rPr>
          <w:rFonts w:ascii="仿宋" w:hAnsi="仿宋" w:eastAsia="仿宋"/>
          <w:b/>
          <w:sz w:val="24"/>
          <w:szCs w:val="24"/>
          <w:u w:val="single"/>
        </w:rPr>
      </w:pPr>
    </w:p>
    <w:p w14:paraId="0CE4CEF7">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19482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685427D7">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95A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50E328F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2BE6C38A">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28EB196A">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1B791275">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48E4FB66">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0" w:type="auto"/>
            <w:tcBorders>
              <w:top w:val="single" w:color="auto" w:sz="4" w:space="0"/>
              <w:left w:val="single" w:color="auto" w:sz="4" w:space="0"/>
              <w:bottom w:val="nil"/>
              <w:right w:val="single" w:color="auto" w:sz="4" w:space="0"/>
            </w:tcBorders>
            <w:vAlign w:val="center"/>
          </w:tcPr>
          <w:p w14:paraId="1FF57F9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2361A212"/>
          <w:p w14:paraId="2644662B"/>
          <w:p w14:paraId="1145E180"/>
          <w:p w14:paraId="6221673E">
            <w:pPr>
              <w:snapToGrid w:val="0"/>
              <w:spacing w:line="400" w:lineRule="exact"/>
              <w:jc w:val="center"/>
              <w:rPr>
                <w:rFonts w:ascii="仿宋" w:hAnsi="仿宋" w:eastAsia="仿宋"/>
                <w:b/>
                <w:sz w:val="13"/>
                <w:szCs w:val="13"/>
              </w:rPr>
            </w:pPr>
          </w:p>
        </w:tc>
      </w:tr>
      <w:tr w14:paraId="58A1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0A42236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53C42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D25CD">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A251B6">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09961">
            <w:pPr>
              <w:snapToGrid w:val="0"/>
              <w:spacing w:line="400" w:lineRule="exact"/>
              <w:jc w:val="center"/>
              <w:rPr>
                <w:rFonts w:ascii="仿宋" w:hAnsi="仿宋" w:eastAsia="仿宋"/>
                <w:b/>
                <w:sz w:val="24"/>
                <w:szCs w:val="24"/>
              </w:rPr>
            </w:pPr>
          </w:p>
        </w:tc>
      </w:tr>
      <w:tr w14:paraId="0698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A183A5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417B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159F103">
            <w:pPr>
              <w:snapToGrid w:val="0"/>
              <w:rPr>
                <w:rFonts w:ascii="仿宋" w:hAnsi="仿宋" w:eastAsia="仿宋"/>
                <w:sz w:val="24"/>
                <w:szCs w:val="24"/>
              </w:rPr>
            </w:pPr>
            <w:r>
              <w:rPr>
                <w:rFonts w:hint="eastAsia" w:ascii="仿宋" w:hAnsi="仿宋" w:eastAsia="仿宋"/>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477C455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EEBD5D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A29D563">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76DFB119">
      <w:pPr>
        <w:snapToGrid w:val="0"/>
        <w:spacing w:line="400" w:lineRule="exact"/>
        <w:jc w:val="left"/>
        <w:rPr>
          <w:rFonts w:ascii="仿宋" w:hAnsi="仿宋" w:eastAsia="仿宋"/>
          <w:sz w:val="28"/>
          <w:szCs w:val="28"/>
        </w:rPr>
      </w:pPr>
    </w:p>
    <w:p w14:paraId="0D29025D">
      <w:pPr>
        <w:snapToGrid w:val="0"/>
        <w:spacing w:line="360" w:lineRule="auto"/>
        <w:rPr>
          <w:rFonts w:ascii="仿宋" w:hAnsi="仿宋" w:eastAsia="仿宋"/>
          <w:sz w:val="30"/>
          <w:szCs w:val="30"/>
        </w:rPr>
      </w:pPr>
      <w:r>
        <w:rPr>
          <w:rFonts w:hint="eastAsia" w:ascii="仿宋" w:hAnsi="仿宋" w:eastAsia="仿宋"/>
          <w:sz w:val="28"/>
          <w:szCs w:val="28"/>
        </w:rPr>
        <w:t>授权代表签名：                              日期：</w:t>
      </w:r>
      <w:r>
        <w:rPr>
          <w:rFonts w:hint="eastAsia" w:ascii="仿宋" w:hAnsi="仿宋" w:eastAsia="仿宋"/>
          <w:sz w:val="30"/>
          <w:szCs w:val="30"/>
        </w:rPr>
        <w:br w:type="page"/>
      </w:r>
    </w:p>
    <w:p w14:paraId="3924D091">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7A41CDFD">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0D3847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B7C7004">
      <w:pPr>
        <w:snapToGrid w:val="0"/>
        <w:rPr>
          <w:rFonts w:ascii="仿宋" w:hAnsi="仿宋" w:eastAsia="仿宋"/>
          <w:color w:val="000000" w:themeColor="text1"/>
          <w:sz w:val="28"/>
          <w:szCs w:val="28"/>
          <w14:textFill>
            <w14:solidFill>
              <w14:schemeClr w14:val="tx1"/>
            </w14:solidFill>
          </w14:textFill>
        </w:rPr>
      </w:pPr>
    </w:p>
    <w:p w14:paraId="0203C26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E7DF304">
      <w:pPr>
        <w:snapToGrid w:val="0"/>
        <w:rPr>
          <w:rFonts w:ascii="仿宋" w:hAnsi="仿宋" w:eastAsia="仿宋"/>
          <w:b/>
          <w:color w:val="000000" w:themeColor="text1"/>
          <w:sz w:val="24"/>
          <w:szCs w:val="24"/>
          <w:u w:val="single"/>
          <w14:textFill>
            <w14:solidFill>
              <w14:schemeClr w14:val="tx1"/>
            </w14:solidFill>
          </w14:textFill>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02A4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641576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224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453F7B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629D572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0" w:type="auto"/>
            <w:tcBorders>
              <w:top w:val="single" w:color="auto" w:sz="4" w:space="0"/>
              <w:left w:val="single" w:color="auto" w:sz="4" w:space="0"/>
              <w:bottom w:val="nil"/>
              <w:right w:val="single" w:color="auto" w:sz="4" w:space="0"/>
            </w:tcBorders>
            <w:vAlign w:val="center"/>
          </w:tcPr>
          <w:p w14:paraId="707AF9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0" w:type="auto"/>
            <w:tcBorders>
              <w:top w:val="single" w:color="auto" w:sz="4" w:space="0"/>
              <w:left w:val="single" w:color="auto" w:sz="4" w:space="0"/>
              <w:bottom w:val="nil"/>
              <w:right w:val="single" w:color="auto" w:sz="4" w:space="0"/>
            </w:tcBorders>
            <w:vAlign w:val="center"/>
          </w:tcPr>
          <w:p w14:paraId="674ABC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0" w:type="auto"/>
            <w:tcBorders>
              <w:top w:val="single" w:color="auto" w:sz="4" w:space="0"/>
              <w:left w:val="single" w:color="auto" w:sz="4" w:space="0"/>
              <w:bottom w:val="nil"/>
              <w:right w:val="single" w:color="auto" w:sz="4" w:space="0"/>
            </w:tcBorders>
            <w:vAlign w:val="center"/>
          </w:tcPr>
          <w:p w14:paraId="2D4505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0" w:type="auto"/>
            <w:tcBorders>
              <w:top w:val="single" w:color="auto" w:sz="4" w:space="0"/>
              <w:left w:val="single" w:color="auto" w:sz="4" w:space="0"/>
              <w:bottom w:val="nil"/>
              <w:right w:val="single" w:color="auto" w:sz="4" w:space="0"/>
            </w:tcBorders>
            <w:vAlign w:val="center"/>
          </w:tcPr>
          <w:p w14:paraId="40E30E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61918749"/>
          <w:p w14:paraId="128FD3E9"/>
          <w:p w14:paraId="6DABC50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4CF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2287CD1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B3C3795">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1AD6D4A3">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CF4872E">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84E2017">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08C46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5E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3CE658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575375A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6ECB3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C62C9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1A055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AD6D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C70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453A804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754C8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564E9E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5971898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CAE00E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13C3DA5">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2258A649">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3428DB64">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20A698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4EDDCEC">
      <w:pPr>
        <w:pStyle w:val="28"/>
        <w:snapToGrid w:val="0"/>
        <w:spacing w:before="120" w:after="120" w:line="240" w:lineRule="auto"/>
        <w:jc w:val="center"/>
        <w:rPr>
          <w:rFonts w:hAnsi="宋体"/>
          <w:b/>
          <w:sz w:val="36"/>
          <w:szCs w:val="36"/>
        </w:rPr>
      </w:pPr>
    </w:p>
    <w:p w14:paraId="774D647D">
      <w:pPr>
        <w:pStyle w:val="28"/>
        <w:snapToGrid w:val="0"/>
        <w:spacing w:before="120" w:after="120" w:line="240" w:lineRule="auto"/>
        <w:jc w:val="center"/>
        <w:rPr>
          <w:rFonts w:hAnsi="宋体"/>
          <w:b/>
          <w:sz w:val="36"/>
          <w:szCs w:val="36"/>
        </w:rPr>
      </w:pPr>
    </w:p>
    <w:p w14:paraId="097F7D4E">
      <w:pPr>
        <w:pStyle w:val="28"/>
        <w:snapToGrid w:val="0"/>
        <w:spacing w:before="120" w:after="120" w:line="240" w:lineRule="auto"/>
        <w:jc w:val="center"/>
        <w:rPr>
          <w:rFonts w:hAnsi="宋体"/>
          <w:b/>
          <w:sz w:val="36"/>
          <w:szCs w:val="36"/>
        </w:rPr>
      </w:pPr>
    </w:p>
    <w:p w14:paraId="56BE6355">
      <w:pPr>
        <w:pStyle w:val="28"/>
        <w:snapToGrid w:val="0"/>
        <w:spacing w:before="120" w:after="120" w:line="240" w:lineRule="auto"/>
        <w:jc w:val="center"/>
        <w:rPr>
          <w:rFonts w:hAnsi="宋体"/>
          <w:b/>
          <w:sz w:val="36"/>
          <w:szCs w:val="36"/>
        </w:rPr>
      </w:pPr>
    </w:p>
    <w:p w14:paraId="55865B09">
      <w:pPr>
        <w:pStyle w:val="28"/>
        <w:snapToGrid w:val="0"/>
        <w:spacing w:before="120" w:after="120" w:line="240" w:lineRule="auto"/>
        <w:jc w:val="center"/>
        <w:rPr>
          <w:rFonts w:hAnsi="宋体"/>
          <w:b/>
          <w:sz w:val="36"/>
          <w:szCs w:val="36"/>
        </w:rPr>
      </w:pPr>
    </w:p>
    <w:p w14:paraId="7F4CBC2A">
      <w:pPr>
        <w:pStyle w:val="28"/>
        <w:snapToGrid w:val="0"/>
        <w:spacing w:before="120" w:after="120" w:line="240" w:lineRule="auto"/>
        <w:jc w:val="center"/>
        <w:rPr>
          <w:rFonts w:hAnsi="宋体"/>
          <w:b/>
          <w:sz w:val="36"/>
          <w:szCs w:val="36"/>
        </w:rPr>
      </w:pPr>
    </w:p>
    <w:p w14:paraId="61B17D93"/>
    <w:p w14:paraId="3FD9B721"/>
    <w:p w14:paraId="0711D712"/>
    <w:p w14:paraId="4016C049"/>
    <w:p w14:paraId="5FD5C47F">
      <w:bookmarkStart w:id="117" w:name="_GoBack"/>
      <w:bookmarkEnd w:id="117"/>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8739">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452675BA">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7EA5C0A"/>
    <w:multiLevelType w:val="singleLevel"/>
    <w:tmpl w:val="67EA5C0A"/>
    <w:lvl w:ilvl="0" w:tentative="0">
      <w:start w:val="5"/>
      <w:numFmt w:val="decimal"/>
      <w:suff w:val="nothing"/>
      <w:lvlText w:val="（%1）"/>
      <w:lvlJc w:val="left"/>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BF43A11"/>
    <w:rsid w:val="0CEB6D41"/>
    <w:rsid w:val="0EC07BC1"/>
    <w:rsid w:val="0F60532F"/>
    <w:rsid w:val="13403EA3"/>
    <w:rsid w:val="156173A0"/>
    <w:rsid w:val="158562DB"/>
    <w:rsid w:val="179518BE"/>
    <w:rsid w:val="1A093ADD"/>
    <w:rsid w:val="1B905946"/>
    <w:rsid w:val="1D9F56A6"/>
    <w:rsid w:val="1DB06C45"/>
    <w:rsid w:val="208B7A87"/>
    <w:rsid w:val="20967902"/>
    <w:rsid w:val="23046B45"/>
    <w:rsid w:val="23112215"/>
    <w:rsid w:val="25367690"/>
    <w:rsid w:val="26023BEC"/>
    <w:rsid w:val="28E6559F"/>
    <w:rsid w:val="2970130A"/>
    <w:rsid w:val="2A2655B6"/>
    <w:rsid w:val="2A270C6A"/>
    <w:rsid w:val="2A5063FA"/>
    <w:rsid w:val="2BF93B9C"/>
    <w:rsid w:val="2C1E78EF"/>
    <w:rsid w:val="2C463031"/>
    <w:rsid w:val="2D7C0965"/>
    <w:rsid w:val="2E7867C9"/>
    <w:rsid w:val="301607F4"/>
    <w:rsid w:val="31FA1C8E"/>
    <w:rsid w:val="33571BCB"/>
    <w:rsid w:val="33BA63EC"/>
    <w:rsid w:val="340C7D1E"/>
    <w:rsid w:val="350F0F1C"/>
    <w:rsid w:val="35135555"/>
    <w:rsid w:val="35B23FA8"/>
    <w:rsid w:val="35D15757"/>
    <w:rsid w:val="37537E51"/>
    <w:rsid w:val="3B0911E6"/>
    <w:rsid w:val="3C146221"/>
    <w:rsid w:val="3F284C33"/>
    <w:rsid w:val="3F5C36FF"/>
    <w:rsid w:val="407441CC"/>
    <w:rsid w:val="44B71CCD"/>
    <w:rsid w:val="452B6409"/>
    <w:rsid w:val="45BB1F3C"/>
    <w:rsid w:val="466C669C"/>
    <w:rsid w:val="47F20AC4"/>
    <w:rsid w:val="496E0687"/>
    <w:rsid w:val="4B171F8D"/>
    <w:rsid w:val="4C2B7286"/>
    <w:rsid w:val="4E4C0585"/>
    <w:rsid w:val="51591101"/>
    <w:rsid w:val="51E51FEA"/>
    <w:rsid w:val="526F66CB"/>
    <w:rsid w:val="52D856E3"/>
    <w:rsid w:val="52ED6F99"/>
    <w:rsid w:val="547D09A9"/>
    <w:rsid w:val="54FB4AFB"/>
    <w:rsid w:val="56B10E2B"/>
    <w:rsid w:val="56BE21DD"/>
    <w:rsid w:val="58BE7724"/>
    <w:rsid w:val="593F3127"/>
    <w:rsid w:val="5B5B3870"/>
    <w:rsid w:val="5BEE4711"/>
    <w:rsid w:val="5E361A1F"/>
    <w:rsid w:val="5EEB0A6C"/>
    <w:rsid w:val="5F3439DC"/>
    <w:rsid w:val="61724770"/>
    <w:rsid w:val="61DE18A1"/>
    <w:rsid w:val="63CC7C6D"/>
    <w:rsid w:val="63D619DB"/>
    <w:rsid w:val="65942C36"/>
    <w:rsid w:val="674A5D4C"/>
    <w:rsid w:val="67567A94"/>
    <w:rsid w:val="69023BD7"/>
    <w:rsid w:val="699D5590"/>
    <w:rsid w:val="69E47ED2"/>
    <w:rsid w:val="6AD92158"/>
    <w:rsid w:val="6D7C5FAF"/>
    <w:rsid w:val="6DC555AF"/>
    <w:rsid w:val="6E130FEB"/>
    <w:rsid w:val="6FF909E0"/>
    <w:rsid w:val="705A1860"/>
    <w:rsid w:val="71B46619"/>
    <w:rsid w:val="74245119"/>
    <w:rsid w:val="76303EF4"/>
    <w:rsid w:val="76EA61BA"/>
    <w:rsid w:val="76F913BE"/>
    <w:rsid w:val="7B5D15F3"/>
    <w:rsid w:val="7C3073CD"/>
    <w:rsid w:val="7E36681D"/>
    <w:rsid w:val="7E676924"/>
    <w:rsid w:val="7F1A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unhideWhenUsed/>
    <w:qFormat/>
    <w:uiPriority w:val="99"/>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table" w:customStyle="1" w:styleId="638">
    <w:name w:val="网格型8"/>
    <w:basedOn w:val="5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网格型2"/>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100</Pages>
  <Words>20257</Words>
  <Characters>21470</Characters>
  <Lines>429</Lines>
  <Paragraphs>935</Paragraphs>
  <TotalTime>0</TotalTime>
  <ScaleCrop>false</ScaleCrop>
  <LinksUpToDate>false</LinksUpToDate>
  <CharactersWithSpaces>21700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2025-07-10T06:37:21Z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097D72EF37AF4B86AF85FF20F6D178D8</vt:lpwstr>
  </property>
  <property fmtid="{D5CDD505-2E9C-101B-9397-08002B2CF9AE}" pid="4" name="KSOTemplateDocerSaveRecord">
    <vt:lpwstr>eyJoZGlkIjoiYzgyOGZjMWMzOWYxZTYxYTAwMWY1N2QwMjFkNjUyNGUiLCJ1c2VySWQiOiI2MTE2MDM3OTEifQ==</vt:lpwstr>
  </property>
</Properties>
</file>