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tLeast"/>
        <w:ind w:right="-108"/>
        <w:jc w:val="center"/>
        <w:rPr>
          <w:rFonts w:hint="eastAsia" w:ascii="仿宋" w:hAnsi="仿宋" w:eastAsia="仿宋" w:cs="宋体"/>
          <w:sz w:val="36"/>
          <w:szCs w:val="36"/>
          <w:lang w:eastAsia="zh-CN"/>
        </w:rPr>
      </w:pPr>
      <w:bookmarkStart w:id="0" w:name="PO_15526_PM002"/>
      <w:r>
        <w:rPr>
          <w:rFonts w:hint="eastAsia" w:ascii="仿宋" w:hAnsi="仿宋" w:eastAsia="仿宋" w:cs="宋体"/>
          <w:sz w:val="36"/>
          <w:szCs w:val="36"/>
          <w:lang w:eastAsia="zh-CN"/>
        </w:rPr>
        <w:t>浙江省福利彩票管理中心站点VPDN线路项目</w:t>
      </w:r>
      <w:bookmarkEnd w:id="0"/>
    </w:p>
    <w:p>
      <w:pPr>
        <w:shd w:val="clear" w:color="auto" w:fill="FFFFFF"/>
        <w:spacing w:line="240" w:lineRule="atLeast"/>
        <w:ind w:right="-108"/>
        <w:jc w:val="center"/>
        <w:rPr>
          <w:rFonts w:hint="eastAsia" w:ascii="仿宋" w:hAnsi="仿宋" w:eastAsia="仿宋" w:cs="宋体"/>
          <w:sz w:val="36"/>
          <w:szCs w:val="36"/>
        </w:rPr>
      </w:pPr>
    </w:p>
    <w:p>
      <w:pPr>
        <w:shd w:val="clear" w:color="auto" w:fill="FFFFFF"/>
        <w:spacing w:line="240" w:lineRule="atLeast"/>
        <w:ind w:right="-108"/>
        <w:jc w:val="center"/>
        <w:rPr>
          <w:rFonts w:ascii="仿宋" w:hAnsi="仿宋" w:eastAsia="仿宋" w:cs="宋体"/>
          <w:sz w:val="36"/>
          <w:szCs w:val="36"/>
        </w:rPr>
      </w:pPr>
      <w:r>
        <w:rPr>
          <w:rFonts w:hint="eastAsia" w:ascii="仿宋" w:hAnsi="仿宋" w:eastAsia="仿宋" w:cs="宋体"/>
          <w:sz w:val="36"/>
          <w:szCs w:val="36"/>
        </w:rPr>
        <w:t>项目编号：</w:t>
      </w:r>
      <w:bookmarkStart w:id="1" w:name="PO_15526_PM001"/>
      <w:r>
        <w:rPr>
          <w:rFonts w:hint="eastAsia" w:ascii="仿宋" w:hAnsi="仿宋" w:eastAsia="仿宋" w:cs="宋体"/>
          <w:sz w:val="36"/>
          <w:szCs w:val="36"/>
          <w:lang w:eastAsia="zh-CN"/>
        </w:rPr>
        <w:t>ZZCG2020C-DY-119</w:t>
      </w:r>
      <w:bookmarkEnd w:id="1"/>
    </w:p>
    <w:p>
      <w:pPr>
        <w:shd w:val="clear" w:color="auto" w:fill="FFFFFF"/>
        <w:spacing w:line="240" w:lineRule="atLeast"/>
        <w:ind w:right="-108"/>
        <w:jc w:val="center"/>
        <w:rPr>
          <w:rFonts w:ascii="仿宋" w:hAnsi="仿宋" w:eastAsia="仿宋" w:cs="宋体"/>
          <w:bCs/>
          <w:spacing w:val="40"/>
          <w:sz w:val="30"/>
          <w:szCs w:val="30"/>
        </w:rPr>
      </w:pPr>
    </w:p>
    <w:p>
      <w:pPr>
        <w:shd w:val="clear" w:color="auto" w:fill="FFFFFF"/>
        <w:spacing w:line="240" w:lineRule="atLeast"/>
        <w:ind w:right="-108"/>
        <w:jc w:val="center"/>
        <w:rPr>
          <w:rFonts w:ascii="仿宋" w:hAnsi="仿宋" w:eastAsia="仿宋" w:cs="宋体"/>
          <w:bCs/>
          <w:spacing w:val="40"/>
          <w:sz w:val="30"/>
          <w:szCs w:val="30"/>
        </w:rPr>
      </w:pP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单</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一</w:t>
      </w:r>
      <w:bookmarkStart w:id="40" w:name="_GoBack"/>
      <w:bookmarkEnd w:id="40"/>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来</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源</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购</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文</w:t>
      </w:r>
    </w:p>
    <w:p>
      <w:pPr>
        <w:shd w:val="clear" w:color="auto" w:fill="FFFFFF"/>
        <w:spacing w:after="100" w:afterAutospacing="1" w:line="820" w:lineRule="exact"/>
        <w:ind w:right="-108"/>
        <w:jc w:val="center"/>
        <w:rPr>
          <w:rFonts w:ascii="仿宋" w:hAnsi="仿宋" w:eastAsia="仿宋" w:cs="宋体"/>
          <w:bCs/>
          <w:spacing w:val="40"/>
          <w:sz w:val="84"/>
          <w:szCs w:val="84"/>
        </w:rPr>
      </w:pPr>
      <w:r>
        <w:rPr>
          <w:rFonts w:hint="eastAsia" w:ascii="仿宋" w:hAnsi="仿宋" w:eastAsia="仿宋" w:cs="宋体"/>
          <w:bCs/>
          <w:spacing w:val="40"/>
          <w:sz w:val="84"/>
          <w:szCs w:val="84"/>
        </w:rPr>
        <w:t>件</w:t>
      </w:r>
    </w:p>
    <w:p>
      <w:pPr>
        <w:spacing w:line="500" w:lineRule="exact"/>
        <w:ind w:right="532" w:firstLine="1080" w:firstLineChars="300"/>
        <w:rPr>
          <w:rFonts w:ascii="仿宋" w:hAnsi="仿宋" w:eastAsia="仿宋"/>
          <w:sz w:val="36"/>
          <w:szCs w:val="36"/>
        </w:rPr>
      </w:pPr>
      <w:r>
        <w:rPr>
          <w:rFonts w:hint="eastAsia" w:ascii="宋体" w:hAnsi="宋体"/>
          <w:color w:val="000000"/>
          <w:sz w:val="36"/>
          <w:szCs w:val="36"/>
        </w:rPr>
        <w:t>采购单位</w:t>
      </w:r>
      <w:r>
        <w:rPr>
          <w:rFonts w:hint="eastAsia" w:ascii="仿宋" w:hAnsi="仿宋" w:eastAsia="仿宋"/>
          <w:sz w:val="36"/>
          <w:szCs w:val="36"/>
        </w:rPr>
        <w:t xml:space="preserve">： </w:t>
      </w:r>
      <w:r>
        <w:rPr>
          <w:rFonts w:hint="eastAsia" w:ascii="宋体" w:hAnsi="宋体"/>
          <w:color w:val="000000"/>
          <w:sz w:val="36"/>
          <w:szCs w:val="36"/>
        </w:rPr>
        <w:t>浙江省政府采购中心</w:t>
      </w:r>
    </w:p>
    <w:p>
      <w:pPr>
        <w:spacing w:line="500" w:lineRule="exact"/>
        <w:ind w:right="532"/>
        <w:jc w:val="center"/>
        <w:rPr>
          <w:rFonts w:ascii="仿宋" w:hAnsi="仿宋" w:eastAsia="仿宋"/>
          <w:sz w:val="36"/>
          <w:szCs w:val="36"/>
        </w:rPr>
      </w:pPr>
    </w:p>
    <w:p>
      <w:pPr>
        <w:wordWrap w:val="0"/>
        <w:spacing w:line="500" w:lineRule="exact"/>
        <w:ind w:right="-108"/>
        <w:rPr>
          <w:rFonts w:ascii="仿宋" w:hAnsi="仿宋" w:eastAsia="仿宋"/>
          <w:sz w:val="36"/>
          <w:szCs w:val="36"/>
        </w:rPr>
      </w:pPr>
      <w:r>
        <w:rPr>
          <w:rFonts w:hint="eastAsia" w:ascii="仿宋" w:hAnsi="仿宋" w:eastAsia="仿宋"/>
          <w:sz w:val="36"/>
          <w:szCs w:val="36"/>
        </w:rPr>
        <w:t xml:space="preserve">      地  址： </w:t>
      </w:r>
      <w:r>
        <w:rPr>
          <w:rFonts w:hint="eastAsia" w:ascii="宋体" w:hAnsi="宋体"/>
          <w:color w:val="000000"/>
          <w:sz w:val="36"/>
          <w:szCs w:val="36"/>
        </w:rPr>
        <w:t>杭州市环城北路305号耀江发展中心</w:t>
      </w:r>
    </w:p>
    <w:p>
      <w:pPr>
        <w:spacing w:line="360" w:lineRule="auto"/>
        <w:ind w:right="-108"/>
        <w:rPr>
          <w:rFonts w:ascii="仿宋" w:hAnsi="仿宋" w:eastAsia="仿宋"/>
          <w:sz w:val="36"/>
          <w:szCs w:val="36"/>
        </w:rPr>
      </w:pPr>
    </w:p>
    <w:p>
      <w:pPr>
        <w:spacing w:line="360" w:lineRule="auto"/>
        <w:ind w:right="-108"/>
        <w:rPr>
          <w:rFonts w:ascii="仿宋" w:hAnsi="仿宋" w:eastAsia="仿宋"/>
          <w:b/>
          <w:sz w:val="44"/>
          <w:szCs w:val="44"/>
        </w:rPr>
      </w:pPr>
    </w:p>
    <w:p>
      <w:pPr>
        <w:pStyle w:val="26"/>
        <w:spacing w:before="120" w:line="360" w:lineRule="auto"/>
        <w:jc w:val="center"/>
        <w:rPr>
          <w:rFonts w:ascii="仿宋" w:hAnsi="仿宋" w:eastAsia="仿宋"/>
          <w:b/>
          <w:sz w:val="52"/>
          <w:szCs w:val="52"/>
        </w:rPr>
      </w:pPr>
      <w:r>
        <w:rPr>
          <w:rFonts w:hint="eastAsia" w:ascii="仿宋" w:hAnsi="仿宋" w:eastAsia="仿宋"/>
          <w:b/>
          <w:sz w:val="52"/>
          <w:szCs w:val="52"/>
        </w:rPr>
        <w:t>目 录</w:t>
      </w:r>
    </w:p>
    <w:p>
      <w:pPr>
        <w:pStyle w:val="26"/>
        <w:spacing w:before="120" w:line="360" w:lineRule="auto"/>
        <w:jc w:val="center"/>
        <w:rPr>
          <w:rFonts w:ascii="仿宋" w:hAnsi="仿宋" w:eastAsia="仿宋"/>
          <w:b/>
          <w:sz w:val="52"/>
          <w:szCs w:val="52"/>
        </w:rPr>
      </w:pPr>
    </w:p>
    <w:p>
      <w:pPr>
        <w:pStyle w:val="33"/>
        <w:tabs>
          <w:tab w:val="right" w:leader="dot" w:pos="8296"/>
        </w:tabs>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TOC \o "1-1" \h \z \u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HYPERLINK "file:///C:\\Users\\admin\\Downloads\\PageOfficeControl%20中的文档" \l "_Toc510136958"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第一章  单一来源采购邀请</w:t>
      </w:r>
      <w:r>
        <w:rPr>
          <w:rFonts w:hint="eastAsia" w:ascii="仿宋" w:hAnsi="仿宋" w:eastAsia="仿宋" w:cs="Times New Roman"/>
          <w:kern w:val="2"/>
          <w:sz w:val="36"/>
          <w:szCs w:val="36"/>
          <w:lang w:val="en-US" w:eastAsia="zh-CN" w:bidi="ar-SA"/>
        </w:rPr>
        <w:tab/>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PAGEREF _Toc510136958 \h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3</w:t>
      </w:r>
      <w:r>
        <w:rPr>
          <w:rFonts w:hint="eastAsia" w:ascii="仿宋" w:hAnsi="仿宋" w:eastAsia="仿宋" w:cs="Times New Roman"/>
          <w:kern w:val="2"/>
          <w:sz w:val="36"/>
          <w:szCs w:val="36"/>
          <w:lang w:val="en-US" w:eastAsia="zh-CN" w:bidi="ar-SA"/>
        </w:rPr>
        <w:fldChar w:fldCharType="end"/>
      </w:r>
      <w:r>
        <w:rPr>
          <w:rFonts w:hint="eastAsia" w:ascii="仿宋" w:hAnsi="仿宋" w:eastAsia="仿宋" w:cs="Times New Roman"/>
          <w:kern w:val="2"/>
          <w:sz w:val="36"/>
          <w:szCs w:val="36"/>
          <w:lang w:val="en-US" w:eastAsia="zh-CN" w:bidi="ar-SA"/>
        </w:rPr>
        <w:fldChar w:fldCharType="end"/>
      </w:r>
    </w:p>
    <w:p>
      <w:pPr>
        <w:pStyle w:val="33"/>
        <w:tabs>
          <w:tab w:val="right" w:leader="dot" w:pos="8296"/>
        </w:tabs>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HYPERLINK "file:///C:\\Users\\admin\\Downloads\\PageOfficeControl%20中的文档" \l "_Toc510136959"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第二章  供应商须知</w:t>
      </w:r>
      <w:r>
        <w:rPr>
          <w:rFonts w:hint="eastAsia" w:ascii="仿宋" w:hAnsi="仿宋" w:eastAsia="仿宋" w:cs="Times New Roman"/>
          <w:kern w:val="2"/>
          <w:sz w:val="36"/>
          <w:szCs w:val="36"/>
          <w:lang w:val="en-US" w:eastAsia="zh-CN" w:bidi="ar-SA"/>
        </w:rPr>
        <w:tab/>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PAGEREF _Toc510136959 \h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5</w:t>
      </w:r>
      <w:r>
        <w:rPr>
          <w:rFonts w:hint="eastAsia" w:ascii="仿宋" w:hAnsi="仿宋" w:eastAsia="仿宋" w:cs="Times New Roman"/>
          <w:kern w:val="2"/>
          <w:sz w:val="36"/>
          <w:szCs w:val="36"/>
          <w:lang w:val="en-US" w:eastAsia="zh-CN" w:bidi="ar-SA"/>
        </w:rPr>
        <w:fldChar w:fldCharType="end"/>
      </w:r>
      <w:r>
        <w:rPr>
          <w:rFonts w:hint="eastAsia" w:ascii="仿宋" w:hAnsi="仿宋" w:eastAsia="仿宋" w:cs="Times New Roman"/>
          <w:kern w:val="2"/>
          <w:sz w:val="36"/>
          <w:szCs w:val="36"/>
          <w:lang w:val="en-US" w:eastAsia="zh-CN" w:bidi="ar-SA"/>
        </w:rPr>
        <w:fldChar w:fldCharType="end"/>
      </w:r>
    </w:p>
    <w:p>
      <w:pPr>
        <w:pStyle w:val="33"/>
        <w:tabs>
          <w:tab w:val="right" w:leader="dot" w:pos="8296"/>
        </w:tabs>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HYPERLINK "file:///C:\\Users\\admin\\Downloads\\PageOfficeControl%20中的文档" \l "_Toc510136960"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第三章  采购内容</w:t>
      </w:r>
      <w:r>
        <w:rPr>
          <w:rFonts w:hint="eastAsia" w:ascii="仿宋" w:hAnsi="仿宋" w:eastAsia="仿宋" w:cs="Times New Roman"/>
          <w:kern w:val="2"/>
          <w:sz w:val="36"/>
          <w:szCs w:val="36"/>
          <w:lang w:val="en-US" w:eastAsia="zh-CN" w:bidi="ar-SA"/>
        </w:rPr>
        <w:tab/>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PAGEREF _Toc510136960 \h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16</w:t>
      </w:r>
      <w:r>
        <w:rPr>
          <w:rFonts w:hint="eastAsia" w:ascii="仿宋" w:hAnsi="仿宋" w:eastAsia="仿宋" w:cs="Times New Roman"/>
          <w:kern w:val="2"/>
          <w:sz w:val="36"/>
          <w:szCs w:val="36"/>
          <w:lang w:val="en-US" w:eastAsia="zh-CN" w:bidi="ar-SA"/>
        </w:rPr>
        <w:fldChar w:fldCharType="end"/>
      </w:r>
      <w:r>
        <w:rPr>
          <w:rFonts w:hint="eastAsia" w:ascii="仿宋" w:hAnsi="仿宋" w:eastAsia="仿宋" w:cs="Times New Roman"/>
          <w:kern w:val="2"/>
          <w:sz w:val="36"/>
          <w:szCs w:val="36"/>
          <w:lang w:val="en-US" w:eastAsia="zh-CN" w:bidi="ar-SA"/>
        </w:rPr>
        <w:fldChar w:fldCharType="end"/>
      </w:r>
    </w:p>
    <w:p>
      <w:pPr>
        <w:pStyle w:val="33"/>
        <w:tabs>
          <w:tab w:val="right" w:leader="dot" w:pos="8296"/>
        </w:tabs>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HYPERLINK "file:///C:\\Users\\admin\\Downloads\\PageOfficeControl%20中的文档" \l "_Toc510136961"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第四章  浙江省政府采购合同主要条款指引</w:t>
      </w:r>
      <w:r>
        <w:rPr>
          <w:rFonts w:hint="eastAsia" w:ascii="仿宋" w:hAnsi="仿宋" w:eastAsia="仿宋" w:cs="Times New Roman"/>
          <w:kern w:val="2"/>
          <w:sz w:val="36"/>
          <w:szCs w:val="36"/>
          <w:lang w:val="en-US" w:eastAsia="zh-CN" w:bidi="ar-SA"/>
        </w:rPr>
        <w:tab/>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PAGEREF _Toc510136961 \h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17</w:t>
      </w:r>
      <w:r>
        <w:rPr>
          <w:rFonts w:hint="eastAsia" w:ascii="仿宋" w:hAnsi="仿宋" w:eastAsia="仿宋" w:cs="Times New Roman"/>
          <w:kern w:val="2"/>
          <w:sz w:val="36"/>
          <w:szCs w:val="36"/>
          <w:lang w:val="en-US" w:eastAsia="zh-CN" w:bidi="ar-SA"/>
        </w:rPr>
        <w:fldChar w:fldCharType="end"/>
      </w:r>
      <w:r>
        <w:rPr>
          <w:rFonts w:hint="eastAsia" w:ascii="仿宋" w:hAnsi="仿宋" w:eastAsia="仿宋" w:cs="Times New Roman"/>
          <w:kern w:val="2"/>
          <w:sz w:val="36"/>
          <w:szCs w:val="36"/>
          <w:lang w:val="en-US" w:eastAsia="zh-CN" w:bidi="ar-SA"/>
        </w:rPr>
        <w:fldChar w:fldCharType="end"/>
      </w:r>
    </w:p>
    <w:p>
      <w:pPr>
        <w:pStyle w:val="33"/>
        <w:tabs>
          <w:tab w:val="right" w:leader="dot" w:pos="8296"/>
        </w:tabs>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HYPERLINK "file:///C:\\Users\\admin\\Downloads\\PageOfficeControl%20中的文档" \l "_Toc510136962"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第五章  单一来源采购响应文件格式附件</w:t>
      </w:r>
      <w:r>
        <w:rPr>
          <w:rFonts w:hint="eastAsia" w:ascii="仿宋" w:hAnsi="仿宋" w:eastAsia="仿宋" w:cs="Times New Roman"/>
          <w:kern w:val="2"/>
          <w:sz w:val="36"/>
          <w:szCs w:val="36"/>
          <w:lang w:val="en-US" w:eastAsia="zh-CN" w:bidi="ar-SA"/>
        </w:rPr>
        <w:tab/>
      </w:r>
      <w:r>
        <w:rPr>
          <w:rFonts w:hint="eastAsia" w:ascii="仿宋" w:hAnsi="仿宋" w:eastAsia="仿宋" w:cs="Times New Roman"/>
          <w:kern w:val="2"/>
          <w:sz w:val="36"/>
          <w:szCs w:val="36"/>
          <w:lang w:val="en-US" w:eastAsia="zh-CN" w:bidi="ar-SA"/>
        </w:rPr>
        <w:fldChar w:fldCharType="begin"/>
      </w:r>
      <w:r>
        <w:rPr>
          <w:rFonts w:hint="eastAsia" w:ascii="仿宋" w:hAnsi="仿宋" w:eastAsia="仿宋" w:cs="Times New Roman"/>
          <w:kern w:val="2"/>
          <w:sz w:val="36"/>
          <w:szCs w:val="36"/>
          <w:lang w:val="en-US" w:eastAsia="zh-CN" w:bidi="ar-SA"/>
        </w:rPr>
        <w:instrText xml:space="preserve"> PAGEREF _Toc510136962 \h </w:instrText>
      </w:r>
      <w:r>
        <w:rPr>
          <w:rFonts w:hint="eastAsia" w:ascii="仿宋" w:hAnsi="仿宋" w:eastAsia="仿宋" w:cs="Times New Roman"/>
          <w:kern w:val="2"/>
          <w:sz w:val="36"/>
          <w:szCs w:val="36"/>
          <w:lang w:val="en-US" w:eastAsia="zh-CN" w:bidi="ar-SA"/>
        </w:rPr>
        <w:fldChar w:fldCharType="separate"/>
      </w:r>
      <w:r>
        <w:rPr>
          <w:rFonts w:hint="eastAsia" w:ascii="仿宋" w:hAnsi="仿宋" w:eastAsia="仿宋" w:cs="Times New Roman"/>
          <w:kern w:val="2"/>
          <w:sz w:val="36"/>
          <w:szCs w:val="36"/>
          <w:lang w:val="en-US" w:eastAsia="zh-CN" w:bidi="ar-SA"/>
        </w:rPr>
        <w:t>23</w:t>
      </w:r>
      <w:r>
        <w:rPr>
          <w:rFonts w:hint="eastAsia" w:ascii="仿宋" w:hAnsi="仿宋" w:eastAsia="仿宋" w:cs="Times New Roman"/>
          <w:kern w:val="2"/>
          <w:sz w:val="36"/>
          <w:szCs w:val="36"/>
          <w:lang w:val="en-US" w:eastAsia="zh-CN" w:bidi="ar-SA"/>
        </w:rPr>
        <w:fldChar w:fldCharType="end"/>
      </w:r>
      <w:r>
        <w:rPr>
          <w:rFonts w:hint="eastAsia" w:ascii="仿宋" w:hAnsi="仿宋" w:eastAsia="仿宋" w:cs="Times New Roman"/>
          <w:kern w:val="2"/>
          <w:sz w:val="36"/>
          <w:szCs w:val="36"/>
          <w:lang w:val="en-US" w:eastAsia="zh-CN" w:bidi="ar-SA"/>
        </w:rPr>
        <w:fldChar w:fldCharType="end"/>
      </w:r>
    </w:p>
    <w:p>
      <w:pPr>
        <w:pStyle w:val="26"/>
        <w:spacing w:before="120" w:line="480" w:lineRule="auto"/>
        <w:jc w:val="left"/>
        <w:rPr>
          <w:rFonts w:hint="eastAsia" w:ascii="仿宋" w:hAnsi="仿宋" w:eastAsia="仿宋" w:cs="Times New Roman"/>
          <w:kern w:val="2"/>
          <w:sz w:val="36"/>
          <w:szCs w:val="36"/>
          <w:lang w:val="en-US" w:eastAsia="zh-CN" w:bidi="ar-SA"/>
        </w:rPr>
      </w:pPr>
      <w:r>
        <w:rPr>
          <w:rFonts w:hint="eastAsia" w:ascii="仿宋" w:hAnsi="仿宋" w:eastAsia="仿宋" w:cs="Times New Roman"/>
          <w:kern w:val="2"/>
          <w:sz w:val="36"/>
          <w:szCs w:val="36"/>
          <w:lang w:val="en-US" w:eastAsia="zh-CN" w:bidi="ar-SA"/>
        </w:rPr>
        <w:fldChar w:fldCharType="end"/>
      </w:r>
    </w:p>
    <w:p>
      <w:pPr>
        <w:pStyle w:val="44"/>
      </w:pPr>
      <w:r>
        <w:rPr>
          <w:b w:val="0"/>
          <w:bCs w:val="0"/>
          <w:sz w:val="30"/>
          <w:szCs w:val="30"/>
        </w:rPr>
        <w:br w:type="page"/>
      </w:r>
      <w:bookmarkStart w:id="2" w:name="_Toc510136958"/>
      <w:bookmarkStart w:id="3" w:name="_Toc451268214"/>
      <w:r>
        <w:rPr>
          <w:rFonts w:hint="eastAsia"/>
        </w:rPr>
        <w:t>第一章</w:t>
      </w:r>
      <w:r>
        <w:t xml:space="preserve">  </w:t>
      </w:r>
      <w:r>
        <w:rPr>
          <w:rFonts w:hint="eastAsia"/>
        </w:rPr>
        <w:t>单一来源采购邀请</w:t>
      </w:r>
      <w:bookmarkEnd w:id="2"/>
      <w:bookmarkEnd w:id="3"/>
    </w:p>
    <w:p>
      <w:pPr>
        <w:widowControl/>
        <w:adjustRightInd w:val="0"/>
        <w:snapToGrid w:val="0"/>
        <w:ind w:firstLine="600" w:firstLineChars="200"/>
        <w:jc w:val="left"/>
        <w:rPr>
          <w:rFonts w:ascii="仿宋" w:hAnsi="仿宋" w:eastAsia="仿宋" w:cs="宋体"/>
          <w:color w:val="FF0000"/>
          <w:kern w:val="0"/>
          <w:sz w:val="30"/>
          <w:szCs w:val="30"/>
        </w:rPr>
      </w:pPr>
      <w:r>
        <w:rPr>
          <w:rFonts w:hint="eastAsia" w:ascii="仿宋" w:hAnsi="仿宋" w:eastAsia="仿宋"/>
          <w:sz w:val="30"/>
          <w:szCs w:val="30"/>
        </w:rPr>
        <w:t>根据《中华人民共和国政府采购法》《政府采购非招标采购方式管理规定》《中华人民共和国政府采购法实施条例》规定，经采购人推荐，浙江省财政厅批准，现就下列项目向</w:t>
      </w:r>
      <w:bookmarkStart w:id="4" w:name="PO_15526_PM001383"/>
      <w:r>
        <w:rPr>
          <w:rFonts w:hint="eastAsia" w:ascii="仿宋" w:hAnsi="仿宋" w:eastAsia="仿宋"/>
          <w:sz w:val="30"/>
          <w:szCs w:val="30"/>
          <w:lang w:eastAsia="zh-CN"/>
        </w:rPr>
        <w:t>标项1：中国电信股份有限公司浙江分公司</w:t>
      </w:r>
      <w:bookmarkEnd w:id="4"/>
      <w:r>
        <w:rPr>
          <w:rFonts w:hint="eastAsia" w:ascii="仿宋" w:hAnsi="仿宋" w:eastAsia="仿宋"/>
          <w:sz w:val="30"/>
          <w:szCs w:val="30"/>
          <w:lang w:eastAsia="zh-CN"/>
        </w:rPr>
        <w:t>进</w:t>
      </w:r>
      <w:r>
        <w:rPr>
          <w:rFonts w:hint="eastAsia" w:ascii="仿宋" w:hAnsi="仿宋" w:eastAsia="仿宋"/>
          <w:sz w:val="30"/>
          <w:szCs w:val="30"/>
        </w:rPr>
        <w:t>行单一来源采购：</w:t>
      </w:r>
    </w:p>
    <w:p>
      <w:pPr>
        <w:snapToGrid w:val="0"/>
        <w:spacing w:line="460" w:lineRule="exact"/>
        <w:ind w:firstLine="600" w:firstLineChars="200"/>
        <w:rPr>
          <w:rFonts w:ascii="仿宋" w:hAnsi="仿宋" w:eastAsia="仿宋"/>
          <w:kern w:val="0"/>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5" w:name="PO_15526_PM001_1"/>
      <w:r>
        <w:rPr>
          <w:rFonts w:hint="eastAsia" w:ascii="仿宋" w:hAnsi="仿宋" w:eastAsia="仿宋" w:cs="Arial"/>
          <w:b/>
          <w:bCs/>
          <w:sz w:val="30"/>
          <w:szCs w:val="30"/>
          <w:lang w:eastAsia="zh-CN"/>
        </w:rPr>
        <w:t>ZZCG2020C-DY-119</w:t>
      </w:r>
      <w:bookmarkEnd w:id="5"/>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bCs/>
          <w:sz w:val="30"/>
          <w:szCs w:val="30"/>
        </w:rPr>
        <w:t>采购内容及数量</w:t>
      </w:r>
    </w:p>
    <w:p>
      <w:pPr>
        <w:snapToGrid w:val="0"/>
        <w:spacing w:line="460" w:lineRule="exact"/>
        <w:ind w:firstLine="602" w:firstLineChars="200"/>
        <w:rPr>
          <w:rFonts w:hint="eastAsia" w:ascii="仿宋" w:hAnsi="仿宋" w:eastAsia="仿宋" w:cs="Arial"/>
          <w:b/>
          <w:bCs/>
          <w:sz w:val="30"/>
          <w:szCs w:val="30"/>
          <w:vertAlign w:val="baseline"/>
          <w:lang w:eastAsia="zh-CN"/>
        </w:rPr>
      </w:pPr>
      <w:bookmarkStart w:id="6" w:name="PO_15526_PM004_1"/>
      <w:r>
        <w:rPr>
          <w:rFonts w:hint="eastAsia" w:ascii="仿宋" w:hAnsi="仿宋" w:eastAsia="仿宋" w:cs="Arial"/>
          <w:b/>
          <w:bCs/>
          <w:sz w:val="30"/>
          <w:szCs w:val="30"/>
          <w:lang w:eastAsia="zh-CN"/>
        </w:rPr>
        <w:t xml:space="preserve"> </w:t>
      </w:r>
    </w:p>
    <w:tbl>
      <w:tblPr>
        <w:tblStyle w:val="5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419"/>
        <w:gridCol w:w="930"/>
        <w:gridCol w:w="8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w:t>
            </w:r>
          </w:p>
        </w:tc>
        <w:tc>
          <w:tcPr>
            <w:tcW w:w="4419"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标项名称</w:t>
            </w:r>
          </w:p>
        </w:tc>
        <w:tc>
          <w:tcPr>
            <w:tcW w:w="93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数量</w:t>
            </w:r>
          </w:p>
        </w:tc>
        <w:tc>
          <w:tcPr>
            <w:tcW w:w="87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单位</w:t>
            </w:r>
          </w:p>
        </w:tc>
        <w:tc>
          <w:tcPr>
            <w:tcW w:w="150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4419"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站点VPDN线路</w:t>
            </w:r>
          </w:p>
        </w:tc>
        <w:tc>
          <w:tcPr>
            <w:tcW w:w="93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1</w:t>
            </w:r>
          </w:p>
        </w:tc>
        <w:tc>
          <w:tcPr>
            <w:tcW w:w="87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年</w:t>
            </w:r>
          </w:p>
        </w:tc>
        <w:tc>
          <w:tcPr>
            <w:tcW w:w="1500" w:type="dxa"/>
          </w:tcPr>
          <w:p>
            <w:pPr>
              <w:snapToGrid w:val="0"/>
              <w:spacing w:line="460" w:lineRule="exact"/>
              <w:jc w:val="center"/>
              <w:rPr>
                <w:rFonts w:hint="eastAsia" w:ascii="仿宋" w:hAnsi="仿宋" w:eastAsia="仿宋" w:cs="Arial"/>
                <w:b/>
                <w:bCs/>
                <w:sz w:val="30"/>
                <w:szCs w:val="30"/>
                <w:vertAlign w:val="baseline"/>
                <w:lang w:eastAsia="zh-CN"/>
              </w:rPr>
            </w:pPr>
            <w:r>
              <w:rPr>
                <w:rFonts w:hint="eastAsia" w:ascii="仿宋" w:hAnsi="仿宋" w:eastAsia="仿宋" w:cs="Arial"/>
                <w:b/>
                <w:bCs/>
                <w:sz w:val="30"/>
                <w:szCs w:val="30"/>
                <w:vertAlign w:val="baseline"/>
                <w:lang w:eastAsia="zh-CN"/>
              </w:rPr>
              <w:t>823.6</w:t>
            </w:r>
          </w:p>
        </w:tc>
      </w:tr>
    </w:tbl>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lang w:eastAsia="zh-CN"/>
        </w:rPr>
        <w:t xml:space="preserve"> </w:t>
      </w:r>
      <w:bookmarkEnd w:id="6"/>
      <w:r>
        <w:rPr>
          <w:rFonts w:hint="eastAsia" w:ascii="仿宋" w:hAnsi="仿宋" w:eastAsia="仿宋" w:cs="Arial"/>
          <w:b/>
          <w:bCs/>
          <w:sz w:val="30"/>
          <w:szCs w:val="30"/>
        </w:rPr>
        <w:t xml:space="preserve">    </w:t>
      </w: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三</w:t>
      </w:r>
      <w:r>
        <w:rPr>
          <w:rFonts w:hint="eastAsia" w:ascii="仿宋" w:hAnsi="仿宋" w:eastAsia="仿宋" w:cs="Arial"/>
          <w:sz w:val="30"/>
          <w:szCs w:val="30"/>
        </w:rPr>
        <w:t>、</w:t>
      </w:r>
      <w:r>
        <w:rPr>
          <w:rFonts w:hint="eastAsia" w:ascii="仿宋" w:hAnsi="仿宋" w:eastAsia="仿宋" w:cs="Arial"/>
          <w:b/>
          <w:bCs/>
          <w:sz w:val="30"/>
          <w:szCs w:val="30"/>
        </w:rPr>
        <w:t>合格供应商的资格要求</w:t>
      </w:r>
    </w:p>
    <w:p>
      <w:pPr>
        <w:snapToGrid w:val="0"/>
        <w:spacing w:line="460" w:lineRule="exact"/>
        <w:ind w:firstLine="600" w:firstLineChars="200"/>
        <w:rPr>
          <w:rFonts w:ascii="仿宋" w:hAnsi="仿宋" w:eastAsia="仿宋" w:cs="Arial"/>
          <w:bCs/>
          <w:sz w:val="30"/>
          <w:szCs w:val="30"/>
        </w:rPr>
      </w:pPr>
      <w:r>
        <w:rPr>
          <w:rFonts w:hint="eastAsia" w:ascii="仿宋" w:hAnsi="仿宋" w:eastAsia="仿宋" w:cs="Arial"/>
          <w:bCs/>
          <w:sz w:val="30"/>
          <w:szCs w:val="30"/>
        </w:rPr>
        <w:t>符合《中华人民共和国政府采购法》第二十二条供应商应当具备的条件和浙财采监【2013】24号《关于规范政府采购供应商资格设定及资格审查的通知》第六条规定。</w:t>
      </w:r>
    </w:p>
    <w:p>
      <w:pPr>
        <w:snapToGrid w:val="0"/>
        <w:spacing w:line="460" w:lineRule="exact"/>
        <w:ind w:firstLine="602" w:firstLineChars="200"/>
        <w:rPr>
          <w:rFonts w:ascii="仿宋" w:hAnsi="仿宋" w:eastAsia="仿宋"/>
          <w:b/>
          <w:bCs/>
          <w:sz w:val="30"/>
          <w:szCs w:val="30"/>
        </w:rPr>
      </w:pPr>
      <w:r>
        <w:rPr>
          <w:rFonts w:hint="eastAsia" w:ascii="仿宋" w:hAnsi="仿宋" w:eastAsia="仿宋"/>
          <w:b/>
          <w:bCs/>
          <w:sz w:val="30"/>
          <w:szCs w:val="30"/>
        </w:rPr>
        <w:t>供应商的特定条件：</w:t>
      </w:r>
      <w:bookmarkStart w:id="7" w:name="PO_419_PM006"/>
      <w:r>
        <w:rPr>
          <w:rFonts w:hint="eastAsia" w:ascii="仿宋" w:hAnsi="仿宋" w:eastAsia="仿宋"/>
          <w:b/>
          <w:bCs/>
          <w:sz w:val="30"/>
          <w:szCs w:val="30"/>
          <w:lang w:eastAsia="zh-CN"/>
        </w:rPr>
        <w:t xml:space="preserve">无 </w:t>
      </w:r>
      <w:bookmarkEnd w:id="7"/>
    </w:p>
    <w:p>
      <w:pPr>
        <w:snapToGrid w:val="0"/>
        <w:spacing w:line="460" w:lineRule="exact"/>
        <w:ind w:firstLine="602" w:firstLineChars="200"/>
        <w:rPr>
          <w:rFonts w:ascii="仿宋" w:hAnsi="仿宋" w:eastAsia="仿宋" w:cs="Arial"/>
          <w:sz w:val="30"/>
          <w:szCs w:val="30"/>
        </w:rPr>
      </w:pPr>
      <w:r>
        <w:rPr>
          <w:rFonts w:hint="eastAsia" w:ascii="仿宋" w:hAnsi="仿宋" w:eastAsia="仿宋" w:cs="Arial"/>
          <w:b/>
          <w:bCs/>
          <w:sz w:val="30"/>
          <w:szCs w:val="30"/>
        </w:rPr>
        <w:t>四、单一来源采购的时间和地点</w:t>
      </w:r>
      <w:r>
        <w:rPr>
          <w:rFonts w:hint="eastAsia" w:ascii="仿宋" w:hAnsi="仿宋" w:eastAsia="仿宋" w:cs="Arial"/>
          <w:sz w:val="30"/>
          <w:szCs w:val="30"/>
        </w:rPr>
        <w:t>：</w:t>
      </w:r>
    </w:p>
    <w:p>
      <w:pPr>
        <w:snapToGrid w:val="0"/>
        <w:spacing w:line="46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投标人应于2020年11月17日14:30:00时前送交到杭州市环城北路305号耀江发展中心 2楼评标室,逾期送达或未密封将予以拒收。（授权代表应当是投标人的在职正式职工）。</w:t>
      </w:r>
    </w:p>
    <w:p>
      <w:pPr>
        <w:snapToGrid w:val="0"/>
        <w:spacing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五、开标时间及地点：</w:t>
      </w:r>
    </w:p>
    <w:p>
      <w:pPr>
        <w:snapToGrid w:val="0"/>
        <w:spacing w:line="460" w:lineRule="exact"/>
        <w:ind w:firstLine="600" w:firstLineChars="200"/>
        <w:rPr>
          <w:rFonts w:hint="eastAsia" w:ascii="仿宋" w:hAnsi="仿宋" w:eastAsia="仿宋" w:cs="Arial"/>
          <w:sz w:val="30"/>
          <w:szCs w:val="30"/>
        </w:rPr>
      </w:pPr>
      <w:r>
        <w:rPr>
          <w:rFonts w:hint="eastAsia" w:ascii="仿宋" w:hAnsi="仿宋" w:eastAsia="仿宋" w:cs="Arial"/>
          <w:sz w:val="30"/>
          <w:szCs w:val="30"/>
        </w:rPr>
        <w:t>本次招标将于2020年11月17日14:30:00时前送交到杭州市环城北路305号耀江发展中心 2楼评标室。</w:t>
      </w:r>
    </w:p>
    <w:p>
      <w:pPr>
        <w:snapToGrid w:val="0"/>
        <w:spacing w:line="460" w:lineRule="exact"/>
        <w:ind w:firstLine="602" w:firstLineChars="200"/>
        <w:rPr>
          <w:rFonts w:ascii="仿宋" w:hAnsi="仿宋" w:eastAsia="仿宋" w:cs="Arial"/>
          <w:b/>
          <w:bCs/>
          <w:color w:val="000000"/>
          <w:sz w:val="30"/>
          <w:szCs w:val="30"/>
        </w:rPr>
      </w:pPr>
      <w:r>
        <w:rPr>
          <w:rFonts w:hint="eastAsia" w:ascii="仿宋" w:hAnsi="仿宋" w:eastAsia="仿宋" w:cs="Arial"/>
          <w:b/>
          <w:sz w:val="30"/>
          <w:szCs w:val="30"/>
          <w:lang w:eastAsia="zh-CN"/>
        </w:rPr>
        <w:t>六</w:t>
      </w:r>
      <w:r>
        <w:rPr>
          <w:rFonts w:hint="eastAsia" w:ascii="仿宋" w:hAnsi="仿宋" w:eastAsia="仿宋" w:cs="Arial"/>
          <w:b/>
          <w:sz w:val="30"/>
          <w:szCs w:val="30"/>
        </w:rPr>
        <w:t>、</w:t>
      </w:r>
      <w:r>
        <w:rPr>
          <w:rFonts w:hint="eastAsia" w:ascii="仿宋" w:hAnsi="仿宋" w:eastAsia="仿宋" w:cs="Arial"/>
          <w:b/>
          <w:bCs/>
          <w:color w:val="000000"/>
          <w:sz w:val="30"/>
          <w:szCs w:val="30"/>
        </w:rPr>
        <w:t>采购文件获取：</w:t>
      </w:r>
    </w:p>
    <w:p>
      <w:pPr>
        <w:snapToGrid w:val="0"/>
        <w:spacing w:line="460" w:lineRule="exact"/>
        <w:ind w:firstLine="594" w:firstLineChars="198"/>
        <w:rPr>
          <w:rFonts w:ascii="仿宋" w:hAnsi="仿宋" w:eastAsia="仿宋"/>
          <w:color w:val="000000"/>
          <w:kern w:val="0"/>
          <w:sz w:val="30"/>
          <w:szCs w:val="30"/>
        </w:rPr>
      </w:pPr>
      <w:r>
        <w:rPr>
          <w:rFonts w:hint="eastAsia" w:ascii="仿宋" w:hAnsi="仿宋" w:eastAsia="仿宋"/>
          <w:color w:val="000000"/>
          <w:kern w:val="0"/>
          <w:sz w:val="30"/>
          <w:szCs w:val="30"/>
        </w:rPr>
        <w:t>获取方式：本项目采购文件实行网上获取。供应商登录浙江政府采购网（http://www.zjzfcg.gov.cn）进入政采云系统“项目采购”模块“获取采购文件”菜单，进行网上获取采购文件。</w:t>
      </w:r>
    </w:p>
    <w:p>
      <w:pPr>
        <w:snapToGrid w:val="0"/>
        <w:spacing w:line="460" w:lineRule="exact"/>
        <w:ind w:firstLine="596" w:firstLineChars="198"/>
        <w:rPr>
          <w:rFonts w:ascii="仿宋" w:hAnsi="仿宋" w:eastAsia="仿宋" w:cs="Arial"/>
          <w:b/>
          <w:bCs/>
          <w:sz w:val="30"/>
          <w:szCs w:val="30"/>
        </w:rPr>
      </w:pPr>
      <w:r>
        <w:rPr>
          <w:rFonts w:hint="eastAsia" w:ascii="仿宋" w:hAnsi="仿宋" w:eastAsia="仿宋" w:cs="Arial"/>
          <w:b/>
          <w:bCs/>
          <w:sz w:val="30"/>
          <w:szCs w:val="30"/>
          <w:lang w:eastAsia="zh-CN"/>
        </w:rPr>
        <w:t>七</w:t>
      </w:r>
      <w:r>
        <w:rPr>
          <w:rFonts w:hint="eastAsia" w:ascii="仿宋" w:hAnsi="仿宋" w:eastAsia="仿宋" w:cs="Arial"/>
          <w:b/>
          <w:bCs/>
          <w:sz w:val="30"/>
          <w:szCs w:val="30"/>
        </w:rPr>
        <w:t>、单一来源采购保证金</w:t>
      </w:r>
      <w:r>
        <w:rPr>
          <w:rFonts w:hint="eastAsia" w:ascii="仿宋" w:hAnsi="仿宋" w:eastAsia="仿宋" w:cs="Arial"/>
          <w:sz w:val="30"/>
          <w:szCs w:val="30"/>
        </w:rPr>
        <w:t>：</w:t>
      </w:r>
    </w:p>
    <w:p>
      <w:pPr>
        <w:snapToGrid w:val="0"/>
        <w:spacing w:line="460" w:lineRule="exact"/>
        <w:ind w:firstLine="594" w:firstLineChars="198"/>
        <w:rPr>
          <w:rFonts w:ascii="仿宋" w:hAnsi="仿宋" w:eastAsia="仿宋" w:cs="Arial"/>
          <w:sz w:val="30"/>
          <w:szCs w:val="30"/>
        </w:rPr>
      </w:pPr>
      <w:r>
        <w:rPr>
          <w:rFonts w:hint="eastAsia" w:ascii="仿宋" w:hAnsi="仿宋" w:eastAsia="仿宋" w:cs="Arial"/>
          <w:sz w:val="30"/>
          <w:szCs w:val="30"/>
        </w:rPr>
        <w:t>保证金（人民币）：0元;</w:t>
      </w:r>
    </w:p>
    <w:p>
      <w:pPr>
        <w:snapToGrid w:val="0"/>
        <w:spacing w:line="460" w:lineRule="exact"/>
        <w:ind w:firstLine="569" w:firstLineChars="189"/>
        <w:rPr>
          <w:rFonts w:ascii="仿宋" w:hAnsi="仿宋" w:eastAsia="仿宋" w:cs="Arial"/>
          <w:b/>
          <w:sz w:val="30"/>
          <w:szCs w:val="30"/>
        </w:rPr>
      </w:pPr>
      <w:r>
        <w:rPr>
          <w:rFonts w:hint="eastAsia" w:ascii="仿宋" w:hAnsi="仿宋" w:eastAsia="仿宋" w:cs="Arial"/>
          <w:b/>
          <w:sz w:val="30"/>
          <w:szCs w:val="30"/>
          <w:lang w:eastAsia="zh-CN"/>
        </w:rPr>
        <w:t>八</w:t>
      </w:r>
      <w:r>
        <w:rPr>
          <w:rFonts w:hint="eastAsia" w:ascii="仿宋" w:hAnsi="仿宋" w:eastAsia="仿宋" w:cs="Arial"/>
          <w:b/>
          <w:sz w:val="30"/>
          <w:szCs w:val="30"/>
        </w:rPr>
        <w:t>、业务咨询：</w:t>
      </w:r>
    </w:p>
    <w:tbl>
      <w:tblPr>
        <w:tblStyle w:val="51"/>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 xml:space="preserve">浙江政府采购网 </w:t>
            </w:r>
            <w:r>
              <w:fldChar w:fldCharType="begin"/>
            </w:r>
            <w:r>
              <w:instrText xml:space="preserve"> HYPERLINK "http://www.zjzfcg.gov.cn/new" </w:instrText>
            </w:r>
            <w:r>
              <w:fldChar w:fldCharType="separate"/>
            </w:r>
            <w:r>
              <w:rPr>
                <w:rStyle w:val="48"/>
                <w:rFonts w:hint="eastAsia" w:ascii="仿宋" w:hAnsi="仿宋" w:eastAsia="仿宋" w:cs="仿宋"/>
              </w:rPr>
              <w:t>http://www.zjzfcg.gov.cn/new</w:t>
            </w:r>
            <w:r>
              <w:rPr>
                <w:rStyle w:val="48"/>
                <w:rFonts w:hint="eastAsia" w:ascii="仿宋" w:hAnsi="仿宋" w:eastAsia="仿宋" w:cs="仿宋"/>
              </w:rPr>
              <w:fldChar w:fldCharType="end"/>
            </w:r>
            <w:r>
              <w:rPr>
                <w:rFonts w:hint="eastAsia" w:ascii="仿宋" w:hAnsi="仿宋" w:eastAsia="仿宋" w:cs="仿宋"/>
                <w:sz w:val="28"/>
                <w:szCs w:val="28"/>
              </w:rPr>
              <w:t xml:space="preserve"> </w:t>
            </w:r>
            <w:r>
              <w:rPr>
                <w:rFonts w:hint="eastAsia" w:ascii="仿宋" w:hAnsi="仿宋" w:eastAsia="仿宋" w:cs="仿宋"/>
                <w:szCs w:val="21"/>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8" w:name="PO_419_PM032"/>
            <w:r>
              <w:rPr>
                <w:rFonts w:hint="eastAsia" w:ascii="仿宋" w:hAnsi="仿宋" w:eastAsia="仿宋" w:cs="仿宋"/>
                <w:sz w:val="28"/>
                <w:szCs w:val="28"/>
                <w:lang w:eastAsia="zh-CN"/>
              </w:rPr>
              <w:t>陈玮洁</w:t>
            </w:r>
            <w:bookmarkEnd w:id="8"/>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9" w:name="PO_419_PM033"/>
            <w:r>
              <w:rPr>
                <w:rFonts w:hint="eastAsia" w:ascii="仿宋" w:hAnsi="仿宋" w:eastAsia="仿宋" w:cs="仿宋"/>
                <w:sz w:val="28"/>
                <w:szCs w:val="28"/>
                <w:lang w:eastAsia="zh-CN"/>
              </w:rPr>
              <w:t>0571-88907785</w:t>
            </w:r>
            <w:bookmarkEnd w:id="9"/>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hint="eastAsia" w:ascii="仿宋" w:hAnsi="仿宋" w:eastAsia="仿宋" w:cs="仿宋"/>
                <w:sz w:val="28"/>
                <w:szCs w:val="28"/>
                <w:lang w:eastAsia="zh-CN"/>
              </w:rPr>
            </w:pPr>
            <w:bookmarkStart w:id="10" w:name="PO_419_PM034"/>
            <w:r>
              <w:rPr>
                <w:rFonts w:hint="eastAsia" w:ascii="仿宋" w:hAnsi="仿宋" w:eastAsia="仿宋" w:cs="仿宋"/>
                <w:sz w:val="28"/>
                <w:szCs w:val="28"/>
                <w:lang w:val="en-US" w:eastAsia="zh-CN"/>
              </w:rPr>
              <w:t>0571-88907751</w:t>
            </w:r>
            <w:r>
              <w:rPr>
                <w:rFonts w:hint="eastAsia" w:ascii="仿宋" w:hAnsi="仿宋" w:eastAsia="仿宋" w:cs="仿宋"/>
                <w:sz w:val="28"/>
                <w:szCs w:val="28"/>
                <w:lang w:eastAsia="zh-CN"/>
              </w:rPr>
              <w:t xml:space="preserve"> </w:t>
            </w:r>
            <w:bookmarkEnd w:id="10"/>
          </w:p>
        </w:tc>
        <w:tc>
          <w:tcPr>
            <w:tcW w:w="2644" w:type="dxa"/>
            <w:vMerge w:val="restart"/>
            <w:tcBorders>
              <w:top w:val="single" w:color="auto" w:sz="4" w:space="0"/>
              <w:left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1" w:name="PO_419_PM001385"/>
            <w:r>
              <w:rPr>
                <w:rFonts w:hint="eastAsia" w:ascii="仿宋" w:hAnsi="仿宋" w:eastAsia="仿宋" w:cs="仿宋"/>
                <w:sz w:val="28"/>
                <w:szCs w:val="28"/>
                <w:lang w:eastAsia="zh-CN"/>
              </w:rPr>
              <w:t>专业项目采购部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协办人</w:t>
            </w:r>
          </w:p>
          <w:p>
            <w:pPr>
              <w:spacing w:line="480" w:lineRule="exact"/>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B岗</w:t>
            </w:r>
            <w:r>
              <w:rPr>
                <w:rFonts w:ascii="仿宋" w:hAnsi="仿宋" w:eastAsia="仿宋" w:cs="仿宋"/>
                <w:sz w:val="28"/>
                <w:szCs w:val="28"/>
              </w:rPr>
              <w:t>）</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邵玲芳</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0571-88907751</w:t>
            </w:r>
          </w:p>
        </w:tc>
        <w:tc>
          <w:tcPr>
            <w:tcW w:w="2644" w:type="dxa"/>
            <w:vMerge w:val="continue"/>
            <w:tcBorders>
              <w:left w:val="single" w:color="auto" w:sz="4" w:space="0"/>
              <w:righ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w:t>
            </w:r>
            <w:r>
              <w:rPr>
                <w:rFonts w:ascii="仿宋" w:hAnsi="仿宋" w:eastAsia="仿宋" w:cs="仿宋"/>
                <w:sz w:val="28"/>
                <w:szCs w:val="28"/>
              </w:rPr>
              <w:t>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0571-88907751</w:t>
            </w:r>
          </w:p>
        </w:tc>
        <w:tc>
          <w:tcPr>
            <w:tcW w:w="2644" w:type="dxa"/>
            <w:vMerge w:val="continue"/>
            <w:tcBorders>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胡晓霞</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w:t>
            </w:r>
            <w:r>
              <w:rPr>
                <w:rFonts w:hint="eastAsia" w:ascii="仿宋" w:hAnsi="仿宋" w:eastAsia="仿宋" w:cs="仿宋"/>
                <w:sz w:val="28"/>
                <w:szCs w:val="28"/>
                <w:lang w:val="en-US" w:eastAsia="zh-CN"/>
              </w:rPr>
              <w:t>68</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w:t>
            </w:r>
            <w:r>
              <w:rPr>
                <w:rFonts w:hint="eastAsia" w:ascii="仿宋" w:hAnsi="仿宋" w:eastAsia="仿宋" w:cs="仿宋"/>
                <w:sz w:val="28"/>
                <w:szCs w:val="28"/>
                <w:lang w:val="en-US" w:eastAsia="zh-CN"/>
              </w:rPr>
              <w:t>35</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pStyle w:val="26"/>
        <w:snapToGrid w:val="0"/>
        <w:spacing w:before="120" w:line="240" w:lineRule="auto"/>
        <w:outlineLvl w:val="0"/>
        <w:rPr>
          <w:rFonts w:ascii="仿宋" w:hAnsi="仿宋" w:eastAsia="仿宋"/>
          <w:sz w:val="30"/>
          <w:szCs w:val="30"/>
        </w:rPr>
      </w:pPr>
    </w:p>
    <w:p>
      <w:bookmarkStart w:id="12" w:name="_Toc451268215"/>
      <w:r>
        <w:t xml:space="preserve">                                                                                               </w:t>
      </w:r>
    </w:p>
    <w:p/>
    <w:p>
      <w:pPr>
        <w:spacing w:line="480" w:lineRule="exact"/>
        <w:rPr>
          <w:spacing w:val="20"/>
          <w:u w:val="single"/>
        </w:rPr>
      </w:pPr>
      <w:r>
        <w:t xml:space="preserve">                                                       </w:t>
      </w:r>
      <w:r>
        <w:rPr>
          <w:rFonts w:hint="eastAsia" w:ascii="仿宋" w:hAnsi="仿宋" w:eastAsia="仿宋" w:cs="仿宋"/>
          <w:sz w:val="28"/>
          <w:szCs w:val="28"/>
        </w:rPr>
        <w:t>浙江省政府采购中心</w:t>
      </w:r>
      <w:bookmarkEnd w:id="12"/>
    </w:p>
    <w:p>
      <w:pPr>
        <w:pStyle w:val="44"/>
        <w:rPr>
          <w:rFonts w:ascii="仿宋" w:hAnsi="仿宋" w:eastAsia="仿宋"/>
          <w:b w:val="0"/>
          <w:sz w:val="36"/>
          <w:szCs w:val="36"/>
        </w:rPr>
      </w:pPr>
    </w:p>
    <w:p>
      <w:pPr>
        <w:pStyle w:val="26"/>
        <w:snapToGrid w:val="0"/>
        <w:spacing w:before="120" w:line="240" w:lineRule="auto"/>
        <w:jc w:val="center"/>
        <w:outlineLvl w:val="0"/>
        <w:rPr>
          <w:rFonts w:ascii="仿宋" w:hAnsi="仿宋" w:eastAsia="仿宋"/>
          <w:b/>
          <w:sz w:val="36"/>
          <w:szCs w:val="36"/>
        </w:rPr>
      </w:pPr>
    </w:p>
    <w:p>
      <w:pPr>
        <w:pStyle w:val="26"/>
        <w:snapToGrid w:val="0"/>
        <w:spacing w:before="120" w:line="240" w:lineRule="auto"/>
        <w:jc w:val="center"/>
        <w:outlineLvl w:val="0"/>
        <w:rPr>
          <w:rFonts w:ascii="仿宋" w:hAnsi="仿宋" w:eastAsia="仿宋"/>
          <w:b/>
          <w:sz w:val="36"/>
          <w:szCs w:val="36"/>
        </w:rPr>
      </w:pPr>
    </w:p>
    <w:p>
      <w:pPr>
        <w:pStyle w:val="26"/>
        <w:snapToGrid w:val="0"/>
        <w:spacing w:before="120" w:line="240" w:lineRule="auto"/>
        <w:jc w:val="center"/>
        <w:outlineLvl w:val="0"/>
        <w:rPr>
          <w:rFonts w:ascii="仿宋" w:hAnsi="仿宋" w:eastAsia="仿宋"/>
          <w:b/>
          <w:sz w:val="36"/>
          <w:szCs w:val="36"/>
        </w:rPr>
      </w:pPr>
    </w:p>
    <w:p>
      <w:pPr>
        <w:pStyle w:val="44"/>
        <w:rPr>
          <w:sz w:val="30"/>
          <w:szCs w:val="30"/>
        </w:rPr>
      </w:pPr>
      <w:r>
        <w:rPr>
          <w:b w:val="0"/>
          <w:bCs w:val="0"/>
        </w:rPr>
        <w:br w:type="page"/>
      </w:r>
      <w:bookmarkStart w:id="13" w:name="_Toc510136959"/>
      <w:bookmarkStart w:id="14" w:name="_Toc451268216"/>
      <w:r>
        <w:rPr>
          <w:rFonts w:hint="eastAsia"/>
        </w:rPr>
        <w:t>第二章</w:t>
      </w:r>
      <w:r>
        <w:t xml:space="preserve">  </w:t>
      </w:r>
      <w:r>
        <w:rPr>
          <w:rFonts w:hint="eastAsia"/>
        </w:rPr>
        <w:t>供应商须知</w:t>
      </w:r>
      <w:bookmarkEnd w:id="13"/>
      <w:bookmarkEnd w:id="14"/>
    </w:p>
    <w:p>
      <w:pPr>
        <w:autoSpaceDE w:val="0"/>
        <w:autoSpaceDN w:val="0"/>
        <w:snapToGrid w:val="0"/>
        <w:spacing w:line="460" w:lineRule="exact"/>
        <w:textAlignment w:val="bottom"/>
        <w:rPr>
          <w:rFonts w:ascii="仿宋" w:hAnsi="仿宋" w:eastAsia="仿宋"/>
          <w:sz w:val="30"/>
          <w:szCs w:val="30"/>
        </w:rPr>
      </w:pPr>
      <w:bookmarkStart w:id="15" w:name="_Toc451268217"/>
      <w:r>
        <w:rPr>
          <w:rFonts w:hint="eastAsia" w:ascii="仿宋" w:hAnsi="仿宋" w:eastAsia="仿宋"/>
          <w:sz w:val="30"/>
          <w:szCs w:val="30"/>
        </w:rPr>
        <w:t>前附表</w:t>
      </w:r>
      <w:bookmarkEnd w:id="15"/>
    </w:p>
    <w:tbl>
      <w:tblPr>
        <w:tblStyle w:val="51"/>
        <w:tblW w:w="86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序号</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1</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项目名称及数量：详见《单一来源采购邀请》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2</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是否允许进口产品：</w:t>
            </w:r>
            <w:bookmarkStart w:id="16" w:name="PO_15526_PM042"/>
            <w:r>
              <w:rPr>
                <w:rFonts w:hint="eastAsia" w:ascii="仿宋" w:hAnsi="仿宋" w:eastAsia="仿宋"/>
                <w:sz w:val="30"/>
                <w:szCs w:val="30"/>
                <w:lang w:eastAsia="zh-CN"/>
              </w:rPr>
              <w:t>不允许进口产品</w:t>
            </w:r>
            <w:bookmarkEnd w:id="16"/>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3</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单一来源采购保证金应按《单一来源采购邀请》七规定交纳。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4</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保证金退还：成交供应商的单一来源采购保证金在合同签订后5个工作日内退还。 供应商办理退还单一来源采购保证金手续时需提供浙江省政府采购中心开具的交入单一来源采购保证金凭证退款联，并按凭证要求准备资料。</w:t>
            </w:r>
          </w:p>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详见浙江省政府采购网：http://www.zjzfcg.gov.cn/new/ ，位置：“首页-网上办事指南-其他-省政府采购中心财务程序-财务程序（一）”。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5</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转包与分包：</w:t>
            </w:r>
            <w:bookmarkStart w:id="17" w:name="PO_15526_PM044"/>
            <w:r>
              <w:rPr>
                <w:rFonts w:hint="eastAsia" w:ascii="仿宋" w:hAnsi="仿宋" w:eastAsia="仿宋"/>
                <w:sz w:val="30"/>
                <w:szCs w:val="30"/>
                <w:lang w:eastAsia="zh-CN"/>
              </w:rPr>
              <w:t>不允许分包</w:t>
            </w:r>
            <w:bookmarkEnd w:id="17"/>
            <w:r>
              <w:rPr>
                <w:rFonts w:hint="eastAsia" w:ascii="仿宋" w:hAnsi="仿宋" w:eastAsia="仿宋"/>
                <w:sz w:val="30"/>
                <w:szCs w:val="30"/>
              </w:rPr>
              <w:t>；联合投标：</w:t>
            </w:r>
            <w:bookmarkStart w:id="18" w:name="PO_15526_PM007"/>
            <w:r>
              <w:rPr>
                <w:rFonts w:hint="eastAsia" w:ascii="仿宋" w:hAnsi="仿宋" w:eastAsia="仿宋"/>
                <w:sz w:val="30"/>
                <w:szCs w:val="30"/>
                <w:lang w:eastAsia="zh-CN"/>
              </w:rPr>
              <w:t>标项1:不允许联合体投标</w:t>
            </w:r>
            <w:bookmarkEnd w:id="18"/>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6</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演示时间：</w:t>
            </w:r>
            <w:bookmarkStart w:id="19" w:name="PO_15526_PM041"/>
            <w:r>
              <w:rPr>
                <w:rFonts w:hint="eastAsia" w:ascii="仿宋" w:hAnsi="仿宋" w:eastAsia="仿宋"/>
                <w:sz w:val="30"/>
                <w:szCs w:val="30"/>
                <w:lang w:eastAsia="zh-CN"/>
              </w:rPr>
              <w:t>不进行演示</w:t>
            </w:r>
            <w:bookmarkEnd w:id="19"/>
            <w:r>
              <w:rPr>
                <w:rFonts w:hint="eastAsia" w:ascii="仿宋" w:hAnsi="仿宋" w:eastAsia="仿宋"/>
                <w:sz w:val="30"/>
                <w:szCs w:val="3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7</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单一来源采购响应文件组成：由资信及商务文件、技术文件正本各 1 份、副本各</w:t>
            </w:r>
            <w:bookmarkStart w:id="20" w:name="PO_15526_PM045"/>
            <w:r>
              <w:rPr>
                <w:rFonts w:hint="eastAsia" w:ascii="仿宋" w:hAnsi="仿宋" w:eastAsia="仿宋"/>
                <w:sz w:val="30"/>
                <w:szCs w:val="30"/>
                <w:lang w:eastAsia="zh-CN"/>
              </w:rPr>
              <w:t>4</w:t>
            </w:r>
            <w:bookmarkEnd w:id="20"/>
            <w:r>
              <w:rPr>
                <w:rFonts w:hint="eastAsia" w:ascii="仿宋" w:hAnsi="仿宋" w:eastAsia="仿宋"/>
                <w:sz w:val="30"/>
                <w:szCs w:val="30"/>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8</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采购结果公示：采购结果经采购人确认后，采购中心将于2个工作日内在浙江省政府采购网上公告成交结果，并向成交供应商发出成交通知书。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9</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签订合同时间：成交通知书发出后30日内。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0"/>
                <w:szCs w:val="30"/>
              </w:rPr>
            </w:pPr>
            <w:r>
              <w:rPr>
                <w:rFonts w:hint="eastAsia" w:ascii="仿宋" w:hAnsi="仿宋" w:eastAsia="仿宋"/>
                <w:sz w:val="30"/>
                <w:szCs w:val="30"/>
              </w:rPr>
              <w:t>10</w:t>
            </w:r>
          </w:p>
        </w:tc>
        <w:tc>
          <w:tcPr>
            <w:tcW w:w="77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textAlignment w:val="bottom"/>
              <w:rPr>
                <w:rFonts w:ascii="仿宋" w:hAnsi="仿宋" w:eastAsia="仿宋"/>
                <w:sz w:val="30"/>
                <w:szCs w:val="30"/>
              </w:rPr>
            </w:pPr>
            <w:r>
              <w:rPr>
                <w:rFonts w:hint="eastAsia" w:ascii="仿宋" w:hAnsi="仿宋" w:eastAsia="仿宋"/>
                <w:sz w:val="30"/>
                <w:szCs w:val="30"/>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w:t>
            </w:r>
            <w:r>
              <w:rPr>
                <w:rFonts w:hint="eastAsia" w:ascii="仿宋" w:hAnsi="仿宋" w:eastAsia="仿宋"/>
                <w:sz w:val="30"/>
                <w:szCs w:val="30"/>
                <w:lang w:eastAsia="zh-CN"/>
              </w:rPr>
              <w:t>本项目不收取</w:t>
            </w:r>
            <w:r>
              <w:rPr>
                <w:rFonts w:hint="eastAsia" w:ascii="仿宋" w:hAnsi="仿宋" w:eastAsia="仿宋"/>
                <w:color w:val="auto"/>
                <w:sz w:val="30"/>
                <w:szCs w:val="30"/>
              </w:rPr>
              <w:t>履约保证金</w:t>
            </w:r>
            <w:r>
              <w:rPr>
                <w:rFonts w:hint="eastAsia" w:ascii="仿宋" w:hAnsi="仿宋" w:eastAsia="仿宋"/>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0"/>
                <w:szCs w:val="30"/>
              </w:rPr>
            </w:pPr>
            <w:r>
              <w:rPr>
                <w:rFonts w:hint="eastAsia" w:ascii="仿宋" w:hAnsi="仿宋" w:eastAsia="仿宋"/>
                <w:sz w:val="30"/>
                <w:szCs w:val="30"/>
              </w:rPr>
              <w:t>11</w:t>
            </w:r>
          </w:p>
        </w:tc>
        <w:tc>
          <w:tcPr>
            <w:tcW w:w="77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 w:hAnsi="仿宋" w:eastAsia="仿宋"/>
                <w:sz w:val="30"/>
                <w:szCs w:val="30"/>
              </w:rPr>
            </w:pPr>
            <w:r>
              <w:rPr>
                <w:rFonts w:hint="eastAsia" w:ascii="仿宋" w:hAnsi="仿宋" w:eastAsia="仿宋"/>
                <w:sz w:val="30"/>
                <w:szCs w:val="30"/>
              </w:rPr>
              <w:t>付款方式：国库集中支付（采购人自行支付），详见各标项的资信及商务要求表。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sz w:val="30"/>
                <w:szCs w:val="30"/>
              </w:rPr>
            </w:pPr>
            <w:r>
              <w:rPr>
                <w:rFonts w:hint="eastAsia" w:ascii="仿宋" w:hAnsi="仿宋" w:eastAsia="仿宋"/>
                <w:sz w:val="30"/>
                <w:szCs w:val="30"/>
              </w:rPr>
              <w:t>12</w:t>
            </w:r>
          </w:p>
        </w:tc>
        <w:tc>
          <w:tcPr>
            <w:tcW w:w="77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 w:hAnsi="仿宋" w:eastAsia="仿宋"/>
                <w:sz w:val="30"/>
                <w:szCs w:val="30"/>
              </w:rPr>
            </w:pPr>
            <w:r>
              <w:rPr>
                <w:rFonts w:hint="eastAsia" w:ascii="仿宋" w:hAnsi="仿宋" w:eastAsia="仿宋"/>
                <w:sz w:val="30"/>
                <w:szCs w:val="30"/>
              </w:rPr>
              <w:t>解释：单一来源采购文件的解释权属于浙江省政府采购中心。</w:t>
            </w:r>
          </w:p>
        </w:tc>
      </w:tr>
    </w:tbl>
    <w:p>
      <w:pPr>
        <w:pStyle w:val="26"/>
        <w:snapToGrid w:val="0"/>
        <w:spacing w:before="120" w:line="240" w:lineRule="auto"/>
        <w:jc w:val="left"/>
        <w:outlineLvl w:val="0"/>
        <w:rPr>
          <w:rFonts w:ascii="仿宋" w:hAnsi="仿宋" w:eastAsia="仿宋"/>
          <w:b/>
          <w:sz w:val="18"/>
          <w:szCs w:val="18"/>
        </w:rPr>
      </w:pPr>
      <w:r>
        <w:rPr>
          <w:rFonts w:hint="eastAsia" w:ascii="仿宋" w:hAnsi="仿宋" w:eastAsia="仿宋"/>
          <w:b/>
          <w:sz w:val="36"/>
          <w:szCs w:val="36"/>
        </w:rPr>
        <w:t xml:space="preserve">   </w:t>
      </w:r>
    </w:p>
    <w:p>
      <w:pPr>
        <w:pStyle w:val="26"/>
        <w:snapToGrid w:val="0"/>
        <w:spacing w:before="120" w:line="240" w:lineRule="auto"/>
        <w:ind w:firstLine="596" w:firstLineChars="198"/>
        <w:jc w:val="left"/>
        <w:outlineLvl w:val="0"/>
        <w:rPr>
          <w:rFonts w:ascii="仿宋" w:hAnsi="仿宋" w:eastAsia="仿宋"/>
          <w:b/>
          <w:sz w:val="30"/>
          <w:szCs w:val="30"/>
        </w:rPr>
      </w:pPr>
      <w:bookmarkStart w:id="21" w:name="_Toc451268218"/>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p>
      <w:pPr>
        <w:pStyle w:val="26"/>
        <w:snapToGrid w:val="0"/>
        <w:spacing w:before="120" w:line="240" w:lineRule="auto"/>
        <w:ind w:firstLine="596" w:firstLineChars="198"/>
        <w:jc w:val="left"/>
        <w:outlineLvl w:val="0"/>
        <w:rPr>
          <w:rFonts w:ascii="仿宋" w:hAnsi="仿宋" w:eastAsia="仿宋"/>
          <w:b/>
          <w:sz w:val="30"/>
          <w:szCs w:val="30"/>
        </w:rPr>
      </w:pPr>
    </w:p>
    <w:bookmarkEnd w:id="21"/>
    <w:p>
      <w:pPr>
        <w:rPr>
          <w:rFonts w:ascii="仿宋" w:hAnsi="仿宋" w:eastAsia="仿宋" w:cs="Arial"/>
          <w:sz w:val="30"/>
          <w:szCs w:val="30"/>
        </w:rPr>
      </w:pPr>
      <w:r>
        <w:rPr>
          <w:rFonts w:hint="eastAsia" w:ascii="仿宋" w:hAnsi="仿宋" w:eastAsia="仿宋" w:cs="Arial"/>
          <w:sz w:val="30"/>
          <w:szCs w:val="30"/>
        </w:rPr>
        <w:t>一、总  则</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 xml:space="preserve"> 单一来源是指采购人为了从某一特定供应商处采购货物、工程和服务，采购中心组织具有相关经验的专业人员与供应商商定合理的成交价格并保证采购项目质量的采购方式。</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（一） 适用范围</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仅适用于本次单一来源采购文件中政府采购的项目</w:t>
      </w:r>
    </w:p>
    <w:p>
      <w:pPr>
        <w:snapToGrid w:val="0"/>
        <w:spacing w:line="460" w:lineRule="exact"/>
        <w:ind w:firstLine="443" w:firstLineChars="147"/>
        <w:jc w:val="left"/>
        <w:outlineLvl w:val="1"/>
        <w:rPr>
          <w:rFonts w:ascii="仿宋" w:hAnsi="仿宋" w:eastAsia="仿宋"/>
          <w:b/>
          <w:sz w:val="30"/>
          <w:szCs w:val="30"/>
        </w:rPr>
      </w:pPr>
      <w:r>
        <w:rPr>
          <w:rFonts w:hint="eastAsia" w:ascii="仿宋" w:hAnsi="仿宋" w:eastAsia="仿宋"/>
          <w:b/>
          <w:sz w:val="30"/>
          <w:szCs w:val="30"/>
        </w:rPr>
        <w:t>（二）定义</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1.“采购中心”系指组织本次采购的浙江省政府采购中心。</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2.“供应商”系指向采购中心提交单一来源采购响应文件的单位。</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 系指委托采购中心采购本次项目的国家机关、事业单位和团体组织。</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4.“产品”系指供应商按单一来源采购文件规定，须向采购人提供的一切设备、保险、税金、备品备件、工具、手册及其它有关技术资料和材料。</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5.“服务”系指单一来源采购文件规定供应商须承担的安装、调试、技术协助、校准、培训、技术指导以及其他类似的义务。</w:t>
      </w:r>
    </w:p>
    <w:p>
      <w:pPr>
        <w:snapToGrid w:val="0"/>
        <w:spacing w:line="460" w:lineRule="exact"/>
        <w:ind w:firstLine="594" w:firstLineChars="198"/>
        <w:jc w:val="left"/>
        <w:outlineLvl w:val="1"/>
        <w:rPr>
          <w:rFonts w:ascii="仿宋" w:hAnsi="仿宋" w:eastAsia="仿宋" w:cs="Arial"/>
          <w:sz w:val="30"/>
          <w:szCs w:val="30"/>
        </w:rPr>
      </w:pPr>
      <w:r>
        <w:rPr>
          <w:rFonts w:hint="eastAsia" w:ascii="仿宋" w:hAnsi="仿宋" w:eastAsia="仿宋" w:cs="Arial"/>
          <w:sz w:val="30"/>
          <w:szCs w:val="30"/>
        </w:rPr>
        <w:t>6.“项目”系指供应商按单一来源采购文件规定向采购人提供的产品和服务。</w:t>
      </w:r>
    </w:p>
    <w:p>
      <w:pPr>
        <w:snapToGrid w:val="0"/>
        <w:spacing w:line="460" w:lineRule="exact"/>
        <w:jc w:val="left"/>
        <w:outlineLvl w:val="1"/>
        <w:rPr>
          <w:rFonts w:ascii="仿宋" w:hAnsi="仿宋" w:eastAsia="仿宋" w:cs="Arial"/>
          <w:b/>
          <w:sz w:val="30"/>
          <w:szCs w:val="30"/>
        </w:rPr>
      </w:pPr>
      <w:r>
        <w:rPr>
          <w:rFonts w:hint="eastAsia" w:ascii="仿宋" w:hAnsi="仿宋" w:eastAsia="仿宋" w:cs="Arial"/>
          <w:b/>
          <w:sz w:val="30"/>
          <w:szCs w:val="30"/>
        </w:rPr>
        <w:t>（三）供应商全权代表委托</w:t>
      </w:r>
    </w:p>
    <w:p>
      <w:pPr>
        <w:snapToGrid w:val="0"/>
        <w:spacing w:line="460" w:lineRule="exact"/>
        <w:ind w:firstLine="444" w:firstLineChars="148"/>
        <w:jc w:val="left"/>
        <w:outlineLvl w:val="1"/>
        <w:rPr>
          <w:rFonts w:ascii="仿宋" w:hAnsi="仿宋" w:eastAsia="仿宋" w:cs="Arial"/>
          <w:sz w:val="30"/>
          <w:szCs w:val="30"/>
        </w:rPr>
      </w:pPr>
      <w:r>
        <w:rPr>
          <w:rFonts w:hint="eastAsia" w:ascii="仿宋" w:hAnsi="仿宋" w:eastAsia="仿宋" w:cs="Arial"/>
          <w:sz w:val="30"/>
          <w:szCs w:val="30"/>
        </w:rPr>
        <w:t>全权代表须携带有效身份证件。如全权代表不是法定代表人，须有法定代表人出具的授权委托书（正本用原件，副本用复印件，格式见附部分）。</w:t>
      </w:r>
    </w:p>
    <w:p>
      <w:pPr>
        <w:snapToGrid w:val="0"/>
        <w:spacing w:line="460" w:lineRule="exact"/>
        <w:jc w:val="left"/>
        <w:outlineLvl w:val="1"/>
        <w:rPr>
          <w:rFonts w:ascii="仿宋" w:hAnsi="仿宋" w:eastAsia="仿宋"/>
          <w:b/>
          <w:sz w:val="30"/>
          <w:szCs w:val="30"/>
        </w:rPr>
      </w:pPr>
      <w:r>
        <w:rPr>
          <w:rFonts w:hint="eastAsia" w:ascii="仿宋" w:hAnsi="仿宋" w:eastAsia="仿宋"/>
          <w:b/>
          <w:sz w:val="30"/>
          <w:szCs w:val="30"/>
        </w:rPr>
        <w:t>（四）单一来源采购费用</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不论采购结果如何，供应商均应自行承担所有与单一来源采购有关的全部费用（单一来源采购文件有其他规定除外）。</w:t>
      </w:r>
    </w:p>
    <w:p>
      <w:pPr>
        <w:pStyle w:val="16"/>
        <w:widowControl w:val="0"/>
        <w:numPr>
          <w:ilvl w:val="0"/>
          <w:numId w:val="0"/>
        </w:numPr>
        <w:tabs>
          <w:tab w:val="clear" w:pos="454"/>
        </w:tabs>
        <w:snapToGrid w:val="0"/>
        <w:spacing w:line="460" w:lineRule="exact"/>
        <w:ind w:left="454" w:hanging="284"/>
        <w:rPr>
          <w:rFonts w:ascii="仿宋" w:hAnsi="仿宋" w:eastAsia="仿宋"/>
          <w:b/>
          <w:sz w:val="30"/>
          <w:szCs w:val="30"/>
        </w:rPr>
      </w:pPr>
      <w:r>
        <w:rPr>
          <w:rFonts w:hint="eastAsia" w:ascii="仿宋" w:hAnsi="仿宋" w:eastAsia="仿宋"/>
          <w:b/>
          <w:sz w:val="30"/>
          <w:szCs w:val="30"/>
        </w:rPr>
        <w:t xml:space="preserve">（五）单一来源采购文件的澄清与修改 </w:t>
      </w:r>
    </w:p>
    <w:p>
      <w:pPr>
        <w:pStyle w:val="26"/>
        <w:snapToGrid w:val="0"/>
        <w:spacing w:before="120" w:line="460" w:lineRule="exact"/>
        <w:ind w:firstLine="600" w:firstLineChars="200"/>
        <w:rPr>
          <w:rFonts w:ascii="仿宋" w:hAnsi="仿宋" w:eastAsia="仿宋"/>
          <w:sz w:val="30"/>
          <w:szCs w:val="30"/>
        </w:rPr>
      </w:pPr>
      <w:r>
        <w:rPr>
          <w:rFonts w:hint="eastAsia" w:ascii="仿宋" w:hAnsi="仿宋" w:eastAsia="仿宋"/>
          <w:sz w:val="30"/>
          <w:szCs w:val="30"/>
        </w:rPr>
        <w:t>1.在采购过程中，协商小组可以根据单一来源采购文件和协商情况实质性变动采购需求中的技术、服务要求以及合同草案条款，但不得变动单一来源采购文件中的其他内容。实质性变动的内容，须经采购人代表确认，该实质性变动是单一来源采购文件的有效组成部分，并以书面形式通知供应商。</w:t>
      </w:r>
    </w:p>
    <w:p>
      <w:pPr>
        <w:pStyle w:val="26"/>
        <w:snapToGrid w:val="0"/>
        <w:spacing w:before="120" w:line="460" w:lineRule="exact"/>
        <w:ind w:firstLine="600" w:firstLineChars="200"/>
        <w:rPr>
          <w:rFonts w:ascii="仿宋" w:hAnsi="仿宋" w:eastAsia="仿宋"/>
          <w:sz w:val="30"/>
          <w:szCs w:val="30"/>
        </w:rPr>
      </w:pPr>
      <w:r>
        <w:rPr>
          <w:rFonts w:hint="eastAsia" w:ascii="仿宋" w:hAnsi="仿宋" w:eastAsia="仿宋"/>
          <w:sz w:val="30"/>
          <w:szCs w:val="30"/>
        </w:rPr>
        <w:t>2.单一来源采购文件澄清、答复、修改、补充的内容为单一来源采购文件的组成部分。当单一来源采购文件与单一来源采购文件的答复、澄清、修改、补充通知就同一内容的表述不一致时，以最后发出的书面文件为准。</w:t>
      </w:r>
    </w:p>
    <w:p>
      <w:pPr>
        <w:pStyle w:val="26"/>
        <w:snapToGrid w:val="0"/>
        <w:spacing w:before="120" w:line="460" w:lineRule="exact"/>
        <w:ind w:firstLine="602" w:firstLineChars="200"/>
        <w:rPr>
          <w:rFonts w:ascii="仿宋" w:hAnsi="仿宋" w:eastAsia="仿宋"/>
          <w:b/>
          <w:sz w:val="30"/>
          <w:szCs w:val="30"/>
        </w:rPr>
      </w:pPr>
      <w:r>
        <w:rPr>
          <w:rFonts w:hint="eastAsia" w:ascii="仿宋" w:hAnsi="仿宋" w:eastAsia="仿宋"/>
          <w:b/>
          <w:sz w:val="30"/>
          <w:szCs w:val="30"/>
        </w:rPr>
        <w:t>二、单一来源采购响应文件的编制</w:t>
      </w:r>
    </w:p>
    <w:p>
      <w:pPr>
        <w:pStyle w:val="26"/>
        <w:snapToGrid w:val="0"/>
        <w:spacing w:before="120" w:line="460" w:lineRule="exact"/>
        <w:ind w:firstLine="602" w:firstLineChars="200"/>
        <w:rPr>
          <w:rFonts w:ascii="仿宋" w:hAnsi="仿宋" w:eastAsia="仿宋"/>
          <w:b/>
          <w:sz w:val="30"/>
          <w:szCs w:val="30"/>
        </w:rPr>
      </w:pPr>
      <w:bookmarkStart w:id="22" w:name="_Toc451268219"/>
      <w:r>
        <w:rPr>
          <w:rFonts w:hint="eastAsia" w:ascii="仿宋" w:hAnsi="仿宋" w:eastAsia="仿宋"/>
          <w:b/>
          <w:sz w:val="30"/>
          <w:szCs w:val="30"/>
        </w:rPr>
        <w:t>（一）单一来源采购响应文件的组成</w:t>
      </w:r>
      <w:bookmarkEnd w:id="22"/>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单一来源采购响应文件由资信及商务文件、技术文件二部份组成。</w:t>
      </w:r>
    </w:p>
    <w:p>
      <w:pPr>
        <w:snapToGrid w:val="0"/>
        <w:spacing w:before="120" w:beforeLines="50" w:line="460" w:lineRule="exact"/>
        <w:ind w:firstLine="590" w:firstLineChars="196"/>
        <w:jc w:val="left"/>
        <w:rPr>
          <w:rFonts w:ascii="仿宋" w:hAnsi="仿宋" w:eastAsia="仿宋"/>
          <w:b/>
          <w:sz w:val="30"/>
          <w:szCs w:val="30"/>
        </w:rPr>
      </w:pPr>
      <w:r>
        <w:rPr>
          <w:rFonts w:hint="eastAsia" w:ascii="仿宋" w:hAnsi="仿宋" w:eastAsia="仿宋"/>
          <w:b/>
          <w:sz w:val="30"/>
          <w:szCs w:val="30"/>
        </w:rPr>
        <w:t>1、资信及商务文件</w:t>
      </w:r>
    </w:p>
    <w:p>
      <w:pPr>
        <w:snapToGrid w:val="0"/>
        <w:spacing w:before="120" w:beforeLines="50" w:line="460" w:lineRule="exact"/>
        <w:ind w:firstLine="590" w:firstLineChars="196"/>
        <w:jc w:val="left"/>
        <w:rPr>
          <w:rFonts w:ascii="仿宋" w:hAnsi="仿宋" w:eastAsia="仿宋"/>
          <w:b/>
          <w:sz w:val="30"/>
          <w:szCs w:val="30"/>
        </w:rPr>
      </w:pPr>
      <w:r>
        <w:rPr>
          <w:rFonts w:hint="eastAsia" w:ascii="仿宋" w:hAnsi="仿宋" w:eastAsia="仿宋"/>
          <w:b/>
          <w:sz w:val="30"/>
          <w:szCs w:val="30"/>
        </w:rPr>
        <w:t>A.资信文件：</w:t>
      </w:r>
    </w:p>
    <w:p>
      <w:pPr>
        <w:snapToGrid w:val="0"/>
        <w:spacing w:line="460" w:lineRule="exact"/>
        <w:ind w:firstLine="590" w:firstLineChars="196"/>
        <w:jc w:val="left"/>
        <w:rPr>
          <w:rFonts w:ascii="仿宋" w:hAnsi="仿宋" w:eastAsia="仿宋"/>
          <w:sz w:val="30"/>
          <w:szCs w:val="30"/>
        </w:rPr>
      </w:pPr>
      <w:r>
        <w:rPr>
          <w:rFonts w:hint="eastAsia" w:ascii="仿宋" w:hAnsi="仿宋" w:eastAsia="仿宋"/>
          <w:b/>
          <w:sz w:val="30"/>
          <w:szCs w:val="30"/>
        </w:rPr>
        <w:t>（</w:t>
      </w:r>
      <w:r>
        <w:rPr>
          <w:rFonts w:hint="eastAsia" w:ascii="仿宋" w:hAnsi="仿宋" w:eastAsia="仿宋"/>
          <w:sz w:val="30"/>
          <w:szCs w:val="30"/>
        </w:rPr>
        <w:t>1）响应声明书 (格式见附件)；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color w:val="000000"/>
          <w:sz w:val="30"/>
          <w:szCs w:val="30"/>
        </w:rPr>
        <w:t>事业单位的，则提供有效的《事业单位法人证书》副本复印件并加盖单位公章；</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（4）提供采购邀请中符合</w:t>
      </w:r>
      <w:r>
        <w:rPr>
          <w:rFonts w:hint="eastAsia" w:ascii="仿宋" w:hAnsi="仿宋" w:eastAsia="仿宋"/>
          <w:bCs/>
          <w:sz w:val="30"/>
          <w:szCs w:val="30"/>
        </w:rPr>
        <w:t>供应商的特定条件要求的有效的的其他资质复印件并加盖公司公章及</w:t>
      </w:r>
      <w:r>
        <w:rPr>
          <w:rFonts w:hint="eastAsia" w:ascii="仿宋" w:hAnsi="仿宋" w:eastAsia="仿宋"/>
          <w:sz w:val="30"/>
          <w:szCs w:val="30"/>
        </w:rPr>
        <w:t>需要说明的资料。</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B、商务文件：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（1）供应商情况介绍（主要产品、技术力量、生产规模、经营业绩等）；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（2）供应商认为可以证明其能力或业绩的其他材料；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（3）类似成功案例的业绩证明（供应商同类项目实施情况一览表、合同复印件、用户验收报告）；</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（4）资信及商务响应表（格式见附件）；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（5）节能环保等的资质证书或文件（若有）；</w:t>
      </w:r>
    </w:p>
    <w:p>
      <w:pPr>
        <w:pStyle w:val="28"/>
        <w:snapToGrid w:val="0"/>
        <w:spacing w:line="460" w:lineRule="exact"/>
        <w:ind w:left="0" w:leftChars="0" w:firstLine="600" w:firstLineChars="200"/>
        <w:rPr>
          <w:rFonts w:ascii="仿宋" w:hAnsi="仿宋" w:eastAsia="仿宋"/>
          <w:sz w:val="30"/>
          <w:szCs w:val="30"/>
        </w:rPr>
      </w:pPr>
      <w:r>
        <w:rPr>
          <w:rFonts w:hint="eastAsia" w:ascii="仿宋" w:hAnsi="仿宋" w:eastAsia="仿宋"/>
          <w:sz w:val="30"/>
          <w:szCs w:val="30"/>
        </w:rPr>
        <w:t>（6）报价明细一览表（格式见附件）；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（7）供应商认为需要的其他文件资料；</w:t>
      </w:r>
    </w:p>
    <w:p>
      <w:pPr>
        <w:snapToGrid w:val="0"/>
        <w:spacing w:after="120" w:afterLines="50"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2.技术文件</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（1）对本项目的技术服务类总体要求的理解；</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（2）项目总体架构及技术解决方案</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（3）设备配置清单；</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（4）技术响应表；</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（5）保证工期的施工组织方案及人力资源安排；</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（6）项目实施人员一览表；</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（7）技术服务、技术培训、售后服务的内容和措施；</w:t>
      </w:r>
    </w:p>
    <w:p>
      <w:pPr>
        <w:snapToGrid w:val="0"/>
        <w:spacing w:line="460" w:lineRule="exact"/>
        <w:ind w:firstLine="720" w:firstLineChars="240"/>
        <w:jc w:val="left"/>
        <w:rPr>
          <w:rFonts w:ascii="仿宋" w:hAnsi="仿宋" w:eastAsia="仿宋"/>
          <w:color w:val="000000"/>
          <w:sz w:val="30"/>
          <w:szCs w:val="30"/>
        </w:rPr>
      </w:pPr>
      <w:r>
        <w:rPr>
          <w:rFonts w:hint="eastAsia" w:ascii="仿宋" w:hAnsi="仿宋" w:eastAsia="仿宋"/>
          <w:color w:val="000000"/>
          <w:sz w:val="30"/>
          <w:szCs w:val="30"/>
        </w:rPr>
        <w:t>（8）选配件、专用耗材、售后服务优惠表（若有）;</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     （9）联合投标协议书（若需要）;</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     （10）联合投标授权委托书（若需要）;</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（11）供应商需要说明的其他文件和说明（格式自拟）。</w:t>
      </w:r>
    </w:p>
    <w:p>
      <w:pPr>
        <w:rPr>
          <w:rFonts w:ascii="仿宋" w:hAnsi="仿宋" w:eastAsia="仿宋"/>
          <w:b/>
          <w:bCs/>
          <w:sz w:val="30"/>
          <w:szCs w:val="30"/>
        </w:rPr>
      </w:pPr>
      <w:bookmarkStart w:id="23" w:name="_Toc451268220"/>
      <w:r>
        <w:rPr>
          <w:rFonts w:hint="eastAsia" w:ascii="仿宋" w:hAnsi="仿宋" w:eastAsia="仿宋"/>
          <w:b/>
          <w:bCs/>
          <w:sz w:val="30"/>
          <w:szCs w:val="30"/>
        </w:rPr>
        <w:t>（二）供应商报价</w:t>
      </w:r>
      <w:bookmarkEnd w:id="23"/>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1.供应商报价应按单一来源采购文件中相关附表格式填报；</w:t>
      </w:r>
    </w:p>
    <w:p>
      <w:pPr>
        <w:pStyle w:val="16"/>
        <w:widowControl w:val="0"/>
        <w:numPr>
          <w:ilvl w:val="0"/>
          <w:numId w:val="0"/>
        </w:numPr>
        <w:tabs>
          <w:tab w:val="clear" w:pos="454"/>
        </w:tabs>
        <w:snapToGrid w:val="0"/>
        <w:spacing w:before="120" w:beforeLines="50" w:after="120" w:line="460" w:lineRule="exact"/>
        <w:ind w:left="588"/>
        <w:rPr>
          <w:rFonts w:ascii="仿宋" w:hAnsi="仿宋" w:eastAsia="仿宋"/>
          <w:sz w:val="30"/>
          <w:szCs w:val="30"/>
        </w:rPr>
      </w:pPr>
      <w:r>
        <w:rPr>
          <w:rFonts w:hint="eastAsia" w:ascii="仿宋" w:hAnsi="仿宋" w:eastAsia="仿宋"/>
          <w:sz w:val="30"/>
          <w:szCs w:val="30"/>
        </w:rPr>
        <w:t>2.供应商报价是履行合同的最终价格，应包括货款、标准附件、备品备件、专用工具、包装、运输、装卸、保险、税金、货到就位以及安装、调试、培训、保修等一切税金和费用。</w:t>
      </w:r>
    </w:p>
    <w:p>
      <w:pPr>
        <w:pStyle w:val="16"/>
        <w:widowControl w:val="0"/>
        <w:numPr>
          <w:ilvl w:val="0"/>
          <w:numId w:val="0"/>
        </w:numPr>
        <w:tabs>
          <w:tab w:val="clear" w:pos="454"/>
        </w:tabs>
        <w:snapToGrid w:val="0"/>
        <w:spacing w:before="120" w:beforeLines="50" w:after="120" w:line="460" w:lineRule="exact"/>
        <w:rPr>
          <w:rFonts w:ascii="宋体" w:hAnsi="宋体"/>
          <w:b/>
          <w:sz w:val="30"/>
          <w:szCs w:val="30"/>
        </w:rPr>
      </w:pPr>
      <w:r>
        <w:rPr>
          <w:rFonts w:hint="eastAsia" w:ascii="宋体" w:hAnsi="宋体"/>
          <w:b/>
          <w:sz w:val="30"/>
          <w:szCs w:val="30"/>
        </w:rPr>
        <w:t>（三）单一来源响应文件的有效期</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1、自采购响应截止日起90天内响应文件应保持有效。有效期不足的响应文件将被拒绝。</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2、成交人的响应文件自采购之日起至合同履行完毕止均应保持有效。</w:t>
      </w:r>
    </w:p>
    <w:p>
      <w:pPr>
        <w:pStyle w:val="16"/>
        <w:widowControl w:val="0"/>
        <w:numPr>
          <w:ilvl w:val="0"/>
          <w:numId w:val="0"/>
        </w:numPr>
        <w:tabs>
          <w:tab w:val="clear" w:pos="454"/>
        </w:tabs>
        <w:snapToGrid w:val="0"/>
        <w:spacing w:before="120" w:beforeLines="50" w:after="120" w:line="460" w:lineRule="exact"/>
        <w:rPr>
          <w:rFonts w:ascii="宋体" w:hAnsi="宋体"/>
          <w:b/>
          <w:sz w:val="30"/>
          <w:szCs w:val="30"/>
        </w:rPr>
      </w:pPr>
      <w:bookmarkStart w:id="24" w:name="_Toc451268221"/>
      <w:r>
        <w:rPr>
          <w:rFonts w:hint="eastAsia" w:ascii="宋体" w:hAnsi="宋体"/>
          <w:b/>
          <w:sz w:val="30"/>
          <w:szCs w:val="30"/>
        </w:rPr>
        <w:t>（四）供应商保证金</w:t>
      </w:r>
      <w:bookmarkEnd w:id="24"/>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1.供应商须按规定提交单一来源采购保证金。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2.保证金形式：</w:t>
      </w:r>
      <w:r>
        <w:rPr>
          <w:rFonts w:hint="eastAsia" w:ascii="仿宋" w:hAnsi="仿宋" w:eastAsia="仿宋"/>
          <w:color w:val="000000"/>
          <w:sz w:val="30"/>
          <w:szCs w:val="30"/>
        </w:rPr>
        <w:t>网银、汇票、电汇、转帐支票</w:t>
      </w:r>
      <w:r>
        <w:rPr>
          <w:rFonts w:hint="eastAsia" w:ascii="仿宋" w:hAnsi="仿宋" w:eastAsia="仿宋"/>
          <w:sz w:val="30"/>
          <w:szCs w:val="30"/>
        </w:rPr>
        <w:t>。</w:t>
      </w:r>
    </w:p>
    <w:p>
      <w:pPr>
        <w:tabs>
          <w:tab w:val="left" w:pos="525"/>
        </w:tabs>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采购中心不接受以现金支票、现金及个人转账方式交纳的保证金。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保证金若以</w:t>
      </w:r>
      <w:r>
        <w:rPr>
          <w:rFonts w:hint="eastAsia" w:ascii="仿宋" w:hAnsi="仿宋" w:eastAsia="仿宋"/>
          <w:color w:val="000000"/>
          <w:sz w:val="30"/>
          <w:szCs w:val="30"/>
        </w:rPr>
        <w:t>网银、电汇方式交纳的,请将网银电脑打印凭证、电汇底单复印件写上所投项目名称、编号、联系人、联系电话，请在开标前一个工作日前到采购中心服务台开收据。</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 供应商办理退还单一来源采购保证金手续时需提供浙江省政府采购中心开具的交入单一来源采购保证金凭证退款联，并按凭证要求准备资料。</w:t>
      </w:r>
    </w:p>
    <w:p>
      <w:pPr>
        <w:snapToGrid w:val="0"/>
        <w:spacing w:line="460" w:lineRule="exact"/>
        <w:jc w:val="left"/>
        <w:rPr>
          <w:rFonts w:ascii="仿宋" w:hAnsi="仿宋" w:eastAsia="仿宋"/>
          <w:sz w:val="30"/>
          <w:szCs w:val="30"/>
        </w:rPr>
      </w:pPr>
      <w:r>
        <w:rPr>
          <w:rFonts w:hint="eastAsia" w:ascii="仿宋" w:hAnsi="仿宋" w:eastAsia="仿宋"/>
          <w:sz w:val="30"/>
          <w:szCs w:val="30"/>
        </w:rPr>
        <w:t xml:space="preserve">   4.保证金不计息。</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详见浙江省政府采购网</w:t>
      </w:r>
      <w:r>
        <w:rPr>
          <w:rFonts w:hint="eastAsia" w:ascii="仿宋" w:hAnsi="仿宋" w:eastAsia="仿宋"/>
          <w:color w:val="000000"/>
          <w:kern w:val="0"/>
          <w:sz w:val="30"/>
          <w:szCs w:val="30"/>
        </w:rPr>
        <w:t>http://www.zjzfcg.gov.cn/new/ ，位置：“首页-网上办事指南-其他-省政府采购中心财务程序-财务程序（一）”</w:t>
      </w:r>
      <w:r>
        <w:rPr>
          <w:rFonts w:hint="eastAsia" w:ascii="仿宋" w:hAnsi="仿宋" w:eastAsia="仿宋"/>
          <w:sz w:val="30"/>
          <w:szCs w:val="30"/>
        </w:rPr>
        <w:t>。</w:t>
      </w:r>
    </w:p>
    <w:p>
      <w:pPr>
        <w:snapToGrid w:val="0"/>
        <w:spacing w:line="460" w:lineRule="exact"/>
        <w:ind w:firstLine="602" w:firstLineChars="200"/>
        <w:jc w:val="left"/>
        <w:rPr>
          <w:rFonts w:ascii="仿宋" w:hAnsi="仿宋" w:eastAsia="仿宋"/>
          <w:b/>
          <w:bCs/>
          <w:sz w:val="30"/>
          <w:szCs w:val="30"/>
        </w:rPr>
      </w:pPr>
      <w:r>
        <w:rPr>
          <w:rFonts w:hint="eastAsia" w:ascii="仿宋" w:hAnsi="仿宋" w:eastAsia="仿宋"/>
          <w:b/>
          <w:bCs/>
          <w:sz w:val="30"/>
          <w:szCs w:val="30"/>
        </w:rPr>
        <w:t>5.供应商有下列情形之一的，保证金及履约保证金将不予退还：</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A、供应商保证金不予退还的：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（1）供应商在采购过程中弄虚作假，提供虚假材料的；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（2）供应商无正当理由不与采购人签订合同的；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（3）供应商与采购人、其他供应商恶意串通的;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（4）其他严重扰乱单一来源活动的；</w:t>
      </w:r>
    </w:p>
    <w:p>
      <w:pPr>
        <w:snapToGrid w:val="0"/>
        <w:spacing w:line="460" w:lineRule="exact"/>
        <w:ind w:firstLine="594" w:firstLineChars="198"/>
        <w:rPr>
          <w:rFonts w:ascii="仿宋" w:hAnsi="仿宋" w:eastAsia="仿宋"/>
          <w:b/>
          <w:bCs/>
          <w:sz w:val="30"/>
          <w:szCs w:val="30"/>
        </w:rPr>
      </w:pPr>
      <w:r>
        <w:rPr>
          <w:rFonts w:hint="eastAsia" w:ascii="仿宋" w:hAnsi="仿宋" w:eastAsia="仿宋"/>
          <w:sz w:val="30"/>
          <w:szCs w:val="30"/>
        </w:rPr>
        <w:t>B、</w:t>
      </w:r>
      <w:r>
        <w:rPr>
          <w:rFonts w:hint="eastAsia" w:ascii="仿宋" w:hAnsi="仿宋" w:eastAsia="仿宋"/>
          <w:b/>
          <w:bCs/>
          <w:sz w:val="30"/>
          <w:szCs w:val="30"/>
        </w:rPr>
        <w:t>履约保证金不予退还的：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（1）拒绝履行合同义务的；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（2）产品质量验收或测试不合格的；</w:t>
      </w:r>
    </w:p>
    <w:p>
      <w:pPr>
        <w:rPr>
          <w:rFonts w:ascii="仿宋" w:hAnsi="仿宋" w:eastAsia="仿宋"/>
          <w:b/>
          <w:bCs/>
          <w:sz w:val="30"/>
          <w:szCs w:val="30"/>
        </w:rPr>
      </w:pPr>
      <w:bookmarkStart w:id="25" w:name="_Toc451268222"/>
      <w:r>
        <w:rPr>
          <w:rFonts w:hint="eastAsia" w:ascii="仿宋" w:hAnsi="仿宋" w:eastAsia="仿宋"/>
          <w:b/>
          <w:bCs/>
          <w:sz w:val="30"/>
          <w:szCs w:val="30"/>
        </w:rPr>
        <w:t>（五）单一来源采购响应文件的签署和份数</w:t>
      </w:r>
      <w:bookmarkEnd w:id="25"/>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应按本单一来源采购文件规定的格式和顺序编制、装订单一来源采购响应文件并标注页码，单一来源采购响应文件内容不完整、编排混乱导致单一来源采购响应文件被误读、漏读或者查找不到相关内容的，是供应商的责任。</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2、供应商应按资信及商务文件、技术文件规定的份数分别编制并按A4纸规格单独装订成册，单一来源采购响应文件的封面应注明“正本”、“副本”字样。</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3、单一来源采购响应文件的正本需打印或用不褪色的墨水填写，单一来源采购响应文件正本除《供应商须知》中规定的可提供复印件外均须提供原件。副本为正本的复印件。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4、单一来源采购响应文件若有修改错漏处，须加盖供应商公章或者法定代表人或授权委托人签名或盖章。</w:t>
      </w:r>
    </w:p>
    <w:p>
      <w:pPr>
        <w:snapToGrid w:val="0"/>
        <w:spacing w:before="120" w:beforeLines="50" w:line="460" w:lineRule="exact"/>
        <w:ind w:firstLine="443" w:firstLineChars="147"/>
        <w:jc w:val="left"/>
        <w:rPr>
          <w:rFonts w:ascii="仿宋" w:hAnsi="仿宋" w:eastAsia="仿宋"/>
          <w:b/>
          <w:sz w:val="30"/>
          <w:szCs w:val="30"/>
        </w:rPr>
      </w:pPr>
      <w:r>
        <w:rPr>
          <w:rFonts w:hint="eastAsia" w:ascii="仿宋" w:hAnsi="仿宋" w:eastAsia="仿宋"/>
          <w:b/>
          <w:sz w:val="30"/>
          <w:szCs w:val="30"/>
        </w:rPr>
        <w:t>（六）单一来源采购响应文件的包装</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供应商应按资信及商务文件、技术文件分别各单独密封封装。单一来源采购响应文件的包装封面上应注明供应商名称、供应商地址、单一来源采购响应文件名称（资信/商务文件、技术文件）、项目名称、项目编号、标项及“采购时启封”字样，并加盖供应商公章。</w:t>
      </w:r>
    </w:p>
    <w:p>
      <w:pPr>
        <w:snapToGrid w:val="0"/>
        <w:spacing w:before="120" w:beforeLines="50" w:line="460" w:lineRule="exact"/>
        <w:ind w:firstLine="590" w:firstLineChars="196"/>
        <w:outlineLvl w:val="2"/>
        <w:rPr>
          <w:rFonts w:ascii="仿宋" w:hAnsi="仿宋" w:eastAsia="仿宋"/>
          <w:b/>
          <w:sz w:val="30"/>
          <w:szCs w:val="30"/>
        </w:rPr>
      </w:pPr>
      <w:r>
        <w:rPr>
          <w:rFonts w:hint="eastAsia" w:ascii="仿宋" w:hAnsi="仿宋" w:eastAsia="仿宋"/>
          <w:b/>
          <w:sz w:val="30"/>
          <w:szCs w:val="30"/>
        </w:rPr>
        <w:t>（七）采购无效的情形</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在采购时，如发现下列情形之一的，单一来源采购响应文件将被视为无效：</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1、未成功办理投标人采购文件</w:t>
      </w:r>
      <w:r>
        <w:rPr>
          <w:rFonts w:ascii="仿宋" w:hAnsi="仿宋" w:eastAsia="仿宋"/>
          <w:sz w:val="30"/>
          <w:szCs w:val="30"/>
        </w:rPr>
        <w:t>获取</w:t>
      </w:r>
      <w:r>
        <w:rPr>
          <w:rFonts w:hint="eastAsia" w:ascii="仿宋" w:hAnsi="仿宋" w:eastAsia="仿宋"/>
          <w:sz w:val="30"/>
          <w:szCs w:val="30"/>
        </w:rPr>
        <w:t>手续的、未按规定交纳投标保证金的；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2、仅以非纸制文本形式递交的响应文件；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3、供应商未能提供合格的资格文件；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4、与单一来源采购文件有重大偏离的；</w:t>
      </w:r>
    </w:p>
    <w:p>
      <w:pPr>
        <w:snapToGrid w:val="0"/>
        <w:spacing w:line="460" w:lineRule="exact"/>
        <w:ind w:firstLine="570" w:firstLineChars="190"/>
        <w:jc w:val="left"/>
        <w:rPr>
          <w:rFonts w:ascii="仿宋" w:hAnsi="仿宋" w:eastAsia="仿宋"/>
          <w:sz w:val="30"/>
          <w:szCs w:val="30"/>
        </w:rPr>
      </w:pPr>
      <w:r>
        <w:rPr>
          <w:rFonts w:hint="eastAsia" w:ascii="仿宋" w:hAnsi="仿宋" w:eastAsia="仿宋"/>
          <w:sz w:val="30"/>
          <w:szCs w:val="30"/>
        </w:rPr>
        <w:t>5、采购响应文件未有效授权；</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6、供应商最终报价超出预算的；</w:t>
      </w:r>
    </w:p>
    <w:p>
      <w:pPr>
        <w:snapToGrid w:val="0"/>
        <w:spacing w:line="460" w:lineRule="exact"/>
        <w:ind w:firstLine="570" w:firstLineChars="190"/>
        <w:jc w:val="left"/>
        <w:rPr>
          <w:rFonts w:ascii="仿宋" w:hAnsi="仿宋" w:eastAsia="仿宋"/>
          <w:color w:val="000000"/>
          <w:sz w:val="30"/>
          <w:szCs w:val="30"/>
        </w:rPr>
      </w:pPr>
      <w:r>
        <w:rPr>
          <w:rFonts w:hint="eastAsia" w:ascii="仿宋" w:hAnsi="仿宋" w:eastAsia="仿宋"/>
          <w:color w:val="000000"/>
          <w:sz w:val="30"/>
          <w:szCs w:val="30"/>
        </w:rPr>
        <w:t>7、最终报价明显高于其市场报价或低于成本价且不能合理说明原因并提供证明材料的；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8、不符合法律、法规和本单一来源采购文件规定的其他实质性要求的。</w:t>
      </w:r>
    </w:p>
    <w:p>
      <w:pPr>
        <w:pStyle w:val="26"/>
        <w:snapToGrid w:val="0"/>
        <w:spacing w:before="120" w:line="460" w:lineRule="exact"/>
        <w:ind w:firstLine="602" w:firstLineChars="200"/>
        <w:rPr>
          <w:rFonts w:ascii="仿宋" w:hAnsi="仿宋" w:eastAsia="仿宋"/>
          <w:b/>
          <w:sz w:val="30"/>
          <w:szCs w:val="30"/>
        </w:rPr>
      </w:pPr>
      <w:r>
        <w:rPr>
          <w:rFonts w:hint="eastAsia" w:ascii="仿宋" w:hAnsi="仿宋" w:eastAsia="仿宋"/>
          <w:b/>
          <w:sz w:val="30"/>
          <w:szCs w:val="30"/>
        </w:rPr>
        <w:t>三、组织单一来源采购程序</w:t>
      </w:r>
    </w:p>
    <w:p>
      <w:pPr>
        <w:pStyle w:val="26"/>
        <w:snapToGrid w:val="0"/>
        <w:spacing w:before="120" w:line="460" w:lineRule="exact"/>
        <w:ind w:firstLine="602" w:firstLineChars="200"/>
        <w:rPr>
          <w:rFonts w:ascii="仿宋" w:hAnsi="仿宋" w:eastAsia="仿宋"/>
          <w:b/>
          <w:sz w:val="30"/>
          <w:szCs w:val="30"/>
        </w:rPr>
      </w:pPr>
      <w:r>
        <w:rPr>
          <w:rFonts w:hint="eastAsia" w:ascii="仿宋" w:hAnsi="仿宋" w:eastAsia="仿宋"/>
          <w:b/>
          <w:sz w:val="30"/>
          <w:szCs w:val="30"/>
        </w:rPr>
        <w:t>（一）组建协商小组</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协商小组成员由采购中心组织具有相关经验的专业人员【或委托省财政厅采监处按《中华人民共和国政府采购法》相关要求，从政府采购评审专家库内相关专业的专家名单中随机抽取的专家成员组成】。协商小组成员为3人（含）以上组成。</w:t>
      </w:r>
    </w:p>
    <w:p>
      <w:pPr>
        <w:pStyle w:val="26"/>
        <w:snapToGrid w:val="0"/>
        <w:spacing w:before="120" w:line="460" w:lineRule="exact"/>
        <w:ind w:firstLine="590" w:firstLineChars="196"/>
        <w:rPr>
          <w:rFonts w:ascii="仿宋" w:hAnsi="仿宋" w:eastAsia="仿宋"/>
          <w:b/>
          <w:color w:val="000000"/>
          <w:sz w:val="30"/>
          <w:szCs w:val="30"/>
        </w:rPr>
      </w:pPr>
      <w:r>
        <w:rPr>
          <w:rFonts w:hint="eastAsia" w:ascii="仿宋" w:hAnsi="仿宋" w:eastAsia="仿宋"/>
          <w:b/>
          <w:color w:val="000000"/>
          <w:sz w:val="30"/>
          <w:szCs w:val="30"/>
        </w:rPr>
        <w:t>（二）组织开标程序</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浙江省政府采购中心将按照单一来源采购文件规定的时间、地点和程序组织开标，授权供应商代表及相关人员应参加开标会并接受核验、签到，无关人员不得进入开标现场。</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1、开标会由浙江省政府采购中心主持，主持人介绍开标现场的人员情况、开标纪律、应当回避的情形等注意事项，组织供应商签署不存在影响公平竞争的《政府采购活动现场确认声明书》。</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2、对供应商保证金缴纳情况进行查验、核实；</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3、当众拆封、清点单一来源响应文件（包括正本、副本）数量，将拆封后的资信及商务、技术文件由现场工作人员护送至指定的评审地点。</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4、协商结束后，主持人公布采购结果及公告方式等。</w:t>
      </w:r>
    </w:p>
    <w:p>
      <w:pPr>
        <w:pStyle w:val="26"/>
        <w:snapToGrid w:val="0"/>
        <w:spacing w:before="12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（三）组织协商程序</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浙江省政府采购中心将按照单一来源采购文件规定的时间、地点和程序组织协商，各协商成员及相关人员应参加采购活动并接受核验、签到，无关人员不得进入协商现场。</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1、核验出席采购活动现场的各成员和相关监督人员身份，并要求其分别登记、签到，按规定统一收缴、保存其通讯工具，无关人员一律拒绝其进入采购现场。</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2、介绍现场的人员情况，宣布工作纪律，告知协商小组人员应当回避情形；组织推选协商小组组长。</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3、宣读提交单一来源响应文件的供应商名单，组织协商小组各位成员签订《政府采购评审人员廉洁自律承诺书》。</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根据需要简要介绍单一来源采购文件（含补充文件）制定情况、按书面陈述项目基本情况及协商工作需注意事项等，让协商小组尽快知悉和了解所采购项目的采购需求、协商依据、工作程序等；提醒协商小组对采购项目应确定协商方法和轮次；</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5、做好采购现场相关记录，协助协商小组组长做好评审报告起草、有关内容电脑文字录入等工作，并要求协商小组各成员签字确认。</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6、采购结束后，浙江省政府采购中心应对协商小组各成员的专业水平、职业道德、遵纪守法等情况进行评价；同时按规定向协商人员发放费用，并交还协商人员及其他现场相关人员的通讯工具。</w:t>
      </w:r>
    </w:p>
    <w:p>
      <w:pPr>
        <w:pStyle w:val="26"/>
        <w:snapToGrid w:val="0"/>
        <w:spacing w:before="120" w:line="46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（四）协商小组协商程序</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1、在协商人员中推选协商小组组长。</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2、协商小组组长召集成员认真阅读单一来源采购文件以及相关材料，熟悉采购项目的基本概况，采购项目的质量要求、数量、主要技术标准或服务需求，采购合同主要条款，单一来源响应文件无效情形、协商依据、协商标准等。</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3、协商小组组长召集成员讨论确定协商方法和协商轮次。</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4、协商小组对单一来源响应文件的有效性、完整性和响应程度进行审查，确定是否作出实质性响应。</w:t>
      </w:r>
    </w:p>
    <w:p>
      <w:pPr>
        <w:pStyle w:val="26"/>
        <w:snapToGrid w:val="0"/>
        <w:spacing w:before="120" w:line="460" w:lineRule="exact"/>
        <w:ind w:firstLine="588" w:firstLineChars="196"/>
        <w:rPr>
          <w:rFonts w:ascii="仿宋" w:hAnsi="仿宋" w:eastAsia="仿宋"/>
          <w:bCs/>
          <w:color w:val="000000"/>
          <w:sz w:val="30"/>
          <w:szCs w:val="30"/>
        </w:rPr>
      </w:pPr>
      <w:r>
        <w:rPr>
          <w:rFonts w:hint="eastAsia" w:ascii="仿宋" w:hAnsi="仿宋" w:eastAsia="仿宋"/>
          <w:bCs/>
          <w:color w:val="000000"/>
          <w:sz w:val="30"/>
          <w:szCs w:val="30"/>
        </w:rPr>
        <w:t>5、协商小组对单一来源响应文件非实质性内容有疑议或异议，或者审查发现明显的文字或计算错误等，及时向协商小组组长提出。经协商小组商议认为需要供应商作出必要澄清或说明的，应通知该供应商以书面形式作出澄清或说明。书面通知及澄清说明文件应作为政府采购项目档案归档留存。</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6、协商小组与供应商就项目技术需求、服务、价格构成、供货、付款方式等要素进行协商，并要求其在规定时间内提交书面最终报价。</w:t>
      </w:r>
    </w:p>
    <w:p>
      <w:pPr>
        <w:spacing w:line="460" w:lineRule="exact"/>
        <w:ind w:firstLine="438" w:firstLineChars="146"/>
        <w:rPr>
          <w:rFonts w:ascii="仿宋" w:hAnsi="仿宋" w:eastAsia="仿宋"/>
          <w:sz w:val="30"/>
          <w:szCs w:val="30"/>
        </w:rPr>
      </w:pPr>
      <w:r>
        <w:rPr>
          <w:rFonts w:hint="eastAsia" w:ascii="仿宋" w:hAnsi="仿宋" w:eastAsia="仿宋"/>
          <w:sz w:val="30"/>
          <w:szCs w:val="30"/>
        </w:rPr>
        <w:t>7、协商小组对最终报价的合理性进行审核，并根据单一来源文件规定确定成交供应商。</w:t>
      </w:r>
    </w:p>
    <w:p>
      <w:pPr>
        <w:spacing w:before="120" w:beforeLines="50" w:after="120" w:afterLines="50" w:line="460" w:lineRule="exact"/>
        <w:ind w:firstLine="588" w:firstLineChars="196"/>
        <w:rPr>
          <w:rFonts w:ascii="仿宋" w:hAnsi="仿宋" w:eastAsia="仿宋"/>
          <w:b/>
          <w:bCs/>
          <w:sz w:val="30"/>
          <w:szCs w:val="30"/>
        </w:rPr>
      </w:pPr>
      <w:r>
        <w:rPr>
          <w:rFonts w:hint="eastAsia" w:ascii="仿宋" w:hAnsi="仿宋" w:eastAsia="仿宋"/>
          <w:sz w:val="30"/>
          <w:szCs w:val="30"/>
        </w:rPr>
        <w:t>8、起草评审报告，所有协商小组成员须在报告上签字确认。</w:t>
      </w:r>
    </w:p>
    <w:p>
      <w:pPr>
        <w:pStyle w:val="26"/>
        <w:snapToGrid w:val="0"/>
        <w:spacing w:before="120" w:line="460" w:lineRule="exact"/>
        <w:ind w:firstLine="602" w:firstLineChars="200"/>
        <w:rPr>
          <w:rFonts w:ascii="仿宋" w:hAnsi="仿宋" w:eastAsia="仿宋"/>
          <w:b/>
          <w:sz w:val="30"/>
          <w:szCs w:val="30"/>
        </w:rPr>
      </w:pPr>
      <w:r>
        <w:rPr>
          <w:rFonts w:hint="eastAsia" w:ascii="仿宋" w:hAnsi="仿宋" w:eastAsia="仿宋"/>
          <w:b/>
          <w:sz w:val="30"/>
          <w:szCs w:val="30"/>
        </w:rPr>
        <w:t>（五）采购原则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协商小组必须公平、公正、客观，不带任何倾向性和启发性；不得向外界透露任何与协商有关的内容，任何单位和个人不得干扰、影响协商的正常进行，协商小组及有关工作人员不得私下与供应商接触。</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1、协商人员因回避、临时缺席或健康原因等特殊情况不能继续参加采购工作的，应按规定更换协商人员,被更换的协商人员之前所作出的评审意见不再予以采纳，由更换后的协商人员重新进行协商。无法及时更换成员的，要立即停止采购工作、封存采购资料，并告知供应商重新采购的时间和地点。</w:t>
      </w:r>
    </w:p>
    <w:p>
      <w:pPr>
        <w:snapToGrid w:val="0"/>
        <w:spacing w:line="460" w:lineRule="exact"/>
        <w:ind w:firstLine="738" w:firstLineChars="246"/>
        <w:jc w:val="left"/>
        <w:rPr>
          <w:rFonts w:ascii="仿宋" w:hAnsi="仿宋" w:eastAsia="仿宋"/>
          <w:sz w:val="30"/>
          <w:szCs w:val="30"/>
        </w:rPr>
      </w:pPr>
      <w:r>
        <w:rPr>
          <w:rFonts w:hint="eastAsia" w:ascii="仿宋" w:hAnsi="仿宋" w:eastAsia="仿宋"/>
          <w:sz w:val="30"/>
          <w:szCs w:val="30"/>
        </w:rPr>
        <w:t>2、项目由协商小组根据质量和服务均能满足采购文件实质性响应要求且最后报价合理的原则确定成交供应商。</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3、采购结果由采购人代表签名确认。采购人若现场未签字确认且在规定时间内不提出异议的，视为默认。</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4、协商情况记录应当由采购全体人员签字认可。对记录有异议的采购人员，应当签署不同意见并说明理由。采购人员拒绝在记录上签字又不书面说明其不同意见和理由的，视为同意。</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5、采购结果经采购人确认后，采购中心将于2个工作日内在浙江省政府采购网上公告成交结果，并向成交供应商发出成交通知书。</w:t>
      </w:r>
    </w:p>
    <w:p>
      <w:pPr>
        <w:pStyle w:val="26"/>
        <w:snapToGrid w:val="0"/>
        <w:spacing w:before="120" w:line="460" w:lineRule="exact"/>
        <w:ind w:firstLine="596" w:firstLineChars="198"/>
        <w:outlineLvl w:val="1"/>
        <w:rPr>
          <w:rFonts w:ascii="仿宋" w:hAnsi="仿宋" w:eastAsia="仿宋"/>
          <w:b/>
          <w:sz w:val="30"/>
          <w:szCs w:val="30"/>
        </w:rPr>
      </w:pPr>
      <w:r>
        <w:rPr>
          <w:rFonts w:hint="eastAsia" w:ascii="仿宋" w:hAnsi="仿宋" w:eastAsia="仿宋"/>
          <w:b/>
          <w:sz w:val="30"/>
          <w:szCs w:val="30"/>
        </w:rPr>
        <w:t>四、合同授予</w:t>
      </w:r>
    </w:p>
    <w:p>
      <w:pPr>
        <w:snapToGrid w:val="0"/>
        <w:spacing w:line="460" w:lineRule="exact"/>
        <w:ind w:firstLine="590" w:firstLineChars="196"/>
        <w:rPr>
          <w:rFonts w:ascii="仿宋" w:hAnsi="仿宋" w:eastAsia="仿宋"/>
          <w:b/>
          <w:bCs/>
          <w:sz w:val="30"/>
          <w:szCs w:val="30"/>
        </w:rPr>
      </w:pPr>
      <w:r>
        <w:rPr>
          <w:rFonts w:hint="eastAsia" w:ascii="仿宋" w:hAnsi="仿宋" w:eastAsia="仿宋"/>
          <w:b/>
          <w:bCs/>
          <w:sz w:val="30"/>
          <w:szCs w:val="30"/>
        </w:rPr>
        <w:t>（一）签订合同</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1.采购人与成交供应商应当在《成交通知书》发出之日起30日内尽快签订政府采购合同，采购中心作为合同签订的鉴证方。</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2.成交供应商拖延、拒签合同的,将被扣罚单一来源采购保证金并取消成交资格。</w:t>
      </w:r>
    </w:p>
    <w:p>
      <w:pPr>
        <w:pStyle w:val="26"/>
        <w:snapToGrid w:val="0"/>
        <w:spacing w:before="120" w:line="460" w:lineRule="exact"/>
        <w:ind w:firstLine="590" w:firstLineChars="196"/>
        <w:rPr>
          <w:rFonts w:ascii="仿宋" w:hAnsi="仿宋" w:eastAsia="仿宋"/>
          <w:b/>
          <w:sz w:val="30"/>
          <w:szCs w:val="30"/>
        </w:rPr>
      </w:pPr>
      <w:r>
        <w:rPr>
          <w:rFonts w:hint="eastAsia" w:ascii="仿宋" w:hAnsi="仿宋" w:eastAsia="仿宋"/>
          <w:b/>
          <w:sz w:val="30"/>
          <w:szCs w:val="30"/>
        </w:rPr>
        <w:t>（二）履约保证金</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2、按合同约定办理履约保证金退还手续。</w:t>
      </w:r>
    </w:p>
    <w:p>
      <w:pPr>
        <w:pStyle w:val="26"/>
        <w:snapToGrid w:val="0"/>
        <w:spacing w:before="120" w:line="460" w:lineRule="exact"/>
        <w:ind w:firstLine="596" w:firstLineChars="198"/>
        <w:rPr>
          <w:rFonts w:ascii="仿宋" w:hAnsi="仿宋" w:eastAsia="仿宋"/>
          <w:b/>
          <w:sz w:val="30"/>
          <w:szCs w:val="30"/>
        </w:rPr>
      </w:pPr>
      <w:r>
        <w:rPr>
          <w:rFonts w:hint="eastAsia" w:ascii="仿宋" w:hAnsi="仿宋" w:eastAsia="仿宋"/>
          <w:b/>
          <w:sz w:val="30"/>
          <w:szCs w:val="30"/>
        </w:rPr>
        <w:t>五、货款的结算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货款由采购人自行支付。若资金在采购人处的，由采购人直接支付；若资金在核算中心的，由采购人向核算中心发起支付令，由核算中心把货款打入成交商帐户。</w:t>
      </w:r>
    </w:p>
    <w:p/>
    <w:p>
      <w:pPr>
        <w:pStyle w:val="44"/>
        <w:rPr>
          <w:rFonts w:ascii="仿宋" w:hAnsi="仿宋" w:eastAsia="仿宋"/>
          <w:spacing w:val="20"/>
          <w:sz w:val="30"/>
          <w:szCs w:val="30"/>
          <w:u w:val="single"/>
        </w:rPr>
      </w:pPr>
    </w:p>
    <w:p>
      <w:pPr>
        <w:pStyle w:val="44"/>
        <w:rPr>
          <w:rFonts w:ascii="仿宋" w:hAnsi="仿宋" w:eastAsia="仿宋"/>
          <w:sz w:val="30"/>
          <w:szCs w:val="30"/>
        </w:rPr>
      </w:pPr>
    </w:p>
    <w:p>
      <w:pPr>
        <w:spacing w:line="460" w:lineRule="exact"/>
        <w:ind w:firstLine="576" w:firstLineChars="192"/>
        <w:rPr>
          <w:rFonts w:ascii="仿宋" w:hAnsi="仿宋" w:eastAsia="仿宋"/>
          <w:sz w:val="30"/>
          <w:szCs w:val="30"/>
        </w:rPr>
      </w:pPr>
    </w:p>
    <w:p>
      <w:pPr>
        <w:spacing w:line="460" w:lineRule="exact"/>
        <w:ind w:firstLine="576" w:firstLineChars="192"/>
        <w:rPr>
          <w:rFonts w:ascii="仿宋" w:hAnsi="仿宋" w:eastAsia="仿宋"/>
          <w:sz w:val="30"/>
          <w:szCs w:val="30"/>
        </w:rPr>
      </w:pPr>
    </w:p>
    <w:p>
      <w:pPr>
        <w:spacing w:line="460" w:lineRule="exact"/>
        <w:ind w:firstLine="576" w:firstLineChars="192"/>
        <w:rPr>
          <w:rFonts w:ascii="仿宋" w:hAnsi="仿宋" w:eastAsia="仿宋"/>
          <w:sz w:val="30"/>
          <w:szCs w:val="30"/>
        </w:rPr>
      </w:pPr>
    </w:p>
    <w:p>
      <w:pPr>
        <w:spacing w:line="460" w:lineRule="exact"/>
        <w:ind w:firstLine="576" w:firstLineChars="192"/>
        <w:rPr>
          <w:rFonts w:ascii="仿宋" w:hAnsi="仿宋" w:eastAsia="仿宋"/>
          <w:sz w:val="30"/>
          <w:szCs w:val="30"/>
        </w:rPr>
      </w:pPr>
    </w:p>
    <w:p>
      <w:pPr>
        <w:pStyle w:val="44"/>
      </w:pPr>
      <w:r>
        <w:rPr>
          <w:b w:val="0"/>
          <w:bCs w:val="0"/>
        </w:rPr>
        <w:br w:type="page"/>
      </w:r>
      <w:bookmarkStart w:id="26" w:name="_Toc510136960"/>
      <w:r>
        <w:rPr>
          <w:rFonts w:hint="eastAsia"/>
        </w:rPr>
        <w:t>第三章</w:t>
      </w:r>
      <w:r>
        <w:t xml:space="preserve">  </w:t>
      </w:r>
      <w:r>
        <w:rPr>
          <w:rFonts w:hint="eastAsia"/>
        </w:rPr>
        <w:t>采购内容</w:t>
      </w:r>
      <w:bookmarkEnd w:id="26"/>
    </w:p>
    <w:p>
      <w:pPr>
        <w:snapToGrid w:val="0"/>
        <w:spacing w:before="120" w:beforeLines="50" w:after="120" w:afterLines="50"/>
        <w:ind w:left="238"/>
        <w:jc w:val="center"/>
        <w:rPr>
          <w:rFonts w:ascii="仿宋" w:hAnsi="仿宋" w:eastAsia="仿宋"/>
          <w:b/>
          <w:spacing w:val="40"/>
          <w:kern w:val="0"/>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根据浙财采监字[2007]2号文件规定：除采购文件明确的品牌外，欢迎其他能满足本项目技术需求且性能与所明确品牌相当的产品参加。</w:t>
      </w:r>
    </w:p>
    <w:p>
      <w:pPr>
        <w:pStyle w:val="2"/>
        <w:jc w:val="center"/>
        <w:rPr>
          <w:rFonts w:ascii="仿宋" w:hAnsi="仿宋" w:eastAsia="仿宋"/>
          <w:sz w:val="36"/>
          <w:szCs w:val="36"/>
        </w:rPr>
      </w:pPr>
      <w:r>
        <w:rPr>
          <w:rFonts w:hint="eastAsia" w:ascii="仿宋" w:hAnsi="仿宋" w:eastAsia="仿宋"/>
          <w:b/>
          <w:color w:val="000000"/>
          <w:sz w:val="30"/>
          <w:szCs w:val="30"/>
        </w:rPr>
        <w:t xml:space="preserve">                                                       </w:t>
      </w:r>
      <w:bookmarkStart w:id="27" w:name="PO_15526_PM048"/>
      <w:r>
        <w:rPr>
          <w:rFonts w:hint="eastAsia" w:ascii="仿宋" w:hAnsi="仿宋" w:eastAsia="仿宋"/>
          <w:b/>
          <w:color w:val="000000"/>
          <w:sz w:val="30"/>
          <w:szCs w:val="30"/>
          <w:lang w:eastAsia="zh-CN"/>
        </w:rPr>
        <w:t xml:space="preserve"> </w:t>
      </w:r>
      <w:bookmarkEnd w:id="27"/>
      <w:bookmarkStart w:id="28" w:name="PO_TDCUS_ITEM_P_REQ_FILE_1_1"/>
    </w:p>
    <w:p>
      <w:pPr>
        <w:pStyle w:val="152"/>
        <w:numPr>
          <w:ilvl w:val="0"/>
          <w:numId w:val="4"/>
        </w:numPr>
        <w:ind w:firstLineChars="0"/>
        <w:rPr>
          <w:rFonts w:ascii="仿宋" w:hAnsi="仿宋" w:eastAsia="仿宋"/>
          <w:b/>
          <w:bCs/>
          <w:sz w:val="28"/>
          <w:szCs w:val="28"/>
        </w:rPr>
      </w:pPr>
      <w:r>
        <w:rPr>
          <w:rFonts w:hint="eastAsia" w:ascii="仿宋" w:hAnsi="仿宋" w:eastAsia="仿宋"/>
          <w:b/>
          <w:bCs/>
          <w:sz w:val="28"/>
          <w:szCs w:val="28"/>
        </w:rPr>
        <w:t>项目背景</w:t>
      </w:r>
    </w:p>
    <w:p>
      <w:pPr>
        <w:pStyle w:val="152"/>
        <w:ind w:firstLine="560"/>
        <w:rPr>
          <w:rFonts w:ascii="仿宋" w:hAnsi="仿宋" w:eastAsia="仿宋"/>
          <w:sz w:val="28"/>
          <w:szCs w:val="28"/>
        </w:rPr>
      </w:pPr>
      <w:r>
        <w:rPr>
          <w:rFonts w:hint="eastAsia" w:ascii="仿宋" w:hAnsi="仿宋" w:eastAsia="仿宋"/>
          <w:sz w:val="28"/>
          <w:szCs w:val="28"/>
        </w:rPr>
        <w:t>浙江电脑福利彩票在最近几年稳步高速发展，销量连年增长在全国名列前茅，浙江省福彩中心整个投注销售业务，都是围绕核心数据进行工作。为了保障福彩中心电脑核心业务等系统正常运行，以单一来源的方式向中国电信股份有限公司浙江分公司采购</w:t>
      </w:r>
      <w:r>
        <w:rPr>
          <w:rFonts w:ascii="仿宋" w:hAnsi="仿宋" w:eastAsia="仿宋"/>
          <w:sz w:val="28"/>
          <w:szCs w:val="28"/>
        </w:rPr>
        <w:t>IDC</w:t>
      </w:r>
      <w:r>
        <w:rPr>
          <w:rFonts w:hint="eastAsia" w:ascii="仿宋" w:hAnsi="仿宋" w:eastAsia="仿宋"/>
          <w:sz w:val="28"/>
          <w:szCs w:val="28"/>
        </w:rPr>
        <w:t>、线路及安全运维服务，服务期限1年。确保整体业务的高可靠运行。</w:t>
      </w:r>
    </w:p>
    <w:p>
      <w:pPr>
        <w:pStyle w:val="152"/>
        <w:numPr>
          <w:ilvl w:val="0"/>
          <w:numId w:val="4"/>
        </w:numPr>
        <w:ind w:firstLineChars="0"/>
        <w:rPr>
          <w:rFonts w:ascii="仿宋" w:hAnsi="仿宋" w:eastAsia="仿宋"/>
          <w:b/>
          <w:bCs/>
          <w:sz w:val="28"/>
          <w:szCs w:val="28"/>
        </w:rPr>
      </w:pPr>
      <w:r>
        <w:rPr>
          <w:rFonts w:hint="eastAsia" w:ascii="仿宋" w:hAnsi="仿宋" w:eastAsia="仿宋"/>
          <w:b/>
          <w:bCs/>
          <w:sz w:val="28"/>
          <w:szCs w:val="28"/>
        </w:rPr>
        <w:t>采购内容</w:t>
      </w:r>
    </w:p>
    <w:p>
      <w:pPr>
        <w:pStyle w:val="152"/>
        <w:ind w:left="720" w:firstLine="0" w:firstLineChars="0"/>
        <w:rPr>
          <w:rFonts w:ascii="仿宋" w:hAnsi="仿宋" w:eastAsia="仿宋"/>
          <w:b/>
          <w:bCs/>
          <w:sz w:val="28"/>
          <w:szCs w:val="28"/>
        </w:rPr>
      </w:pPr>
      <w:r>
        <w:rPr>
          <w:rFonts w:hint="eastAsia" w:ascii="仿宋" w:hAnsi="仿宋" w:eastAsia="仿宋"/>
          <w:b/>
          <w:bCs/>
          <w:sz w:val="28"/>
          <w:szCs w:val="28"/>
        </w:rPr>
        <w:t>电脑彩票及即开型彩票系统专用线路和通讯安全服务，主要内容：</w:t>
      </w:r>
    </w:p>
    <w:p>
      <w:pPr>
        <w:rPr>
          <w:rFonts w:ascii="仿宋" w:hAnsi="仿宋" w:eastAsia="仿宋"/>
          <w:sz w:val="28"/>
          <w:szCs w:val="28"/>
        </w:rPr>
      </w:pPr>
      <w:r>
        <w:rPr>
          <w:rFonts w:hint="eastAsia" w:ascii="仿宋" w:hAnsi="仿宋" w:eastAsia="仿宋"/>
          <w:sz w:val="28"/>
          <w:szCs w:val="28"/>
        </w:rPr>
        <w:t>（1）、电脑彩票销售系统8条100M MSTP骨干网线路服务；</w:t>
      </w:r>
    </w:p>
    <w:p>
      <w:pPr>
        <w:rPr>
          <w:rFonts w:ascii="仿宋" w:hAnsi="仿宋" w:eastAsia="仿宋"/>
          <w:sz w:val="28"/>
          <w:szCs w:val="28"/>
        </w:rPr>
      </w:pPr>
      <w:r>
        <w:rPr>
          <w:rFonts w:hint="eastAsia" w:ascii="仿宋" w:hAnsi="仿宋" w:eastAsia="仿宋"/>
          <w:sz w:val="28"/>
          <w:szCs w:val="28"/>
        </w:rPr>
        <w:t>（2）、电脑彩票银行306业务2条1</w:t>
      </w:r>
      <w:r>
        <w:rPr>
          <w:rFonts w:ascii="仿宋" w:hAnsi="仿宋" w:eastAsia="仿宋"/>
          <w:sz w:val="28"/>
          <w:szCs w:val="28"/>
        </w:rPr>
        <w:t xml:space="preserve">00M </w:t>
      </w:r>
      <w:r>
        <w:rPr>
          <w:rFonts w:hint="eastAsia" w:ascii="仿宋" w:hAnsi="仿宋" w:eastAsia="仿宋"/>
          <w:sz w:val="28"/>
          <w:szCs w:val="28"/>
        </w:rPr>
        <w:t>MPLSVPN线路服务；</w:t>
      </w:r>
    </w:p>
    <w:p>
      <w:pPr>
        <w:rPr>
          <w:rFonts w:ascii="仿宋" w:hAnsi="仿宋" w:eastAsia="仿宋"/>
          <w:sz w:val="28"/>
          <w:szCs w:val="28"/>
        </w:rPr>
      </w:pPr>
      <w:r>
        <w:rPr>
          <w:rFonts w:hint="eastAsia" w:ascii="仿宋" w:hAnsi="仿宋" w:eastAsia="仿宋"/>
          <w:sz w:val="28"/>
          <w:szCs w:val="28"/>
        </w:rPr>
        <w:t>（3） 6个IDC机柜服务；</w:t>
      </w:r>
    </w:p>
    <w:p>
      <w:pPr>
        <w:rPr>
          <w:rFonts w:ascii="仿宋" w:hAnsi="仿宋" w:eastAsia="仿宋"/>
          <w:sz w:val="28"/>
          <w:szCs w:val="28"/>
        </w:rPr>
      </w:pPr>
      <w:r>
        <w:rPr>
          <w:rFonts w:hint="eastAsia" w:ascii="仿宋" w:hAnsi="仿宋" w:eastAsia="仿宋"/>
          <w:sz w:val="28"/>
          <w:szCs w:val="28"/>
        </w:rPr>
        <w:t>（4）、投注站点</w:t>
      </w:r>
      <w:r>
        <w:rPr>
          <w:rFonts w:ascii="仿宋" w:hAnsi="仿宋" w:eastAsia="仿宋"/>
          <w:sz w:val="28"/>
          <w:szCs w:val="28"/>
        </w:rPr>
        <w:t>6</w:t>
      </w:r>
      <w:r>
        <w:rPr>
          <w:rFonts w:hint="eastAsia" w:ascii="仿宋" w:hAnsi="仿宋" w:eastAsia="仿宋"/>
          <w:sz w:val="28"/>
          <w:szCs w:val="28"/>
        </w:rPr>
        <w:t>M</w:t>
      </w:r>
      <w:r>
        <w:rPr>
          <w:rFonts w:ascii="仿宋" w:hAnsi="仿宋" w:eastAsia="仿宋"/>
          <w:sz w:val="28"/>
          <w:szCs w:val="28"/>
        </w:rPr>
        <w:t xml:space="preserve"> VPDN</w:t>
      </w:r>
      <w:r>
        <w:rPr>
          <w:rFonts w:hint="eastAsia" w:ascii="仿宋" w:hAnsi="仿宋" w:eastAsia="仿宋"/>
          <w:sz w:val="28"/>
          <w:szCs w:val="28"/>
        </w:rPr>
        <w:t>线路运维及网络安全服务，预计</w:t>
      </w:r>
      <w:r>
        <w:rPr>
          <w:rFonts w:ascii="仿宋" w:hAnsi="仿宋" w:eastAsia="仿宋"/>
          <w:sz w:val="28"/>
          <w:szCs w:val="28"/>
        </w:rPr>
        <w:t>8</w:t>
      </w:r>
      <w:r>
        <w:rPr>
          <w:rFonts w:hint="eastAsia" w:ascii="仿宋" w:hAnsi="仿宋" w:eastAsia="仿宋"/>
          <w:sz w:val="28"/>
          <w:szCs w:val="28"/>
        </w:rPr>
        <w:t>2</w:t>
      </w:r>
      <w:r>
        <w:rPr>
          <w:rFonts w:ascii="仿宋" w:hAnsi="仿宋" w:eastAsia="仿宋"/>
          <w:sz w:val="28"/>
          <w:szCs w:val="28"/>
        </w:rPr>
        <w:t>00</w:t>
      </w:r>
      <w:r>
        <w:rPr>
          <w:rFonts w:hint="eastAsia" w:ascii="仿宋" w:hAnsi="仿宋" w:eastAsia="仿宋"/>
          <w:sz w:val="28"/>
          <w:szCs w:val="28"/>
        </w:rPr>
        <w:t>条；每月按实际开通数结算，每月总数不超过站点布机数及8</w:t>
      </w:r>
      <w:r>
        <w:rPr>
          <w:rFonts w:ascii="仿宋" w:hAnsi="仿宋" w:eastAsia="仿宋"/>
          <w:sz w:val="28"/>
          <w:szCs w:val="28"/>
        </w:rPr>
        <w:t>200</w:t>
      </w:r>
      <w:r>
        <w:rPr>
          <w:rFonts w:hint="eastAsia" w:ascii="仿宋" w:hAnsi="仿宋" w:eastAsia="仿宋"/>
          <w:sz w:val="28"/>
          <w:szCs w:val="28"/>
        </w:rPr>
        <w:t>条。</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IDC </w:t>
      </w:r>
      <w:r>
        <w:rPr>
          <w:rFonts w:hint="eastAsia" w:ascii="仿宋" w:hAnsi="仿宋" w:eastAsia="仿宋"/>
          <w:sz w:val="28"/>
          <w:szCs w:val="28"/>
        </w:rPr>
        <w:t>机房10</w:t>
      </w:r>
      <w:r>
        <w:rPr>
          <w:rFonts w:ascii="仿宋" w:hAnsi="仿宋" w:eastAsia="仿宋"/>
          <w:sz w:val="28"/>
          <w:szCs w:val="28"/>
        </w:rPr>
        <w:t>M</w:t>
      </w:r>
      <w:r>
        <w:rPr>
          <w:rFonts w:hint="eastAsia" w:ascii="仿宋" w:hAnsi="仿宋" w:eastAsia="仿宋"/>
          <w:sz w:val="28"/>
          <w:szCs w:val="28"/>
        </w:rPr>
        <w:t>互联网出口独享带宽1个；</w:t>
      </w:r>
    </w:p>
    <w:p>
      <w:pP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）、福彩即开票投注站到省福彩机房的VPDN线路接入服务；提供一条50M MSTP线路服务，用于即开型彩票业务；</w:t>
      </w:r>
    </w:p>
    <w:p>
      <w:pPr>
        <w:rPr>
          <w:rFonts w:ascii="仿宋" w:hAnsi="仿宋" w:eastAsia="仿宋"/>
          <w:sz w:val="28"/>
          <w:szCs w:val="28"/>
        </w:rPr>
      </w:pPr>
      <w:r>
        <w:rPr>
          <w:rFonts w:hint="eastAsia" w:ascii="仿宋" w:hAnsi="仿宋" w:eastAsia="仿宋"/>
          <w:sz w:val="28"/>
          <w:szCs w:val="28"/>
        </w:rPr>
        <w:t>（7）、互联网100M专线1条，互联网200M专线1条，MSTP电子政务网100M  线路1条。</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sectPr>
          <w:pgSz w:w="11906" w:h="16838"/>
          <w:pgMar w:top="1440" w:right="1800" w:bottom="1440" w:left="1800" w:header="851" w:footer="851" w:gutter="0"/>
          <w:cols w:space="720" w:num="1"/>
        </w:sectPr>
      </w:pPr>
    </w:p>
    <w:p>
      <w:pPr>
        <w:rPr>
          <w:rFonts w:ascii="仿宋" w:hAnsi="仿宋" w:eastAsia="仿宋"/>
          <w:b/>
          <w:bCs/>
          <w:sz w:val="28"/>
          <w:szCs w:val="28"/>
        </w:rPr>
      </w:pPr>
      <w:r>
        <w:rPr>
          <w:rFonts w:hint="eastAsia" w:ascii="仿宋" w:hAnsi="仿宋" w:eastAsia="仿宋"/>
          <w:b/>
          <w:bCs/>
          <w:sz w:val="28"/>
          <w:szCs w:val="28"/>
        </w:rPr>
        <w:t>IDC机柜及线路租用清单</w:t>
      </w:r>
    </w:p>
    <w:tbl>
      <w:tblPr>
        <w:tblStyle w:val="51"/>
        <w:tblW w:w="14786" w:type="dxa"/>
        <w:jc w:val="center"/>
        <w:tblInd w:w="0" w:type="dxa"/>
        <w:tblLayout w:type="fixed"/>
        <w:tblCellMar>
          <w:top w:w="0" w:type="dxa"/>
          <w:left w:w="108" w:type="dxa"/>
          <w:bottom w:w="0" w:type="dxa"/>
          <w:right w:w="108" w:type="dxa"/>
        </w:tblCellMar>
      </w:tblPr>
      <w:tblGrid>
        <w:gridCol w:w="1242"/>
        <w:gridCol w:w="1516"/>
        <w:gridCol w:w="1603"/>
        <w:gridCol w:w="949"/>
        <w:gridCol w:w="4842"/>
        <w:gridCol w:w="4634"/>
      </w:tblGrid>
      <w:tr>
        <w:tblPrEx>
          <w:tblLayout w:type="fixed"/>
          <w:tblCellMar>
            <w:top w:w="0" w:type="dxa"/>
            <w:left w:w="108" w:type="dxa"/>
            <w:bottom w:w="0" w:type="dxa"/>
            <w:right w:w="108" w:type="dxa"/>
          </w:tblCellMar>
        </w:tblPrEx>
        <w:trPr>
          <w:trHeight w:val="758" w:hRule="atLeast"/>
          <w:jc w:val="center"/>
        </w:trPr>
        <w:tc>
          <w:tcPr>
            <w:tcW w:w="14786"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8"/>
                <w:szCs w:val="28"/>
              </w:rPr>
            </w:pPr>
            <w:r>
              <w:rPr>
                <w:rFonts w:hint="eastAsia" w:ascii="仿宋" w:hAnsi="仿宋" w:eastAsia="仿宋"/>
                <w:b/>
                <w:bCs/>
                <w:sz w:val="28"/>
                <w:szCs w:val="28"/>
              </w:rPr>
              <w:t>省福利彩票管理中心线路表</w:t>
            </w:r>
          </w:p>
        </w:tc>
      </w:tr>
      <w:tr>
        <w:tblPrEx>
          <w:tblLayout w:type="fixed"/>
          <w:tblCellMar>
            <w:top w:w="0" w:type="dxa"/>
            <w:left w:w="108" w:type="dxa"/>
            <w:bottom w:w="0" w:type="dxa"/>
            <w:right w:w="108" w:type="dxa"/>
          </w:tblCellMar>
        </w:tblPrEx>
        <w:trPr>
          <w:trHeight w:val="2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线路名称</w:t>
            </w:r>
          </w:p>
        </w:tc>
        <w:tc>
          <w:tcPr>
            <w:tcW w:w="151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业务类型</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速率</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单位及数量</w:t>
            </w:r>
          </w:p>
        </w:tc>
        <w:tc>
          <w:tcPr>
            <w:tcW w:w="4842"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A端地址</w:t>
            </w:r>
          </w:p>
        </w:tc>
        <w:tc>
          <w:tcPr>
            <w:tcW w:w="4634"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8"/>
                <w:szCs w:val="28"/>
              </w:rPr>
            </w:pPr>
            <w:r>
              <w:rPr>
                <w:rFonts w:hint="eastAsia" w:ascii="仿宋" w:hAnsi="仿宋" w:eastAsia="仿宋"/>
                <w:b/>
                <w:bCs/>
                <w:sz w:val="28"/>
                <w:szCs w:val="28"/>
              </w:rPr>
              <w:t>Z端地址</w:t>
            </w:r>
          </w:p>
        </w:tc>
      </w:tr>
      <w:tr>
        <w:tblPrEx>
          <w:tblLayout w:type="fixed"/>
          <w:tblCellMar>
            <w:top w:w="0" w:type="dxa"/>
            <w:left w:w="108" w:type="dxa"/>
            <w:bottom w:w="0" w:type="dxa"/>
            <w:right w:w="108" w:type="dxa"/>
          </w:tblCellMar>
        </w:tblPrEx>
        <w:trPr>
          <w:trHeight w:val="270" w:hRule="atLeast"/>
          <w:jc w:val="center"/>
        </w:trPr>
        <w:tc>
          <w:tcPr>
            <w:tcW w:w="1242" w:type="dxa"/>
            <w:vMerge w:val="restart"/>
            <w:tcBorders>
              <w:top w:val="nil"/>
              <w:left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电脑彩票业务和容灾线路</w:t>
            </w:r>
          </w:p>
        </w:tc>
        <w:tc>
          <w:tcPr>
            <w:tcW w:w="1516" w:type="dxa"/>
            <w:tcBorders>
              <w:top w:val="nil"/>
              <w:left w:val="nil"/>
              <w:bottom w:val="single" w:color="auto" w:sz="4" w:space="0"/>
              <w:right w:val="single" w:color="auto" w:sz="4" w:space="0"/>
            </w:tcBorders>
            <w:vAlign w:val="bottom"/>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杭州市下城区 体育场路352号武林5楼数据机房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bottom"/>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杭州市江干区 清江路257号电信大楼三楼南机房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bottom"/>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杭州市下城区 体育场路352号武林5楼数据机房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bottom"/>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w:t>
            </w:r>
            <w:r>
              <w:rPr>
                <w:rFonts w:ascii="仿宋" w:hAnsi="仿宋" w:eastAsia="仿宋"/>
                <w:sz w:val="24"/>
                <w:szCs w:val="24"/>
              </w:rPr>
              <w:t>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杭州市江干区 清江路257号电信大楼三楼南机房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r>
      <w:tr>
        <w:tblPrEx>
          <w:tblLayout w:type="fixed"/>
          <w:tblCellMar>
            <w:top w:w="0" w:type="dxa"/>
            <w:left w:w="108" w:type="dxa"/>
            <w:bottom w:w="0" w:type="dxa"/>
            <w:right w:w="108" w:type="dxa"/>
          </w:tblCellMar>
        </w:tblPrEx>
        <w:trPr>
          <w:trHeight w:val="270" w:hRule="atLeast"/>
          <w:jc w:val="center"/>
        </w:trPr>
        <w:tc>
          <w:tcPr>
            <w:tcW w:w="1242" w:type="dxa"/>
            <w:vMerge w:val="continue"/>
            <w:tcBorders>
              <w:left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r>
      <w:tr>
        <w:tblPrEx>
          <w:tblLayout w:type="fixed"/>
          <w:tblCellMar>
            <w:top w:w="0" w:type="dxa"/>
            <w:left w:w="108" w:type="dxa"/>
            <w:bottom w:w="0" w:type="dxa"/>
            <w:right w:w="108" w:type="dxa"/>
          </w:tblCellMar>
        </w:tblPrEx>
        <w:trPr>
          <w:trHeight w:val="534" w:hRule="atLeast"/>
          <w:jc w:val="center"/>
        </w:trPr>
        <w:tc>
          <w:tcPr>
            <w:tcW w:w="1242" w:type="dxa"/>
            <w:vMerge w:val="continue"/>
            <w:tcBorders>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兴议村十五组51号IDC机房福彩机柜</w:t>
            </w:r>
          </w:p>
        </w:tc>
      </w:tr>
      <w:tr>
        <w:tblPrEx>
          <w:tblLayout w:type="fixed"/>
          <w:tblCellMar>
            <w:top w:w="0" w:type="dxa"/>
            <w:left w:w="108" w:type="dxa"/>
            <w:bottom w:w="0" w:type="dxa"/>
            <w:right w:w="108" w:type="dxa"/>
          </w:tblCellMar>
        </w:tblPrEx>
        <w:trPr>
          <w:trHeight w:val="534" w:hRule="atLeast"/>
          <w:jc w:val="center"/>
        </w:trPr>
        <w:tc>
          <w:tcPr>
            <w:tcW w:w="1242" w:type="dxa"/>
            <w:tcBorders>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中福在线视频监控线路</w:t>
            </w: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互联网专线</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p>
        </w:tc>
      </w:tr>
      <w:tr>
        <w:tblPrEx>
          <w:tblLayout w:type="fixed"/>
          <w:tblCellMar>
            <w:top w:w="0" w:type="dxa"/>
            <w:left w:w="108" w:type="dxa"/>
            <w:bottom w:w="0" w:type="dxa"/>
            <w:right w:w="108" w:type="dxa"/>
          </w:tblCellMar>
        </w:tblPrEx>
        <w:trPr>
          <w:trHeight w:val="534" w:hRule="atLeast"/>
          <w:jc w:val="center"/>
        </w:trPr>
        <w:tc>
          <w:tcPr>
            <w:tcW w:w="1242" w:type="dxa"/>
            <w:tcBorders>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福彩大楼办公线路</w:t>
            </w:r>
          </w:p>
        </w:tc>
        <w:tc>
          <w:tcPr>
            <w:tcW w:w="1516"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互联网专线</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200</w:t>
            </w:r>
            <w:r>
              <w:rPr>
                <w:rFonts w:hint="eastAsia" w:ascii="仿宋" w:hAnsi="仿宋" w:eastAsia="仿宋"/>
                <w:sz w:val="24"/>
                <w:szCs w:val="24"/>
              </w:rPr>
              <w:t>M</w:t>
            </w:r>
          </w:p>
        </w:tc>
        <w:tc>
          <w:tcPr>
            <w:tcW w:w="94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nil"/>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余杭区五常街道荆长路539号福彩大楼负1楼机房</w:t>
            </w:r>
          </w:p>
        </w:tc>
        <w:tc>
          <w:tcPr>
            <w:tcW w:w="4634" w:type="dxa"/>
            <w:tcBorders>
              <w:top w:val="nil"/>
              <w:left w:val="nil"/>
              <w:bottom w:val="single" w:color="auto" w:sz="4" w:space="0"/>
              <w:right w:val="single" w:color="auto" w:sz="4" w:space="0"/>
            </w:tcBorders>
            <w:vAlign w:val="bottom"/>
          </w:tcPr>
          <w:p>
            <w:pPr>
              <w:rPr>
                <w:rFonts w:ascii="仿宋" w:hAnsi="仿宋" w:eastAsia="仿宋"/>
                <w:sz w:val="24"/>
                <w:szCs w:val="24"/>
              </w:rPr>
            </w:pPr>
          </w:p>
        </w:tc>
      </w:tr>
      <w:tr>
        <w:tblPrEx>
          <w:tblLayout w:type="fixed"/>
          <w:tblCellMar>
            <w:top w:w="0" w:type="dxa"/>
            <w:left w:w="108" w:type="dxa"/>
            <w:bottom w:w="0" w:type="dxa"/>
            <w:right w:w="108" w:type="dxa"/>
          </w:tblCellMar>
        </w:tblPrEx>
        <w:trPr>
          <w:trHeight w:val="53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电子政务网</w:t>
            </w:r>
          </w:p>
        </w:tc>
        <w:tc>
          <w:tcPr>
            <w:tcW w:w="151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MSTP</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100M</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省民政厅</w:t>
            </w:r>
          </w:p>
        </w:tc>
      </w:tr>
      <w:tr>
        <w:tblPrEx>
          <w:tblLayout w:type="fixed"/>
          <w:tblCellMar>
            <w:top w:w="0" w:type="dxa"/>
            <w:left w:w="108" w:type="dxa"/>
            <w:bottom w:w="0" w:type="dxa"/>
            <w:right w:w="108" w:type="dxa"/>
          </w:tblCellMar>
        </w:tblPrEx>
        <w:trPr>
          <w:trHeight w:val="53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IDC远程维护及监控</w:t>
            </w:r>
          </w:p>
        </w:tc>
        <w:tc>
          <w:tcPr>
            <w:tcW w:w="151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互联网专线</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10M</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IDC机房</w:t>
            </w:r>
          </w:p>
        </w:tc>
        <w:tc>
          <w:tcPr>
            <w:tcW w:w="4634"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p>
        </w:tc>
      </w:tr>
      <w:tr>
        <w:tblPrEx>
          <w:tblLayout w:type="fixed"/>
          <w:tblCellMar>
            <w:top w:w="0" w:type="dxa"/>
            <w:left w:w="108" w:type="dxa"/>
            <w:bottom w:w="0" w:type="dxa"/>
            <w:right w:w="108" w:type="dxa"/>
          </w:tblCellMar>
        </w:tblPrEx>
        <w:trPr>
          <w:trHeight w:val="285" w:hRule="atLeast"/>
          <w:jc w:val="center"/>
        </w:trPr>
        <w:tc>
          <w:tcPr>
            <w:tcW w:w="1242" w:type="dxa"/>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银行306业务</w:t>
            </w:r>
          </w:p>
        </w:tc>
        <w:tc>
          <w:tcPr>
            <w:tcW w:w="151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ＭＰＬＳ</w:t>
            </w:r>
          </w:p>
          <w:p>
            <w:pPr>
              <w:jc w:val="center"/>
              <w:rPr>
                <w:rFonts w:ascii="仿宋" w:hAnsi="仿宋" w:eastAsia="仿宋"/>
                <w:sz w:val="24"/>
                <w:szCs w:val="24"/>
              </w:rPr>
            </w:pPr>
            <w:r>
              <w:rPr>
                <w:rFonts w:hint="eastAsia" w:ascii="仿宋" w:hAnsi="仿宋" w:eastAsia="仿宋"/>
                <w:sz w:val="24"/>
                <w:szCs w:val="24"/>
              </w:rPr>
              <w:t>ＶＰＮ</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100</w:t>
            </w:r>
            <w:r>
              <w:rPr>
                <w:rFonts w:hint="eastAsia" w:ascii="仿宋" w:hAnsi="仿宋" w:eastAsia="仿宋"/>
                <w:sz w:val="24"/>
                <w:szCs w:val="24"/>
              </w:rPr>
              <w:t>M</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条</w:t>
            </w:r>
          </w:p>
        </w:tc>
        <w:tc>
          <w:tcPr>
            <w:tcW w:w="4842"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c>
          <w:tcPr>
            <w:tcW w:w="4634"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p>
        </w:tc>
      </w:tr>
      <w:tr>
        <w:tblPrEx>
          <w:tblLayout w:type="fixed"/>
          <w:tblCellMar>
            <w:top w:w="0" w:type="dxa"/>
            <w:left w:w="108" w:type="dxa"/>
            <w:bottom w:w="0" w:type="dxa"/>
            <w:right w:w="108" w:type="dxa"/>
          </w:tblCellMar>
        </w:tblPrEx>
        <w:trPr>
          <w:trHeight w:val="2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即开票VPDN业务</w:t>
            </w:r>
          </w:p>
        </w:tc>
        <w:tc>
          <w:tcPr>
            <w:tcW w:w="1516"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即开票VPDN接入服务（含平台和电路）</w:t>
            </w:r>
          </w:p>
        </w:tc>
        <w:tc>
          <w:tcPr>
            <w:tcW w:w="1603"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50</w:t>
            </w:r>
            <w:r>
              <w:rPr>
                <w:rFonts w:ascii="仿宋" w:hAnsi="仿宋" w:eastAsia="仿宋"/>
                <w:sz w:val="24"/>
                <w:szCs w:val="24"/>
              </w:rPr>
              <w:t>M</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1条</w:t>
            </w:r>
          </w:p>
        </w:tc>
        <w:tc>
          <w:tcPr>
            <w:tcW w:w="4842"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杭州市下城区 体育场路352号武林5楼数据机房</w:t>
            </w:r>
          </w:p>
        </w:tc>
        <w:tc>
          <w:tcPr>
            <w:tcW w:w="4634" w:type="dxa"/>
            <w:tcBorders>
              <w:top w:val="single" w:color="auto" w:sz="4" w:space="0"/>
              <w:left w:val="nil"/>
              <w:bottom w:val="single" w:color="auto" w:sz="4" w:space="0"/>
              <w:right w:val="single" w:color="auto" w:sz="4" w:space="0"/>
            </w:tcBorders>
            <w:vAlign w:val="bottom"/>
          </w:tcPr>
          <w:p>
            <w:pPr>
              <w:rPr>
                <w:rFonts w:ascii="仿宋" w:hAnsi="仿宋" w:eastAsia="仿宋"/>
                <w:sz w:val="24"/>
                <w:szCs w:val="24"/>
              </w:rPr>
            </w:pPr>
            <w:r>
              <w:rPr>
                <w:rFonts w:hint="eastAsia" w:ascii="仿宋" w:hAnsi="仿宋" w:eastAsia="仿宋"/>
                <w:sz w:val="24"/>
                <w:szCs w:val="24"/>
              </w:rPr>
              <w:t>余杭区五常街道荆长路539号福彩大楼2楼机房</w:t>
            </w:r>
          </w:p>
        </w:tc>
      </w:tr>
      <w:tr>
        <w:tblPrEx>
          <w:tblLayout w:type="fixed"/>
          <w:tblCellMar>
            <w:top w:w="0" w:type="dxa"/>
            <w:left w:w="108" w:type="dxa"/>
            <w:bottom w:w="0" w:type="dxa"/>
            <w:right w:w="108" w:type="dxa"/>
          </w:tblCellMar>
        </w:tblPrEx>
        <w:trPr>
          <w:trHeight w:val="2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IDC机柜</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机柜租赁</w:t>
            </w:r>
          </w:p>
        </w:tc>
        <w:tc>
          <w:tcPr>
            <w:tcW w:w="160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42U标准机柜</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6个</w:t>
            </w:r>
          </w:p>
        </w:tc>
        <w:tc>
          <w:tcPr>
            <w:tcW w:w="4842"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xml:space="preserve">兴议1期机柜 </w:t>
            </w:r>
          </w:p>
        </w:tc>
        <w:tc>
          <w:tcPr>
            <w:tcW w:w="4634"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兴议1期4号机房</w:t>
            </w:r>
          </w:p>
        </w:tc>
      </w:tr>
      <w:tr>
        <w:tblPrEx>
          <w:tblLayout w:type="fixed"/>
          <w:tblCellMar>
            <w:top w:w="0" w:type="dxa"/>
            <w:left w:w="108" w:type="dxa"/>
            <w:bottom w:w="0" w:type="dxa"/>
            <w:right w:w="108" w:type="dxa"/>
          </w:tblCellMar>
        </w:tblPrEx>
        <w:trPr>
          <w:trHeight w:val="2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IDC运维服务</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运维服务</w:t>
            </w:r>
          </w:p>
        </w:tc>
        <w:tc>
          <w:tcPr>
            <w:tcW w:w="160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1项</w:t>
            </w:r>
          </w:p>
        </w:tc>
        <w:tc>
          <w:tcPr>
            <w:tcW w:w="4842" w:type="dxa"/>
            <w:tcBorders>
              <w:top w:val="single" w:color="auto" w:sz="4" w:space="0"/>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兴议1期机房</w:t>
            </w:r>
          </w:p>
        </w:tc>
        <w:tc>
          <w:tcPr>
            <w:tcW w:w="4634" w:type="dxa"/>
            <w:tcBorders>
              <w:top w:val="single" w:color="auto" w:sz="4" w:space="0"/>
              <w:left w:val="nil"/>
              <w:bottom w:val="single" w:color="auto" w:sz="4" w:space="0"/>
              <w:right w:val="single" w:color="auto" w:sz="4" w:space="0"/>
            </w:tcBorders>
            <w:vAlign w:val="center"/>
          </w:tcPr>
          <w:p>
            <w:pPr>
              <w:pStyle w:val="152"/>
              <w:numPr>
                <w:ilvl w:val="0"/>
                <w:numId w:val="5"/>
              </w:numPr>
              <w:ind w:firstLineChars="0"/>
              <w:rPr>
                <w:rFonts w:ascii="仿宋" w:hAnsi="仿宋" w:eastAsia="仿宋"/>
                <w:sz w:val="24"/>
                <w:szCs w:val="24"/>
              </w:rPr>
            </w:pPr>
            <w:r>
              <w:rPr>
                <w:rFonts w:hint="eastAsia" w:ascii="仿宋" w:hAnsi="仿宋" w:eastAsia="仿宋"/>
                <w:sz w:val="24"/>
                <w:szCs w:val="24"/>
              </w:rPr>
              <w:t>兴议IDC</w:t>
            </w:r>
            <w:r>
              <w:rPr>
                <w:rFonts w:ascii="仿宋" w:hAnsi="仿宋" w:eastAsia="仿宋"/>
                <w:sz w:val="24"/>
                <w:szCs w:val="24"/>
              </w:rPr>
              <w:t>6</w:t>
            </w:r>
            <w:r>
              <w:rPr>
                <w:rFonts w:hint="eastAsia" w:ascii="仿宋" w:hAnsi="仿宋" w:eastAsia="仿宋"/>
                <w:sz w:val="24"/>
                <w:szCs w:val="24"/>
              </w:rPr>
              <w:t>个机柜内所有设备的日常巡检和应急维护。</w:t>
            </w:r>
          </w:p>
          <w:p>
            <w:pPr>
              <w:pStyle w:val="152"/>
              <w:numPr>
                <w:ilvl w:val="0"/>
                <w:numId w:val="5"/>
              </w:numPr>
              <w:ind w:firstLineChars="0"/>
              <w:rPr>
                <w:rFonts w:ascii="仿宋" w:hAnsi="仿宋" w:eastAsia="仿宋"/>
                <w:sz w:val="24"/>
                <w:szCs w:val="24"/>
              </w:rPr>
            </w:pPr>
            <w:r>
              <w:rPr>
                <w:rFonts w:hint="eastAsia" w:ascii="仿宋" w:hAnsi="仿宋" w:eastAsia="仿宋"/>
                <w:sz w:val="24"/>
                <w:szCs w:val="24"/>
              </w:rPr>
              <w:t>堡垒机1台；H3C 路由器2台；H3C S7503交换机2台；天融信防火墙2台；启明星漏洞扫描系统1套；</w:t>
            </w:r>
            <w:r>
              <w:rPr>
                <w:rFonts w:ascii="仿宋" w:hAnsi="仿宋" w:eastAsia="仿宋"/>
                <w:sz w:val="24"/>
                <w:szCs w:val="24"/>
              </w:rPr>
              <w:t>IBM</w:t>
            </w:r>
            <w:r>
              <w:rPr>
                <w:rFonts w:hint="eastAsia" w:ascii="仿宋" w:hAnsi="仿宋" w:eastAsia="仿宋"/>
                <w:sz w:val="24"/>
                <w:szCs w:val="24"/>
              </w:rPr>
              <w:t xml:space="preserve"> S824小型机1台；</w:t>
            </w:r>
            <w:r>
              <w:rPr>
                <w:rFonts w:ascii="仿宋" w:hAnsi="仿宋" w:eastAsia="仿宋"/>
                <w:sz w:val="24"/>
                <w:szCs w:val="24"/>
              </w:rPr>
              <w:t>EMC VNX-5600</w:t>
            </w:r>
            <w:r>
              <w:rPr>
                <w:rFonts w:hint="eastAsia" w:ascii="仿宋" w:hAnsi="仿宋" w:eastAsia="仿宋"/>
                <w:sz w:val="24"/>
                <w:szCs w:val="24"/>
              </w:rPr>
              <w:t>存储1台，以上设备维保服务。</w:t>
            </w:r>
          </w:p>
        </w:tc>
      </w:tr>
    </w:tbl>
    <w:p>
      <w:pPr>
        <w:rPr>
          <w:rFonts w:ascii="仿宋" w:hAnsi="仿宋" w:eastAsia="仿宋"/>
          <w:sz w:val="28"/>
          <w:szCs w:val="28"/>
        </w:rPr>
        <w:sectPr>
          <w:pgSz w:w="16838" w:h="11906" w:orient="landscape"/>
          <w:pgMar w:top="1304" w:right="1134" w:bottom="1304" w:left="1134" w:header="794" w:footer="794" w:gutter="0"/>
          <w:pgNumType w:start="1"/>
          <w:cols w:space="720" w:num="1"/>
          <w:titlePg/>
          <w:docGrid w:linePitch="312" w:charSpace="0"/>
        </w:sectPr>
      </w:pPr>
    </w:p>
    <w:p>
      <w:pPr>
        <w:rPr>
          <w:rFonts w:ascii="仿宋" w:hAnsi="仿宋" w:eastAsia="仿宋"/>
          <w:b/>
          <w:bCs/>
          <w:sz w:val="28"/>
          <w:szCs w:val="28"/>
        </w:rPr>
      </w:pPr>
      <w:r>
        <w:rPr>
          <w:rFonts w:hint="eastAsia" w:ascii="仿宋" w:hAnsi="仿宋" w:eastAsia="仿宋"/>
          <w:b/>
          <w:bCs/>
          <w:sz w:val="28"/>
          <w:szCs w:val="28"/>
        </w:rPr>
        <w:t>站点</w:t>
      </w:r>
      <w:r>
        <w:rPr>
          <w:rFonts w:ascii="仿宋" w:hAnsi="仿宋" w:eastAsia="仿宋"/>
          <w:b/>
          <w:bCs/>
          <w:sz w:val="28"/>
          <w:szCs w:val="28"/>
        </w:rPr>
        <w:t>VPDN线路</w:t>
      </w:r>
      <w:r>
        <w:rPr>
          <w:rFonts w:hint="eastAsia" w:ascii="仿宋" w:hAnsi="仿宋" w:eastAsia="仿宋"/>
          <w:b/>
          <w:bCs/>
          <w:sz w:val="28"/>
          <w:szCs w:val="28"/>
        </w:rPr>
        <w:t>清单</w:t>
      </w:r>
    </w:p>
    <w:tbl>
      <w:tblPr>
        <w:tblStyle w:val="51"/>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057"/>
        <w:gridCol w:w="1134"/>
        <w:gridCol w:w="113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8"/>
                <w:szCs w:val="28"/>
              </w:rPr>
            </w:pPr>
            <w:r>
              <w:rPr>
                <w:rFonts w:hint="eastAsia" w:ascii="仿宋" w:hAnsi="仿宋" w:eastAsia="仿宋"/>
                <w:b/>
                <w:sz w:val="28"/>
                <w:szCs w:val="28"/>
              </w:rPr>
              <w:t>序号</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8"/>
                <w:szCs w:val="28"/>
              </w:rPr>
            </w:pPr>
            <w:r>
              <w:rPr>
                <w:rFonts w:hint="eastAsia" w:ascii="仿宋" w:hAnsi="仿宋" w:eastAsia="仿宋"/>
                <w:b/>
                <w:sz w:val="28"/>
                <w:szCs w:val="28"/>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8"/>
                <w:szCs w:val="28"/>
              </w:rPr>
            </w:pPr>
            <w:r>
              <w:rPr>
                <w:rFonts w:hint="eastAsia" w:ascii="仿宋" w:hAnsi="仿宋" w:eastAsia="仿宋"/>
                <w:b/>
                <w:sz w:val="28"/>
                <w:szCs w:val="28"/>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8"/>
                <w:szCs w:val="28"/>
              </w:rPr>
            </w:pPr>
            <w:r>
              <w:rPr>
                <w:rFonts w:hint="eastAsia" w:ascii="仿宋" w:hAnsi="仿宋" w:eastAsia="仿宋"/>
                <w:b/>
                <w:sz w:val="28"/>
                <w:szCs w:val="28"/>
              </w:rPr>
              <w:t>单位</w:t>
            </w:r>
          </w:p>
        </w:tc>
        <w:tc>
          <w:tcPr>
            <w:tcW w:w="43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6M</w:t>
            </w:r>
            <w:r>
              <w:rPr>
                <w:rFonts w:ascii="仿宋" w:hAnsi="仿宋" w:eastAsia="仿宋"/>
                <w:sz w:val="24"/>
                <w:szCs w:val="24"/>
              </w:rPr>
              <w:t xml:space="preserve"> VPDN</w:t>
            </w:r>
            <w:r>
              <w:rPr>
                <w:rFonts w:hint="eastAsia" w:ascii="仿宋" w:hAnsi="仿宋" w:eastAsia="仿宋"/>
                <w:sz w:val="24"/>
                <w:szCs w:val="24"/>
              </w:rPr>
              <w:t>线路运维及安全防护服务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不超过</w:t>
            </w:r>
            <w:r>
              <w:rPr>
                <w:rFonts w:ascii="仿宋" w:hAnsi="仿宋" w:eastAsia="仿宋"/>
                <w:sz w:val="24"/>
                <w:szCs w:val="24"/>
              </w:rPr>
              <w:t>8200</w:t>
            </w:r>
          </w:p>
          <w:p>
            <w:pPr>
              <w:spacing w:line="360" w:lineRule="auto"/>
              <w:jc w:val="center"/>
              <w:rPr>
                <w:rFonts w:ascii="仿宋" w:hAnsi="仿宋" w:eastAsia="仿宋"/>
                <w:sz w:val="24"/>
                <w:szCs w:val="24"/>
              </w:rPr>
            </w:pPr>
            <w:r>
              <w:rPr>
                <w:rFonts w:hint="eastAsia" w:ascii="仿宋" w:hAnsi="仿宋" w:eastAsia="仿宋"/>
                <w:sz w:val="24"/>
                <w:szCs w:val="24"/>
              </w:rPr>
              <w:t>（每月按实际使用结算）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条</w:t>
            </w:r>
          </w:p>
        </w:tc>
        <w:tc>
          <w:tcPr>
            <w:tcW w:w="439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szCs w:val="24"/>
              </w:rPr>
            </w:pPr>
            <w:r>
              <w:rPr>
                <w:rFonts w:hint="eastAsia" w:ascii="仿宋" w:hAnsi="仿宋" w:eastAsia="仿宋"/>
                <w:sz w:val="24"/>
                <w:szCs w:val="24"/>
              </w:rPr>
              <w:t>1.全省投注站点接入；</w:t>
            </w:r>
          </w:p>
          <w:p>
            <w:pPr>
              <w:spacing w:line="360" w:lineRule="auto"/>
              <w:rPr>
                <w:rFonts w:ascii="仿宋" w:hAnsi="仿宋" w:eastAsia="仿宋"/>
                <w:sz w:val="24"/>
                <w:szCs w:val="24"/>
              </w:rPr>
            </w:pPr>
            <w:r>
              <w:rPr>
                <w:rFonts w:hint="eastAsia" w:ascii="仿宋" w:hAnsi="仿宋" w:eastAsia="仿宋"/>
                <w:sz w:val="24"/>
                <w:szCs w:val="24"/>
              </w:rPr>
              <w:t>2.全省约8</w:t>
            </w:r>
            <w:r>
              <w:rPr>
                <w:rFonts w:ascii="仿宋" w:hAnsi="仿宋" w:eastAsia="仿宋"/>
                <w:sz w:val="24"/>
                <w:szCs w:val="24"/>
              </w:rPr>
              <w:t>2</w:t>
            </w:r>
            <w:r>
              <w:rPr>
                <w:rFonts w:hint="eastAsia" w:ascii="仿宋" w:hAnsi="仿宋" w:eastAsia="仿宋"/>
                <w:sz w:val="24"/>
                <w:szCs w:val="24"/>
              </w:rPr>
              <w:t>00个投注站点</w:t>
            </w:r>
            <w:r>
              <w:rPr>
                <w:rFonts w:ascii="仿宋" w:hAnsi="仿宋" w:eastAsia="仿宋"/>
                <w:sz w:val="24"/>
                <w:szCs w:val="24"/>
              </w:rPr>
              <w:t>VPDN</w:t>
            </w:r>
            <w:r>
              <w:rPr>
                <w:rFonts w:hint="eastAsia" w:ascii="仿宋" w:hAnsi="仿宋" w:eastAsia="仿宋"/>
                <w:sz w:val="24"/>
                <w:szCs w:val="24"/>
              </w:rPr>
              <w:t>线路参数绑定、日常维护，设备维护，故障报修等；</w:t>
            </w:r>
          </w:p>
          <w:p>
            <w:pPr>
              <w:spacing w:line="360" w:lineRule="auto"/>
              <w:rPr>
                <w:rFonts w:ascii="仿宋" w:hAnsi="仿宋" w:eastAsia="仿宋"/>
                <w:sz w:val="24"/>
                <w:szCs w:val="24"/>
              </w:rPr>
            </w:pPr>
            <w:r>
              <w:rPr>
                <w:rFonts w:hint="eastAsia" w:ascii="仿宋" w:hAnsi="仿宋" w:eastAsia="仿宋"/>
                <w:sz w:val="24"/>
                <w:szCs w:val="24"/>
              </w:rPr>
              <w:t>3.电脑彩票IDC机房数据中心网络安全保障及设备的日常维护、巡检、报修；</w:t>
            </w:r>
          </w:p>
          <w:p>
            <w:pPr>
              <w:spacing w:line="360" w:lineRule="auto"/>
              <w:rPr>
                <w:rFonts w:ascii="仿宋" w:hAnsi="仿宋" w:eastAsia="仿宋"/>
                <w:sz w:val="24"/>
                <w:szCs w:val="24"/>
              </w:rPr>
            </w:pPr>
            <w:r>
              <w:rPr>
                <w:rFonts w:hint="eastAsia" w:ascii="仿宋" w:hAnsi="仿宋" w:eastAsia="仿宋"/>
                <w:sz w:val="24"/>
                <w:szCs w:val="24"/>
              </w:rPr>
              <w:t>4.定期统计VPDN链路的访问质量，如丢包、重传、访问慢等；</w:t>
            </w:r>
          </w:p>
          <w:p>
            <w:pPr>
              <w:spacing w:line="360" w:lineRule="auto"/>
              <w:rPr>
                <w:rFonts w:ascii="仿宋" w:hAnsi="仿宋" w:eastAsia="仿宋"/>
                <w:sz w:val="24"/>
                <w:szCs w:val="24"/>
              </w:rPr>
            </w:pPr>
            <w:r>
              <w:rPr>
                <w:rFonts w:hint="eastAsia" w:ascii="仿宋" w:hAnsi="仿宋" w:eastAsia="仿宋"/>
                <w:sz w:val="24"/>
                <w:szCs w:val="24"/>
              </w:rPr>
              <w:t>5.定期检查和评估VPDN网络及数据中心核心网络安全状况，发现潜在安全问题，如内网主机感染蠕虫、僵尸网络、木马等安全威胁等；</w:t>
            </w:r>
          </w:p>
          <w:p>
            <w:pPr>
              <w:spacing w:line="360" w:lineRule="auto"/>
              <w:rPr>
                <w:rFonts w:ascii="仿宋" w:hAnsi="仿宋" w:eastAsia="仿宋"/>
                <w:sz w:val="24"/>
                <w:szCs w:val="24"/>
              </w:rPr>
            </w:pPr>
            <w:r>
              <w:rPr>
                <w:rFonts w:hint="eastAsia" w:ascii="仿宋" w:hAnsi="仿宋" w:eastAsia="仿宋"/>
                <w:sz w:val="24"/>
                <w:szCs w:val="24"/>
              </w:rPr>
              <w:t>6.提供驻场工程师一名，开展各项日常维护工作。</w:t>
            </w:r>
          </w:p>
        </w:tc>
      </w:tr>
    </w:tbl>
    <w:p>
      <w:pPr>
        <w:rPr>
          <w:rFonts w:ascii="仿宋" w:hAnsi="仿宋" w:eastAsia="仿宋"/>
          <w:sz w:val="28"/>
          <w:szCs w:val="28"/>
        </w:rPr>
      </w:pPr>
    </w:p>
    <w:p>
      <w:pPr>
        <w:rPr>
          <w:rFonts w:ascii="仿宋" w:hAnsi="仿宋" w:eastAsia="仿宋"/>
          <w:sz w:val="28"/>
          <w:szCs w:val="28"/>
        </w:rPr>
      </w:pPr>
    </w:p>
    <w:p>
      <w:pPr>
        <w:pStyle w:val="152"/>
        <w:numPr>
          <w:ilvl w:val="0"/>
          <w:numId w:val="4"/>
        </w:numPr>
        <w:ind w:firstLineChars="0"/>
        <w:rPr>
          <w:rFonts w:ascii="仿宋" w:hAnsi="仿宋" w:eastAsia="仿宋"/>
          <w:b/>
          <w:bCs/>
          <w:sz w:val="28"/>
          <w:szCs w:val="28"/>
        </w:rPr>
      </w:pPr>
      <w:r>
        <w:rPr>
          <w:rFonts w:hint="eastAsia" w:ascii="仿宋" w:hAnsi="仿宋" w:eastAsia="仿宋"/>
          <w:b/>
          <w:bCs/>
          <w:sz w:val="28"/>
          <w:szCs w:val="28"/>
        </w:rPr>
        <w:t>技术服务类要求</w:t>
      </w:r>
    </w:p>
    <w:p>
      <w:pPr>
        <w:spacing w:line="360" w:lineRule="auto"/>
        <w:rPr>
          <w:rFonts w:ascii="仿宋" w:hAnsi="仿宋" w:eastAsia="仿宋"/>
          <w:b/>
          <w:sz w:val="28"/>
          <w:szCs w:val="28"/>
        </w:rPr>
      </w:pPr>
      <w:r>
        <w:rPr>
          <w:rFonts w:hint="eastAsia" w:ascii="仿宋" w:hAnsi="仿宋" w:eastAsia="仿宋"/>
          <w:b/>
          <w:sz w:val="28"/>
          <w:szCs w:val="28"/>
        </w:rPr>
        <w:t>1、</w:t>
      </w:r>
      <w:r>
        <w:rPr>
          <w:rFonts w:ascii="Calibri" w:hAnsi="Calibri" w:eastAsia="仿宋" w:cs="Calibri"/>
          <w:b/>
          <w:sz w:val="28"/>
          <w:szCs w:val="28"/>
        </w:rPr>
        <w:t> </w:t>
      </w:r>
      <w:r>
        <w:rPr>
          <w:rFonts w:hint="eastAsia" w:ascii="仿宋" w:hAnsi="仿宋" w:eastAsia="仿宋"/>
          <w:b/>
          <w:sz w:val="28"/>
          <w:szCs w:val="28"/>
        </w:rPr>
        <w:t xml:space="preserve"> 线路服务</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1）、传输线路技术指标:</w:t>
      </w:r>
    </w:p>
    <w:p>
      <w:pPr>
        <w:spacing w:line="360" w:lineRule="auto"/>
        <w:rPr>
          <w:rFonts w:ascii="仿宋" w:hAnsi="仿宋" w:eastAsia="仿宋"/>
          <w:sz w:val="28"/>
          <w:szCs w:val="28"/>
        </w:rPr>
      </w:pPr>
      <w:r>
        <w:rPr>
          <w:rFonts w:hint="eastAsia" w:ascii="仿宋" w:hAnsi="仿宋" w:eastAsia="仿宋"/>
          <w:sz w:val="28"/>
          <w:szCs w:val="28"/>
        </w:rPr>
        <w:t>（1）线路纳入性能优良的承载网系统中，确保电路的服务质量，保证可用率优于99.9</w:t>
      </w:r>
      <w:r>
        <w:rPr>
          <w:rFonts w:ascii="仿宋" w:hAnsi="仿宋" w:eastAsia="仿宋"/>
          <w:sz w:val="28"/>
          <w:szCs w:val="28"/>
        </w:rPr>
        <w:t>5</w:t>
      </w:r>
      <w:r>
        <w:rPr>
          <w:rFonts w:hint="eastAsia" w:ascii="仿宋" w:hAnsi="仿宋" w:eastAsia="仿宋"/>
          <w:sz w:val="28"/>
          <w:szCs w:val="28"/>
        </w:rPr>
        <w:t>%；</w:t>
      </w:r>
    </w:p>
    <w:p>
      <w:pPr>
        <w:spacing w:line="360" w:lineRule="auto"/>
        <w:rPr>
          <w:rFonts w:ascii="仿宋" w:hAnsi="仿宋" w:eastAsia="仿宋"/>
          <w:sz w:val="28"/>
          <w:szCs w:val="28"/>
        </w:rPr>
      </w:pPr>
      <w:r>
        <w:rPr>
          <w:rFonts w:hint="eastAsia" w:ascii="仿宋" w:hAnsi="仿宋" w:eastAsia="仿宋"/>
          <w:sz w:val="28"/>
          <w:szCs w:val="28"/>
        </w:rPr>
        <w:t>（2）同一电路障碍重复率≤3次/年；</w:t>
      </w:r>
    </w:p>
    <w:p>
      <w:pPr>
        <w:spacing w:line="360" w:lineRule="auto"/>
        <w:rPr>
          <w:rFonts w:ascii="仿宋" w:hAnsi="仿宋" w:eastAsia="仿宋"/>
          <w:sz w:val="28"/>
          <w:szCs w:val="28"/>
        </w:rPr>
      </w:pPr>
      <w:r>
        <w:rPr>
          <w:rFonts w:hint="eastAsia" w:ascii="仿宋" w:hAnsi="仿宋" w:eastAsia="仿宋"/>
          <w:sz w:val="28"/>
          <w:szCs w:val="28"/>
        </w:rPr>
        <w:t>（3）线路产生故障后，4小时内恢复电路正常使用。</w:t>
      </w:r>
    </w:p>
    <w:p>
      <w:pPr>
        <w:spacing w:line="360" w:lineRule="auto"/>
        <w:rPr>
          <w:rFonts w:ascii="仿宋" w:hAnsi="仿宋" w:eastAsia="仿宋"/>
          <w:sz w:val="28"/>
          <w:szCs w:val="28"/>
        </w:rPr>
      </w:pP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2）、线路运维服务要求：</w:t>
      </w:r>
    </w:p>
    <w:p>
      <w:pPr>
        <w:spacing w:line="360" w:lineRule="auto"/>
        <w:rPr>
          <w:rFonts w:ascii="仿宋" w:hAnsi="仿宋" w:eastAsia="仿宋"/>
          <w:sz w:val="28"/>
          <w:szCs w:val="28"/>
        </w:rPr>
      </w:pPr>
      <w:r>
        <w:rPr>
          <w:rFonts w:hint="eastAsia" w:ascii="仿宋" w:hAnsi="仿宋" w:eastAsia="仿宋"/>
          <w:sz w:val="28"/>
          <w:szCs w:val="28"/>
        </w:rPr>
        <w:t>（1）提供7*24小时故障申告受理服务；</w:t>
      </w:r>
    </w:p>
    <w:p>
      <w:pPr>
        <w:spacing w:line="360" w:lineRule="auto"/>
        <w:rPr>
          <w:rFonts w:ascii="仿宋" w:hAnsi="仿宋" w:eastAsia="仿宋"/>
          <w:sz w:val="28"/>
          <w:szCs w:val="28"/>
        </w:rPr>
      </w:pPr>
      <w:r>
        <w:rPr>
          <w:rFonts w:hint="eastAsia" w:ascii="仿宋" w:hAnsi="仿宋" w:eastAsia="仿宋"/>
          <w:sz w:val="28"/>
          <w:szCs w:val="28"/>
        </w:rPr>
        <w:t>（2）接到线路故障申告后应在30分钟内对申告进行响应，说明预期故障处理时间，一般故障1小时内排除；</w:t>
      </w:r>
    </w:p>
    <w:p>
      <w:pPr>
        <w:spacing w:line="360" w:lineRule="auto"/>
        <w:rPr>
          <w:rFonts w:ascii="仿宋" w:hAnsi="仿宋" w:eastAsia="仿宋"/>
          <w:sz w:val="28"/>
          <w:szCs w:val="28"/>
        </w:rPr>
      </w:pPr>
      <w:r>
        <w:rPr>
          <w:rFonts w:hint="eastAsia" w:ascii="仿宋" w:hAnsi="仿宋" w:eastAsia="仿宋"/>
          <w:sz w:val="28"/>
          <w:szCs w:val="28"/>
        </w:rPr>
        <w:t>（3）对业务阻断超过2小时的线路故障，故障处理结束后，两个工作日内提交故障处理报告；</w:t>
      </w:r>
    </w:p>
    <w:p>
      <w:pPr>
        <w:spacing w:line="360" w:lineRule="auto"/>
        <w:rPr>
          <w:rFonts w:ascii="仿宋" w:hAnsi="仿宋" w:eastAsia="仿宋"/>
          <w:sz w:val="28"/>
          <w:szCs w:val="28"/>
        </w:rPr>
      </w:pPr>
      <w:r>
        <w:rPr>
          <w:rFonts w:hint="eastAsia" w:ascii="仿宋" w:hAnsi="仿宋" w:eastAsia="仿宋"/>
          <w:sz w:val="28"/>
          <w:szCs w:val="28"/>
        </w:rPr>
        <w:t>（4）对每一次线路故障及故障处理情况都进行完整、准确的记录，根据需要随时进行故障记录查询。</w:t>
      </w:r>
    </w:p>
    <w:p>
      <w:pPr>
        <w:spacing w:line="360" w:lineRule="auto"/>
        <w:rPr>
          <w:rFonts w:ascii="仿宋" w:hAnsi="仿宋" w:eastAsia="仿宋"/>
          <w:sz w:val="28"/>
          <w:szCs w:val="28"/>
        </w:rPr>
      </w:pP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3）、日常的维护保障：</w:t>
      </w:r>
    </w:p>
    <w:p>
      <w:pPr>
        <w:spacing w:line="360" w:lineRule="auto"/>
        <w:rPr>
          <w:rFonts w:ascii="仿宋" w:hAnsi="仿宋" w:eastAsia="仿宋"/>
          <w:sz w:val="28"/>
          <w:szCs w:val="28"/>
        </w:rPr>
      </w:pPr>
      <w:r>
        <w:rPr>
          <w:rFonts w:hint="eastAsia" w:ascii="仿宋" w:hAnsi="仿宋" w:eastAsia="仿宋"/>
          <w:sz w:val="28"/>
          <w:szCs w:val="28"/>
        </w:rPr>
        <w:t>（1）提供网络检测服务，定期提供网络运行报告（包括电路的可用情况）；</w:t>
      </w:r>
    </w:p>
    <w:p>
      <w:pPr>
        <w:spacing w:line="360" w:lineRule="auto"/>
        <w:rPr>
          <w:rFonts w:ascii="仿宋" w:hAnsi="仿宋" w:eastAsia="仿宋"/>
          <w:sz w:val="28"/>
          <w:szCs w:val="28"/>
        </w:rPr>
      </w:pPr>
      <w:r>
        <w:rPr>
          <w:rFonts w:hint="eastAsia" w:ascii="仿宋" w:hAnsi="仿宋" w:eastAsia="仿宋"/>
          <w:sz w:val="28"/>
          <w:szCs w:val="28"/>
        </w:rPr>
        <w:t>（2）当月故障清单、故障发生时间和结束时间、故障的详细原因、线路的流量情况等），并分析网络运行情况；</w:t>
      </w:r>
    </w:p>
    <w:p>
      <w:pPr>
        <w:spacing w:line="360" w:lineRule="auto"/>
        <w:rPr>
          <w:rFonts w:ascii="仿宋" w:hAnsi="仿宋" w:eastAsia="仿宋"/>
          <w:sz w:val="28"/>
          <w:szCs w:val="28"/>
        </w:rPr>
      </w:pPr>
      <w:r>
        <w:rPr>
          <w:rFonts w:hint="eastAsia" w:ascii="仿宋" w:hAnsi="仿宋" w:eastAsia="仿宋"/>
          <w:sz w:val="28"/>
          <w:szCs w:val="28"/>
        </w:rPr>
        <w:t>（3）定期对网路运行情况和故障情况进行汇总，评估网路健康状况，分析网路中存在的安全隐患和薄弱环节，以便对线路故障进行预先防范；</w:t>
      </w:r>
    </w:p>
    <w:p>
      <w:pPr>
        <w:spacing w:line="360" w:lineRule="auto"/>
        <w:rPr>
          <w:rFonts w:ascii="仿宋" w:hAnsi="仿宋" w:eastAsia="仿宋"/>
          <w:sz w:val="28"/>
          <w:szCs w:val="28"/>
        </w:rPr>
      </w:pPr>
      <w:r>
        <w:rPr>
          <w:rFonts w:hint="eastAsia" w:ascii="仿宋" w:hAnsi="仿宋" w:eastAsia="仿宋"/>
          <w:sz w:val="28"/>
          <w:szCs w:val="28"/>
        </w:rPr>
        <w:t>（4）专门设立维护支撑人员，对线路进行维护和管理；</w:t>
      </w:r>
    </w:p>
    <w:p>
      <w:pPr>
        <w:spacing w:line="360" w:lineRule="auto"/>
        <w:rPr>
          <w:rFonts w:ascii="仿宋" w:hAnsi="仿宋" w:eastAsia="仿宋"/>
          <w:sz w:val="28"/>
          <w:szCs w:val="28"/>
        </w:rPr>
      </w:pPr>
      <w:r>
        <w:rPr>
          <w:rFonts w:hint="eastAsia" w:ascii="仿宋" w:hAnsi="仿宋" w:eastAsia="仿宋"/>
          <w:sz w:val="28"/>
          <w:szCs w:val="28"/>
        </w:rPr>
        <w:t>（5）放置在中标方的设备、线路进行定期的巡检维护，并提供巡检报告；</w:t>
      </w:r>
    </w:p>
    <w:p>
      <w:pPr>
        <w:spacing w:line="360" w:lineRule="auto"/>
        <w:rPr>
          <w:rFonts w:ascii="仿宋" w:hAnsi="仿宋" w:eastAsia="仿宋"/>
          <w:sz w:val="28"/>
          <w:szCs w:val="28"/>
        </w:rPr>
      </w:pPr>
      <w:r>
        <w:rPr>
          <w:rFonts w:hint="eastAsia" w:ascii="仿宋" w:hAnsi="仿宋" w:eastAsia="仿宋"/>
          <w:sz w:val="28"/>
          <w:szCs w:val="28"/>
        </w:rPr>
        <w:t>（6）建立联系制度，沟通网络运行情况和服务情况。</w:t>
      </w:r>
    </w:p>
    <w:p>
      <w:pPr>
        <w:spacing w:line="360" w:lineRule="auto"/>
        <w:rPr>
          <w:rFonts w:ascii="仿宋" w:hAnsi="仿宋" w:eastAsia="仿宋"/>
          <w:b/>
          <w:sz w:val="28"/>
          <w:szCs w:val="28"/>
        </w:rPr>
      </w:pPr>
      <w:r>
        <w:rPr>
          <w:rFonts w:hint="eastAsia" w:ascii="仿宋" w:hAnsi="仿宋" w:eastAsia="仿宋"/>
          <w:b/>
          <w:sz w:val="28"/>
          <w:szCs w:val="28"/>
        </w:rPr>
        <w:t>2、IDC服务</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1）、IDC环境要求：</w:t>
      </w:r>
    </w:p>
    <w:p>
      <w:pPr>
        <w:spacing w:line="360" w:lineRule="auto"/>
        <w:ind w:firstLine="565" w:firstLineChars="202"/>
        <w:rPr>
          <w:rFonts w:ascii="仿宋" w:hAnsi="仿宋" w:eastAsia="仿宋"/>
          <w:sz w:val="28"/>
          <w:szCs w:val="28"/>
        </w:rPr>
      </w:pPr>
      <w:r>
        <w:rPr>
          <w:rFonts w:hint="eastAsia" w:ascii="仿宋" w:hAnsi="仿宋" w:eastAsia="仿宋"/>
          <w:sz w:val="28"/>
          <w:szCs w:val="28"/>
        </w:rPr>
        <w:t>（1）IDC中心电力保障：提供两路一类市电，配备油机，采用UPS双系统供电模式；</w:t>
      </w:r>
    </w:p>
    <w:p>
      <w:pPr>
        <w:spacing w:line="360" w:lineRule="auto"/>
        <w:ind w:firstLine="565" w:firstLineChars="202"/>
        <w:rPr>
          <w:rFonts w:ascii="仿宋" w:hAnsi="仿宋" w:eastAsia="仿宋"/>
          <w:sz w:val="28"/>
          <w:szCs w:val="28"/>
        </w:rPr>
      </w:pPr>
      <w:r>
        <w:rPr>
          <w:rFonts w:hint="eastAsia" w:ascii="仿宋" w:hAnsi="仿宋" w:eastAsia="仿宋"/>
          <w:sz w:val="28"/>
          <w:szCs w:val="28"/>
        </w:rPr>
        <w:t>（2）需要配备防火设备：包括喷洒器防火装置，烟雾检测和火警；</w:t>
      </w:r>
    </w:p>
    <w:p>
      <w:pPr>
        <w:spacing w:line="360" w:lineRule="auto"/>
        <w:ind w:firstLine="565" w:firstLineChars="202"/>
        <w:rPr>
          <w:rFonts w:ascii="仿宋" w:hAnsi="仿宋" w:eastAsia="仿宋"/>
          <w:sz w:val="28"/>
          <w:szCs w:val="28"/>
        </w:rPr>
      </w:pPr>
      <w:r>
        <w:rPr>
          <w:rFonts w:hint="eastAsia" w:ascii="仿宋" w:hAnsi="仿宋" w:eastAsia="仿宋"/>
          <w:sz w:val="28"/>
          <w:szCs w:val="28"/>
        </w:rPr>
        <w:t>（3）具备7*24小时监控，可监控机房消防、空调、电源、UPS等。</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2）、IDC运维服务要求：</w:t>
      </w:r>
    </w:p>
    <w:p>
      <w:pPr>
        <w:spacing w:line="360" w:lineRule="auto"/>
        <w:ind w:firstLine="425" w:firstLineChars="152"/>
        <w:rPr>
          <w:rFonts w:ascii="仿宋" w:hAnsi="仿宋" w:eastAsia="仿宋"/>
          <w:sz w:val="28"/>
          <w:szCs w:val="28"/>
        </w:rPr>
      </w:pPr>
      <w:r>
        <w:rPr>
          <w:rFonts w:hint="eastAsia" w:ascii="仿宋" w:hAnsi="仿宋" w:eastAsia="仿宋"/>
          <w:sz w:val="28"/>
          <w:szCs w:val="28"/>
        </w:rPr>
        <w:t>（1）提供7*24小时不间断电话支持服务，客户可以通过电话直接联络相关技术工程师，为相关问题的解决方案提供技术指导；</w:t>
      </w:r>
    </w:p>
    <w:p>
      <w:pPr>
        <w:spacing w:line="360" w:lineRule="auto"/>
        <w:ind w:firstLine="425" w:firstLineChars="152"/>
        <w:rPr>
          <w:rFonts w:ascii="仿宋" w:hAnsi="仿宋" w:eastAsia="仿宋"/>
          <w:sz w:val="28"/>
          <w:szCs w:val="28"/>
        </w:rPr>
      </w:pPr>
      <w:r>
        <w:rPr>
          <w:rFonts w:hint="eastAsia" w:ascii="仿宋" w:hAnsi="仿宋" w:eastAsia="仿宋"/>
          <w:sz w:val="28"/>
          <w:szCs w:val="28"/>
        </w:rPr>
        <w:t>（2）提供系统维护的质量报表，反映系统的总体运行情况，并回顾系统的改进和调整工作等内容；</w:t>
      </w:r>
    </w:p>
    <w:p>
      <w:pPr>
        <w:spacing w:line="360" w:lineRule="auto"/>
        <w:ind w:firstLine="425" w:firstLineChars="152"/>
        <w:rPr>
          <w:rFonts w:ascii="仿宋" w:hAnsi="仿宋" w:eastAsia="仿宋"/>
          <w:sz w:val="28"/>
          <w:szCs w:val="28"/>
        </w:rPr>
      </w:pPr>
      <w:r>
        <w:rPr>
          <w:rFonts w:hint="eastAsia" w:ascii="仿宋" w:hAnsi="仿宋" w:eastAsia="仿宋"/>
          <w:sz w:val="28"/>
          <w:szCs w:val="28"/>
        </w:rPr>
        <w:t>（3）一旦发生紧急问题，相关的维护工程师迅速赶赴现场，解决故障；</w:t>
      </w:r>
    </w:p>
    <w:p>
      <w:pPr>
        <w:spacing w:line="360" w:lineRule="auto"/>
        <w:ind w:firstLine="425" w:firstLineChars="152"/>
        <w:rPr>
          <w:rFonts w:ascii="仿宋" w:hAnsi="仿宋" w:eastAsia="仿宋"/>
          <w:sz w:val="28"/>
          <w:szCs w:val="28"/>
        </w:rPr>
      </w:pPr>
      <w:r>
        <w:rPr>
          <w:rFonts w:hint="eastAsia" w:ascii="仿宋" w:hAnsi="仿宋" w:eastAsia="仿宋"/>
          <w:sz w:val="28"/>
          <w:szCs w:val="28"/>
        </w:rPr>
        <w:t>（4）提供定期的设备检查服务；</w:t>
      </w:r>
    </w:p>
    <w:p>
      <w:pPr>
        <w:spacing w:line="360" w:lineRule="auto"/>
        <w:ind w:firstLine="425" w:firstLineChars="152"/>
        <w:rPr>
          <w:rFonts w:ascii="仿宋" w:hAnsi="仿宋" w:eastAsia="仿宋"/>
          <w:sz w:val="28"/>
          <w:szCs w:val="28"/>
        </w:rPr>
      </w:pPr>
      <w:r>
        <w:rPr>
          <w:rFonts w:hint="eastAsia" w:ascii="仿宋" w:hAnsi="仿宋" w:eastAsia="仿宋"/>
          <w:sz w:val="28"/>
          <w:szCs w:val="28"/>
        </w:rPr>
        <w:t>（5）重大事件或者活动时，提供相应的技术支持，制定相应的实施方案，并安排相应的维护人员进行技术支持，保证系统在重大事件期间运行无误；</w:t>
      </w:r>
    </w:p>
    <w:p>
      <w:pPr>
        <w:spacing w:line="360" w:lineRule="auto"/>
        <w:ind w:firstLine="425" w:firstLineChars="152"/>
        <w:rPr>
          <w:rFonts w:ascii="仿宋" w:hAnsi="仿宋" w:eastAsia="仿宋"/>
          <w:sz w:val="28"/>
          <w:szCs w:val="28"/>
        </w:rPr>
      </w:pPr>
      <w:r>
        <w:rPr>
          <w:rFonts w:hint="eastAsia" w:ascii="仿宋" w:hAnsi="仿宋" w:eastAsia="仿宋"/>
          <w:sz w:val="28"/>
          <w:szCs w:val="28"/>
        </w:rPr>
        <w:t>（6）当故障涉及多方厂家或系统而客户无法进行准确故障定位时，提供技术支持，辅助客户进行准确的故障定位。</w:t>
      </w:r>
    </w:p>
    <w:p>
      <w:pPr>
        <w:spacing w:line="360" w:lineRule="auto"/>
        <w:rPr>
          <w:rFonts w:ascii="仿宋" w:hAnsi="仿宋" w:eastAsia="仿宋"/>
          <w:b/>
          <w:sz w:val="28"/>
          <w:szCs w:val="28"/>
        </w:rPr>
      </w:pPr>
    </w:p>
    <w:p>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、VPDN技术服务</w:t>
      </w:r>
    </w:p>
    <w:p>
      <w:pPr>
        <w:spacing w:line="360" w:lineRule="auto"/>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）接入技术标准：</w:t>
      </w:r>
    </w:p>
    <w:p>
      <w:pPr>
        <w:spacing w:line="360" w:lineRule="auto"/>
        <w:rPr>
          <w:rFonts w:ascii="仿宋" w:hAnsi="仿宋" w:eastAsia="仿宋"/>
          <w:bCs/>
          <w:sz w:val="28"/>
          <w:szCs w:val="28"/>
        </w:rPr>
      </w:pPr>
      <w:r>
        <w:rPr>
          <w:rFonts w:hint="eastAsia" w:ascii="仿宋" w:hAnsi="仿宋" w:eastAsia="仿宋"/>
          <w:bCs/>
          <w:sz w:val="28"/>
          <w:szCs w:val="28"/>
        </w:rPr>
        <w:t>（1）VPDN技术标准</w:t>
      </w:r>
    </w:p>
    <w:p>
      <w:pPr>
        <w:numPr>
          <w:ilvl w:val="0"/>
          <w:numId w:val="6"/>
        </w:numPr>
        <w:spacing w:line="360" w:lineRule="auto"/>
        <w:ind w:left="560" w:hanging="560" w:hangingChars="200"/>
        <w:rPr>
          <w:rFonts w:ascii="仿宋" w:hAnsi="仿宋" w:eastAsia="仿宋"/>
          <w:bCs/>
          <w:sz w:val="28"/>
          <w:szCs w:val="28"/>
        </w:rPr>
      </w:pPr>
      <w:r>
        <w:rPr>
          <w:rFonts w:hint="eastAsia" w:ascii="仿宋" w:hAnsi="仿宋" w:eastAsia="仿宋"/>
          <w:bCs/>
          <w:sz w:val="28"/>
          <w:szCs w:val="28"/>
        </w:rPr>
        <w:t>在平台网络侧BRAS，LNS设备，AAA认证平台提供双冗余保护；</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支持L2TP隧道协议；</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支持PPP拨号协议。</w:t>
      </w:r>
    </w:p>
    <w:p>
      <w:pPr>
        <w:spacing w:line="360" w:lineRule="auto"/>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）、线路运维服务要求</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提供7×24小时故障申告受理服务；</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提供7×24小时不间断技术支持，并提供“一站式”服务；</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建立联系制度，沟通网络运行情况和服务情况；</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将线路参数在系统内进行绑定，实现一线专用，避免投注站点随意移机。</w:t>
      </w:r>
    </w:p>
    <w:p>
      <w:pPr>
        <w:numPr>
          <w:ilvl w:val="0"/>
          <w:numId w:val="6"/>
        </w:numPr>
        <w:spacing w:line="360" w:lineRule="auto"/>
        <w:rPr>
          <w:rFonts w:ascii="仿宋" w:hAnsi="仿宋" w:eastAsia="仿宋"/>
          <w:bCs/>
          <w:sz w:val="28"/>
          <w:szCs w:val="28"/>
        </w:rPr>
      </w:pPr>
      <w:r>
        <w:rPr>
          <w:rFonts w:hint="eastAsia" w:ascii="仿宋" w:hAnsi="仿宋" w:eastAsia="仿宋"/>
          <w:bCs/>
          <w:sz w:val="28"/>
          <w:szCs w:val="28"/>
        </w:rPr>
        <w:t>数据中心线路发生故障，要求</w:t>
      </w:r>
      <w:r>
        <w:rPr>
          <w:rFonts w:ascii="仿宋" w:hAnsi="仿宋" w:eastAsia="仿宋"/>
          <w:bCs/>
          <w:sz w:val="28"/>
          <w:szCs w:val="28"/>
        </w:rPr>
        <w:t>1</w:t>
      </w:r>
      <w:r>
        <w:rPr>
          <w:rFonts w:hint="eastAsia" w:ascii="仿宋" w:hAnsi="仿宋" w:eastAsia="仿宋"/>
          <w:bCs/>
          <w:sz w:val="28"/>
          <w:szCs w:val="28"/>
        </w:rPr>
        <w:t>小时内恢复，投注站点线路发生故障，要求24小时内恢复。</w:t>
      </w:r>
    </w:p>
    <w:p>
      <w:pPr>
        <w:spacing w:line="360" w:lineRule="auto"/>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、设备运维、安全服务要求</w:t>
      </w:r>
    </w:p>
    <w:p>
      <w:pPr>
        <w:numPr>
          <w:ilvl w:val="0"/>
          <w:numId w:val="7"/>
        </w:numPr>
        <w:spacing w:line="360" w:lineRule="auto"/>
        <w:rPr>
          <w:rFonts w:ascii="仿宋" w:hAnsi="仿宋" w:eastAsia="仿宋"/>
          <w:bCs/>
          <w:sz w:val="28"/>
          <w:szCs w:val="28"/>
        </w:rPr>
      </w:pPr>
      <w:r>
        <w:rPr>
          <w:rFonts w:hint="eastAsia" w:ascii="仿宋" w:hAnsi="仿宋" w:eastAsia="仿宋"/>
          <w:bCs/>
          <w:sz w:val="28"/>
          <w:szCs w:val="28"/>
        </w:rPr>
        <w:t>提供7×24小时故障申告受理服务；</w:t>
      </w:r>
    </w:p>
    <w:p>
      <w:pPr>
        <w:numPr>
          <w:ilvl w:val="0"/>
          <w:numId w:val="7"/>
        </w:numPr>
        <w:spacing w:line="360" w:lineRule="auto"/>
        <w:rPr>
          <w:rFonts w:ascii="仿宋" w:hAnsi="仿宋" w:eastAsia="仿宋"/>
          <w:bCs/>
          <w:sz w:val="28"/>
          <w:szCs w:val="28"/>
        </w:rPr>
      </w:pPr>
      <w:r>
        <w:rPr>
          <w:rFonts w:hint="eastAsia" w:ascii="仿宋" w:hAnsi="仿宋" w:eastAsia="仿宋"/>
          <w:bCs/>
          <w:sz w:val="28"/>
          <w:szCs w:val="28"/>
        </w:rPr>
        <w:t>提供7×24小时不间断技术支持；</w:t>
      </w:r>
    </w:p>
    <w:p>
      <w:pPr>
        <w:numPr>
          <w:ilvl w:val="0"/>
          <w:numId w:val="7"/>
        </w:numPr>
        <w:spacing w:line="360" w:lineRule="auto"/>
        <w:rPr>
          <w:rFonts w:ascii="仿宋" w:hAnsi="仿宋" w:eastAsia="仿宋"/>
          <w:bCs/>
          <w:sz w:val="28"/>
          <w:szCs w:val="28"/>
        </w:rPr>
      </w:pPr>
      <w:r>
        <w:rPr>
          <w:rFonts w:hint="eastAsia" w:ascii="仿宋" w:hAnsi="仿宋" w:eastAsia="仿宋"/>
          <w:bCs/>
          <w:sz w:val="28"/>
          <w:szCs w:val="28"/>
        </w:rPr>
        <w:t>故障发生后，1小时内达到现场，故障4小时内修复或提供采购方认可的解决方案。</w:t>
      </w:r>
    </w:p>
    <w:p>
      <w:pPr>
        <w:numPr>
          <w:ilvl w:val="0"/>
          <w:numId w:val="7"/>
        </w:numPr>
        <w:spacing w:line="360" w:lineRule="auto"/>
        <w:rPr>
          <w:rFonts w:ascii="仿宋" w:hAnsi="仿宋" w:eastAsia="仿宋"/>
          <w:bCs/>
          <w:sz w:val="28"/>
          <w:szCs w:val="28"/>
        </w:rPr>
      </w:pPr>
      <w:r>
        <w:rPr>
          <w:rFonts w:hint="eastAsia" w:ascii="仿宋" w:hAnsi="仿宋" w:eastAsia="仿宋"/>
          <w:bCs/>
          <w:sz w:val="28"/>
          <w:szCs w:val="28"/>
        </w:rPr>
        <w:t>本条款中的设备指所有由中国电信股份有限公司浙江分公司提供的浙江省电脑彩票运营设备。</w:t>
      </w:r>
    </w:p>
    <w:p>
      <w:pPr>
        <w:spacing w:line="360" w:lineRule="auto"/>
        <w:rPr>
          <w:rFonts w:ascii="仿宋" w:hAnsi="仿宋" w:eastAsia="仿宋"/>
          <w:b/>
          <w:sz w:val="28"/>
          <w:szCs w:val="28"/>
        </w:rPr>
      </w:pPr>
    </w:p>
    <w:p>
      <w:pPr>
        <w:pStyle w:val="152"/>
        <w:numPr>
          <w:ilvl w:val="0"/>
          <w:numId w:val="4"/>
        </w:numPr>
        <w:ind w:firstLineChars="0"/>
        <w:rPr>
          <w:rFonts w:ascii="仿宋" w:hAnsi="仿宋" w:eastAsia="仿宋"/>
          <w:b/>
          <w:bCs/>
          <w:sz w:val="28"/>
          <w:szCs w:val="28"/>
        </w:rPr>
      </w:pPr>
      <w:r>
        <w:rPr>
          <w:rFonts w:hint="eastAsia" w:ascii="仿宋" w:hAnsi="仿宋" w:eastAsia="仿宋"/>
          <w:b/>
          <w:bCs/>
          <w:sz w:val="28"/>
          <w:szCs w:val="28"/>
        </w:rPr>
        <w:t>其他要求: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1、要求省电信加强与各地市电信的联系，能提供各地市电信福彩客户经理的联系方式，在遇到突发线路故障或局部地区故障时，各市福彩中心能第一时间与当地电信联系。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2、如遇重大线路故障且因电信方面自身原因不能满足运维服务要求，造成福彩销售重大损失的情况，电信应赔偿相应的损失。</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为保证备份线路在主线路故障时能顺利切换，省福彩每半年对线路进行灾备演练，要求电信给予协助。同时要求电信加强对灾备线路的日常巡检，保证遇到突发情况，灾备线路能自主切换，不影响福彩销售；同时每季度提供对灾备线路的巡检报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4、要求电信提供省福彩电信集团最重要客服的服务。</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提供驻场技术人员，定期帮助省中心管理员巡查网络安全状况，帮助省中心做好网络安全预警等相关工作。该驻场技术人员工作能力由甲方人员考评，如甲方认为该技术人员能力不能达到要求，甲方有权要求更换技术服务人员，直到甲方认可为止。</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6、建立联系制度，沟通网络运行情况和服务情况。</w:t>
      </w:r>
    </w:p>
    <w:p>
      <w:pPr>
        <w:spacing w:line="360" w:lineRule="auto"/>
        <w:ind w:firstLine="560" w:firstLineChars="200"/>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凡在本项目运行过程中线路接入必须的软硬件设施(如线缆、软件、硬件、模块等，包括未列出而系统实施又必需的软件、硬件)、服务等一切费用均以应包含在本次投标报价当中，采购人不再增加与此项目相关的任何费用，中标单位也不得以任何理由增加费用。</w:t>
      </w:r>
    </w:p>
    <w:p>
      <w:pPr>
        <w:rPr>
          <w:rFonts w:ascii="仿宋" w:hAnsi="仿宋" w:eastAsia="仿宋"/>
          <w:b/>
          <w:sz w:val="28"/>
          <w:szCs w:val="28"/>
        </w:rPr>
      </w:pPr>
      <w:r>
        <w:rPr>
          <w:rFonts w:ascii="仿宋" w:hAnsi="仿宋" w:eastAsia="仿宋"/>
          <w:b/>
          <w:sz w:val="28"/>
          <w:szCs w:val="28"/>
        </w:rPr>
        <w:t>本次采购项目</w:t>
      </w:r>
      <w:r>
        <w:rPr>
          <w:rFonts w:hint="eastAsia" w:ascii="仿宋" w:hAnsi="仿宋" w:eastAsia="仿宋"/>
          <w:b/>
          <w:sz w:val="28"/>
          <w:szCs w:val="28"/>
        </w:rPr>
        <w:t>报价时需按采购清单分项报价，线路租赁</w:t>
      </w:r>
      <w:r>
        <w:rPr>
          <w:rFonts w:ascii="仿宋" w:hAnsi="仿宋" w:eastAsia="仿宋"/>
          <w:b/>
          <w:sz w:val="28"/>
          <w:szCs w:val="28"/>
        </w:rPr>
        <w:t>金额不得高于浙江省政府采购中心全省联动定点采购项目的采购价格</w:t>
      </w:r>
      <w:r>
        <w:rPr>
          <w:rFonts w:hint="eastAsia" w:ascii="仿宋" w:hAnsi="仿宋" w:eastAsia="仿宋"/>
          <w:b/>
          <w:sz w:val="28"/>
          <w:szCs w:val="28"/>
        </w:rPr>
        <w:t>，站点VPDN线路及机柜租赁价格不得高于上一年度的采购价格。</w:t>
      </w:r>
    </w:p>
    <w:p>
      <w:pPr>
        <w:pStyle w:val="152"/>
        <w:numPr>
          <w:ilvl w:val="0"/>
          <w:numId w:val="4"/>
        </w:numPr>
        <w:ind w:firstLineChars="0"/>
        <w:rPr>
          <w:rFonts w:ascii="仿宋" w:hAnsi="仿宋" w:eastAsia="仿宋"/>
          <w:b/>
          <w:bCs/>
          <w:sz w:val="28"/>
          <w:szCs w:val="28"/>
        </w:rPr>
      </w:pPr>
      <w:r>
        <w:rPr>
          <w:rFonts w:hint="eastAsia" w:ascii="仿宋" w:hAnsi="仿宋" w:eastAsia="仿宋"/>
          <w:b/>
          <w:bCs/>
          <w:sz w:val="28"/>
          <w:szCs w:val="28"/>
        </w:rPr>
        <w:t>服务要求：</w:t>
      </w:r>
    </w:p>
    <w:tbl>
      <w:tblPr>
        <w:tblStyle w:val="51"/>
        <w:tblW w:w="949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7"/>
        <w:gridCol w:w="7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192"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8"/>
                <w:szCs w:val="28"/>
              </w:rPr>
            </w:pPr>
            <w:r>
              <w:rPr>
                <w:rFonts w:hint="eastAsia" w:ascii="仿宋" w:hAnsi="仿宋" w:eastAsia="仿宋"/>
                <w:color w:val="auto"/>
                <w:sz w:val="28"/>
                <w:szCs w:val="28"/>
              </w:rPr>
              <w:t>售后服务保障要求</w:t>
            </w:r>
          </w:p>
        </w:tc>
        <w:tc>
          <w:tcPr>
            <w:tcW w:w="7836"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rPr>
                <w:rFonts w:ascii="仿宋" w:hAnsi="仿宋" w:eastAsia="仿宋"/>
                <w:color w:val="auto"/>
                <w:sz w:val="28"/>
                <w:szCs w:val="28"/>
              </w:rPr>
            </w:pPr>
            <w:r>
              <w:rPr>
                <w:rFonts w:hint="eastAsia" w:ascii="仿宋" w:hAnsi="仿宋" w:eastAsia="仿宋"/>
                <w:color w:val="auto"/>
                <w:sz w:val="28"/>
                <w:szCs w:val="28"/>
              </w:rPr>
              <w:t>全省V</w:t>
            </w:r>
            <w:r>
              <w:rPr>
                <w:rFonts w:ascii="仿宋" w:hAnsi="仿宋" w:eastAsia="仿宋"/>
                <w:color w:val="auto"/>
                <w:sz w:val="28"/>
                <w:szCs w:val="28"/>
              </w:rPr>
              <w:t>PDN</w:t>
            </w:r>
            <w:r>
              <w:rPr>
                <w:rFonts w:hint="eastAsia" w:ascii="仿宋" w:hAnsi="仿宋" w:eastAsia="仿宋"/>
                <w:color w:val="auto"/>
                <w:sz w:val="28"/>
                <w:szCs w:val="28"/>
              </w:rPr>
              <w:t>平台发生故障时</w:t>
            </w:r>
            <w:r>
              <w:rPr>
                <w:rFonts w:ascii="仿宋" w:hAnsi="仿宋" w:eastAsia="仿宋"/>
                <w:color w:val="auto"/>
                <w:sz w:val="28"/>
                <w:szCs w:val="28"/>
              </w:rPr>
              <w:t>1</w:t>
            </w:r>
            <w:r>
              <w:rPr>
                <w:rFonts w:hint="eastAsia" w:ascii="仿宋" w:hAnsi="仿宋" w:eastAsia="仿宋"/>
                <w:color w:val="auto"/>
                <w:sz w:val="28"/>
                <w:szCs w:val="28"/>
              </w:rPr>
              <w:t>小时内排除故障。</w:t>
            </w:r>
          </w:p>
          <w:p>
            <w:pPr>
              <w:numPr>
                <w:ilvl w:val="0"/>
                <w:numId w:val="8"/>
              </w:numPr>
              <w:spacing w:line="360" w:lineRule="auto"/>
              <w:rPr>
                <w:rFonts w:ascii="仿宋" w:hAnsi="仿宋" w:eastAsia="仿宋"/>
                <w:color w:val="auto"/>
                <w:sz w:val="28"/>
                <w:szCs w:val="28"/>
              </w:rPr>
            </w:pPr>
            <w:r>
              <w:rPr>
                <w:rFonts w:hint="eastAsia" w:ascii="仿宋" w:hAnsi="仿宋" w:eastAsia="仿宋"/>
                <w:color w:val="auto"/>
                <w:sz w:val="28"/>
                <w:szCs w:val="28"/>
              </w:rPr>
              <w:t>省福彩中心电脑彩票电信IDC机房数据中心网络及设备7×24小时的技术支持和服务，发生故障要2小时内排出故障。</w:t>
            </w:r>
          </w:p>
          <w:p>
            <w:pPr>
              <w:numPr>
                <w:ilvl w:val="0"/>
                <w:numId w:val="8"/>
              </w:numPr>
              <w:spacing w:line="360" w:lineRule="auto"/>
              <w:rPr>
                <w:rFonts w:ascii="仿宋" w:hAnsi="仿宋" w:eastAsia="仿宋"/>
                <w:color w:val="auto"/>
                <w:sz w:val="28"/>
                <w:szCs w:val="28"/>
              </w:rPr>
            </w:pPr>
            <w:r>
              <w:rPr>
                <w:rFonts w:hint="eastAsia" w:ascii="仿宋" w:hAnsi="仿宋" w:eastAsia="仿宋"/>
                <w:color w:val="auto"/>
                <w:sz w:val="28"/>
                <w:szCs w:val="28"/>
              </w:rPr>
              <w:t>中标人应提供所有设备服务期内的免费售后服务，并保证通道的畅通；</w:t>
            </w:r>
          </w:p>
          <w:p>
            <w:pPr>
              <w:numPr>
                <w:ilvl w:val="0"/>
                <w:numId w:val="8"/>
              </w:numPr>
              <w:spacing w:line="360" w:lineRule="auto"/>
              <w:rPr>
                <w:rFonts w:ascii="仿宋" w:hAnsi="仿宋" w:eastAsia="仿宋"/>
                <w:color w:val="auto"/>
                <w:sz w:val="28"/>
                <w:szCs w:val="28"/>
              </w:rPr>
            </w:pPr>
            <w:r>
              <w:rPr>
                <w:rFonts w:hint="eastAsia" w:ascii="仿宋" w:hAnsi="仿宋" w:eastAsia="仿宋"/>
                <w:color w:val="auto"/>
                <w:sz w:val="28"/>
                <w:szCs w:val="28"/>
              </w:rPr>
              <w:t>中标人应设有专门的本地售服机构，提供7×24小时的技术支持和服务，V</w:t>
            </w:r>
            <w:r>
              <w:rPr>
                <w:rFonts w:ascii="仿宋" w:hAnsi="仿宋" w:eastAsia="仿宋"/>
                <w:color w:val="auto"/>
                <w:sz w:val="28"/>
                <w:szCs w:val="28"/>
              </w:rPr>
              <w:t>PDN</w:t>
            </w:r>
            <w:r>
              <w:rPr>
                <w:rFonts w:hint="eastAsia" w:ascii="仿宋" w:hAnsi="仿宋" w:eastAsia="仿宋"/>
                <w:color w:val="auto"/>
                <w:sz w:val="28"/>
                <w:szCs w:val="28"/>
              </w:rPr>
              <w:t>线路24小时内修复或提供采购方认可的解决方案，不收取额外费用；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61"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服务期</w:t>
            </w:r>
          </w:p>
        </w:tc>
        <w:tc>
          <w:tcPr>
            <w:tcW w:w="7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16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付款条件</w:t>
            </w:r>
          </w:p>
        </w:tc>
        <w:tc>
          <w:tcPr>
            <w:tcW w:w="7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Cs/>
                <w:sz w:val="28"/>
                <w:szCs w:val="28"/>
              </w:rPr>
            </w:pPr>
            <w:r>
              <w:rPr>
                <w:rFonts w:hint="eastAsia" w:ascii="仿宋" w:hAnsi="仿宋" w:eastAsia="仿宋"/>
                <w:bCs/>
                <w:sz w:val="28"/>
                <w:szCs w:val="28"/>
              </w:rPr>
              <w:t>合同签订后一个月内支付合同款的50%，6个月后支付合同款的2</w:t>
            </w:r>
            <w:r>
              <w:rPr>
                <w:rFonts w:ascii="仿宋" w:hAnsi="仿宋" w:eastAsia="仿宋"/>
                <w:bCs/>
                <w:sz w:val="28"/>
                <w:szCs w:val="28"/>
              </w:rPr>
              <w:t>0%</w:t>
            </w:r>
            <w:r>
              <w:rPr>
                <w:rFonts w:hint="eastAsia" w:ascii="仿宋" w:hAnsi="仿宋" w:eastAsia="仿宋"/>
                <w:bCs/>
                <w:sz w:val="28"/>
                <w:szCs w:val="28"/>
              </w:rPr>
              <w:t>，服务到期后一个月内支付剩余款项，剩余款项由浙江省福利彩票管理中心和中标单位对账以后，按照服务情况对供应商按每条线路的实际使用情况按实结算。</w:t>
            </w:r>
          </w:p>
        </w:tc>
      </w:tr>
    </w:tbl>
    <w:p>
      <w:pPr>
        <w:pStyle w:val="2"/>
        <w:spacing w:line="360" w:lineRule="auto"/>
        <w:jc w:val="center"/>
        <w:rPr>
          <w:rFonts w:hint="eastAsia" w:ascii="仿宋" w:hAnsi="仿宋" w:eastAsia="仿宋"/>
          <w:sz w:val="36"/>
          <w:szCs w:val="36"/>
        </w:rPr>
      </w:pPr>
    </w:p>
    <w:p>
      <w:pPr>
        <w:pStyle w:val="2"/>
        <w:spacing w:line="360" w:lineRule="auto"/>
        <w:jc w:val="center"/>
        <w:rPr>
          <w:rFonts w:hint="eastAsia" w:ascii="仿宋" w:hAnsi="仿宋" w:eastAsia="仿宋"/>
          <w:sz w:val="36"/>
          <w:szCs w:val="36"/>
        </w:rPr>
      </w:pPr>
    </w:p>
    <w:p>
      <w:pPr>
        <w:pStyle w:val="2"/>
        <w:spacing w:line="360" w:lineRule="auto"/>
        <w:jc w:val="center"/>
        <w:rPr>
          <w:rFonts w:ascii="仿宋" w:hAnsi="仿宋" w:eastAsia="仿宋"/>
          <w:sz w:val="36"/>
          <w:szCs w:val="36"/>
        </w:rPr>
      </w:pPr>
      <w:r>
        <w:rPr>
          <w:rFonts w:hint="eastAsia" w:ascii="仿宋" w:hAnsi="仿宋" w:eastAsia="仿宋"/>
          <w:sz w:val="36"/>
          <w:szCs w:val="36"/>
        </w:rPr>
        <w:t>采购项目商务要求</w:t>
      </w:r>
    </w:p>
    <w:p>
      <w:pPr>
        <w:spacing w:line="360" w:lineRule="auto"/>
        <w:rPr>
          <w:rFonts w:ascii="仿宋" w:hAnsi="仿宋" w:eastAsia="仿宋"/>
          <w:b/>
          <w:bCs/>
          <w:sz w:val="28"/>
          <w:szCs w:val="28"/>
        </w:rPr>
      </w:pPr>
      <w:r>
        <w:rPr>
          <w:rFonts w:hint="eastAsia" w:ascii="仿宋" w:hAnsi="仿宋" w:eastAsia="仿宋"/>
          <w:b/>
          <w:bCs/>
          <w:sz w:val="28"/>
          <w:szCs w:val="28"/>
        </w:rPr>
        <w:t>一、服务期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2020年</w:t>
      </w:r>
      <w:r>
        <w:rPr>
          <w:rFonts w:ascii="仿宋" w:hAnsi="仿宋" w:eastAsia="仿宋"/>
          <w:sz w:val="28"/>
          <w:szCs w:val="28"/>
        </w:rPr>
        <w:t>12</w:t>
      </w:r>
      <w:r>
        <w:rPr>
          <w:rFonts w:hint="eastAsia" w:ascii="仿宋" w:hAnsi="仿宋" w:eastAsia="仿宋"/>
          <w:sz w:val="28"/>
          <w:szCs w:val="28"/>
        </w:rPr>
        <w:t>月1日起至202</w:t>
      </w:r>
      <w:r>
        <w:rPr>
          <w:rFonts w:ascii="仿宋" w:hAnsi="仿宋" w:eastAsia="仿宋"/>
          <w:sz w:val="28"/>
          <w:szCs w:val="28"/>
        </w:rPr>
        <w:t>1</w:t>
      </w:r>
      <w:r>
        <w:rPr>
          <w:rFonts w:hint="eastAsia" w:ascii="仿宋" w:hAnsi="仿宋" w:eastAsia="仿宋"/>
          <w:sz w:val="28"/>
          <w:szCs w:val="28"/>
        </w:rPr>
        <w:t>年11月30日</w:t>
      </w:r>
    </w:p>
    <w:p>
      <w:pPr>
        <w:spacing w:line="360" w:lineRule="auto"/>
        <w:rPr>
          <w:rFonts w:ascii="仿宋" w:hAnsi="仿宋" w:eastAsia="仿宋"/>
          <w:b/>
          <w:bCs/>
          <w:sz w:val="28"/>
          <w:szCs w:val="28"/>
        </w:rPr>
      </w:pPr>
      <w:r>
        <w:rPr>
          <w:rFonts w:hint="eastAsia" w:ascii="仿宋" w:hAnsi="仿宋" w:eastAsia="仿宋"/>
          <w:b/>
          <w:bCs/>
          <w:sz w:val="28"/>
          <w:szCs w:val="28"/>
        </w:rPr>
        <w:t>二、项目地点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浙江省福利彩票管理中心</w:t>
      </w:r>
    </w:p>
    <w:p>
      <w:pPr>
        <w:spacing w:line="360" w:lineRule="auto"/>
        <w:rPr>
          <w:rFonts w:ascii="仿宋" w:hAnsi="仿宋" w:eastAsia="仿宋"/>
          <w:b/>
          <w:bCs/>
          <w:sz w:val="28"/>
          <w:szCs w:val="28"/>
        </w:rPr>
      </w:pPr>
      <w:r>
        <w:rPr>
          <w:rFonts w:hint="eastAsia" w:ascii="仿宋" w:hAnsi="仿宋" w:eastAsia="仿宋"/>
          <w:b/>
          <w:bCs/>
          <w:sz w:val="28"/>
          <w:szCs w:val="28"/>
        </w:rPr>
        <w:t>三、付款方式</w:t>
      </w:r>
    </w:p>
    <w:p>
      <w:pPr>
        <w:spacing w:line="360" w:lineRule="auto"/>
        <w:ind w:firstLine="560" w:firstLineChars="200"/>
        <w:rPr>
          <w:rFonts w:hint="eastAsia" w:ascii="仿宋" w:hAnsi="仿宋" w:eastAsia="仿宋"/>
          <w:bCs/>
          <w:sz w:val="28"/>
          <w:szCs w:val="28"/>
        </w:rPr>
      </w:pPr>
      <w:r>
        <w:rPr>
          <w:rFonts w:hint="eastAsia" w:ascii="仿宋" w:hAnsi="仿宋" w:eastAsia="仿宋"/>
          <w:bCs/>
          <w:sz w:val="28"/>
          <w:szCs w:val="28"/>
        </w:rPr>
        <w:t>合同签订后一个月内支付合同款的50%，6个月后支付合同款的2</w:t>
      </w:r>
      <w:r>
        <w:rPr>
          <w:rFonts w:ascii="仿宋" w:hAnsi="仿宋" w:eastAsia="仿宋"/>
          <w:bCs/>
          <w:sz w:val="28"/>
          <w:szCs w:val="28"/>
        </w:rPr>
        <w:t>0%</w:t>
      </w:r>
      <w:r>
        <w:rPr>
          <w:rFonts w:hint="eastAsia" w:ascii="仿宋" w:hAnsi="仿宋" w:eastAsia="仿宋"/>
          <w:bCs/>
          <w:sz w:val="28"/>
          <w:szCs w:val="28"/>
        </w:rPr>
        <w:t>，服务到期后一个月内支付剩余款项，剩余款项由浙江省福利彩票管理中心和中标单位对账以后，按照服务情况对供应商按每条线路的实际使用情况按实结算；多退少补。</w:t>
      </w:r>
    </w:p>
    <w:p>
      <w:pPr>
        <w:pStyle w:val="3"/>
        <w:rPr>
          <w:rFonts w:hint="eastAsia"/>
          <w:lang w:eastAsia="zh-CN"/>
        </w:rPr>
      </w:pPr>
      <w:r>
        <w:rPr>
          <w:rFonts w:hint="eastAsia"/>
          <w:lang w:eastAsia="zh-CN"/>
        </w:rPr>
        <w:t>资信商务表：</w:t>
      </w:r>
    </w:p>
    <w:bookmarkEnd w:id="28"/>
    <w:tbl>
      <w:tblPr>
        <w:tblStyle w:val="5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bookmarkStart w:id="29" w:name="_Toc451268224"/>
            <w:bookmarkStart w:id="30" w:name="_Toc510136961"/>
            <w:r>
              <w:rPr>
                <w:rFonts w:hint="eastAsia" w:ascii="仿宋" w:hAnsi="仿宋" w:eastAsia="仿宋"/>
                <w:bCs/>
                <w:sz w:val="30"/>
                <w:szCs w:val="30"/>
              </w:rPr>
              <w:t>供货时间（项目工期）</w:t>
            </w:r>
          </w:p>
        </w:tc>
        <w:tc>
          <w:tcPr>
            <w:tcW w:w="5991" w:type="dxa"/>
          </w:tcPr>
          <w:p>
            <w:pPr>
              <w:rPr>
                <w:rFonts w:ascii="仿宋" w:hAnsi="仿宋" w:eastAsia="仿宋"/>
                <w:sz w:val="28"/>
                <w:szCs w:val="28"/>
              </w:rPr>
            </w:pPr>
            <w:r>
              <w:rPr>
                <w:rFonts w:hint="eastAsia" w:ascii="仿宋" w:hAnsi="仿宋" w:eastAsia="仿宋"/>
                <w:sz w:val="28"/>
                <w:szCs w:val="28"/>
              </w:rPr>
              <w:t>在合同签订后</w:t>
            </w:r>
            <w:r>
              <w:rPr>
                <w:rFonts w:ascii="仿宋" w:hAnsi="仿宋" w:eastAsia="仿宋"/>
                <w:sz w:val="28"/>
                <w:szCs w:val="28"/>
              </w:rPr>
              <w:t>10</w:t>
            </w:r>
            <w:r>
              <w:rPr>
                <w:rFonts w:hint="eastAsia" w:ascii="仿宋" w:hAnsi="仿宋" w:eastAsia="仿宋"/>
                <w:sz w:val="28"/>
                <w:szCs w:val="28"/>
              </w:rPr>
              <w:t>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供货地点（项目地点）</w:t>
            </w:r>
          </w:p>
        </w:tc>
        <w:tc>
          <w:tcPr>
            <w:tcW w:w="5991" w:type="dxa"/>
          </w:tcPr>
          <w:p>
            <w:pPr>
              <w:pStyle w:val="26"/>
              <w:spacing w:before="156" w:after="156" w:line="360" w:lineRule="auto"/>
              <w:rPr>
                <w:rFonts w:ascii="仿宋" w:hAnsi="仿宋" w:eastAsia="仿宋"/>
                <w:sz w:val="28"/>
                <w:szCs w:val="28"/>
              </w:rPr>
            </w:pPr>
            <w:r>
              <w:rPr>
                <w:rFonts w:hint="eastAsia" w:ascii="仿宋" w:hAnsi="仿宋" w:eastAsia="仿宋"/>
                <w:sz w:val="28"/>
                <w:szCs w:val="28"/>
              </w:rPr>
              <w:t>由客户指定。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付款条件（明确是否需要履约保证金）</w:t>
            </w:r>
          </w:p>
        </w:tc>
        <w:tc>
          <w:tcPr>
            <w:tcW w:w="5991"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合同签订后一个月内支付合同款的50%，6个月后支付合同款的2</w:t>
            </w:r>
            <w:r>
              <w:rPr>
                <w:rFonts w:ascii="仿宋" w:hAnsi="仿宋" w:eastAsia="仿宋"/>
                <w:bCs/>
                <w:sz w:val="30"/>
                <w:szCs w:val="30"/>
              </w:rPr>
              <w:t>0%</w:t>
            </w:r>
            <w:r>
              <w:rPr>
                <w:rFonts w:hint="eastAsia" w:ascii="仿宋" w:hAnsi="仿宋" w:eastAsia="仿宋"/>
                <w:bCs/>
                <w:sz w:val="30"/>
                <w:szCs w:val="30"/>
              </w:rPr>
              <w:t>，服务到期后一个月内支付剩余款项，剩余款项由浙江省福利彩票管理中心和中标单位对账以后，按照服务情况对供应商按每条线路的实际使用情况按实结算；多退少补。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违约责任及争议解决方式</w:t>
            </w:r>
          </w:p>
        </w:tc>
        <w:tc>
          <w:tcPr>
            <w:tcW w:w="5991" w:type="dxa"/>
          </w:tcPr>
          <w:p>
            <w:pPr>
              <w:pStyle w:val="26"/>
              <w:spacing w:before="156" w:after="156" w:line="360" w:lineRule="auto"/>
              <w:rPr>
                <w:rFonts w:ascii="仿宋" w:hAnsi="仿宋" w:eastAsia="仿宋"/>
                <w:bCs/>
                <w:sz w:val="30"/>
                <w:szCs w:val="30"/>
              </w:rPr>
            </w:pPr>
            <w:r>
              <w:rPr>
                <w:rFonts w:hint="eastAsia" w:ascii="仿宋" w:hAnsi="仿宋" w:eastAsia="仿宋" w:cs="仿宋_GB2312"/>
                <w:color w:val="000000"/>
                <w:sz w:val="28"/>
                <w:szCs w:val="28"/>
              </w:rPr>
              <w:t>按“合同主要条款指引”相关违约责任及争议解决方式内容。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售后服务-项目维护计划</w:t>
            </w:r>
          </w:p>
        </w:tc>
        <w:tc>
          <w:tcPr>
            <w:tcW w:w="5991" w:type="dxa"/>
          </w:tcPr>
          <w:p>
            <w:pPr>
              <w:spacing w:line="360" w:lineRule="auto"/>
              <w:rPr>
                <w:rFonts w:ascii="仿宋" w:hAnsi="仿宋" w:eastAsia="仿宋"/>
                <w:sz w:val="28"/>
                <w:szCs w:val="28"/>
              </w:rPr>
            </w:pPr>
            <w:r>
              <w:rPr>
                <w:rFonts w:hint="eastAsia" w:ascii="仿宋" w:hAnsi="仿宋" w:eastAsia="仿宋"/>
                <w:sz w:val="28"/>
                <w:szCs w:val="28"/>
              </w:rPr>
              <w:t>（1）提供网络检测服务，每季度提供网络运行报告（包括电路的可用情况）；</w:t>
            </w:r>
          </w:p>
          <w:p>
            <w:pPr>
              <w:spacing w:line="360" w:lineRule="auto"/>
              <w:rPr>
                <w:rFonts w:ascii="仿宋" w:hAnsi="仿宋" w:eastAsia="仿宋"/>
                <w:sz w:val="28"/>
                <w:szCs w:val="28"/>
              </w:rPr>
            </w:pPr>
            <w:r>
              <w:rPr>
                <w:rFonts w:hint="eastAsia" w:ascii="仿宋" w:hAnsi="仿宋" w:eastAsia="仿宋"/>
                <w:sz w:val="28"/>
                <w:szCs w:val="28"/>
              </w:rPr>
              <w:t>（2）当月故障清单、故障发生时间和结束时间、故障的详细原因、线路的流量情况等），并分析网络运行情况；</w:t>
            </w:r>
          </w:p>
          <w:p>
            <w:pPr>
              <w:spacing w:line="360" w:lineRule="auto"/>
              <w:rPr>
                <w:rFonts w:ascii="仿宋" w:hAnsi="仿宋" w:eastAsia="仿宋"/>
                <w:sz w:val="28"/>
                <w:szCs w:val="28"/>
              </w:rPr>
            </w:pPr>
            <w:r>
              <w:rPr>
                <w:rFonts w:hint="eastAsia" w:ascii="仿宋" w:hAnsi="仿宋" w:eastAsia="仿宋"/>
                <w:sz w:val="28"/>
                <w:szCs w:val="28"/>
              </w:rPr>
              <w:t>（3）每季度对网路运行情况和故障情况进行汇总，评估网路健康状况，分析网路中存在的安全隐患和薄弱环节，以便对线路故障进行预先防范；</w:t>
            </w:r>
          </w:p>
          <w:p>
            <w:pPr>
              <w:spacing w:line="360" w:lineRule="auto"/>
              <w:rPr>
                <w:rFonts w:ascii="仿宋" w:hAnsi="仿宋" w:eastAsia="仿宋"/>
                <w:sz w:val="28"/>
                <w:szCs w:val="28"/>
              </w:rPr>
            </w:pPr>
            <w:r>
              <w:rPr>
                <w:rFonts w:hint="eastAsia" w:ascii="仿宋" w:hAnsi="仿宋" w:eastAsia="仿宋"/>
                <w:sz w:val="28"/>
                <w:szCs w:val="28"/>
              </w:rPr>
              <w:t>（4）专门设立维护支撑人员，对线路进行维护和管理；</w:t>
            </w:r>
          </w:p>
          <w:p>
            <w:pPr>
              <w:spacing w:line="360" w:lineRule="auto"/>
              <w:rPr>
                <w:rFonts w:ascii="仿宋" w:hAnsi="仿宋" w:eastAsia="仿宋"/>
                <w:sz w:val="28"/>
                <w:szCs w:val="28"/>
              </w:rPr>
            </w:pPr>
            <w:r>
              <w:rPr>
                <w:rFonts w:hint="eastAsia" w:ascii="仿宋" w:hAnsi="仿宋" w:eastAsia="仿宋"/>
                <w:sz w:val="28"/>
                <w:szCs w:val="28"/>
              </w:rPr>
              <w:t>（5）放置在中标方的设备、线路进行按季度巡检维护，并提供巡检报告；</w:t>
            </w:r>
          </w:p>
          <w:p>
            <w:pPr>
              <w:spacing w:line="360" w:lineRule="auto"/>
              <w:rPr>
                <w:rFonts w:ascii="仿宋" w:hAnsi="仿宋" w:eastAsia="仿宋"/>
                <w:bCs/>
                <w:sz w:val="30"/>
                <w:szCs w:val="30"/>
              </w:rPr>
            </w:pPr>
            <w:r>
              <w:rPr>
                <w:rFonts w:hint="eastAsia" w:ascii="仿宋" w:hAnsi="仿宋" w:eastAsia="仿宋"/>
                <w:sz w:val="28"/>
                <w:szCs w:val="28"/>
              </w:rPr>
              <w:t>（6）建立联系制度，沟通网络运行情况和服务情况。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售后服务-响应情况</w:t>
            </w:r>
          </w:p>
        </w:tc>
        <w:tc>
          <w:tcPr>
            <w:tcW w:w="5991" w:type="dxa"/>
          </w:tcPr>
          <w:p>
            <w:pPr>
              <w:spacing w:line="360" w:lineRule="auto"/>
              <w:rPr>
                <w:rFonts w:hint="eastAsia"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全省VPDN平台发生故障时1小时内排除故障。</w:t>
            </w:r>
          </w:p>
          <w:p>
            <w:pPr>
              <w:spacing w:line="360" w:lineRule="auto"/>
              <w:rPr>
                <w:rFonts w:hint="eastAsia" w:ascii="仿宋" w:hAnsi="仿宋" w:eastAsia="仿宋"/>
                <w:bCs/>
                <w:sz w:val="30"/>
                <w:szCs w:val="30"/>
              </w:rPr>
            </w:pPr>
            <w:r>
              <w:rPr>
                <w:rFonts w:hint="eastAsia" w:ascii="仿宋" w:hAnsi="仿宋" w:eastAsia="仿宋"/>
                <w:bCs/>
                <w:sz w:val="30"/>
                <w:szCs w:val="30"/>
              </w:rPr>
              <w:t>2、</w:t>
            </w:r>
            <w:r>
              <w:rPr>
                <w:rFonts w:hint="eastAsia" w:ascii="仿宋" w:hAnsi="仿宋" w:eastAsia="仿宋"/>
                <w:bCs/>
                <w:sz w:val="30"/>
                <w:szCs w:val="30"/>
              </w:rPr>
              <w:tab/>
            </w:r>
            <w:r>
              <w:rPr>
                <w:rFonts w:hint="eastAsia" w:ascii="仿宋" w:hAnsi="仿宋" w:eastAsia="仿宋"/>
                <w:bCs/>
                <w:sz w:val="30"/>
                <w:szCs w:val="30"/>
              </w:rPr>
              <w:t>省福彩中心电脑彩票电信IDC机房数据中心网络及设备7×24小时的技术支持和服务，发生故障要2小时内排出故障。</w:t>
            </w:r>
          </w:p>
          <w:p>
            <w:pPr>
              <w:spacing w:line="360" w:lineRule="auto"/>
              <w:rPr>
                <w:rFonts w:hint="eastAsia" w:ascii="仿宋" w:hAnsi="仿宋" w:eastAsia="仿宋"/>
                <w:bCs/>
                <w:sz w:val="30"/>
                <w:szCs w:val="30"/>
              </w:rPr>
            </w:pPr>
            <w:r>
              <w:rPr>
                <w:rFonts w:hint="eastAsia" w:ascii="仿宋" w:hAnsi="仿宋" w:eastAsia="仿宋"/>
                <w:bCs/>
                <w:sz w:val="30"/>
                <w:szCs w:val="30"/>
              </w:rPr>
              <w:t>3、</w:t>
            </w:r>
            <w:r>
              <w:rPr>
                <w:rFonts w:hint="eastAsia" w:ascii="仿宋" w:hAnsi="仿宋" w:eastAsia="仿宋"/>
                <w:bCs/>
                <w:sz w:val="30"/>
                <w:szCs w:val="30"/>
              </w:rPr>
              <w:tab/>
            </w:r>
            <w:r>
              <w:rPr>
                <w:rFonts w:hint="eastAsia" w:ascii="仿宋" w:hAnsi="仿宋" w:eastAsia="仿宋"/>
                <w:bCs/>
                <w:sz w:val="30"/>
                <w:szCs w:val="30"/>
              </w:rPr>
              <w:t>中标人应提供所有设备服务期内的免费售后服务，并保证通道的畅通；</w:t>
            </w:r>
          </w:p>
          <w:p>
            <w:pPr>
              <w:spacing w:line="360" w:lineRule="auto"/>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bCs/>
                <w:sz w:val="30"/>
                <w:szCs w:val="30"/>
              </w:rPr>
              <w:tab/>
            </w:r>
            <w:r>
              <w:rPr>
                <w:rFonts w:hint="eastAsia" w:ascii="仿宋" w:hAnsi="仿宋" w:eastAsia="仿宋"/>
                <w:bCs/>
                <w:sz w:val="30"/>
                <w:szCs w:val="30"/>
              </w:rPr>
              <w:t>中标人应设有专门的本地售服机构，提供7×24小时的技术支持和服务，VPDN线路24小时内修复或提供采购方认可的解决方案，不收取额外费用；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售后服务-技术培训</w:t>
            </w:r>
          </w:p>
        </w:tc>
        <w:tc>
          <w:tcPr>
            <w:tcW w:w="5991"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履约能力-公司技术力量情况</w:t>
            </w:r>
          </w:p>
        </w:tc>
        <w:tc>
          <w:tcPr>
            <w:tcW w:w="5991" w:type="dxa"/>
          </w:tcPr>
          <w:p>
            <w:pPr>
              <w:rPr>
                <w:rFonts w:ascii="仿宋" w:hAnsi="仿宋" w:eastAsia="仿宋"/>
                <w:sz w:val="28"/>
                <w:szCs w:val="28"/>
              </w:rPr>
            </w:pPr>
            <w:r>
              <w:rPr>
                <w:rFonts w:hint="eastAsia" w:ascii="仿宋" w:hAnsi="仿宋" w:eastAsia="仿宋"/>
                <w:sz w:val="28"/>
                <w:szCs w:val="28"/>
              </w:rPr>
              <w:t>需具备拥有</w:t>
            </w:r>
            <w:bookmarkStart w:id="31" w:name="_Toc47988157"/>
            <w:r>
              <w:rPr>
                <w:rFonts w:hint="eastAsia" w:ascii="仿宋" w:hAnsi="仿宋" w:eastAsia="仿宋"/>
                <w:sz w:val="28"/>
                <w:szCs w:val="28"/>
              </w:rPr>
              <w:t>基础电信业务经营许可证</w:t>
            </w:r>
            <w:bookmarkEnd w:id="31"/>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9" w:type="dxa"/>
          </w:tcPr>
          <w:p>
            <w:pPr>
              <w:pStyle w:val="26"/>
              <w:spacing w:before="156" w:after="156" w:line="360" w:lineRule="auto"/>
              <w:rPr>
                <w:rFonts w:ascii="仿宋" w:hAnsi="仿宋" w:eastAsia="仿宋"/>
                <w:bCs/>
                <w:sz w:val="30"/>
                <w:szCs w:val="30"/>
              </w:rPr>
            </w:pPr>
            <w:r>
              <w:rPr>
                <w:rFonts w:hint="eastAsia" w:ascii="仿宋" w:hAnsi="仿宋" w:eastAsia="仿宋"/>
                <w:bCs/>
                <w:sz w:val="30"/>
                <w:szCs w:val="30"/>
              </w:rPr>
              <w:t>履约能力-经验或业绩要求</w:t>
            </w:r>
          </w:p>
        </w:tc>
        <w:tc>
          <w:tcPr>
            <w:tcW w:w="5991" w:type="dxa"/>
          </w:tcPr>
          <w:p>
            <w:pPr>
              <w:rPr>
                <w:rFonts w:ascii="仿宋" w:hAnsi="仿宋" w:eastAsia="仿宋"/>
                <w:bCs/>
                <w:sz w:val="30"/>
                <w:szCs w:val="30"/>
              </w:rPr>
            </w:pPr>
            <w:r>
              <w:rPr>
                <w:rFonts w:hint="eastAsia" w:ascii="仿宋" w:hAnsi="仿宋" w:eastAsia="仿宋"/>
                <w:bCs/>
                <w:sz w:val="30"/>
                <w:szCs w:val="30"/>
              </w:rPr>
              <w:t>提供类似成功案例合同复印件。</w:t>
            </w:r>
          </w:p>
        </w:tc>
      </w:tr>
    </w:tbl>
    <w:p/>
    <w:p>
      <w:pPr>
        <w:pStyle w:val="3"/>
        <w:jc w:val="center"/>
        <w:rPr>
          <w:rFonts w:hint="eastAsia"/>
        </w:rPr>
      </w:pPr>
    </w:p>
    <w:p>
      <w:pPr>
        <w:pStyle w:val="3"/>
        <w:jc w:val="center"/>
      </w:pPr>
      <w:r>
        <w:rPr>
          <w:rFonts w:hint="eastAsia"/>
        </w:rPr>
        <w:t>第四章</w:t>
      </w:r>
      <w:r>
        <w:t xml:space="preserve">  </w:t>
      </w:r>
      <w:r>
        <w:rPr>
          <w:rFonts w:hint="eastAsia"/>
        </w:rPr>
        <w:t>浙江省政府采购合同主要条款指引</w:t>
      </w:r>
      <w:bookmarkEnd w:id="29"/>
      <w:bookmarkEnd w:id="30"/>
    </w:p>
    <w:p>
      <w:pPr>
        <w:snapToGrid w:val="0"/>
        <w:spacing w:before="120" w:beforeLines="50" w:after="120" w:afterLines="50"/>
        <w:jc w:val="center"/>
        <w:rPr>
          <w:rFonts w:ascii="仿宋" w:hAnsi="仿宋" w:eastAsia="仿宋"/>
          <w:b/>
          <w:bCs/>
          <w:sz w:val="36"/>
          <w:szCs w:val="36"/>
        </w:rPr>
      </w:pPr>
    </w:p>
    <w:p>
      <w:pPr>
        <w:pStyle w:val="26"/>
        <w:snapToGrid w:val="0"/>
        <w:spacing w:before="120" w:line="360" w:lineRule="auto"/>
        <w:jc w:val="center"/>
        <w:rPr>
          <w:rFonts w:ascii="仿宋" w:hAnsi="仿宋" w:eastAsia="仿宋"/>
          <w:sz w:val="30"/>
          <w:szCs w:val="30"/>
        </w:rPr>
      </w:pPr>
      <w:r>
        <w:rPr>
          <w:rFonts w:hint="eastAsia" w:ascii="仿宋" w:hAnsi="仿宋" w:eastAsia="仿宋"/>
          <w:sz w:val="30"/>
          <w:szCs w:val="30"/>
        </w:rPr>
        <w:t xml:space="preserve">                        编  号：ZZCG-</w:t>
      </w:r>
    </w:p>
    <w:p>
      <w:pPr>
        <w:pStyle w:val="26"/>
        <w:snapToGrid w:val="0"/>
        <w:spacing w:before="120" w:line="360" w:lineRule="auto"/>
        <w:jc w:val="center"/>
        <w:rPr>
          <w:rFonts w:ascii="仿宋" w:hAnsi="仿宋" w:eastAsia="仿宋"/>
          <w:sz w:val="30"/>
          <w:szCs w:val="30"/>
        </w:rPr>
      </w:pPr>
      <w:r>
        <w:rPr>
          <w:rFonts w:hint="eastAsia" w:ascii="仿宋" w:hAnsi="仿宋" w:eastAsia="仿宋"/>
          <w:sz w:val="30"/>
          <w:szCs w:val="30"/>
        </w:rPr>
        <w:t xml:space="preserve">                  确认号：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鉴证方:</w:t>
      </w:r>
      <w:r>
        <w:rPr>
          <w:rFonts w:hint="eastAsia" w:ascii="仿宋" w:hAnsi="仿宋" w:eastAsia="仿宋"/>
          <w:sz w:val="30"/>
          <w:szCs w:val="30"/>
        </w:rPr>
        <w:t xml:space="preserve"> 浙江省政府采购中心</w:t>
      </w:r>
    </w:p>
    <w:p>
      <w:pPr>
        <w:pStyle w:val="26"/>
        <w:adjustRightInd w:val="0"/>
        <w:snapToGrid w:val="0"/>
        <w:spacing w:before="120" w:line="460" w:lineRule="exact"/>
        <w:ind w:firstLine="594" w:firstLineChars="198"/>
        <w:rPr>
          <w:rFonts w:ascii="仿宋" w:hAnsi="仿宋" w:eastAsia="仿宋"/>
          <w:b/>
          <w:snapToGrid w:val="0"/>
          <w:kern w:val="0"/>
          <w:sz w:val="30"/>
          <w:szCs w:val="30"/>
        </w:rPr>
      </w:pPr>
      <w:r>
        <w:rPr>
          <w:rFonts w:hint="eastAsia" w:ascii="仿宋" w:hAnsi="仿宋" w:eastAsia="仿宋"/>
          <w:snapToGrid w:val="0"/>
          <w:kern w:val="0"/>
          <w:sz w:val="30"/>
          <w:szCs w:val="30"/>
        </w:rPr>
        <w:t>甲、乙双方根据浙江省政府采购中心关于</w:t>
      </w:r>
      <w:r>
        <w:rPr>
          <w:rFonts w:hint="eastAsia" w:ascii="仿宋" w:hAnsi="仿宋" w:eastAsia="仿宋"/>
          <w:sz w:val="30"/>
          <w:szCs w:val="30"/>
        </w:rPr>
        <w:t>项目编号为</w:t>
      </w:r>
      <w:r>
        <w:rPr>
          <w:rFonts w:hint="eastAsia" w:ascii="仿宋" w:hAnsi="仿宋" w:eastAsia="仿宋"/>
          <w:snapToGrid w:val="0"/>
          <w:kern w:val="0"/>
          <w:sz w:val="30"/>
          <w:szCs w:val="30"/>
        </w:rPr>
        <w:t>（标项及名称）项目单一来源采购的结果，签署本合同。</w:t>
      </w:r>
    </w:p>
    <w:p>
      <w:pPr>
        <w:pStyle w:val="26"/>
        <w:adjustRightInd w:val="0"/>
        <w:snapToGrid w:val="0"/>
        <w:spacing w:before="120" w:line="460" w:lineRule="exact"/>
        <w:ind w:firstLine="641" w:firstLineChars="213"/>
        <w:rPr>
          <w:rFonts w:ascii="仿宋" w:hAnsi="仿宋" w:eastAsia="仿宋"/>
          <w:b/>
          <w:sz w:val="30"/>
          <w:szCs w:val="30"/>
        </w:rPr>
      </w:pPr>
      <w:r>
        <w:rPr>
          <w:rFonts w:hint="eastAsia" w:ascii="仿宋" w:hAnsi="仿宋" w:eastAsia="仿宋"/>
          <w:b/>
          <w:snapToGrid w:val="0"/>
          <w:kern w:val="0"/>
          <w:sz w:val="30"/>
          <w:szCs w:val="30"/>
        </w:rPr>
        <w:t>一、货物内容</w:t>
      </w:r>
      <w:r>
        <w:rPr>
          <w:rFonts w:hint="eastAsia" w:ascii="仿宋" w:hAnsi="仿宋" w:eastAsia="仿宋"/>
          <w:b/>
          <w:sz w:val="30"/>
          <w:szCs w:val="30"/>
        </w:rPr>
        <w:t>及合同价格</w:t>
      </w:r>
    </w:p>
    <w:p>
      <w:pPr>
        <w:pStyle w:val="26"/>
        <w:adjustRightInd w:val="0"/>
        <w:snapToGrid w:val="0"/>
        <w:spacing w:before="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1"/>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line="460" w:lineRule="exact"/>
              <w:jc w:val="center"/>
              <w:rPr>
                <w:rFonts w:ascii="仿宋" w:hAnsi="仿宋" w:eastAsia="仿宋"/>
                <w:sz w:val="30"/>
                <w:szCs w:val="30"/>
              </w:rPr>
            </w:pPr>
            <w:r>
              <w:rPr>
                <w:rFonts w:hint="eastAsia" w:ascii="仿宋" w:hAnsi="仿宋" w:eastAsia="仿宋"/>
                <w:sz w:val="30"/>
                <w:szCs w:val="30"/>
              </w:rPr>
              <w:t>货物名称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line="460" w:lineRule="exact"/>
              <w:jc w:val="center"/>
              <w:rPr>
                <w:rFonts w:ascii="仿宋" w:hAnsi="仿宋" w:eastAsia="仿宋"/>
                <w:sz w:val="30"/>
                <w:szCs w:val="30"/>
              </w:rPr>
            </w:pPr>
            <w:r>
              <w:rPr>
                <w:rFonts w:hint="eastAsia" w:ascii="仿宋" w:hAnsi="仿宋" w:eastAsia="仿宋"/>
                <w:sz w:val="30"/>
                <w:szCs w:val="30"/>
              </w:rPr>
              <w:t>型号规格</w:t>
            </w:r>
          </w:p>
        </w:tc>
        <w:tc>
          <w:tcPr>
            <w:tcW w:w="198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line="460" w:lineRule="exact"/>
              <w:jc w:val="center"/>
              <w:rPr>
                <w:rFonts w:ascii="仿宋" w:hAnsi="仿宋" w:eastAsia="仿宋"/>
                <w:sz w:val="30"/>
                <w:szCs w:val="30"/>
              </w:rPr>
            </w:pPr>
            <w:r>
              <w:rPr>
                <w:rFonts w:hint="eastAsia" w:ascii="仿宋" w:hAnsi="仿宋" w:eastAsia="仿宋"/>
                <w:sz w:val="30"/>
                <w:szCs w:val="30"/>
              </w:rPr>
              <w:t>配置要求</w:t>
            </w:r>
          </w:p>
        </w:tc>
        <w:tc>
          <w:tcPr>
            <w:tcW w:w="1260"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572"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20" w:line="460" w:lineRule="exact"/>
              <w:ind w:left="-108"/>
              <w:jc w:val="center"/>
              <w:rPr>
                <w:rFonts w:ascii="仿宋" w:hAnsi="仿宋" w:eastAsia="仿宋"/>
                <w:sz w:val="30"/>
                <w:szCs w:val="30"/>
              </w:rPr>
            </w:pPr>
            <w:r>
              <w:rPr>
                <w:rFonts w:hint="eastAsia" w:ascii="仿宋" w:hAnsi="仿宋" w:eastAsia="仿宋"/>
                <w:sz w:val="30"/>
                <w:szCs w:val="3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572" w:type="dxa"/>
            <w:tcBorders>
              <w:top w:val="single" w:color="auto" w:sz="4" w:space="0"/>
              <w:left w:val="single" w:color="auto" w:sz="4" w:space="0"/>
              <w:bottom w:val="single" w:color="auto" w:sz="4" w:space="0"/>
              <w:right w:val="single" w:color="auto" w:sz="4" w:space="0"/>
            </w:tcBorders>
          </w:tcPr>
          <w:p>
            <w:pPr>
              <w:pStyle w:val="96"/>
              <w:spacing w:after="120" w:line="460" w:lineRule="exact"/>
              <w:ind w:firstLine="639" w:firstLineChars="213"/>
              <w:rPr>
                <w:rFonts w:ascii="仿宋" w:hAnsi="仿宋" w:eastAsia="仿宋"/>
                <w:color w:val="auto"/>
                <w:sz w:val="30"/>
                <w:szCs w:val="30"/>
              </w:rPr>
            </w:pPr>
            <w:r>
              <w:rPr>
                <w:rFonts w:hint="eastAsia" w:ascii="仿宋" w:hAnsi="仿宋" w:eastAsia="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6300" w:type="dxa"/>
            <w:gridSpan w:val="3"/>
            <w:tcBorders>
              <w:top w:val="single" w:color="auto" w:sz="4" w:space="0"/>
              <w:left w:val="single" w:color="auto" w:sz="4" w:space="0"/>
              <w:bottom w:val="single" w:color="auto" w:sz="4" w:space="0"/>
              <w:right w:val="single" w:color="auto" w:sz="4" w:space="0"/>
            </w:tcBorders>
          </w:tcPr>
          <w:p>
            <w:pPr>
              <w:pStyle w:val="26"/>
              <w:snapToGrid w:val="0"/>
              <w:spacing w:before="120" w:line="460" w:lineRule="exact"/>
              <w:ind w:firstLine="639" w:firstLineChars="213"/>
              <w:jc w:val="center"/>
              <w:rPr>
                <w:rFonts w:ascii="仿宋" w:hAnsi="仿宋" w:eastAsia="仿宋"/>
                <w:sz w:val="30"/>
                <w:szCs w:val="30"/>
              </w:rPr>
            </w:pPr>
            <w:r>
              <w:rPr>
                <w:rFonts w:hint="eastAsia" w:ascii="仿宋" w:hAnsi="仿宋" w:eastAsia="仿宋"/>
                <w:sz w:val="30"/>
                <w:szCs w:val="30"/>
              </w:rPr>
              <w:t>合计</w:t>
            </w:r>
          </w:p>
        </w:tc>
        <w:tc>
          <w:tcPr>
            <w:tcW w:w="1260" w:type="dxa"/>
            <w:tcBorders>
              <w:top w:val="single" w:color="auto" w:sz="4" w:space="0"/>
              <w:left w:val="single" w:color="auto" w:sz="4" w:space="0"/>
              <w:bottom w:val="single" w:color="auto" w:sz="4" w:space="0"/>
              <w:right w:val="single" w:color="auto" w:sz="4" w:space="0"/>
            </w:tcBorders>
          </w:tcPr>
          <w:p>
            <w:pPr>
              <w:pStyle w:val="26"/>
              <w:snapToGrid w:val="0"/>
              <w:spacing w:before="120" w:line="460" w:lineRule="exact"/>
              <w:ind w:firstLine="639" w:firstLineChars="213"/>
              <w:jc w:val="center"/>
              <w:rPr>
                <w:rFonts w:ascii="仿宋" w:hAnsi="仿宋" w:eastAsia="仿宋"/>
                <w:sz w:val="30"/>
                <w:szCs w:val="30"/>
              </w:rPr>
            </w:pPr>
          </w:p>
        </w:tc>
        <w:tc>
          <w:tcPr>
            <w:tcW w:w="1572" w:type="dxa"/>
            <w:tcBorders>
              <w:top w:val="single" w:color="auto" w:sz="4" w:space="0"/>
              <w:left w:val="single" w:color="auto" w:sz="4" w:space="0"/>
              <w:bottom w:val="single" w:color="auto" w:sz="4" w:space="0"/>
              <w:right w:val="single" w:color="auto" w:sz="4" w:space="0"/>
            </w:tcBorders>
          </w:tcPr>
          <w:p>
            <w:pPr>
              <w:pStyle w:val="96"/>
              <w:spacing w:after="120" w:line="460" w:lineRule="exact"/>
              <w:ind w:firstLine="639" w:firstLineChars="213"/>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26"/>
              <w:snapToGrid w:val="0"/>
              <w:spacing w:before="120" w:line="460" w:lineRule="exact"/>
              <w:rPr>
                <w:rFonts w:ascii="仿宋" w:hAnsi="仿宋" w:eastAsia="仿宋"/>
                <w:sz w:val="30"/>
                <w:szCs w:val="30"/>
              </w:rPr>
            </w:pPr>
            <w:r>
              <w:rPr>
                <w:rFonts w:hint="eastAsia" w:ascii="仿宋" w:hAnsi="仿宋" w:eastAsia="仿宋"/>
                <w:sz w:val="30"/>
                <w:szCs w:val="30"/>
              </w:rPr>
              <w:t>合同总价大写：                           小写：￥</w:t>
            </w:r>
            <w:r>
              <w:rPr>
                <w:rFonts w:hint="eastAsia" w:ascii="仿宋" w:hAnsi="仿宋" w:eastAsia="仿宋"/>
                <w:sz w:val="30"/>
                <w:szCs w:val="30"/>
                <w:u w:val="single"/>
              </w:rPr>
              <w:t xml:space="preserve">      </w:t>
            </w:r>
          </w:p>
        </w:tc>
      </w:tr>
    </w:tbl>
    <w:p>
      <w:pPr>
        <w:pStyle w:val="26"/>
        <w:snapToGrid w:val="0"/>
        <w:spacing w:before="120" w:line="460" w:lineRule="exact"/>
        <w:ind w:firstLine="567" w:firstLineChars="189"/>
        <w:rPr>
          <w:rFonts w:ascii="仿宋" w:hAnsi="仿宋" w:eastAsia="仿宋"/>
          <w:sz w:val="30"/>
          <w:szCs w:val="30"/>
        </w:rPr>
      </w:pPr>
      <w:r>
        <w:rPr>
          <w:rFonts w:hint="eastAsia" w:ascii="仿宋" w:hAnsi="仿宋" w:eastAsia="仿宋"/>
          <w:sz w:val="30"/>
          <w:szCs w:val="30"/>
        </w:rPr>
        <w:t>注：1、商品型号、数量、配置要求及使用单位地址等详见附件清单</w:t>
      </w:r>
    </w:p>
    <w:p>
      <w:pPr>
        <w:spacing w:line="460" w:lineRule="exact"/>
        <w:ind w:firstLine="567" w:firstLineChars="189"/>
        <w:rPr>
          <w:rFonts w:ascii="仿宋" w:hAnsi="仿宋" w:eastAsia="仿宋"/>
          <w:sz w:val="30"/>
          <w:szCs w:val="30"/>
        </w:rPr>
      </w:pPr>
      <w:r>
        <w:rPr>
          <w:rFonts w:hint="eastAsia" w:ascii="仿宋" w:hAnsi="仿宋" w:eastAsia="仿宋"/>
          <w:sz w:val="30"/>
          <w:szCs w:val="30"/>
        </w:rPr>
        <w:t>　2、以上合同总价包含产品到达用户并能正常使用所需的一切费用。</w:t>
      </w:r>
    </w:p>
    <w:p>
      <w:pPr>
        <w:pStyle w:val="26"/>
        <w:adjustRightInd w:val="0"/>
        <w:snapToGrid w:val="0"/>
        <w:spacing w:before="120" w:line="460" w:lineRule="exact"/>
        <w:ind w:firstLine="596" w:firstLineChars="198"/>
        <w:rPr>
          <w:rFonts w:ascii="仿宋" w:hAnsi="仿宋" w:eastAsia="仿宋"/>
          <w:b/>
          <w:snapToGrid w:val="0"/>
          <w:kern w:val="0"/>
          <w:sz w:val="30"/>
          <w:szCs w:val="30"/>
        </w:rPr>
      </w:pPr>
      <w:r>
        <w:rPr>
          <w:rFonts w:hint="eastAsia" w:ascii="仿宋" w:hAnsi="仿宋" w:eastAsia="仿宋"/>
          <w:b/>
          <w:snapToGrid w:val="0"/>
          <w:kern w:val="0"/>
          <w:sz w:val="30"/>
          <w:szCs w:val="30"/>
        </w:rPr>
        <w:t>二、技术资料</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1.乙方应按单一来源采购文件规定的时间向甲方提供使用货物的有关技术资料。</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6"/>
        <w:adjustRightInd w:val="0"/>
        <w:snapToGrid w:val="0"/>
        <w:spacing w:before="120" w:line="460" w:lineRule="exact"/>
        <w:ind w:firstLine="596" w:firstLineChars="198"/>
        <w:rPr>
          <w:rFonts w:ascii="仿宋" w:hAnsi="仿宋" w:eastAsia="仿宋"/>
          <w:b/>
          <w:snapToGrid w:val="0"/>
          <w:kern w:val="0"/>
          <w:sz w:val="30"/>
          <w:szCs w:val="30"/>
        </w:rPr>
      </w:pPr>
      <w:r>
        <w:rPr>
          <w:rFonts w:hint="eastAsia" w:ascii="仿宋" w:hAnsi="仿宋" w:eastAsia="仿宋"/>
          <w:b/>
          <w:snapToGrid w:val="0"/>
          <w:kern w:val="0"/>
          <w:sz w:val="30"/>
          <w:szCs w:val="30"/>
        </w:rPr>
        <w:t>三、知识产权</w:t>
      </w:r>
    </w:p>
    <w:p>
      <w:pPr>
        <w:pStyle w:val="26"/>
        <w:adjustRightInd w:val="0"/>
        <w:snapToGrid w:val="0"/>
        <w:spacing w:before="120" w:line="460" w:lineRule="exact"/>
        <w:ind w:firstLine="639" w:firstLineChars="213"/>
        <w:rPr>
          <w:rFonts w:ascii="仿宋" w:hAnsi="仿宋" w:eastAsia="仿宋"/>
          <w:bCs/>
          <w:snapToGrid w:val="0"/>
          <w:kern w:val="0"/>
          <w:sz w:val="30"/>
          <w:szCs w:val="30"/>
        </w:rPr>
      </w:pPr>
      <w:r>
        <w:rPr>
          <w:rFonts w:hint="eastAsia" w:ascii="仿宋" w:hAnsi="仿宋" w:eastAsia="仿宋"/>
          <w:snapToGrid w:val="0"/>
          <w:kern w:val="0"/>
          <w:sz w:val="30"/>
          <w:szCs w:val="30"/>
        </w:rPr>
        <w:t>乙方应保证所提供的货物或其任何一部分均不会侵犯任何第三方的知识产权</w:t>
      </w:r>
      <w:r>
        <w:rPr>
          <w:rFonts w:hint="eastAsia" w:ascii="仿宋" w:hAnsi="仿宋" w:eastAsia="仿宋"/>
          <w:bCs/>
          <w:snapToGrid w:val="0"/>
          <w:kern w:val="0"/>
          <w:sz w:val="30"/>
          <w:szCs w:val="30"/>
        </w:rPr>
        <w:t>。</w:t>
      </w:r>
    </w:p>
    <w:p>
      <w:pPr>
        <w:pStyle w:val="26"/>
        <w:adjustRightInd w:val="0"/>
        <w:snapToGrid w:val="0"/>
        <w:spacing w:before="120" w:line="460" w:lineRule="exact"/>
        <w:ind w:firstLine="596" w:firstLineChars="198"/>
        <w:rPr>
          <w:rFonts w:ascii="仿宋" w:hAnsi="仿宋" w:eastAsia="仿宋"/>
          <w:snapToGrid w:val="0"/>
          <w:kern w:val="0"/>
          <w:sz w:val="30"/>
          <w:szCs w:val="30"/>
          <w:u w:val="single"/>
        </w:rPr>
      </w:pPr>
      <w:r>
        <w:rPr>
          <w:rFonts w:hint="eastAsia" w:ascii="仿宋" w:hAnsi="仿宋" w:eastAsia="仿宋"/>
          <w:b/>
          <w:snapToGrid w:val="0"/>
          <w:kern w:val="0"/>
          <w:sz w:val="30"/>
          <w:szCs w:val="30"/>
        </w:rPr>
        <w:t>四、产权担保</w:t>
      </w:r>
    </w:p>
    <w:p>
      <w:pPr>
        <w:pStyle w:val="26"/>
        <w:adjustRightInd w:val="0"/>
        <w:snapToGrid w:val="0"/>
        <w:spacing w:before="12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乙方保证所交付的货物的所有权完全属于乙方且无任何抵押、查封等产权瑕疵。</w:t>
      </w:r>
    </w:p>
    <w:p>
      <w:pPr>
        <w:pStyle w:val="26"/>
        <w:adjustRightInd w:val="0"/>
        <w:snapToGrid w:val="0"/>
        <w:spacing w:before="120" w:line="460" w:lineRule="exact"/>
        <w:ind w:firstLine="596" w:firstLineChars="198"/>
        <w:rPr>
          <w:rFonts w:ascii="仿宋" w:hAnsi="仿宋" w:eastAsia="仿宋"/>
          <w:b/>
          <w:snapToGrid w:val="0"/>
          <w:kern w:val="0"/>
          <w:sz w:val="30"/>
          <w:szCs w:val="30"/>
        </w:rPr>
      </w:pPr>
      <w:r>
        <w:rPr>
          <w:rFonts w:hint="eastAsia" w:ascii="仿宋" w:hAnsi="仿宋" w:eastAsia="仿宋"/>
          <w:b/>
          <w:snapToGrid w:val="0"/>
          <w:kern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本合同范围的货物，应由乙方直接供应，不得转让他人供应，否则，甲方有权解除合同，没收履约保证金并追究乙方的违约责任。</w:t>
      </w:r>
    </w:p>
    <w:p>
      <w:pPr>
        <w:pStyle w:val="26"/>
        <w:adjustRightInd w:val="0"/>
        <w:snapToGrid w:val="0"/>
        <w:spacing w:before="120" w:line="460" w:lineRule="exact"/>
        <w:ind w:firstLine="641" w:firstLineChars="213"/>
        <w:rPr>
          <w:rFonts w:ascii="仿宋" w:hAnsi="仿宋" w:eastAsia="仿宋"/>
          <w:snapToGrid w:val="0"/>
          <w:kern w:val="0"/>
          <w:sz w:val="30"/>
          <w:szCs w:val="30"/>
        </w:rPr>
      </w:pPr>
      <w:r>
        <w:rPr>
          <w:rFonts w:hint="eastAsia" w:ascii="仿宋" w:hAnsi="仿宋" w:eastAsia="仿宋"/>
          <w:b/>
          <w:snapToGrid w:val="0"/>
          <w:kern w:val="0"/>
          <w:sz w:val="30"/>
          <w:szCs w:val="30"/>
        </w:rPr>
        <w:t>六、质保期和履约保证金</w:t>
      </w:r>
    </w:p>
    <w:p>
      <w:pPr>
        <w:pStyle w:val="26"/>
        <w:adjustRightInd w:val="0"/>
        <w:snapToGrid w:val="0"/>
        <w:spacing w:before="120" w:line="460" w:lineRule="exact"/>
        <w:ind w:firstLine="600" w:firstLineChars="200"/>
        <w:jc w:val="left"/>
        <w:rPr>
          <w:rFonts w:ascii="仿宋" w:hAnsi="仿宋" w:eastAsia="仿宋"/>
          <w:snapToGrid w:val="0"/>
          <w:kern w:val="0"/>
          <w:sz w:val="30"/>
          <w:szCs w:val="30"/>
        </w:rPr>
      </w:pPr>
      <w:r>
        <w:rPr>
          <w:rFonts w:hint="eastAsia" w:ascii="仿宋" w:hAnsi="仿宋" w:eastAsia="仿宋"/>
          <w:snapToGrid w:val="0"/>
          <w:kern w:val="0"/>
          <w:sz w:val="30"/>
          <w:szCs w:val="30"/>
        </w:rPr>
        <w:t>1.质保期</w:t>
      </w:r>
      <w:r>
        <w:rPr>
          <w:rFonts w:hint="eastAsia" w:ascii="仿宋" w:hAnsi="仿宋" w:eastAsia="仿宋"/>
          <w:snapToGrid w:val="0"/>
          <w:kern w:val="0"/>
          <w:sz w:val="30"/>
          <w:szCs w:val="30"/>
          <w:u w:val="single"/>
        </w:rPr>
        <w:t xml:space="preserve">  [质保期（年）]    </w:t>
      </w:r>
      <w:r>
        <w:rPr>
          <w:rFonts w:hint="eastAsia" w:ascii="仿宋" w:hAnsi="仿宋" w:eastAsia="仿宋"/>
          <w:snapToGrid w:val="0"/>
          <w:kern w:val="0"/>
          <w:sz w:val="30"/>
          <w:szCs w:val="30"/>
        </w:rPr>
        <w:t>年。（自交货验收合格之日起计）</w:t>
      </w:r>
    </w:p>
    <w:p>
      <w:pPr>
        <w:pStyle w:val="26"/>
        <w:adjustRightInd w:val="0"/>
        <w:snapToGrid w:val="0"/>
        <w:spacing w:before="12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2.履约保证金</w:t>
      </w:r>
      <w:r>
        <w:rPr>
          <w:rFonts w:hint="eastAsia" w:ascii="仿宋" w:hAnsi="仿宋" w:eastAsia="仿宋"/>
          <w:snapToGrid w:val="0"/>
          <w:kern w:val="0"/>
          <w:sz w:val="30"/>
          <w:szCs w:val="30"/>
          <w:u w:val="single"/>
        </w:rPr>
        <w:t xml:space="preserve">  [质保金（元）]   </w:t>
      </w:r>
      <w:r>
        <w:rPr>
          <w:rFonts w:hint="eastAsia" w:ascii="仿宋" w:hAnsi="仿宋" w:eastAsia="仿宋"/>
          <w:snapToGrid w:val="0"/>
          <w:kern w:val="0"/>
          <w:sz w:val="30"/>
          <w:szCs w:val="30"/>
        </w:rPr>
        <w:t>元。[履约保证金交给采购人处，在合同约定交货验收合格满（[退还时间（月）]）个月之日起5个工作日内无息退还]</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七、交货期、交货方式及交货地点</w:t>
      </w:r>
    </w:p>
    <w:p>
      <w:pPr>
        <w:pStyle w:val="26"/>
        <w:adjustRightInd w:val="0"/>
        <w:snapToGrid w:val="0"/>
        <w:spacing w:before="120" w:line="460" w:lineRule="exact"/>
        <w:ind w:firstLine="639" w:firstLineChars="213"/>
        <w:rPr>
          <w:rFonts w:ascii="仿宋" w:hAnsi="仿宋" w:eastAsia="仿宋"/>
          <w:bCs/>
          <w:snapToGrid w:val="0"/>
          <w:kern w:val="0"/>
          <w:sz w:val="30"/>
          <w:szCs w:val="30"/>
        </w:rPr>
      </w:pPr>
      <w:r>
        <w:rPr>
          <w:rFonts w:hint="eastAsia" w:ascii="仿宋" w:hAnsi="仿宋" w:eastAsia="仿宋"/>
          <w:bCs/>
          <w:snapToGrid w:val="0"/>
          <w:kern w:val="0"/>
          <w:sz w:val="30"/>
          <w:szCs w:val="30"/>
        </w:rPr>
        <w:t>1. 交货期：[交货期]</w:t>
      </w:r>
    </w:p>
    <w:p>
      <w:pPr>
        <w:pStyle w:val="26"/>
        <w:adjustRightInd w:val="0"/>
        <w:snapToGrid w:val="0"/>
        <w:spacing w:before="120" w:line="460" w:lineRule="exact"/>
        <w:ind w:firstLine="639" w:firstLineChars="213"/>
        <w:rPr>
          <w:rFonts w:ascii="仿宋" w:hAnsi="仿宋" w:eastAsia="仿宋"/>
          <w:bCs/>
          <w:snapToGrid w:val="0"/>
          <w:kern w:val="0"/>
          <w:sz w:val="30"/>
          <w:szCs w:val="30"/>
        </w:rPr>
      </w:pPr>
      <w:r>
        <w:rPr>
          <w:rFonts w:hint="eastAsia" w:ascii="仿宋" w:hAnsi="仿宋" w:eastAsia="仿宋"/>
          <w:bCs/>
          <w:snapToGrid w:val="0"/>
          <w:kern w:val="0"/>
          <w:sz w:val="30"/>
          <w:szCs w:val="30"/>
        </w:rPr>
        <w:t>2. 交货方式：[交货方式]</w:t>
      </w:r>
    </w:p>
    <w:p>
      <w:pPr>
        <w:pStyle w:val="26"/>
        <w:adjustRightInd w:val="0"/>
        <w:snapToGrid w:val="0"/>
        <w:spacing w:before="120" w:line="460" w:lineRule="exact"/>
        <w:ind w:firstLine="639" w:firstLineChars="213"/>
        <w:rPr>
          <w:rFonts w:ascii="仿宋" w:hAnsi="仿宋" w:eastAsia="仿宋"/>
          <w:b/>
          <w:snapToGrid w:val="0"/>
          <w:kern w:val="0"/>
          <w:sz w:val="30"/>
          <w:szCs w:val="30"/>
        </w:rPr>
      </w:pPr>
      <w:r>
        <w:rPr>
          <w:rFonts w:hint="eastAsia" w:ascii="仿宋" w:hAnsi="仿宋" w:eastAsia="仿宋"/>
          <w:bCs/>
          <w:snapToGrid w:val="0"/>
          <w:kern w:val="0"/>
          <w:sz w:val="30"/>
          <w:szCs w:val="30"/>
        </w:rPr>
        <w:t>3. 交货地点：[交货地点]</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八、货款支付</w:t>
      </w:r>
    </w:p>
    <w:p>
      <w:pPr>
        <w:pStyle w:val="26"/>
        <w:adjustRightInd w:val="0"/>
        <w:snapToGrid w:val="0"/>
        <w:spacing w:before="120" w:line="460" w:lineRule="exact"/>
        <w:ind w:firstLine="639" w:firstLineChars="213"/>
        <w:rPr>
          <w:rFonts w:ascii="仿宋" w:hAnsi="仿宋" w:eastAsia="仿宋"/>
          <w:bCs/>
          <w:snapToGrid w:val="0"/>
          <w:kern w:val="0"/>
          <w:sz w:val="30"/>
          <w:szCs w:val="30"/>
        </w:rPr>
      </w:pPr>
      <w:r>
        <w:rPr>
          <w:rFonts w:hint="eastAsia" w:ascii="仿宋" w:hAnsi="仿宋" w:eastAsia="仿宋"/>
          <w:bCs/>
          <w:snapToGrid w:val="0"/>
          <w:kern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26"/>
        <w:adjustRightInd w:val="0"/>
        <w:snapToGrid w:val="0"/>
        <w:spacing w:before="120" w:line="460" w:lineRule="exact"/>
        <w:ind w:firstLine="596" w:firstLineChars="198"/>
        <w:rPr>
          <w:rFonts w:ascii="仿宋" w:hAnsi="仿宋" w:eastAsia="仿宋"/>
          <w:snapToGrid w:val="0"/>
          <w:kern w:val="0"/>
          <w:sz w:val="30"/>
          <w:szCs w:val="30"/>
        </w:rPr>
      </w:pPr>
      <w:r>
        <w:rPr>
          <w:rFonts w:hint="eastAsia" w:ascii="仿宋" w:hAnsi="仿宋" w:eastAsia="仿宋"/>
          <w:b/>
          <w:snapToGrid w:val="0"/>
          <w:kern w:val="0"/>
          <w:sz w:val="30"/>
          <w:szCs w:val="30"/>
        </w:rPr>
        <w:t>十、质量保证及售后服务</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乙方提供的货物在质保期内因货物本身的质量问题发生故障，乙方应负责免费更换。对达不到技术要求者，根据实际情况，经双方协商，可按以下办法处理：</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⑴更换：由乙方承担所发生的全部费用。</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⑵贬值处理：由甲乙双方合议定价。</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⑶退货处理：乙方应退还甲方支付的合同款，同时应承担该货物的直接费用（运输、保险、检验、货款利息及银行手续费等）。</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3. 在质保期内，乙方应对货物出现的质量及安全问题负责处理解决并承担一切费用。</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4.上述的货物在质保期内免费保修，因人为因素出现的故障不在免费保修范围内。超过保修期的机器设备，终生维修，维修时只收部件成本费。</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十一、调试和验收</w:t>
      </w:r>
    </w:p>
    <w:p>
      <w:pPr>
        <w:pStyle w:val="26"/>
        <w:adjustRightInd w:val="0"/>
        <w:snapToGrid w:val="0"/>
        <w:spacing w:before="120" w:line="460" w:lineRule="exact"/>
        <w:ind w:firstLine="639" w:firstLineChars="213"/>
        <w:jc w:val="left"/>
        <w:rPr>
          <w:rFonts w:ascii="仿宋" w:hAnsi="仿宋" w:eastAsia="仿宋"/>
          <w:snapToGrid w:val="0"/>
          <w:kern w:val="0"/>
          <w:sz w:val="30"/>
          <w:szCs w:val="30"/>
        </w:rPr>
      </w:pPr>
      <w:r>
        <w:rPr>
          <w:rFonts w:hint="eastAsia" w:ascii="仿宋" w:hAnsi="仿宋" w:eastAsia="仿宋"/>
          <w:snapToGrid w:val="0"/>
          <w:kern w:val="0"/>
          <w:sz w:val="30"/>
          <w:szCs w:val="30"/>
        </w:rPr>
        <w:t>1. 甲方对乙方提交的货物依据单一来源采购文件上的技术规格要求和国家有关质量标准进行现场验收。货到后，甲方需在五个工作日内验收。</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乙方交货前应对产品作出全面检查和对验收文件进行整理，并列出清单，作为甲方收货验收和使用的技术条件依据，检验的结果应随货物交甲方。</w:t>
      </w:r>
    </w:p>
    <w:p>
      <w:pPr>
        <w:pStyle w:val="26"/>
        <w:adjustRightInd w:val="0"/>
        <w:snapToGrid w:val="0"/>
        <w:spacing w:before="12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3. 甲方对乙方提供的货物在使用前进行调试时，乙方需负责安装并培训甲方的使用操作人员，并协助甲方一起调试，直到符合技术要求，甲方才做最终验收。</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4. 对技术复杂的货物，甲方应请国家认可的专业检测机构参与验收，并由其出具质量检测报告。</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5. 验收时乙方必须在现场，验收完毕后作出验收结果报告；验收费用由乙方负责。</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十二、货物包装</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 乙方应在货物发运前对其进行满足运输距离、防潮、防震、防锈和防破损装卸等要求包装，以保证货物安全运达甲方指定地点。</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使用说明书、质量检验证明书、随配附件和工具以及清单一并附于货物内。</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十三、违约责任</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 甲方无正当理由拒收货物的，甲方向乙方偿付拒收货款总值的百分之五违约金。</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甲方无故逾期验收和办理货款支付手续的,甲方应按逾期付款总额每日万分之五向乙方支付违约金。</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4. 乙方所交的货物品种、型号、规格、技术参数、质量不符合合同规定及单一来源采购文件规定标准的，甲方有权拒收该货物，乙方愿意更换货物但逾期交货的，按乙方逾期交货处理。乙方拒绝更换货物的，甲方可单方面解除合同。</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十四、不可抗力事件处理</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 在合同有效期内，任何一方因不可抗力事件导致不能履行合同，则合同履行期可延长，其延长期与不可抗力影响期相同。</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 不可抗力事件发生后，应立即通知对方，并寄送有关权威机构出具的证明。</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3. 不可抗力事件延续120天以上，双方应通过友好协商，确定是否继续履行合同。</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十五、诉讼</w:t>
      </w:r>
    </w:p>
    <w:p>
      <w:pPr>
        <w:pStyle w:val="26"/>
        <w:adjustRightInd w:val="0"/>
        <w:snapToGrid w:val="0"/>
        <w:spacing w:before="120" w:line="460" w:lineRule="exact"/>
        <w:ind w:left="2"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双方在执行合同中所发生的一切争议，应通过协商解决。如协商不成，可向甲方所在地法院起诉。</w:t>
      </w:r>
    </w:p>
    <w:p>
      <w:pPr>
        <w:pStyle w:val="26"/>
        <w:adjustRightInd w:val="0"/>
        <w:snapToGrid w:val="0"/>
        <w:spacing w:before="12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十六、合同生效及其它</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1. 合同经甲、乙、鉴证方三方签名并加盖单位公章后生效。</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2.合同执行中涉及采购资金和采购内容修改或补充的，须经采购中心、财政部门审批，并签书面补充协议，经报政府采购监督管理部门备案后，方可作为主合同不可分割的一部分。</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3.单一来源采购文件、单一来源采购响应文件与本合同具有同等法律效力。</w:t>
      </w:r>
    </w:p>
    <w:p>
      <w:pPr>
        <w:pStyle w:val="26"/>
        <w:adjustRightInd w:val="0"/>
        <w:snapToGrid w:val="0"/>
        <w:spacing w:before="12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4.本合同未尽事宜，遵照《合同法》有关条文执行。</w:t>
      </w:r>
    </w:p>
    <w:p>
      <w:pPr>
        <w:pStyle w:val="26"/>
        <w:adjustRightInd w:val="0"/>
        <w:snapToGrid w:val="0"/>
        <w:spacing w:before="120" w:line="460" w:lineRule="exact"/>
        <w:ind w:left="2" w:leftChars="1"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5.本合同一式六份，具有同等法律效力，甲、乙、鉴证三方各执二份。</w:t>
      </w:r>
    </w:p>
    <w:p>
      <w:pPr>
        <w:pStyle w:val="26"/>
        <w:adjustRightInd w:val="0"/>
        <w:snapToGrid w:val="0"/>
        <w:spacing w:before="120" w:line="460" w:lineRule="exact"/>
        <w:ind w:left="600"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  </w:t>
      </w:r>
    </w:p>
    <w:p>
      <w:pPr>
        <w:pStyle w:val="26"/>
        <w:adjustRightInd w:val="0"/>
        <w:snapToGrid w:val="0"/>
        <w:spacing w:before="120" w:line="460" w:lineRule="exact"/>
        <w:ind w:left="600" w:firstLine="639" w:firstLineChars="213"/>
        <w:rPr>
          <w:rFonts w:ascii="仿宋" w:hAnsi="仿宋" w:eastAsia="仿宋"/>
          <w:snapToGrid w:val="0"/>
          <w:kern w:val="0"/>
          <w:sz w:val="30"/>
          <w:szCs w:val="30"/>
        </w:rPr>
      </w:pPr>
    </w:p>
    <w:p>
      <w:pPr>
        <w:pStyle w:val="26"/>
        <w:adjustRightInd w:val="0"/>
        <w:snapToGrid w:val="0"/>
        <w:spacing w:before="120" w:line="460" w:lineRule="exact"/>
        <w:ind w:left="600" w:firstLine="639" w:firstLineChars="213"/>
        <w:rPr>
          <w:rFonts w:ascii="仿宋" w:hAnsi="仿宋" w:eastAsia="仿宋"/>
          <w:snapToGrid w:val="0"/>
          <w:kern w:val="0"/>
          <w:sz w:val="30"/>
          <w:szCs w:val="30"/>
        </w:rPr>
      </w:pPr>
    </w:p>
    <w:p>
      <w:pPr>
        <w:pStyle w:val="26"/>
        <w:adjustRightInd w:val="0"/>
        <w:snapToGrid w:val="0"/>
        <w:spacing w:before="120" w:line="460" w:lineRule="exact"/>
        <w:ind w:left="600" w:firstLine="639" w:firstLineChars="213"/>
        <w:rPr>
          <w:rFonts w:ascii="仿宋" w:hAnsi="仿宋" w:eastAsia="仿宋"/>
          <w:snapToGrid w:val="0"/>
          <w:kern w:val="0"/>
          <w:sz w:val="30"/>
          <w:szCs w:val="30"/>
        </w:rPr>
      </w:pP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甲方（盖章）：                                   </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地址：                                   </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法定（授权）代表人：                   </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签名日期： 年  月  日           </w:t>
      </w:r>
    </w:p>
    <w:p>
      <w:pPr>
        <w:pStyle w:val="26"/>
        <w:adjustRightInd w:val="0"/>
        <w:snapToGrid w:val="0"/>
        <w:spacing w:before="120" w:line="460" w:lineRule="exact"/>
        <w:ind w:firstLine="639" w:firstLineChars="213"/>
        <w:rPr>
          <w:rFonts w:ascii="仿宋" w:hAnsi="仿宋" w:eastAsia="仿宋"/>
          <w:snapToGrid w:val="0"/>
          <w:kern w:val="0"/>
          <w:sz w:val="30"/>
          <w:szCs w:val="30"/>
        </w:rPr>
      </w:pP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乙方（盖章）：</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 xml:space="preserve">地址： </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开户行：</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开户帐号：</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法定（授权）代表人：</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签名日期：  年  月  日</w:t>
      </w:r>
    </w:p>
    <w:p>
      <w:pPr>
        <w:pStyle w:val="26"/>
        <w:adjustRightInd w:val="0"/>
        <w:snapToGrid w:val="0"/>
        <w:spacing w:before="120" w:line="460" w:lineRule="exact"/>
        <w:ind w:firstLine="639" w:firstLineChars="213"/>
        <w:rPr>
          <w:rFonts w:ascii="仿宋" w:hAnsi="仿宋" w:eastAsia="仿宋"/>
          <w:snapToGrid w:val="0"/>
          <w:kern w:val="0"/>
          <w:sz w:val="30"/>
          <w:szCs w:val="30"/>
        </w:rPr>
      </w:pP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合同鉴证方（盖章）:</w:t>
      </w:r>
    </w:p>
    <w:p>
      <w:pPr>
        <w:pStyle w:val="26"/>
        <w:adjustRightInd w:val="0"/>
        <w:snapToGrid w:val="0"/>
        <w:spacing w:before="12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法定代表人或主要负责人:</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鉴证日期:  年  月  日</w:t>
      </w:r>
    </w:p>
    <w:p>
      <w:pPr>
        <w:pStyle w:val="26"/>
        <w:adjustRightInd w:val="0"/>
        <w:snapToGrid w:val="0"/>
        <w:spacing w:before="120" w:line="460" w:lineRule="exact"/>
        <w:ind w:left="1" w:firstLine="639" w:firstLineChars="213"/>
        <w:rPr>
          <w:rFonts w:ascii="仿宋" w:hAnsi="仿宋" w:eastAsia="仿宋"/>
          <w:snapToGrid w:val="0"/>
          <w:kern w:val="0"/>
          <w:sz w:val="30"/>
          <w:szCs w:val="30"/>
        </w:rPr>
      </w:pPr>
    </w:p>
    <w:p/>
    <w:p>
      <w:pPr>
        <w:pStyle w:val="26"/>
        <w:adjustRightInd w:val="0"/>
        <w:snapToGrid w:val="0"/>
        <w:spacing w:before="120" w:line="460" w:lineRule="exact"/>
        <w:ind w:left="1" w:firstLine="770" w:firstLineChars="213"/>
        <w:jc w:val="center"/>
        <w:rPr>
          <w:rFonts w:ascii="仿宋" w:hAnsi="仿宋" w:eastAsia="仿宋"/>
          <w:b/>
          <w:snapToGrid w:val="0"/>
          <w:kern w:val="0"/>
          <w:sz w:val="36"/>
          <w:szCs w:val="36"/>
        </w:rPr>
      </w:pPr>
    </w:p>
    <w:p>
      <w:pPr>
        <w:pStyle w:val="44"/>
        <w:rPr>
          <w:snapToGrid w:val="0"/>
        </w:rPr>
      </w:pPr>
      <w:r>
        <w:rPr>
          <w:szCs w:val="30"/>
        </w:rPr>
        <w:br w:type="page"/>
      </w:r>
    </w:p>
    <w:p>
      <w:pPr>
        <w:pStyle w:val="44"/>
      </w:pPr>
      <w:bookmarkStart w:id="32" w:name="_Toc510136962"/>
      <w:r>
        <w:rPr>
          <w:rFonts w:hint="eastAsia"/>
          <w:snapToGrid w:val="0"/>
        </w:rPr>
        <w:t>第五章</w:t>
      </w:r>
      <w:r>
        <w:t xml:space="preserve">  </w:t>
      </w:r>
      <w:r>
        <w:rPr>
          <w:rFonts w:hint="eastAsia"/>
        </w:rPr>
        <w:t>单一来源采购响应文件格式附件</w:t>
      </w:r>
      <w:bookmarkEnd w:id="32"/>
      <w:r>
        <w:rPr>
          <w:rFonts w:hint="eastAsia" w:ascii="仿宋" w:hAnsi="仿宋" w:eastAsia="仿宋"/>
          <w:b w:val="0"/>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r>
        <w:rPr>
          <w:rFonts w:hint="eastAsia" w:ascii="仿宋" w:hAnsi="仿宋" w:eastAsia="仿宋"/>
          <w:bCs/>
          <w:sz w:val="30"/>
          <w:szCs w:val="30"/>
        </w:rPr>
        <w:t>正本或副本</w:t>
      </w:r>
    </w:p>
    <w:p>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3" w:name="PO_15526_PM001_2"/>
      <w:r>
        <w:rPr>
          <w:rFonts w:hint="eastAsia" w:ascii="仿宋" w:hAnsi="仿宋" w:eastAsia="仿宋"/>
          <w:sz w:val="36"/>
          <w:szCs w:val="36"/>
          <w:lang w:eastAsia="zh-CN"/>
        </w:rPr>
        <w:t>ZZCG2020C-DY-119</w:t>
      </w:r>
      <w:bookmarkEnd w:id="33"/>
      <w:r>
        <w:rPr>
          <w:rFonts w:hint="eastAsia" w:ascii="仿宋" w:hAnsi="仿宋" w:eastAsia="仿宋"/>
          <w:sz w:val="36"/>
          <w:szCs w:val="36"/>
        </w:rPr>
        <w:t>（标项*）</w:t>
      </w:r>
    </w:p>
    <w:p>
      <w:pPr>
        <w:spacing w:after="100" w:afterAutospacing="1" w:line="800" w:lineRule="exact"/>
        <w:ind w:right="-108"/>
        <w:jc w:val="center"/>
        <w:rPr>
          <w:rFonts w:ascii="仿宋" w:hAnsi="仿宋" w:eastAsia="仿宋"/>
          <w:b/>
          <w:spacing w:val="40"/>
          <w:sz w:val="30"/>
          <w:szCs w:val="30"/>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0"/>
          <w:szCs w:val="30"/>
        </w:rPr>
      </w:pP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供应商全称：</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地    址：</w:t>
      </w:r>
    </w:p>
    <w:p>
      <w:pPr>
        <w:spacing w:line="600" w:lineRule="exact"/>
        <w:ind w:right="532" w:firstLine="600" w:firstLineChars="200"/>
        <w:rPr>
          <w:rFonts w:ascii="仿宋" w:hAnsi="仿宋" w:eastAsia="仿宋"/>
          <w:sz w:val="30"/>
          <w:szCs w:val="30"/>
        </w:rPr>
      </w:pPr>
      <w:r>
        <w:rPr>
          <w:rFonts w:hint="eastAsia" w:ascii="仿宋" w:hAnsi="仿宋" w:eastAsia="仿宋"/>
          <w:sz w:val="30"/>
          <w:szCs w:val="30"/>
        </w:rPr>
        <w:t>时    间：</w:t>
      </w:r>
    </w:p>
    <w:p>
      <w:pPr>
        <w:snapToGrid w:val="0"/>
        <w:spacing w:before="50" w:after="50"/>
        <w:rPr>
          <w:rFonts w:ascii="仿宋" w:hAnsi="仿宋" w:eastAsia="仿宋"/>
          <w:b/>
          <w:sz w:val="36"/>
          <w:szCs w:val="36"/>
        </w:rPr>
      </w:pPr>
    </w:p>
    <w:p>
      <w:pPr>
        <w:snapToGrid w:val="0"/>
        <w:spacing w:before="50" w:after="50"/>
        <w:rPr>
          <w:rFonts w:ascii="仿宋" w:hAnsi="仿宋" w:eastAsia="仿宋"/>
          <w:b/>
          <w:bCs/>
          <w:sz w:val="36"/>
          <w:szCs w:val="36"/>
        </w:rPr>
      </w:pPr>
      <w:r>
        <w:rPr>
          <w:rFonts w:hint="eastAsia" w:ascii="仿宋" w:hAnsi="仿宋" w:eastAsia="仿宋"/>
          <w:b/>
          <w:sz w:val="36"/>
          <w:szCs w:val="36"/>
        </w:rPr>
        <w:t>1.</w:t>
      </w:r>
      <w:r>
        <w:rPr>
          <w:rFonts w:hint="eastAsia" w:ascii="仿宋" w:hAnsi="仿宋" w:eastAsia="仿宋"/>
          <w:b/>
          <w:bCs/>
          <w:sz w:val="36"/>
          <w:szCs w:val="36"/>
        </w:rPr>
        <w:t>资信及商务文件目录</w:t>
      </w:r>
    </w:p>
    <w:p>
      <w:pPr>
        <w:snapToGrid w:val="0"/>
        <w:spacing w:before="50" w:after="50"/>
        <w:rPr>
          <w:rFonts w:ascii="仿宋" w:hAnsi="仿宋" w:eastAsia="仿宋"/>
          <w:sz w:val="30"/>
          <w:szCs w:val="30"/>
        </w:rPr>
      </w:pPr>
    </w:p>
    <w:p>
      <w:pPr>
        <w:snapToGrid w:val="0"/>
        <w:spacing w:before="120" w:beforeLines="50" w:line="460" w:lineRule="exact"/>
        <w:ind w:firstLine="590" w:firstLineChars="196"/>
        <w:jc w:val="left"/>
        <w:rPr>
          <w:rFonts w:ascii="仿宋" w:hAnsi="仿宋" w:eastAsia="仿宋"/>
          <w:b/>
          <w:sz w:val="30"/>
          <w:szCs w:val="30"/>
        </w:rPr>
      </w:pPr>
      <w:r>
        <w:rPr>
          <w:rFonts w:hint="eastAsia" w:ascii="仿宋" w:hAnsi="仿宋" w:eastAsia="仿宋"/>
          <w:b/>
          <w:sz w:val="30"/>
          <w:szCs w:val="30"/>
        </w:rPr>
        <w:t>A.资信文件：</w:t>
      </w:r>
    </w:p>
    <w:p>
      <w:pPr>
        <w:snapToGrid w:val="0"/>
        <w:spacing w:line="460" w:lineRule="exact"/>
        <w:ind w:firstLine="590" w:firstLineChars="196"/>
        <w:jc w:val="left"/>
        <w:rPr>
          <w:rFonts w:ascii="仿宋" w:hAnsi="仿宋" w:eastAsia="仿宋"/>
          <w:sz w:val="30"/>
          <w:szCs w:val="30"/>
        </w:rPr>
      </w:pPr>
      <w:r>
        <w:rPr>
          <w:rFonts w:hint="eastAsia" w:ascii="仿宋" w:hAnsi="仿宋" w:eastAsia="仿宋"/>
          <w:b/>
          <w:sz w:val="30"/>
          <w:szCs w:val="30"/>
        </w:rPr>
        <w:t>（</w:t>
      </w:r>
      <w:r>
        <w:rPr>
          <w:rFonts w:hint="eastAsia" w:ascii="仿宋" w:hAnsi="仿宋" w:eastAsia="仿宋"/>
          <w:sz w:val="30"/>
          <w:szCs w:val="30"/>
        </w:rPr>
        <w:t>1）响应声明书 (格式见附件)；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color w:val="000000"/>
          <w:sz w:val="30"/>
          <w:szCs w:val="30"/>
        </w:rPr>
        <w:t>事业单位的，则提供有效的《事业单位法人证书》副本复印件并加盖单位公章；</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（4）提供采购邀请中符合</w:t>
      </w:r>
      <w:r>
        <w:rPr>
          <w:rFonts w:hint="eastAsia" w:ascii="仿宋" w:hAnsi="仿宋" w:eastAsia="仿宋"/>
          <w:bCs/>
          <w:sz w:val="30"/>
          <w:szCs w:val="30"/>
        </w:rPr>
        <w:t>供应商的特定条件要求的有效的的其他资质复印件并加盖公司公章及</w:t>
      </w:r>
      <w:r>
        <w:rPr>
          <w:rFonts w:hint="eastAsia" w:ascii="仿宋" w:hAnsi="仿宋" w:eastAsia="仿宋"/>
          <w:sz w:val="30"/>
          <w:szCs w:val="30"/>
        </w:rPr>
        <w:t>需要说明的资料。</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B、商务文件：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（1）供应商情况介绍（主要产品、技术力量、生产规模、经营业绩等）；</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（2）供应商认为可以证明其能力或业绩的其他材料；</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（3）类似成功案例的业绩证明（供应商同类项目实施情况一览表、合同复印件、用户验收报告）；</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（4）资信及商务响应表（格式见附件）；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（5）节能环保等的资质证书或文件（若有）；</w:t>
      </w:r>
    </w:p>
    <w:p>
      <w:pPr>
        <w:pStyle w:val="28"/>
        <w:snapToGrid w:val="0"/>
        <w:spacing w:line="460" w:lineRule="exact"/>
        <w:ind w:leftChars="0" w:firstLine="600" w:firstLineChars="200"/>
        <w:rPr>
          <w:rFonts w:ascii="仿宋" w:hAnsi="仿宋" w:eastAsia="仿宋"/>
          <w:sz w:val="30"/>
          <w:szCs w:val="30"/>
        </w:rPr>
      </w:pPr>
      <w:r>
        <w:rPr>
          <w:rFonts w:hint="eastAsia" w:ascii="仿宋" w:hAnsi="仿宋" w:eastAsia="仿宋"/>
          <w:sz w:val="30"/>
          <w:szCs w:val="30"/>
        </w:rPr>
        <w:t>（6）报价明细一览表（格式见附件）；</w:t>
      </w:r>
    </w:p>
    <w:p>
      <w:pPr>
        <w:pStyle w:val="28"/>
        <w:snapToGrid w:val="0"/>
        <w:spacing w:line="460" w:lineRule="exact"/>
        <w:ind w:leftChars="0" w:firstLine="600" w:firstLineChars="200"/>
        <w:rPr>
          <w:rFonts w:ascii="仿宋" w:hAnsi="仿宋" w:eastAsia="仿宋"/>
          <w:sz w:val="30"/>
          <w:szCs w:val="30"/>
        </w:rPr>
      </w:pPr>
      <w:r>
        <w:rPr>
          <w:rFonts w:hint="eastAsia" w:ascii="仿宋" w:hAnsi="仿宋" w:eastAsia="仿宋"/>
          <w:sz w:val="30"/>
          <w:szCs w:val="30"/>
        </w:rPr>
        <w:t>（7）供应商认为需要的其他文件资料；</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120" w:beforeLines="50" w:after="50" w:line="500" w:lineRule="exact"/>
        <w:jc w:val="center"/>
        <w:rPr>
          <w:rFonts w:ascii="仿宋" w:hAnsi="仿宋" w:eastAsia="仿宋"/>
          <w:b/>
          <w:sz w:val="36"/>
          <w:szCs w:val="36"/>
        </w:rPr>
      </w:pPr>
      <w:r>
        <w:rPr>
          <w:rFonts w:hint="eastAsia" w:ascii="仿宋" w:hAnsi="仿宋" w:eastAsia="仿宋"/>
          <w:b/>
          <w:sz w:val="36"/>
          <w:szCs w:val="36"/>
        </w:rPr>
        <w:t xml:space="preserve"> 声 明 书</w:t>
      </w:r>
    </w:p>
    <w:p>
      <w:pPr>
        <w:snapToGrid w:val="0"/>
        <w:spacing w:before="120" w:beforeLines="50" w:after="50" w:line="500" w:lineRule="exact"/>
        <w:jc w:val="center"/>
        <w:rPr>
          <w:rFonts w:ascii="仿宋" w:hAnsi="仿宋" w:eastAsia="仿宋"/>
          <w:b/>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致：浙江省政府采购中心</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（供应商名称）系中华人民共和国合法企业，经营地址                            。</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我（姓名）系（供应商名称）的法定代表人，我方愿意参加贵方组织的（项目名称）（编号为</w:t>
      </w:r>
      <w:bookmarkStart w:id="34" w:name="PO_15526_PM001_3"/>
      <w:r>
        <w:rPr>
          <w:rFonts w:hint="eastAsia" w:ascii="仿宋" w:hAnsi="仿宋" w:eastAsia="仿宋"/>
          <w:sz w:val="30"/>
          <w:szCs w:val="30"/>
          <w:lang w:eastAsia="zh-CN"/>
        </w:rPr>
        <w:t>ZZCG2020C-DY-119</w:t>
      </w:r>
      <w:bookmarkEnd w:id="34"/>
      <w:r>
        <w:rPr>
          <w:rFonts w:hint="eastAsia" w:ascii="仿宋" w:hAnsi="仿宋" w:eastAsia="仿宋"/>
          <w:sz w:val="30"/>
          <w:szCs w:val="30"/>
        </w:rPr>
        <w:t>的单一来源采购响应，为此，我方就本次采购响应有关事项郑重声明如下：</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1、我方已详细审查全部单一来源采购文件，同意单一来源文件的各项要求。</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2、我方向贵方提交的所有单一来源采购响应文件、资料都是正确和真实的。</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3、若成交，我方将按单一来源采购文件规定履行合同责任和义务。</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4、我方不是采购人的附属机构。</w:t>
      </w: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5、以上事项如有虚假或隐瞒，我方愿意承担一切后果，并不再寻求任何旨在减轻或免除法律责任的辩解。</w:t>
      </w: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 xml:space="preserve">法定代表人签名（或签名章）：              日 期：          </w:t>
      </w:r>
    </w:p>
    <w:p>
      <w:pPr>
        <w:snapToGrid w:val="0"/>
        <w:spacing w:line="460" w:lineRule="exact"/>
        <w:ind w:firstLine="588" w:firstLineChars="196"/>
        <w:rPr>
          <w:rFonts w:ascii="仿宋" w:hAnsi="仿宋" w:eastAsia="仿宋"/>
          <w:sz w:val="30"/>
          <w:szCs w:val="30"/>
        </w:rPr>
      </w:pPr>
    </w:p>
    <w:p>
      <w:pPr>
        <w:snapToGrid w:val="0"/>
        <w:spacing w:line="460" w:lineRule="exact"/>
        <w:ind w:firstLine="588" w:firstLineChars="196"/>
        <w:rPr>
          <w:rFonts w:ascii="仿宋" w:hAnsi="仿宋" w:eastAsia="仿宋"/>
          <w:sz w:val="30"/>
          <w:szCs w:val="30"/>
        </w:rPr>
      </w:pPr>
      <w:r>
        <w:rPr>
          <w:rFonts w:hint="eastAsia" w:ascii="仿宋" w:hAnsi="仿宋" w:eastAsia="仿宋"/>
          <w:sz w:val="30"/>
          <w:szCs w:val="30"/>
        </w:rPr>
        <w:t xml:space="preserve">供应商全称（公章）：                    </w:t>
      </w:r>
    </w:p>
    <w:p>
      <w:pPr>
        <w:snapToGrid w:val="0"/>
        <w:spacing w:line="460" w:lineRule="exact"/>
        <w:ind w:firstLine="588" w:firstLineChars="196"/>
        <w:rPr>
          <w:rFonts w:ascii="仿宋" w:hAnsi="仿宋" w:eastAsia="仿宋"/>
          <w:sz w:val="30"/>
          <w:szCs w:val="30"/>
        </w:rPr>
      </w:pPr>
    </w:p>
    <w:p>
      <w:pPr>
        <w:snapToGrid w:val="0"/>
        <w:spacing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120" w:beforeLines="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 xml:space="preserve">（供应商名称）的法定代表人，现授权委托本单位在职职工 </w:t>
      </w:r>
      <w:r>
        <w:rPr>
          <w:rFonts w:hint="eastAsia" w:ascii="仿宋" w:hAnsi="仿宋" w:eastAsia="仿宋"/>
          <w:sz w:val="30"/>
          <w:szCs w:val="30"/>
          <w:u w:val="single"/>
        </w:rPr>
        <w:t xml:space="preserve">         </w:t>
      </w:r>
      <w:r>
        <w:rPr>
          <w:rFonts w:hint="eastAsia" w:ascii="仿宋" w:hAnsi="仿宋" w:eastAsia="仿宋"/>
          <w:sz w:val="30"/>
          <w:szCs w:val="30"/>
        </w:rPr>
        <w:t>（姓名）为全权代表，以我方的名义参加项目编号：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项目的单一来源采购响应活动，并代表我方全权办理针对上述项目的采购响应等具体事务和签署相关文件。我方对全权代表的签名事项负全部责任。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全权代表无转委托权，特此委托。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全权代表身份证号码：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hint="eastAsia" w:ascii="仿宋" w:hAnsi="仿宋" w:eastAsia="仿宋"/>
          <w:sz w:val="30"/>
          <w:szCs w:val="30"/>
          <w:lang w:eastAsia="zh-CN"/>
        </w:rPr>
      </w:pPr>
      <w:r>
        <w:rPr>
          <w:rFonts w:hint="eastAsia" w:ascii="仿宋" w:hAnsi="仿宋" w:eastAsia="仿宋"/>
          <w:sz w:val="30"/>
          <w:szCs w:val="30"/>
          <w:lang w:eastAsia="zh-CN"/>
        </w:rPr>
        <w:t>全权代表联系方式：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 xml:space="preserve">   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pPr>
        <w:widowControl/>
        <w:jc w:val="left"/>
        <w:rPr>
          <w:rFonts w:ascii="仿宋" w:hAnsi="仿宋" w:eastAsia="仿宋"/>
          <w:sz w:val="30"/>
          <w:szCs w:val="30"/>
          <w:u w:val="single"/>
        </w:rPr>
        <w:sectPr>
          <w:pgSz w:w="11906" w:h="16838"/>
          <w:pgMar w:top="1440" w:right="1800" w:bottom="1440" w:left="1800"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附件4：</w:t>
      </w:r>
    </w:p>
    <w:p>
      <w:pPr>
        <w:pStyle w:val="35"/>
        <w:snapToGrid w:val="0"/>
        <w:ind w:left="723" w:hanging="723"/>
        <w:jc w:val="center"/>
        <w:rPr>
          <w:rFonts w:ascii="仿宋" w:hAnsi="仿宋" w:eastAsia="仿宋"/>
          <w:b/>
          <w:sz w:val="36"/>
          <w:szCs w:val="36"/>
        </w:rPr>
      </w:pPr>
      <w:r>
        <w:rPr>
          <w:rFonts w:hint="eastAsia" w:ascii="仿宋" w:hAnsi="仿宋" w:eastAsia="仿宋"/>
          <w:b/>
          <w:sz w:val="36"/>
          <w:szCs w:val="36"/>
        </w:rPr>
        <w:t>供应商同类项目实施情况一览表</w:t>
      </w:r>
    </w:p>
    <w:p>
      <w:pPr>
        <w:pStyle w:val="18"/>
        <w:snapToGrid w:val="0"/>
        <w:rPr>
          <w:rFonts w:ascii="仿宋" w:hAnsi="仿宋" w:eastAsia="仿宋" w:cs="Times New Roman"/>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p>
    <w:tbl>
      <w:tblPr>
        <w:tblStyle w:val="51"/>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须提供供应商同类项目合同复印件、用户验收报告。</w:t>
            </w:r>
          </w:p>
        </w:tc>
      </w:tr>
    </w:tbl>
    <w:p>
      <w:pPr>
        <w:pStyle w:val="18"/>
        <w:snapToGrid w:val="0"/>
        <w:spacing w:before="240"/>
        <w:rPr>
          <w:rFonts w:ascii="仿宋" w:hAnsi="仿宋" w:eastAsia="仿宋"/>
          <w:sz w:val="30"/>
          <w:szCs w:val="30"/>
        </w:rPr>
      </w:pPr>
      <w:r>
        <w:rPr>
          <w:rFonts w:hint="eastAsia" w:ascii="仿宋" w:hAnsi="仿宋" w:eastAsia="仿宋"/>
          <w:sz w:val="30"/>
          <w:szCs w:val="30"/>
        </w:rPr>
        <w:t>全权代表签名：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r>
        <w:rPr>
          <w:rFonts w:hint="eastAsia" w:ascii="仿宋" w:hAnsi="仿宋" w:eastAsia="仿宋"/>
          <w:sz w:val="30"/>
          <w:szCs w:val="30"/>
          <w:u w:val="single"/>
        </w:rPr>
        <w:t xml:space="preserve">            </w:t>
      </w:r>
    </w:p>
    <w:p>
      <w:pPr>
        <w:widowControl/>
        <w:jc w:val="left"/>
        <w:rPr>
          <w:rFonts w:ascii="仿宋" w:hAnsi="仿宋" w:eastAsia="仿宋"/>
          <w:sz w:val="30"/>
          <w:szCs w:val="30"/>
        </w:rPr>
        <w:sectPr>
          <w:type w:val="continuous"/>
          <w:pgSz w:w="16838" w:h="11906" w:orient="landscape"/>
          <w:pgMar w:top="1440" w:right="1800" w:bottom="1440" w:left="1800" w:header="851" w:footer="851" w:gutter="0"/>
          <w:cols w:space="720" w:num="1"/>
        </w:sectPr>
      </w:pPr>
    </w:p>
    <w:p>
      <w:pPr>
        <w:snapToGrid w:val="0"/>
        <w:spacing w:before="50"/>
        <w:jc w:val="left"/>
        <w:rPr>
          <w:rFonts w:ascii="仿宋" w:hAnsi="仿宋" w:eastAsia="仿宋"/>
          <w:sz w:val="30"/>
          <w:szCs w:val="30"/>
        </w:rPr>
      </w:pPr>
      <w:r>
        <w:rPr>
          <w:rFonts w:hint="eastAsia" w:ascii="仿宋" w:hAnsi="仿宋" w:eastAsia="仿宋"/>
          <w:sz w:val="30"/>
          <w:szCs w:val="30"/>
        </w:rPr>
        <w:t>附件5：</w:t>
      </w:r>
    </w:p>
    <w:p>
      <w:pPr>
        <w:snapToGrid w:val="0"/>
        <w:spacing w:before="50"/>
        <w:jc w:val="center"/>
        <w:rPr>
          <w:rFonts w:ascii="仿宋" w:hAnsi="仿宋" w:eastAsia="仿宋"/>
          <w:b/>
          <w:spacing w:val="40"/>
          <w:kern w:val="0"/>
          <w:sz w:val="36"/>
          <w:szCs w:val="36"/>
        </w:rPr>
      </w:pPr>
      <w:r>
        <w:rPr>
          <w:rFonts w:hint="eastAsia" w:ascii="仿宋" w:hAnsi="仿宋" w:eastAsia="仿宋"/>
          <w:b/>
          <w:spacing w:val="40"/>
          <w:kern w:val="0"/>
          <w:sz w:val="36"/>
          <w:szCs w:val="36"/>
        </w:rPr>
        <w:t>资信及商务响应表</w:t>
      </w:r>
    </w:p>
    <w:p>
      <w:pPr>
        <w:pStyle w:val="18"/>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1"/>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sz w:val="30"/>
                <w:szCs w:val="30"/>
              </w:rPr>
            </w:pPr>
            <w:r>
              <w:rPr>
                <w:rFonts w:hint="eastAsia" w:ascii="仿宋" w:hAnsi="仿宋" w:eastAsia="仿宋"/>
                <w:sz w:val="30"/>
                <w:szCs w:val="30"/>
              </w:rPr>
              <w:t>单一来源采购文件要求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sz w:val="30"/>
                <w:szCs w:val="30"/>
              </w:rPr>
            </w:pPr>
            <w:r>
              <w:rPr>
                <w:rFonts w:hint="eastAsia" w:ascii="仿宋" w:hAnsi="仿宋" w:eastAsia="仿宋"/>
                <w:sz w:val="30"/>
                <w:szCs w:val="30"/>
              </w:rPr>
              <w:t>是否</w:t>
            </w:r>
          </w:p>
          <w:p>
            <w:pPr>
              <w:snapToGrid w:val="0"/>
              <w:spacing w:before="156"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sz w:val="30"/>
                <w:szCs w:val="30"/>
              </w:rPr>
            </w:pPr>
            <w:r>
              <w:rPr>
                <w:rFonts w:hint="eastAsia" w:ascii="仿宋" w:hAnsi="仿宋" w:eastAsia="仿宋"/>
                <w:sz w:val="30"/>
                <w:szCs w:val="30"/>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售后服务保障要求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政策性加分条件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质量管理、企业信用要求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能力或业绩要求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sz w:val="30"/>
                <w:szCs w:val="30"/>
              </w:rPr>
            </w:pPr>
          </w:p>
        </w:tc>
      </w:tr>
    </w:tbl>
    <w:p>
      <w:pPr>
        <w:snapToGrid w:val="0"/>
        <w:spacing w:before="156" w:beforeLines="50"/>
        <w:rPr>
          <w:rFonts w:ascii="仿宋" w:hAnsi="仿宋" w:eastAsia="仿宋"/>
          <w:sz w:val="30"/>
          <w:szCs w:val="30"/>
          <w:u w:val="single"/>
        </w:rPr>
      </w:pPr>
      <w:r>
        <w:rPr>
          <w:rFonts w:hint="eastAsia" w:ascii="仿宋" w:hAnsi="仿宋" w:eastAsia="仿宋"/>
          <w:sz w:val="30"/>
          <w:szCs w:val="30"/>
        </w:rPr>
        <w:t>全权代表签名：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156" w:beforeLines="50"/>
        <w:rPr>
          <w:rFonts w:ascii="仿宋" w:hAnsi="仿宋" w:eastAsia="仿宋"/>
          <w:sz w:val="30"/>
          <w:szCs w:val="30"/>
          <w:u w:val="single"/>
        </w:rPr>
      </w:pPr>
    </w:p>
    <w:p>
      <w:pPr>
        <w:snapToGrid w:val="0"/>
        <w:spacing w:before="156" w:beforeLines="50"/>
        <w:rPr>
          <w:rFonts w:ascii="仿宋" w:hAnsi="仿宋" w:eastAsia="仿宋"/>
          <w:sz w:val="30"/>
          <w:szCs w:val="30"/>
          <w:u w:val="single"/>
        </w:rPr>
      </w:pPr>
    </w:p>
    <w:p>
      <w:pPr>
        <w:snapToGrid w:val="0"/>
        <w:spacing w:before="156" w:beforeLines="50"/>
        <w:rPr>
          <w:rFonts w:ascii="仿宋" w:hAnsi="仿宋" w:eastAsia="仿宋"/>
          <w:sz w:val="30"/>
          <w:szCs w:val="30"/>
          <w:u w:val="single"/>
        </w:rPr>
      </w:pPr>
    </w:p>
    <w:p>
      <w:pPr>
        <w:spacing w:line="440" w:lineRule="exact"/>
        <w:ind w:firstLine="600" w:firstLineChars="200"/>
        <w:rPr>
          <w:rFonts w:ascii="仿宋" w:hAnsi="仿宋" w:eastAsia="仿宋"/>
          <w:sz w:val="30"/>
          <w:szCs w:val="30"/>
        </w:rPr>
      </w:pPr>
    </w:p>
    <w:p>
      <w:pPr>
        <w:snapToGrid w:val="0"/>
        <w:spacing w:before="240" w:after="50" w:line="400" w:lineRule="exact"/>
        <w:jc w:val="left"/>
        <w:rPr>
          <w:rFonts w:ascii="仿宋" w:hAnsi="仿宋" w:eastAsia="仿宋"/>
          <w:sz w:val="30"/>
          <w:szCs w:val="30"/>
        </w:rPr>
      </w:pPr>
      <w:r>
        <w:rPr>
          <w:rFonts w:hint="eastAsia" w:ascii="仿宋" w:hAnsi="仿宋" w:eastAsia="仿宋"/>
          <w:sz w:val="30"/>
          <w:szCs w:val="30"/>
        </w:rPr>
        <w:t xml:space="preserve">         </w:t>
      </w:r>
    </w:p>
    <w:p>
      <w:pPr>
        <w:snapToGrid w:val="0"/>
        <w:spacing w:before="50"/>
        <w:jc w:val="left"/>
        <w:rPr>
          <w:rFonts w:ascii="仿宋" w:hAnsi="仿宋" w:eastAsia="仿宋"/>
          <w:sz w:val="30"/>
          <w:szCs w:val="30"/>
        </w:rPr>
      </w:pPr>
      <w:r>
        <w:rPr>
          <w:rFonts w:hint="eastAsia" w:ascii="仿宋" w:hAnsi="仿宋" w:eastAsia="仿宋"/>
          <w:sz w:val="30"/>
          <w:szCs w:val="30"/>
        </w:rPr>
        <w:t>附件6：</w:t>
      </w:r>
    </w:p>
    <w:p>
      <w:pPr>
        <w:spacing w:line="600" w:lineRule="exact"/>
        <w:jc w:val="center"/>
        <w:rPr>
          <w:rFonts w:ascii="宋体" w:hAnsi="宋体"/>
          <w:b/>
          <w:sz w:val="36"/>
          <w:szCs w:val="36"/>
        </w:rPr>
      </w:pPr>
      <w:r>
        <w:rPr>
          <w:rFonts w:hint="eastAsia" w:ascii="宋体" w:hAnsi="宋体"/>
          <w:b/>
          <w:sz w:val="36"/>
          <w:szCs w:val="36"/>
        </w:rPr>
        <w:t>报 价 明 细 一 览 表</w:t>
      </w:r>
    </w:p>
    <w:p>
      <w:pPr>
        <w:spacing w:line="600" w:lineRule="exact"/>
        <w:jc w:val="center"/>
        <w:rPr>
          <w:rFonts w:ascii="宋体" w:hAnsi="宋体"/>
          <w:b/>
          <w:sz w:val="36"/>
          <w:szCs w:val="36"/>
        </w:rPr>
      </w:pPr>
    </w:p>
    <w:p>
      <w:pPr>
        <w:spacing w:line="600" w:lineRule="exact"/>
        <w:rPr>
          <w:rFonts w:ascii="仿宋" w:hAnsi="仿宋" w:eastAsia="仿宋"/>
          <w:sz w:val="30"/>
          <w:szCs w:val="30"/>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pacing w:before="156" w:beforeLines="50" w:after="156" w:afterLines="50" w:line="600" w:lineRule="exact"/>
        <w:rPr>
          <w:rFonts w:ascii="仿宋" w:hAnsi="仿宋" w:eastAsia="仿宋"/>
          <w:sz w:val="30"/>
          <w:szCs w:val="30"/>
        </w:rPr>
      </w:pPr>
      <w:r>
        <w:rPr>
          <w:rFonts w:hint="eastAsia" w:ascii="仿宋" w:hAnsi="仿宋" w:eastAsia="仿宋"/>
          <w:sz w:val="30"/>
          <w:szCs w:val="30"/>
        </w:rPr>
        <w:t>招标编号及标项：</w:t>
      </w:r>
      <w:r>
        <w:rPr>
          <w:rFonts w:hint="eastAsia" w:ascii="仿宋" w:hAnsi="仿宋" w:eastAsia="仿宋"/>
          <w:b/>
          <w:sz w:val="30"/>
          <w:szCs w:val="30"/>
          <w:u w:val="single"/>
        </w:rPr>
        <w:t xml:space="preserve">                                 </w:t>
      </w:r>
    </w:p>
    <w:p>
      <w:pPr>
        <w:spacing w:before="240" w:after="50" w:line="400" w:lineRule="exact"/>
        <w:rPr>
          <w:rFonts w:ascii="仿宋" w:hAnsi="仿宋" w:eastAsia="仿宋"/>
          <w:sz w:val="30"/>
          <w:szCs w:val="30"/>
        </w:rPr>
      </w:pPr>
      <w:r>
        <w:rPr>
          <w:rFonts w:hint="eastAsia" w:ascii="仿宋" w:hAnsi="仿宋" w:eastAsia="仿宋"/>
          <w:sz w:val="30"/>
          <w:szCs w:val="30"/>
        </w:rPr>
        <w:t xml:space="preserve">                                                           </w:t>
      </w:r>
      <w:bookmarkStart w:id="35" w:name="bj1"/>
      <w:bookmarkEnd w:id="35"/>
    </w:p>
    <w:tbl>
      <w:tblPr>
        <w:tblStyle w:val="5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848"/>
        <w:gridCol w:w="1848"/>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r>
              <w:rPr>
                <w:rFonts w:hint="eastAsia" w:ascii="仿宋" w:hAnsi="仿宋" w:eastAsia="仿宋"/>
                <w:sz w:val="30"/>
                <w:szCs w:val="30"/>
              </w:rPr>
              <w:t>最终报价</w:t>
            </w:r>
            <w:r>
              <w:rPr>
                <w:rFonts w:ascii="仿宋" w:hAnsi="仿宋" w:eastAsia="仿宋"/>
                <w:sz w:val="30"/>
                <w:szCs w:val="30"/>
              </w:rPr>
              <w:t>(万元)</w:t>
            </w:r>
          </w:p>
        </w:tc>
        <w:tc>
          <w:tcPr>
            <w:tcW w:w="1848" w:type="dxa"/>
            <w:shd w:val="clear" w:color="auto" w:fill="auto"/>
          </w:tcPr>
          <w:p>
            <w:pPr>
              <w:spacing w:before="240" w:after="50" w:line="400" w:lineRule="exact"/>
              <w:rPr>
                <w:rFonts w:ascii="仿宋" w:hAnsi="仿宋" w:eastAsia="仿宋"/>
                <w:sz w:val="30"/>
                <w:szCs w:val="30"/>
              </w:rPr>
            </w:pPr>
            <w:r>
              <w:rPr>
                <w:rFonts w:hint="eastAsia" w:ascii="仿宋" w:hAnsi="仿宋" w:eastAsia="仿宋"/>
                <w:sz w:val="30"/>
                <w:szCs w:val="30"/>
              </w:rPr>
              <w:t>供货期</w:t>
            </w:r>
            <w:r>
              <w:rPr>
                <w:rFonts w:ascii="仿宋" w:hAnsi="仿宋" w:eastAsia="仿宋"/>
                <w:sz w:val="30"/>
                <w:szCs w:val="30"/>
              </w:rPr>
              <w:t>/服务项目负责人</w:t>
            </w:r>
          </w:p>
        </w:tc>
        <w:tc>
          <w:tcPr>
            <w:tcW w:w="1848" w:type="dxa"/>
            <w:shd w:val="clear" w:color="auto" w:fill="auto"/>
          </w:tcPr>
          <w:p>
            <w:pPr>
              <w:spacing w:before="240" w:after="50" w:line="400" w:lineRule="exact"/>
              <w:rPr>
                <w:rFonts w:ascii="仿宋" w:hAnsi="仿宋" w:eastAsia="仿宋"/>
                <w:sz w:val="30"/>
                <w:szCs w:val="30"/>
              </w:rPr>
            </w:pPr>
            <w:r>
              <w:rPr>
                <w:rFonts w:hint="eastAsia" w:ascii="仿宋" w:hAnsi="仿宋" w:eastAsia="仿宋"/>
                <w:sz w:val="30"/>
                <w:szCs w:val="30"/>
              </w:rPr>
              <w:t>保证金缴纳方式</w:t>
            </w:r>
          </w:p>
        </w:tc>
        <w:tc>
          <w:tcPr>
            <w:tcW w:w="1849" w:type="dxa"/>
            <w:shd w:val="clear" w:color="auto" w:fill="auto"/>
          </w:tcPr>
          <w:p>
            <w:pPr>
              <w:spacing w:before="240" w:after="50" w:line="400" w:lineRule="exact"/>
              <w:rPr>
                <w:rFonts w:ascii="仿宋" w:hAnsi="仿宋" w:eastAsia="仿宋"/>
                <w:sz w:val="30"/>
                <w:szCs w:val="30"/>
              </w:rPr>
            </w:pPr>
            <w:r>
              <w:rPr>
                <w:rFonts w:hint="eastAsia" w:ascii="仿宋" w:hAnsi="仿宋" w:eastAsia="仿宋"/>
                <w:sz w:val="30"/>
                <w:szCs w:val="30"/>
              </w:rPr>
              <w:t>确认声明书是否签署</w:t>
            </w:r>
          </w:p>
        </w:tc>
        <w:tc>
          <w:tcPr>
            <w:tcW w:w="1849" w:type="dxa"/>
            <w:shd w:val="clear" w:color="auto" w:fill="auto"/>
          </w:tcPr>
          <w:p>
            <w:pPr>
              <w:spacing w:before="240" w:after="50" w:line="400" w:lineRule="exact"/>
              <w:rPr>
                <w:rFonts w:ascii="仿宋" w:hAnsi="仿宋" w:eastAsia="仿宋"/>
                <w:sz w:val="30"/>
                <w:szCs w:val="30"/>
              </w:rPr>
            </w:pPr>
            <w:r>
              <w:rPr>
                <w:rFonts w:hint="eastAsia" w:ascii="仿宋" w:hAnsi="仿宋" w:eastAsia="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8"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c>
          <w:tcPr>
            <w:tcW w:w="1849" w:type="dxa"/>
            <w:shd w:val="clear" w:color="auto" w:fill="auto"/>
          </w:tcPr>
          <w:p>
            <w:pPr>
              <w:spacing w:before="240" w:after="50" w:line="400" w:lineRule="exact"/>
              <w:rPr>
                <w:rFonts w:ascii="仿宋" w:hAnsi="仿宋" w:eastAsia="仿宋"/>
                <w:sz w:val="30"/>
                <w:szCs w:val="30"/>
              </w:rPr>
            </w:pPr>
          </w:p>
        </w:tc>
      </w:tr>
    </w:tbl>
    <w:p>
      <w:pPr>
        <w:spacing w:before="240" w:after="50" w:line="400" w:lineRule="exact"/>
        <w:rPr>
          <w:rFonts w:ascii="仿宋" w:hAnsi="仿宋" w:eastAsia="仿宋"/>
          <w:sz w:val="30"/>
          <w:szCs w:val="30"/>
        </w:rPr>
      </w:pPr>
    </w:p>
    <w:p>
      <w:pPr>
        <w:pStyle w:val="112"/>
        <w:spacing w:line="440" w:lineRule="exact"/>
        <w:rPr>
          <w:rFonts w:ascii="仿宋" w:hAnsi="仿宋" w:eastAsia="仿宋"/>
          <w:sz w:val="30"/>
          <w:szCs w:val="30"/>
        </w:rPr>
      </w:pPr>
      <w:r>
        <w:rPr>
          <w:rFonts w:hint="eastAsia" w:ascii="仿宋" w:hAnsi="仿宋" w:eastAsia="仿宋"/>
          <w:sz w:val="30"/>
          <w:szCs w:val="30"/>
        </w:rPr>
        <w:t>合计金额大写：                  小写：￥</w:t>
      </w:r>
      <w:r>
        <w:rPr>
          <w:rFonts w:hint="eastAsia" w:ascii="仿宋" w:hAnsi="仿宋" w:eastAsia="仿宋"/>
          <w:sz w:val="30"/>
          <w:szCs w:val="30"/>
          <w:u w:val="single"/>
        </w:rPr>
        <w:t xml:space="preserve">       </w:t>
      </w:r>
    </w:p>
    <w:p>
      <w:pPr>
        <w:pStyle w:val="112"/>
        <w:spacing w:line="440" w:lineRule="exact"/>
        <w:rPr>
          <w:rFonts w:ascii="仿宋" w:hAnsi="仿宋" w:eastAsia="仿宋"/>
          <w:sz w:val="30"/>
          <w:szCs w:val="30"/>
        </w:rPr>
      </w:pPr>
      <w:r>
        <w:rPr>
          <w:rFonts w:hint="eastAsia" w:ascii="仿宋" w:hAnsi="仿宋" w:eastAsia="仿宋"/>
          <w:sz w:val="30"/>
          <w:szCs w:val="30"/>
        </w:rPr>
        <w:t>备注：</w:t>
      </w:r>
    </w:p>
    <w:p>
      <w:pPr>
        <w:pStyle w:val="112"/>
        <w:spacing w:line="440" w:lineRule="exact"/>
        <w:rPr>
          <w:rFonts w:ascii="仿宋" w:hAnsi="仿宋" w:eastAsia="仿宋"/>
          <w:color w:val="000000"/>
          <w:sz w:val="30"/>
          <w:szCs w:val="30"/>
        </w:rPr>
      </w:pPr>
      <w:r>
        <w:rPr>
          <w:rFonts w:hint="eastAsia" w:ascii="仿宋" w:hAnsi="仿宋" w:eastAsia="仿宋"/>
          <w:sz w:val="30"/>
          <w:szCs w:val="30"/>
        </w:rPr>
        <w:tab/>
      </w:r>
      <w:r>
        <w:rPr>
          <w:rFonts w:hint="eastAsia" w:ascii="仿宋" w:hAnsi="仿宋" w:eastAsia="仿宋"/>
          <w:color w:val="000000"/>
          <w:sz w:val="30"/>
          <w:szCs w:val="30"/>
        </w:rPr>
        <w:t>1、此表报价单可按项目实际的需求规范合理列报。</w:t>
      </w:r>
    </w:p>
    <w:p>
      <w:pPr>
        <w:spacing w:before="240" w:after="50" w:line="400" w:lineRule="exact"/>
        <w:rPr>
          <w:rFonts w:ascii="仿宋" w:hAnsi="仿宋" w:eastAsia="仿宋"/>
          <w:sz w:val="30"/>
          <w:szCs w:val="30"/>
        </w:rPr>
      </w:pPr>
      <w:r>
        <w:rPr>
          <w:rFonts w:hint="eastAsia" w:ascii="仿宋" w:hAnsi="仿宋" w:eastAsia="仿宋"/>
          <w:color w:val="000000"/>
          <w:sz w:val="30"/>
          <w:szCs w:val="30"/>
        </w:rPr>
        <w:tab/>
      </w:r>
      <w:r>
        <w:rPr>
          <w:rFonts w:hint="eastAsia" w:ascii="仿宋" w:hAnsi="仿宋" w:eastAsia="仿宋"/>
          <w:color w:val="000000"/>
          <w:sz w:val="30"/>
          <w:szCs w:val="30"/>
        </w:rPr>
        <w:t>2、报价中不允许出现报价优惠等字样,合计总价应与明细报</w:t>
      </w:r>
      <w:r>
        <w:rPr>
          <w:rFonts w:hint="eastAsia" w:ascii="仿宋" w:hAnsi="仿宋" w:eastAsia="仿宋"/>
          <w:color w:val="000000"/>
          <w:sz w:val="30"/>
          <w:szCs w:val="30"/>
        </w:rPr>
        <w:tab/>
      </w:r>
      <w:r>
        <w:rPr>
          <w:rFonts w:hint="eastAsia" w:ascii="仿宋" w:hAnsi="仿宋" w:eastAsia="仿宋"/>
          <w:color w:val="000000"/>
          <w:sz w:val="30"/>
          <w:szCs w:val="30"/>
        </w:rPr>
        <w:tab/>
      </w:r>
      <w:r>
        <w:rPr>
          <w:rFonts w:hint="eastAsia" w:ascii="仿宋" w:hAnsi="仿宋" w:eastAsia="仿宋"/>
          <w:color w:val="000000"/>
          <w:sz w:val="30"/>
          <w:szCs w:val="30"/>
        </w:rPr>
        <w:tab/>
      </w:r>
      <w:r>
        <w:rPr>
          <w:rFonts w:hint="eastAsia" w:ascii="仿宋" w:hAnsi="仿宋" w:eastAsia="仿宋"/>
          <w:color w:val="000000"/>
          <w:sz w:val="30"/>
          <w:szCs w:val="30"/>
        </w:rPr>
        <w:t>价汇总相等。</w:t>
      </w:r>
    </w:p>
    <w:p>
      <w:pPr>
        <w:spacing w:before="240" w:after="50" w:line="400" w:lineRule="exact"/>
        <w:rPr>
          <w:rFonts w:ascii="仿宋" w:hAnsi="仿宋" w:eastAsia="仿宋"/>
          <w:sz w:val="30"/>
          <w:szCs w:val="30"/>
        </w:rPr>
      </w:pPr>
      <w:r>
        <w:rPr>
          <w:rFonts w:hint="eastAsia" w:ascii="仿宋" w:hAnsi="仿宋" w:eastAsia="仿宋"/>
          <w:sz w:val="30"/>
          <w:szCs w:val="30"/>
        </w:rPr>
        <w:t>全权代表签名：</w:t>
      </w:r>
    </w:p>
    <w:p>
      <w:pPr>
        <w:spacing w:before="240" w:after="50" w:line="400" w:lineRule="exact"/>
        <w:rPr>
          <w:rFonts w:ascii="仿宋" w:hAnsi="仿宋" w:eastAsia="仿宋"/>
          <w:sz w:val="30"/>
          <w:szCs w:val="30"/>
        </w:rPr>
      </w:pPr>
      <w:r>
        <w:rPr>
          <w:rFonts w:hint="eastAsia" w:ascii="仿宋" w:hAnsi="仿宋" w:eastAsia="仿宋"/>
          <w:sz w:val="30"/>
          <w:szCs w:val="30"/>
        </w:rPr>
        <w:t>日期：</w:t>
      </w:r>
    </w:p>
    <w:p/>
    <w:p>
      <w:pPr>
        <w:snapToGrid w:val="0"/>
        <w:spacing w:before="156" w:beforeLines="50"/>
        <w:rPr>
          <w:rFonts w:ascii="仿宋" w:hAnsi="仿宋" w:eastAsia="仿宋"/>
          <w:sz w:val="30"/>
          <w:szCs w:val="30"/>
          <w:u w:val="single"/>
        </w:rPr>
      </w:pPr>
    </w:p>
    <w:p>
      <w:pPr>
        <w:snapToGrid w:val="0"/>
        <w:spacing w:before="156"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附件7</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pPr>
        <w:ind w:right="-110"/>
        <w:jc w:val="center"/>
        <w:rPr>
          <w:rFonts w:ascii="仿宋" w:hAnsi="仿宋" w:eastAsia="仿宋"/>
          <w:spacing w:val="40"/>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312"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6" w:name="PO_15526_PM001_4"/>
      <w:r>
        <w:rPr>
          <w:rFonts w:hint="eastAsia" w:ascii="仿宋" w:hAnsi="仿宋" w:eastAsia="仿宋"/>
          <w:sz w:val="36"/>
          <w:szCs w:val="36"/>
          <w:lang w:eastAsia="zh-CN"/>
        </w:rPr>
        <w:t>ZZCG2020C-DY-119</w:t>
      </w:r>
      <w:bookmarkEnd w:id="36"/>
      <w:r>
        <w:rPr>
          <w:rFonts w:hint="eastAsia" w:ascii="仿宋" w:hAnsi="仿宋" w:eastAsia="仿宋"/>
          <w:sz w:val="36"/>
          <w:szCs w:val="36"/>
        </w:rPr>
        <w:t>（标项*）</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16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jc w:val="center"/>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供应商全称（公章）：</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6"/>
          <w:szCs w:val="36"/>
        </w:rPr>
      </w:pP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技术文件目录</w:t>
      </w:r>
    </w:p>
    <w:p>
      <w:pPr>
        <w:snapToGrid w:val="0"/>
        <w:spacing w:before="50" w:after="50"/>
        <w:rPr>
          <w:rFonts w:ascii="仿宋" w:hAnsi="仿宋" w:eastAsia="仿宋"/>
          <w:b/>
          <w:bCs/>
          <w:sz w:val="36"/>
          <w:szCs w:val="36"/>
        </w:rPr>
      </w:pP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（1）对本项目的技术服务类总体要求的理解；----页码</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（2）项目总体架构及技术解决方案</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（3）设备配置清单；</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（4）技术响应表；</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（5）保证工期的施工组织方案及人力资源安排；</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（6）项目实施人员一览表；</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（7）技术服务、技术培训、售后服务的内容和措施；</w:t>
      </w:r>
    </w:p>
    <w:p>
      <w:pPr>
        <w:snapToGrid w:val="0"/>
        <w:spacing w:line="460" w:lineRule="exact"/>
        <w:ind w:firstLine="720" w:firstLineChars="240"/>
        <w:jc w:val="left"/>
        <w:rPr>
          <w:rFonts w:ascii="仿宋" w:hAnsi="仿宋" w:eastAsia="仿宋"/>
          <w:color w:val="000000"/>
          <w:sz w:val="30"/>
          <w:szCs w:val="30"/>
        </w:rPr>
      </w:pPr>
      <w:r>
        <w:rPr>
          <w:rFonts w:hint="eastAsia" w:ascii="仿宋" w:hAnsi="仿宋" w:eastAsia="仿宋"/>
          <w:color w:val="000000"/>
          <w:sz w:val="30"/>
          <w:szCs w:val="30"/>
        </w:rPr>
        <w:t>（8）选配件、专用耗材、售后服务优惠表（若有）;</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     （9）联合投标协议书（若需要）;</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     （10）联合投标授权委托书（若需要）;</w:t>
      </w:r>
    </w:p>
    <w:p>
      <w:pPr>
        <w:snapToGrid w:val="0"/>
        <w:spacing w:line="460" w:lineRule="exact"/>
        <w:ind w:firstLine="720" w:firstLineChars="240"/>
        <w:jc w:val="left"/>
        <w:rPr>
          <w:rFonts w:ascii="仿宋" w:hAnsi="仿宋" w:eastAsia="仿宋"/>
          <w:sz w:val="30"/>
          <w:szCs w:val="30"/>
        </w:rPr>
      </w:pPr>
      <w:r>
        <w:rPr>
          <w:rFonts w:hint="eastAsia" w:ascii="仿宋" w:hAnsi="仿宋" w:eastAsia="仿宋"/>
          <w:sz w:val="30"/>
          <w:szCs w:val="30"/>
        </w:rPr>
        <w:t>（11）供应商需要说明的其他文件和说明（格式自拟）。</w:t>
      </w:r>
    </w:p>
    <w:p>
      <w:pPr>
        <w:snapToGrid w:val="0"/>
        <w:jc w:val="left"/>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pStyle w:val="26"/>
        <w:snapToGrid w:val="0"/>
        <w:spacing w:before="156" w:line="240" w:lineRule="auto"/>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sz w:val="30"/>
          <w:szCs w:val="30"/>
        </w:rPr>
        <w:t>附件8：</w:t>
      </w:r>
    </w:p>
    <w:p>
      <w:pPr>
        <w:snapToGrid w:val="0"/>
        <w:spacing w:before="50" w:after="156"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设备配置清单</w:t>
      </w:r>
    </w:p>
    <w:p>
      <w:pPr>
        <w:snapToGrid w:val="0"/>
        <w:spacing w:before="50" w:after="156" w:afterLines="50"/>
        <w:jc w:val="center"/>
        <w:rPr>
          <w:rFonts w:ascii="仿宋" w:hAnsi="仿宋" w:eastAsia="仿宋"/>
          <w:b/>
          <w:spacing w:val="40"/>
          <w:kern w:val="0"/>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1"/>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56" w:beforeLines="50"/>
        <w:rPr>
          <w:rFonts w:ascii="仿宋" w:hAnsi="仿宋" w:eastAsia="仿宋"/>
          <w:sz w:val="30"/>
          <w:szCs w:val="30"/>
          <w:u w:val="single"/>
        </w:rPr>
      </w:pPr>
      <w:r>
        <w:rPr>
          <w:rFonts w:hint="eastAsia" w:ascii="仿宋" w:hAnsi="仿宋" w:eastAsia="仿宋"/>
          <w:sz w:val="30"/>
          <w:szCs w:val="30"/>
        </w:rPr>
        <w:t>全权代表签名：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t>附件9：</w:t>
      </w:r>
    </w:p>
    <w:p>
      <w:pPr>
        <w:snapToGrid w:val="0"/>
        <w:spacing w:before="50" w:after="156" w:afterLines="50"/>
        <w:jc w:val="center"/>
        <w:rPr>
          <w:rFonts w:ascii="仿宋" w:hAnsi="仿宋" w:eastAsia="仿宋"/>
          <w:b/>
          <w:sz w:val="36"/>
          <w:szCs w:val="36"/>
        </w:rPr>
      </w:pPr>
      <w:r>
        <w:rPr>
          <w:rFonts w:hint="eastAsia" w:ascii="仿宋" w:hAnsi="仿宋" w:eastAsia="仿宋"/>
          <w:b/>
          <w:sz w:val="36"/>
          <w:szCs w:val="36"/>
        </w:rPr>
        <w:t>技 术 响 应 表</w:t>
      </w:r>
    </w:p>
    <w:p>
      <w:pPr>
        <w:snapToGrid w:val="0"/>
        <w:spacing w:before="50" w:after="156" w:afterLines="50"/>
        <w:jc w:val="center"/>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1"/>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37" w:name="_Toc451268226"/>
            <w:r>
              <w:rPr>
                <w:rFonts w:hint="eastAsia" w:ascii="仿宋" w:hAnsi="仿宋" w:eastAsia="仿宋"/>
                <w:sz w:val="30"/>
                <w:szCs w:val="30"/>
              </w:rPr>
              <w:t>单一来源采购文件要求</w:t>
            </w:r>
            <w:bookmarkEnd w:id="37"/>
          </w:p>
        </w:tc>
        <w:tc>
          <w:tcPr>
            <w:tcW w:w="21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38" w:name="_Toc451268227"/>
            <w:r>
              <w:rPr>
                <w:rFonts w:hint="eastAsia" w:ascii="仿宋" w:hAnsi="仿宋" w:eastAsia="仿宋"/>
                <w:sz w:val="30"/>
                <w:szCs w:val="30"/>
              </w:rPr>
              <w:t>采购响应情况</w:t>
            </w:r>
            <w:bookmarkEnd w:id="38"/>
          </w:p>
        </w:tc>
        <w:tc>
          <w:tcPr>
            <w:tcW w:w="24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0"/>
                <w:szCs w:val="30"/>
              </w:rPr>
            </w:pPr>
            <w:bookmarkStart w:id="39" w:name="_Toc451268228"/>
            <w:r>
              <w:rPr>
                <w:rFonts w:hint="eastAsia" w:ascii="仿宋" w:hAnsi="仿宋" w:eastAsia="仿宋"/>
                <w:sz w:val="30"/>
                <w:szCs w:val="30"/>
              </w:rPr>
              <w:t>偏离情况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jc w:val="center"/>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26"/>
              <w:snapToGrid w:val="0"/>
              <w:spacing w:before="156" w:line="240" w:lineRule="auto"/>
              <w:jc w:val="center"/>
              <w:outlineLvl w:val="0"/>
              <w:rPr>
                <w:rFonts w:ascii="仿宋" w:hAnsi="仿宋" w:eastAsia="仿宋"/>
                <w:sz w:val="30"/>
                <w:szCs w:val="30"/>
              </w:rPr>
            </w:pPr>
          </w:p>
        </w:tc>
      </w:tr>
    </w:tbl>
    <w:p>
      <w:pPr>
        <w:pStyle w:val="20"/>
        <w:rPr>
          <w:rFonts w:ascii="仿宋" w:hAnsi="仿宋" w:eastAsia="仿宋"/>
          <w:spacing w:val="20"/>
          <w:sz w:val="30"/>
          <w:szCs w:val="30"/>
        </w:rPr>
      </w:pPr>
      <w:r>
        <w:rPr>
          <w:rFonts w:hint="eastAsia" w:ascii="仿宋" w:hAnsi="仿宋" w:eastAsia="仿宋"/>
          <w:sz w:val="30"/>
          <w:szCs w:val="30"/>
        </w:rPr>
        <w:t>注：供应商应根据提供的设备性能指标、对照单一来源采购文件要求在“偏离情况”栏注明“正偏离”、“负偏离”或“无偏离”。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全权代表签名：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56" w:afterLines="50"/>
        <w:jc w:val="left"/>
        <w:rPr>
          <w:rFonts w:ascii="仿宋" w:hAnsi="仿宋" w:eastAsia="仿宋"/>
          <w:sz w:val="30"/>
          <w:szCs w:val="30"/>
        </w:rPr>
      </w:pPr>
    </w:p>
    <w:p>
      <w:pPr>
        <w:snapToGrid w:val="0"/>
        <w:spacing w:before="50" w:after="156" w:afterLines="50"/>
        <w:jc w:val="left"/>
        <w:rPr>
          <w:rFonts w:ascii="仿宋" w:hAnsi="仿宋" w:eastAsia="仿宋"/>
          <w:sz w:val="30"/>
          <w:szCs w:val="30"/>
        </w:rPr>
      </w:pPr>
    </w:p>
    <w:p>
      <w:pPr>
        <w:snapToGrid w:val="0"/>
        <w:spacing w:before="50" w:after="156" w:afterLines="50"/>
        <w:jc w:val="left"/>
        <w:rPr>
          <w:rFonts w:ascii="仿宋" w:hAnsi="仿宋" w:eastAsia="仿宋"/>
          <w:sz w:val="30"/>
          <w:szCs w:val="30"/>
        </w:rPr>
      </w:pPr>
    </w:p>
    <w:p>
      <w:pPr>
        <w:snapToGrid w:val="0"/>
        <w:spacing w:before="50" w:after="156" w:afterLines="50"/>
        <w:jc w:val="left"/>
        <w:rPr>
          <w:rFonts w:ascii="仿宋" w:hAnsi="仿宋" w:eastAsia="仿宋"/>
          <w:sz w:val="30"/>
          <w:szCs w:val="30"/>
        </w:rPr>
      </w:pPr>
    </w:p>
    <w:p>
      <w:pPr>
        <w:snapToGrid w:val="0"/>
        <w:spacing w:before="50" w:after="156" w:afterLines="50"/>
        <w:jc w:val="left"/>
        <w:rPr>
          <w:rFonts w:ascii="仿宋" w:hAnsi="仿宋" w:eastAsia="仿宋"/>
          <w:sz w:val="30"/>
          <w:szCs w:val="30"/>
        </w:rPr>
      </w:pPr>
    </w:p>
    <w:p>
      <w:pPr>
        <w:snapToGrid w:val="0"/>
        <w:spacing w:before="50" w:after="156" w:afterLines="50"/>
        <w:jc w:val="left"/>
        <w:rPr>
          <w:rFonts w:ascii="仿宋" w:hAnsi="仿宋" w:eastAsia="仿宋"/>
          <w:sz w:val="30"/>
          <w:szCs w:val="30"/>
        </w:rPr>
      </w:pPr>
      <w:r>
        <w:rPr>
          <w:rFonts w:hint="eastAsia" w:ascii="仿宋" w:hAnsi="仿宋" w:eastAsia="仿宋"/>
          <w:sz w:val="30"/>
          <w:szCs w:val="30"/>
        </w:rPr>
        <w:t>附件10：</w:t>
      </w:r>
    </w:p>
    <w:p>
      <w:pPr>
        <w:snapToGrid w:val="0"/>
        <w:spacing w:before="156" w:beforeLines="50" w:after="50"/>
        <w:jc w:val="center"/>
        <w:rPr>
          <w:rFonts w:ascii="仿宋" w:hAnsi="仿宋" w:eastAsia="仿宋"/>
          <w:b/>
          <w:sz w:val="36"/>
          <w:szCs w:val="36"/>
        </w:rPr>
      </w:pPr>
      <w:r>
        <w:rPr>
          <w:rFonts w:hint="eastAsia" w:ascii="仿宋" w:hAnsi="仿宋" w:eastAsia="仿宋"/>
          <w:b/>
          <w:sz w:val="36"/>
          <w:szCs w:val="36"/>
        </w:rPr>
        <w:t>项目实施人员（主要从业人员及其技术资格）一览表</w:t>
      </w:r>
    </w:p>
    <w:p>
      <w:pPr>
        <w:snapToGrid w:val="0"/>
        <w:spacing w:before="156" w:beforeLines="50" w:after="50"/>
        <w:jc w:val="center"/>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供应商全称（公章）：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1"/>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专业技</w:t>
            </w:r>
          </w:p>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证书</w:t>
            </w:r>
          </w:p>
          <w:p>
            <w:pPr>
              <w:snapToGrid w:val="0"/>
              <w:spacing w:before="156" w:beforeLines="50" w:after="50" w:line="460" w:lineRule="exact"/>
              <w:jc w:val="center"/>
              <w:rPr>
                <w:rFonts w:ascii="仿宋" w:hAnsi="仿宋" w:eastAsia="仿宋"/>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bCs/>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bCs/>
                <w:sz w:val="30"/>
                <w:szCs w:val="30"/>
              </w:rPr>
            </w:pPr>
            <w:r>
              <w:rPr>
                <w:rFonts w:hint="eastAsia" w:ascii="仿宋" w:hAnsi="仿宋" w:eastAsia="仿宋"/>
                <w:bCs/>
                <w:sz w:val="30"/>
                <w:szCs w:val="30"/>
              </w:rPr>
              <w:t>劳动合</w:t>
            </w:r>
          </w:p>
          <w:p>
            <w:pPr>
              <w:snapToGrid w:val="0"/>
              <w:spacing w:before="156" w:beforeLines="50" w:after="50" w:line="460" w:lineRule="exact"/>
              <w:jc w:val="center"/>
              <w:rPr>
                <w:rFonts w:ascii="仿宋" w:hAnsi="仿宋" w:eastAsia="仿宋"/>
                <w:bCs/>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28"/>
              <w:snapToGrid w:val="0"/>
              <w:spacing w:before="156" w:beforeLines="50" w:after="50" w:line="460" w:lineRule="exact"/>
              <w:ind w:left="52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sz w:val="30"/>
                <w:szCs w:val="30"/>
              </w:rPr>
            </w:pPr>
          </w:p>
        </w:tc>
      </w:tr>
    </w:tbl>
    <w:p>
      <w:pPr>
        <w:snapToGrid w:val="0"/>
        <w:spacing w:before="50" w:after="156" w:afterLines="50" w:line="460" w:lineRule="exact"/>
        <w:jc w:val="left"/>
        <w:rPr>
          <w:rFonts w:ascii="仿宋" w:hAnsi="仿宋" w:eastAsia="仿宋"/>
          <w:sz w:val="30"/>
          <w:szCs w:val="30"/>
        </w:rPr>
      </w:pPr>
      <w:r>
        <w:rPr>
          <w:rFonts w:hint="eastAsia" w:ascii="仿宋" w:hAnsi="仿宋" w:eastAsia="仿宋"/>
          <w:sz w:val="30"/>
          <w:szCs w:val="30"/>
        </w:rPr>
        <w:t xml:space="preserve">注：在填写时，供应商可根据本表格式自行划表填写。 </w:t>
      </w:r>
    </w:p>
    <w:p>
      <w:pPr>
        <w:snapToGrid w:val="0"/>
        <w:spacing w:before="50" w:after="156"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全权代表签名：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Pr>
        <w:snapToGrid w:val="0"/>
        <w:spacing w:before="50" w:after="156" w:afterLines="50" w:line="460" w:lineRule="exact"/>
        <w:jc w:val="left"/>
        <w:rPr>
          <w:rFonts w:ascii="仿宋" w:hAnsi="仿宋" w:eastAsia="仿宋"/>
          <w:sz w:val="30"/>
          <w:szCs w:val="30"/>
        </w:rPr>
      </w:pPr>
    </w:p>
    <w:p>
      <w:pPr>
        <w:pStyle w:val="26"/>
        <w:snapToGrid w:val="0"/>
        <w:spacing w:before="156" w:line="460" w:lineRule="exac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56" w:afterLines="50"/>
        <w:jc w:val="center"/>
        <w:rPr>
          <w:rFonts w:ascii="仿宋" w:hAnsi="仿宋" w:eastAsia="仿宋"/>
          <w:b/>
          <w:sz w:val="30"/>
          <w:szCs w:val="30"/>
        </w:rPr>
      </w:pPr>
    </w:p>
    <w:p>
      <w:pPr>
        <w:snapToGrid w:val="0"/>
        <w:spacing w:before="50" w:after="156" w:afterLines="50"/>
        <w:jc w:val="center"/>
        <w:rPr>
          <w:rFonts w:ascii="仿宋" w:hAnsi="仿宋" w:eastAsia="仿宋"/>
          <w:b/>
          <w:sz w:val="36"/>
          <w:szCs w:val="36"/>
        </w:rPr>
      </w:pPr>
      <w:r>
        <w:rPr>
          <w:rFonts w:hint="eastAsia" w:ascii="仿宋" w:hAnsi="仿宋" w:eastAsia="仿宋"/>
          <w:b/>
          <w:sz w:val="36"/>
          <w:szCs w:val="36"/>
        </w:rPr>
        <w:t>选配件、专用耗材、售后服务优惠表（若有）</w:t>
      </w:r>
    </w:p>
    <w:p>
      <w:pPr>
        <w:snapToGrid w:val="0"/>
        <w:spacing w:before="50" w:after="156" w:afterLines="50"/>
        <w:jc w:val="center"/>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 xml:space="preserve">供应商全称（公章）： </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51"/>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15"/>
        <w:gridCol w:w="3636"/>
        <w:gridCol w:w="2127"/>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9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序号</w:t>
            </w:r>
          </w:p>
        </w:tc>
        <w:tc>
          <w:tcPr>
            <w:tcW w:w="3636"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 xml:space="preserve">优惠内容            </w:t>
            </w:r>
          </w:p>
        </w:tc>
        <w:tc>
          <w:tcPr>
            <w:tcW w:w="2127" w:type="dxa"/>
            <w:tcBorders>
              <w:top w:val="single" w:color="auto" w:sz="4" w:space="0"/>
              <w:left w:val="single" w:color="auto" w:sz="4" w:space="0"/>
              <w:bottom w:val="single" w:color="auto" w:sz="2" w:space="0"/>
              <w:right w:val="single" w:color="auto" w:sz="4" w:space="0"/>
            </w:tcBorders>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 xml:space="preserve">适用机型      </w:t>
            </w:r>
          </w:p>
        </w:tc>
        <w:tc>
          <w:tcPr>
            <w:tcW w:w="1842"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1</w:t>
            </w:r>
          </w:p>
        </w:tc>
        <w:tc>
          <w:tcPr>
            <w:tcW w:w="3636" w:type="dxa"/>
            <w:tcBorders>
              <w:top w:val="single" w:color="auto" w:sz="2"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2"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2</w:t>
            </w:r>
          </w:p>
        </w:tc>
        <w:tc>
          <w:tcPr>
            <w:tcW w:w="3636"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3</w:t>
            </w:r>
          </w:p>
        </w:tc>
        <w:tc>
          <w:tcPr>
            <w:tcW w:w="3636"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4</w:t>
            </w:r>
          </w:p>
        </w:tc>
        <w:tc>
          <w:tcPr>
            <w:tcW w:w="3636"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5</w:t>
            </w:r>
          </w:p>
        </w:tc>
        <w:tc>
          <w:tcPr>
            <w:tcW w:w="3636"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1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r>
              <w:rPr>
                <w:rFonts w:hint="eastAsia" w:ascii="仿宋" w:hAnsi="仿宋" w:eastAsia="仿宋"/>
                <w:sz w:val="30"/>
                <w:szCs w:val="30"/>
              </w:rPr>
              <w:t>6</w:t>
            </w:r>
          </w:p>
        </w:tc>
        <w:tc>
          <w:tcPr>
            <w:tcW w:w="3636" w:type="dxa"/>
            <w:tcBorders>
              <w:top w:val="single" w:color="auto" w:sz="6" w:space="0"/>
              <w:left w:val="single" w:color="auto" w:sz="2" w:space="0"/>
              <w:bottom w:val="single" w:color="auto" w:sz="6" w:space="0"/>
              <w:right w:val="single" w:color="auto" w:sz="4" w:space="0"/>
            </w:tcBorders>
            <w:vAlign w:val="center"/>
          </w:tcPr>
          <w:p>
            <w:pPr>
              <w:pStyle w:val="26"/>
              <w:snapToGrid w:val="0"/>
              <w:spacing w:before="156" w:line="240" w:lineRule="auto"/>
              <w:jc w:val="center"/>
              <w:rPr>
                <w:rFonts w:ascii="仿宋" w:hAnsi="仿宋" w:eastAsia="仿宋"/>
                <w:sz w:val="30"/>
                <w:szCs w:val="30"/>
              </w:rPr>
            </w:pPr>
          </w:p>
        </w:tc>
        <w:tc>
          <w:tcPr>
            <w:tcW w:w="2127" w:type="dxa"/>
            <w:tcBorders>
              <w:top w:val="single" w:color="auto" w:sz="6" w:space="0"/>
              <w:left w:val="single" w:color="auto" w:sz="4" w:space="0"/>
              <w:bottom w:val="single" w:color="auto" w:sz="6" w:space="0"/>
              <w:right w:val="single" w:color="auto" w:sz="6" w:space="0"/>
            </w:tcBorders>
            <w:vAlign w:val="center"/>
          </w:tcPr>
          <w:p>
            <w:pPr>
              <w:pStyle w:val="26"/>
              <w:snapToGrid w:val="0"/>
              <w:spacing w:before="156" w:line="240" w:lineRule="auto"/>
              <w:jc w:val="center"/>
              <w:rPr>
                <w:rFonts w:ascii="仿宋" w:hAnsi="仿宋" w:eastAsia="仿宋"/>
                <w:sz w:val="30"/>
                <w:szCs w:val="30"/>
              </w:rPr>
            </w:pPr>
          </w:p>
        </w:tc>
        <w:tc>
          <w:tcPr>
            <w:tcW w:w="1842"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6"/>
              <w:snapToGrid w:val="0"/>
              <w:spacing w:before="156" w:line="240" w:lineRule="auto"/>
              <w:jc w:val="center"/>
              <w:rPr>
                <w:rFonts w:ascii="仿宋" w:hAnsi="仿宋" w:eastAsia="仿宋"/>
                <w:sz w:val="30"/>
                <w:szCs w:val="30"/>
              </w:rPr>
            </w:pPr>
          </w:p>
        </w:tc>
      </w:tr>
    </w:tbl>
    <w:p>
      <w:pPr>
        <w:snapToGrid w:val="0"/>
        <w:spacing w:before="50" w:after="50"/>
        <w:rPr>
          <w:rFonts w:ascii="仿宋" w:hAnsi="仿宋" w:eastAsia="仿宋"/>
          <w:spacing w:val="20"/>
          <w:sz w:val="30"/>
          <w:szCs w:val="30"/>
        </w:rPr>
      </w:pPr>
    </w:p>
    <w:p>
      <w:pPr>
        <w:snapToGrid w:val="0"/>
        <w:spacing w:before="50" w:after="50"/>
        <w:rPr>
          <w:rFonts w:ascii="仿宋" w:hAnsi="仿宋" w:eastAsia="仿宋"/>
          <w:spacing w:val="20"/>
          <w:sz w:val="30"/>
          <w:szCs w:val="30"/>
          <w:u w:val="single"/>
        </w:rPr>
      </w:pPr>
      <w:r>
        <w:rPr>
          <w:rFonts w:hint="eastAsia" w:ascii="仿宋" w:hAnsi="仿宋" w:eastAsia="仿宋"/>
          <w:spacing w:val="20"/>
          <w:sz w:val="30"/>
          <w:szCs w:val="30"/>
        </w:rPr>
        <w:t>全权代表签名：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Univers 57 Condensed">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2"/>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16"/>
      <w:lvlText w:val="%1."/>
      <w:lvlJc w:val="left"/>
      <w:pPr>
        <w:tabs>
          <w:tab w:val="left" w:pos="360"/>
        </w:tabs>
        <w:ind w:left="360" w:hanging="360" w:hangingChars="200"/>
      </w:pPr>
    </w:lvl>
  </w:abstractNum>
  <w:abstractNum w:abstractNumId="2">
    <w:nsid w:val="00000003"/>
    <w:multiLevelType w:val="multilevel"/>
    <w:tmpl w:val="000000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5"/>
    <w:multiLevelType w:val="multilevel"/>
    <w:tmpl w:val="0000000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1F53CEE"/>
    <w:multiLevelType w:val="multilevel"/>
    <w:tmpl w:val="01F53CE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91C07"/>
    <w:multiLevelType w:val="multilevel"/>
    <w:tmpl w:val="1D591C07"/>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7">
    <w:nsid w:val="79BA39D4"/>
    <w:multiLevelType w:val="multilevel"/>
    <w:tmpl w:val="79BA39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1F9"/>
    <w:rsid w:val="0000039A"/>
    <w:rsid w:val="000964EB"/>
    <w:rsid w:val="000C33A4"/>
    <w:rsid w:val="000F23AB"/>
    <w:rsid w:val="0012146F"/>
    <w:rsid w:val="001675B1"/>
    <w:rsid w:val="001B4E1B"/>
    <w:rsid w:val="0023222D"/>
    <w:rsid w:val="002668B3"/>
    <w:rsid w:val="0030443E"/>
    <w:rsid w:val="00392E3F"/>
    <w:rsid w:val="003978F4"/>
    <w:rsid w:val="003F44AD"/>
    <w:rsid w:val="006D769F"/>
    <w:rsid w:val="00700A3B"/>
    <w:rsid w:val="00704C5F"/>
    <w:rsid w:val="0072169D"/>
    <w:rsid w:val="007F5A03"/>
    <w:rsid w:val="00884CEE"/>
    <w:rsid w:val="009C0CD7"/>
    <w:rsid w:val="009C249E"/>
    <w:rsid w:val="00A139B6"/>
    <w:rsid w:val="00A64A2B"/>
    <w:rsid w:val="00B54E9B"/>
    <w:rsid w:val="00C03E42"/>
    <w:rsid w:val="00C20532"/>
    <w:rsid w:val="00D531F9"/>
    <w:rsid w:val="00E75123"/>
    <w:rsid w:val="00F60BD9"/>
    <w:rsid w:val="00F67C5B"/>
    <w:rsid w:val="00FA3C95"/>
    <w:rsid w:val="00FB6FC2"/>
    <w:rsid w:val="00FB7CBD"/>
    <w:rsid w:val="00FD1553"/>
    <w:rsid w:val="0E882526"/>
    <w:rsid w:val="15BA12BF"/>
    <w:rsid w:val="18BB7D2D"/>
    <w:rsid w:val="1AA85FEF"/>
    <w:rsid w:val="283D4EE4"/>
    <w:rsid w:val="2F46569F"/>
    <w:rsid w:val="35D0441E"/>
    <w:rsid w:val="3C002A5D"/>
    <w:rsid w:val="491D6E6F"/>
    <w:rsid w:val="49D86A15"/>
    <w:rsid w:val="51067CBC"/>
    <w:rsid w:val="60B805DA"/>
    <w:rsid w:val="69BE3BD0"/>
    <w:rsid w:val="6BCE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9"/>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3">
    <w:name w:val="heading 2"/>
    <w:basedOn w:val="1"/>
    <w:next w:val="1"/>
    <w:link w:val="56"/>
    <w:unhideWhenUsed/>
    <w:qFormat/>
    <w:uiPriority w:val="9"/>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link w:val="57"/>
    <w:semiHidden/>
    <w:unhideWhenUsed/>
    <w:qFormat/>
    <w:uiPriority w:val="9"/>
    <w:pPr>
      <w:keepNext/>
      <w:keepLines/>
      <w:spacing w:before="260" w:after="260" w:line="412" w:lineRule="auto"/>
      <w:outlineLvl w:val="2"/>
    </w:pPr>
    <w:rPr>
      <w:b/>
      <w:bCs/>
      <w:sz w:val="32"/>
      <w:szCs w:val="32"/>
    </w:rPr>
  </w:style>
  <w:style w:type="paragraph" w:styleId="5">
    <w:name w:val="heading 4"/>
    <w:basedOn w:val="1"/>
    <w:next w:val="1"/>
    <w:link w:val="58"/>
    <w:semiHidden/>
    <w:unhideWhenUsed/>
    <w:qFormat/>
    <w:uiPriority w:val="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9"/>
    <w:semiHidden/>
    <w:unhideWhenUsed/>
    <w:qFormat/>
    <w:uiPriority w:val="9"/>
    <w:pPr>
      <w:keepNext/>
      <w:keepLines/>
      <w:spacing w:before="280" w:after="290" w:line="372" w:lineRule="auto"/>
      <w:outlineLvl w:val="4"/>
    </w:pPr>
    <w:rPr>
      <w:rFonts w:ascii="Times New Roman" w:hAnsi="Times New Roman"/>
      <w:b/>
      <w:bCs/>
      <w:sz w:val="28"/>
      <w:szCs w:val="28"/>
    </w:rPr>
  </w:style>
  <w:style w:type="paragraph" w:styleId="7">
    <w:name w:val="heading 6"/>
    <w:basedOn w:val="1"/>
    <w:next w:val="1"/>
    <w:link w:val="60"/>
    <w:semiHidden/>
    <w:unhideWhenUsed/>
    <w:qFormat/>
    <w:uiPriority w:val="9"/>
    <w:pPr>
      <w:keepNext/>
      <w:keepLines/>
      <w:spacing w:before="240" w:after="64" w:line="316" w:lineRule="auto"/>
      <w:outlineLvl w:val="5"/>
    </w:pPr>
    <w:rPr>
      <w:rFonts w:ascii="Arial" w:hAnsi="Arial" w:eastAsia="黑体"/>
      <w:b/>
      <w:bCs/>
      <w:sz w:val="24"/>
      <w:szCs w:val="24"/>
    </w:rPr>
  </w:style>
  <w:style w:type="paragraph" w:styleId="8">
    <w:name w:val="heading 7"/>
    <w:basedOn w:val="1"/>
    <w:next w:val="1"/>
    <w:link w:val="61"/>
    <w:semiHidden/>
    <w:unhideWhenUsed/>
    <w:qFormat/>
    <w:uiPriority w:val="9"/>
    <w:pPr>
      <w:keepNext/>
      <w:keepLines/>
      <w:snapToGrid w:val="0"/>
      <w:spacing w:before="240" w:after="64" w:line="320" w:lineRule="atLeast"/>
      <w:jc w:val="center"/>
      <w:outlineLvl w:val="6"/>
    </w:pPr>
    <w:rPr>
      <w:rFonts w:ascii="宋体" w:hAnsi="宋体"/>
      <w:b/>
      <w:bCs/>
      <w:kern w:val="0"/>
      <w:sz w:val="24"/>
      <w:szCs w:val="24"/>
    </w:rPr>
  </w:style>
  <w:style w:type="paragraph" w:styleId="9">
    <w:name w:val="heading 8"/>
    <w:basedOn w:val="1"/>
    <w:next w:val="1"/>
    <w:link w:val="153"/>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4"/>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7"/>
    <w:semiHidden/>
    <w:unhideWhenUsed/>
    <w:qFormat/>
    <w:uiPriority w:val="99"/>
    <w:rPr>
      <w:b/>
      <w:bCs/>
    </w:rPr>
  </w:style>
  <w:style w:type="paragraph" w:styleId="12">
    <w:name w:val="annotation text"/>
    <w:basedOn w:val="1"/>
    <w:link w:val="65"/>
    <w:semiHidden/>
    <w:unhideWhenUsed/>
    <w:qFormat/>
    <w:uiPriority w:val="99"/>
    <w:pPr>
      <w:jc w:val="left"/>
    </w:pPr>
  </w:style>
  <w:style w:type="paragraph" w:styleId="13">
    <w:name w:val="toc 7"/>
    <w:basedOn w:val="1"/>
    <w:next w:val="1"/>
    <w:semiHidden/>
    <w:unhideWhenUsed/>
    <w:qFormat/>
    <w:uiPriority w:val="39"/>
    <w:pPr>
      <w:snapToGrid w:val="0"/>
      <w:spacing w:line="600" w:lineRule="exact"/>
      <w:ind w:left="3120"/>
      <w:jc w:val="left"/>
    </w:pPr>
    <w:rPr>
      <w:rFonts w:ascii="Times New Roman" w:hAnsi="Times New Roman"/>
      <w:kern w:val="0"/>
      <w:sz w:val="18"/>
      <w:szCs w:val="18"/>
    </w:rPr>
  </w:style>
  <w:style w:type="paragraph" w:styleId="14">
    <w:name w:val="Body Text First Indent"/>
    <w:basedOn w:val="15"/>
    <w:link w:val="70"/>
    <w:semiHidden/>
    <w:unhideWhenUsed/>
    <w:qFormat/>
    <w:uiPriority w:val="99"/>
    <w:pPr>
      <w:ind w:firstLine="420" w:firstLineChars="100"/>
    </w:pPr>
  </w:style>
  <w:style w:type="paragraph" w:styleId="15">
    <w:name w:val="Body Text"/>
    <w:basedOn w:val="1"/>
    <w:link w:val="67"/>
    <w:semiHidden/>
    <w:unhideWhenUsed/>
    <w:qFormat/>
    <w:uiPriority w:val="99"/>
    <w:pPr>
      <w:spacing w:after="120"/>
    </w:pPr>
  </w:style>
  <w:style w:type="paragraph" w:styleId="16">
    <w:name w:val="List Number"/>
    <w:basedOn w:val="1"/>
    <w:semiHidden/>
    <w:unhideWhenUsed/>
    <w:qFormat/>
    <w:uiPriority w:val="99"/>
    <w:pPr>
      <w:widowControl/>
      <w:numPr>
        <w:ilvl w:val="0"/>
        <w:numId w:val="2"/>
      </w:numPr>
      <w:tabs>
        <w:tab w:val="left" w:pos="454"/>
        <w:tab w:val="left" w:pos="720"/>
        <w:tab w:val="clear" w:pos="360"/>
      </w:tabs>
      <w:ind w:left="454" w:hanging="284" w:firstLineChars="0"/>
      <w:jc w:val="left"/>
    </w:pPr>
    <w:rPr>
      <w:rFonts w:ascii="Times New Roman" w:hAnsi="Times New Roman"/>
      <w:kern w:val="0"/>
      <w:sz w:val="24"/>
      <w:szCs w:val="20"/>
    </w:rPr>
  </w:style>
  <w:style w:type="paragraph" w:styleId="17">
    <w:name w:val="Normal Indent"/>
    <w:basedOn w:val="1"/>
    <w:link w:val="63"/>
    <w:semiHidden/>
    <w:unhideWhenUsed/>
    <w:qFormat/>
    <w:uiPriority w:val="99"/>
    <w:pPr>
      <w:ind w:firstLine="420"/>
    </w:pPr>
    <w:rPr>
      <w:rFonts w:asciiTheme="minorHAnsi" w:hAnsiTheme="minorHAnsi" w:eastAsiaTheme="minorEastAsia" w:cstheme="minorBidi"/>
    </w:rPr>
  </w:style>
  <w:style w:type="paragraph" w:styleId="18">
    <w:name w:val="caption"/>
    <w:basedOn w:val="1"/>
    <w:next w:val="1"/>
    <w:semiHidden/>
    <w:unhideWhenUsed/>
    <w:qFormat/>
    <w:uiPriority w:val="35"/>
    <w:pPr>
      <w:spacing w:before="152" w:after="160"/>
    </w:pPr>
    <w:rPr>
      <w:rFonts w:ascii="Arial" w:hAnsi="Arial" w:eastAsia="黑体" w:cs="Arial"/>
      <w:sz w:val="20"/>
      <w:szCs w:val="20"/>
    </w:rPr>
  </w:style>
  <w:style w:type="paragraph" w:styleId="19">
    <w:name w:val="Document Map"/>
    <w:basedOn w:val="1"/>
    <w:link w:val="149"/>
    <w:semiHidden/>
    <w:unhideWhenUsed/>
    <w:qFormat/>
    <w:uiPriority w:val="99"/>
    <w:rPr>
      <w:rFonts w:ascii="宋体"/>
      <w:sz w:val="18"/>
      <w:szCs w:val="18"/>
    </w:rPr>
  </w:style>
  <w:style w:type="paragraph" w:styleId="20">
    <w:name w:val="Body Text 3"/>
    <w:basedOn w:val="1"/>
    <w:link w:val="72"/>
    <w:semiHidden/>
    <w:unhideWhenUsed/>
    <w:qFormat/>
    <w:uiPriority w:val="99"/>
    <w:pPr>
      <w:snapToGrid w:val="0"/>
      <w:spacing w:before="50" w:after="50"/>
    </w:pPr>
    <w:rPr>
      <w:rFonts w:ascii="Times New Roman" w:hAnsi="宋体" w:eastAsia="仿宋_GB2312"/>
      <w:b/>
      <w:bCs/>
      <w:sz w:val="24"/>
      <w:szCs w:val="20"/>
    </w:rPr>
  </w:style>
  <w:style w:type="paragraph" w:styleId="21">
    <w:name w:val="Body Text Indent"/>
    <w:basedOn w:val="1"/>
    <w:link w:val="68"/>
    <w:semiHidden/>
    <w:unhideWhenUsed/>
    <w:qFormat/>
    <w:uiPriority w:val="99"/>
    <w:pPr>
      <w:spacing w:line="200" w:lineRule="exact"/>
      <w:ind w:firstLine="301"/>
    </w:pPr>
    <w:rPr>
      <w:rFonts w:ascii="宋体" w:hAnsi="Courier New"/>
      <w:spacing w:val="-4"/>
      <w:sz w:val="18"/>
      <w:szCs w:val="20"/>
    </w:rPr>
  </w:style>
  <w:style w:type="paragraph" w:styleId="22">
    <w:name w:val="List Number 3"/>
    <w:basedOn w:val="1"/>
    <w:semiHidden/>
    <w:unhideWhenUsed/>
    <w:qFormat/>
    <w:uiPriority w:val="99"/>
    <w:pPr>
      <w:numPr>
        <w:ilvl w:val="0"/>
        <w:numId w:val="3"/>
      </w:numPr>
      <w:ind w:left="0" w:leftChars="0" w:firstLine="0" w:firstLineChars="0"/>
    </w:pPr>
    <w:rPr>
      <w:rFonts w:ascii="Times New Roman" w:hAnsi="Times New Roman"/>
      <w:szCs w:val="24"/>
    </w:rPr>
  </w:style>
  <w:style w:type="paragraph" w:styleId="23">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4">
    <w:name w:val="toc 5"/>
    <w:basedOn w:val="1"/>
    <w:next w:val="1"/>
    <w:semiHidden/>
    <w:unhideWhenUsed/>
    <w:qFormat/>
    <w:uiPriority w:val="39"/>
    <w:pPr>
      <w:snapToGrid w:val="0"/>
      <w:spacing w:line="600" w:lineRule="exact"/>
      <w:ind w:left="2080"/>
      <w:jc w:val="left"/>
    </w:pPr>
    <w:rPr>
      <w:rFonts w:ascii="Times New Roman" w:hAnsi="Times New Roman"/>
      <w:kern w:val="0"/>
      <w:sz w:val="18"/>
      <w:szCs w:val="18"/>
    </w:rPr>
  </w:style>
  <w:style w:type="paragraph" w:styleId="25">
    <w:name w:val="toc 3"/>
    <w:basedOn w:val="1"/>
    <w:next w:val="1"/>
    <w:semiHidden/>
    <w:unhideWhenUsed/>
    <w:qFormat/>
    <w:uiPriority w:val="39"/>
    <w:pPr>
      <w:ind w:left="840" w:leftChars="400"/>
    </w:pPr>
  </w:style>
  <w:style w:type="paragraph" w:styleId="26">
    <w:name w:val="Plain Text"/>
    <w:basedOn w:val="1"/>
    <w:link w:val="151"/>
    <w:semiHidden/>
    <w:unhideWhenUsed/>
    <w:qFormat/>
    <w:uiPriority w:val="99"/>
    <w:pPr>
      <w:spacing w:beforeLines="50" w:line="400" w:lineRule="exact"/>
    </w:pPr>
    <w:rPr>
      <w:rFonts w:ascii="宋体" w:hAnsi="Courier New"/>
      <w:sz w:val="24"/>
      <w:szCs w:val="24"/>
    </w:rPr>
  </w:style>
  <w:style w:type="paragraph" w:styleId="27">
    <w:name w:val="toc 8"/>
    <w:basedOn w:val="1"/>
    <w:next w:val="1"/>
    <w:semiHidden/>
    <w:unhideWhenUsed/>
    <w:qFormat/>
    <w:uiPriority w:val="39"/>
    <w:pPr>
      <w:snapToGrid w:val="0"/>
      <w:spacing w:line="600" w:lineRule="exact"/>
      <w:ind w:left="3640"/>
      <w:jc w:val="left"/>
    </w:pPr>
    <w:rPr>
      <w:rFonts w:ascii="Times New Roman" w:hAnsi="Times New Roman"/>
      <w:kern w:val="0"/>
      <w:sz w:val="18"/>
      <w:szCs w:val="18"/>
    </w:rPr>
  </w:style>
  <w:style w:type="paragraph" w:styleId="28">
    <w:name w:val="Date"/>
    <w:basedOn w:val="1"/>
    <w:next w:val="1"/>
    <w:link w:val="150"/>
    <w:semiHidden/>
    <w:unhideWhenUsed/>
    <w:qFormat/>
    <w:uiPriority w:val="99"/>
    <w:pPr>
      <w:ind w:left="2500" w:leftChars="2500"/>
    </w:pPr>
    <w:rPr>
      <w:rFonts w:ascii="Times New Roman" w:hAnsi="Times New Roman" w:eastAsia="楷体_GB2312"/>
      <w:sz w:val="32"/>
      <w:szCs w:val="20"/>
    </w:rPr>
  </w:style>
  <w:style w:type="paragraph" w:styleId="29">
    <w:name w:val="Body Text Indent 2"/>
    <w:basedOn w:val="1"/>
    <w:link w:val="73"/>
    <w:semiHidden/>
    <w:unhideWhenUsed/>
    <w:qFormat/>
    <w:uiPriority w:val="99"/>
    <w:pPr>
      <w:snapToGrid w:val="0"/>
      <w:ind w:firstLine="542" w:firstLineChars="225"/>
    </w:pPr>
    <w:rPr>
      <w:rFonts w:ascii="仿宋_GB2312" w:hAnsi="宋体" w:cs="Arial"/>
      <w:b/>
      <w:bCs/>
      <w:color w:val="000000"/>
      <w:sz w:val="24"/>
      <w:szCs w:val="24"/>
    </w:rPr>
  </w:style>
  <w:style w:type="paragraph" w:styleId="30">
    <w:name w:val="Balloon Text"/>
    <w:basedOn w:val="1"/>
    <w:link w:val="78"/>
    <w:semiHidden/>
    <w:unhideWhenUsed/>
    <w:qFormat/>
    <w:uiPriority w:val="99"/>
    <w:rPr>
      <w:sz w:val="18"/>
      <w:szCs w:val="18"/>
    </w:rPr>
  </w:style>
  <w:style w:type="paragraph" w:styleId="31">
    <w:name w:val="footer"/>
    <w:basedOn w:val="1"/>
    <w:link w:val="54"/>
    <w:semiHidden/>
    <w:unhideWhenUsed/>
    <w:qFormat/>
    <w:uiPriority w:val="99"/>
    <w:pPr>
      <w:tabs>
        <w:tab w:val="center" w:pos="4153"/>
        <w:tab w:val="right" w:pos="8306"/>
      </w:tabs>
      <w:snapToGrid w:val="0"/>
      <w:jc w:val="left"/>
    </w:pPr>
    <w:rPr>
      <w:sz w:val="18"/>
      <w:szCs w:val="18"/>
    </w:rPr>
  </w:style>
  <w:style w:type="paragraph" w:styleId="32">
    <w:name w:val="header"/>
    <w:basedOn w:val="1"/>
    <w:link w:val="5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unhideWhenUsed/>
    <w:qFormat/>
    <w:uiPriority w:val="39"/>
    <w:rPr>
      <w:rFonts w:ascii="Times New Roman" w:hAnsi="Times New Roman"/>
      <w:szCs w:val="24"/>
    </w:rPr>
  </w:style>
  <w:style w:type="paragraph" w:styleId="34">
    <w:name w:val="toc 4"/>
    <w:basedOn w:val="1"/>
    <w:next w:val="1"/>
    <w:semiHidden/>
    <w:unhideWhenUsed/>
    <w:qFormat/>
    <w:uiPriority w:val="39"/>
    <w:pPr>
      <w:snapToGrid w:val="0"/>
      <w:spacing w:line="600" w:lineRule="exact"/>
      <w:ind w:left="1560"/>
      <w:jc w:val="left"/>
    </w:pPr>
    <w:rPr>
      <w:rFonts w:ascii="Times New Roman" w:hAnsi="Times New Roman"/>
      <w:kern w:val="0"/>
      <w:sz w:val="18"/>
      <w:szCs w:val="18"/>
    </w:rPr>
  </w:style>
  <w:style w:type="paragraph" w:styleId="35">
    <w:name w:val="List"/>
    <w:basedOn w:val="1"/>
    <w:semiHidden/>
    <w:unhideWhenUsed/>
    <w:qFormat/>
    <w:uiPriority w:val="99"/>
    <w:pPr>
      <w:ind w:left="200" w:hanging="200" w:hangingChars="200"/>
    </w:pPr>
    <w:rPr>
      <w:rFonts w:ascii="Times New Roman" w:hAnsi="Times New Roman"/>
      <w:sz w:val="28"/>
      <w:szCs w:val="24"/>
    </w:rPr>
  </w:style>
  <w:style w:type="paragraph" w:styleId="36">
    <w:name w:val="footnote text"/>
    <w:basedOn w:val="1"/>
    <w:link w:val="64"/>
    <w:semiHidden/>
    <w:unhideWhenUsed/>
    <w:qFormat/>
    <w:uiPriority w:val="99"/>
    <w:pPr>
      <w:snapToGrid w:val="0"/>
      <w:jc w:val="left"/>
    </w:pPr>
    <w:rPr>
      <w:sz w:val="18"/>
      <w:szCs w:val="18"/>
    </w:rPr>
  </w:style>
  <w:style w:type="paragraph" w:styleId="37">
    <w:name w:val="toc 6"/>
    <w:basedOn w:val="1"/>
    <w:next w:val="1"/>
    <w:semiHidden/>
    <w:unhideWhenUsed/>
    <w:qFormat/>
    <w:uiPriority w:val="39"/>
    <w:pPr>
      <w:snapToGrid w:val="0"/>
      <w:spacing w:line="600" w:lineRule="exact"/>
      <w:ind w:left="2600"/>
      <w:jc w:val="left"/>
    </w:pPr>
    <w:rPr>
      <w:rFonts w:ascii="Times New Roman" w:hAnsi="Times New Roman"/>
      <w:kern w:val="0"/>
      <w:sz w:val="18"/>
      <w:szCs w:val="18"/>
    </w:rPr>
  </w:style>
  <w:style w:type="paragraph" w:styleId="38">
    <w:name w:val="Body Text Indent 3"/>
    <w:basedOn w:val="1"/>
    <w:link w:val="74"/>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39">
    <w:name w:val="toc 2"/>
    <w:basedOn w:val="1"/>
    <w:next w:val="1"/>
    <w:semiHidden/>
    <w:unhideWhenUsed/>
    <w:qFormat/>
    <w:uiPriority w:val="39"/>
    <w:pPr>
      <w:ind w:left="420" w:leftChars="200"/>
    </w:pPr>
  </w:style>
  <w:style w:type="paragraph" w:styleId="40">
    <w:name w:val="toc 9"/>
    <w:basedOn w:val="1"/>
    <w:next w:val="1"/>
    <w:semiHidden/>
    <w:unhideWhenUsed/>
    <w:qFormat/>
    <w:uiPriority w:val="39"/>
    <w:pPr>
      <w:snapToGrid w:val="0"/>
      <w:spacing w:line="600" w:lineRule="exact"/>
      <w:ind w:left="4160"/>
      <w:jc w:val="left"/>
    </w:pPr>
    <w:rPr>
      <w:rFonts w:ascii="Times New Roman" w:hAnsi="Times New Roman"/>
      <w:kern w:val="0"/>
      <w:sz w:val="18"/>
      <w:szCs w:val="18"/>
    </w:rPr>
  </w:style>
  <w:style w:type="paragraph" w:styleId="41">
    <w:name w:val="Body Text 2"/>
    <w:basedOn w:val="1"/>
    <w:link w:val="71"/>
    <w:semiHidden/>
    <w:unhideWhenUsed/>
    <w:qFormat/>
    <w:uiPriority w:val="99"/>
    <w:pPr>
      <w:widowControl/>
      <w:snapToGrid w:val="0"/>
      <w:spacing w:before="50" w:line="400" w:lineRule="exact"/>
      <w:jc w:val="left"/>
    </w:pPr>
    <w:rPr>
      <w:rFonts w:ascii="宋体" w:hAnsi="宋体"/>
      <w:color w:val="000000"/>
      <w:sz w:val="24"/>
      <w:szCs w:val="24"/>
    </w:rPr>
  </w:style>
  <w:style w:type="paragraph" w:styleId="42">
    <w:name w:val="HTML Preformatted"/>
    <w:basedOn w:val="1"/>
    <w:link w:val="6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4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44">
    <w:name w:val="Title"/>
    <w:basedOn w:val="1"/>
    <w:next w:val="1"/>
    <w:link w:val="147"/>
    <w:qFormat/>
    <w:uiPriority w:val="10"/>
    <w:pPr>
      <w:spacing w:before="240" w:after="60"/>
      <w:jc w:val="center"/>
      <w:outlineLvl w:val="0"/>
    </w:pPr>
    <w:rPr>
      <w:rFonts w:ascii="Cambria" w:hAnsi="Cambria"/>
      <w:b/>
      <w:bCs/>
      <w:kern w:val="0"/>
      <w:sz w:val="32"/>
      <w:szCs w:val="32"/>
    </w:rPr>
  </w:style>
  <w:style w:type="character" w:styleId="46">
    <w:name w:val="FollowedHyperlink"/>
    <w:semiHidden/>
    <w:unhideWhenUsed/>
    <w:qFormat/>
    <w:uiPriority w:val="99"/>
    <w:rPr>
      <w:color w:val="800080"/>
      <w:u w:val="single"/>
    </w:rPr>
  </w:style>
  <w:style w:type="character" w:styleId="47">
    <w:name w:val="Emphasis"/>
    <w:qFormat/>
    <w:uiPriority w:val="20"/>
    <w:rPr>
      <w:color w:val="CC0033"/>
    </w:rPr>
  </w:style>
  <w:style w:type="character" w:styleId="48">
    <w:name w:val="Hyperlink"/>
    <w:semiHidden/>
    <w:unhideWhenUsed/>
    <w:qFormat/>
    <w:uiPriority w:val="99"/>
    <w:rPr>
      <w:color w:val="0000FF"/>
      <w:u w:val="single"/>
    </w:rPr>
  </w:style>
  <w:style w:type="character" w:styleId="49">
    <w:name w:val="annotation reference"/>
    <w:semiHidden/>
    <w:unhideWhenUsed/>
    <w:qFormat/>
    <w:uiPriority w:val="99"/>
    <w:rPr>
      <w:sz w:val="21"/>
      <w:szCs w:val="21"/>
    </w:rPr>
  </w:style>
  <w:style w:type="character" w:styleId="50">
    <w:name w:val="footnote reference"/>
    <w:semiHidden/>
    <w:unhideWhenUsed/>
    <w:qFormat/>
    <w:uiPriority w:val="99"/>
    <w:rPr>
      <w:vertAlign w:val="superscript"/>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
    <w:name w:val="页眉 字符"/>
    <w:basedOn w:val="45"/>
    <w:link w:val="32"/>
    <w:semiHidden/>
    <w:qFormat/>
    <w:uiPriority w:val="0"/>
    <w:rPr>
      <w:sz w:val="18"/>
      <w:szCs w:val="18"/>
    </w:rPr>
  </w:style>
  <w:style w:type="character" w:customStyle="1" w:styleId="54">
    <w:name w:val="页脚 字符"/>
    <w:basedOn w:val="45"/>
    <w:link w:val="31"/>
    <w:semiHidden/>
    <w:qFormat/>
    <w:uiPriority w:val="99"/>
    <w:rPr>
      <w:sz w:val="18"/>
      <w:szCs w:val="18"/>
    </w:rPr>
  </w:style>
  <w:style w:type="character" w:customStyle="1" w:styleId="55">
    <w:name w:val="标题 1 字符"/>
    <w:basedOn w:val="45"/>
    <w:link w:val="2"/>
    <w:qFormat/>
    <w:uiPriority w:val="0"/>
    <w:rPr>
      <w:rFonts w:ascii="Times New Roman" w:hAnsi="Times New Roman" w:eastAsia="隶书" w:cs="Times New Roman"/>
      <w:b/>
      <w:bCs/>
      <w:kern w:val="0"/>
      <w:sz w:val="36"/>
      <w:szCs w:val="36"/>
    </w:rPr>
  </w:style>
  <w:style w:type="character" w:customStyle="1" w:styleId="56">
    <w:name w:val="标题 2 字符"/>
    <w:basedOn w:val="45"/>
    <w:link w:val="3"/>
    <w:semiHidden/>
    <w:qFormat/>
    <w:uiPriority w:val="0"/>
    <w:rPr>
      <w:rFonts w:ascii="Arial" w:hAnsi="Arial" w:eastAsia="黑体" w:cs="Times New Roman"/>
      <w:b/>
      <w:bCs/>
      <w:sz w:val="32"/>
      <w:szCs w:val="32"/>
    </w:rPr>
  </w:style>
  <w:style w:type="character" w:customStyle="1" w:styleId="57">
    <w:name w:val="标题 3 字符"/>
    <w:basedOn w:val="45"/>
    <w:link w:val="4"/>
    <w:semiHidden/>
    <w:qFormat/>
    <w:uiPriority w:val="0"/>
    <w:rPr>
      <w:rFonts w:ascii="Calibri" w:hAnsi="Calibri" w:eastAsia="宋体" w:cs="Times New Roman"/>
      <w:b/>
      <w:bCs/>
      <w:sz w:val="32"/>
      <w:szCs w:val="32"/>
    </w:rPr>
  </w:style>
  <w:style w:type="character" w:customStyle="1" w:styleId="58">
    <w:name w:val="标题 4 字符"/>
    <w:basedOn w:val="45"/>
    <w:link w:val="5"/>
    <w:semiHidden/>
    <w:qFormat/>
    <w:uiPriority w:val="0"/>
    <w:rPr>
      <w:rFonts w:ascii="Arial" w:hAnsi="Arial" w:eastAsia="黑体" w:cs="Times New Roman"/>
      <w:b/>
      <w:bCs/>
      <w:sz w:val="28"/>
      <w:szCs w:val="28"/>
    </w:rPr>
  </w:style>
  <w:style w:type="character" w:customStyle="1" w:styleId="59">
    <w:name w:val="标题 5 字符"/>
    <w:basedOn w:val="45"/>
    <w:link w:val="6"/>
    <w:semiHidden/>
    <w:qFormat/>
    <w:uiPriority w:val="0"/>
    <w:rPr>
      <w:rFonts w:ascii="Times New Roman" w:hAnsi="Times New Roman" w:eastAsia="宋体" w:cs="Times New Roman"/>
      <w:b/>
      <w:bCs/>
      <w:sz w:val="28"/>
      <w:szCs w:val="28"/>
    </w:rPr>
  </w:style>
  <w:style w:type="character" w:customStyle="1" w:styleId="60">
    <w:name w:val="标题 6 字符"/>
    <w:basedOn w:val="45"/>
    <w:link w:val="7"/>
    <w:semiHidden/>
    <w:qFormat/>
    <w:uiPriority w:val="0"/>
    <w:rPr>
      <w:rFonts w:ascii="Arial" w:hAnsi="Arial" w:eastAsia="黑体" w:cs="Times New Roman"/>
      <w:b/>
      <w:bCs/>
      <w:sz w:val="24"/>
      <w:szCs w:val="24"/>
    </w:rPr>
  </w:style>
  <w:style w:type="character" w:customStyle="1" w:styleId="61">
    <w:name w:val="标题 7 字符"/>
    <w:basedOn w:val="45"/>
    <w:link w:val="8"/>
    <w:semiHidden/>
    <w:qFormat/>
    <w:uiPriority w:val="0"/>
    <w:rPr>
      <w:rFonts w:ascii="宋体" w:hAnsi="宋体" w:eastAsia="宋体" w:cs="Times New Roman"/>
      <w:b/>
      <w:bCs/>
      <w:kern w:val="0"/>
      <w:sz w:val="24"/>
      <w:szCs w:val="24"/>
    </w:rPr>
  </w:style>
  <w:style w:type="character" w:customStyle="1" w:styleId="62">
    <w:name w:val="HTML 预设格式 字符"/>
    <w:basedOn w:val="45"/>
    <w:link w:val="42"/>
    <w:semiHidden/>
    <w:qFormat/>
    <w:uiPriority w:val="0"/>
    <w:rPr>
      <w:rFonts w:ascii="Courier New" w:hAnsi="Courier New" w:eastAsia="宋体" w:cs="Times New Roman"/>
      <w:sz w:val="20"/>
      <w:szCs w:val="20"/>
    </w:rPr>
  </w:style>
  <w:style w:type="character" w:customStyle="1" w:styleId="63">
    <w:name w:val="正文缩进 字符"/>
    <w:link w:val="17"/>
    <w:semiHidden/>
    <w:qFormat/>
    <w:locked/>
    <w:uiPriority w:val="0"/>
  </w:style>
  <w:style w:type="character" w:customStyle="1" w:styleId="64">
    <w:name w:val="脚注文本 字符"/>
    <w:basedOn w:val="45"/>
    <w:link w:val="36"/>
    <w:semiHidden/>
    <w:qFormat/>
    <w:uiPriority w:val="0"/>
    <w:rPr>
      <w:rFonts w:ascii="Calibri" w:hAnsi="Calibri" w:eastAsia="宋体" w:cs="Times New Roman"/>
      <w:sz w:val="18"/>
      <w:szCs w:val="18"/>
    </w:rPr>
  </w:style>
  <w:style w:type="character" w:customStyle="1" w:styleId="65">
    <w:name w:val="批注文字 字符"/>
    <w:basedOn w:val="45"/>
    <w:link w:val="12"/>
    <w:semiHidden/>
    <w:qFormat/>
    <w:uiPriority w:val="0"/>
    <w:rPr>
      <w:rFonts w:ascii="Calibri" w:hAnsi="Calibri" w:eastAsia="宋体" w:cs="Times New Roman"/>
    </w:rPr>
  </w:style>
  <w:style w:type="character" w:customStyle="1" w:styleId="66">
    <w:name w:val="标题 Char"/>
    <w:basedOn w:val="45"/>
    <w:qFormat/>
    <w:uiPriority w:val="0"/>
    <w:rPr>
      <w:rFonts w:eastAsia="宋体" w:asciiTheme="majorHAnsi" w:hAnsiTheme="majorHAnsi" w:cstheme="majorBidi"/>
      <w:b/>
      <w:bCs/>
      <w:sz w:val="32"/>
      <w:szCs w:val="32"/>
    </w:rPr>
  </w:style>
  <w:style w:type="character" w:customStyle="1" w:styleId="67">
    <w:name w:val="正文文本 字符"/>
    <w:basedOn w:val="45"/>
    <w:link w:val="15"/>
    <w:semiHidden/>
    <w:qFormat/>
    <w:uiPriority w:val="0"/>
    <w:rPr>
      <w:rFonts w:ascii="Calibri" w:hAnsi="Calibri" w:eastAsia="宋体" w:cs="Times New Roman"/>
    </w:rPr>
  </w:style>
  <w:style w:type="character" w:customStyle="1" w:styleId="68">
    <w:name w:val="正文文本缩进 字符"/>
    <w:basedOn w:val="45"/>
    <w:link w:val="21"/>
    <w:semiHidden/>
    <w:qFormat/>
    <w:uiPriority w:val="0"/>
    <w:rPr>
      <w:rFonts w:ascii="宋体" w:hAnsi="Courier New" w:eastAsia="宋体" w:cs="Times New Roman"/>
      <w:spacing w:val="-4"/>
      <w:sz w:val="18"/>
      <w:szCs w:val="20"/>
    </w:rPr>
  </w:style>
  <w:style w:type="character" w:customStyle="1" w:styleId="69">
    <w:name w:val="日期 Char"/>
    <w:basedOn w:val="45"/>
    <w:semiHidden/>
    <w:qFormat/>
    <w:uiPriority w:val="0"/>
    <w:rPr>
      <w:rFonts w:ascii="Calibri" w:hAnsi="Calibri" w:eastAsia="宋体" w:cs="Times New Roman"/>
    </w:rPr>
  </w:style>
  <w:style w:type="character" w:customStyle="1" w:styleId="70">
    <w:name w:val="正文首行缩进 字符"/>
    <w:basedOn w:val="67"/>
    <w:link w:val="14"/>
    <w:semiHidden/>
    <w:qFormat/>
    <w:uiPriority w:val="0"/>
    <w:rPr>
      <w:rFonts w:ascii="Calibri" w:hAnsi="Calibri" w:eastAsia="宋体" w:cs="Times New Roman"/>
    </w:rPr>
  </w:style>
  <w:style w:type="character" w:customStyle="1" w:styleId="71">
    <w:name w:val="正文文本 2 字符"/>
    <w:basedOn w:val="45"/>
    <w:link w:val="41"/>
    <w:semiHidden/>
    <w:qFormat/>
    <w:uiPriority w:val="0"/>
    <w:rPr>
      <w:rFonts w:ascii="宋体" w:hAnsi="宋体" w:eastAsia="宋体" w:cs="Times New Roman"/>
      <w:color w:val="000000"/>
      <w:sz w:val="24"/>
      <w:szCs w:val="24"/>
    </w:rPr>
  </w:style>
  <w:style w:type="character" w:customStyle="1" w:styleId="72">
    <w:name w:val="正文文本 3 字符"/>
    <w:basedOn w:val="45"/>
    <w:link w:val="20"/>
    <w:semiHidden/>
    <w:qFormat/>
    <w:uiPriority w:val="0"/>
    <w:rPr>
      <w:rFonts w:ascii="Times New Roman" w:hAnsi="宋体" w:eastAsia="仿宋_GB2312" w:cs="Times New Roman"/>
      <w:b/>
      <w:bCs/>
      <w:sz w:val="24"/>
      <w:szCs w:val="20"/>
    </w:rPr>
  </w:style>
  <w:style w:type="character" w:customStyle="1" w:styleId="73">
    <w:name w:val="正文文本缩进 2 字符"/>
    <w:basedOn w:val="45"/>
    <w:link w:val="29"/>
    <w:semiHidden/>
    <w:qFormat/>
    <w:uiPriority w:val="0"/>
    <w:rPr>
      <w:rFonts w:ascii="仿宋_GB2312" w:hAnsi="宋体" w:eastAsia="宋体" w:cs="Arial"/>
      <w:b/>
      <w:bCs/>
      <w:color w:val="000000"/>
      <w:sz w:val="24"/>
      <w:szCs w:val="24"/>
    </w:rPr>
  </w:style>
  <w:style w:type="character" w:customStyle="1" w:styleId="74">
    <w:name w:val="正文文本缩进 3 字符"/>
    <w:basedOn w:val="45"/>
    <w:link w:val="38"/>
    <w:semiHidden/>
    <w:qFormat/>
    <w:uiPriority w:val="0"/>
    <w:rPr>
      <w:rFonts w:ascii="仿宋_GB2312" w:hAnsi="宋体" w:eastAsia="仿宋_GB2312" w:cs="Times New Roman"/>
      <w:color w:val="000000"/>
      <w:sz w:val="24"/>
      <w:szCs w:val="24"/>
    </w:rPr>
  </w:style>
  <w:style w:type="character" w:customStyle="1" w:styleId="75">
    <w:name w:val="文档结构图 Char"/>
    <w:basedOn w:val="45"/>
    <w:semiHidden/>
    <w:qFormat/>
    <w:uiPriority w:val="0"/>
    <w:rPr>
      <w:rFonts w:ascii="宋体" w:hAnsi="Calibri" w:eastAsia="宋体" w:cs="Times New Roman"/>
      <w:sz w:val="18"/>
      <w:szCs w:val="18"/>
    </w:rPr>
  </w:style>
  <w:style w:type="character" w:customStyle="1" w:styleId="76">
    <w:name w:val="纯文本 Char"/>
    <w:basedOn w:val="45"/>
    <w:semiHidden/>
    <w:qFormat/>
    <w:uiPriority w:val="0"/>
    <w:rPr>
      <w:rFonts w:ascii="宋体" w:hAnsi="Courier New" w:eastAsia="宋体" w:cs="Courier New"/>
      <w:szCs w:val="21"/>
    </w:rPr>
  </w:style>
  <w:style w:type="character" w:customStyle="1" w:styleId="77">
    <w:name w:val="批注主题 字符"/>
    <w:basedOn w:val="65"/>
    <w:link w:val="11"/>
    <w:semiHidden/>
    <w:qFormat/>
    <w:uiPriority w:val="0"/>
    <w:rPr>
      <w:rFonts w:ascii="Calibri" w:hAnsi="Calibri" w:eastAsia="宋体" w:cs="Times New Roman"/>
      <w:b/>
      <w:bCs/>
    </w:rPr>
  </w:style>
  <w:style w:type="character" w:customStyle="1" w:styleId="78">
    <w:name w:val="批注框文本 字符"/>
    <w:basedOn w:val="45"/>
    <w:link w:val="30"/>
    <w:semiHidden/>
    <w:qFormat/>
    <w:uiPriority w:val="0"/>
    <w:rPr>
      <w:rFonts w:ascii="Calibri" w:hAnsi="Calibri" w:eastAsia="宋体" w:cs="Times New Roman"/>
      <w:sz w:val="18"/>
      <w:szCs w:val="18"/>
    </w:rPr>
  </w:style>
  <w:style w:type="character" w:customStyle="1" w:styleId="79">
    <w:name w:val="a Char"/>
    <w:link w:val="80"/>
    <w:qFormat/>
    <w:locked/>
    <w:uiPriority w:val="0"/>
    <w:rPr>
      <w:rFonts w:ascii="宋体" w:hAnsi="宋体" w:eastAsia="仿宋_GB2312"/>
      <w:sz w:val="24"/>
    </w:rPr>
  </w:style>
  <w:style w:type="paragraph" w:customStyle="1" w:styleId="80">
    <w:name w:val="a"/>
    <w:basedOn w:val="1"/>
    <w:link w:val="79"/>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81">
    <w:name w:val="列出段落1 Char"/>
    <w:link w:val="82"/>
    <w:qFormat/>
    <w:locked/>
    <w:uiPriority w:val="0"/>
    <w:rPr>
      <w:rFonts w:ascii="Calibri" w:hAnsi="Calibri" w:cs="Calibri"/>
      <w:szCs w:val="21"/>
    </w:rPr>
  </w:style>
  <w:style w:type="paragraph" w:customStyle="1" w:styleId="82">
    <w:name w:val="列出段落1"/>
    <w:basedOn w:val="1"/>
    <w:link w:val="81"/>
    <w:qFormat/>
    <w:uiPriority w:val="0"/>
    <w:pPr>
      <w:ind w:firstLine="420" w:firstLineChars="200"/>
    </w:pPr>
    <w:rPr>
      <w:rFonts w:cs="Calibri" w:eastAsiaTheme="minorEastAsia"/>
      <w:szCs w:val="21"/>
    </w:rPr>
  </w:style>
  <w:style w:type="paragraph" w:customStyle="1" w:styleId="83">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4">
    <w:name w:val="大表 mt"/>
    <w:basedOn w:val="1"/>
    <w:qFormat/>
    <w:uiPriority w:val="0"/>
    <w:pPr>
      <w:widowControl/>
      <w:jc w:val="left"/>
    </w:pPr>
    <w:rPr>
      <w:rFonts w:ascii="宋体" w:hAnsi="宋体" w:cs="宋体"/>
      <w:kern w:val="0"/>
      <w:szCs w:val="21"/>
    </w:rPr>
  </w:style>
  <w:style w:type="paragraph" w:customStyle="1" w:styleId="85">
    <w:name w:val="正文首行缩进:2字符"/>
    <w:basedOn w:val="1"/>
    <w:qFormat/>
    <w:uiPriority w:val="0"/>
    <w:pPr>
      <w:spacing w:line="360" w:lineRule="auto"/>
      <w:ind w:firstLine="480" w:firstLineChars="200"/>
    </w:pPr>
    <w:rPr>
      <w:rFonts w:ascii="Times New Roman" w:hAnsi="Times New Roman" w:cs="宋体"/>
      <w:szCs w:val="20"/>
    </w:rPr>
  </w:style>
  <w:style w:type="paragraph" w:customStyle="1" w:styleId="86">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87">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纯文本1"/>
    <w:basedOn w:val="1"/>
    <w:qFormat/>
    <w:uiPriority w:val="0"/>
    <w:pPr>
      <w:spacing w:beforeLines="50" w:line="400" w:lineRule="exact"/>
    </w:pPr>
    <w:rPr>
      <w:rFonts w:ascii="宋体" w:hAnsi="Courier New" w:eastAsia="黑体"/>
      <w:sz w:val="24"/>
      <w:szCs w:val="24"/>
    </w:rPr>
  </w:style>
  <w:style w:type="paragraph" w:customStyle="1" w:styleId="90">
    <w:name w:val="wellhope正文"/>
    <w:basedOn w:val="1"/>
    <w:qFormat/>
    <w:uiPriority w:val="0"/>
    <w:pPr>
      <w:spacing w:before="60" w:after="60" w:line="360" w:lineRule="auto"/>
      <w:ind w:firstLine="200" w:firstLineChars="200"/>
    </w:pPr>
    <w:rPr>
      <w:rFonts w:ascii="Times New Roman" w:hAnsi="Times New Roman"/>
      <w:sz w:val="24"/>
      <w:szCs w:val="20"/>
    </w:rPr>
  </w:style>
  <w:style w:type="paragraph" w:customStyle="1" w:styleId="91">
    <w:name w:val="Char1"/>
    <w:basedOn w:val="1"/>
    <w:qFormat/>
    <w:uiPriority w:val="0"/>
    <w:rPr>
      <w:rFonts w:ascii="仿宋_GB2312" w:hAnsi="Times New Roman" w:eastAsia="仿宋_GB2312"/>
      <w:b/>
      <w:sz w:val="32"/>
      <w:szCs w:val="32"/>
    </w:rPr>
  </w:style>
  <w:style w:type="paragraph" w:customStyle="1" w:styleId="92">
    <w:name w:val="项目圆"/>
    <w:basedOn w:val="1"/>
    <w:qFormat/>
    <w:uiPriority w:val="0"/>
    <w:pPr>
      <w:tabs>
        <w:tab w:val="left" w:pos="840"/>
      </w:tabs>
      <w:spacing w:beforeLines="50" w:line="360" w:lineRule="auto"/>
      <w:ind w:left="454"/>
    </w:pPr>
    <w:rPr>
      <w:rFonts w:ascii="Times New Roman" w:hAnsi="Times New Roman"/>
      <w:szCs w:val="24"/>
    </w:rPr>
  </w:style>
  <w:style w:type="paragraph" w:customStyle="1" w:styleId="93">
    <w:name w:val="paragraph1"/>
    <w:basedOn w:val="1"/>
    <w:qFormat/>
    <w:uiPriority w:val="0"/>
    <w:pPr>
      <w:spacing w:line="360" w:lineRule="auto"/>
      <w:ind w:firstLine="420" w:firstLineChars="200"/>
    </w:pPr>
    <w:rPr>
      <w:rFonts w:ascii="Times New Roman" w:hAnsi="Times New Roman" w:eastAsia="楷体_GB2312"/>
      <w:sz w:val="24"/>
      <w:szCs w:val="20"/>
    </w:rPr>
  </w:style>
  <w:style w:type="paragraph" w:customStyle="1" w:styleId="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5">
    <w:name w:val="_Style 64"/>
    <w:basedOn w:val="1"/>
    <w:qFormat/>
    <w:uiPriority w:val="0"/>
    <w:rPr>
      <w:rFonts w:ascii="Times New Roman" w:hAnsi="Times New Roman"/>
      <w:sz w:val="24"/>
      <w:szCs w:val="24"/>
    </w:rPr>
  </w:style>
  <w:style w:type="paragraph" w:customStyle="1" w:styleId="96">
    <w:name w:val="Proposals body"/>
    <w:basedOn w:val="1"/>
    <w:next w:val="1"/>
    <w:qFormat/>
    <w:uiPriority w:val="0"/>
    <w:pPr>
      <w:widowControl/>
      <w:snapToGrid w:val="0"/>
      <w:spacing w:line="360" w:lineRule="auto"/>
      <w:jc w:val="left"/>
    </w:pPr>
    <w:rPr>
      <w:rFonts w:ascii="宋体" w:hAnsi="Times New Roman"/>
      <w:color w:val="000000"/>
      <w:kern w:val="0"/>
      <w:sz w:val="24"/>
      <w:szCs w:val="20"/>
    </w:rPr>
  </w:style>
  <w:style w:type="paragraph" w:customStyle="1" w:styleId="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样式 正文缩进 + 首行缩进:  2 字符"/>
    <w:basedOn w:val="17"/>
    <w:qFormat/>
    <w:uiPriority w:val="0"/>
    <w:pPr>
      <w:tabs>
        <w:tab w:val="left" w:pos="1080"/>
      </w:tabs>
      <w:spacing w:line="360" w:lineRule="auto"/>
      <w:ind w:left="1080" w:hanging="540"/>
    </w:pPr>
    <w:rPr>
      <w:rFonts w:ascii="宋体" w:hAnsi="宋体"/>
      <w:sz w:val="24"/>
      <w:szCs w:val="24"/>
    </w:rPr>
  </w:style>
  <w:style w:type="paragraph" w:customStyle="1" w:styleId="99">
    <w:name w:val="Pa3"/>
    <w:basedOn w:val="1"/>
    <w:next w:val="1"/>
    <w:qFormat/>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00">
    <w:name w:val="文档正文"/>
    <w:basedOn w:val="1"/>
    <w:qFormat/>
    <w:uiPriority w:val="0"/>
    <w:pPr>
      <w:adjustRightInd w:val="0"/>
      <w:spacing w:before="60" w:after="60" w:line="360" w:lineRule="auto"/>
      <w:ind w:firstLine="227"/>
    </w:pPr>
    <w:rPr>
      <w:rFonts w:ascii="宋体" w:hAnsi="Times New Roman"/>
      <w:kern w:val="0"/>
      <w:sz w:val="24"/>
      <w:szCs w:val="24"/>
    </w:rPr>
  </w:style>
  <w:style w:type="paragraph" w:customStyle="1" w:styleId="101">
    <w:name w:val="Char Char Char Char Char Char Char Char Char"/>
    <w:basedOn w:val="1"/>
    <w:qFormat/>
    <w:uiPriority w:val="0"/>
  </w:style>
  <w:style w:type="paragraph" w:customStyle="1" w:styleId="102">
    <w:name w:val="p0"/>
    <w:basedOn w:val="1"/>
    <w:qFormat/>
    <w:uiPriority w:val="0"/>
    <w:pPr>
      <w:widowControl/>
      <w:jc w:val="left"/>
    </w:pPr>
    <w:rPr>
      <w:rFonts w:ascii="Arial" w:hAnsi="Arial" w:cs="Arial"/>
      <w:kern w:val="0"/>
      <w:sz w:val="20"/>
      <w:szCs w:val="20"/>
    </w:rPr>
  </w:style>
  <w:style w:type="character" w:customStyle="1" w:styleId="103">
    <w:name w:val="正文2 Char"/>
    <w:link w:val="104"/>
    <w:qFormat/>
    <w:locked/>
    <w:uiPriority w:val="0"/>
    <w:rPr>
      <w:rFonts w:ascii="Times New Roman" w:hAnsi="Times New Roman" w:cs="Times New Roman"/>
      <w:sz w:val="24"/>
    </w:rPr>
  </w:style>
  <w:style w:type="paragraph" w:customStyle="1" w:styleId="104">
    <w:name w:val="正文2"/>
    <w:next w:val="33"/>
    <w:link w:val="103"/>
    <w:qFormat/>
    <w:uiPriority w:val="0"/>
    <w:pPr>
      <w:widowControl w:val="0"/>
      <w:spacing w:before="156" w:line="360" w:lineRule="auto"/>
      <w:ind w:firstLine="200" w:firstLineChars="200"/>
      <w:jc w:val="both"/>
    </w:pPr>
    <w:rPr>
      <w:rFonts w:ascii="Times New Roman" w:hAnsi="Times New Roman" w:cs="Times New Roman" w:eastAsiaTheme="minorEastAsia"/>
      <w:kern w:val="2"/>
      <w:sz w:val="24"/>
      <w:szCs w:val="22"/>
      <w:lang w:val="en-US" w:eastAsia="zh-CN" w:bidi="ar-SA"/>
    </w:rPr>
  </w:style>
  <w:style w:type="paragraph" w:customStyle="1" w:styleId="105">
    <w:name w:val="样式 标题 1标题1(cj) +"/>
    <w:basedOn w:val="2"/>
    <w:qFormat/>
    <w:uiPriority w:val="0"/>
    <w:pPr>
      <w:keepNext/>
      <w:keepLines/>
      <w:tabs>
        <w:tab w:val="left" w:pos="360"/>
      </w:tabs>
      <w:spacing w:before="340" w:after="330"/>
      <w:jc w:val="left"/>
    </w:pPr>
    <w:rPr>
      <w:rFonts w:ascii="宋体" w:hAnsi="Arial" w:eastAsia="仿宋_GB2312"/>
      <w:bCs w:val="0"/>
      <w:color w:val="000000"/>
      <w:sz w:val="32"/>
      <w:szCs w:val="20"/>
    </w:rPr>
  </w:style>
  <w:style w:type="paragraph" w:customStyle="1" w:styleId="106">
    <w:name w:val="图文框"/>
    <w:basedOn w:val="1"/>
    <w:qFormat/>
    <w:uiPriority w:val="0"/>
    <w:pPr>
      <w:jc w:val="center"/>
    </w:pPr>
    <w:rPr>
      <w:rFonts w:ascii="仿宋_GB2312" w:hAnsi="Times New Roman" w:eastAsia="仿宋_GB2312"/>
      <w:szCs w:val="24"/>
    </w:rPr>
  </w:style>
  <w:style w:type="character" w:customStyle="1" w:styleId="107">
    <w:name w:val="样式1 Char"/>
    <w:link w:val="108"/>
    <w:qFormat/>
    <w:locked/>
    <w:uiPriority w:val="0"/>
    <w:rPr>
      <w:rFonts w:ascii="Arial" w:hAnsi="Arial" w:cs="Arial"/>
    </w:rPr>
  </w:style>
  <w:style w:type="paragraph" w:customStyle="1" w:styleId="108">
    <w:name w:val="样式1"/>
    <w:basedOn w:val="1"/>
    <w:link w:val="107"/>
    <w:qFormat/>
    <w:uiPriority w:val="0"/>
    <w:pPr>
      <w:spacing w:line="360" w:lineRule="exact"/>
      <w:ind w:firstLine="200" w:firstLineChars="200"/>
    </w:pPr>
    <w:rPr>
      <w:rFonts w:ascii="Arial" w:hAnsi="Arial" w:cs="Arial" w:eastAsiaTheme="minorEastAsia"/>
    </w:rPr>
  </w:style>
  <w:style w:type="paragraph" w:customStyle="1" w:styleId="109">
    <w:name w:val="文档正文 Char"/>
    <w:basedOn w:val="1"/>
    <w:qFormat/>
    <w:uiPriority w:val="0"/>
    <w:pPr>
      <w:adjustRightInd w:val="0"/>
      <w:spacing w:line="500" w:lineRule="exact"/>
      <w:ind w:firstLine="567"/>
    </w:pPr>
    <w:rPr>
      <w:rFonts w:ascii="仿宋_GB2312" w:hAnsi="Times New Roman" w:eastAsia="仿宋_GB2312"/>
      <w:sz w:val="28"/>
      <w:szCs w:val="24"/>
    </w:rPr>
  </w:style>
  <w:style w:type="paragraph" w:customStyle="1" w:styleId="110">
    <w:name w:val="正文段"/>
    <w:basedOn w:val="1"/>
    <w:qFormat/>
    <w:uiPriority w:val="0"/>
    <w:pPr>
      <w:widowControl/>
      <w:snapToGrid w:val="0"/>
      <w:ind w:firstLine="200" w:firstLineChars="200"/>
    </w:pPr>
    <w:rPr>
      <w:rFonts w:ascii="Times New Roman" w:hAnsi="Times New Roman"/>
      <w:kern w:val="0"/>
      <w:sz w:val="24"/>
      <w:szCs w:val="20"/>
    </w:rPr>
  </w:style>
  <w:style w:type="paragraph" w:customStyle="1" w:styleId="111">
    <w:name w:val="Char Char Char Char Char Char Char"/>
    <w:basedOn w:val="1"/>
    <w:qFormat/>
    <w:uiPriority w:val="0"/>
    <w:pPr>
      <w:tabs>
        <w:tab w:val="left" w:pos="432"/>
      </w:tabs>
      <w:ind w:left="432" w:hanging="432"/>
    </w:pPr>
    <w:rPr>
      <w:rFonts w:ascii="Tahoma" w:hAnsi="Tahoma"/>
      <w:sz w:val="24"/>
      <w:szCs w:val="20"/>
    </w:rPr>
  </w:style>
  <w:style w:type="paragraph" w:customStyle="1" w:styleId="112">
    <w:name w:val="默认段落字体 Para Char Char Char Char Char Char Char Char Char1 Char Char Char Char"/>
    <w:basedOn w:val="1"/>
    <w:qFormat/>
    <w:uiPriority w:val="0"/>
    <w:rPr>
      <w:rFonts w:ascii="Tahoma" w:hAnsi="Tahoma"/>
      <w:sz w:val="24"/>
      <w:szCs w:val="20"/>
    </w:rPr>
  </w:style>
  <w:style w:type="paragraph" w:customStyle="1" w:styleId="113">
    <w:name w:val="序号"/>
    <w:basedOn w:val="1"/>
    <w:qFormat/>
    <w:uiPriority w:val="0"/>
    <w:pPr>
      <w:tabs>
        <w:tab w:val="left" w:pos="840"/>
      </w:tabs>
      <w:spacing w:line="360" w:lineRule="auto"/>
      <w:ind w:left="840" w:hanging="420"/>
    </w:pPr>
    <w:rPr>
      <w:rFonts w:ascii="Times New Roman" w:hAnsi="Times New Roman"/>
      <w:bCs/>
      <w:szCs w:val="24"/>
    </w:rPr>
  </w:style>
  <w:style w:type="paragraph" w:customStyle="1" w:styleId="114">
    <w:name w:val="样式 标题 1 + 段后: 0.5 行"/>
    <w:basedOn w:val="2"/>
    <w:qFormat/>
    <w:uiPriority w:val="0"/>
    <w:pPr>
      <w:keepNext/>
      <w:tabs>
        <w:tab w:val="left" w:pos="360"/>
      </w:tabs>
      <w:autoSpaceDE/>
      <w:autoSpaceDN/>
      <w:adjustRightInd/>
      <w:snapToGrid w:val="0"/>
      <w:spacing w:before="120" w:line="240" w:lineRule="auto"/>
      <w:jc w:val="left"/>
    </w:pPr>
    <w:rPr>
      <w:rFonts w:ascii="宋体" w:eastAsia="宋体"/>
      <w:bCs w:val="0"/>
      <w:sz w:val="28"/>
      <w:szCs w:val="20"/>
    </w:rPr>
  </w:style>
  <w:style w:type="paragraph" w:customStyle="1" w:styleId="115">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116">
    <w:name w:val="7.表小四"/>
    <w:basedOn w:val="1"/>
    <w:qFormat/>
    <w:uiPriority w:val="0"/>
    <w:pPr>
      <w:spacing w:beforeLines="50"/>
    </w:pPr>
    <w:rPr>
      <w:rFonts w:ascii="宋体" w:hAnsi="宋体"/>
      <w:sz w:val="24"/>
      <w:szCs w:val="24"/>
    </w:rPr>
  </w:style>
  <w:style w:type="character" w:customStyle="1" w:styleId="117">
    <w:name w:val="彩色列表 - 强调文字颜色 1 Char"/>
    <w:link w:val="118"/>
    <w:qFormat/>
    <w:locked/>
    <w:uiPriority w:val="0"/>
  </w:style>
  <w:style w:type="paragraph" w:customStyle="1" w:styleId="118">
    <w:name w:val="彩色列表 - 强调文字颜色 11"/>
    <w:basedOn w:val="1"/>
    <w:link w:val="117"/>
    <w:qFormat/>
    <w:uiPriority w:val="0"/>
    <w:pPr>
      <w:ind w:firstLine="420" w:firstLineChars="200"/>
    </w:pPr>
    <w:rPr>
      <w:rFonts w:asciiTheme="minorHAnsi" w:hAnsiTheme="minorHAnsi" w:eastAsiaTheme="minorEastAsia" w:cstheme="minorBidi"/>
    </w:rPr>
  </w:style>
  <w:style w:type="paragraph" w:customStyle="1" w:styleId="119">
    <w:name w:val="Char1 Char Char Char"/>
    <w:basedOn w:val="1"/>
    <w:qFormat/>
    <w:uiPriority w:val="0"/>
    <w:rPr>
      <w:rFonts w:ascii="Tahoma" w:hAnsi="Tahoma"/>
      <w:sz w:val="24"/>
      <w:szCs w:val="20"/>
    </w:rPr>
  </w:style>
  <w:style w:type="paragraph" w:customStyle="1" w:styleId="12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1">
    <w:name w:val="表格文字"/>
    <w:basedOn w:val="1"/>
    <w:qFormat/>
    <w:uiPriority w:val="0"/>
    <w:pPr>
      <w:jc w:val="left"/>
    </w:pPr>
    <w:rPr>
      <w:rFonts w:ascii="Times New Roman" w:hAnsi="Times New Roman"/>
      <w:sz w:val="18"/>
      <w:szCs w:val="24"/>
    </w:rPr>
  </w:style>
  <w:style w:type="paragraph" w:customStyle="1" w:styleId="122">
    <w:name w:val="List Paragraph1"/>
    <w:basedOn w:val="1"/>
    <w:qFormat/>
    <w:uiPriority w:val="99"/>
    <w:pPr>
      <w:ind w:firstLine="420" w:firstLineChars="200"/>
    </w:pPr>
    <w:rPr>
      <w:rFonts w:ascii="Times New Roman" w:hAnsi="Times New Roman"/>
      <w:szCs w:val="24"/>
    </w:rPr>
  </w:style>
  <w:style w:type="character" w:customStyle="1" w:styleId="123">
    <w:name w:val="_正文段落 Char"/>
    <w:link w:val="124"/>
    <w:qFormat/>
    <w:locked/>
    <w:uiPriority w:val="0"/>
    <w:rPr>
      <w:rFonts w:ascii="Times New Roman" w:hAnsi="Times New Roman" w:cs="Times New Roman"/>
      <w:szCs w:val="24"/>
    </w:rPr>
  </w:style>
  <w:style w:type="paragraph" w:customStyle="1" w:styleId="124">
    <w:name w:val="_正文段落"/>
    <w:basedOn w:val="1"/>
    <w:link w:val="123"/>
    <w:qFormat/>
    <w:uiPriority w:val="0"/>
    <w:pPr>
      <w:spacing w:beforeLines="15" w:line="360" w:lineRule="auto"/>
      <w:ind w:firstLine="200" w:firstLineChars="200"/>
    </w:pPr>
    <w:rPr>
      <w:rFonts w:ascii="Times New Roman" w:hAnsi="Times New Roman" w:eastAsiaTheme="minorEastAsia"/>
      <w:szCs w:val="24"/>
    </w:rPr>
  </w:style>
  <w:style w:type="character" w:customStyle="1" w:styleId="125">
    <w:name w:val="InfoBlue Char"/>
    <w:link w:val="126"/>
    <w:qFormat/>
    <w:locked/>
    <w:uiPriority w:val="0"/>
    <w:rPr>
      <w:rFonts w:ascii="仿宋_GB2312" w:hAnsi="宋体" w:eastAsia="仿宋_GB2312"/>
      <w:sz w:val="30"/>
      <w:szCs w:val="30"/>
    </w:rPr>
  </w:style>
  <w:style w:type="paragraph" w:customStyle="1" w:styleId="126">
    <w:name w:val="InfoBlue"/>
    <w:basedOn w:val="1"/>
    <w:link w:val="125"/>
    <w:qFormat/>
    <w:uiPriority w:val="0"/>
    <w:pPr>
      <w:spacing w:before="120" w:after="120" w:line="360" w:lineRule="auto"/>
      <w:ind w:firstLine="600" w:firstLineChars="200"/>
    </w:pPr>
    <w:rPr>
      <w:rFonts w:ascii="仿宋_GB2312" w:hAnsi="宋体" w:eastAsia="仿宋_GB2312" w:cstheme="minorBidi"/>
      <w:sz w:val="30"/>
      <w:szCs w:val="30"/>
    </w:rPr>
  </w:style>
  <w:style w:type="paragraph" w:customStyle="1" w:styleId="127">
    <w:name w:val="样式 小四 行距: 1.5 倍行距"/>
    <w:basedOn w:val="1"/>
    <w:qFormat/>
    <w:uiPriority w:val="0"/>
    <w:pPr>
      <w:spacing w:line="360" w:lineRule="auto"/>
      <w:ind w:firstLine="480" w:firstLineChars="200"/>
    </w:pPr>
    <w:rPr>
      <w:rFonts w:ascii="Times New Roman" w:hAnsi="Times New Roman"/>
      <w:szCs w:val="20"/>
    </w:rPr>
  </w:style>
  <w:style w:type="character" w:customStyle="1" w:styleId="128">
    <w:name w:val="大汉方案正文 Char1"/>
    <w:link w:val="129"/>
    <w:qFormat/>
    <w:locked/>
    <w:uiPriority w:val="0"/>
    <w:rPr>
      <w:rFonts w:ascii="Arial" w:hAnsi="Arial" w:cs="Arial"/>
      <w:sz w:val="24"/>
    </w:rPr>
  </w:style>
  <w:style w:type="paragraph" w:customStyle="1" w:styleId="129">
    <w:name w:val="大汉方案正文"/>
    <w:basedOn w:val="1"/>
    <w:link w:val="128"/>
    <w:qFormat/>
    <w:uiPriority w:val="0"/>
    <w:pPr>
      <w:spacing w:line="360" w:lineRule="auto"/>
      <w:ind w:firstLine="200" w:firstLineChars="200"/>
    </w:pPr>
    <w:rPr>
      <w:rFonts w:ascii="Arial" w:hAnsi="Arial" w:cs="Arial" w:eastAsiaTheme="minorEastAsia"/>
      <w:sz w:val="24"/>
    </w:rPr>
  </w:style>
  <w:style w:type="character" w:customStyle="1" w:styleId="130">
    <w:name w:val="正文缩进2字符 Char"/>
    <w:link w:val="131"/>
    <w:qFormat/>
    <w:locked/>
    <w:uiPriority w:val="0"/>
    <w:rPr>
      <w:sz w:val="24"/>
      <w:szCs w:val="24"/>
    </w:rPr>
  </w:style>
  <w:style w:type="paragraph" w:customStyle="1" w:styleId="131">
    <w:name w:val="正文缩进2字符"/>
    <w:basedOn w:val="1"/>
    <w:link w:val="130"/>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2">
    <w:name w:val="title14"/>
    <w:basedOn w:val="45"/>
    <w:qFormat/>
    <w:uiPriority w:val="0"/>
  </w:style>
  <w:style w:type="character" w:customStyle="1" w:styleId="133">
    <w:name w:val="Char Char1"/>
    <w:qFormat/>
    <w:uiPriority w:val="0"/>
    <w:rPr>
      <w:kern w:val="2"/>
      <w:sz w:val="18"/>
      <w:szCs w:val="18"/>
    </w:rPr>
  </w:style>
  <w:style w:type="character" w:customStyle="1" w:styleId="134">
    <w:name w:val="Char Char2"/>
    <w:qFormat/>
    <w:uiPriority w:val="0"/>
    <w:rPr>
      <w:rFonts w:hint="eastAsia" w:ascii="宋体" w:hAnsi="Courier New" w:eastAsia="宋体"/>
      <w:sz w:val="21"/>
      <w:lang w:val="en-US" w:eastAsia="zh-CN" w:bidi="ar-SA"/>
    </w:rPr>
  </w:style>
  <w:style w:type="character" w:customStyle="1" w:styleId="135">
    <w:name w:val="标题 1 Char Char"/>
    <w:qFormat/>
    <w:uiPriority w:val="0"/>
    <w:rPr>
      <w:rFonts w:hint="eastAsia" w:ascii="宋体" w:hAnsi="宋体" w:eastAsia="宋体"/>
      <w:b/>
      <w:spacing w:val="-2"/>
      <w:sz w:val="24"/>
      <w:lang w:val="en-US" w:eastAsia="zh-CN" w:bidi="ar-SA"/>
    </w:rPr>
  </w:style>
  <w:style w:type="character" w:customStyle="1" w:styleId="136">
    <w:name w:val="b titlename wangputoptitle"/>
    <w:basedOn w:val="45"/>
    <w:qFormat/>
    <w:uiPriority w:val="0"/>
  </w:style>
  <w:style w:type="character" w:customStyle="1" w:styleId="137">
    <w:name w:val="normal_text"/>
    <w:basedOn w:val="45"/>
    <w:qFormat/>
    <w:uiPriority w:val="0"/>
  </w:style>
  <w:style w:type="character" w:customStyle="1" w:styleId="138">
    <w:name w:val="flname7"/>
    <w:basedOn w:val="45"/>
    <w:qFormat/>
    <w:uiPriority w:val="0"/>
  </w:style>
  <w:style w:type="character" w:customStyle="1" w:styleId="139">
    <w:name w:val="maywed421"/>
    <w:qFormat/>
    <w:uiPriority w:val="0"/>
    <w:rPr>
      <w:color w:val="366FB6"/>
      <w:u w:val="none"/>
    </w:rPr>
  </w:style>
  <w:style w:type="character" w:customStyle="1" w:styleId="140">
    <w:name w:val="spelle"/>
    <w:basedOn w:val="45"/>
    <w:qFormat/>
    <w:uiPriority w:val="0"/>
  </w:style>
  <w:style w:type="character" w:customStyle="1" w:styleId="141">
    <w:name w:val="font3"/>
    <w:basedOn w:val="45"/>
    <w:qFormat/>
    <w:uiPriority w:val="0"/>
  </w:style>
  <w:style w:type="character" w:customStyle="1" w:styleId="142">
    <w:name w:val="apple-style-span"/>
    <w:qFormat/>
    <w:uiPriority w:val="0"/>
  </w:style>
  <w:style w:type="character" w:customStyle="1" w:styleId="143">
    <w:name w:val="表正文 Char"/>
    <w:qFormat/>
    <w:uiPriority w:val="0"/>
    <w:rPr>
      <w:rFonts w:hint="eastAsia" w:ascii="宋体" w:hAnsi="宋体" w:eastAsia="宋体"/>
      <w:kern w:val="2"/>
      <w:sz w:val="21"/>
      <w:lang w:val="en-US" w:eastAsia="zh-CN" w:bidi="ar-SA"/>
    </w:rPr>
  </w:style>
  <w:style w:type="character" w:customStyle="1" w:styleId="144">
    <w:name w:val="para"/>
    <w:basedOn w:val="45"/>
    <w:qFormat/>
    <w:uiPriority w:val="0"/>
  </w:style>
  <w:style w:type="character" w:customStyle="1" w:styleId="145">
    <w:name w:val="纯文本 Char1"/>
    <w:qFormat/>
    <w:uiPriority w:val="0"/>
    <w:rPr>
      <w:rFonts w:hint="eastAsia" w:ascii="宋体" w:hAnsi="Courier New" w:eastAsia="宋体"/>
      <w:kern w:val="2"/>
      <w:sz w:val="24"/>
      <w:szCs w:val="24"/>
    </w:rPr>
  </w:style>
  <w:style w:type="character" w:customStyle="1" w:styleId="146">
    <w:name w:val="页脚 Char1"/>
    <w:basedOn w:val="45"/>
    <w:semiHidden/>
    <w:qFormat/>
    <w:locked/>
    <w:uiPriority w:val="99"/>
    <w:rPr>
      <w:rFonts w:ascii="Calibri" w:hAnsi="Calibri" w:eastAsia="宋体" w:cs="Times New Roman"/>
      <w:sz w:val="18"/>
      <w:szCs w:val="18"/>
    </w:rPr>
  </w:style>
  <w:style w:type="character" w:customStyle="1" w:styleId="147">
    <w:name w:val="标题 字符"/>
    <w:basedOn w:val="45"/>
    <w:link w:val="44"/>
    <w:qFormat/>
    <w:locked/>
    <w:uiPriority w:val="0"/>
    <w:rPr>
      <w:rFonts w:ascii="Cambria" w:hAnsi="Cambria" w:eastAsia="宋体" w:cs="Times New Roman"/>
      <w:b/>
      <w:bCs/>
      <w:kern w:val="0"/>
      <w:sz w:val="32"/>
      <w:szCs w:val="32"/>
    </w:rPr>
  </w:style>
  <w:style w:type="character" w:customStyle="1" w:styleId="148">
    <w:name w:val="页眉 Char1"/>
    <w:basedOn w:val="45"/>
    <w:semiHidden/>
    <w:qFormat/>
    <w:locked/>
    <w:uiPriority w:val="0"/>
    <w:rPr>
      <w:rFonts w:ascii="Calibri" w:hAnsi="Calibri" w:eastAsia="宋体" w:cs="Times New Roman"/>
      <w:sz w:val="18"/>
      <w:szCs w:val="18"/>
    </w:rPr>
  </w:style>
  <w:style w:type="character" w:customStyle="1" w:styleId="149">
    <w:name w:val="文档结构图 字符"/>
    <w:basedOn w:val="45"/>
    <w:link w:val="19"/>
    <w:semiHidden/>
    <w:qFormat/>
    <w:locked/>
    <w:uiPriority w:val="0"/>
    <w:rPr>
      <w:rFonts w:ascii="宋体" w:hAnsi="Calibri" w:eastAsia="宋体" w:cs="Times New Roman"/>
      <w:sz w:val="18"/>
      <w:szCs w:val="18"/>
    </w:rPr>
  </w:style>
  <w:style w:type="character" w:customStyle="1" w:styleId="150">
    <w:name w:val="日期 字符"/>
    <w:basedOn w:val="45"/>
    <w:link w:val="28"/>
    <w:qFormat/>
    <w:locked/>
    <w:uiPriority w:val="0"/>
    <w:rPr>
      <w:rFonts w:ascii="Times New Roman" w:hAnsi="Times New Roman" w:eastAsia="楷体_GB2312" w:cs="Times New Roman"/>
      <w:sz w:val="32"/>
      <w:szCs w:val="20"/>
    </w:rPr>
  </w:style>
  <w:style w:type="character" w:customStyle="1" w:styleId="151">
    <w:name w:val="纯文本 字符"/>
    <w:basedOn w:val="45"/>
    <w:link w:val="26"/>
    <w:qFormat/>
    <w:locked/>
    <w:uiPriority w:val="0"/>
    <w:rPr>
      <w:rFonts w:ascii="宋体" w:hAnsi="Courier New" w:eastAsia="宋体" w:cs="Times New Roman"/>
      <w:sz w:val="24"/>
      <w:szCs w:val="24"/>
    </w:rPr>
  </w:style>
  <w:style w:type="paragraph" w:styleId="152">
    <w:name w:val="List Paragraph"/>
    <w:basedOn w:val="1"/>
    <w:qFormat/>
    <w:uiPriority w:val="34"/>
    <w:pPr>
      <w:ind w:firstLine="420" w:firstLineChars="200"/>
    </w:pPr>
    <w:rPr>
      <w:rFonts w:asciiTheme="minorHAnsi" w:hAnsiTheme="minorHAnsi" w:eastAsiaTheme="minorEastAsia" w:cstheme="minorBidi"/>
    </w:rPr>
  </w:style>
  <w:style w:type="character" w:customStyle="1" w:styleId="153">
    <w:name w:val="标题 8 字符"/>
    <w:basedOn w:val="45"/>
    <w:link w:val="9"/>
    <w:semiHidden/>
    <w:qFormat/>
    <w:uiPriority w:val="9"/>
    <w:rPr>
      <w:rFonts w:asciiTheme="majorHAnsi" w:hAnsiTheme="majorHAnsi" w:eastAsiaTheme="majorEastAsia" w:cstheme="majorBidi"/>
      <w:kern w:val="2"/>
      <w:sz w:val="24"/>
      <w:szCs w:val="24"/>
      <w:lang w:val="en-US" w:eastAsia="zh-CN" w:bidi="ar-SA"/>
    </w:rPr>
  </w:style>
  <w:style w:type="character" w:customStyle="1" w:styleId="154">
    <w:name w:val="标题 9 字符"/>
    <w:basedOn w:val="45"/>
    <w:link w:val="10"/>
    <w:semiHidden/>
    <w:qFormat/>
    <w:uiPriority w:val="9"/>
    <w:rPr>
      <w:rFonts w:asciiTheme="majorHAnsi" w:hAnsiTheme="majorHAnsi" w:eastAsiaTheme="majorEastAsia" w:cstheme="majorBid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14817</Words>
  <Characters>15608</Characters>
  <Lines>29</Lines>
  <Paragraphs>8</Paragraphs>
  <ScaleCrop>false</ScaleCrop>
  <LinksUpToDate>false</LinksUpToDate>
  <CharactersWithSpaces>17174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2020-10-15T01:43:00Z</dcterms:created>
  <dc:creator>WYF</dc:creator>
  <cp:lastModifiedBy>Administrator</cp:lastModifiedBy>
  <cp:lastPrinted>2020-11-02T05:41:00Z</cp:lastPrinted>
  <dcterms:modified xsi:type="dcterms:W3CDTF">2020-11-09T08:34:00Z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