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eastAsia="宋体"/>
          <w:b/>
          <w:bCs/>
          <w:sz w:val="44"/>
          <w:szCs w:val="44"/>
          <w:lang w:eastAsia="zh-CN"/>
        </w:rPr>
      </w:pPr>
      <w:bookmarkStart w:id="0" w:name="PO_15528_PM002_1"/>
      <w:r>
        <w:rPr>
          <w:rFonts w:hint="eastAsia" w:ascii="宋体" w:hAnsi="宋体"/>
          <w:b/>
          <w:bCs/>
          <w:sz w:val="44"/>
          <w:szCs w:val="44"/>
          <w:lang w:eastAsia="zh-CN"/>
        </w:rPr>
        <w:t>浙江省委网信办（本级）通用设备及网络安全升级项目</w:t>
      </w:r>
      <w:bookmarkEnd w:id="0"/>
    </w:p>
    <w:p>
      <w:pPr>
        <w:spacing w:before="240" w:beforeLines="100" w:line="360" w:lineRule="auto"/>
        <w:ind w:right="-108"/>
        <w:jc w:val="center"/>
        <w:rPr>
          <w:rFonts w:hint="eastAsia" w:ascii="宋体" w:hAnsi="宋体"/>
          <w:sz w:val="36"/>
          <w:szCs w:val="36"/>
          <w:lang w:eastAsia="zh-CN"/>
        </w:rPr>
      </w:pPr>
      <w:r>
        <w:rPr>
          <w:rFonts w:hint="eastAsia" w:ascii="宋体" w:hAnsi="宋体"/>
          <w:sz w:val="36"/>
          <w:szCs w:val="36"/>
        </w:rPr>
        <w:t>项目编号：</w:t>
      </w:r>
      <w:bookmarkStart w:id="1" w:name="PO_15528_PM001"/>
      <w:r>
        <w:rPr>
          <w:rFonts w:hint="eastAsia" w:ascii="宋体" w:hAnsi="宋体"/>
          <w:sz w:val="36"/>
          <w:szCs w:val="36"/>
          <w:lang w:eastAsia="zh-CN"/>
        </w:rPr>
        <w:t>ZZCG2022X-GK-152</w:t>
      </w:r>
      <w:bookmarkEnd w:id="1"/>
    </w:p>
    <w:p>
      <w:pPr>
        <w:spacing w:before="240" w:beforeLines="100" w:line="360" w:lineRule="auto"/>
        <w:ind w:right="-108"/>
        <w:jc w:val="center"/>
        <w:rPr>
          <w:rFonts w:hint="eastAsia" w:ascii="宋体" w:hAnsi="宋体"/>
          <w:sz w:val="36"/>
          <w:szCs w:val="36"/>
          <w:lang w:eastAsia="zh-CN"/>
        </w:rPr>
      </w:pPr>
    </w:p>
    <w:p>
      <w:pPr>
        <w:spacing w:before="240" w:beforeLines="10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rPr>
          <w:rFonts w:ascii="宋体" w:hAnsi="宋体"/>
          <w:sz w:val="36"/>
          <w:szCs w:val="36"/>
        </w:rPr>
      </w:pPr>
      <w:r>
        <w:rPr>
          <w:rFonts w:hint="eastAsia" w:ascii="宋体" w:hAnsi="宋体"/>
          <w:sz w:val="36"/>
          <w:szCs w:val="36"/>
        </w:rPr>
        <w:t>采购单位：浙 江 省 政 府 采 购 中 心</w:t>
      </w:r>
    </w:p>
    <w:p>
      <w:pPr>
        <w:spacing w:line="500" w:lineRule="exact"/>
        <w:ind w:right="532"/>
        <w:rPr>
          <w:rFonts w:ascii="宋体" w:hAnsi="宋体"/>
          <w:sz w:val="36"/>
          <w:szCs w:val="36"/>
        </w:rPr>
      </w:pPr>
    </w:p>
    <w:p>
      <w:pPr>
        <w:wordWrap w:val="0"/>
        <w:spacing w:line="500" w:lineRule="exact"/>
        <w:ind w:right="-108" w:firstLine="540" w:firstLineChars="150"/>
        <w:rPr>
          <w:rFonts w:ascii="宋体" w:hAnsi="宋体"/>
          <w:sz w:val="36"/>
          <w:szCs w:val="36"/>
        </w:rPr>
      </w:pPr>
      <w:r>
        <w:rPr>
          <w:rFonts w:hint="eastAsia" w:ascii="宋体" w:hAnsi="宋体"/>
          <w:sz w:val="36"/>
          <w:szCs w:val="36"/>
        </w:rPr>
        <w:t>地    址：杭州市环城北路305号耀江发展中心</w:t>
      </w:r>
    </w:p>
    <w:p>
      <w:pPr>
        <w:spacing w:line="500" w:lineRule="exact"/>
        <w:ind w:right="-108" w:firstLine="3755" w:firstLineChars="850"/>
        <w:rPr>
          <w:rFonts w:hAnsi="宋体"/>
          <w:b/>
          <w:sz w:val="36"/>
          <w:szCs w:val="36"/>
        </w:rPr>
      </w:pPr>
      <w:r>
        <w:rPr>
          <w:rFonts w:hAnsi="宋体"/>
          <w:b/>
          <w:sz w:val="44"/>
          <w:szCs w:val="44"/>
        </w:rPr>
        <w:br w:type="page"/>
      </w:r>
      <w:r>
        <w:rPr>
          <w:rFonts w:hint="eastAsia" w:hAnsi="宋体"/>
          <w:b/>
          <w:sz w:val="36"/>
          <w:szCs w:val="36"/>
        </w:rPr>
        <w:t>目录</w:t>
      </w:r>
    </w:p>
    <w:p>
      <w:pPr>
        <w:pStyle w:val="32"/>
        <w:spacing w:before="120" w:after="120" w:line="360" w:lineRule="auto"/>
        <w:jc w:val="center"/>
        <w:rPr>
          <w:rFonts w:hAnsi="宋体" w:eastAsia="仿宋_GB2312"/>
          <w:sz w:val="32"/>
          <w:szCs w:val="32"/>
        </w:rPr>
      </w:pPr>
    </w:p>
    <w:p>
      <w:pPr>
        <w:pStyle w:val="41"/>
        <w:tabs>
          <w:tab w:val="right" w:leader="dot" w:pos="8834"/>
        </w:tabs>
        <w:rPr>
          <w:rFonts w:ascii="Calibri" w:hAnsi="Calibri" w:eastAsia="宋体"/>
          <w:sz w:val="21"/>
          <w:szCs w:val="22"/>
        </w:rPr>
      </w:pPr>
      <w:r>
        <w:rPr>
          <w:rFonts w:ascii="宋体" w:hAnsi="宋体" w:eastAsia="仿宋_GB2312"/>
          <w:sz w:val="30"/>
          <w:szCs w:val="30"/>
        </w:rPr>
        <w:fldChar w:fldCharType="begin"/>
      </w:r>
      <w:r>
        <w:rPr>
          <w:rFonts w:ascii="宋体" w:hAnsi="宋体" w:eastAsia="仿宋_GB2312"/>
          <w:sz w:val="30"/>
          <w:szCs w:val="30"/>
        </w:rPr>
        <w:instrText xml:space="preserve"> TOC \o "1-1" \h \z \u </w:instrText>
      </w:r>
      <w:r>
        <w:rPr>
          <w:rFonts w:ascii="宋体" w:hAnsi="宋体" w:eastAsia="仿宋_GB2312"/>
          <w:sz w:val="30"/>
          <w:szCs w:val="30"/>
        </w:rPr>
        <w:fldChar w:fldCharType="separate"/>
      </w:r>
      <w:r>
        <w:fldChar w:fldCharType="begin"/>
      </w:r>
      <w:r>
        <w:instrText xml:space="preserve"> HYPERLINK \l "_Toc496796635" </w:instrText>
      </w:r>
      <w:r>
        <w:fldChar w:fldCharType="separate"/>
      </w:r>
      <w:r>
        <w:rPr>
          <w:rStyle w:val="69"/>
          <w:rFonts w:hint="eastAsia" w:hAnsi="宋体"/>
          <w:b/>
          <w:color w:val="auto"/>
        </w:rPr>
        <w:t>第一章公开招标采购公告</w:t>
      </w:r>
      <w:r>
        <w:tab/>
      </w:r>
      <w:r>
        <w:fldChar w:fldCharType="begin"/>
      </w:r>
      <w:r>
        <w:instrText xml:space="preserve"> PAGEREF _Toc496796635 \h </w:instrText>
      </w:r>
      <w:r>
        <w:fldChar w:fldCharType="separate"/>
      </w:r>
      <w:r>
        <w:t>3</w:t>
      </w:r>
      <w:r>
        <w:fldChar w:fldCharType="end"/>
      </w:r>
      <w:r>
        <w:fldChar w:fldCharType="end"/>
      </w:r>
    </w:p>
    <w:p>
      <w:pPr>
        <w:pStyle w:val="41"/>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69"/>
          <w:rFonts w:hint="eastAsia" w:ascii="仿宋" w:hAnsi="仿宋"/>
          <w:b/>
          <w:color w:val="auto"/>
        </w:rPr>
        <w:t>第二章投标人须知</w:t>
      </w:r>
      <w:r>
        <w:tab/>
      </w:r>
      <w:r>
        <w:t>6</w:t>
      </w:r>
      <w:r>
        <w:fldChar w:fldCharType="end"/>
      </w:r>
    </w:p>
    <w:p>
      <w:pPr>
        <w:pStyle w:val="41"/>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69"/>
          <w:rFonts w:hint="eastAsia" w:hAnsi="宋体"/>
          <w:b/>
          <w:color w:val="auto"/>
        </w:rPr>
        <w:t>第三章评标办法及评分标准</w:t>
      </w:r>
      <w:r>
        <w:tab/>
      </w:r>
      <w:r>
        <w:fldChar w:fldCharType="begin"/>
      </w:r>
      <w:r>
        <w:instrText xml:space="preserve"> PAGEREF _Toc496796637 \h </w:instrText>
      </w:r>
      <w:r>
        <w:fldChar w:fldCharType="separate"/>
      </w:r>
      <w:r>
        <w:t>23</w:t>
      </w:r>
      <w:r>
        <w:fldChar w:fldCharType="end"/>
      </w:r>
      <w:r>
        <w:fldChar w:fldCharType="end"/>
      </w:r>
    </w:p>
    <w:p>
      <w:pPr>
        <w:pStyle w:val="41"/>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69"/>
          <w:rFonts w:hint="eastAsia" w:hAnsi="宋体"/>
          <w:b/>
          <w:color w:val="auto"/>
        </w:rPr>
        <w:t>第四章招标需求</w:t>
      </w:r>
      <w:r>
        <w:tab/>
      </w:r>
      <w:r>
        <w:fldChar w:fldCharType="begin"/>
      </w:r>
      <w:r>
        <w:instrText xml:space="preserve"> PAGEREF _Toc496796638 \h </w:instrText>
      </w:r>
      <w:r>
        <w:fldChar w:fldCharType="separate"/>
      </w:r>
      <w:r>
        <w:t>24</w:t>
      </w:r>
      <w:r>
        <w:fldChar w:fldCharType="end"/>
      </w:r>
      <w:r>
        <w:fldChar w:fldCharType="end"/>
      </w:r>
    </w:p>
    <w:p>
      <w:pPr>
        <w:pStyle w:val="41"/>
        <w:tabs>
          <w:tab w:val="right" w:leader="dot" w:pos="8834"/>
        </w:tabs>
        <w:rPr>
          <w:rFonts w:ascii="Calibri" w:hAnsi="Calibri" w:eastAsia="宋体"/>
          <w:sz w:val="21"/>
          <w:szCs w:val="22"/>
        </w:rPr>
      </w:pPr>
      <w:r>
        <w:fldChar w:fldCharType="begin"/>
      </w:r>
      <w:r>
        <w:instrText xml:space="preserve"> HYPERLINK \l "_Toc496796639" </w:instrText>
      </w:r>
      <w:r>
        <w:fldChar w:fldCharType="separate"/>
      </w:r>
      <w:r>
        <w:rPr>
          <w:rStyle w:val="69"/>
          <w:rFonts w:hint="eastAsia" w:ascii="仿宋" w:hAnsi="仿宋"/>
          <w:b/>
          <w:color w:val="auto"/>
        </w:rPr>
        <w:t>第五章浙江省政府采购合同主要条款指引</w:t>
      </w:r>
      <w:r>
        <w:tab/>
      </w:r>
      <w:r>
        <w:fldChar w:fldCharType="begin"/>
      </w:r>
      <w:r>
        <w:instrText xml:space="preserve"> PAGEREF _Toc496796639 \h </w:instrText>
      </w:r>
      <w:r>
        <w:fldChar w:fldCharType="separate"/>
      </w:r>
      <w:r>
        <w:t>25</w:t>
      </w:r>
      <w:r>
        <w:fldChar w:fldCharType="end"/>
      </w:r>
      <w:r>
        <w:fldChar w:fldCharType="end"/>
      </w:r>
    </w:p>
    <w:p>
      <w:pPr>
        <w:pStyle w:val="41"/>
        <w:tabs>
          <w:tab w:val="right" w:leader="dot" w:pos="8834"/>
        </w:tabs>
        <w:rPr>
          <w:rFonts w:ascii="Calibri" w:hAnsi="Calibri" w:eastAsia="宋体"/>
          <w:sz w:val="21"/>
          <w:szCs w:val="22"/>
        </w:rPr>
      </w:pPr>
      <w:r>
        <w:fldChar w:fldCharType="begin"/>
      </w:r>
      <w:r>
        <w:instrText xml:space="preserve"> HYPERLINK \l "_Toc496796640" </w:instrText>
      </w:r>
      <w:r>
        <w:fldChar w:fldCharType="separate"/>
      </w:r>
      <w:r>
        <w:rPr>
          <w:rStyle w:val="69"/>
          <w:rFonts w:hint="eastAsia" w:hAnsi="宋体"/>
          <w:b/>
          <w:color w:val="auto"/>
        </w:rPr>
        <w:t>第六章投标文件格式附件</w:t>
      </w:r>
      <w:r>
        <w:tab/>
      </w:r>
      <w:r>
        <w:fldChar w:fldCharType="begin"/>
      </w:r>
      <w:r>
        <w:instrText xml:space="preserve"> PAGEREF _Toc496796640 \h </w:instrText>
      </w:r>
      <w:r>
        <w:fldChar w:fldCharType="separate"/>
      </w:r>
      <w:r>
        <w:t>32</w:t>
      </w:r>
      <w:r>
        <w:fldChar w:fldCharType="end"/>
      </w:r>
      <w:r>
        <w:fldChar w:fldCharType="end"/>
      </w:r>
    </w:p>
    <w:p>
      <w:pPr>
        <w:spacing w:before="120" w:beforeLines="50" w:line="480" w:lineRule="exact"/>
        <w:ind w:left="165"/>
        <w:rPr>
          <w:rFonts w:ascii="宋体" w:hAnsi="宋体" w:eastAsia="仿宋_GB2312"/>
          <w:sz w:val="30"/>
          <w:szCs w:val="30"/>
        </w:rPr>
      </w:pPr>
      <w:r>
        <w:rPr>
          <w:rFonts w:ascii="宋体" w:hAnsi="宋体" w:eastAsia="仿宋_GB2312"/>
          <w:sz w:val="30"/>
          <w:szCs w:val="30"/>
        </w:rPr>
        <w:fldChar w:fldCharType="end"/>
      </w:r>
    </w:p>
    <w:p>
      <w:pPr>
        <w:pStyle w:val="32"/>
        <w:spacing w:before="120" w:after="120" w:line="360" w:lineRule="auto"/>
        <w:ind w:firstLine="640"/>
        <w:jc w:val="center"/>
        <w:outlineLvl w:val="0"/>
        <w:rPr>
          <w:rFonts w:hAnsi="宋体"/>
          <w:b/>
          <w:sz w:val="36"/>
          <w:szCs w:val="36"/>
        </w:rPr>
      </w:pPr>
      <w:r>
        <w:rPr>
          <w:rFonts w:hAnsi="宋体" w:eastAsia="仿宋_GB2312"/>
          <w:sz w:val="32"/>
          <w:szCs w:val="32"/>
        </w:rPr>
        <w:br w:type="page"/>
      </w:r>
      <w:bookmarkStart w:id="2" w:name="_Toc496796635"/>
      <w:r>
        <w:rPr>
          <w:rFonts w:hint="eastAsia" w:hAnsi="宋体"/>
          <w:b/>
          <w:sz w:val="36"/>
          <w:szCs w:val="36"/>
        </w:rPr>
        <w:t>第一章 公开招标采购公告</w:t>
      </w:r>
      <w:bookmarkEnd w:id="2"/>
    </w:p>
    <w:p>
      <w:pPr>
        <w:pStyle w:val="398"/>
        <w:widowControl w:val="0"/>
        <w:spacing w:afterLines="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hint="eastAsia" w:ascii="仿宋" w:hAnsi="仿宋" w:eastAsia="仿宋" w:cs="Arial"/>
          <w:sz w:val="30"/>
          <w:szCs w:val="30"/>
          <w:lang w:eastAsia="zh-CN"/>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hint="eastAsia" w:ascii="仿宋" w:hAnsi="仿宋" w:eastAsia="仿宋" w:cs="Arial"/>
          <w:b/>
          <w:bCs/>
          <w:sz w:val="30"/>
          <w:szCs w:val="30"/>
          <w:lang w:eastAsia="zh-CN"/>
        </w:rPr>
        <w:t>ZZCG2022X-GK-152</w:t>
      </w:r>
      <w:bookmarkEnd w:id="3"/>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hint="eastAsia" w:ascii="仿宋" w:hAnsi="仿宋" w:eastAsia="仿宋" w:cs="Arial"/>
          <w:b/>
          <w:sz w:val="28"/>
          <w:szCs w:val="28"/>
          <w:vertAlign w:val="baseline"/>
          <w:lang w:eastAsia="zh-CN"/>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hint="eastAsia" w:ascii="仿宋" w:hAnsi="仿宋" w:eastAsia="仿宋" w:cs="Arial"/>
          <w:b/>
          <w:sz w:val="28"/>
          <w:szCs w:val="28"/>
          <w:lang w:eastAsia="zh-CN"/>
        </w:rPr>
        <w:t xml:space="preserve"> </w:t>
      </w:r>
    </w:p>
    <w:tbl>
      <w:tblPr>
        <w:tblStyle w:val="60"/>
        <w:tblW w:w="52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915"/>
        <w:gridCol w:w="870"/>
        <w:gridCol w:w="870"/>
        <w:gridCol w:w="144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标项序号</w:t>
            </w:r>
          </w:p>
        </w:tc>
        <w:tc>
          <w:tcPr>
            <w:tcW w:w="1625"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标项名称</w:t>
            </w:r>
          </w:p>
        </w:tc>
        <w:tc>
          <w:tcPr>
            <w:tcW w:w="485"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数量</w:t>
            </w:r>
          </w:p>
        </w:tc>
        <w:tc>
          <w:tcPr>
            <w:tcW w:w="485"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单位</w:t>
            </w:r>
          </w:p>
        </w:tc>
        <w:tc>
          <w:tcPr>
            <w:tcW w:w="803"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预算金额(万元)</w:t>
            </w:r>
          </w:p>
        </w:tc>
        <w:tc>
          <w:tcPr>
            <w:tcW w:w="1136"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1625"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浙江省委网信办（本级）通用设备及网络安全升级项目</w:t>
            </w:r>
          </w:p>
        </w:tc>
        <w:tc>
          <w:tcPr>
            <w:tcW w:w="485"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485"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批</w:t>
            </w:r>
          </w:p>
        </w:tc>
        <w:tc>
          <w:tcPr>
            <w:tcW w:w="803"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517.6</w:t>
            </w:r>
          </w:p>
        </w:tc>
        <w:tc>
          <w:tcPr>
            <w:tcW w:w="1136"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详见招标文件</w:t>
            </w:r>
          </w:p>
        </w:tc>
      </w:tr>
    </w:tbl>
    <w:p>
      <w:pPr>
        <w:snapToGrid w:val="0"/>
        <w:spacing w:after="120" w:afterLines="50" w:line="460" w:lineRule="exact"/>
        <w:ind w:firstLine="562" w:firstLineChars="200"/>
        <w:rPr>
          <w:rFonts w:hint="eastAsia" w:ascii="仿宋" w:hAnsi="仿宋" w:eastAsia="仿宋" w:cs="Arial"/>
          <w:b/>
          <w:sz w:val="28"/>
          <w:szCs w:val="28"/>
          <w:lang w:eastAsia="zh-CN"/>
        </w:rPr>
      </w:pPr>
      <w:r>
        <w:rPr>
          <w:rFonts w:hint="eastAsia" w:ascii="仿宋" w:hAnsi="仿宋" w:eastAsia="仿宋" w:cs="Arial"/>
          <w:b/>
          <w:sz w:val="28"/>
          <w:szCs w:val="28"/>
          <w:lang w:eastAsia="zh-CN"/>
        </w:rPr>
        <w:t xml:space="preserve"> </w:t>
      </w:r>
      <w:bookmarkEnd w:id="4"/>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500" w:lineRule="exact"/>
        <w:ind w:firstLine="602" w:firstLineChars="200"/>
        <w:rPr>
          <w:rFonts w:hint="eastAsia" w:ascii="仿宋" w:hAnsi="仿宋" w:eastAsia="仿宋"/>
          <w:sz w:val="28"/>
          <w:szCs w:val="28"/>
          <w:lang w:val="en-US" w:eastAsia="zh-CN"/>
        </w:rPr>
      </w:pPr>
      <w:r>
        <w:rPr>
          <w:rFonts w:hint="eastAsia" w:ascii="仿宋" w:hAnsi="仿宋" w:eastAsia="仿宋" w:cs="Arial"/>
          <w:b/>
          <w:bCs/>
          <w:sz w:val="30"/>
          <w:szCs w:val="30"/>
        </w:rPr>
        <w:t>投标人的特定条件：</w:t>
      </w:r>
      <w:r>
        <w:rPr>
          <w:rFonts w:hint="eastAsia" w:ascii="仿宋" w:hAnsi="仿宋" w:eastAsia="仿宋" w:cs="Arial"/>
          <w:b/>
          <w:bCs/>
          <w:sz w:val="30"/>
          <w:szCs w:val="30"/>
          <w:lang w:val="en-US" w:eastAsia="zh-CN"/>
        </w:rPr>
        <w:t>无</w:t>
      </w:r>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ascii="仿宋" w:hAnsi="仿宋" w:eastAsia="仿宋"/>
          <w:kern w:val="0"/>
          <w:sz w:val="30"/>
          <w:szCs w:val="30"/>
        </w:rPr>
        <w:t>[项目采购-报名开始日期]</w:t>
      </w:r>
      <w:r>
        <w:rPr>
          <w:rFonts w:hint="eastAsia" w:ascii="仿宋" w:hAnsi="仿宋" w:eastAsia="仿宋"/>
          <w:kern w:val="0"/>
          <w:sz w:val="30"/>
          <w:szCs w:val="30"/>
        </w:rPr>
        <w:t xml:space="preserve"> 至 </w:t>
      </w:r>
      <w:bookmarkStart w:id="5" w:name="PO_15528_PM009"/>
      <w:r>
        <w:rPr>
          <w:rFonts w:hint="eastAsia" w:ascii="仿宋" w:hAnsi="仿宋" w:eastAsia="仿宋"/>
          <w:kern w:val="0"/>
          <w:sz w:val="30"/>
          <w:szCs w:val="30"/>
          <w:lang w:eastAsia="zh-CN"/>
        </w:rPr>
        <w:t>2022-08-31 09:00:00</w:t>
      </w:r>
      <w:bookmarkEnd w:id="5"/>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hint="eastAsia" w:ascii="宋体" w:hAnsi="宋体" w:cs="仿宋"/>
          <w:kern w:val="0"/>
          <w:sz w:val="28"/>
          <w:szCs w:val="28"/>
          <w:lang w:val="zh-CN"/>
        </w:rPr>
        <w:t>.获取方式：本项目招标文件实行网上获取。供应商登录浙江政府采购网（</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hint="eastAsia" w:ascii="宋体" w:hAnsi="宋体" w:cs="仿宋"/>
          <w:kern w:val="0"/>
          <w:sz w:val="28"/>
          <w:szCs w:val="28"/>
          <w:lang w:val="zh-CN"/>
        </w:rPr>
        <w:t>.招标文件免费获取。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2"/>
        <w:adjustRightInd w:val="0"/>
        <w:snapToGrid w:val="0"/>
        <w:spacing w:beforeLines="0" w:afterLines="0" w:line="500" w:lineRule="exact"/>
        <w:ind w:firstLine="565" w:firstLineChars="201"/>
        <w:rPr>
          <w:rFonts w:hAnsi="宋体"/>
          <w:kern w:val="0"/>
          <w:sz w:val="28"/>
          <w:szCs w:val="28"/>
        </w:rPr>
      </w:pPr>
      <w:r>
        <w:rPr>
          <w:rFonts w:hint="eastAsia" w:hAnsi="宋体"/>
          <w:b/>
          <w:kern w:val="0"/>
          <w:sz w:val="28"/>
          <w:szCs w:val="28"/>
        </w:rPr>
        <w:t>投标截止时间：</w:t>
      </w:r>
      <w:bookmarkStart w:id="6" w:name="PO_15528_PM015"/>
      <w:r>
        <w:rPr>
          <w:rFonts w:hint="eastAsia" w:ascii="仿宋" w:hAnsi="仿宋" w:eastAsia="仿宋" w:cs="Arial"/>
          <w:color w:val="000000"/>
          <w:sz w:val="30"/>
          <w:szCs w:val="30"/>
          <w:lang w:eastAsia="zh-CN"/>
        </w:rPr>
        <w:t>2022-08-31 09:00:00</w:t>
      </w:r>
      <w:bookmarkEnd w:id="6"/>
      <w:r>
        <w:rPr>
          <w:rFonts w:hint="eastAsia" w:hAnsi="宋体"/>
          <w:b/>
          <w:kern w:val="0"/>
          <w:sz w:val="28"/>
          <w:szCs w:val="28"/>
        </w:rPr>
        <w:t>。</w:t>
      </w:r>
    </w:p>
    <w:p>
      <w:pPr>
        <w:pStyle w:val="32"/>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本项目实行电子投标。投标文件应按照本项目招标文件</w:t>
      </w:r>
      <w:r>
        <w:rPr>
          <w:rFonts w:hint="eastAsia" w:hAnsi="宋体"/>
          <w:sz w:val="28"/>
          <w:szCs w:val="28"/>
        </w:rPr>
        <w:t>和电子交易平台</w:t>
      </w:r>
      <w:r>
        <w:rPr>
          <w:rFonts w:hint="eastAsia" w:hAnsi="宋体"/>
          <w:kern w:val="0"/>
          <w:sz w:val="28"/>
          <w:szCs w:val="28"/>
        </w:rPr>
        <w:t>的要求编制、加密，并应当在投标截止时间前在规定电子交易平台完成传输递交，投标截止时间后送达的投标文件，将被电子交易平台拒收。</w:t>
      </w:r>
    </w:p>
    <w:p>
      <w:pPr>
        <w:pStyle w:val="32"/>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2"/>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lang w:val="en-US" w:eastAsia="zh-CN"/>
        </w:rPr>
        <w:t>备份</w:t>
      </w:r>
      <w:r>
        <w:rPr>
          <w:rFonts w:hint="eastAsia" w:hAnsi="宋体"/>
          <w:kern w:val="0"/>
          <w:sz w:val="28"/>
          <w:szCs w:val="28"/>
        </w:rPr>
        <w:t>投标文件收件填写人：</w:t>
      </w:r>
      <w:r>
        <w:rPr>
          <w:rFonts w:hint="eastAsia" w:hAnsi="宋体"/>
          <w:kern w:val="0"/>
          <w:sz w:val="28"/>
          <w:szCs w:val="28"/>
          <w:lang w:val="en-US" w:eastAsia="zh-CN"/>
        </w:rPr>
        <w:t>陶老师</w:t>
      </w:r>
      <w:r>
        <w:rPr>
          <w:rFonts w:hint="eastAsia" w:hAnsi="宋体"/>
          <w:kern w:val="0"/>
          <w:sz w:val="28"/>
          <w:szCs w:val="28"/>
        </w:rPr>
        <w:t>，联系方式：</w:t>
      </w:r>
      <w:r>
        <w:rPr>
          <w:rFonts w:hint="eastAsia" w:hAnsi="宋体"/>
          <w:kern w:val="0"/>
          <w:sz w:val="28"/>
          <w:szCs w:val="28"/>
          <w:lang w:val="en-US" w:eastAsia="zh-CN"/>
        </w:rPr>
        <w:t>0571-88901836</w:t>
      </w:r>
      <w:r>
        <w:rPr>
          <w:rFonts w:hint="eastAsia" w:hAnsi="宋体"/>
          <w:kern w:val="0"/>
          <w:sz w:val="28"/>
          <w:szCs w:val="28"/>
        </w:rPr>
        <w:t>，收件地址：浙江省杭州市下城区环城北路305号耀江发展中心三楼浙江省政府采购中心302会议室。（疫情期间仅接收邮寄方式递交的</w:t>
      </w:r>
      <w:r>
        <w:rPr>
          <w:rFonts w:hint="eastAsia" w:hAnsi="宋体"/>
          <w:b/>
          <w:kern w:val="0"/>
          <w:sz w:val="28"/>
          <w:szCs w:val="28"/>
        </w:rPr>
        <w:t>备份</w:t>
      </w:r>
      <w:r>
        <w:rPr>
          <w:rFonts w:hint="eastAsia" w:hAnsi="宋体"/>
          <w:kern w:val="0"/>
          <w:sz w:val="28"/>
          <w:szCs w:val="28"/>
        </w:rPr>
        <w:t>投标文件,因本大楼疫情管控，推荐使用中国邮政速递和顺丰快递。）</w:t>
      </w:r>
    </w:p>
    <w:p>
      <w:pPr>
        <w:pStyle w:val="32"/>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7" w:name="PO_15528_PM015_1"/>
      <w:r>
        <w:rPr>
          <w:rFonts w:hint="eastAsia" w:ascii="宋体" w:hAnsi="宋体" w:cs="Arial"/>
          <w:b/>
          <w:sz w:val="28"/>
          <w:szCs w:val="28"/>
          <w:lang w:eastAsia="zh-CN"/>
        </w:rPr>
        <w:t>2022-08-31 09:00:00</w:t>
      </w:r>
      <w:bookmarkEnd w:id="7"/>
      <w:r>
        <w:rPr>
          <w:rFonts w:hint="eastAsia" w:ascii="宋体" w:hAnsi="宋体" w:cs="Arial"/>
          <w:b/>
          <w:sz w:val="28"/>
          <w:szCs w:val="28"/>
        </w:rPr>
        <w:t>时整在</w:t>
      </w:r>
      <w:bookmarkStart w:id="8" w:name="PO_15528_PM016_1"/>
      <w:r>
        <w:rPr>
          <w:rFonts w:hint="eastAsia" w:ascii="宋体" w:hAnsi="宋体" w:cs="Arial"/>
          <w:b/>
          <w:sz w:val="28"/>
          <w:szCs w:val="28"/>
          <w:lang w:eastAsia="zh-CN"/>
        </w:rPr>
        <w:t>拱墅区杭州市环城北路305号耀江发展中心 3A（四楼）06开标室</w:t>
      </w:r>
      <w:bookmarkEnd w:id="8"/>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开标现场咨询电话</w:t>
            </w:r>
          </w:p>
        </w:tc>
        <w:tc>
          <w:tcPr>
            <w:tcW w:w="3444" w:type="dxa"/>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201开标室（大）：0</w:t>
            </w:r>
            <w:r>
              <w:rPr>
                <w:rFonts w:hAnsi="宋体"/>
                <w:kern w:val="0"/>
                <w:sz w:val="28"/>
                <w:szCs w:val="28"/>
              </w:rPr>
              <w:t>571-</w:t>
            </w:r>
            <w:r>
              <w:rPr>
                <w:rFonts w:hint="eastAsia" w:hAnsi="宋体"/>
                <w:kern w:val="0"/>
                <w:sz w:val="28"/>
                <w:szCs w:val="28"/>
              </w:rPr>
              <w:t>8</w:t>
            </w:r>
            <w:r>
              <w:rPr>
                <w:rFonts w:hAnsi="宋体"/>
                <w:kern w:val="0"/>
                <w:sz w:val="28"/>
                <w:szCs w:val="28"/>
              </w:rPr>
              <w:t>8907719</w:t>
            </w:r>
          </w:p>
        </w:tc>
        <w:tc>
          <w:tcPr>
            <w:tcW w:w="3445" w:type="dxa"/>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202评标室（小）：0</w:t>
            </w:r>
            <w:r>
              <w:rPr>
                <w:rFonts w:hAnsi="宋体"/>
                <w:kern w:val="0"/>
                <w:sz w:val="28"/>
                <w:szCs w:val="28"/>
              </w:rPr>
              <w:t>571-</w:t>
            </w:r>
            <w:r>
              <w:rPr>
                <w:rFonts w:hint="eastAsia" w:hAnsi="宋体"/>
                <w:kern w:val="0"/>
                <w:sz w:val="28"/>
                <w:szCs w:val="28"/>
              </w:rPr>
              <w:t>8</w:t>
            </w:r>
            <w:r>
              <w:rPr>
                <w:rFonts w:hAnsi="宋体"/>
                <w:kern w:val="0"/>
                <w:sz w:val="28"/>
                <w:szCs w:val="28"/>
              </w:rPr>
              <w:t>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32"/>
              <w:adjustRightInd w:val="0"/>
              <w:snapToGrid w:val="0"/>
              <w:spacing w:beforeLines="0" w:afterLines="0" w:line="500" w:lineRule="exact"/>
              <w:ind w:firstLine="562" w:firstLineChars="201"/>
              <w:rPr>
                <w:rFonts w:hAnsi="宋体"/>
                <w:kern w:val="0"/>
                <w:sz w:val="28"/>
                <w:szCs w:val="28"/>
              </w:rPr>
            </w:pPr>
          </w:p>
        </w:tc>
        <w:tc>
          <w:tcPr>
            <w:tcW w:w="3444" w:type="dxa"/>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3A（四楼）05评标室：0</w:t>
            </w:r>
            <w:r>
              <w:rPr>
                <w:rFonts w:hAnsi="宋体"/>
                <w:kern w:val="0"/>
                <w:sz w:val="28"/>
                <w:szCs w:val="28"/>
              </w:rPr>
              <w:t>571-</w:t>
            </w:r>
            <w:r>
              <w:rPr>
                <w:rFonts w:hint="eastAsia" w:hAnsi="宋体"/>
                <w:kern w:val="0"/>
                <w:sz w:val="28"/>
                <w:szCs w:val="28"/>
              </w:rPr>
              <w:t>8</w:t>
            </w:r>
            <w:r>
              <w:rPr>
                <w:rFonts w:hAnsi="宋体"/>
                <w:kern w:val="0"/>
                <w:sz w:val="28"/>
                <w:szCs w:val="28"/>
              </w:rPr>
              <w:t>8907792</w:t>
            </w:r>
          </w:p>
        </w:tc>
        <w:tc>
          <w:tcPr>
            <w:tcW w:w="3445" w:type="dxa"/>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3A（四楼）06开标室：</w:t>
            </w:r>
            <w:r>
              <w:rPr>
                <w:rFonts w:hAnsi="宋体"/>
                <w:kern w:val="0"/>
                <w:sz w:val="28"/>
                <w:szCs w:val="28"/>
              </w:rPr>
              <w:t>0571-</w:t>
            </w:r>
            <w:r>
              <w:rPr>
                <w:rFonts w:hint="eastAsia" w:hAnsi="宋体"/>
                <w:kern w:val="0"/>
                <w:sz w:val="28"/>
                <w:szCs w:val="28"/>
              </w:rPr>
              <w:t>8</w:t>
            </w:r>
            <w:r>
              <w:rPr>
                <w:rFonts w:hAnsi="宋体"/>
                <w:kern w:val="0"/>
                <w:sz w:val="28"/>
                <w:szCs w:val="28"/>
              </w:rPr>
              <w:t>8907791</w:t>
            </w:r>
          </w:p>
        </w:tc>
      </w:tr>
    </w:tbl>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w:t>
      </w:r>
      <w:r>
        <w:rPr>
          <w:rFonts w:ascii="宋体" w:hAnsi="宋体" w:cs="Arial"/>
          <w:b/>
          <w:sz w:val="28"/>
          <w:szCs w:val="28"/>
        </w:rPr>
        <w:t>https://edu.zcygov.cn/live?utm=a0018.2ef5001f.0.0.1939d340e5db11ea867fb57c149ddb61</w:t>
      </w:r>
      <w:r>
        <w:rPr>
          <w:rFonts w:hint="eastAsia" w:ascii="宋体" w:hAnsi="宋体" w:cs="Arial"/>
          <w:b/>
          <w:sz w:val="28"/>
          <w:szCs w:val="28"/>
        </w:rPr>
        <w:t>）自行提前学习</w:t>
      </w:r>
      <w:r>
        <w:rPr>
          <w:rFonts w:hint="eastAsia" w:ascii="宋体" w:hAnsi="宋体" w:cs="Arial"/>
          <w:sz w:val="28"/>
          <w:szCs w:val="28"/>
        </w:rPr>
        <w:t>。</w:t>
      </w: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9" w:name="PO_15528_PM032"/>
            <w:r>
              <w:rPr>
                <w:rFonts w:hint="eastAsia" w:ascii="仿宋" w:hAnsi="仿宋" w:eastAsia="仿宋" w:cs="仿宋"/>
                <w:sz w:val="28"/>
                <w:szCs w:val="28"/>
              </w:rPr>
              <w:t>柯泓</w:t>
            </w:r>
            <w:bookmarkEnd w:id="9"/>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0" w:name="PO_15528_PM033"/>
            <w:r>
              <w:rPr>
                <w:rFonts w:hint="eastAsia" w:ascii="仿宋" w:hAnsi="仿宋" w:eastAsia="仿宋" w:cs="仿宋"/>
                <w:sz w:val="28"/>
                <w:szCs w:val="28"/>
              </w:rPr>
              <w:t>0571-88901833</w:t>
            </w:r>
            <w:bookmarkEnd w:id="10"/>
          </w:p>
        </w:tc>
        <w:tc>
          <w:tcPr>
            <w:tcW w:w="2066" w:type="dxa"/>
            <w:vMerge w:val="restart"/>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三楼（采购二部）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0117</w:t>
            </w:r>
          </w:p>
        </w:tc>
        <w:tc>
          <w:tcPr>
            <w:tcW w:w="2066" w:type="dxa"/>
            <w:vMerge w:val="continue"/>
            <w:tcBorders>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hint="eastAsia" w:ascii="仿宋" w:hAnsi="仿宋" w:eastAsia="仿宋" w:cs="Arial"/>
          <w:b/>
          <w:bCs/>
          <w:sz w:val="30"/>
          <w:szCs w:val="30"/>
        </w:rPr>
      </w:pPr>
    </w:p>
    <w:p>
      <w:pPr>
        <w:snapToGrid w:val="0"/>
        <w:spacing w:line="360" w:lineRule="auto"/>
        <w:ind w:firstLine="602" w:firstLineChars="200"/>
        <w:rPr>
          <w:rFonts w:hint="eastAsia" w:ascii="仿宋_GB2312" w:hAnsi="仿宋" w:eastAsia="仿宋_GB2312"/>
          <w:sz w:val="30"/>
          <w:szCs w:val="30"/>
          <w:vertAlign w:val="baseline"/>
          <w:lang w:eastAsia="zh-CN"/>
        </w:rPr>
      </w:pPr>
      <w:r>
        <w:rPr>
          <w:rFonts w:hint="eastAsia" w:ascii="仿宋" w:hAnsi="仿宋" w:eastAsia="仿宋" w:cs="Arial"/>
          <w:b/>
          <w:bCs/>
          <w:sz w:val="30"/>
          <w:szCs w:val="30"/>
        </w:rPr>
        <w:t>十一、采购需求咨询</w:t>
      </w:r>
      <w:bookmarkStart w:id="11" w:name="PO_TDCUS_ITEM_PRC_TABLE_1_1_2"/>
      <w:r>
        <w:rPr>
          <w:rFonts w:hint="eastAsia" w:ascii="仿宋_GB2312" w:hAnsi="仿宋" w:eastAsia="仿宋_GB2312"/>
          <w:sz w:val="30"/>
          <w:szCs w:val="30"/>
          <w:lang w:eastAsia="zh-CN"/>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360" w:lineRule="auto"/>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采购单位</w:t>
            </w:r>
          </w:p>
        </w:tc>
        <w:tc>
          <w:tcPr>
            <w:tcW w:w="2500" w:type="pct"/>
          </w:tcPr>
          <w:p>
            <w:pPr>
              <w:snapToGrid w:val="0"/>
              <w:spacing w:line="360" w:lineRule="auto"/>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中共浙江省委网络安全和信息化委员会办公室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地址</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杭州市西湖区省府路29号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咨询事项</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val="en-US" w:eastAsia="zh-CN"/>
              </w:rPr>
              <w:t>评分标准、</w:t>
            </w:r>
            <w:r>
              <w:rPr>
                <w:rFonts w:hint="eastAsia" w:ascii="仿宋_GB2312" w:hAnsi="仿宋" w:eastAsia="仿宋_GB2312"/>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联系人</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夏威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联系方式</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0571-81051281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传真</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备注</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p>
        </w:tc>
      </w:tr>
    </w:tbl>
    <w:p>
      <w:pPr>
        <w:snapToGrid w:val="0"/>
        <w:spacing w:line="440" w:lineRule="exact"/>
        <w:ind w:firstLine="600" w:firstLineChars="200"/>
        <w:jc w:val="center"/>
        <w:rPr>
          <w:rFonts w:hint="eastAsia" w:ascii="仿宋_GB2312" w:hAnsi="仿宋" w:eastAsia="仿宋_GB2312"/>
          <w:sz w:val="30"/>
          <w:szCs w:val="30"/>
          <w:lang w:eastAsia="zh-CN"/>
        </w:rPr>
      </w:pPr>
      <w:r>
        <w:rPr>
          <w:rFonts w:hint="eastAsia" w:ascii="仿宋_GB2312" w:hAnsi="仿宋" w:eastAsia="仿宋_GB2312"/>
          <w:sz w:val="30"/>
          <w:szCs w:val="30"/>
          <w:lang w:eastAsia="zh-CN"/>
        </w:rPr>
        <w:t xml:space="preserve"> </w:t>
      </w:r>
      <w:bookmarkEnd w:id="11"/>
    </w:p>
    <w:p>
      <w:pPr>
        <w:pStyle w:val="32"/>
        <w:spacing w:before="120" w:after="120" w:line="360" w:lineRule="auto"/>
        <w:jc w:val="center"/>
        <w:outlineLvl w:val="0"/>
        <w:rPr>
          <w:rFonts w:hint="eastAsia" w:ascii="仿宋" w:hAnsi="仿宋" w:eastAsia="仿宋"/>
          <w:b/>
          <w:sz w:val="36"/>
          <w:szCs w:val="36"/>
        </w:rPr>
      </w:pPr>
      <w:bookmarkStart w:id="12" w:name="_Toc496796636"/>
    </w:p>
    <w:p>
      <w:pPr>
        <w:pStyle w:val="32"/>
        <w:spacing w:before="120" w:after="120" w:line="360" w:lineRule="auto"/>
        <w:jc w:val="center"/>
        <w:outlineLvl w:val="0"/>
        <w:rPr>
          <w:rFonts w:hint="eastAsia" w:ascii="仿宋" w:hAnsi="仿宋" w:eastAsia="仿宋"/>
          <w:b/>
          <w:sz w:val="36"/>
          <w:szCs w:val="36"/>
        </w:rPr>
      </w:pPr>
    </w:p>
    <w:p>
      <w:pPr>
        <w:pStyle w:val="32"/>
        <w:spacing w:before="120" w:after="120" w:line="360" w:lineRule="auto"/>
        <w:jc w:val="center"/>
        <w:outlineLvl w:val="0"/>
        <w:rPr>
          <w:rFonts w:hint="eastAsia" w:ascii="仿宋" w:hAnsi="仿宋" w:eastAsia="仿宋"/>
          <w:b/>
          <w:sz w:val="36"/>
          <w:szCs w:val="36"/>
        </w:rPr>
      </w:pPr>
    </w:p>
    <w:p>
      <w:pPr>
        <w:pStyle w:val="32"/>
        <w:spacing w:before="120" w:after="120" w:line="360" w:lineRule="auto"/>
        <w:jc w:val="center"/>
        <w:outlineLvl w:val="0"/>
        <w:rPr>
          <w:rFonts w:hint="eastAsia" w:ascii="仿宋" w:hAnsi="仿宋" w:eastAsia="仿宋"/>
          <w:b/>
          <w:sz w:val="36"/>
          <w:szCs w:val="36"/>
        </w:rPr>
      </w:pPr>
    </w:p>
    <w:p>
      <w:pPr>
        <w:pStyle w:val="32"/>
        <w:spacing w:before="120" w:after="120" w:line="360" w:lineRule="auto"/>
        <w:jc w:val="center"/>
        <w:outlineLvl w:val="0"/>
        <w:rPr>
          <w:rFonts w:hint="eastAsia" w:ascii="仿宋" w:hAnsi="仿宋" w:eastAsia="仿宋"/>
          <w:b/>
          <w:sz w:val="36"/>
          <w:szCs w:val="36"/>
        </w:rPr>
      </w:pPr>
    </w:p>
    <w:p>
      <w:pPr>
        <w:pStyle w:val="32"/>
        <w:spacing w:before="120" w:after="120" w:line="360" w:lineRule="auto"/>
        <w:jc w:val="center"/>
        <w:outlineLvl w:val="0"/>
        <w:rPr>
          <w:rFonts w:hint="eastAsia" w:ascii="仿宋" w:hAnsi="仿宋" w:eastAsia="仿宋"/>
          <w:b/>
          <w:sz w:val="36"/>
          <w:szCs w:val="36"/>
        </w:rPr>
      </w:pPr>
    </w:p>
    <w:p>
      <w:pPr>
        <w:pStyle w:val="32"/>
        <w:spacing w:before="120" w:after="120" w:line="360" w:lineRule="auto"/>
        <w:jc w:val="center"/>
        <w:outlineLvl w:val="0"/>
        <w:rPr>
          <w:rFonts w:hint="eastAsia" w:ascii="仿宋" w:hAnsi="仿宋" w:eastAsia="仿宋"/>
          <w:b/>
          <w:sz w:val="36"/>
          <w:szCs w:val="36"/>
        </w:rPr>
      </w:pPr>
    </w:p>
    <w:p>
      <w:pPr>
        <w:pStyle w:val="32"/>
        <w:spacing w:before="120" w:after="120" w:line="360" w:lineRule="auto"/>
        <w:jc w:val="center"/>
        <w:outlineLvl w:val="0"/>
        <w:rPr>
          <w:rFonts w:hint="eastAsia" w:ascii="仿宋" w:hAnsi="仿宋" w:eastAsia="仿宋"/>
          <w:b/>
          <w:sz w:val="36"/>
          <w:szCs w:val="36"/>
        </w:rPr>
      </w:pPr>
    </w:p>
    <w:p>
      <w:pPr>
        <w:pStyle w:val="32"/>
        <w:spacing w:before="120" w:after="120" w:line="360" w:lineRule="auto"/>
        <w:jc w:val="center"/>
        <w:outlineLvl w:val="0"/>
        <w:rPr>
          <w:rFonts w:hint="eastAsia" w:ascii="仿宋" w:hAnsi="仿宋" w:eastAsia="仿宋"/>
          <w:b/>
          <w:sz w:val="36"/>
          <w:szCs w:val="36"/>
        </w:rPr>
      </w:pPr>
    </w:p>
    <w:p>
      <w:pPr>
        <w:pStyle w:val="32"/>
        <w:spacing w:before="120" w:after="120" w:line="360" w:lineRule="auto"/>
        <w:jc w:val="center"/>
        <w:outlineLvl w:val="0"/>
        <w:rPr>
          <w:rFonts w:hint="eastAsia" w:ascii="仿宋" w:hAnsi="仿宋" w:eastAsia="仿宋"/>
          <w:b/>
          <w:sz w:val="36"/>
          <w:szCs w:val="36"/>
        </w:rPr>
      </w:pPr>
    </w:p>
    <w:p>
      <w:pPr>
        <w:pStyle w:val="32"/>
        <w:spacing w:before="120" w:after="120" w:line="360" w:lineRule="auto"/>
        <w:jc w:val="center"/>
        <w:outlineLvl w:val="0"/>
        <w:rPr>
          <w:rFonts w:hint="eastAsia" w:ascii="仿宋" w:hAnsi="仿宋" w:eastAsia="仿宋"/>
          <w:b/>
          <w:sz w:val="36"/>
          <w:szCs w:val="36"/>
        </w:rPr>
      </w:pPr>
    </w:p>
    <w:p>
      <w:pPr>
        <w:pStyle w:val="32"/>
        <w:spacing w:before="120" w:after="120" w:line="360" w:lineRule="auto"/>
        <w:jc w:val="center"/>
        <w:outlineLvl w:val="0"/>
        <w:rPr>
          <w:rFonts w:hint="eastAsia" w:ascii="仿宋" w:hAnsi="仿宋" w:eastAsia="仿宋"/>
          <w:b/>
          <w:sz w:val="36"/>
          <w:szCs w:val="36"/>
        </w:rPr>
      </w:pPr>
    </w:p>
    <w:p>
      <w:pPr>
        <w:pStyle w:val="32"/>
        <w:spacing w:before="120" w:after="120" w:line="360" w:lineRule="auto"/>
        <w:jc w:val="center"/>
        <w:outlineLvl w:val="0"/>
        <w:rPr>
          <w:rFonts w:hint="eastAsia" w:ascii="仿宋" w:hAnsi="仿宋" w:eastAsia="仿宋"/>
          <w:b/>
          <w:sz w:val="36"/>
          <w:szCs w:val="36"/>
        </w:rPr>
      </w:pPr>
    </w:p>
    <w:p>
      <w:pPr>
        <w:pStyle w:val="32"/>
        <w:spacing w:before="120" w:after="120" w:line="360" w:lineRule="auto"/>
        <w:jc w:val="both"/>
        <w:outlineLvl w:val="0"/>
        <w:rPr>
          <w:rFonts w:hint="eastAsia" w:ascii="仿宋" w:hAnsi="仿宋" w:eastAsia="仿宋"/>
          <w:b/>
          <w:sz w:val="36"/>
          <w:szCs w:val="36"/>
        </w:rPr>
      </w:pPr>
      <w:bookmarkStart w:id="74" w:name="_GoBack"/>
      <w:bookmarkEnd w:id="74"/>
    </w:p>
    <w:p>
      <w:pPr>
        <w:pStyle w:val="32"/>
        <w:spacing w:before="120" w:after="120" w:line="360" w:lineRule="auto"/>
        <w:jc w:val="center"/>
        <w:outlineLvl w:val="0"/>
        <w:rPr>
          <w:rFonts w:hAnsi="宋体"/>
          <w:b/>
          <w:sz w:val="36"/>
          <w:szCs w:val="36"/>
        </w:rPr>
      </w:pPr>
      <w:r>
        <w:rPr>
          <w:rFonts w:hint="eastAsia" w:ascii="仿宋" w:hAnsi="仿宋" w:eastAsia="仿宋"/>
          <w:b/>
          <w:sz w:val="36"/>
          <w:szCs w:val="36"/>
        </w:rPr>
        <w:t>第二章 投标人须知</w:t>
      </w:r>
      <w:bookmarkEnd w:id="12"/>
    </w:p>
    <w:p>
      <w:pPr>
        <w:snapToGrid w:val="0"/>
        <w:rPr>
          <w:rFonts w:ascii="宋体" w:hAnsi="宋体"/>
          <w:sz w:val="28"/>
          <w:szCs w:val="28"/>
        </w:rPr>
      </w:pPr>
      <w:r>
        <w:rPr>
          <w:rFonts w:hint="eastAsia" w:ascii="宋体" w:hAnsi="宋体"/>
          <w:sz w:val="28"/>
          <w:szCs w:val="28"/>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w:t>
            </w:r>
            <w:r>
              <w:rPr>
                <w:rFonts w:ascii="仿宋" w:hAnsi="仿宋" w:eastAsia="仿宋"/>
                <w:b/>
                <w:sz w:val="24"/>
                <w:szCs w:val="24"/>
              </w:rPr>
              <w:t>2020〕46号</w:t>
            </w:r>
            <w:r>
              <w:rPr>
                <w:rFonts w:hint="eastAsia" w:ascii="仿宋" w:hAnsi="仿宋" w:eastAsia="仿宋"/>
                <w:b/>
                <w:sz w:val="24"/>
                <w:szCs w:val="24"/>
              </w:rPr>
              <w:t>文件的规定，本项目</w:t>
            </w:r>
            <w:r>
              <w:rPr>
                <w:rFonts w:hint="eastAsia" w:ascii="仿宋" w:hAnsi="仿宋" w:eastAsia="仿宋"/>
                <w:b/>
                <w:sz w:val="24"/>
                <w:szCs w:val="24"/>
                <w:u w:val="single"/>
                <w:lang w:val="en-US" w:eastAsia="zh-CN"/>
              </w:rPr>
              <w:t>不</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_GB2312" w:hAnsi="仿宋" w:eastAsia="仿宋_GB2312"/>
                <w:bCs/>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3"/>
              <w:numPr>
                <w:ilvl w:val="0"/>
                <w:numId w:val="30"/>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项目属性（货物类）</w:t>
            </w:r>
          </w:p>
          <w:p>
            <w:pPr>
              <w:pStyle w:val="183"/>
              <w:numPr>
                <w:ilvl w:val="0"/>
                <w:numId w:val="30"/>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w:t>
            </w:r>
            <w:r>
              <w:rPr>
                <w:rFonts w:ascii="仿宋" w:hAnsi="仿宋" w:eastAsia="仿宋"/>
                <w:b/>
                <w:sz w:val="24"/>
                <w:szCs w:val="24"/>
              </w:rPr>
              <w:t>《中小企业划型标准规定》</w:t>
            </w:r>
            <w:r>
              <w:rPr>
                <w:rFonts w:hint="eastAsia" w:ascii="仿宋" w:hAnsi="仿宋" w:eastAsia="仿宋"/>
                <w:b/>
                <w:sz w:val="24"/>
                <w:szCs w:val="24"/>
              </w:rPr>
              <w:t>执行）</w:t>
            </w:r>
          </w:p>
          <w:p>
            <w:pPr>
              <w:snapToGrid w:val="0"/>
              <w:spacing w:line="360" w:lineRule="auto"/>
              <w:ind w:left="600"/>
              <w:rPr>
                <w:rFonts w:ascii="仿宋" w:hAnsi="仿宋" w:eastAsia="仿宋"/>
                <w:b/>
                <w:sz w:val="24"/>
                <w:szCs w:val="24"/>
              </w:rPr>
            </w:pPr>
            <w:r>
              <w:rPr>
                <w:rFonts w:hint="eastAsia" w:ascii="仿宋" w:hAnsi="仿宋" w:eastAsia="仿宋"/>
                <w:b/>
                <w:sz w:val="24"/>
                <w:szCs w:val="24"/>
              </w:rPr>
              <w:t>采购标的：浙江省委网信办（本级）通用设备及网络安全升级项目，所属行业：</w:t>
            </w:r>
            <w:r>
              <w:rPr>
                <w:rFonts w:hint="eastAsia" w:ascii="仿宋" w:hAnsi="仿宋" w:eastAsia="仿宋"/>
                <w:b/>
                <w:sz w:val="24"/>
                <w:szCs w:val="24"/>
                <w:lang w:val="en-US" w:eastAsia="zh-CN"/>
              </w:rPr>
              <w:t>软件和信息技术服务业</w:t>
            </w:r>
          </w:p>
          <w:p>
            <w:pPr>
              <w:snapToGrid w:val="0"/>
              <w:spacing w:line="460" w:lineRule="exact"/>
              <w:ind w:firstLine="602" w:firstLineChars="250"/>
              <w:rPr>
                <w:rFonts w:ascii="仿宋" w:hAnsi="仿宋" w:eastAsia="仿宋"/>
                <w:b/>
                <w:strike/>
                <w:sz w:val="24"/>
                <w:szCs w:val="24"/>
              </w:rPr>
            </w:pPr>
            <w:r>
              <w:rPr>
                <w:rFonts w:hint="eastAsia" w:ascii="仿宋" w:hAnsi="仿宋" w:eastAsia="仿宋"/>
                <w:b/>
                <w:sz w:val="24"/>
                <w:szCs w:val="24"/>
              </w:rPr>
              <w:t>3.根据财库〔2020〕46号的相关规定，在评审时对符合本办法规定的小微企业报价给予</w:t>
            </w:r>
            <w:r>
              <w:rPr>
                <w:rFonts w:hint="eastAsia" w:ascii="仿宋" w:hAnsi="仿宋" w:eastAsia="仿宋"/>
                <w:b/>
                <w:sz w:val="24"/>
                <w:szCs w:val="24"/>
                <w:u w:val="single"/>
              </w:rPr>
              <w:t xml:space="preserve"> </w:t>
            </w:r>
            <w:r>
              <w:rPr>
                <w:rFonts w:ascii="仿宋" w:hAnsi="仿宋" w:eastAsia="仿宋"/>
                <w:b/>
                <w:sz w:val="24"/>
                <w:szCs w:val="24"/>
                <w:u w:val="single"/>
              </w:rPr>
              <w:t xml:space="preserve"> </w:t>
            </w:r>
            <w:r>
              <w:rPr>
                <w:rFonts w:ascii="仿宋" w:hAnsi="仿宋" w:eastAsia="仿宋"/>
                <w:b/>
                <w:sz w:val="24"/>
                <w:szCs w:val="24"/>
              </w:rPr>
              <w:t>20</w:t>
            </w:r>
            <w:r>
              <w:rPr>
                <w:rFonts w:hint="eastAsia" w:ascii="仿宋" w:hAnsi="仿宋" w:eastAsia="仿宋"/>
                <w:b/>
                <w:sz w:val="24"/>
                <w:szCs w:val="24"/>
              </w:rPr>
              <w:t>%</w:t>
            </w:r>
            <w:r>
              <w:rPr>
                <w:rFonts w:ascii="仿宋" w:hAnsi="仿宋" w:eastAsia="仿宋"/>
                <w:b/>
                <w:sz w:val="24"/>
                <w:szCs w:val="24"/>
                <w:u w:val="single"/>
              </w:rPr>
              <w:t xml:space="preserve">  </w:t>
            </w:r>
            <w:r>
              <w:rPr>
                <w:rFonts w:hint="eastAsia" w:ascii="仿宋" w:hAnsi="仿宋" w:eastAsia="仿宋"/>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sz w:val="24"/>
                <w:szCs w:val="24"/>
              </w:rPr>
            </w:pPr>
            <w:r>
              <w:rPr>
                <w:rFonts w:ascii="仿宋" w:hAnsi="仿宋" w:eastAsia="仿宋"/>
                <w:b/>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仿宋" w:hAnsi="仿宋" w:eastAsia="仿宋"/>
                <w:b/>
                <w:sz w:val="24"/>
                <w:szCs w:val="24"/>
                <w:u w:val="single"/>
              </w:rPr>
              <w:t xml:space="preserve">  </w:t>
            </w:r>
            <w:r>
              <w:rPr>
                <w:rFonts w:ascii="仿宋" w:hAnsi="仿宋" w:eastAsia="仿宋"/>
                <w:b/>
                <w:sz w:val="24"/>
                <w:szCs w:val="24"/>
              </w:rPr>
              <w:t>6</w:t>
            </w:r>
            <w:r>
              <w:rPr>
                <w:rFonts w:hint="eastAsia" w:ascii="仿宋" w:hAnsi="仿宋" w:eastAsia="仿宋"/>
                <w:b/>
                <w:sz w:val="24"/>
                <w:szCs w:val="24"/>
              </w:rPr>
              <w:t>%</w:t>
            </w:r>
            <w:r>
              <w:rPr>
                <w:rFonts w:ascii="仿宋" w:hAnsi="仿宋" w:eastAsia="仿宋"/>
                <w:b/>
                <w:sz w:val="24"/>
                <w:szCs w:val="24"/>
                <w:u w:val="single"/>
              </w:rPr>
              <w:t xml:space="preserve">  </w:t>
            </w:r>
            <w:r>
              <w:rPr>
                <w:rFonts w:ascii="仿宋" w:hAnsi="仿宋" w:eastAsia="仿宋"/>
                <w:b/>
                <w:sz w:val="24"/>
                <w:szCs w:val="24"/>
              </w:rPr>
              <w:t>的扣除，用扣除后的价格参加评审。</w:t>
            </w:r>
          </w:p>
          <w:p>
            <w:pPr>
              <w:snapToGrid w:val="0"/>
              <w:spacing w:line="460" w:lineRule="exact"/>
              <w:ind w:firstLine="602" w:firstLineChars="250"/>
              <w:rPr>
                <w:rFonts w:ascii="仿宋" w:hAnsi="仿宋" w:eastAsia="仿宋"/>
                <w:b/>
                <w:sz w:val="24"/>
                <w:szCs w:val="24"/>
              </w:rPr>
            </w:pPr>
            <w:r>
              <w:rPr>
                <w:rFonts w:ascii="仿宋" w:hAnsi="仿宋" w:eastAsia="仿宋"/>
                <w:b/>
                <w:sz w:val="24"/>
                <w:szCs w:val="24"/>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认为采购文件使自己的权益受到损害的，可以自获取采购文件之日或者采购公告期限届满之日（公告期限届满后获取采购文件的，以公告期限届满之日为准）起7个工作日内，</w:t>
            </w:r>
            <w:r>
              <w:rPr>
                <w:rFonts w:ascii="仿宋" w:hAnsi="仿宋" w:eastAsia="仿宋"/>
                <w:color w:val="auto"/>
                <w:sz w:val="24"/>
                <w:szCs w:val="24"/>
                <w:highlight w:val="none"/>
              </w:rPr>
              <w:t>对采购文件需求</w:t>
            </w:r>
            <w:r>
              <w:rPr>
                <w:rFonts w:hint="eastAsia" w:ascii="仿宋" w:hAnsi="仿宋" w:eastAsia="仿宋"/>
                <w:color w:val="auto"/>
                <w:sz w:val="24"/>
                <w:szCs w:val="24"/>
                <w:highlight w:val="none"/>
                <w:lang w:val="en-US" w:eastAsia="zh-CN"/>
              </w:rPr>
              <w:t>以及评分细则的</w:t>
            </w:r>
            <w:r>
              <w:rPr>
                <w:rFonts w:ascii="仿宋" w:hAnsi="仿宋" w:eastAsia="仿宋"/>
                <w:color w:val="auto"/>
                <w:sz w:val="24"/>
                <w:szCs w:val="24"/>
                <w:highlight w:val="none"/>
              </w:rPr>
              <w:t>以书面形式向采购人提出质疑</w:t>
            </w:r>
            <w:r>
              <w:rPr>
                <w:rFonts w:ascii="仿宋" w:hAnsi="仿宋" w:eastAsia="仿宋"/>
                <w:color w:val="auto"/>
                <w:sz w:val="24"/>
                <w:szCs w:val="24"/>
              </w:rPr>
              <w:t>，</w:t>
            </w:r>
            <w:r>
              <w:rPr>
                <w:rFonts w:ascii="仿宋" w:hAnsi="仿宋" w:eastAsia="仿宋"/>
                <w:sz w:val="24"/>
                <w:szCs w:val="24"/>
              </w:rPr>
              <w:t>对其他内容的以书面形式向采购人和</w:t>
            </w:r>
            <w:r>
              <w:rPr>
                <w:rFonts w:hint="eastAsia" w:ascii="仿宋" w:hAnsi="仿宋" w:eastAsia="仿宋"/>
                <w:sz w:val="24"/>
                <w:szCs w:val="24"/>
              </w:rPr>
              <w:t>招标方</w:t>
            </w:r>
            <w:r>
              <w:rPr>
                <w:rFonts w:ascii="仿宋" w:hAnsi="仿宋" w:eastAsia="仿宋"/>
                <w:sz w:val="24"/>
                <w:szCs w:val="24"/>
              </w:rPr>
              <w:t>提出质疑</w:t>
            </w:r>
            <w:r>
              <w:rPr>
                <w:rFonts w:hint="eastAsia" w:ascii="仿宋" w:hAnsi="仿宋" w:eastAsia="仿宋"/>
                <w:sz w:val="24"/>
                <w:szCs w:val="24"/>
              </w:rPr>
              <w:t>，格式及内容要求详见总则（五）质疑</w:t>
            </w: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3" w:name="PO_15528_PM042"/>
            <w:r>
              <w:rPr>
                <w:rFonts w:hint="eastAsia" w:ascii="仿宋" w:hAnsi="仿宋" w:eastAsia="仿宋"/>
                <w:sz w:val="24"/>
                <w:szCs w:val="24"/>
                <w:lang w:eastAsia="zh-CN"/>
              </w:rPr>
              <w:t>不允许进口产品</w:t>
            </w:r>
            <w:bookmarkEnd w:id="13"/>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sz w:val="24"/>
              </w:rPr>
            </w:pPr>
            <w:r>
              <w:rPr>
                <w:rFonts w:hint="eastAsia" w:ascii="仿宋_GB2312" w:hAnsi="仿宋" w:eastAsia="仿宋_GB2312"/>
                <w:bCs/>
                <w:sz w:val="24"/>
              </w:rPr>
              <w:t>转包：否</w:t>
            </w:r>
          </w:p>
          <w:p>
            <w:pPr>
              <w:snapToGrid w:val="0"/>
              <w:spacing w:line="460" w:lineRule="exact"/>
              <w:rPr>
                <w:rFonts w:ascii="仿宋_GB2312" w:hAnsi="仿宋" w:eastAsia="仿宋_GB2312"/>
                <w:bCs/>
                <w:sz w:val="24"/>
              </w:rPr>
            </w:pPr>
            <w:r>
              <w:rPr>
                <w:rFonts w:hint="eastAsia" w:ascii="仿宋_GB2312" w:hAnsi="仿宋" w:eastAsia="仿宋_GB2312"/>
                <w:bCs/>
                <w:sz w:val="24"/>
              </w:rPr>
              <w:t>分包：</w:t>
            </w:r>
            <w:bookmarkStart w:id="14" w:name="PO_15528_PM044"/>
            <w:r>
              <w:rPr>
                <w:rFonts w:hint="eastAsia" w:ascii="仿宋_GB2312" w:hAnsi="仿宋" w:eastAsia="仿宋_GB2312"/>
                <w:bCs/>
                <w:sz w:val="24"/>
                <w:lang w:eastAsia="zh-CN"/>
              </w:rPr>
              <w:t>允许分包</w:t>
            </w:r>
            <w:bookmarkEnd w:id="14"/>
            <w:r>
              <w:rPr>
                <w:rFonts w:hint="eastAsia" w:ascii="仿宋_GB2312" w:hAnsi="仿宋" w:eastAsia="仿宋_GB2312"/>
                <w:bCs/>
                <w:sz w:val="24"/>
              </w:rPr>
              <w:t>；非主体、非关键性工作允许分包。</w:t>
            </w:r>
          </w:p>
          <w:p>
            <w:pPr>
              <w:spacing w:line="500" w:lineRule="exact"/>
              <w:jc w:val="left"/>
              <w:rPr>
                <w:rFonts w:ascii="仿宋_GB2312" w:hAnsi="仿宋" w:eastAsia="仿宋_GB2312"/>
                <w:bCs/>
                <w:sz w:val="24"/>
              </w:rPr>
            </w:pPr>
            <w:r>
              <w:rPr>
                <w:rFonts w:hint="eastAsia" w:ascii="仿宋_GB2312" w:hAnsi="仿宋" w:eastAsia="仿宋_GB2312"/>
                <w:bCs/>
                <w:sz w:val="24"/>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hint="eastAsia" w:ascii="仿宋_GB2312" w:hAnsi="仿宋" w:eastAsia="仿宋_GB2312"/>
                <w:bCs/>
                <w:sz w:val="24"/>
                <w:lang w:eastAsia="zh-CN"/>
              </w:rPr>
            </w:pPr>
            <w:r>
              <w:rPr>
                <w:rFonts w:ascii="仿宋_GB2312" w:hAnsi="仿宋" w:eastAsia="仿宋_GB2312"/>
                <w:bCs/>
                <w:sz w:val="24"/>
              </w:rPr>
              <w:t>依据</w:t>
            </w:r>
            <w:r>
              <w:rPr>
                <w:rFonts w:hint="eastAsia" w:ascii="仿宋_GB2312" w:hAnsi="仿宋" w:eastAsia="仿宋_GB2312"/>
                <w:bCs/>
                <w:sz w:val="24"/>
              </w:rPr>
              <w:t>政府采购促进中小企业发展管理办法</w:t>
            </w:r>
            <w:r>
              <w:rPr>
                <w:rFonts w:ascii="仿宋_GB2312" w:hAnsi="仿宋" w:eastAsia="仿宋_GB2312"/>
                <w:bCs/>
                <w:sz w:val="24"/>
              </w:rPr>
              <w:t>规定享受扶持政策获得政府采购合同的，小微企业不得将合同分包给大中型企业，中型企业不得将合同分包给大型企业</w:t>
            </w:r>
            <w:r>
              <w:rPr>
                <w:rFonts w:hint="eastAsia" w:ascii="仿宋_GB2312" w:hAnsi="仿宋" w:eastAsia="仿宋_GB2312"/>
                <w:bCs/>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rPr>
            </w:pPr>
            <w:bookmarkStart w:id="15" w:name="PO_15528_PM007_1"/>
            <w:r>
              <w:rPr>
                <w:rFonts w:hint="eastAsia" w:ascii="仿宋_GB2312" w:hAnsi="仿宋" w:eastAsia="仿宋_GB2312"/>
                <w:bCs/>
                <w:sz w:val="24"/>
                <w:lang w:eastAsia="zh-CN"/>
              </w:rPr>
              <w:t>标项1:允许联合体投标</w:t>
            </w:r>
            <w:bookmarkEnd w:id="15"/>
            <w:r>
              <w:rPr>
                <w:rFonts w:hint="eastAsia" w:ascii="仿宋_GB2312" w:hAnsi="仿宋" w:eastAsia="仿宋_GB2312"/>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6" w:name="PO_15528_PM040"/>
            <w:r>
              <w:rPr>
                <w:rFonts w:hint="eastAsia" w:ascii="仿宋" w:hAnsi="仿宋" w:eastAsia="仿宋"/>
                <w:sz w:val="24"/>
                <w:szCs w:val="24"/>
                <w:lang w:eastAsia="zh-CN"/>
              </w:rPr>
              <w:t>不组织现场踏勘</w:t>
            </w:r>
            <w:bookmarkEnd w:id="16"/>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7" w:name="PO_1000000445_PM041"/>
            <w:r>
              <w:rPr>
                <w:rFonts w:hint="eastAsia" w:ascii="仿宋" w:hAnsi="仿宋" w:eastAsia="仿宋"/>
                <w:sz w:val="24"/>
                <w:szCs w:val="24"/>
                <w:lang w:eastAsia="zh-CN"/>
              </w:rPr>
              <w:t>不进行演示</w:t>
            </w:r>
            <w:bookmarkEnd w:id="17"/>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8"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18"/>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投标文件均由资质文件、技术商务文件、报价文件组成。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w:t>
            </w:r>
            <w:r>
              <w:rPr>
                <w:rFonts w:hint="eastAsia" w:ascii="仿宋" w:hAnsi="仿宋" w:eastAsia="仿宋"/>
                <w:b/>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b/>
                <w:sz w:val="24"/>
                <w:szCs w:val="24"/>
              </w:rPr>
              <w:t>https://middle.zcygov.cn/v-settle-front/registry</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标前完成CA数字证书办理（办理流程详见http://zfcg.czt.zj.gov.cn/bidClientTemplate/2019-05-27/12945.html）。完成CA数字证书办理</w:t>
            </w:r>
            <w:r>
              <w:rPr>
                <w:rFonts w:hint="eastAsia" w:ascii="仿宋" w:hAnsi="仿宋" w:eastAsia="仿宋"/>
                <w:b/>
                <w:sz w:val="24"/>
                <w:szCs w:val="24"/>
              </w:rPr>
              <w:t>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ascii="仿宋" w:hAnsi="仿宋" w:eastAsia="仿宋"/>
                <w:b/>
                <w:sz w:val="24"/>
                <w:szCs w:val="24"/>
              </w:rPr>
              <w:t>投标人通过政采云电子交易客户端制作投标文件，请自行前往</w:t>
            </w:r>
            <w:r>
              <w:rPr>
                <w:rFonts w:hint="eastAsia" w:ascii="仿宋" w:hAnsi="仿宋" w:eastAsia="仿宋"/>
                <w:b/>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b/>
                <w:sz w:val="24"/>
                <w:szCs w:val="24"/>
              </w:rPr>
              <w:t>http://zfcg.czt.zj.gov.cn/bidClientTemplate/2019-09-24/12975.html</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ascii="仿宋" w:hAnsi="仿宋" w:eastAsia="仿宋"/>
                <w:b/>
                <w:sz w:val="24"/>
                <w:szCs w:val="24"/>
              </w:rPr>
              <w:t>详见</w:t>
            </w:r>
            <w:r>
              <w:rPr>
                <w:rFonts w:hint="eastAsia" w:ascii="仿宋" w:hAnsi="仿宋" w:eastAsia="仿宋"/>
                <w:b/>
                <w:sz w:val="24"/>
                <w:szCs w:val="24"/>
              </w:rPr>
              <w:t>浙江省“电子交易/不见面开评标”学习专题（网址</w:t>
            </w:r>
            <w:r>
              <w:fldChar w:fldCharType="begin"/>
            </w:r>
            <w:r>
              <w:instrText xml:space="preserve"> HYPERLINK "https://edu.zcygov.cn/luban/e-biding" </w:instrText>
            </w:r>
            <w:r>
              <w:fldChar w:fldCharType="separate"/>
            </w:r>
            <w:r>
              <w:rPr>
                <w:rFonts w:hint="eastAsia" w:ascii="仿宋" w:hAnsi="仿宋" w:eastAsia="仿宋"/>
                <w:b/>
                <w:sz w:val="24"/>
                <w:szCs w:val="24"/>
              </w:rPr>
              <w:t>https://edu.zcygov.cn/luban/e-biding</w:t>
            </w:r>
            <w:r>
              <w:rPr>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auto"/>
                <w:sz w:val="24"/>
                <w:szCs w:val="24"/>
              </w:rPr>
              <w:t>http://www.zjzfcg.gov.cn</w:t>
            </w:r>
            <w:r>
              <w:rPr>
                <w:rStyle w:val="69"/>
                <w:rFonts w:hint="eastAsia" w:ascii="仿宋" w:hAnsi="仿宋" w:eastAsia="仿宋"/>
                <w:color w:val="auto"/>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国库集中支付（采购人自行支付）详见各标项的商务要求表。</w:t>
            </w:r>
          </w:p>
          <w:p>
            <w:pPr>
              <w:autoSpaceDE w:val="0"/>
              <w:autoSpaceDN w:val="0"/>
              <w:snapToGrid w:val="0"/>
              <w:jc w:val="left"/>
              <w:textAlignment w:val="bottom"/>
              <w:rPr>
                <w:rFonts w:ascii="仿宋" w:hAnsi="仿宋" w:eastAsia="仿宋"/>
                <w:sz w:val="28"/>
                <w:szCs w:val="28"/>
              </w:rPr>
            </w:pPr>
            <w:r>
              <w:rPr>
                <w:rFonts w:hint="eastAsia" w:ascii="仿宋_GB2312" w:hAnsi="仿宋" w:eastAsia="仿宋_GB2312"/>
                <w:bCs/>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2"/>
        <w:snapToGrid w:val="0"/>
        <w:spacing w:before="240" w:beforeLines="100" w:after="240" w:afterLines="100" w:line="360" w:lineRule="auto"/>
        <w:jc w:val="center"/>
        <w:rPr>
          <w:rFonts w:ascii="仿宋" w:hAnsi="仿宋" w:eastAsia="仿宋"/>
          <w:b/>
          <w:bCs/>
          <w:sz w:val="28"/>
          <w:szCs w:val="28"/>
        </w:rPr>
      </w:pPr>
      <w:r>
        <w:rPr>
          <w:rFonts w:ascii="仿宋" w:hAnsi="仿宋" w:eastAsia="仿宋_GB2312"/>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w:t>
      </w:r>
      <w:r>
        <w:rPr>
          <w:rFonts w:ascii="仿宋" w:hAnsi="仿宋" w:eastAsia="仿宋"/>
          <w:bCs/>
          <w:sz w:val="28"/>
          <w:szCs w:val="28"/>
        </w:rPr>
        <w:t>指响应招标、参加投标竞争的法人、其他组织或者自然人</w:t>
      </w:r>
      <w:r>
        <w:rPr>
          <w:rFonts w:hint="eastAsia" w:ascii="仿宋" w:hAnsi="仿宋" w:eastAsia="仿宋"/>
          <w:bCs/>
          <w:sz w:val="28"/>
          <w:szCs w:val="28"/>
        </w:rPr>
        <w:t>。</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w:t>
      </w:r>
      <w:r>
        <w:rPr>
          <w:rFonts w:ascii="仿宋" w:hAnsi="仿宋" w:eastAsia="仿宋"/>
          <w:bCs/>
          <w:sz w:val="28"/>
          <w:szCs w:val="28"/>
        </w:rPr>
        <w:t>政府采购项目电子交易平台</w:t>
      </w:r>
      <w:r>
        <w:rPr>
          <w:rFonts w:hint="eastAsia" w:ascii="仿宋" w:hAnsi="仿宋" w:eastAsia="仿宋"/>
          <w:bCs/>
          <w:sz w:val="28"/>
          <w:szCs w:val="28"/>
        </w:rPr>
        <w:t>，即</w:t>
      </w:r>
      <w:r>
        <w:rPr>
          <w:rFonts w:ascii="仿宋" w:hAnsi="仿宋" w:eastAsia="仿宋"/>
          <w:bCs/>
          <w:sz w:val="28"/>
          <w:szCs w:val="28"/>
        </w:rPr>
        <w:t>政采云平台。</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w:t>
      </w:r>
      <w:r>
        <w:rPr>
          <w:rFonts w:ascii="仿宋" w:hAnsi="仿宋" w:eastAsia="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ascii="仿宋" w:hAnsi="仿宋" w:eastAsia="仿宋" w:cs="Arial"/>
          <w:b/>
          <w:sz w:val="28"/>
          <w:szCs w:val="28"/>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2"/>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2"/>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bCs/>
          <w:sz w:val="28"/>
          <w:szCs w:val="28"/>
        </w:rPr>
        <w:t>http://zfcg.czt.zj.gov.cn/</w:t>
      </w:r>
      <w:r>
        <w:rPr>
          <w:rFonts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2"/>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2"/>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2"/>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2"/>
        <w:snapToGrid w:val="0"/>
        <w:spacing w:before="240" w:beforeLines="100" w:after="24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2"/>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w:t>
      </w:r>
      <w:r>
        <w:rPr>
          <w:rFonts w:ascii="仿宋" w:hAnsi="仿宋" w:eastAsia="仿宋"/>
          <w:b/>
          <w:bCs/>
          <w:sz w:val="28"/>
          <w:szCs w:val="28"/>
        </w:rPr>
        <w:t>政采云电子交易客户端，</w:t>
      </w:r>
      <w:r>
        <w:rPr>
          <w:rFonts w:hint="eastAsia" w:ascii="仿宋" w:hAnsi="仿宋" w:eastAsia="仿宋"/>
          <w:b/>
          <w:bCs/>
          <w:sz w:val="28"/>
          <w:szCs w:val="28"/>
        </w:rPr>
        <w:t>下载网址：</w:t>
      </w:r>
      <w:r>
        <w:fldChar w:fldCharType="begin"/>
      </w:r>
      <w:r>
        <w:instrText xml:space="preserve"> HYPERLINK "http://zfcg.czt.zj.gov.cn/bidClientTemplate/2019-09-24/12975.html" </w:instrText>
      </w:r>
      <w:r>
        <w:fldChar w:fldCharType="separate"/>
      </w:r>
      <w:r>
        <w:rPr>
          <w:rFonts w:ascii="仿宋" w:hAnsi="仿宋" w:eastAsia="仿宋"/>
          <w:b/>
          <w:bCs/>
          <w:sz w:val="28"/>
          <w:szCs w:val="28"/>
        </w:rPr>
        <w:t>http://zfcg.czt.zj.gov.cn/bidClientTemplate/2019-09-24/12975.html</w:t>
      </w:r>
      <w:r>
        <w:rPr>
          <w:rFonts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电子投标文件每个标项由资质文件、技术商务文件、投标报价文件三部份组成，具体详见“第六章  投标文件格式附件”。备份投标文件的组成和内容等同电子投标文件。</w:t>
      </w:r>
    </w:p>
    <w:p>
      <w:pPr>
        <w:pStyle w:val="51"/>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8"/>
        <w:widowControl w:val="0"/>
        <w:tabs>
          <w:tab w:val="clear" w:pos="454"/>
        </w:tabs>
        <w:snapToGrid w:val="0"/>
        <w:spacing w:before="120" w:beforeLines="50" w:after="120" w:line="460" w:lineRule="exact"/>
        <w:ind w:left="0" w:firstLine="548" w:firstLineChars="196"/>
        <w:rPr>
          <w:rFonts w:ascii="仿宋" w:hAnsi="仿宋" w:eastAsia="仿宋"/>
          <w:bCs/>
          <w:kern w:val="2"/>
          <w:sz w:val="28"/>
          <w:szCs w:val="28"/>
        </w:rPr>
      </w:pPr>
      <w:r>
        <w:rPr>
          <w:rFonts w:hint="eastAsia" w:ascii="仿宋" w:hAnsi="仿宋" w:eastAsia="仿宋"/>
          <w:bCs/>
          <w:kern w:val="2"/>
          <w:sz w:val="28"/>
          <w:szCs w:val="28"/>
        </w:rPr>
        <w:t>（五）投标文件的有效期</w:t>
      </w:r>
    </w:p>
    <w:p>
      <w:pPr>
        <w:pStyle w:val="18"/>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1.自投标截止日起90天内投标文件应保持有效。有效期不足的投标文件将作无效标处理。</w:t>
      </w:r>
    </w:p>
    <w:p>
      <w:pPr>
        <w:pStyle w:val="18"/>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2"/>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2"/>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2"/>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w:t>
      </w:r>
      <w:r>
        <w:rPr>
          <w:rFonts w:ascii="仿宋" w:hAnsi="仿宋" w:eastAsia="仿宋"/>
          <w:bCs/>
          <w:sz w:val="28"/>
          <w:szCs w:val="28"/>
        </w:rPr>
        <w:t>税金</w:t>
      </w:r>
      <w:r>
        <w:rPr>
          <w:rFonts w:hint="eastAsia" w:ascii="仿宋" w:hAnsi="仿宋" w:eastAsia="仿宋"/>
          <w:bCs/>
          <w:sz w:val="28"/>
          <w:szCs w:val="28"/>
        </w:rPr>
        <w:t>、货到就位以及安装、调试、培训、保修等</w:t>
      </w:r>
      <w:r>
        <w:rPr>
          <w:rFonts w:ascii="仿宋" w:hAnsi="仿宋" w:eastAsia="仿宋"/>
          <w:bCs/>
          <w:sz w:val="28"/>
          <w:szCs w:val="28"/>
        </w:rPr>
        <w:t>一切税金</w:t>
      </w:r>
      <w:r>
        <w:rPr>
          <w:rFonts w:hint="eastAsia" w:ascii="仿宋" w:hAnsi="仿宋" w:eastAsia="仿宋"/>
          <w:bCs/>
          <w:sz w:val="28"/>
          <w:szCs w:val="28"/>
        </w:rPr>
        <w:t>和费用）。</w:t>
      </w:r>
    </w:p>
    <w:p>
      <w:pPr>
        <w:pStyle w:val="32"/>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pStyle w:val="32"/>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4</w:t>
      </w:r>
      <w:r>
        <w:rPr>
          <w:rFonts w:ascii="仿宋" w:hAnsi="仿宋" w:eastAsia="仿宋"/>
          <w:bCs/>
          <w:sz w:val="28"/>
          <w:szCs w:val="28"/>
        </w:rPr>
        <w:t>.</w:t>
      </w:r>
      <w:r>
        <w:rPr>
          <w:rFonts w:hint="eastAsia" w:ascii="仿宋" w:hAnsi="仿宋" w:eastAsia="仿宋"/>
          <w:bCs/>
          <w:sz w:val="28"/>
          <w:szCs w:val="28"/>
        </w:rPr>
        <w:t>资质文件、技术商务文件中不得出现投标报价信息，否则按无效标处理。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2"/>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2"/>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2"/>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2"/>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2"/>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w:t>
      </w:r>
    </w:p>
    <w:p>
      <w:pPr>
        <w:pStyle w:val="32"/>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2"/>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2"/>
        <w:snapToGrid w:val="0"/>
        <w:spacing w:before="120" w:after="120"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ascii="仿宋" w:hAnsi="仿宋" w:eastAsia="仿宋"/>
          <w:b/>
          <w:bCs/>
          <w:sz w:val="28"/>
          <w:szCs w:val="28"/>
        </w:rPr>
        <w:tab/>
      </w:r>
    </w:p>
    <w:p>
      <w:pPr>
        <w:pStyle w:val="32"/>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2"/>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2"/>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w:t>
      </w:r>
      <w:r>
        <w:rPr>
          <w:rFonts w:ascii="仿宋" w:hAnsi="仿宋" w:eastAsia="仿宋"/>
          <w:b/>
          <w:bCs/>
          <w:sz w:val="28"/>
          <w:szCs w:val="28"/>
        </w:rPr>
        <w:t>.</w:t>
      </w:r>
      <w:r>
        <w:rPr>
          <w:rFonts w:hint="eastAsia" w:ascii="仿宋" w:hAnsi="仿宋" w:eastAsia="仿宋"/>
          <w:b/>
          <w:bCs/>
          <w:sz w:val="28"/>
          <w:szCs w:val="28"/>
        </w:rPr>
        <w:t>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2"/>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2"/>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2"/>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2"/>
        <w:snapToGrid w:val="0"/>
        <w:spacing w:before="240" w:beforeLines="100" w:after="240" w:afterLines="100" w:line="360" w:lineRule="auto"/>
        <w:jc w:val="center"/>
        <w:rPr>
          <w:rFonts w:ascii="仿宋" w:hAnsi="仿宋" w:eastAsia="仿宋"/>
          <w:b/>
          <w:sz w:val="30"/>
          <w:szCs w:val="30"/>
        </w:rPr>
      </w:pPr>
    </w:p>
    <w:p>
      <w:pPr>
        <w:pStyle w:val="32"/>
        <w:snapToGrid w:val="0"/>
        <w:spacing w:before="240" w:beforeLines="100" w:after="240" w:afterLines="100" w:line="360" w:lineRule="auto"/>
        <w:jc w:val="center"/>
        <w:rPr>
          <w:rFonts w:ascii="仿宋" w:hAnsi="仿宋" w:eastAsia="仿宋"/>
          <w:b/>
          <w:sz w:val="30"/>
          <w:szCs w:val="30"/>
        </w:rPr>
      </w:pPr>
    </w:p>
    <w:p>
      <w:pPr>
        <w:pStyle w:val="32"/>
        <w:snapToGrid w:val="0"/>
        <w:spacing w:before="240" w:beforeLines="100" w:after="240" w:afterLines="100" w:line="360" w:lineRule="auto"/>
        <w:jc w:val="center"/>
        <w:rPr>
          <w:rFonts w:ascii="仿宋" w:hAnsi="仿宋" w:eastAsia="仿宋"/>
          <w:b/>
          <w:sz w:val="30"/>
          <w:szCs w:val="30"/>
        </w:rPr>
      </w:pP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2"/>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2"/>
        <w:snapToGrid w:val="0"/>
        <w:spacing w:before="240" w:beforeLines="100" w:after="240" w:afterLines="100" w:line="360" w:lineRule="auto"/>
        <w:jc w:val="center"/>
        <w:rPr>
          <w:rFonts w:ascii="仿宋" w:hAnsi="仿宋" w:eastAsia="仿宋"/>
          <w:b/>
          <w:sz w:val="30"/>
          <w:szCs w:val="30"/>
        </w:rPr>
      </w:pP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货款由采购人按采购文件规定的付款方式自行支付。纳入国库集中支付的，按照国库集中支付有关规定付款。</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1.对中小企业合同预付款比例原则上不低于合同金额的40％，不高于合同金额的70%；</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2.项目分年安排预算的，每年预付款比例不低于项目年度计划支付资金额的40％，不高于年度计划支付资金额的70%；</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3.采购项目实施以人工投入为主的，可适当降低预付款比例，但不得低于20%。</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4.对供应商为大型企业的项目或者以人工投入为主且实行按月定期结算支付款项的项目，预付款可低于上述比例或者不约定预付款。</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备注：在签订合同时，供应商明确表示无需预付款或者主动要求降低预付款比例的，采购单位可不适用前述预付款比例的规定。</w:t>
      </w:r>
    </w:p>
    <w:p>
      <w:pPr>
        <w:pStyle w:val="32"/>
        <w:spacing w:before="120" w:after="120" w:line="360" w:lineRule="auto"/>
        <w:jc w:val="center"/>
        <w:rPr>
          <w:rFonts w:ascii="仿宋" w:hAnsi="仿宋" w:eastAsia="仿宋"/>
          <w:b/>
          <w:sz w:val="28"/>
          <w:szCs w:val="28"/>
        </w:rPr>
      </w:pPr>
    </w:p>
    <w:p>
      <w:pPr>
        <w:pStyle w:val="32"/>
        <w:snapToGrid w:val="0"/>
        <w:spacing w:before="120" w:after="120" w:line="240" w:lineRule="auto"/>
        <w:ind w:firstLine="600" w:firstLineChars="200"/>
        <w:rPr>
          <w:rFonts w:ascii="仿宋_GB2312" w:hAnsi="仿宋" w:eastAsia="仿宋_GB2312"/>
          <w:sz w:val="30"/>
          <w:szCs w:val="30"/>
        </w:rPr>
      </w:pPr>
    </w:p>
    <w:p>
      <w:pPr>
        <w:pStyle w:val="32"/>
        <w:spacing w:before="120" w:after="120" w:line="360" w:lineRule="auto"/>
        <w:jc w:val="center"/>
        <w:outlineLvl w:val="0"/>
        <w:rPr>
          <w:rFonts w:hAnsi="宋体"/>
          <w:b/>
          <w:sz w:val="36"/>
          <w:szCs w:val="36"/>
        </w:rPr>
      </w:pPr>
      <w:r>
        <w:rPr>
          <w:rFonts w:hAnsi="宋体"/>
          <w:b/>
          <w:sz w:val="36"/>
          <w:szCs w:val="36"/>
        </w:rPr>
        <w:br w:type="page"/>
      </w:r>
      <w:bookmarkStart w:id="19" w:name="_Toc496796637"/>
      <w:r>
        <w:rPr>
          <w:rFonts w:hint="eastAsia" w:hAnsi="宋体"/>
          <w:b/>
          <w:sz w:val="36"/>
          <w:szCs w:val="36"/>
        </w:rPr>
        <w:t>第三章  评标办法及评分标准</w:t>
      </w:r>
      <w:bookmarkEnd w:id="19"/>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30"/>
          <w:szCs w:val="30"/>
        </w:rPr>
        <w:t>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p>
    <w:p>
      <w:pPr>
        <w:spacing w:before="120" w:beforeLines="50" w:after="120" w:afterLines="50" w:line="360" w:lineRule="auto"/>
        <w:rPr>
          <w:rFonts w:hAnsi="宋体"/>
          <w:b/>
          <w:sz w:val="36"/>
          <w:szCs w:val="36"/>
        </w:rPr>
      </w:pPr>
      <w:r>
        <w:rPr>
          <w:rFonts w:ascii="仿宋" w:hAnsi="仿宋" w:eastAsia="仿宋_GB2312"/>
          <w:bCs/>
          <w:sz w:val="30"/>
          <w:szCs w:val="30"/>
        </w:rPr>
        <w:br w:type="page"/>
      </w:r>
      <w:r>
        <w:rPr>
          <w:rFonts w:hint="eastAsia" w:ascii="仿宋" w:hAnsi="仿宋" w:eastAsia="仿宋_GB2312"/>
          <w:b/>
          <w:sz w:val="32"/>
          <w:szCs w:val="32"/>
        </w:rPr>
        <w:t>三、评标内容及标</w:t>
      </w:r>
      <w:r>
        <w:rPr>
          <w:rFonts w:hint="eastAsia" w:ascii="仿宋" w:hAnsi="仿宋" w:eastAsia="仿宋_GB2312"/>
          <w:b/>
          <w:sz w:val="30"/>
          <w:szCs w:val="30"/>
        </w:rPr>
        <w:t>准</w:t>
      </w:r>
      <w:bookmarkStart w:id="20" w:name="_Toc496796638"/>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573"/>
        <w:gridCol w:w="4758"/>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pPr>
              <w:spacing w:before="120" w:beforeLines="50" w:after="120" w:afterLines="50" w:line="340" w:lineRule="exact"/>
              <w:rPr>
                <w:rFonts w:hint="eastAsia" w:ascii="仿宋_GB2312" w:hAnsi="宋体" w:eastAsia="仿宋_GB2312"/>
                <w:b/>
                <w:sz w:val="32"/>
                <w:szCs w:val="32"/>
                <w:vertAlign w:val="baseline"/>
                <w:lang w:eastAsia="zh-CN"/>
              </w:rPr>
            </w:pPr>
            <w:bookmarkStart w:id="21" w:name="PO_TDCUS_ITEM_SM_TABLE_1_1"/>
            <w:r>
              <w:rPr>
                <w:rFonts w:hint="eastAsia" w:ascii="仿宋_GB2312" w:hAnsi="宋体" w:eastAsia="仿宋_GB2312"/>
                <w:b/>
                <w:sz w:val="32"/>
                <w:szCs w:val="32"/>
                <w:vertAlign w:val="baseline"/>
                <w:lang w:eastAsia="zh-CN"/>
              </w:rPr>
              <w:t>序号</w:t>
            </w:r>
          </w:p>
        </w:tc>
        <w:tc>
          <w:tcPr>
            <w:tcW w:w="92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评分类型</w:t>
            </w:r>
          </w:p>
        </w:tc>
        <w:tc>
          <w:tcPr>
            <w:tcW w:w="2789"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w:t>
            </w:r>
          </w:p>
        </w:tc>
        <w:tc>
          <w:tcPr>
            <w:tcW w:w="92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报价</w:t>
            </w:r>
          </w:p>
        </w:tc>
        <w:tc>
          <w:tcPr>
            <w:tcW w:w="2789"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(最低报价/投标报价)*最大分值</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w:t>
            </w:r>
          </w:p>
        </w:tc>
        <w:tc>
          <w:tcPr>
            <w:tcW w:w="92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9"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符合明确指标参数得24分。标有“★”的，属负偏离或缺漏项的每项扣3分；未标“★”的，属负偏离或缺漏项的每项扣2分；标有“★”的和未标“★”的，负偏离共达到5个及以上的按重大偏离处理。</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w:t>
            </w:r>
          </w:p>
        </w:tc>
        <w:tc>
          <w:tcPr>
            <w:tcW w:w="92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9"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对性能指标、技术参数属正偏或高配的、有先进程度的正偏离每项加1分（最高分为5分），无实质性意义的正偏离不加分。</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c>
          <w:tcPr>
            <w:tcW w:w="92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9"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w:t>
            </w:r>
          </w:p>
        </w:tc>
        <w:tc>
          <w:tcPr>
            <w:tcW w:w="92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9"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所投产品的技术先进性。</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c>
          <w:tcPr>
            <w:tcW w:w="92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9"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系统集成的具体技术解决方案。</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6</w:t>
            </w:r>
          </w:p>
        </w:tc>
        <w:tc>
          <w:tcPr>
            <w:tcW w:w="92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9"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项目系统集成具体实施计划。</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7</w:t>
            </w:r>
          </w:p>
        </w:tc>
        <w:tc>
          <w:tcPr>
            <w:tcW w:w="92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9"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系统集成项目组实施人员能力情况（详见招标需求）。</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8</w:t>
            </w:r>
          </w:p>
        </w:tc>
        <w:tc>
          <w:tcPr>
            <w:tcW w:w="92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89"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项目维护计划（驻点人员安排，定期巡检，备品备件等情况）的有效性等。</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9</w:t>
            </w:r>
          </w:p>
        </w:tc>
        <w:tc>
          <w:tcPr>
            <w:tcW w:w="92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89"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售后服务的响应情况（对用户故障响应、处理等）。</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10</w:t>
            </w:r>
          </w:p>
        </w:tc>
        <w:tc>
          <w:tcPr>
            <w:tcW w:w="92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89"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培训方案、计划的可行性及合理性。</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11</w:t>
            </w:r>
          </w:p>
        </w:tc>
        <w:tc>
          <w:tcPr>
            <w:tcW w:w="92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89"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公司技术力量情况（详见商务要求表）。</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12</w:t>
            </w:r>
          </w:p>
        </w:tc>
        <w:tc>
          <w:tcPr>
            <w:tcW w:w="92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89"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经验及业绩（详见商务要求表）。</w:t>
            </w:r>
          </w:p>
        </w:tc>
        <w:tc>
          <w:tcPr>
            <w:tcW w:w="710"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0~3</w:t>
            </w:r>
          </w:p>
        </w:tc>
      </w:tr>
    </w:tbl>
    <w:p>
      <w:pPr>
        <w:spacing w:before="120" w:beforeLines="50" w:after="120" w:afterLines="50" w:line="340" w:lineRule="exact"/>
        <w:rPr>
          <w:rFonts w:hint="eastAsia" w:ascii="仿宋_GB2312" w:hAnsi="宋体" w:eastAsia="仿宋_GB2312"/>
          <w:b/>
          <w:sz w:val="32"/>
          <w:szCs w:val="32"/>
          <w:lang w:eastAsia="zh-CN"/>
        </w:rPr>
      </w:pPr>
      <w:r>
        <w:rPr>
          <w:rFonts w:hint="eastAsia" w:ascii="仿宋_GB2312" w:hAnsi="宋体" w:eastAsia="仿宋_GB2312"/>
          <w:b/>
          <w:sz w:val="32"/>
          <w:szCs w:val="32"/>
          <w:lang w:eastAsia="zh-CN"/>
        </w:rPr>
        <w:t xml:space="preserve"> </w:t>
      </w:r>
      <w:bookmarkEnd w:id="21"/>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both"/>
        <w:outlineLvl w:val="0"/>
        <w:rPr>
          <w:rFonts w:hAnsi="宋体"/>
          <w:b/>
          <w:sz w:val="36"/>
          <w:szCs w:val="36"/>
        </w:rPr>
      </w:pPr>
    </w:p>
    <w:p>
      <w:pPr>
        <w:spacing w:after="240" w:afterLines="100" w:line="340" w:lineRule="exact"/>
        <w:jc w:val="center"/>
        <w:outlineLvl w:val="0"/>
        <w:rPr>
          <w:rFonts w:hAnsi="宋体"/>
          <w:b/>
          <w:sz w:val="36"/>
          <w:szCs w:val="36"/>
        </w:rPr>
      </w:pPr>
      <w:r>
        <w:rPr>
          <w:rFonts w:hint="eastAsia" w:hAnsi="宋体"/>
          <w:b/>
          <w:sz w:val="36"/>
          <w:szCs w:val="36"/>
        </w:rPr>
        <w:t>第四章</w:t>
      </w:r>
      <w:r>
        <w:rPr>
          <w:rFonts w:hint="eastAsia" w:hAnsi="宋体"/>
          <w:b/>
          <w:sz w:val="36"/>
          <w:szCs w:val="36"/>
          <w:lang w:val="en-US" w:eastAsia="zh-CN"/>
        </w:rPr>
        <w:t xml:space="preserve"> </w:t>
      </w:r>
      <w:r>
        <w:rPr>
          <w:rFonts w:hint="eastAsia" w:hAnsi="宋体"/>
          <w:b/>
          <w:sz w:val="36"/>
          <w:szCs w:val="36"/>
        </w:rPr>
        <w:t>招标需求</w:t>
      </w:r>
      <w:bookmarkEnd w:id="20"/>
    </w:p>
    <w:p>
      <w:pPr>
        <w:snapToGrid w:val="0"/>
        <w:spacing w:before="120" w:beforeLines="50" w:after="120" w:afterLines="50"/>
        <w:rPr>
          <w:rFonts w:ascii="宋体" w:hAnsi="宋体" w:eastAsiaTheme="minorEastAsia"/>
          <w:b/>
          <w:spacing w:val="40"/>
          <w:kern w:val="0"/>
          <w:sz w:val="36"/>
          <w:szCs w:val="36"/>
        </w:rPr>
      </w:pPr>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4"/>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2"/>
        <w:spacing w:before="120" w:after="120" w:line="360" w:lineRule="auto"/>
        <w:rPr>
          <w:rFonts w:ascii="仿宋" w:hAnsi="仿宋" w:eastAsia="仿宋" w:cs="Arial"/>
          <w:b/>
          <w:sz w:val="28"/>
          <w:szCs w:val="28"/>
        </w:rPr>
      </w:pPr>
      <w:bookmarkStart w:id="22" w:name="_Toc496796639"/>
    </w:p>
    <w:p>
      <w:pPr>
        <w:pStyle w:val="5"/>
        <w:widowControl/>
        <w:numPr>
          <w:ilvl w:val="0"/>
          <w:numId w:val="0"/>
        </w:numPr>
        <w:spacing w:before="0" w:after="0" w:line="360" w:lineRule="auto"/>
        <w:ind w:leftChars="0"/>
        <w:jc w:val="left"/>
        <w:rPr>
          <w:rFonts w:hint="eastAsia" w:hAnsi="宋体"/>
          <w:b/>
          <w:sz w:val="36"/>
          <w:szCs w:val="36"/>
          <w:lang w:eastAsia="zh-CN"/>
        </w:rPr>
      </w:pPr>
      <w:bookmarkStart w:id="23" w:name="PO_TDCUS_ITEM_PB_REQ_TITLE_1_0"/>
    </w:p>
    <w:p>
      <w:pPr>
        <w:pStyle w:val="5"/>
        <w:widowControl/>
        <w:numPr>
          <w:ilvl w:val="0"/>
          <w:numId w:val="0"/>
        </w:numPr>
        <w:spacing w:before="0" w:after="0" w:line="360" w:lineRule="auto"/>
        <w:ind w:leftChars="0"/>
        <w:jc w:val="left"/>
        <w:rPr>
          <w:rFonts w:hint="eastAsia" w:hAnsi="宋体"/>
          <w:b/>
          <w:sz w:val="36"/>
          <w:szCs w:val="36"/>
          <w:lang w:eastAsia="zh-CN"/>
        </w:rPr>
      </w:pPr>
    </w:p>
    <w:p>
      <w:pPr>
        <w:pStyle w:val="5"/>
        <w:widowControl/>
        <w:numPr>
          <w:ilvl w:val="0"/>
          <w:numId w:val="0"/>
        </w:numPr>
        <w:spacing w:before="0" w:after="0" w:line="360" w:lineRule="auto"/>
        <w:ind w:leftChars="0"/>
        <w:jc w:val="left"/>
        <w:rPr>
          <w:rFonts w:hint="eastAsia" w:hAnsi="宋体"/>
          <w:b/>
          <w:sz w:val="36"/>
          <w:szCs w:val="36"/>
          <w:lang w:eastAsia="zh-CN"/>
        </w:rPr>
      </w:pPr>
    </w:p>
    <w:p>
      <w:pPr>
        <w:pStyle w:val="5"/>
        <w:widowControl/>
        <w:numPr>
          <w:ilvl w:val="0"/>
          <w:numId w:val="0"/>
        </w:numPr>
        <w:spacing w:before="0" w:after="0" w:line="360" w:lineRule="auto"/>
        <w:ind w:leftChars="0"/>
        <w:jc w:val="left"/>
        <w:rPr>
          <w:rFonts w:hint="eastAsia" w:hAnsi="宋体"/>
          <w:b/>
          <w:sz w:val="36"/>
          <w:szCs w:val="36"/>
          <w:lang w:eastAsia="zh-CN"/>
        </w:rPr>
      </w:pPr>
    </w:p>
    <w:p>
      <w:pPr>
        <w:spacing w:line="360" w:lineRule="auto"/>
        <w:ind w:firstLine="723" w:firstLineChars="200"/>
        <w:jc w:val="center"/>
        <w:rPr>
          <w:rFonts w:hint="eastAsia" w:ascii="仿宋" w:hAnsi="仿宋" w:eastAsia="仿宋" w:cs="Times New Roman"/>
          <w:b/>
          <w:sz w:val="36"/>
          <w:szCs w:val="36"/>
          <w:lang w:eastAsia="zh-CN"/>
        </w:rPr>
      </w:pPr>
    </w:p>
    <w:p>
      <w:pPr>
        <w:spacing w:line="360" w:lineRule="auto"/>
        <w:ind w:firstLine="723" w:firstLineChars="200"/>
        <w:jc w:val="center"/>
        <w:rPr>
          <w:rFonts w:hint="eastAsia" w:ascii="仿宋" w:hAnsi="仿宋" w:eastAsia="仿宋" w:cs="Times New Roman"/>
          <w:b/>
          <w:sz w:val="36"/>
          <w:szCs w:val="36"/>
          <w:lang w:eastAsia="zh-CN"/>
        </w:rPr>
      </w:pPr>
    </w:p>
    <w:p>
      <w:pPr>
        <w:spacing w:line="360" w:lineRule="auto"/>
        <w:ind w:firstLine="723" w:firstLineChars="200"/>
        <w:jc w:val="center"/>
        <w:rPr>
          <w:rFonts w:hint="eastAsia" w:ascii="仿宋" w:hAnsi="仿宋" w:eastAsia="仿宋" w:cs="Times New Roman"/>
          <w:b/>
          <w:sz w:val="36"/>
          <w:szCs w:val="36"/>
          <w:lang w:eastAsia="zh-CN"/>
        </w:rPr>
      </w:pPr>
    </w:p>
    <w:bookmarkEnd w:id="23"/>
    <w:p>
      <w:pPr>
        <w:pStyle w:val="5"/>
        <w:widowControl/>
        <w:numPr>
          <w:ilvl w:val="0"/>
          <w:numId w:val="0"/>
        </w:numPr>
        <w:spacing w:before="0" w:after="0" w:line="360" w:lineRule="auto"/>
        <w:ind w:leftChars="0"/>
        <w:jc w:val="center"/>
        <w:rPr>
          <w:rFonts w:hint="eastAsia" w:ascii="仿宋" w:hAnsi="仿宋" w:eastAsia="仿宋" w:cs="Times New Roman"/>
          <w:b/>
          <w:bCs w:val="0"/>
          <w:kern w:val="2"/>
          <w:sz w:val="30"/>
          <w:szCs w:val="30"/>
          <w:lang w:val="en-US" w:eastAsia="zh-CN" w:bidi="ar-SA"/>
        </w:rPr>
      </w:pPr>
      <w:bookmarkStart w:id="24" w:name="PO_TDCUS_ITEM_PB_REQ_TITLE_1"/>
      <w:r>
        <w:rPr>
          <w:rFonts w:hint="eastAsia" w:ascii="仿宋" w:hAnsi="仿宋" w:eastAsia="仿宋" w:cs="Times New Roman"/>
          <w:b/>
          <w:bCs w:val="0"/>
          <w:kern w:val="2"/>
          <w:sz w:val="30"/>
          <w:szCs w:val="30"/>
          <w:lang w:val="en-US" w:eastAsia="zh-CN" w:bidi="ar-SA"/>
        </w:rPr>
        <w:t>标项1:</w:t>
      </w:r>
      <w:bookmarkEnd w:id="24"/>
      <w:bookmarkStart w:id="25" w:name="PO_TDCUS_ITEM_PB_REQ_FILE_1_1"/>
      <w:r>
        <w:rPr>
          <w:rFonts w:hint="eastAsia" w:ascii="仿宋" w:hAnsi="仿宋" w:eastAsia="仿宋" w:cs="Times New Roman"/>
          <w:b/>
          <w:bCs w:val="0"/>
          <w:kern w:val="2"/>
          <w:sz w:val="30"/>
          <w:szCs w:val="30"/>
          <w:lang w:val="en-US" w:eastAsia="zh-CN" w:bidi="ar-SA"/>
        </w:rPr>
        <w:t>浙江省委网信办（本级）通用设备及网络安全升级项目</w:t>
      </w:r>
    </w:p>
    <w:p>
      <w:pPr>
        <w:pStyle w:val="465"/>
        <w:ind w:firstLine="480"/>
        <w:rPr>
          <w:rFonts w:hint="eastAsia"/>
        </w:rPr>
      </w:pPr>
    </w:p>
    <w:p>
      <w:pPr>
        <w:pStyle w:val="465"/>
        <w:ind w:left="0" w:leftChars="0" w:firstLine="0" w:firstLineChars="0"/>
        <w:rPr>
          <w:rFonts w:hint="eastAsia"/>
        </w:rPr>
      </w:pPr>
    </w:p>
    <w:p>
      <w:pPr>
        <w:pStyle w:val="465"/>
        <w:ind w:firstLine="480"/>
      </w:pPr>
      <w:r>
        <w:rPr>
          <w:rFonts w:hint="eastAsia"/>
        </w:rPr>
        <w:t>随着平台业务的扩展，本平台业务在互联网区、网信专网区、政务外网区、网信数据中心四个网络区域进行开展，发现当前在日志审计、终端安全、上网行为管理、应用防护、网络准入、认证访问、运维管理、加密通信以及数据安全等方面的存在安全弱点，基础资源承载能力以及在流量日志汇聚能力上存在不足，现需针对能力短板进行有针对性的提升建设。</w:t>
      </w:r>
    </w:p>
    <w:p>
      <w:pPr>
        <w:pStyle w:val="6"/>
      </w:pPr>
      <w:r>
        <w:rPr>
          <w:rFonts w:hint="eastAsia"/>
        </w:rPr>
        <w:t>1、网信专网区</w:t>
      </w:r>
    </w:p>
    <w:p>
      <w:pPr>
        <w:pStyle w:val="465"/>
        <w:numPr>
          <w:ilvl w:val="1"/>
          <w:numId w:val="31"/>
        </w:numPr>
        <w:ind w:left="0" w:firstLine="482"/>
        <w:rPr>
          <w:rFonts w:ascii="宋体" w:hAnsi="宋体" w:eastAsia="宋体"/>
          <w:b/>
          <w:bCs/>
        </w:rPr>
      </w:pPr>
      <w:r>
        <w:rPr>
          <w:rFonts w:hint="eastAsia" w:ascii="宋体" w:hAnsi="宋体" w:eastAsia="宋体"/>
          <w:b/>
          <w:bCs/>
        </w:rPr>
        <w:t>提升日志数据汇聚能力</w:t>
      </w:r>
    </w:p>
    <w:p>
      <w:pPr>
        <w:pStyle w:val="465"/>
        <w:ind w:firstLine="480"/>
      </w:pPr>
      <w:r>
        <w:rPr>
          <w:rFonts w:hint="eastAsia"/>
          <w:szCs w:val="32"/>
        </w:rPr>
        <w:t>由于需要对接移动、联通、电信的日志数据，需对现有日志数据汇聚能力进行扩容，从而满足多维度分析</w:t>
      </w:r>
      <w:r>
        <w:rPr>
          <w:rFonts w:hint="eastAsia" w:ascii="宋体" w:hAnsi="宋体" w:eastAsia="宋体"/>
        </w:rPr>
        <w:t>能力</w:t>
      </w:r>
      <w:r>
        <w:rPr>
          <w:rFonts w:hint="eastAsia"/>
          <w:szCs w:val="32"/>
        </w:rPr>
        <w:t>，提高安全态势感知预警能力与安全监测水平。</w:t>
      </w:r>
    </w:p>
    <w:p>
      <w:pPr>
        <w:pStyle w:val="465"/>
        <w:numPr>
          <w:ilvl w:val="1"/>
          <w:numId w:val="31"/>
        </w:numPr>
        <w:ind w:left="0" w:firstLine="482"/>
        <w:rPr>
          <w:rFonts w:ascii="宋体" w:hAnsi="宋体" w:eastAsia="宋体"/>
          <w:b/>
          <w:bCs/>
        </w:rPr>
      </w:pPr>
      <w:r>
        <w:rPr>
          <w:rFonts w:hint="eastAsia" w:ascii="宋体" w:hAnsi="宋体" w:eastAsia="宋体"/>
          <w:b/>
          <w:bCs/>
        </w:rPr>
        <w:t>建设终端安全及管理能力</w:t>
      </w:r>
    </w:p>
    <w:p>
      <w:pPr>
        <w:pStyle w:val="465"/>
        <w:ind w:firstLine="480"/>
        <w:rPr>
          <w:szCs w:val="32"/>
        </w:rPr>
      </w:pPr>
      <w:r>
        <w:rPr>
          <w:rFonts w:hint="eastAsia"/>
          <w:szCs w:val="32"/>
        </w:rPr>
        <w:t>在重要</w:t>
      </w:r>
      <w:r>
        <w:rPr>
          <w:szCs w:val="32"/>
        </w:rPr>
        <w:t>PC</w:t>
      </w:r>
      <w:r>
        <w:rPr>
          <w:rFonts w:hint="eastAsia"/>
          <w:szCs w:val="32"/>
        </w:rPr>
        <w:t>与服务器上安装主机安全及管理系统，通过对终端上用户行为事件、系统安全事件、病毒查杀、防暴力破解、抗CC攻击、网络通信数据等进行归一化处理和关联分析，提供针对性的技术手段对服务器进行防护，对终端资产和安全情况进行全面掌握、清晰、准确判断存在的安全风险，对终端发生的安全事件及时响应处理。</w:t>
      </w:r>
    </w:p>
    <w:p>
      <w:pPr>
        <w:pStyle w:val="465"/>
        <w:numPr>
          <w:ilvl w:val="1"/>
          <w:numId w:val="31"/>
        </w:numPr>
        <w:ind w:left="0" w:firstLine="482"/>
        <w:rPr>
          <w:rFonts w:ascii="宋体" w:hAnsi="宋体" w:eastAsia="宋体"/>
          <w:b/>
          <w:bCs/>
        </w:rPr>
      </w:pPr>
      <w:r>
        <w:rPr>
          <w:rFonts w:hint="eastAsia" w:ascii="宋体" w:hAnsi="宋体" w:eastAsia="宋体"/>
          <w:b/>
          <w:bCs/>
        </w:rPr>
        <w:t>建设上网行为管理能力</w:t>
      </w:r>
    </w:p>
    <w:p>
      <w:pPr>
        <w:pStyle w:val="465"/>
        <w:ind w:firstLine="480"/>
        <w:rPr>
          <w:szCs w:val="32"/>
        </w:rPr>
      </w:pPr>
      <w:r>
        <w:rPr>
          <w:rFonts w:hint="eastAsia"/>
          <w:szCs w:val="32"/>
        </w:rPr>
        <w:t>建设上网行为管理能力，让上网行为有据可查、合法合规。对网络中的访问、即时交互系统进行精细化识别和</w:t>
      </w:r>
      <w:r>
        <w:rPr>
          <w:rFonts w:hint="eastAsia" w:ascii="宋体" w:hAnsi="宋体" w:eastAsia="宋体"/>
        </w:rPr>
        <w:t>控制</w:t>
      </w:r>
      <w:r>
        <w:rPr>
          <w:rFonts w:hint="eastAsia"/>
          <w:szCs w:val="32"/>
        </w:rPr>
        <w:t>。</w:t>
      </w:r>
      <w:r>
        <w:rPr>
          <w:szCs w:val="32"/>
        </w:rPr>
        <w:t>并利用智能流控、智能阻断、智能路由等技术，配合创新的</w:t>
      </w:r>
      <w:r>
        <w:rPr>
          <w:rFonts w:hint="eastAsia"/>
          <w:szCs w:val="32"/>
        </w:rPr>
        <w:t>上网行为审计功能、清晰易用的管理日志功能等，提供全面、完善的上网行为审计。</w:t>
      </w:r>
    </w:p>
    <w:p>
      <w:pPr>
        <w:pStyle w:val="465"/>
        <w:numPr>
          <w:ilvl w:val="1"/>
          <w:numId w:val="31"/>
        </w:numPr>
        <w:ind w:left="0" w:firstLine="482"/>
        <w:rPr>
          <w:rFonts w:ascii="宋体" w:hAnsi="宋体" w:eastAsia="宋体"/>
          <w:b/>
          <w:bCs/>
        </w:rPr>
      </w:pPr>
      <w:r>
        <w:rPr>
          <w:rFonts w:hint="eastAsia" w:ascii="宋体" w:hAnsi="宋体" w:eastAsia="宋体"/>
          <w:b/>
          <w:bCs/>
        </w:rPr>
        <w:t>建设应用防护能力</w:t>
      </w:r>
    </w:p>
    <w:p>
      <w:pPr>
        <w:pStyle w:val="465"/>
        <w:ind w:firstLine="480"/>
        <w:rPr>
          <w:szCs w:val="32"/>
        </w:rPr>
      </w:pPr>
      <w:r>
        <w:rPr>
          <w:rFonts w:hint="eastAsia"/>
          <w:szCs w:val="32"/>
        </w:rPr>
        <w:t>为了增强网络安全协调指挥平台的应用防护能力，提高与国家、地市等地进行信息交互时的应用防护水平，</w:t>
      </w:r>
      <w:r>
        <w:rPr>
          <w:rFonts w:hint="eastAsia" w:ascii="宋体" w:hAnsi="宋体" w:eastAsia="宋体"/>
        </w:rPr>
        <w:t>通过</w:t>
      </w:r>
      <w:r>
        <w:rPr>
          <w:rFonts w:hint="eastAsia"/>
          <w:szCs w:val="32"/>
        </w:rPr>
        <w:t>在部署专业WEB应用防火墙，强化应用层防护措施，实现对目标WEB应用系统网站的深度应用攻击防护，抵御各类应用层攻击，如SQL注入、命令注入 、Cookie 注入、Cookie假冒、跨站脚本(XSS) 、敏感信息泄露、恶意代码、错误配置、隐藏字段、参数篡改、应用层拒绝服务等。</w:t>
      </w:r>
    </w:p>
    <w:p>
      <w:pPr>
        <w:pStyle w:val="465"/>
        <w:numPr>
          <w:ilvl w:val="1"/>
          <w:numId w:val="31"/>
        </w:numPr>
        <w:ind w:left="0" w:firstLine="482"/>
        <w:rPr>
          <w:rFonts w:ascii="宋体" w:hAnsi="宋体" w:eastAsia="宋体"/>
          <w:b/>
          <w:bCs/>
        </w:rPr>
      </w:pPr>
      <w:r>
        <w:rPr>
          <w:rFonts w:hint="eastAsia" w:ascii="宋体" w:hAnsi="宋体" w:eastAsia="宋体"/>
          <w:b/>
          <w:bCs/>
        </w:rPr>
        <w:t>建设统一的运维管理能力</w:t>
      </w:r>
    </w:p>
    <w:p>
      <w:pPr>
        <w:pStyle w:val="465"/>
        <w:ind w:firstLine="480"/>
        <w:rPr>
          <w:szCs w:val="32"/>
        </w:rPr>
      </w:pPr>
      <w:r>
        <w:rPr>
          <w:rFonts w:hint="eastAsia"/>
          <w:szCs w:val="32"/>
        </w:rPr>
        <w:t>基于目前网信专网区的网络安全现状，急需提高统一的运维管控能力。随着后期专网区服务器及各种网络设备的增加，并考虑到专网区的安全特殊性，对设备的管理必须经过各种认证过程，通过部署堡垒机，建立统一的运维管控平台，运用运维审计系统自身的双因子认证引擎来弥补各系统的单一</w:t>
      </w:r>
      <w:r>
        <w:rPr>
          <w:rFonts w:hint="eastAsia" w:ascii="宋体" w:hAnsi="宋体" w:eastAsia="宋体"/>
        </w:rPr>
        <w:t>登陆</w:t>
      </w:r>
      <w:r>
        <w:rPr>
          <w:rFonts w:hint="eastAsia"/>
          <w:szCs w:val="32"/>
        </w:rPr>
        <w:t>方式，并在核心交换机上做访问控制，封杀其他一切运维管理通道，实现统一实名帐户管理与单点登录，对各种字符终端协议（SSH、TELNET等）、文件传输协议（FTP、SFTP等）、图形终端协议（RDP等）与web协议（http、https）等进行实时监控与历史查询溯源，满足单位运维内控的同时也减轻了运维工程师的日常运维的工作量。</w:t>
      </w:r>
    </w:p>
    <w:p>
      <w:pPr>
        <w:pStyle w:val="465"/>
        <w:numPr>
          <w:ilvl w:val="1"/>
          <w:numId w:val="31"/>
        </w:numPr>
        <w:ind w:left="0" w:firstLine="482"/>
        <w:rPr>
          <w:rFonts w:ascii="宋体" w:hAnsi="宋体" w:eastAsia="宋体"/>
          <w:b/>
          <w:bCs/>
        </w:rPr>
      </w:pPr>
      <w:r>
        <w:rPr>
          <w:rFonts w:hint="eastAsia" w:ascii="宋体" w:hAnsi="宋体" w:eastAsia="宋体"/>
          <w:b/>
          <w:bCs/>
        </w:rPr>
        <w:t>建设加密通信能力</w:t>
      </w:r>
    </w:p>
    <w:p>
      <w:pPr>
        <w:pStyle w:val="465"/>
        <w:ind w:firstLine="480"/>
        <w:rPr>
          <w:szCs w:val="32"/>
        </w:rPr>
      </w:pPr>
      <w:r>
        <w:rPr>
          <w:rFonts w:hint="eastAsia"/>
          <w:szCs w:val="32"/>
        </w:rPr>
        <w:t>为加强网信办大楼和联通机房的通信安全，需新建该链路上的加密通信能力。对两者间的信息进行基于策略的访问</w:t>
      </w:r>
      <w:r>
        <w:rPr>
          <w:rFonts w:hint="eastAsia" w:ascii="宋体" w:hAnsi="宋体" w:eastAsia="宋体"/>
        </w:rPr>
        <w:t>控制</w:t>
      </w:r>
      <w:r>
        <w:rPr>
          <w:rFonts w:hint="eastAsia"/>
          <w:szCs w:val="32"/>
        </w:rPr>
        <w:t>和完成对通信数据的加密/解密。确保了网络的安全，能有效防止非法分子的攻击。</w:t>
      </w:r>
    </w:p>
    <w:p>
      <w:pPr>
        <w:pStyle w:val="465"/>
        <w:ind w:firstLine="480"/>
        <w:rPr>
          <w:szCs w:val="32"/>
        </w:rPr>
      </w:pPr>
      <w:r>
        <w:rPr>
          <w:rFonts w:hint="eastAsia"/>
          <w:szCs w:val="32"/>
        </w:rPr>
        <w:t>实现对数据的机密性进行保护，利用加密算法加密用户数据，即使非授权的用户得到数据也不能知道其中的内容；实现对数据的完整性进行保护，数据在传输过程中不被非法用户修改，或者，如果网络中传输数据包被非法用户修改，数据的接收方能发现这是个被非法修改的数据包。</w:t>
      </w:r>
    </w:p>
    <w:p>
      <w:pPr>
        <w:pStyle w:val="465"/>
        <w:numPr>
          <w:ilvl w:val="1"/>
          <w:numId w:val="31"/>
        </w:numPr>
        <w:ind w:left="0" w:firstLine="482"/>
        <w:rPr>
          <w:rFonts w:ascii="宋体" w:hAnsi="宋体" w:eastAsia="宋体"/>
          <w:b/>
          <w:bCs/>
        </w:rPr>
      </w:pPr>
      <w:r>
        <w:rPr>
          <w:rFonts w:hint="eastAsia" w:ascii="宋体" w:hAnsi="宋体" w:eastAsia="宋体"/>
          <w:b/>
          <w:bCs/>
        </w:rPr>
        <w:t>建设网络接入控制冗余能力</w:t>
      </w:r>
    </w:p>
    <w:p>
      <w:pPr>
        <w:pStyle w:val="465"/>
        <w:ind w:firstLine="480"/>
        <w:rPr>
          <w:szCs w:val="32"/>
        </w:rPr>
      </w:pPr>
      <w:r>
        <w:rPr>
          <w:rFonts w:hint="eastAsia"/>
          <w:szCs w:val="32"/>
        </w:rPr>
        <w:t>为加强网信专网的网络接入控制能力，保障24小时不间断的进行强控制，需再建一套网络接入控制系统，用以解决设备接入问题，规避非法设备接入引起的病毒传播、数据泄露、恶意攻击、木马植入、静默监听等安全隐患。</w:t>
      </w:r>
    </w:p>
    <w:p>
      <w:pPr>
        <w:pStyle w:val="465"/>
        <w:numPr>
          <w:ilvl w:val="1"/>
          <w:numId w:val="31"/>
        </w:numPr>
        <w:ind w:left="0" w:firstLine="482"/>
        <w:rPr>
          <w:rFonts w:ascii="宋体" w:hAnsi="宋体" w:eastAsia="宋体"/>
          <w:b/>
          <w:bCs/>
        </w:rPr>
      </w:pPr>
      <w:r>
        <w:rPr>
          <w:rFonts w:hint="eastAsia" w:ascii="宋体" w:hAnsi="宋体" w:eastAsia="宋体"/>
          <w:b/>
          <w:bCs/>
        </w:rPr>
        <w:t>建设网络安全运营保障平台（零信任体系）国产化能力</w:t>
      </w:r>
    </w:p>
    <w:p>
      <w:pPr>
        <w:pStyle w:val="465"/>
        <w:ind w:firstLine="480"/>
        <w:rPr>
          <w:szCs w:val="32"/>
        </w:rPr>
      </w:pPr>
      <w:r>
        <w:rPr>
          <w:rFonts w:hint="eastAsia"/>
          <w:szCs w:val="32"/>
        </w:rPr>
        <w:t>目前省网信面临着网络环境快速发展下的自主创新网络安全新挑战，随着省委网信办内外网业务系统的建设，国产化环境下业务访问和数据交互的业务场景日趋普遍，如何提供国产化环境下的安全、高效的业务访问和数据安全访问成为国产化业务建设过程中难以绕过的技术难题。</w:t>
      </w:r>
    </w:p>
    <w:p>
      <w:pPr>
        <w:pStyle w:val="465"/>
        <w:ind w:firstLine="480"/>
        <w:rPr>
          <w:szCs w:val="32"/>
        </w:rPr>
      </w:pPr>
      <w:r>
        <w:rPr>
          <w:rFonts w:hint="eastAsia"/>
          <w:szCs w:val="32"/>
        </w:rPr>
        <w:t>本期针对网信专网国产化网络访问环境，搭建零信任网络安全运营保障平台，构建以身份为中心的动态访问控制，是在不可信的现代网络环境下，以身份为中心，通过动态访问控制技术，以细粒度的应用、接口、数据为核心保护对象，遵循最小权限原则，构筑端到端的逻辑身份边界。本次针对专网和互联网分别建设零信任网络安全运营保障平台，主要进行如下建设：</w:t>
      </w:r>
    </w:p>
    <w:p>
      <w:pPr>
        <w:pStyle w:val="465"/>
        <w:ind w:firstLine="480"/>
        <w:rPr>
          <w:szCs w:val="32"/>
        </w:rPr>
      </w:pPr>
      <w:r>
        <w:rPr>
          <w:rFonts w:hint="eastAsia"/>
          <w:szCs w:val="32"/>
        </w:rPr>
        <w:t>1、终端环境感知与基础安全</w:t>
      </w:r>
    </w:p>
    <w:p>
      <w:pPr>
        <w:pStyle w:val="465"/>
        <w:ind w:firstLine="480"/>
        <w:rPr>
          <w:szCs w:val="32"/>
        </w:rPr>
      </w:pPr>
      <w:r>
        <w:rPr>
          <w:rFonts w:hint="eastAsia"/>
          <w:szCs w:val="32"/>
        </w:rPr>
        <w:t>通过PC客户端实现终端安全与环境感知。环境感知能力提供物理环境感知、基础安全感知、应用合规感知、系统安全感知、健康状态感知五大感知能力；终端基础能力包括杀软、漏洞补丁、安全基线等能力，为后续的访问控制提供数据支撑。</w:t>
      </w:r>
    </w:p>
    <w:p>
      <w:pPr>
        <w:pStyle w:val="465"/>
        <w:ind w:firstLine="480"/>
        <w:rPr>
          <w:szCs w:val="32"/>
        </w:rPr>
      </w:pPr>
      <w:r>
        <w:rPr>
          <w:rFonts w:hint="eastAsia"/>
          <w:szCs w:val="32"/>
        </w:rPr>
        <w:t>2、业务隐藏与保护</w:t>
      </w:r>
    </w:p>
    <w:p>
      <w:pPr>
        <w:pStyle w:val="465"/>
        <w:ind w:firstLine="480"/>
        <w:rPr>
          <w:szCs w:val="32"/>
        </w:rPr>
      </w:pPr>
      <w:r>
        <w:rPr>
          <w:rFonts w:hint="eastAsia"/>
          <w:szCs w:val="32"/>
        </w:rPr>
        <w:t>通过业务代理对应用资源和服务进行业务隐藏，应用服务为隐身状态，不再直接暴露在网络上。恶意用户无法进行端口扫描和嗅探攻击。同时对业务访问流量进行引流和隧道加密。采用SPA单包授权机制实现端口隐藏，未授权终端无法连接服务端口。只有通过认证的合法用户和终端的业务流量才能到达数据区，业务代理可以根据风险实时阻断访问。</w:t>
      </w:r>
    </w:p>
    <w:p>
      <w:pPr>
        <w:pStyle w:val="465"/>
        <w:ind w:firstLine="480"/>
        <w:rPr>
          <w:szCs w:val="32"/>
        </w:rPr>
      </w:pPr>
      <w:r>
        <w:rPr>
          <w:rFonts w:hint="eastAsia"/>
          <w:szCs w:val="32"/>
        </w:rPr>
        <w:t>3、动态</w:t>
      </w:r>
      <w:r>
        <w:rPr>
          <w:rFonts w:hint="eastAsia" w:ascii="宋体" w:hAnsi="宋体" w:eastAsia="宋体"/>
        </w:rPr>
        <w:t>访问</w:t>
      </w:r>
      <w:r>
        <w:rPr>
          <w:rFonts w:hint="eastAsia"/>
          <w:szCs w:val="32"/>
        </w:rPr>
        <w:t>控制</w:t>
      </w:r>
    </w:p>
    <w:p>
      <w:pPr>
        <w:pStyle w:val="465"/>
        <w:ind w:firstLine="480"/>
        <w:rPr>
          <w:szCs w:val="32"/>
        </w:rPr>
      </w:pPr>
      <w:r>
        <w:rPr>
          <w:rFonts w:hint="eastAsia"/>
          <w:szCs w:val="32"/>
        </w:rPr>
        <w:t>自适应认证：将访问主体（人员、设备和应用）进行数字化身份管理，实现主体组合认证和自适应动态认证。先完成设备认证，再进行用户认证，都成功后才能连接应用，实现层层管控。</w:t>
      </w:r>
    </w:p>
    <w:p>
      <w:pPr>
        <w:pStyle w:val="465"/>
        <w:ind w:firstLine="480"/>
        <w:rPr>
          <w:szCs w:val="32"/>
        </w:rPr>
      </w:pPr>
      <w:r>
        <w:rPr>
          <w:rFonts w:hint="eastAsia"/>
          <w:szCs w:val="32"/>
        </w:rPr>
        <w:t>动态授权：在RBAC的基础上，叠加IP、时间、设备、地理位置和设备安全要求等属性，实现基于ABAC的属性授权；基于历史行为和访问基线等上下文信息，在RBAC岗位角色授权的基础上，进行权限动态过滤。</w:t>
      </w:r>
    </w:p>
    <w:p>
      <w:pPr>
        <w:pStyle w:val="465"/>
        <w:ind w:firstLine="480"/>
        <w:rPr>
          <w:szCs w:val="32"/>
        </w:rPr>
      </w:pPr>
      <w:r>
        <w:rPr>
          <w:rFonts w:hint="eastAsia"/>
          <w:szCs w:val="32"/>
        </w:rPr>
        <w:t>风险响应：针对访问主体在访问中存在的风险信息、信任度变化和其他异常，触发相应的指令，如二次认证、退出登录、账号锁定、冻结权限等，实现动态的访问控制能力。</w:t>
      </w:r>
    </w:p>
    <w:p>
      <w:pPr>
        <w:pStyle w:val="465"/>
        <w:numPr>
          <w:ilvl w:val="1"/>
          <w:numId w:val="31"/>
        </w:numPr>
        <w:ind w:left="0" w:firstLine="482"/>
        <w:rPr>
          <w:rFonts w:ascii="宋体" w:hAnsi="宋体" w:eastAsia="宋体"/>
          <w:b/>
          <w:bCs/>
        </w:rPr>
      </w:pPr>
      <w:r>
        <w:rPr>
          <w:rFonts w:hint="eastAsia" w:ascii="宋体" w:hAnsi="宋体" w:eastAsia="宋体"/>
          <w:b/>
          <w:bCs/>
        </w:rPr>
        <w:t>建设数据安全分级与风险评估能力</w:t>
      </w:r>
    </w:p>
    <w:p>
      <w:pPr>
        <w:pStyle w:val="465"/>
        <w:ind w:firstLine="480"/>
        <w:rPr>
          <w:szCs w:val="32"/>
        </w:rPr>
      </w:pPr>
      <w:r>
        <w:rPr>
          <w:rFonts w:hint="eastAsia"/>
          <w:szCs w:val="32"/>
        </w:rPr>
        <w:t>通过网络嗅探、协议扫描技术对指定范围内的数据源进行扫描，动态发现数据资产，防止出现对数据的</w:t>
      </w:r>
      <w:r>
        <w:rPr>
          <w:rFonts w:hint="eastAsia" w:ascii="宋体" w:hAnsi="宋体" w:eastAsia="宋体"/>
        </w:rPr>
        <w:t>管理</w:t>
      </w:r>
      <w:r>
        <w:rPr>
          <w:rFonts w:hint="eastAsia"/>
          <w:szCs w:val="32"/>
        </w:rPr>
        <w:t>盲区。通过抽取样例数据结合内置识别模型和规则分析，完成敏感数据识别和数据分类分级，同时，提供数据安全评估能力。</w:t>
      </w:r>
    </w:p>
    <w:p>
      <w:pPr>
        <w:pStyle w:val="465"/>
        <w:ind w:firstLine="480"/>
        <w:rPr>
          <w:szCs w:val="32"/>
        </w:rPr>
      </w:pPr>
      <w:r>
        <w:rPr>
          <w:rFonts w:hint="eastAsia"/>
          <w:szCs w:val="32"/>
        </w:rPr>
        <w:t>数据资产风险梳理：对数据资产所在环境的风险状况进行梳理，包括对数据资产存储环境的漏洞状况、安全配置基线及使用隐患等方面进行有效评估，并提供相关安全改进策略及建议。</w:t>
      </w:r>
    </w:p>
    <w:p>
      <w:pPr>
        <w:pStyle w:val="465"/>
        <w:ind w:firstLine="480"/>
        <w:rPr>
          <w:szCs w:val="32"/>
        </w:rPr>
      </w:pPr>
      <w:r>
        <w:rPr>
          <w:rFonts w:hint="eastAsia"/>
          <w:szCs w:val="32"/>
        </w:rPr>
        <w:t>敏感数据梳理：</w:t>
      </w:r>
      <w:r>
        <w:rPr>
          <w:szCs w:val="32"/>
        </w:rPr>
        <w:t>内置多种发现规则，基于数据内容的识别，不依赖于用户的元数据管理系统、字段名或字段注释等信息。支持用户基于自身需求自定义敏感对象，实现对敏感数据的自动发现和标识。</w:t>
      </w:r>
    </w:p>
    <w:p>
      <w:pPr>
        <w:pStyle w:val="465"/>
        <w:ind w:firstLine="480"/>
        <w:rPr>
          <w:szCs w:val="32"/>
        </w:rPr>
      </w:pPr>
      <w:r>
        <w:rPr>
          <w:rFonts w:hint="eastAsia"/>
          <w:szCs w:val="32"/>
        </w:rPr>
        <w:t>数据分类</w:t>
      </w:r>
      <w:r>
        <w:rPr>
          <w:rFonts w:hint="eastAsia" w:ascii="宋体" w:hAnsi="宋体" w:eastAsia="宋体"/>
        </w:rPr>
        <w:t>分级</w:t>
      </w:r>
      <w:r>
        <w:rPr>
          <w:rFonts w:hint="eastAsia"/>
          <w:szCs w:val="32"/>
        </w:rPr>
        <w:t>：结合数据资产梳理、敏感数据发现及梳理、敏感数据分类分级、用户及敏感资产权限梳理，对数据进行全面摸底。内置政府、金融、运营商等行业模板，通过数据资产发现、对业务数据</w:t>
      </w:r>
      <w:r>
        <w:rPr>
          <w:szCs w:val="32"/>
        </w:rPr>
        <w:t>识别和</w:t>
      </w:r>
      <w:r>
        <w:rPr>
          <w:rFonts w:hint="eastAsia"/>
          <w:szCs w:val="32"/>
        </w:rPr>
        <w:t>分类，根据业务属性及</w:t>
      </w:r>
      <w:r>
        <w:rPr>
          <w:szCs w:val="32"/>
        </w:rPr>
        <w:t>数据属性</w:t>
      </w:r>
      <w:r>
        <w:rPr>
          <w:rFonts w:hint="eastAsia"/>
          <w:szCs w:val="32"/>
        </w:rPr>
        <w:t>，进行分级管理，识别客体数据类别、级别，结合身份进行有限的权限控制。</w:t>
      </w:r>
    </w:p>
    <w:p>
      <w:pPr>
        <w:pStyle w:val="465"/>
        <w:numPr>
          <w:ilvl w:val="1"/>
          <w:numId w:val="31"/>
        </w:numPr>
        <w:ind w:left="0" w:firstLine="482"/>
        <w:rPr>
          <w:rFonts w:ascii="宋体" w:hAnsi="宋体" w:eastAsia="宋体"/>
          <w:b/>
          <w:bCs/>
        </w:rPr>
      </w:pPr>
      <w:r>
        <w:rPr>
          <w:rFonts w:hint="eastAsia" w:ascii="宋体" w:hAnsi="宋体" w:eastAsia="宋体"/>
          <w:b/>
          <w:bCs/>
        </w:rPr>
        <w:t>建设数据脱敏与水印能力</w:t>
      </w:r>
    </w:p>
    <w:p>
      <w:pPr>
        <w:pStyle w:val="465"/>
        <w:ind w:firstLine="480"/>
        <w:rPr>
          <w:szCs w:val="32"/>
        </w:rPr>
      </w:pPr>
      <w:r>
        <w:rPr>
          <w:rFonts w:hint="eastAsia"/>
          <w:szCs w:val="32"/>
        </w:rPr>
        <w:t>随着数据共享和开放的推进，加大了数据泄露和被非法利用的风险，传统的基于边界隔离的围栏式安全保护方法将彻底不能满足数据流动下的安全防护需求，亟需构建敏感数据使用安全控制系统。通过对数据的脱敏确保数据流动安全，数据防泄露保障传输、使用中的数据安全，数据水印保障数据的追溯。</w:t>
      </w:r>
    </w:p>
    <w:p>
      <w:pPr>
        <w:pStyle w:val="465"/>
        <w:ind w:firstLine="480"/>
        <w:rPr>
          <w:szCs w:val="32"/>
        </w:rPr>
      </w:pPr>
      <w:r>
        <w:rPr>
          <w:rFonts w:hint="eastAsia"/>
          <w:szCs w:val="32"/>
        </w:rPr>
        <w:t>数据静态脱敏：通过脱敏技术进行数据变形，实现敏感隐私数据的可靠保护，从而起到信息安全保护的</w:t>
      </w:r>
      <w:r>
        <w:rPr>
          <w:rFonts w:hint="eastAsia" w:ascii="宋体" w:hAnsi="宋体" w:eastAsia="宋体"/>
        </w:rPr>
        <w:t>作用</w:t>
      </w:r>
      <w:r>
        <w:rPr>
          <w:rFonts w:hint="eastAsia"/>
          <w:szCs w:val="32"/>
        </w:rPr>
        <w:t>。</w:t>
      </w:r>
      <w:r>
        <w:rPr>
          <w:szCs w:val="32"/>
        </w:rPr>
        <w:t>敏感数据从生产环境脱敏完毕之后再</w:t>
      </w:r>
      <w:r>
        <w:rPr>
          <w:rFonts w:hint="eastAsia"/>
          <w:szCs w:val="32"/>
        </w:rPr>
        <w:t>下发到</w:t>
      </w:r>
      <w:r>
        <w:rPr>
          <w:szCs w:val="32"/>
        </w:rPr>
        <w:t>非生产环境</w:t>
      </w:r>
      <w:r>
        <w:rPr>
          <w:rFonts w:hint="eastAsia"/>
          <w:szCs w:val="32"/>
        </w:rPr>
        <w:t>中</w:t>
      </w:r>
      <w:r>
        <w:rPr>
          <w:szCs w:val="32"/>
        </w:rPr>
        <w:t>使用，解决测试、开发库需要生产库的数据量与数据间的关联，以排查问题或进行数据分析等，但又不能将敏感数据存储于非生产环境的问题。</w:t>
      </w:r>
    </w:p>
    <w:p>
      <w:pPr>
        <w:pStyle w:val="465"/>
        <w:ind w:firstLine="480"/>
        <w:rPr>
          <w:szCs w:val="32"/>
        </w:rPr>
      </w:pPr>
      <w:r>
        <w:rPr>
          <w:rFonts w:hint="eastAsia"/>
          <w:szCs w:val="32"/>
        </w:rPr>
        <w:t>数据水印：</w:t>
      </w:r>
      <w:r>
        <w:rPr>
          <w:szCs w:val="32"/>
        </w:rPr>
        <w:t>用</w:t>
      </w:r>
      <w:r>
        <w:rPr>
          <w:rFonts w:ascii="宋体" w:hAnsi="宋体" w:eastAsia="宋体"/>
        </w:rPr>
        <w:t>隐秘</w:t>
      </w:r>
      <w:r>
        <w:rPr>
          <w:szCs w:val="32"/>
        </w:rPr>
        <w:t>的手段将版权说明、用户身份等水印信息嵌入到数据中以有效保护数据版权</w:t>
      </w:r>
      <w:r>
        <w:rPr>
          <w:rFonts w:hint="eastAsia"/>
          <w:szCs w:val="32"/>
        </w:rPr>
        <w:t>。</w:t>
      </w:r>
      <w:r>
        <w:rPr>
          <w:szCs w:val="32"/>
        </w:rPr>
        <w:t>在数据库中寻找有效的冗余空间，在不影响数据使用的前提下嵌入水印信息，并在数据泄露以后可以高效溯源</w:t>
      </w:r>
      <w:r>
        <w:rPr>
          <w:rFonts w:hint="eastAsia"/>
          <w:szCs w:val="32"/>
        </w:rPr>
        <w:t>，</w:t>
      </w:r>
      <w:r>
        <w:rPr>
          <w:szCs w:val="32"/>
        </w:rPr>
        <w:t>数据溯源算法</w:t>
      </w:r>
      <w:r>
        <w:rPr>
          <w:rFonts w:hint="eastAsia"/>
          <w:szCs w:val="32"/>
        </w:rPr>
        <w:t>应</w:t>
      </w:r>
      <w:r>
        <w:rPr>
          <w:szCs w:val="32"/>
        </w:rPr>
        <w:t>不易绕开</w:t>
      </w:r>
      <w:r>
        <w:rPr>
          <w:rFonts w:hint="eastAsia"/>
          <w:szCs w:val="32"/>
        </w:rPr>
        <w:t>，通过</w:t>
      </w:r>
      <w:r>
        <w:rPr>
          <w:szCs w:val="32"/>
        </w:rPr>
        <w:t>可回溯算法，便于追溯泄漏源。</w:t>
      </w:r>
    </w:p>
    <w:p>
      <w:pPr>
        <w:pStyle w:val="6"/>
      </w:pPr>
      <w:r>
        <w:rPr>
          <w:rFonts w:hint="eastAsia"/>
        </w:rPr>
        <w:t>2、互联网区</w:t>
      </w:r>
    </w:p>
    <w:p>
      <w:pPr>
        <w:pStyle w:val="465"/>
        <w:numPr>
          <w:ilvl w:val="1"/>
          <w:numId w:val="31"/>
        </w:numPr>
        <w:ind w:left="0" w:firstLine="482"/>
        <w:rPr>
          <w:rFonts w:ascii="宋体" w:hAnsi="宋体" w:eastAsia="宋体"/>
          <w:b/>
          <w:bCs/>
        </w:rPr>
      </w:pPr>
      <w:r>
        <w:rPr>
          <w:rFonts w:hint="eastAsia" w:ascii="宋体" w:hAnsi="宋体" w:eastAsia="宋体"/>
          <w:b/>
          <w:bCs/>
        </w:rPr>
        <w:t>建设终端安全及管理能力</w:t>
      </w:r>
    </w:p>
    <w:p>
      <w:pPr>
        <w:pStyle w:val="465"/>
        <w:ind w:firstLine="480"/>
        <w:rPr>
          <w:szCs w:val="32"/>
        </w:rPr>
      </w:pPr>
      <w:r>
        <w:rPr>
          <w:rFonts w:hint="eastAsia"/>
          <w:szCs w:val="32"/>
        </w:rPr>
        <w:t>在重要PC与</w:t>
      </w:r>
      <w:r>
        <w:rPr>
          <w:rFonts w:hint="eastAsia" w:ascii="宋体" w:hAnsi="宋体" w:eastAsia="宋体"/>
        </w:rPr>
        <w:t>服务器</w:t>
      </w:r>
      <w:r>
        <w:rPr>
          <w:rFonts w:hint="eastAsia"/>
          <w:szCs w:val="32"/>
        </w:rPr>
        <w:t>上安装主机安全及管理系统，通过对终端上用户行为事件、系统安全事件、病毒查杀、防暴力破解、抗CC攻击、网络通信数据等进行归一化处理和关联分析，提供针对性的技术手段对服务器进行防护，对终端资产和安全情况进行全面掌握、清晰、准确判断存在的安全风险，对终端发生的安全事件及时响应处理。</w:t>
      </w:r>
    </w:p>
    <w:p>
      <w:pPr>
        <w:pStyle w:val="465"/>
        <w:numPr>
          <w:ilvl w:val="1"/>
          <w:numId w:val="31"/>
        </w:numPr>
        <w:ind w:left="0" w:firstLine="482"/>
        <w:rPr>
          <w:rFonts w:ascii="宋体" w:hAnsi="宋体" w:eastAsia="宋体"/>
          <w:b/>
          <w:bCs/>
        </w:rPr>
      </w:pPr>
      <w:r>
        <w:rPr>
          <w:rFonts w:hint="eastAsia" w:ascii="宋体" w:hAnsi="宋体" w:eastAsia="宋体"/>
          <w:b/>
          <w:bCs/>
        </w:rPr>
        <w:t>建设日志数据汇聚能力</w:t>
      </w:r>
    </w:p>
    <w:p>
      <w:pPr>
        <w:pStyle w:val="465"/>
        <w:ind w:firstLine="480"/>
        <w:rPr>
          <w:szCs w:val="32"/>
        </w:rPr>
      </w:pPr>
      <w:r>
        <w:rPr>
          <w:rFonts w:hint="eastAsia"/>
          <w:szCs w:val="32"/>
        </w:rPr>
        <w:t>由于需对接部分无法接入网信专网的流量探针日志，需在互联网区建立日志数据汇聚能力，从而满足多维度分析能力，提高</w:t>
      </w:r>
      <w:r>
        <w:rPr>
          <w:rFonts w:hint="eastAsia" w:ascii="宋体" w:hAnsi="宋体" w:eastAsia="宋体"/>
        </w:rPr>
        <w:t>安全</w:t>
      </w:r>
      <w:r>
        <w:rPr>
          <w:rFonts w:hint="eastAsia"/>
          <w:szCs w:val="32"/>
        </w:rPr>
        <w:t>态势感知预警能力与安全监测水平。</w:t>
      </w:r>
    </w:p>
    <w:p>
      <w:pPr>
        <w:pStyle w:val="465"/>
        <w:numPr>
          <w:ilvl w:val="1"/>
          <w:numId w:val="31"/>
        </w:numPr>
        <w:ind w:left="0" w:firstLine="482"/>
        <w:rPr>
          <w:rFonts w:ascii="宋体" w:hAnsi="宋体" w:eastAsia="宋体"/>
          <w:b/>
          <w:bCs/>
        </w:rPr>
      </w:pPr>
      <w:r>
        <w:rPr>
          <w:rFonts w:hint="eastAsia" w:ascii="宋体" w:hAnsi="宋体" w:eastAsia="宋体"/>
          <w:b/>
          <w:bCs/>
        </w:rPr>
        <w:t>建设网络安全运营保障平台（零信任体系）国产化能力</w:t>
      </w:r>
    </w:p>
    <w:p>
      <w:pPr>
        <w:pStyle w:val="465"/>
        <w:ind w:firstLine="480"/>
        <w:rPr>
          <w:szCs w:val="32"/>
        </w:rPr>
      </w:pPr>
      <w:r>
        <w:rPr>
          <w:rFonts w:hint="eastAsia"/>
          <w:szCs w:val="32"/>
        </w:rPr>
        <w:t>本期针对互联网国产化网络访问环境，搭建零信任网络安全运营保障平台，构建以身份为中心的动态访问控制，是在不可信的现代网络环境下，以身份为中心，通过动态访问控制技术，以细粒度的应用、接口、数据为核心保护对象，遵循最小权限原则，构筑端到端的逻辑身份边界。本次针对专网和互联网分别建设零信任网络安全运营保障平台，主要进行如下建设：</w:t>
      </w:r>
    </w:p>
    <w:p>
      <w:pPr>
        <w:pStyle w:val="465"/>
        <w:ind w:firstLine="480"/>
        <w:rPr>
          <w:szCs w:val="32"/>
        </w:rPr>
      </w:pPr>
      <w:r>
        <w:rPr>
          <w:rFonts w:hint="eastAsia"/>
          <w:szCs w:val="32"/>
        </w:rPr>
        <w:t>1、终端环境</w:t>
      </w:r>
      <w:r>
        <w:rPr>
          <w:rFonts w:hint="eastAsia" w:ascii="宋体" w:hAnsi="宋体" w:eastAsia="宋体"/>
        </w:rPr>
        <w:t>感知</w:t>
      </w:r>
      <w:r>
        <w:rPr>
          <w:rFonts w:hint="eastAsia"/>
          <w:szCs w:val="32"/>
        </w:rPr>
        <w:t>与基础安全</w:t>
      </w:r>
    </w:p>
    <w:p>
      <w:pPr>
        <w:pStyle w:val="465"/>
        <w:ind w:firstLine="480"/>
        <w:rPr>
          <w:szCs w:val="32"/>
        </w:rPr>
      </w:pPr>
      <w:r>
        <w:rPr>
          <w:rFonts w:hint="eastAsia"/>
          <w:szCs w:val="32"/>
        </w:rPr>
        <w:t>通过PC客户端实现终端安全与环境感知。环境感知能力提供物理环境感知、基础安全感知、应用合规感知、系统安全感知、健康状态感知五大感知能力；终端基础能力包括杀软、漏洞补丁、安全</w:t>
      </w:r>
      <w:r>
        <w:rPr>
          <w:rFonts w:hint="eastAsia" w:ascii="宋体" w:hAnsi="宋体" w:eastAsia="宋体"/>
        </w:rPr>
        <w:t>基线</w:t>
      </w:r>
      <w:r>
        <w:rPr>
          <w:rFonts w:hint="eastAsia"/>
          <w:szCs w:val="32"/>
        </w:rPr>
        <w:t>等能力，为后续的访问控制提供数据支撑。</w:t>
      </w:r>
    </w:p>
    <w:p>
      <w:pPr>
        <w:pStyle w:val="465"/>
        <w:ind w:firstLine="480"/>
        <w:rPr>
          <w:szCs w:val="32"/>
        </w:rPr>
      </w:pPr>
      <w:r>
        <w:rPr>
          <w:rFonts w:hint="eastAsia"/>
          <w:szCs w:val="32"/>
        </w:rPr>
        <w:t>2、业务隐藏与保护</w:t>
      </w:r>
    </w:p>
    <w:p>
      <w:pPr>
        <w:pStyle w:val="465"/>
        <w:ind w:firstLine="480"/>
        <w:rPr>
          <w:szCs w:val="32"/>
        </w:rPr>
      </w:pPr>
      <w:r>
        <w:rPr>
          <w:rFonts w:hint="eastAsia"/>
          <w:szCs w:val="32"/>
        </w:rPr>
        <w:t>通过业务代理</w:t>
      </w:r>
      <w:r>
        <w:rPr>
          <w:rFonts w:hint="eastAsia" w:ascii="宋体" w:hAnsi="宋体" w:eastAsia="宋体"/>
        </w:rPr>
        <w:t>对应</w:t>
      </w:r>
      <w:r>
        <w:rPr>
          <w:rFonts w:hint="eastAsia"/>
          <w:szCs w:val="32"/>
        </w:rPr>
        <w:t>用资源和服务进行业务隐藏，应用服务为隐身状态，不再直接暴露在网络上。恶意用户无法进行端口扫描和嗅探攻击。同时对业务访问流量进行引流和隧道加密。采用SPA单包授权机制实现端口隐藏，未授权终端无法连接服务端口。只有通过认证的合法用户和终端的业务流量才能到达数据区，业务代理可以根据风险实时阻断访问。</w:t>
      </w:r>
    </w:p>
    <w:p>
      <w:pPr>
        <w:pStyle w:val="465"/>
        <w:ind w:firstLine="480"/>
        <w:rPr>
          <w:szCs w:val="32"/>
        </w:rPr>
      </w:pPr>
      <w:r>
        <w:rPr>
          <w:rFonts w:hint="eastAsia"/>
          <w:szCs w:val="32"/>
        </w:rPr>
        <w:t>3、动态</w:t>
      </w:r>
      <w:r>
        <w:rPr>
          <w:rFonts w:hint="eastAsia" w:ascii="宋体" w:hAnsi="宋体" w:eastAsia="宋体"/>
        </w:rPr>
        <w:t>访问</w:t>
      </w:r>
      <w:r>
        <w:rPr>
          <w:rFonts w:hint="eastAsia"/>
          <w:szCs w:val="32"/>
        </w:rPr>
        <w:t>控制</w:t>
      </w:r>
    </w:p>
    <w:p>
      <w:pPr>
        <w:pStyle w:val="465"/>
        <w:ind w:firstLine="480"/>
        <w:rPr>
          <w:szCs w:val="32"/>
        </w:rPr>
      </w:pPr>
      <w:r>
        <w:rPr>
          <w:rFonts w:hint="eastAsia"/>
          <w:szCs w:val="32"/>
        </w:rPr>
        <w:t>自适应认证：将访问主体（人员、设备和应用）进行数字化身份管理，实现主体组合认证和自适应动态认证。先完成设备认证，再进行用户认证，都成功后才能连接应用，实现层层管控。</w:t>
      </w:r>
    </w:p>
    <w:p>
      <w:pPr>
        <w:pStyle w:val="465"/>
        <w:ind w:firstLine="480"/>
        <w:rPr>
          <w:szCs w:val="32"/>
        </w:rPr>
      </w:pPr>
      <w:r>
        <w:rPr>
          <w:rFonts w:hint="eastAsia"/>
          <w:szCs w:val="32"/>
        </w:rPr>
        <w:t>动态授权：在</w:t>
      </w:r>
      <w:r>
        <w:rPr>
          <w:rFonts w:hint="eastAsia" w:ascii="宋体" w:hAnsi="宋体" w:eastAsia="宋体"/>
        </w:rPr>
        <w:t>RBAC</w:t>
      </w:r>
      <w:r>
        <w:rPr>
          <w:rFonts w:hint="eastAsia"/>
          <w:szCs w:val="32"/>
        </w:rPr>
        <w:t>的基础上，叠加IP、时间、设备、地理位置和设备安全要求等属性，实现基于ABAC的属性授权；基于历史行为和访问基线等上下文信息，在RBAC岗位角色授权的基础上，进行权限动态过滤。</w:t>
      </w:r>
    </w:p>
    <w:p>
      <w:pPr>
        <w:pStyle w:val="465"/>
        <w:ind w:firstLine="480"/>
        <w:rPr>
          <w:szCs w:val="32"/>
        </w:rPr>
      </w:pPr>
      <w:r>
        <w:rPr>
          <w:rFonts w:hint="eastAsia"/>
          <w:szCs w:val="32"/>
        </w:rPr>
        <w:t>风险响应：针对访问主体在访问中存在的风险信息、信任度变化和其他异常，触发相应的指令，如二次认证、退出登录、账号锁定、冻结权限等，实现动态的访问控制能力。</w:t>
      </w:r>
    </w:p>
    <w:p>
      <w:pPr>
        <w:pStyle w:val="6"/>
      </w:pPr>
      <w:r>
        <w:rPr>
          <w:rFonts w:hint="eastAsia"/>
        </w:rPr>
        <w:t>3、政务外网区</w:t>
      </w:r>
    </w:p>
    <w:p>
      <w:pPr>
        <w:pStyle w:val="465"/>
        <w:numPr>
          <w:ilvl w:val="1"/>
          <w:numId w:val="31"/>
        </w:numPr>
        <w:ind w:left="0" w:firstLine="482"/>
        <w:rPr>
          <w:rFonts w:ascii="宋体" w:hAnsi="宋体" w:eastAsia="宋体"/>
          <w:b/>
          <w:bCs/>
        </w:rPr>
      </w:pPr>
      <w:r>
        <w:rPr>
          <w:rFonts w:hint="eastAsia" w:ascii="宋体" w:hAnsi="宋体" w:eastAsia="宋体"/>
          <w:b/>
          <w:bCs/>
        </w:rPr>
        <w:t>建设政务外网与网信专网的物理隔离</w:t>
      </w:r>
    </w:p>
    <w:p>
      <w:pPr>
        <w:pStyle w:val="465"/>
        <w:ind w:firstLine="480"/>
        <w:rPr>
          <w:szCs w:val="32"/>
        </w:rPr>
      </w:pPr>
      <w:r>
        <w:rPr>
          <w:rFonts w:hint="eastAsia"/>
          <w:szCs w:val="32"/>
        </w:rPr>
        <w:t>建设政务外网与网信专网的物理隔离能力，实现政务外网与网信专网的信息摆渡，保证两个网络之前没有直接的物理通路。通过分时地进行两个网络中的数据交换，从而达到隔离与交换的目的。</w:t>
      </w:r>
    </w:p>
    <w:p>
      <w:pPr>
        <w:pStyle w:val="465"/>
        <w:numPr>
          <w:ilvl w:val="1"/>
          <w:numId w:val="31"/>
        </w:numPr>
        <w:ind w:left="0" w:firstLine="482"/>
        <w:rPr>
          <w:rFonts w:ascii="宋体" w:hAnsi="宋体" w:eastAsia="宋体"/>
          <w:b/>
          <w:bCs/>
        </w:rPr>
      </w:pPr>
      <w:r>
        <w:rPr>
          <w:rFonts w:hint="eastAsia" w:ascii="宋体" w:hAnsi="宋体" w:eastAsia="宋体"/>
          <w:b/>
          <w:bCs/>
        </w:rPr>
        <w:t>建设日志审计能力</w:t>
      </w:r>
    </w:p>
    <w:p>
      <w:pPr>
        <w:pStyle w:val="465"/>
        <w:ind w:firstLine="480"/>
        <w:rPr>
          <w:szCs w:val="32"/>
        </w:rPr>
      </w:pPr>
      <w:r>
        <w:rPr>
          <w:rFonts w:hint="eastAsia"/>
          <w:szCs w:val="32"/>
        </w:rPr>
        <w:t>建设日志审计能力。通过全面收集网络设备、安全设备、主机、应用及数据库的Syslog、SNMP等日志协议信息，帮助建立信息资产的综合性管理平台，通过对网络设备、安全设备、主机和应用系统日志</w:t>
      </w:r>
      <w:r>
        <w:rPr>
          <w:rFonts w:hint="eastAsia" w:ascii="宋体" w:hAnsi="宋体" w:eastAsia="宋体"/>
        </w:rPr>
        <w:t>进行</w:t>
      </w:r>
      <w:r>
        <w:rPr>
          <w:rFonts w:hint="eastAsia"/>
          <w:szCs w:val="32"/>
        </w:rPr>
        <w:t>全面的标准化处理，及时发现各种安全威胁、异常行为事件，并通过周期性合规型和事件型报表为管理人员提供全局的视角，确保单位业务的不间断运营安全。并增加了对安全事件的追溯的能力及手段，方便管理员进行事件跟踪和定位，并为事件的还原提供有力证据。从而满足等保2</w:t>
      </w:r>
      <w:r>
        <w:rPr>
          <w:szCs w:val="32"/>
        </w:rPr>
        <w:t>.0</w:t>
      </w:r>
      <w:r>
        <w:rPr>
          <w:rFonts w:hint="eastAsia"/>
          <w:szCs w:val="32"/>
        </w:rPr>
        <w:t>的合规要求。</w:t>
      </w:r>
    </w:p>
    <w:p>
      <w:pPr>
        <w:pStyle w:val="465"/>
        <w:numPr>
          <w:ilvl w:val="1"/>
          <w:numId w:val="31"/>
        </w:numPr>
        <w:ind w:left="0" w:firstLine="482"/>
        <w:rPr>
          <w:rFonts w:ascii="宋体" w:hAnsi="宋体" w:eastAsia="宋体"/>
          <w:b/>
          <w:bCs/>
        </w:rPr>
      </w:pPr>
      <w:r>
        <w:rPr>
          <w:rFonts w:hint="eastAsia" w:ascii="宋体" w:hAnsi="宋体" w:eastAsia="宋体"/>
          <w:b/>
          <w:bCs/>
        </w:rPr>
        <w:t>建设上网行为管理能力</w:t>
      </w:r>
    </w:p>
    <w:p>
      <w:pPr>
        <w:pStyle w:val="465"/>
        <w:ind w:firstLine="480"/>
        <w:rPr>
          <w:szCs w:val="32"/>
        </w:rPr>
      </w:pPr>
      <w:r>
        <w:rPr>
          <w:rFonts w:hint="eastAsia"/>
          <w:szCs w:val="32"/>
        </w:rPr>
        <w:t>建设上网行为</w:t>
      </w:r>
      <w:r>
        <w:rPr>
          <w:rFonts w:hint="eastAsia" w:ascii="宋体" w:hAnsi="宋体" w:eastAsia="宋体"/>
        </w:rPr>
        <w:t>管理</w:t>
      </w:r>
      <w:r>
        <w:rPr>
          <w:rFonts w:hint="eastAsia"/>
          <w:szCs w:val="32"/>
        </w:rPr>
        <w:t>能力，让上网行为有据可查、合法合规。对网络中的访问、即时交互系统进行精细化识别和控制。并利用智能流控、智能阻断、智能路由等技术，配合创新的上网行为审计功能、清晰易用的管理日志功能等，提供全面、完善的上网行为审计。</w:t>
      </w:r>
    </w:p>
    <w:p/>
    <w:p>
      <w:pPr>
        <w:pStyle w:val="6"/>
      </w:pPr>
      <w:r>
        <w:rPr>
          <w:rFonts w:hint="eastAsia"/>
        </w:rPr>
        <w:t>4、网信数据中心</w:t>
      </w:r>
    </w:p>
    <w:p/>
    <w:p>
      <w:pPr>
        <w:pStyle w:val="465"/>
        <w:numPr>
          <w:ilvl w:val="1"/>
          <w:numId w:val="31"/>
        </w:numPr>
        <w:ind w:left="0" w:firstLine="482"/>
        <w:rPr>
          <w:rFonts w:ascii="宋体" w:hAnsi="宋体" w:eastAsia="宋体"/>
          <w:b/>
          <w:bCs/>
        </w:rPr>
      </w:pPr>
      <w:r>
        <w:rPr>
          <w:rFonts w:hint="eastAsia" w:ascii="宋体" w:hAnsi="宋体" w:eastAsia="宋体"/>
          <w:b/>
          <w:bCs/>
        </w:rPr>
        <w:t>云平台建设</w:t>
      </w:r>
    </w:p>
    <w:p>
      <w:pPr>
        <w:pStyle w:val="465"/>
        <w:ind w:firstLine="480"/>
        <w:rPr>
          <w:rFonts w:ascii="宋体" w:hAnsi="宋体" w:eastAsia="宋体"/>
        </w:rPr>
      </w:pPr>
      <w:r>
        <w:rPr>
          <w:rFonts w:hint="eastAsia" w:ascii="宋体" w:hAnsi="宋体" w:eastAsia="宋体"/>
        </w:rPr>
        <w:t>本次云平台目定位为面向网信专网基础设施资源自主可控云平台的建设，采用云建设方式并提供IaaS服务，通过改造构建出独立的网信自主可控云资源模块，部署所需的网络资源、计算资源、存储资源、备份资源及云管理服务平台等设备，对外提供基础设施资源（Iaa</w:t>
      </w:r>
      <w:r>
        <w:rPr>
          <w:rFonts w:ascii="宋体" w:hAnsi="宋体" w:eastAsia="宋体"/>
        </w:rPr>
        <w:t>S</w:t>
      </w:r>
      <w:r>
        <w:rPr>
          <w:rFonts w:hint="eastAsia" w:ascii="宋体" w:hAnsi="宋体" w:eastAsia="宋体"/>
        </w:rPr>
        <w:t>层）,同时试点建设部分Paa</w:t>
      </w:r>
      <w:r>
        <w:rPr>
          <w:rFonts w:ascii="宋体" w:hAnsi="宋体" w:eastAsia="宋体"/>
        </w:rPr>
        <w:t>S</w:t>
      </w:r>
      <w:r>
        <w:rPr>
          <w:rFonts w:hint="eastAsia" w:ascii="宋体" w:hAnsi="宋体" w:eastAsia="宋体"/>
        </w:rPr>
        <w:t>服务，重点支持网信办未来专网业务系统统一入云部署需求。</w:t>
      </w:r>
    </w:p>
    <w:p>
      <w:pPr>
        <w:pStyle w:val="465"/>
        <w:ind w:firstLine="480"/>
        <w:rPr>
          <w:rFonts w:ascii="宋体" w:hAnsi="宋体" w:eastAsia="宋体"/>
        </w:rPr>
      </w:pPr>
      <w:r>
        <w:rPr>
          <w:rFonts w:hint="eastAsia" w:ascii="宋体" w:hAnsi="宋体" w:eastAsia="宋体"/>
        </w:rPr>
        <w:t>为保证本项目中系统能够长期、安全、稳定、可靠、高效的运行，需满足以下通用技术需求：</w:t>
      </w:r>
    </w:p>
    <w:p>
      <w:pPr>
        <w:pStyle w:val="183"/>
        <w:numPr>
          <w:ilvl w:val="0"/>
          <w:numId w:val="32"/>
        </w:numPr>
        <w:rPr>
          <w:rFonts w:eastAsia="宋体"/>
          <w:szCs w:val="28"/>
        </w:rPr>
      </w:pPr>
      <w:r>
        <w:rPr>
          <w:rFonts w:hint="eastAsia" w:eastAsia="宋体"/>
          <w:szCs w:val="28"/>
        </w:rPr>
        <w:t>系统平均年故障时间＜</w:t>
      </w:r>
      <w:r>
        <w:rPr>
          <w:rFonts w:eastAsia="宋体"/>
          <w:szCs w:val="28"/>
        </w:rPr>
        <w:t>48</w:t>
      </w:r>
      <w:r>
        <w:rPr>
          <w:rFonts w:hint="eastAsia" w:eastAsia="宋体"/>
          <w:szCs w:val="28"/>
        </w:rPr>
        <w:t>小时；</w:t>
      </w:r>
    </w:p>
    <w:p>
      <w:pPr>
        <w:pStyle w:val="183"/>
        <w:numPr>
          <w:ilvl w:val="0"/>
          <w:numId w:val="32"/>
        </w:numPr>
        <w:rPr>
          <w:rFonts w:eastAsia="宋体"/>
          <w:szCs w:val="28"/>
        </w:rPr>
      </w:pPr>
      <w:r>
        <w:rPr>
          <w:rFonts w:hint="eastAsia" w:eastAsia="宋体"/>
          <w:szCs w:val="28"/>
        </w:rPr>
        <w:t>系统可用性</w:t>
      </w:r>
      <w:r>
        <w:rPr>
          <w:rFonts w:eastAsia="宋体"/>
          <w:szCs w:val="28"/>
        </w:rPr>
        <w:t>99%</w:t>
      </w:r>
      <w:r>
        <w:rPr>
          <w:rFonts w:hint="eastAsia" w:eastAsia="宋体"/>
          <w:szCs w:val="28"/>
        </w:rPr>
        <w:t>；</w:t>
      </w:r>
    </w:p>
    <w:p>
      <w:pPr>
        <w:pStyle w:val="183"/>
        <w:numPr>
          <w:ilvl w:val="0"/>
          <w:numId w:val="32"/>
        </w:numPr>
        <w:rPr>
          <w:rFonts w:eastAsia="宋体"/>
          <w:szCs w:val="28"/>
        </w:rPr>
      </w:pPr>
      <w:r>
        <w:rPr>
          <w:rFonts w:hint="eastAsia" w:eastAsia="宋体"/>
          <w:szCs w:val="28"/>
        </w:rPr>
        <w:t>系统操作平均响应时间：简单处理响应时间≤</w:t>
      </w:r>
      <w:r>
        <w:rPr>
          <w:rFonts w:eastAsia="宋体"/>
          <w:szCs w:val="28"/>
        </w:rPr>
        <w:t>2</w:t>
      </w:r>
      <w:r>
        <w:rPr>
          <w:rFonts w:hint="eastAsia" w:eastAsia="宋体"/>
          <w:szCs w:val="28"/>
        </w:rPr>
        <w:t>秒，复杂处理响应时间≤</w:t>
      </w:r>
      <w:r>
        <w:rPr>
          <w:rFonts w:eastAsia="宋体"/>
          <w:szCs w:val="28"/>
        </w:rPr>
        <w:t>4</w:t>
      </w:r>
      <w:r>
        <w:rPr>
          <w:rFonts w:hint="eastAsia" w:eastAsia="宋体"/>
          <w:szCs w:val="28"/>
        </w:rPr>
        <w:t>秒，超过时间需准确的进度提示；</w:t>
      </w:r>
    </w:p>
    <w:p>
      <w:pPr>
        <w:pStyle w:val="183"/>
        <w:numPr>
          <w:ilvl w:val="0"/>
          <w:numId w:val="32"/>
        </w:numPr>
        <w:rPr>
          <w:rFonts w:eastAsia="宋体"/>
          <w:szCs w:val="28"/>
        </w:rPr>
      </w:pPr>
      <w:r>
        <w:rPr>
          <w:rFonts w:hint="eastAsia" w:eastAsia="宋体"/>
          <w:szCs w:val="28"/>
        </w:rPr>
        <w:t>页面响应时间不考虑网络延迟、拥堵、文件大小等因素的影响前提下，</w:t>
      </w:r>
      <w:r>
        <w:rPr>
          <w:rFonts w:eastAsia="宋体"/>
          <w:szCs w:val="28"/>
        </w:rPr>
        <w:t>Web</w:t>
      </w:r>
      <w:r>
        <w:rPr>
          <w:rFonts w:hint="eastAsia" w:eastAsia="宋体"/>
          <w:szCs w:val="28"/>
        </w:rPr>
        <w:t>查询的响应时间＜</w:t>
      </w:r>
      <w:r>
        <w:rPr>
          <w:rFonts w:eastAsia="宋体"/>
          <w:szCs w:val="28"/>
        </w:rPr>
        <w:t>2</w:t>
      </w:r>
      <w:r>
        <w:rPr>
          <w:rFonts w:hint="eastAsia" w:eastAsia="宋体"/>
          <w:szCs w:val="28"/>
        </w:rPr>
        <w:t>秒；</w:t>
      </w:r>
    </w:p>
    <w:p>
      <w:pPr>
        <w:pStyle w:val="183"/>
        <w:numPr>
          <w:ilvl w:val="0"/>
          <w:numId w:val="32"/>
        </w:numPr>
        <w:rPr>
          <w:rFonts w:eastAsia="宋体"/>
          <w:szCs w:val="28"/>
        </w:rPr>
      </w:pPr>
      <w:r>
        <w:rPr>
          <w:rFonts w:hint="eastAsia" w:eastAsia="宋体"/>
          <w:szCs w:val="28"/>
        </w:rPr>
        <w:t>应用系统具备高易用性、高可靠性、高兼容性、高健壮性，能够提供</w:t>
      </w:r>
      <w:r>
        <w:rPr>
          <w:rFonts w:eastAsia="宋体"/>
          <w:szCs w:val="28"/>
        </w:rPr>
        <w:t>7</w:t>
      </w:r>
      <w:r>
        <w:rPr>
          <w:rFonts w:hint="eastAsia" w:eastAsia="宋体"/>
          <w:szCs w:val="28"/>
        </w:rPr>
        <w:t>×</w:t>
      </w:r>
      <w:r>
        <w:rPr>
          <w:rFonts w:eastAsia="宋体"/>
          <w:szCs w:val="28"/>
        </w:rPr>
        <w:t>24</w:t>
      </w:r>
      <w:r>
        <w:rPr>
          <w:rFonts w:hint="eastAsia" w:eastAsia="宋体"/>
          <w:szCs w:val="28"/>
        </w:rPr>
        <w:t>小时的连续运行能力，具有较强的系统安全性和灾难恢复能力；</w:t>
      </w:r>
    </w:p>
    <w:p>
      <w:pPr>
        <w:pStyle w:val="183"/>
        <w:numPr>
          <w:ilvl w:val="0"/>
          <w:numId w:val="32"/>
        </w:numPr>
        <w:rPr>
          <w:rFonts w:eastAsia="宋体"/>
          <w:szCs w:val="28"/>
        </w:rPr>
      </w:pPr>
      <w:r>
        <w:rPr>
          <w:rFonts w:hint="eastAsia" w:eastAsia="宋体"/>
          <w:szCs w:val="28"/>
        </w:rPr>
        <w:t>系统访问控制应覆盖到功能模块、数据、角色级。</w:t>
      </w:r>
    </w:p>
    <w:p>
      <w:pPr>
        <w:pStyle w:val="465"/>
        <w:ind w:firstLine="480"/>
        <w:rPr>
          <w:rFonts w:ascii="宋体" w:hAnsi="宋体" w:eastAsia="宋体"/>
        </w:rPr>
      </w:pPr>
      <w:r>
        <w:rPr>
          <w:rFonts w:hint="eastAsia" w:ascii="宋体" w:hAnsi="宋体" w:eastAsia="宋体"/>
        </w:rPr>
        <w:t>本次云平台需要兼容原有商用</w:t>
      </w:r>
      <w:r>
        <w:rPr>
          <w:rFonts w:ascii="宋体" w:hAnsi="宋体" w:eastAsia="宋体"/>
        </w:rPr>
        <w:t>X86</w:t>
      </w:r>
      <w:r>
        <w:rPr>
          <w:rFonts w:hint="eastAsia" w:ascii="宋体" w:hAnsi="宋体" w:eastAsia="宋体"/>
        </w:rPr>
        <w:t>架构1</w:t>
      </w:r>
      <w:r>
        <w:rPr>
          <w:rFonts w:ascii="宋体" w:hAnsi="宋体" w:eastAsia="宋体"/>
        </w:rPr>
        <w:t>12CPU</w:t>
      </w:r>
      <w:r>
        <w:rPr>
          <w:rFonts w:hint="eastAsia" w:ascii="宋体" w:hAnsi="宋体" w:eastAsia="宋体"/>
        </w:rPr>
        <w:t>超融合，同时为了满足未来信创资源池的扩容要求。做到多个资源池统一调度，统一管理。</w:t>
      </w:r>
    </w:p>
    <w:p>
      <w:pPr>
        <w:pStyle w:val="465"/>
        <w:ind w:firstLine="480"/>
        <w:rPr>
          <w:rFonts w:ascii="宋体" w:hAnsi="宋体" w:eastAsia="宋体"/>
        </w:rPr>
      </w:pPr>
      <w:r>
        <w:rPr>
          <w:rFonts w:hint="eastAsia" w:ascii="宋体" w:hAnsi="宋体" w:eastAsia="宋体"/>
        </w:rPr>
        <w:t>云平台通过基于自主可控基础设施服务层的建设，构建自控可控资源池，为后续各市直单位业务应用系统迁移提供安全可靠的资源环境。</w:t>
      </w:r>
    </w:p>
    <w:p>
      <w:pPr>
        <w:pStyle w:val="465"/>
        <w:ind w:firstLine="480"/>
        <w:rPr>
          <w:rFonts w:ascii="宋体" w:hAnsi="宋体" w:eastAsia="宋体"/>
        </w:rPr>
      </w:pPr>
      <w:r>
        <w:rPr>
          <w:rFonts w:hint="eastAsia" w:ascii="宋体" w:hAnsi="宋体" w:eastAsia="宋体"/>
        </w:rPr>
        <w:t>目前安全可靠</w:t>
      </w:r>
      <w:r>
        <w:rPr>
          <w:rFonts w:ascii="宋体" w:hAnsi="宋体" w:eastAsia="宋体"/>
        </w:rPr>
        <w:t>CPU</w:t>
      </w:r>
      <w:r>
        <w:rPr>
          <w:rFonts w:hint="eastAsia" w:ascii="宋体" w:hAnsi="宋体" w:eastAsia="宋体"/>
        </w:rPr>
        <w:t>主要有鲲鹏、海光、龙芯、飞腾、兆芯、申威等，其中</w:t>
      </w:r>
      <w:r>
        <w:rPr>
          <w:rFonts w:ascii="宋体" w:hAnsi="宋体" w:eastAsia="宋体"/>
        </w:rPr>
        <w:t>涵盖了</w:t>
      </w:r>
      <w:r>
        <w:rPr>
          <w:rFonts w:hint="eastAsia" w:ascii="宋体" w:hAnsi="宋体" w:eastAsia="宋体"/>
        </w:rPr>
        <w:t>ARM、MIPS以及自主可控X86等</w:t>
      </w:r>
      <w:r>
        <w:rPr>
          <w:rFonts w:ascii="宋体" w:hAnsi="宋体" w:eastAsia="宋体"/>
        </w:rPr>
        <w:t>底层技术路线。</w:t>
      </w:r>
      <w:r>
        <w:rPr>
          <w:rFonts w:hint="eastAsia" w:ascii="宋体" w:hAnsi="宋体" w:eastAsia="宋体"/>
        </w:rPr>
        <w:t>本云平台解决方案，支持不同异构芯片的管理，并且兼容不同软件厂家，满足不同的业务场景需求。</w:t>
      </w:r>
    </w:p>
    <w:p>
      <w:pPr>
        <w:ind w:firstLine="560"/>
        <w:rPr>
          <w:rFonts w:ascii="宋体" w:hAnsi="宋体" w:eastAsia="宋体"/>
          <w:szCs w:val="28"/>
        </w:rPr>
      </w:pPr>
      <w:r>
        <w:rPr>
          <w:rFonts w:hint="eastAsia" w:ascii="宋体" w:hAnsi="宋体" w:eastAsia="宋体"/>
          <w:szCs w:val="28"/>
        </w:rPr>
        <w:t>本项目建设云平台基础设施服务层总体架构如下图所示：</w:t>
      </w:r>
      <w:r>
        <w:rPr>
          <w:rFonts w:ascii="宋体" w:hAnsi="宋体" w:eastAsia="宋体"/>
          <w:szCs w:val="28"/>
        </w:rPr>
        <w:t xml:space="preserve"> </w:t>
      </w:r>
    </w:p>
    <w:p>
      <w:pPr>
        <w:pStyle w:val="465"/>
        <w:numPr>
          <w:ilvl w:val="1"/>
          <w:numId w:val="31"/>
        </w:numPr>
        <w:ind w:left="0" w:firstLine="482"/>
        <w:rPr>
          <w:rFonts w:ascii="宋体" w:hAnsi="宋体" w:eastAsia="宋体"/>
          <w:b/>
          <w:bCs/>
        </w:rPr>
      </w:pPr>
      <w:r>
        <w:rPr>
          <w:rFonts w:hint="eastAsia" w:ascii="宋体" w:hAnsi="宋体" w:eastAsia="宋体"/>
          <w:b/>
          <w:bCs/>
        </w:rPr>
        <w:t>金华灾备中心存储扩容</w:t>
      </w:r>
    </w:p>
    <w:p>
      <w:pPr>
        <w:pStyle w:val="465"/>
        <w:ind w:firstLine="480"/>
        <w:rPr>
          <w:rFonts w:ascii="宋体" w:hAnsi="宋体" w:eastAsia="宋体"/>
        </w:rPr>
      </w:pPr>
      <w:r>
        <w:rPr>
          <w:rFonts w:hint="eastAsia" w:ascii="宋体" w:hAnsi="宋体" w:eastAsia="宋体"/>
        </w:rPr>
        <w:t>目前在前期建设中，网信办已形成杭州电信机房、移动机房和金华灾备机房的两地三中心架构。</w:t>
      </w:r>
    </w:p>
    <w:p>
      <w:pPr>
        <w:spacing w:line="276" w:lineRule="auto"/>
        <w:ind w:firstLine="480"/>
        <w:rPr>
          <w:rFonts w:ascii="宋体" w:hAnsi="宋体" w:eastAsia="宋体"/>
          <w:b/>
          <w:bCs/>
          <w:szCs w:val="21"/>
        </w:rPr>
      </w:pPr>
      <w:r>
        <w:rPr>
          <w:rFonts w:ascii="宋体" w:hAnsi="宋体" w:eastAsia="宋体"/>
        </w:rPr>
        <w:drawing>
          <wp:inline distT="0" distB="0" distL="0" distR="0">
            <wp:extent cx="4742180" cy="2208530"/>
            <wp:effectExtent l="0" t="0" r="127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744630" cy="2209515"/>
                    </a:xfrm>
                    <a:prstGeom prst="rect">
                      <a:avLst/>
                    </a:prstGeom>
                    <a:noFill/>
                    <a:ln>
                      <a:noFill/>
                    </a:ln>
                  </pic:spPr>
                </pic:pic>
              </a:graphicData>
            </a:graphic>
          </wp:inline>
        </w:drawing>
      </w:r>
    </w:p>
    <w:p>
      <w:pPr>
        <w:pStyle w:val="465"/>
        <w:ind w:firstLine="480"/>
        <w:rPr>
          <w:rFonts w:ascii="宋体" w:hAnsi="宋体" w:eastAsia="宋体"/>
        </w:rPr>
      </w:pPr>
      <w:r>
        <w:rPr>
          <w:rFonts w:hint="eastAsia" w:ascii="宋体" w:hAnsi="宋体" w:eastAsia="宋体"/>
        </w:rPr>
        <w:t>目前金华机房内仅仅包含5节点超融合集群，无法做到杭州机房全量业务数据备份（除探针日志数据外）。</w:t>
      </w:r>
    </w:p>
    <w:p>
      <w:pPr>
        <w:pStyle w:val="465"/>
        <w:ind w:firstLine="480"/>
        <w:rPr>
          <w:rFonts w:ascii="宋体" w:hAnsi="宋体" w:eastAsia="宋体"/>
        </w:rPr>
      </w:pPr>
      <w:r>
        <w:rPr>
          <w:rFonts w:hint="eastAsia" w:ascii="宋体" w:hAnsi="宋体" w:eastAsia="宋体"/>
        </w:rPr>
        <w:t>本次</w:t>
      </w:r>
      <w:r>
        <w:rPr>
          <w:rFonts w:hint="eastAsia" w:ascii="宋体" w:hAnsi="宋体"/>
          <w:lang w:eastAsia="zh-CN"/>
        </w:rPr>
        <w:t>将</w:t>
      </w:r>
      <w:r>
        <w:rPr>
          <w:rFonts w:hint="eastAsia" w:ascii="宋体" w:hAnsi="宋体" w:eastAsia="宋体"/>
        </w:rPr>
        <w:t>在异地数据备份中心（距离浙江省网信办200km外的金华机房），部署一套高性能、高并发的备份软件，后挂集中式存储作为备份数据存储介质。</w:t>
      </w:r>
    </w:p>
    <w:p>
      <w:pPr>
        <w:pStyle w:val="465"/>
        <w:ind w:firstLine="480"/>
        <w:rPr>
          <w:rFonts w:ascii="宋体" w:hAnsi="宋体" w:eastAsia="宋体"/>
        </w:rPr>
      </w:pPr>
      <w:r>
        <w:rPr>
          <w:rFonts w:hint="eastAsia" w:ascii="宋体" w:hAnsi="宋体" w:eastAsia="宋体"/>
        </w:rPr>
        <w:t>首先将备份软件安装到现有利旧的服务器上，整体作为备份策略主机，在杭州电信、移动网信办机房对重要的50T数据进行全量备份，备份介质为集中式存储。在全量备份后，将备份策略主机及备份介质运输至金华数据机房，后续进行关键业务的增量备份。</w:t>
      </w:r>
    </w:p>
    <w:p>
      <w:pPr>
        <w:pStyle w:val="465"/>
        <w:numPr>
          <w:ilvl w:val="1"/>
          <w:numId w:val="31"/>
        </w:numPr>
        <w:ind w:left="0" w:firstLine="482"/>
        <w:rPr>
          <w:rFonts w:ascii="宋体" w:hAnsi="宋体" w:eastAsia="宋体"/>
          <w:b/>
          <w:bCs/>
        </w:rPr>
      </w:pPr>
      <w:r>
        <w:rPr>
          <w:rFonts w:hint="eastAsia" w:ascii="宋体" w:hAnsi="宋体" w:eastAsia="宋体"/>
          <w:b/>
          <w:bCs/>
        </w:rPr>
        <w:t>网络扩容</w:t>
      </w:r>
    </w:p>
    <w:p>
      <w:pPr>
        <w:pStyle w:val="465"/>
        <w:ind w:firstLine="480"/>
      </w:pPr>
      <w:r>
        <w:rPr>
          <w:rFonts w:hint="eastAsia" w:ascii="宋体" w:hAnsi="宋体" w:eastAsia="宋体"/>
        </w:rPr>
        <w:t>目前网信办超融合集群的管理网络采用复用管理网与业务网融合的方式。随着网络建设的高速发展，网络覆盖要求在不断增加，并随着业务的发展，机房中不同种类的通信设备也在不断增加。此外随着市场竞争的不断增强，对网络故障响应时间的要求也不断严格。因此对于网络维护工作而言，不但工作量增加，而且压力不断在增加。当网络上设备出现问题，处理速度有限。另外，由于设备数量较多，设备品牌也较多，通过单一的第三方集中网管进行配置管理能实现的功能有限，且存在部署上的地址规划问题。因此需要找到一种更稳定、更安全、</w:t>
      </w:r>
      <w:r>
        <w:rPr>
          <w:rFonts w:hint="eastAsia"/>
        </w:rPr>
        <w:t>更方便、更快捷的综合网络设备的管理方式。</w:t>
      </w:r>
    </w:p>
    <w:p>
      <w:pPr>
        <w:pStyle w:val="465"/>
        <w:ind w:firstLine="480"/>
      </w:pPr>
      <w:r>
        <w:rPr>
          <w:rFonts w:hint="eastAsia"/>
        </w:rPr>
        <w:t>根据政策导向，未来将会扩容信创资源池，将业务网与管理网融合的方式，目前的交换机带宽无法满足将业务流和管理流同时纳管，容易导致业务中断。</w:t>
      </w:r>
    </w:p>
    <w:p>
      <w:pPr>
        <w:pStyle w:val="465"/>
        <w:ind w:firstLine="480"/>
      </w:pPr>
      <w:r>
        <w:rPr>
          <w:rFonts w:hint="eastAsia"/>
        </w:rPr>
        <w:t>除此以外，目前专网的出口路由带宽已无法满足大业务的转发，且为配合流量的管理，需要提供具备大转发性能且能够将业务流量实时分析的高性能路由器。</w:t>
      </w:r>
    </w:p>
    <w:p>
      <w:pPr>
        <w:pStyle w:val="465"/>
        <w:ind w:firstLine="480"/>
      </w:pPr>
      <w:r>
        <w:rPr>
          <w:rFonts w:hint="eastAsia"/>
        </w:rPr>
        <w:t>由于此前管理网和业务网并非分开部署，容易导致上述问题，此次建设选择采用带外网管系统作为管理方法。带外网管能够实现设备紧急访问通道、集中访问控制、分级授权管理、操作日志记录、故障告警等功能。能够减少运营成本、提高运营效率、减少宕机时间、提高服务质量，在提高机房设备管理水平、加强设备运行维护功能、降低运营维护成本方面起着很重要的作用，也是符合网络建设依据的主流管理方式。</w:t>
      </w:r>
    </w:p>
    <w:p>
      <w:pPr>
        <w:ind w:firstLine="480"/>
        <w:rPr>
          <w:rFonts w:ascii="宋体" w:hAnsi="宋体" w:eastAsia="宋体"/>
        </w:rPr>
      </w:pPr>
      <w:r>
        <w:rPr>
          <w:rFonts w:ascii="宋体" w:hAnsi="宋体" w:eastAsia="宋体"/>
        </w:rPr>
        <w:drawing>
          <wp:inline distT="0" distB="0" distL="0" distR="0">
            <wp:extent cx="3940810" cy="2237105"/>
            <wp:effectExtent l="0" t="0" r="2540" b="10795"/>
            <wp:docPr id="1" name="图片 1" descr="C:\Users\w11275\AppData\Local\Temp\WeChat Files\ae60d736e32060a427daf839e5abc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11275\AppData\Local\Temp\WeChat Files\ae60d736e32060a427daf839e5abc3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955412" cy="2245607"/>
                    </a:xfrm>
                    <a:prstGeom prst="rect">
                      <a:avLst/>
                    </a:prstGeom>
                    <a:noFill/>
                    <a:ln>
                      <a:noFill/>
                    </a:ln>
                  </pic:spPr>
                </pic:pic>
              </a:graphicData>
            </a:graphic>
          </wp:inline>
        </w:drawing>
      </w:r>
    </w:p>
    <w:p>
      <w:pPr>
        <w:pStyle w:val="465"/>
        <w:ind w:firstLine="480"/>
      </w:pPr>
      <w:r>
        <w:rPr>
          <w:rFonts w:hint="eastAsia"/>
        </w:rPr>
        <w:t>此次建设主要包括管理网的建设、出口路由的替换以及镜像流量的增加。</w:t>
      </w:r>
    </w:p>
    <w:p>
      <w:pPr>
        <w:rPr>
          <w:rFonts w:hint="eastAsia" w:ascii="宋体" w:hAnsi="宋体"/>
          <w:sz w:val="28"/>
          <w:szCs w:val="28"/>
        </w:rPr>
      </w:pPr>
      <w:r>
        <w:rPr>
          <w:rFonts w:hint="eastAsia" w:ascii="宋体" w:hAnsi="宋体"/>
          <w:sz w:val="28"/>
          <w:szCs w:val="28"/>
        </w:rPr>
        <w:br w:type="page"/>
      </w:r>
    </w:p>
    <w:p>
      <w:pPr>
        <w:pStyle w:val="5"/>
        <w:widowControl/>
        <w:numPr>
          <w:ilvl w:val="2"/>
          <w:numId w:val="0"/>
        </w:numPr>
        <w:spacing w:before="0" w:after="0" w:line="360" w:lineRule="auto"/>
        <w:ind w:left="709" w:hanging="709"/>
        <w:jc w:val="left"/>
        <w:rPr>
          <w:rFonts w:ascii="宋体" w:hAnsi="宋体"/>
          <w:sz w:val="28"/>
          <w:szCs w:val="28"/>
        </w:rPr>
      </w:pPr>
      <w:r>
        <w:rPr>
          <w:rFonts w:hint="eastAsia" w:ascii="宋体" w:hAnsi="宋体"/>
          <w:sz w:val="28"/>
          <w:szCs w:val="28"/>
        </w:rPr>
        <w:t>二</w:t>
      </w:r>
      <w:r>
        <w:rPr>
          <w:rFonts w:ascii="宋体" w:hAnsi="宋体"/>
          <w:sz w:val="28"/>
          <w:szCs w:val="28"/>
        </w:rPr>
        <w:t>、招标设备清单及技术要求</w:t>
      </w:r>
    </w:p>
    <w:p>
      <w:pPr>
        <w:pStyle w:val="6"/>
      </w:pPr>
      <w:r>
        <w:t>1、招标清单一览表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3"/>
        <w:gridCol w:w="326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kern w:val="0"/>
                <w:sz w:val="20"/>
                <w:szCs w:val="21"/>
              </w:rPr>
            </w:pPr>
            <w:r>
              <w:rPr>
                <w:rFonts w:hint="eastAsia" w:ascii="宋体" w:hAnsi="宋体" w:eastAsia="宋体" w:cs="Times New Roman"/>
                <w:b/>
                <w:bCs/>
                <w:kern w:val="0"/>
                <w:sz w:val="20"/>
                <w:szCs w:val="21"/>
              </w:rPr>
              <w:t>序号</w:t>
            </w:r>
          </w:p>
        </w:tc>
        <w:tc>
          <w:tcPr>
            <w:tcW w:w="51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kern w:val="0"/>
                <w:sz w:val="20"/>
                <w:szCs w:val="21"/>
              </w:rPr>
            </w:pPr>
            <w:r>
              <w:rPr>
                <w:rFonts w:hint="eastAsia" w:ascii="宋体" w:hAnsi="宋体" w:eastAsia="宋体" w:cs="Times New Roman"/>
                <w:b/>
                <w:bCs/>
                <w:kern w:val="0"/>
                <w:sz w:val="20"/>
                <w:szCs w:val="21"/>
              </w:rPr>
              <w:t>内容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kern w:val="0"/>
                <w:sz w:val="20"/>
                <w:szCs w:val="21"/>
              </w:rPr>
            </w:pPr>
            <w:r>
              <w:rPr>
                <w:rFonts w:hint="eastAsia" w:ascii="宋体" w:hAnsi="宋体" w:eastAsia="宋体" w:cs="Times New Roman"/>
                <w:b/>
                <w:bCs/>
                <w:kern w:val="0"/>
                <w:sz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1</w:t>
            </w:r>
          </w:p>
        </w:tc>
        <w:tc>
          <w:tcPr>
            <w:tcW w:w="1843" w:type="dxa"/>
            <w:vMerge w:val="restart"/>
            <w:tcBorders>
              <w:top w:val="nil"/>
              <w:left w:val="single" w:color="auto" w:sz="4" w:space="0"/>
              <w:right w:val="single" w:color="auto" w:sz="4" w:space="0"/>
            </w:tcBorders>
            <w:vAlign w:val="center"/>
          </w:tcPr>
          <w:p>
            <w:pPr>
              <w:jc w:val="center"/>
              <w:textAlignment w:val="center"/>
              <w:rPr>
                <w:rFonts w:ascii="宋体" w:hAnsi="宋体" w:eastAsia="宋体" w:cs="Times New Roman"/>
                <w:kern w:val="0"/>
                <w:sz w:val="20"/>
                <w:szCs w:val="21"/>
              </w:rPr>
            </w:pPr>
            <w:r>
              <w:rPr>
                <w:rFonts w:hint="eastAsia" w:ascii="宋体" w:hAnsi="宋体" w:eastAsia="宋体" w:cs="Times New Roman"/>
                <w:kern w:val="0"/>
                <w:sz w:val="20"/>
                <w:szCs w:val="21"/>
              </w:rPr>
              <w:t>网信专网区</w:t>
            </w: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日志汇聚系统</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2</w:t>
            </w:r>
          </w:p>
        </w:tc>
        <w:tc>
          <w:tcPr>
            <w:tcW w:w="0" w:type="auto"/>
            <w:vMerge w:val="continue"/>
            <w:tcBorders>
              <w:left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终端安全与管理系统</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3</w:t>
            </w:r>
          </w:p>
        </w:tc>
        <w:tc>
          <w:tcPr>
            <w:tcW w:w="0" w:type="auto"/>
            <w:vMerge w:val="continue"/>
            <w:tcBorders>
              <w:left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上网行为管理系统</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4</w:t>
            </w:r>
          </w:p>
        </w:tc>
        <w:tc>
          <w:tcPr>
            <w:tcW w:w="0" w:type="auto"/>
            <w:vMerge w:val="continue"/>
            <w:tcBorders>
              <w:left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20"/>
                <w:szCs w:val="21"/>
                <w:lang w:eastAsia="zh-CN"/>
              </w:rPr>
            </w:pPr>
            <w:r>
              <w:rPr>
                <w:rFonts w:hint="eastAsia" w:ascii="宋体" w:hAnsi="宋体" w:eastAsia="宋体" w:cs="Times New Roman"/>
                <w:kern w:val="0"/>
                <w:sz w:val="20"/>
                <w:szCs w:val="21"/>
              </w:rPr>
              <w:t>应用防火墙</w:t>
            </w:r>
            <w:r>
              <w:rPr>
                <w:rFonts w:hint="eastAsia" w:ascii="宋体" w:hAnsi="宋体" w:eastAsia="宋体" w:cs="Times New Roman"/>
                <w:b/>
                <w:bCs/>
                <w:color w:val="C00000"/>
                <w:kern w:val="0"/>
                <w:sz w:val="20"/>
                <w:szCs w:val="21"/>
                <w:lang w:eastAsia="zh-CN"/>
              </w:rPr>
              <w:t>（</w:t>
            </w:r>
            <w:r>
              <w:rPr>
                <w:rFonts w:hint="eastAsia" w:ascii="宋体" w:hAnsi="宋体" w:eastAsia="宋体" w:cs="Times New Roman"/>
                <w:b/>
                <w:bCs/>
                <w:color w:val="C00000"/>
                <w:kern w:val="0"/>
                <w:sz w:val="20"/>
                <w:szCs w:val="21"/>
              </w:rPr>
              <w:t>核心产品</w:t>
            </w:r>
            <w:r>
              <w:rPr>
                <w:rFonts w:hint="eastAsia" w:ascii="宋体" w:hAnsi="宋体" w:eastAsia="宋体" w:cs="Times New Roman"/>
                <w:b/>
                <w:bCs/>
                <w:color w:val="C00000"/>
                <w:kern w:val="0"/>
                <w:sz w:val="20"/>
                <w:szCs w:val="21"/>
                <w:lang w:eastAsia="zh-CN"/>
              </w:rPr>
              <w:t>）</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ascii="宋体" w:hAnsi="宋体" w:eastAsia="宋体" w:cs="Times New Roman"/>
                <w:kern w:val="0"/>
                <w:sz w:val="20"/>
                <w:szCs w:val="21"/>
              </w:rPr>
              <w:t>2</w:t>
            </w:r>
            <w:r>
              <w:rPr>
                <w:rFonts w:hint="eastAsia" w:ascii="宋体" w:hAnsi="宋体" w:eastAsia="宋体" w:cs="Times New Roman"/>
                <w:kern w:val="0"/>
                <w:sz w:val="20"/>
                <w:szCs w:val="21"/>
              </w:rPr>
              <w:t>台</w:t>
            </w:r>
            <w:r>
              <w:rPr>
                <w:rFonts w:ascii="宋体" w:hAnsi="宋体" w:eastAsia="宋体" w:cs="Times New Roman"/>
                <w:kern w:val="0"/>
                <w:sz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5</w:t>
            </w:r>
          </w:p>
        </w:tc>
        <w:tc>
          <w:tcPr>
            <w:tcW w:w="0" w:type="auto"/>
            <w:vMerge w:val="continue"/>
            <w:tcBorders>
              <w:left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运维审计与风险控制系统</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6</w:t>
            </w:r>
          </w:p>
        </w:tc>
        <w:tc>
          <w:tcPr>
            <w:tcW w:w="0" w:type="auto"/>
            <w:vMerge w:val="continue"/>
            <w:tcBorders>
              <w:left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I</w:t>
            </w:r>
            <w:r>
              <w:rPr>
                <w:rFonts w:ascii="宋体" w:hAnsi="宋体" w:eastAsia="宋体" w:cs="Times New Roman"/>
                <w:kern w:val="0"/>
                <w:sz w:val="20"/>
                <w:szCs w:val="21"/>
              </w:rPr>
              <w:t>PSec VPN</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7</w:t>
            </w:r>
          </w:p>
        </w:tc>
        <w:tc>
          <w:tcPr>
            <w:tcW w:w="0" w:type="auto"/>
            <w:vMerge w:val="continue"/>
            <w:tcBorders>
              <w:left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网络准入管理系统</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8</w:t>
            </w:r>
          </w:p>
        </w:tc>
        <w:tc>
          <w:tcPr>
            <w:tcW w:w="0" w:type="auto"/>
            <w:vMerge w:val="continue"/>
            <w:tcBorders>
              <w:left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网络安全运营保障平台（零信任体系）（信创版）</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9</w:t>
            </w:r>
          </w:p>
        </w:tc>
        <w:tc>
          <w:tcPr>
            <w:tcW w:w="0" w:type="auto"/>
            <w:vMerge w:val="continue"/>
            <w:tcBorders>
              <w:left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bookmarkStart w:id="26" w:name="_Hlk100850628"/>
            <w:r>
              <w:rPr>
                <w:rFonts w:hint="eastAsia" w:ascii="宋体" w:hAnsi="宋体" w:eastAsia="宋体" w:cs="Times New Roman"/>
                <w:kern w:val="0"/>
                <w:sz w:val="20"/>
                <w:szCs w:val="21"/>
              </w:rPr>
              <w:t>数据安全分级与风险评估</w:t>
            </w:r>
            <w:bookmarkEnd w:id="26"/>
            <w:r>
              <w:rPr>
                <w:rFonts w:hint="eastAsia" w:ascii="宋体" w:hAnsi="宋体" w:eastAsia="宋体" w:cs="Times New Roman"/>
                <w:kern w:val="0"/>
                <w:sz w:val="20"/>
                <w:szCs w:val="21"/>
              </w:rPr>
              <w:t>系统</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kern w:val="0"/>
                <w:sz w:val="20"/>
                <w:szCs w:val="21"/>
              </w:rPr>
            </w:pPr>
            <w:r>
              <w:rPr>
                <w:rFonts w:hint="eastAsia" w:ascii="宋体" w:hAnsi="宋体" w:eastAsia="宋体" w:cs="Times New Roman"/>
                <w:kern w:val="0"/>
                <w:sz w:val="2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1</w:t>
            </w:r>
            <w:r>
              <w:rPr>
                <w:rFonts w:ascii="宋体" w:hAnsi="宋体" w:eastAsia="宋体" w:cs="Times New Roman"/>
                <w:color w:val="000000"/>
                <w:kern w:val="0"/>
                <w:sz w:val="20"/>
                <w:szCs w:val="21"/>
              </w:rPr>
              <w:t>0</w:t>
            </w:r>
          </w:p>
        </w:tc>
        <w:tc>
          <w:tcPr>
            <w:tcW w:w="0" w:type="auto"/>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数据脱敏系统</w:t>
            </w: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kern w:val="0"/>
                <w:sz w:val="20"/>
                <w:szCs w:val="21"/>
              </w:rPr>
            </w:pPr>
            <w:r>
              <w:rPr>
                <w:rFonts w:hint="eastAsia" w:ascii="宋体" w:hAnsi="宋体" w:eastAsia="宋体" w:cs="Times New Roman"/>
                <w:kern w:val="0"/>
                <w:sz w:val="2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1</w:t>
            </w:r>
            <w:r>
              <w:rPr>
                <w:rFonts w:ascii="宋体" w:hAnsi="宋体" w:eastAsia="宋体" w:cs="Times New Roman"/>
                <w:color w:val="000000"/>
                <w:kern w:val="0"/>
                <w:sz w:val="20"/>
                <w:szCs w:val="21"/>
              </w:rPr>
              <w:t>1</w:t>
            </w:r>
          </w:p>
        </w:tc>
        <w:tc>
          <w:tcPr>
            <w:tcW w:w="1843"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互联网区</w:t>
            </w: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终端安全与管理系统</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1</w:t>
            </w:r>
            <w:r>
              <w:rPr>
                <w:rFonts w:ascii="宋体" w:hAnsi="宋体" w:eastAsia="宋体" w:cs="Times New Roman"/>
                <w:color w:val="000000"/>
                <w:kern w:val="0"/>
                <w:sz w:val="20"/>
                <w:szCs w:val="21"/>
              </w:rPr>
              <w:t>2</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日志汇聚系统</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1</w:t>
            </w:r>
            <w:r>
              <w:rPr>
                <w:rFonts w:ascii="宋体" w:hAnsi="宋体" w:eastAsia="宋体" w:cs="Times New Roman"/>
                <w:color w:val="000000"/>
                <w:kern w:val="0"/>
                <w:sz w:val="20"/>
                <w:szCs w:val="21"/>
              </w:rPr>
              <w:t>3</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网络安全运营保障平台（零信任体系）（信创版）</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1</w:t>
            </w:r>
            <w:r>
              <w:rPr>
                <w:rFonts w:ascii="宋体" w:hAnsi="宋体" w:eastAsia="宋体" w:cs="Times New Roman"/>
                <w:color w:val="000000"/>
                <w:kern w:val="0"/>
                <w:sz w:val="20"/>
                <w:szCs w:val="21"/>
              </w:rPr>
              <w:t>4</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政务外网区</w:t>
            </w: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安全隔离网闸</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1</w:t>
            </w:r>
            <w:r>
              <w:rPr>
                <w:rFonts w:ascii="宋体" w:hAnsi="宋体" w:eastAsia="宋体" w:cs="Times New Roman"/>
                <w:color w:val="000000"/>
                <w:kern w:val="0"/>
                <w:sz w:val="20"/>
                <w:szCs w:val="21"/>
              </w:rPr>
              <w:t>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日志审计分析平台</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1</w:t>
            </w:r>
            <w:r>
              <w:rPr>
                <w:rFonts w:ascii="宋体" w:hAnsi="宋体" w:eastAsia="宋体" w:cs="Times New Roman"/>
                <w:color w:val="000000"/>
                <w:kern w:val="0"/>
                <w:sz w:val="20"/>
                <w:szCs w:val="21"/>
              </w:rPr>
              <w:t>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上网行为管理系统</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1</w:t>
            </w:r>
            <w:r>
              <w:rPr>
                <w:rFonts w:ascii="宋体" w:hAnsi="宋体" w:eastAsia="宋体" w:cs="Times New Roman"/>
                <w:color w:val="000000"/>
                <w:kern w:val="0"/>
                <w:sz w:val="20"/>
                <w:szCs w:val="21"/>
              </w:rPr>
              <w:t>7</w:t>
            </w:r>
          </w:p>
        </w:tc>
        <w:tc>
          <w:tcPr>
            <w:tcW w:w="0" w:type="auto"/>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Times New Roman"/>
                <w:kern w:val="0"/>
                <w:sz w:val="20"/>
                <w:szCs w:val="21"/>
              </w:rPr>
            </w:pPr>
            <w:r>
              <w:rPr>
                <w:rFonts w:hint="eastAsia" w:ascii="宋体" w:hAnsi="宋体" w:eastAsia="宋体" w:cs="Times New Roman"/>
                <w:kern w:val="0"/>
                <w:sz w:val="20"/>
                <w:szCs w:val="21"/>
              </w:rPr>
              <w:t>网信数据中心</w:t>
            </w: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0"/>
                <w:szCs w:val="21"/>
                <w:highlight w:val="none"/>
              </w:rPr>
            </w:pPr>
            <w:r>
              <w:rPr>
                <w:rFonts w:hint="eastAsia" w:ascii="宋体" w:hAnsi="宋体" w:eastAsia="宋体" w:cs="Times New Roman"/>
                <w:b w:val="0"/>
                <w:bCs/>
                <w:kern w:val="0"/>
                <w:sz w:val="20"/>
                <w:szCs w:val="21"/>
                <w:highlight w:val="none"/>
              </w:rPr>
              <w:t>云管理平台</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highlight w:val="none"/>
              </w:rPr>
            </w:pPr>
            <w:r>
              <w:rPr>
                <w:rFonts w:hint="eastAsia" w:ascii="宋体" w:hAnsi="宋体" w:eastAsia="宋体" w:cs="Times New Roman"/>
                <w:kern w:val="0"/>
                <w:sz w:val="20"/>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1</w:t>
            </w:r>
            <w:r>
              <w:rPr>
                <w:rFonts w:ascii="宋体" w:hAnsi="宋体" w:eastAsia="宋体" w:cs="Times New Roman"/>
                <w:color w:val="000000"/>
                <w:kern w:val="0"/>
                <w:sz w:val="20"/>
                <w:szCs w:val="21"/>
              </w:rPr>
              <w:t>8</w:t>
            </w:r>
          </w:p>
        </w:tc>
        <w:tc>
          <w:tcPr>
            <w:tcW w:w="0" w:type="auto"/>
            <w:vMerge w:val="continue"/>
            <w:tcBorders>
              <w:left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备份软件</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1</w:t>
            </w:r>
            <w:r>
              <w:rPr>
                <w:rFonts w:ascii="宋体" w:hAnsi="宋体" w:eastAsia="宋体" w:cs="Times New Roman"/>
                <w:color w:val="000000"/>
                <w:kern w:val="0"/>
                <w:sz w:val="20"/>
                <w:szCs w:val="21"/>
              </w:rPr>
              <w:t>9</w:t>
            </w:r>
          </w:p>
        </w:tc>
        <w:tc>
          <w:tcPr>
            <w:tcW w:w="0" w:type="auto"/>
            <w:vMerge w:val="continue"/>
            <w:tcBorders>
              <w:left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备份存储</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2</w:t>
            </w:r>
            <w:r>
              <w:rPr>
                <w:rFonts w:ascii="宋体" w:hAnsi="宋体" w:eastAsia="宋体" w:cs="Times New Roman"/>
                <w:color w:val="000000"/>
                <w:kern w:val="0"/>
                <w:sz w:val="20"/>
                <w:szCs w:val="21"/>
              </w:rPr>
              <w:t>0</w:t>
            </w:r>
          </w:p>
        </w:tc>
        <w:tc>
          <w:tcPr>
            <w:tcW w:w="0" w:type="auto"/>
            <w:vMerge w:val="continue"/>
            <w:tcBorders>
              <w:left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千兆汇聚交换机</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2</w:t>
            </w:r>
            <w:r>
              <w:rPr>
                <w:rFonts w:ascii="宋体" w:hAnsi="宋体" w:eastAsia="宋体" w:cs="Times New Roman"/>
                <w:color w:val="000000"/>
                <w:kern w:val="0"/>
                <w:sz w:val="20"/>
                <w:szCs w:val="21"/>
              </w:rPr>
              <w:t>1</w:t>
            </w:r>
          </w:p>
        </w:tc>
        <w:tc>
          <w:tcPr>
            <w:tcW w:w="0" w:type="auto"/>
            <w:vMerge w:val="continue"/>
            <w:tcBorders>
              <w:left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千兆接入交换机</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2</w:t>
            </w:r>
            <w:r>
              <w:rPr>
                <w:rFonts w:ascii="宋体" w:hAnsi="宋体" w:eastAsia="宋体" w:cs="Times New Roman"/>
                <w:color w:val="000000"/>
                <w:kern w:val="0"/>
                <w:sz w:val="20"/>
                <w:szCs w:val="21"/>
              </w:rPr>
              <w:t>2</w:t>
            </w:r>
          </w:p>
        </w:tc>
        <w:tc>
          <w:tcPr>
            <w:tcW w:w="0" w:type="auto"/>
            <w:vMerge w:val="continue"/>
            <w:tcBorders>
              <w:left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千兆路由器</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2</w:t>
            </w:r>
            <w:r>
              <w:rPr>
                <w:rFonts w:ascii="宋体" w:hAnsi="宋体" w:eastAsia="宋体" w:cs="Times New Roman"/>
                <w:color w:val="000000"/>
                <w:kern w:val="0"/>
                <w:sz w:val="20"/>
                <w:szCs w:val="21"/>
              </w:rPr>
              <w:t>3</w:t>
            </w:r>
          </w:p>
        </w:tc>
        <w:tc>
          <w:tcPr>
            <w:tcW w:w="0" w:type="auto"/>
            <w:vMerge w:val="continue"/>
            <w:tcBorders>
              <w:left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T</w:t>
            </w:r>
            <w:r>
              <w:rPr>
                <w:rFonts w:ascii="宋体" w:hAnsi="宋体" w:eastAsia="宋体" w:cs="Times New Roman"/>
                <w:kern w:val="0"/>
                <w:sz w:val="20"/>
                <w:szCs w:val="21"/>
              </w:rPr>
              <w:t>AP</w:t>
            </w:r>
            <w:r>
              <w:rPr>
                <w:rFonts w:hint="eastAsia" w:ascii="宋体" w:hAnsi="宋体" w:eastAsia="宋体" w:cs="Times New Roman"/>
                <w:kern w:val="0"/>
                <w:sz w:val="20"/>
                <w:szCs w:val="21"/>
              </w:rPr>
              <w:t>交换机</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Times New Roman"/>
                <w:color w:val="000000"/>
                <w:kern w:val="0"/>
                <w:sz w:val="20"/>
                <w:szCs w:val="21"/>
              </w:rPr>
            </w:pPr>
            <w:r>
              <w:rPr>
                <w:rFonts w:hint="eastAsia" w:ascii="宋体" w:hAnsi="宋体" w:eastAsia="宋体" w:cs="Times New Roman"/>
                <w:color w:val="000000"/>
                <w:kern w:val="0"/>
                <w:sz w:val="20"/>
                <w:szCs w:val="21"/>
              </w:rPr>
              <w:t>2</w:t>
            </w:r>
            <w:r>
              <w:rPr>
                <w:rFonts w:ascii="宋体" w:hAnsi="宋体" w:eastAsia="宋体" w:cs="Times New Roman"/>
                <w:color w:val="000000"/>
                <w:kern w:val="0"/>
                <w:sz w:val="20"/>
                <w:szCs w:val="21"/>
              </w:rPr>
              <w:t>4</w:t>
            </w:r>
          </w:p>
        </w:tc>
        <w:tc>
          <w:tcPr>
            <w:tcW w:w="0" w:type="auto"/>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0"/>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光模块</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1套</w:t>
            </w:r>
          </w:p>
        </w:tc>
      </w:tr>
    </w:tbl>
    <w:p>
      <w:r>
        <w:br w:type="page"/>
      </w:r>
    </w:p>
    <w:p>
      <w:pPr>
        <w:pStyle w:val="6"/>
      </w:pPr>
      <w:r>
        <w:t>2、设备技术规格要求</w:t>
      </w:r>
    </w:p>
    <w:p>
      <w:pPr>
        <w:pStyle w:val="7"/>
      </w:pPr>
      <w:bookmarkStart w:id="27" w:name="_Toc104393681"/>
      <w:r>
        <w:rPr>
          <w:rFonts w:hint="eastAsia"/>
        </w:rPr>
        <w:t>1）网信专网区</w:t>
      </w:r>
      <w:bookmarkEnd w:id="27"/>
    </w:p>
    <w:p>
      <w:pPr>
        <w:pStyle w:val="8"/>
      </w:pPr>
      <w:bookmarkStart w:id="28" w:name="_Toc104393682"/>
      <w:r>
        <w:rPr>
          <w:rFonts w:hint="eastAsia"/>
        </w:rPr>
        <w:t>1、日志汇聚系统</w:t>
      </w:r>
      <w:bookmarkEnd w:id="28"/>
      <w:r>
        <w:rPr>
          <w:rFonts w:hint="eastAsia"/>
        </w:rPr>
        <w:t>（1套）</w:t>
      </w:r>
    </w:p>
    <w:tbl>
      <w:tblPr>
        <w:tblStyle w:val="6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jc w:val="center"/>
              <w:rPr>
                <w:rFonts w:ascii="Times New Roman" w:hAnsi="Times New Roman" w:eastAsia="宋体" w:cs="Times New Roman"/>
                <w:b/>
                <w:bCs/>
                <w:kern w:val="0"/>
                <w:sz w:val="20"/>
                <w:szCs w:val="20"/>
              </w:rPr>
            </w:pPr>
            <w:r>
              <w:rPr>
                <w:rFonts w:hint="eastAsia" w:ascii="宋体" w:hAnsi="宋体" w:eastAsia="宋体" w:cs="宋体"/>
                <w:b/>
                <w:color w:val="000000"/>
                <w:kern w:val="0"/>
                <w:sz w:val="20"/>
                <w:szCs w:val="20"/>
              </w:rPr>
              <w:t>功能及技术指标</w:t>
            </w:r>
          </w:p>
        </w:tc>
        <w:tc>
          <w:tcPr>
            <w:tcW w:w="6537" w:type="dxa"/>
            <w:shd w:val="clear" w:color="auto" w:fill="auto"/>
          </w:tcPr>
          <w:p>
            <w:pPr>
              <w:jc w:val="center"/>
              <w:rPr>
                <w:rFonts w:ascii="Times New Roman" w:hAnsi="Times New Roman" w:eastAsia="宋体" w:cs="Times New Roman"/>
                <w:b/>
                <w:bCs/>
                <w:kern w:val="0"/>
                <w:sz w:val="20"/>
                <w:szCs w:val="20"/>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8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产品资质要求</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产品获得公安部计算机信息系统安全产品销售许可证，提供证书复印件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产品取得软件著作权登记证书，提供给证书复印件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产品获得全球IPv6论坛IPv6 Ready Logo 委员会颁发的《IPv6 Ready Logo认证》证书，提供证书复印件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产品获得中国网络安全审查技术与认证中心颁发的《中国国家信息安全产品认证证书》，提供证书复印件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性能要求</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支持审计≥100个日志源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98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部署方式</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支持分布式部署，支持页面一键添加子节点，自动进行绑定添加，采集器可以选择同步日志范围，按需转发数据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功能扩展</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采用解决方案包上传对产品进行功能扩展，无需要代码开发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支持kafka日志接收转发、大数据安全域同步、APT沙箱报告转发等大数据联调功能，Kafka收发支持SSL加密。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98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日志收集</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支持Syslog、SNMP Trap、HTTP、ODBC/JDBC、WMI、FTP、SFTP协议日志收集；支持阿里云SLS日志的采集。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可通过接收协议限制日志接收速率，包括Http接收、syslog接收、SNMPtrap接收、TCP接收、WMI接收、aliyun接收。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支持使用代理(Agent)方式提取日志并收集，安装包支持界面下载，且安装支持可视化向导。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98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日志分析</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内置5000+解析规则，支持对收集的5000+设备类型日志进行解析（标准化、归一化），解析维度多达200+，解析规则可以根据客户要求定制扩展；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三维关联分析；支持通过资产、安全知识库、弱点库三个维度分析事件是否存在威胁，并形成关联事件。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日志备份</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可设置日志存储备份策略。包括系统日志保存期（天）、磁盘使用率百分比等策略；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支持日志本地备份及恢复；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支持日志备份自动传送到远程服务器；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支持从远程仓库恢复数据；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支持FTP、SAMBA、NFS和FILE，4种方式的远程服务器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98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应用性能监控</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（APM）</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通过在目标主机上安装Agent程序，支持监测目标主机的CPU利用率、内存使用率、磁盘使用率、磁盘使用情况、流量等信息。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8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告警功能</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磁盘空间阈值告警，当磁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8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用户管理</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用户支持双因子认证登录，双因子认证令牌支持绑定至具体用户；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提供一键式故障排除功能；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提供自助式的升级接口，支持对产品升级、规则升级。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8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资产管理</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注册用户资产时，提供自动发现识别能力；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资产拓扑支持按照实际的用户环境进行编辑发布并可以和资产进行绑定，拓扑可以显示资产采集的事件数量被采集资产的状态等信息。（须提供权威机构第三方检测报告）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售后服务</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提供7*24小时原厂商400支持热线；</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提供不少于三年质保服务，包含但不限于系统升级等服务内容，本地需要至少5个（含）CISP-BDSA资质证书设备厂商人员提供支持。（须提供近三个月投标所在地社保证明）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厂家资质</w:t>
            </w:r>
          </w:p>
        </w:tc>
        <w:tc>
          <w:tcPr>
            <w:tcW w:w="6537"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国家信息安全测评信息安全服务资质证书（安全工程类三级），提供证书复印件；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highlight w:val="none"/>
              </w:rPr>
            </w:pPr>
          </w:p>
        </w:tc>
        <w:tc>
          <w:tcPr>
            <w:tcW w:w="6537"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国家信息安全测评信息安全服务资质证书（风险评估二级），提供证书复印件；</w:t>
            </w:r>
          </w:p>
        </w:tc>
      </w:tr>
    </w:tbl>
    <w:p/>
    <w:p>
      <w:pPr>
        <w:pStyle w:val="8"/>
      </w:pPr>
      <w:bookmarkStart w:id="29" w:name="_Toc104393683"/>
      <w:r>
        <w:rPr>
          <w:rFonts w:hint="eastAsia"/>
        </w:rPr>
        <w:t>2、终端安全与管理系统</w:t>
      </w:r>
      <w:bookmarkEnd w:id="29"/>
      <w:r>
        <w:rPr>
          <w:rFonts w:hint="eastAsia"/>
        </w:rPr>
        <w:t>（1套）</w:t>
      </w:r>
    </w:p>
    <w:tbl>
      <w:tblPr>
        <w:tblStyle w:val="60"/>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958"/>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gridSpan w:val="2"/>
            <w:shd w:val="clear" w:color="auto" w:fill="auto"/>
          </w:tcPr>
          <w:p>
            <w:pPr>
              <w:jc w:val="center"/>
              <w:rPr>
                <w:rFonts w:ascii="Times New Roman" w:hAnsi="Times New Roman" w:eastAsia="宋体" w:cs="Times New Roman"/>
                <w:b/>
                <w:bCs/>
                <w:kern w:val="0"/>
                <w:sz w:val="20"/>
                <w:szCs w:val="20"/>
              </w:rPr>
            </w:pPr>
            <w:r>
              <w:rPr>
                <w:rFonts w:hint="eastAsia" w:ascii="宋体" w:hAnsi="宋体" w:eastAsia="宋体" w:cs="宋体"/>
                <w:b/>
                <w:color w:val="000000"/>
                <w:kern w:val="0"/>
                <w:sz w:val="20"/>
                <w:szCs w:val="20"/>
              </w:rPr>
              <w:t>功能及技术指标</w:t>
            </w:r>
          </w:p>
        </w:tc>
        <w:tc>
          <w:tcPr>
            <w:tcW w:w="3828" w:type="pct"/>
            <w:shd w:val="clear" w:color="auto" w:fill="auto"/>
          </w:tcPr>
          <w:p>
            <w:pPr>
              <w:jc w:val="center"/>
              <w:rPr>
                <w:rFonts w:ascii="Times New Roman" w:hAnsi="Times New Roman" w:eastAsia="宋体" w:cs="Times New Roman"/>
                <w:b/>
                <w:bCs/>
                <w:kern w:val="0"/>
                <w:sz w:val="20"/>
                <w:szCs w:val="20"/>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171" w:type="pct"/>
            <w:gridSpan w:val="2"/>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产品资质要求</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产品通过IPv6论坛IPv6 Ready Logo委员会认证并获得认证证书，提供证书复印件。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171" w:type="pct"/>
            <w:gridSpan w:val="2"/>
            <w:vMerge w:val="continue"/>
            <w:shd w:val="clear" w:color="auto" w:fill="auto"/>
            <w:vAlign w:val="center"/>
          </w:tcPr>
          <w:p>
            <w:pPr>
              <w:widowControl/>
              <w:jc w:val="left"/>
              <w:rPr>
                <w:rFonts w:ascii="宋体" w:hAnsi="宋体" w:eastAsia="宋体" w:cs="宋体"/>
                <w:color w:val="000000"/>
                <w:kern w:val="0"/>
                <w:sz w:val="20"/>
                <w:szCs w:val="20"/>
              </w:rPr>
            </w:pP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通过公安部检测获得网络版防病毒产品（一级品）销售许可证书，提供证书复印件。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规格要求</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w:t>
            </w:r>
            <w:r>
              <w:rPr>
                <w:rFonts w:ascii="宋体" w:hAnsi="宋体" w:eastAsia="宋体" w:cs="宋体"/>
                <w:color w:val="000000"/>
                <w:kern w:val="0"/>
                <w:sz w:val="20"/>
                <w:szCs w:val="20"/>
              </w:rPr>
              <w:t>200</w:t>
            </w:r>
            <w:r>
              <w:rPr>
                <w:rFonts w:hint="eastAsia" w:ascii="宋体" w:hAnsi="宋体" w:eastAsia="宋体" w:cs="宋体"/>
                <w:color w:val="000000"/>
                <w:kern w:val="0"/>
                <w:sz w:val="20"/>
                <w:szCs w:val="20"/>
              </w:rPr>
              <w:t>套服务器防护</w:t>
            </w:r>
            <w:r>
              <w:rPr>
                <w:rFonts w:ascii="宋体" w:hAnsi="宋体" w:eastAsia="宋体" w:cs="宋体"/>
                <w:color w:val="000000"/>
                <w:kern w:val="0"/>
                <w:sz w:val="20"/>
                <w:szCs w:val="20"/>
              </w:rPr>
              <w:t>，50</w:t>
            </w:r>
            <w:r>
              <w:rPr>
                <w:rFonts w:hint="eastAsia" w:ascii="宋体" w:hAnsi="宋体" w:eastAsia="宋体" w:cs="宋体"/>
                <w:color w:val="000000"/>
                <w:kern w:val="0"/>
                <w:sz w:val="20"/>
                <w:szCs w:val="20"/>
              </w:rPr>
              <w:t>套终端防护。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基本功能</w:t>
            </w: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全网风险可视</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支持当前待处理高危风险展示，包括弱口令、待处理病毒、待处理漏洞数据，并支持一键跳转到对应处理页面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一体化安全策略</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只支持自定义安全策略、安全策略可继承，内置多个初始策略模板，包括防护模板、审计模板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系统性能监控</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支持对CPU、内存、磁盘读写、网络上下行流量达到配置阈值时告警。支持对CPU、内存达到一定阈值时客户端进行熔断。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资产指纹</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支持自动收集终端资产信息，包括：计算机名称、内核版本、操作系统、处理器、主板、内存、硬盘、显卡、终端版本、病毒库版本、最近更新时间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高级威胁防护模块</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支持对本机的扩展行为（信息收集、权限提升）进行监测，防止提权行为和信息泄露。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识别渗透过程中的隧道代理（端口映射、端口转发、内网代理），可阻断隧道代理搭建行为。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系统安全性模块</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违规外联支持黑、白名单双模式，白名单模式可配置是否允许访问特定的网站和地址；黑名单模式可自定义恶意IP，支持黑名单告警和阻断。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移动存储介质管理：</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1.支持管理员对入网的移动存储介质进行注册，可以对已注册的移动介质进行管理，包括授权、启用、停用、删除、导出注册列表、行为监控及审计等。</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2.支持客户端自主申请移动存储介质注册，管理员统一对申请进行审批。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3.支持管理员设置自动审批客户端注册请求。</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4.支持从资产维度、设备维度对存储介质的权限进行精细化设置，同一设备可针对不同的资产设置不同的读写权限，有效控制不明来历的移动存储可能带来的病毒传播等隐患。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防病毒模块</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针对Windows系统，提供内核级的数据防护能力，保护文件不被恶意修改、加密等，可自定义配置保护的文件及目录，支持设置例外进程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告警功能</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告警类型包括：护网高级威胁、系统防护、网络防护、Web应用防护。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告警内容至少包括：资产名称、IP地址、日志类型、风险概况、风险评级、事件发生时间等详细内容。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告警方式包括：邮件告警、Syslog、短信告警及SNMP trap。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19"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管理功能</w:t>
            </w: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集中管控</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管理平台支持一键设置客户端卸载密码、一键卸载监控端、一键解除绑定、一键停止/恢复所有防护、一键关闭/重启主机、一键重启客户端、一键迁移资产。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用户管理</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支持多级用户管理：租户管理员、租户。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可视化功能</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能展示各个服务器或主机节点的信息，包括运行状态、活动规律、行为变化趋势和详细资料，以及历史行为数据查询、全局安全态势等。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安全服务</w:t>
            </w: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安全事件</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支持监控用户和应用实时流速，包括用户名、应用名、用户组、上行速率、下行速率、总速率、会话数等信息，帮助管理员快速甄别网络异常行为；支持提供重大事件应急响应预案。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软件升级</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提供3年的病毒库、程序升级服务。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应急响应</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对于新发现的病毒、零日漏洞，厂商能够于24小时内作出响应，及时通知用户，并提供专门应急预案、处置工具或专杀工具。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技术支持</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支持7*24小时威胁溯源服务。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71" w:type="pct"/>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售后服务</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提供7*24小时原厂商400支持热线；</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提供不少于三年质保服务，包含但不限于系统升级等服务内容；本地需要至少5个（含）CISP-BDSA资质证书设备厂商人员提供支持。（须提供近三个月投标所在地社保证明）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171" w:type="pct"/>
            <w:gridSpan w:val="2"/>
            <w:vMerge w:val="restart"/>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厂家资质</w:t>
            </w:r>
          </w:p>
        </w:tc>
        <w:tc>
          <w:tcPr>
            <w:tcW w:w="3828" w:type="pct"/>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国家信息安全测评信息安全服务资质证书（安全工程类三级），提供证书复印件；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gridSpan w:val="2"/>
            <w:vMerge w:val="continue"/>
            <w:shd w:val="clear" w:color="auto" w:fill="auto"/>
            <w:vAlign w:val="center"/>
          </w:tcPr>
          <w:p>
            <w:pPr>
              <w:widowControl/>
              <w:jc w:val="left"/>
              <w:rPr>
                <w:rFonts w:ascii="宋体" w:hAnsi="宋体" w:eastAsia="宋体" w:cs="宋体"/>
                <w:color w:val="000000"/>
                <w:kern w:val="0"/>
                <w:sz w:val="20"/>
                <w:szCs w:val="20"/>
                <w:highlight w:val="none"/>
              </w:rPr>
            </w:pPr>
          </w:p>
        </w:tc>
        <w:tc>
          <w:tcPr>
            <w:tcW w:w="3828" w:type="pct"/>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知识产权管理体系认证证书，提供证书复印件。</w:t>
            </w:r>
          </w:p>
        </w:tc>
      </w:tr>
    </w:tbl>
    <w:p>
      <w:pPr>
        <w:pStyle w:val="8"/>
      </w:pPr>
      <w:bookmarkStart w:id="30" w:name="_Toc104393684"/>
      <w:r>
        <w:rPr>
          <w:rFonts w:hint="eastAsia"/>
        </w:rPr>
        <w:t>3、上网行为管理系统</w:t>
      </w:r>
      <w:bookmarkEnd w:id="30"/>
      <w:r>
        <w:rPr>
          <w:rFonts w:hint="eastAsia"/>
        </w:rPr>
        <w:t>（1台）</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shd w:val="clear" w:color="auto" w:fill="auto"/>
          </w:tcPr>
          <w:p>
            <w:pPr>
              <w:jc w:val="center"/>
              <w:rPr>
                <w:b/>
                <w:bCs/>
              </w:rPr>
            </w:pPr>
            <w:r>
              <w:rPr>
                <w:rFonts w:hint="eastAsia" w:ascii="宋体" w:hAnsi="宋体" w:eastAsia="宋体" w:cs="宋体"/>
                <w:b/>
                <w:color w:val="000000"/>
                <w:kern w:val="0"/>
                <w:sz w:val="20"/>
                <w:szCs w:val="20"/>
              </w:rPr>
              <w:t>功能及技术指标</w:t>
            </w:r>
          </w:p>
        </w:tc>
        <w:tc>
          <w:tcPr>
            <w:tcW w:w="3891" w:type="pct"/>
            <w:shd w:val="clear" w:color="auto" w:fill="auto"/>
          </w:tcPr>
          <w:p>
            <w:pPr>
              <w:jc w:val="center"/>
              <w:rPr>
                <w:b/>
                <w:bCs/>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规格要求</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标准1U机柜型硬件平台，</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硬盘容量≥1TB </w:t>
            </w:r>
            <w:r>
              <w:rPr>
                <w:rFonts w:ascii="宋体" w:hAnsi="宋体" w:eastAsia="宋体" w:cs="宋体"/>
                <w:color w:val="000000"/>
                <w:kern w:val="0"/>
                <w:sz w:val="20"/>
                <w:szCs w:val="20"/>
              </w:rPr>
              <w:t>SSD</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支持千兆接口总数≥6个</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支持万兆接口总数≥2个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性能要求</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支持带宽≥750 </w:t>
            </w:r>
            <w:r>
              <w:rPr>
                <w:rFonts w:ascii="宋体" w:hAnsi="宋体" w:eastAsia="宋体" w:cs="宋体"/>
                <w:color w:val="000000"/>
                <w:kern w:val="0"/>
                <w:sz w:val="20"/>
                <w:szCs w:val="20"/>
              </w:rPr>
              <w:t>M</w:t>
            </w:r>
            <w:r>
              <w:rPr>
                <w:rFonts w:hint="eastAsia" w:ascii="宋体" w:hAnsi="宋体" w:eastAsia="宋体" w:cs="宋体"/>
                <w:color w:val="000000"/>
                <w:kern w:val="0"/>
                <w:sz w:val="20"/>
                <w:szCs w:val="20"/>
              </w:rPr>
              <w:t>bps</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最大并发连接数≥1</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000,000</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每秒新建连接数≥2</w:t>
            </w:r>
            <w:r>
              <w:rPr>
                <w:rFonts w:ascii="宋体" w:hAnsi="宋体" w:eastAsia="宋体" w:cs="宋体"/>
                <w:color w:val="000000"/>
                <w:kern w:val="0"/>
                <w:sz w:val="20"/>
                <w:szCs w:val="20"/>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部署模式</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支持路由模式、透明（网桥）模式、混合模式、旁路模式；旁路部署支持直接加入2个以上物理接口，无需使用聚合接口；部署模式切换无需重启设备。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端口镜像</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支持端口镜像功能，支持入流量、出流量和双向流量等维度镜像，支持将接口的流量镜像到另一个接口，方便网络问题定位。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接口</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接口支持配置从属IP地址，每个接口支持至少200个从属IP。</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内外接口无固化，支持修改接口属性，修改接口IP类型、地址模式无需重启设备。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路由支持</w:t>
            </w:r>
          </w:p>
        </w:tc>
        <w:tc>
          <w:tcPr>
            <w:tcW w:w="3891" w:type="pct"/>
            <w:vAlign w:val="center"/>
          </w:tcPr>
          <w:p>
            <w:pPr>
              <w:widowControl/>
              <w:spacing w:before="120" w:after="12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支持基于入接口、源地址、目的地址、用户、服务、应用、时间、域名的策略路由。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IPv6</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支持IPv6/v4双栈，支持IPv6安全策略、包括审计策略、NAT策略、流量控制策略、会话控制策略、黑名单、白名单、认证策略等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接入认证</w:t>
            </w:r>
          </w:p>
        </w:tc>
        <w:tc>
          <w:tcPr>
            <w:tcW w:w="3891" w:type="pct"/>
            <w:vAlign w:val="center"/>
          </w:tcPr>
          <w:p>
            <w:pPr>
              <w:widowControl/>
              <w:jc w:val="left"/>
              <w:rPr>
                <w:rFonts w:ascii="宋体" w:hAnsi="宋体" w:eastAsia="宋体" w:cs="宋体"/>
                <w:color w:val="000000"/>
                <w:kern w:val="0"/>
                <w:sz w:val="20"/>
                <w:szCs w:val="20"/>
              </w:rPr>
            </w:pPr>
            <w:r>
              <w:rPr>
                <w:rFonts w:hint="eastAsia" w:ascii="Times New Roman" w:hAnsi="Times New Roman" w:eastAsia="宋体" w:cs="宋体"/>
                <w:kern w:val="0"/>
                <w:szCs w:val="18"/>
              </w:rPr>
              <w:t>支持与浙政钉2.0平台同步组织架构，并能在用户管理界面呈现组织架构、登录用户、登录时间、在线时长等信息</w:t>
            </w:r>
            <w:r>
              <w:rPr>
                <w:rFonts w:hint="eastAsia" w:ascii="Times New Roman" w:hAnsi="Times New Roman" w:eastAsia="宋体" w:cs="宋体"/>
                <w:kern w:val="0"/>
                <w:szCs w:val="18"/>
                <w:lang w:val="zh-TW" w:eastAsia="zh-TW"/>
              </w:rPr>
              <w:t>（</w:t>
            </w:r>
            <w:r>
              <w:rPr>
                <w:rFonts w:hint="eastAsia" w:ascii="Times New Roman" w:hAnsi="Times New Roman" w:eastAsia="宋体" w:cs="宋体"/>
                <w:kern w:val="0"/>
                <w:szCs w:val="18"/>
                <w:lang w:val="zh-TW"/>
              </w:rPr>
              <w:t>提供</w:t>
            </w:r>
            <w:r>
              <w:rPr>
                <w:rFonts w:hint="eastAsia" w:ascii="Times New Roman" w:hAnsi="Times New Roman" w:eastAsia="宋体" w:cs="宋体"/>
                <w:kern w:val="0"/>
                <w:szCs w:val="18"/>
              </w:rPr>
              <w:t>功能</w:t>
            </w:r>
            <w:r>
              <w:rPr>
                <w:rFonts w:hint="eastAsia" w:ascii="Times New Roman" w:hAnsi="Times New Roman" w:eastAsia="宋体" w:cs="宋体"/>
                <w:kern w:val="0"/>
                <w:szCs w:val="18"/>
                <w:lang w:val="zh-TW"/>
              </w:rPr>
              <w:t>截图</w:t>
            </w:r>
            <w:r>
              <w:rPr>
                <w:rFonts w:hint="eastAsia" w:ascii="Times New Roman" w:hAnsi="Times New Roman" w:eastAsia="宋体" w:cs="宋体"/>
                <w:kern w:val="0"/>
                <w:szCs w:val="18"/>
              </w:rPr>
              <w:t>证明</w:t>
            </w:r>
            <w:r>
              <w:rPr>
                <w:rFonts w:hint="eastAsia" w:ascii="Times New Roman" w:hAnsi="Times New Roman" w:eastAsia="宋体" w:cs="宋体"/>
                <w:kern w:val="0"/>
                <w:szCs w:val="18"/>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应用识别</w:t>
            </w:r>
          </w:p>
        </w:tc>
        <w:tc>
          <w:tcPr>
            <w:tcW w:w="3891" w:type="pct"/>
            <w:vAlign w:val="center"/>
          </w:tcPr>
          <w:p>
            <w:pPr>
              <w:widowControl/>
              <w:spacing w:before="120" w:after="12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应用特征不少于7000个，移动应用不少于2200个。</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自定义应用，包括但不限于数据包方向、协议、端口、IP地址、目标域名、关键字识别维度，数据包方向包括任意、请求数据、响应数据，关键字匹配模式支持文本或正则表达式；支持DNS域名学习模式，可引用数据包特征中的目标域名或指定域名。</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支持智能识别模式和快速识别模式。在智能识别模式下应用引擎尽可能地用各种方式识别网络流量；在快速识别模式下应用引擎将关闭部分智能分析功能以提高性能。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应用控制</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可识别多种文件类型，包括电影、音频、文本、图片、压缩文件（zip、rar、gz、bz2、Z、tgz、tbz、7z、cab、bz等）、应用程序、Office系列等；并支持对应用的文件传输行为进行上传、下载、双向的文件类型过滤。</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支持基于协议、端口、策略的会话维持功能，老化时间不少于2000小时。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URL识别与控制</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支持基于DNS前置技术，实现在DNS解析阶段针对HTTP和HTTPS域名进行过滤，防止HTTPS域名过滤逃逸情况。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旁路阻断</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支持在设备旁路部署时针对违规上网行为进行阻断过滤。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SSL加密内容审计与控制</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支持配置解密策略，包括入接口、源地址对象、目的地址对象、HTTPS对象、域名排除等；支持HTTPS域名库，预定义域名以及自定义域名；支持针对SSL解密证书进行自动推送。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流量管理</w:t>
            </w:r>
          </w:p>
        </w:tc>
        <w:tc>
          <w:tcPr>
            <w:tcW w:w="3891" w:type="pct"/>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基于“流量”、“流速”、“时长”设置配额，当配额耗尽后，将用户加入到指定的流控黑名单惩罚通道中</w:t>
            </w:r>
            <w:r>
              <w:rPr>
                <w:rFonts w:hint="eastAsia" w:ascii="宋体" w:hAnsi="宋体" w:eastAsia="宋体" w:cs="宋体"/>
                <w:color w:val="000000"/>
                <w:kern w:val="0"/>
                <w:sz w:val="20"/>
                <w:szCs w:val="20"/>
              </w:rPr>
              <w:t>（需提供配置界面截图证明）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终端管理</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支持对网络接入的终端进行可视化管理，展示终端详细信息、异常状态等，支持查看终端类型，以及终端详细信息（厂商，系统，端口等），支持查看终端类型分布（提供功能截图证明）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防私接路由</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针对私接网络行为，惩罚方式包括但不限于无操作、阻断和限速，阻断和限速支持自定义惩罚时长。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用户认证</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支持IP准入、MAC准入、IP+MAC准入、本地认证、混合认证和免认证；</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用户MAC感知，当用户MAC地址变更后，要求重新认证，避免冒名认证现象；支持伪Portal抑制技术，支持通过HTTP302重定向或HTML-refresh方式抑制非正常的HTTP或HTTPS的页面请求，从而保障系统稳定高效运行；支持基于HTTPS协议推送认证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非法外联管控</w:t>
            </w:r>
          </w:p>
        </w:tc>
        <w:tc>
          <w:tcPr>
            <w:tcW w:w="3891" w:type="pct"/>
            <w:vAlign w:val="center"/>
          </w:tcPr>
          <w:p>
            <w:pPr>
              <w:widowControl/>
              <w:jc w:val="left"/>
              <w:rPr>
                <w:rFonts w:ascii="宋体" w:hAnsi="宋体" w:eastAsia="宋体" w:cs="宋体"/>
                <w:color w:val="000000"/>
                <w:kern w:val="0"/>
                <w:sz w:val="20"/>
                <w:szCs w:val="20"/>
              </w:rPr>
            </w:pPr>
            <w:r>
              <w:rPr>
                <w:rFonts w:hint="eastAsia" w:ascii="Times New Roman" w:hAnsi="Times New Roman" w:eastAsia="宋体" w:cs="宋体"/>
                <w:color w:val="000000"/>
                <w:kern w:val="0"/>
                <w:szCs w:val="21"/>
                <w:lang w:val="zh-TW" w:eastAsia="zh-TW"/>
              </w:rPr>
              <w:t>支持</w:t>
            </w:r>
            <w:r>
              <w:rPr>
                <w:rFonts w:hint="eastAsia" w:ascii="Times New Roman" w:hAnsi="Times New Roman" w:eastAsia="宋体" w:cs="宋体"/>
                <w:color w:val="000000"/>
                <w:kern w:val="0"/>
                <w:szCs w:val="21"/>
              </w:rPr>
              <w:t>6</w:t>
            </w:r>
            <w:r>
              <w:rPr>
                <w:rFonts w:hint="eastAsia" w:ascii="Times New Roman" w:hAnsi="Times New Roman" w:eastAsia="宋体" w:cs="宋体"/>
                <w:color w:val="000000"/>
                <w:kern w:val="0"/>
                <w:szCs w:val="21"/>
                <w:lang w:val="zh-TW" w:eastAsia="zh-TW"/>
              </w:rPr>
              <w:t>种</w:t>
            </w:r>
            <w:r>
              <w:rPr>
                <w:rFonts w:hint="eastAsia" w:ascii="Times New Roman" w:hAnsi="Times New Roman" w:eastAsia="宋体" w:cs="宋体"/>
                <w:color w:val="000000"/>
                <w:kern w:val="0"/>
                <w:szCs w:val="21"/>
              </w:rPr>
              <w:t>以上</w:t>
            </w:r>
            <w:r>
              <w:rPr>
                <w:rFonts w:hint="eastAsia" w:ascii="Times New Roman" w:hAnsi="Times New Roman" w:eastAsia="宋体" w:cs="宋体"/>
                <w:color w:val="000000"/>
                <w:kern w:val="0"/>
                <w:szCs w:val="21"/>
                <w:lang w:val="zh-TW" w:eastAsia="zh-TW"/>
              </w:rPr>
              <w:t>外联方式的检查</w:t>
            </w:r>
            <w:r>
              <w:rPr>
                <w:rFonts w:hint="eastAsia" w:ascii="Times New Roman" w:hAnsi="Times New Roman" w:eastAsia="宋体" w:cs="宋体"/>
                <w:color w:val="000000"/>
                <w:kern w:val="0"/>
                <w:szCs w:val="21"/>
                <w:lang w:val="zh-TW"/>
              </w:rPr>
              <w:t>，</w:t>
            </w:r>
            <w:r>
              <w:rPr>
                <w:rFonts w:hint="eastAsia" w:ascii="Times New Roman" w:hAnsi="Times New Roman" w:eastAsia="宋体" w:cs="宋体"/>
                <w:color w:val="000000"/>
                <w:kern w:val="0"/>
                <w:szCs w:val="21"/>
              </w:rPr>
              <w:t>包含</w:t>
            </w:r>
            <w:r>
              <w:rPr>
                <w:rFonts w:hint="eastAsia" w:ascii="Times New Roman" w:hAnsi="Times New Roman" w:eastAsia="宋体" w:cs="宋体"/>
                <w:color w:val="000000"/>
                <w:kern w:val="0"/>
                <w:szCs w:val="21"/>
                <w:lang w:val="zh-TW" w:eastAsia="zh-TW"/>
              </w:rPr>
              <w:t>拨号行为、双网卡行为、有4G网卡、有无线网卡行为、连接非法wifi行为、连接外网行为</w:t>
            </w:r>
            <w:r>
              <w:rPr>
                <w:rFonts w:hint="eastAsia" w:ascii="Times New Roman" w:hAnsi="Times New Roman" w:eastAsia="宋体" w:cs="宋体"/>
                <w:color w:val="000000"/>
                <w:kern w:val="0"/>
                <w:szCs w:val="21"/>
              </w:rPr>
              <w:t>等</w:t>
            </w:r>
            <w:r>
              <w:rPr>
                <w:rFonts w:hint="eastAsia" w:ascii="Times New Roman" w:hAnsi="Times New Roman" w:eastAsia="宋体" w:cs="宋体"/>
                <w:kern w:val="0"/>
                <w:szCs w:val="18"/>
              </w:rPr>
              <w:t>（提供功能截图证明）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数据分析</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监控用户和应用实时流速，包括用户名、应用名、用户组、上行速率、下行速率、总速率、会话数等信息，帮助管理员快速甄别网络异常行为；支持数据下钻跳转至详细列表，针对用户支持通过趋势图形式，按照时间顺序展示该用户网络会话和流量趋势，支持下钻跳转至详细列表访问的应用组成和流速情况。针对应用支持通过趋势图形式，按照时间顺序展示该应用会话和流量趋势，支持下钻跳转至详细列表使用该应用的用户、速率和会话数等情况。</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会话的统计与分析，支持统计会话源Top20、会话目的Top20，以趋势图方式展示并发会话、新建、TCP、UDP、其他协议等趋势信息；针对会话支持正向排名，支持数据下钻跳转至详细列表，深入钻取会话中用户、用户组、源目IP、源目端口、协议、连接类型、应用、流量、时间等信息；支持多条件组合形成筛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审计类法规</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支持上网行为记录本地留存，方便事后行为回溯；支持将日志记录发送至第三方平台进行数据分析和呈现，发送数据支持蝶式交换加密算法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安全防护</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支持本地安全防护，包括但不限于入侵防御、病毒防护、Web防护、威胁情报等，入侵防御规则不少于8600条，病毒防护规则不少于400万。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业务需要</w:t>
            </w:r>
          </w:p>
        </w:tc>
        <w:tc>
          <w:tcPr>
            <w:tcW w:w="3891" w:type="pct"/>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针对内网用户的</w:t>
            </w:r>
            <w:r>
              <w:rPr>
                <w:rFonts w:hint="eastAsia" w:ascii="宋体" w:hAnsi="宋体" w:eastAsia="宋体" w:cs="宋体"/>
                <w:color w:val="000000"/>
                <w:kern w:val="0"/>
                <w:sz w:val="20"/>
                <w:szCs w:val="20"/>
              </w:rPr>
              <w:t>web</w:t>
            </w:r>
            <w:r>
              <w:rPr>
                <w:rFonts w:ascii="宋体" w:hAnsi="宋体" w:eastAsia="宋体" w:cs="宋体"/>
                <w:color w:val="000000"/>
                <w:kern w:val="0"/>
                <w:sz w:val="20"/>
                <w:szCs w:val="20"/>
              </w:rPr>
              <w:t>访问质量进行检测，对整体网络提供清晰的整体网络质量评级</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支持以列表形式展示访问质量差的用户名单</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支持对单用户进行定向</w:t>
            </w:r>
            <w:r>
              <w:rPr>
                <w:rFonts w:hint="eastAsia" w:ascii="宋体" w:hAnsi="宋体" w:eastAsia="宋体" w:cs="宋体"/>
                <w:color w:val="000000"/>
                <w:kern w:val="0"/>
                <w:sz w:val="20"/>
                <w:szCs w:val="20"/>
              </w:rPr>
              <w:t>web</w:t>
            </w:r>
            <w:r>
              <w:rPr>
                <w:rFonts w:ascii="宋体" w:hAnsi="宋体" w:eastAsia="宋体" w:cs="宋体"/>
                <w:color w:val="000000"/>
                <w:kern w:val="0"/>
                <w:sz w:val="20"/>
                <w:szCs w:val="20"/>
              </w:rPr>
              <w:t>访问质量检测</w:t>
            </w:r>
            <w:r>
              <w:rPr>
                <w:rFonts w:hint="eastAsia" w:ascii="宋体" w:hAnsi="宋体" w:eastAsia="宋体" w:cs="宋体"/>
                <w:color w:val="000000"/>
                <w:kern w:val="0"/>
                <w:sz w:val="20"/>
                <w:szCs w:val="20"/>
              </w:rPr>
              <w:t>（提供配置界面截图证明）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管理员认证</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支持管理员三权模式，默认包括权限管理员、账号管理员、审核员和管理员，各管理员权限制约；支持针对管理员分别设置精细化的读写权限和读写内容。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系统维护</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支持SNMPv1、v2、v3版本，支持跨三层自学习MAC地址</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Web管理界面支持Ping、Traceroute、TCP Syn诊断工具，可支持基于接口、协议、IP地址、端口、应用进行网络抓包，并可下载导出分析</w:t>
            </w:r>
          </w:p>
        </w:tc>
      </w:tr>
    </w:tbl>
    <w:p/>
    <w:p>
      <w:pPr>
        <w:pStyle w:val="8"/>
      </w:pPr>
      <w:bookmarkStart w:id="31" w:name="_Toc104393685"/>
      <w:r>
        <w:rPr>
          <w:rFonts w:hint="eastAsia"/>
        </w:rPr>
        <w:t>4、应用防火墙</w:t>
      </w:r>
      <w:bookmarkEnd w:id="31"/>
      <w:r>
        <w:rPr>
          <w:rFonts w:hint="eastAsia"/>
        </w:rPr>
        <w:t>（</w:t>
      </w:r>
      <w:r>
        <w:t>2</w:t>
      </w:r>
      <w:r>
        <w:rPr>
          <w:rFonts w:hint="eastAsia"/>
        </w:rPr>
        <w:t>台）</w:t>
      </w:r>
    </w:p>
    <w:tbl>
      <w:tblPr>
        <w:tblStyle w:val="59"/>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982"/>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70" w:type="pct"/>
            <w:gridSpan w:val="2"/>
            <w:shd w:val="clear" w:color="000000" w:fill="FFFFFF" w:themeFill="background1"/>
          </w:tcPr>
          <w:p>
            <w:pPr>
              <w:jc w:val="center"/>
              <w:rPr>
                <w:b/>
                <w:bCs/>
                <w:lang w:eastAsia="zh-Hans"/>
              </w:rPr>
            </w:pPr>
            <w:r>
              <w:rPr>
                <w:rFonts w:hint="eastAsia" w:ascii="宋体" w:hAnsi="宋体" w:eastAsia="宋体" w:cs="宋体"/>
                <w:b/>
                <w:color w:val="000000"/>
                <w:kern w:val="0"/>
                <w:sz w:val="20"/>
                <w:szCs w:val="20"/>
              </w:rPr>
              <w:t>功能及技术指标</w:t>
            </w:r>
          </w:p>
        </w:tc>
        <w:tc>
          <w:tcPr>
            <w:tcW w:w="3929" w:type="pct"/>
            <w:shd w:val="clear" w:color="000000" w:fill="FFFFFF" w:themeFill="background1"/>
          </w:tcPr>
          <w:p>
            <w:pPr>
              <w:jc w:val="center"/>
              <w:rPr>
                <w:b/>
                <w:bCs/>
                <w:lang w:eastAsia="zh-Hans"/>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70" w:type="pct"/>
            <w:gridSpan w:val="2"/>
            <w:vMerge w:val="restart"/>
            <w:shd w:val="clear" w:color="000000" w:fill="FFFFFF" w:themeFill="background1"/>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产品资质要求</w:t>
            </w:r>
          </w:p>
        </w:tc>
        <w:tc>
          <w:tcPr>
            <w:tcW w:w="3929" w:type="pct"/>
            <w:shd w:val="clear" w:color="000000" w:fill="FFFFFF" w:themeFill="background1"/>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产品获得公安部计算机信息系统安全产品销售许可证，提供证书复印件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70" w:type="pct"/>
            <w:gridSpan w:val="2"/>
            <w:vMerge w:val="continue"/>
            <w:shd w:val="clear" w:color="000000" w:fill="FFFFFF" w:themeFill="background1"/>
            <w:vAlign w:val="center"/>
          </w:tcPr>
          <w:p>
            <w:pPr>
              <w:widowControl/>
              <w:jc w:val="left"/>
              <w:rPr>
                <w:rFonts w:ascii="宋体" w:hAnsi="宋体" w:eastAsia="宋体" w:cs="宋体"/>
                <w:color w:val="000000"/>
                <w:kern w:val="0"/>
                <w:sz w:val="20"/>
                <w:szCs w:val="20"/>
              </w:rPr>
            </w:pPr>
          </w:p>
        </w:tc>
        <w:tc>
          <w:tcPr>
            <w:tcW w:w="3929" w:type="pct"/>
            <w:shd w:val="clear" w:color="000000" w:fill="FFFFFF" w:themeFill="background1"/>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产品取得软件著作权登记证书，提供证书复印件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pct"/>
            <w:gridSpan w:val="2"/>
            <w:vMerge w:val="continue"/>
            <w:shd w:val="clear" w:color="000000" w:fill="FFFFFF" w:themeFill="background1"/>
            <w:vAlign w:val="center"/>
          </w:tcPr>
          <w:p>
            <w:pPr>
              <w:widowControl/>
              <w:jc w:val="left"/>
              <w:rPr>
                <w:rFonts w:ascii="宋体" w:hAnsi="宋体" w:eastAsia="宋体" w:cs="宋体"/>
                <w:color w:val="000000"/>
                <w:kern w:val="0"/>
                <w:sz w:val="20"/>
                <w:szCs w:val="20"/>
              </w:rPr>
            </w:pPr>
          </w:p>
        </w:tc>
        <w:tc>
          <w:tcPr>
            <w:tcW w:w="3929" w:type="pct"/>
            <w:shd w:val="clear" w:color="000000" w:fill="FFFFFF" w:themeFill="background1"/>
            <w:vAlign w:val="center"/>
          </w:tcPr>
          <w:p>
            <w:pPr>
              <w:widowControl/>
              <w:jc w:val="left"/>
              <w:rPr>
                <w:rFonts w:ascii="宋体" w:hAnsi="宋体" w:eastAsia="宋体" w:cs="宋体"/>
                <w:color w:val="000000"/>
                <w:kern w:val="0"/>
                <w:sz w:val="20"/>
                <w:szCs w:val="20"/>
              </w:rPr>
            </w:pPr>
            <w:r>
              <w:fldChar w:fldCharType="begin"/>
            </w:r>
            <w:r>
              <w:instrText xml:space="preserve"> HYPERLINK \l "_7.1.6_国家信息安全漏洞库兼容性资质证书_1" </w:instrText>
            </w:r>
            <w:r>
              <w:fldChar w:fldCharType="separate"/>
            </w:r>
            <w:r>
              <w:rPr>
                <w:rFonts w:hint="eastAsia" w:ascii="宋体" w:hAnsi="宋体" w:eastAsia="宋体" w:cs="宋体"/>
                <w:color w:val="000000"/>
                <w:kern w:val="0"/>
                <w:sz w:val="20"/>
                <w:szCs w:val="20"/>
              </w:rPr>
              <w:t>产品需获得国家信息安全漏洞库兼容性资质证书</w:t>
            </w:r>
            <w:r>
              <w:rPr>
                <w:rFonts w:hint="eastAsia" w:ascii="宋体" w:hAnsi="宋体" w:eastAsia="宋体" w:cs="宋体"/>
                <w:color w:val="000000"/>
                <w:kern w:val="0"/>
                <w:sz w:val="20"/>
                <w:szCs w:val="20"/>
              </w:rPr>
              <w:fldChar w:fldCharType="end"/>
            </w:r>
            <w:r>
              <w:rPr>
                <w:rFonts w:hint="eastAsia" w:ascii="宋体" w:hAnsi="宋体" w:eastAsia="宋体" w:cs="宋体"/>
                <w:color w:val="000000"/>
                <w:kern w:val="0"/>
                <w:sz w:val="20"/>
                <w:szCs w:val="20"/>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70" w:type="pct"/>
            <w:gridSpan w:val="2"/>
            <w:shd w:val="clear" w:color="000000" w:fill="FFFFFF" w:themeFill="background1"/>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规格要求</w:t>
            </w:r>
          </w:p>
        </w:tc>
        <w:tc>
          <w:tcPr>
            <w:tcW w:w="3929" w:type="pct"/>
            <w:shd w:val="clear" w:color="000000" w:fill="FFFFFF" w:themeFill="background1"/>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标准2U硬件平台，</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含2*GE电管理口，4*GE电业务口，4*GE光业务口，</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硬盘≥2T，</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串口：1*RJ45，</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标准可热插拔电源模块*2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70" w:type="pct"/>
            <w:gridSpan w:val="2"/>
            <w:shd w:val="clear" w:color="000000" w:fill="FFFFFF" w:themeFill="background1"/>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性能要求</w:t>
            </w:r>
          </w:p>
        </w:tc>
        <w:tc>
          <w:tcPr>
            <w:tcW w:w="3929" w:type="pct"/>
            <w:shd w:val="clear" w:color="000000" w:fill="FFFFFF" w:themeFill="background1"/>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网络吞吐量≥4Gbps</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HTTP应用吞吐量≥2Gbps</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HTTP最大并发数≥20万</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HTTP新建连接(CPS)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9"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基本 功能</w:t>
            </w:r>
          </w:p>
        </w:tc>
        <w:tc>
          <w:tcPr>
            <w:tcW w:w="570"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部署模式</w:t>
            </w: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支持透明串接、反向代理、旁路镜像等多种部署模式部署，支持链路聚合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高可用</w:t>
            </w: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支持集群模式、主-主模式、主备模式、硬件BYPASS、软件BYPASS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HTTPS防护</w:t>
            </w: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支持HTTPS协议的选择可以选择SSL/TLS协议版本，可选SSLv3、TLS1.0、TLS1.1、TLS1.2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vMerge w:val="continue"/>
            <w:vAlign w:val="center"/>
          </w:tcPr>
          <w:p>
            <w:pPr>
              <w:widowControl/>
              <w:jc w:val="left"/>
              <w:rPr>
                <w:rFonts w:ascii="宋体" w:hAnsi="宋体" w:eastAsia="宋体" w:cs="宋体"/>
                <w:color w:val="000000"/>
                <w:kern w:val="0"/>
                <w:sz w:val="20"/>
                <w:szCs w:val="20"/>
              </w:rPr>
            </w:pP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w:t>
            </w:r>
            <w:r>
              <w:rPr>
                <w:rFonts w:ascii="宋体" w:hAnsi="宋体" w:eastAsia="宋体" w:cs="宋体"/>
                <w:color w:val="000000"/>
                <w:kern w:val="0"/>
                <w:sz w:val="20"/>
                <w:szCs w:val="20"/>
              </w:rPr>
              <w:t>HTTPS</w:t>
            </w:r>
            <w:r>
              <w:rPr>
                <w:rFonts w:hint="eastAsia" w:ascii="宋体" w:hAnsi="宋体" w:eastAsia="宋体" w:cs="宋体"/>
                <w:color w:val="000000"/>
                <w:kern w:val="0"/>
                <w:sz w:val="20"/>
                <w:szCs w:val="20"/>
              </w:rPr>
              <w:t>站点</w:t>
            </w:r>
            <w:r>
              <w:rPr>
                <w:rFonts w:ascii="宋体" w:hAnsi="宋体" w:eastAsia="宋体" w:cs="宋体"/>
                <w:color w:val="000000"/>
                <w:kern w:val="0"/>
                <w:sz w:val="20"/>
                <w:szCs w:val="20"/>
              </w:rPr>
              <w:t>SSL</w:t>
            </w:r>
            <w:r>
              <w:rPr>
                <w:rFonts w:hint="eastAsia" w:ascii="宋体" w:hAnsi="宋体" w:eastAsia="宋体" w:cs="宋体"/>
                <w:color w:val="000000"/>
                <w:kern w:val="0"/>
                <w:sz w:val="20"/>
                <w:szCs w:val="20"/>
              </w:rPr>
              <w:t>算法自动探测功能。探测时可以设置指定站点及端口，可以显示探测结果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vMerge w:val="continue"/>
            <w:vAlign w:val="center"/>
          </w:tcPr>
          <w:p>
            <w:pPr>
              <w:widowControl/>
              <w:jc w:val="left"/>
              <w:rPr>
                <w:rFonts w:ascii="宋体" w:hAnsi="宋体" w:eastAsia="宋体" w:cs="宋体"/>
                <w:color w:val="000000"/>
                <w:kern w:val="0"/>
                <w:sz w:val="20"/>
                <w:szCs w:val="20"/>
              </w:rPr>
            </w:pP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支持透明串接和旁路反向代理下的HTTPS业务的安全防护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攻击检测</w:t>
            </w: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支持对跨站脚本(XSS)和注入式攻击（包括SQL注入、命令注入 、代码注入、文件注入、LDAP注入、SSI注入等）的检测防护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vMerge w:val="continue"/>
            <w:vAlign w:val="center"/>
          </w:tcPr>
          <w:p>
            <w:pPr>
              <w:widowControl/>
              <w:jc w:val="left"/>
              <w:rPr>
                <w:rFonts w:ascii="宋体" w:hAnsi="宋体" w:eastAsia="宋体" w:cs="宋体"/>
                <w:color w:val="000000"/>
                <w:kern w:val="0"/>
                <w:sz w:val="20"/>
                <w:szCs w:val="20"/>
              </w:rPr>
            </w:pP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支持对HTTP请求关键字段进行合规性的检测（包括Host字段、User-Agent、Content-type字段等）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vMerge w:val="continue"/>
            <w:vAlign w:val="center"/>
          </w:tcPr>
          <w:p>
            <w:pPr>
              <w:widowControl/>
              <w:jc w:val="left"/>
              <w:rPr>
                <w:rFonts w:ascii="宋体" w:hAnsi="宋体" w:eastAsia="宋体" w:cs="宋体"/>
                <w:color w:val="000000"/>
                <w:kern w:val="0"/>
                <w:sz w:val="20"/>
                <w:szCs w:val="20"/>
              </w:rPr>
            </w:pPr>
          </w:p>
        </w:tc>
        <w:tc>
          <w:tcPr>
            <w:tcW w:w="3929" w:type="pct"/>
            <w:shd w:val="clear" w:color="auto" w:fill="auto"/>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支持对HTTP头部各字段内容长度进行限制并可以自定义调整限制大小，包括参数名长度、参数值长度、HTTP请求头部长度、URI长度、cookie长度、User-Agent长度、Content-type长度、Host长度等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vMerge w:val="continue"/>
            <w:vAlign w:val="center"/>
          </w:tcPr>
          <w:p>
            <w:pPr>
              <w:widowControl/>
              <w:jc w:val="left"/>
              <w:rPr>
                <w:rFonts w:ascii="宋体" w:hAnsi="宋体" w:eastAsia="宋体" w:cs="宋体"/>
                <w:color w:val="000000"/>
                <w:kern w:val="0"/>
                <w:sz w:val="20"/>
                <w:szCs w:val="20"/>
              </w:rPr>
            </w:pPr>
          </w:p>
        </w:tc>
        <w:tc>
          <w:tcPr>
            <w:tcW w:w="3929" w:type="pct"/>
            <w:shd w:val="clear" w:color="auto" w:fill="auto"/>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支持识别HTTP报文常见的编码和编码攻击：URL解码、Base64解码、HTML解码、16进制转换、JSON解析、XML解析、PHP反序列解析、UTF-7解码等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vMerge w:val="restar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应用层安全防护</w:t>
            </w: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支持对服务器响应安全设置，可通过选择不同的操作策略对响应头内容进行增删改。在修改响应头时，要保证触发条件的准确性，不得随意修改。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vMerge w:val="continue"/>
            <w:vAlign w:val="center"/>
          </w:tcPr>
          <w:p>
            <w:pPr>
              <w:widowControl/>
              <w:jc w:val="left"/>
              <w:rPr>
                <w:rFonts w:ascii="宋体" w:hAnsi="宋体" w:eastAsia="宋体" w:cs="宋体"/>
                <w:color w:val="000000"/>
                <w:kern w:val="0"/>
                <w:sz w:val="20"/>
                <w:szCs w:val="20"/>
              </w:rPr>
            </w:pP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客户端安全防护，插入特殊的HTTP报头以保护客户端免受某些攻击包括但不限于增加以下安全报头：X-Frame-Options（用于防护客户端免受Clickjacking攻击）、X-Content-Type-Options（以防止浏览器将文件解释为内容类型声明以外的其他内容）、X-XSS-Protect（用于当检测到XSS攻击时，指示浏览器停止加载页面）、Content-Security-Policy（用于降低浏览器上的XSS风险和数据注入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爬虫、扫描器等自动化工具的安全检测                                                                           </w:t>
            </w: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内置安全规则可有效识别Acunetix、nessus 、WebScan、Webdump、AppScan 、等扫描器的扫描行为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vMerge w:val="continue"/>
            <w:vAlign w:val="center"/>
          </w:tcPr>
          <w:p>
            <w:pPr>
              <w:widowControl/>
              <w:jc w:val="left"/>
              <w:rPr>
                <w:rFonts w:ascii="宋体" w:hAnsi="宋体" w:eastAsia="宋体" w:cs="宋体"/>
                <w:color w:val="000000"/>
                <w:kern w:val="0"/>
                <w:sz w:val="20"/>
                <w:szCs w:val="20"/>
              </w:rPr>
            </w:pP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内置安全规则可有效识别baidu、google、yahoo等常见网络爬虫的访问行为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9"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高级功能</w:t>
            </w:r>
          </w:p>
        </w:tc>
        <w:tc>
          <w:tcPr>
            <w:tcW w:w="570"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智能语义分析</w:t>
            </w: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内置对SQL注入、XSS攻击检测的语义分析规则</w:t>
            </w:r>
            <w:r>
              <w:rPr>
                <w:rFonts w:ascii="宋体" w:hAnsi="宋体" w:eastAsia="宋体" w:cs="宋体"/>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机器学习</w:t>
            </w: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1、具有机器学习安全引擎，可以对用户web业务系统建立安全的访问模型 ，学习的内容包括URL地址、URL请求参数等信息</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2、支持设定学习的周期，域名信息，可信任的客户端IP，不可信的客户端IP以及不学习的URL信息</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3、模型数据可以显示学习中的URL数量，学习完成的URL数量、检测中URL数量、学习失败的URL数量，同时可以显示各个阶段的占比情况</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4、具有通用的机器学习模型，数据模型可实现在线更新（须提供权威机构第三方检测报告）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CC防护功能</w:t>
            </w: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根据细粒度条件对CC攻击进行检测和防护；匹配条件由URL参数、请求头部字段、目的IP、请求方法、地理位置组成；测量指标由请求速率、请求集中度、请求离散度组成；客户端检测对象由IP、IP+URL、IP+User_Agent等参数组成；支持从请求头字段获取真实源IP地址（须提供权威机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区域态势分析和阻断</w:t>
            </w: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按地理区域对攻击次数等进行统计，并通过地图展示；支持在地图上对某一地理区域设置阻断此区域IP的访问（须提供权威机构第三方检测报告）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威胁情报</w:t>
            </w: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支持威胁情报库在线同步，可主动发现恶意IP发起的访问行为，并进行告警和拦截，威胁情报库支持离线更新（须提供权威机构第三方检测报告）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安全审计</w:t>
            </w: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能详细记录攻击事件的HTTP请求头信息，含请求的URL、UserAgent、POST内容，cookie等所有的请求头内容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vMerge w:val="continue"/>
            <w:vAlign w:val="center"/>
          </w:tcPr>
          <w:p>
            <w:pPr>
              <w:widowControl/>
              <w:jc w:val="left"/>
              <w:rPr>
                <w:rFonts w:ascii="宋体" w:hAnsi="宋体" w:eastAsia="宋体" w:cs="宋体"/>
                <w:color w:val="000000"/>
                <w:kern w:val="0"/>
                <w:sz w:val="20"/>
                <w:szCs w:val="20"/>
              </w:rPr>
            </w:pP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能详细记录服务器响应头信息，服务器响应内容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9"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日志报表管理</w:t>
            </w:r>
          </w:p>
        </w:tc>
        <w:tc>
          <w:tcPr>
            <w:tcW w:w="570"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日志分析</w:t>
            </w: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根据产生的安全日志进行智能分析，提高人工分析效率，减小规则误判概率。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日志记录</w:t>
            </w: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支持记录应用防护日志、网络防护日志、CC防护日志、访问审计日志、防篡改日志、操作日志、系统日志、升级日志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访问审计 </w:t>
            </w: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具备审计网站正常访问流量的能力，提供按小时，天、月份生成生成报表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99" w:type="pct"/>
            <w:vMerge w:val="continue"/>
            <w:vAlign w:val="center"/>
          </w:tcPr>
          <w:p>
            <w:pPr>
              <w:widowControl/>
              <w:jc w:val="left"/>
              <w:rPr>
                <w:rFonts w:ascii="宋体" w:hAnsi="宋体" w:eastAsia="宋体" w:cs="宋体"/>
                <w:color w:val="000000"/>
                <w:kern w:val="0"/>
                <w:sz w:val="20"/>
                <w:szCs w:val="20"/>
              </w:rPr>
            </w:pPr>
          </w:p>
        </w:tc>
        <w:tc>
          <w:tcPr>
            <w:tcW w:w="570" w:type="pct"/>
            <w:vMerge w:val="continue"/>
            <w:vAlign w:val="center"/>
          </w:tcPr>
          <w:p>
            <w:pPr>
              <w:widowControl/>
              <w:jc w:val="left"/>
              <w:rPr>
                <w:rFonts w:ascii="宋体" w:hAnsi="宋体" w:eastAsia="宋体" w:cs="宋体"/>
                <w:color w:val="000000"/>
                <w:kern w:val="0"/>
                <w:sz w:val="20"/>
                <w:szCs w:val="20"/>
              </w:rPr>
            </w:pP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能记录、查询所有用户对网站的访问情况，包括访问的URL、客户端IP、服务器返回的状态码（须提供权威机构第三方检测报告）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70" w:type="pct"/>
            <w:gridSpan w:val="2"/>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售后服务</w:t>
            </w:r>
          </w:p>
        </w:tc>
        <w:tc>
          <w:tcPr>
            <w:tcW w:w="3929"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提供7*24小时原厂商400支持热线；</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提供不少于三年质保服务，包含但不限于硬件保修、系统升级等服务内容；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本地需要至少5个（含）CISP-BDSA资质证书设备厂商人员提供支持。（须提供近三个月投标所在地社保证明）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70" w:type="pct"/>
            <w:gridSpan w:val="2"/>
            <w:vMerge w:val="restar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厂家资质</w:t>
            </w:r>
          </w:p>
        </w:tc>
        <w:tc>
          <w:tcPr>
            <w:tcW w:w="3929"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国家信息安全测评信息安全服务资质证书（安全工程类三级），提供证书复印件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70" w:type="pct"/>
            <w:gridSpan w:val="2"/>
            <w:vMerge w:val="continue"/>
          </w:tcPr>
          <w:p>
            <w:pPr>
              <w:widowControl/>
              <w:jc w:val="left"/>
              <w:rPr>
                <w:rFonts w:ascii="宋体" w:hAnsi="宋体" w:eastAsia="宋体" w:cs="宋体"/>
                <w:color w:val="000000"/>
                <w:kern w:val="0"/>
                <w:sz w:val="20"/>
                <w:szCs w:val="20"/>
              </w:rPr>
            </w:pPr>
          </w:p>
        </w:tc>
        <w:tc>
          <w:tcPr>
            <w:tcW w:w="3929"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知识产权管理体系认证证书，提供证书复印件</w:t>
            </w:r>
          </w:p>
        </w:tc>
      </w:tr>
    </w:tbl>
    <w:p>
      <w:pPr>
        <w:ind w:firstLine="480"/>
      </w:pPr>
    </w:p>
    <w:p>
      <w:pPr>
        <w:pStyle w:val="8"/>
      </w:pPr>
      <w:bookmarkStart w:id="32" w:name="_Toc104393686"/>
      <w:r>
        <w:t>5</w:t>
      </w:r>
      <w:r>
        <w:rPr>
          <w:rFonts w:hint="eastAsia"/>
        </w:rPr>
        <w:t>、运维审计与风险控制系统</w:t>
      </w:r>
      <w:bookmarkEnd w:id="32"/>
      <w:r>
        <w:rPr>
          <w:rFonts w:hint="eastAsia"/>
        </w:rPr>
        <w:t>（</w:t>
      </w:r>
      <w:r>
        <w:t>2</w:t>
      </w:r>
      <w:r>
        <w:rPr>
          <w:rFonts w:hint="eastAsia"/>
        </w:rPr>
        <w:t>台）</w:t>
      </w:r>
    </w:p>
    <w:tbl>
      <w:tblPr>
        <w:tblStyle w:val="59"/>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34"/>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pPr>
              <w:rPr>
                <w:rFonts w:ascii="宋体" w:hAnsi="宋体"/>
                <w:b/>
                <w:bCs/>
                <w:szCs w:val="21"/>
              </w:rPr>
            </w:pPr>
            <w:r>
              <w:rPr>
                <w:rFonts w:hint="eastAsia" w:ascii="宋体" w:hAnsi="宋体" w:eastAsia="宋体" w:cs="宋体"/>
                <w:b/>
                <w:color w:val="000000"/>
                <w:kern w:val="0"/>
                <w:sz w:val="20"/>
                <w:szCs w:val="20"/>
              </w:rPr>
              <w:t>功能及技术指标</w:t>
            </w:r>
          </w:p>
        </w:tc>
        <w:tc>
          <w:tcPr>
            <w:tcW w:w="643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tcBorders>
              <w:top w:val="single" w:color="auto" w:sz="4" w:space="0"/>
              <w:left w:val="single" w:color="auto" w:sz="4" w:space="0"/>
              <w:right w:val="single" w:color="auto" w:sz="4" w:space="0"/>
            </w:tcBorders>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产品资质要求</w:t>
            </w:r>
          </w:p>
        </w:tc>
        <w:tc>
          <w:tcPr>
            <w:tcW w:w="6437"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通过公安部检测并获得计算机信息系统安全专用产品销售许可证（运维安全管理产品</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增强级），提供证书复印件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Borders>
              <w:left w:val="single" w:color="auto" w:sz="4" w:space="0"/>
              <w:right w:val="single" w:color="auto" w:sz="4" w:space="0"/>
            </w:tcBorders>
          </w:tcPr>
          <w:p>
            <w:pPr>
              <w:widowControl/>
              <w:jc w:val="left"/>
              <w:rPr>
                <w:rFonts w:ascii="宋体" w:hAnsi="宋体" w:eastAsia="宋体" w:cs="宋体"/>
                <w:color w:val="000000"/>
                <w:kern w:val="0"/>
                <w:sz w:val="20"/>
                <w:szCs w:val="20"/>
              </w:rPr>
            </w:pPr>
          </w:p>
        </w:tc>
        <w:tc>
          <w:tcPr>
            <w:tcW w:w="6437"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产品获得由国家信息安全漏洞库颁发的《国家信息安全漏洞库兼容性资质证书》，提供证书复印件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Borders>
              <w:left w:val="single" w:color="auto" w:sz="4" w:space="0"/>
              <w:right w:val="single" w:color="auto" w:sz="4" w:space="0"/>
            </w:tcBorders>
          </w:tcPr>
          <w:p>
            <w:pPr>
              <w:widowControl/>
              <w:jc w:val="left"/>
              <w:rPr>
                <w:rFonts w:ascii="宋体" w:hAnsi="宋体" w:eastAsia="宋体" w:cs="宋体"/>
                <w:color w:val="000000"/>
                <w:kern w:val="0"/>
                <w:sz w:val="20"/>
                <w:szCs w:val="20"/>
              </w:rPr>
            </w:pPr>
          </w:p>
        </w:tc>
        <w:tc>
          <w:tcPr>
            <w:tcW w:w="6437"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产品需符合GB/T 18336-2015《信息技术 安全技术 信息技术安全评估准则》（idt ISP/IEC 15408:2008）,并获得由中国信息安全测评中心信息安全实验室颁发的《国家信息安全 信息技术产品安全测评证书》，级别应为EAL3+，提供证书复印件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Borders>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0"/>
                <w:szCs w:val="20"/>
              </w:rPr>
            </w:pPr>
          </w:p>
        </w:tc>
        <w:tc>
          <w:tcPr>
            <w:tcW w:w="6437"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拥有自主知识产权并获得计算机软件著作权登记证书，提供证书复印件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规格要求</w:t>
            </w:r>
          </w:p>
        </w:tc>
        <w:tc>
          <w:tcPr>
            <w:tcW w:w="6437"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机箱高度：</w:t>
            </w:r>
            <w:r>
              <w:rPr>
                <w:rFonts w:ascii="宋体" w:hAnsi="宋体" w:eastAsia="宋体" w:cs="宋体"/>
                <w:color w:val="000000"/>
                <w:kern w:val="0"/>
                <w:sz w:val="20"/>
                <w:szCs w:val="20"/>
              </w:rPr>
              <w:t>2U</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w:t>
            </w:r>
            <w:r>
              <w:rPr>
                <w:rFonts w:ascii="宋体" w:hAnsi="宋体" w:eastAsia="宋体" w:cs="宋体"/>
                <w:color w:val="000000"/>
                <w:kern w:val="0"/>
                <w:sz w:val="20"/>
                <w:szCs w:val="20"/>
              </w:rPr>
              <w:t>2千兆电口管理口，千兆业务电口*4，千兆业务光口*4</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硬盘容量：</w:t>
            </w:r>
            <w:r>
              <w:rPr>
                <w:rFonts w:ascii="宋体" w:hAnsi="宋体" w:eastAsia="宋体" w:cs="宋体"/>
                <w:color w:val="000000"/>
                <w:kern w:val="0"/>
                <w:sz w:val="20"/>
                <w:szCs w:val="20"/>
              </w:rPr>
              <w:t>2T*2，RAID 1</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内存≥</w:t>
            </w:r>
            <w:r>
              <w:rPr>
                <w:rFonts w:ascii="宋体" w:hAnsi="宋体" w:eastAsia="宋体" w:cs="宋体"/>
                <w:color w:val="000000"/>
                <w:kern w:val="0"/>
                <w:sz w:val="20"/>
                <w:szCs w:val="20"/>
              </w:rPr>
              <w:t>16G</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USB口：USB2.0口*2</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串口：</w:t>
            </w:r>
            <w:r>
              <w:rPr>
                <w:rFonts w:ascii="宋体" w:hAnsi="宋体" w:eastAsia="宋体" w:cs="宋体"/>
                <w:color w:val="000000"/>
                <w:kern w:val="0"/>
                <w:sz w:val="20"/>
                <w:szCs w:val="20"/>
              </w:rPr>
              <w:t>RJ45口*1</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电源：</w:t>
            </w:r>
            <w:r>
              <w:rPr>
                <w:rFonts w:ascii="宋体" w:hAnsi="宋体" w:eastAsia="宋体" w:cs="宋体"/>
                <w:color w:val="000000"/>
                <w:kern w:val="0"/>
                <w:sz w:val="20"/>
                <w:szCs w:val="20"/>
              </w:rPr>
              <w:t>1+1热插拔冗余电源</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U</w:t>
            </w:r>
            <w:r>
              <w:rPr>
                <w:rFonts w:ascii="宋体" w:hAnsi="宋体" w:eastAsia="宋体" w:cs="宋体"/>
                <w:color w:val="000000"/>
                <w:kern w:val="0"/>
                <w:sz w:val="20"/>
                <w:szCs w:val="20"/>
              </w:rPr>
              <w:t>SB</w:t>
            </w:r>
            <w:r>
              <w:rPr>
                <w:rFonts w:hint="eastAsia" w:ascii="宋体" w:hAnsi="宋体" w:eastAsia="宋体" w:cs="宋体"/>
                <w:color w:val="000000"/>
                <w:kern w:val="0"/>
                <w:sz w:val="20"/>
                <w:szCs w:val="20"/>
              </w:rPr>
              <w:t>key</w:t>
            </w:r>
            <w:r>
              <w:rPr>
                <w:rFonts w:ascii="宋体" w:hAnsi="宋体" w:eastAsia="宋体" w:cs="宋体"/>
                <w:color w:val="000000"/>
                <w:kern w:val="0"/>
                <w:sz w:val="20"/>
                <w:szCs w:val="20"/>
              </w:rPr>
              <w:t>*1</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硬件加密卡*</w:t>
            </w:r>
            <w:r>
              <w:rPr>
                <w:rFonts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性能要求</w:t>
            </w:r>
          </w:p>
        </w:tc>
        <w:tc>
          <w:tcPr>
            <w:tcW w:w="6437"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授权资产≥1</w:t>
            </w:r>
            <w:r>
              <w:rPr>
                <w:rFonts w:ascii="宋体" w:hAnsi="宋体" w:eastAsia="宋体" w:cs="宋体"/>
                <w:color w:val="000000"/>
                <w:kern w:val="0"/>
                <w:sz w:val="20"/>
                <w:szCs w:val="20"/>
              </w:rPr>
              <w:t>0</w:t>
            </w:r>
            <w:r>
              <w:rPr>
                <w:rFonts w:hint="eastAsia" w:ascii="宋体" w:hAnsi="宋体" w:eastAsia="宋体" w:cs="宋体"/>
                <w:color w:val="000000"/>
                <w:kern w:val="0"/>
                <w:sz w:val="20"/>
                <w:szCs w:val="20"/>
              </w:rPr>
              <w:t>00个</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并发字符连接数≥1000个</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并发图形连接数≥300个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right w:val="single" w:color="auto" w:sz="4"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设备部署</w:t>
            </w:r>
          </w:p>
        </w:tc>
        <w:tc>
          <w:tcPr>
            <w:tcW w:w="6437"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设备采用旁路部署,管理口和业务口须支持多链路端口绑定功能，防止单网卡或单线故障。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身份鉴别能力要求</w:t>
            </w:r>
          </w:p>
        </w:tc>
        <w:tc>
          <w:tcPr>
            <w:tcW w:w="6437" w:type="dxa"/>
            <w:gridSpan w:val="2"/>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应支持身份鉴别功能，功能应使用SM2/3/4等商用密码算法对登录的用户进行身份鉴别，保证用户身份的真实性。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数据传输机密性与完整性要求</w:t>
            </w: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数据传输机密性</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应支持数据传输机密性功能，功能应使用SM2/3/4等商用密码算法保证重要数据在传输过程中的机密性。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数据传输完整性</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应支持数据传输完整性功能，功能应使用SM2/3/4等商用密码算法保证重要数据在传输过程中的完整性。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数据存储机密性与完整性要求</w:t>
            </w: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数据存储机密性</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本设备应使用SM2/3/4等商用密码算法对核心数据进行加密存储，保证数据存储的机密性。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数据存储完整性</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本设备应使用SM2/3/4等商用密码算法对核心数据进行完整性校验，保证数据存储的完整性。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数据原发抗抵赖和数据接收抗抵赖</w:t>
            </w:r>
          </w:p>
        </w:tc>
        <w:tc>
          <w:tcPr>
            <w:tcW w:w="6437" w:type="dxa"/>
            <w:gridSpan w:val="2"/>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使用SM2/3/4等商用密码算法对操作日志进行签名操作，保证数据的不可否认性。（需提供使用商用密码证明材料，如使用到第三方密码产品的，需提供第三方密码产品的《商用密码产品认证证书》及第三方密码产品厂家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用户管理要求</w:t>
            </w: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用户角色</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支持用户多角色划分功能，如系统管理员、部门管理员、运维员、审计管理员、密码管理员等，对各类角色需要进行细粒度的权限管理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用户管理和用户策略</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支持用户的批量导入/导出；支持用户安全策略功能，如用户有效期、用户登录时间限制、用户登录IP范围等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单点登录认证</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支持标准化对接CAS</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JWT单点登录认证</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且支持配置是否自动创建堡垒机中不存在用户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多用户双因子认证</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基于不同的用户设置不同的双因子认证模式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设备管理要求</w:t>
            </w: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支持的协议和应用</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支持常用的运维协议：SSH、TELNET、RDP、VNC、FTP、SFTP、rlogin；可通过应用发布的方式进行协议扩展，如数据库Oracle、MSSQL、</w:t>
            </w:r>
            <w:r>
              <w:rPr>
                <w:rFonts w:ascii="宋体" w:hAnsi="宋体" w:eastAsia="宋体" w:cs="宋体"/>
                <w:color w:val="000000"/>
                <w:kern w:val="0"/>
                <w:sz w:val="20"/>
                <w:szCs w:val="20"/>
              </w:rPr>
              <w:t>MySQL</w:t>
            </w:r>
            <w:r>
              <w:rPr>
                <w:rFonts w:hint="eastAsia" w:ascii="宋体" w:hAnsi="宋体" w:eastAsia="宋体" w:cs="宋体"/>
                <w:color w:val="000000"/>
                <w:kern w:val="0"/>
                <w:sz w:val="20"/>
                <w:szCs w:val="20"/>
              </w:rPr>
              <w:t>、VMware vSphere Client、浏览器等客户端工具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登录模式</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支持设备帐户和密码的自动登录、手工登录、二次自动登录模式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共享账户</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支持设置共享账户，用于不同主机拥有相同账户名及密码的场景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数据库管理</w:t>
            </w: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数据库兼容性</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标准支持DB2、oracle、mysql、sqlserver</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PG、人大金仓</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达梦数据库的协议运维代理</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可实现自动登录，自动登录可直接调用本地windows系统的数据库客户端工具（包括ssms、sqlwb、workbench、mysql、DbVisualizer、plsql、sqlplus、toad、dbcmd、Q</w:t>
            </w:r>
            <w:r>
              <w:rPr>
                <w:rFonts w:ascii="宋体" w:hAnsi="宋体" w:eastAsia="宋体" w:cs="宋体"/>
                <w:color w:val="000000"/>
                <w:kern w:val="0"/>
                <w:sz w:val="20"/>
                <w:szCs w:val="20"/>
              </w:rPr>
              <w:t>uest Central</w:t>
            </w:r>
            <w:r>
              <w:rPr>
                <w:rFonts w:hint="eastAsia" w:ascii="宋体" w:hAnsi="宋体" w:eastAsia="宋体" w:cs="宋体"/>
                <w:color w:val="000000"/>
                <w:kern w:val="0"/>
                <w:sz w:val="20"/>
                <w:szCs w:val="20"/>
              </w:rPr>
              <w:t>、pgadmin</w:t>
            </w:r>
            <w:r>
              <w:rPr>
                <w:rFonts w:ascii="宋体" w:hAnsi="宋体" w:eastAsia="宋体" w:cs="宋体"/>
                <w:color w:val="000000"/>
                <w:kern w:val="0"/>
                <w:sz w:val="20"/>
                <w:szCs w:val="20"/>
              </w:rPr>
              <w:t>3</w:t>
            </w:r>
            <w:r>
              <w:rPr>
                <w:rFonts w:hint="eastAsia" w:ascii="宋体" w:hAnsi="宋体" w:eastAsia="宋体" w:cs="宋体"/>
                <w:color w:val="000000"/>
                <w:kern w:val="0"/>
                <w:sz w:val="20"/>
                <w:szCs w:val="20"/>
              </w:rPr>
              <w:t>、psql、ksql、Isql、D</w:t>
            </w:r>
            <w:r>
              <w:rPr>
                <w:rFonts w:ascii="宋体" w:hAnsi="宋体" w:eastAsia="宋体" w:cs="宋体"/>
                <w:color w:val="000000"/>
                <w:kern w:val="0"/>
                <w:sz w:val="20"/>
                <w:szCs w:val="20"/>
              </w:rPr>
              <w:t>I</w:t>
            </w:r>
            <w:r>
              <w:rPr>
                <w:rFonts w:hint="eastAsia" w:ascii="宋体" w:hAnsi="宋体" w:eastAsia="宋体" w:cs="宋体"/>
                <w:color w:val="000000"/>
                <w:kern w:val="0"/>
                <w:sz w:val="20"/>
                <w:szCs w:val="20"/>
              </w:rPr>
              <w:t>sql、D</w:t>
            </w:r>
            <w:r>
              <w:rPr>
                <w:rFonts w:ascii="宋体" w:hAnsi="宋体" w:eastAsia="宋体" w:cs="宋体"/>
                <w:color w:val="000000"/>
                <w:kern w:val="0"/>
                <w:sz w:val="20"/>
                <w:szCs w:val="20"/>
              </w:rPr>
              <w:t>M</w:t>
            </w:r>
            <w:r>
              <w:rPr>
                <w:rFonts w:hint="eastAsia" w:ascii="宋体" w:hAnsi="宋体" w:eastAsia="宋体" w:cs="宋体"/>
                <w:color w:val="000000"/>
                <w:kern w:val="0"/>
                <w:sz w:val="20"/>
                <w:szCs w:val="20"/>
              </w:rPr>
              <w:t>manger等），无需应用发布前置机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数据库双重审计</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支持同时对数据库会话记录图形审计及命令提取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数据库双向审计</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支持对数据库运维会话的上行和下行命令进行审计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工单流程要求</w:t>
            </w: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运维工单</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运维人员可以向管理员申请需要访问的设备，申请时可以选择：设备IP、设备账户、运维有效期、备注事由等，并且运维工单以邮件方式通知管理员。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自动改密要求</w:t>
            </w: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主机自动改密</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支持定期自动修改windows服务器、网络设备、linux/unix等目标设备密码功能</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且自动改密不借助于Agent</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无需开放</w:t>
            </w:r>
            <w:r>
              <w:rPr>
                <w:rFonts w:ascii="宋体" w:hAnsi="宋体" w:eastAsia="宋体" w:cs="宋体"/>
                <w:color w:val="000000"/>
                <w:kern w:val="0"/>
                <w:sz w:val="20"/>
                <w:szCs w:val="20"/>
              </w:rPr>
              <w:t>445、135、139</w:t>
            </w:r>
            <w:r>
              <w:rPr>
                <w:rFonts w:hint="eastAsia" w:ascii="宋体" w:hAnsi="宋体" w:eastAsia="宋体" w:cs="宋体"/>
                <w:color w:val="000000"/>
                <w:kern w:val="0"/>
                <w:sz w:val="20"/>
                <w:szCs w:val="20"/>
              </w:rPr>
              <w:t>等高危端口；未借助于agent及相关端口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数据库/</w:t>
            </w:r>
            <w:r>
              <w:rPr>
                <w:rFonts w:ascii="宋体" w:hAnsi="宋体" w:eastAsia="宋体" w:cs="宋体"/>
                <w:color w:val="000000"/>
                <w:kern w:val="0"/>
                <w:sz w:val="20"/>
                <w:szCs w:val="20"/>
              </w:rPr>
              <w:t>web</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自动改密</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支持对数据库及Web应用的自动改密功能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账号切换改密</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支持Unix/Linux系统账号自动改密功能。并支持账号切换改密功能，当root不能直接远程登录时，依旧可以修改root密码</w:t>
            </w:r>
            <w:r>
              <w:rPr>
                <w:rFonts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运维方式要求</w:t>
            </w:r>
          </w:p>
        </w:tc>
        <w:tc>
          <w:tcPr>
            <w:tcW w:w="1134" w:type="dxa"/>
            <w:vMerge w:val="restar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专用客户端运维</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支持Windows/Mac操作系统下C/S架构的堡垒机专用客户端</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可通过此专用客户端登录堡垒机，对堡垒机进行简单的管理及运维资产操作。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Merge w:val="continue"/>
          </w:tcPr>
          <w:p>
            <w:pPr>
              <w:widowControl/>
              <w:jc w:val="left"/>
              <w:rPr>
                <w:rFonts w:ascii="宋体" w:hAnsi="宋体" w:eastAsia="宋体" w:cs="宋体"/>
                <w:color w:val="000000"/>
                <w:kern w:val="0"/>
                <w:sz w:val="20"/>
                <w:szCs w:val="20"/>
              </w:rPr>
            </w:pP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运维客户端自带运维工具，可不依赖 xshell/</w:t>
            </w:r>
            <w:r>
              <w:rPr>
                <w:rFonts w:ascii="宋体" w:hAnsi="宋体" w:eastAsia="宋体" w:cs="宋体"/>
                <w:color w:val="000000"/>
                <w:kern w:val="0"/>
                <w:sz w:val="20"/>
                <w:szCs w:val="20"/>
              </w:rPr>
              <w:t>S</w:t>
            </w:r>
            <w:r>
              <w:rPr>
                <w:rFonts w:hint="eastAsia" w:ascii="宋体" w:hAnsi="宋体" w:eastAsia="宋体" w:cs="宋体"/>
                <w:color w:val="000000"/>
                <w:kern w:val="0"/>
                <w:sz w:val="20"/>
                <w:szCs w:val="20"/>
              </w:rPr>
              <w:t>ecurecrt</w:t>
            </w:r>
            <w:r>
              <w:rPr>
                <w:rFonts w:ascii="宋体" w:hAnsi="宋体" w:eastAsia="宋体" w:cs="宋体"/>
                <w:color w:val="000000"/>
                <w:kern w:val="0"/>
                <w:sz w:val="20"/>
                <w:szCs w:val="20"/>
              </w:rPr>
              <w:t>/mstsc</w:t>
            </w:r>
            <w:r>
              <w:rPr>
                <w:rFonts w:hint="eastAsia" w:ascii="宋体" w:hAnsi="宋体" w:eastAsia="宋体" w:cs="宋体"/>
                <w:color w:val="000000"/>
                <w:kern w:val="0"/>
                <w:sz w:val="20"/>
                <w:szCs w:val="20"/>
              </w:rPr>
              <w:t>等工具进行运维操作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Merge w:val="continue"/>
            <w:vAlign w:val="center"/>
          </w:tcPr>
          <w:p>
            <w:pPr>
              <w:widowControl/>
              <w:jc w:val="left"/>
              <w:rPr>
                <w:rFonts w:ascii="宋体" w:hAnsi="宋体" w:eastAsia="宋体" w:cs="宋体"/>
                <w:color w:val="000000"/>
                <w:kern w:val="0"/>
                <w:sz w:val="20"/>
                <w:szCs w:val="20"/>
              </w:rPr>
            </w:pP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客户端还至少需支持资产分组、资产连通性检测，批量运维、资产运维审批、命令审批、二次运维审批等能力。其中资产分组操作支持个性化设置，即每个运维人员可单独设置分组，相互之间独立。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Merge w:val="continue"/>
            <w:vAlign w:val="center"/>
          </w:tcPr>
          <w:p>
            <w:pPr>
              <w:widowControl/>
              <w:jc w:val="left"/>
              <w:rPr>
                <w:rFonts w:ascii="宋体" w:hAnsi="宋体" w:eastAsia="宋体" w:cs="宋体"/>
                <w:color w:val="000000"/>
                <w:kern w:val="0"/>
                <w:sz w:val="20"/>
                <w:szCs w:val="20"/>
              </w:rPr>
            </w:pP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客户端支持V</w:t>
            </w:r>
            <w:r>
              <w:rPr>
                <w:rFonts w:ascii="宋体" w:hAnsi="宋体" w:eastAsia="宋体" w:cs="宋体"/>
                <w:color w:val="000000"/>
                <w:kern w:val="0"/>
                <w:sz w:val="20"/>
                <w:szCs w:val="20"/>
              </w:rPr>
              <w:t>PN</w:t>
            </w:r>
            <w:r>
              <w:rPr>
                <w:rFonts w:hint="eastAsia" w:ascii="宋体" w:hAnsi="宋体" w:eastAsia="宋体" w:cs="宋体"/>
                <w:color w:val="000000"/>
                <w:kern w:val="0"/>
                <w:sz w:val="20"/>
                <w:szCs w:val="20"/>
              </w:rPr>
              <w:t>登录功能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Merge w:val="restar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H</w:t>
            </w:r>
            <w:r>
              <w:rPr>
                <w:rFonts w:ascii="宋体" w:hAnsi="宋体" w:eastAsia="宋体" w:cs="宋体"/>
                <w:color w:val="000000"/>
                <w:kern w:val="0"/>
                <w:sz w:val="20"/>
                <w:szCs w:val="20"/>
              </w:rPr>
              <w:t>5</w:t>
            </w:r>
            <w:r>
              <w:rPr>
                <w:rFonts w:hint="eastAsia" w:ascii="宋体" w:hAnsi="宋体" w:eastAsia="宋体" w:cs="宋体"/>
                <w:color w:val="000000"/>
                <w:kern w:val="0"/>
                <w:sz w:val="20"/>
                <w:szCs w:val="20"/>
              </w:rPr>
              <w:t>运维</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H5运维方式：支持ssh、telnet、rlogin、rdp、vnc协议的H</w:t>
            </w:r>
            <w:r>
              <w:rPr>
                <w:rFonts w:ascii="宋体" w:hAnsi="宋体" w:eastAsia="宋体" w:cs="宋体"/>
                <w:color w:val="000000"/>
                <w:kern w:val="0"/>
                <w:sz w:val="20"/>
                <w:szCs w:val="20"/>
              </w:rPr>
              <w:t>5</w:t>
            </w:r>
            <w:r>
              <w:rPr>
                <w:rFonts w:hint="eastAsia" w:ascii="宋体" w:hAnsi="宋体" w:eastAsia="宋体" w:cs="宋体"/>
                <w:color w:val="000000"/>
                <w:kern w:val="0"/>
                <w:sz w:val="20"/>
                <w:szCs w:val="20"/>
              </w:rPr>
              <w:t>运维，无需本地运维客户端工具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Merge w:val="continue"/>
            <w:vAlign w:val="center"/>
          </w:tcPr>
          <w:p>
            <w:pPr>
              <w:widowControl/>
              <w:jc w:val="left"/>
              <w:rPr>
                <w:rFonts w:ascii="宋体" w:hAnsi="宋体" w:eastAsia="宋体" w:cs="宋体"/>
                <w:color w:val="000000"/>
                <w:kern w:val="0"/>
                <w:sz w:val="20"/>
                <w:szCs w:val="20"/>
              </w:rPr>
            </w:pP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会话协同功能支持在运维界面实时查看协同人员</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可由会话发起人在线进行操控权分配</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可实时踢出会话协同人员</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会话协同人员可主动申请当前会话操控权</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待会话发起者同意后可拥有会话操作权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Merge w:val="continue"/>
            <w:vAlign w:val="center"/>
          </w:tcPr>
          <w:p>
            <w:pPr>
              <w:widowControl/>
              <w:jc w:val="left"/>
              <w:rPr>
                <w:rFonts w:ascii="宋体" w:hAnsi="宋体" w:eastAsia="宋体" w:cs="宋体"/>
                <w:color w:val="000000"/>
                <w:kern w:val="0"/>
                <w:sz w:val="20"/>
                <w:szCs w:val="20"/>
              </w:rPr>
            </w:pP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H5运维方式下，可支持R</w:t>
            </w:r>
            <w:r>
              <w:rPr>
                <w:rFonts w:ascii="宋体" w:hAnsi="宋体" w:eastAsia="宋体" w:cs="宋体"/>
                <w:color w:val="000000"/>
                <w:kern w:val="0"/>
                <w:sz w:val="20"/>
                <w:szCs w:val="20"/>
              </w:rPr>
              <w:t>DP/SSH</w:t>
            </w:r>
            <w:r>
              <w:rPr>
                <w:rFonts w:hint="eastAsia" w:ascii="宋体" w:hAnsi="宋体" w:eastAsia="宋体" w:cs="宋体"/>
                <w:color w:val="000000"/>
                <w:kern w:val="0"/>
                <w:sz w:val="20"/>
                <w:szCs w:val="20"/>
              </w:rPr>
              <w:t>在线文件传输</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无需借助第三方客户端工具</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通过web页面即可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连通性检测</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支持对主机连通性、账号有效性进行周期性检测。并可设置是否开启检测连通性、有效性功能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客户端工具登录</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客户端访问方式：支持使用本地的mstsc/Xshell/</w:t>
            </w:r>
            <w:r>
              <w:rPr>
                <w:rFonts w:ascii="宋体" w:hAnsi="宋体" w:eastAsia="宋体" w:cs="宋体"/>
                <w:color w:val="000000"/>
                <w:kern w:val="0"/>
                <w:sz w:val="20"/>
                <w:szCs w:val="20"/>
              </w:rPr>
              <w:t>SecureCRT</w:t>
            </w:r>
            <w:r>
              <w:rPr>
                <w:rFonts w:hint="eastAsia" w:ascii="宋体" w:hAnsi="宋体" w:eastAsia="宋体" w:cs="宋体"/>
                <w:color w:val="000000"/>
                <w:kern w:val="0"/>
                <w:sz w:val="20"/>
                <w:szCs w:val="20"/>
              </w:rPr>
              <w:t>/Putty</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winscp</w:t>
            </w:r>
            <w:r>
              <w:rPr>
                <w:rFonts w:ascii="宋体" w:hAnsi="宋体" w:eastAsia="宋体" w:cs="宋体"/>
                <w:color w:val="000000"/>
                <w:kern w:val="0"/>
                <w:sz w:val="20"/>
                <w:szCs w:val="20"/>
              </w:rPr>
              <w:t>/Xftp</w:t>
            </w:r>
            <w:r>
              <w:rPr>
                <w:rFonts w:hint="eastAsia" w:ascii="宋体" w:hAnsi="宋体" w:eastAsia="宋体" w:cs="宋体"/>
                <w:color w:val="000000"/>
                <w:kern w:val="0"/>
                <w:sz w:val="20"/>
                <w:szCs w:val="20"/>
              </w:rPr>
              <w:t>等客户端工具登录堡垒机访问图形</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字符或SFTP、FTP设备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SSH网关代理直连</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支持使用本地的SecurCRT/Xshell/OpenSSH工具通过SSH网关代理方式直接登录字符设备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S</w:t>
            </w:r>
            <w:r>
              <w:rPr>
                <w:rFonts w:ascii="宋体" w:hAnsi="宋体" w:eastAsia="宋体" w:cs="宋体"/>
                <w:color w:val="000000"/>
                <w:kern w:val="0"/>
                <w:sz w:val="20"/>
                <w:szCs w:val="20"/>
              </w:rPr>
              <w:t>SH-</w:t>
            </w:r>
            <w:r>
              <w:rPr>
                <w:rFonts w:hint="eastAsia" w:ascii="宋体" w:hAnsi="宋体" w:eastAsia="宋体" w:cs="宋体"/>
                <w:color w:val="000000"/>
                <w:kern w:val="0"/>
                <w:sz w:val="20"/>
                <w:szCs w:val="20"/>
              </w:rPr>
              <w:t>agent-forwarding</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可以使用S</w:t>
            </w:r>
            <w:r>
              <w:rPr>
                <w:rFonts w:ascii="宋体" w:hAnsi="宋体" w:eastAsia="宋体" w:cs="宋体"/>
                <w:color w:val="000000"/>
                <w:kern w:val="0"/>
                <w:sz w:val="20"/>
                <w:szCs w:val="20"/>
              </w:rPr>
              <w:t>SH-</w:t>
            </w:r>
            <w:r>
              <w:rPr>
                <w:rFonts w:hint="eastAsia" w:ascii="宋体" w:hAnsi="宋体" w:eastAsia="宋体" w:cs="宋体"/>
                <w:color w:val="000000"/>
                <w:kern w:val="0"/>
                <w:sz w:val="20"/>
                <w:szCs w:val="20"/>
              </w:rPr>
              <w:t>agent-forwarding登录到ssh服务器，用于登录堡垒机和登录ssh主机使用相同私钥的场景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S</w:t>
            </w:r>
            <w:r>
              <w:rPr>
                <w:rFonts w:ascii="宋体" w:hAnsi="宋体" w:eastAsia="宋体" w:cs="宋体"/>
                <w:color w:val="000000"/>
                <w:kern w:val="0"/>
                <w:sz w:val="20"/>
                <w:szCs w:val="20"/>
              </w:rPr>
              <w:t>SH</w:t>
            </w:r>
            <w:r>
              <w:rPr>
                <w:rFonts w:hint="eastAsia" w:ascii="宋体" w:hAnsi="宋体" w:eastAsia="宋体" w:cs="宋体"/>
                <w:color w:val="000000"/>
                <w:kern w:val="0"/>
                <w:sz w:val="20"/>
                <w:szCs w:val="20"/>
              </w:rPr>
              <w:t>登录方式</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可以使用密码或公钥的方式登录到S</w:t>
            </w:r>
            <w:r>
              <w:rPr>
                <w:rFonts w:ascii="宋体" w:hAnsi="宋体" w:eastAsia="宋体" w:cs="宋体"/>
                <w:color w:val="000000"/>
                <w:kern w:val="0"/>
                <w:sz w:val="20"/>
                <w:szCs w:val="20"/>
              </w:rPr>
              <w:t>SH</w:t>
            </w:r>
            <w:r>
              <w:rPr>
                <w:rFonts w:hint="eastAsia" w:ascii="宋体" w:hAnsi="宋体" w:eastAsia="宋体" w:cs="宋体"/>
                <w:color w:val="000000"/>
                <w:kern w:val="0"/>
                <w:sz w:val="20"/>
                <w:szCs w:val="20"/>
              </w:rPr>
              <w:t>资产，并且可以发送运维用户信息、运维来源I</w:t>
            </w:r>
            <w:r>
              <w:rPr>
                <w:rFonts w:ascii="宋体" w:hAnsi="宋体" w:eastAsia="宋体" w:cs="宋体"/>
                <w:color w:val="000000"/>
                <w:kern w:val="0"/>
                <w:sz w:val="20"/>
                <w:szCs w:val="20"/>
              </w:rPr>
              <w:t>P</w:t>
            </w:r>
            <w:r>
              <w:rPr>
                <w:rFonts w:hint="eastAsia" w:ascii="宋体" w:hAnsi="宋体" w:eastAsia="宋体" w:cs="宋体"/>
                <w:color w:val="000000"/>
                <w:kern w:val="0"/>
                <w:sz w:val="20"/>
                <w:szCs w:val="20"/>
              </w:rPr>
              <w:t>等环境变量到资产上。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批量自动登录字符主机</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支持批量登录字符设备功能：能自动生成SecurCRT/Xshell工具的批量登录文件，实现在工具中批量自动登录多台设备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批量登录</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可一键批量登录不同协议的主机资产，并且可选择不同资产的登录方式，如所有资产均采用H</w:t>
            </w:r>
            <w:r>
              <w:rPr>
                <w:rFonts w:ascii="宋体" w:hAnsi="宋体" w:eastAsia="宋体" w:cs="宋体"/>
                <w:color w:val="000000"/>
                <w:kern w:val="0"/>
                <w:sz w:val="20"/>
                <w:szCs w:val="20"/>
              </w:rPr>
              <w:t>5</w:t>
            </w:r>
            <w:r>
              <w:rPr>
                <w:rFonts w:hint="eastAsia" w:ascii="宋体" w:hAnsi="宋体" w:eastAsia="宋体" w:cs="宋体"/>
                <w:color w:val="000000"/>
                <w:kern w:val="0"/>
                <w:sz w:val="20"/>
                <w:szCs w:val="20"/>
              </w:rPr>
              <w:t>运维，或A资产采用H</w:t>
            </w:r>
            <w:r>
              <w:rPr>
                <w:rFonts w:ascii="宋体" w:hAnsi="宋体" w:eastAsia="宋体" w:cs="宋体"/>
                <w:color w:val="000000"/>
                <w:kern w:val="0"/>
                <w:sz w:val="20"/>
                <w:szCs w:val="20"/>
              </w:rPr>
              <w:t>5</w:t>
            </w:r>
            <w:r>
              <w:rPr>
                <w:rFonts w:hint="eastAsia" w:ascii="宋体" w:hAnsi="宋体" w:eastAsia="宋体" w:cs="宋体"/>
                <w:color w:val="000000"/>
                <w:kern w:val="0"/>
                <w:sz w:val="20"/>
                <w:szCs w:val="20"/>
              </w:rPr>
              <w:t>运维，B资产采用调用本地工具运维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审计日志要求</w:t>
            </w: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运维审计日志</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运维操作会话的在线监控、实时阻断；支持录像回放、支持记录起止时间、来源用户、来源IP、目标设备、协议/应用类型、命令记录、操作内容（如对文件的上传、下载、删除、修改等操作等）的详细行为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禁审功能</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支持提供禁止审计功能</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可对部分设定策略的会话不审计录像</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防止机密信息二次泄漏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SQL记录</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支持审计主流数据库（如DB2、oracle、mysql、sql server</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PG、人大金仓</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达梦）运维中的SQL语句，可进行关键信息定位查询，并可过滤数据库客户端自动发起的语句，方便查询真实人为的数据库操作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安全策略要求</w:t>
            </w: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运维规则策略</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支持通过基于时间、IP/IP段、用户/用户组、主机组、主机账号、命令控制策略等组合访问控制策略，授权用户可访问的目标设备。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系统管理要求</w:t>
            </w: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系统自审</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支持自身审计，包括但不限于：系统状态检测、登录日志、用户日志、资产日志、策略操作日志、审计日志、配置日志、维护日志、运维日志等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存储管理</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支持NAS存储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1134"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安全接入</w:t>
            </w:r>
          </w:p>
        </w:tc>
        <w:tc>
          <w:tcPr>
            <w:tcW w:w="5303"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支持内置VPN模块</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无需与其他VPN设备联动，实现运维入口安全接入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售后服务</w:t>
            </w:r>
          </w:p>
        </w:tc>
        <w:tc>
          <w:tcPr>
            <w:tcW w:w="6437" w:type="dxa"/>
            <w:gridSpan w:val="2"/>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提供7*24小时原厂商4</w:t>
            </w:r>
            <w:r>
              <w:rPr>
                <w:rFonts w:ascii="宋体" w:hAnsi="宋体" w:eastAsia="宋体" w:cs="宋体"/>
                <w:color w:val="000000"/>
                <w:kern w:val="0"/>
                <w:sz w:val="20"/>
                <w:szCs w:val="20"/>
              </w:rPr>
              <w:t>00</w:t>
            </w:r>
            <w:r>
              <w:rPr>
                <w:rFonts w:hint="eastAsia" w:ascii="宋体" w:hAnsi="宋体" w:eastAsia="宋体" w:cs="宋体"/>
                <w:color w:val="000000"/>
                <w:kern w:val="0"/>
                <w:sz w:val="20"/>
                <w:szCs w:val="20"/>
              </w:rPr>
              <w:t>支持热线；</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提供不少于三年质保服务，包含但不限于硬件保修、系统升级等服务内容；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本地需要至少5个（含）CISP-BDSA资质证书设备厂商人员提供支持。（须提供近三个月投标所在地社保证明）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厂家资质</w:t>
            </w:r>
          </w:p>
        </w:tc>
        <w:tc>
          <w:tcPr>
            <w:tcW w:w="6437" w:type="dxa"/>
            <w:gridSpan w:val="2"/>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国家信息安全测评信息安全服务资质证书（安全工程类三级），提供证书复印件；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6437" w:type="dxa"/>
            <w:gridSpan w:val="2"/>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知识产权管理体系认证证书，提供证书复印件。</w:t>
            </w:r>
          </w:p>
        </w:tc>
      </w:tr>
    </w:tbl>
    <w:p>
      <w:pPr>
        <w:widowControl/>
        <w:jc w:val="left"/>
        <w:rPr>
          <w:rFonts w:ascii="宋体" w:hAnsi="宋体" w:eastAsia="宋体" w:cs="宋体"/>
          <w:color w:val="000000"/>
          <w:kern w:val="0"/>
          <w:sz w:val="20"/>
          <w:szCs w:val="20"/>
        </w:rPr>
      </w:pPr>
    </w:p>
    <w:p>
      <w:pPr>
        <w:pStyle w:val="8"/>
      </w:pPr>
      <w:bookmarkStart w:id="33" w:name="_Toc104393687"/>
      <w:r>
        <w:t>6</w:t>
      </w:r>
      <w:r>
        <w:rPr>
          <w:rFonts w:hint="eastAsia"/>
        </w:rPr>
        <w:t>、I</w:t>
      </w:r>
      <w:r>
        <w:t>PSec VPN</w:t>
      </w:r>
      <w:bookmarkEnd w:id="33"/>
      <w:r>
        <w:rPr>
          <w:rFonts w:hint="eastAsia"/>
        </w:rPr>
        <w:t>（</w:t>
      </w:r>
      <w:r>
        <w:t>2</w:t>
      </w:r>
      <w:r>
        <w:rPr>
          <w:rFonts w:hint="eastAsia"/>
        </w:rPr>
        <w:t>台）</w:t>
      </w:r>
    </w:p>
    <w:tbl>
      <w:tblPr>
        <w:tblStyle w:val="59"/>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12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功能及技术指标</w:t>
            </w:r>
          </w:p>
        </w:tc>
        <w:tc>
          <w:tcPr>
            <w:tcW w:w="6437"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★产品资质要求</w:t>
            </w:r>
          </w:p>
        </w:tc>
        <w:tc>
          <w:tcPr>
            <w:tcW w:w="6437"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具有商用密码产品认证证书</w:t>
            </w:r>
            <w:r>
              <w:rPr>
                <w:rFonts w:hint="eastAsia" w:ascii="宋体" w:hAnsi="宋体" w:cs="宋体"/>
                <w:color w:val="000000"/>
                <w:kern w:val="0"/>
                <w:sz w:val="20"/>
                <w:szCs w:val="20"/>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规格要求</w:t>
            </w:r>
          </w:p>
        </w:tc>
        <w:tc>
          <w:tcPr>
            <w:tcW w:w="643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标准1U设备，</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10个千兆电口，4个千兆光口，</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支持双机热备，</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性能要求</w:t>
            </w:r>
          </w:p>
        </w:tc>
        <w:tc>
          <w:tcPr>
            <w:tcW w:w="643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支持国密2/3/4算法，</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加密速率1.8Gbps，</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隧道数20000条/规则数20000条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功能要求</w:t>
            </w:r>
          </w:p>
        </w:tc>
        <w:tc>
          <w:tcPr>
            <w:tcW w:w="643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支持IPV4；</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支持路由模式、透明模式；</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采用国家密码管理局鉴定的硬件随机数发生器；</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内置ca，内置ca支持SM2，同时支持生成SM2证书请求；</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确保受到浙江省委网信办设备集中管理中心的集中管控；</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确保与中央网信办实现互联互通，密文传输；</w:t>
            </w:r>
          </w:p>
        </w:tc>
      </w:tr>
    </w:tbl>
    <w:p/>
    <w:p>
      <w:pPr>
        <w:pStyle w:val="8"/>
      </w:pPr>
      <w:bookmarkStart w:id="34" w:name="_Toc104393688"/>
      <w:r>
        <w:rPr>
          <w:rFonts w:hint="eastAsia"/>
        </w:rPr>
        <w:t>7、网络准入管理系统</w:t>
      </w:r>
      <w:bookmarkEnd w:id="34"/>
      <w:r>
        <w:rPr>
          <w:rFonts w:hint="eastAsia"/>
        </w:rPr>
        <w:t>（</w:t>
      </w:r>
      <w:r>
        <w:t>1</w:t>
      </w:r>
      <w:r>
        <w:rPr>
          <w:rFonts w:hint="eastAsia"/>
        </w:rPr>
        <w:t>台）</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88"/>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193" w:type="pct"/>
            <w:tcBorders>
              <w:tl2br w:val="nil"/>
              <w:tr2bl w:val="nil"/>
            </w:tcBorders>
            <w:noWrap/>
            <w:tcMar>
              <w:top w:w="10" w:type="dxa"/>
              <w:left w:w="10" w:type="dxa"/>
              <w:right w:w="10" w:type="dxa"/>
            </w:tcMar>
          </w:tcPr>
          <w:p>
            <w:pPr>
              <w:jc w:val="center"/>
              <w:rPr>
                <w:rFonts w:ascii="宋体" w:hAnsi="宋体" w:cs="微软雅黑"/>
                <w:b/>
                <w:szCs w:val="21"/>
              </w:rPr>
            </w:pPr>
            <w:r>
              <w:rPr>
                <w:rFonts w:hint="eastAsia" w:ascii="宋体" w:hAnsi="宋体" w:eastAsia="宋体" w:cs="宋体"/>
                <w:b/>
                <w:color w:val="000000"/>
                <w:kern w:val="0"/>
                <w:sz w:val="20"/>
                <w:szCs w:val="20"/>
              </w:rPr>
              <w:t>功能及技术指标</w:t>
            </w:r>
          </w:p>
        </w:tc>
        <w:tc>
          <w:tcPr>
            <w:tcW w:w="3807" w:type="pct"/>
            <w:tcBorders>
              <w:tl2br w:val="nil"/>
              <w:tr2bl w:val="nil"/>
            </w:tcBorders>
            <w:tcMar>
              <w:top w:w="10" w:type="dxa"/>
              <w:left w:w="10" w:type="dxa"/>
              <w:right w:w="10" w:type="dxa"/>
            </w:tcMar>
          </w:tcPr>
          <w:p>
            <w:pPr>
              <w:jc w:val="center"/>
              <w:rPr>
                <w:rFonts w:ascii="宋体" w:hAnsi="宋体" w:cs="微软雅黑"/>
                <w:b/>
                <w:szCs w:val="21"/>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restart"/>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总体要求</w:t>
            </w:r>
          </w:p>
        </w:tc>
        <w:tc>
          <w:tcPr>
            <w:tcW w:w="3807" w:type="pct"/>
            <w:tcBorders>
              <w:tl2br w:val="nil"/>
              <w:tr2bl w:val="nil"/>
            </w:tcBorders>
            <w:tcMar>
              <w:top w:w="11" w:type="dxa"/>
              <w:left w:w="57" w:type="dxa"/>
              <w:right w:w="57" w:type="dxa"/>
            </w:tcMar>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国产品牌，产品必须为自主研发（非OEM），操作系统平台不能基于标准发行版本（Windows/Linux）。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须提供《涉密信息系统产品检测证书》、《计算机信息系统安全专用产品销售许可证》、《计算机软件著作权登记证书》、《质量管理体系认证证书》，并提供证书复印件。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所投产品须具有中国国家信息安全产品认证证书，并提供证书复印件。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tcBorders>
              <w:tl2br w:val="nil"/>
              <w:tr2bl w:val="nil"/>
            </w:tcBorders>
            <w:tcMar>
              <w:top w:w="10" w:type="dxa"/>
              <w:left w:w="10" w:type="dxa"/>
              <w:right w:w="10"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规格要求</w:t>
            </w:r>
          </w:p>
        </w:tc>
        <w:tc>
          <w:tcPr>
            <w:tcW w:w="3807" w:type="pct"/>
            <w:tcBorders>
              <w:tl2br w:val="nil"/>
              <w:tr2bl w:val="nil"/>
            </w:tcBorders>
            <w:tcMar>
              <w:top w:w="11" w:type="dxa"/>
              <w:left w:w="57" w:type="dxa"/>
              <w:right w:w="57" w:type="dxa"/>
            </w:tcMar>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标准1U机架式设备CPU不低于双核1.8GHz、内存不低于2G、</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硬盘不低于500G、</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至少2个千兆电口；</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授权许可数≥</w:t>
            </w:r>
            <w:r>
              <w:rPr>
                <w:rFonts w:ascii="宋体" w:hAnsi="宋体" w:eastAsia="宋体" w:cs="宋体"/>
                <w:color w:val="000000"/>
                <w:kern w:val="0"/>
                <w:sz w:val="20"/>
                <w:szCs w:val="20"/>
              </w:rPr>
              <w:t>500</w:t>
            </w:r>
            <w:r>
              <w:rPr>
                <w:rFonts w:hint="eastAsia" w:ascii="宋体" w:hAnsi="宋体" w:eastAsia="宋体" w:cs="宋体"/>
                <w:color w:val="000000"/>
                <w:kern w:val="0"/>
                <w:sz w:val="20"/>
                <w:szCs w:val="20"/>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restart"/>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部署要求</w:t>
            </w:r>
          </w:p>
        </w:tc>
        <w:tc>
          <w:tcPr>
            <w:tcW w:w="3807" w:type="pct"/>
            <w:tcBorders>
              <w:tl2br w:val="nil"/>
              <w:tr2bl w:val="nil"/>
            </w:tcBorders>
            <w:tcMar>
              <w:top w:w="11" w:type="dxa"/>
              <w:left w:w="57" w:type="dxa"/>
              <w:right w:w="57" w:type="dxa"/>
            </w:tcMar>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支持纯旁路部署，不能以任意串联方式（包括策略路由等逻辑串联）部署。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支持分级部署，可以通过部署探针的方式纵向扩展链路层准入技术，集中在上级管理，配置自动下发到探针，无需登录探针维护。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支持分布式部署，可以通过横向和纵向部署多台服务器来扩展管理范围和增加管理能力，纵向支持无限分级，支持集中大屏查看部署图，支持全局根据IP/MAC/责任人等定位终端设备。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支持高可用性双机部署，主机故障后备机无降级容灾接管，防止准入系统故障终端不能正常入网，主备切换时间不能大于10秒。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支持为关键服务提供容灾工具，DHCP容灾工具可在服务器宕机后自动接管IP地址分配工作，容灾工具分配IP时仍要保持IP/MAC绑定关系。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restart"/>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准入技术</w:t>
            </w:r>
          </w:p>
        </w:tc>
        <w:tc>
          <w:tcPr>
            <w:tcW w:w="3807" w:type="pct"/>
            <w:tcBorders>
              <w:tl2br w:val="nil"/>
              <w:tr2bl w:val="nil"/>
            </w:tcBorders>
            <w:tcMar>
              <w:top w:w="11" w:type="dxa"/>
              <w:left w:w="57" w:type="dxa"/>
              <w:right w:w="57" w:type="dxa"/>
            </w:tcMar>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支持多种准入控制技术（包括802.1X、MAC认证、DHCP、ARP、SNMP、数据镜像等），一套系统需支持多种准入技术并行启用。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支持自定义不同安全级别的接入事件选用不同的阻断技术进行隔离，例如未授权接入设备，应达到边界级阻断，授权未符合安全要求的，基于应用级阻断控制，可灵活定义。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支持基于终端的部门/终端类型/操作系统/标签和接入VLAN配置不同的准入策略，管理员可查看符合每条准入策略的终端。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支持对非法和违规终端的多层阻断，可同时支持应用级、交换机端口级、网络边界级（同HUB之间互访阻断）的阻断效果。（须提供相关截图证明及准入技术原理说明）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支持在达到边界级阻断效果情况下，对终端的Web Portal引导入网功能，即终端通过浏览器访问同HUB其它终端也能弹出引导页面。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restart"/>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终端发现</w:t>
            </w:r>
          </w:p>
        </w:tc>
        <w:tc>
          <w:tcPr>
            <w:tcW w:w="3807" w:type="pct"/>
            <w:tcBorders>
              <w:tl2br w:val="nil"/>
              <w:tr2bl w:val="nil"/>
            </w:tcBorders>
            <w:tcMar>
              <w:top w:w="11" w:type="dxa"/>
              <w:left w:w="57" w:type="dxa"/>
              <w:right w:w="57" w:type="dxa"/>
            </w:tcMar>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支持管理员自定义终端类型和终端类型组，可自定义终端类型显示的图标。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支持自动发现在网终端的MAC地址、IP地址、网卡厂商、TCP服务端口、接入VLAN、接入交换机端口等信息。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支持自动识别终端类型，如办公机、交换机、路由器、打印机等，生成终端类型统计报表。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支持管理员自定义类型识别库规则，可基于网卡厂商、主机名、IP地址、TCP服务、操作系统等多维度组合定义识别规则，支持查看每条规则识别的终端信息。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支持当终端信息发生变化、类型识别库规则发生变化后，自动秒级重新识别终端类型。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restart"/>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终端注册</w:t>
            </w:r>
          </w:p>
        </w:tc>
        <w:tc>
          <w:tcPr>
            <w:tcW w:w="3807" w:type="pct"/>
            <w:tcBorders>
              <w:tl2br w:val="nil"/>
              <w:tr2bl w:val="nil"/>
            </w:tcBorders>
            <w:tcMar>
              <w:top w:w="11" w:type="dxa"/>
              <w:left w:w="57" w:type="dxa"/>
              <w:right w:w="57" w:type="dxa"/>
            </w:tcMar>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支持新终端入网注册策略，此策略可基于子网配置是否开启。支持采用浏览器Portal页面方式进行终端注册。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支持管理员自定义注册内容，包括注册项、前后顺序、标题、提示语句、是否必填等，对于关键注册项，如用户名、部门等支持选择模式和输入模式切换，以上配置需支持基于子网区分配置。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支持注册码管理，可自定义注册码有效期、使用次数、限制注册的终端和IP等，并可定义注册码关联的注册部门，采用注册码注册可自动划分部门。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注册申请支持人工审核、无验证自动审核、账号密码认证自动审核、手机验证码自动审核、审核码自动审核等多种审核方式，管理员可基于子网定义不同审核方式。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支持注册申请的多级审核功能，管理员可自定义审核流程，中间审核人员可同意和拒绝申请。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支持基于注册账号自动划分终端隶属部门，支持自动绑定终端和注册人。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支持限制每个用户注册的终端数目，并可基于标签区分不同用户可注册终端的数目。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支持开启用户注销功能，可定义是否允许用户自行注销终端注册信息。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支持自定义重装操作系统、重装客户端是否重新进行终端注册。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支持基于部门配置不同注册有效期，当注册过期后需重新注册。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支持离线重新注册功能，可基于部门、设备类型定义不同离线重新注册的时间策略。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restart"/>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用户认证</w:t>
            </w:r>
          </w:p>
        </w:tc>
        <w:tc>
          <w:tcPr>
            <w:tcW w:w="3807" w:type="pct"/>
            <w:tcBorders>
              <w:tl2br w:val="nil"/>
              <w:tr2bl w:val="nil"/>
            </w:tcBorders>
            <w:tcMar>
              <w:top w:w="11" w:type="dxa"/>
              <w:left w:w="57" w:type="dxa"/>
              <w:right w:w="57" w:type="dxa"/>
            </w:tcMar>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支持用户账号认证入网策略，并可配置终端与用户账号的双向绑定关系，禁止不符合绑定关系终端入网。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支持与外部用户认证平台如AD/LDAP联动进行认证，须采用LDAPS认证方式，可手动/自动同步AD上的部门架构和用户账号到本地。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支持访客管理，访客入网支持验证码和二维码扫描方式，支持全局二维码和员工授权二维码的方式入网，并可追溯访客与被访问员工记录。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支持对外提供标准的RADIUS认证接口，可为其它业务系统提供统一认证平台功能。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restart"/>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网络策略</w:t>
            </w:r>
          </w:p>
        </w:tc>
        <w:tc>
          <w:tcPr>
            <w:tcW w:w="3807" w:type="pct"/>
            <w:tcBorders>
              <w:tl2br w:val="nil"/>
              <w:tr2bl w:val="nil"/>
            </w:tcBorders>
            <w:tcMar>
              <w:top w:w="11" w:type="dxa"/>
              <w:left w:w="57" w:type="dxa"/>
              <w:right w:w="57" w:type="dxa"/>
            </w:tcMar>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支持动态VLAN下发，并支持与系统内置的DHCP服务相结合，构建终端漫游，实现动态VLAN下发、动态IP地址下发静态化管理、漫游接入管控等效果。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支持多网卡终端管理，管理员可人工合并/拆分多网卡终端，系统也可自动合并多网卡终端。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支持定义IP/MAC绑定策略，支持在不同VLAN绑定不同IP地址，并可限定终端能够接入的VLAN，支持基于终端分组限制终端入网是否必须绑定IP/MAC地址。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支持IP冲突发现功能，能够定位冲突IP的MAC地址，能够对绑定的IP/MAC进行保护，对违规使用绑定IP的终端进行阻断。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支持定义MAC/PORT绑定策略，支持限定终端可接入的交换机和交换机端口，也可限定交换机端口只允许绑定终端接入。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在不安装客户端或插件的情况下，进行MAC地址仿冒（MAC克隆）检查，支持IP地址、MAC地址、TCP监听端口、交换机接入端口同时仿冒情况下违规行为的发现和阻断。（须提供相关截图证明及仿冒鉴别技术原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在不安装客户端或插件的情况下，利用TCP监听端口检测应用软件合规性功能，可灵活的基于部门、操作系统、标签、设备类型定义不同的TCP合规策略，对不合规的终端进行阻断并能够通过Portal页面引导软件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支持入网时间策略，管理员可基于不同终端分组定义不同的入网时间限制，至少可基于星期和小时两个维度定义策略。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支持入网后授权访问策略控制，可基于部门、设备类型、操作系统、标签等多维度组合定义设备入网后权限，并可记录越权访问日志。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支持在准入服务器和探针上虚拟蜜罐服务进行可疑行为监测，记录异常访问日志，管理员可自定义整体访问频率、单个服务访问频率、服务数访问频率等阈值进行告警和阻断。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restart"/>
            <w:tcBorders>
              <w:tl2br w:val="nil"/>
              <w:tr2bl w:val="nil"/>
            </w:tcBorders>
            <w:tcMar>
              <w:top w:w="10" w:type="dxa"/>
              <w:left w:w="10" w:type="dxa"/>
              <w:right w:w="10"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主机策略</w:t>
            </w:r>
          </w:p>
        </w:tc>
        <w:tc>
          <w:tcPr>
            <w:tcW w:w="3807" w:type="pct"/>
            <w:tcBorders>
              <w:tl2br w:val="nil"/>
              <w:tr2bl w:val="nil"/>
            </w:tcBorders>
            <w:tcMar>
              <w:top w:w="11" w:type="dxa"/>
              <w:left w:w="57" w:type="dxa"/>
              <w:right w:w="57" w:type="dxa"/>
            </w:tcMar>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客户端应兼容WindowsXP、Windows7、Windows8、Windows10等32/64位操作系统，且支持基于Linux的国产化操作系统。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客户端界面支持管理员自定义功能，包括托盘是否隐藏、客户端界面菜单、界面Logo、显示内容等。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支持管理员基于终端分组自定义允许卸载的策略，支持在线审批卸载请求，离线请求码/卸载码卸载、离线超级卸载码等不同方式卸载，管理员可自定义超级卸载码。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支持管理员自定义安全域功能，客户端和服务器双向认证，管理员可自定义那些安全域内的客户端可接入本服务器，也可限制安装了本服务器客户端的机器接入其它服务器安全域列表。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支持客户端版本分区分域管理，不同区域采用不同客户端版本，管理员可自定义版本和区域的对应关系，可强制某区域内客户端升级到制定版本。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支持对主机进行CPU/内存/硬盘变动检查、网卡类型检查、操作系统版本检查、软件/进程/服务/文件/注册表/监听端口检查、杀毒软件、系统安全策略检查。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支持对U盘管理，能够对私接U盘告警及断网处置，或能够禁止U盘使用。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支持检查终端是否登录域，检查登录域名合法性，可检测登录同样域名的仿冒域功能，支持禁止启用本地系统用户功能。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支持入网合规性检测，并支持入网后对主机合规性进行在线实时检查，管理员能够自定义在线检查的周期。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支持对检查项进行自动修复功能，管理员可将修复软件上传到服务器，客户端自动修复入网。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支持离线断网功能，当终端离开网络的时候自动屏蔽网络通信，防止其接入互联网等，并支持离线断网的IP地址白名单。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支持管理员自定义是否禁止重新安装客户端，是否禁止重装操作系统的策略。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支持自动搜集终端硬件和软件资产，并生成统计报表，可记录每台终端软硬件资产变动日志。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restart"/>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网络边界</w:t>
            </w:r>
          </w:p>
        </w:tc>
        <w:tc>
          <w:tcPr>
            <w:tcW w:w="3807" w:type="pct"/>
            <w:tcBorders>
              <w:tl2br w:val="nil"/>
              <w:tr2bl w:val="nil"/>
            </w:tcBorders>
            <w:tcMar>
              <w:top w:w="11" w:type="dxa"/>
              <w:left w:w="57" w:type="dxa"/>
              <w:right w:w="57" w:type="dxa"/>
            </w:tcMar>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能够发现内网私接的HUB、不可网管交换机等，能够及时产生告警并阻断接入设备入网。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支持自动发现网中网行为，如小路由、随身WiFi、免费WIFI、代理上网等行为。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支持自动发现违规外联行为，定位设备的IP/MAC/责任人/部门等，在内网和互联网都支持对违规行为的取证。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支持对两个物理上（或者逻辑上）隔离的两个网络互联（误联）行为进行智能发现并告警，支持自动定位互联位置并自动断开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支持关闭长时间未接入终端的交换机端口，管理员可自定义时间限制，并支持定义交换机口只允许绑定的终端才能接入。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restart"/>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终端维护</w:t>
            </w:r>
          </w:p>
        </w:tc>
        <w:tc>
          <w:tcPr>
            <w:tcW w:w="3807" w:type="pct"/>
            <w:tcBorders>
              <w:tl2br w:val="nil"/>
              <w:tr2bl w:val="nil"/>
            </w:tcBorders>
            <w:tcMar>
              <w:top w:w="11" w:type="dxa"/>
              <w:left w:w="57" w:type="dxa"/>
              <w:right w:w="57" w:type="dxa"/>
            </w:tcMar>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支持终端的增删改查功能，支持终端属性的自定义无限添加，并可定义属性是否下拉框选择模式。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支持管理员自定义功能，可自定义显示内容、前后顺序、分页格式，支持排序、模糊/精确搜索功能，支持跨页批处理功能，下拉框项目过多支持输入动态过滤功能。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支持自动清理长时间不在线终端功能，管理员可基于部门、终端类型、注册状态等定义不同的离线时长。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支持自动绑定功能，可自动绑定IP/MAC、MAC/PORT、责任人/使用人、自动划分隶属部门等。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支持终端资产状态管理功能，管理员自定义终端不在线时长，系统基于条件自动切换终端资产状态，管理员可自定义资产状态的入网策略。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支持用户登录自服务系统维护责任终端，管理员可定义自服务页面的内容和格式，可限定能够修改的终端属性。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restart"/>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网络设备管理</w:t>
            </w:r>
          </w:p>
        </w:tc>
        <w:tc>
          <w:tcPr>
            <w:tcW w:w="3807" w:type="pct"/>
            <w:tcBorders>
              <w:tl2br w:val="nil"/>
              <w:tr2bl w:val="nil"/>
            </w:tcBorders>
            <w:tcMar>
              <w:top w:w="11" w:type="dxa"/>
              <w:left w:w="57" w:type="dxa"/>
              <w:right w:w="57" w:type="dxa"/>
            </w:tcMar>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支持自动生成网络拓扑，支持区分编辑模式和查看模式，可手动修改连接关系。支持分组框选拖动，以及上下左右/水平/垂直对齐功能，支持保存和恢复拓扑图快照功能。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支持在拓扑图上显示非法终端告警，支持在拓扑图上搜索、定位终端功能。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支持自动生成交换机面板图，可基于端口开关状态/连接状态/接入终端数目/告警终端等区分展示，可直接在面板图上对端口进行开关操作。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支持将IP/MAC绑定和MAC/PORT绑定策略同步到交换机配置上。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支持批量修改交换机密码功能，支持批量下发自定义命令到交换机。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支持自动备份交换机配置，图形化高亮提示配置变动，管理员可选中某一个备份配置进行自动恢复到交换机。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restart"/>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IP地址管理</w:t>
            </w:r>
          </w:p>
        </w:tc>
        <w:tc>
          <w:tcPr>
            <w:tcW w:w="3807" w:type="pct"/>
            <w:tcBorders>
              <w:tl2br w:val="nil"/>
              <w:tr2bl w:val="nil"/>
            </w:tcBorders>
            <w:tcMar>
              <w:top w:w="11" w:type="dxa"/>
              <w:left w:w="57" w:type="dxa"/>
              <w:right w:w="57" w:type="dxa"/>
            </w:tcMar>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支持DHCP集中管理IP地址，支持IP地址的固定下发、在线监控、定期回收、历史审计等全生命周期的IP地址管理。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支持Trunk管理多VLAN的IP分配功能，无需配置交换机DHCP RELAY即可实现为所有VLAN分配固定IP地址。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支持自定义DHCP option功能，以兼容未来不同网络环境。能够基于部门、标签、终端类型、操作系统下发固定的IP地址段。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支持IP地址网格视图管理，能够通过图示直观的查看各网段中在线、离线、从未使用的状态，能够通过颜色区分保留IP地址、可用IP地址、绑定IP、告警IP等。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restart"/>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入网报告</w:t>
            </w:r>
          </w:p>
        </w:tc>
        <w:tc>
          <w:tcPr>
            <w:tcW w:w="3807" w:type="pct"/>
            <w:tcBorders>
              <w:tl2br w:val="nil"/>
              <w:tr2bl w:val="nil"/>
            </w:tcBorders>
            <w:tcMar>
              <w:top w:w="11" w:type="dxa"/>
              <w:left w:w="57" w:type="dxa"/>
              <w:right w:w="57" w:type="dxa"/>
            </w:tcMar>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支持记录终端每次上线/下线时间，记录总在线时长等，并提供在线率统计报告，为提高统计精确度，管理员可定义在线统计的有效时间段、是否排除周末、节假日等。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支持记录终端所有网络接入日志，包括上线、下线、IP变更、IP冲突、接入端口变更、主机检查结果、用户认证、新终端入网、违反入网策略、被阻断、解除阻断等。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支持管理员自定义每个入网事件的处理动作，如是否记录、是否告警、是否需要管理员人工确认、是否需要发送SYSLOG/邮件/短信等，并可基于终端部门、类型、操作系统、标签等条件设置。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告警事件支持自定义告警级别，并可基于不同级别自定义不同颜色、字体大小、粗体等。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入网报告支持模糊和精确搜索功能，在200万日志情况下精确搜索速度不能超过1秒。对于大量日志支持分表存储，可以对历史日志表进行查询、导出、统计等操作。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restart"/>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系统管理</w:t>
            </w:r>
          </w:p>
        </w:tc>
        <w:tc>
          <w:tcPr>
            <w:tcW w:w="3807" w:type="pct"/>
            <w:tcBorders>
              <w:tl2br w:val="nil"/>
              <w:tr2bl w:val="nil"/>
            </w:tcBorders>
            <w:tcMar>
              <w:top w:w="11" w:type="dxa"/>
              <w:left w:w="57" w:type="dxa"/>
              <w:right w:w="57" w:type="dxa"/>
            </w:tcMar>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支持管理员分权，至少可划分系统管理员、安全管理员和安全审计员三类，每一类管理员都可创建多个，可限定管理员管理的部门，其只能看到和管理制定部门的终端。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支持管理员角色管理，通过角色细粒度控制管理员的管理权限，包括定义终端、用户账号、策略等管理对象的读取和修改权限。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支持代办事件的页面提醒功能，包括新终端注册、客户端卸载、待处理的入网事件、待处理的终端告警等。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支持管理菜单的自定义功能，首页Dashboard支持显示内容和顺序的自定义，用户侧所有Portal页面中的文字、图片、按钮、背景等需支持自定义。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支持强制入网终端收看培训视频的功能，支持页面、代理客户端播放视频，可基于部门和时间来设置播放策略，不同部门不同时间来播放不同的培训视频。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支持备份恢复功能，支持自动备份配置到外部存储的功能，并支持管理员自定义自动备份周期。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支持审计报告记录管理员操作日志，可细粒度追溯管理员对系统的配置、对终端设备属性的修改等。并支持将审计报告通过SYSLOG形式发送给其它系统。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支持提供SNMP接口给其它系统获取自身运行状态，如CPU占用率/内存占用率/磁盘占用率等。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支持提供RESTful接口给其它系统获取终端设备信息以及统计信息，包括终端IP地址、MAC地址、责任人、在线状态、告警状态、隶属部门等信息。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1193" w:type="pct"/>
            <w:vMerge w:val="continue"/>
            <w:tcBorders>
              <w:tl2br w:val="nil"/>
              <w:tr2bl w:val="nil"/>
            </w:tcBorders>
            <w:noWrap/>
            <w:tcMar>
              <w:top w:w="10" w:type="dxa"/>
              <w:left w:w="10" w:type="dxa"/>
              <w:right w:w="10" w:type="dxa"/>
            </w:tcMar>
            <w:vAlign w:val="center"/>
          </w:tcPr>
          <w:p>
            <w:pPr>
              <w:widowControl/>
              <w:jc w:val="left"/>
              <w:rPr>
                <w:rFonts w:ascii="宋体" w:hAnsi="宋体" w:eastAsia="宋体" w:cs="宋体"/>
                <w:color w:val="000000"/>
                <w:kern w:val="0"/>
                <w:sz w:val="20"/>
                <w:szCs w:val="20"/>
              </w:rPr>
            </w:pPr>
          </w:p>
        </w:tc>
        <w:tc>
          <w:tcPr>
            <w:tcW w:w="3807" w:type="pct"/>
            <w:tcBorders>
              <w:tl2br w:val="nil"/>
              <w:tr2bl w:val="nil"/>
            </w:tcBorders>
            <w:tcMar>
              <w:top w:w="11" w:type="dxa"/>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支持提供数据库视图接口给其它系统获取终端设备信息，包括终端IP地址、MAC地址、责任人、在线状态、告警状态、隶属部门等信息。</w:t>
            </w:r>
          </w:p>
        </w:tc>
      </w:tr>
    </w:tbl>
    <w:p/>
    <w:p>
      <w:pPr>
        <w:pStyle w:val="8"/>
      </w:pPr>
      <w:bookmarkStart w:id="35" w:name="_Toc104393689"/>
      <w:r>
        <w:rPr>
          <w:rFonts w:hint="eastAsia"/>
        </w:rPr>
        <w:t>8、网络安全运营保障平台（零信任体系）</w:t>
      </w:r>
      <w:bookmarkEnd w:id="35"/>
      <w:r>
        <w:rPr>
          <w:rFonts w:hint="eastAsia"/>
        </w:rPr>
        <w:t>（信创版）（1套）</w:t>
      </w:r>
    </w:p>
    <w:tbl>
      <w:tblPr>
        <w:tblStyle w:val="5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80" w:type="dxa"/>
            <w:shd w:val="clear" w:color="auto" w:fill="auto"/>
          </w:tcPr>
          <w:p>
            <w:pPr>
              <w:textAlignment w:val="center"/>
              <w:rPr>
                <w:rFonts w:ascii="宋体" w:hAnsi="宋体" w:eastAsia="宋体"/>
                <w:color w:val="000000"/>
                <w:sz w:val="24"/>
              </w:rPr>
            </w:pPr>
            <w:r>
              <w:rPr>
                <w:rFonts w:hint="eastAsia" w:ascii="宋体" w:hAnsi="宋体" w:eastAsia="宋体" w:cs="宋体"/>
                <w:b/>
                <w:color w:val="000000"/>
                <w:kern w:val="0"/>
                <w:sz w:val="20"/>
                <w:szCs w:val="20"/>
              </w:rPr>
              <w:t>功能及技术指标</w:t>
            </w:r>
          </w:p>
        </w:tc>
        <w:tc>
          <w:tcPr>
            <w:tcW w:w="6237" w:type="dxa"/>
            <w:shd w:val="clear" w:color="auto" w:fill="auto"/>
          </w:tcPr>
          <w:p>
            <w:pPr>
              <w:textAlignment w:val="center"/>
              <w:rPr>
                <w:rFonts w:ascii="宋体" w:hAnsi="宋体" w:eastAsia="宋体"/>
                <w:color w:val="000000"/>
                <w:sz w:val="24"/>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980" w:type="dxa"/>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可信环境感知模块</w:t>
            </w:r>
          </w:p>
        </w:tc>
        <w:tc>
          <w:tcPr>
            <w:tcW w:w="6237" w:type="dxa"/>
            <w:shd w:val="clear" w:color="auto" w:fill="auto"/>
            <w:vAlign w:val="center"/>
          </w:tcPr>
          <w:p>
            <w:pPr>
              <w:widowControl/>
              <w:jc w:val="left"/>
              <w:rPr>
                <w:rFonts w:ascii="宋体" w:hAnsi="宋体" w:eastAsia="宋体" w:cs="宋体"/>
                <w:color w:val="000000"/>
                <w:sz w:val="20"/>
              </w:rPr>
            </w:pPr>
            <w:r>
              <w:rPr>
                <w:rFonts w:ascii="宋体" w:hAnsi="宋体" w:eastAsia="宋体" w:cs="宋体"/>
                <w:color w:val="000000"/>
                <w:sz w:val="20"/>
              </w:rPr>
              <w:t>基础安全感知</w:t>
            </w:r>
            <w:r>
              <w:rPr>
                <w:rFonts w:hint="eastAsia" w:ascii="宋体" w:hAnsi="宋体" w:eastAsia="宋体" w:cs="宋体"/>
                <w:color w:val="000000"/>
                <w:sz w:val="20"/>
              </w:rPr>
              <w:t>：</w:t>
            </w:r>
            <w:r>
              <w:rPr>
                <w:rFonts w:ascii="宋体" w:hAnsi="宋体" w:eastAsia="宋体" w:cs="宋体"/>
                <w:color w:val="000000"/>
                <w:sz w:val="20"/>
              </w:rPr>
              <w:t>感知发现终端是否存在病毒</w:t>
            </w:r>
            <w:r>
              <w:rPr>
                <w:rFonts w:hint="eastAsia" w:ascii="宋体" w:hAnsi="宋体" w:eastAsia="宋体" w:cs="宋体"/>
                <w:color w:val="000000"/>
                <w:sz w:val="20"/>
              </w:rPr>
              <w:t>、</w:t>
            </w:r>
            <w:r>
              <w:rPr>
                <w:rFonts w:ascii="宋体" w:hAnsi="宋体" w:eastAsia="宋体" w:cs="宋体"/>
                <w:color w:val="000000"/>
                <w:sz w:val="20"/>
              </w:rPr>
              <w:t>感知终端病毒库是否及时更新</w:t>
            </w:r>
            <w:r>
              <w:rPr>
                <w:rFonts w:hint="eastAsia" w:ascii="宋体" w:hAnsi="宋体" w:eastAsia="宋体" w:cs="宋体"/>
                <w:color w:val="000000"/>
                <w:sz w:val="20"/>
              </w:rPr>
              <w:t>；</w:t>
            </w:r>
          </w:p>
          <w:p>
            <w:pPr>
              <w:widowControl/>
              <w:jc w:val="left"/>
              <w:rPr>
                <w:rFonts w:ascii="宋体" w:hAnsi="宋体" w:eastAsia="宋体" w:cs="宋体"/>
                <w:color w:val="000000"/>
                <w:sz w:val="20"/>
              </w:rPr>
            </w:pPr>
            <w:r>
              <w:rPr>
                <w:rFonts w:hint="eastAsia" w:ascii="宋体" w:hAnsi="宋体" w:eastAsia="宋体" w:cs="宋体"/>
                <w:color w:val="000000"/>
                <w:sz w:val="20"/>
              </w:rPr>
              <w:t>系统安全感知：</w:t>
            </w:r>
            <w:r>
              <w:rPr>
                <w:rFonts w:ascii="宋体" w:hAnsi="宋体" w:eastAsia="宋体" w:cs="宋体"/>
                <w:color w:val="000000"/>
                <w:sz w:val="20"/>
              </w:rPr>
              <w:t>对终端登录失败的限制，终端账户密码维护，远程登录的安全性感知</w:t>
            </w:r>
          </w:p>
          <w:p>
            <w:pPr>
              <w:widowControl/>
              <w:jc w:val="left"/>
              <w:rPr>
                <w:rFonts w:ascii="宋体" w:hAnsi="宋体" w:eastAsia="宋体" w:cs="宋体"/>
                <w:color w:val="000000"/>
                <w:sz w:val="20"/>
              </w:rPr>
            </w:pPr>
            <w:r>
              <w:rPr>
                <w:rFonts w:hint="eastAsia" w:ascii="宋体" w:hAnsi="宋体" w:eastAsia="宋体" w:cs="宋体"/>
                <w:color w:val="000000"/>
                <w:sz w:val="20"/>
              </w:rPr>
              <w:t>应用合规感知：感知</w:t>
            </w:r>
            <w:r>
              <w:rPr>
                <w:rFonts w:ascii="宋体" w:hAnsi="宋体" w:eastAsia="宋体" w:cs="宋体"/>
                <w:color w:val="000000"/>
                <w:sz w:val="20"/>
              </w:rPr>
              <w:t>终端是否安装违规的软件，运行违规的进程、启动违规服务、开启高危端口</w:t>
            </w:r>
            <w:r>
              <w:rPr>
                <w:rFonts w:hint="eastAsia" w:ascii="宋体" w:hAnsi="宋体" w:eastAsia="宋体" w:cs="宋体"/>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980" w:type="dxa"/>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可信API代理模块</w:t>
            </w:r>
          </w:p>
        </w:tc>
        <w:tc>
          <w:tcPr>
            <w:tcW w:w="6237" w:type="dxa"/>
            <w:shd w:val="clear" w:color="auto" w:fill="auto"/>
            <w:vAlign w:val="center"/>
          </w:tcPr>
          <w:p>
            <w:pPr>
              <w:widowControl/>
              <w:jc w:val="left"/>
              <w:rPr>
                <w:rFonts w:ascii="宋体" w:hAnsi="宋体" w:eastAsia="宋体" w:cs="宋体"/>
                <w:color w:val="000000"/>
                <w:sz w:val="20"/>
              </w:rPr>
            </w:pPr>
            <w:r>
              <w:rPr>
                <w:rFonts w:ascii="宋体" w:hAnsi="宋体" w:eastAsia="宋体" w:cs="宋体"/>
                <w:color w:val="000000"/>
                <w:sz w:val="20"/>
              </w:rPr>
              <w:t>API发布管理</w:t>
            </w:r>
            <w:r>
              <w:rPr>
                <w:rFonts w:hint="eastAsia" w:ascii="宋体" w:hAnsi="宋体" w:eastAsia="宋体" w:cs="宋体"/>
                <w:color w:val="000000"/>
                <w:sz w:val="20"/>
              </w:rPr>
              <w:t>：</w:t>
            </w:r>
            <w:r>
              <w:rPr>
                <w:rFonts w:ascii="宋体" w:hAnsi="宋体" w:eastAsia="宋体" w:cs="宋体"/>
                <w:color w:val="000000"/>
                <w:sz w:val="20"/>
              </w:rPr>
              <w:t>根据API业务的重要程度形成可信分并进行授权</w:t>
            </w:r>
            <w:r>
              <w:rPr>
                <w:rFonts w:hint="eastAsia" w:ascii="宋体" w:hAnsi="宋体" w:eastAsia="宋体" w:cs="宋体"/>
                <w:color w:val="000000"/>
                <w:sz w:val="20"/>
              </w:rPr>
              <w:t>；</w:t>
            </w:r>
          </w:p>
          <w:p>
            <w:pPr>
              <w:widowControl/>
              <w:jc w:val="left"/>
              <w:rPr>
                <w:rFonts w:ascii="宋体" w:hAnsi="宋体" w:eastAsia="宋体" w:cs="宋体"/>
                <w:color w:val="000000"/>
                <w:sz w:val="20"/>
              </w:rPr>
            </w:pPr>
            <w:r>
              <w:rPr>
                <w:rFonts w:ascii="宋体" w:hAnsi="宋体" w:eastAsia="宋体" w:cs="宋体"/>
                <w:color w:val="000000"/>
                <w:sz w:val="20"/>
              </w:rPr>
              <w:t>API服务安全防护</w:t>
            </w:r>
            <w:r>
              <w:rPr>
                <w:rFonts w:hint="eastAsia" w:ascii="宋体" w:hAnsi="宋体" w:eastAsia="宋体" w:cs="宋体"/>
                <w:color w:val="000000"/>
                <w:sz w:val="20"/>
              </w:rPr>
              <w:t>：</w:t>
            </w:r>
            <w:r>
              <w:rPr>
                <w:rFonts w:ascii="宋体" w:hAnsi="宋体" w:eastAsia="宋体" w:cs="宋体"/>
                <w:color w:val="000000"/>
                <w:sz w:val="20"/>
              </w:rPr>
              <w:t>使用黑白名单机制来控制API调用者的访问权限</w:t>
            </w:r>
            <w:r>
              <w:rPr>
                <w:rFonts w:hint="eastAsia" w:ascii="宋体" w:hAnsi="宋体" w:eastAsia="宋体" w:cs="宋体"/>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980" w:type="dxa"/>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可信访问控制台模块</w:t>
            </w:r>
          </w:p>
        </w:tc>
        <w:tc>
          <w:tcPr>
            <w:tcW w:w="6237" w:type="dxa"/>
            <w:shd w:val="clear" w:color="auto" w:fill="auto"/>
            <w:vAlign w:val="center"/>
          </w:tcPr>
          <w:p>
            <w:pPr>
              <w:widowControl/>
              <w:jc w:val="left"/>
              <w:rPr>
                <w:rFonts w:ascii="宋体" w:hAnsi="宋体" w:eastAsia="宋体" w:cs="宋体"/>
                <w:color w:val="000000"/>
                <w:sz w:val="20"/>
              </w:rPr>
            </w:pPr>
            <w:r>
              <w:rPr>
                <w:rFonts w:ascii="宋体" w:hAnsi="宋体" w:eastAsia="宋体" w:cs="宋体"/>
                <w:color w:val="000000"/>
                <w:sz w:val="20"/>
              </w:rPr>
              <w:t>动态认证及管理</w:t>
            </w:r>
            <w:r>
              <w:rPr>
                <w:rFonts w:hint="eastAsia" w:ascii="宋体" w:hAnsi="宋体" w:eastAsia="宋体" w:cs="宋体"/>
                <w:color w:val="000000"/>
                <w:sz w:val="20"/>
              </w:rPr>
              <w:t>：</w:t>
            </w:r>
            <w:r>
              <w:rPr>
                <w:rFonts w:ascii="宋体" w:hAnsi="宋体" w:eastAsia="宋体" w:cs="宋体"/>
                <w:color w:val="000000"/>
                <w:sz w:val="20"/>
              </w:rPr>
              <w:t>当终端设备信任分不能达到设定的要求时，不能进行登录访问</w:t>
            </w:r>
            <w:r>
              <w:rPr>
                <w:rFonts w:hint="eastAsia" w:ascii="宋体" w:hAnsi="宋体" w:eastAsia="宋体" w:cs="宋体"/>
                <w:color w:val="000000"/>
                <w:sz w:val="20"/>
              </w:rPr>
              <w:t>；</w:t>
            </w:r>
          </w:p>
          <w:p>
            <w:pPr>
              <w:widowControl/>
              <w:jc w:val="left"/>
              <w:rPr>
                <w:rFonts w:ascii="宋体" w:hAnsi="宋体" w:eastAsia="宋体" w:cs="宋体"/>
                <w:color w:val="000000"/>
                <w:sz w:val="20"/>
              </w:rPr>
            </w:pPr>
            <w:r>
              <w:rPr>
                <w:rFonts w:hint="eastAsia" w:ascii="宋体" w:hAnsi="宋体" w:eastAsia="宋体" w:cs="宋体"/>
                <w:color w:val="000000"/>
                <w:sz w:val="20"/>
              </w:rPr>
              <w:t>动态授权：</w:t>
            </w:r>
            <w:r>
              <w:rPr>
                <w:rFonts w:ascii="宋体" w:hAnsi="宋体" w:eastAsia="宋体" w:cs="宋体"/>
                <w:color w:val="000000"/>
                <w:sz w:val="20"/>
              </w:rPr>
              <w:t>基于一定时间内，根据同一用户登录设备次数进行动态授权，动作为可拒绝访问、可二次认证、可放行</w:t>
            </w:r>
            <w:r>
              <w:rPr>
                <w:rFonts w:hint="eastAsia" w:ascii="宋体" w:hAnsi="宋体" w:eastAsia="宋体" w:cs="宋体"/>
                <w:color w:val="000000"/>
                <w:sz w:val="20"/>
              </w:rPr>
              <w:t>；</w:t>
            </w:r>
          </w:p>
          <w:p>
            <w:pPr>
              <w:widowControl/>
              <w:jc w:val="left"/>
              <w:rPr>
                <w:rFonts w:ascii="宋体" w:hAnsi="宋体" w:eastAsia="宋体" w:cs="宋体"/>
                <w:color w:val="000000"/>
                <w:sz w:val="20"/>
              </w:rPr>
            </w:pPr>
            <w:r>
              <w:rPr>
                <w:rFonts w:ascii="宋体" w:hAnsi="宋体" w:eastAsia="宋体" w:cs="宋体"/>
                <w:color w:val="000000"/>
                <w:sz w:val="20"/>
              </w:rPr>
              <w:t>风险动态控制</w:t>
            </w:r>
            <w:r>
              <w:rPr>
                <w:rFonts w:hint="eastAsia" w:ascii="宋体" w:hAnsi="宋体" w:eastAsia="宋体" w:cs="宋体"/>
                <w:color w:val="000000"/>
                <w:sz w:val="20"/>
              </w:rPr>
              <w:t>：</w:t>
            </w:r>
            <w:r>
              <w:rPr>
                <w:rFonts w:ascii="宋体" w:hAnsi="宋体" w:eastAsia="宋体" w:cs="宋体"/>
                <w:color w:val="000000"/>
                <w:sz w:val="20"/>
              </w:rPr>
              <w:t>基于用户终端环境感知内容进行分析，形成终端配置风险策略实现动态控制阻断，并能对终端配置风险事件次数进行设置</w:t>
            </w:r>
            <w:r>
              <w:rPr>
                <w:rFonts w:hint="eastAsia" w:ascii="宋体" w:hAnsi="宋体" w:eastAsia="宋体" w:cs="宋体"/>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980" w:type="dxa"/>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可信应用代理模块</w:t>
            </w:r>
          </w:p>
        </w:tc>
        <w:tc>
          <w:tcPr>
            <w:tcW w:w="6237" w:type="dxa"/>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应用安全加固：</w:t>
            </w:r>
            <w:r>
              <w:rPr>
                <w:rFonts w:ascii="宋体" w:hAnsi="宋体" w:eastAsia="宋体" w:cs="宋体"/>
                <w:color w:val="000000"/>
                <w:sz w:val="20"/>
              </w:rPr>
              <w:t>对用户发起的应用请求的字段的合法性检测</w:t>
            </w:r>
            <w:r>
              <w:rPr>
                <w:rFonts w:hint="eastAsia" w:ascii="宋体" w:hAnsi="宋体" w:eastAsia="宋体" w:cs="宋体"/>
                <w:color w:val="000000"/>
                <w:sz w:val="20"/>
              </w:rPr>
              <w:t>；</w:t>
            </w:r>
          </w:p>
          <w:p>
            <w:pPr>
              <w:widowControl/>
              <w:jc w:val="left"/>
              <w:rPr>
                <w:rFonts w:ascii="宋体" w:hAnsi="宋体" w:eastAsia="宋体" w:cs="宋体"/>
                <w:color w:val="000000"/>
                <w:sz w:val="20"/>
              </w:rPr>
            </w:pPr>
            <w:r>
              <w:rPr>
                <w:rFonts w:hint="eastAsia" w:ascii="宋体" w:hAnsi="宋体" w:eastAsia="宋体" w:cs="宋体"/>
                <w:color w:val="000000"/>
                <w:sz w:val="20"/>
              </w:rPr>
              <w:t>应用级动态访问控制：</w:t>
            </w:r>
            <w:r>
              <w:rPr>
                <w:rFonts w:ascii="宋体" w:hAnsi="宋体" w:eastAsia="宋体" w:cs="宋体"/>
                <w:color w:val="000000"/>
                <w:sz w:val="20"/>
              </w:rPr>
              <w:t>在接收到主体可信环境安全状态变更通报时，根据可信访问控制台策略进行策略执行</w:t>
            </w:r>
            <w:r>
              <w:rPr>
                <w:rFonts w:hint="eastAsia" w:ascii="宋体" w:hAnsi="宋体" w:eastAsia="宋体" w:cs="宋体"/>
                <w:color w:val="000000"/>
                <w:sz w:val="20"/>
              </w:rPr>
              <w:t>；</w:t>
            </w:r>
            <w:r>
              <w:rPr>
                <w:rFonts w:ascii="宋体" w:hAnsi="宋体" w:eastAsia="宋体" w:cs="宋体"/>
                <w:color w:val="000000"/>
                <w:sz w:val="20"/>
              </w:rPr>
              <w:t>能够执行基于访问的IP提供应用系统的访问控制策略</w:t>
            </w:r>
            <w:r>
              <w:rPr>
                <w:rFonts w:hint="eastAsia" w:ascii="宋体" w:hAnsi="宋体" w:eastAsia="宋体" w:cs="宋体"/>
                <w:color w:val="000000"/>
                <w:sz w:val="20"/>
              </w:rPr>
              <w:t>；</w:t>
            </w:r>
            <w:r>
              <w:rPr>
                <w:rFonts w:ascii="宋体" w:hAnsi="宋体" w:eastAsia="宋体" w:cs="宋体"/>
                <w:color w:val="000000"/>
                <w:sz w:val="20"/>
              </w:rPr>
              <w:t>能够执行设备认证异常情况下二次认证访问控制策略</w:t>
            </w:r>
          </w:p>
        </w:tc>
      </w:tr>
    </w:tbl>
    <w:p/>
    <w:p>
      <w:pPr>
        <w:pStyle w:val="8"/>
      </w:pPr>
      <w:bookmarkStart w:id="36" w:name="_Toc104393690"/>
      <w:r>
        <w:rPr>
          <w:rFonts w:hint="eastAsia"/>
        </w:rPr>
        <w:t>9、数据安全分级与风险评估系统</w:t>
      </w:r>
      <w:bookmarkEnd w:id="36"/>
      <w:r>
        <w:rPr>
          <w:rFonts w:hint="eastAsia"/>
        </w:rPr>
        <w:t>（1套）</w:t>
      </w:r>
    </w:p>
    <w:tbl>
      <w:tblPr>
        <w:tblStyle w:val="6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shd w:val="clear" w:color="auto" w:fill="auto"/>
          </w:tcPr>
          <w:p>
            <w:pPr>
              <w:jc w:val="center"/>
              <w:rPr>
                <w:rFonts w:ascii="宋体" w:hAnsi="宋体" w:eastAsia="宋体" w:cs="Times New Roman"/>
                <w:b/>
                <w:bCs/>
                <w:kern w:val="0"/>
                <w:sz w:val="20"/>
                <w:szCs w:val="21"/>
              </w:rPr>
            </w:pPr>
            <w:r>
              <w:rPr>
                <w:rFonts w:hint="eastAsia" w:ascii="宋体" w:hAnsi="宋体" w:eastAsia="宋体" w:cs="宋体"/>
                <w:b/>
                <w:color w:val="000000"/>
                <w:kern w:val="0"/>
                <w:sz w:val="20"/>
                <w:szCs w:val="20"/>
              </w:rPr>
              <w:t>功能及技术指标</w:t>
            </w:r>
          </w:p>
        </w:tc>
        <w:tc>
          <w:tcPr>
            <w:tcW w:w="6395" w:type="dxa"/>
            <w:shd w:val="clear" w:color="auto" w:fill="auto"/>
          </w:tcPr>
          <w:p>
            <w:pPr>
              <w:jc w:val="center"/>
              <w:rPr>
                <w:rFonts w:ascii="宋体" w:hAnsi="宋体" w:eastAsia="宋体" w:cs="Times New Roman"/>
                <w:b/>
                <w:bCs/>
                <w:kern w:val="0"/>
                <w:sz w:val="20"/>
                <w:szCs w:val="21"/>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2" w:type="dxa"/>
            <w:vMerge w:val="restart"/>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产品资质要求</w:t>
            </w: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产品取得软件著作权登记证书，提供证书复印件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2" w:type="dxa"/>
            <w:vMerge w:val="continue"/>
            <w:noWrap/>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产品获得公安部计算机信息系统安全产品销售许可证，提供证书复印件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22" w:type="dxa"/>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规格要求</w:t>
            </w: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纯软件形态部署模式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2122" w:type="dxa"/>
            <w:vMerge w:val="restar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数据源资源管理</w:t>
            </w: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数据库类型包括但不限于MySQL、Oracle、PostgreSQL、Hive、SQLServer、IPMALA、MongoDB、ElasticSearch、ClickHouse、Greenplum、INFORMIX、SYBASE、DM7、ODPS、DB2、GBASE8A（南大通用）、KINGBASE8(人大金仓)、POLARDB、Teradata、VERTICA、CacheDB等数据库。</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支持通过FTP/SFTP/LOCAL文件协议对csv、txt等文件进行分类分级。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支持创建数据源时，将数据源绑定对应的部门、责任人。每个数据源都可以使用不同的行业模板，达到不同行业模板的多数据源并行执行分类分级任务。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支持手动添加数据源，编辑数据源名称、数据源类型、主机及端口、库名/实例名、版本号、账号、密码等信息，也可以批量导入数据库，进行数据资产管理。</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支持通过指定的IP段、端口段，定时扫描发现当前环境下的数据库资产。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支持数据源展示功能，至少包括但不限于数据源名称、数据源类型、主机及端口、创建用户、创建时间等数据源基本信息，也支持展示具体每个数据源的库、表、字段信息。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2" w:type="dxa"/>
            <w:vMerge w:val="restart"/>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分类分级管理</w:t>
            </w: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应支持分类分级任务管理，包括对任务的启动、终止，并展示任务的执行进度情况。支持任务的定时启动，自动发现敏感数据的动态变化。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内置不少于70种常见敏感字段识别规则，且支持自定义创建识别规则。自定义规则包括但不限于正则、字典等。具备结合算法识别能力以保障敏感数据识别精准度，至少包括但不限于正则+luhn、NER算法等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支持分类模板的管理，支持自定义模板导入。且内置不少于15种行业法规标准模板，包括但不限于网络安全法、金融、证券、电信、GDPR、CCPA、等保、电信-专项、网约车、工业互联网、公安、通用、疫情数据安全法和个人信息安全规范等，同时应支持对内置模板进行下载或克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支持通过对发现字段的敏感级别进行逻辑计算，通过多种策略实现对表的分类分级。</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表分类策略支持分类合集（使用去重后所有已识别数据字段的类别集合，作为表分类）和就多原则（使用数据字段所属最多的分类，作为表分类）两种维度定义表类别。（提供软件界面截图）</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表分级策略可以在就高原则(使用表中所有字段的最高数据级别，作为表级别)和加权平均(根据表中各数据级别出现的比例进行加权计算)两种模式切换。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应具备自动推荐引擎，当同一列中识别出多种字段信息时，需提供该列数据的规则命中列表，并给出精确的较高的推荐结果，便于用户根手工修改确认梳理，实现迅速、高效的手动确认。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支持通过对字段内容、字段名称和字段注释进行模糊匹配，并可通过调整权重配比，提高数据自动分类分级准确性。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支持对相似表、相似字段进行聚合并在页面中统一展示，以便于人工二次确认或修改分类分级结果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122" w:type="dxa"/>
            <w:vMerge w:val="restar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数据库安全评估</w:t>
            </w: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提供数据库脆弱性检查功能，脆弱性检查至少包括数据库漏洞检查、配置项检查、弱口令检查等手段实现安全评估，并提供图表分析结果和数据源安全排名，实现对数据库状况的安全监控和评估。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支持账号权限发现功能，至少包括但不限于数据库账号、数据源名称、拥有权限、禁止权限、状态和密码有效期等信息，同时支持检测账号动态变化和权限变更。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内置不少于2600种数据库漏洞库，提供风险检测的数据库漏洞检测，至少包括但不限于漏洞名称、CVE编号、漏洞等级、漏洞描述、解决建议、数据库类型、数据库版本、操作等信息。（须提供相关截图证明）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售后服务</w:t>
            </w: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提供7*24小时原厂商400支持热线；</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提供不少于三年质保服务，包含但不限于系统升级等服务内容；</w:t>
            </w:r>
            <w:r>
              <w:rPr>
                <w:rFonts w:ascii="宋体" w:hAnsi="宋体" w:eastAsia="宋体" w:cs="宋体"/>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厂家资质</w:t>
            </w:r>
          </w:p>
        </w:tc>
        <w:tc>
          <w:tcPr>
            <w:tcW w:w="6395" w:type="dxa"/>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国家信息安全测评信息安全服务资质证书（安全工程类三级），提供证书复印件；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highlight w:val="none"/>
              </w:rPr>
            </w:pPr>
          </w:p>
        </w:tc>
        <w:tc>
          <w:tcPr>
            <w:tcW w:w="6395" w:type="dxa"/>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知识产权管理体系认证证书，提供证书复印件；</w:t>
            </w:r>
          </w:p>
        </w:tc>
      </w:tr>
    </w:tbl>
    <w:p/>
    <w:p>
      <w:pPr>
        <w:pStyle w:val="8"/>
      </w:pPr>
      <w:bookmarkStart w:id="37" w:name="_Toc104393691"/>
      <w:r>
        <w:rPr>
          <w:rFonts w:hint="eastAsia"/>
        </w:rPr>
        <w:t>1</w:t>
      </w:r>
      <w:r>
        <w:t>0</w:t>
      </w:r>
      <w:r>
        <w:rPr>
          <w:rFonts w:hint="eastAsia"/>
        </w:rPr>
        <w:t>、数据脱敏系统</w:t>
      </w:r>
      <w:bookmarkEnd w:id="37"/>
      <w:r>
        <w:rPr>
          <w:rFonts w:hint="eastAsia"/>
        </w:rPr>
        <w:t>（1套）</w:t>
      </w:r>
    </w:p>
    <w:tbl>
      <w:tblPr>
        <w:tblStyle w:val="6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shd w:val="clear" w:color="auto" w:fill="auto"/>
          </w:tcPr>
          <w:p>
            <w:pPr>
              <w:jc w:val="center"/>
              <w:rPr>
                <w:rFonts w:ascii="Times New Roman" w:hAnsi="Times New Roman" w:eastAsia="宋体" w:cs="Times New Roman"/>
                <w:b/>
                <w:bCs/>
                <w:kern w:val="0"/>
                <w:sz w:val="20"/>
                <w:szCs w:val="20"/>
              </w:rPr>
            </w:pPr>
            <w:r>
              <w:rPr>
                <w:rFonts w:hint="eastAsia" w:ascii="宋体" w:hAnsi="宋体" w:eastAsia="宋体" w:cs="宋体"/>
                <w:b/>
                <w:color w:val="000000"/>
                <w:kern w:val="0"/>
                <w:sz w:val="20"/>
                <w:szCs w:val="20"/>
              </w:rPr>
              <w:t>功能及技术指标</w:t>
            </w:r>
          </w:p>
        </w:tc>
        <w:tc>
          <w:tcPr>
            <w:tcW w:w="6395" w:type="dxa"/>
            <w:shd w:val="clear" w:color="auto" w:fill="auto"/>
          </w:tcPr>
          <w:p>
            <w:pPr>
              <w:jc w:val="center"/>
              <w:rPr>
                <w:rFonts w:ascii="Times New Roman" w:hAnsi="Times New Roman" w:eastAsia="宋体" w:cs="Times New Roman"/>
                <w:b/>
                <w:bCs/>
                <w:kern w:val="0"/>
                <w:sz w:val="20"/>
                <w:szCs w:val="20"/>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产品资质要求</w:t>
            </w: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产品取得软件著作权登记证书，提供证书复印件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产品获得公安部计算机信息系统安全产品销售许可证，提供证书复印件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规格要求</w:t>
            </w: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纯软件形态部署模式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性能要求</w:t>
            </w: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单表单任务执行脱敏性能20MB/s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122" w:type="dxa"/>
            <w:vMerge w:val="restar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敏感数据发现</w:t>
            </w: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数据源管理功能，主流数据源类型包括但不限于MySQL、Oracle、Db2、MSSQL、PostgreSQL、Greenplum、SybaseASE、Informix、Hive、ODPS、MariaDB、Clickhouse、Elasticsearch、MongoDB、MariaDB、达梦、GBase8A、Kingbase，同时支持新增本地文件【xls、xlsx、csv、txt】、SFTP\FTP数据源的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应支持自动数据识别发现敏感项，包括敏感表和敏感列以及敏感项的动态变化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需提供数据目录，可以查看数据的分布情况，包含表级别分布和列级别分布；同时提供包括数据库梳理、敏感表数量、识别字段数、敏感列数和已经梳理占比情况等信息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数据分级分类任务任务的管理功能，包括但不限于务名称、数据源名称、主机、发现结果、状态、次数、周期、创建时间、最新发现时间、操作。提供查看任务详情，可以查看以图表形式展示当前数据源分类分级的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22" w:type="dxa"/>
            <w:vMerge w:val="restar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敏感数据脱敏</w:t>
            </w: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支持自定义脱敏算法模板库，用户可将若干脱算法略组合成为适用于该场景的脱敏算法模板库，脱敏模板库定后，可被重复利用。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应支持脱敏任务的配置功能，提供数据库到数据库、数据库到文件、文件到数据库、文件到文件流程的脱敏任务新增功能，支持数据处理配置和脱敏算法的配置。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应支持脱敏任务的展示功能，包括但不限于任务名称、脱敏流程、任务状态、执行次数、执行周期、新增时间、最近执行时间、执行耗时和操作等信息，同时支持任务的编辑、查询功能。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开启脱敏任务审批后，用户提交脱敏任务审批后，权限管理员可以进入该界面进行脱敏任务的审批，审批通过后方可执行脱敏任务。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应支持水印配置功能，水印配置界面可直观展现水印的使用状态，支持在水印中自动附加时间信息，提供方便便于维护管理水印。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22"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脱敏算法</w:t>
            </w: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静态脱敏支持不低于20类，240种及以上的脱敏算法（须提供相关截图证明）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22" w:type="dxa"/>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数据溯源</w:t>
            </w: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可通过数据上传和数据输入两种方式溯源，定位水印处理后数据的单位信息（即对应的水印名称）（须提供相关截图证明）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22" w:type="dxa"/>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API接口开放</w:t>
            </w:r>
          </w:p>
        </w:tc>
        <w:tc>
          <w:tcPr>
            <w:tcW w:w="6395" w:type="dxa"/>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支持任务创建、数据脱敏、数据水印等脱敏能力以API方式提供，方便与第三方应用或平台进行整合对接，提升产品适用场景。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22" w:type="dxa"/>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脱敏报表</w:t>
            </w: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支持指定时间段内的脱敏任务统计报表，包括并不限于脱敏任务名称、脱敏执行时间、数据库类型、任务概况、脱敏算法分布情况、脱敏数据量占比情况，同时可配置对比时间周期，从而获取脱敏的变化情况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22" w:type="dxa"/>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产品联动</w:t>
            </w: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支持与分类分级平台对接，用户可对统一类不同级别的数据灵活配置脱敏算法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22" w:type="dxa"/>
            <w:vMerge w:val="restar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系统管理</w:t>
            </w: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支持用户管理功能。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提供管理用户登录相关的安全配置。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支持配置外部日志的存储以及脱敏任务是否需要审批的开关。（须提供相关截图证明）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22" w:type="dxa"/>
            <w:vMerge w:val="continue"/>
            <w:vAlign w:val="center"/>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提供所有用户的相关操作日志的展示。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售后服务</w:t>
            </w: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提供7*24小时原厂商400支持热线；</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提供不少于三年质保服务，包含但不限于系统升级等服务内容；</w:t>
            </w:r>
            <w:r>
              <w:rPr>
                <w:rFonts w:ascii="宋体" w:hAnsi="宋体" w:eastAsia="宋体" w:cs="宋体"/>
                <w:color w:val="000000"/>
                <w:kern w:val="0"/>
                <w:sz w:val="20"/>
                <w:szCs w:val="20"/>
              </w:rPr>
              <w:t xml:space="preserve"> </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本地需要至少5个（含）CISP-BDSA资质证书设备厂商人员提供支持。（须提供近三个月投标所在地社保证明）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restart"/>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厂家资质</w:t>
            </w:r>
          </w:p>
        </w:tc>
        <w:tc>
          <w:tcPr>
            <w:tcW w:w="6395" w:type="dxa"/>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国家信息安全测评信息安全服务资质证书（安全工程类三级），提供证书复印件；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Merge w:val="continue"/>
          </w:tcPr>
          <w:p>
            <w:pPr>
              <w:widowControl/>
              <w:jc w:val="left"/>
              <w:rPr>
                <w:rFonts w:ascii="宋体" w:hAnsi="宋体" w:eastAsia="宋体" w:cs="宋体"/>
                <w:color w:val="000000"/>
                <w:kern w:val="0"/>
                <w:sz w:val="20"/>
                <w:szCs w:val="20"/>
              </w:rPr>
            </w:pPr>
          </w:p>
        </w:tc>
        <w:tc>
          <w:tcPr>
            <w:tcW w:w="6395" w:type="dxa"/>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知识产权管理体系认证证书，提供证书复印件；</w:t>
            </w:r>
          </w:p>
        </w:tc>
      </w:tr>
    </w:tbl>
    <w:p>
      <w:pPr>
        <w:ind w:firstLine="480"/>
      </w:pPr>
    </w:p>
    <w:p>
      <w:pPr>
        <w:pStyle w:val="7"/>
      </w:pPr>
      <w:bookmarkStart w:id="38" w:name="_Toc104393692"/>
      <w:r>
        <w:rPr>
          <w:rFonts w:hint="eastAsia"/>
        </w:rPr>
        <w:t>2）互联网区</w:t>
      </w:r>
      <w:bookmarkEnd w:id="38"/>
    </w:p>
    <w:p>
      <w:pPr>
        <w:pStyle w:val="8"/>
      </w:pPr>
      <w:bookmarkStart w:id="39" w:name="_Toc104393693"/>
      <w:r>
        <w:rPr>
          <w:rFonts w:hint="eastAsia"/>
        </w:rPr>
        <w:t>1、终端安全与管理系统</w:t>
      </w:r>
      <w:bookmarkEnd w:id="39"/>
      <w:r>
        <w:rPr>
          <w:rFonts w:hint="eastAsia"/>
        </w:rPr>
        <w:t>（1套）</w:t>
      </w:r>
    </w:p>
    <w:tbl>
      <w:tblPr>
        <w:tblStyle w:val="60"/>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958"/>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gridSpan w:val="2"/>
            <w:shd w:val="clear" w:color="auto" w:fill="auto"/>
          </w:tcPr>
          <w:p>
            <w:pPr>
              <w:jc w:val="center"/>
              <w:rPr>
                <w:rFonts w:ascii="Times New Roman" w:hAnsi="Times New Roman" w:eastAsia="宋体" w:cs="Times New Roman"/>
                <w:b/>
                <w:bCs/>
                <w:kern w:val="0"/>
                <w:sz w:val="20"/>
                <w:szCs w:val="20"/>
              </w:rPr>
            </w:pPr>
            <w:r>
              <w:rPr>
                <w:rFonts w:hint="eastAsia" w:ascii="宋体" w:hAnsi="宋体" w:eastAsia="宋体" w:cs="宋体"/>
                <w:b/>
                <w:color w:val="000000"/>
                <w:kern w:val="0"/>
                <w:sz w:val="20"/>
                <w:szCs w:val="20"/>
              </w:rPr>
              <w:t>功能及技术指标</w:t>
            </w:r>
          </w:p>
        </w:tc>
        <w:tc>
          <w:tcPr>
            <w:tcW w:w="3828" w:type="pct"/>
            <w:shd w:val="clear" w:color="auto" w:fill="auto"/>
          </w:tcPr>
          <w:p>
            <w:pPr>
              <w:jc w:val="center"/>
              <w:rPr>
                <w:rFonts w:ascii="Times New Roman" w:hAnsi="Times New Roman" w:eastAsia="宋体" w:cs="Times New Roman"/>
                <w:b/>
                <w:bCs/>
                <w:kern w:val="0"/>
                <w:sz w:val="20"/>
                <w:szCs w:val="20"/>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171" w:type="pct"/>
            <w:gridSpan w:val="2"/>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产品资质要求</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产品通过IPv6论坛IPv6 Ready Logo委员会认证并获得认证证书，提供证书复印件。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171" w:type="pct"/>
            <w:gridSpan w:val="2"/>
            <w:vMerge w:val="continue"/>
            <w:shd w:val="clear" w:color="auto" w:fill="auto"/>
            <w:vAlign w:val="center"/>
          </w:tcPr>
          <w:p>
            <w:pPr>
              <w:widowControl/>
              <w:jc w:val="left"/>
              <w:rPr>
                <w:rFonts w:ascii="宋体" w:hAnsi="宋体" w:eastAsia="宋体" w:cs="宋体"/>
                <w:color w:val="000000"/>
                <w:kern w:val="0"/>
                <w:sz w:val="20"/>
                <w:szCs w:val="20"/>
              </w:rPr>
            </w:pP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通过公安部检测获得网络版防病毒产品（一级品）销售许可证书，提供证书复印件。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规格要求</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w:t>
            </w:r>
            <w:r>
              <w:rPr>
                <w:rFonts w:ascii="宋体" w:hAnsi="宋体" w:eastAsia="宋体" w:cs="宋体"/>
                <w:color w:val="000000"/>
                <w:kern w:val="0"/>
                <w:sz w:val="20"/>
                <w:szCs w:val="20"/>
              </w:rPr>
              <w:t>100</w:t>
            </w:r>
            <w:r>
              <w:rPr>
                <w:rFonts w:hint="eastAsia" w:ascii="宋体" w:hAnsi="宋体" w:eastAsia="宋体" w:cs="宋体"/>
                <w:color w:val="000000"/>
                <w:kern w:val="0"/>
                <w:sz w:val="20"/>
                <w:szCs w:val="20"/>
              </w:rPr>
              <w:t>套服务器防护</w:t>
            </w:r>
            <w:r>
              <w:rPr>
                <w:rFonts w:ascii="宋体" w:hAnsi="宋体" w:eastAsia="宋体" w:cs="宋体"/>
                <w:color w:val="000000"/>
                <w:kern w:val="0"/>
                <w:sz w:val="20"/>
                <w:szCs w:val="20"/>
              </w:rPr>
              <w:t>，50</w:t>
            </w:r>
            <w:r>
              <w:rPr>
                <w:rFonts w:hint="eastAsia" w:ascii="宋体" w:hAnsi="宋体" w:eastAsia="宋体" w:cs="宋体"/>
                <w:color w:val="000000"/>
                <w:kern w:val="0"/>
                <w:sz w:val="20"/>
                <w:szCs w:val="20"/>
              </w:rPr>
              <w:t>套终端防护。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基本功能</w:t>
            </w: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全网风险可视</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支持当前待处理高危风险展示，包括弱口令、待处理病毒、待处理漏洞数据，并支持一键跳转到对应处理页面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一体化安全策略</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只支持自定义安全策略、安全策略可继承，内置多个初始策略模板，包括防护模板、审计模板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系统性能监控</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支持对CPU、内存、磁盘读写、网络上下行流量达到配置阈值时告警。支持对CPU、内存达到一定阈值时客户端进行熔断。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资产指纹</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支持自动收集终端资产信息，包括：计算机名称、内核版本、操作系统、处理器、主板、内存、硬盘、显卡、终端版本、病毒库版本、最近更新时间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高级威胁防护模块</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支持对本机的扩展行为（信息收集、权限提升）进行监测，防止提权行为和信息泄露。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识别渗透过程中的隧道代理（端口映射、端口转发、内网代理），可阻断隧道代理搭建行为。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系统安全性模块</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违规外联支持黑、白名单双模式，白名单模式可配置是否允许访问特定的网站和地址；黑名单模式可自定义恶意IP，支持黑名单告警和阻断。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移动存储介质管理：</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1.支持管理员对入网的移动存储介质进行注册，可以对已注册的移动介质进行管理，包括授权、启用、停用、删除、导出注册列表、行为监控及审计等。</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2.支持客户端自主申请移动存储介质注册，管理员统一对申请进行审批。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3.支持管理员设置自动审批客户端注册请求。</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4.支持从资产维度、设备维度对存储介质的权限进行精细化设置，同一设备可针对不同的资产设置不同的读写权限，有效控制不明来历的移动存储可能带来的病毒传播等隐患。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防病毒模块</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针对Windows系统，提供内核级的数据防护能力，保护文件不被恶意修改、加密等，可自定义配置保护的文件及目录，支持设置例外进程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告警功能</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告警类型包括：护网高级威胁、系统防护、网络防护、Web应用防护。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告警内容至少包括：资产名称、IP地址、日志类型、风险概况、风险评级、事件发生时间等详细内容。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告警方式包括：邮件告警、Syslog、短信告警及SNMP trap。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19"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管理功能</w:t>
            </w: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集中管控</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管理平台支持一键设置客户端卸载密码、一键卸载监控端、一键解除绑定、一键停止/恢复所有防护、一键关闭/重启主机、一键重启客户端、一键迁移资产。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用户管理</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支持多级用户管理：租户管理员、租户。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可视化功能</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能展示各个服务器或主机节点的信息，包括运行状态、活动规律、行为变化趋势和详细资料，以及历史行为数据查询、全局安全态势等。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安全服务</w:t>
            </w: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安全事件</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支持监控用户和应用实时流速，包括用户名、应用名、用户组、上行速率、下行速率、总速率、会话数等信息，帮助管理员快速甄别网络异常行为；支持提供重大事件应急响应预案。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软件升级</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提供3年的病毒库、程序升级服务。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应急响应</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对于新发现的病毒、零日漏洞，厂商能够于24小时内作出响应，及时通知用户，并提供专门应急预案、处置工具或专杀工具。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Merge w:val="continue"/>
            <w:shd w:val="clear" w:color="auto" w:fill="auto"/>
            <w:vAlign w:val="center"/>
          </w:tcPr>
          <w:p>
            <w:pPr>
              <w:widowControl/>
              <w:jc w:val="left"/>
              <w:rPr>
                <w:rFonts w:ascii="宋体" w:hAnsi="宋体" w:eastAsia="宋体" w:cs="宋体"/>
                <w:color w:val="000000"/>
                <w:kern w:val="0"/>
                <w:sz w:val="20"/>
                <w:szCs w:val="20"/>
              </w:rPr>
            </w:pPr>
          </w:p>
        </w:tc>
        <w:tc>
          <w:tcPr>
            <w:tcW w:w="551"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技术支持</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支持7*24小时威胁溯源服务。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71" w:type="pct"/>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售后服务</w:t>
            </w:r>
          </w:p>
        </w:tc>
        <w:tc>
          <w:tcPr>
            <w:tcW w:w="382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提供7*24小时原厂商400支持热线；</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提供不少于三年质保服务，包含但不限于系统升级等服务内容；本地需要至少5个（含）CISP-BDSA资质证书设备厂商人员提供支持。（须提供近三个月投标所在地社保证明）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171" w:type="pct"/>
            <w:gridSpan w:val="2"/>
            <w:vMerge w:val="restart"/>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厂家资质</w:t>
            </w:r>
          </w:p>
        </w:tc>
        <w:tc>
          <w:tcPr>
            <w:tcW w:w="3828" w:type="pct"/>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国家信息安全测评信息安全服务资质证书（安全工程类三级），提供证书复印件；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gridSpan w:val="2"/>
            <w:vMerge w:val="continue"/>
            <w:shd w:val="clear" w:color="auto" w:fill="auto"/>
            <w:vAlign w:val="center"/>
          </w:tcPr>
          <w:p>
            <w:pPr>
              <w:widowControl/>
              <w:jc w:val="left"/>
              <w:rPr>
                <w:rFonts w:ascii="宋体" w:hAnsi="宋体" w:eastAsia="宋体" w:cs="宋体"/>
                <w:color w:val="000000"/>
                <w:kern w:val="0"/>
                <w:sz w:val="20"/>
                <w:szCs w:val="20"/>
                <w:highlight w:val="none"/>
              </w:rPr>
            </w:pPr>
          </w:p>
        </w:tc>
        <w:tc>
          <w:tcPr>
            <w:tcW w:w="3828" w:type="pct"/>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知识产权管理体系认证证书，提供证书复印件；</w:t>
            </w:r>
          </w:p>
        </w:tc>
      </w:tr>
    </w:tbl>
    <w:p/>
    <w:p>
      <w:pPr>
        <w:pStyle w:val="8"/>
      </w:pPr>
      <w:bookmarkStart w:id="40" w:name="_Toc104393694"/>
      <w:r>
        <w:rPr>
          <w:rFonts w:hint="eastAsia"/>
        </w:rPr>
        <w:t>2、日志汇聚系统</w:t>
      </w:r>
      <w:bookmarkEnd w:id="40"/>
      <w:r>
        <w:rPr>
          <w:rFonts w:hint="eastAsia"/>
        </w:rPr>
        <w:t>（1套）</w:t>
      </w:r>
    </w:p>
    <w:tbl>
      <w:tblPr>
        <w:tblStyle w:val="6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jc w:val="center"/>
              <w:rPr>
                <w:rFonts w:ascii="Times New Roman" w:hAnsi="Times New Roman" w:eastAsia="宋体" w:cs="Times New Roman"/>
                <w:b/>
                <w:bCs/>
                <w:kern w:val="0"/>
                <w:sz w:val="20"/>
                <w:szCs w:val="20"/>
              </w:rPr>
            </w:pPr>
            <w:r>
              <w:rPr>
                <w:rFonts w:hint="eastAsia" w:ascii="宋体" w:hAnsi="宋体" w:eastAsia="宋体" w:cs="宋体"/>
                <w:b/>
                <w:color w:val="000000"/>
                <w:kern w:val="0"/>
                <w:sz w:val="20"/>
                <w:szCs w:val="20"/>
              </w:rPr>
              <w:t>功能及技术指标</w:t>
            </w:r>
          </w:p>
        </w:tc>
        <w:tc>
          <w:tcPr>
            <w:tcW w:w="6537" w:type="dxa"/>
            <w:shd w:val="clear" w:color="auto" w:fill="auto"/>
          </w:tcPr>
          <w:p>
            <w:pPr>
              <w:jc w:val="center"/>
              <w:rPr>
                <w:rFonts w:ascii="Times New Roman" w:hAnsi="Times New Roman" w:eastAsia="宋体" w:cs="Times New Roman"/>
                <w:b/>
                <w:bCs/>
                <w:kern w:val="0"/>
                <w:sz w:val="20"/>
                <w:szCs w:val="20"/>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8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产品资质要求</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产品获得公安部计算机信息系统安全产品销售许可证，提供证书复印件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产品取得软件著作权登记证书，提供给证书复印件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产品获得全球IPv6论坛IPv6 Ready Logo 委员会颁发的《IPv6 Ready Logo认证》证书，提供证书复印件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产品获得中国网络安全审查技术与认证中心颁发的《中国国家信息安全产品认证证书》，提供证书复印件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性能要求</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支持审计≥100个日志源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98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部署方式</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支持分布式部署，支持页面一键添加子节点，自动进行绑定添加，采集器可以选择同步日志范围，按需转发数据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功能扩展</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采用解决方案包上传对产品进行功能扩展，无需要代码开发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支持kafka日志接收转发、大数据安全域同步、APT沙箱报告转发等大数据联调功能，Kafka收发支持SSL加密。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98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日志收集</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支持Syslog、SNMP Trap、HTTP、ODBC/JDBC、WMI、FTP、SFTP协议日志收集；支持阿里云SLS日志的采集。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可通过接收协议限制日志接收速率，包括Http接收、syslog接收、SNMPtrap接收、TCP接收、WMI接收、aliyun接收。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支持使用代理(Agent)方式提取日志并收集，安装包支持界面下载，且安装支持可视化向导。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98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日志分析</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内置5000+解析规则，支持对收集的5000+设备类型日志进行解析（标准化、归一化），解析维度多达200+，解析规则可以根据客户要求定制扩展；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三维关联分析；支持通过资产、安全知识库、弱点库三个维度分析事件是否存在威胁，并形成关联事件。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日志备份</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可设置日志存储备份策略。包括系统日志保存期（天）、磁盘使用率百分比等策略；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支持日志本地备份及恢复；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支持日志备份自动传送到远程服务器；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支持从远程仓库恢复数据；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支持FTP、SAMBA、NFS和FILE，4种方式的远程服务器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98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应用性能监控</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（APM）</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通过在目标主机上安装Agent程序，支持监测目标主机的CPU利用率、内存使用率、磁盘使用率、磁盘使用情况、流量等信息。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8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告警功能</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磁盘空间阈值告警，当磁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8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用户管理</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用户支持双因子认证登录，双因子认证令牌支持绑定至具体用户；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提供一键式故障排除功能；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提供自助式的升级接口，支持对产品升级、规则升级。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8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资产管理</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注册用户资产时，提供自动发现识别能力；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资产拓扑支持按照实际的用户环境进行编辑发布并可以和资产进行绑定，拓扑可以显示资产采集的事件数量被采集资产的状态等信息。（须提供权威机构第三方检测报告）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售后服务</w:t>
            </w:r>
          </w:p>
        </w:tc>
        <w:tc>
          <w:tcPr>
            <w:tcW w:w="65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提供7*24小时原厂商400支持热线；</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提供不少于三年质保服务，包含但不限于系统升级等服务内容，本地需要至少5个（含）CISP-BDSA资质证书设备厂商人员提供支持。（须提供近三个月投标所在地社保证明）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厂家资质</w:t>
            </w:r>
          </w:p>
        </w:tc>
        <w:tc>
          <w:tcPr>
            <w:tcW w:w="6537"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国家信息安全测评信息安全服务资质证书（安全工程类三级），提供证书复印件；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shd w:val="clear" w:color="auto" w:fill="auto"/>
            <w:vAlign w:val="center"/>
          </w:tcPr>
          <w:p>
            <w:pPr>
              <w:widowControl/>
              <w:jc w:val="left"/>
              <w:rPr>
                <w:rFonts w:ascii="宋体" w:hAnsi="宋体" w:eastAsia="宋体" w:cs="宋体"/>
                <w:color w:val="000000"/>
                <w:kern w:val="0"/>
                <w:sz w:val="20"/>
                <w:szCs w:val="20"/>
                <w:highlight w:val="none"/>
              </w:rPr>
            </w:pPr>
          </w:p>
        </w:tc>
        <w:tc>
          <w:tcPr>
            <w:tcW w:w="6537"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国家信息安全测评信息安全服务资质证书（风险评估二级），提供证书复印件；</w:t>
            </w:r>
          </w:p>
        </w:tc>
      </w:tr>
    </w:tbl>
    <w:p/>
    <w:p>
      <w:pPr>
        <w:pStyle w:val="8"/>
      </w:pPr>
      <w:bookmarkStart w:id="41" w:name="_Toc104393695"/>
      <w:r>
        <w:rPr>
          <w:rFonts w:hint="eastAsia"/>
        </w:rPr>
        <w:t>3、网络安全运营保障平台（零信任体系）</w:t>
      </w:r>
      <w:bookmarkEnd w:id="41"/>
      <w:r>
        <w:rPr>
          <w:rFonts w:hint="eastAsia"/>
        </w:rPr>
        <w:t>（信创版）（1套）</w:t>
      </w:r>
    </w:p>
    <w:tbl>
      <w:tblPr>
        <w:tblStyle w:val="5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olor w:val="000000"/>
                <w:sz w:val="24"/>
              </w:rPr>
            </w:pPr>
            <w:r>
              <w:rPr>
                <w:rFonts w:hint="eastAsia" w:ascii="宋体" w:hAnsi="宋体" w:eastAsia="宋体" w:cs="宋体"/>
                <w:b/>
                <w:color w:val="000000"/>
                <w:kern w:val="0"/>
                <w:sz w:val="20"/>
                <w:szCs w:val="20"/>
              </w:rPr>
              <w:t>功能及技术指标</w:t>
            </w:r>
          </w:p>
        </w:tc>
        <w:tc>
          <w:tcPr>
            <w:tcW w:w="652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olor w:val="000000"/>
                <w:sz w:val="24"/>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可信环境感知模块</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基础安全感知</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感知发现终端是否存在病毒</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感知终端病毒库是否及时更新</w:t>
            </w:r>
            <w:r>
              <w:rPr>
                <w:rFonts w:hint="eastAsia" w:ascii="宋体" w:hAnsi="宋体" w:eastAsia="宋体" w:cs="宋体"/>
                <w:color w:val="000000"/>
                <w:kern w:val="0"/>
                <w:sz w:val="20"/>
                <w:szCs w:val="20"/>
              </w:rPr>
              <w:t>；</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系统安全感知：</w:t>
            </w:r>
            <w:r>
              <w:rPr>
                <w:rFonts w:ascii="宋体" w:hAnsi="宋体" w:eastAsia="宋体" w:cs="宋体"/>
                <w:color w:val="000000"/>
                <w:kern w:val="0"/>
                <w:sz w:val="20"/>
                <w:szCs w:val="20"/>
              </w:rPr>
              <w:t>对终端登录失败的限制，终端账户密码维护，远程登录的安全性感知</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应用合规感知：感知</w:t>
            </w:r>
            <w:r>
              <w:rPr>
                <w:rFonts w:ascii="宋体" w:hAnsi="宋体" w:eastAsia="宋体" w:cs="宋体"/>
                <w:color w:val="000000"/>
                <w:kern w:val="0"/>
                <w:sz w:val="20"/>
                <w:szCs w:val="20"/>
              </w:rPr>
              <w:t>终端是否安装违规的软件，运行违规的进程、启动违规服务、开启高危端口</w:t>
            </w: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可信API代理模块</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API发布管理</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根据API业务的重要程度形成可信分并进行授权</w:t>
            </w:r>
            <w:r>
              <w:rPr>
                <w:rFonts w:hint="eastAsia" w:ascii="宋体" w:hAnsi="宋体" w:eastAsia="宋体" w:cs="宋体"/>
                <w:color w:val="000000"/>
                <w:kern w:val="0"/>
                <w:sz w:val="20"/>
                <w:szCs w:val="20"/>
              </w:rPr>
              <w:t>；</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API服务安全防护</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使用黑白名单机制来控制API调用者的访问权限</w:t>
            </w: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可信访问控制台模块</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动态认证及管理</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当终端设备信任分不能达到设定的要求时，不能进行登录访问</w:t>
            </w:r>
            <w:r>
              <w:rPr>
                <w:rFonts w:hint="eastAsia" w:ascii="宋体" w:hAnsi="宋体" w:eastAsia="宋体" w:cs="宋体"/>
                <w:color w:val="000000"/>
                <w:kern w:val="0"/>
                <w:sz w:val="20"/>
                <w:szCs w:val="20"/>
              </w:rPr>
              <w:t>；</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动态授权：</w:t>
            </w:r>
            <w:r>
              <w:rPr>
                <w:rFonts w:ascii="宋体" w:hAnsi="宋体" w:eastAsia="宋体" w:cs="宋体"/>
                <w:color w:val="000000"/>
                <w:kern w:val="0"/>
                <w:sz w:val="20"/>
                <w:szCs w:val="20"/>
              </w:rPr>
              <w:t>基于一定时间内，根据同一用户登录设备次数进行动态授权，动作为可拒绝访问、可二次认证、可放行</w:t>
            </w:r>
            <w:r>
              <w:rPr>
                <w:rFonts w:hint="eastAsia" w:ascii="宋体" w:hAnsi="宋体" w:eastAsia="宋体" w:cs="宋体"/>
                <w:color w:val="000000"/>
                <w:kern w:val="0"/>
                <w:sz w:val="20"/>
                <w:szCs w:val="20"/>
              </w:rPr>
              <w:t>；</w:t>
            </w:r>
          </w:p>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风险动态控制</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基于用户终端环境感知内容进行分析，形成终端配置风险策略实现动态控制阻断，并能对终端配置风险事件次数进行设置</w:t>
            </w: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可信应用代理模块</w:t>
            </w:r>
          </w:p>
        </w:tc>
        <w:tc>
          <w:tcPr>
            <w:tcW w:w="6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应用安全加固：</w:t>
            </w:r>
            <w:r>
              <w:rPr>
                <w:rFonts w:ascii="宋体" w:hAnsi="宋体" w:eastAsia="宋体" w:cs="宋体"/>
                <w:color w:val="000000"/>
                <w:kern w:val="0"/>
                <w:sz w:val="20"/>
                <w:szCs w:val="20"/>
              </w:rPr>
              <w:t>对用户发起的应用请求的字段的合法性检测</w:t>
            </w:r>
            <w:r>
              <w:rPr>
                <w:rFonts w:hint="eastAsia" w:ascii="宋体" w:hAnsi="宋体" w:eastAsia="宋体" w:cs="宋体"/>
                <w:color w:val="000000"/>
                <w:kern w:val="0"/>
                <w:sz w:val="20"/>
                <w:szCs w:val="20"/>
              </w:rPr>
              <w:t>；</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应用级动态访问控制：</w:t>
            </w:r>
            <w:r>
              <w:rPr>
                <w:rFonts w:ascii="宋体" w:hAnsi="宋体" w:eastAsia="宋体" w:cs="宋体"/>
                <w:color w:val="000000"/>
                <w:kern w:val="0"/>
                <w:sz w:val="20"/>
                <w:szCs w:val="20"/>
              </w:rPr>
              <w:t>在接收到主体可信环境安全状态变更通报时，根据可信访问控制台策略进行策略执行</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能够执行基于访问的IP提供应用系统的访问控制策略</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能够执行设备认证异常情况下二次认证访问控制策略</w:t>
            </w:r>
          </w:p>
        </w:tc>
      </w:tr>
    </w:tbl>
    <w:p/>
    <w:p>
      <w:pPr>
        <w:pStyle w:val="7"/>
      </w:pPr>
      <w:bookmarkStart w:id="42" w:name="_Toc104393696"/>
      <w:r>
        <w:rPr>
          <w:rFonts w:hint="eastAsia"/>
        </w:rPr>
        <w:t>3）政务外网区</w:t>
      </w:r>
      <w:bookmarkEnd w:id="42"/>
    </w:p>
    <w:p>
      <w:pPr>
        <w:pStyle w:val="8"/>
      </w:pPr>
      <w:bookmarkStart w:id="43" w:name="_Toc104393697"/>
      <w:r>
        <w:t>1</w:t>
      </w:r>
      <w:r>
        <w:rPr>
          <w:rFonts w:hint="eastAsia"/>
        </w:rPr>
        <w:t>、安全隔离网闸</w:t>
      </w:r>
      <w:bookmarkEnd w:id="43"/>
      <w:r>
        <w:rPr>
          <w:rFonts w:hint="eastAsia"/>
        </w:rPr>
        <w:t>（</w:t>
      </w:r>
      <w:r>
        <w:t>2</w:t>
      </w:r>
      <w:r>
        <w:rPr>
          <w:rFonts w:hint="eastAsia"/>
        </w:rPr>
        <w:t>台）</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6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pct"/>
            <w:shd w:val="clear" w:color="auto" w:fill="auto"/>
          </w:tcPr>
          <w:p>
            <w:pPr>
              <w:jc w:val="center"/>
              <w:rPr>
                <w:b/>
                <w:bCs/>
              </w:rPr>
            </w:pPr>
            <w:r>
              <w:rPr>
                <w:rFonts w:hint="eastAsia" w:ascii="宋体" w:hAnsi="宋体" w:eastAsia="宋体" w:cs="宋体"/>
                <w:b/>
                <w:color w:val="000000"/>
                <w:kern w:val="0"/>
                <w:sz w:val="20"/>
                <w:szCs w:val="20"/>
              </w:rPr>
              <w:t>功能及技术指标</w:t>
            </w:r>
          </w:p>
        </w:tc>
        <w:tc>
          <w:tcPr>
            <w:tcW w:w="3978" w:type="pct"/>
            <w:shd w:val="clear" w:color="auto" w:fill="auto"/>
          </w:tcPr>
          <w:p>
            <w:pPr>
              <w:jc w:val="center"/>
              <w:rPr>
                <w:b/>
                <w:bCs/>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pct"/>
            <w:vMerge w:val="restar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产品资质要求</w:t>
            </w:r>
          </w:p>
        </w:tc>
        <w:tc>
          <w:tcPr>
            <w:tcW w:w="397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公安部计算机信息系统安全专用产品销售许可证（三级），提供证书复印件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pct"/>
            <w:vMerge w:val="continue"/>
            <w:vAlign w:val="center"/>
          </w:tcPr>
          <w:p>
            <w:pPr>
              <w:widowControl/>
              <w:jc w:val="left"/>
              <w:rPr>
                <w:rFonts w:ascii="宋体" w:hAnsi="宋体" w:eastAsia="宋体" w:cs="宋体"/>
                <w:color w:val="000000"/>
                <w:kern w:val="0"/>
                <w:sz w:val="20"/>
                <w:szCs w:val="20"/>
              </w:rPr>
            </w:pPr>
          </w:p>
        </w:tc>
        <w:tc>
          <w:tcPr>
            <w:tcW w:w="397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国家保密局涉密信息系统产品检测证书，提供证书复印件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规格要求</w:t>
            </w:r>
          </w:p>
        </w:tc>
        <w:tc>
          <w:tcPr>
            <w:tcW w:w="397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支持千兆接口总数≥8个，</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支持U</w:t>
            </w:r>
            <w:r>
              <w:rPr>
                <w:rFonts w:ascii="宋体" w:hAnsi="宋体" w:eastAsia="宋体" w:cs="宋体"/>
                <w:color w:val="000000"/>
                <w:kern w:val="0"/>
                <w:sz w:val="20"/>
                <w:szCs w:val="20"/>
              </w:rPr>
              <w:t>SB</w:t>
            </w:r>
            <w:r>
              <w:rPr>
                <w:rFonts w:hint="eastAsia" w:ascii="宋体" w:hAnsi="宋体" w:eastAsia="宋体" w:cs="宋体"/>
                <w:color w:val="000000"/>
                <w:kern w:val="0"/>
                <w:sz w:val="20"/>
                <w:szCs w:val="20"/>
              </w:rPr>
              <w:t>口总数≥8个，</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支持串口总数≥2个，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022"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性能要求</w:t>
            </w:r>
          </w:p>
        </w:tc>
        <w:tc>
          <w:tcPr>
            <w:tcW w:w="397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网络带宽≥800Mbps</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并发用户数≥20000</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纳秒级开关延时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功能要求</w:t>
            </w:r>
          </w:p>
        </w:tc>
        <w:tc>
          <w:tcPr>
            <w:tcW w:w="3978" w:type="pct"/>
            <w:vAlign w:val="center"/>
          </w:tcPr>
          <w:p>
            <w:pPr>
              <w:widowControl/>
              <w:spacing w:before="120" w:after="12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统一接口，包括C或JAVA，为业务应用系统提供统一的安全跨域数据安全交换平台。提供和业务系统测试联调。由内网机、外网机两个主机系统和一个隔离交换网关组成。系统可以完成协议终止和内容检查。支持数据库、文件、流数据交换，支持内容过滤和数据格式检查。</w:t>
            </w:r>
          </w:p>
        </w:tc>
      </w:tr>
    </w:tbl>
    <w:p/>
    <w:p>
      <w:pPr>
        <w:pStyle w:val="8"/>
      </w:pPr>
      <w:bookmarkStart w:id="44" w:name="_Toc104393698"/>
      <w:r>
        <w:t>2</w:t>
      </w:r>
      <w:r>
        <w:rPr>
          <w:rFonts w:hint="eastAsia"/>
        </w:rPr>
        <w:t>、日志审计分析平台</w:t>
      </w:r>
      <w:bookmarkEnd w:id="44"/>
      <w:r>
        <w:rPr>
          <w:rFonts w:hint="eastAsia"/>
        </w:rPr>
        <w:t>（1套）</w:t>
      </w:r>
    </w:p>
    <w:tbl>
      <w:tblPr>
        <w:tblStyle w:val="6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shd w:val="clear" w:color="auto" w:fill="auto"/>
          </w:tcPr>
          <w:p>
            <w:pPr>
              <w:jc w:val="center"/>
              <w:rPr>
                <w:rFonts w:ascii="Times New Roman" w:hAnsi="Times New Roman" w:eastAsia="宋体" w:cs="Times New Roman"/>
                <w:b/>
                <w:bCs/>
                <w:kern w:val="0"/>
                <w:sz w:val="20"/>
                <w:szCs w:val="20"/>
              </w:rPr>
            </w:pPr>
            <w:r>
              <w:rPr>
                <w:rFonts w:hint="eastAsia" w:ascii="宋体" w:hAnsi="宋体" w:eastAsia="宋体" w:cs="宋体"/>
                <w:b/>
                <w:color w:val="000000"/>
                <w:kern w:val="0"/>
                <w:sz w:val="20"/>
                <w:szCs w:val="20"/>
              </w:rPr>
              <w:t>功能及技术指标</w:t>
            </w:r>
          </w:p>
        </w:tc>
        <w:tc>
          <w:tcPr>
            <w:tcW w:w="6787" w:type="dxa"/>
            <w:shd w:val="clear" w:color="auto" w:fill="auto"/>
          </w:tcPr>
          <w:p>
            <w:pPr>
              <w:jc w:val="center"/>
              <w:rPr>
                <w:rFonts w:ascii="Times New Roman" w:hAnsi="Times New Roman" w:eastAsia="宋体" w:cs="Times New Roman"/>
                <w:b/>
                <w:bCs/>
                <w:kern w:val="0"/>
                <w:sz w:val="20"/>
                <w:szCs w:val="20"/>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73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产品资质要求</w:t>
            </w: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产品获得公安部计算机信息系统安全产品销售许可证，提供证书复印件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73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产品取得软件著作权登记证书，提供给证书复印件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73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产品获得全球IPv6论坛IPv6 Ready Logo 委员会颁发的《IPv6 Ready Logo认证》证书，提供证书复印件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73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产品获得中国网络安全审查技术与认证中心颁发的《中国国家信息安全产品认证证书》，提供证书复印件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性能要求</w:t>
            </w: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支持审计≥100个日志源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3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部署方式</w:t>
            </w: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支持分布式部署，支持页面一键添加子节点，自动进行绑定添加，采集器可以选择同步日志范围，按需转发数据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73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功能扩展</w:t>
            </w: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采用解决方案包上传对产品进行功能扩展，无需要代码开发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3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支持kafka日志接收转发、大数据安全域同步、APT沙箱报告转发等大数据联调功能，Kafka收发支持SSL加密。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73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日志收集</w:t>
            </w: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支持Syslog、SNMP Trap、HTTP、ODBC/JDBC、WMI、FTP、SFTP协议日志收集；支持阿里云SLS日志的采集。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73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可通过接收协议限制日志接收速率，包括Http接收、syslog接收、SNMPtrap接收、TCP接收、WMI接收、aliyun接收。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73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支持使用代理(Agent)方式提取日志并收集，安装包支持界面下载，且安装支持可视化向导。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3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日志分析</w:t>
            </w: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内置5000+解析规则，支持对收集的5000+设备类型日志进行解析（标准化、归一化），解析维度多达200+，解析规则可以根据客户要求定制扩展；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73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三维关联分析；支持通过资产、安全知识库、弱点库三个维度分析事件是否存在威胁，并形成关联事件。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73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日志备份</w:t>
            </w: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可设置日志存储备份策略。包括系统日志保存期（天）、磁盘使用率百分比等策略；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73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支持日志本地备份及恢复；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73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支持日志备份自动传送到远程服务器；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73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支持从远程仓库恢复数据；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73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支持FTP、SAMBA、NFS和FILE，4种方式的远程服务器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3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应用性能监控</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（APM）</w:t>
            </w: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通过在目标主机上安装Agent程序，支持监测目标主机的CPU利用率、内存使用率、磁盘使用率、磁盘使用情况、流量等信息。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73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告警功能</w:t>
            </w: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磁盘空间阈值告警，当磁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3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用户管理</w:t>
            </w: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用户支持双因子认证登录，双因子认证令牌支持绑定至具体用户；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73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提供一键式故障排除功能；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73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提供自助式的升级接口，支持对产品升级、规则升级。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30" w:type="dxa"/>
            <w:vMerge w:val="restar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资产管理</w:t>
            </w: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注册用户资产时，提供自动发现识别能力；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30" w:type="dxa"/>
            <w:vMerge w:val="continue"/>
            <w:shd w:val="clear" w:color="auto" w:fill="auto"/>
            <w:vAlign w:val="center"/>
          </w:tcPr>
          <w:p>
            <w:pPr>
              <w:widowControl/>
              <w:jc w:val="left"/>
              <w:rPr>
                <w:rFonts w:ascii="宋体" w:hAnsi="宋体" w:eastAsia="宋体" w:cs="宋体"/>
                <w:color w:val="000000"/>
                <w:kern w:val="0"/>
                <w:sz w:val="20"/>
                <w:szCs w:val="20"/>
              </w:rPr>
            </w:pP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资产拓扑支持按照实际的用户环境进行编辑发布并可以和资产进行绑定，拓扑可以显示资产采集的事件数量被采集资产的状态等信息。（须提供权威机构第三方检测报告）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售后服务</w:t>
            </w:r>
          </w:p>
        </w:tc>
        <w:tc>
          <w:tcPr>
            <w:tcW w:w="678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提供7*24小时原厂商400支持热线；</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提供不少于三年质保服务，包含但不限于系统升级等服务内容，本地需要至少5个（含）CISP-BDSA资质证书设备厂商人员提供支持。（须提供近三个月投标所在地社保证明）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Merge w:val="restart"/>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厂家资质</w:t>
            </w:r>
          </w:p>
        </w:tc>
        <w:tc>
          <w:tcPr>
            <w:tcW w:w="6787"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国家信息安全测评信息安全服务资质证书（安全工程类三级），提供证书复印件；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Merge w:val="continue"/>
            <w:shd w:val="clear" w:color="auto" w:fill="auto"/>
            <w:vAlign w:val="center"/>
          </w:tcPr>
          <w:p>
            <w:pPr>
              <w:widowControl/>
              <w:jc w:val="left"/>
              <w:rPr>
                <w:rFonts w:ascii="宋体" w:hAnsi="宋体" w:eastAsia="宋体" w:cs="宋体"/>
                <w:color w:val="000000"/>
                <w:kern w:val="0"/>
                <w:sz w:val="20"/>
                <w:szCs w:val="20"/>
                <w:highlight w:val="none"/>
              </w:rPr>
            </w:pPr>
          </w:p>
        </w:tc>
        <w:tc>
          <w:tcPr>
            <w:tcW w:w="6787"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国家信息安全测评信息安全服务资质证书（风险评估二级），提供证书复印件；</w:t>
            </w:r>
          </w:p>
        </w:tc>
      </w:tr>
    </w:tbl>
    <w:p/>
    <w:p>
      <w:pPr>
        <w:pStyle w:val="8"/>
      </w:pPr>
      <w:bookmarkStart w:id="45" w:name="_Toc104393699"/>
      <w:r>
        <w:t>3</w:t>
      </w:r>
      <w:r>
        <w:rPr>
          <w:rFonts w:hint="eastAsia"/>
        </w:rPr>
        <w:t>、上网行为管理系统</w:t>
      </w:r>
      <w:bookmarkEnd w:id="45"/>
      <w:r>
        <w:rPr>
          <w:rFonts w:hint="eastAsia"/>
        </w:rPr>
        <w:t>（1台）</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shd w:val="clear" w:color="auto" w:fill="auto"/>
          </w:tcPr>
          <w:p>
            <w:pPr>
              <w:jc w:val="center"/>
              <w:rPr>
                <w:b/>
                <w:bCs/>
              </w:rPr>
            </w:pPr>
            <w:r>
              <w:rPr>
                <w:rFonts w:hint="eastAsia" w:ascii="宋体" w:hAnsi="宋体" w:eastAsia="宋体" w:cs="宋体"/>
                <w:b/>
                <w:color w:val="000000"/>
                <w:kern w:val="0"/>
                <w:sz w:val="20"/>
                <w:szCs w:val="20"/>
              </w:rPr>
              <w:t>功能及技术指标</w:t>
            </w:r>
          </w:p>
        </w:tc>
        <w:tc>
          <w:tcPr>
            <w:tcW w:w="3891" w:type="pct"/>
            <w:shd w:val="clear" w:color="auto" w:fill="auto"/>
          </w:tcPr>
          <w:p>
            <w:pPr>
              <w:jc w:val="center"/>
              <w:rPr>
                <w:b/>
                <w:bCs/>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规格要求</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标准1U机柜型硬件平台，</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硬盘容量≥1TB </w:t>
            </w:r>
            <w:r>
              <w:rPr>
                <w:rFonts w:ascii="宋体" w:hAnsi="宋体" w:eastAsia="宋体" w:cs="宋体"/>
                <w:color w:val="000000"/>
                <w:kern w:val="0"/>
                <w:sz w:val="20"/>
                <w:szCs w:val="20"/>
              </w:rPr>
              <w:t>SSD</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支持千兆接口总数≥6个</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支持万兆接口总数≥2个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性能要求</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支持带宽≥750 </w:t>
            </w:r>
            <w:r>
              <w:rPr>
                <w:rFonts w:ascii="宋体" w:hAnsi="宋体" w:eastAsia="宋体" w:cs="宋体"/>
                <w:color w:val="000000"/>
                <w:kern w:val="0"/>
                <w:sz w:val="20"/>
                <w:szCs w:val="20"/>
              </w:rPr>
              <w:t>M</w:t>
            </w:r>
            <w:r>
              <w:rPr>
                <w:rFonts w:hint="eastAsia" w:ascii="宋体" w:hAnsi="宋体" w:eastAsia="宋体" w:cs="宋体"/>
                <w:color w:val="000000"/>
                <w:kern w:val="0"/>
                <w:sz w:val="20"/>
                <w:szCs w:val="20"/>
              </w:rPr>
              <w:t>bps</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最大并发连接数≥1</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000,000</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每秒新建连接数≥2</w:t>
            </w:r>
            <w:r>
              <w:rPr>
                <w:rFonts w:ascii="宋体" w:hAnsi="宋体" w:eastAsia="宋体" w:cs="宋体"/>
                <w:color w:val="000000"/>
                <w:kern w:val="0"/>
                <w:sz w:val="20"/>
                <w:szCs w:val="20"/>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部署模式</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支持路由模式、透明（网桥）模式、混合模式、旁路模式；旁路部署支持直接加入2个以上物理接口，无需使用聚合接口；部署模式切换无需重启设备。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端口镜像</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支持端口镜像功能，支持入流量、出流量和双向流量等维度镜像，支持将接口的流量镜像到另一个接口，方便网络问题定位。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接口</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接口支持配置从属IP地址，每个接口支持至少200个从属IP。</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内外接口无固化，支持修改接口属性，修改接口IP类型、地址模式无需重启设备。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路由支持</w:t>
            </w:r>
          </w:p>
        </w:tc>
        <w:tc>
          <w:tcPr>
            <w:tcW w:w="3891" w:type="pct"/>
            <w:vAlign w:val="center"/>
          </w:tcPr>
          <w:p>
            <w:pPr>
              <w:widowControl/>
              <w:spacing w:before="120" w:after="12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支持基于入接口、源地址、目的地址、用户、服务、应用、时间、域名的策略路由。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IPv6</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支持IPv6/v4双栈，支持IPv6安全策略、包括审计策略、NAT策略、流量控制策略、会话控制策略、黑名单、白名单、认证策略等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接入认证</w:t>
            </w:r>
          </w:p>
        </w:tc>
        <w:tc>
          <w:tcPr>
            <w:tcW w:w="3891" w:type="pct"/>
            <w:vAlign w:val="center"/>
          </w:tcPr>
          <w:p>
            <w:pPr>
              <w:widowControl/>
              <w:jc w:val="left"/>
              <w:rPr>
                <w:rFonts w:ascii="宋体" w:hAnsi="宋体" w:eastAsia="宋体" w:cs="宋体"/>
                <w:color w:val="000000"/>
                <w:kern w:val="0"/>
                <w:sz w:val="20"/>
                <w:szCs w:val="20"/>
              </w:rPr>
            </w:pPr>
            <w:r>
              <w:rPr>
                <w:rFonts w:hint="eastAsia" w:ascii="Times New Roman" w:hAnsi="Times New Roman" w:eastAsia="宋体" w:cs="宋体"/>
                <w:kern w:val="0"/>
                <w:szCs w:val="18"/>
              </w:rPr>
              <w:t>支持与浙政钉2.0平台同步组织架构，并能在用户管理界面呈现组织架构、登录用户、登录时间、在线时长等信息</w:t>
            </w:r>
            <w:r>
              <w:rPr>
                <w:rFonts w:hint="eastAsia" w:ascii="Times New Roman" w:hAnsi="Times New Roman" w:eastAsia="宋体" w:cs="宋体"/>
                <w:kern w:val="0"/>
                <w:szCs w:val="18"/>
                <w:lang w:val="zh-TW" w:eastAsia="zh-TW"/>
              </w:rPr>
              <w:t>（</w:t>
            </w:r>
            <w:r>
              <w:rPr>
                <w:rFonts w:hint="eastAsia" w:ascii="Times New Roman" w:hAnsi="Times New Roman" w:eastAsia="宋体" w:cs="宋体"/>
                <w:kern w:val="0"/>
                <w:szCs w:val="18"/>
                <w:lang w:val="zh-TW"/>
              </w:rPr>
              <w:t>提供</w:t>
            </w:r>
            <w:r>
              <w:rPr>
                <w:rFonts w:hint="eastAsia" w:ascii="Times New Roman" w:hAnsi="Times New Roman" w:eastAsia="宋体" w:cs="宋体"/>
                <w:kern w:val="0"/>
                <w:szCs w:val="18"/>
              </w:rPr>
              <w:t>功能</w:t>
            </w:r>
            <w:r>
              <w:rPr>
                <w:rFonts w:hint="eastAsia" w:ascii="Times New Roman" w:hAnsi="Times New Roman" w:eastAsia="宋体" w:cs="宋体"/>
                <w:kern w:val="0"/>
                <w:szCs w:val="18"/>
                <w:lang w:val="zh-TW"/>
              </w:rPr>
              <w:t>截图</w:t>
            </w:r>
            <w:r>
              <w:rPr>
                <w:rFonts w:hint="eastAsia" w:ascii="Times New Roman" w:hAnsi="Times New Roman" w:eastAsia="宋体" w:cs="宋体"/>
                <w:kern w:val="0"/>
                <w:szCs w:val="18"/>
              </w:rPr>
              <w:t>证明</w:t>
            </w:r>
            <w:r>
              <w:rPr>
                <w:rFonts w:hint="eastAsia" w:ascii="Times New Roman" w:hAnsi="Times New Roman" w:eastAsia="宋体" w:cs="宋体"/>
                <w:kern w:val="0"/>
                <w:szCs w:val="18"/>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应用识别</w:t>
            </w:r>
          </w:p>
        </w:tc>
        <w:tc>
          <w:tcPr>
            <w:tcW w:w="3891" w:type="pct"/>
            <w:vAlign w:val="center"/>
          </w:tcPr>
          <w:p>
            <w:pPr>
              <w:widowControl/>
              <w:spacing w:before="120" w:after="12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应用特征不少于7000个，移动应用不少于2200个。</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自定义应用，包括但不限于数据包方向、协议、端口、IP地址、目标域名、关键字识别维度，数据包方向包括任意、请求数据、响应数据，关键字匹配模式支持文本或正则表达式；支持DNS域名学习模式，可引用数据包特征中的目标域名或指定域名。</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支持智能识别模式和快速识别模式。在智能识别模式下应用引擎尽可能地用各种方式识别网络流量；在快速识别模式下应用引擎将关闭部分智能分析功能以提高性能。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应用控制</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可识别多种文件类型，包括电影、音频、文本、图片、压缩文件（zip、rar、gz、bz2、Z、tgz、tbz、7z、cab、bz等）、应用程序、Office系列等；并支持对应用的文件传输行为进行上传、下载、双向的文件类型过滤。</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支持基于协议、端口、策略的会话维持功能，老化时间不少于2000小时。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URL识别与控制</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支持基于DNS前置技术，实现在DNS解析阶段针对HTTP和HTTPS域名进行过滤，防止HTTPS域名过滤逃逸情况。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旁路阻断</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支持在设备旁路部署时针对违规上网行为进行阻断过滤。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SSL加密内容审计与控制</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支持配置解密策略，包括入接口、源地址对象、目的地址对象、HTTPS对象、域名排除等；支持HTTPS域名库，预定义域名以及自定义域名；支持针对SSL解密证书进行自动推送。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流量管理</w:t>
            </w:r>
          </w:p>
        </w:tc>
        <w:tc>
          <w:tcPr>
            <w:tcW w:w="3891" w:type="pct"/>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基于“流量”、“流速”、“时长”设置配额，当配额耗尽后，将用户加入到指定的流控黑名单惩罚通道中</w:t>
            </w:r>
            <w:r>
              <w:rPr>
                <w:rFonts w:hint="eastAsia" w:ascii="宋体" w:hAnsi="宋体" w:eastAsia="宋体" w:cs="宋体"/>
                <w:color w:val="000000"/>
                <w:kern w:val="0"/>
                <w:sz w:val="20"/>
                <w:szCs w:val="20"/>
              </w:rPr>
              <w:t>（需提供配置界面截图证明）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终端管理</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支持对网络接入的终端进行可视化管理，展示终端详细信息、异常状态等，支持查看终端类型，以及终端详细信息（厂商，系统，端口等），支持查看终端类型分布（提供功能截图证明）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防私接路由</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针对私接网络行为，惩罚方式包括但不限于无操作、阻断和限速，阻断和限速支持自定义惩罚时长。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用户认证</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支持IP准入、MAC准入、IP+MAC准入、本地认证、混合认证和免认证；</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用户MAC感知，当用户MAC地址变更后，要求重新认证，避免冒名认证现象；支持伪Portal抑制技术，支持通过HTTP302重定向或HTML-refresh方式抑制非正常的HTTP或HTTPS的页面请求，从而保障系统稳定高效运行；支持基于HTTPS协议推送认证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非法外联管控</w:t>
            </w:r>
          </w:p>
        </w:tc>
        <w:tc>
          <w:tcPr>
            <w:tcW w:w="3891" w:type="pct"/>
            <w:vAlign w:val="center"/>
          </w:tcPr>
          <w:p>
            <w:pPr>
              <w:widowControl/>
              <w:jc w:val="left"/>
              <w:rPr>
                <w:rFonts w:ascii="宋体" w:hAnsi="宋体" w:eastAsia="宋体" w:cs="宋体"/>
                <w:color w:val="000000"/>
                <w:kern w:val="0"/>
                <w:sz w:val="20"/>
                <w:szCs w:val="20"/>
              </w:rPr>
            </w:pPr>
            <w:r>
              <w:rPr>
                <w:rFonts w:hint="eastAsia" w:ascii="Times New Roman" w:hAnsi="Times New Roman" w:eastAsia="宋体" w:cs="宋体"/>
                <w:color w:val="000000"/>
                <w:kern w:val="0"/>
                <w:szCs w:val="21"/>
                <w:lang w:val="zh-TW" w:eastAsia="zh-TW"/>
              </w:rPr>
              <w:t>支持</w:t>
            </w:r>
            <w:r>
              <w:rPr>
                <w:rFonts w:hint="eastAsia" w:ascii="Times New Roman" w:hAnsi="Times New Roman" w:eastAsia="宋体" w:cs="宋体"/>
                <w:color w:val="000000"/>
                <w:kern w:val="0"/>
                <w:szCs w:val="21"/>
              </w:rPr>
              <w:t>6</w:t>
            </w:r>
            <w:r>
              <w:rPr>
                <w:rFonts w:hint="eastAsia" w:ascii="Times New Roman" w:hAnsi="Times New Roman" w:eastAsia="宋体" w:cs="宋体"/>
                <w:color w:val="000000"/>
                <w:kern w:val="0"/>
                <w:szCs w:val="21"/>
                <w:lang w:val="zh-TW" w:eastAsia="zh-TW"/>
              </w:rPr>
              <w:t>种</w:t>
            </w:r>
            <w:r>
              <w:rPr>
                <w:rFonts w:hint="eastAsia" w:ascii="Times New Roman" w:hAnsi="Times New Roman" w:eastAsia="宋体" w:cs="宋体"/>
                <w:color w:val="000000"/>
                <w:kern w:val="0"/>
                <w:szCs w:val="21"/>
              </w:rPr>
              <w:t>以上</w:t>
            </w:r>
            <w:r>
              <w:rPr>
                <w:rFonts w:hint="eastAsia" w:ascii="Times New Roman" w:hAnsi="Times New Roman" w:eastAsia="宋体" w:cs="宋体"/>
                <w:color w:val="000000"/>
                <w:kern w:val="0"/>
                <w:szCs w:val="21"/>
                <w:lang w:val="zh-TW" w:eastAsia="zh-TW"/>
              </w:rPr>
              <w:t>外联方式的检查</w:t>
            </w:r>
            <w:r>
              <w:rPr>
                <w:rFonts w:hint="eastAsia" w:ascii="Times New Roman" w:hAnsi="Times New Roman" w:eastAsia="宋体" w:cs="宋体"/>
                <w:color w:val="000000"/>
                <w:kern w:val="0"/>
                <w:szCs w:val="21"/>
                <w:lang w:val="zh-TW"/>
              </w:rPr>
              <w:t>，</w:t>
            </w:r>
            <w:r>
              <w:rPr>
                <w:rFonts w:hint="eastAsia" w:ascii="Times New Roman" w:hAnsi="Times New Roman" w:eastAsia="宋体" w:cs="宋体"/>
                <w:color w:val="000000"/>
                <w:kern w:val="0"/>
                <w:szCs w:val="21"/>
              </w:rPr>
              <w:t>包含</w:t>
            </w:r>
            <w:r>
              <w:rPr>
                <w:rFonts w:hint="eastAsia" w:ascii="Times New Roman" w:hAnsi="Times New Roman" w:eastAsia="宋体" w:cs="宋体"/>
                <w:color w:val="000000"/>
                <w:kern w:val="0"/>
                <w:szCs w:val="21"/>
                <w:lang w:val="zh-TW" w:eastAsia="zh-TW"/>
              </w:rPr>
              <w:t>拨号行为、双网卡行为、有4G网卡、有无线网卡行为、连接非法wifi行为、连接外网行为</w:t>
            </w:r>
            <w:r>
              <w:rPr>
                <w:rFonts w:hint="eastAsia" w:ascii="Times New Roman" w:hAnsi="Times New Roman" w:eastAsia="宋体" w:cs="宋体"/>
                <w:color w:val="000000"/>
                <w:kern w:val="0"/>
                <w:szCs w:val="21"/>
              </w:rPr>
              <w:t>等</w:t>
            </w:r>
            <w:r>
              <w:rPr>
                <w:rFonts w:hint="eastAsia" w:ascii="Times New Roman" w:hAnsi="Times New Roman" w:eastAsia="宋体" w:cs="宋体"/>
                <w:kern w:val="0"/>
                <w:szCs w:val="18"/>
              </w:rPr>
              <w:t>（提供功能截图证明）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数据分析</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监控用户和应用实时流速，包括用户名、应用名、用户组、上行速率、下行速率、总速率、会话数等信息，帮助管理员快速甄别网络异常行为；支持数据下钻跳转至详细列表，针对用户支持通过趋势图形式，按照时间顺序展示该用户网络会话和流量趋势，支持下钻跳转至详细列表访问的应用组成和流速情况。针对应用支持通过趋势图形式，按照时间顺序展示该应用会话和流量趋势，支持下钻跳转至详细列表使用该应用的用户、速率和会话数等情况。</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会话的统计与分析，支持统计会话源Top20、会话目的Top20，以趋势图方式展示并发会话、新建、TCP、UDP、其他协议等趋势信息；针对会话支持正向排名，支持数据下钻跳转至详细列表，深入钻取会话中用户、用户组、源目IP、源目端口、协议、连接类型、应用、流量、时间等信息；支持多条件组合形成筛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审计类法规</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支持上网行为记录本地留存，方便事后行为回溯；支持将日志记录发送至第三方平台进行数据分析和呈现，发送数据支持蝶式交换加密算法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安全防护</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支持本地安全防护，包括但不限于入侵防御、病毒防护、Web防护、威胁情报等，入侵防御规则不少于8600条，病毒防护规则不少于400万。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业务需要</w:t>
            </w:r>
          </w:p>
        </w:tc>
        <w:tc>
          <w:tcPr>
            <w:tcW w:w="3891" w:type="pct"/>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针对内网用户的</w:t>
            </w:r>
            <w:r>
              <w:rPr>
                <w:rFonts w:hint="eastAsia" w:ascii="宋体" w:hAnsi="宋体" w:eastAsia="宋体" w:cs="宋体"/>
                <w:color w:val="000000"/>
                <w:kern w:val="0"/>
                <w:sz w:val="20"/>
                <w:szCs w:val="20"/>
              </w:rPr>
              <w:t>web</w:t>
            </w:r>
            <w:r>
              <w:rPr>
                <w:rFonts w:ascii="宋体" w:hAnsi="宋体" w:eastAsia="宋体" w:cs="宋体"/>
                <w:color w:val="000000"/>
                <w:kern w:val="0"/>
                <w:sz w:val="20"/>
                <w:szCs w:val="20"/>
              </w:rPr>
              <w:t>访问质量进行检测，对整体网络提供清晰的整体网络质量评级</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支持以列表形式展示访问质量差的用户名单</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支持对单用户进行定向</w:t>
            </w:r>
            <w:r>
              <w:rPr>
                <w:rFonts w:hint="eastAsia" w:ascii="宋体" w:hAnsi="宋体" w:eastAsia="宋体" w:cs="宋体"/>
                <w:color w:val="000000"/>
                <w:kern w:val="0"/>
                <w:sz w:val="20"/>
                <w:szCs w:val="20"/>
              </w:rPr>
              <w:t>web</w:t>
            </w:r>
            <w:r>
              <w:rPr>
                <w:rFonts w:ascii="宋体" w:hAnsi="宋体" w:eastAsia="宋体" w:cs="宋体"/>
                <w:color w:val="000000"/>
                <w:kern w:val="0"/>
                <w:sz w:val="20"/>
                <w:szCs w:val="20"/>
              </w:rPr>
              <w:t>访问质量检测</w:t>
            </w:r>
            <w:r>
              <w:rPr>
                <w:rFonts w:hint="eastAsia" w:ascii="宋体" w:hAnsi="宋体" w:eastAsia="宋体" w:cs="宋体"/>
                <w:color w:val="000000"/>
                <w:kern w:val="0"/>
                <w:sz w:val="20"/>
                <w:szCs w:val="20"/>
              </w:rPr>
              <w:t>（提供配置界面截图证明）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管理员认证</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支持管理员三权模式，默认包括权限管理员、账号管理员、审核员和管理员，各管理员权限制约；支持针对管理员分别设置精细化的读写权限和读写内容。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系统维护</w:t>
            </w:r>
          </w:p>
        </w:tc>
        <w:tc>
          <w:tcPr>
            <w:tcW w:w="3891" w:type="pct"/>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支持SNMPv1、v2、v3版本，支持跨三层自学习MAC地址</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Web管理界面支持Ping、Traceroute、TCP Syn诊断工具，可支持基于接口、协议、IP地址、端口、应用进行网络抓包，并可下载导出分析</w:t>
            </w:r>
          </w:p>
        </w:tc>
      </w:tr>
    </w:tbl>
    <w:p/>
    <w:p>
      <w:pPr>
        <w:pStyle w:val="7"/>
      </w:pPr>
      <w:r>
        <w:t>4</w:t>
      </w:r>
      <w:r>
        <w:rPr>
          <w:rFonts w:hint="eastAsia"/>
        </w:rPr>
        <w:t>）网信数据中心</w:t>
      </w:r>
    </w:p>
    <w:p>
      <w:pPr>
        <w:pStyle w:val="8"/>
      </w:pPr>
      <w:r>
        <w:rPr>
          <w:rFonts w:hint="eastAsia"/>
        </w:rPr>
        <w:t>1</w:t>
      </w:r>
      <w:r>
        <w:t>、</w:t>
      </w:r>
      <w:r>
        <w:rPr>
          <w:rFonts w:hint="eastAsia"/>
        </w:rPr>
        <w:t>云管理平台（112</w:t>
      </w:r>
      <w:r>
        <w:t>C</w:t>
      </w:r>
      <w:r>
        <w:rPr>
          <w:rFonts w:hint="eastAsia"/>
        </w:rPr>
        <w:t>）</w:t>
      </w:r>
    </w:p>
    <w:tbl>
      <w:tblPr>
        <w:tblStyle w:val="59"/>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96" w:type="dxa"/>
            <w:shd w:val="clear" w:color="auto" w:fill="auto"/>
            <w:noWrap/>
          </w:tcPr>
          <w:p>
            <w:pPr>
              <w:widowControl/>
              <w:jc w:val="center"/>
              <w:rPr>
                <w:rFonts w:ascii="宋体" w:hAnsi="宋体" w:eastAsia="宋体" w:cs="Arial"/>
                <w:b/>
                <w:bCs/>
                <w:kern w:val="0"/>
                <w:sz w:val="22"/>
              </w:rPr>
            </w:pPr>
            <w:r>
              <w:rPr>
                <w:rFonts w:hint="eastAsia" w:ascii="宋体" w:hAnsi="宋体" w:eastAsia="宋体" w:cs="宋体"/>
                <w:b/>
                <w:color w:val="000000"/>
                <w:kern w:val="0"/>
                <w:sz w:val="20"/>
                <w:szCs w:val="20"/>
              </w:rPr>
              <w:t>功能及技术指标</w:t>
            </w:r>
          </w:p>
        </w:tc>
        <w:tc>
          <w:tcPr>
            <w:tcW w:w="6683" w:type="dxa"/>
            <w:shd w:val="clear" w:color="auto" w:fill="auto"/>
            <w:noWrap/>
          </w:tcPr>
          <w:p>
            <w:pPr>
              <w:widowControl/>
              <w:jc w:val="center"/>
              <w:rPr>
                <w:rFonts w:ascii="宋体" w:hAnsi="宋体" w:eastAsia="宋体" w:cs="Arial"/>
                <w:b/>
                <w:bCs/>
                <w:kern w:val="0"/>
                <w:sz w:val="22"/>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96" w:type="dxa"/>
            <w:vMerge w:val="restart"/>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资质要求</w:t>
            </w:r>
          </w:p>
        </w:tc>
        <w:tc>
          <w:tcPr>
            <w:tcW w:w="6683" w:type="dxa"/>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投标厂商的IaaS私有云服务通过由工信部中国电子技术标准化研究院发起的《信息技术 云计算参考架构》标准符合性评估，并提供相关证书复印件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w:t>
            </w:r>
            <w:r>
              <w:rPr>
                <w:rFonts w:ascii="宋体" w:hAnsi="宋体" w:eastAsia="宋体" w:cs="宋体"/>
                <w:color w:val="000000"/>
                <w:kern w:val="0"/>
                <w:sz w:val="20"/>
                <w:szCs w:val="20"/>
                <w:highlight w:val="none"/>
              </w:rPr>
              <w:t>投标云管理平台需承建过符合国家网信办安全审查（评估）的案例，网信办官网可查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96" w:type="dxa"/>
            <w:vMerge w:val="restart"/>
            <w:vAlign w:val="center"/>
          </w:tcPr>
          <w:p>
            <w:pPr>
              <w:widowControl/>
              <w:jc w:val="left"/>
              <w:rPr>
                <w:rFonts w:ascii="宋体" w:hAnsi="宋体" w:eastAsia="宋体" w:cs="宋体"/>
                <w:color w:val="000000"/>
                <w:kern w:val="0"/>
                <w:sz w:val="20"/>
                <w:szCs w:val="20"/>
                <w:highlight w:val="yellow"/>
              </w:rPr>
            </w:pPr>
            <w:r>
              <w:rPr>
                <w:rFonts w:hint="eastAsia" w:ascii="宋体" w:hAnsi="宋体" w:eastAsia="宋体" w:cs="宋体"/>
                <w:color w:val="000000"/>
                <w:kern w:val="0"/>
                <w:sz w:val="20"/>
                <w:szCs w:val="20"/>
                <w:highlight w:val="none"/>
              </w:rPr>
              <w:t>★兼容性</w:t>
            </w:r>
          </w:p>
        </w:tc>
        <w:tc>
          <w:tcPr>
            <w:tcW w:w="6683" w:type="dxa"/>
            <w:shd w:val="clear" w:color="auto" w:fill="auto"/>
            <w:vAlign w:val="center"/>
          </w:tcPr>
          <w:p>
            <w:pPr>
              <w:widowControl/>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云管理平台可以兼容主流国产化X</w:t>
            </w:r>
            <w:r>
              <w:rPr>
                <w:rFonts w:ascii="宋体" w:hAnsi="宋体" w:eastAsia="宋体" w:cs="宋体"/>
                <w:color w:val="000000"/>
                <w:kern w:val="0"/>
                <w:sz w:val="20"/>
                <w:szCs w:val="20"/>
                <w:highlight w:val="none"/>
              </w:rPr>
              <w:t>86</w:t>
            </w:r>
            <w:r>
              <w:rPr>
                <w:rFonts w:hint="eastAsia" w:ascii="宋体" w:hAnsi="宋体" w:eastAsia="宋体" w:cs="宋体"/>
                <w:color w:val="000000"/>
                <w:kern w:val="0"/>
                <w:sz w:val="20"/>
                <w:szCs w:val="20"/>
                <w:highlight w:val="none"/>
              </w:rPr>
              <w:t>、A</w:t>
            </w:r>
            <w:r>
              <w:rPr>
                <w:rFonts w:ascii="宋体" w:hAnsi="宋体" w:eastAsia="宋体" w:cs="宋体"/>
                <w:color w:val="000000"/>
                <w:kern w:val="0"/>
                <w:sz w:val="20"/>
                <w:szCs w:val="20"/>
                <w:highlight w:val="none"/>
              </w:rPr>
              <w:t>RM</w:t>
            </w:r>
            <w:r>
              <w:rPr>
                <w:rFonts w:hint="eastAsia" w:ascii="宋体" w:hAnsi="宋体" w:eastAsia="宋体" w:cs="宋体"/>
                <w:color w:val="000000"/>
                <w:kern w:val="0"/>
                <w:sz w:val="20"/>
                <w:szCs w:val="20"/>
                <w:highlight w:val="none"/>
              </w:rPr>
              <w:t>服务器，提供海光、鲲鹏或同等主流名录厂商三个兼容性证书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96" w:type="dxa"/>
            <w:vMerge w:val="continue"/>
            <w:vAlign w:val="center"/>
          </w:tcPr>
          <w:p>
            <w:pPr>
              <w:widowControl/>
              <w:jc w:val="left"/>
              <w:rPr>
                <w:rFonts w:ascii="宋体" w:hAnsi="宋体" w:eastAsia="宋体" w:cs="宋体"/>
                <w:color w:val="000000"/>
                <w:kern w:val="0"/>
                <w:sz w:val="20"/>
                <w:szCs w:val="20"/>
                <w:highlight w:val="yellow"/>
              </w:rPr>
            </w:pPr>
          </w:p>
        </w:tc>
        <w:tc>
          <w:tcPr>
            <w:tcW w:w="6683" w:type="dxa"/>
            <w:shd w:val="clear" w:color="auto" w:fill="auto"/>
            <w:vAlign w:val="center"/>
          </w:tcPr>
          <w:p>
            <w:pPr>
              <w:widowControl/>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云管理平台可以兼容主流国产化数据库，提供达梦、南大通用、人大金仓或同等主流名录厂商三个数据库兼容性证书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96" w:type="dxa"/>
            <w:vMerge w:val="continue"/>
            <w:vAlign w:val="center"/>
          </w:tcPr>
          <w:p>
            <w:pPr>
              <w:widowControl/>
              <w:jc w:val="left"/>
              <w:rPr>
                <w:rFonts w:ascii="宋体" w:hAnsi="宋体" w:eastAsia="宋体" w:cs="宋体"/>
                <w:color w:val="000000"/>
                <w:kern w:val="0"/>
                <w:sz w:val="20"/>
                <w:szCs w:val="20"/>
                <w:highlight w:val="yellow"/>
              </w:rPr>
            </w:pPr>
          </w:p>
        </w:tc>
        <w:tc>
          <w:tcPr>
            <w:tcW w:w="6683" w:type="dxa"/>
            <w:shd w:val="clear" w:color="auto" w:fill="auto"/>
            <w:vAlign w:val="center"/>
          </w:tcPr>
          <w:p>
            <w:pPr>
              <w:widowControl/>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云管理平台可以兼容主流国产化中间件，提供金蝶、中创或同等主流名录厂商两个中间件兼容性证书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696" w:type="dxa"/>
            <w:vMerge w:val="restart"/>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基本要求</w:t>
            </w:r>
          </w:p>
        </w:tc>
        <w:tc>
          <w:tcPr>
            <w:tcW w:w="6683" w:type="dxa"/>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云管理平台基于业界主流OpenStack Pike及以上版本开发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平台提供自动化安装部署能力，提供独立的安装部署界面，满足云管理平台的快速部署上线的要求。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云管理平台管理节点须支持Docker集群部署，并支持部署在虚拟机上，提供平滑升级扩展、高可靠容错机制，各云服务组件之间松耦合，支持不同的服务组件如IaaS、PaaS、大数据、数据库、安全等独立部署，支持不同的服务组件单独启用或停用，单云服务组件升级对其他云服务和云管理平台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云管理平台兼容主流x86虚拟化平台</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支持KVM、VMware、Hyper-V、Xenserver等。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云管理平台兼容主流小型机虚拟化平台，支持PowerVM、HPVM等。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云管理平台支持业界主流的容器技术 Docker 及容器编排引擎 Kubernetes，支持Spring Cloud和Istio等主流微服务治理框架。云管理平台提供DevOps服务，实现代码托管、CI/CD、项目管理等功能，帮助用户完成软件研发流程的全生命周期管理。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至少三家厂商的SDN控制器对接，能通过SDN控制器实现对物理网络设备的自动化配置，实现虚拟路由器、虚拟私有网络、弹性IP、虚拟防火墙、虚拟负载均衡等网络服务的增加、删除、修改和查询，以确保开放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云管理平台支持至少三家厂商的集中式存储设备为虚拟机提供块存储服务。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云管理平台提供用户自助服务界面，用户能够通过自助服务门户完成云资源申请、使用、修改、销毁等操作。服务门户能够为用户提供云主机、云硬盘、云防火墙、云负载均衡、容器、K8S集群、云数据库、大数据、微服务、DevOps等服务。为保证系统数据的安全性，云管理平台须与虚拟化平台、容器平台、数据平台统一品牌，软件本体均要求在本地机房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restart"/>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平台功能</w:t>
            </w:r>
          </w:p>
        </w:tc>
        <w:tc>
          <w:tcPr>
            <w:tcW w:w="6683" w:type="dxa"/>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云管理平台支持多租户划分，为不同的租户分配资源配额，配额包括CPU、内存、云主机、路由器、VPN、网卡、防火墙、负载均衡、安全组、公网IP个数等，租户管理员可以根据租户内部架构，划分子租户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云管理平台可同时为租户分配多个不同品牌，不同性能的计算资源池和存储资源池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云管理平台支持角色功能和权限的自定义，云管理员能够根据需求定制角色分组，向特定用户开放相应功能界面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云管理平台支持自定义服务目录，可以控制云服务下各服务目录的启动和停止，停止服务目录后将不展示该服务；可以扩展目录，在系统中自定义添加新目录或更改当前目录的链接内容。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云资源的申请需要通过管理员审批方可使用，云管理平台最大支持九级审批流程，可以充分根据用户实际组织进行自定义，不同组织支持设置不同的审批流程，审批环节支持邮件通知相应责任人，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支持云服务计费，云管理员可以对云资源和云服务进行计费策略设定，计费策略可以基于CPU、内存、硬盘、存储、网络带宽、主机、Power主机、云桌面、裸金属、防火墙等资源制定费率，支持按小时、天、月为周期进行计费，支持同时设置单项规格和组合规格的计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支持工单功能，用户通过工单可以向云管理员反馈云资源使用所遇到的问题，支持自定义工单的问题分类、问题处理责任人等配置。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支持资源租期功能，为云管理员提供统一管理租期选项的能力，用户在申请资源时只能选择指定的资源租期，管理员可以及时调整租期选项以满足云服务的运营需求。云管理平台可以指定资源到期策略（如自动关闭、自动销毁、邮件通知等），并在资源到期前提前给资源使用人发送到期提醒通知，使用人可以根据需要进行资源续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云管理平台支持多种用户认证方式。除支持本地密码认证外，还支持对接LDAP、Oauth 2.0等方式认证、支持设置CAS和OPENID两种协议的SSO单点登录；支持邮件验证码、短信验证码和图片验证码等双重认证，提高账户登录的安全性。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云管理平台支持设定用户账号的安全策略。管理员可进行账号锁定/解锁，设定账号密码策略，如密码长度、密码复杂度、密码有效期、连续登录失败锁定，同一账号的接入点限制与ACL等策略。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为了提高云平台数据库的安全性，云管理平台可以自定义允许访问系统数据库的白名单IP，只有添加进白名单的IP才能访问云管理平台的数据库。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云管理平台可以收集系统日志、操作日志、诊断日志并进行日志统计以及全文检索，记录平台的运行状态以及故障记录。当监控到异常数据时，系统会将日志自动同步到syslog日志服务器。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云管理平台支持为系统设置备份策略，支持手动或自动备份到本地或远端，并设置备份频率、备份时间和最大副本数。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支持用户使用图形化界面通过拖拽的方式编排自己的VDC，用户可以通过拖拽的方式指定云主机、云网络、云路由器、云负载均衡等云资源的逻辑连接关系，当部署成功后，生成的云主机、云网络、云路由器、云防火墙、云负载均衡等云设备之间的连接关系应与编排时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云管理平台支持运营统计，提供资源统计、费用报表、资源报表等功能，支持将报表导出为execl或cvs格式到本地进行查看</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支持首页直观展示CPU、内存、存储、裸金属、弹性IP等基础资源的资源总量、已分配和已使用情况，资源使用率TOP10的租户情况；报表类型应包含资源费用报表、组织费用报表、费用趋势报表、资源租期报表、计算/存储/网络等资源报表、VLAN报表、组织配额报表、IP报表、云主机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系统支持一键巡检功能，可以检测当前系统节点状态、资源利用情况及告警信息等。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云管理平台支持大屏展示功能，展示云管平台IaaS层计算、网络、存储、组织用户等资源统计信息和资源分配情况、告警信息及PaaS层应用状态统计信息等内容，支持自定义大屏，可以根据需求调整大屏分辨率。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restart"/>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IaaS-计算</w:t>
            </w:r>
          </w:p>
        </w:tc>
        <w:tc>
          <w:tcPr>
            <w:tcW w:w="6683" w:type="dxa"/>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用户可以通过自助服务门户批量申请云主机。申请云主机时可以定义所需操作系统、CPU核数、内存、硬盘、IP及安全组，可以为云主机选择自定义密码、随机生成密码或密钥对登录，并直接选择虚拟机所在资源区域、物理主机及设置虚拟机亲和性和反亲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用户能够通过自助服务门户完成云主机的启动、关闭、重启、恢复、挂起、修改、快照、迁移、修改所有者、配置QoS策略等全生命周期操作，支持监控虚拟机的CPU、内存、磁盘IO和网络IO的使用情况。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支持用户重建云主机，用户可以通过公有镜像或私有镜像重新创建云主机。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云主机支持定时整机快照策略，支持带内存快照，云主机快照是某一时刻云主机状态的副本，可以保存云主机的设置和磁盘数据，支持内部快照和外部快照两种快照方式，内部快照存储在其磁盘文件中，外部快照通过创建增量磁盘存储增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支持用户采用密钥对方式登录云主机，保证用户登陆安全。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云主机支持标签管理，可以为云主机添加一个或多个标签，并通过标签筛选虚拟机，支持系统管理员、组织管理员、用户等不同的角色分别管理云主机标签。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rPr>
                <w:rFonts w:ascii="宋体" w:hAnsi="宋体" w:eastAsia="宋体" w:cs="宋体"/>
                <w:color w:val="000000"/>
                <w:kern w:val="0"/>
                <w:sz w:val="20"/>
                <w:szCs w:val="20"/>
              </w:rPr>
            </w:pPr>
            <w:r>
              <w:rPr>
                <w:rFonts w:ascii="宋体" w:hAnsi="宋体" w:eastAsia="宋体" w:cs="宋体"/>
                <w:color w:val="000000"/>
                <w:kern w:val="0"/>
                <w:sz w:val="20"/>
                <w:szCs w:val="20"/>
              </w:rPr>
              <w:t>支持云主机回收站，为了防止误删云主机，用户通过该功能可以将云主机移入回收站，而非直接销毁。在云主机回收保存期内用户可以从回收站中还原云主机，超过保存期后云主机将被自动销毁。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对资源扩展和收缩策略的灵活配置，能够根据虚拟机CPU、内存、连接数等参数动态的增加虚拟机或删除虚拟机以满足“业务量大时使用多个虚拟机提供服务、业务量少时使用少量虚拟机提供服务”的业务需求，整个过程不需要人工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云管理平台支持裸金属服务，用户可以申请裸金属服务器并安装操作系统，或纳管正在运行的裸金属服务器。支持对裸金属服务器进行启动、停止、销毁等生命周期操作。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云管理平台支持云桌面服务，支持桌面资源规格（CPU/GPU/内存）和桌面镜像（操作系统/应用软件）定义，提供虚拟桌面的申请、启动、关闭、重启、删除、配置管理等生命周期操作。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云桌面服务支持桌面池管理、终端管理、桌面资源概览等基础功能，并能够提供文件分发、软件分发、消息推送、盲水印解析、桌面云盘等能力，系统支持创建VDI、IDV、VOI三种不同类型的云桌面。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云管理平台支持备份服务，可以对云主机、云硬盘创建备份任务制定备份策略，进行定时定期备份，并可以根据备份数据恢复云主机或云硬盘，确保数据可靠性。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灾备管理，系统管理员可以在主可用域和备可用域进行容灾配置，当主可用域主机池或生产机因意外（灾害、人为破坏等）停止工作时，由备可用域接替业务，保证业务不中断。主可用域云主机配置变化自动同步到备可用域，实现业务同步。支持计划恢复、故障恢复、反向恢复；计划恢复与故障恢复可将云主机复制到备可用域运行保持业务继续；主可用域恢复后，一键反向恢复，将业务恢复到主可用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96" w:type="dxa"/>
            <w:vMerge w:val="restart"/>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IaaS-存储</w:t>
            </w:r>
          </w:p>
        </w:tc>
        <w:tc>
          <w:tcPr>
            <w:tcW w:w="6683" w:type="dxa"/>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云管理平台支持根据计算或存储资源的硬件配置、虚拟化类型乃至地理位置等信息将计算或存储资源划分到不同的可用域中，从而保证不同的组织能以最优的方式使用计算或存储资源。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云管理平台管理虚拟化平台的存储资源时可以根据SSD/SAS/SATA、IOPS等参数配置不同的存储资源池（如高速、中速、低速等类型），用户申请存储资源时可根据需要选择对应的资源池，达到云存储规格分级管理与使用的需要，不同资源池提供独立的资源规格和计费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云管理平台可支持云硬盘服务，支持新建、销毁、修改所有者、在线扩展硬盘容量、快照、备份、克隆等操作，支持云硬盘自动快照策略，同时支持云硬盘加密功能。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支持共享云硬盘，可以将同一个云硬盘同时挂载给多台虚拟机或裸金属服务器。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云管理平台支持为虚拟机（包括Vmware虚拟机）挂载厚置备与精简置备两种类型的云硬盘。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用户可以通过自助服务门户批量申请云硬盘。申请云硬盘时可以定义资源所属区域，类型，是否共享，硬盘容量，是否挂载到云主机等。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云管理平台支持对象存储服务，支持新建、修改、删除对象存储容器；支持已创建的容器中创建、删除文件夹；支持已创建容器中文件的上传、下载、复制、编辑和删除。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云管理平台支持文件存储服务，支持NFS协议和CIFS协议；支持共享文件的创建、修改、删除、权限设置以及自动挂载给虚拟机。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96" w:type="dxa"/>
            <w:vMerge w:val="continue"/>
            <w:vAlign w:val="center"/>
          </w:tcPr>
          <w:p>
            <w:pPr>
              <w:widowControl/>
              <w:jc w:val="left"/>
              <w:rPr>
                <w:rFonts w:ascii="宋体" w:hAnsi="宋体" w:eastAsia="宋体" w:cs="宋体"/>
                <w:color w:val="000000"/>
                <w:kern w:val="0"/>
                <w:sz w:val="20"/>
                <w:szCs w:val="20"/>
              </w:rPr>
            </w:pPr>
          </w:p>
        </w:tc>
        <w:tc>
          <w:tcPr>
            <w:tcW w:w="6683" w:type="dxa"/>
            <w:shd w:val="clear" w:color="auto" w:fill="auto"/>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云管理平台可提供云网盘服务，租户管理员可以直接创建云网盘，普通用户可自助申请私有网盘空间。网盘所有者可对网盘的文件夹或者文件设置共享权限，从而共享给组织内的其他用户。云网盘可以通过手机APP进行远程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96" w:type="dxa"/>
            <w:vAlign w:val="center"/>
          </w:tcPr>
          <w:p>
            <w:pPr>
              <w:widowControl/>
              <w:ind w:firstLine="200" w:firstLineChars="100"/>
              <w:jc w:val="left"/>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eastAsia="zh-CN"/>
              </w:rPr>
              <w:t>技术支撑</w:t>
            </w:r>
          </w:p>
        </w:tc>
        <w:tc>
          <w:tcPr>
            <w:tcW w:w="6683" w:type="dxa"/>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配置</w:t>
            </w:r>
            <w:r>
              <w:rPr>
                <w:rFonts w:hint="eastAsia" w:ascii="宋体" w:hAnsi="宋体" w:cs="宋体"/>
                <w:color w:val="000000"/>
                <w:kern w:val="0"/>
                <w:sz w:val="20"/>
                <w:szCs w:val="20"/>
                <w:highlight w:val="none"/>
                <w:lang w:eastAsia="zh-CN"/>
              </w:rPr>
              <w:t>专人（</w:t>
            </w:r>
            <w:r>
              <w:rPr>
                <w:rFonts w:hint="eastAsia" w:ascii="宋体" w:hAnsi="宋体" w:cs="宋体"/>
                <w:color w:val="000000"/>
                <w:kern w:val="0"/>
                <w:sz w:val="20"/>
                <w:szCs w:val="20"/>
                <w:highlight w:val="none"/>
                <w:lang w:val="en-US" w:eastAsia="zh-CN"/>
              </w:rPr>
              <w:t>1人一年</w:t>
            </w:r>
            <w:r>
              <w:rPr>
                <w:rFonts w:hint="eastAsia" w:ascii="宋体" w:hAnsi="宋体" w:cs="宋体"/>
                <w:color w:val="000000"/>
                <w:kern w:val="0"/>
                <w:sz w:val="20"/>
                <w:szCs w:val="20"/>
                <w:highlight w:val="none"/>
                <w:lang w:eastAsia="zh-CN"/>
              </w:rPr>
              <w:t>）提供云管理平台运营服务</w:t>
            </w:r>
          </w:p>
        </w:tc>
      </w:tr>
    </w:tbl>
    <w:p/>
    <w:p>
      <w:pPr>
        <w:pStyle w:val="8"/>
      </w:pPr>
      <w:r>
        <w:t>2、</w:t>
      </w:r>
      <w:r>
        <w:rPr>
          <w:rFonts w:hint="eastAsia"/>
        </w:rPr>
        <w:t>备份软件（1套）</w:t>
      </w:r>
    </w:p>
    <w:tbl>
      <w:tblPr>
        <w:tblStyle w:val="59"/>
        <w:tblW w:w="5000" w:type="pct"/>
        <w:tblInd w:w="0" w:type="dxa"/>
        <w:tblLayout w:type="autofit"/>
        <w:tblCellMar>
          <w:top w:w="0" w:type="dxa"/>
          <w:left w:w="108" w:type="dxa"/>
          <w:bottom w:w="0" w:type="dxa"/>
          <w:right w:w="108" w:type="dxa"/>
        </w:tblCellMar>
      </w:tblPr>
      <w:tblGrid>
        <w:gridCol w:w="1743"/>
        <w:gridCol w:w="6785"/>
      </w:tblGrid>
      <w:tr>
        <w:tblPrEx>
          <w:tblCellMar>
            <w:top w:w="0" w:type="dxa"/>
            <w:left w:w="108" w:type="dxa"/>
            <w:bottom w:w="0" w:type="dxa"/>
            <w:right w:w="108" w:type="dxa"/>
          </w:tblCellMar>
        </w:tblPrEx>
        <w:trPr>
          <w:trHeight w:val="312" w:hRule="atLeast"/>
        </w:trPr>
        <w:tc>
          <w:tcPr>
            <w:tcW w:w="1022" w:type="pct"/>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jc w:val="center"/>
              <w:rPr>
                <w:rFonts w:ascii="宋体" w:hAnsi="宋体" w:eastAsia="宋体" w:cs="宋体"/>
                <w:b/>
                <w:bCs/>
                <w:kern w:val="0"/>
                <w:sz w:val="24"/>
                <w:szCs w:val="24"/>
              </w:rPr>
            </w:pPr>
            <w:r>
              <w:rPr>
                <w:rFonts w:hint="eastAsia" w:ascii="宋体" w:hAnsi="宋体" w:eastAsia="宋体" w:cs="宋体"/>
                <w:b/>
                <w:color w:val="000000"/>
                <w:kern w:val="0"/>
                <w:sz w:val="20"/>
                <w:szCs w:val="20"/>
              </w:rPr>
              <w:t>功能及技术指标</w:t>
            </w:r>
          </w:p>
        </w:tc>
        <w:tc>
          <w:tcPr>
            <w:tcW w:w="3978" w:type="pct"/>
            <w:tcBorders>
              <w:top w:val="single" w:color="auto" w:sz="4" w:space="0"/>
              <w:left w:val="single" w:color="auto" w:sz="4" w:space="0"/>
              <w:bottom w:val="single" w:color="auto" w:sz="4" w:space="0"/>
              <w:right w:val="single" w:color="auto" w:sz="4" w:space="0"/>
            </w:tcBorders>
            <w:shd w:val="clear" w:color="auto" w:fill="FFFFFF" w:themeFill="background1"/>
          </w:tcPr>
          <w:p>
            <w:pPr>
              <w:widowControl/>
              <w:jc w:val="center"/>
              <w:rPr>
                <w:rFonts w:ascii="宋体" w:hAnsi="宋体" w:eastAsia="宋体" w:cs="宋体"/>
                <w:b/>
                <w:bCs/>
                <w:kern w:val="0"/>
                <w:sz w:val="24"/>
                <w:szCs w:val="24"/>
              </w:rPr>
            </w:pPr>
            <w:r>
              <w:rPr>
                <w:rFonts w:hint="eastAsia" w:ascii="宋体" w:hAnsi="宋体" w:eastAsia="宋体" w:cs="宋体"/>
                <w:b/>
                <w:color w:val="000000"/>
                <w:kern w:val="0"/>
                <w:sz w:val="20"/>
                <w:szCs w:val="20"/>
              </w:rPr>
              <w:t>详细技术参数</w:t>
            </w:r>
          </w:p>
        </w:tc>
      </w:tr>
      <w:tr>
        <w:tblPrEx>
          <w:tblCellMar>
            <w:top w:w="0" w:type="dxa"/>
            <w:left w:w="108" w:type="dxa"/>
            <w:bottom w:w="0" w:type="dxa"/>
            <w:right w:w="108" w:type="dxa"/>
          </w:tblCellMar>
        </w:tblPrEx>
        <w:trPr>
          <w:trHeight w:val="312"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品牌</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与备份存储同品牌</w:t>
            </w:r>
          </w:p>
        </w:tc>
      </w:tr>
      <w:tr>
        <w:tblPrEx>
          <w:tblCellMar>
            <w:top w:w="0" w:type="dxa"/>
            <w:left w:w="108" w:type="dxa"/>
            <w:bottom w:w="0" w:type="dxa"/>
            <w:right w:w="108" w:type="dxa"/>
          </w:tblCellMar>
        </w:tblPrEx>
        <w:trPr>
          <w:trHeight w:val="312"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软件授权</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配置60TB后端存储容量授权，软件全功能开放</w:t>
            </w:r>
          </w:p>
        </w:tc>
      </w:tr>
      <w:tr>
        <w:tblPrEx>
          <w:tblCellMar>
            <w:top w:w="0" w:type="dxa"/>
            <w:left w:w="108" w:type="dxa"/>
            <w:bottom w:w="0" w:type="dxa"/>
            <w:right w:w="108" w:type="dxa"/>
          </w:tblCellMar>
        </w:tblPrEx>
        <w:trPr>
          <w:trHeight w:val="936" w:hRule="atLeast"/>
        </w:trPr>
        <w:tc>
          <w:tcPr>
            <w:tcW w:w="1022"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★平台兼容性</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备份客户端支持部署在Windows、Linux、AIX、Solaris、HP-UX等操作系统，以及基于龙芯、飞腾、海光、兆芯、申威、华为鲲鹏处理器架构下的银河麒麟和统信UOS操作系统等国产操作系统。</w:t>
            </w:r>
          </w:p>
        </w:tc>
      </w:tr>
      <w:tr>
        <w:tblPrEx>
          <w:tblCellMar>
            <w:top w:w="0" w:type="dxa"/>
            <w:left w:w="108" w:type="dxa"/>
            <w:bottom w:w="0" w:type="dxa"/>
            <w:right w:w="108" w:type="dxa"/>
          </w:tblCellMar>
        </w:tblPrEx>
        <w:trPr>
          <w:trHeight w:val="624" w:hRule="atLeast"/>
        </w:trPr>
        <w:tc>
          <w:tcPr>
            <w:tcW w:w="102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highlight w:val="none"/>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支持磁盘块存储、蓝光光盘塔、磁带机、物理磁带库、虚拟磁带库、对象存储等作为备份数据的存储介质。</w:t>
            </w:r>
          </w:p>
        </w:tc>
      </w:tr>
      <w:tr>
        <w:tblPrEx>
          <w:tblCellMar>
            <w:top w:w="0" w:type="dxa"/>
            <w:left w:w="108" w:type="dxa"/>
            <w:bottom w:w="0" w:type="dxa"/>
            <w:right w:w="108" w:type="dxa"/>
          </w:tblCellMar>
        </w:tblPrEx>
        <w:trPr>
          <w:trHeight w:val="936" w:hRule="atLeast"/>
        </w:trPr>
        <w:tc>
          <w:tcPr>
            <w:tcW w:w="102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管理与运维</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支持通过图形化向导管理界面按设定好的步骤完成备份管理服务端的账号生成、存储池创建、系统自备份的配置，客户端注册和客户端权限划分等功能的开通，减少服务端部署的初始化复杂度。</w:t>
            </w:r>
          </w:p>
        </w:tc>
      </w:tr>
      <w:tr>
        <w:tblPrEx>
          <w:tblCellMar>
            <w:top w:w="0" w:type="dxa"/>
            <w:left w:w="108" w:type="dxa"/>
            <w:bottom w:w="0" w:type="dxa"/>
            <w:right w:w="108" w:type="dxa"/>
          </w:tblCellMar>
        </w:tblPrEx>
        <w:trPr>
          <w:trHeight w:val="312"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WEB管理界面支持多种语言设置，包含简体中文、繁体中文、英文和西班牙文。</w:t>
            </w:r>
          </w:p>
        </w:tc>
      </w:tr>
      <w:tr>
        <w:tblPrEx>
          <w:tblCellMar>
            <w:top w:w="0" w:type="dxa"/>
            <w:left w:w="108" w:type="dxa"/>
            <w:bottom w:w="0" w:type="dxa"/>
            <w:right w:w="108" w:type="dxa"/>
          </w:tblCellMar>
        </w:tblPrEx>
        <w:trPr>
          <w:trHeight w:val="1248"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报表统计和报表导出功能：报表数据来源涵盖作业、作业数量、作业历史、备份成功率、警报、存储资源等。支持生成指定时间段的报表，报表中的字段支持重命名、删减和排序。报表导出格式必须包括XML、CSV、UOF，并且UOF能够打开并以表格（非XML格式）形式展现。（要求提供软件截图证明）</w:t>
            </w:r>
          </w:p>
        </w:tc>
      </w:tr>
      <w:tr>
        <w:tblPrEx>
          <w:tblCellMar>
            <w:top w:w="0" w:type="dxa"/>
            <w:left w:w="108" w:type="dxa"/>
            <w:bottom w:w="0" w:type="dxa"/>
            <w:right w:w="108" w:type="dxa"/>
          </w:tblCellMar>
        </w:tblPrEx>
        <w:trPr>
          <w:trHeight w:val="624"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支持使用Access Key的用户登录模式，有效解决用户应用系统密码定期自动变更和无密码场景下备份作业的按期执行。（要求提供软件截图证明）</w:t>
            </w:r>
          </w:p>
        </w:tc>
      </w:tr>
      <w:tr>
        <w:tblPrEx>
          <w:tblCellMar>
            <w:top w:w="0" w:type="dxa"/>
            <w:left w:w="108" w:type="dxa"/>
            <w:bottom w:w="0" w:type="dxa"/>
            <w:right w:w="108" w:type="dxa"/>
          </w:tblCellMar>
        </w:tblPrEx>
        <w:trPr>
          <w:trHeight w:val="624"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支持管理员自定义哪些类型的业务需要启用审批，业务类型包括：修改存储池、创建备份作业、创建恢复作业等。（要求提供软件截图证明）</w:t>
            </w:r>
          </w:p>
        </w:tc>
      </w:tr>
      <w:tr>
        <w:tblPrEx>
          <w:tblCellMar>
            <w:top w:w="0" w:type="dxa"/>
            <w:left w:w="108" w:type="dxa"/>
            <w:bottom w:w="0" w:type="dxa"/>
            <w:right w:w="108" w:type="dxa"/>
          </w:tblCellMar>
        </w:tblPrEx>
        <w:trPr>
          <w:trHeight w:val="1248" w:hRule="atLeast"/>
        </w:trPr>
        <w:tc>
          <w:tcPr>
            <w:tcW w:w="102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文件与操作系统保护服务</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支持在线文件备份，包含：全量备份、增量备份与合成备份。支持对Windows、Linux、UNIX平台单文件/目录进行细颗粒度的合成备份和恢复。备份支持通过名称或通配符进行文件过滤，排除操作系统文件和一些指定扩展名的文件类型。</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支持全量备份、增量备份、合成备份生成的备份数据集通过挂载方式进行快速恢复。</w:t>
            </w:r>
          </w:p>
        </w:tc>
      </w:tr>
      <w:tr>
        <w:tblPrEx>
          <w:tblCellMar>
            <w:top w:w="0" w:type="dxa"/>
            <w:left w:w="108" w:type="dxa"/>
            <w:bottom w:w="0" w:type="dxa"/>
            <w:right w:w="108" w:type="dxa"/>
          </w:tblCellMar>
        </w:tblPrEx>
        <w:trPr>
          <w:trHeight w:val="624"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支持多通道技术，且备份通道数设置范围为1～255，可根据客户端资源情况调整备份通道数量。（要求提供软件截图证明）</w:t>
            </w:r>
          </w:p>
        </w:tc>
      </w:tr>
      <w:tr>
        <w:tblPrEx>
          <w:tblCellMar>
            <w:top w:w="0" w:type="dxa"/>
            <w:left w:w="108" w:type="dxa"/>
            <w:bottom w:w="0" w:type="dxa"/>
            <w:right w:w="108" w:type="dxa"/>
          </w:tblCellMar>
        </w:tblPrEx>
        <w:trPr>
          <w:trHeight w:val="624"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支持文件、对象存储、Hadoop HDFS的在线备份和彼此之间的交互恢复，支持对象存储和Hadoop HDFS的备份数据恢复到异构的Linux文件系统。（要求提供软件截图证明）</w:t>
            </w:r>
          </w:p>
        </w:tc>
      </w:tr>
      <w:tr>
        <w:tblPrEx>
          <w:tblCellMar>
            <w:top w:w="0" w:type="dxa"/>
            <w:left w:w="108" w:type="dxa"/>
            <w:bottom w:w="0" w:type="dxa"/>
            <w:right w:w="108" w:type="dxa"/>
          </w:tblCellMar>
        </w:tblPrEx>
        <w:trPr>
          <w:trHeight w:val="624"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无需安装备份客户端软件，即可实现挂载快速恢复文件数据。（要求提供软件截图证明）</w:t>
            </w:r>
          </w:p>
        </w:tc>
      </w:tr>
      <w:tr>
        <w:tblPrEx>
          <w:tblCellMar>
            <w:top w:w="0" w:type="dxa"/>
            <w:left w:w="108" w:type="dxa"/>
            <w:bottom w:w="0" w:type="dxa"/>
            <w:right w:w="108" w:type="dxa"/>
          </w:tblCellMar>
        </w:tblPrEx>
        <w:trPr>
          <w:trHeight w:val="1560"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支持在线备份Windows、Linux平台的操作系统及卷数据。支持Windows、Linux操作系统卷级和文件级的细粒度恢复。</w:t>
            </w:r>
          </w:p>
          <w:p>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支持Windows操作系统在裸机恢复过程中提供驱动程序更换界面，允许客户针对不同的硬件驱动程序做恢复现场的替换。</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支持Linux操作系统备份和裸机恢复，支持原机恢复和异机恢复。</w:t>
            </w:r>
          </w:p>
        </w:tc>
      </w:tr>
      <w:tr>
        <w:tblPrEx>
          <w:tblCellMar>
            <w:top w:w="0" w:type="dxa"/>
            <w:left w:w="108" w:type="dxa"/>
            <w:bottom w:w="0" w:type="dxa"/>
            <w:right w:w="108" w:type="dxa"/>
          </w:tblCellMar>
        </w:tblPrEx>
        <w:trPr>
          <w:trHeight w:val="2604" w:hRule="atLeast"/>
        </w:trPr>
        <w:tc>
          <w:tcPr>
            <w:tcW w:w="102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大数据平台保护服务</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支持Hadoop分布式文件系统HDFS的文件备份，包含：完全备份、增量备份、合成备份。备份数据支持恢复到Linux、Unix文件系统和对象存储中，实现HDFS数据在异构文件系统中自动转换和有效恢复。</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支持Hadoop分布式文件系统HDFS的完全备份、增量备份、合成备份的备份数据，无需通过还原数据过程，直接通过挂载方式，实现数据的快速恢复。</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支持多通道技术，且备份通道数设置范围支持1～255，可根据客户端资源情况在线调整备份通道数量。（要求提供软件截图证明）</w:t>
            </w:r>
          </w:p>
        </w:tc>
      </w:tr>
      <w:tr>
        <w:tblPrEx>
          <w:tblCellMar>
            <w:top w:w="0" w:type="dxa"/>
            <w:left w:w="108" w:type="dxa"/>
            <w:bottom w:w="0" w:type="dxa"/>
            <w:right w:w="108" w:type="dxa"/>
          </w:tblCellMar>
        </w:tblPrEx>
        <w:trPr>
          <w:trHeight w:val="1248"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支持MongoDB分布式文件存储数据库的逻辑备份、完全备份和日志备份，并支持恢复到任意时间点。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支持MongoDB分布式文件存储数据库备份到本地存储，磁带库和对象存储，支持通过LAN-Free的方式备份到磁带库。</w:t>
            </w:r>
          </w:p>
        </w:tc>
      </w:tr>
      <w:tr>
        <w:tblPrEx>
          <w:tblCellMar>
            <w:top w:w="0" w:type="dxa"/>
            <w:left w:w="108" w:type="dxa"/>
            <w:bottom w:w="0" w:type="dxa"/>
            <w:right w:w="108" w:type="dxa"/>
          </w:tblCellMar>
        </w:tblPrEx>
        <w:trPr>
          <w:trHeight w:val="936"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支持对Oracle、SQL Server、MySQL、DB2、PostgreSQL、Informix、Sybase、达梦、人大金仓、神舟通用等主流数据库的备份数据进行定时容灾演练，符合等级保护的要求以检验备份集的可用性。（要求提供软件截图证明）</w:t>
            </w:r>
          </w:p>
        </w:tc>
      </w:tr>
      <w:tr>
        <w:tblPrEx>
          <w:tblCellMar>
            <w:top w:w="0" w:type="dxa"/>
            <w:left w:w="108" w:type="dxa"/>
            <w:bottom w:w="0" w:type="dxa"/>
            <w:right w:w="108" w:type="dxa"/>
          </w:tblCellMar>
        </w:tblPrEx>
        <w:trPr>
          <w:trHeight w:val="624"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支持通过挂载方式实现Oracle、SQL Server、MySQL数据库的挂载恢复，挂载方式必须支持iSCSI、FC协议进行挂载。</w:t>
            </w:r>
          </w:p>
        </w:tc>
      </w:tr>
      <w:tr>
        <w:tblPrEx>
          <w:tblCellMar>
            <w:top w:w="0" w:type="dxa"/>
            <w:left w:w="108" w:type="dxa"/>
            <w:bottom w:w="0" w:type="dxa"/>
            <w:right w:w="108" w:type="dxa"/>
          </w:tblCellMar>
        </w:tblPrEx>
        <w:trPr>
          <w:trHeight w:val="936"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Oracle日志解析，可以界面化展现Oracle事务中的SCN和具体事务操作，并选择准确的SCN号来确定数据恢复点。通过日志解析获取事务具体操作的SQL语句，实现在线创建事务日志撤销作业。（要求提供软件截图证明）</w:t>
            </w:r>
          </w:p>
        </w:tc>
      </w:tr>
      <w:tr>
        <w:tblPrEx>
          <w:tblCellMar>
            <w:top w:w="0" w:type="dxa"/>
            <w:left w:w="108" w:type="dxa"/>
            <w:bottom w:w="0" w:type="dxa"/>
            <w:right w:w="108" w:type="dxa"/>
          </w:tblCellMar>
        </w:tblPrEx>
        <w:trPr>
          <w:trHeight w:val="1248"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支持SQL Server AlwaysOn Availability Groups的备份和恢复，自动化实现恢复时可用性组移出移入操作，简化操作流程，避免人为误操作。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支持SQL Server的合成备份和挂载恢复，支持恢复到指定的LSN事务日志序列号。（要求提供软件截图证明）</w:t>
            </w:r>
          </w:p>
        </w:tc>
      </w:tr>
      <w:tr>
        <w:tblPrEx>
          <w:tblCellMar>
            <w:top w:w="0" w:type="dxa"/>
            <w:left w:w="108" w:type="dxa"/>
            <w:bottom w:w="0" w:type="dxa"/>
            <w:right w:w="108" w:type="dxa"/>
          </w:tblCellMar>
        </w:tblPrEx>
        <w:trPr>
          <w:trHeight w:val="1560"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支持MySQL的物理合成备份、日志备份和挂载恢复，且备份过程不锁表，支持恢复到指定的GTID（Global Transaction Identifier）。</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支持MySQL采用持续日志备份方式，连续监控并复制变化的Binlog文件，实现对数据库变化数据达到秒级以内的备份保护。</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兼容MySQL复杂部署环境，包括MySQL的高可用架构MHA。（要求提供软件截图证明）</w:t>
            </w:r>
          </w:p>
        </w:tc>
      </w:tr>
      <w:tr>
        <w:tblPrEx>
          <w:tblCellMar>
            <w:top w:w="0" w:type="dxa"/>
            <w:left w:w="108" w:type="dxa"/>
            <w:bottom w:w="0" w:type="dxa"/>
            <w:right w:w="108" w:type="dxa"/>
          </w:tblCellMar>
        </w:tblPrEx>
        <w:trPr>
          <w:trHeight w:val="936" w:hRule="atLeast"/>
        </w:trPr>
        <w:tc>
          <w:tcPr>
            <w:tcW w:w="102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虚拟化与云平台保护服务</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支持VMware、Hyper-V、XenServer、Xen、KVM、FusionCompute、FusionCloud（Huawei Cloud Stack）、H3C CAS、OpenStack、CNware、RHV、易捷行云EasyStack、腾讯云Tstack、网安凌云、浪潮云等虚拟化平台或云平台的备份恢复</w:t>
            </w:r>
          </w:p>
        </w:tc>
      </w:tr>
      <w:tr>
        <w:tblPrEx>
          <w:tblCellMar>
            <w:top w:w="0" w:type="dxa"/>
            <w:left w:w="108" w:type="dxa"/>
            <w:bottom w:w="0" w:type="dxa"/>
            <w:right w:w="108" w:type="dxa"/>
          </w:tblCellMar>
        </w:tblPrEx>
        <w:trPr>
          <w:trHeight w:val="936"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支持虚拟化平台的无代理备份，平台类型包括但不限于VMware、FusionCompute、FusionCloud、H3C CAS、CNware。以上虚拟化应用均无需在虚拟机内部安装任何代理软件或插件。</w:t>
            </w:r>
          </w:p>
        </w:tc>
      </w:tr>
      <w:tr>
        <w:tblPrEx>
          <w:tblCellMar>
            <w:top w:w="0" w:type="dxa"/>
            <w:left w:w="108" w:type="dxa"/>
            <w:bottom w:w="0" w:type="dxa"/>
            <w:right w:w="108" w:type="dxa"/>
          </w:tblCellMar>
        </w:tblPrEx>
        <w:trPr>
          <w:trHeight w:val="312"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支持VMware的合成备份，通过挂载方式实现虚拟机的快速恢复。</w:t>
            </w:r>
          </w:p>
        </w:tc>
      </w:tr>
      <w:tr>
        <w:tblPrEx>
          <w:tblCellMar>
            <w:top w:w="0" w:type="dxa"/>
            <w:left w:w="108" w:type="dxa"/>
            <w:bottom w:w="0" w:type="dxa"/>
            <w:right w:w="108" w:type="dxa"/>
          </w:tblCellMar>
        </w:tblPrEx>
        <w:trPr>
          <w:trHeight w:val="624"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支持以VMware vAPP分组来展现虚拟机，并以vAPP分组为对象创建备份作业，包括完全备份、差异备份、增量备份，从而达到对vAPP分组内所有虚拟机的备份要求。</w:t>
            </w:r>
          </w:p>
        </w:tc>
      </w:tr>
      <w:tr>
        <w:tblPrEx>
          <w:tblCellMar>
            <w:top w:w="0" w:type="dxa"/>
            <w:left w:w="108" w:type="dxa"/>
            <w:bottom w:w="0" w:type="dxa"/>
            <w:right w:w="108" w:type="dxa"/>
          </w:tblCellMar>
        </w:tblPrEx>
        <w:trPr>
          <w:trHeight w:val="936"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结合vSphere Web Client Plugin，在VMware vCenter的管理界面上可以直接查看备份产品中虚拟机备份任务的状态，为用户提供更好的VMware虚拟化备份管理体验。（要求提供软件截图证明）</w:t>
            </w:r>
          </w:p>
        </w:tc>
      </w:tr>
      <w:tr>
        <w:tblPrEx>
          <w:tblCellMar>
            <w:top w:w="0" w:type="dxa"/>
            <w:left w:w="108" w:type="dxa"/>
            <w:bottom w:w="0" w:type="dxa"/>
            <w:right w:w="108" w:type="dxa"/>
          </w:tblCellMar>
        </w:tblPrEx>
        <w:trPr>
          <w:trHeight w:val="1248"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支持虚拟化与云平台从整机备份数据中进行细粒度的文件级恢复，平台类型包括但不限于VMware、OpenStack等。</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支持虚拟化和云平台的虚拟机恢复后自动开、恢复网络标签（包含MAC地址），平台包括但不限于VMware、FusionCloud、FusionCompute。</w:t>
            </w:r>
          </w:p>
        </w:tc>
      </w:tr>
      <w:tr>
        <w:tblPrEx>
          <w:tblCellMar>
            <w:top w:w="0" w:type="dxa"/>
            <w:left w:w="108" w:type="dxa"/>
            <w:bottom w:w="0" w:type="dxa"/>
            <w:right w:w="108" w:type="dxa"/>
          </w:tblCellMar>
        </w:tblPrEx>
        <w:trPr>
          <w:trHeight w:val="624"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同时支持华为FusionSphere基于Xen的版本和KVM的版本。</w:t>
            </w:r>
          </w:p>
        </w:tc>
      </w:tr>
      <w:tr>
        <w:tblPrEx>
          <w:tblCellMar>
            <w:top w:w="0" w:type="dxa"/>
            <w:left w:w="108" w:type="dxa"/>
            <w:bottom w:w="0" w:type="dxa"/>
            <w:right w:w="108" w:type="dxa"/>
          </w:tblCellMar>
        </w:tblPrEx>
        <w:trPr>
          <w:trHeight w:val="1560"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支持FusionCloud（或Huawei Cloud Stack）基于LAN-Base传输模式和LAN-Free的SAN传输模式。支持快照保留和清理的功能。</w:t>
            </w:r>
          </w:p>
          <w:p>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支持FusionCloud部署在X86平台和华为鲲鹏ARM平台上的虚拟机备份与恢复。</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支持后端存储为Ocenstor或FusionStorage类型的FusionCloud备份和恢复，支持FusionCloud 6.1/6.3/6.5等版本。</w:t>
            </w:r>
          </w:p>
        </w:tc>
      </w:tr>
      <w:tr>
        <w:tblPrEx>
          <w:tblCellMar>
            <w:top w:w="0" w:type="dxa"/>
            <w:left w:w="108" w:type="dxa"/>
            <w:bottom w:w="0" w:type="dxa"/>
            <w:right w:w="108" w:type="dxa"/>
          </w:tblCellMar>
        </w:tblPrEx>
        <w:trPr>
          <w:trHeight w:val="936" w:hRule="atLeast"/>
        </w:trPr>
        <w:tc>
          <w:tcPr>
            <w:tcW w:w="1022" w:type="pct"/>
            <w:tcBorders>
              <w:top w:val="nil"/>
              <w:left w:val="single" w:color="auto" w:sz="4" w:space="0"/>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NAS备份保护服务</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支持通过NDMP协议备份NAS设备，备份方式支持完全备份和增量备份。</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支持NDMP V3和V4协议，备份数据支持重复数据删除功能和NAS的备份数据存储到磁带设备中。</w:t>
            </w:r>
          </w:p>
        </w:tc>
      </w:tr>
      <w:tr>
        <w:tblPrEx>
          <w:tblCellMar>
            <w:top w:w="0" w:type="dxa"/>
            <w:left w:w="108" w:type="dxa"/>
            <w:bottom w:w="0" w:type="dxa"/>
            <w:right w:w="108" w:type="dxa"/>
          </w:tblCellMar>
        </w:tblPrEx>
        <w:trPr>
          <w:trHeight w:val="624" w:hRule="atLeast"/>
        </w:trPr>
        <w:tc>
          <w:tcPr>
            <w:tcW w:w="10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LAN-Free功能要求</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支持采用LAN-Free方式对文件、数据库、操作系统和虚拟化平台进行数据备份，节省网络流量开销。LAN-Free的网络协议必须能支持iSCSI和FC。</w:t>
            </w:r>
          </w:p>
        </w:tc>
      </w:tr>
      <w:tr>
        <w:tblPrEx>
          <w:tblCellMar>
            <w:top w:w="0" w:type="dxa"/>
            <w:left w:w="108" w:type="dxa"/>
            <w:bottom w:w="0" w:type="dxa"/>
            <w:right w:w="108" w:type="dxa"/>
          </w:tblCellMar>
        </w:tblPrEx>
        <w:trPr>
          <w:trHeight w:val="312" w:hRule="atLeast"/>
        </w:trPr>
        <w:tc>
          <w:tcPr>
            <w:tcW w:w="10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支持D2T和D2D2T两种模式。</w:t>
            </w:r>
          </w:p>
        </w:tc>
      </w:tr>
      <w:tr>
        <w:tblPrEx>
          <w:tblCellMar>
            <w:top w:w="0" w:type="dxa"/>
            <w:left w:w="108" w:type="dxa"/>
            <w:bottom w:w="0" w:type="dxa"/>
            <w:right w:w="108" w:type="dxa"/>
          </w:tblCellMar>
        </w:tblPrEx>
        <w:trPr>
          <w:trHeight w:val="624" w:hRule="atLeast"/>
        </w:trPr>
        <w:tc>
          <w:tcPr>
            <w:tcW w:w="10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支持通过LAN-Free的方式将数据备份到物理磁带，网络协议要求支持FC和iSCSI。</w:t>
            </w:r>
          </w:p>
        </w:tc>
      </w:tr>
      <w:tr>
        <w:tblPrEx>
          <w:tblCellMar>
            <w:top w:w="0" w:type="dxa"/>
            <w:left w:w="108" w:type="dxa"/>
            <w:bottom w:w="0" w:type="dxa"/>
            <w:right w:w="108" w:type="dxa"/>
          </w:tblCellMar>
        </w:tblPrEx>
        <w:trPr>
          <w:trHeight w:val="624" w:hRule="atLeast"/>
        </w:trPr>
        <w:tc>
          <w:tcPr>
            <w:tcW w:w="102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重复数据删除保护</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支持固定块、变长块的数据重删技术，在创建重删存储空间时，需要提供变长和固定长度的块大小选择。（要求提供软件截图证明）</w:t>
            </w:r>
          </w:p>
        </w:tc>
      </w:tr>
      <w:tr>
        <w:tblPrEx>
          <w:tblCellMar>
            <w:top w:w="0" w:type="dxa"/>
            <w:left w:w="108" w:type="dxa"/>
            <w:bottom w:w="0" w:type="dxa"/>
            <w:right w:w="108" w:type="dxa"/>
          </w:tblCellMar>
        </w:tblPrEx>
        <w:trPr>
          <w:trHeight w:val="312" w:hRule="atLeast"/>
        </w:trPr>
        <w:tc>
          <w:tcPr>
            <w:tcW w:w="102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支持源端重删和目标端重删技术。</w:t>
            </w:r>
          </w:p>
        </w:tc>
      </w:tr>
      <w:tr>
        <w:tblPrEx>
          <w:tblCellMar>
            <w:top w:w="0" w:type="dxa"/>
            <w:left w:w="108" w:type="dxa"/>
            <w:bottom w:w="0" w:type="dxa"/>
            <w:right w:w="108" w:type="dxa"/>
          </w:tblCellMar>
        </w:tblPrEx>
        <w:trPr>
          <w:trHeight w:val="624" w:hRule="atLeast"/>
        </w:trPr>
        <w:tc>
          <w:tcPr>
            <w:tcW w:w="102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支持将虚拟化应用的备份数据经重删后存入到对象存储。</w:t>
            </w:r>
          </w:p>
        </w:tc>
      </w:tr>
      <w:tr>
        <w:tblPrEx>
          <w:tblCellMar>
            <w:top w:w="0" w:type="dxa"/>
            <w:left w:w="108" w:type="dxa"/>
            <w:bottom w:w="0" w:type="dxa"/>
            <w:right w:w="108" w:type="dxa"/>
          </w:tblCellMar>
        </w:tblPrEx>
        <w:trPr>
          <w:trHeight w:val="624" w:hRule="atLeast"/>
        </w:trPr>
        <w:tc>
          <w:tcPr>
            <w:tcW w:w="102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远程复制保护</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支持备份数据的远程复制，通过使用灾备端的备份数据恢复应用系统，以及本机或异机上的恢复。支持对远程复制设置带宽上限设定、数据传输加密、断线重连等规则。</w:t>
            </w:r>
          </w:p>
        </w:tc>
      </w:tr>
      <w:tr>
        <w:tblPrEx>
          <w:tblCellMar>
            <w:top w:w="0" w:type="dxa"/>
            <w:left w:w="108" w:type="dxa"/>
            <w:bottom w:w="0" w:type="dxa"/>
            <w:right w:w="108" w:type="dxa"/>
          </w:tblCellMar>
        </w:tblPrEx>
        <w:trPr>
          <w:trHeight w:val="936"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远程复制进行流量控制，合理控制带宽资源。支持对数据传输和存储进行加密，提升传输过程以及存储的安全性。具备断点续传特性，当远程复制过程中出现中断时，恢复正常后可基于上一次断点处进行续传。</w:t>
            </w:r>
          </w:p>
        </w:tc>
      </w:tr>
      <w:tr>
        <w:tblPrEx>
          <w:tblCellMar>
            <w:top w:w="0" w:type="dxa"/>
            <w:left w:w="108" w:type="dxa"/>
            <w:bottom w:w="0" w:type="dxa"/>
            <w:right w:w="108" w:type="dxa"/>
          </w:tblCellMar>
        </w:tblPrEx>
        <w:trPr>
          <w:trHeight w:val="312"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支持本地数据远程复制到磁带库和云端对象存储进行保存。</w:t>
            </w:r>
          </w:p>
        </w:tc>
      </w:tr>
      <w:tr>
        <w:tblPrEx>
          <w:tblCellMar>
            <w:top w:w="0" w:type="dxa"/>
            <w:left w:w="108" w:type="dxa"/>
            <w:bottom w:w="0" w:type="dxa"/>
            <w:right w:w="108" w:type="dxa"/>
          </w:tblCellMar>
        </w:tblPrEx>
        <w:trPr>
          <w:trHeight w:val="312"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支持将重复数据删除后的备份数据直接复制到容灾端存储。</w:t>
            </w:r>
          </w:p>
        </w:tc>
      </w:tr>
      <w:tr>
        <w:tblPrEx>
          <w:tblCellMar>
            <w:top w:w="0" w:type="dxa"/>
            <w:left w:w="108" w:type="dxa"/>
            <w:bottom w:w="0" w:type="dxa"/>
            <w:right w:w="108" w:type="dxa"/>
          </w:tblCellMar>
        </w:tblPrEx>
        <w:trPr>
          <w:trHeight w:val="624" w:hRule="atLeast"/>
        </w:trPr>
        <w:tc>
          <w:tcPr>
            <w:tcW w:w="102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系统安全保护</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支持AES、Blowfish、SM4等加密算法。加密算法可选择CBC、CFB、ECB、OFB等加密模式，对于AES的密钥长度支持设置128、192、256等。（要求提供软件截图证明）</w:t>
            </w:r>
          </w:p>
        </w:tc>
      </w:tr>
      <w:tr>
        <w:tblPrEx>
          <w:tblCellMar>
            <w:top w:w="0" w:type="dxa"/>
            <w:left w:w="108" w:type="dxa"/>
            <w:bottom w:w="0" w:type="dxa"/>
            <w:right w:w="108" w:type="dxa"/>
          </w:tblCellMar>
        </w:tblPrEx>
        <w:trPr>
          <w:trHeight w:val="936"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针对系统的高危操作（如：恢复作业、清理备份集等）前要求输入四位或以上的随机数字验证码，待验证通过后才能执行操作，防止人为误操作危害数据。（要求提供软件截图证明）</w:t>
            </w:r>
          </w:p>
        </w:tc>
      </w:tr>
      <w:tr>
        <w:tblPrEx>
          <w:tblCellMar>
            <w:top w:w="0" w:type="dxa"/>
            <w:left w:w="108" w:type="dxa"/>
            <w:bottom w:w="0" w:type="dxa"/>
            <w:right w:w="108" w:type="dxa"/>
          </w:tblCellMar>
        </w:tblPrEx>
        <w:trPr>
          <w:trHeight w:val="936"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配置IP地址和MAC地址白名单、密码复杂度、密码加密传输、密码使用期限、历史密码重复限制、登录失败尝试次数、登录失败的锁定时间等功能。用户登录后提示上次登录的时间、IP地址、认证失败记录等信息。</w:t>
            </w:r>
          </w:p>
        </w:tc>
      </w:tr>
      <w:tr>
        <w:tblPrEx>
          <w:tblCellMar>
            <w:top w:w="0" w:type="dxa"/>
            <w:left w:w="108" w:type="dxa"/>
            <w:bottom w:w="0" w:type="dxa"/>
            <w:right w:w="108" w:type="dxa"/>
          </w:tblCellMar>
        </w:tblPrEx>
        <w:trPr>
          <w:trHeight w:val="936"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用户登录系统除使用用户名和密码之外，还可以支持由系统触发生成六位或以上的字母加数字的随机认证码发送到对应用户账户的邮箱，从对应的邮件中获取随机认证码，正确输入到备份登录系统后进行二次身份验证，防止恶意破解密码。</w:t>
            </w:r>
          </w:p>
        </w:tc>
      </w:tr>
    </w:tbl>
    <w:p/>
    <w:p>
      <w:pPr>
        <w:pStyle w:val="8"/>
      </w:pPr>
      <w:r>
        <w:t>3、</w:t>
      </w:r>
      <w:r>
        <w:rPr>
          <w:rFonts w:hint="eastAsia"/>
        </w:rPr>
        <w:t>备份存储（1套）</w:t>
      </w:r>
    </w:p>
    <w:tbl>
      <w:tblPr>
        <w:tblStyle w:val="59"/>
        <w:tblW w:w="5000" w:type="pct"/>
        <w:tblInd w:w="0" w:type="dxa"/>
        <w:tblLayout w:type="autofit"/>
        <w:tblCellMar>
          <w:top w:w="0" w:type="dxa"/>
          <w:left w:w="108" w:type="dxa"/>
          <w:bottom w:w="0" w:type="dxa"/>
          <w:right w:w="108" w:type="dxa"/>
        </w:tblCellMar>
      </w:tblPr>
      <w:tblGrid>
        <w:gridCol w:w="1743"/>
        <w:gridCol w:w="6785"/>
      </w:tblGrid>
      <w:tr>
        <w:tblPrEx>
          <w:tblCellMar>
            <w:top w:w="0" w:type="dxa"/>
            <w:left w:w="108" w:type="dxa"/>
            <w:bottom w:w="0" w:type="dxa"/>
            <w:right w:w="108" w:type="dxa"/>
          </w:tblCellMar>
        </w:tblPrEx>
        <w:trPr>
          <w:trHeight w:val="51" w:hRule="atLeast"/>
        </w:trPr>
        <w:tc>
          <w:tcPr>
            <w:tcW w:w="1022" w:type="pc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功能及技术指标</w:t>
            </w:r>
          </w:p>
        </w:tc>
        <w:tc>
          <w:tcPr>
            <w:tcW w:w="3978" w:type="pct"/>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详细技术参数</w:t>
            </w:r>
          </w:p>
        </w:tc>
      </w:tr>
      <w:tr>
        <w:trPr>
          <w:trHeight w:val="624"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品牌</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国产知名品牌，非OEM产品，具备自主研发能力，提供分布式存储的软件著作权登记证书；</w:t>
            </w:r>
          </w:p>
        </w:tc>
      </w:tr>
      <w:tr>
        <w:trPr>
          <w:trHeight w:val="624"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节能认证</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产品具有中国节能产品认证证书，提供证书复印件；</w:t>
            </w:r>
          </w:p>
        </w:tc>
      </w:tr>
      <w:tr>
        <w:tblPrEx>
          <w:tblCellMar>
            <w:top w:w="0" w:type="dxa"/>
            <w:left w:w="108" w:type="dxa"/>
            <w:bottom w:w="0" w:type="dxa"/>
            <w:right w:w="108" w:type="dxa"/>
          </w:tblCellMar>
        </w:tblPrEx>
        <w:trPr>
          <w:trHeight w:val="936"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抗震检测</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产品通过第三方权威机构的抗震性能检测，满足9级烈度抗震要求，提供证书复印件作为证明；</w:t>
            </w:r>
          </w:p>
        </w:tc>
      </w:tr>
      <w:tr>
        <w:trPr>
          <w:trHeight w:val="624"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产品组成</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提供软硬件一体机产品（或服务器与分布式软件统一品牌），不接受纯软件+第三方服务器投标；   </w:t>
            </w:r>
          </w:p>
        </w:tc>
      </w:tr>
      <w:tr>
        <w:tblPrEx>
          <w:tblCellMar>
            <w:top w:w="0" w:type="dxa"/>
            <w:left w:w="108" w:type="dxa"/>
            <w:bottom w:w="0" w:type="dxa"/>
            <w:right w:w="108" w:type="dxa"/>
          </w:tblCellMar>
        </w:tblPrEx>
        <w:trPr>
          <w:trHeight w:val="624"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部署方式</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Scale-out横向扩展的分布式架构，节点间完全对称，无独立的元数据物理服务器或索引服务器；</w:t>
            </w:r>
          </w:p>
        </w:tc>
      </w:tr>
      <w:tr>
        <w:tblPrEx>
          <w:tblCellMar>
            <w:top w:w="0" w:type="dxa"/>
            <w:left w:w="108" w:type="dxa"/>
            <w:bottom w:w="0" w:type="dxa"/>
            <w:right w:w="108" w:type="dxa"/>
          </w:tblCellMar>
        </w:tblPrEx>
        <w:trPr>
          <w:trHeight w:val="936"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数据服务</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在一个集群内同时提供块存储、文件存储、对象以及HDFS存储服务，提供具备CNAS和CMA资质的第三方评测机构签字盖章的测试报告复印件，本次配置不限容量的块、文件、对象存储服务授权许可；</w:t>
            </w:r>
          </w:p>
        </w:tc>
      </w:tr>
      <w:tr>
        <w:tblPrEx>
          <w:tblCellMar>
            <w:top w:w="0" w:type="dxa"/>
            <w:left w:w="108" w:type="dxa"/>
            <w:bottom w:w="0" w:type="dxa"/>
            <w:right w:w="108" w:type="dxa"/>
          </w:tblCellMar>
        </w:tblPrEx>
        <w:trPr>
          <w:trHeight w:val="312"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节点数量</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本次配置≥3个节点，支持节点在线平滑扩展，系统能够自动识别所加入的节点；</w:t>
            </w:r>
          </w:p>
        </w:tc>
      </w:tr>
      <w:tr>
        <w:tblPrEx>
          <w:tblCellMar>
            <w:top w:w="0" w:type="dxa"/>
            <w:left w:w="108" w:type="dxa"/>
            <w:bottom w:w="0" w:type="dxa"/>
            <w:right w:w="108" w:type="dxa"/>
          </w:tblCellMar>
        </w:tblPrEx>
        <w:trPr>
          <w:trHeight w:val="312"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CPU</w:t>
            </w:r>
          </w:p>
        </w:tc>
        <w:tc>
          <w:tcPr>
            <w:tcW w:w="397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每节点配置≥2个20核Intel Cascade lake处理器，主频≥2.1GHz；</w:t>
            </w:r>
          </w:p>
        </w:tc>
      </w:tr>
      <w:tr>
        <w:tblPrEx>
          <w:tblCellMar>
            <w:top w:w="0" w:type="dxa"/>
            <w:left w:w="108" w:type="dxa"/>
            <w:bottom w:w="0" w:type="dxa"/>
            <w:right w:w="108" w:type="dxa"/>
          </w:tblCellMar>
        </w:tblPrEx>
        <w:trPr>
          <w:trHeight w:val="936"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内存</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每节点配置≥256GB缓存，每节点支持可扩展至≥1.5TB缓存（该内存须系统自带，不能以插PCI卡和闪存盘方式扩充，提供厂商官网截图和产品彩页作为证明）；支持配置英特尔®傲腾™数据中心级持久内存</w:t>
            </w:r>
          </w:p>
        </w:tc>
      </w:tr>
      <w:tr>
        <w:tblPrEx>
          <w:tblCellMar>
            <w:top w:w="0" w:type="dxa"/>
            <w:left w:w="108" w:type="dxa"/>
            <w:bottom w:w="0" w:type="dxa"/>
            <w:right w:w="108" w:type="dxa"/>
          </w:tblCellMar>
        </w:tblPrEx>
        <w:trPr>
          <w:trHeight w:val="624" w:hRule="atLeast"/>
        </w:trPr>
        <w:tc>
          <w:tcPr>
            <w:tcW w:w="1022" w:type="pc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硬盘</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每节点配置≥2块480GB企业级SSD硬盘，每节点配置≥2块1TB企业级NVMe SSD硬盘，配置≥8块7200转8TB企业级SATA硬盘；</w:t>
            </w:r>
          </w:p>
        </w:tc>
      </w:tr>
      <w:tr>
        <w:tblPrEx>
          <w:tblCellMar>
            <w:top w:w="0" w:type="dxa"/>
            <w:left w:w="108" w:type="dxa"/>
            <w:bottom w:w="0" w:type="dxa"/>
            <w:right w:w="108" w:type="dxa"/>
          </w:tblCellMar>
        </w:tblPrEx>
        <w:trPr>
          <w:trHeight w:val="624" w:hRule="atLeast"/>
        </w:trPr>
        <w:tc>
          <w:tcPr>
            <w:tcW w:w="102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接口</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单节点配置≥4个10GE以太网接口和≥1个管理网口，前端业务网络与管理网络物理隔离；</w:t>
            </w:r>
          </w:p>
        </w:tc>
      </w:tr>
      <w:tr>
        <w:trPr>
          <w:trHeight w:val="312" w:hRule="atLeast"/>
        </w:trPr>
        <w:tc>
          <w:tcPr>
            <w:tcW w:w="102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支持1Gb/10Gbps/25Gbps/40Gbps 以太网，支持100Gb InfiniBand网络；</w:t>
            </w:r>
          </w:p>
        </w:tc>
      </w:tr>
      <w:tr>
        <w:trPr>
          <w:trHeight w:val="936"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块访问方式</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支持iSCSI连接，支持Windows、Linux、UNIX、Mac OS、Vmware ESXi等操作系统，支持KVM、vSphere、Xen、Hyper-V等虚拟化平台，提供厂商官网截图作为证明；</w:t>
            </w:r>
          </w:p>
        </w:tc>
      </w:tr>
      <w:tr>
        <w:trPr>
          <w:trHeight w:val="312"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兼容性</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通过VMware兼容性认证，提供VMware的链接以及官网截图</w:t>
            </w:r>
          </w:p>
        </w:tc>
      </w:tr>
      <w:tr>
        <w:tblPrEx>
          <w:tblCellMar>
            <w:top w:w="0" w:type="dxa"/>
            <w:left w:w="108" w:type="dxa"/>
            <w:bottom w:w="0" w:type="dxa"/>
            <w:right w:w="108" w:type="dxa"/>
          </w:tblCellMar>
        </w:tblPrEx>
        <w:trPr>
          <w:trHeight w:val="312"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卷配置</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集群最大支持卷数量≥80000个，单卷最大支持容量≥64TB；</w:t>
            </w:r>
          </w:p>
        </w:tc>
      </w:tr>
      <w:tr>
        <w:tblPrEx>
          <w:tblCellMar>
            <w:top w:w="0" w:type="dxa"/>
            <w:left w:w="108" w:type="dxa"/>
            <w:bottom w:w="0" w:type="dxa"/>
            <w:right w:w="108" w:type="dxa"/>
          </w:tblCellMar>
        </w:tblPrEx>
        <w:trPr>
          <w:trHeight w:val="312"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精简配置</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支持精简配置技术，应用实际写数据时才分配相应的物理存储空间；</w:t>
            </w:r>
          </w:p>
        </w:tc>
      </w:tr>
      <w:tr>
        <w:tblPrEx>
          <w:tblCellMar>
            <w:top w:w="0" w:type="dxa"/>
            <w:left w:w="108" w:type="dxa"/>
            <w:bottom w:w="0" w:type="dxa"/>
            <w:right w:w="108" w:type="dxa"/>
          </w:tblCellMar>
        </w:tblPrEx>
        <w:trPr>
          <w:trHeight w:val="624"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厚配置</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支持厚配置，根据业务需求分配固定的物理存储空间，提供厂商官网截图和产品彩页作为证明；</w:t>
            </w:r>
          </w:p>
        </w:tc>
      </w:tr>
      <w:tr>
        <w:trPr>
          <w:trHeight w:val="624"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NAS协议</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兼容POSIX标准接口，支持NFS、CIFS、FTP共享，提供厂商官网截图和产品彩页作为证明；</w:t>
            </w:r>
          </w:p>
        </w:tc>
      </w:tr>
      <w:tr>
        <w:trPr>
          <w:trHeight w:val="624"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跨协议访问</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兼容SMB1.0、SMB2.0、SMB2.1、SMB3.0、NFS3.0 、NFS4.0、NFS4.1、NFS4.2协议，支持CIFS/NFS跨协议访问；</w:t>
            </w:r>
          </w:p>
        </w:tc>
      </w:tr>
      <w:tr>
        <w:tblPrEx>
          <w:tblCellMar>
            <w:top w:w="0" w:type="dxa"/>
            <w:left w:w="108" w:type="dxa"/>
            <w:bottom w:w="0" w:type="dxa"/>
            <w:right w:w="108" w:type="dxa"/>
          </w:tblCellMar>
        </w:tblPrEx>
        <w:trPr>
          <w:trHeight w:val="624" w:hRule="atLeast"/>
        </w:trPr>
        <w:tc>
          <w:tcPr>
            <w:tcW w:w="102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集群规模</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单个文件规模支持≥64TB，系统最大支持文件数≥100亿个，单个目录最大支持文件数≥100万个，系统最大支持创建≥5000万个目录；</w:t>
            </w:r>
          </w:p>
        </w:tc>
      </w:tr>
      <w:tr>
        <w:tblPrEx>
          <w:tblCellMar>
            <w:top w:w="0" w:type="dxa"/>
            <w:left w:w="108" w:type="dxa"/>
            <w:bottom w:w="0" w:type="dxa"/>
            <w:right w:w="108" w:type="dxa"/>
          </w:tblCellMar>
        </w:tblPrEx>
        <w:trPr>
          <w:trHeight w:val="624"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配额管理</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提供配额管理功能，包括目录配额、用户配额、容量配额、文件数配额、计算配额、强制配额等；</w:t>
            </w:r>
          </w:p>
        </w:tc>
      </w:tr>
      <w:tr>
        <w:tblPrEx>
          <w:tblCellMar>
            <w:top w:w="0" w:type="dxa"/>
            <w:left w:w="108" w:type="dxa"/>
            <w:bottom w:w="0" w:type="dxa"/>
            <w:right w:w="108" w:type="dxa"/>
          </w:tblCellMar>
        </w:tblPrEx>
        <w:trPr>
          <w:trHeight w:val="936"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WORM技术</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配置WORM技术，一次写入后禁止删除，有效保障数据安全性，支持手动或自动提交文件为保护状态，提供具备CNAS和CMA资质的第三方评测机构签字盖章的测试报告复印件；</w:t>
            </w:r>
          </w:p>
        </w:tc>
      </w:tr>
      <w:tr>
        <w:tblPrEx>
          <w:tblCellMar>
            <w:top w:w="0" w:type="dxa"/>
            <w:left w:w="108" w:type="dxa"/>
            <w:bottom w:w="0" w:type="dxa"/>
            <w:right w:w="108" w:type="dxa"/>
          </w:tblCellMar>
        </w:tblPrEx>
        <w:trPr>
          <w:trHeight w:val="936" w:hRule="atLeast"/>
        </w:trPr>
        <w:tc>
          <w:tcPr>
            <w:tcW w:w="1022" w:type="pc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回收站</w:t>
            </w:r>
          </w:p>
        </w:tc>
        <w:tc>
          <w:tcPr>
            <w:tcW w:w="3978"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支持文件回收站功能，支持文件删除后自动保存一段时间，可以从回收站恢复文件，支持文件过期后自动删除，提供具备CNAS和CMA资质的第三方评测机构签字盖章的测试报告复印件；</w:t>
            </w:r>
          </w:p>
        </w:tc>
      </w:tr>
      <w:tr>
        <w:tblPrEx>
          <w:tblCellMar>
            <w:top w:w="0" w:type="dxa"/>
            <w:left w:w="108" w:type="dxa"/>
            <w:bottom w:w="0" w:type="dxa"/>
            <w:right w:w="108" w:type="dxa"/>
          </w:tblCellMar>
        </w:tblPrEx>
        <w:trPr>
          <w:trHeight w:val="624"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对象协议</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兼容S3、Swift接口，支持通过http或CLI进行管理，提供厂商官网截图和产品彩页作为证明；</w:t>
            </w:r>
          </w:p>
        </w:tc>
      </w:tr>
      <w:tr>
        <w:tblPrEx>
          <w:tblCellMar>
            <w:top w:w="0" w:type="dxa"/>
            <w:left w:w="108" w:type="dxa"/>
            <w:bottom w:w="0" w:type="dxa"/>
            <w:right w:w="108" w:type="dxa"/>
          </w:tblCellMar>
        </w:tblPrEx>
        <w:trPr>
          <w:trHeight w:val="312"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对象管理</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支持查询、创建、修改、删除、复制对象，支持分片上传和下载；</w:t>
            </w:r>
          </w:p>
        </w:tc>
      </w:tr>
      <w:tr>
        <w:tblPrEx>
          <w:tblCellMar>
            <w:top w:w="0" w:type="dxa"/>
            <w:left w:w="108" w:type="dxa"/>
            <w:bottom w:w="0" w:type="dxa"/>
            <w:right w:w="108" w:type="dxa"/>
          </w:tblCellMar>
        </w:tblPrEx>
        <w:trPr>
          <w:trHeight w:val="624"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权限配额</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支持ACL权限控制和访问控制，支持精细化的Policy策略管理，支持用户和桶的配额管理；</w:t>
            </w:r>
          </w:p>
        </w:tc>
      </w:tr>
      <w:tr>
        <w:tblPrEx>
          <w:tblCellMar>
            <w:top w:w="0" w:type="dxa"/>
            <w:left w:w="108" w:type="dxa"/>
            <w:bottom w:w="0" w:type="dxa"/>
            <w:right w:w="108" w:type="dxa"/>
          </w:tblCellMar>
        </w:tblPrEx>
        <w:trPr>
          <w:trHeight w:val="936"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WORM技术</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配置WORM技术，一次写入后禁止删除，有效保障数据安全性，支持手动或自动提交文件为保护状态，提供具备CNAS和CMA资质的第三方评测机构签字盖章的测试报告复印件；</w:t>
            </w:r>
          </w:p>
        </w:tc>
      </w:tr>
      <w:tr>
        <w:tblPrEx>
          <w:tblCellMar>
            <w:top w:w="0" w:type="dxa"/>
            <w:left w:w="108" w:type="dxa"/>
            <w:bottom w:w="0" w:type="dxa"/>
            <w:right w:w="108" w:type="dxa"/>
          </w:tblCellMar>
        </w:tblPrEx>
        <w:trPr>
          <w:trHeight w:val="624"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对象加密</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支持对象的加密，数据保护指在数据传输和处于静态期间保护数据，提供具备CNAS和CMA资质的第三方评测机构签字盖章的测试报告复印件；</w:t>
            </w:r>
          </w:p>
        </w:tc>
      </w:tr>
      <w:tr>
        <w:tblPrEx>
          <w:tblCellMar>
            <w:top w:w="0" w:type="dxa"/>
            <w:left w:w="108" w:type="dxa"/>
            <w:bottom w:w="0" w:type="dxa"/>
            <w:right w:w="108" w:type="dxa"/>
          </w:tblCellMar>
        </w:tblPrEx>
        <w:trPr>
          <w:trHeight w:val="936"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对象压缩</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可对写入到对象存储中的数据进行压缩，可以达到减少对象存储空间的使用，提高对象存储空间利用率,提供具备CNAS和CMA资质的第三方评测机构签字盖章的测试报告复印件；</w:t>
            </w:r>
          </w:p>
        </w:tc>
      </w:tr>
      <w:tr>
        <w:tblPrEx>
          <w:tblCellMar>
            <w:top w:w="0" w:type="dxa"/>
            <w:left w:w="108" w:type="dxa"/>
            <w:bottom w:w="0" w:type="dxa"/>
            <w:right w:w="108" w:type="dxa"/>
          </w:tblCellMar>
        </w:tblPrEx>
        <w:trPr>
          <w:trHeight w:val="624"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对象追加修改</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支持对已上传的对象进行追加修改，提供具备CNAS和CMA资质的第三方评测机构签字盖章的测试报告复印件；</w:t>
            </w:r>
          </w:p>
        </w:tc>
      </w:tr>
      <w:tr>
        <w:tblPrEx>
          <w:tblCellMar>
            <w:top w:w="0" w:type="dxa"/>
            <w:left w:w="108" w:type="dxa"/>
            <w:bottom w:w="0" w:type="dxa"/>
            <w:right w:w="108" w:type="dxa"/>
          </w:tblCellMar>
        </w:tblPrEx>
        <w:trPr>
          <w:trHeight w:val="936"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多租户</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支持多租户功能，使用同一套系统为不同用户和应用提供存储服务，并确保这些数据之间相互隔离，提供具备CNAS和CMA资质的第三方评测机构签字盖章的测试报告复印件；</w:t>
            </w:r>
          </w:p>
        </w:tc>
      </w:tr>
      <w:tr>
        <w:trPr>
          <w:trHeight w:val="936"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生命周期管理</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存储需要存储固定时间或固定容量的数据，超过指定时间或容量后，后面写入的数据会自动覆盖最老的数据,提供具备CNAS和CMA资质的第三方评测机构签字盖章的测试报告复印件；</w:t>
            </w:r>
          </w:p>
        </w:tc>
      </w:tr>
      <w:tr>
        <w:trPr>
          <w:trHeight w:val="936"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智能负载均衡</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支持节点间智能负载均衡功能，支持轮询方式，支持按照CPU使用率、剩余内存容量、客户端连接数、网络吞吐量、综合负载等多种方式，实时选择最优的节点用于业务分担；</w:t>
            </w:r>
          </w:p>
        </w:tc>
      </w:tr>
      <w:tr>
        <w:tblPrEx>
          <w:tblCellMar>
            <w:top w:w="0" w:type="dxa"/>
            <w:left w:w="108" w:type="dxa"/>
            <w:bottom w:w="0" w:type="dxa"/>
            <w:right w:w="108" w:type="dxa"/>
          </w:tblCellMar>
        </w:tblPrEx>
        <w:trPr>
          <w:trHeight w:val="312"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多副本</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支持多副本保护，支持2到6个副本，提供厂商官网截图和产品彩页作为证明；</w:t>
            </w:r>
          </w:p>
        </w:tc>
      </w:tr>
      <w:tr>
        <w:tblPrEx>
          <w:tblCellMar>
            <w:top w:w="0" w:type="dxa"/>
            <w:left w:w="108" w:type="dxa"/>
            <w:bottom w:w="0" w:type="dxa"/>
            <w:right w:w="108" w:type="dxa"/>
          </w:tblCellMar>
        </w:tblPrEx>
        <w:trPr>
          <w:trHeight w:val="624" w:hRule="atLeast"/>
        </w:trPr>
        <w:tc>
          <w:tcPr>
            <w:tcW w:w="102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数据重构</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每TB数据重构恢复时间≤15分钟，提供具备CNAS和CMA资质的第三方评测机构签字盖章的测试报告复印件；</w:t>
            </w:r>
          </w:p>
        </w:tc>
      </w:tr>
      <w:tr>
        <w:tblPrEx>
          <w:tblCellMar>
            <w:top w:w="0" w:type="dxa"/>
            <w:left w:w="108" w:type="dxa"/>
            <w:bottom w:w="0" w:type="dxa"/>
            <w:right w:w="108" w:type="dxa"/>
          </w:tblCellMar>
        </w:tblPrEx>
        <w:trPr>
          <w:trHeight w:val="312" w:hRule="atLeast"/>
        </w:trPr>
        <w:tc>
          <w:tcPr>
            <w:tcW w:w="102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支持数据重构Qos，可设置不同档位的重构速率，调整故障重构的优先级；</w:t>
            </w:r>
          </w:p>
        </w:tc>
      </w:tr>
      <w:tr>
        <w:tblPrEx>
          <w:tblCellMar>
            <w:top w:w="0" w:type="dxa"/>
            <w:left w:w="108" w:type="dxa"/>
            <w:bottom w:w="0" w:type="dxa"/>
            <w:right w:w="108" w:type="dxa"/>
          </w:tblCellMar>
        </w:tblPrEx>
        <w:trPr>
          <w:trHeight w:val="624" w:hRule="atLeast"/>
        </w:trPr>
        <w:tc>
          <w:tcPr>
            <w:tcW w:w="102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快照保护</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支持快照数据保护，支持创建只读快照、可写快照、定时快照、一致性组快照，提供产品彩页和软件界面截图作为证明；</w:t>
            </w:r>
          </w:p>
        </w:tc>
      </w:tr>
      <w:tr>
        <w:tblPrEx>
          <w:tblCellMar>
            <w:top w:w="0" w:type="dxa"/>
            <w:left w:w="108" w:type="dxa"/>
            <w:bottom w:w="0" w:type="dxa"/>
            <w:right w:w="108" w:type="dxa"/>
          </w:tblCellMar>
        </w:tblPrEx>
        <w:trPr>
          <w:trHeight w:val="624" w:hRule="atLeast"/>
        </w:trPr>
        <w:tc>
          <w:tcPr>
            <w:tcW w:w="102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978"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支持手动或自动创建快照，支持快照过期后自动删除，单个卷最大支持≥2048个快照，支持快照回滚恢复，支持快照映射到业务主机进行读写；</w:t>
            </w:r>
          </w:p>
        </w:tc>
      </w:tr>
      <w:tr>
        <w:tblPrEx>
          <w:tblCellMar>
            <w:top w:w="0" w:type="dxa"/>
            <w:left w:w="108" w:type="dxa"/>
            <w:bottom w:w="0" w:type="dxa"/>
            <w:right w:w="108" w:type="dxa"/>
          </w:tblCellMar>
        </w:tblPrEx>
        <w:trPr>
          <w:trHeight w:val="624"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故障隔离</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支持基于机架或节点的故障域设置，同一分条数据不能存储到同一个故障域中，支持创建节点级别的物理隔离保护域（节点池），单个数据只能存在于一个节点池内；</w:t>
            </w:r>
          </w:p>
        </w:tc>
      </w:tr>
      <w:tr>
        <w:tblPrEx>
          <w:tblCellMar>
            <w:top w:w="0" w:type="dxa"/>
            <w:left w:w="108" w:type="dxa"/>
            <w:bottom w:w="0" w:type="dxa"/>
            <w:right w:w="108" w:type="dxa"/>
          </w:tblCellMar>
        </w:tblPrEx>
        <w:trPr>
          <w:trHeight w:val="624"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节点扩展</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单一系统支持≥2000个节点的横向扩展，提供厂商官网截图和产品彩页作为证明；</w:t>
            </w:r>
          </w:p>
        </w:tc>
      </w:tr>
      <w:tr>
        <w:tblPrEx>
          <w:tblCellMar>
            <w:top w:w="0" w:type="dxa"/>
            <w:left w:w="108" w:type="dxa"/>
            <w:bottom w:w="0" w:type="dxa"/>
            <w:right w:w="108" w:type="dxa"/>
          </w:tblCellMar>
        </w:tblPrEx>
        <w:trPr>
          <w:trHeight w:val="624"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容量扩展</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单一命名空间存储容量可扩展至EB级，提供厂商官网截图和产品彩页作为证明；</w:t>
            </w:r>
          </w:p>
        </w:tc>
      </w:tr>
      <w:tr>
        <w:trPr>
          <w:trHeight w:val="312"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管理界面</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提供功能全面的中文图形化管理软件，支持Web或其它图形化方式进行远程管理；</w:t>
            </w:r>
          </w:p>
        </w:tc>
      </w:tr>
      <w:tr>
        <w:tblPrEx>
          <w:tblCellMar>
            <w:top w:w="0" w:type="dxa"/>
            <w:left w:w="108" w:type="dxa"/>
            <w:bottom w:w="0" w:type="dxa"/>
            <w:right w:w="108" w:type="dxa"/>
          </w:tblCellMar>
        </w:tblPrEx>
        <w:trPr>
          <w:trHeight w:val="624"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管理HA</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支持管理节点HA高可用，管理平台部署于主备两个节点，主节点故障时，自动完成主备切换；</w:t>
            </w:r>
          </w:p>
        </w:tc>
      </w:tr>
      <w:tr>
        <w:tblPrEx>
          <w:tblCellMar>
            <w:top w:w="0" w:type="dxa"/>
            <w:left w:w="108" w:type="dxa"/>
            <w:bottom w:w="0" w:type="dxa"/>
            <w:right w:w="108" w:type="dxa"/>
          </w:tblCellMar>
        </w:tblPrEx>
        <w:trPr>
          <w:trHeight w:val="936"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系统监测</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提供对存储系统各个参数的实时监测，管理界面内可查看各个存储池的信息，包括冗余策略、所属硬盘池、数据健康度和状态等，支持对硬盘容量、硬盘负载、内存占用、CPU占用的监控；</w:t>
            </w:r>
          </w:p>
        </w:tc>
      </w:tr>
      <w:tr>
        <w:tblPrEx>
          <w:tblCellMar>
            <w:top w:w="0" w:type="dxa"/>
            <w:left w:w="108" w:type="dxa"/>
            <w:bottom w:w="0" w:type="dxa"/>
            <w:right w:w="108" w:type="dxa"/>
          </w:tblCellMar>
        </w:tblPrEx>
        <w:trPr>
          <w:trHeight w:val="936" w:hRule="atLeast"/>
        </w:trPr>
        <w:tc>
          <w:tcPr>
            <w:tcW w:w="102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智能预测</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支持对硬盘故障检测，提前感知硬盘故障风险并预警；支持对存储容量增长趋势进行预测；支持对系统性能增长进行预测；上述功能提供具备CNAS和CMA资质的第三方评测机构签字盖章的测试报告复印件；</w:t>
            </w:r>
          </w:p>
        </w:tc>
      </w:tr>
      <w:tr>
        <w:trPr>
          <w:trHeight w:val="624" w:hRule="atLeast"/>
        </w:trPr>
        <w:tc>
          <w:tcPr>
            <w:tcW w:w="10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性能监控</w:t>
            </w:r>
          </w:p>
        </w:tc>
        <w:tc>
          <w:tcPr>
            <w:tcW w:w="397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支持存储卷性能监控，包括IOPS、带宽、时延、平均I/O大小等，管理界面可查看每个集群、存储池的IOPS/带宽，支持保存≥7天的性能监控数据；</w:t>
            </w:r>
          </w:p>
        </w:tc>
      </w:tr>
    </w:tbl>
    <w:p/>
    <w:p>
      <w:pPr>
        <w:pStyle w:val="8"/>
      </w:pPr>
      <w:r>
        <w:rPr>
          <w:rFonts w:hint="eastAsia"/>
        </w:rPr>
        <w:t>4、千兆汇聚交换机（7台）</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6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22" w:type="pct"/>
            <w:shd w:val="clear" w:color="auto" w:fill="auto"/>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功能及技术指标</w:t>
            </w:r>
          </w:p>
        </w:tc>
        <w:tc>
          <w:tcPr>
            <w:tcW w:w="3978" w:type="pct"/>
            <w:shd w:val="clear" w:color="auto" w:fill="auto"/>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22"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能指标</w:t>
            </w: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交换容量≥7</w:t>
            </w:r>
            <w:r>
              <w:rPr>
                <w:rFonts w:ascii="宋体" w:hAnsi="宋体" w:eastAsia="宋体" w:cs="宋体"/>
                <w:color w:val="000000"/>
                <w:kern w:val="0"/>
                <w:sz w:val="20"/>
                <w:szCs w:val="20"/>
              </w:rPr>
              <w:t>50</w:t>
            </w:r>
            <w:r>
              <w:rPr>
                <w:rFonts w:hint="eastAsia" w:ascii="宋体" w:hAnsi="宋体" w:eastAsia="宋体" w:cs="宋体"/>
                <w:color w:val="000000"/>
                <w:kern w:val="0"/>
                <w:sz w:val="20"/>
                <w:szCs w:val="20"/>
              </w:rPr>
              <w:t>Gbps，包转发率≥22</w:t>
            </w:r>
            <w:r>
              <w:rPr>
                <w:rFonts w:ascii="宋体" w:hAnsi="宋体" w:eastAsia="宋体" w:cs="宋体"/>
                <w:color w:val="000000"/>
                <w:kern w:val="0"/>
                <w:sz w:val="20"/>
                <w:szCs w:val="20"/>
              </w:rPr>
              <w:t>0</w:t>
            </w:r>
            <w:r>
              <w:rPr>
                <w:rFonts w:hint="eastAsia" w:ascii="宋体" w:hAnsi="宋体" w:eastAsia="宋体" w:cs="宋体"/>
                <w:color w:val="000000"/>
                <w:kern w:val="0"/>
                <w:sz w:val="20"/>
                <w:szCs w:val="20"/>
              </w:rPr>
              <w:t>Mpps</w:t>
            </w:r>
            <w:r>
              <w:rPr>
                <w:rFonts w:ascii="宋体" w:hAnsi="宋体" w:eastAsia="宋体" w:cs="宋体"/>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022"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接口要求</w:t>
            </w: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以太网支持千兆电口、千兆光口、万兆光口、万兆电口、2</w:t>
            </w:r>
            <w:r>
              <w:rPr>
                <w:rFonts w:ascii="宋体" w:hAnsi="宋体" w:eastAsia="宋体" w:cs="宋体"/>
                <w:color w:val="000000"/>
                <w:kern w:val="0"/>
                <w:sz w:val="20"/>
                <w:szCs w:val="20"/>
              </w:rPr>
              <w:t>5</w:t>
            </w:r>
            <w:r>
              <w:rPr>
                <w:rFonts w:hint="eastAsia" w:ascii="宋体" w:hAnsi="宋体" w:eastAsia="宋体" w:cs="宋体"/>
                <w:color w:val="000000"/>
                <w:kern w:val="0"/>
                <w:sz w:val="20"/>
                <w:szCs w:val="20"/>
              </w:rPr>
              <w:t>G、</w:t>
            </w:r>
            <w:r>
              <w:rPr>
                <w:rFonts w:ascii="宋体" w:hAnsi="宋体" w:eastAsia="宋体" w:cs="宋体"/>
                <w:color w:val="000000"/>
                <w:kern w:val="0"/>
                <w:sz w:val="20"/>
                <w:szCs w:val="20"/>
              </w:rPr>
              <w:t>40G端口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022"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扩展性</w:t>
            </w: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为满足未来扩展需求，扩展插槽≥</w:t>
            </w:r>
            <w:r>
              <w:rPr>
                <w:rFonts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22" w:type="pct"/>
            <w:vMerge w:val="restart"/>
            <w:shd w:val="clear" w:color="auto" w:fill="auto"/>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可靠性</w:t>
            </w: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支持多虚一技术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22" w:type="pct"/>
            <w:vMerge w:val="continue"/>
            <w:shd w:val="clear" w:color="auto" w:fill="auto"/>
          </w:tcPr>
          <w:p>
            <w:pPr>
              <w:widowControl/>
              <w:jc w:val="left"/>
              <w:rPr>
                <w:rFonts w:ascii="宋体" w:hAnsi="宋体" w:eastAsia="宋体" w:cs="宋体"/>
                <w:color w:val="000000"/>
                <w:kern w:val="0"/>
                <w:sz w:val="20"/>
                <w:szCs w:val="20"/>
              </w:rPr>
            </w:pP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w:t>
            </w:r>
            <w:r>
              <w:rPr>
                <w:rFonts w:ascii="宋体" w:hAnsi="宋体" w:eastAsia="宋体" w:cs="宋体"/>
                <w:color w:val="000000"/>
                <w:kern w:val="0"/>
                <w:sz w:val="20"/>
                <w:szCs w:val="20"/>
              </w:rPr>
              <w:t>BGP/IS-IS/OSPF/LDP/RIP/</w:t>
            </w:r>
            <w:r>
              <w:rPr>
                <w:rFonts w:hint="eastAsia" w:ascii="宋体" w:hAnsi="宋体" w:eastAsia="宋体" w:cs="宋体"/>
                <w:color w:val="000000"/>
                <w:kern w:val="0"/>
                <w:sz w:val="20"/>
                <w:szCs w:val="20"/>
              </w:rPr>
              <w:t>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22" w:type="pct"/>
            <w:shd w:val="clear" w:color="auto" w:fill="auto"/>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VXLAN</w:t>
            </w:r>
          </w:p>
        </w:tc>
        <w:tc>
          <w:tcPr>
            <w:tcW w:w="3978" w:type="pct"/>
            <w:shd w:val="clear" w:color="auto" w:fill="auto"/>
          </w:tcPr>
          <w:p>
            <w:pPr>
              <w:pStyle w:val="675"/>
              <w:rPr>
                <w:rFonts w:ascii="宋体" w:hAnsi="宋体" w:eastAsia="宋体" w:cs="宋体"/>
                <w:sz w:val="20"/>
                <w:szCs w:val="20"/>
              </w:rPr>
            </w:pPr>
            <w:r>
              <w:rPr>
                <w:rFonts w:hint="eastAsia" w:ascii="宋体" w:hAnsi="宋体" w:eastAsia="宋体" w:cs="宋体"/>
                <w:sz w:val="20"/>
                <w:szCs w:val="20"/>
              </w:rPr>
              <w:t>支持</w:t>
            </w:r>
            <w:r>
              <w:rPr>
                <w:rFonts w:ascii="宋体" w:hAnsi="宋体" w:eastAsia="宋体" w:cs="宋体"/>
                <w:sz w:val="20"/>
                <w:szCs w:val="20"/>
              </w:rPr>
              <w:t>VXLAN 二层交换</w:t>
            </w:r>
            <w:r>
              <w:rPr>
                <w:rFonts w:hint="eastAsia" w:ascii="宋体" w:hAnsi="宋体" w:eastAsia="宋体" w:cs="宋体"/>
                <w:sz w:val="20"/>
                <w:szCs w:val="20"/>
              </w:rPr>
              <w:t>，支持</w:t>
            </w:r>
            <w:r>
              <w:rPr>
                <w:rFonts w:ascii="宋体" w:hAnsi="宋体" w:eastAsia="宋体" w:cs="宋体"/>
                <w:sz w:val="20"/>
                <w:szCs w:val="20"/>
              </w:rPr>
              <w:t>VXLAN 路由交换</w:t>
            </w:r>
            <w:r>
              <w:rPr>
                <w:rFonts w:hint="eastAsia" w:ascii="宋体" w:hAnsi="宋体" w:eastAsia="宋体" w:cs="宋体"/>
                <w:sz w:val="20"/>
                <w:szCs w:val="20"/>
              </w:rPr>
              <w:t>，支持</w:t>
            </w:r>
            <w:r>
              <w:rPr>
                <w:rFonts w:ascii="宋体" w:hAnsi="宋体" w:eastAsia="宋体" w:cs="宋体"/>
                <w:sz w:val="20"/>
                <w:szCs w:val="20"/>
              </w:rPr>
              <w:t>VXLAN 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22" w:type="pct"/>
            <w:shd w:val="clear" w:color="auto" w:fill="auto"/>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IPv6</w:t>
            </w:r>
          </w:p>
        </w:tc>
        <w:tc>
          <w:tcPr>
            <w:tcW w:w="3978" w:type="pct"/>
            <w:shd w:val="clear" w:color="auto" w:fill="auto"/>
          </w:tcPr>
          <w:p>
            <w:pPr>
              <w:pStyle w:val="675"/>
              <w:rPr>
                <w:rFonts w:ascii="宋体" w:hAnsi="宋体" w:eastAsia="宋体" w:cs="宋体"/>
                <w:sz w:val="20"/>
                <w:szCs w:val="20"/>
              </w:rPr>
            </w:pPr>
            <w:r>
              <w:rPr>
                <w:rFonts w:hint="eastAsia" w:ascii="宋体" w:hAnsi="宋体" w:eastAsia="宋体" w:cs="宋体"/>
                <w:sz w:val="20"/>
                <w:szCs w:val="20"/>
              </w:rPr>
              <w:t>支持</w:t>
            </w:r>
            <w:r>
              <w:rPr>
                <w:rFonts w:ascii="宋体" w:hAnsi="宋体" w:eastAsia="宋体" w:cs="宋体"/>
                <w:sz w:val="20"/>
                <w:szCs w:val="20"/>
              </w:rPr>
              <w:t>BGP4+</w:t>
            </w:r>
            <w:r>
              <w:rPr>
                <w:rFonts w:hint="eastAsia" w:ascii="宋体" w:hAnsi="宋体" w:eastAsia="宋体" w:cs="宋体"/>
                <w:sz w:val="20"/>
                <w:szCs w:val="20"/>
              </w:rPr>
              <w:t>、</w:t>
            </w:r>
            <w:r>
              <w:rPr>
                <w:rFonts w:ascii="宋体" w:hAnsi="宋体" w:eastAsia="宋体" w:cs="宋体"/>
                <w:sz w:val="20"/>
                <w:szCs w:val="20"/>
              </w:rPr>
              <w:t>IS-ISv6</w:t>
            </w:r>
            <w:r>
              <w:rPr>
                <w:rFonts w:hint="eastAsia" w:ascii="宋体" w:hAnsi="宋体" w:eastAsia="宋体" w:cs="宋体"/>
                <w:sz w:val="20"/>
                <w:szCs w:val="20"/>
              </w:rPr>
              <w:t>协议</w:t>
            </w:r>
          </w:p>
          <w:p>
            <w:pPr>
              <w:pStyle w:val="675"/>
              <w:rPr>
                <w:rFonts w:ascii="宋体" w:hAnsi="宋体" w:eastAsia="宋体" w:cs="宋体"/>
                <w:sz w:val="20"/>
                <w:szCs w:val="20"/>
              </w:rPr>
            </w:pPr>
            <w:r>
              <w:rPr>
                <w:rFonts w:hint="eastAsia" w:ascii="宋体" w:hAnsi="宋体" w:eastAsia="宋体" w:cs="宋体"/>
                <w:sz w:val="20"/>
                <w:szCs w:val="20"/>
              </w:rPr>
              <w:t>支持</w:t>
            </w:r>
            <w:r>
              <w:rPr>
                <w:rFonts w:ascii="宋体" w:hAnsi="宋体" w:eastAsia="宋体" w:cs="宋体"/>
                <w:sz w:val="20"/>
                <w:szCs w:val="20"/>
              </w:rPr>
              <w:t>IPv6</w:t>
            </w:r>
            <w:r>
              <w:rPr>
                <w:rFonts w:hint="eastAsia" w:ascii="宋体" w:hAnsi="宋体" w:eastAsia="宋体" w:cs="宋体"/>
                <w:sz w:val="20"/>
                <w:szCs w:val="20"/>
              </w:rPr>
              <w:t>策略路由</w:t>
            </w:r>
          </w:p>
          <w:p>
            <w:pPr>
              <w:pStyle w:val="675"/>
              <w:rPr>
                <w:rFonts w:ascii="宋体" w:hAnsi="宋体" w:eastAsia="宋体" w:cs="宋体"/>
                <w:sz w:val="20"/>
                <w:szCs w:val="20"/>
              </w:rPr>
            </w:pPr>
            <w:r>
              <w:rPr>
                <w:rFonts w:hint="eastAsia" w:ascii="宋体" w:hAnsi="宋体" w:eastAsia="宋体" w:cs="宋体"/>
                <w:sz w:val="20"/>
                <w:szCs w:val="20"/>
              </w:rPr>
              <w:t>支持</w:t>
            </w:r>
            <w:r>
              <w:rPr>
                <w:rFonts w:ascii="宋体" w:hAnsi="宋体" w:eastAsia="宋体" w:cs="宋体"/>
                <w:sz w:val="20"/>
                <w:szCs w:val="20"/>
              </w:rPr>
              <w:t>DHCPv6</w:t>
            </w:r>
            <w:r>
              <w:rPr>
                <w:rFonts w:hint="eastAsia" w:ascii="宋体" w:hAnsi="宋体" w:eastAsia="宋体" w:cs="宋体"/>
                <w:sz w:val="20"/>
                <w:szCs w:val="20"/>
              </w:rPr>
              <w:t>功能、</w:t>
            </w:r>
            <w:r>
              <w:rPr>
                <w:rFonts w:ascii="宋体" w:hAnsi="宋体" w:eastAsia="宋体" w:cs="宋体"/>
                <w:sz w:val="20"/>
                <w:szCs w:val="20"/>
              </w:rPr>
              <w:t>IPv6 portal</w:t>
            </w:r>
            <w:r>
              <w:rPr>
                <w:rFonts w:hint="eastAsia" w:ascii="宋体" w:hAnsi="宋体" w:eastAsia="宋体" w:cs="宋体"/>
                <w:sz w:val="20"/>
                <w:szCs w:val="20"/>
              </w:rPr>
              <w:t>功能、</w:t>
            </w:r>
            <w:r>
              <w:rPr>
                <w:rFonts w:ascii="宋体" w:hAnsi="宋体" w:eastAsia="宋体" w:cs="宋体"/>
                <w:sz w:val="20"/>
                <w:szCs w:val="20"/>
              </w:rPr>
              <w:t>IPv6</w:t>
            </w:r>
            <w:r>
              <w:rPr>
                <w:rFonts w:hint="eastAsia" w:ascii="宋体" w:hAnsi="宋体" w:eastAsia="宋体" w:cs="宋体"/>
                <w:sz w:val="20"/>
                <w:szCs w:val="20"/>
              </w:rPr>
              <w:t>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22"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配置要求</w:t>
            </w: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配置冗余电源，冗余风扇</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4</w:t>
            </w:r>
            <w:r>
              <w:rPr>
                <w:rFonts w:hint="eastAsia" w:ascii="宋体" w:hAnsi="宋体" w:eastAsia="宋体" w:cs="宋体"/>
                <w:color w:val="000000"/>
                <w:kern w:val="0"/>
                <w:sz w:val="20"/>
                <w:szCs w:val="20"/>
              </w:rPr>
              <w:t>个</w:t>
            </w:r>
            <w:r>
              <w:rPr>
                <w:rFonts w:ascii="宋体" w:hAnsi="宋体" w:eastAsia="宋体" w:cs="宋体"/>
                <w:color w:val="000000"/>
                <w:kern w:val="0"/>
                <w:sz w:val="20"/>
                <w:szCs w:val="20"/>
              </w:rPr>
              <w:t>10</w:t>
            </w:r>
            <w:r>
              <w:rPr>
                <w:rFonts w:hint="eastAsia" w:ascii="宋体" w:hAnsi="宋体" w:eastAsia="宋体" w:cs="宋体"/>
                <w:color w:val="000000"/>
                <w:kern w:val="0"/>
                <w:sz w:val="20"/>
                <w:szCs w:val="20"/>
              </w:rPr>
              <w:t>G光端口，≥</w:t>
            </w:r>
            <w:r>
              <w:rPr>
                <w:rFonts w:ascii="宋体" w:hAnsi="宋体" w:eastAsia="宋体" w:cs="宋体"/>
                <w:color w:val="000000"/>
                <w:kern w:val="0"/>
                <w:sz w:val="20"/>
                <w:szCs w:val="20"/>
              </w:rPr>
              <w:t>24</w:t>
            </w:r>
            <w:r>
              <w:rPr>
                <w:rFonts w:hint="eastAsia" w:ascii="宋体" w:hAnsi="宋体" w:eastAsia="宋体" w:cs="宋体"/>
                <w:color w:val="000000"/>
                <w:kern w:val="0"/>
                <w:sz w:val="20"/>
                <w:szCs w:val="20"/>
              </w:rPr>
              <w:t>个千兆光口（8combo端口）</w:t>
            </w:r>
          </w:p>
        </w:tc>
      </w:tr>
    </w:tbl>
    <w:p>
      <w:pPr>
        <w:pStyle w:val="8"/>
      </w:pPr>
      <w:r>
        <w:t>5</w:t>
      </w:r>
      <w:r>
        <w:rPr>
          <w:rFonts w:hint="eastAsia"/>
        </w:rPr>
        <w:t>、千兆接入交换机（</w:t>
      </w:r>
      <w:r>
        <w:t>6</w:t>
      </w:r>
      <w:r>
        <w:rPr>
          <w:rFonts w:hint="eastAsia"/>
        </w:rPr>
        <w:t>台）</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6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22" w:type="pct"/>
            <w:shd w:val="clear" w:color="auto" w:fill="auto"/>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功能及技术指标</w:t>
            </w:r>
          </w:p>
        </w:tc>
        <w:tc>
          <w:tcPr>
            <w:tcW w:w="3978" w:type="pct"/>
            <w:shd w:val="clear" w:color="auto" w:fill="auto"/>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22"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性能指标</w:t>
            </w: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交换容量≥</w:t>
            </w:r>
            <w:r>
              <w:rPr>
                <w:rFonts w:ascii="宋体" w:hAnsi="宋体" w:eastAsia="宋体" w:cs="宋体"/>
                <w:color w:val="000000"/>
                <w:kern w:val="0"/>
                <w:sz w:val="20"/>
                <w:szCs w:val="20"/>
              </w:rPr>
              <w:t>430</w:t>
            </w:r>
            <w:r>
              <w:rPr>
                <w:rFonts w:hint="eastAsia" w:ascii="宋体" w:hAnsi="宋体" w:eastAsia="宋体" w:cs="宋体"/>
                <w:color w:val="000000"/>
                <w:kern w:val="0"/>
                <w:sz w:val="20"/>
                <w:szCs w:val="20"/>
              </w:rPr>
              <w:t>Gbps，包转发率≥8</w:t>
            </w:r>
            <w:r>
              <w:rPr>
                <w:rFonts w:ascii="宋体" w:hAnsi="宋体" w:eastAsia="宋体" w:cs="宋体"/>
                <w:color w:val="000000"/>
                <w:kern w:val="0"/>
                <w:sz w:val="20"/>
                <w:szCs w:val="20"/>
              </w:rPr>
              <w:t>0</w:t>
            </w:r>
            <w:r>
              <w:rPr>
                <w:rFonts w:hint="eastAsia" w:ascii="宋体" w:hAnsi="宋体" w:eastAsia="宋体" w:cs="宋体"/>
                <w:color w:val="000000"/>
                <w:kern w:val="0"/>
                <w:sz w:val="20"/>
                <w:szCs w:val="20"/>
              </w:rPr>
              <w:t>Mpps，</w:t>
            </w:r>
            <w:r>
              <w:rPr>
                <w:rFonts w:ascii="宋体" w:hAnsi="宋体" w:eastAsia="宋体" w:cs="宋体"/>
                <w:color w:val="000000"/>
                <w:kern w:val="0"/>
                <w:sz w:val="20"/>
                <w:szCs w:val="20"/>
              </w:rPr>
              <w:t>提以较小值为准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22" w:type="pct"/>
            <w:vMerge w:val="restart"/>
            <w:shd w:val="clear" w:color="auto" w:fill="auto"/>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可靠性</w:t>
            </w: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支持多虚一技术，最大堆叠台数≥</w:t>
            </w:r>
            <w:r>
              <w:rPr>
                <w:rFonts w:ascii="宋体" w:hAnsi="宋体" w:eastAsia="宋体" w:cs="宋体"/>
                <w:color w:val="000000"/>
                <w:kern w:val="0"/>
                <w:sz w:val="20"/>
                <w:szCs w:val="20"/>
              </w:rPr>
              <w:t xml:space="preserve">9台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22" w:type="pct"/>
            <w:vMerge w:val="continue"/>
            <w:shd w:val="clear" w:color="auto" w:fill="auto"/>
          </w:tcPr>
          <w:p>
            <w:pPr>
              <w:widowControl/>
              <w:jc w:val="left"/>
              <w:rPr>
                <w:rFonts w:ascii="宋体" w:hAnsi="宋体" w:eastAsia="宋体" w:cs="宋体"/>
                <w:color w:val="000000"/>
                <w:kern w:val="0"/>
                <w:sz w:val="20"/>
                <w:szCs w:val="20"/>
              </w:rPr>
            </w:pP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w:t>
            </w:r>
            <w:r>
              <w:rPr>
                <w:rFonts w:ascii="宋体" w:hAnsi="宋体" w:eastAsia="宋体" w:cs="宋体"/>
                <w:color w:val="000000"/>
                <w:kern w:val="0"/>
                <w:sz w:val="20"/>
                <w:szCs w:val="20"/>
              </w:rPr>
              <w:t>OSPF/RIP/</w:t>
            </w:r>
            <w:r>
              <w:rPr>
                <w:rFonts w:hint="eastAsia" w:ascii="宋体" w:hAnsi="宋体" w:eastAsia="宋体" w:cs="宋体"/>
                <w:color w:val="000000"/>
                <w:kern w:val="0"/>
                <w:sz w:val="20"/>
                <w:szCs w:val="20"/>
              </w:rPr>
              <w:t>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22" w:type="pct"/>
            <w:vMerge w:val="continue"/>
            <w:shd w:val="clear" w:color="auto" w:fill="auto"/>
          </w:tcPr>
          <w:p>
            <w:pPr>
              <w:widowControl/>
              <w:jc w:val="left"/>
              <w:rPr>
                <w:rFonts w:ascii="宋体" w:hAnsi="宋体" w:eastAsia="宋体" w:cs="宋体"/>
                <w:color w:val="000000"/>
                <w:kern w:val="0"/>
                <w:sz w:val="20"/>
                <w:szCs w:val="20"/>
              </w:rPr>
            </w:pP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w:t>
            </w:r>
            <w:r>
              <w:rPr>
                <w:rFonts w:ascii="宋体" w:hAnsi="宋体" w:eastAsia="宋体" w:cs="宋体"/>
                <w:color w:val="000000"/>
                <w:kern w:val="0"/>
                <w:sz w:val="20"/>
                <w:szCs w:val="20"/>
              </w:rPr>
              <w:t xml:space="preserve">PVST功能：收敛时间≤50ms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22" w:type="pct"/>
            <w:shd w:val="clear" w:color="auto" w:fill="auto"/>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IPv6</w:t>
            </w:r>
          </w:p>
        </w:tc>
        <w:tc>
          <w:tcPr>
            <w:tcW w:w="3978" w:type="pct"/>
            <w:shd w:val="clear" w:color="auto" w:fill="auto"/>
          </w:tcPr>
          <w:p>
            <w:pPr>
              <w:pStyle w:val="675"/>
              <w:rPr>
                <w:rFonts w:ascii="宋体" w:hAnsi="宋体" w:eastAsia="宋体" w:cs="宋体"/>
                <w:sz w:val="20"/>
                <w:szCs w:val="20"/>
              </w:rPr>
            </w:pPr>
            <w:r>
              <w:rPr>
                <w:rFonts w:hint="eastAsia" w:ascii="宋体" w:hAnsi="宋体" w:eastAsia="宋体" w:cs="宋体"/>
                <w:sz w:val="20"/>
                <w:szCs w:val="20"/>
              </w:rPr>
              <w:t>支持</w:t>
            </w:r>
            <w:r>
              <w:rPr>
                <w:rFonts w:ascii="宋体" w:hAnsi="宋体" w:eastAsia="宋体" w:cs="宋体"/>
                <w:sz w:val="20"/>
                <w:szCs w:val="20"/>
              </w:rPr>
              <w:t>IPv6</w:t>
            </w:r>
            <w:r>
              <w:rPr>
                <w:rFonts w:hint="eastAsia" w:ascii="宋体" w:hAnsi="宋体" w:eastAsia="宋体" w:cs="宋体"/>
                <w:sz w:val="20"/>
                <w:szCs w:val="20"/>
              </w:rPr>
              <w:t>静态路由、</w:t>
            </w:r>
            <w:r>
              <w:rPr>
                <w:rFonts w:ascii="宋体" w:hAnsi="宋体" w:eastAsia="宋体" w:cs="宋体"/>
                <w:sz w:val="20"/>
                <w:szCs w:val="20"/>
              </w:rPr>
              <w:t>RIPng</w:t>
            </w:r>
            <w:r>
              <w:rPr>
                <w:rFonts w:hint="eastAsia" w:ascii="宋体" w:hAnsi="宋体" w:eastAsia="宋体" w:cs="宋体"/>
                <w:sz w:val="20"/>
                <w:szCs w:val="20"/>
              </w:rPr>
              <w:t>，支持</w:t>
            </w:r>
            <w:r>
              <w:rPr>
                <w:rFonts w:ascii="宋体" w:hAnsi="宋体" w:eastAsia="宋体" w:cs="宋体"/>
                <w:sz w:val="20"/>
                <w:szCs w:val="20"/>
              </w:rPr>
              <w:t>IPv6 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22"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绿色节能</w:t>
            </w:r>
          </w:p>
        </w:tc>
        <w:tc>
          <w:tcPr>
            <w:tcW w:w="3978" w:type="pct"/>
            <w:shd w:val="clear" w:color="auto" w:fill="auto"/>
          </w:tcPr>
          <w:p>
            <w:pPr>
              <w:pStyle w:val="675"/>
              <w:rPr>
                <w:rFonts w:ascii="宋体" w:hAnsi="宋体" w:eastAsia="宋体" w:cs="宋体"/>
                <w:sz w:val="20"/>
                <w:szCs w:val="20"/>
              </w:rPr>
            </w:pPr>
            <w:r>
              <w:rPr>
                <w:rFonts w:hint="eastAsia" w:ascii="宋体" w:hAnsi="宋体" w:eastAsia="宋体" w:cs="宋体"/>
                <w:sz w:val="20"/>
                <w:szCs w:val="20"/>
              </w:rPr>
              <w:t>符合</w:t>
            </w:r>
            <w:r>
              <w:rPr>
                <w:rFonts w:ascii="宋体" w:hAnsi="宋体" w:eastAsia="宋体" w:cs="宋体"/>
                <w:sz w:val="20"/>
                <w:szCs w:val="20"/>
              </w:rPr>
              <w:t>IEEE 802.3az（EEE）节能标准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22"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成熟度</w:t>
            </w: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提供工信部入网证，且入网时间大于</w:t>
            </w:r>
            <w:r>
              <w:rPr>
                <w:rFonts w:ascii="宋体" w:hAnsi="宋体" w:eastAsia="宋体" w:cs="宋体"/>
                <w:color w:val="000000"/>
                <w:kern w:val="0"/>
                <w:sz w:val="20"/>
                <w:szCs w:val="20"/>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22"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配置要求</w:t>
            </w: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4</w:t>
            </w:r>
            <w:r>
              <w:rPr>
                <w:rFonts w:hint="eastAsia" w:ascii="宋体" w:hAnsi="宋体" w:eastAsia="宋体" w:cs="宋体"/>
                <w:color w:val="000000"/>
                <w:kern w:val="0"/>
                <w:sz w:val="20"/>
                <w:szCs w:val="20"/>
              </w:rPr>
              <w:t>个千兆光端口，≥</w:t>
            </w:r>
            <w:r>
              <w:rPr>
                <w:rFonts w:ascii="宋体" w:hAnsi="宋体" w:eastAsia="宋体" w:cs="宋体"/>
                <w:color w:val="000000"/>
                <w:kern w:val="0"/>
                <w:sz w:val="20"/>
                <w:szCs w:val="20"/>
              </w:rPr>
              <w:t>48</w:t>
            </w:r>
            <w:r>
              <w:rPr>
                <w:rFonts w:hint="eastAsia" w:ascii="宋体" w:hAnsi="宋体" w:eastAsia="宋体" w:cs="宋体"/>
                <w:color w:val="000000"/>
                <w:kern w:val="0"/>
                <w:sz w:val="20"/>
                <w:szCs w:val="20"/>
              </w:rPr>
              <w:t>个千兆电口</w:t>
            </w:r>
          </w:p>
        </w:tc>
      </w:tr>
    </w:tbl>
    <w:p>
      <w:pPr>
        <w:pStyle w:val="8"/>
      </w:pPr>
      <w:r>
        <w:t>6</w:t>
      </w:r>
      <w:r>
        <w:rPr>
          <w:rFonts w:hint="eastAsia"/>
        </w:rPr>
        <w:t>、千兆路由器（</w:t>
      </w:r>
      <w:r>
        <w:t>2</w:t>
      </w:r>
      <w:r>
        <w:rPr>
          <w:rFonts w:hint="eastAsia"/>
        </w:rPr>
        <w:t>台）</w:t>
      </w:r>
    </w:p>
    <w:tbl>
      <w:tblPr>
        <w:tblStyle w:val="60"/>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noWrap/>
          </w:tcPr>
          <w:p>
            <w:pPr>
              <w:jc w:val="center"/>
              <w:rPr>
                <w:rFonts w:ascii="宋体" w:hAnsi="宋体" w:eastAsia="宋体" w:cs="Times New Roman"/>
                <w:b/>
                <w:bCs/>
                <w:kern w:val="0"/>
                <w:sz w:val="20"/>
                <w:szCs w:val="20"/>
              </w:rPr>
            </w:pPr>
            <w:r>
              <w:rPr>
                <w:rFonts w:hint="eastAsia" w:ascii="宋体" w:hAnsi="宋体" w:eastAsia="宋体" w:cs="宋体"/>
                <w:b/>
                <w:color w:val="000000"/>
                <w:kern w:val="0"/>
                <w:sz w:val="20"/>
                <w:szCs w:val="20"/>
              </w:rPr>
              <w:t>功能及技术指标</w:t>
            </w:r>
          </w:p>
        </w:tc>
        <w:tc>
          <w:tcPr>
            <w:tcW w:w="6521" w:type="dxa"/>
            <w:noWrap/>
          </w:tcPr>
          <w:p>
            <w:pPr>
              <w:jc w:val="center"/>
              <w:rPr>
                <w:rFonts w:ascii="宋体" w:hAnsi="宋体" w:eastAsia="宋体" w:cs="Times New Roman"/>
                <w:b/>
                <w:bCs/>
                <w:kern w:val="0"/>
                <w:sz w:val="20"/>
                <w:szCs w:val="20"/>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noWrap/>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包转发率</w:t>
            </w:r>
          </w:p>
        </w:tc>
        <w:tc>
          <w:tcPr>
            <w:tcW w:w="6521"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0M</w:t>
            </w:r>
            <w:r>
              <w:rPr>
                <w:rFonts w:hint="eastAsia" w:ascii="宋体" w:hAnsi="宋体" w:eastAsia="宋体" w:cs="宋体"/>
                <w:color w:val="000000"/>
                <w:kern w:val="0"/>
                <w:sz w:val="20"/>
                <w:szCs w:val="20"/>
              </w:rPr>
              <w:t>pps</w:t>
            </w:r>
            <w:r>
              <w:rPr>
                <w:rFonts w:ascii="宋体" w:hAnsi="宋体" w:eastAsia="宋体" w:cs="宋体"/>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restart"/>
            <w:noWrap/>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硬件要求</w:t>
            </w:r>
          </w:p>
        </w:tc>
        <w:tc>
          <w:tcPr>
            <w:tcW w:w="6521"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端口≥</w:t>
            </w:r>
            <w:r>
              <w:rPr>
                <w:rFonts w:ascii="宋体" w:hAnsi="宋体" w:eastAsia="宋体" w:cs="宋体"/>
                <w:color w:val="000000"/>
                <w:kern w:val="0"/>
                <w:sz w:val="20"/>
                <w:szCs w:val="20"/>
              </w:rPr>
              <w:t>3GE Combo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continue"/>
            <w:noWrap/>
          </w:tcPr>
          <w:p>
            <w:pPr>
              <w:widowControl/>
              <w:jc w:val="left"/>
              <w:rPr>
                <w:rFonts w:ascii="宋体" w:hAnsi="宋体" w:eastAsia="宋体" w:cs="宋体"/>
                <w:color w:val="000000"/>
                <w:kern w:val="0"/>
                <w:sz w:val="20"/>
                <w:szCs w:val="20"/>
              </w:rPr>
            </w:pPr>
          </w:p>
        </w:tc>
        <w:tc>
          <w:tcPr>
            <w:tcW w:w="6521"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槽位≥</w:t>
            </w:r>
            <w:r>
              <w:rPr>
                <w:rFonts w:ascii="宋体" w:hAnsi="宋体" w:eastAsia="宋体" w:cs="宋体"/>
                <w:color w:val="000000"/>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continue"/>
            <w:noWrap/>
          </w:tcPr>
          <w:p>
            <w:pPr>
              <w:widowControl/>
              <w:jc w:val="left"/>
              <w:rPr>
                <w:rFonts w:ascii="宋体" w:hAnsi="宋体" w:eastAsia="宋体" w:cs="宋体"/>
                <w:color w:val="000000"/>
                <w:kern w:val="0"/>
                <w:sz w:val="20"/>
                <w:szCs w:val="20"/>
              </w:rPr>
            </w:pPr>
          </w:p>
        </w:tc>
        <w:tc>
          <w:tcPr>
            <w:tcW w:w="6521"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冗余交流电源，可插拔模块化电源设计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虚拟化</w:t>
            </w:r>
          </w:p>
        </w:tc>
        <w:tc>
          <w:tcPr>
            <w:tcW w:w="6521" w:type="dxa"/>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xml:space="preserve">支持虚拟化特性，将物理上两台设备虚拟化成一台逻辑设备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上网行为审计</w:t>
            </w:r>
          </w:p>
        </w:tc>
        <w:tc>
          <w:tcPr>
            <w:tcW w:w="6521" w:type="dxa"/>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支持记录终端用户访问互联网的日志，包括：用户名、源/目的IP地址、时间、访问的域名、URL等，权威第三方机构的测试报告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应用识别控制</w:t>
            </w:r>
          </w:p>
        </w:tc>
        <w:tc>
          <w:tcPr>
            <w:tcW w:w="6521" w:type="dxa"/>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支持对PC、移动终端常见互联网应用识别，并能够针对应用下发过滤和限速控制策略，权威第三方机构的测试报告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URL过滤黑名单功能</w:t>
            </w:r>
          </w:p>
        </w:tc>
        <w:tc>
          <w:tcPr>
            <w:tcW w:w="6521" w:type="dxa"/>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支持对终端用户域名访问控制功能，权威第三方机构的测试报告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基于域的防火墙</w:t>
            </w:r>
          </w:p>
        </w:tc>
        <w:tc>
          <w:tcPr>
            <w:tcW w:w="6521" w:type="dxa"/>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支持划分安全域，用于管理防火墙设备上安全需求相同的多个接口，权威第三方机构的测试报告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IPS入侵防御功能</w:t>
            </w:r>
          </w:p>
        </w:tc>
        <w:tc>
          <w:tcPr>
            <w:tcW w:w="6521" w:type="dxa"/>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支持对已知网络攻击进行安全防御，提高网络安全性，权威第三方机构的测试报告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SSL VPN</w:t>
            </w:r>
          </w:p>
        </w:tc>
        <w:tc>
          <w:tcPr>
            <w:tcW w:w="6521" w:type="dxa"/>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支持ssl vpn，并提供设备满足此功能的权威第三方机构的测试报告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Segment Routing</w:t>
            </w:r>
          </w:p>
        </w:tc>
        <w:tc>
          <w:tcPr>
            <w:tcW w:w="6521" w:type="dxa"/>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Segment Routing，控制流量按照预先设置的网络节点逐跳转发，权威第三方机构的测试报告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广域网优化</w:t>
            </w:r>
          </w:p>
        </w:tc>
        <w:tc>
          <w:tcPr>
            <w:tcW w:w="6521"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支持对HTTP/FTP等TCP业务流量进行优化传输技术，提高广域网带宽利用率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restart"/>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资质</w:t>
            </w:r>
            <w:r>
              <w:rPr>
                <w:rFonts w:ascii="宋体" w:hAnsi="宋体" w:eastAsia="宋体" w:cs="宋体"/>
                <w:color w:val="000000"/>
                <w:kern w:val="0"/>
                <w:sz w:val="20"/>
                <w:szCs w:val="20"/>
              </w:rPr>
              <w:t>证书</w:t>
            </w:r>
          </w:p>
        </w:tc>
        <w:tc>
          <w:tcPr>
            <w:tcW w:w="6521"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提供工信部入网许可证复印件</w:t>
            </w:r>
            <w:r>
              <w:rPr>
                <w:rFonts w:ascii="宋体" w:hAnsi="宋体" w:eastAsia="宋体" w:cs="宋体"/>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vMerge w:val="continue"/>
          </w:tcPr>
          <w:p>
            <w:pPr>
              <w:widowControl/>
              <w:jc w:val="left"/>
              <w:rPr>
                <w:rFonts w:ascii="宋体" w:hAnsi="宋体" w:eastAsia="宋体" w:cs="宋体"/>
                <w:color w:val="000000"/>
                <w:kern w:val="0"/>
                <w:sz w:val="20"/>
                <w:szCs w:val="20"/>
              </w:rPr>
            </w:pPr>
          </w:p>
        </w:tc>
        <w:tc>
          <w:tcPr>
            <w:tcW w:w="6521"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设备支持IPv6，提供IPv6 Ready Phase II证书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38"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配置要求</w:t>
            </w:r>
          </w:p>
        </w:tc>
        <w:tc>
          <w:tcPr>
            <w:tcW w:w="6521" w:type="dxa"/>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配置冗余交流电源，≥</w:t>
            </w:r>
            <w:r>
              <w:rPr>
                <w:rFonts w:ascii="宋体" w:hAnsi="宋体" w:eastAsia="宋体" w:cs="宋体"/>
                <w:color w:val="000000"/>
                <w:kern w:val="0"/>
                <w:sz w:val="20"/>
                <w:szCs w:val="20"/>
              </w:rPr>
              <w:t>3</w:t>
            </w:r>
            <w:r>
              <w:rPr>
                <w:rFonts w:hint="eastAsia" w:ascii="宋体" w:hAnsi="宋体" w:eastAsia="宋体" w:cs="宋体"/>
                <w:color w:val="000000"/>
                <w:kern w:val="0"/>
                <w:sz w:val="20"/>
                <w:szCs w:val="20"/>
              </w:rPr>
              <w:t>个GE combo接口，</w:t>
            </w:r>
            <w:r>
              <w:rPr>
                <w:rFonts w:ascii="宋体" w:hAnsi="宋体" w:eastAsia="宋体" w:cs="宋体"/>
                <w:color w:val="000000"/>
                <w:kern w:val="0"/>
                <w:sz w:val="20"/>
                <w:szCs w:val="20"/>
              </w:rPr>
              <w:t xml:space="preserve"> </w:t>
            </w:r>
          </w:p>
        </w:tc>
      </w:tr>
    </w:tbl>
    <w:p>
      <w:pPr>
        <w:pStyle w:val="8"/>
      </w:pPr>
      <w:r>
        <w:t>7</w:t>
      </w:r>
      <w:r>
        <w:rPr>
          <w:rFonts w:hint="eastAsia"/>
        </w:rPr>
        <w:t>、T</w:t>
      </w:r>
      <w:r>
        <w:t>AP</w:t>
      </w:r>
      <w:r>
        <w:rPr>
          <w:rFonts w:hint="eastAsia"/>
        </w:rPr>
        <w:t>交换机（</w:t>
      </w:r>
      <w:r>
        <w:t>2</w:t>
      </w:r>
      <w:r>
        <w:rPr>
          <w:rFonts w:hint="eastAsia"/>
        </w:rPr>
        <w:t>台）</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6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22" w:type="pct"/>
            <w:shd w:val="clear" w:color="auto" w:fill="auto"/>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功能及技术指标</w:t>
            </w:r>
          </w:p>
        </w:tc>
        <w:tc>
          <w:tcPr>
            <w:tcW w:w="3978" w:type="pct"/>
            <w:shd w:val="clear" w:color="auto" w:fill="auto"/>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22"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国产</w:t>
            </w:r>
            <w:r>
              <w:rPr>
                <w:rFonts w:ascii="宋体" w:hAnsi="宋体" w:eastAsia="宋体" w:cs="宋体"/>
                <w:color w:val="000000"/>
                <w:kern w:val="0"/>
                <w:sz w:val="20"/>
                <w:szCs w:val="20"/>
              </w:rPr>
              <w:t>化</w:t>
            </w:r>
          </w:p>
        </w:tc>
        <w:tc>
          <w:tcPr>
            <w:tcW w:w="3978"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采用国产化核心芯片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22"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性能指标</w:t>
            </w: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交换容量≥</w:t>
            </w:r>
            <w:r>
              <w:rPr>
                <w:rFonts w:ascii="宋体" w:hAnsi="宋体" w:eastAsia="宋体" w:cs="宋体"/>
                <w:color w:val="000000"/>
                <w:kern w:val="0"/>
                <w:sz w:val="20"/>
                <w:szCs w:val="20"/>
              </w:rPr>
              <w:t>4.8</w:t>
            </w:r>
            <w:r>
              <w:rPr>
                <w:rFonts w:hint="eastAsia" w:ascii="宋体" w:hAnsi="宋体" w:eastAsia="宋体" w:cs="宋体"/>
                <w:color w:val="000000"/>
                <w:kern w:val="0"/>
                <w:sz w:val="20"/>
                <w:szCs w:val="20"/>
              </w:rPr>
              <w:t>T</w:t>
            </w:r>
            <w:r>
              <w:rPr>
                <w:rFonts w:ascii="宋体" w:hAnsi="宋体" w:eastAsia="宋体" w:cs="宋体"/>
                <w:color w:val="000000"/>
                <w:kern w:val="0"/>
                <w:sz w:val="20"/>
                <w:szCs w:val="20"/>
              </w:rPr>
              <w:t>bps</w:t>
            </w:r>
            <w:r>
              <w:rPr>
                <w:rFonts w:hint="eastAsia" w:ascii="宋体" w:hAnsi="宋体" w:eastAsia="宋体" w:cs="宋体"/>
                <w:color w:val="000000"/>
                <w:kern w:val="0"/>
                <w:sz w:val="20"/>
                <w:szCs w:val="20"/>
              </w:rPr>
              <w:t>，包转发率≥</w:t>
            </w:r>
            <w:r>
              <w:rPr>
                <w:rFonts w:ascii="宋体" w:hAnsi="宋体" w:eastAsia="宋体" w:cs="宋体"/>
                <w:color w:val="000000"/>
                <w:kern w:val="0"/>
                <w:sz w:val="20"/>
                <w:szCs w:val="20"/>
              </w:rPr>
              <w:t>2000Mpps</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以较小值为准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22"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关键部件热插拔</w:t>
            </w: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电源、风扇等关键部件可热插拔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22"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路由</w:t>
            </w:r>
            <w:r>
              <w:rPr>
                <w:rFonts w:ascii="宋体" w:hAnsi="宋体" w:eastAsia="宋体" w:cs="宋体"/>
                <w:color w:val="000000"/>
                <w:kern w:val="0"/>
                <w:sz w:val="20"/>
                <w:szCs w:val="20"/>
              </w:rPr>
              <w:t>协议</w:t>
            </w: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支持BFD/</w:t>
            </w:r>
            <w:r>
              <w:rPr>
                <w:rFonts w:ascii="宋体" w:hAnsi="宋体" w:eastAsia="宋体" w:cs="宋体"/>
                <w:color w:val="000000"/>
                <w:kern w:val="0"/>
                <w:sz w:val="20"/>
                <w:szCs w:val="20"/>
              </w:rPr>
              <w:t>BGP/IS-IS/OSPF/RIP/</w:t>
            </w:r>
            <w:r>
              <w:rPr>
                <w:rFonts w:hint="eastAsia" w:ascii="宋体" w:hAnsi="宋体" w:eastAsia="宋体" w:cs="宋体"/>
                <w:color w:val="000000"/>
                <w:kern w:val="0"/>
                <w:sz w:val="20"/>
                <w:szCs w:val="20"/>
              </w:rPr>
              <w:t>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22" w:type="pct"/>
            <w:shd w:val="clear" w:color="auto" w:fill="auto"/>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IPv6</w:t>
            </w:r>
          </w:p>
        </w:tc>
        <w:tc>
          <w:tcPr>
            <w:tcW w:w="3978" w:type="pct"/>
            <w:shd w:val="clear" w:color="auto" w:fill="auto"/>
          </w:tcPr>
          <w:p>
            <w:pPr>
              <w:pStyle w:val="675"/>
              <w:rPr>
                <w:rFonts w:ascii="宋体" w:hAnsi="宋体" w:eastAsia="宋体" w:cs="宋体"/>
                <w:sz w:val="20"/>
                <w:szCs w:val="20"/>
              </w:rPr>
            </w:pPr>
            <w:r>
              <w:rPr>
                <w:rFonts w:hint="eastAsia" w:ascii="宋体" w:hAnsi="宋体" w:eastAsia="宋体" w:cs="宋体"/>
                <w:sz w:val="20"/>
                <w:szCs w:val="20"/>
              </w:rPr>
              <w:t>支持</w:t>
            </w:r>
            <w:r>
              <w:rPr>
                <w:rFonts w:ascii="宋体" w:hAnsi="宋体" w:eastAsia="宋体" w:cs="宋体"/>
                <w:sz w:val="20"/>
                <w:szCs w:val="20"/>
              </w:rPr>
              <w:t>RIPng</w:t>
            </w:r>
            <w:r>
              <w:rPr>
                <w:rFonts w:hint="eastAsia" w:ascii="宋体" w:hAnsi="宋体" w:eastAsia="宋体" w:cs="宋体"/>
                <w:sz w:val="20"/>
                <w:szCs w:val="20"/>
              </w:rPr>
              <w:t>、</w:t>
            </w:r>
            <w:r>
              <w:rPr>
                <w:rFonts w:ascii="宋体" w:hAnsi="宋体" w:eastAsia="宋体" w:cs="宋体"/>
                <w:sz w:val="20"/>
                <w:szCs w:val="20"/>
              </w:rPr>
              <w:t>BGP4+</w:t>
            </w:r>
            <w:r>
              <w:rPr>
                <w:rFonts w:hint="eastAsia" w:ascii="宋体" w:hAnsi="宋体" w:eastAsia="宋体" w:cs="宋体"/>
                <w:sz w:val="20"/>
                <w:szCs w:val="20"/>
              </w:rPr>
              <w:t>、</w:t>
            </w:r>
            <w:r>
              <w:rPr>
                <w:rFonts w:ascii="宋体" w:hAnsi="宋体" w:eastAsia="宋体" w:cs="宋体"/>
                <w:sz w:val="20"/>
                <w:szCs w:val="20"/>
              </w:rPr>
              <w:t>IS-ISv6</w:t>
            </w:r>
            <w:r>
              <w:rPr>
                <w:rFonts w:hint="eastAsia" w:ascii="宋体" w:hAnsi="宋体" w:eastAsia="宋体" w:cs="宋体"/>
                <w:sz w:val="20"/>
                <w:szCs w:val="20"/>
              </w:rPr>
              <w:t>协议</w:t>
            </w:r>
          </w:p>
          <w:p>
            <w:pPr>
              <w:pStyle w:val="675"/>
              <w:rPr>
                <w:rFonts w:ascii="宋体" w:hAnsi="宋体" w:eastAsia="宋体" w:cs="宋体"/>
                <w:sz w:val="20"/>
                <w:szCs w:val="20"/>
              </w:rPr>
            </w:pPr>
            <w:r>
              <w:rPr>
                <w:rFonts w:hint="eastAsia" w:ascii="宋体" w:hAnsi="宋体" w:eastAsia="宋体" w:cs="宋体"/>
                <w:sz w:val="20"/>
                <w:szCs w:val="20"/>
              </w:rPr>
              <w:t>支持</w:t>
            </w:r>
            <w:r>
              <w:rPr>
                <w:rFonts w:ascii="宋体" w:hAnsi="宋体" w:eastAsia="宋体" w:cs="宋体"/>
                <w:sz w:val="20"/>
                <w:szCs w:val="20"/>
              </w:rPr>
              <w:t>IPv6</w:t>
            </w:r>
            <w:r>
              <w:rPr>
                <w:rFonts w:hint="eastAsia" w:ascii="宋体" w:hAnsi="宋体" w:eastAsia="宋体" w:cs="宋体"/>
                <w:sz w:val="20"/>
                <w:szCs w:val="20"/>
              </w:rPr>
              <w:t>策略路</w:t>
            </w:r>
          </w:p>
          <w:p>
            <w:pPr>
              <w:pStyle w:val="675"/>
              <w:rPr>
                <w:rFonts w:ascii="宋体" w:hAnsi="宋体" w:eastAsia="宋体" w:cs="宋体"/>
                <w:sz w:val="20"/>
                <w:szCs w:val="20"/>
              </w:rPr>
            </w:pPr>
            <w:r>
              <w:rPr>
                <w:rFonts w:hint="eastAsia" w:ascii="宋体" w:hAnsi="宋体" w:eastAsia="宋体" w:cs="宋体"/>
                <w:sz w:val="20"/>
                <w:szCs w:val="20"/>
              </w:rPr>
              <w:t>支持</w:t>
            </w:r>
            <w:r>
              <w:rPr>
                <w:rFonts w:ascii="宋体" w:hAnsi="宋体" w:eastAsia="宋体" w:cs="宋体"/>
                <w:sz w:val="20"/>
                <w:szCs w:val="20"/>
              </w:rPr>
              <w:t>DHCPv6</w:t>
            </w:r>
            <w:r>
              <w:rPr>
                <w:rFonts w:hint="eastAsia" w:ascii="宋体" w:hAnsi="宋体" w:eastAsia="宋体" w:cs="宋体"/>
                <w:sz w:val="20"/>
                <w:szCs w:val="20"/>
              </w:rPr>
              <w:t>功能、</w:t>
            </w:r>
            <w:r>
              <w:rPr>
                <w:rFonts w:ascii="宋体" w:hAnsi="宋体" w:eastAsia="宋体" w:cs="宋体"/>
                <w:sz w:val="20"/>
                <w:szCs w:val="20"/>
              </w:rPr>
              <w:t>IPv6 portal</w:t>
            </w:r>
            <w:r>
              <w:rPr>
                <w:rFonts w:hint="eastAsia" w:ascii="宋体" w:hAnsi="宋体" w:eastAsia="宋体" w:cs="宋体"/>
                <w:sz w:val="20"/>
                <w:szCs w:val="20"/>
              </w:rPr>
              <w:t>功能、</w:t>
            </w:r>
            <w:r>
              <w:rPr>
                <w:rFonts w:ascii="宋体" w:hAnsi="宋体" w:eastAsia="宋体" w:cs="宋体"/>
                <w:sz w:val="20"/>
                <w:szCs w:val="20"/>
              </w:rPr>
              <w:t>IPv6</w:t>
            </w:r>
            <w:r>
              <w:rPr>
                <w:rFonts w:hint="eastAsia" w:ascii="宋体" w:hAnsi="宋体" w:eastAsia="宋体" w:cs="宋体"/>
                <w:sz w:val="20"/>
                <w:szCs w:val="20"/>
              </w:rPr>
              <w:t>管理功能</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支持基于</w:t>
            </w:r>
            <w:r>
              <w:rPr>
                <w:rFonts w:ascii="宋体" w:hAnsi="宋体" w:eastAsia="宋体" w:cs="宋体"/>
                <w:color w:val="000000"/>
                <w:kern w:val="0"/>
                <w:sz w:val="20"/>
                <w:szCs w:val="20"/>
              </w:rPr>
              <w:t>IPv6</w:t>
            </w:r>
            <w:r>
              <w:rPr>
                <w:rFonts w:hint="eastAsia" w:ascii="宋体" w:hAnsi="宋体" w:eastAsia="宋体" w:cs="宋体"/>
                <w:color w:val="000000"/>
                <w:kern w:val="0"/>
                <w:sz w:val="20"/>
                <w:szCs w:val="20"/>
              </w:rPr>
              <w:t>的</w:t>
            </w:r>
            <w:r>
              <w:rPr>
                <w:rFonts w:ascii="宋体" w:hAnsi="宋体" w:eastAsia="宋体" w:cs="宋体"/>
                <w:color w:val="000000"/>
                <w:kern w:val="0"/>
                <w:sz w:val="20"/>
                <w:szCs w:val="20"/>
              </w:rPr>
              <w:t>VRRP</w:t>
            </w:r>
            <w:r>
              <w:rPr>
                <w:rFonts w:hint="eastAsia" w:ascii="宋体" w:hAnsi="宋体" w:eastAsia="宋体" w:cs="宋体"/>
                <w:color w:val="000000"/>
                <w:kern w:val="0"/>
                <w:sz w:val="20"/>
                <w:szCs w:val="20"/>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2" w:type="pct"/>
            <w:vMerge w:val="restar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TAP分流功能</w:t>
            </w: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流量的负载均衡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2" w:type="pct"/>
            <w:vMerge w:val="continue"/>
            <w:shd w:val="clear" w:color="auto" w:fill="auto"/>
          </w:tcPr>
          <w:p>
            <w:pPr>
              <w:widowControl/>
              <w:jc w:val="left"/>
              <w:rPr>
                <w:rFonts w:ascii="宋体" w:hAnsi="宋体" w:eastAsia="宋体" w:cs="宋体"/>
                <w:color w:val="000000"/>
                <w:kern w:val="0"/>
                <w:sz w:val="20"/>
                <w:szCs w:val="20"/>
              </w:rPr>
            </w:pP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N:M的流量镜像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2" w:type="pct"/>
            <w:vMerge w:val="continue"/>
            <w:shd w:val="clear" w:color="auto" w:fill="auto"/>
          </w:tcPr>
          <w:p>
            <w:pPr>
              <w:widowControl/>
              <w:jc w:val="left"/>
              <w:rPr>
                <w:rFonts w:ascii="宋体" w:hAnsi="宋体" w:eastAsia="宋体" w:cs="宋体"/>
                <w:color w:val="000000"/>
                <w:kern w:val="0"/>
                <w:sz w:val="20"/>
                <w:szCs w:val="20"/>
              </w:rPr>
            </w:pP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识别报文头及更改报文信息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2" w:type="pct"/>
            <w:vMerge w:val="continue"/>
            <w:shd w:val="clear" w:color="auto" w:fill="auto"/>
          </w:tcPr>
          <w:p>
            <w:pPr>
              <w:widowControl/>
              <w:jc w:val="left"/>
              <w:rPr>
                <w:rFonts w:ascii="宋体" w:hAnsi="宋体" w:eastAsia="宋体" w:cs="宋体"/>
                <w:color w:val="000000"/>
                <w:kern w:val="0"/>
                <w:sz w:val="20"/>
                <w:szCs w:val="20"/>
              </w:rPr>
            </w:pP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流量识别及处理，匹配ACL策略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2" w:type="pct"/>
            <w:vMerge w:val="continue"/>
            <w:shd w:val="clear" w:color="auto" w:fill="auto"/>
          </w:tcPr>
          <w:p>
            <w:pPr>
              <w:widowControl/>
              <w:jc w:val="left"/>
              <w:rPr>
                <w:rFonts w:ascii="宋体" w:hAnsi="宋体" w:eastAsia="宋体" w:cs="宋体"/>
                <w:color w:val="000000"/>
                <w:kern w:val="0"/>
                <w:sz w:val="20"/>
                <w:szCs w:val="20"/>
              </w:rPr>
            </w:pP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剥离VLAN标记，解封装GRE/NVGRE/VXLAN隧道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22"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资质</w:t>
            </w:r>
            <w:r>
              <w:rPr>
                <w:rFonts w:ascii="宋体" w:hAnsi="宋体" w:eastAsia="宋体" w:cs="宋体"/>
                <w:color w:val="000000"/>
                <w:kern w:val="0"/>
                <w:sz w:val="20"/>
                <w:szCs w:val="20"/>
              </w:rPr>
              <w:t>证书</w:t>
            </w: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提供工信部入网证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22"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配置要求</w:t>
            </w:r>
          </w:p>
        </w:tc>
        <w:tc>
          <w:tcPr>
            <w:tcW w:w="3978"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配置冗余电源，冗余风扇</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2</w:t>
            </w:r>
            <w:r>
              <w:rPr>
                <w:rFonts w:hint="eastAsia" w:ascii="宋体" w:hAnsi="宋体" w:eastAsia="宋体" w:cs="宋体"/>
                <w:color w:val="000000"/>
                <w:kern w:val="0"/>
                <w:sz w:val="20"/>
                <w:szCs w:val="20"/>
              </w:rPr>
              <w:t>个</w:t>
            </w:r>
            <w:r>
              <w:rPr>
                <w:rFonts w:ascii="宋体" w:hAnsi="宋体" w:eastAsia="宋体" w:cs="宋体"/>
                <w:color w:val="000000"/>
                <w:kern w:val="0"/>
                <w:sz w:val="20"/>
                <w:szCs w:val="20"/>
              </w:rPr>
              <w:t>QSPF+</w:t>
            </w:r>
            <w:r>
              <w:rPr>
                <w:rFonts w:hint="eastAsia" w:ascii="宋体" w:hAnsi="宋体" w:eastAsia="宋体" w:cs="宋体"/>
                <w:color w:val="000000"/>
                <w:kern w:val="0"/>
                <w:sz w:val="20"/>
                <w:szCs w:val="20"/>
              </w:rPr>
              <w:t>光端口，≥</w:t>
            </w:r>
            <w:r>
              <w:rPr>
                <w:rFonts w:ascii="宋体" w:hAnsi="宋体" w:eastAsia="宋体" w:cs="宋体"/>
                <w:color w:val="000000"/>
                <w:kern w:val="0"/>
                <w:sz w:val="20"/>
                <w:szCs w:val="20"/>
              </w:rPr>
              <w:t>4</w:t>
            </w:r>
            <w:r>
              <w:rPr>
                <w:rFonts w:hint="eastAsia" w:ascii="宋体" w:hAnsi="宋体" w:eastAsia="宋体" w:cs="宋体"/>
                <w:color w:val="000000"/>
                <w:kern w:val="0"/>
                <w:sz w:val="20"/>
                <w:szCs w:val="20"/>
              </w:rPr>
              <w:t>个</w:t>
            </w:r>
            <w:r>
              <w:rPr>
                <w:rFonts w:ascii="宋体" w:hAnsi="宋体" w:eastAsia="宋体" w:cs="宋体"/>
                <w:color w:val="000000"/>
                <w:kern w:val="0"/>
                <w:sz w:val="20"/>
                <w:szCs w:val="20"/>
              </w:rPr>
              <w:t>QSPF28</w:t>
            </w:r>
            <w:r>
              <w:rPr>
                <w:rFonts w:hint="eastAsia" w:ascii="宋体" w:hAnsi="宋体" w:eastAsia="宋体" w:cs="宋体"/>
                <w:color w:val="000000"/>
                <w:kern w:val="0"/>
                <w:sz w:val="20"/>
                <w:szCs w:val="20"/>
              </w:rPr>
              <w:t>光端口，≥</w:t>
            </w:r>
            <w:r>
              <w:rPr>
                <w:rFonts w:ascii="宋体" w:hAnsi="宋体" w:eastAsia="宋体" w:cs="宋体"/>
                <w:color w:val="000000"/>
                <w:kern w:val="0"/>
                <w:sz w:val="20"/>
                <w:szCs w:val="20"/>
              </w:rPr>
              <w:t>48</w:t>
            </w:r>
            <w:r>
              <w:rPr>
                <w:rFonts w:hint="eastAsia" w:ascii="宋体" w:hAnsi="宋体" w:eastAsia="宋体" w:cs="宋体"/>
                <w:color w:val="000000"/>
                <w:kern w:val="0"/>
                <w:sz w:val="20"/>
                <w:szCs w:val="20"/>
              </w:rPr>
              <w:t>个万兆光端口</w:t>
            </w:r>
          </w:p>
        </w:tc>
      </w:tr>
    </w:tbl>
    <w:p>
      <w:pPr>
        <w:pStyle w:val="8"/>
      </w:pPr>
      <w:r>
        <w:t>8</w:t>
      </w:r>
      <w:r>
        <w:rPr>
          <w:rFonts w:hint="eastAsia"/>
        </w:rPr>
        <w:t>、光模块</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5391"/>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22" w:type="pct"/>
            <w:shd w:val="clear" w:color="auto" w:fill="auto"/>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功能及技术指标</w:t>
            </w:r>
          </w:p>
        </w:tc>
        <w:tc>
          <w:tcPr>
            <w:tcW w:w="3161" w:type="pct"/>
            <w:shd w:val="clear" w:color="auto" w:fill="auto"/>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详细技术参数</w:t>
            </w:r>
          </w:p>
        </w:tc>
        <w:tc>
          <w:tcPr>
            <w:tcW w:w="817" w:type="pct"/>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22" w:type="pct"/>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r>
              <w:rPr>
                <w:rFonts w:ascii="宋体" w:hAnsi="宋体" w:eastAsia="宋体" w:cs="宋体"/>
                <w:color w:val="000000"/>
                <w:kern w:val="0"/>
                <w:sz w:val="20"/>
                <w:szCs w:val="20"/>
              </w:rPr>
              <w:t>0G</w:t>
            </w:r>
            <w:r>
              <w:rPr>
                <w:rFonts w:hint="eastAsia" w:ascii="宋体" w:hAnsi="宋体" w:eastAsia="宋体" w:cs="宋体"/>
                <w:color w:val="000000"/>
                <w:kern w:val="0"/>
                <w:sz w:val="20"/>
                <w:szCs w:val="20"/>
              </w:rPr>
              <w:t>多模光模块</w:t>
            </w:r>
          </w:p>
        </w:tc>
        <w:tc>
          <w:tcPr>
            <w:tcW w:w="3161" w:type="pct"/>
            <w:shd w:val="clear" w:color="auto" w:fill="auto"/>
            <w:vAlign w:val="bottom"/>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QSFP+ 40G光模块(850nm,300m,CSR4,支持1分4)</w:t>
            </w:r>
          </w:p>
        </w:tc>
        <w:tc>
          <w:tcPr>
            <w:tcW w:w="817" w:type="pc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22"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万兆多模光模块</w:t>
            </w:r>
          </w:p>
        </w:tc>
        <w:tc>
          <w:tcPr>
            <w:tcW w:w="3161" w:type="pct"/>
            <w:shd w:val="clear" w:color="auto" w:fill="auto"/>
            <w:vAlign w:val="bottom"/>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SFP+ 万兆模块(850nm,300m,LC)</w:t>
            </w:r>
          </w:p>
        </w:tc>
        <w:tc>
          <w:tcPr>
            <w:tcW w:w="817" w:type="pc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22"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万兆单模光模块</w:t>
            </w:r>
          </w:p>
        </w:tc>
        <w:tc>
          <w:tcPr>
            <w:tcW w:w="3161" w:type="pct"/>
            <w:shd w:val="clear" w:color="auto" w:fill="auto"/>
            <w:vAlign w:val="bottom"/>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SFP+ 万兆模块(1310nm,10km,LC)</w:t>
            </w:r>
          </w:p>
        </w:tc>
        <w:tc>
          <w:tcPr>
            <w:tcW w:w="817" w:type="pc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22"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r>
              <w:rPr>
                <w:rFonts w:ascii="宋体" w:hAnsi="宋体" w:eastAsia="宋体" w:cs="宋体"/>
                <w:color w:val="000000"/>
                <w:kern w:val="0"/>
                <w:sz w:val="20"/>
                <w:szCs w:val="20"/>
              </w:rPr>
              <w:t>0G</w:t>
            </w:r>
            <w:r>
              <w:rPr>
                <w:rFonts w:hint="eastAsia" w:ascii="宋体" w:hAnsi="宋体" w:eastAsia="宋体" w:cs="宋体"/>
                <w:color w:val="000000"/>
                <w:kern w:val="0"/>
                <w:sz w:val="20"/>
                <w:szCs w:val="20"/>
              </w:rPr>
              <w:t>单模长距光模块</w:t>
            </w:r>
          </w:p>
        </w:tc>
        <w:tc>
          <w:tcPr>
            <w:tcW w:w="3161" w:type="pct"/>
            <w:shd w:val="clear" w:color="auto" w:fill="auto"/>
            <w:vAlign w:val="bottom"/>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QSFP+ 40G 光模块(1310nm,40km,ER4,LC)</w:t>
            </w:r>
          </w:p>
        </w:tc>
        <w:tc>
          <w:tcPr>
            <w:tcW w:w="817" w:type="pc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22"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千兆单模光模块</w:t>
            </w:r>
          </w:p>
        </w:tc>
        <w:tc>
          <w:tcPr>
            <w:tcW w:w="3161" w:type="pct"/>
            <w:shd w:val="clear" w:color="auto" w:fill="auto"/>
            <w:vAlign w:val="bottom"/>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SFP-GE-</w:t>
            </w:r>
            <w:r>
              <w:rPr>
                <w:rFonts w:hint="eastAsia" w:ascii="宋体" w:hAnsi="宋体" w:eastAsia="宋体" w:cs="宋体"/>
                <w:color w:val="000000"/>
                <w:kern w:val="0"/>
                <w:sz w:val="20"/>
                <w:szCs w:val="20"/>
              </w:rPr>
              <w:t>单模</w:t>
            </w:r>
            <w:r>
              <w:rPr>
                <w:rFonts w:ascii="宋体" w:hAnsi="宋体" w:eastAsia="宋体" w:cs="宋体"/>
                <w:color w:val="000000"/>
                <w:kern w:val="0"/>
                <w:sz w:val="20"/>
                <w:szCs w:val="20"/>
              </w:rPr>
              <w:t>模块-(1310nm,10km,LC)</w:t>
            </w:r>
          </w:p>
        </w:tc>
        <w:tc>
          <w:tcPr>
            <w:tcW w:w="817" w:type="pc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ascii="宋体" w:hAnsi="宋体" w:eastAsia="宋体" w:cs="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22" w:type="pct"/>
            <w:shd w:val="clear" w:color="auto" w:fill="auto"/>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千兆多模光模块</w:t>
            </w:r>
          </w:p>
        </w:tc>
        <w:tc>
          <w:tcPr>
            <w:tcW w:w="3161" w:type="pct"/>
            <w:shd w:val="clear" w:color="auto" w:fill="auto"/>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SFP-GE-多模模块-(850nm,0.55km,LC)</w:t>
            </w:r>
          </w:p>
        </w:tc>
        <w:tc>
          <w:tcPr>
            <w:tcW w:w="817" w:type="pct"/>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bl>
    <w:p/>
    <w:bookmarkEnd w:id="25"/>
    <w:p>
      <w:pPr>
        <w:spacing w:line="360" w:lineRule="auto"/>
        <w:rPr>
          <w:rFonts w:ascii="仿宋" w:hAnsi="仿宋" w:eastAsia="仿宋"/>
          <w:b/>
          <w:bCs/>
          <w:sz w:val="28"/>
          <w:szCs w:val="28"/>
        </w:rPr>
      </w:pPr>
    </w:p>
    <w:p>
      <w:pPr>
        <w:pStyle w:val="6"/>
        <w:numPr>
          <w:ilvl w:val="0"/>
          <w:numId w:val="33"/>
        </w:numPr>
        <w:rPr>
          <w:rFonts w:ascii="仿宋" w:hAnsi="仿宋" w:eastAsia="仿宋"/>
          <w:color w:val="auto"/>
          <w:sz w:val="30"/>
          <w:szCs w:val="30"/>
        </w:rPr>
      </w:pPr>
      <w:r>
        <w:rPr>
          <w:rFonts w:hint="eastAsia"/>
          <w:color w:val="auto"/>
          <w:lang w:eastAsia="zh-CN"/>
        </w:rPr>
        <w:t>技术</w:t>
      </w:r>
      <w:r>
        <w:rPr>
          <w:color w:val="auto"/>
        </w:rPr>
        <w:t>要求</w:t>
      </w:r>
    </w:p>
    <w:p>
      <w:pPr>
        <w:spacing w:line="360" w:lineRule="auto"/>
        <w:ind w:firstLine="420" w:firstLineChars="200"/>
        <w:rPr>
          <w:color w:val="auto"/>
          <w:szCs w:val="21"/>
        </w:rPr>
      </w:pPr>
      <w:r>
        <w:rPr>
          <w:color w:val="auto"/>
          <w:szCs w:val="21"/>
        </w:rPr>
        <w:t>1.项目工期要求</w:t>
      </w:r>
    </w:p>
    <w:p>
      <w:pPr>
        <w:spacing w:line="360" w:lineRule="auto"/>
        <w:ind w:firstLine="420" w:firstLineChars="200"/>
        <w:rPr>
          <w:color w:val="auto"/>
          <w:szCs w:val="21"/>
        </w:rPr>
      </w:pPr>
      <w:r>
        <w:rPr>
          <w:color w:val="auto"/>
          <w:szCs w:val="21"/>
        </w:rPr>
        <w:t>本次项目要求在合同签订后</w:t>
      </w:r>
      <w:r>
        <w:rPr>
          <w:rFonts w:hint="eastAsia"/>
          <w:color w:val="auto"/>
          <w:szCs w:val="21"/>
          <w:lang w:val="en-US" w:eastAsia="zh-CN"/>
        </w:rPr>
        <w:t>30个自然日内完成设备到货</w:t>
      </w:r>
      <w:r>
        <w:rPr>
          <w:color w:val="auto"/>
          <w:szCs w:val="21"/>
        </w:rPr>
        <w:t>，</w:t>
      </w:r>
      <w:r>
        <w:rPr>
          <w:rFonts w:hint="eastAsia"/>
          <w:color w:val="auto"/>
          <w:szCs w:val="21"/>
          <w:lang w:eastAsia="zh-CN"/>
        </w:rPr>
        <w:t>到后货</w:t>
      </w:r>
      <w:r>
        <w:rPr>
          <w:rFonts w:hint="eastAsia"/>
          <w:color w:val="auto"/>
          <w:szCs w:val="21"/>
          <w:lang w:val="en-US" w:eastAsia="zh-CN"/>
        </w:rPr>
        <w:t>30个自然日内完成安装部署。</w:t>
      </w:r>
      <w:r>
        <w:rPr>
          <w:color w:val="auto"/>
          <w:szCs w:val="21"/>
        </w:rPr>
        <w:t>要求投标人提供合理的项目计划和建议，保证项目按时保质保量完成。</w:t>
      </w:r>
    </w:p>
    <w:p>
      <w:pPr>
        <w:spacing w:line="360" w:lineRule="auto"/>
        <w:ind w:firstLine="420" w:firstLineChars="200"/>
        <w:rPr>
          <w:color w:val="auto"/>
          <w:szCs w:val="21"/>
        </w:rPr>
      </w:pPr>
      <w:r>
        <w:rPr>
          <w:color w:val="auto"/>
          <w:szCs w:val="21"/>
        </w:rPr>
        <w:t>2.</w:t>
      </w:r>
      <w:r>
        <w:rPr>
          <w:rFonts w:hint="eastAsia"/>
          <w:color w:val="auto"/>
          <w:szCs w:val="21"/>
        </w:rPr>
        <w:t xml:space="preserve"> 项目组人员技术能力要求</w:t>
      </w:r>
    </w:p>
    <w:p>
      <w:pPr>
        <w:spacing w:line="360" w:lineRule="auto"/>
        <w:ind w:firstLine="420" w:firstLineChars="200"/>
        <w:rPr>
          <w:rFonts w:hint="eastAsia"/>
          <w:color w:val="auto"/>
          <w:szCs w:val="21"/>
        </w:rPr>
      </w:pPr>
      <w:r>
        <w:rPr>
          <w:rFonts w:hint="eastAsia"/>
          <w:color w:val="auto"/>
          <w:szCs w:val="21"/>
        </w:rPr>
        <w:t>投标人应在充分理解本项目需求的基础上，根据本技术方案的要求，建立专门项目团队并提供人员名单，确认项目经理1名、网安高级工程师1名、云数高级工程师1名以及相关技术人员、提供相应设备证明。</w:t>
      </w:r>
    </w:p>
    <w:p>
      <w:pPr>
        <w:spacing w:line="360" w:lineRule="auto"/>
        <w:ind w:firstLine="420" w:firstLineChars="200"/>
        <w:rPr>
          <w:rFonts w:hint="eastAsia"/>
          <w:color w:val="auto"/>
          <w:szCs w:val="21"/>
          <w:highlight w:val="none"/>
        </w:rPr>
      </w:pPr>
      <w:r>
        <w:rPr>
          <w:rFonts w:hint="eastAsia"/>
          <w:color w:val="auto"/>
          <w:szCs w:val="21"/>
          <w:highlight w:val="none"/>
        </w:rPr>
        <w:t>项目</w:t>
      </w:r>
      <w:r>
        <w:rPr>
          <w:rFonts w:hint="eastAsia"/>
          <w:color w:val="auto"/>
          <w:szCs w:val="21"/>
          <w:highlight w:val="none"/>
          <w:lang w:val="en-US" w:eastAsia="zh-CN"/>
        </w:rPr>
        <w:t>组人员能力情况要求</w:t>
      </w:r>
      <w:r>
        <w:rPr>
          <w:rFonts w:hint="eastAsia"/>
          <w:color w:val="auto"/>
          <w:szCs w:val="21"/>
          <w:highlight w:val="none"/>
        </w:rPr>
        <w:t>：</w:t>
      </w:r>
    </w:p>
    <w:p>
      <w:pPr>
        <w:spacing w:line="360" w:lineRule="auto"/>
        <w:ind w:firstLine="420" w:firstLineChars="200"/>
        <w:rPr>
          <w:rFonts w:hint="eastAsia"/>
          <w:color w:val="auto"/>
          <w:szCs w:val="21"/>
          <w:highlight w:val="none"/>
        </w:rPr>
      </w:pPr>
      <w:r>
        <w:rPr>
          <w:rFonts w:hint="eastAsia"/>
          <w:color w:val="auto"/>
          <w:szCs w:val="21"/>
          <w:highlight w:val="none"/>
        </w:rPr>
        <w:t>（1）拟派项目经理取得信息系统项目管理师资格（</w:t>
      </w:r>
      <w:r>
        <w:rPr>
          <w:rFonts w:hint="eastAsia"/>
          <w:color w:val="auto"/>
          <w:szCs w:val="21"/>
          <w:highlight w:val="none"/>
          <w:lang w:eastAsia="zh-CN"/>
        </w:rPr>
        <w:t>人力资源和社会保障部、工业和信息化部批准颁发</w:t>
      </w:r>
      <w:r>
        <w:rPr>
          <w:rFonts w:hint="eastAsia"/>
          <w:color w:val="auto"/>
          <w:szCs w:val="21"/>
          <w:highlight w:val="none"/>
        </w:rPr>
        <w:t>），取得信息安全工程师资格（</w:t>
      </w:r>
      <w:r>
        <w:rPr>
          <w:rFonts w:hint="eastAsia"/>
          <w:color w:val="auto"/>
          <w:szCs w:val="21"/>
          <w:highlight w:val="none"/>
          <w:lang w:eastAsia="zh-CN"/>
        </w:rPr>
        <w:t>人力资源和社会保障部、工业和信息化部批准颁发</w:t>
      </w:r>
      <w:r>
        <w:rPr>
          <w:rFonts w:hint="eastAsia"/>
          <w:color w:val="auto"/>
          <w:szCs w:val="21"/>
          <w:highlight w:val="none"/>
        </w:rPr>
        <w:t>），</w:t>
      </w:r>
      <w:r>
        <w:rPr>
          <w:rFonts w:hint="eastAsia"/>
          <w:color w:val="auto"/>
          <w:szCs w:val="21"/>
          <w:highlight w:val="none"/>
          <w:lang w:eastAsia="zh-CN"/>
        </w:rPr>
        <w:t>每个证书</w:t>
      </w:r>
      <w:r>
        <w:rPr>
          <w:rFonts w:hint="eastAsia"/>
          <w:color w:val="auto"/>
          <w:szCs w:val="21"/>
          <w:highlight w:val="none"/>
          <w:lang w:val="en-US" w:eastAsia="zh-CN"/>
        </w:rPr>
        <w:t>1分，共2分</w:t>
      </w:r>
      <w:r>
        <w:rPr>
          <w:rFonts w:hint="eastAsia"/>
          <w:color w:val="auto"/>
          <w:szCs w:val="21"/>
          <w:highlight w:val="none"/>
        </w:rPr>
        <w:t>；</w:t>
      </w:r>
    </w:p>
    <w:p>
      <w:pPr>
        <w:spacing w:line="360" w:lineRule="auto"/>
        <w:ind w:firstLine="420" w:firstLineChars="200"/>
        <w:rPr>
          <w:rFonts w:hint="eastAsia"/>
          <w:color w:val="auto"/>
          <w:szCs w:val="21"/>
          <w:lang w:eastAsia="zh-CN"/>
        </w:rPr>
      </w:pPr>
      <w:r>
        <w:rPr>
          <w:rFonts w:hint="eastAsia"/>
          <w:color w:val="auto"/>
          <w:szCs w:val="21"/>
        </w:rPr>
        <w:t>（2）项目小组人员可以提供H3CIE/CCIE/HCIE证书（任一）</w:t>
      </w:r>
      <w:r>
        <w:rPr>
          <w:rFonts w:hint="eastAsia"/>
          <w:color w:val="auto"/>
          <w:szCs w:val="21"/>
          <w:lang w:eastAsia="zh-CN"/>
        </w:rPr>
        <w:t>，每个证书</w:t>
      </w:r>
      <w:r>
        <w:rPr>
          <w:rFonts w:hint="eastAsia"/>
          <w:color w:val="auto"/>
          <w:szCs w:val="21"/>
          <w:lang w:val="en-US" w:eastAsia="zh-CN"/>
        </w:rPr>
        <w:t>0.5分，</w:t>
      </w:r>
      <w:r>
        <w:rPr>
          <w:rFonts w:hint="eastAsia"/>
          <w:color w:val="auto"/>
          <w:szCs w:val="21"/>
          <w:lang w:eastAsia="zh-CN"/>
        </w:rPr>
        <w:t>共</w:t>
      </w:r>
      <w:r>
        <w:rPr>
          <w:rFonts w:hint="eastAsia"/>
          <w:color w:val="auto"/>
          <w:szCs w:val="21"/>
        </w:rPr>
        <w:t>1分；</w:t>
      </w:r>
      <w:r>
        <w:rPr>
          <w:rFonts w:hint="eastAsia"/>
          <w:color w:val="auto"/>
          <w:szCs w:val="21"/>
          <w:lang w:eastAsia="zh-CN"/>
        </w:rPr>
        <w:t>（证书颁发机构为华三、思科、华为等主流</w:t>
      </w:r>
      <w:r>
        <w:rPr>
          <w:rFonts w:hint="default"/>
          <w:color w:val="auto"/>
          <w:szCs w:val="21"/>
          <w:lang w:val="en-US" w:eastAsia="zh-CN"/>
        </w:rPr>
        <w:t>网络</w:t>
      </w:r>
      <w:r>
        <w:rPr>
          <w:rFonts w:hint="eastAsia"/>
          <w:color w:val="auto"/>
          <w:szCs w:val="21"/>
          <w:lang w:val="en-US" w:eastAsia="zh-CN"/>
        </w:rPr>
        <w:t>设备生产</w:t>
      </w:r>
      <w:r>
        <w:rPr>
          <w:rFonts w:hint="default"/>
          <w:color w:val="auto"/>
          <w:szCs w:val="21"/>
          <w:lang w:val="en-US" w:eastAsia="zh-CN"/>
        </w:rPr>
        <w:t>厂商</w:t>
      </w:r>
      <w:r>
        <w:rPr>
          <w:rFonts w:hint="eastAsia"/>
          <w:color w:val="auto"/>
          <w:szCs w:val="21"/>
          <w:lang w:eastAsia="zh-CN"/>
        </w:rPr>
        <w:t>）</w:t>
      </w:r>
    </w:p>
    <w:p>
      <w:pPr>
        <w:spacing w:line="360" w:lineRule="auto"/>
        <w:ind w:firstLine="420" w:firstLineChars="200"/>
        <w:rPr>
          <w:rFonts w:hint="eastAsia"/>
          <w:color w:val="auto"/>
          <w:szCs w:val="21"/>
        </w:rPr>
      </w:pPr>
      <w:r>
        <w:rPr>
          <w:rFonts w:hint="eastAsia"/>
          <w:color w:val="auto"/>
          <w:szCs w:val="21"/>
        </w:rPr>
        <w:t>（3）项目小组提供注册信息安全专业人员证书（CISP或CISSP）</w:t>
      </w:r>
      <w:r>
        <w:rPr>
          <w:rFonts w:hint="eastAsia"/>
          <w:color w:val="auto"/>
          <w:szCs w:val="21"/>
          <w:lang w:eastAsia="zh-CN"/>
        </w:rPr>
        <w:t>（</w:t>
      </w:r>
      <w:r>
        <w:rPr>
          <w:rFonts w:hint="eastAsia"/>
          <w:color w:val="auto"/>
          <w:szCs w:val="21"/>
        </w:rPr>
        <w:t>中国信息安全测评中心</w:t>
      </w:r>
      <w:r>
        <w:rPr>
          <w:rFonts w:hint="eastAsia"/>
          <w:color w:val="auto"/>
          <w:szCs w:val="21"/>
          <w:lang w:eastAsia="zh-CN"/>
        </w:rPr>
        <w:t>颁发），每个证书</w:t>
      </w:r>
      <w:r>
        <w:rPr>
          <w:rFonts w:hint="eastAsia"/>
          <w:color w:val="auto"/>
          <w:szCs w:val="21"/>
          <w:lang w:val="en-US" w:eastAsia="zh-CN"/>
        </w:rPr>
        <w:t>0.5分，</w:t>
      </w:r>
      <w:r>
        <w:rPr>
          <w:rFonts w:hint="eastAsia"/>
          <w:color w:val="auto"/>
          <w:szCs w:val="21"/>
          <w:lang w:eastAsia="zh-CN"/>
        </w:rPr>
        <w:t>共</w:t>
      </w:r>
      <w:r>
        <w:rPr>
          <w:rFonts w:hint="eastAsia"/>
          <w:color w:val="auto"/>
          <w:szCs w:val="21"/>
        </w:rPr>
        <w:t>1分；</w:t>
      </w:r>
    </w:p>
    <w:p>
      <w:pPr>
        <w:spacing w:line="360" w:lineRule="auto"/>
        <w:ind w:firstLine="420" w:firstLineChars="200"/>
        <w:rPr>
          <w:rFonts w:hint="eastAsia"/>
          <w:color w:val="auto"/>
          <w:szCs w:val="21"/>
        </w:rPr>
      </w:pPr>
      <w:r>
        <w:rPr>
          <w:rFonts w:hint="eastAsia"/>
          <w:color w:val="auto"/>
          <w:szCs w:val="21"/>
        </w:rPr>
        <w:t>以上三点提供投标人为其缴纳社保的凭证（近三个月）</w:t>
      </w:r>
    </w:p>
    <w:p>
      <w:pPr>
        <w:spacing w:line="360" w:lineRule="auto"/>
        <w:ind w:firstLine="420" w:firstLineChars="200"/>
        <w:rPr>
          <w:rFonts w:hint="eastAsia"/>
          <w:color w:val="auto"/>
          <w:szCs w:val="21"/>
        </w:rPr>
      </w:pPr>
      <w:r>
        <w:rPr>
          <w:rFonts w:hint="eastAsia"/>
          <w:color w:val="auto"/>
          <w:szCs w:val="21"/>
        </w:rPr>
        <w:t>（4）提供1人年驻场服务，得</w:t>
      </w:r>
      <w:r>
        <w:rPr>
          <w:rFonts w:hint="eastAsia"/>
          <w:color w:val="auto"/>
          <w:szCs w:val="21"/>
          <w:lang w:val="en-US" w:eastAsia="zh-CN"/>
        </w:rPr>
        <w:t>1</w:t>
      </w:r>
      <w:r>
        <w:rPr>
          <w:rFonts w:hint="eastAsia"/>
          <w:color w:val="auto"/>
          <w:szCs w:val="21"/>
        </w:rPr>
        <w:t>分。</w:t>
      </w:r>
    </w:p>
    <w:p>
      <w:pPr>
        <w:spacing w:line="360" w:lineRule="auto"/>
        <w:ind w:firstLine="420" w:firstLineChars="200"/>
        <w:rPr>
          <w:rFonts w:hint="eastAsia"/>
          <w:color w:val="auto"/>
          <w:szCs w:val="21"/>
          <w:lang w:val="en-US" w:eastAsia="zh-CN"/>
        </w:rPr>
      </w:pPr>
      <w:r>
        <w:rPr>
          <w:rFonts w:hint="eastAsia"/>
          <w:color w:val="auto"/>
          <w:szCs w:val="21"/>
          <w:lang w:val="en-US" w:eastAsia="zh-CN"/>
        </w:rPr>
        <w:t>5、其他要求</w:t>
      </w:r>
    </w:p>
    <w:p>
      <w:pPr>
        <w:spacing w:line="360" w:lineRule="auto"/>
        <w:ind w:firstLine="420" w:firstLineChars="200"/>
        <w:jc w:val="left"/>
        <w:rPr>
          <w:color w:val="auto"/>
          <w:kern w:val="21"/>
          <w:szCs w:val="21"/>
        </w:rPr>
      </w:pPr>
      <w:r>
        <w:rPr>
          <w:color w:val="auto"/>
          <w:kern w:val="21"/>
          <w:szCs w:val="21"/>
        </w:rPr>
        <w:t>1、本次采购内容为通用设备的采购，包括设备的供货、运输、系统集成、设备上架、安装验收、技术培训、售后服务以及伴随的其他服务等。</w:t>
      </w:r>
    </w:p>
    <w:p>
      <w:pPr>
        <w:spacing w:line="360" w:lineRule="auto"/>
        <w:ind w:firstLine="422" w:firstLineChars="200"/>
        <w:jc w:val="left"/>
        <w:rPr>
          <w:color w:val="auto"/>
          <w:kern w:val="21"/>
          <w:szCs w:val="21"/>
        </w:rPr>
      </w:pPr>
      <w:r>
        <w:rPr>
          <w:b/>
          <w:color w:val="auto"/>
          <w:kern w:val="21"/>
          <w:szCs w:val="21"/>
        </w:rPr>
        <w:t>2</w:t>
      </w:r>
      <w:r>
        <w:rPr>
          <w:color w:val="auto"/>
          <w:kern w:val="21"/>
          <w:szCs w:val="21"/>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pPr>
        <w:spacing w:line="360" w:lineRule="auto"/>
        <w:ind w:firstLine="420" w:firstLineChars="200"/>
        <w:jc w:val="left"/>
        <w:rPr>
          <w:color w:val="auto"/>
          <w:kern w:val="21"/>
          <w:szCs w:val="21"/>
        </w:rPr>
      </w:pPr>
      <w:r>
        <w:rPr>
          <w:rFonts w:hint="eastAsia"/>
          <w:color w:val="auto"/>
          <w:kern w:val="21"/>
          <w:szCs w:val="21"/>
        </w:rPr>
        <w:t>3</w:t>
      </w:r>
      <w:r>
        <w:rPr>
          <w:color w:val="auto"/>
          <w:kern w:val="21"/>
          <w:szCs w:val="21"/>
        </w:rPr>
        <w:t>、投标人应确保所提供产品的完整性、实用性，保证全部系统及时投入正常运行。否则若出现因投标人提供的产品不满足要求、不合理，而导致系统无法实现或不能完全实现的状况，投标人承担全部责任，由此产生风险和费用由投标人承担。</w:t>
      </w:r>
    </w:p>
    <w:p>
      <w:pPr>
        <w:spacing w:line="360" w:lineRule="auto"/>
        <w:ind w:firstLine="422" w:firstLineChars="200"/>
        <w:rPr>
          <w:b/>
          <w:color w:val="auto"/>
          <w:sz w:val="24"/>
          <w:lang w:val="zh-CN"/>
        </w:rPr>
      </w:pPr>
      <w:r>
        <w:rPr>
          <w:rFonts w:hint="eastAsia"/>
          <w:b/>
          <w:color w:val="auto"/>
          <w:kern w:val="21"/>
          <w:szCs w:val="21"/>
        </w:rPr>
        <w:t>4</w:t>
      </w:r>
      <w:r>
        <w:rPr>
          <w:b/>
          <w:color w:val="auto"/>
          <w:kern w:val="21"/>
          <w:szCs w:val="21"/>
        </w:rPr>
        <w:t>、中标人有义务保证采购人系统的完整性，如项目实施过程中因缺少所投标设备的配件或服务导致采购人系统无法正常运行，中标人须无偿提供</w:t>
      </w:r>
      <w:r>
        <w:rPr>
          <w:b/>
          <w:color w:val="auto"/>
          <w:sz w:val="24"/>
          <w:lang w:val="zh-CN"/>
        </w:rPr>
        <w:t>。</w:t>
      </w:r>
    </w:p>
    <w:p>
      <w:pPr>
        <w:spacing w:line="360" w:lineRule="auto"/>
        <w:ind w:firstLine="420" w:firstLineChars="200"/>
        <w:jc w:val="left"/>
        <w:rPr>
          <w:color w:val="auto"/>
          <w:kern w:val="21"/>
          <w:szCs w:val="21"/>
        </w:rPr>
      </w:pPr>
      <w:bookmarkStart w:id="46" w:name="_Toc192300440"/>
      <w:bookmarkEnd w:id="46"/>
      <w:bookmarkStart w:id="47" w:name="_Toc192300445"/>
      <w:bookmarkEnd w:id="47"/>
      <w:bookmarkStart w:id="48" w:name="_Toc192300449"/>
      <w:bookmarkEnd w:id="48"/>
      <w:bookmarkStart w:id="49" w:name="_Toc192300436"/>
      <w:bookmarkEnd w:id="49"/>
      <w:bookmarkStart w:id="50" w:name="_Toc192300439"/>
      <w:bookmarkEnd w:id="50"/>
      <w:bookmarkStart w:id="51" w:name="_Toc192300438"/>
      <w:bookmarkEnd w:id="51"/>
      <w:bookmarkStart w:id="52" w:name="_Toc192300435"/>
      <w:bookmarkEnd w:id="52"/>
      <w:bookmarkStart w:id="53" w:name="_Toc192300446"/>
      <w:bookmarkEnd w:id="53"/>
      <w:bookmarkStart w:id="54" w:name="_Toc192300433"/>
      <w:bookmarkEnd w:id="54"/>
      <w:bookmarkStart w:id="55" w:name="_Toc192300441"/>
      <w:bookmarkEnd w:id="55"/>
      <w:bookmarkStart w:id="56" w:name="_Toc192300434"/>
      <w:bookmarkEnd w:id="56"/>
      <w:bookmarkStart w:id="57" w:name="_Toc192300448"/>
      <w:bookmarkEnd w:id="57"/>
      <w:bookmarkStart w:id="58" w:name="_Toc192300432"/>
      <w:bookmarkEnd w:id="58"/>
      <w:bookmarkStart w:id="59" w:name="_Toc192300444"/>
      <w:bookmarkEnd w:id="59"/>
      <w:bookmarkStart w:id="60" w:name="_Toc192300442"/>
      <w:bookmarkEnd w:id="60"/>
      <w:bookmarkStart w:id="61" w:name="_Toc192300431"/>
      <w:bookmarkEnd w:id="61"/>
      <w:bookmarkStart w:id="62" w:name="_Toc192300447"/>
      <w:bookmarkEnd w:id="62"/>
      <w:bookmarkStart w:id="63" w:name="_Toc515358869"/>
      <w:bookmarkStart w:id="64" w:name="_Toc491075506"/>
      <w:bookmarkStart w:id="65" w:name="_Toc516069195"/>
      <w:r>
        <w:rPr>
          <w:rFonts w:hint="eastAsia"/>
          <w:color w:val="auto"/>
          <w:kern w:val="21"/>
          <w:szCs w:val="21"/>
        </w:rPr>
        <w:t>5</w:t>
      </w:r>
      <w:r>
        <w:rPr>
          <w:color w:val="auto"/>
          <w:kern w:val="21"/>
          <w:szCs w:val="21"/>
        </w:rPr>
        <w:t>、项目的工作内容及成果</w:t>
      </w:r>
      <w:bookmarkEnd w:id="63"/>
      <w:bookmarkEnd w:id="64"/>
      <w:bookmarkEnd w:id="65"/>
    </w:p>
    <w:p>
      <w:pPr>
        <w:spacing w:line="360" w:lineRule="auto"/>
        <w:ind w:firstLine="420" w:firstLineChars="200"/>
        <w:rPr>
          <w:color w:val="auto"/>
          <w:szCs w:val="21"/>
          <w:highlight w:val="yellow"/>
        </w:rPr>
      </w:pPr>
      <w:r>
        <w:rPr>
          <w:color w:val="auto"/>
          <w:szCs w:val="21"/>
        </w:rPr>
        <w:t>（1）按照招标文件要求对全部设备的型号、规格、数量、外型、包装及资料（如保修单、随箱介质）进行验收</w:t>
      </w:r>
      <w:r>
        <w:rPr>
          <w:color w:val="auto"/>
          <w:szCs w:val="21"/>
          <w:highlight w:val="none"/>
        </w:rPr>
        <w:t>。测试中出现性能指标或功能上不符合招标文件和合同要求时，采购人有拒收的权利。如果出现不符合招标文件和合同要求的严重质量问题时，采购人保留索赔权利。</w:t>
      </w:r>
    </w:p>
    <w:p>
      <w:pPr>
        <w:spacing w:line="360" w:lineRule="auto"/>
        <w:ind w:firstLine="420" w:firstLineChars="200"/>
        <w:rPr>
          <w:color w:val="auto"/>
          <w:szCs w:val="21"/>
        </w:rPr>
      </w:pPr>
      <w:r>
        <w:rPr>
          <w:color w:val="auto"/>
          <w:szCs w:val="21"/>
        </w:rPr>
        <w:t>（2）技术文档需求</w:t>
      </w:r>
    </w:p>
    <w:p>
      <w:pPr>
        <w:spacing w:line="360" w:lineRule="auto"/>
        <w:ind w:firstLine="420" w:firstLineChars="200"/>
        <w:rPr>
          <w:color w:val="auto"/>
          <w:szCs w:val="21"/>
        </w:rPr>
      </w:pPr>
      <w:r>
        <w:rPr>
          <w:color w:val="auto"/>
          <w:szCs w:val="21"/>
        </w:rPr>
        <w:t>中标人在工程开始和结束时应向用户提供下述技术文档：</w:t>
      </w:r>
    </w:p>
    <w:p>
      <w:pPr>
        <w:spacing w:line="360" w:lineRule="auto"/>
        <w:ind w:firstLine="630" w:firstLineChars="300"/>
        <w:rPr>
          <w:color w:val="auto"/>
          <w:szCs w:val="21"/>
        </w:rPr>
      </w:pPr>
      <w:r>
        <w:rPr>
          <w:color w:val="auto"/>
          <w:szCs w:val="21"/>
        </w:rPr>
        <w:t>（1）产品安装、运行、使用、测试、诊断和维修的技术文件。</w:t>
      </w:r>
    </w:p>
    <w:p>
      <w:pPr>
        <w:spacing w:line="360" w:lineRule="auto"/>
        <w:ind w:firstLine="630" w:firstLineChars="300"/>
        <w:rPr>
          <w:color w:val="auto"/>
          <w:szCs w:val="21"/>
        </w:rPr>
      </w:pPr>
      <w:r>
        <w:rPr>
          <w:color w:val="auto"/>
          <w:szCs w:val="21"/>
        </w:rPr>
        <w:t>（2）系统拓扑图、设备及软件产品配置清单。</w:t>
      </w:r>
    </w:p>
    <w:p>
      <w:pPr>
        <w:spacing w:line="360" w:lineRule="auto"/>
        <w:ind w:firstLine="630" w:firstLineChars="3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（3）所购设备及软件的安装指南、使用手册、许可证、介质。</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验收要求成交人需积极配合由甲方采购产生的第三方监理公司进行全过程监理。成交人需要按照第三方监理公司要求配合做好项目验收等各阶段资料完善递交的相关工作，并允许用户方工作人员参与配合设备的测试、安装、诊断及解决问题等各项工作。成交人在验收之前应提供本项目的验收方案，该方案由采购人审核并确认。</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（1）验收步骤：采购人（包括邀请的专家）、成交人双方共同参与整个项目验收，分为初验、试运行和终验三个阶段。</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（2）验收方法：采购人（包括邀请的专家）、成交人双方共同组成初验和终验的验收小组。由成交人提供测试结果，采购人提供使用报告，根据功能、性能要求进行验收。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
          <w:bCs/>
          <w:sz w:val="28"/>
          <w:szCs w:val="28"/>
          <w:highlight w:val="none"/>
        </w:rPr>
      </w:pPr>
      <w:r>
        <w:rPr>
          <w:rFonts w:hint="eastAsia"/>
          <w:color w:val="000000" w:themeColor="text1"/>
          <w:szCs w:val="21"/>
          <w:highlight w:val="none"/>
          <w:lang w:val="en-US" w:eastAsia="zh-CN"/>
          <w14:textFill>
            <w14:solidFill>
              <w14:schemeClr w14:val="tx1"/>
            </w14:solidFill>
          </w14:textFill>
        </w:rPr>
        <w:t>（3）验收标准：主要性能及技术指标不得地域采购文件中的要求。</w:t>
      </w:r>
    </w:p>
    <w:p>
      <w:pPr>
        <w:spacing w:line="360" w:lineRule="auto"/>
        <w:rPr>
          <w:rFonts w:hint="eastAsia" w:ascii="仿宋" w:hAnsi="仿宋" w:eastAsia="仿宋"/>
          <w:b/>
          <w:bCs/>
          <w:sz w:val="28"/>
          <w:szCs w:val="28"/>
          <w:highlight w:val="none"/>
        </w:rPr>
      </w:pPr>
    </w:p>
    <w:p>
      <w:pPr>
        <w:spacing w:line="360" w:lineRule="auto"/>
        <w:rPr>
          <w:rFonts w:ascii="仿宋" w:hAnsi="仿宋" w:eastAsia="仿宋"/>
          <w:b/>
          <w:bCs/>
          <w:sz w:val="28"/>
          <w:szCs w:val="28"/>
          <w:highlight w:val="none"/>
        </w:rPr>
      </w:pPr>
      <w:r>
        <w:rPr>
          <w:rFonts w:hint="eastAsia" w:ascii="仿宋" w:hAnsi="仿宋" w:eastAsia="仿宋"/>
          <w:b/>
          <w:bCs/>
          <w:sz w:val="28"/>
          <w:szCs w:val="28"/>
          <w:highlight w:val="none"/>
        </w:rPr>
        <w:t>商务要求表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vAlign w:val="center"/>
          </w:tcPr>
          <w:p>
            <w:pPr>
              <w:spacing w:before="120" w:beforeLines="50" w:after="120" w:afterLines="50" w:line="240" w:lineRule="auto"/>
              <w:rPr>
                <w:rFonts w:hint="eastAsia" w:ascii="仿宋" w:hAnsi="仿宋" w:eastAsia="仿宋"/>
                <w:color w:val="auto"/>
                <w:sz w:val="28"/>
                <w:szCs w:val="28"/>
              </w:rPr>
            </w:pPr>
            <w:r>
              <w:rPr>
                <w:rFonts w:hint="eastAsia" w:ascii="仿宋" w:hAnsi="仿宋" w:eastAsia="仿宋"/>
                <w:color w:val="auto"/>
                <w:sz w:val="28"/>
                <w:szCs w:val="28"/>
              </w:rPr>
              <w:t>服务时间：本次项目要求在合同签订后</w:t>
            </w:r>
            <w:r>
              <w:rPr>
                <w:rFonts w:hint="eastAsia" w:ascii="仿宋" w:hAnsi="仿宋" w:eastAsia="仿宋"/>
                <w:color w:val="auto"/>
                <w:sz w:val="28"/>
                <w:szCs w:val="28"/>
                <w:lang w:val="en-US" w:eastAsia="zh-CN"/>
              </w:rPr>
              <w:t>30个自然日内完成设备到货</w:t>
            </w:r>
            <w:r>
              <w:rPr>
                <w:rFonts w:hint="eastAsia" w:ascii="仿宋" w:hAnsi="仿宋" w:eastAsia="仿宋"/>
                <w:color w:val="auto"/>
                <w:sz w:val="28"/>
                <w:szCs w:val="28"/>
              </w:rPr>
              <w:t>，</w:t>
            </w:r>
            <w:r>
              <w:rPr>
                <w:rFonts w:hint="eastAsia" w:ascii="仿宋" w:hAnsi="仿宋" w:eastAsia="仿宋"/>
                <w:color w:val="auto"/>
                <w:sz w:val="28"/>
                <w:szCs w:val="28"/>
                <w:lang w:eastAsia="zh-CN"/>
              </w:rPr>
              <w:t>到后货</w:t>
            </w:r>
            <w:r>
              <w:rPr>
                <w:rFonts w:hint="eastAsia" w:ascii="仿宋" w:hAnsi="仿宋" w:eastAsia="仿宋"/>
                <w:color w:val="auto"/>
                <w:sz w:val="28"/>
                <w:szCs w:val="28"/>
                <w:lang w:val="en-US" w:eastAsia="zh-CN"/>
              </w:rPr>
              <w:t>30个自然日内完成安装部署。</w:t>
            </w:r>
          </w:p>
          <w:p>
            <w:pPr>
              <w:spacing w:line="240" w:lineRule="auto"/>
              <w:rPr>
                <w:rFonts w:ascii="仿宋" w:hAnsi="仿宋" w:eastAsia="仿宋"/>
                <w:color w:val="auto"/>
                <w:sz w:val="28"/>
                <w:szCs w:val="28"/>
              </w:rPr>
            </w:pPr>
            <w:r>
              <w:rPr>
                <w:rFonts w:hint="eastAsia" w:ascii="仿宋" w:hAnsi="仿宋" w:eastAsia="仿宋"/>
                <w:color w:val="auto"/>
                <w:sz w:val="28"/>
                <w:szCs w:val="28"/>
              </w:rPr>
              <w:t>地点：用户指定地点。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vAlign w:val="center"/>
          </w:tcPr>
          <w:p>
            <w:pPr>
              <w:spacing w:before="120" w:beforeLines="50" w:after="120" w:afterLines="50" w:line="24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合同签订后总体设计方案得到采购人认可，自收到发票后7个工作日内支付合同总额的50%；硬件到货后，自收到发票后7个工作日内，支付合同总额的30%；项目完成且终验后，自收到发票后7个工作日内支付余款。</w:t>
            </w:r>
          </w:p>
          <w:p>
            <w:pPr>
              <w:spacing w:line="24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本项目须缴纳履约保证金，履约保证金的数额为政府采购合同金额的</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%（允许以履约保函的形式提交）。</w:t>
            </w:r>
          </w:p>
          <w:p>
            <w:pPr>
              <w:pStyle w:val="2"/>
              <w:spacing w:line="240" w:lineRule="auto"/>
              <w:ind w:left="0" w:leftChars="0" w:firstLine="0" w:firstLineChars="0"/>
              <w:jc w:val="left"/>
              <w:rPr>
                <w:rFonts w:ascii="仿宋" w:hAnsi="仿宋" w:eastAsia="仿宋"/>
                <w:b/>
                <w:color w:val="auto"/>
                <w:sz w:val="28"/>
                <w:szCs w:val="28"/>
              </w:rPr>
            </w:pPr>
            <w:r>
              <w:rPr>
                <w:rFonts w:hint="eastAsia" w:ascii="仿宋" w:hAnsi="仿宋" w:eastAsia="仿宋" w:cs="Times New Roman"/>
                <w:b/>
                <w:bCs/>
                <w:color w:val="auto"/>
                <w:spacing w:val="0"/>
                <w:kern w:val="2"/>
                <w:sz w:val="28"/>
                <w:szCs w:val="28"/>
                <w:lang w:val="en-US" w:eastAsia="zh-CN" w:bidi="ar-SA"/>
              </w:rPr>
              <w:t>备注：在签订合同时，供应商明确表示无需预付款或者主动要求降低预付款比例的，采购单位可不适用前述预付款比例的规定。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vAlign w:val="center"/>
          </w:tcPr>
          <w:p>
            <w:pPr>
              <w:spacing w:line="240" w:lineRule="auto"/>
              <w:rPr>
                <w:rFonts w:ascii="仿宋" w:hAnsi="仿宋" w:eastAsia="仿宋"/>
                <w:color w:val="auto"/>
                <w:sz w:val="28"/>
                <w:szCs w:val="28"/>
              </w:rPr>
            </w:pPr>
            <w:r>
              <w:rPr>
                <w:rFonts w:hint="eastAsia" w:ascii="仿宋" w:hAnsi="仿宋" w:eastAsia="仿宋"/>
                <w:color w:val="auto"/>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vAlign w:val="center"/>
          </w:tcPr>
          <w:p>
            <w:pPr>
              <w:spacing w:line="240" w:lineRule="auto"/>
              <w:rPr>
                <w:rFonts w:ascii="仿宋" w:hAnsi="仿宋" w:eastAsia="仿宋" w:cs="仿宋_GB2312"/>
                <w:color w:val="auto"/>
                <w:sz w:val="28"/>
                <w:szCs w:val="28"/>
              </w:rPr>
            </w:pPr>
            <w:r>
              <w:rPr>
                <w:rFonts w:hint="eastAsia" w:ascii="仿宋" w:hAnsi="仿宋" w:eastAsia="仿宋"/>
                <w:color w:val="auto"/>
                <w:sz w:val="28"/>
                <w:szCs w:val="28"/>
              </w:rPr>
              <w:t>本项目整体质保期：</w:t>
            </w:r>
            <w:r>
              <w:rPr>
                <w:rFonts w:ascii="仿宋" w:hAnsi="仿宋" w:eastAsia="仿宋"/>
                <w:color w:val="auto"/>
                <w:sz w:val="28"/>
                <w:szCs w:val="28"/>
              </w:rPr>
              <w:t>3</w:t>
            </w:r>
            <w:r>
              <w:rPr>
                <w:rFonts w:hint="eastAsia" w:ascii="仿宋" w:hAnsi="仿宋" w:eastAsia="仿宋"/>
                <w:color w:val="auto"/>
                <w:sz w:val="28"/>
                <w:szCs w:val="28"/>
              </w:rPr>
              <w:t>年项目（本项目硬件产品质保期三年）。硬件产品须含三年的上门服务。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vAlign w:val="center"/>
          </w:tcPr>
          <w:p>
            <w:pPr>
              <w:spacing w:before="120" w:beforeLines="50" w:after="120" w:afterLines="50" w:line="240" w:lineRule="auto"/>
              <w:rPr>
                <w:rFonts w:ascii="仿宋" w:hAnsi="仿宋" w:eastAsia="仿宋"/>
                <w:color w:val="auto"/>
                <w:sz w:val="28"/>
                <w:szCs w:val="28"/>
              </w:rPr>
            </w:pPr>
            <w:r>
              <w:rPr>
                <w:rFonts w:hint="eastAsia" w:ascii="仿宋" w:hAnsi="仿宋" w:eastAsia="仿宋"/>
                <w:color w:val="auto"/>
                <w:sz w:val="28"/>
                <w:szCs w:val="28"/>
              </w:rPr>
              <w:t>本项目必须具备较强得售后服务能力，能确保对用户方现场服务的快速相应及优质服务。0.5小时相应，2小时到现场，8小时恢复系统。</w:t>
            </w:r>
          </w:p>
          <w:p>
            <w:pPr>
              <w:spacing w:line="240" w:lineRule="auto"/>
              <w:rPr>
                <w:rFonts w:ascii="仿宋" w:hAnsi="仿宋" w:eastAsia="仿宋"/>
                <w:color w:val="auto"/>
                <w:sz w:val="28"/>
                <w:szCs w:val="28"/>
              </w:rPr>
            </w:pPr>
            <w:r>
              <w:rPr>
                <w:rFonts w:hint="eastAsia" w:ascii="仿宋" w:hAnsi="仿宋" w:eastAsia="仿宋"/>
                <w:color w:val="auto"/>
                <w:sz w:val="28"/>
                <w:szCs w:val="28"/>
              </w:rPr>
              <w:t>中标人所提供得技术服务与产品使用功能无法满足招标文件要求，视为产品与服务不合格，采购人有权利拒绝支付剩余款项。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vAlign w:val="center"/>
          </w:tcPr>
          <w:p>
            <w:pPr>
              <w:spacing w:line="240" w:lineRule="auto"/>
              <w:rPr>
                <w:rFonts w:ascii="仿宋" w:hAnsi="仿宋" w:eastAsia="仿宋"/>
                <w:color w:val="auto"/>
                <w:sz w:val="28"/>
                <w:szCs w:val="28"/>
              </w:rPr>
            </w:pPr>
            <w:r>
              <w:rPr>
                <w:rFonts w:hint="eastAsia" w:ascii="仿宋" w:hAnsi="仿宋" w:eastAsia="仿宋"/>
                <w:color w:val="auto"/>
                <w:sz w:val="28"/>
                <w:szCs w:val="28"/>
              </w:rPr>
              <w:t>培训为现场培训，培训内容包括系统平台使用和维护等，响应方有责任完成对所有软件产品、系统集成及工具等在内的全部培训，培训包括业务人员培训、技术维护培训。老师培训费、教材费等所有费用包含在本次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vAlign w:val="center"/>
          </w:tcPr>
          <w:p>
            <w:pPr>
              <w:pStyle w:val="26"/>
              <w:spacing w:line="240" w:lineRule="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（1）投标人具备ISO9001质量环境体系认证证书；</w:t>
            </w:r>
          </w:p>
          <w:p>
            <w:pPr>
              <w:pStyle w:val="26"/>
              <w:spacing w:line="240" w:lineRule="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（2）投标人具备ISO27001信息安全管理体系认证证书；</w:t>
            </w:r>
          </w:p>
          <w:p>
            <w:pPr>
              <w:pStyle w:val="26"/>
              <w:spacing w:line="240" w:lineRule="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（3）投标人具备ISO14001环境管理体系认证证书；</w:t>
            </w:r>
          </w:p>
          <w:p>
            <w:pPr>
              <w:pStyle w:val="26"/>
              <w:spacing w:line="240" w:lineRule="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（4）投标人具备ISO27017云安全管理体系证书；</w:t>
            </w:r>
          </w:p>
          <w:p>
            <w:pPr>
              <w:pStyle w:val="26"/>
              <w:spacing w:line="240" w:lineRule="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（5）投标人具备信息系统安全集成服务资质一级；</w:t>
            </w:r>
          </w:p>
          <w:p>
            <w:pPr>
              <w:spacing w:line="240" w:lineRule="auto"/>
              <w:rPr>
                <w:rFonts w:ascii="仿宋" w:hAnsi="仿宋" w:eastAsia="仿宋" w:cs="仿宋_GB2312"/>
                <w:color w:val="auto"/>
                <w:sz w:val="28"/>
                <w:szCs w:val="28"/>
              </w:rPr>
            </w:pPr>
            <w:r>
              <w:rPr>
                <w:rFonts w:hint="eastAsia" w:ascii="仿宋" w:hAnsi="仿宋" w:eastAsia="仿宋" w:cs="Times New Roman"/>
                <w:color w:val="auto"/>
                <w:kern w:val="2"/>
                <w:sz w:val="28"/>
                <w:szCs w:val="28"/>
                <w:lang w:val="en-US" w:eastAsia="zh-CN" w:bidi="ar-SA"/>
              </w:rPr>
              <w:t>每满足一项得1分，最高得5分。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vAlign w:val="center"/>
          </w:tcPr>
          <w:p>
            <w:pPr>
              <w:pStyle w:val="23"/>
              <w:spacing w:line="240" w:lineRule="auto"/>
              <w:rPr>
                <w:rFonts w:ascii="仿宋" w:hAnsi="仿宋" w:eastAsia="仿宋" w:cs="仿宋_GB2312"/>
                <w:color w:val="auto"/>
                <w:sz w:val="28"/>
                <w:szCs w:val="28"/>
              </w:rPr>
            </w:pPr>
            <w:r>
              <w:rPr>
                <w:rFonts w:hint="eastAsia" w:ascii="仿宋" w:hAnsi="仿宋" w:eastAsia="仿宋" w:cs="Times New Roman"/>
                <w:color w:val="auto"/>
                <w:kern w:val="2"/>
                <w:sz w:val="28"/>
                <w:szCs w:val="28"/>
                <w:lang w:val="en-US" w:eastAsia="zh-CN" w:bidi="ar-SA"/>
              </w:rPr>
              <w:t>提供自2019年1月1日以来类似成功案例，提供合同复印件并加盖公章，每提供一个得1分，最高得3分。</w:t>
            </w:r>
          </w:p>
        </w:tc>
      </w:tr>
    </w:tbl>
    <w:p>
      <w:pPr>
        <w:spacing w:after="240" w:afterLines="100" w:line="340" w:lineRule="exact"/>
        <w:rPr>
          <w:rFonts w:hAnsi="宋体"/>
          <w:b/>
          <w:sz w:val="36"/>
          <w:szCs w:val="36"/>
        </w:rPr>
      </w:pPr>
    </w:p>
    <w:p>
      <w:pPr>
        <w:snapToGrid w:val="0"/>
        <w:spacing w:line="360" w:lineRule="auto"/>
        <w:outlineLvl w:val="1"/>
        <w:rPr>
          <w:rFonts w:ascii="仿宋" w:hAnsi="仿宋" w:eastAsia="仿宋" w:cs="仿宋"/>
          <w:b/>
          <w:bCs/>
          <w:spacing w:val="30"/>
          <w:sz w:val="28"/>
          <w:szCs w:val="28"/>
        </w:rPr>
      </w:pPr>
    </w:p>
    <w:p>
      <w:pPr>
        <w:snapToGrid w:val="0"/>
        <w:spacing w:line="360" w:lineRule="auto"/>
        <w:rPr>
          <w:rFonts w:ascii="仿宋" w:hAnsi="仿宋" w:eastAsia="仿宋"/>
          <w:sz w:val="28"/>
          <w:szCs w:val="28"/>
        </w:rPr>
      </w:pPr>
    </w:p>
    <w:p>
      <w:pPr>
        <w:spacing w:line="360" w:lineRule="auto"/>
        <w:rPr>
          <w:rFonts w:ascii="仿宋" w:hAnsi="仿宋" w:eastAsia="仿宋"/>
          <w:b/>
          <w:bCs/>
          <w:sz w:val="28"/>
          <w:szCs w:val="28"/>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pStyle w:val="2"/>
        <w:rPr>
          <w:rFonts w:hAnsi="宋体"/>
          <w:b/>
          <w:sz w:val="36"/>
          <w:szCs w:val="36"/>
        </w:rPr>
      </w:pPr>
    </w:p>
    <w:p>
      <w:pPr>
        <w:pStyle w:val="2"/>
        <w:rPr>
          <w:rFonts w:hAnsi="宋体"/>
          <w:b/>
          <w:sz w:val="36"/>
          <w:szCs w:val="36"/>
        </w:rPr>
      </w:pPr>
    </w:p>
    <w:p>
      <w:pPr>
        <w:spacing w:after="240" w:afterLines="100" w:line="340" w:lineRule="exact"/>
        <w:rPr>
          <w:rFonts w:hAnsi="宋体"/>
          <w:b/>
          <w:sz w:val="36"/>
          <w:szCs w:val="36"/>
        </w:rPr>
      </w:pPr>
    </w:p>
    <w:p>
      <w:pPr>
        <w:pStyle w:val="32"/>
        <w:spacing w:before="120" w:after="120" w:line="360" w:lineRule="auto"/>
        <w:jc w:val="center"/>
        <w:outlineLvl w:val="0"/>
        <w:rPr>
          <w:rFonts w:hAnsi="宋体"/>
          <w:b/>
          <w:sz w:val="36"/>
          <w:szCs w:val="36"/>
        </w:rPr>
      </w:pPr>
      <w:r>
        <w:rPr>
          <w:rFonts w:hint="eastAsia" w:hAnsi="宋体"/>
          <w:b/>
          <w:sz w:val="36"/>
          <w:szCs w:val="36"/>
        </w:rPr>
        <w:t>第五章 浙江省政府采购合同主要条款指引</w:t>
      </w:r>
      <w:bookmarkEnd w:id="22"/>
    </w:p>
    <w:p/>
    <w:p>
      <w:pPr>
        <w:pStyle w:val="32"/>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合同编号：        </w:t>
      </w:r>
    </w:p>
    <w:p>
      <w:pPr>
        <w:pStyle w:val="32"/>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2"/>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2"/>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2"/>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3"/>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3"/>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3"/>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2"/>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2"/>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2"/>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2"/>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2"/>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2"/>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2"/>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2"/>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2"/>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2"/>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2"/>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pStyle w:val="32"/>
        <w:adjustRightInd w:val="0"/>
        <w:snapToGrid w:val="0"/>
        <w:spacing w:before="120" w:after="120" w:line="460" w:lineRule="exact"/>
        <w:ind w:firstLine="600" w:firstLineChars="200"/>
        <w:jc w:val="left"/>
        <w:rPr>
          <w:rFonts w:hint="eastAsia" w:ascii="仿宋" w:hAnsi="仿宋" w:eastAsia="仿宋" w:cs="Times New Roman"/>
          <w:snapToGrid w:val="0"/>
          <w:sz w:val="30"/>
          <w:szCs w:val="30"/>
        </w:rPr>
      </w:pPr>
      <w:r>
        <w:rPr>
          <w:rFonts w:hint="eastAsia" w:ascii="仿宋" w:hAnsi="仿宋" w:eastAsia="仿宋" w:cs="Times New Roman"/>
          <w:snapToGrid w:val="0"/>
          <w:sz w:val="30"/>
          <w:szCs w:val="30"/>
        </w:rPr>
        <w:t>付款方式：</w:t>
      </w:r>
    </w:p>
    <w:p>
      <w:pPr>
        <w:pStyle w:val="32"/>
        <w:adjustRightInd w:val="0"/>
        <w:snapToGrid w:val="0"/>
        <w:spacing w:before="120" w:after="120" w:line="460" w:lineRule="exact"/>
        <w:ind w:firstLine="600" w:firstLineChars="200"/>
        <w:jc w:val="left"/>
        <w:rPr>
          <w:rFonts w:hint="eastAsia" w:ascii="仿宋" w:hAnsi="仿宋" w:eastAsia="仿宋" w:cs="Times New Roman"/>
          <w:snapToGrid w:val="0"/>
          <w:sz w:val="30"/>
          <w:szCs w:val="30"/>
        </w:rPr>
      </w:pPr>
      <w:r>
        <w:rPr>
          <w:rFonts w:hint="eastAsia" w:ascii="仿宋" w:hAnsi="仿宋" w:eastAsia="仿宋" w:cs="Times New Roman"/>
          <w:snapToGrid w:val="0"/>
          <w:sz w:val="30"/>
          <w:szCs w:val="30"/>
          <w:lang w:val="en-US" w:eastAsia="zh-CN"/>
        </w:rPr>
        <w:t>合同签订后总体设计方案得到采购人认可，自收到发票后7个工作日内支付合同总额的50%；硬件到货后，自收到发票后7个工作日内，支付合同总额的30%；项目完成且终验后，自收到发票后7个工作日内支付余款。</w:t>
      </w:r>
    </w:p>
    <w:p>
      <w:pPr>
        <w:pStyle w:val="2"/>
      </w:pP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2"/>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2"/>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2"/>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2"/>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w:t>
      </w:r>
      <w:r>
        <w:rPr>
          <w:rFonts w:ascii="仿宋" w:hAnsi="仿宋" w:eastAsia="仿宋"/>
          <w:snapToGrid w:val="0"/>
          <w:sz w:val="30"/>
          <w:szCs w:val="30"/>
        </w:rPr>
        <w:t>中华人民共和国民法典</w:t>
      </w:r>
      <w:r>
        <w:rPr>
          <w:rFonts w:hint="eastAsia" w:ascii="仿宋" w:hAnsi="仿宋" w:eastAsia="仿宋"/>
          <w:snapToGrid w:val="0"/>
          <w:sz w:val="30"/>
          <w:szCs w:val="30"/>
        </w:rPr>
        <w:t>》有关条文执行。</w:t>
      </w:r>
    </w:p>
    <w:p>
      <w:pPr>
        <w:pStyle w:val="32"/>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2"/>
        <w:adjustRightInd w:val="0"/>
        <w:snapToGrid w:val="0"/>
        <w:spacing w:before="120" w:after="120" w:line="460" w:lineRule="exact"/>
        <w:ind w:left="1" w:firstLine="639" w:firstLineChars="213"/>
        <w:rPr>
          <w:rFonts w:ascii="仿宋" w:hAnsi="仿宋" w:eastAsia="仿宋"/>
          <w:snapToGrid w:val="0"/>
          <w:sz w:val="30"/>
          <w:szCs w:val="30"/>
        </w:rPr>
      </w:pP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2"/>
        <w:adjustRightInd w:val="0"/>
        <w:snapToGrid w:val="0"/>
        <w:spacing w:before="120" w:after="120" w:line="460" w:lineRule="exact"/>
        <w:ind w:firstLine="639" w:firstLineChars="213"/>
        <w:rPr>
          <w:rFonts w:ascii="仿宋" w:hAnsi="仿宋" w:eastAsia="仿宋"/>
          <w:snapToGrid w:val="0"/>
          <w:sz w:val="30"/>
          <w:szCs w:val="30"/>
        </w:rPr>
      </w:pP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2"/>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2"/>
        <w:spacing w:before="120" w:after="120" w:line="360" w:lineRule="auto"/>
        <w:jc w:val="center"/>
        <w:outlineLvl w:val="0"/>
        <w:rPr>
          <w:rFonts w:hAnsi="宋体"/>
          <w:b/>
          <w:sz w:val="36"/>
          <w:szCs w:val="36"/>
        </w:rPr>
      </w:pPr>
      <w:r>
        <w:rPr>
          <w:rFonts w:ascii="仿宋_GB2312" w:eastAsia="仿宋_GB2312"/>
          <w:snapToGrid w:val="0"/>
          <w:kern w:val="0"/>
          <w:sz w:val="30"/>
          <w:szCs w:val="30"/>
        </w:rPr>
        <w:br w:type="page"/>
      </w:r>
      <w:bookmarkStart w:id="66" w:name="_Toc496796640"/>
      <w:r>
        <w:rPr>
          <w:rFonts w:hint="eastAsia" w:hAnsi="宋体"/>
          <w:b/>
          <w:sz w:val="36"/>
          <w:szCs w:val="36"/>
        </w:rPr>
        <w:t>第六章  投标文件格式附件</w:t>
      </w:r>
      <w:bookmarkEnd w:id="66"/>
    </w:p>
    <w:p>
      <w:pPr>
        <w:pStyle w:val="32"/>
        <w:spacing w:before="120" w:after="120" w:line="360" w:lineRule="auto"/>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ascii="仿宋" w:hAnsi="仿宋" w:eastAsia="仿宋"/>
          <w:bCs/>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sz w:val="36"/>
          <w:szCs w:val="36"/>
          <w:lang w:eastAsia="zh-CN"/>
        </w:rPr>
      </w:pPr>
      <w:bookmarkStart w:id="67" w:name="PO_1000000445_PM002_2"/>
      <w:r>
        <w:rPr>
          <w:rFonts w:hint="eastAsia" w:ascii="仿宋" w:hAnsi="仿宋" w:eastAsia="仿宋"/>
          <w:b/>
          <w:color w:val="000000" w:themeColor="text1"/>
          <w:spacing w:val="40"/>
          <w:sz w:val="52"/>
          <w:szCs w:val="52"/>
          <w:lang w:eastAsia="zh-CN"/>
          <w14:textFill>
            <w14:solidFill>
              <w14:schemeClr w14:val="tx1"/>
            </w14:solidFill>
          </w14:textFill>
        </w:rPr>
        <w:t>浙江省委网信办（本级）通用设备及网络安全升级项目</w:t>
      </w:r>
      <w:bookmarkEnd w:id="67"/>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68" w:name="PO_15528_PM001_2"/>
      <w:r>
        <w:rPr>
          <w:rFonts w:hint="eastAsia" w:ascii="仿宋" w:hAnsi="仿宋" w:eastAsia="仿宋"/>
          <w:sz w:val="36"/>
          <w:szCs w:val="36"/>
          <w:lang w:eastAsia="zh-CN"/>
        </w:rPr>
        <w:t>ZZCG2022X-GK-152</w:t>
      </w:r>
      <w:bookmarkEnd w:id="68"/>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w:t>
      </w:r>
      <w:r>
        <w:rPr>
          <w:rFonts w:ascii="仿宋" w:hAnsi="仿宋" w:eastAsia="仿宋"/>
          <w:sz w:val="30"/>
          <w:szCs w:val="30"/>
        </w:rPr>
        <w:t>4</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w:t>
      </w:r>
      <w:r>
        <w:rPr>
          <w:rFonts w:ascii="仿宋" w:hAnsi="仿宋" w:eastAsia="仿宋"/>
          <w:sz w:val="30"/>
          <w:szCs w:val="30"/>
        </w:rPr>
        <w:t>6</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5"/>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69" w:name="PO_15528_PM001_3"/>
      <w:r>
        <w:rPr>
          <w:rFonts w:hint="eastAsia" w:ascii="仿宋" w:hAnsi="仿宋" w:eastAsia="仿宋"/>
          <w:sz w:val="30"/>
          <w:szCs w:val="30"/>
          <w:u w:val="single"/>
          <w:lang w:eastAsia="zh-CN"/>
        </w:rPr>
        <w:t>ZZCG2022X-GK-152</w:t>
      </w:r>
      <w:bookmarkEnd w:id="69"/>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19"/>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sz w:val="30"/>
          <w:szCs w:val="30"/>
        </w:rPr>
        <w:t>%</w:t>
      </w:r>
      <w:r>
        <w:rPr>
          <w:rFonts w:hint="eastAsia" w:ascii="仿宋" w:hAnsi="仿宋" w:eastAsia="仿宋"/>
          <w:sz w:val="30"/>
          <w:szCs w:val="30"/>
        </w:rPr>
        <w:t>，（乙方</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sz w:val="30"/>
          <w:szCs w:val="30"/>
        </w:rPr>
        <w:t>%</w:t>
      </w:r>
      <w:r>
        <w:rPr>
          <w:rFonts w:hint="eastAsia" w:ascii="仿宋" w:hAnsi="仿宋" w:eastAsia="仿宋"/>
          <w:sz w:val="30"/>
          <w:szCs w:val="30"/>
        </w:rPr>
        <w:t>……</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19"/>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9"/>
        <w:overflowPunct w:val="0"/>
        <w:spacing w:line="460" w:lineRule="exact"/>
        <w:rPr>
          <w:rFonts w:ascii="仿宋" w:hAnsi="仿宋" w:eastAsia="仿宋"/>
          <w:sz w:val="30"/>
          <w:szCs w:val="30"/>
        </w:rPr>
      </w:pPr>
    </w:p>
    <w:p>
      <w:pPr>
        <w:pStyle w:val="19"/>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19"/>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9"/>
        <w:overflowPunct w:val="0"/>
        <w:spacing w:line="460" w:lineRule="exact"/>
        <w:rPr>
          <w:rFonts w:ascii="仿宋" w:hAnsi="仿宋" w:eastAsia="仿宋"/>
          <w:sz w:val="30"/>
          <w:szCs w:val="30"/>
        </w:rPr>
      </w:pPr>
    </w:p>
    <w:p>
      <w:pPr>
        <w:pStyle w:val="19"/>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00" w:firstLineChars="200"/>
        <w:rPr>
          <w:rFonts w:ascii="仿宋" w:hAnsi="仿宋" w:eastAsia="仿宋"/>
          <w:sz w:val="30"/>
          <w:szCs w:val="30"/>
        </w:rPr>
      </w:pPr>
    </w:p>
    <w:p>
      <w:pPr>
        <w:pStyle w:val="19"/>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19"/>
        <w:overflowPunct w:val="0"/>
        <w:spacing w:line="460" w:lineRule="exact"/>
        <w:rPr>
          <w:rFonts w:ascii="仿宋" w:hAnsi="仿宋" w:eastAsia="仿宋"/>
          <w:sz w:val="30"/>
          <w:szCs w:val="30"/>
        </w:rPr>
      </w:pPr>
    </w:p>
    <w:p>
      <w:pPr>
        <w:pStyle w:val="19"/>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570" w:firstLineChars="190"/>
        <w:rPr>
          <w:rFonts w:ascii="仿宋" w:hAnsi="仿宋" w:eastAsia="仿宋"/>
          <w:sz w:val="30"/>
          <w:szCs w:val="30"/>
        </w:rPr>
      </w:pPr>
    </w:p>
    <w:p>
      <w:pPr>
        <w:pStyle w:val="19"/>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6</w:t>
      </w:r>
      <w:r>
        <w:rPr>
          <w:rFonts w:hint="eastAsia" w:ascii="仿宋" w:hAnsi="仿宋" w:eastAsia="仿宋"/>
          <w:sz w:val="30"/>
          <w:szCs w:val="30"/>
        </w:rPr>
        <w:t>：</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2"/>
        <w:spacing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ascii="仿宋" w:hAnsi="仿宋" w:eastAsia="仿宋"/>
          <w:sz w:val="28"/>
          <w:szCs w:val="28"/>
          <w:u w:val="single"/>
          <w:lang w:val="zh-CN"/>
        </w:rPr>
        <w:t xml:space="preserve">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ascii="仿宋" w:hAnsi="仿宋" w:eastAsia="仿宋"/>
          <w:sz w:val="28"/>
          <w:szCs w:val="28"/>
          <w:u w:val="single"/>
          <w:lang w:val="zh-CN"/>
        </w:rPr>
        <w:t xml:space="preserve"> </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before="120" w:beforeLines="50" w:after="50"/>
        <w:rPr>
          <w:rFonts w:ascii="仿宋" w:hAnsi="仿宋" w:eastAsia="仿宋"/>
          <w:b/>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7</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70"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浙江省委网信办（本级）通用设备及网络安全升级项目</w:t>
      </w:r>
      <w:bookmarkEnd w:id="70"/>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71" w:name="PO_15528_PM001_4"/>
      <w:r>
        <w:rPr>
          <w:rFonts w:hint="eastAsia" w:ascii="仿宋" w:hAnsi="仿宋" w:eastAsia="仿宋"/>
          <w:sz w:val="36"/>
          <w:szCs w:val="36"/>
          <w:lang w:eastAsia="zh-CN"/>
        </w:rPr>
        <w:t>ZZCG2022X-GK-152</w:t>
      </w:r>
      <w:bookmarkEnd w:id="71"/>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8</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9</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20"/>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20"/>
        <w:snapToGrid w:val="0"/>
        <w:rPr>
          <w:rFonts w:ascii="仿宋" w:hAnsi="仿宋" w:eastAsia="仿宋"/>
          <w:sz w:val="30"/>
          <w:szCs w:val="30"/>
        </w:rPr>
      </w:pPr>
      <w:r>
        <w:rPr>
          <w:rFonts w:hint="eastAsia" w:ascii="仿宋" w:hAnsi="仿宋" w:eastAsia="仿宋"/>
          <w:sz w:val="30"/>
          <w:szCs w:val="30"/>
        </w:rPr>
        <w:t>货物类</w:t>
      </w:r>
    </w:p>
    <w:tbl>
      <w:tblPr>
        <w:tblStyle w:val="5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w:t>
      </w:r>
      <w:r>
        <w:rPr>
          <w:rFonts w:ascii="仿宋" w:hAnsi="仿宋" w:eastAsia="仿宋"/>
          <w:sz w:val="30"/>
          <w:szCs w:val="30"/>
        </w:rPr>
        <w:t>1</w:t>
      </w:r>
      <w:r>
        <w:rPr>
          <w:rFonts w:hint="eastAsia" w:ascii="仿宋" w:hAnsi="仿宋" w:eastAsia="仿宋"/>
          <w:sz w:val="30"/>
          <w:szCs w:val="30"/>
          <w:lang w:val="en-US" w:eastAsia="zh-CN"/>
        </w:rPr>
        <w:t>0</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bl>
    <w:p>
      <w:pPr>
        <w:pStyle w:val="25"/>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11</w:t>
      </w:r>
      <w:r>
        <w:rPr>
          <w:rFonts w:hint="eastAsia" w:ascii="仿宋" w:hAnsi="仿宋" w:eastAsia="仿宋"/>
          <w:sz w:val="30"/>
          <w:szCs w:val="30"/>
        </w:rPr>
        <w:t>：</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5"/>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2"/>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2</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pgNumType w:fmt="decimal"/>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3</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20"/>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5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20"/>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pgNumType w:fmt="decimal"/>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4</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b/>
          <w:color w:val="FF0000"/>
          <w:spacing w:val="40"/>
          <w:sz w:val="52"/>
          <w:szCs w:val="52"/>
          <w:lang w:eastAsia="zh-CN"/>
        </w:rPr>
      </w:pPr>
      <w:bookmarkStart w:id="72"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浙江省委网信办（本级）通用设备及网络安全升级项目</w:t>
      </w:r>
      <w:bookmarkEnd w:id="72"/>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73" w:name="PO_1000000445_PM001"/>
      <w:r>
        <w:rPr>
          <w:rFonts w:hint="eastAsia" w:ascii="仿宋" w:hAnsi="仿宋" w:eastAsia="仿宋"/>
          <w:b/>
          <w:color w:val="000000" w:themeColor="text1"/>
          <w:sz w:val="36"/>
          <w:szCs w:val="36"/>
          <w:lang w:eastAsia="zh-CN"/>
          <w14:textFill>
            <w14:solidFill>
              <w14:schemeClr w14:val="tx1"/>
            </w14:solidFill>
          </w14:textFill>
        </w:rPr>
        <w:t>ZZCG2022X-GK-152</w:t>
      </w:r>
      <w:bookmarkEnd w:id="73"/>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5"/>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5"/>
        <w:snapToGrid w:val="0"/>
        <w:spacing w:line="460" w:lineRule="exact"/>
        <w:ind w:left="0" w:leftChars="0"/>
        <w:rPr>
          <w:rFonts w:ascii="仿宋" w:hAnsi="仿宋" w:eastAsia="仿宋"/>
          <w:sz w:val="30"/>
          <w:szCs w:val="30"/>
        </w:rPr>
      </w:pPr>
      <w:r>
        <w:rPr>
          <w:rFonts w:hint="eastAsia" w:ascii="仿宋" w:hAnsi="仿宋" w:eastAsia="仿宋"/>
          <w:sz w:val="30"/>
          <w:szCs w:val="30"/>
        </w:rPr>
        <w:t>（1）开标一览表（见附件</w:t>
      </w:r>
      <w:r>
        <w:rPr>
          <w:rFonts w:hint="eastAsia" w:ascii="仿宋" w:hAnsi="仿宋" w:eastAsia="仿宋"/>
          <w:sz w:val="30"/>
          <w:szCs w:val="30"/>
          <w:lang w:val="en-US" w:eastAsia="zh-CN"/>
        </w:rPr>
        <w:t>15</w:t>
      </w:r>
      <w:r>
        <w:rPr>
          <w:rFonts w:hint="eastAsia" w:ascii="仿宋" w:hAnsi="仿宋" w:eastAsia="仿宋"/>
          <w:sz w:val="30"/>
          <w:szCs w:val="30"/>
        </w:rPr>
        <w:t>）；</w:t>
      </w:r>
    </w:p>
    <w:p>
      <w:pPr>
        <w:pStyle w:val="35"/>
        <w:snapToGrid w:val="0"/>
        <w:spacing w:line="460" w:lineRule="exact"/>
        <w:ind w:left="0" w:leftChars="0"/>
        <w:rPr>
          <w:rFonts w:hint="eastAsia" w:ascii="仿宋" w:hAnsi="仿宋" w:eastAsia="仿宋"/>
          <w:sz w:val="30"/>
          <w:szCs w:val="30"/>
        </w:rPr>
      </w:pPr>
      <w:r>
        <w:rPr>
          <w:rFonts w:hint="eastAsia" w:ascii="仿宋" w:hAnsi="仿宋" w:eastAsia="仿宋"/>
          <w:sz w:val="30"/>
          <w:szCs w:val="30"/>
        </w:rPr>
        <w:t>（2）投标人针对报价需要说明的其他文件和说明（格式自拟）；</w:t>
      </w:r>
    </w:p>
    <w:p>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16</w:t>
      </w:r>
      <w:r>
        <w:rPr>
          <w:rFonts w:hint="eastAsia" w:ascii="仿宋" w:hAnsi="仿宋" w:eastAsia="仿宋"/>
          <w:sz w:val="30"/>
          <w:szCs w:val="30"/>
        </w:rPr>
        <w:t>）；</w:t>
      </w:r>
    </w:p>
    <w:p>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p>
    <w:p/>
    <w:p>
      <w:pPr>
        <w:pStyle w:val="32"/>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5</w:t>
      </w:r>
      <w:r>
        <w:rPr>
          <w:rFonts w:hint="eastAsia" w:ascii="仿宋" w:hAnsi="仿宋" w:eastAsia="仿宋"/>
          <w:sz w:val="30"/>
          <w:szCs w:val="30"/>
        </w:rPr>
        <w:t>：</w:t>
      </w:r>
    </w:p>
    <w:p>
      <w:pPr>
        <w:pStyle w:val="32"/>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b/>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2"/>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r>
              <w:rPr>
                <w:rFonts w:hint="eastAsia" w:ascii="仿宋" w:hAnsi="仿宋" w:eastAsia="仿宋"/>
                <w:b/>
                <w:sz w:val="24"/>
                <w:szCs w:val="24"/>
                <w:lang w:val="en-US" w:eastAsia="zh-CN"/>
              </w:rPr>
              <w:t>/人/天</w:t>
            </w:r>
            <w:r>
              <w:rPr>
                <w:rFonts w:hint="eastAsia" w:ascii="仿宋" w:hAnsi="仿宋" w:eastAsia="仿宋"/>
                <w:b/>
                <w:sz w:val="24"/>
                <w:szCs w:val="24"/>
              </w:rPr>
              <w:t>）</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ascii="仿宋" w:hAnsi="仿宋" w:eastAsia="仿宋"/>
                <w:b/>
                <w:sz w:val="13"/>
                <w:szCs w:val="13"/>
              </w:rPr>
              <w:t>服务人员是否依照</w:t>
            </w:r>
            <w:r>
              <w:rPr>
                <w:rFonts w:hint="eastAsia" w:ascii="仿宋" w:hAnsi="仿宋" w:eastAsia="仿宋"/>
                <w:b/>
                <w:sz w:val="13"/>
                <w:szCs w:val="13"/>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2"/>
        <w:snapToGrid w:val="0"/>
        <w:spacing w:before="120" w:after="120" w:line="240" w:lineRule="auto"/>
        <w:jc w:val="center"/>
        <w:rPr>
          <w:rFonts w:hAnsi="宋体"/>
          <w:b/>
          <w:sz w:val="36"/>
          <w:szCs w:val="36"/>
        </w:rPr>
      </w:pPr>
      <w:r>
        <w:rPr>
          <w:rFonts w:hint="eastAsia" w:hAnsi="宋体"/>
          <w:b/>
          <w:sz w:val="36"/>
          <w:szCs w:val="36"/>
        </w:rPr>
        <w:t>开 标 一 览 表</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b/>
          <w:sz w:val="24"/>
          <w:szCs w:val="24"/>
          <w:u w:val="single"/>
        </w:rPr>
      </w:pPr>
    </w:p>
    <w:tbl>
      <w:tblPr>
        <w:tblStyle w:val="59"/>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宋体" w:hAnsi="宋体" w:cs="宋体"/>
                <w:kern w:val="0"/>
                <w:sz w:val="24"/>
              </w:rPr>
              <w:t>工程项目名称</w:t>
            </w:r>
          </w:p>
        </w:tc>
        <w:tc>
          <w:tcPr>
            <w:tcW w:w="99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是否中小企业</w:t>
            </w: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8"/>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此表应按项目的明细情况列项填报</w:t>
            </w:r>
            <w:r>
              <w:rPr>
                <w:rFonts w:ascii="仿宋" w:hAnsi="仿宋" w:eastAsia="仿宋"/>
                <w:sz w:val="24"/>
                <w:szCs w:val="24"/>
              </w:rPr>
              <w:t>,</w:t>
            </w:r>
            <w:r>
              <w:rPr>
                <w:rFonts w:hint="eastAsia" w:ascii="仿宋" w:hAnsi="仿宋" w:eastAsia="仿宋"/>
                <w:sz w:val="24"/>
                <w:szCs w:val="24"/>
              </w:rPr>
              <w:t>在填写时，如上表不适合本项目的实际情况，可在确保投标明细内容完整的情况下，根据上表格式自行划表填写。</w:t>
            </w:r>
          </w:p>
          <w:p>
            <w:pPr>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报价要求：项目费用包括项目实施所需的工程费、工时费、服务费、运输费、安装调试费、税费及其他一切费用。</w:t>
            </w:r>
          </w:p>
          <w:p>
            <w:pPr>
              <w:snapToGrid w:val="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报价中不允许出现报价优惠等字样（明细出现“</w:t>
            </w:r>
            <w:r>
              <w:rPr>
                <w:rFonts w:ascii="仿宋" w:hAnsi="仿宋" w:eastAsia="仿宋"/>
                <w:sz w:val="24"/>
                <w:szCs w:val="24"/>
              </w:rPr>
              <w:t>0</w:t>
            </w:r>
            <w:r>
              <w:rPr>
                <w:rFonts w:hint="eastAsia" w:ascii="仿宋" w:hAnsi="仿宋" w:eastAsia="仿宋"/>
                <w:sz w:val="24"/>
                <w:szCs w:val="24"/>
              </w:rPr>
              <w:t>”元，视同赠送）</w:t>
            </w:r>
            <w:r>
              <w:rPr>
                <w:rFonts w:ascii="仿宋" w:hAnsi="仿宋" w:eastAsia="仿宋"/>
                <w:sz w:val="24"/>
                <w:szCs w:val="24"/>
              </w:rPr>
              <w:t>,</w:t>
            </w:r>
            <w:r>
              <w:rPr>
                <w:rFonts w:hint="eastAsia" w:ascii="仿宋" w:hAnsi="仿宋" w:eastAsia="仿宋"/>
                <w:sz w:val="24"/>
                <w:szCs w:val="24"/>
              </w:rPr>
              <w:t>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idowControl/>
        <w:tabs>
          <w:tab w:val="center" w:pos="4755"/>
          <w:tab w:val="right" w:pos="9070"/>
        </w:tabs>
        <w:jc w:val="left"/>
        <w:rPr>
          <w:rFonts w:ascii="宋体" w:cs="Arial"/>
          <w:kern w:val="0"/>
          <w:sz w:val="18"/>
          <w:szCs w:val="18"/>
        </w:rPr>
      </w:pPr>
    </w:p>
    <w:p>
      <w:pPr>
        <w:pStyle w:val="41"/>
      </w:pPr>
    </w:p>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
      <w:pPr>
        <w:pStyle w:val="2"/>
      </w:pPr>
    </w:p>
    <w:p>
      <w:pPr>
        <w:pStyle w:val="2"/>
      </w:pPr>
    </w:p>
    <w:p>
      <w:pPr>
        <w:snapToGrid w:val="0"/>
        <w:spacing w:before="50" w:after="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 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 xml:space="preserve">采购文件中明确的所属行业） </w:t>
      </w:r>
      <w:r>
        <w:rPr>
          <w:rFonts w:ascii="仿宋" w:hAnsi="仿宋" w:eastAsia="仿宋"/>
          <w:sz w:val="28"/>
          <w:szCs w:val="28"/>
        </w:rPr>
        <w:t>行业；制造商为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2"/>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ascii="仿宋" w:hAnsi="仿宋" w:eastAsia="仿宋"/>
          <w:b/>
          <w:sz w:val="36"/>
          <w:szCs w:val="36"/>
        </w:rPr>
        <w:br w:type="page"/>
      </w:r>
    </w:p>
    <w:p>
      <w:pPr>
        <w:snapToGrid w:val="0"/>
        <w:spacing w:before="50" w:after="50"/>
        <w:jc w:val="center"/>
        <w:rPr>
          <w:rFonts w:ascii="仿宋" w:hAnsi="仿宋" w:eastAsia="仿宋"/>
          <w:b/>
          <w:sz w:val="36"/>
          <w:szCs w:val="36"/>
        </w:rPr>
      </w:pPr>
      <w:r>
        <w:rPr>
          <w:rFonts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采购活动，工程的施工单位全部为符合政策要求的中小企业（或者：服务全部由符合政策要求的中小企业承接</w:t>
      </w:r>
      <w:r>
        <w:rPr>
          <w:rFonts w:hint="eastAsia" w:ascii="仿宋" w:hAnsi="仿宋" w:eastAsia="仿宋"/>
          <w:sz w:val="28"/>
          <w:szCs w:val="28"/>
        </w:rPr>
        <w:t>，即提供服务的人员为中小企业依照《中华人民共和国劳动合同法》订立劳动合同的从业人员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w:t>
      </w:r>
      <w:r>
        <w:rPr>
          <w:rFonts w:ascii="仿宋" w:hAnsi="仿宋" w:eastAsia="仿宋"/>
          <w:sz w:val="28"/>
          <w:szCs w:val="28"/>
        </w:rPr>
        <w:t>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2"/>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jc w:val="left"/>
        <w:rPr>
          <w:rFonts w:hint="eastAsia" w:ascii="仿宋" w:hAnsi="仿宋" w:eastAsia="仿宋"/>
          <w:sz w:val="30"/>
          <w:szCs w:val="30"/>
        </w:rPr>
      </w:pPr>
    </w:p>
    <w:p>
      <w:pPr>
        <w:jc w:val="left"/>
        <w:rPr>
          <w:rFonts w:hint="eastAsia" w:ascii="仿宋" w:hAnsi="仿宋" w:eastAsia="仿宋"/>
          <w:sz w:val="30"/>
          <w:szCs w:val="30"/>
        </w:rPr>
      </w:pPr>
    </w:p>
    <w:p>
      <w:pPr>
        <w:jc w:val="left"/>
        <w:rPr>
          <w:rFonts w:hint="eastAsia" w:ascii="仿宋" w:hAnsi="仿宋" w:eastAsia="仿宋"/>
          <w:sz w:val="30"/>
          <w:szCs w:val="30"/>
        </w:rPr>
      </w:pPr>
    </w:p>
    <w:p>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
    <w:p>
      <w:pPr>
        <w:widowControl/>
        <w:jc w:val="left"/>
        <w:rPr>
          <w:rFonts w:ascii="仿宋" w:hAnsi="仿宋" w:eastAsia="仿宋"/>
          <w:sz w:val="30"/>
          <w:szCs w:val="30"/>
        </w:rPr>
      </w:pPr>
    </w:p>
    <w:p>
      <w:pPr>
        <w:widowControl/>
        <w:jc w:val="left"/>
      </w:pP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方正兰亭黑简体">
    <w:altName w:val="微软雅黑"/>
    <w:panose1 w:val="00000000000000000000"/>
    <w:charset w:val="7A"/>
    <w:family w:val="auto"/>
    <w:pitch w:val="default"/>
    <w:sig w:usb0="00000000" w:usb1="00000000" w:usb2="00000012"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720"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66"/>
      </w:rPr>
    </w:pPr>
    <w:r>
      <w:fldChar w:fldCharType="begin"/>
    </w:r>
    <w:r>
      <w:rPr>
        <w:rStyle w:val="66"/>
      </w:rPr>
      <w:instrText xml:space="preserve">PAGE  </w:instrText>
    </w:r>
    <w:r>
      <w:fldChar w:fldCharType="end"/>
    </w:r>
  </w:p>
  <w:p>
    <w:pPr>
      <w:pStyle w:val="3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EFE1A"/>
    <w:multiLevelType w:val="singleLevel"/>
    <w:tmpl w:val="FF9EFE1A"/>
    <w:lvl w:ilvl="0" w:tentative="0">
      <w:start w:val="4"/>
      <w:numFmt w:val="decimal"/>
      <w:suff w:val="nothing"/>
      <w:lvlText w:val="%1、"/>
      <w:lvlJc w:val="left"/>
    </w:lvl>
  </w:abstractNum>
  <w:abstractNum w:abstractNumId="1">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BBE26A1"/>
    <w:multiLevelType w:val="multilevel"/>
    <w:tmpl w:val="0BBE26A1"/>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0">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17166037"/>
    <w:multiLevelType w:val="multilevel"/>
    <w:tmpl w:val="17166037"/>
    <w:lvl w:ilvl="0" w:tentative="0">
      <w:start w:val="1"/>
      <w:numFmt w:val="decimal"/>
      <w:suff w:val="space"/>
      <w:lvlText w:val="%1."/>
      <w:lvlJc w:val="left"/>
      <w:pPr>
        <w:ind w:left="425" w:hanging="425"/>
      </w:pPr>
      <w:rPr>
        <w:rFonts w:hint="eastAsia"/>
      </w:rPr>
    </w:lvl>
    <w:lvl w:ilvl="1" w:tentative="0">
      <w:start w:val="1"/>
      <w:numFmt w:val="bullet"/>
      <w:lvlText w:val=""/>
      <w:lvlJc w:val="left"/>
      <w:pPr>
        <w:ind w:left="420" w:hanging="420"/>
      </w:pPr>
      <w:rPr>
        <w:rFonts w:hint="default" w:ascii="Wingdings" w:hAnsi="Wingdings"/>
      </w:rPr>
    </w:lvl>
    <w:lvl w:ilvl="2" w:tentative="0">
      <w:start w:val="1"/>
      <w:numFmt w:val="decimal"/>
      <w:suff w:val="space"/>
      <w:lvlText w:val="%1.%2.%3."/>
      <w:lvlJc w:val="left"/>
      <w:pPr>
        <w:ind w:left="709" w:hanging="709"/>
      </w:pPr>
      <w:rPr>
        <w:rFonts w:hint="eastAsia"/>
      </w:rPr>
    </w:lvl>
    <w:lvl w:ilvl="3" w:tentative="0">
      <w:start w:val="1"/>
      <w:numFmt w:val="decimal"/>
      <w:suff w:val="space"/>
      <w:lvlText w:val="%1.%2.%3.%4."/>
      <w:lvlJc w:val="left"/>
      <w:pPr>
        <w:ind w:left="851" w:hanging="851"/>
      </w:pPr>
      <w:rPr>
        <w:rFonts w:hint="eastAsia"/>
      </w:rPr>
    </w:lvl>
    <w:lvl w:ilvl="4" w:tentative="0">
      <w:start w:val="1"/>
      <w:numFmt w:val="bullet"/>
      <w:lvlText w:val=""/>
      <w:lvlJc w:val="left"/>
      <w:pPr>
        <w:ind w:left="420" w:hanging="420"/>
      </w:pPr>
      <w:rPr>
        <w:rFonts w:hint="default" w:ascii="Wingdings" w:hAnsi="Wingdings"/>
      </w:rPr>
    </w:lvl>
    <w:lvl w:ilvl="5" w:tentative="0">
      <w:start w:val="1"/>
      <w:numFmt w:val="decimal"/>
      <w:suff w:val="space"/>
      <w:lvlText w:val="%1.%2.%3.%4.%5.%6."/>
      <w:lvlJc w:val="left"/>
      <w:pPr>
        <w:ind w:left="1134" w:hanging="1134"/>
      </w:pPr>
      <w:rPr>
        <w:rFonts w:hint="eastAsia"/>
      </w:rPr>
    </w:lvl>
    <w:lvl w:ilvl="6" w:tentative="0">
      <w:start w:val="1"/>
      <w:numFmt w:val="decimal"/>
      <w:suff w:val="space"/>
      <w:lvlText w:val="%1.%2.%3.%4.%5.%6.%7."/>
      <w:lvlJc w:val="left"/>
      <w:pPr>
        <w:ind w:left="1276" w:hanging="1276"/>
      </w:pPr>
      <w:rPr>
        <w:rFonts w:hint="eastAsia"/>
      </w:rPr>
    </w:lvl>
    <w:lvl w:ilvl="7" w:tentative="0">
      <w:start w:val="1"/>
      <w:numFmt w:val="decimal"/>
      <w:suff w:val="space"/>
      <w:lvlText w:val="%1.%2.%3.%4.%5.%6.%7.%8."/>
      <w:lvlJc w:val="left"/>
      <w:pPr>
        <w:ind w:left="1418" w:hanging="1418"/>
      </w:pPr>
      <w:rPr>
        <w:rFonts w:hint="eastAsia"/>
      </w:rPr>
    </w:lvl>
    <w:lvl w:ilvl="8" w:tentative="0">
      <w:start w:val="1"/>
      <w:numFmt w:val="decimal"/>
      <w:suff w:val="space"/>
      <w:lvlText w:val="%1.%2.%3.%4.%5.%6.%7.%8.%9."/>
      <w:lvlJc w:val="left"/>
      <w:pPr>
        <w:ind w:left="1559" w:hanging="1559"/>
      </w:pPr>
      <w:rPr>
        <w:rFonts w:hint="eastAsia"/>
      </w:rPr>
    </w:lvl>
  </w:abstractNum>
  <w:abstractNum w:abstractNumId="12">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1">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2">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3">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5">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6">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7">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9">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1">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2">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5"/>
  </w:num>
  <w:num w:numId="2">
    <w:abstractNumId w:val="3"/>
  </w:num>
  <w:num w:numId="3">
    <w:abstractNumId w:val="1"/>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2"/>
  </w:num>
  <w:num w:numId="8">
    <w:abstractNumId w:val="24"/>
  </w:num>
  <w:num w:numId="9">
    <w:abstractNumId w:val="29"/>
    <w:lvlOverride w:ilvl="0">
      <w:startOverride w:val="1"/>
    </w:lvlOverride>
  </w:num>
  <w:num w:numId="10">
    <w:abstractNumId w:val="10"/>
  </w:num>
  <w:num w:numId="11">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9"/>
  </w:num>
  <w:num w:numId="14">
    <w:abstractNumId w:val="27"/>
  </w:num>
  <w:num w:numId="15">
    <w:abstractNumId w:val="21"/>
  </w:num>
  <w:num w:numId="16">
    <w:abstractNumId w:val="18"/>
  </w:num>
  <w:num w:numId="17">
    <w:abstractNumId w:val="5"/>
  </w:num>
  <w:num w:numId="18">
    <w:abstractNumId w:val="25"/>
  </w:num>
  <w:num w:numId="19">
    <w:abstractNumId w:val="7"/>
  </w:num>
  <w:num w:numId="20">
    <w:abstractNumId w:val="16"/>
  </w:num>
  <w:num w:numId="21">
    <w:abstractNumId w:val="14"/>
  </w:num>
  <w:num w:numId="22">
    <w:abstractNumId w:val="22"/>
  </w:num>
  <w:num w:numId="23">
    <w:abstractNumId w:val="8"/>
  </w:num>
  <w:num w:numId="24">
    <w:abstractNumId w:val="31"/>
  </w:num>
  <w:num w:numId="25">
    <w:abstractNumId w:val="4"/>
  </w:num>
  <w:num w:numId="26">
    <w:abstractNumId w:val="28"/>
  </w:num>
  <w:num w:numId="27">
    <w:abstractNumId w:val="23"/>
  </w:num>
  <w:num w:numId="28">
    <w:abstractNumId w:val="13"/>
  </w:num>
  <w:num w:numId="29">
    <w:abstractNumId w:val="26"/>
  </w:num>
  <w:num w:numId="30">
    <w:abstractNumId w:val="30"/>
  </w:num>
  <w:num w:numId="31">
    <w:abstractNumId w:val="11"/>
  </w:num>
  <w:num w:numId="32">
    <w:abstractNumId w:val="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17A"/>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56F9"/>
    <w:rsid w:val="0079512C"/>
    <w:rsid w:val="007B33D8"/>
    <w:rsid w:val="007B39CD"/>
    <w:rsid w:val="008010EC"/>
    <w:rsid w:val="008139C8"/>
    <w:rsid w:val="00831259"/>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16F570AA"/>
    <w:rsid w:val="2A941429"/>
    <w:rsid w:val="347726C1"/>
    <w:rsid w:val="447C178B"/>
    <w:rsid w:val="45093167"/>
    <w:rsid w:val="74FD2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iPriority="0"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uiPriority="99" w:name="footnote text"/>
    <w:lsdException w:qFormat="1" w:uiPriority="99" w:semiHidden="0" w:name="annotation text"/>
    <w:lsdException w:qFormat="1" w:uiPriority="1"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1" w:semiHidden="0"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982"/>
    <w:qFormat/>
    <w:uiPriority w:val="0"/>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230"/>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983"/>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984"/>
    <w:unhideWhenUsed/>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988"/>
    <w:qFormat/>
    <w:uiPriority w:val="0"/>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989"/>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990"/>
    <w:qFormat/>
    <w:uiPriority w:val="0"/>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991"/>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992"/>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65"/>
    <w:semiHidden/>
    <w:unhideWhenUsed/>
    <w:qFormat/>
    <w:uiPriority w:val="99"/>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link w:val="86"/>
    <w:semiHidden/>
    <w:unhideWhenUsed/>
    <w:qFormat/>
    <w:uiPriority w:val="99"/>
    <w:pPr>
      <w:spacing w:line="200" w:lineRule="exact"/>
      <w:ind w:firstLine="301"/>
    </w:pPr>
    <w:rPr>
      <w:rFonts w:ascii="宋体" w:hAnsi="Courier New"/>
      <w:spacing w:val="-4"/>
      <w:sz w:val="18"/>
      <w:szCs w:val="20"/>
    </w:rPr>
  </w:style>
  <w:style w:type="paragraph" w:styleId="13">
    <w:name w:val="List 3"/>
    <w:basedOn w:val="1"/>
    <w:semiHidden/>
    <w:unhideWhenUsed/>
    <w:qFormat/>
    <w:uiPriority w:val="99"/>
    <w:pPr>
      <w:ind w:left="100" w:leftChars="400" w:hanging="200" w:hangingChars="200"/>
    </w:pPr>
    <w:rPr>
      <w:rFonts w:ascii="Times New Roman" w:hAnsi="Times New Roman"/>
      <w:szCs w:val="20"/>
    </w:rPr>
  </w:style>
  <w:style w:type="paragraph" w:styleId="14">
    <w:name w:val="toc 7"/>
    <w:basedOn w:val="1"/>
    <w:next w:val="1"/>
    <w:semiHidden/>
    <w:unhideWhenUsed/>
    <w:qFormat/>
    <w:uiPriority w:val="39"/>
    <w:pPr>
      <w:ind w:left="1260"/>
      <w:jc w:val="left"/>
    </w:pPr>
    <w:rPr>
      <w:rFonts w:ascii="Times New Roman" w:hAnsi="Times New Roman"/>
      <w:sz w:val="18"/>
      <w:szCs w:val="18"/>
    </w:rPr>
  </w:style>
  <w:style w:type="paragraph" w:styleId="15">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6">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7">
    <w:name w:val="List Bullet 4"/>
    <w:basedOn w:val="1"/>
    <w:semiHidden/>
    <w:unhideWhenUsed/>
    <w:qFormat/>
    <w:uiPriority w:val="99"/>
    <w:pPr>
      <w:numPr>
        <w:ilvl w:val="0"/>
        <w:numId w:val="2"/>
      </w:numPr>
    </w:pPr>
    <w:rPr>
      <w:rFonts w:ascii="Times New Roman" w:hAnsi="Times New Roman"/>
      <w:szCs w:val="24"/>
    </w:rPr>
  </w:style>
  <w:style w:type="paragraph" w:styleId="18">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9">
    <w:name w:val="Normal Indent"/>
    <w:basedOn w:val="1"/>
    <w:link w:val="373"/>
    <w:semiHidden/>
    <w:unhideWhenUsed/>
    <w:qFormat/>
    <w:uiPriority w:val="99"/>
    <w:pPr>
      <w:ind w:firstLine="420"/>
    </w:pPr>
    <w:rPr>
      <w:szCs w:val="20"/>
    </w:rPr>
  </w:style>
  <w:style w:type="paragraph" w:styleId="20">
    <w:name w:val="caption"/>
    <w:basedOn w:val="1"/>
    <w:next w:val="1"/>
    <w:link w:val="108"/>
    <w:qFormat/>
    <w:uiPriority w:val="0"/>
    <w:pPr>
      <w:spacing w:before="152" w:after="160"/>
    </w:pPr>
    <w:rPr>
      <w:rFonts w:ascii="Arial" w:hAnsi="Arial" w:eastAsia="黑体"/>
      <w:sz w:val="20"/>
      <w:szCs w:val="20"/>
    </w:rPr>
  </w:style>
  <w:style w:type="paragraph" w:styleId="21">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2">
    <w:name w:val="Document Map"/>
    <w:basedOn w:val="1"/>
    <w:link w:val="81"/>
    <w:semiHidden/>
    <w:unhideWhenUsed/>
    <w:qFormat/>
    <w:uiPriority w:val="99"/>
    <w:rPr>
      <w:rFonts w:ascii="宋体"/>
      <w:sz w:val="18"/>
      <w:szCs w:val="18"/>
    </w:rPr>
  </w:style>
  <w:style w:type="paragraph" w:styleId="23">
    <w:name w:val="annotation text"/>
    <w:basedOn w:val="1"/>
    <w:link w:val="101"/>
    <w:unhideWhenUsed/>
    <w:qFormat/>
    <w:uiPriority w:val="99"/>
    <w:pPr>
      <w:jc w:val="left"/>
    </w:pPr>
  </w:style>
  <w:style w:type="paragraph" w:styleId="24">
    <w:name w:val="Salutation"/>
    <w:basedOn w:val="1"/>
    <w:next w:val="1"/>
    <w:link w:val="83"/>
    <w:semiHidden/>
    <w:unhideWhenUsed/>
    <w:qFormat/>
    <w:uiPriority w:val="99"/>
    <w:rPr>
      <w:rFonts w:ascii="宋体" w:hAnsi="Times New Roman"/>
      <w:b/>
      <w:sz w:val="28"/>
      <w:szCs w:val="20"/>
    </w:rPr>
  </w:style>
  <w:style w:type="paragraph" w:styleId="25">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6">
    <w:name w:val="Body Text"/>
    <w:basedOn w:val="1"/>
    <w:link w:val="85"/>
    <w:semiHidden/>
    <w:unhideWhenUsed/>
    <w:qFormat/>
    <w:uiPriority w:val="99"/>
    <w:pPr>
      <w:spacing w:after="120"/>
    </w:pPr>
    <w:rPr>
      <w:sz w:val="28"/>
      <w:szCs w:val="24"/>
    </w:rPr>
  </w:style>
  <w:style w:type="paragraph" w:styleId="27">
    <w:name w:val="List Number 3"/>
    <w:basedOn w:val="1"/>
    <w:semiHidden/>
    <w:unhideWhenUsed/>
    <w:qFormat/>
    <w:uiPriority w:val="99"/>
    <w:pPr>
      <w:numPr>
        <w:ilvl w:val="0"/>
        <w:numId w:val="3"/>
      </w:numPr>
    </w:pPr>
    <w:rPr>
      <w:rFonts w:ascii="Times New Roman" w:hAnsi="Times New Roman"/>
      <w:szCs w:val="24"/>
    </w:rPr>
  </w:style>
  <w:style w:type="paragraph" w:styleId="28">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9">
    <w:name w:val="List Bullet 2"/>
    <w:basedOn w:val="1"/>
    <w:semiHidden/>
    <w:unhideWhenUsed/>
    <w:uiPriority w:val="99"/>
    <w:pPr>
      <w:tabs>
        <w:tab w:val="left" w:pos="780"/>
      </w:tabs>
      <w:ind w:left="780" w:leftChars="200" w:hanging="360" w:hangingChars="200"/>
    </w:pPr>
    <w:rPr>
      <w:rFonts w:ascii="Times New Roman" w:hAnsi="Times New Roman"/>
      <w:szCs w:val="24"/>
    </w:rPr>
  </w:style>
  <w:style w:type="paragraph" w:styleId="30">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1">
    <w:name w:val="toc 3"/>
    <w:basedOn w:val="1"/>
    <w:next w:val="1"/>
    <w:unhideWhenUsed/>
    <w:qFormat/>
    <w:uiPriority w:val="39"/>
    <w:pPr>
      <w:ind w:left="840" w:leftChars="400"/>
    </w:pPr>
  </w:style>
  <w:style w:type="paragraph" w:styleId="32">
    <w:name w:val="Plain Text"/>
    <w:basedOn w:val="1"/>
    <w:link w:val="993"/>
    <w:qFormat/>
    <w:uiPriority w:val="0"/>
    <w:pPr>
      <w:spacing w:beforeLines="50" w:afterLines="50" w:line="400" w:lineRule="exact"/>
    </w:pPr>
    <w:rPr>
      <w:rFonts w:ascii="宋体" w:hAnsi="Courier New"/>
      <w:sz w:val="24"/>
      <w:szCs w:val="24"/>
    </w:rPr>
  </w:style>
  <w:style w:type="paragraph" w:styleId="33">
    <w:name w:val="List Bullet 5"/>
    <w:basedOn w:val="1"/>
    <w:semiHidden/>
    <w:unhideWhenUsed/>
    <w:qFormat/>
    <w:uiPriority w:val="99"/>
    <w:pPr>
      <w:numPr>
        <w:ilvl w:val="0"/>
        <w:numId w:val="4"/>
      </w:numPr>
    </w:pPr>
    <w:rPr>
      <w:rFonts w:ascii="Times New Roman" w:hAnsi="Times New Roman"/>
      <w:szCs w:val="24"/>
    </w:rPr>
  </w:style>
  <w:style w:type="paragraph" w:styleId="34">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5">
    <w:name w:val="Date"/>
    <w:basedOn w:val="1"/>
    <w:next w:val="1"/>
    <w:link w:val="88"/>
    <w:semiHidden/>
    <w:unhideWhenUsed/>
    <w:qFormat/>
    <w:uiPriority w:val="99"/>
    <w:pPr>
      <w:ind w:left="2500" w:leftChars="2500"/>
    </w:pPr>
    <w:rPr>
      <w:rFonts w:eastAsia="楷体_GB2312"/>
      <w:sz w:val="32"/>
      <w:szCs w:val="20"/>
    </w:rPr>
  </w:style>
  <w:style w:type="paragraph" w:styleId="36">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7">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8">
    <w:name w:val="Balloon Text"/>
    <w:basedOn w:val="1"/>
    <w:link w:val="986"/>
    <w:semiHidden/>
    <w:unhideWhenUsed/>
    <w:qFormat/>
    <w:uiPriority w:val="99"/>
    <w:rPr>
      <w:sz w:val="18"/>
      <w:szCs w:val="18"/>
    </w:rPr>
  </w:style>
  <w:style w:type="paragraph" w:styleId="39">
    <w:name w:val="footer"/>
    <w:basedOn w:val="1"/>
    <w:link w:val="246"/>
    <w:unhideWhenUsed/>
    <w:qFormat/>
    <w:uiPriority w:val="99"/>
    <w:pPr>
      <w:tabs>
        <w:tab w:val="center" w:pos="4153"/>
        <w:tab w:val="right" w:pos="8306"/>
      </w:tabs>
      <w:snapToGrid w:val="0"/>
      <w:jc w:val="left"/>
    </w:pPr>
    <w:rPr>
      <w:sz w:val="18"/>
      <w:szCs w:val="18"/>
    </w:rPr>
  </w:style>
  <w:style w:type="paragraph" w:styleId="40">
    <w:name w:val="header"/>
    <w:basedOn w:val="1"/>
    <w:link w:val="380"/>
    <w:unhideWhenUsed/>
    <w:qFormat/>
    <w:uiPriority w:val="1"/>
    <w:pPr>
      <w:pBdr>
        <w:bottom w:val="single" w:color="auto" w:sz="6" w:space="1"/>
      </w:pBdr>
      <w:tabs>
        <w:tab w:val="center" w:pos="4153"/>
        <w:tab w:val="right" w:pos="8306"/>
      </w:tabs>
      <w:snapToGrid w:val="0"/>
      <w:jc w:val="center"/>
    </w:pPr>
    <w:rPr>
      <w:sz w:val="18"/>
      <w:szCs w:val="18"/>
    </w:rPr>
  </w:style>
  <w:style w:type="paragraph" w:styleId="41">
    <w:name w:val="toc 1"/>
    <w:basedOn w:val="1"/>
    <w:next w:val="1"/>
    <w:unhideWhenUsed/>
    <w:qFormat/>
    <w:uiPriority w:val="39"/>
    <w:pPr>
      <w:spacing w:before="240" w:after="240"/>
    </w:pPr>
    <w:rPr>
      <w:rFonts w:ascii="Times New Roman" w:hAnsi="Times New Roman" w:eastAsia="仿宋"/>
      <w:sz w:val="36"/>
      <w:szCs w:val="24"/>
    </w:rPr>
  </w:style>
  <w:style w:type="paragraph" w:styleId="42">
    <w:name w:val="toc 4"/>
    <w:basedOn w:val="1"/>
    <w:next w:val="1"/>
    <w:semiHidden/>
    <w:unhideWhenUsed/>
    <w:qFormat/>
    <w:uiPriority w:val="39"/>
    <w:pPr>
      <w:ind w:left="1260" w:leftChars="600"/>
    </w:pPr>
  </w:style>
  <w:style w:type="paragraph" w:styleId="43">
    <w:name w:val="Subtitle"/>
    <w:basedOn w:val="1"/>
    <w:link w:val="94"/>
    <w:qFormat/>
    <w:uiPriority w:val="11"/>
    <w:pPr>
      <w:spacing w:afterLines="50"/>
      <w:jc w:val="center"/>
    </w:pPr>
    <w:rPr>
      <w:rFonts w:ascii="Times New Roman" w:hAnsi="Times New Roman" w:eastAsia="Times New Roman"/>
      <w:sz w:val="18"/>
      <w:szCs w:val="18"/>
    </w:rPr>
  </w:style>
  <w:style w:type="paragraph" w:styleId="44">
    <w:name w:val="List"/>
    <w:basedOn w:val="1"/>
    <w:semiHidden/>
    <w:unhideWhenUsed/>
    <w:qFormat/>
    <w:uiPriority w:val="99"/>
    <w:pPr>
      <w:ind w:left="200" w:hanging="200" w:hangingChars="200"/>
    </w:pPr>
    <w:rPr>
      <w:rFonts w:ascii="Times New Roman" w:hAnsi="Times New Roman"/>
      <w:sz w:val="28"/>
      <w:szCs w:val="24"/>
    </w:rPr>
  </w:style>
  <w:style w:type="paragraph" w:styleId="45">
    <w:name w:val="footnote text"/>
    <w:basedOn w:val="1"/>
    <w:link w:val="95"/>
    <w:semiHidden/>
    <w:unhideWhenUsed/>
    <w:uiPriority w:val="99"/>
    <w:pPr>
      <w:snapToGrid w:val="0"/>
      <w:jc w:val="left"/>
    </w:pPr>
    <w:rPr>
      <w:sz w:val="18"/>
      <w:szCs w:val="18"/>
    </w:rPr>
  </w:style>
  <w:style w:type="paragraph" w:styleId="46">
    <w:name w:val="toc 6"/>
    <w:basedOn w:val="1"/>
    <w:next w:val="1"/>
    <w:semiHidden/>
    <w:unhideWhenUsed/>
    <w:qFormat/>
    <w:uiPriority w:val="39"/>
    <w:pPr>
      <w:ind w:left="1050"/>
      <w:jc w:val="left"/>
    </w:pPr>
    <w:rPr>
      <w:rFonts w:ascii="Times New Roman" w:hAnsi="Times New Roman"/>
      <w:sz w:val="18"/>
      <w:szCs w:val="18"/>
    </w:rPr>
  </w:style>
  <w:style w:type="paragraph" w:styleId="47">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semiHidden/>
    <w:unhideWhenUsed/>
    <w:qFormat/>
    <w:uiPriority w:val="39"/>
    <w:pPr>
      <w:ind w:left="1680"/>
      <w:jc w:val="left"/>
    </w:pPr>
    <w:rPr>
      <w:rFonts w:ascii="Times New Roman" w:hAnsi="Times New Roman"/>
      <w:sz w:val="18"/>
      <w:szCs w:val="18"/>
    </w:rPr>
  </w:style>
  <w:style w:type="paragraph" w:styleId="51">
    <w:name w:val="Body Text 2"/>
    <w:basedOn w:val="1"/>
    <w:link w:val="9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8"/>
    <w:semiHidden/>
    <w:unhideWhenUsed/>
    <w:qFormat/>
    <w:uiPriority w:val="99"/>
    <w:rPr>
      <w:rFonts w:ascii="Courier New" w:hAnsi="Courier New"/>
      <w:sz w:val="20"/>
      <w:szCs w:val="20"/>
    </w:rPr>
  </w:style>
  <w:style w:type="paragraph" w:styleId="5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semiHidden/>
    <w:unhideWhenUsed/>
    <w:qFormat/>
    <w:uiPriority w:val="99"/>
    <w:rPr>
      <w:rFonts w:ascii="Times New Roman" w:hAnsi="Times New Roman"/>
      <w:szCs w:val="20"/>
    </w:rPr>
  </w:style>
  <w:style w:type="paragraph" w:styleId="56">
    <w:name w:val="Title"/>
    <w:basedOn w:val="1"/>
    <w:link w:val="99"/>
    <w:qFormat/>
    <w:uiPriority w:val="10"/>
    <w:pPr>
      <w:spacing w:before="240" w:after="60"/>
      <w:jc w:val="center"/>
      <w:outlineLvl w:val="0"/>
    </w:pPr>
    <w:rPr>
      <w:rFonts w:ascii="Arial" w:hAnsi="Arial"/>
      <w:b/>
      <w:bCs/>
      <w:sz w:val="32"/>
      <w:szCs w:val="32"/>
    </w:rPr>
  </w:style>
  <w:style w:type="paragraph" w:styleId="57">
    <w:name w:val="annotation subject"/>
    <w:basedOn w:val="23"/>
    <w:next w:val="23"/>
    <w:link w:val="964"/>
    <w:semiHidden/>
    <w:unhideWhenUsed/>
    <w:qFormat/>
    <w:uiPriority w:val="99"/>
    <w:rPr>
      <w:b/>
      <w:bCs/>
    </w:rPr>
  </w:style>
  <w:style w:type="paragraph" w:styleId="58">
    <w:name w:val="Body Text First Indent"/>
    <w:basedOn w:val="26"/>
    <w:link w:val="103"/>
    <w:semiHidden/>
    <w:unhideWhenUsed/>
    <w:qFormat/>
    <w:uiPriority w:val="99"/>
    <w:pPr>
      <w:ind w:firstLine="420" w:firstLineChars="100"/>
    </w:pPr>
    <w:rPr>
      <w:sz w:val="21"/>
      <w:szCs w:val="22"/>
    </w:rPr>
  </w:style>
  <w:style w:type="table" w:styleId="60">
    <w:name w:val="Table Grid"/>
    <w:basedOn w:val="5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1"/>
  </w:style>
  <w:style w:type="character" w:styleId="67">
    <w:name w:val="FollowedHyperlink"/>
    <w:semiHidden/>
    <w:unhideWhenUsed/>
    <w:qFormat/>
    <w:uiPriority w:val="99"/>
    <w:rPr>
      <w:color w:val="800080"/>
      <w:u w:val="single"/>
    </w:rPr>
  </w:style>
  <w:style w:type="character" w:styleId="68">
    <w:name w:val="Emphasis"/>
    <w:qFormat/>
    <w:uiPriority w:val="20"/>
    <w:rPr>
      <w:color w:val="CC0033"/>
    </w:rPr>
  </w:style>
  <w:style w:type="character" w:styleId="69">
    <w:name w:val="Hyperlink"/>
    <w:basedOn w:val="64"/>
    <w:unhideWhenUsed/>
    <w:qFormat/>
    <w:uiPriority w:val="99"/>
    <w:rPr>
      <w:color w:val="0000FF"/>
      <w:u w:val="single"/>
    </w:rPr>
  </w:style>
  <w:style w:type="character" w:styleId="70">
    <w:name w:val="annotation reference"/>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4"/>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6"/>
    <w:qFormat/>
    <w:uiPriority w:val="9"/>
    <w:rPr>
      <w:rFonts w:ascii="Calibri" w:hAnsi="Calibri" w:eastAsia="宋体" w:cs="Times New Roman"/>
      <w:b/>
      <w:bCs/>
      <w:sz w:val="32"/>
      <w:szCs w:val="32"/>
    </w:rPr>
  </w:style>
  <w:style w:type="character" w:customStyle="1" w:styleId="75">
    <w:name w:val="标题 4 字符"/>
    <w:basedOn w:val="64"/>
    <w:link w:val="7"/>
    <w:qFormat/>
    <w:uiPriority w:val="0"/>
    <w:rPr>
      <w:rFonts w:ascii="Arial" w:hAnsi="Arial" w:eastAsia="黑体" w:cs="Times New Roman"/>
      <w:b/>
      <w:bCs/>
      <w:sz w:val="28"/>
      <w:szCs w:val="28"/>
    </w:rPr>
  </w:style>
  <w:style w:type="character" w:customStyle="1" w:styleId="76">
    <w:name w:val="标题 5 字符"/>
    <w:basedOn w:val="64"/>
    <w:link w:val="8"/>
    <w:qFormat/>
    <w:uiPriority w:val="0"/>
    <w:rPr>
      <w:rFonts w:ascii="Calibri" w:hAnsi="Calibri" w:eastAsia="宋体" w:cs="Times New Roman"/>
      <w:b/>
      <w:bCs/>
      <w:sz w:val="28"/>
      <w:szCs w:val="28"/>
    </w:rPr>
  </w:style>
  <w:style w:type="character" w:customStyle="1" w:styleId="77">
    <w:name w:val="标题 6 字符"/>
    <w:basedOn w:val="64"/>
    <w:link w:val="9"/>
    <w:qFormat/>
    <w:uiPriority w:val="0"/>
    <w:rPr>
      <w:rFonts w:ascii="Arial" w:hAnsi="Arial" w:eastAsia="黑体" w:cs="Times New Roman"/>
      <w:b/>
      <w:bCs/>
      <w:sz w:val="24"/>
      <w:szCs w:val="24"/>
    </w:rPr>
  </w:style>
  <w:style w:type="character" w:customStyle="1" w:styleId="78">
    <w:name w:val="标题 7 字符"/>
    <w:basedOn w:val="64"/>
    <w:link w:val="10"/>
    <w:qFormat/>
    <w:uiPriority w:val="0"/>
    <w:rPr>
      <w:rFonts w:ascii="Calibri" w:hAnsi="Calibri" w:eastAsia="宋体" w:cs="Times New Roman"/>
      <w:b/>
      <w:bCs/>
      <w:sz w:val="24"/>
      <w:szCs w:val="24"/>
    </w:rPr>
  </w:style>
  <w:style w:type="character" w:customStyle="1" w:styleId="79">
    <w:name w:val="标题 8 字符"/>
    <w:basedOn w:val="64"/>
    <w:link w:val="11"/>
    <w:qFormat/>
    <w:uiPriority w:val="0"/>
    <w:rPr>
      <w:rFonts w:ascii="Cambria" w:hAnsi="Cambria" w:eastAsia="宋体" w:cs="Times New Roman"/>
      <w:sz w:val="24"/>
      <w:szCs w:val="24"/>
    </w:rPr>
  </w:style>
  <w:style w:type="character" w:customStyle="1" w:styleId="80">
    <w:name w:val="标题 9 字符"/>
    <w:basedOn w:val="64"/>
    <w:link w:val="12"/>
    <w:qFormat/>
    <w:uiPriority w:val="0"/>
    <w:rPr>
      <w:rFonts w:ascii="Cambria" w:hAnsi="Cambria" w:eastAsia="宋体" w:cs="Times New Roman"/>
      <w:szCs w:val="21"/>
    </w:rPr>
  </w:style>
  <w:style w:type="character" w:customStyle="1" w:styleId="81">
    <w:name w:val="文档结构图 字符"/>
    <w:basedOn w:val="64"/>
    <w:link w:val="22"/>
    <w:qFormat/>
    <w:uiPriority w:val="99"/>
    <w:rPr>
      <w:rFonts w:ascii="宋体" w:hAnsi="Calibri" w:eastAsia="宋体" w:cs="Times New Roman"/>
      <w:sz w:val="18"/>
      <w:szCs w:val="18"/>
    </w:rPr>
  </w:style>
  <w:style w:type="character" w:customStyle="1" w:styleId="82">
    <w:name w:val="批注文字 字符1"/>
    <w:basedOn w:val="64"/>
    <w:link w:val="23"/>
    <w:qFormat/>
    <w:uiPriority w:val="99"/>
    <w:rPr>
      <w:rFonts w:ascii="Calibri" w:hAnsi="Calibri" w:eastAsia="宋体" w:cs="Times New Roman"/>
    </w:rPr>
  </w:style>
  <w:style w:type="character" w:customStyle="1" w:styleId="83">
    <w:name w:val="称呼 字符"/>
    <w:basedOn w:val="64"/>
    <w:link w:val="24"/>
    <w:qFormat/>
    <w:uiPriority w:val="0"/>
    <w:rPr>
      <w:rFonts w:ascii="宋体" w:hAnsi="Times New Roman" w:eastAsia="宋体" w:cs="Times New Roman"/>
      <w:b/>
      <w:sz w:val="28"/>
      <w:szCs w:val="20"/>
    </w:rPr>
  </w:style>
  <w:style w:type="character" w:customStyle="1" w:styleId="84">
    <w:name w:val="正文文本 3 字符"/>
    <w:basedOn w:val="64"/>
    <w:link w:val="25"/>
    <w:qFormat/>
    <w:uiPriority w:val="0"/>
    <w:rPr>
      <w:rFonts w:ascii="Times New Roman" w:hAnsi="宋体" w:eastAsia="仿宋_GB2312" w:cs="Times New Roman"/>
      <w:b/>
      <w:bCs/>
      <w:sz w:val="24"/>
      <w:szCs w:val="20"/>
    </w:rPr>
  </w:style>
  <w:style w:type="character" w:customStyle="1" w:styleId="85">
    <w:name w:val="正文文本 字符1"/>
    <w:basedOn w:val="64"/>
    <w:link w:val="26"/>
    <w:qFormat/>
    <w:uiPriority w:val="0"/>
    <w:rPr>
      <w:rFonts w:ascii="Calibri" w:hAnsi="Calibri" w:eastAsia="宋体" w:cs="Times New Roman"/>
      <w:sz w:val="28"/>
      <w:szCs w:val="24"/>
    </w:rPr>
  </w:style>
  <w:style w:type="character" w:customStyle="1" w:styleId="86">
    <w:name w:val="正文文本缩进 字符1"/>
    <w:basedOn w:val="64"/>
    <w:link w:val="3"/>
    <w:qFormat/>
    <w:uiPriority w:val="0"/>
    <w:rPr>
      <w:rFonts w:ascii="宋体" w:hAnsi="Courier New" w:eastAsia="宋体" w:cs="Times New Roman"/>
      <w:spacing w:val="-4"/>
      <w:sz w:val="18"/>
      <w:szCs w:val="20"/>
    </w:rPr>
  </w:style>
  <w:style w:type="character" w:customStyle="1" w:styleId="87">
    <w:name w:val="纯文本 字符"/>
    <w:basedOn w:val="64"/>
    <w:link w:val="32"/>
    <w:qFormat/>
    <w:uiPriority w:val="99"/>
    <w:rPr>
      <w:rFonts w:ascii="宋体" w:hAnsi="Courier New" w:eastAsia="宋体" w:cs="Times New Roman"/>
      <w:sz w:val="24"/>
      <w:szCs w:val="24"/>
    </w:rPr>
  </w:style>
  <w:style w:type="character" w:customStyle="1" w:styleId="88">
    <w:name w:val="日期 字符"/>
    <w:basedOn w:val="64"/>
    <w:link w:val="35"/>
    <w:qFormat/>
    <w:uiPriority w:val="0"/>
    <w:rPr>
      <w:rFonts w:ascii="Calibri" w:hAnsi="Calibri" w:eastAsia="楷体_GB2312" w:cs="Times New Roman"/>
      <w:sz w:val="32"/>
      <w:szCs w:val="20"/>
    </w:rPr>
  </w:style>
  <w:style w:type="character" w:customStyle="1" w:styleId="89">
    <w:name w:val="正文文本缩进 2 字符"/>
    <w:basedOn w:val="64"/>
    <w:link w:val="36"/>
    <w:qFormat/>
    <w:uiPriority w:val="0"/>
    <w:rPr>
      <w:rFonts w:ascii="仿宋_GB2312" w:hAnsi="宋体" w:eastAsia="宋体" w:cs="Times New Roman"/>
      <w:b/>
      <w:bCs/>
      <w:color w:val="000000"/>
      <w:sz w:val="24"/>
      <w:szCs w:val="24"/>
    </w:rPr>
  </w:style>
  <w:style w:type="character" w:customStyle="1" w:styleId="90">
    <w:name w:val="尾注文本 字符"/>
    <w:basedOn w:val="64"/>
    <w:link w:val="37"/>
    <w:qFormat/>
    <w:uiPriority w:val="0"/>
    <w:rPr>
      <w:rFonts w:ascii="宋体" w:hAnsi="Calibri" w:eastAsia="宋体" w:cs="Times New Roman"/>
      <w:snapToGrid w:val="0"/>
      <w:kern w:val="0"/>
      <w:szCs w:val="20"/>
    </w:rPr>
  </w:style>
  <w:style w:type="character" w:customStyle="1" w:styleId="91">
    <w:name w:val="批注框文本 字符"/>
    <w:basedOn w:val="64"/>
    <w:link w:val="38"/>
    <w:qFormat/>
    <w:uiPriority w:val="0"/>
    <w:rPr>
      <w:rFonts w:ascii="Calibri" w:hAnsi="Calibri" w:eastAsia="宋体" w:cs="Times New Roman"/>
      <w:sz w:val="18"/>
      <w:szCs w:val="18"/>
    </w:rPr>
  </w:style>
  <w:style w:type="character" w:customStyle="1" w:styleId="92">
    <w:name w:val="页脚 Char"/>
    <w:basedOn w:val="64"/>
    <w:link w:val="39"/>
    <w:qFormat/>
    <w:uiPriority w:val="0"/>
    <w:rPr>
      <w:rFonts w:ascii="Calibri" w:hAnsi="Calibri" w:eastAsia="宋体" w:cs="Times New Roman"/>
      <w:sz w:val="18"/>
      <w:szCs w:val="18"/>
    </w:rPr>
  </w:style>
  <w:style w:type="character" w:customStyle="1" w:styleId="93">
    <w:name w:val="页眉 Char"/>
    <w:basedOn w:val="64"/>
    <w:link w:val="40"/>
    <w:qFormat/>
    <w:uiPriority w:val="0"/>
    <w:rPr>
      <w:rFonts w:ascii="Calibri" w:hAnsi="Calibri" w:eastAsia="宋体" w:cs="Times New Roman"/>
      <w:sz w:val="18"/>
      <w:szCs w:val="18"/>
    </w:rPr>
  </w:style>
  <w:style w:type="character" w:customStyle="1" w:styleId="94">
    <w:name w:val="副标题 字符"/>
    <w:basedOn w:val="64"/>
    <w:link w:val="43"/>
    <w:qFormat/>
    <w:uiPriority w:val="11"/>
    <w:rPr>
      <w:rFonts w:ascii="Times New Roman" w:hAnsi="Times New Roman" w:eastAsia="Times New Roman" w:cs="Times New Roman"/>
      <w:sz w:val="18"/>
      <w:szCs w:val="18"/>
    </w:rPr>
  </w:style>
  <w:style w:type="character" w:customStyle="1" w:styleId="95">
    <w:name w:val="脚注文本 字符"/>
    <w:basedOn w:val="64"/>
    <w:link w:val="45"/>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0"/>
    <w:rPr>
      <w:rFonts w:ascii="仿宋_GB2312" w:hAnsi="宋体" w:eastAsia="仿宋_GB2312" w:cs="Times New Roman"/>
      <w:color w:val="000000"/>
      <w:sz w:val="24"/>
      <w:szCs w:val="24"/>
    </w:rPr>
  </w:style>
  <w:style w:type="character" w:customStyle="1" w:styleId="97">
    <w:name w:val="正文文本 2 字符"/>
    <w:basedOn w:val="64"/>
    <w:link w:val="51"/>
    <w:qFormat/>
    <w:uiPriority w:val="0"/>
    <w:rPr>
      <w:rFonts w:ascii="宋体" w:hAnsi="宋体" w:eastAsia="宋体" w:cs="Times New Roman"/>
      <w:color w:val="000000"/>
      <w:sz w:val="24"/>
      <w:szCs w:val="24"/>
    </w:rPr>
  </w:style>
  <w:style w:type="character" w:customStyle="1" w:styleId="98">
    <w:name w:val="HTML 预设格式 字符"/>
    <w:basedOn w:val="64"/>
    <w:link w:val="53"/>
    <w:qFormat/>
    <w:uiPriority w:val="99"/>
    <w:rPr>
      <w:rFonts w:ascii="Courier New" w:hAnsi="Courier New" w:eastAsia="宋体" w:cs="Times New Roman"/>
      <w:sz w:val="20"/>
      <w:szCs w:val="20"/>
    </w:rPr>
  </w:style>
  <w:style w:type="character" w:customStyle="1" w:styleId="99">
    <w:name w:val="标题 字符"/>
    <w:basedOn w:val="64"/>
    <w:link w:val="56"/>
    <w:qFormat/>
    <w:uiPriority w:val="0"/>
    <w:rPr>
      <w:rFonts w:ascii="Arial" w:hAnsi="Arial" w:eastAsia="宋体" w:cs="Times New Roman"/>
      <w:b/>
      <w:bCs/>
      <w:sz w:val="32"/>
      <w:szCs w:val="32"/>
    </w:rPr>
  </w:style>
  <w:style w:type="character" w:customStyle="1" w:styleId="100">
    <w:name w:val="批注主题 Char"/>
    <w:basedOn w:val="101"/>
    <w:link w:val="102"/>
    <w:qFormat/>
    <w:uiPriority w:val="99"/>
    <w:rPr>
      <w:rFonts w:ascii="Calibri" w:hAnsi="Calibri" w:eastAsia="宋体" w:cs="Times New Roman"/>
      <w:b/>
      <w:bCs/>
    </w:rPr>
  </w:style>
  <w:style w:type="character" w:customStyle="1" w:styleId="101">
    <w:name w:val="批注文字 Char"/>
    <w:basedOn w:val="64"/>
    <w:link w:val="23"/>
    <w:qFormat/>
    <w:uiPriority w:val="99"/>
    <w:rPr>
      <w:rFonts w:ascii="Calibri" w:hAnsi="Calibri" w:eastAsia="仿宋_GB2312" w:cs="Calibri"/>
      <w:sz w:val="32"/>
      <w:szCs w:val="20"/>
    </w:rPr>
  </w:style>
  <w:style w:type="paragraph" w:customStyle="1" w:styleId="102">
    <w:name w:val="批注主题1"/>
    <w:basedOn w:val="23"/>
    <w:next w:val="23"/>
    <w:link w:val="100"/>
    <w:qFormat/>
    <w:uiPriority w:val="99"/>
    <w:rPr>
      <w:b/>
      <w:bCs/>
    </w:rPr>
  </w:style>
  <w:style w:type="character" w:customStyle="1" w:styleId="103">
    <w:name w:val="正文首行缩进 字符"/>
    <w:basedOn w:val="85"/>
    <w:link w:val="58"/>
    <w:qFormat/>
    <w:uiPriority w:val="0"/>
    <w:rPr>
      <w:rFonts w:ascii="Calibri" w:hAnsi="Calibri" w:eastAsia="宋体" w:cs="Times New Roman"/>
      <w:sz w:val="28"/>
      <w:szCs w:val="24"/>
    </w:rPr>
  </w:style>
  <w:style w:type="character" w:customStyle="1" w:styleId="104">
    <w:name w:val="正文首行缩进 2 Char"/>
    <w:basedOn w:val="86"/>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0"/>
    <w:pPr>
      <w:spacing w:after="120"/>
      <w:ind w:left="420" w:leftChars="200"/>
    </w:pPr>
    <w:rPr>
      <w:rFonts w:cs="黑体"/>
    </w:rPr>
  </w:style>
  <w:style w:type="character" w:customStyle="1" w:styleId="107">
    <w:name w:val="ca-8"/>
    <w:basedOn w:val="64"/>
    <w:qFormat/>
    <w:uiPriority w:val="0"/>
  </w:style>
  <w:style w:type="character" w:customStyle="1" w:styleId="108">
    <w:name w:val="题注 字符"/>
    <w:link w:val="20"/>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4"/>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4"/>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4"/>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20"/>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7"/>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4"/>
    <w:qFormat/>
    <w:uiPriority w:val="0"/>
  </w:style>
  <w:style w:type="character" w:customStyle="1" w:styleId="152">
    <w:name w:val="content"/>
    <w:basedOn w:val="64"/>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4"/>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4"/>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4"/>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qFormat/>
    <w:uiPriority w:val="0"/>
  </w:style>
  <w:style w:type="paragraph" w:styleId="183">
    <w:name w:val="List Paragraph"/>
    <w:basedOn w:val="1"/>
    <w:link w:val="985"/>
    <w:qFormat/>
    <w:uiPriority w:val="0"/>
    <w:pPr>
      <w:ind w:firstLine="420" w:firstLineChars="200"/>
    </w:pPr>
    <w:rPr>
      <w:rFonts w:asciiTheme="minorHAnsi" w:hAnsiTheme="minorHAnsi" w:eastAsiaTheme="minorEastAsia" w:cstheme="minorBidi"/>
    </w:rPr>
  </w:style>
  <w:style w:type="character" w:customStyle="1" w:styleId="184">
    <w:name w:val="para"/>
    <w:basedOn w:val="64"/>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4"/>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0"/>
    <w:rPr>
      <w:rFonts w:ascii="Arial" w:hAnsi="Arial"/>
      <w:sz w:val="18"/>
      <w:szCs w:val="18"/>
    </w:rPr>
  </w:style>
  <w:style w:type="paragraph" w:customStyle="1" w:styleId="214">
    <w:name w:val="Item List in Table"/>
    <w:link w:val="213"/>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4"/>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10"/>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5"/>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9"/>
    <w:qFormat/>
    <w:uiPriority w:val="0"/>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0"/>
    <w:rPr>
      <w:rFonts w:ascii="Calibri" w:hAnsi="Calibri"/>
      <w:sz w:val="24"/>
      <w:szCs w:val="24"/>
    </w:rPr>
  </w:style>
  <w:style w:type="paragraph" w:customStyle="1" w:styleId="255">
    <w:name w:val="正文4"/>
    <w:basedOn w:val="1"/>
    <w:link w:val="254"/>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0"/>
    <w:rPr>
      <w:rFonts w:ascii="仿宋" w:hAnsi="仿宋" w:eastAsia="仿宋"/>
      <w:sz w:val="28"/>
      <w:szCs w:val="21"/>
    </w:rPr>
  </w:style>
  <w:style w:type="paragraph" w:customStyle="1" w:styleId="264">
    <w:name w:val="列表1、"/>
    <w:basedOn w:val="127"/>
    <w:link w:val="263"/>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4"/>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9"/>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4"/>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4"/>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4"/>
    <w:qFormat/>
    <w:uiPriority w:val="0"/>
  </w:style>
  <w:style w:type="character" w:customStyle="1" w:styleId="331">
    <w:name w:val="black10"/>
    <w:basedOn w:val="64"/>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4"/>
    <w:qFormat/>
    <w:uiPriority w:val="0"/>
  </w:style>
  <w:style w:type="character" w:customStyle="1" w:styleId="336">
    <w:name w:val="ZJGIS-四级标题 Char"/>
    <w:link w:val="337"/>
    <w:qFormat/>
    <w:uiPriority w:val="0"/>
    <w:rPr>
      <w:rFonts w:ascii="Arial" w:hAnsi="Arial" w:eastAsia="仿宋_GB2312"/>
      <w:b/>
      <w:bCs/>
      <w:sz w:val="28"/>
      <w:szCs w:val="28"/>
    </w:rPr>
  </w:style>
  <w:style w:type="paragraph" w:customStyle="1" w:styleId="337">
    <w:name w:val="ZJGIS-四级标题"/>
    <w:basedOn w:val="7"/>
    <w:link w:val="336"/>
    <w:qFormat/>
    <w:uiPriority w:val="0"/>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4"/>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4"/>
    <w:qFormat/>
    <w:uiPriority w:val="0"/>
  </w:style>
  <w:style w:type="character" w:customStyle="1" w:styleId="350">
    <w:name w:val="样式 首行缩进:  2 字符 Char"/>
    <w:link w:val="351"/>
    <w:qFormat/>
    <w:uiPriority w:val="0"/>
    <w:rPr>
      <w:rFonts w:ascii="宋体" w:hAnsi="宋体"/>
      <w:bCs/>
      <w:color w:val="000000"/>
      <w:sz w:val="24"/>
      <w:szCs w:val="24"/>
    </w:rPr>
  </w:style>
  <w:style w:type="paragraph" w:customStyle="1" w:styleId="351">
    <w:name w:val="样式 首行缩进:  2 字符"/>
    <w:basedOn w:val="1"/>
    <w:link w:val="350"/>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next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4"/>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9"/>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40"/>
    <w:qFormat/>
    <w:uiPriority w:val="0"/>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0"/>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5">
    <w:name w:val="沈标题四"/>
    <w:basedOn w:val="7"/>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6"/>
    <w:qFormat/>
    <w:uiPriority w:val="0"/>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0"/>
    <w:pPr>
      <w:ind w:firstLine="480" w:firstLineChars="200"/>
    </w:pPr>
  </w:style>
  <w:style w:type="paragraph" w:customStyle="1" w:styleId="398">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0"/>
    <w:pPr>
      <w:ind w:firstLine="420" w:firstLineChars="200"/>
    </w:pPr>
  </w:style>
  <w:style w:type="paragraph" w:customStyle="1" w:styleId="401">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0"/>
    <w:pPr>
      <w:spacing w:line="288" w:lineRule="auto"/>
      <w:jc w:val="center"/>
    </w:pPr>
    <w:rPr>
      <w:rFonts w:ascii="新宋体" w:hAnsi="Times New Roman" w:eastAsia="新宋体"/>
      <w:sz w:val="24"/>
      <w:szCs w:val="24"/>
    </w:rPr>
  </w:style>
  <w:style w:type="paragraph" w:customStyle="1" w:styleId="403">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0"/>
    <w:pPr>
      <w:spacing w:line="360" w:lineRule="auto"/>
    </w:pPr>
    <w:rPr>
      <w:rFonts w:ascii="Times New Roman" w:hAnsi="Times New Roman"/>
      <w:b/>
      <w:i/>
      <w:sz w:val="24"/>
      <w:szCs w:val="24"/>
      <w:u w:val="single"/>
    </w:rPr>
  </w:style>
  <w:style w:type="paragraph" w:customStyle="1" w:styleId="40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0"/>
    <w:pPr>
      <w:spacing w:after="120"/>
    </w:pPr>
    <w:rPr>
      <w:rFonts w:ascii="Times New Roman" w:hAnsi="Times New Roman"/>
      <w:sz w:val="28"/>
      <w:szCs w:val="24"/>
    </w:rPr>
  </w:style>
  <w:style w:type="paragraph" w:customStyle="1" w:styleId="408">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0"/>
    <w:pPr>
      <w:spacing w:line="360" w:lineRule="auto"/>
      <w:jc w:val="center"/>
    </w:pPr>
    <w:rPr>
      <w:rFonts w:ascii="宋体" w:hAnsi="宋体"/>
      <w:b/>
      <w:sz w:val="24"/>
      <w:szCs w:val="24"/>
    </w:rPr>
  </w:style>
  <w:style w:type="paragraph" w:customStyle="1" w:styleId="413">
    <w:name w:val="Char"/>
    <w:basedOn w:val="1"/>
    <w:qFormat/>
    <w:uiPriority w:val="0"/>
    <w:rPr>
      <w:rFonts w:ascii="仿宋_GB2312" w:hAnsi="Times New Roman" w:eastAsia="仿宋_GB2312"/>
      <w:b/>
      <w:sz w:val="32"/>
      <w:szCs w:val="32"/>
    </w:rPr>
  </w:style>
  <w:style w:type="paragraph" w:customStyle="1" w:styleId="414">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0"/>
    <w:pPr>
      <w:adjustRightInd w:val="0"/>
      <w:snapToGrid w:val="0"/>
      <w:jc w:val="center"/>
    </w:pPr>
    <w:rPr>
      <w:rFonts w:ascii="宋体" w:hAnsi="宋体"/>
      <w:szCs w:val="21"/>
    </w:rPr>
  </w:style>
  <w:style w:type="paragraph" w:customStyle="1" w:styleId="417">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0"/>
    <w:pPr>
      <w:ind w:firstLine="480" w:firstLineChars="200"/>
    </w:pPr>
  </w:style>
  <w:style w:type="paragraph" w:customStyle="1" w:styleId="421">
    <w:name w:val="样式 正文文本缩进 + 仿宋_GB2312 小四 首行缩进:  0 厘米 行距: 1.5 倍行距"/>
    <w:basedOn w:val="3"/>
    <w:qFormat/>
    <w:uiPriority w:val="0"/>
    <w:pPr>
      <w:spacing w:line="360" w:lineRule="auto"/>
      <w:ind w:firstLine="0"/>
    </w:pPr>
    <w:rPr>
      <w:rFonts w:ascii="仿宋_GB2312" w:hAnsi="Times New Roman" w:eastAsia="新宋体"/>
      <w:spacing w:val="0"/>
      <w:sz w:val="24"/>
    </w:rPr>
  </w:style>
  <w:style w:type="paragraph" w:customStyle="1" w:styleId="422">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0"/>
    <w:pPr>
      <w:ind w:firstLine="562"/>
    </w:pPr>
    <w:rPr>
      <w:rFonts w:ascii="仿宋_GB2312" w:eastAsia="仿宋_GB2312"/>
      <w:b/>
      <w:sz w:val="28"/>
      <w:szCs w:val="28"/>
    </w:rPr>
  </w:style>
  <w:style w:type="paragraph" w:customStyle="1" w:styleId="424">
    <w:name w:val="图名"/>
    <w:basedOn w:val="20"/>
    <w:qFormat/>
    <w:uiPriority w:val="0"/>
    <w:pPr>
      <w:spacing w:beforeLines="50" w:afterLines="50"/>
      <w:jc w:val="center"/>
    </w:pPr>
    <w:rPr>
      <w:rFonts w:ascii="Times New Roman" w:hAnsi="Times New Roman"/>
      <w:kern w:val="0"/>
      <w:sz w:val="24"/>
      <w:szCs w:val="24"/>
    </w:rPr>
  </w:style>
  <w:style w:type="paragraph" w:styleId="42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20"/>
    <w:qFormat/>
    <w:uiPriority w:val="0"/>
    <w:pPr>
      <w:spacing w:beforeLines="50" w:afterLines="50"/>
      <w:jc w:val="center"/>
    </w:pPr>
    <w:rPr>
      <w:rFonts w:ascii="黑体"/>
      <w:kern w:val="0"/>
      <w:sz w:val="24"/>
      <w:szCs w:val="24"/>
    </w:rPr>
  </w:style>
  <w:style w:type="paragraph" w:customStyle="1" w:styleId="435">
    <w:name w:val="Char Char Char"/>
    <w:basedOn w:val="1"/>
    <w:qFormat/>
    <w:uiPriority w:val="0"/>
    <w:rPr>
      <w:rFonts w:ascii="Tahoma" w:hAnsi="Tahoma"/>
      <w:sz w:val="24"/>
      <w:szCs w:val="20"/>
    </w:rPr>
  </w:style>
  <w:style w:type="paragraph" w:customStyle="1" w:styleId="436">
    <w:name w:val="样式 样式 标题 4 + 段后: 0.5 行1"/>
    <w:basedOn w:val="437"/>
    <w:next w:val="37"/>
    <w:qFormat/>
    <w:uiPriority w:val="0"/>
    <w:pPr>
      <w:numPr>
        <w:ilvl w:val="1"/>
        <w:numId w:val="5"/>
      </w:numPr>
      <w:tabs>
        <w:tab w:val="left" w:pos="2040"/>
      </w:tabs>
      <w:spacing w:after="120"/>
      <w:ind w:left="0" w:firstLine="0"/>
    </w:pPr>
  </w:style>
  <w:style w:type="paragraph" w:customStyle="1" w:styleId="437">
    <w:name w:val="样式 标题 4 + 段后: 0.5 行"/>
    <w:basedOn w:val="7"/>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5"/>
    <w:next w:val="1"/>
    <w:qFormat/>
    <w:uiPriority w:val="0"/>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0"/>
    <w:pPr>
      <w:ind w:left="1890" w:leftChars="900"/>
    </w:pPr>
    <w:rPr>
      <w:rFonts w:ascii="Times New Roman" w:hAnsi="Times New Roman"/>
      <w:sz w:val="24"/>
      <w:szCs w:val="24"/>
    </w:rPr>
  </w:style>
  <w:style w:type="paragraph" w:customStyle="1" w:styleId="441">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2">
    <w:name w:val="标题2"/>
    <w:basedOn w:val="5"/>
    <w:next w:val="6"/>
    <w:qFormat/>
    <w:uiPriority w:val="0"/>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2"/>
    <w:next w:val="1"/>
    <w:qFormat/>
    <w:uiPriority w:val="0"/>
    <w:pPr>
      <w:shd w:val="clear" w:color="auto" w:fill="000080"/>
    </w:pPr>
    <w:rPr>
      <w:rFonts w:ascii="Tahoma" w:hAnsi="Tahoma" w:cs="Tahoma"/>
      <w:kern w:val="0"/>
      <w:szCs w:val="24"/>
    </w:rPr>
  </w:style>
  <w:style w:type="paragraph" w:customStyle="1" w:styleId="44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6"/>
    <w:qFormat/>
    <w:uiPriority w:val="0"/>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0"/>
    <w:pPr>
      <w:spacing w:after="120" w:line="360" w:lineRule="auto"/>
      <w:jc w:val="center"/>
    </w:pPr>
    <w:rPr>
      <w:rFonts w:ascii="Times New Roman" w:hAnsi="Times New Roman"/>
      <w:szCs w:val="21"/>
    </w:rPr>
  </w:style>
  <w:style w:type="paragraph" w:customStyle="1" w:styleId="453">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2"/>
    <w:qFormat/>
    <w:uiPriority w:val="0"/>
    <w:pPr>
      <w:spacing w:beforeLines="0" w:afterLines="0" w:line="360" w:lineRule="auto"/>
    </w:pPr>
    <w:rPr>
      <w:b/>
      <w:sz w:val="30"/>
      <w:szCs w:val="20"/>
    </w:rPr>
  </w:style>
  <w:style w:type="paragraph" w:customStyle="1" w:styleId="456">
    <w:name w:val="Normal0"/>
    <w:qFormat/>
    <w:uiPriority w:val="0"/>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0"/>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6"/>
    <w:qFormat/>
    <w:uiPriority w:val="0"/>
    <w:rPr>
      <w:rFonts w:ascii="Arial" w:hAnsi="Arial"/>
      <w:sz w:val="30"/>
    </w:rPr>
  </w:style>
  <w:style w:type="paragraph" w:customStyle="1" w:styleId="459">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0"/>
    <w:pPr>
      <w:spacing w:beforeLines="20" w:afterLines="20"/>
    </w:pPr>
    <w:rPr>
      <w:rFonts w:ascii="楷体_GB2312" w:hAnsi="宋体" w:eastAsia="楷体_GB2312" w:cs="Arial"/>
      <w:kern w:val="0"/>
      <w:sz w:val="24"/>
      <w:szCs w:val="24"/>
    </w:rPr>
  </w:style>
  <w:style w:type="paragraph" w:customStyle="1" w:styleId="4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0"/>
    <w:pPr>
      <w:ind w:firstLine="420"/>
    </w:pPr>
    <w:rPr>
      <w:rFonts w:ascii="Times New Roman" w:hAnsi="Times New Roman"/>
      <w:szCs w:val="20"/>
    </w:rPr>
  </w:style>
  <w:style w:type="paragraph" w:customStyle="1" w:styleId="470">
    <w:name w:val="pa-17"/>
    <w:basedOn w:val="1"/>
    <w:qFormat/>
    <w:uiPriority w:val="0"/>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2">
    <w:name w:val="Char9"/>
    <w:basedOn w:val="1"/>
    <w:qFormat/>
    <w:uiPriority w:val="0"/>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9"/>
    <w:qFormat/>
    <w:uiPriority w:val="0"/>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3"/>
    <w:next w:val="23"/>
    <w:qFormat/>
    <w:uiPriority w:val="99"/>
    <w:rPr>
      <w:b/>
      <w:bCs/>
      <w:kern w:val="0"/>
      <w:sz w:val="20"/>
      <w:szCs w:val="20"/>
    </w:rPr>
  </w:style>
  <w:style w:type="paragraph" w:customStyle="1" w:styleId="47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0"/>
    <w:pPr>
      <w:tabs>
        <w:tab w:val="left" w:pos="1140"/>
      </w:tabs>
      <w:spacing w:after="120"/>
    </w:pPr>
    <w:rPr>
      <w:bCs/>
    </w:rPr>
  </w:style>
  <w:style w:type="paragraph" w:customStyle="1" w:styleId="477">
    <w:name w:val="样式 标题1"/>
    <w:basedOn w:val="478"/>
    <w:next w:val="479"/>
    <w:qFormat/>
    <w:uiPriority w:val="0"/>
    <w:pPr>
      <w:tabs>
        <w:tab w:val="left" w:pos="1140"/>
      </w:tabs>
      <w:spacing w:after="50"/>
      <w:ind w:left="1140" w:hanging="720"/>
    </w:pPr>
    <w:rPr>
      <w:bCs w:val="0"/>
      <w:sz w:val="32"/>
    </w:rPr>
  </w:style>
  <w:style w:type="paragraph" w:customStyle="1" w:styleId="478">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0"/>
    <w:pPr>
      <w:spacing w:after="120"/>
    </w:pPr>
  </w:style>
  <w:style w:type="paragraph" w:customStyle="1" w:styleId="480">
    <w:name w:val="样式 标题 2"/>
    <w:basedOn w:val="5"/>
    <w:next w:val="481"/>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6"/>
    <w:next w:val="483"/>
    <w:qFormat/>
    <w:uiPriority w:val="0"/>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0"/>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0"/>
    <w:pPr>
      <w:numPr>
        <w:numId w:val="0"/>
      </w:numPr>
      <w:tabs>
        <w:tab w:val="left" w:pos="864"/>
      </w:tabs>
      <w:spacing w:after="120"/>
      <w:ind w:left="864" w:hanging="864"/>
    </w:pPr>
  </w:style>
  <w:style w:type="paragraph" w:customStyle="1" w:styleId="486">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0"/>
    <w:pPr>
      <w:spacing w:before="80" w:afterLines="50"/>
    </w:pPr>
    <w:rPr>
      <w:rFonts w:ascii="宋体" w:hAnsi="Times New Roman"/>
      <w:snapToGrid w:val="0"/>
      <w:kern w:val="0"/>
      <w:szCs w:val="20"/>
    </w:rPr>
  </w:style>
  <w:style w:type="paragraph" w:customStyle="1" w:styleId="491">
    <w:name w:val="4"/>
    <w:basedOn w:val="1"/>
    <w:qFormat/>
    <w:uiPriority w:val="0"/>
  </w:style>
  <w:style w:type="paragraph" w:customStyle="1" w:styleId="492">
    <w:name w:val="ZJGIS-一级标题"/>
    <w:basedOn w:val="4"/>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0"/>
    <w:pPr>
      <w:tabs>
        <w:tab w:val="left" w:pos="432"/>
      </w:tabs>
      <w:ind w:left="432" w:hanging="432"/>
    </w:pPr>
    <w:rPr>
      <w:rFonts w:ascii="Times New Roman" w:hAnsi="Times New Roman"/>
      <w:sz w:val="24"/>
      <w:szCs w:val="24"/>
    </w:rPr>
  </w:style>
  <w:style w:type="paragraph" w:customStyle="1" w:styleId="50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0"/>
    <w:pPr>
      <w:widowControl/>
      <w:spacing w:before="360" w:after="360"/>
      <w:jc w:val="center"/>
    </w:pPr>
    <w:rPr>
      <w:rFonts w:ascii="宋体" w:hAnsi="宋体" w:cs="宋体"/>
      <w:kern w:val="0"/>
      <w:sz w:val="24"/>
      <w:szCs w:val="24"/>
    </w:rPr>
  </w:style>
  <w:style w:type="paragraph" w:customStyle="1" w:styleId="507">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4">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0"/>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0"/>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0"/>
    <w:rPr>
      <w:rFonts w:ascii="仿宋_GB2312" w:hAnsi="Times New Roman" w:eastAsia="仿宋_GB2312"/>
      <w:b/>
      <w:sz w:val="32"/>
      <w:szCs w:val="32"/>
    </w:rPr>
  </w:style>
  <w:style w:type="paragraph" w:customStyle="1" w:styleId="52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8"/>
    <w:qFormat/>
    <w:uiPriority w:val="0"/>
    <w:pPr>
      <w:spacing w:after="60"/>
      <w:ind w:left="420" w:firstLine="200" w:firstLineChars="200"/>
    </w:pPr>
    <w:rPr>
      <w:rFonts w:ascii="Times New Roman" w:hAnsi="Times New Roman"/>
      <w:szCs w:val="24"/>
    </w:rPr>
  </w:style>
  <w:style w:type="paragraph" w:customStyle="1" w:styleId="522">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0"/>
    <w:pPr>
      <w:numPr>
        <w:ilvl w:val="0"/>
        <w:numId w:val="14"/>
      </w:numPr>
      <w:spacing w:line="400" w:lineRule="exact"/>
    </w:pPr>
    <w:rPr>
      <w:rFonts w:ascii="Arial" w:hAnsi="Arial"/>
      <w:szCs w:val="24"/>
    </w:rPr>
  </w:style>
  <w:style w:type="paragraph" w:customStyle="1" w:styleId="524">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0"/>
    <w:pPr>
      <w:spacing w:after="120"/>
    </w:pPr>
  </w:style>
  <w:style w:type="paragraph" w:customStyle="1" w:styleId="527">
    <w:name w:val="标题 3Chapter X.X.X. + 段后: 0.5 行 + 段后: 0.5 行 + 段后: 0.5 行1"/>
    <w:basedOn w:val="528"/>
    <w:qFormat/>
    <w:uiPriority w:val="0"/>
  </w:style>
  <w:style w:type="paragraph" w:customStyle="1" w:styleId="528">
    <w:name w:val="样式 样式 标题 3Chapter X.X.X. + 段后: 0.5 行 + 段后: 0.5 行"/>
    <w:basedOn w:val="529"/>
    <w:qFormat/>
    <w:uiPriority w:val="0"/>
  </w:style>
  <w:style w:type="paragraph" w:customStyle="1" w:styleId="529">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0"/>
    <w:pPr>
      <w:tabs>
        <w:tab w:val="left" w:pos="720"/>
      </w:tabs>
      <w:ind w:hanging="720"/>
    </w:pPr>
  </w:style>
  <w:style w:type="paragraph" w:customStyle="1" w:styleId="536">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7">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6"/>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0"/>
    <w:pPr>
      <w:tabs>
        <w:tab w:val="left" w:pos="432"/>
      </w:tabs>
      <w:ind w:left="432" w:hanging="432"/>
    </w:pPr>
    <w:rPr>
      <w:rFonts w:ascii="Tahoma" w:hAnsi="Tahoma"/>
      <w:sz w:val="24"/>
      <w:szCs w:val="20"/>
    </w:rPr>
  </w:style>
  <w:style w:type="paragraph" w:customStyle="1" w:styleId="543">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0"/>
    <w:pPr>
      <w:spacing w:line="0" w:lineRule="atLeast"/>
    </w:pPr>
    <w:rPr>
      <w:rFonts w:ascii="Times New Roman" w:hAnsi="Times New Roman" w:eastAsia="仿宋_GB2312"/>
      <w:sz w:val="22"/>
      <w:szCs w:val="24"/>
    </w:rPr>
  </w:style>
  <w:style w:type="paragraph" w:customStyle="1" w:styleId="548">
    <w:name w:val="Char3"/>
    <w:basedOn w:val="1"/>
    <w:qFormat/>
    <w:uiPriority w:val="0"/>
    <w:rPr>
      <w:rFonts w:ascii="仿宋_GB2312" w:hAnsi="Times New Roman" w:eastAsia="仿宋_GB2312"/>
      <w:b/>
      <w:sz w:val="32"/>
      <w:szCs w:val="20"/>
    </w:rPr>
  </w:style>
  <w:style w:type="paragraph" w:customStyle="1" w:styleId="549">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0"/>
    <w:pPr>
      <w:tabs>
        <w:tab w:val="left" w:pos="360"/>
      </w:tabs>
      <w:ind w:firstLine="420" w:firstLineChars="150"/>
    </w:pPr>
    <w:rPr>
      <w:rFonts w:ascii="Times New Roman" w:hAnsi="Times New Roman"/>
      <w:szCs w:val="20"/>
    </w:rPr>
  </w:style>
  <w:style w:type="paragraph" w:customStyle="1" w:styleId="552">
    <w:name w:val="Bullet 2"/>
    <w:basedOn w:val="26"/>
    <w:qFormat/>
    <w:uiPriority w:val="0"/>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0"/>
    <w:pPr>
      <w:keepNext/>
      <w:widowControl/>
      <w:spacing w:before="80" w:after="80"/>
      <w:jc w:val="center"/>
    </w:pPr>
    <w:rPr>
      <w:rFonts w:ascii="Times New Roman" w:hAnsi="Times New Roman"/>
      <w:szCs w:val="20"/>
    </w:rPr>
  </w:style>
  <w:style w:type="paragraph" w:customStyle="1" w:styleId="557">
    <w:name w:val="Char Char1 Char111"/>
    <w:basedOn w:val="1"/>
    <w:qFormat/>
    <w:uiPriority w:val="0"/>
    <w:rPr>
      <w:rFonts w:ascii="仿宋_GB2312" w:hAnsi="Times New Roman" w:eastAsia="仿宋_GB2312"/>
      <w:b/>
      <w:sz w:val="32"/>
      <w:szCs w:val="32"/>
    </w:rPr>
  </w:style>
  <w:style w:type="paragraph" w:customStyle="1" w:styleId="558">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0"/>
    <w:rPr>
      <w:rFonts w:ascii="Tahoma" w:hAnsi="Tahoma"/>
      <w:sz w:val="24"/>
      <w:szCs w:val="20"/>
    </w:rPr>
  </w:style>
  <w:style w:type="paragraph" w:customStyle="1" w:styleId="560">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1">
    <w:name w:val="样式2"/>
    <w:basedOn w:val="5"/>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0"/>
  </w:style>
  <w:style w:type="paragraph" w:customStyle="1" w:styleId="565">
    <w:name w:val="标准有序列表（L1）"/>
    <w:basedOn w:val="19"/>
    <w:qFormat/>
    <w:uiPriority w:val="0"/>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7">
    <w:name w:val="_Style 11811"/>
    <w:basedOn w:val="1"/>
    <w:qFormat/>
    <w:uiPriority w:val="0"/>
  </w:style>
  <w:style w:type="paragraph" w:customStyle="1" w:styleId="568">
    <w:name w:val="Char Char Char Char Char Char Char Char"/>
    <w:basedOn w:val="1"/>
    <w:qFormat/>
    <w:uiPriority w:val="0"/>
    <w:pPr>
      <w:tabs>
        <w:tab w:val="left" w:pos="360"/>
      </w:tabs>
    </w:pPr>
    <w:rPr>
      <w:rFonts w:ascii="Times New Roman" w:hAnsi="Times New Roman"/>
      <w:sz w:val="24"/>
      <w:szCs w:val="24"/>
    </w:rPr>
  </w:style>
  <w:style w:type="paragraph" w:customStyle="1" w:styleId="569">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0"/>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0"/>
    <w:pPr>
      <w:ind w:firstLine="420" w:firstLineChars="200"/>
    </w:pPr>
    <w:rPr>
      <w:szCs w:val="24"/>
    </w:rPr>
  </w:style>
  <w:style w:type="paragraph" w:customStyle="1" w:styleId="577">
    <w:name w:val="样式 标题 2 + 五号"/>
    <w:basedOn w:val="5"/>
    <w:qFormat/>
    <w:uiPriority w:val="0"/>
    <w:pPr>
      <w:spacing w:before="0" w:after="0" w:line="240" w:lineRule="auto"/>
    </w:pPr>
    <w:rPr>
      <w:rFonts w:ascii="宋体" w:hAnsi="宋体" w:eastAsia="宋体"/>
      <w:sz w:val="21"/>
    </w:rPr>
  </w:style>
  <w:style w:type="paragraph" w:customStyle="1" w:styleId="57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9"/>
    <w:qFormat/>
    <w:uiPriority w:val="0"/>
    <w:pPr>
      <w:spacing w:line="360" w:lineRule="auto"/>
    </w:pPr>
    <w:rPr>
      <w:sz w:val="24"/>
      <w:szCs w:val="24"/>
    </w:rPr>
  </w:style>
  <w:style w:type="paragraph" w:customStyle="1" w:styleId="580">
    <w:name w:val="Style-正文"/>
    <w:basedOn w:val="1"/>
    <w:qFormat/>
    <w:uiPriority w:val="0"/>
    <w:pPr>
      <w:spacing w:line="360" w:lineRule="auto"/>
      <w:ind w:firstLine="420"/>
    </w:pPr>
    <w:rPr>
      <w:rFonts w:ascii="宋体" w:hAnsi="宋体"/>
      <w:sz w:val="24"/>
      <w:szCs w:val="24"/>
    </w:rPr>
  </w:style>
  <w:style w:type="paragraph" w:customStyle="1" w:styleId="581">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4"/>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0"/>
    <w:rPr>
      <w:rFonts w:ascii="Times New Roman" w:hAnsi="Times New Roman"/>
      <w:szCs w:val="24"/>
    </w:rPr>
  </w:style>
  <w:style w:type="paragraph" w:customStyle="1" w:styleId="584">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0"/>
    <w:rPr>
      <w:rFonts w:ascii="宋体" w:hAnsi="Courier New"/>
      <w:szCs w:val="20"/>
    </w:rPr>
  </w:style>
  <w:style w:type="paragraph" w:customStyle="1" w:styleId="587">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0"/>
    <w:rPr>
      <w:rFonts w:ascii="Tahoma" w:hAnsi="Tahoma"/>
      <w:sz w:val="24"/>
      <w:szCs w:val="20"/>
    </w:rPr>
  </w:style>
  <w:style w:type="paragraph" w:customStyle="1" w:styleId="591">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0"/>
    <w:pPr>
      <w:spacing w:after="120"/>
    </w:pPr>
  </w:style>
  <w:style w:type="paragraph" w:customStyle="1" w:styleId="593">
    <w:name w:val="样式 标题 2 + 宋体 小四 段前: 0 磅 段后: 0 磅 行距: 1.5 倍行距"/>
    <w:basedOn w:val="5"/>
    <w:qFormat/>
    <w:uiPriority w:val="0"/>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5">
    <w:name w:val="二级标题"/>
    <w:basedOn w:val="5"/>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0"/>
    <w:rPr>
      <w:rFonts w:ascii="宋体"/>
      <w:kern w:val="0"/>
      <w:sz w:val="18"/>
      <w:szCs w:val="18"/>
    </w:rPr>
  </w:style>
  <w:style w:type="paragraph" w:customStyle="1" w:styleId="597">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0"/>
    <w:pPr>
      <w:tabs>
        <w:tab w:val="left" w:pos="432"/>
      </w:tabs>
      <w:ind w:left="432" w:hanging="432"/>
    </w:pPr>
    <w:rPr>
      <w:rFonts w:ascii="Tahoma" w:hAnsi="Tahoma"/>
      <w:sz w:val="24"/>
      <w:szCs w:val="20"/>
    </w:rPr>
  </w:style>
  <w:style w:type="paragraph" w:customStyle="1" w:styleId="599">
    <w:name w:val="正文文本 New New"/>
    <w:basedOn w:val="525"/>
    <w:qFormat/>
    <w:uiPriority w:val="0"/>
    <w:pPr>
      <w:spacing w:after="120"/>
    </w:pPr>
    <w:rPr>
      <w:sz w:val="28"/>
      <w:szCs w:val="24"/>
    </w:rPr>
  </w:style>
  <w:style w:type="paragraph" w:customStyle="1" w:styleId="6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0"/>
    <w:rPr>
      <w:rFonts w:ascii="宋体" w:hAnsi="宋体" w:eastAsia="宋体" w:cs="Times New Roman"/>
      <w:kern w:val="0"/>
      <w:sz w:val="24"/>
      <w:szCs w:val="20"/>
      <w:lang w:val="zh-CN" w:eastAsia="zh-CN" w:bidi="ar-SA"/>
    </w:rPr>
  </w:style>
  <w:style w:type="paragraph" w:customStyle="1" w:styleId="604">
    <w:name w:val="SZF表"/>
    <w:basedOn w:val="605"/>
    <w:qFormat/>
    <w:uiPriority w:val="0"/>
    <w:rPr>
      <w:rFonts w:ascii="宋体" w:hAnsi="宋体"/>
      <w:bCs/>
      <w:szCs w:val="21"/>
    </w:rPr>
  </w:style>
  <w:style w:type="paragraph" w:customStyle="1" w:styleId="605">
    <w:name w:val="SZF图"/>
    <w:basedOn w:val="1"/>
    <w:qFormat/>
    <w:uiPriority w:val="0"/>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0"/>
    <w:rPr>
      <w:rFonts w:ascii="Tahoma" w:hAnsi="Tahoma"/>
      <w:sz w:val="24"/>
      <w:szCs w:val="20"/>
    </w:rPr>
  </w:style>
  <w:style w:type="paragraph" w:customStyle="1" w:styleId="609">
    <w:name w:val="文档结构图2"/>
    <w:basedOn w:val="1"/>
    <w:qFormat/>
    <w:uiPriority w:val="0"/>
    <w:rPr>
      <w:rFonts w:ascii="宋体"/>
      <w:kern w:val="0"/>
      <w:sz w:val="18"/>
      <w:szCs w:val="18"/>
    </w:rPr>
  </w:style>
  <w:style w:type="paragraph" w:customStyle="1" w:styleId="610">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0"/>
    <w:pPr>
      <w:ind w:firstLine="480" w:firstLineChars="200"/>
    </w:pPr>
  </w:style>
  <w:style w:type="paragraph" w:customStyle="1" w:styleId="612">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0"/>
    <w:rPr>
      <w:sz w:val="18"/>
    </w:rPr>
  </w:style>
  <w:style w:type="paragraph" w:customStyle="1" w:styleId="614">
    <w:name w:val="IBM 正文"/>
    <w:basedOn w:val="1"/>
    <w:qFormat/>
    <w:uiPriority w:val="0"/>
    <w:pPr>
      <w:spacing w:line="360" w:lineRule="atLeast"/>
    </w:pPr>
    <w:rPr>
      <w:rFonts w:ascii="Times New Roman" w:hAnsi="Times New Roman"/>
      <w:sz w:val="24"/>
      <w:szCs w:val="20"/>
    </w:rPr>
  </w:style>
  <w:style w:type="paragraph" w:customStyle="1" w:styleId="615">
    <w:name w:val="Char Char1 Char1"/>
    <w:basedOn w:val="1"/>
    <w:qFormat/>
    <w:uiPriority w:val="0"/>
    <w:rPr>
      <w:rFonts w:ascii="仿宋_GB2312" w:hAnsi="Times New Roman" w:eastAsia="仿宋_GB2312"/>
      <w:b/>
      <w:sz w:val="32"/>
      <w:szCs w:val="32"/>
    </w:rPr>
  </w:style>
  <w:style w:type="paragraph" w:customStyle="1" w:styleId="61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8">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20">
    <w:name w:val="Tabletext"/>
    <w:basedOn w:val="1"/>
    <w:qFormat/>
    <w:uiPriority w:val="0"/>
    <w:pPr>
      <w:keepLines/>
      <w:spacing w:afterLines="50"/>
      <w:jc w:val="left"/>
    </w:pPr>
    <w:rPr>
      <w:rFonts w:ascii="宋体" w:hAnsi="Times New Roman"/>
      <w:snapToGrid w:val="0"/>
      <w:kern w:val="0"/>
      <w:szCs w:val="20"/>
    </w:rPr>
  </w:style>
  <w:style w:type="paragraph" w:customStyle="1" w:styleId="621">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6"/>
    <w:qFormat/>
    <w:uiPriority w:val="0"/>
    <w:pPr>
      <w:tabs>
        <w:tab w:val="left" w:pos="1050"/>
      </w:tabs>
      <w:spacing w:line="240" w:lineRule="auto"/>
      <w:ind w:left="-258" w:leftChars="-258"/>
    </w:pPr>
    <w:rPr>
      <w:rFonts w:eastAsia="仿宋_GB2312"/>
      <w:sz w:val="28"/>
    </w:rPr>
  </w:style>
  <w:style w:type="paragraph" w:customStyle="1" w:styleId="623">
    <w:name w:val="大表 mt"/>
    <w:basedOn w:val="1"/>
    <w:qFormat/>
    <w:uiPriority w:val="0"/>
    <w:pPr>
      <w:widowControl/>
      <w:jc w:val="left"/>
    </w:pPr>
    <w:rPr>
      <w:rFonts w:ascii="宋体" w:hAnsi="宋体" w:cs="宋体"/>
      <w:kern w:val="0"/>
      <w:szCs w:val="21"/>
    </w:rPr>
  </w:style>
  <w:style w:type="paragraph" w:customStyle="1" w:styleId="624">
    <w:name w:val="Char Char Char111"/>
    <w:basedOn w:val="1"/>
    <w:qFormat/>
    <w:uiPriority w:val="0"/>
  </w:style>
  <w:style w:type="paragraph" w:customStyle="1" w:styleId="625">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0"/>
    <w:pPr>
      <w:spacing w:line="360" w:lineRule="auto"/>
      <w:ind w:firstLine="0"/>
    </w:pPr>
    <w:rPr>
      <w:rFonts w:ascii="宋体" w:hAnsi="宋体" w:cs="宋体"/>
      <w:kern w:val="0"/>
    </w:rPr>
  </w:style>
  <w:style w:type="paragraph" w:customStyle="1" w:styleId="632">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0"/>
    <w:pPr>
      <w:numPr>
        <w:numId w:val="0"/>
      </w:numPr>
      <w:tabs>
        <w:tab w:val="left" w:pos="864"/>
      </w:tabs>
      <w:ind w:left="425" w:hanging="425"/>
    </w:pPr>
    <w:rPr>
      <w:szCs w:val="21"/>
    </w:rPr>
  </w:style>
  <w:style w:type="paragraph" w:customStyle="1" w:styleId="644">
    <w:name w:val="样式 标题 4Chapter X.X.X. + 段后: 0.5 行1"/>
    <w:basedOn w:val="7"/>
    <w:next w:val="7"/>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8"/>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4"/>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0"/>
    <w:rPr>
      <w:rFonts w:ascii="仿宋_GB2312" w:hAnsi="Times New Roman" w:eastAsia="仿宋_GB2312"/>
      <w:b/>
      <w:sz w:val="32"/>
      <w:szCs w:val="32"/>
    </w:rPr>
  </w:style>
  <w:style w:type="paragraph" w:customStyle="1" w:styleId="651">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0"/>
    <w:pPr>
      <w:ind w:firstLine="420" w:firstLineChars="200"/>
    </w:pPr>
  </w:style>
  <w:style w:type="paragraph" w:customStyle="1" w:styleId="6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6"/>
    <w:qFormat/>
    <w:uiPriority w:val="0"/>
    <w:pPr>
      <w:suppressLineNumbers/>
      <w:suppressAutoHyphens/>
    </w:pPr>
    <w:rPr>
      <w:kern w:val="1"/>
      <w:sz w:val="21"/>
      <w:lang w:eastAsia="ar-SA"/>
    </w:rPr>
  </w:style>
  <w:style w:type="paragraph" w:customStyle="1" w:styleId="662">
    <w:name w:val="样式　标题4"/>
    <w:basedOn w:val="644"/>
    <w:next w:val="1"/>
    <w:qFormat/>
    <w:uiPriority w:val="0"/>
    <w:pPr>
      <w:numPr>
        <w:ilvl w:val="0"/>
        <w:numId w:val="0"/>
      </w:numPr>
      <w:ind w:left="425" w:hanging="425"/>
    </w:pPr>
  </w:style>
  <w:style w:type="paragraph" w:customStyle="1" w:styleId="663">
    <w:name w:val="Char2 Char Char Char"/>
    <w:basedOn w:val="1"/>
    <w:qFormat/>
    <w:uiPriority w:val="0"/>
    <w:rPr>
      <w:rFonts w:ascii="仿宋_GB2312" w:hAnsi="Times New Roman" w:eastAsia="仿宋_GB2312"/>
      <w:b/>
      <w:sz w:val="32"/>
      <w:szCs w:val="32"/>
    </w:rPr>
  </w:style>
  <w:style w:type="paragraph" w:customStyle="1" w:styleId="664">
    <w:name w:val="Paragraph4"/>
    <w:basedOn w:val="1"/>
    <w:qFormat/>
    <w:uiPriority w:val="0"/>
    <w:pPr>
      <w:spacing w:before="80" w:afterLines="50"/>
      <w:ind w:left="2250"/>
    </w:pPr>
    <w:rPr>
      <w:rFonts w:ascii="宋体" w:hAnsi="Times New Roman"/>
      <w:snapToGrid w:val="0"/>
      <w:kern w:val="0"/>
      <w:szCs w:val="20"/>
    </w:rPr>
  </w:style>
  <w:style w:type="paragraph" w:customStyle="1" w:styleId="665">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6"/>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0"/>
    <w:rPr>
      <w:rFonts w:ascii="Tahoma" w:hAnsi="Tahoma"/>
      <w:sz w:val="24"/>
      <w:szCs w:val="20"/>
    </w:rPr>
  </w:style>
  <w:style w:type="paragraph" w:customStyle="1" w:styleId="677">
    <w:name w:val="样式1"/>
    <w:basedOn w:val="1"/>
    <w:qFormat/>
    <w:uiPriority w:val="0"/>
    <w:pPr>
      <w:pBdr>
        <w:bottom w:val="single" w:color="auto" w:sz="4" w:space="1"/>
      </w:pBdr>
    </w:pPr>
    <w:rPr>
      <w:rFonts w:ascii="Times New Roman" w:hAnsi="Times New Roman"/>
      <w:szCs w:val="24"/>
    </w:rPr>
  </w:style>
  <w:style w:type="paragraph" w:customStyle="1" w:styleId="67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0"/>
    <w:rPr>
      <w:rFonts w:ascii="仿宋_GB2312" w:hAnsi="Times New Roman" w:eastAsia="仿宋_GB2312"/>
      <w:b/>
      <w:sz w:val="32"/>
      <w:szCs w:val="32"/>
    </w:rPr>
  </w:style>
  <w:style w:type="paragraph" w:customStyle="1" w:styleId="680">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2">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0"/>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0"/>
    <w:pPr>
      <w:spacing w:after="120"/>
      <w:ind w:left="420" w:leftChars="200"/>
    </w:pPr>
    <w:rPr>
      <w:rFonts w:cs="黑体"/>
    </w:rPr>
  </w:style>
  <w:style w:type="paragraph" w:customStyle="1" w:styleId="6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0"/>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0"/>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2"/>
    <w:qFormat/>
    <w:uiPriority w:val="0"/>
    <w:pPr>
      <w:spacing w:beforeLines="0" w:afterLines="0" w:line="360" w:lineRule="auto"/>
      <w:jc w:val="left"/>
    </w:pPr>
    <w:rPr>
      <w:rFonts w:eastAsia="仿宋_GB2312" w:cs="Arial"/>
      <w:sz w:val="28"/>
      <w:szCs w:val="20"/>
    </w:rPr>
  </w:style>
  <w:style w:type="paragraph" w:customStyle="1" w:styleId="69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0"/>
    <w:pPr>
      <w:widowControl/>
      <w:ind w:left="75"/>
      <w:jc w:val="left"/>
    </w:pPr>
    <w:rPr>
      <w:rFonts w:ascii="Arial" w:hAnsi="Arial" w:cs="Arial"/>
      <w:b/>
      <w:bCs/>
      <w:kern w:val="0"/>
      <w:sz w:val="20"/>
      <w:szCs w:val="20"/>
    </w:rPr>
  </w:style>
  <w:style w:type="paragraph" w:customStyle="1" w:styleId="704">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0"/>
    <w:pPr>
      <w:tabs>
        <w:tab w:val="left" w:pos="432"/>
      </w:tabs>
      <w:ind w:left="432" w:hanging="432"/>
    </w:pPr>
    <w:rPr>
      <w:rFonts w:ascii="Times New Roman" w:hAnsi="Times New Roman"/>
      <w:sz w:val="24"/>
      <w:szCs w:val="24"/>
    </w:rPr>
  </w:style>
  <w:style w:type="paragraph" w:customStyle="1" w:styleId="706">
    <w:name w:val="二级."/>
    <w:basedOn w:val="5"/>
    <w:qFormat/>
    <w:uiPriority w:val="0"/>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0"/>
    <w:pPr>
      <w:spacing w:line="360" w:lineRule="auto"/>
      <w:ind w:firstLine="480" w:firstLineChars="200"/>
    </w:pPr>
    <w:rPr>
      <w:rFonts w:ascii="Arial" w:hAnsi="Arial"/>
      <w:sz w:val="24"/>
      <w:szCs w:val="21"/>
    </w:rPr>
  </w:style>
  <w:style w:type="paragraph" w:customStyle="1" w:styleId="708">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0"/>
    <w:rPr>
      <w:rFonts w:ascii="仿宋_GB2312" w:hAnsi="Times New Roman" w:eastAsia="仿宋_GB2312"/>
      <w:b/>
      <w:sz w:val="32"/>
      <w:szCs w:val="32"/>
    </w:rPr>
  </w:style>
  <w:style w:type="paragraph" w:customStyle="1" w:styleId="7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0"/>
    <w:pPr>
      <w:ind w:firstLine="420" w:firstLineChars="200"/>
    </w:pPr>
  </w:style>
  <w:style w:type="paragraph" w:customStyle="1" w:styleId="712">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0"/>
    <w:rPr>
      <w:rFonts w:ascii="Times New Roman" w:hAnsi="Times New Roman" w:eastAsia="仿宋_GB2312" w:cs="宋体"/>
      <w:szCs w:val="20"/>
    </w:rPr>
  </w:style>
  <w:style w:type="paragraph" w:customStyle="1" w:styleId="721">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8"/>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8"/>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0"/>
    <w:pPr>
      <w:spacing w:line="360" w:lineRule="auto"/>
    </w:pPr>
    <w:rPr>
      <w:rFonts w:ascii="Times New Roman" w:hAnsi="Times New Roman"/>
      <w:b/>
      <w:bCs/>
      <w:sz w:val="24"/>
      <w:szCs w:val="24"/>
    </w:rPr>
  </w:style>
  <w:style w:type="paragraph" w:customStyle="1" w:styleId="730">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0"/>
    <w:rPr>
      <w:rFonts w:ascii="Tahoma" w:hAnsi="Tahoma"/>
      <w:sz w:val="24"/>
      <w:szCs w:val="20"/>
    </w:rPr>
  </w:style>
  <w:style w:type="paragraph" w:customStyle="1" w:styleId="734">
    <w:name w:val="列表（编号二级）（绿盟科技）"/>
    <w:basedOn w:val="657"/>
    <w:qFormat/>
    <w:uiPriority w:val="0"/>
    <w:pPr>
      <w:numPr>
        <w:ilvl w:val="1"/>
      </w:numPr>
      <w:spacing w:beforeLines="0"/>
      <w:ind w:left="1260"/>
    </w:pPr>
  </w:style>
  <w:style w:type="paragraph" w:customStyle="1" w:styleId="735">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0"/>
    <w:pPr>
      <w:spacing w:before="80" w:afterLines="50"/>
      <w:ind w:left="1530"/>
    </w:pPr>
    <w:rPr>
      <w:rFonts w:ascii="宋体" w:hAnsi="Times New Roman"/>
      <w:snapToGrid w:val="0"/>
      <w:kern w:val="0"/>
      <w:szCs w:val="20"/>
    </w:rPr>
  </w:style>
  <w:style w:type="paragraph" w:customStyle="1" w:styleId="738">
    <w:name w:val="正文样式"/>
    <w:basedOn w:val="1"/>
    <w:qFormat/>
    <w:uiPriority w:val="0"/>
    <w:pPr>
      <w:spacing w:line="360" w:lineRule="auto"/>
      <w:ind w:firstLine="200" w:firstLineChars="200"/>
    </w:pPr>
    <w:rPr>
      <w:rFonts w:ascii="宋体" w:hAnsi="Times New Roman"/>
      <w:sz w:val="24"/>
      <w:szCs w:val="24"/>
    </w:rPr>
  </w:style>
  <w:style w:type="paragraph" w:customStyle="1" w:styleId="73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5"/>
    <w:qFormat/>
    <w:uiPriority w:val="0"/>
    <w:pPr>
      <w:spacing w:after="0" w:line="415" w:lineRule="auto"/>
    </w:pPr>
    <w:rPr>
      <w:sz w:val="28"/>
      <w:szCs w:val="20"/>
    </w:rPr>
  </w:style>
  <w:style w:type="paragraph" w:customStyle="1" w:styleId="741">
    <w:name w:val="表格标题"/>
    <w:basedOn w:val="661"/>
    <w:qFormat/>
    <w:uiPriority w:val="0"/>
    <w:pPr>
      <w:numPr>
        <w:ilvl w:val="0"/>
        <w:numId w:val="26"/>
      </w:numPr>
      <w:tabs>
        <w:tab w:val="clear" w:pos="360"/>
      </w:tabs>
      <w:ind w:left="0" w:firstLine="0"/>
      <w:jc w:val="center"/>
    </w:pPr>
    <w:rPr>
      <w:b/>
      <w:bCs/>
      <w:i/>
      <w:iCs/>
    </w:rPr>
  </w:style>
  <w:style w:type="paragraph" w:customStyle="1" w:styleId="742">
    <w:name w:val="_Style 1181"/>
    <w:basedOn w:val="1"/>
    <w:qFormat/>
    <w:uiPriority w:val="0"/>
  </w:style>
  <w:style w:type="paragraph" w:customStyle="1" w:styleId="743">
    <w:name w:val="Char2"/>
    <w:basedOn w:val="1"/>
    <w:qFormat/>
    <w:uiPriority w:val="0"/>
    <w:rPr>
      <w:rFonts w:ascii="仿宋_GB2312" w:hAnsi="Times New Roman" w:eastAsia="仿宋_GB2312"/>
      <w:b/>
      <w:sz w:val="32"/>
      <w:szCs w:val="20"/>
    </w:rPr>
  </w:style>
  <w:style w:type="paragraph" w:customStyle="1" w:styleId="744">
    <w:name w:val="ZJGIS-三级标题"/>
    <w:basedOn w:val="6"/>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0"/>
    <w:rPr>
      <w:rFonts w:ascii="Tahoma" w:hAnsi="Tahoma"/>
      <w:sz w:val="24"/>
      <w:szCs w:val="20"/>
    </w:rPr>
  </w:style>
  <w:style w:type="paragraph" w:customStyle="1" w:styleId="74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0"/>
    <w:pPr>
      <w:widowControl/>
      <w:spacing w:before="150" w:after="150"/>
      <w:jc w:val="left"/>
    </w:pPr>
    <w:rPr>
      <w:rFonts w:ascii="宋体" w:hAnsi="宋体" w:cs="宋体"/>
      <w:kern w:val="0"/>
      <w:sz w:val="24"/>
      <w:szCs w:val="24"/>
    </w:rPr>
  </w:style>
  <w:style w:type="paragraph" w:customStyle="1" w:styleId="754">
    <w:name w:val="表格_内容"/>
    <w:basedOn w:val="1"/>
    <w:qFormat/>
    <w:uiPriority w:val="0"/>
    <w:rPr>
      <w:rFonts w:ascii="宋体" w:hAnsi="宋体"/>
      <w:szCs w:val="21"/>
    </w:rPr>
  </w:style>
  <w:style w:type="paragraph" w:customStyle="1" w:styleId="755">
    <w:name w:val="MM Title"/>
    <w:basedOn w:val="56"/>
    <w:qFormat/>
    <w:uiPriority w:val="0"/>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7">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1">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9"/>
    <w:qFormat/>
    <w:uiPriority w:val="0"/>
    <w:pPr>
      <w:numPr>
        <w:ilvl w:val="4"/>
        <w:numId w:val="29"/>
      </w:numPr>
    </w:pPr>
    <w:rPr>
      <w:rFonts w:eastAsia="黑体"/>
      <w:kern w:val="0"/>
      <w:sz w:val="24"/>
      <w:szCs w:val="20"/>
    </w:rPr>
  </w:style>
  <w:style w:type="paragraph" w:customStyle="1" w:styleId="764">
    <w:name w:val="Body"/>
    <w:basedOn w:val="1"/>
    <w:qFormat/>
    <w:uiPriority w:val="0"/>
    <w:pPr>
      <w:widowControl/>
      <w:spacing w:before="120" w:afterLines="50"/>
    </w:pPr>
    <w:rPr>
      <w:rFonts w:ascii="宋体" w:hAnsi="Times New Roman"/>
      <w:snapToGrid w:val="0"/>
      <w:kern w:val="0"/>
      <w:szCs w:val="20"/>
    </w:rPr>
  </w:style>
  <w:style w:type="paragraph" w:customStyle="1" w:styleId="765">
    <w:name w:val="标准标题2"/>
    <w:basedOn w:val="5"/>
    <w:qFormat/>
    <w:uiPriority w:val="0"/>
    <w:pPr>
      <w:spacing w:line="360" w:lineRule="auto"/>
    </w:pPr>
    <w:rPr>
      <w:rFonts w:eastAsia="仿宋_GB2312"/>
      <w:bCs w:val="0"/>
      <w:sz w:val="28"/>
    </w:rPr>
  </w:style>
  <w:style w:type="paragraph" w:customStyle="1" w:styleId="766">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6"/>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0"/>
    <w:rPr>
      <w:rFonts w:ascii="Times New Roman" w:hAnsi="Times New Roman"/>
      <w:szCs w:val="20"/>
    </w:rPr>
  </w:style>
  <w:style w:type="paragraph" w:customStyle="1" w:styleId="777">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0"/>
    <w:pPr>
      <w:tabs>
        <w:tab w:val="left" w:pos="432"/>
      </w:tabs>
      <w:ind w:left="432" w:hanging="432"/>
    </w:pPr>
    <w:rPr>
      <w:rFonts w:ascii="Tahoma" w:hAnsi="Tahoma"/>
      <w:sz w:val="24"/>
      <w:szCs w:val="20"/>
    </w:rPr>
  </w:style>
  <w:style w:type="paragraph" w:customStyle="1" w:styleId="780">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1">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0"/>
    <w:pPr>
      <w:tabs>
        <w:tab w:val="left" w:pos="1200"/>
      </w:tabs>
      <w:ind w:left="1200" w:hanging="360"/>
    </w:pPr>
  </w:style>
  <w:style w:type="paragraph" w:customStyle="1" w:styleId="785">
    <w:name w:val="封面2级标题"/>
    <w:basedOn w:val="1"/>
    <w:next w:val="281"/>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5"/>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0"/>
    <w:pPr>
      <w:widowControl/>
      <w:spacing w:before="150" w:after="150"/>
      <w:jc w:val="left"/>
    </w:pPr>
    <w:rPr>
      <w:rFonts w:ascii="宋体" w:hAnsi="宋体" w:cs="宋体"/>
      <w:kern w:val="0"/>
      <w:sz w:val="24"/>
      <w:szCs w:val="24"/>
    </w:rPr>
  </w:style>
  <w:style w:type="paragraph" w:customStyle="1" w:styleId="790">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0"/>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7"/>
    <w:qFormat/>
    <w:uiPriority w:val="0"/>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0"/>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0"/>
    <w:pPr>
      <w:spacing w:line="360" w:lineRule="auto"/>
      <w:ind w:firstLine="0"/>
    </w:pPr>
    <w:rPr>
      <w:rFonts w:ascii="宋体" w:hAnsi="宋体" w:cs="宋体"/>
      <w:kern w:val="0"/>
    </w:rPr>
  </w:style>
  <w:style w:type="paragraph" w:customStyle="1" w:styleId="799">
    <w:name w:val="Char8"/>
    <w:basedOn w:val="1"/>
    <w:qFormat/>
    <w:uiPriority w:val="0"/>
    <w:pPr>
      <w:tabs>
        <w:tab w:val="left" w:pos="432"/>
      </w:tabs>
      <w:ind w:left="432" w:hanging="432"/>
    </w:pPr>
    <w:rPr>
      <w:rFonts w:ascii="Times New Roman" w:hAnsi="Times New Roman"/>
      <w:sz w:val="24"/>
      <w:szCs w:val="24"/>
    </w:rPr>
  </w:style>
  <w:style w:type="paragraph" w:customStyle="1" w:styleId="800">
    <w:name w:val="Char Char Char1"/>
    <w:basedOn w:val="1"/>
    <w:qFormat/>
    <w:uiPriority w:val="0"/>
    <w:rPr>
      <w:rFonts w:ascii="Times New Roman" w:hAnsi="Times New Roman" w:eastAsia="仿宋_GB2312" w:cs="宋体"/>
      <w:sz w:val="24"/>
      <w:szCs w:val="20"/>
    </w:rPr>
  </w:style>
  <w:style w:type="paragraph" w:customStyle="1" w:styleId="801">
    <w:name w:val="ZJGIS-五级标题"/>
    <w:basedOn w:val="8"/>
    <w:qFormat/>
    <w:uiPriority w:val="0"/>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0"/>
    <w:pPr>
      <w:jc w:val="center"/>
    </w:pPr>
    <w:rPr>
      <w:rFonts w:ascii="Arial" w:hAnsi="Arial" w:eastAsia="黑体"/>
      <w:b/>
    </w:rPr>
  </w:style>
  <w:style w:type="paragraph" w:customStyle="1" w:styleId="804">
    <w:name w:val="吉奥封面(黑体小初)"/>
    <w:basedOn w:val="192"/>
    <w:qFormat/>
    <w:uiPriority w:val="0"/>
    <w:pPr>
      <w:spacing w:before="480"/>
      <w:ind w:firstLine="0" w:firstLineChars="0"/>
      <w:jc w:val="center"/>
    </w:pPr>
    <w:rPr>
      <w:rFonts w:eastAsia="黑体"/>
      <w:sz w:val="72"/>
      <w:szCs w:val="72"/>
    </w:rPr>
  </w:style>
  <w:style w:type="paragraph" w:customStyle="1" w:styleId="805">
    <w:name w:val="样式 标题 3 + 首行缩进:  2 字符1"/>
    <w:basedOn w:val="6"/>
    <w:qFormat/>
    <w:uiPriority w:val="0"/>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2"/>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0"/>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0"/>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4"/>
    <w:link w:val="821"/>
    <w:qFormat/>
    <w:uiPriority w:val="0"/>
    <w:rPr>
      <w:rFonts w:ascii="Times New Roman" w:hAnsi="Times New Roman" w:eastAsia="宋体" w:cs="Times New Roman"/>
      <w:sz w:val="24"/>
      <w:szCs w:val="20"/>
    </w:rPr>
  </w:style>
  <w:style w:type="paragraph" w:customStyle="1" w:styleId="854">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3"/>
    <w:next w:val="23"/>
    <w:qFormat/>
    <w:uiPriority w:val="0"/>
    <w:rPr>
      <w:b/>
      <w:bCs/>
      <w:kern w:val="0"/>
      <w:sz w:val="20"/>
      <w:szCs w:val="20"/>
    </w:rPr>
  </w:style>
  <w:style w:type="paragraph" w:customStyle="1" w:styleId="873">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0"/>
    <w:rPr>
      <w:rFonts w:ascii="仿宋_GB2312" w:hAnsi="Times New Roman" w:eastAsia="仿宋_GB2312"/>
      <w:b/>
      <w:sz w:val="32"/>
      <w:szCs w:val="32"/>
    </w:rPr>
  </w:style>
  <w:style w:type="paragraph" w:customStyle="1" w:styleId="875">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8">
    <w:name w:val="Char Char Char11"/>
    <w:basedOn w:val="1"/>
    <w:qFormat/>
    <w:uiPriority w:val="0"/>
  </w:style>
  <w:style w:type="paragraph" w:customStyle="1" w:styleId="879">
    <w:name w:val="Char111"/>
    <w:basedOn w:val="1"/>
    <w:qFormat/>
    <w:uiPriority w:val="0"/>
    <w:rPr>
      <w:rFonts w:ascii="仿宋_GB2312" w:hAnsi="Times New Roman" w:eastAsia="仿宋_GB2312"/>
      <w:b/>
      <w:sz w:val="32"/>
      <w:szCs w:val="32"/>
    </w:rPr>
  </w:style>
  <w:style w:type="paragraph" w:customStyle="1" w:styleId="880">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0"/>
    <w:rPr>
      <w:rFonts w:ascii="仿宋_GB2312" w:hAnsi="Times New Roman" w:eastAsia="仿宋_GB2312"/>
      <w:b/>
      <w:sz w:val="32"/>
      <w:szCs w:val="32"/>
    </w:rPr>
  </w:style>
  <w:style w:type="paragraph" w:customStyle="1" w:styleId="884">
    <w:name w:val="正文文本缩进11"/>
    <w:basedOn w:val="1"/>
    <w:qFormat/>
    <w:uiPriority w:val="0"/>
    <w:pPr>
      <w:spacing w:after="120"/>
      <w:ind w:left="420" w:leftChars="200"/>
    </w:pPr>
    <w:rPr>
      <w:rFonts w:cs="黑体"/>
    </w:rPr>
  </w:style>
  <w:style w:type="paragraph" w:customStyle="1" w:styleId="885">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0"/>
    <w:rPr>
      <w:rFonts w:ascii="仿宋_GB2312" w:hAnsi="Times New Roman" w:eastAsia="仿宋_GB2312"/>
      <w:b/>
      <w:sz w:val="32"/>
      <w:szCs w:val="32"/>
    </w:rPr>
  </w:style>
  <w:style w:type="paragraph" w:customStyle="1" w:styleId="887">
    <w:name w:val="列出段落12"/>
    <w:basedOn w:val="1"/>
    <w:qFormat/>
    <w:uiPriority w:val="0"/>
    <w:pPr>
      <w:ind w:firstLine="420" w:firstLineChars="200"/>
    </w:pPr>
  </w:style>
  <w:style w:type="paragraph" w:customStyle="1" w:styleId="888">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0"/>
    <w:rPr>
      <w:rFonts w:ascii="Tahoma" w:hAnsi="Tahoma"/>
      <w:sz w:val="24"/>
      <w:szCs w:val="20"/>
    </w:rPr>
  </w:style>
  <w:style w:type="paragraph" w:customStyle="1" w:styleId="890">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0"/>
    <w:rPr>
      <w:rFonts w:ascii="Tahoma" w:hAnsi="Tahoma"/>
      <w:sz w:val="24"/>
      <w:szCs w:val="20"/>
    </w:rPr>
  </w:style>
  <w:style w:type="paragraph" w:customStyle="1" w:styleId="892">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4"/>
    <w:semiHidden/>
    <w:qFormat/>
    <w:uiPriority w:val="99"/>
    <w:rPr>
      <w:rFonts w:ascii="Arial" w:hAnsi="Arial" w:eastAsia="宋体" w:cs="Arial"/>
      <w:vanish/>
      <w:sz w:val="16"/>
      <w:szCs w:val="16"/>
    </w:rPr>
  </w:style>
  <w:style w:type="character" w:customStyle="1" w:styleId="903">
    <w:name w:val="z-窗体顶端 Char1"/>
    <w:basedOn w:val="64"/>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0"/>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4"/>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4"/>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0"/>
    <w:pPr>
      <w:outlineLvl w:val="9"/>
    </w:pPr>
  </w:style>
  <w:style w:type="paragraph" w:customStyle="1" w:styleId="957">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82"/>
    <w:link w:val="57"/>
    <w:qFormat/>
    <w:uiPriority w:val="99"/>
    <w:rPr>
      <w:rFonts w:ascii="Calibri" w:hAnsi="Calibri" w:eastAsia="宋体" w:cs="Times New Roman"/>
      <w:b/>
      <w:bCs/>
    </w:rPr>
  </w:style>
  <w:style w:type="character" w:customStyle="1" w:styleId="965">
    <w:name w:val="正文首行缩进 2 字符"/>
    <w:basedOn w:val="86"/>
    <w:link w:val="2"/>
    <w:qFormat/>
    <w:uiPriority w:val="0"/>
    <w:rPr>
      <w:rFonts w:ascii="Times New Roman" w:hAnsi="Times New Roman" w:eastAsia="宋体" w:cs="Times New Roman"/>
      <w:spacing w:val="-4"/>
      <w:sz w:val="18"/>
      <w:szCs w:val="20"/>
    </w:rPr>
  </w:style>
  <w:style w:type="table" w:customStyle="1" w:styleId="966">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0"/>
    <w:rPr>
      <w:rFonts w:eastAsia="宋体"/>
      <w:kern w:val="2"/>
      <w:sz w:val="28"/>
      <w:szCs w:val="24"/>
      <w:lang w:val="en-US" w:eastAsia="zh-CN" w:bidi="ar-SA"/>
    </w:rPr>
  </w:style>
  <w:style w:type="character" w:customStyle="1" w:styleId="970">
    <w:name w:val="批注文字 字符"/>
    <w:qFormat/>
    <w:uiPriority w:val="99"/>
    <w:rPr>
      <w:kern w:val="2"/>
      <w:sz w:val="21"/>
      <w:szCs w:val="22"/>
    </w:rPr>
  </w:style>
  <w:style w:type="character" w:customStyle="1" w:styleId="971">
    <w:name w:val="正文文本缩进 字符"/>
    <w:qFormat/>
    <w:uiPriority w:val="0"/>
    <w:rPr>
      <w:rFonts w:ascii="宋体" w:hAnsi="Courier New" w:eastAsia="宋体"/>
      <w:spacing w:val="-4"/>
      <w:kern w:val="2"/>
      <w:sz w:val="18"/>
      <w:lang w:val="en-US" w:eastAsia="zh-CN" w:bidi="ar-SA"/>
    </w:rPr>
  </w:style>
  <w:style w:type="character" w:customStyle="1" w:styleId="972">
    <w:name w:val="标题 字符1"/>
    <w:basedOn w:val="64"/>
    <w:qFormat/>
    <w:uiPriority w:val="10"/>
    <w:rPr>
      <w:rFonts w:asciiTheme="majorHAnsi" w:hAnsiTheme="majorHAnsi" w:eastAsiaTheme="majorEastAsia" w:cstheme="majorBidi"/>
      <w:b/>
      <w:bCs/>
      <w:sz w:val="32"/>
      <w:szCs w:val="32"/>
    </w:rPr>
  </w:style>
  <w:style w:type="character" w:customStyle="1" w:styleId="973">
    <w:name w:val="副标题 字符1"/>
    <w:basedOn w:val="64"/>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4"/>
    <w:link w:val="974"/>
    <w:qFormat/>
    <w:uiPriority w:val="0"/>
    <w:rPr>
      <w:rFonts w:ascii="Futura Bk" w:hAnsi="Futura Bk" w:eastAsia="宋体" w:cs="Times New Roman"/>
      <w:sz w:val="18"/>
      <w:szCs w:val="21"/>
    </w:rPr>
  </w:style>
  <w:style w:type="paragraph" w:customStyle="1" w:styleId="976">
    <w:name w:val="a2"/>
    <w:basedOn w:val="1"/>
    <w:qFormat/>
    <w:uiPriority w:val="0"/>
    <w:pPr>
      <w:widowControl/>
      <w:spacing w:after="150"/>
      <w:jc w:val="left"/>
    </w:pPr>
    <w:rPr>
      <w:rFonts w:ascii="宋体" w:hAnsi="宋体" w:cs="宋体"/>
      <w:kern w:val="0"/>
      <w:sz w:val="24"/>
      <w:szCs w:val="24"/>
    </w:rPr>
  </w:style>
  <w:style w:type="table" w:customStyle="1" w:styleId="977">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4"/>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4"/>
    <w:qFormat/>
    <w:uiPriority w:val="0"/>
  </w:style>
  <w:style w:type="character" w:customStyle="1" w:styleId="982">
    <w:name w:val="标题 1 Char"/>
    <w:basedOn w:val="64"/>
    <w:link w:val="4"/>
    <w:qFormat/>
    <w:uiPriority w:val="0"/>
    <w:rPr>
      <w:rFonts w:asciiTheme="minorHAnsi" w:hAnsiTheme="minorHAnsi" w:eastAsiaTheme="minorEastAsia" w:cstheme="minorBidi"/>
      <w:b/>
      <w:bCs/>
      <w:kern w:val="44"/>
      <w:sz w:val="44"/>
      <w:szCs w:val="44"/>
    </w:rPr>
  </w:style>
  <w:style w:type="character" w:customStyle="1" w:styleId="983">
    <w:name w:val="标题 3 Char"/>
    <w:basedOn w:val="64"/>
    <w:link w:val="6"/>
    <w:qFormat/>
    <w:uiPriority w:val="0"/>
    <w:rPr>
      <w:rFonts w:asciiTheme="minorHAnsi" w:hAnsiTheme="minorHAnsi" w:eastAsiaTheme="minorEastAsia" w:cstheme="minorBidi"/>
      <w:b/>
      <w:bCs/>
      <w:sz w:val="32"/>
      <w:szCs w:val="32"/>
    </w:rPr>
  </w:style>
  <w:style w:type="character" w:customStyle="1" w:styleId="984">
    <w:name w:val="标题 4 Char"/>
    <w:basedOn w:val="64"/>
    <w:link w:val="7"/>
    <w:qFormat/>
    <w:uiPriority w:val="0"/>
    <w:rPr>
      <w:rFonts w:asciiTheme="majorHAnsi" w:hAnsiTheme="majorHAnsi" w:eastAsiaTheme="majorEastAsia" w:cstheme="majorBidi"/>
      <w:b/>
      <w:bCs/>
      <w:sz w:val="28"/>
      <w:szCs w:val="28"/>
    </w:rPr>
  </w:style>
  <w:style w:type="character" w:customStyle="1" w:styleId="985">
    <w:name w:val="列出段落 Char"/>
    <w:link w:val="183"/>
    <w:qFormat/>
    <w:locked/>
    <w:uiPriority w:val="34"/>
    <w:rPr>
      <w:rFonts w:ascii="宋体" w:hAnsi="宋体" w:cs="宋体" w:eastAsiaTheme="minorEastAsia"/>
      <w:kern w:val="0"/>
      <w:sz w:val="24"/>
    </w:rPr>
  </w:style>
  <w:style w:type="character" w:customStyle="1" w:styleId="986">
    <w:name w:val="批注框文本 Char"/>
    <w:basedOn w:val="64"/>
    <w:link w:val="38"/>
    <w:semiHidden/>
    <w:qFormat/>
    <w:uiPriority w:val="99"/>
    <w:rPr>
      <w:rFonts w:asciiTheme="minorHAnsi" w:hAnsiTheme="minorHAnsi" w:eastAsiaTheme="minorEastAsia" w:cstheme="minorBidi"/>
      <w:sz w:val="18"/>
      <w:szCs w:val="18"/>
    </w:rPr>
  </w:style>
  <w:style w:type="paragraph" w:customStyle="1" w:styleId="987">
    <w:name w:val="_Style 97"/>
    <w:basedOn w:val="1"/>
    <w:next w:val="1"/>
    <w:qFormat/>
    <w:uiPriority w:val="0"/>
    <w:pPr>
      <w:spacing w:line="360" w:lineRule="auto"/>
    </w:pPr>
    <w:rPr>
      <w:rFonts w:ascii="Calibri" w:hAnsi="Calibri" w:eastAsia="仿宋" w:cs="Times New Roman"/>
    </w:rPr>
  </w:style>
  <w:style w:type="character" w:customStyle="1" w:styleId="988">
    <w:name w:val="标题 5 Char"/>
    <w:basedOn w:val="64"/>
    <w:link w:val="8"/>
    <w:qFormat/>
    <w:uiPriority w:val="0"/>
    <w:rPr>
      <w:rFonts w:ascii="Times New Roman" w:hAnsi="Times New Roman" w:eastAsia="宋体" w:cs="Times New Roman"/>
      <w:b/>
      <w:bCs/>
      <w:sz w:val="28"/>
      <w:szCs w:val="28"/>
    </w:rPr>
  </w:style>
  <w:style w:type="character" w:customStyle="1" w:styleId="989">
    <w:name w:val="标题 6 Char"/>
    <w:basedOn w:val="64"/>
    <w:link w:val="9"/>
    <w:qFormat/>
    <w:uiPriority w:val="0"/>
    <w:rPr>
      <w:rFonts w:ascii="Times New Roman" w:hAnsi="Times New Roman" w:eastAsia="宋体" w:cs="Times New Roman"/>
      <w:b/>
      <w:bCs/>
      <w:sz w:val="24"/>
      <w:szCs w:val="24"/>
    </w:rPr>
  </w:style>
  <w:style w:type="character" w:customStyle="1" w:styleId="990">
    <w:name w:val="标题 7 Char"/>
    <w:basedOn w:val="64"/>
    <w:link w:val="10"/>
    <w:qFormat/>
    <w:uiPriority w:val="0"/>
    <w:rPr>
      <w:rFonts w:ascii="Times New Roman" w:hAnsi="Times New Roman" w:eastAsia="宋体" w:cs="Times New Roman"/>
      <w:b/>
      <w:bCs/>
      <w:sz w:val="24"/>
      <w:szCs w:val="24"/>
    </w:rPr>
  </w:style>
  <w:style w:type="character" w:customStyle="1" w:styleId="991">
    <w:name w:val="标题 8 Char"/>
    <w:basedOn w:val="64"/>
    <w:link w:val="11"/>
    <w:qFormat/>
    <w:uiPriority w:val="0"/>
    <w:rPr>
      <w:rFonts w:ascii="Times New Roman" w:hAnsi="Times New Roman" w:eastAsia="宋体" w:cs="Times New Roman"/>
      <w:b/>
      <w:sz w:val="24"/>
      <w:szCs w:val="24"/>
    </w:rPr>
  </w:style>
  <w:style w:type="character" w:customStyle="1" w:styleId="992">
    <w:name w:val="标题 9 Char"/>
    <w:basedOn w:val="64"/>
    <w:link w:val="12"/>
    <w:qFormat/>
    <w:uiPriority w:val="0"/>
    <w:rPr>
      <w:rFonts w:ascii="Times New Roman" w:hAnsi="Times New Roman" w:eastAsia="宋体" w:cs="Times New Roman"/>
      <w:b/>
      <w:sz w:val="24"/>
      <w:szCs w:val="21"/>
    </w:rPr>
  </w:style>
  <w:style w:type="character" w:customStyle="1" w:styleId="993">
    <w:name w:val="纯文本 Char"/>
    <w:basedOn w:val="64"/>
    <w:link w:val="32"/>
    <w:qFormat/>
    <w:uiPriority w:val="0"/>
    <w:rPr>
      <w:rFonts w:ascii="宋体" w:hAnsi="Courier New" w:eastAsia="宋体" w:cs="Times New Roman"/>
      <w:szCs w:val="20"/>
    </w:rPr>
  </w:style>
  <w:style w:type="paragraph" w:customStyle="1" w:styleId="994">
    <w:name w:val="图片题注"/>
    <w:basedOn w:val="1"/>
    <w:next w:val="1"/>
    <w:qFormat/>
    <w:uiPriority w:val="0"/>
    <w:pPr>
      <w:keepNext/>
      <w:spacing w:before="50" w:beforeLines="50" w:line="288" w:lineRule="auto"/>
      <w:ind w:left="284" w:hanging="284"/>
      <w:jc w:val="center"/>
    </w:pPr>
    <w:rPr>
      <w:rFonts w:ascii="黑体" w:hAnsi="黑体" w:eastAsia="黑体" w:cstheme="minorBidi"/>
      <w:szCs w:val="24"/>
    </w:rPr>
  </w:style>
  <w:style w:type="paragraph" w:customStyle="1" w:styleId="995">
    <w:name w:val="表格题注"/>
    <w:basedOn w:val="1"/>
    <w:next w:val="1"/>
    <w:qFormat/>
    <w:uiPriority w:val="0"/>
    <w:pPr>
      <w:keepNext/>
      <w:keepLines/>
      <w:spacing w:before="50" w:beforeLines="50" w:after="50" w:afterLines="50" w:line="288" w:lineRule="auto"/>
      <w:ind w:left="284" w:hanging="284"/>
      <w:jc w:val="center"/>
    </w:pPr>
    <w:rPr>
      <w:rFonts w:ascii="黑体" w:hAnsi="黑体" w:eastAsia="黑体" w:cstheme="minorBidi"/>
      <w:szCs w:val="24"/>
    </w:rPr>
  </w:style>
  <w:style w:type="paragraph" w:customStyle="1" w:styleId="996">
    <w:name w:val="标题 1（dbapp）"/>
    <w:basedOn w:val="4"/>
    <w:next w:val="1"/>
    <w:qFormat/>
    <w:uiPriority w:val="0"/>
    <w:pPr>
      <w:keepNext/>
      <w:keepLines/>
      <w:pBdr>
        <w:bottom w:val="single" w:color="auto" w:sz="48" w:space="1"/>
      </w:pBdr>
      <w:autoSpaceDE/>
      <w:autoSpaceDN/>
      <w:adjustRightInd/>
      <w:spacing w:before="600" w:beforeLines="50" w:after="330" w:afterLines="50" w:line="240" w:lineRule="auto"/>
      <w:ind w:firstLine="567"/>
      <w:jc w:val="right"/>
    </w:pPr>
    <w:rPr>
      <w:rFonts w:ascii="Times New Roman" w:hAnsi="Times New Roman" w:eastAsia="方正兰亭黑简体" w:cs="Times New Roman"/>
      <w:kern w:val="44"/>
      <w:sz w:val="44"/>
      <w:szCs w:val="44"/>
    </w:rPr>
  </w:style>
  <w:style w:type="paragraph" w:customStyle="1" w:styleId="997">
    <w:name w:val="标题 3（dbapp）"/>
    <w:basedOn w:val="6"/>
    <w:next w:val="1"/>
    <w:qFormat/>
    <w:uiPriority w:val="0"/>
    <w:pPr>
      <w:tabs>
        <w:tab w:val="left" w:pos="960"/>
      </w:tabs>
      <w:spacing w:beforeLines="50" w:afterLines="50" w:line="415" w:lineRule="auto"/>
      <w:ind w:left="907" w:hanging="907"/>
      <w:jc w:val="left"/>
    </w:pPr>
    <w:rPr>
      <w:rFonts w:ascii="Times New Roman" w:hAnsi="Times New Roman" w:eastAsia="方正兰亭黑简体" w:cs="Times New Roman"/>
      <w:bCs w:val="0"/>
      <w:kern w:val="0"/>
      <w:sz w:val="30"/>
      <w:szCs w:val="30"/>
    </w:rPr>
  </w:style>
  <w:style w:type="paragraph" w:customStyle="1" w:styleId="998">
    <w:name w:val="标题 4（dbapp）"/>
    <w:basedOn w:val="7"/>
    <w:next w:val="1"/>
    <w:qFormat/>
    <w:uiPriority w:val="0"/>
    <w:pPr>
      <w:widowControl/>
      <w:spacing w:beforeLines="50" w:after="156" w:afterLines="50"/>
      <w:ind w:left="1021" w:hanging="1021"/>
      <w:jc w:val="left"/>
    </w:pPr>
    <w:rPr>
      <w:rFonts w:ascii="Times New Roman" w:hAnsi="Times New Roman" w:eastAsia="方正兰亭黑简体" w:cs="Times New Roman"/>
      <w:bCs w:val="0"/>
      <w:kern w:val="0"/>
    </w:rPr>
  </w:style>
  <w:style w:type="paragraph" w:customStyle="1" w:styleId="999">
    <w:name w:val="修订2"/>
    <w:hidden/>
    <w:semiHidden/>
    <w:qFormat/>
    <w:uiPriority w:val="99"/>
    <w:rPr>
      <w:rFonts w:ascii="Times New Roman" w:hAnsi="Times New Roman" w:eastAsia="宋体" w:cs="Times New Roman"/>
      <w:kern w:val="2"/>
      <w:sz w:val="24"/>
      <w:szCs w:val="24"/>
      <w:lang w:val="en-US" w:eastAsia="zh-CN" w:bidi="ar-SA"/>
    </w:rPr>
  </w:style>
  <w:style w:type="paragraph" w:customStyle="1" w:styleId="1000">
    <w:name w:val="GP正文(首行缩进)"/>
    <w:basedOn w:val="1"/>
    <w:qFormat/>
    <w:uiPriority w:val="0"/>
    <w:pPr>
      <w:spacing w:line="360" w:lineRule="auto"/>
      <w:ind w:firstLine="640" w:firstLineChars="200"/>
      <w:jc w:val="left"/>
    </w:pPr>
    <w:rPr>
      <w:rFonts w:ascii="仿宋" w:hAnsi="仿宋" w:eastAsia="仿宋" w:cs="Times New Roman"/>
      <w:sz w:val="28"/>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104</Pages>
  <Words>65032</Words>
  <Characters>70991</Characters>
  <Lines>347</Lines>
  <Paragraphs>97</Paragraphs>
  <TotalTime>1</TotalTime>
  <ScaleCrop>false</ScaleCrop>
  <LinksUpToDate>false</LinksUpToDate>
  <CharactersWithSpaces>73305</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2022-06-09T22:45:00Z</dcterms:created>
  <dc:creator>songyuanxun (浙江代表处, 集团代表处)</dc:creator>
  <cp:lastModifiedBy>yang</cp:lastModifiedBy>
  <cp:lastPrinted>2021-01-25T02:12:00Z</cp:lastPrinted>
  <dcterms:modified xsi:type="dcterms:W3CDTF">2022-08-11T08:41:15Z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54F34947FF1E4E1D9E3B17C5BC27DC79</vt:lpwstr>
  </property>
</Properties>
</file>