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360" w:lineRule="auto"/>
        <w:jc w:val="center"/>
        <w:rPr>
          <w:rFonts w:hint="eastAsia" w:ascii="宋体" w:hAnsi="宋体"/>
          <w:color w:val="000000"/>
          <w:sz w:val="36"/>
          <w:szCs w:val="36"/>
        </w:rPr>
      </w:pPr>
      <w:r>
        <w:rPr>
          <w:rFonts w:hint="eastAsia" w:ascii="宋体" w:hAnsi="宋体"/>
          <w:color w:val="000000"/>
          <w:sz w:val="36"/>
          <w:szCs w:val="36"/>
        </w:rPr>
        <w:t xml:space="preserve">  </w:t>
      </w:r>
      <w:bookmarkStart w:id="0" w:name="PO_15528_PM002_1"/>
      <w:r>
        <w:rPr>
          <w:rFonts w:hint="eastAsia" w:ascii="宋体" w:hAnsi="宋体"/>
          <w:color w:val="000000"/>
          <w:sz w:val="36"/>
          <w:szCs w:val="36"/>
        </w:rPr>
        <w:t>浙江财经大学经管实验中心实验室建设四期项目</w:t>
      </w:r>
      <w:bookmarkEnd w:id="0"/>
    </w:p>
    <w:p>
      <w:pPr>
        <w:spacing w:before="312" w:beforeLines="100" w:line="360" w:lineRule="auto"/>
        <w:jc w:val="center"/>
        <w:rPr>
          <w:rFonts w:hint="eastAsia" w:ascii="宋体" w:hAnsi="宋体"/>
          <w:b/>
          <w:color w:val="000000"/>
          <w:spacing w:val="40"/>
          <w:sz w:val="84"/>
          <w:szCs w:val="84"/>
        </w:rPr>
      </w:pPr>
      <w:r>
        <w:rPr>
          <w:rFonts w:hint="eastAsia" w:ascii="宋体" w:hAnsi="宋体"/>
          <w:color w:val="000000"/>
          <w:sz w:val="36"/>
          <w:szCs w:val="36"/>
        </w:rPr>
        <w:t>项目编号：</w:t>
      </w:r>
      <w:bookmarkStart w:id="1" w:name="PO_15528_PM001"/>
      <w:r>
        <w:rPr>
          <w:rFonts w:hint="eastAsia" w:ascii="宋体" w:hAnsi="宋体"/>
          <w:color w:val="000000"/>
          <w:sz w:val="36"/>
          <w:szCs w:val="36"/>
        </w:rPr>
        <w:t>ZZCG2024H-GK-102</w:t>
      </w:r>
      <w:bookmarkEnd w:id="1"/>
    </w:p>
    <w:p>
      <w:pPr>
        <w:spacing w:before="312" w:beforeLines="100" w:after="100" w:afterAutospacing="1" w:line="800" w:lineRule="exact"/>
        <w:jc w:val="center"/>
        <w:rPr>
          <w:rFonts w:ascii="宋体" w:hAnsi="宋体"/>
          <w:b/>
          <w:color w:val="000000"/>
          <w:spacing w:val="40"/>
          <w:sz w:val="84"/>
          <w:szCs w:val="84"/>
        </w:rPr>
      </w:pPr>
      <w:r>
        <w:rPr>
          <w:rFonts w:hint="eastAsia" w:ascii="宋体" w:hAnsi="宋体"/>
          <w:b/>
          <w:color w:val="000000"/>
          <w:spacing w:val="40"/>
          <w:sz w:val="84"/>
          <w:szCs w:val="84"/>
        </w:rPr>
        <w:t>公</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开</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 xml:space="preserve">招 </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件</w:t>
      </w:r>
    </w:p>
    <w:p>
      <w:pPr>
        <w:ind w:right="-110"/>
        <w:rPr>
          <w:rFonts w:ascii="宋体" w:hAnsi="宋体"/>
          <w:color w:val="000000"/>
          <w:sz w:val="32"/>
          <w:szCs w:val="32"/>
        </w:rPr>
      </w:pPr>
    </w:p>
    <w:p>
      <w:pPr>
        <w:ind w:right="-110"/>
        <w:rPr>
          <w:rFonts w:ascii="宋体" w:hAnsi="宋体"/>
          <w:color w:val="000000"/>
          <w:sz w:val="32"/>
          <w:szCs w:val="32"/>
        </w:rPr>
      </w:pPr>
    </w:p>
    <w:p>
      <w:pPr>
        <w:spacing w:line="500" w:lineRule="exact"/>
        <w:ind w:right="532" w:firstLine="540" w:firstLineChars="150"/>
        <w:jc w:val="center"/>
        <w:rPr>
          <w:rFonts w:ascii="宋体" w:hAnsi="宋体"/>
          <w:color w:val="000000"/>
          <w:sz w:val="36"/>
          <w:szCs w:val="36"/>
        </w:rPr>
      </w:pPr>
      <w:r>
        <w:rPr>
          <w:rFonts w:hint="eastAsia" w:ascii="宋体" w:hAnsi="宋体"/>
          <w:color w:val="000000"/>
          <w:sz w:val="36"/>
          <w:szCs w:val="36"/>
        </w:rPr>
        <w:t>浙 江 省 政 府 采 购 中 心</w:t>
      </w:r>
    </w:p>
    <w:p>
      <w:pPr>
        <w:spacing w:line="500" w:lineRule="exact"/>
        <w:ind w:right="532"/>
        <w:rPr>
          <w:rFonts w:ascii="宋体" w:hAnsi="宋体"/>
          <w:color w:val="000000"/>
          <w:sz w:val="36"/>
          <w:szCs w:val="36"/>
        </w:rPr>
      </w:pPr>
    </w:p>
    <w:p>
      <w:pPr>
        <w:wordWrap w:val="0"/>
        <w:spacing w:line="500" w:lineRule="exact"/>
        <w:ind w:right="-108" w:firstLine="540" w:firstLineChars="150"/>
        <w:rPr>
          <w:rFonts w:hAnsi="宋体"/>
          <w:b/>
          <w:color w:val="000000"/>
          <w:sz w:val="36"/>
          <w:szCs w:val="36"/>
        </w:rPr>
      </w:pPr>
      <w:r>
        <w:rPr>
          <w:rFonts w:hint="eastAsia" w:ascii="宋体" w:hAnsi="宋体"/>
          <w:color w:val="000000"/>
          <w:sz w:val="36"/>
          <w:szCs w:val="36"/>
        </w:rPr>
        <w:t>地    址：杭州市西湖区宝石一路3号</w:t>
      </w: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r>
        <w:rPr>
          <w:rFonts w:hint="eastAsia" w:hAnsi="宋体"/>
          <w:b/>
          <w:color w:val="000000"/>
          <w:sz w:val="36"/>
          <w:szCs w:val="36"/>
        </w:rPr>
        <w:t>目</w:t>
      </w:r>
      <w:r>
        <w:rPr>
          <w:rFonts w:hAnsi="宋体"/>
          <w:b/>
          <w:color w:val="000000"/>
          <w:sz w:val="36"/>
          <w:szCs w:val="36"/>
        </w:rPr>
        <w:t xml:space="preserve">     </w:t>
      </w:r>
      <w:r>
        <w:rPr>
          <w:rFonts w:hint="eastAsia" w:hAnsi="宋体"/>
          <w:b/>
          <w:color w:val="000000"/>
          <w:sz w:val="36"/>
          <w:szCs w:val="36"/>
        </w:rPr>
        <w:t>录</w:t>
      </w:r>
    </w:p>
    <w:p>
      <w:pPr>
        <w:pStyle w:val="31"/>
        <w:spacing w:before="156" w:after="156" w:line="360" w:lineRule="auto"/>
        <w:jc w:val="center"/>
        <w:rPr>
          <w:rFonts w:hAnsi="宋体" w:eastAsia="仿宋_GB2312"/>
          <w:color w:val="000000"/>
          <w:sz w:val="32"/>
          <w:szCs w:val="32"/>
        </w:rPr>
      </w:pPr>
    </w:p>
    <w:p>
      <w:pPr>
        <w:pStyle w:val="40"/>
        <w:tabs>
          <w:tab w:val="right" w:leader="dot" w:pos="8312"/>
        </w:tabs>
      </w:pPr>
      <w:r>
        <w:rPr>
          <w:rFonts w:hint="eastAsia" w:ascii="宋体" w:hAnsi="宋体" w:eastAsia="仿宋_GB2312"/>
          <w:color w:val="000000"/>
          <w:sz w:val="30"/>
          <w:szCs w:val="30"/>
        </w:rPr>
        <w:fldChar w:fldCharType="begin"/>
      </w:r>
      <w:r>
        <w:rPr>
          <w:rFonts w:hint="eastAsia" w:ascii="宋体" w:hAnsi="宋体" w:eastAsia="仿宋_GB2312"/>
          <w:color w:val="000000"/>
          <w:sz w:val="30"/>
          <w:szCs w:val="30"/>
        </w:rPr>
        <w:instrText xml:space="preserve"> TOC \o "1-1" \h \z \u </w:instrText>
      </w:r>
      <w:r>
        <w:rPr>
          <w:rFonts w:hint="eastAsia" w:ascii="宋体" w:hAnsi="宋体" w:eastAsia="仿宋_GB2312"/>
          <w:color w:val="000000"/>
          <w:sz w:val="30"/>
          <w:szCs w:val="30"/>
        </w:rPr>
        <w:fldChar w:fldCharType="separate"/>
      </w:r>
      <w:r>
        <w:fldChar w:fldCharType="begin"/>
      </w:r>
      <w:r>
        <w:instrText xml:space="preserve"> HYPERLINK \l "_Toc2371" </w:instrText>
      </w:r>
      <w:r>
        <w:fldChar w:fldCharType="separate"/>
      </w:r>
      <w:r>
        <w:rPr>
          <w:rFonts w:hint="eastAsia" w:hAnsi="宋体"/>
          <w:szCs w:val="36"/>
        </w:rPr>
        <w:t>第一章公开招标采购公告</w:t>
      </w:r>
      <w:r>
        <w:tab/>
      </w:r>
      <w:r>
        <w:fldChar w:fldCharType="begin"/>
      </w:r>
      <w:r>
        <w:instrText xml:space="preserve"> PAGEREF _Toc2371 \h </w:instrText>
      </w:r>
      <w:r>
        <w:fldChar w:fldCharType="separate"/>
      </w:r>
      <w:r>
        <w:t>3</w:t>
      </w:r>
      <w:r>
        <w:fldChar w:fldCharType="end"/>
      </w:r>
      <w:r>
        <w:fldChar w:fldCharType="end"/>
      </w:r>
    </w:p>
    <w:p>
      <w:pPr>
        <w:pStyle w:val="40"/>
        <w:tabs>
          <w:tab w:val="right" w:leader="dot" w:pos="8312"/>
        </w:tabs>
      </w:pPr>
      <w:r>
        <w:fldChar w:fldCharType="begin"/>
      </w:r>
      <w:r>
        <w:instrText xml:space="preserve"> HYPERLINK \l "_Toc29498" </w:instrText>
      </w:r>
      <w:r>
        <w:fldChar w:fldCharType="separate"/>
      </w:r>
      <w:r>
        <w:rPr>
          <w:rFonts w:hint="eastAsia" w:ascii="仿宋" w:hAnsi="仿宋"/>
          <w:szCs w:val="36"/>
        </w:rPr>
        <w:t>第二章投标人须知</w:t>
      </w:r>
      <w:r>
        <w:tab/>
      </w:r>
      <w:r>
        <w:fldChar w:fldCharType="begin"/>
      </w:r>
      <w:r>
        <w:instrText xml:space="preserve"> PAGEREF _Toc29498 \h </w:instrText>
      </w:r>
      <w:r>
        <w:fldChar w:fldCharType="separate"/>
      </w:r>
      <w:r>
        <w:t>7</w:t>
      </w:r>
      <w:r>
        <w:fldChar w:fldCharType="end"/>
      </w:r>
      <w:r>
        <w:fldChar w:fldCharType="end"/>
      </w:r>
    </w:p>
    <w:p>
      <w:pPr>
        <w:pStyle w:val="40"/>
        <w:tabs>
          <w:tab w:val="right" w:leader="dot" w:pos="8312"/>
        </w:tabs>
      </w:pPr>
      <w:r>
        <w:fldChar w:fldCharType="begin"/>
      </w:r>
      <w:r>
        <w:instrText xml:space="preserve"> HYPERLINK \l "_Toc2834" </w:instrText>
      </w:r>
      <w:r>
        <w:fldChar w:fldCharType="separate"/>
      </w:r>
      <w:r>
        <w:rPr>
          <w:rFonts w:hint="eastAsia" w:hAnsi="宋体"/>
          <w:szCs w:val="36"/>
        </w:rPr>
        <w:t>第三章评标办法及评分标准</w:t>
      </w:r>
      <w:r>
        <w:tab/>
      </w:r>
      <w:r>
        <w:fldChar w:fldCharType="begin"/>
      </w:r>
      <w:r>
        <w:instrText xml:space="preserve"> PAGEREF _Toc2834 \h </w:instrText>
      </w:r>
      <w:r>
        <w:fldChar w:fldCharType="separate"/>
      </w:r>
      <w:r>
        <w:t>27</w:t>
      </w:r>
      <w:r>
        <w:fldChar w:fldCharType="end"/>
      </w:r>
      <w:r>
        <w:fldChar w:fldCharType="end"/>
      </w:r>
    </w:p>
    <w:p>
      <w:pPr>
        <w:pStyle w:val="40"/>
        <w:tabs>
          <w:tab w:val="right" w:leader="dot" w:pos="8312"/>
        </w:tabs>
      </w:pPr>
      <w:r>
        <w:fldChar w:fldCharType="begin"/>
      </w:r>
      <w:r>
        <w:instrText xml:space="preserve"> HYPERLINK \l "_Toc24960" </w:instrText>
      </w:r>
      <w:r>
        <w:fldChar w:fldCharType="separate"/>
      </w:r>
      <w:r>
        <w:rPr>
          <w:rFonts w:hint="eastAsia" w:hAnsi="宋体"/>
          <w:szCs w:val="36"/>
        </w:rPr>
        <w:t>第四章招标需求</w:t>
      </w:r>
      <w:r>
        <w:tab/>
      </w:r>
      <w:r>
        <w:fldChar w:fldCharType="begin"/>
      </w:r>
      <w:r>
        <w:instrText xml:space="preserve"> PAGEREF _Toc24960 \h </w:instrText>
      </w:r>
      <w:r>
        <w:fldChar w:fldCharType="separate"/>
      </w:r>
      <w:r>
        <w:t>29</w:t>
      </w:r>
      <w:r>
        <w:fldChar w:fldCharType="end"/>
      </w:r>
      <w:r>
        <w:fldChar w:fldCharType="end"/>
      </w:r>
    </w:p>
    <w:p>
      <w:pPr>
        <w:pStyle w:val="40"/>
        <w:tabs>
          <w:tab w:val="right" w:leader="dot" w:pos="8312"/>
        </w:tabs>
      </w:pPr>
      <w:r>
        <w:fldChar w:fldCharType="begin"/>
      </w:r>
      <w:r>
        <w:instrText xml:space="preserve"> HYPERLINK \l "_Toc26308" </w:instrText>
      </w:r>
      <w:r>
        <w:fldChar w:fldCharType="separate"/>
      </w:r>
      <w:r>
        <w:rPr>
          <w:rFonts w:hint="eastAsia" w:hAnsi="宋体"/>
          <w:szCs w:val="36"/>
        </w:rPr>
        <w:t>第五章浙江省政府采购合同主要条款指引</w:t>
      </w:r>
      <w:r>
        <w:tab/>
      </w:r>
      <w:r>
        <w:fldChar w:fldCharType="begin"/>
      </w:r>
      <w:r>
        <w:instrText xml:space="preserve"> PAGEREF _Toc26308 \h </w:instrText>
      </w:r>
      <w:r>
        <w:fldChar w:fldCharType="separate"/>
      </w:r>
      <w:r>
        <w:t>31</w:t>
      </w:r>
      <w:r>
        <w:fldChar w:fldCharType="end"/>
      </w:r>
      <w:r>
        <w:fldChar w:fldCharType="end"/>
      </w:r>
    </w:p>
    <w:p>
      <w:pPr>
        <w:pStyle w:val="40"/>
        <w:tabs>
          <w:tab w:val="right" w:leader="dot" w:pos="8312"/>
        </w:tabs>
      </w:pPr>
      <w:r>
        <w:fldChar w:fldCharType="begin"/>
      </w:r>
      <w:r>
        <w:instrText xml:space="preserve"> HYPERLINK \l "_Toc22013" </w:instrText>
      </w:r>
      <w:r>
        <w:fldChar w:fldCharType="separate"/>
      </w:r>
      <w:r>
        <w:rPr>
          <w:rFonts w:hint="eastAsia" w:hAnsi="宋体"/>
          <w:szCs w:val="36"/>
        </w:rPr>
        <w:t>第六章投标文件格式附件</w:t>
      </w:r>
      <w:r>
        <w:tab/>
      </w:r>
      <w:r>
        <w:fldChar w:fldCharType="begin"/>
      </w:r>
      <w:r>
        <w:instrText xml:space="preserve"> PAGEREF _Toc22013 \h </w:instrText>
      </w:r>
      <w:r>
        <w:fldChar w:fldCharType="separate"/>
      </w:r>
      <w:r>
        <w:t>36</w:t>
      </w:r>
      <w:r>
        <w:fldChar w:fldCharType="end"/>
      </w:r>
      <w:r>
        <w:fldChar w:fldCharType="end"/>
      </w:r>
    </w:p>
    <w:p>
      <w:pPr>
        <w:spacing w:before="156" w:beforeLines="50" w:line="480" w:lineRule="exact"/>
        <w:ind w:left="165"/>
        <w:rPr>
          <w:rFonts w:ascii="宋体" w:hAnsi="宋体" w:eastAsia="仿宋_GB2312"/>
          <w:color w:val="000000"/>
          <w:sz w:val="30"/>
          <w:szCs w:val="30"/>
        </w:rPr>
      </w:pPr>
      <w:r>
        <w:rPr>
          <w:rFonts w:hint="eastAsia" w:ascii="宋体" w:hAnsi="宋体" w:eastAsia="仿宋_GB2312"/>
          <w:color w:val="000000"/>
          <w:szCs w:val="30"/>
        </w:rPr>
        <w:fldChar w:fldCharType="end"/>
      </w:r>
    </w:p>
    <w:p>
      <w:pPr>
        <w:pStyle w:val="31"/>
        <w:spacing w:before="156" w:after="156" w:line="360" w:lineRule="auto"/>
        <w:ind w:firstLine="640"/>
        <w:jc w:val="center"/>
        <w:outlineLvl w:val="0"/>
        <w:rPr>
          <w:rFonts w:hAnsi="宋体"/>
          <w:b/>
          <w:color w:val="000000"/>
          <w:sz w:val="36"/>
          <w:szCs w:val="36"/>
        </w:rPr>
      </w:pPr>
      <w:r>
        <w:rPr>
          <w:rFonts w:hint="eastAsia" w:hAnsi="宋体" w:eastAsia="仿宋_GB2312"/>
          <w:color w:val="000000"/>
          <w:kern w:val="0"/>
          <w:sz w:val="32"/>
          <w:szCs w:val="32"/>
        </w:rPr>
        <w:br w:type="page"/>
      </w:r>
      <w:bookmarkStart w:id="2" w:name="_Toc2371"/>
      <w:r>
        <w:rPr>
          <w:rFonts w:hint="eastAsia" w:hAnsi="宋体"/>
          <w:b/>
          <w:color w:val="000000"/>
          <w:sz w:val="36"/>
          <w:szCs w:val="36"/>
        </w:rPr>
        <w:t>第一章公开招标采购公告</w:t>
      </w:r>
      <w:bookmarkEnd w:id="2"/>
    </w:p>
    <w:p>
      <w:pPr>
        <w:pStyle w:val="397"/>
        <w:widowControl w:val="0"/>
        <w:spacing w:after="156" w:line="460" w:lineRule="exact"/>
        <w:ind w:firstLine="560"/>
        <w:rPr>
          <w:rFonts w:ascii="仿宋" w:hAnsi="仿宋" w:eastAsia="仿宋"/>
          <w:color w:val="000000"/>
          <w:sz w:val="30"/>
          <w:szCs w:val="30"/>
        </w:rPr>
      </w:pPr>
      <w:r>
        <w:rPr>
          <w:rFonts w:hint="eastAsia" w:ascii="仿宋" w:hAnsi="仿宋" w:eastAsia="仿宋"/>
          <w:color w:val="000000"/>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olor w:val="000000"/>
          <w:sz w:val="30"/>
          <w:szCs w:val="30"/>
        </w:rPr>
        <w:t>：</w:t>
      </w:r>
    </w:p>
    <w:p>
      <w:pPr>
        <w:snapToGrid w:val="0"/>
        <w:spacing w:line="460" w:lineRule="exact"/>
        <w:ind w:firstLine="600" w:firstLineChars="200"/>
        <w:rPr>
          <w:rFonts w:hint="eastAsia" w:ascii="仿宋" w:hAnsi="仿宋" w:eastAsia="仿宋" w:cs="Arial"/>
          <w:color w:val="000000"/>
          <w:sz w:val="30"/>
          <w:szCs w:val="30"/>
        </w:rPr>
      </w:pPr>
      <w:r>
        <w:rPr>
          <w:rFonts w:hint="eastAsia" w:ascii="仿宋" w:hAnsi="仿宋" w:eastAsia="仿宋" w:cs="Arial"/>
          <w:color w:val="000000"/>
          <w:sz w:val="30"/>
          <w:szCs w:val="30"/>
        </w:rPr>
        <w:t>一、</w:t>
      </w:r>
      <w:r>
        <w:rPr>
          <w:rFonts w:hint="eastAsia" w:ascii="仿宋" w:hAnsi="仿宋" w:eastAsia="仿宋" w:cs="Arial"/>
          <w:b/>
          <w:bCs/>
          <w:color w:val="000000"/>
          <w:sz w:val="30"/>
          <w:szCs w:val="30"/>
        </w:rPr>
        <w:t>项目编号：</w:t>
      </w:r>
      <w:bookmarkStart w:id="3" w:name="PO_15528_PM001_1"/>
      <w:r>
        <w:rPr>
          <w:rFonts w:hint="eastAsia" w:ascii="仿宋" w:hAnsi="仿宋" w:eastAsia="仿宋" w:cs="Arial"/>
          <w:b/>
          <w:bCs/>
          <w:color w:val="000000"/>
          <w:sz w:val="30"/>
          <w:szCs w:val="30"/>
        </w:rPr>
        <w:t>ZZCG2024H-GK-102</w:t>
      </w:r>
      <w:bookmarkEnd w:id="3"/>
    </w:p>
    <w:p>
      <w:pPr>
        <w:snapToGrid w:val="0"/>
        <w:spacing w:after="156" w:afterLines="50" w:line="460" w:lineRule="exact"/>
        <w:ind w:firstLine="602" w:firstLineChars="200"/>
        <w:rPr>
          <w:rFonts w:ascii="仿宋" w:hAnsi="仿宋" w:eastAsia="仿宋" w:cs="Arial"/>
          <w:b/>
          <w:bCs/>
          <w:color w:val="000000"/>
          <w:sz w:val="30"/>
          <w:szCs w:val="30"/>
        </w:rPr>
      </w:pPr>
      <w:r>
        <w:rPr>
          <w:rFonts w:hint="eastAsia" w:ascii="仿宋" w:hAnsi="仿宋" w:eastAsia="仿宋" w:cs="Arial"/>
          <w:b/>
          <w:color w:val="000000"/>
          <w:sz w:val="30"/>
          <w:szCs w:val="30"/>
        </w:rPr>
        <w:t>二、</w:t>
      </w:r>
      <w:r>
        <w:rPr>
          <w:rFonts w:hint="eastAsia" w:ascii="仿宋" w:hAnsi="仿宋" w:eastAsia="仿宋" w:cs="Arial"/>
          <w:b/>
          <w:color w:val="000000"/>
          <w:sz w:val="28"/>
          <w:szCs w:val="28"/>
        </w:rPr>
        <w:t>公告期限：5个工作日</w:t>
      </w:r>
    </w:p>
    <w:p>
      <w:pPr>
        <w:snapToGrid w:val="0"/>
        <w:spacing w:after="156" w:afterLines="50" w:line="460" w:lineRule="exact"/>
        <w:ind w:firstLine="602" w:firstLineChars="200"/>
        <w:rPr>
          <w:rFonts w:hint="eastAsia" w:ascii="仿宋" w:hAnsi="仿宋" w:eastAsia="仿宋" w:cs="Arial"/>
          <w:b/>
          <w:color w:val="000000"/>
          <w:sz w:val="28"/>
          <w:szCs w:val="28"/>
        </w:rPr>
      </w:pPr>
      <w:r>
        <w:rPr>
          <w:rFonts w:hint="eastAsia" w:ascii="仿宋" w:hAnsi="仿宋" w:eastAsia="仿宋" w:cs="Arial"/>
          <w:b/>
          <w:color w:val="000000"/>
          <w:sz w:val="30"/>
          <w:szCs w:val="30"/>
        </w:rPr>
        <w:t>三、</w:t>
      </w:r>
      <w:r>
        <w:rPr>
          <w:rFonts w:hint="eastAsia" w:ascii="仿宋" w:hAnsi="仿宋" w:eastAsia="仿宋" w:cs="Arial"/>
          <w:b/>
          <w:color w:val="000000"/>
          <w:sz w:val="28"/>
          <w:szCs w:val="28"/>
        </w:rPr>
        <w:t>采购项目内容、数量及预算</w:t>
      </w:r>
      <w:bookmarkStart w:id="4" w:name="PO_15528_PM004"/>
      <w:r>
        <w:rPr>
          <w:rFonts w:hint="eastAsia" w:ascii="仿宋" w:hAnsi="仿宋" w:eastAsia="仿宋" w:cs="Arial"/>
          <w:b/>
          <w:color w:val="000000"/>
          <w:sz w:val="28"/>
          <w:szCs w:val="28"/>
        </w:rPr>
        <w:t xml:space="preserve"> </w:t>
      </w:r>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4"/>
        <w:gridCol w:w="1064"/>
        <w:gridCol w:w="1065"/>
        <w:gridCol w:w="1065"/>
        <w:gridCol w:w="1065"/>
        <w:gridCol w:w="1065"/>
        <w:gridCol w:w="1067"/>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pct"/>
            <w:noWrap w:val="0"/>
            <w:vAlign w:val="top"/>
          </w:tcPr>
          <w:p>
            <w:pPr>
              <w:snapToGrid w:val="0"/>
              <w:spacing w:after="156" w:afterLines="50" w:line="460" w:lineRule="exact"/>
              <w:rPr>
                <w:rFonts w:hint="eastAsia" w:ascii="仿宋" w:hAnsi="仿宋" w:eastAsia="仿宋" w:cs="Arial"/>
                <w:b/>
                <w:color w:val="000000"/>
                <w:sz w:val="28"/>
                <w:szCs w:val="28"/>
              </w:rPr>
            </w:pPr>
            <w:r>
              <w:rPr>
                <w:rFonts w:hint="eastAsia" w:ascii="仿宋" w:hAnsi="仿宋" w:eastAsia="仿宋" w:cs="Arial"/>
                <w:b/>
                <w:color w:val="000000"/>
                <w:sz w:val="28"/>
                <w:szCs w:val="28"/>
              </w:rPr>
              <w:t>标项序号</w:t>
            </w:r>
          </w:p>
        </w:tc>
        <w:tc>
          <w:tcPr>
            <w:tcW w:w="624" w:type="pct"/>
            <w:noWrap w:val="0"/>
            <w:vAlign w:val="top"/>
          </w:tcPr>
          <w:p>
            <w:pPr>
              <w:snapToGrid w:val="0"/>
              <w:spacing w:after="156" w:afterLines="50" w:line="460" w:lineRule="exact"/>
              <w:rPr>
                <w:rFonts w:hint="eastAsia" w:ascii="仿宋" w:hAnsi="仿宋" w:eastAsia="仿宋" w:cs="Arial"/>
                <w:b/>
                <w:color w:val="000000"/>
                <w:sz w:val="28"/>
                <w:szCs w:val="28"/>
              </w:rPr>
            </w:pPr>
            <w:r>
              <w:rPr>
                <w:rFonts w:hint="eastAsia" w:ascii="仿宋" w:hAnsi="仿宋" w:eastAsia="仿宋" w:cs="Arial"/>
                <w:b/>
                <w:color w:val="000000"/>
                <w:sz w:val="28"/>
                <w:szCs w:val="28"/>
              </w:rPr>
              <w:t>标项名称</w:t>
            </w:r>
          </w:p>
        </w:tc>
        <w:tc>
          <w:tcPr>
            <w:tcW w:w="624" w:type="pct"/>
            <w:noWrap w:val="0"/>
            <w:vAlign w:val="top"/>
          </w:tcPr>
          <w:p>
            <w:pPr>
              <w:snapToGrid w:val="0"/>
              <w:spacing w:after="156" w:afterLines="50" w:line="460" w:lineRule="exact"/>
              <w:rPr>
                <w:rFonts w:hint="eastAsia" w:ascii="仿宋" w:hAnsi="仿宋" w:eastAsia="仿宋" w:cs="Arial"/>
                <w:b/>
                <w:color w:val="000000"/>
                <w:sz w:val="28"/>
                <w:szCs w:val="28"/>
              </w:rPr>
            </w:pPr>
            <w:r>
              <w:rPr>
                <w:rFonts w:hint="eastAsia" w:ascii="仿宋" w:hAnsi="仿宋" w:eastAsia="仿宋" w:cs="Arial"/>
                <w:b/>
                <w:color w:val="000000"/>
                <w:sz w:val="28"/>
                <w:szCs w:val="28"/>
              </w:rPr>
              <w:t>数量</w:t>
            </w:r>
          </w:p>
        </w:tc>
        <w:tc>
          <w:tcPr>
            <w:tcW w:w="624" w:type="pct"/>
            <w:noWrap w:val="0"/>
            <w:vAlign w:val="top"/>
          </w:tcPr>
          <w:p>
            <w:pPr>
              <w:snapToGrid w:val="0"/>
              <w:spacing w:after="156" w:afterLines="50" w:line="460" w:lineRule="exact"/>
              <w:rPr>
                <w:rFonts w:hint="eastAsia" w:ascii="仿宋" w:hAnsi="仿宋" w:eastAsia="仿宋" w:cs="Arial"/>
                <w:b/>
                <w:color w:val="000000"/>
                <w:sz w:val="28"/>
                <w:szCs w:val="28"/>
              </w:rPr>
            </w:pPr>
            <w:r>
              <w:rPr>
                <w:rFonts w:hint="eastAsia" w:ascii="仿宋" w:hAnsi="仿宋" w:eastAsia="仿宋" w:cs="Arial"/>
                <w:b/>
                <w:color w:val="000000"/>
                <w:sz w:val="28"/>
                <w:szCs w:val="28"/>
              </w:rPr>
              <w:t>单位</w:t>
            </w:r>
          </w:p>
        </w:tc>
        <w:tc>
          <w:tcPr>
            <w:tcW w:w="624" w:type="pct"/>
            <w:noWrap w:val="0"/>
            <w:vAlign w:val="top"/>
          </w:tcPr>
          <w:p>
            <w:pPr>
              <w:snapToGrid w:val="0"/>
              <w:spacing w:after="156" w:afterLines="50" w:line="460" w:lineRule="exact"/>
              <w:rPr>
                <w:rFonts w:hint="eastAsia" w:ascii="仿宋" w:hAnsi="仿宋" w:eastAsia="仿宋" w:cs="Arial"/>
                <w:b/>
                <w:color w:val="000000"/>
                <w:sz w:val="28"/>
                <w:szCs w:val="28"/>
              </w:rPr>
            </w:pPr>
            <w:r>
              <w:rPr>
                <w:rFonts w:hint="eastAsia" w:ascii="仿宋" w:hAnsi="仿宋" w:eastAsia="仿宋" w:cs="Arial"/>
                <w:b/>
                <w:color w:val="000000"/>
                <w:sz w:val="28"/>
                <w:szCs w:val="28"/>
              </w:rPr>
              <w:t>预算金额(万元)</w:t>
            </w:r>
          </w:p>
        </w:tc>
        <w:tc>
          <w:tcPr>
            <w:tcW w:w="624" w:type="pct"/>
            <w:noWrap w:val="0"/>
            <w:vAlign w:val="top"/>
          </w:tcPr>
          <w:p>
            <w:pPr>
              <w:snapToGrid w:val="0"/>
              <w:spacing w:after="156" w:afterLines="50" w:line="460" w:lineRule="exact"/>
              <w:rPr>
                <w:rFonts w:hint="eastAsia" w:ascii="仿宋" w:hAnsi="仿宋" w:eastAsia="仿宋" w:cs="Arial"/>
                <w:b/>
                <w:color w:val="000000"/>
                <w:sz w:val="28"/>
                <w:szCs w:val="28"/>
              </w:rPr>
            </w:pPr>
            <w:r>
              <w:rPr>
                <w:rFonts w:hint="eastAsia" w:ascii="仿宋" w:hAnsi="仿宋" w:eastAsia="仿宋" w:cs="Arial"/>
                <w:b/>
                <w:color w:val="000000"/>
                <w:sz w:val="28"/>
                <w:szCs w:val="28"/>
              </w:rPr>
              <w:t>简要规格描述或标项基本概况介绍</w:t>
            </w:r>
          </w:p>
        </w:tc>
        <w:tc>
          <w:tcPr>
            <w:tcW w:w="625" w:type="pct"/>
            <w:noWrap w:val="0"/>
            <w:vAlign w:val="top"/>
          </w:tcPr>
          <w:p>
            <w:pPr>
              <w:snapToGrid w:val="0"/>
              <w:spacing w:after="156" w:afterLines="50" w:line="460" w:lineRule="exact"/>
              <w:rPr>
                <w:rFonts w:hint="eastAsia" w:ascii="仿宋" w:hAnsi="仿宋" w:eastAsia="仿宋" w:cs="Arial"/>
                <w:b/>
                <w:color w:val="000000"/>
                <w:sz w:val="28"/>
                <w:szCs w:val="28"/>
              </w:rPr>
            </w:pPr>
            <w:r>
              <w:rPr>
                <w:rFonts w:hint="eastAsia" w:ascii="仿宋" w:hAnsi="仿宋" w:eastAsia="仿宋" w:cs="Arial"/>
                <w:b/>
                <w:color w:val="000000"/>
                <w:sz w:val="28"/>
                <w:szCs w:val="28"/>
              </w:rPr>
              <w:t>最高限价(万元)</w:t>
            </w:r>
          </w:p>
        </w:tc>
        <w:tc>
          <w:tcPr>
            <w:tcW w:w="625" w:type="pct"/>
            <w:noWrap w:val="0"/>
            <w:vAlign w:val="top"/>
          </w:tcPr>
          <w:p>
            <w:pPr>
              <w:snapToGrid w:val="0"/>
              <w:spacing w:after="156" w:afterLines="50" w:line="460" w:lineRule="exact"/>
              <w:rPr>
                <w:rFonts w:hint="eastAsia" w:ascii="仿宋" w:hAnsi="仿宋" w:eastAsia="仿宋" w:cs="Arial"/>
                <w:b/>
                <w:color w:val="000000"/>
                <w:sz w:val="28"/>
                <w:szCs w:val="28"/>
              </w:rPr>
            </w:pPr>
            <w:r>
              <w:rPr>
                <w:rFonts w:hint="eastAsia" w:ascii="仿宋" w:hAnsi="仿宋" w:eastAsia="仿宋" w:cs="Arial"/>
                <w:b/>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pct"/>
            <w:noWrap w:val="0"/>
            <w:vAlign w:val="top"/>
          </w:tcPr>
          <w:p>
            <w:pPr>
              <w:snapToGrid w:val="0"/>
              <w:spacing w:after="156" w:afterLines="50" w:line="460" w:lineRule="exact"/>
              <w:rPr>
                <w:rFonts w:hint="eastAsia" w:ascii="仿宋" w:hAnsi="仿宋" w:eastAsia="仿宋" w:cs="Arial"/>
                <w:b/>
                <w:color w:val="000000"/>
                <w:sz w:val="28"/>
                <w:szCs w:val="28"/>
              </w:rPr>
            </w:pPr>
            <w:r>
              <w:rPr>
                <w:rFonts w:hint="eastAsia" w:ascii="仿宋" w:hAnsi="仿宋" w:eastAsia="仿宋" w:cs="Arial"/>
                <w:b/>
                <w:color w:val="000000"/>
                <w:sz w:val="28"/>
                <w:szCs w:val="28"/>
              </w:rPr>
              <w:t>1</w:t>
            </w:r>
          </w:p>
        </w:tc>
        <w:tc>
          <w:tcPr>
            <w:tcW w:w="624" w:type="pct"/>
            <w:noWrap w:val="0"/>
            <w:vAlign w:val="top"/>
          </w:tcPr>
          <w:p>
            <w:pPr>
              <w:snapToGrid w:val="0"/>
              <w:spacing w:after="156" w:afterLines="50" w:line="460" w:lineRule="exact"/>
              <w:rPr>
                <w:rFonts w:hint="eastAsia" w:ascii="仿宋" w:hAnsi="仿宋" w:eastAsia="仿宋" w:cs="Arial"/>
                <w:b/>
                <w:color w:val="000000"/>
                <w:sz w:val="28"/>
                <w:szCs w:val="28"/>
              </w:rPr>
            </w:pPr>
            <w:r>
              <w:rPr>
                <w:rFonts w:hint="eastAsia" w:ascii="仿宋" w:hAnsi="仿宋" w:eastAsia="仿宋" w:cs="Arial"/>
                <w:b/>
                <w:color w:val="000000"/>
                <w:sz w:val="28"/>
                <w:szCs w:val="28"/>
              </w:rPr>
              <w:t>浙江财经大学经管实验中心实验室建设四期项目</w:t>
            </w:r>
          </w:p>
        </w:tc>
        <w:tc>
          <w:tcPr>
            <w:tcW w:w="624" w:type="pct"/>
            <w:noWrap w:val="0"/>
            <w:vAlign w:val="top"/>
          </w:tcPr>
          <w:p>
            <w:pPr>
              <w:snapToGrid w:val="0"/>
              <w:spacing w:after="156" w:afterLines="50" w:line="460" w:lineRule="exact"/>
              <w:rPr>
                <w:rFonts w:hint="eastAsia" w:ascii="仿宋" w:hAnsi="仿宋" w:eastAsia="仿宋" w:cs="Arial"/>
                <w:b/>
                <w:color w:val="000000"/>
                <w:sz w:val="28"/>
                <w:szCs w:val="28"/>
              </w:rPr>
            </w:pPr>
            <w:r>
              <w:rPr>
                <w:rFonts w:hint="eastAsia" w:ascii="仿宋" w:hAnsi="仿宋" w:eastAsia="仿宋" w:cs="Arial"/>
                <w:b/>
                <w:color w:val="000000"/>
                <w:sz w:val="28"/>
                <w:szCs w:val="28"/>
              </w:rPr>
              <w:t>不限</w:t>
            </w:r>
          </w:p>
        </w:tc>
        <w:tc>
          <w:tcPr>
            <w:tcW w:w="624" w:type="pct"/>
            <w:noWrap w:val="0"/>
            <w:vAlign w:val="top"/>
          </w:tcPr>
          <w:p>
            <w:pPr>
              <w:snapToGrid w:val="0"/>
              <w:spacing w:after="156" w:afterLines="50" w:line="460" w:lineRule="exact"/>
              <w:rPr>
                <w:rFonts w:hint="eastAsia" w:ascii="仿宋" w:hAnsi="仿宋" w:eastAsia="仿宋" w:cs="Arial"/>
                <w:b/>
                <w:color w:val="000000"/>
                <w:sz w:val="28"/>
                <w:szCs w:val="28"/>
              </w:rPr>
            </w:pPr>
            <w:r>
              <w:rPr>
                <w:rFonts w:hint="eastAsia" w:ascii="仿宋" w:hAnsi="仿宋" w:eastAsia="仿宋" w:cs="Arial"/>
                <w:b/>
                <w:color w:val="000000"/>
                <w:sz w:val="28"/>
                <w:szCs w:val="28"/>
              </w:rPr>
              <w:t>批</w:t>
            </w:r>
          </w:p>
        </w:tc>
        <w:tc>
          <w:tcPr>
            <w:tcW w:w="624" w:type="pct"/>
            <w:noWrap w:val="0"/>
            <w:vAlign w:val="top"/>
          </w:tcPr>
          <w:p>
            <w:pPr>
              <w:snapToGrid w:val="0"/>
              <w:spacing w:after="156" w:afterLines="50" w:line="460" w:lineRule="exact"/>
              <w:rPr>
                <w:rFonts w:hint="eastAsia" w:ascii="仿宋" w:hAnsi="仿宋" w:eastAsia="仿宋" w:cs="Arial"/>
                <w:b/>
                <w:color w:val="000000"/>
                <w:sz w:val="28"/>
                <w:szCs w:val="28"/>
              </w:rPr>
            </w:pPr>
            <w:r>
              <w:rPr>
                <w:rFonts w:hint="eastAsia" w:ascii="仿宋" w:hAnsi="仿宋" w:eastAsia="仿宋" w:cs="Arial"/>
                <w:b/>
                <w:color w:val="000000"/>
                <w:sz w:val="28"/>
                <w:szCs w:val="28"/>
              </w:rPr>
              <w:t>250</w:t>
            </w:r>
          </w:p>
        </w:tc>
        <w:tc>
          <w:tcPr>
            <w:tcW w:w="624" w:type="pct"/>
            <w:noWrap w:val="0"/>
            <w:vAlign w:val="top"/>
          </w:tcPr>
          <w:p>
            <w:pPr>
              <w:snapToGrid w:val="0"/>
              <w:spacing w:after="156" w:afterLines="50" w:line="460" w:lineRule="exact"/>
              <w:rPr>
                <w:rFonts w:hint="eastAsia" w:ascii="仿宋" w:hAnsi="仿宋" w:eastAsia="仿宋" w:cs="Arial"/>
                <w:b/>
                <w:color w:val="000000"/>
                <w:sz w:val="28"/>
                <w:szCs w:val="28"/>
              </w:rPr>
            </w:pPr>
            <w:r>
              <w:rPr>
                <w:rFonts w:hint="eastAsia" w:ascii="仿宋" w:hAnsi="仿宋" w:eastAsia="仿宋" w:cs="Arial"/>
                <w:b/>
                <w:color w:val="000000"/>
                <w:sz w:val="28"/>
                <w:szCs w:val="28"/>
              </w:rPr>
              <w:t>详见需求</w:t>
            </w:r>
          </w:p>
        </w:tc>
        <w:tc>
          <w:tcPr>
            <w:tcW w:w="625" w:type="pct"/>
            <w:noWrap w:val="0"/>
            <w:vAlign w:val="top"/>
          </w:tcPr>
          <w:p>
            <w:pPr>
              <w:snapToGrid w:val="0"/>
              <w:spacing w:after="156" w:afterLines="50" w:line="460" w:lineRule="exact"/>
              <w:rPr>
                <w:rFonts w:hint="eastAsia" w:ascii="仿宋" w:hAnsi="仿宋" w:eastAsia="仿宋" w:cs="Arial"/>
                <w:b/>
                <w:color w:val="000000"/>
                <w:sz w:val="28"/>
                <w:szCs w:val="28"/>
              </w:rPr>
            </w:pPr>
          </w:p>
        </w:tc>
        <w:tc>
          <w:tcPr>
            <w:tcW w:w="625" w:type="pct"/>
            <w:noWrap w:val="0"/>
            <w:vAlign w:val="top"/>
          </w:tcPr>
          <w:p>
            <w:pPr>
              <w:snapToGrid w:val="0"/>
              <w:spacing w:after="156" w:afterLines="50" w:line="460" w:lineRule="exact"/>
              <w:rPr>
                <w:rFonts w:hint="eastAsia" w:ascii="仿宋" w:hAnsi="仿宋" w:eastAsia="仿宋" w:cs="Arial"/>
                <w:b/>
                <w:color w:val="000000"/>
                <w:sz w:val="28"/>
                <w:szCs w:val="28"/>
              </w:rPr>
            </w:pPr>
          </w:p>
        </w:tc>
      </w:tr>
    </w:tbl>
    <w:p>
      <w:pPr>
        <w:snapToGrid w:val="0"/>
        <w:spacing w:after="156" w:afterLines="50" w:line="460" w:lineRule="exact"/>
        <w:ind w:firstLine="562" w:firstLineChars="200"/>
        <w:rPr>
          <w:rFonts w:hint="eastAsia" w:ascii="仿宋" w:hAnsi="仿宋" w:eastAsia="仿宋" w:cs="Arial"/>
          <w:b/>
          <w:color w:val="000000"/>
          <w:sz w:val="28"/>
          <w:szCs w:val="28"/>
        </w:rPr>
      </w:pPr>
      <w:r>
        <w:rPr>
          <w:rFonts w:hint="eastAsia" w:ascii="仿宋" w:hAnsi="仿宋" w:eastAsia="仿宋" w:cs="Arial"/>
          <w:b/>
          <w:color w:val="000000"/>
          <w:sz w:val="28"/>
          <w:szCs w:val="28"/>
        </w:rPr>
        <w:t xml:space="preserve"> </w:t>
      </w:r>
      <w:bookmarkEnd w:id="4"/>
    </w:p>
    <w:p>
      <w:pPr>
        <w:snapToGrid w:val="0"/>
        <w:spacing w:line="46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四、合格投标人的资格要求</w:t>
      </w:r>
    </w:p>
    <w:p>
      <w:pPr>
        <w:snapToGrid w:val="0"/>
        <w:spacing w:line="460" w:lineRule="exact"/>
        <w:ind w:firstLine="560" w:firstLineChars="200"/>
        <w:rPr>
          <w:rFonts w:ascii="仿宋" w:hAnsi="仿宋" w:eastAsia="仿宋" w:cs="Arial"/>
          <w:bCs/>
          <w:color w:val="000000"/>
          <w:sz w:val="28"/>
          <w:szCs w:val="28"/>
        </w:rPr>
      </w:pPr>
      <w:r>
        <w:rPr>
          <w:rFonts w:hint="eastAsia" w:ascii="仿宋" w:hAnsi="仿宋" w:eastAsia="仿宋" w:cs="Arial"/>
          <w:bCs/>
          <w:color w:val="000000"/>
          <w:sz w:val="28"/>
          <w:szCs w:val="28"/>
        </w:rPr>
        <w:t>符合《中华人民共和国政府采购法》第二十二条规定,且未被</w:t>
      </w:r>
      <w:r>
        <w:rPr>
          <w:rFonts w:hint="eastAsia" w:ascii="仿宋" w:hAnsi="仿宋" w:eastAsia="仿宋"/>
          <w:color w:val="000000"/>
          <w:sz w:val="28"/>
          <w:szCs w:val="28"/>
        </w:rPr>
        <w:t>“信用中国”（www.creditchina.gov.cn）、中国政府采购网（www.ccgp.gov.cn）列入失信被执行人、重大税收违法案件当事人名单、政府采购严重违法失信行为记录名单。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ascii="仿宋" w:hAnsi="仿宋" w:eastAsia="仿宋" w:cs="Arial"/>
          <w:b/>
          <w:bCs/>
          <w:color w:val="000000"/>
          <w:sz w:val="30"/>
          <w:szCs w:val="30"/>
        </w:rPr>
      </w:pPr>
      <w:bookmarkStart w:id="5" w:name="PO_416_PM006"/>
      <w:r>
        <w:rPr>
          <w:rFonts w:hint="eastAsia" w:ascii="仿宋" w:hAnsi="仿宋" w:eastAsia="仿宋" w:cs="Arial"/>
          <w:b/>
          <w:bCs/>
          <w:color w:val="000000"/>
          <w:sz w:val="30"/>
          <w:szCs w:val="30"/>
        </w:rPr>
        <w:t>标项1:本项目专门面向中小企业，请单独上传《中小企业声明函》。</w:t>
      </w:r>
      <w:bookmarkEnd w:id="5"/>
      <w:r>
        <w:rPr>
          <w:rFonts w:hint="eastAsia" w:ascii="仿宋" w:hAnsi="仿宋" w:eastAsia="仿宋" w:cs="Arial"/>
          <w:b/>
          <w:bCs/>
          <w:color w:val="000000"/>
          <w:sz w:val="30"/>
          <w:szCs w:val="30"/>
        </w:rPr>
        <w:t>投标人的特定条件：[项目采购-供应商特定资格要求]</w:t>
      </w:r>
    </w:p>
    <w:p>
      <w:pPr>
        <w:snapToGrid w:val="0"/>
        <w:spacing w:line="500" w:lineRule="exact"/>
        <w:ind w:firstLine="602" w:firstLineChars="200"/>
        <w:rPr>
          <w:rFonts w:hint="eastAsia" w:ascii="仿宋" w:hAnsi="仿宋" w:eastAsia="仿宋"/>
          <w:color w:val="000000"/>
          <w:sz w:val="28"/>
          <w:szCs w:val="28"/>
        </w:rPr>
      </w:pPr>
      <w:bookmarkStart w:id="6" w:name="PO_15528_PM007"/>
      <w:r>
        <w:rPr>
          <w:rFonts w:hint="eastAsia" w:ascii="仿宋" w:hAnsi="仿宋" w:eastAsia="仿宋" w:cs="Arial"/>
          <w:b/>
          <w:bCs/>
          <w:color w:val="000000"/>
          <w:sz w:val="30"/>
          <w:szCs w:val="30"/>
        </w:rPr>
        <w:t>标项1:允许联合体投标</w:t>
      </w:r>
      <w:bookmarkEnd w:id="6"/>
    </w:p>
    <w:p>
      <w:pPr>
        <w:snapToGrid w:val="0"/>
        <w:spacing w:line="500" w:lineRule="exact"/>
        <w:ind w:firstLine="562" w:firstLineChars="200"/>
        <w:rPr>
          <w:rFonts w:ascii="宋体" w:hAnsi="宋体" w:cs="Arial"/>
          <w:b/>
          <w:bCs/>
          <w:color w:val="000000"/>
          <w:sz w:val="28"/>
          <w:szCs w:val="28"/>
        </w:rPr>
      </w:pPr>
      <w:r>
        <w:rPr>
          <w:rFonts w:hint="eastAsia" w:ascii="宋体" w:hAnsi="宋体" w:cs="仿宋"/>
          <w:b/>
          <w:bCs/>
          <w:color w:val="000000"/>
          <w:kern w:val="0"/>
          <w:sz w:val="28"/>
          <w:szCs w:val="28"/>
          <w:lang w:val="zh-CN"/>
        </w:rPr>
        <w:t>五、获取采购文件</w:t>
      </w:r>
    </w:p>
    <w:p>
      <w:pPr>
        <w:snapToGrid w:val="0"/>
        <w:spacing w:line="500" w:lineRule="exact"/>
        <w:ind w:firstLine="560" w:firstLineChars="200"/>
        <w:rPr>
          <w:rFonts w:ascii="宋体" w:hAnsi="宋体"/>
          <w:color w:val="000000"/>
          <w:kern w:val="0"/>
          <w:sz w:val="28"/>
          <w:szCs w:val="28"/>
        </w:rPr>
      </w:pPr>
      <w:r>
        <w:rPr>
          <w:rFonts w:hint="eastAsia" w:ascii="宋体" w:hAnsi="宋体"/>
          <w:color w:val="000000"/>
          <w:kern w:val="0"/>
          <w:sz w:val="28"/>
          <w:szCs w:val="28"/>
        </w:rPr>
        <w:t>1.获取时间：</w:t>
      </w:r>
      <w:r>
        <w:rPr>
          <w:rFonts w:hint="eastAsia" w:ascii="仿宋" w:hAnsi="仿宋" w:eastAsia="仿宋"/>
          <w:color w:val="000000"/>
          <w:kern w:val="0"/>
          <w:sz w:val="30"/>
          <w:szCs w:val="30"/>
        </w:rPr>
        <w:t xml:space="preserve">[项目采购-报名开始日期] 至 </w:t>
      </w:r>
      <w:bookmarkStart w:id="7" w:name="PO_15528_PM009"/>
      <w:r>
        <w:rPr>
          <w:rFonts w:hint="eastAsia" w:ascii="仿宋" w:hAnsi="仿宋" w:eastAsia="仿宋"/>
          <w:color w:val="000000"/>
          <w:kern w:val="0"/>
          <w:sz w:val="30"/>
          <w:szCs w:val="30"/>
          <w:lang w:eastAsia="zh-CN"/>
        </w:rPr>
        <w:t>2024-06-04 09:00:00</w:t>
      </w:r>
      <w:bookmarkEnd w:id="7"/>
      <w:r>
        <w:rPr>
          <w:rFonts w:hint="eastAsia" w:ascii="宋体" w:hAnsi="宋体"/>
          <w:color w:val="000000"/>
          <w:kern w:val="0"/>
          <w:sz w:val="28"/>
          <w:szCs w:val="28"/>
        </w:rPr>
        <w:t>。</w:t>
      </w:r>
    </w:p>
    <w:p>
      <w:pPr>
        <w:autoSpaceDE w:val="0"/>
        <w:autoSpaceDN w:val="0"/>
        <w:adjustRightInd w:val="0"/>
        <w:snapToGrid w:val="0"/>
        <w:spacing w:line="500" w:lineRule="exact"/>
        <w:ind w:firstLine="600"/>
        <w:rPr>
          <w:rFonts w:ascii="宋体" w:hAnsi="宋体" w:cs="仿宋"/>
          <w:color w:val="000000"/>
          <w:kern w:val="0"/>
          <w:sz w:val="28"/>
          <w:szCs w:val="28"/>
          <w:lang w:val="zh-CN"/>
        </w:rPr>
      </w:pPr>
      <w:r>
        <w:rPr>
          <w:rFonts w:hint="eastAsia" w:ascii="宋体" w:hAnsi="宋体" w:cs="仿宋"/>
          <w:color w:val="000000"/>
          <w:kern w:val="0"/>
          <w:sz w:val="28"/>
          <w:szCs w:val="28"/>
          <w:lang w:val="zh-CN"/>
        </w:rPr>
        <w:t>2.获取方式：本项目招标文件实行网上获取。供应商登录浙江政府采购网（</w:t>
      </w:r>
      <w:r>
        <w:fldChar w:fldCharType="begin"/>
      </w:r>
      <w:r>
        <w:instrText xml:space="preserve"> HYPERLINK "http://zfcg.czt.zj.gov.cn/" </w:instrText>
      </w:r>
      <w:r>
        <w:fldChar w:fldCharType="separate"/>
      </w:r>
      <w:r>
        <w:rPr>
          <w:rStyle w:val="69"/>
          <w:color w:val="000000"/>
          <w:sz w:val="28"/>
          <w:szCs w:val="28"/>
        </w:rPr>
        <w:t>http://zfcg.czt.zj.gov.cn/</w:t>
      </w:r>
      <w:r>
        <w:rPr>
          <w:rStyle w:val="69"/>
          <w:color w:val="000000"/>
          <w:sz w:val="28"/>
          <w:szCs w:val="28"/>
        </w:rPr>
        <w:fldChar w:fldCharType="end"/>
      </w:r>
      <w:r>
        <w:rPr>
          <w:rFonts w:hint="eastAsia" w:ascii="宋体" w:hAnsi="宋体" w:cs="仿宋"/>
          <w:color w:val="000000"/>
          <w:kern w:val="0"/>
          <w:sz w:val="28"/>
          <w:szCs w:val="28"/>
          <w:lang w:val="zh-CN"/>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color w:val="000000"/>
          <w:kern w:val="0"/>
          <w:sz w:val="28"/>
          <w:szCs w:val="28"/>
          <w:lang w:val="zh-CN"/>
        </w:rPr>
      </w:pPr>
      <w:r>
        <w:rPr>
          <w:rFonts w:hint="eastAsia" w:ascii="宋体" w:hAnsi="宋体" w:cs="仿宋"/>
          <w:color w:val="000000"/>
          <w:kern w:val="0"/>
          <w:sz w:val="28"/>
          <w:szCs w:val="28"/>
          <w:lang w:val="zh-CN"/>
        </w:rPr>
        <w:t>3.招标文件免费获取。</w:t>
      </w:r>
    </w:p>
    <w:p>
      <w:pPr>
        <w:snapToGrid w:val="0"/>
        <w:spacing w:line="500" w:lineRule="exact"/>
        <w:ind w:firstLine="562" w:firstLineChars="200"/>
        <w:rPr>
          <w:rFonts w:ascii="宋体" w:hAnsi="宋体"/>
          <w:b/>
          <w:color w:val="000000"/>
          <w:kern w:val="0"/>
          <w:sz w:val="28"/>
          <w:szCs w:val="28"/>
        </w:rPr>
      </w:pPr>
      <w:r>
        <w:rPr>
          <w:rFonts w:hint="eastAsia" w:ascii="宋体" w:hAnsi="宋体" w:cs="Arial"/>
          <w:b/>
          <w:bCs/>
          <w:color w:val="000000"/>
          <w:sz w:val="28"/>
          <w:szCs w:val="28"/>
        </w:rPr>
        <w:t>六、投标截止时间、地点和形式</w:t>
      </w:r>
    </w:p>
    <w:p>
      <w:pPr>
        <w:pStyle w:val="31"/>
        <w:adjustRightInd w:val="0"/>
        <w:snapToGrid w:val="0"/>
        <w:spacing w:before="156" w:after="156" w:line="500" w:lineRule="exact"/>
        <w:ind w:firstLine="565" w:firstLineChars="201"/>
        <w:rPr>
          <w:rFonts w:hAnsi="宋体"/>
          <w:color w:val="000000"/>
          <w:kern w:val="0"/>
          <w:sz w:val="28"/>
          <w:szCs w:val="28"/>
        </w:rPr>
      </w:pPr>
      <w:r>
        <w:rPr>
          <w:rFonts w:hint="eastAsia" w:hAnsi="宋体"/>
          <w:b/>
          <w:color w:val="000000"/>
          <w:kern w:val="0"/>
          <w:sz w:val="28"/>
          <w:szCs w:val="28"/>
        </w:rPr>
        <w:t>投标截止时间：</w:t>
      </w:r>
      <w:bookmarkStart w:id="8" w:name="PO_15528_PM015"/>
      <w:r>
        <w:rPr>
          <w:rFonts w:hint="eastAsia" w:ascii="仿宋" w:hAnsi="仿宋" w:eastAsia="仿宋" w:cs="Arial"/>
          <w:color w:val="000000"/>
          <w:sz w:val="30"/>
          <w:szCs w:val="30"/>
          <w:lang w:eastAsia="zh-CN"/>
        </w:rPr>
        <w:t>2024-06-04 09:00:00</w:t>
      </w:r>
      <w:bookmarkEnd w:id="8"/>
      <w:r>
        <w:rPr>
          <w:rFonts w:hint="eastAsia" w:hAnsi="宋体"/>
          <w:b/>
          <w:color w:val="000000"/>
          <w:kern w:val="0"/>
          <w:sz w:val="28"/>
          <w:szCs w:val="28"/>
        </w:rPr>
        <w:t>。</w:t>
      </w:r>
    </w:p>
    <w:p>
      <w:pPr>
        <w:pStyle w:val="31"/>
        <w:adjustRightInd w:val="0"/>
        <w:snapToGrid w:val="0"/>
        <w:spacing w:before="156" w:after="156" w:line="500" w:lineRule="exact"/>
        <w:ind w:firstLine="562" w:firstLineChars="201"/>
        <w:rPr>
          <w:rFonts w:hAnsi="宋体"/>
          <w:color w:val="000000"/>
          <w:kern w:val="0"/>
          <w:sz w:val="28"/>
          <w:szCs w:val="28"/>
        </w:rPr>
      </w:pPr>
      <w:r>
        <w:rPr>
          <w:rFonts w:hint="eastAsia" w:hAnsi="宋体"/>
          <w:color w:val="000000"/>
          <w:kern w:val="0"/>
          <w:sz w:val="28"/>
          <w:szCs w:val="28"/>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31"/>
        <w:adjustRightInd w:val="0"/>
        <w:snapToGrid w:val="0"/>
        <w:spacing w:before="156" w:after="156" w:line="500" w:lineRule="exact"/>
        <w:ind w:firstLine="562" w:firstLineChars="201"/>
        <w:rPr>
          <w:rFonts w:hAnsi="宋体"/>
          <w:color w:val="000000"/>
          <w:kern w:val="0"/>
          <w:sz w:val="28"/>
          <w:szCs w:val="28"/>
        </w:rPr>
      </w:pPr>
      <w:r>
        <w:rPr>
          <w:rFonts w:hint="eastAsia" w:hAnsi="宋体"/>
          <w:color w:val="000000"/>
          <w:kern w:val="0"/>
          <w:sz w:val="28"/>
          <w:szCs w:val="28"/>
        </w:rPr>
        <w:t>如认为需要，投标人可以选择递交备份投标文件，采用数据电文形式，以U盘或DVD光盘形式存储，并在投标截止时间前，通过邮寄方式，送达指定地点，逾期送达或未密封将被拒收。</w:t>
      </w:r>
    </w:p>
    <w:p>
      <w:pPr>
        <w:pStyle w:val="31"/>
        <w:adjustRightInd w:val="0"/>
        <w:snapToGrid w:val="0"/>
        <w:spacing w:before="156" w:after="156" w:line="500" w:lineRule="exact"/>
        <w:ind w:firstLine="562" w:firstLineChars="201"/>
        <w:rPr>
          <w:rFonts w:hint="eastAsia" w:hAnsi="宋体"/>
          <w:color w:val="000000"/>
          <w:kern w:val="0"/>
          <w:sz w:val="28"/>
          <w:szCs w:val="28"/>
        </w:rPr>
      </w:pPr>
      <w:r>
        <w:rPr>
          <w:rFonts w:hint="eastAsia" w:hAnsi="宋体"/>
          <w:color w:val="000000"/>
          <w:kern w:val="0"/>
          <w:sz w:val="28"/>
          <w:szCs w:val="28"/>
          <w:lang w:val="en-US" w:eastAsia="zh-CN"/>
        </w:rPr>
        <w:t>演示及</w:t>
      </w:r>
      <w:r>
        <w:rPr>
          <w:rFonts w:hint="eastAsia" w:hAnsi="宋体"/>
          <w:color w:val="000000"/>
          <w:kern w:val="0"/>
          <w:sz w:val="28"/>
          <w:szCs w:val="28"/>
        </w:rPr>
        <w:t>备份文件收件人：陶老师，联系方式：0571-88901836，收件地址：浙江省杭州市西湖区宝石一路3号省政府采购中心。（收件时间：上午8:30-11:30，下午14:30-17:30，节假日、双休日除外，推荐使用中国邮政速递和顺丰快递,快递人员投递时须同时登记邮寄单号等相关信息。）</w:t>
      </w:r>
    </w:p>
    <w:p>
      <w:pPr>
        <w:pStyle w:val="31"/>
        <w:adjustRightInd w:val="0"/>
        <w:snapToGrid w:val="0"/>
        <w:spacing w:before="156" w:after="156" w:line="500" w:lineRule="exact"/>
        <w:ind w:firstLine="562" w:firstLineChars="201"/>
        <w:rPr>
          <w:rFonts w:hint="eastAsia" w:hAnsi="宋体"/>
          <w:color w:val="000000"/>
          <w:kern w:val="0"/>
          <w:sz w:val="28"/>
          <w:szCs w:val="28"/>
        </w:rPr>
      </w:pPr>
      <w:r>
        <w:rPr>
          <w:rFonts w:hint="eastAsia" w:hAnsi="宋体"/>
          <w:color w:val="000000"/>
          <w:kern w:val="0"/>
          <w:sz w:val="28"/>
          <w:szCs w:val="28"/>
        </w:rPr>
        <w:t>本项目须提供演示文件，以U盘或DVD光盘形式存储，请各投标人在投标截止时间前，通过邮寄方式，送达指定地点，逾期送达或未密封将被拒收，请合理安排好邮寄时间。演示U盘或DVD光盘应当密封包装并在包装上标注演示U盘或演示DVD光盘、项目名称、标项、供应商名称并加盖公章。未按文件要求提供演示U盘或演示DVD光盘造成评审专家无法正常评审的风险由供应商自行承担。（演示U盘或DVD光盘请单独封装）。</w:t>
      </w:r>
    </w:p>
    <w:p>
      <w:pPr>
        <w:pStyle w:val="31"/>
        <w:adjustRightInd w:val="0"/>
        <w:snapToGrid w:val="0"/>
        <w:spacing w:before="156" w:after="156" w:line="500" w:lineRule="exact"/>
        <w:ind w:firstLine="565" w:firstLineChars="201"/>
        <w:rPr>
          <w:rFonts w:hAnsi="宋体"/>
          <w:b/>
          <w:color w:val="000000"/>
          <w:kern w:val="0"/>
          <w:sz w:val="28"/>
          <w:szCs w:val="28"/>
        </w:rPr>
      </w:pPr>
      <w:r>
        <w:rPr>
          <w:rFonts w:hint="eastAsia" w:hAnsi="宋体"/>
          <w:b/>
          <w:color w:val="000000"/>
          <w:kern w:val="0"/>
          <w:sz w:val="28"/>
          <w:szCs w:val="28"/>
        </w:rPr>
        <w:t>本项目拒绝接受纸质投标文件。</w:t>
      </w:r>
    </w:p>
    <w:p>
      <w:pPr>
        <w:snapToGrid w:val="0"/>
        <w:spacing w:line="500" w:lineRule="exact"/>
        <w:ind w:firstLine="562" w:firstLineChars="200"/>
        <w:rPr>
          <w:rFonts w:ascii="宋体" w:hAnsi="宋体" w:cs="Arial"/>
          <w:b/>
          <w:bCs/>
          <w:color w:val="000000"/>
          <w:sz w:val="28"/>
          <w:szCs w:val="28"/>
        </w:rPr>
      </w:pPr>
      <w:r>
        <w:rPr>
          <w:rFonts w:hint="eastAsia" w:ascii="宋体" w:hAnsi="宋体" w:cs="Arial"/>
          <w:b/>
          <w:bCs/>
          <w:color w:val="000000"/>
          <w:sz w:val="28"/>
          <w:szCs w:val="28"/>
        </w:rPr>
        <w:t>七、开标时间及地点：</w:t>
      </w:r>
    </w:p>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本次招标将于</w:t>
      </w:r>
      <w:bookmarkStart w:id="9" w:name="PO_15528_PM015_1"/>
      <w:r>
        <w:rPr>
          <w:rFonts w:hint="eastAsia" w:ascii="宋体" w:hAnsi="宋体" w:cs="Arial"/>
          <w:b/>
          <w:color w:val="000000"/>
          <w:sz w:val="28"/>
          <w:szCs w:val="28"/>
          <w:lang w:eastAsia="zh-CN"/>
        </w:rPr>
        <w:t>2024-06-04 09:00:00</w:t>
      </w:r>
      <w:bookmarkEnd w:id="9"/>
      <w:r>
        <w:rPr>
          <w:rFonts w:hint="eastAsia" w:ascii="宋体" w:hAnsi="宋体" w:cs="Arial"/>
          <w:b/>
          <w:color w:val="000000"/>
          <w:sz w:val="28"/>
          <w:szCs w:val="28"/>
        </w:rPr>
        <w:t>时整在</w:t>
      </w:r>
      <w:bookmarkStart w:id="10" w:name="PO_15528_PM016_1"/>
      <w:r>
        <w:rPr>
          <w:rFonts w:hint="eastAsia" w:ascii="宋体" w:hAnsi="宋体" w:cs="Arial"/>
          <w:b/>
          <w:color w:val="000000"/>
          <w:sz w:val="28"/>
          <w:szCs w:val="28"/>
          <w:lang w:eastAsia="zh-CN"/>
        </w:rPr>
        <w:t>西湖区浙江省杭州市西湖区宝石一路3号203开标室</w:t>
      </w:r>
      <w:bookmarkEnd w:id="10"/>
      <w:r>
        <w:rPr>
          <w:rFonts w:hint="eastAsia" w:ascii="宋体" w:hAnsi="宋体" w:cs="Arial"/>
          <w:b/>
          <w:color w:val="000000"/>
          <w:sz w:val="28"/>
          <w:szCs w:val="28"/>
        </w:rPr>
        <w:t>开标。</w:t>
      </w:r>
    </w:p>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本项目实行“不见面开评标”，投标人无须派人员到现场出席开标会议。</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7"/>
        <w:gridCol w:w="3442"/>
        <w:gridCol w:w="3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kern w:val="0"/>
                <w:sz w:val="28"/>
                <w:szCs w:val="28"/>
              </w:rPr>
            </w:pPr>
            <w:r>
              <w:rPr>
                <w:rFonts w:hint="eastAsia" w:ascii="宋体" w:hAnsi="宋体" w:cs="宋体"/>
                <w:color w:val="000000"/>
                <w:kern w:val="0"/>
                <w:sz w:val="28"/>
                <w:szCs w:val="28"/>
              </w:rPr>
              <w:t>开评标现场咨询电话</w:t>
            </w:r>
          </w:p>
        </w:tc>
        <w:tc>
          <w:tcPr>
            <w:tcW w:w="3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203开标室：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w:t>
            </w:r>
            <w:r>
              <w:rPr>
                <w:rFonts w:ascii="宋体" w:hAnsi="宋体" w:cs="宋体"/>
                <w:color w:val="000000"/>
                <w:kern w:val="0"/>
                <w:sz w:val="28"/>
                <w:szCs w:val="28"/>
              </w:rPr>
              <w:t>1816</w:t>
            </w:r>
          </w:p>
        </w:tc>
        <w:tc>
          <w:tcPr>
            <w:tcW w:w="34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301会议室：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kern w:val="0"/>
                <w:sz w:val="28"/>
                <w:szCs w:val="28"/>
              </w:rPr>
            </w:pPr>
          </w:p>
        </w:tc>
        <w:tc>
          <w:tcPr>
            <w:tcW w:w="3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302会议室：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0571-88907720</w:t>
            </w:r>
          </w:p>
        </w:tc>
        <w:tc>
          <w:tcPr>
            <w:tcW w:w="34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303会议室：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0571-88901873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kern w:val="0"/>
                <w:sz w:val="28"/>
                <w:szCs w:val="28"/>
              </w:rPr>
            </w:pPr>
          </w:p>
        </w:tc>
        <w:tc>
          <w:tcPr>
            <w:tcW w:w="3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306会议室：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0571-88907751</w:t>
            </w:r>
          </w:p>
        </w:tc>
        <w:tc>
          <w:tcPr>
            <w:tcW w:w="34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p>
        </w:tc>
      </w:tr>
    </w:tbl>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八、电子交易平台的网络地址和登录方法</w:t>
      </w:r>
    </w:p>
    <w:p>
      <w:pPr>
        <w:snapToGrid w:val="0"/>
        <w:spacing w:line="500" w:lineRule="exact"/>
        <w:ind w:firstLine="562" w:firstLineChars="200"/>
        <w:rPr>
          <w:color w:val="000000"/>
          <w:sz w:val="28"/>
          <w:szCs w:val="28"/>
        </w:rPr>
      </w:pPr>
      <w:r>
        <w:rPr>
          <w:rFonts w:hint="eastAsia" w:ascii="宋体" w:hAnsi="宋体" w:cs="Arial"/>
          <w:b/>
          <w:color w:val="000000"/>
          <w:sz w:val="28"/>
          <w:szCs w:val="28"/>
        </w:rPr>
        <w:t>（一）网络地址：</w:t>
      </w:r>
      <w:r>
        <w:rPr>
          <w:rFonts w:hint="eastAsia" w:ascii="宋体" w:hAnsi="宋体" w:cs="仿宋"/>
          <w:color w:val="000000"/>
          <w:sz w:val="28"/>
          <w:szCs w:val="28"/>
        </w:rPr>
        <w:t xml:space="preserve">浙江政府采购网 </w:t>
      </w:r>
      <w:r>
        <w:fldChar w:fldCharType="begin"/>
      </w:r>
      <w:r>
        <w:instrText xml:space="preserve"> HYPERLINK "http://zfcg.czt.zj.gov.cn/" </w:instrText>
      </w:r>
      <w:r>
        <w:fldChar w:fldCharType="separate"/>
      </w:r>
      <w:r>
        <w:rPr>
          <w:rStyle w:val="69"/>
          <w:color w:val="000000"/>
          <w:sz w:val="28"/>
          <w:szCs w:val="28"/>
        </w:rPr>
        <w:t>http://zfcg.czt.zj.gov.cn/</w:t>
      </w:r>
      <w:r>
        <w:rPr>
          <w:rStyle w:val="69"/>
          <w:color w:val="000000"/>
          <w:sz w:val="28"/>
          <w:szCs w:val="28"/>
        </w:rPr>
        <w:fldChar w:fldCharType="end"/>
      </w:r>
    </w:p>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（二）登录方法：</w:t>
      </w:r>
      <w:r>
        <w:rPr>
          <w:rFonts w:hint="eastAsia" w:ascii="宋体" w:hAnsi="宋体" w:cs="Arial"/>
          <w:color w:val="000000"/>
          <w:sz w:val="28"/>
          <w:szCs w:val="28"/>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color w:val="000000"/>
          <w:sz w:val="28"/>
          <w:szCs w:val="28"/>
        </w:rPr>
      </w:pPr>
      <w:r>
        <w:rPr>
          <w:rFonts w:hint="eastAsia" w:ascii="宋体" w:hAnsi="宋体" w:cs="Arial"/>
          <w:b/>
          <w:bCs/>
          <w:color w:val="000000"/>
          <w:sz w:val="28"/>
          <w:szCs w:val="28"/>
        </w:rPr>
        <w:t>九、其他：</w:t>
      </w:r>
    </w:p>
    <w:p>
      <w:pPr>
        <w:snapToGrid w:val="0"/>
        <w:spacing w:line="440" w:lineRule="exact"/>
        <w:ind w:firstLine="562" w:firstLineChars="200"/>
        <w:rPr>
          <w:rFonts w:ascii="宋体" w:hAnsi="宋体" w:cs="Arial"/>
          <w:b/>
          <w:color w:val="000000"/>
          <w:sz w:val="28"/>
          <w:szCs w:val="28"/>
        </w:rPr>
      </w:pPr>
      <w:r>
        <w:rPr>
          <w:rFonts w:hint="eastAsia" w:ascii="宋体" w:hAnsi="宋体" w:cs="Arial"/>
          <w:b/>
          <w:color w:val="000000"/>
          <w:sz w:val="28"/>
          <w:szCs w:val="28"/>
        </w:rPr>
        <w:t>（一）本项目采用“电子交易/不见面开评标”，供应商可进入电子卖场服务中心采云学院</w:t>
      </w:r>
    </w:p>
    <w:p>
      <w:pPr>
        <w:snapToGrid w:val="0"/>
        <w:spacing w:line="440" w:lineRule="exact"/>
        <w:ind w:firstLine="562" w:firstLineChars="200"/>
        <w:rPr>
          <w:rFonts w:ascii="仿宋" w:hAnsi="仿宋" w:eastAsia="仿宋"/>
          <w:color w:val="000000"/>
          <w:sz w:val="28"/>
          <w:szCs w:val="28"/>
        </w:rPr>
      </w:pPr>
      <w:r>
        <w:rPr>
          <w:rFonts w:hint="eastAsia" w:ascii="宋体" w:hAnsi="宋体" w:cs="Arial"/>
          <w:b/>
          <w:color w:val="000000"/>
          <w:sz w:val="28"/>
          <w:szCs w:val="28"/>
        </w:rPr>
        <w:t>（https://edu.zcygov.cn/live?utm=a0018.2ef5001f.0.0.1939d340e5db11ea867fb57c149ddb61）自行提前学习</w:t>
      </w:r>
      <w:r>
        <w:rPr>
          <w:rFonts w:hint="eastAsia" w:ascii="宋体" w:hAnsi="宋体" w:cs="Arial"/>
          <w:color w:val="000000"/>
          <w:sz w:val="28"/>
          <w:szCs w:val="28"/>
        </w:rPr>
        <w:t>。</w:t>
      </w: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十、业务咨询</w:t>
      </w:r>
    </w:p>
    <w:tbl>
      <w:tblPr>
        <w:tblStyle w:val="59"/>
        <w:tblpPr w:leftFromText="180" w:rightFromText="180" w:vertAnchor="text" w:horzAnchor="page" w:tblpX="1337" w:tblpY="223"/>
        <w:tblOverlap w:val="never"/>
        <w:tblW w:w="10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1314"/>
        <w:gridCol w:w="2089"/>
        <w:gridCol w:w="2066"/>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机 构</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地 址</w:t>
            </w:r>
          </w:p>
        </w:tc>
        <w:tc>
          <w:tcPr>
            <w:tcW w:w="8113"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浙江省杭州市西湖区宝石一路3号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网 站</w:t>
            </w:r>
          </w:p>
        </w:tc>
        <w:tc>
          <w:tcPr>
            <w:tcW w:w="8113"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浙江政府采购网</w:t>
            </w:r>
            <w:r>
              <w:rPr>
                <w:rFonts w:hint="eastAsia" w:ascii="仿宋_GB2312" w:hAnsi="Segoe UI" w:eastAsia="仿宋_GB2312" w:cs="Segoe UI"/>
                <w:color w:val="000000"/>
                <w:sz w:val="29"/>
                <w:szCs w:val="29"/>
              </w:rPr>
              <w:t>ht</w:t>
            </w:r>
            <w:r>
              <w:rPr>
                <w:rFonts w:hint="eastAsia" w:ascii="仿宋" w:hAnsi="仿宋" w:eastAsia="仿宋" w:cs="仿宋"/>
                <w:color w:val="000000"/>
                <w:sz w:val="28"/>
                <w:szCs w:val="28"/>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咨询事项</w:t>
            </w:r>
          </w:p>
        </w:tc>
        <w:tc>
          <w:tcPr>
            <w:tcW w:w="131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联系人</w:t>
            </w:r>
          </w:p>
        </w:tc>
        <w:tc>
          <w:tcPr>
            <w:tcW w:w="20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联系方式</w:t>
            </w:r>
          </w:p>
        </w:tc>
        <w:tc>
          <w:tcPr>
            <w:tcW w:w="206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传真</w:t>
            </w:r>
          </w:p>
        </w:tc>
        <w:tc>
          <w:tcPr>
            <w:tcW w:w="26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项目联系人</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（A岗）</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rPr>
            </w:pPr>
            <w:bookmarkStart w:id="11" w:name="PO_15528_PM032"/>
            <w:r>
              <w:rPr>
                <w:rFonts w:hint="eastAsia" w:ascii="仿宋" w:hAnsi="仿宋" w:eastAsia="仿宋" w:cs="仿宋"/>
                <w:color w:val="000000"/>
                <w:sz w:val="28"/>
                <w:szCs w:val="28"/>
              </w:rPr>
              <w:t>方岚</w:t>
            </w:r>
            <w:bookmarkEnd w:id="11"/>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rPr>
            </w:pPr>
            <w:bookmarkStart w:id="12" w:name="PO_15528_PM033"/>
            <w:r>
              <w:rPr>
                <w:rFonts w:hint="eastAsia" w:ascii="仿宋" w:hAnsi="仿宋" w:eastAsia="仿宋" w:cs="仿宋"/>
                <w:color w:val="000000"/>
                <w:sz w:val="28"/>
                <w:szCs w:val="28"/>
              </w:rPr>
              <w:t>0571-88907784</w:t>
            </w:r>
            <w:bookmarkEnd w:id="12"/>
          </w:p>
        </w:tc>
        <w:tc>
          <w:tcPr>
            <w:tcW w:w="206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rPr>
            </w:pPr>
            <w:bookmarkStart w:id="13" w:name="PO_15528_PM034"/>
            <w:r>
              <w:rPr>
                <w:rFonts w:hint="eastAsia" w:ascii="仿宋" w:hAnsi="仿宋" w:eastAsia="仿宋" w:cs="仿宋"/>
                <w:color w:val="000000"/>
                <w:sz w:val="28"/>
                <w:szCs w:val="28"/>
              </w:rPr>
              <w:t xml:space="preserve"> </w:t>
            </w:r>
            <w:bookmarkEnd w:id="13"/>
          </w:p>
        </w:tc>
        <w:tc>
          <w:tcPr>
            <w:tcW w:w="2644" w:type="dxa"/>
            <w:vMerge w:val="restart"/>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 w:hAnsi="仿宋" w:eastAsia="仿宋" w:cs="仿宋"/>
                <w:color w:val="000000"/>
                <w:sz w:val="28"/>
                <w:szCs w:val="28"/>
              </w:rPr>
            </w:pPr>
            <w:r>
              <w:rPr>
                <w:rFonts w:hint="eastAsia" w:ascii="仿宋" w:hAnsi="仿宋" w:eastAsia="仿宋" w:cs="仿宋"/>
                <w:color w:val="000000"/>
                <w:sz w:val="28"/>
                <w:szCs w:val="28"/>
              </w:rPr>
              <w:t>四楼</w:t>
            </w:r>
            <w:bookmarkStart w:id="14" w:name="PO_409_PM001385"/>
            <w:r>
              <w:rPr>
                <w:rFonts w:hint="eastAsia" w:ascii="仿宋" w:hAnsi="仿宋" w:eastAsia="仿宋" w:cs="仿宋"/>
                <w:color w:val="000000"/>
                <w:sz w:val="28"/>
                <w:szCs w:val="28"/>
              </w:rPr>
              <w:t xml:space="preserve"> </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项目协办人</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（B岗）</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孙松丽</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057-88906928</w:t>
            </w:r>
          </w:p>
        </w:tc>
        <w:tc>
          <w:tcPr>
            <w:tcW w:w="206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26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部门负责人</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高女士</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0571-88907717</w:t>
            </w:r>
          </w:p>
        </w:tc>
        <w:tc>
          <w:tcPr>
            <w:tcW w:w="206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26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项目监督</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邵女士</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0571-8890</w:t>
            </w:r>
            <w:r>
              <w:rPr>
                <w:rFonts w:ascii="仿宋" w:hAnsi="仿宋" w:eastAsia="仿宋" w:cs="仿宋"/>
                <w:color w:val="000000"/>
                <w:sz w:val="28"/>
                <w:szCs w:val="28"/>
              </w:rPr>
              <w:t>7750</w:t>
            </w:r>
          </w:p>
        </w:tc>
        <w:tc>
          <w:tcPr>
            <w:tcW w:w="206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264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四楼（采购监督部）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网站系统问题</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客  服</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95763</w:t>
            </w:r>
          </w:p>
        </w:tc>
        <w:tc>
          <w:tcPr>
            <w:tcW w:w="206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w:t>
            </w:r>
          </w:p>
        </w:tc>
        <w:tc>
          <w:tcPr>
            <w:tcW w:w="264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注册、账号、系统操作等</w:t>
            </w:r>
          </w:p>
        </w:tc>
      </w:tr>
    </w:tbl>
    <w:p>
      <w:pPr>
        <w:snapToGrid w:val="0"/>
        <w:spacing w:line="440" w:lineRule="exact"/>
        <w:ind w:firstLine="602" w:firstLineChars="200"/>
        <w:rPr>
          <w:rFonts w:ascii="仿宋" w:hAnsi="仿宋" w:eastAsia="仿宋" w:cs="Arial"/>
          <w:b/>
          <w:bCs/>
          <w:color w:val="000000"/>
          <w:sz w:val="30"/>
          <w:szCs w:val="30"/>
        </w:rPr>
      </w:pPr>
    </w:p>
    <w:p>
      <w:pPr>
        <w:snapToGrid w:val="0"/>
        <w:spacing w:line="440" w:lineRule="exact"/>
        <w:jc w:val="left"/>
        <w:rPr>
          <w:rFonts w:hint="eastAsia" w:ascii="仿宋_GB2312" w:hAnsi="仿宋" w:eastAsia="仿宋_GB2312"/>
          <w:color w:val="000000"/>
          <w:sz w:val="30"/>
          <w:szCs w:val="30"/>
        </w:rPr>
      </w:pPr>
      <w:bookmarkStart w:id="15" w:name="PO_TDCUS_ITEM_PRC_TITLE_1_2"/>
      <w:r>
        <w:rPr>
          <w:rFonts w:hint="eastAsia" w:ascii="仿宋_GB2312" w:hAnsi="仿宋" w:eastAsia="仿宋_GB2312"/>
          <w:color w:val="000000"/>
          <w:sz w:val="30"/>
          <w:szCs w:val="30"/>
        </w:rPr>
        <w:t>标项1：</w:t>
      </w:r>
      <w:bookmarkEnd w:id="15"/>
      <w:bookmarkStart w:id="16" w:name="PO_TDCUS_ITEM_PRC_TABLE_1_1_2"/>
      <w:r>
        <w:rPr>
          <w:rFonts w:hint="eastAsia" w:ascii="仿宋_GB2312" w:hAnsi="仿宋" w:eastAsia="仿宋_GB2312"/>
          <w:color w:val="000000"/>
          <w:sz w:val="30"/>
          <w:szCs w:val="30"/>
        </w:rPr>
        <w:t xml:space="preserve"> </w:t>
      </w:r>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采购单位</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浙江财经大学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地址</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浙江省杭州市学源街18号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咨询事项</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联系人</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涂建辉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联系方式</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0571-86731939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传真</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备注</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rPr>
            </w:pPr>
          </w:p>
        </w:tc>
      </w:tr>
      <w:bookmarkEnd w:id="16"/>
    </w:tbl>
    <w:p>
      <w:pPr>
        <w:snapToGrid w:val="0"/>
        <w:spacing w:line="440" w:lineRule="exact"/>
        <w:ind w:firstLine="602" w:firstLineChars="200"/>
        <w:rPr>
          <w:rFonts w:ascii="仿宋" w:hAnsi="仿宋" w:eastAsia="仿宋" w:cs="Arial"/>
          <w:b/>
          <w:bCs/>
          <w:color w:val="000000"/>
          <w:sz w:val="30"/>
          <w:szCs w:val="30"/>
        </w:rPr>
      </w:pPr>
      <w:r>
        <w:rPr>
          <w:rFonts w:ascii="仿宋" w:hAnsi="仿宋" w:eastAsia="仿宋" w:cs="Arial"/>
          <w:b/>
          <w:bCs/>
          <w:color w:val="000000"/>
          <w:sz w:val="30"/>
          <w:szCs w:val="30"/>
        </w:rPr>
        <w:tab/>
      </w:r>
      <w:r>
        <w:rPr>
          <w:rFonts w:hint="eastAsia" w:ascii="仿宋" w:hAnsi="仿宋" w:eastAsia="仿宋" w:cs="Arial"/>
          <w:b/>
          <w:bCs/>
          <w:color w:val="000000"/>
          <w:sz w:val="30"/>
          <w:szCs w:val="30"/>
        </w:rPr>
        <w:t>十二、同级政府采购监督管理部门</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名    称：浙江省财政厅政府采购监管处、浙江省政府采购行政裁决服务中心（杭州）</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地   址：杭州市上城区四季青街道新业路市民之家G03办公室</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传   真：/</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联系人 ：朱女士、王女士</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监督投诉电话：0571-85252453</w:t>
      </w:r>
    </w:p>
    <w:p>
      <w:pPr>
        <w:snapToGrid w:val="0"/>
        <w:spacing w:line="440" w:lineRule="exact"/>
        <w:rPr>
          <w:rFonts w:ascii="宋体" w:hAnsi="宋体" w:cs="仿宋"/>
          <w:color w:val="000000"/>
          <w:sz w:val="28"/>
          <w:szCs w:val="28"/>
        </w:rPr>
      </w:pPr>
      <w:r>
        <w:rPr>
          <w:rFonts w:hint="eastAsia" w:ascii="宋体" w:hAnsi="宋体" w:cs="仿宋"/>
          <w:color w:val="000000"/>
          <w:sz w:val="28"/>
          <w:szCs w:val="28"/>
        </w:rPr>
        <w:t>预算金额未达100万元的采购项目，由采购人处理采购争议。</w:t>
      </w:r>
    </w:p>
    <w:p>
      <w:pPr>
        <w:pStyle w:val="31"/>
        <w:tabs>
          <w:tab w:val="left" w:pos="220"/>
        </w:tabs>
        <w:spacing w:before="156" w:after="156" w:line="360" w:lineRule="auto"/>
        <w:outlineLvl w:val="0"/>
        <w:rPr>
          <w:rFonts w:hAnsi="宋体" w:cs="仿宋"/>
          <w:color w:val="000000"/>
          <w:sz w:val="28"/>
          <w:szCs w:val="28"/>
        </w:rPr>
      </w:pPr>
    </w:p>
    <w:p>
      <w:pPr>
        <w:pStyle w:val="31"/>
        <w:spacing w:before="156" w:after="156" w:line="360" w:lineRule="auto"/>
        <w:jc w:val="center"/>
        <w:outlineLvl w:val="0"/>
        <w:rPr>
          <w:rFonts w:hAnsi="宋体"/>
          <w:b/>
          <w:color w:val="000000"/>
          <w:sz w:val="36"/>
          <w:szCs w:val="36"/>
        </w:rPr>
      </w:pPr>
      <w:r>
        <w:rPr>
          <w:rFonts w:hint="eastAsia"/>
          <w:color w:val="000000"/>
        </w:rPr>
        <w:br w:type="page"/>
      </w:r>
      <w:bookmarkStart w:id="17" w:name="_Toc496796636"/>
      <w:bookmarkStart w:id="18" w:name="_Toc29498"/>
      <w:r>
        <w:rPr>
          <w:rFonts w:hint="eastAsia" w:ascii="仿宋" w:hAnsi="仿宋" w:eastAsia="仿宋"/>
          <w:b/>
          <w:color w:val="000000"/>
          <w:sz w:val="36"/>
          <w:szCs w:val="36"/>
        </w:rPr>
        <w:t>第二章</w:t>
      </w:r>
      <w:bookmarkStart w:id="19" w:name="投标人须知"/>
      <w:r>
        <w:rPr>
          <w:rFonts w:hint="eastAsia" w:ascii="仿宋" w:hAnsi="仿宋" w:eastAsia="仿宋"/>
          <w:b/>
          <w:color w:val="000000"/>
          <w:sz w:val="36"/>
          <w:szCs w:val="36"/>
        </w:rPr>
        <w:t>投标人须知</w:t>
      </w:r>
      <w:bookmarkEnd w:id="17"/>
      <w:bookmarkEnd w:id="18"/>
      <w:bookmarkEnd w:id="19"/>
    </w:p>
    <w:p>
      <w:pPr>
        <w:snapToGrid w:val="0"/>
        <w:rPr>
          <w:rFonts w:ascii="宋体" w:hAnsi="宋体"/>
          <w:color w:val="000000"/>
          <w:sz w:val="28"/>
          <w:szCs w:val="28"/>
        </w:rPr>
      </w:pPr>
      <w:r>
        <w:rPr>
          <w:rFonts w:hint="eastAsia" w:ascii="宋体" w:hAnsi="宋体"/>
          <w:color w:val="000000"/>
          <w:sz w:val="28"/>
          <w:szCs w:val="28"/>
        </w:rPr>
        <w:t>前附表</w:t>
      </w:r>
    </w:p>
    <w:tbl>
      <w:tblPr>
        <w:tblStyle w:val="59"/>
        <w:tblW w:w="94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8"/>
        <w:gridCol w:w="73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序号</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内  容</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项目名称及数量</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信用记录</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3</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中小企业预留份额情况</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仿宋" w:hAnsi="仿宋" w:eastAsia="仿宋"/>
                <w:b/>
                <w:color w:val="000000"/>
                <w:sz w:val="24"/>
                <w:szCs w:val="24"/>
              </w:rPr>
            </w:pPr>
            <w:r>
              <w:rPr>
                <w:rFonts w:hint="eastAsia" w:ascii="仿宋" w:hAnsi="仿宋" w:eastAsia="仿宋"/>
                <w:b/>
                <w:color w:val="000000"/>
                <w:sz w:val="24"/>
                <w:szCs w:val="24"/>
              </w:rPr>
              <w:t>根据《政府采购促进中小企业发展管理办法》财库〔2020〕46号文件的规定，本项目</w:t>
            </w:r>
            <w:r>
              <w:rPr>
                <w:rFonts w:hint="eastAsia" w:ascii="仿宋" w:hAnsi="仿宋" w:eastAsia="仿宋"/>
                <w:b/>
                <w:color w:val="000000"/>
                <w:sz w:val="24"/>
                <w:szCs w:val="24"/>
                <w:lang w:val="en-US" w:eastAsia="zh-CN"/>
              </w:rPr>
              <w:t xml:space="preserve"> </w:t>
            </w:r>
            <w:r>
              <w:rPr>
                <w:rFonts w:hint="eastAsia" w:ascii="仿宋" w:hAnsi="仿宋" w:eastAsia="仿宋"/>
                <w:b/>
                <w:color w:val="000000"/>
                <w:sz w:val="24"/>
                <w:szCs w:val="24"/>
                <w:u w:val="single"/>
              </w:rPr>
              <w:t>是</w:t>
            </w:r>
            <w:r>
              <w:rPr>
                <w:rFonts w:hint="eastAsia" w:ascii="仿宋" w:hAnsi="仿宋" w:eastAsia="仿宋"/>
                <w:b/>
                <w:color w:val="000000"/>
                <w:sz w:val="24"/>
                <w:szCs w:val="24"/>
                <w:u w:val="single"/>
                <w:lang w:val="en-US" w:eastAsia="zh-CN"/>
              </w:rPr>
              <w:t xml:space="preserve"> </w:t>
            </w:r>
            <w:r>
              <w:rPr>
                <w:rFonts w:hint="eastAsia" w:ascii="仿宋" w:hAnsi="仿宋" w:eastAsia="仿宋"/>
                <w:b/>
                <w:color w:val="000000"/>
                <w:sz w:val="24"/>
                <w:szCs w:val="24"/>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4</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r>
              <w:rPr>
                <w:rFonts w:hint="eastAsia" w:ascii="仿宋_GB2312" w:hAnsi="仿宋" w:eastAsia="仿宋_GB2312"/>
                <w:bCs/>
                <w:color w:val="000000"/>
                <w:sz w:val="24"/>
              </w:rPr>
              <w:t>中小企业优惠措施</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82"/>
              <w:numPr>
                <w:ilvl w:val="0"/>
                <w:numId w:val="30"/>
              </w:numPr>
              <w:snapToGrid w:val="0"/>
              <w:spacing w:line="460" w:lineRule="exact"/>
              <w:ind w:firstLineChars="0"/>
              <w:rPr>
                <w:rFonts w:ascii="仿宋" w:hAnsi="仿宋" w:eastAsia="仿宋"/>
                <w:b/>
                <w:color w:val="000000"/>
                <w:sz w:val="24"/>
                <w:szCs w:val="24"/>
                <w:u w:val="single"/>
              </w:rPr>
            </w:pPr>
            <w:r>
              <w:rPr>
                <w:rFonts w:hint="eastAsia" w:ascii="仿宋" w:hAnsi="仿宋" w:eastAsia="仿宋"/>
                <w:b/>
                <w:color w:val="000000"/>
                <w:sz w:val="24"/>
                <w:szCs w:val="24"/>
              </w:rPr>
              <w:t>项目属性：</w:t>
            </w:r>
            <w:r>
              <w:rPr>
                <w:rFonts w:hint="eastAsia" w:ascii="仿宋" w:hAnsi="仿宋" w:eastAsia="仿宋"/>
                <w:b/>
                <w:color w:val="000000"/>
                <w:sz w:val="24"/>
                <w:szCs w:val="24"/>
                <w:u w:val="single"/>
              </w:rPr>
              <w:t>服务类</w:t>
            </w:r>
          </w:p>
          <w:p>
            <w:pPr>
              <w:pStyle w:val="182"/>
              <w:numPr>
                <w:ilvl w:val="0"/>
                <w:numId w:val="30"/>
              </w:numPr>
              <w:snapToGrid w:val="0"/>
              <w:spacing w:line="460" w:lineRule="exact"/>
              <w:ind w:firstLineChars="0"/>
              <w:rPr>
                <w:rFonts w:ascii="仿宋" w:hAnsi="仿宋" w:eastAsia="仿宋"/>
                <w:b/>
                <w:color w:val="000000"/>
                <w:sz w:val="24"/>
                <w:szCs w:val="24"/>
              </w:rPr>
            </w:pPr>
            <w:r>
              <w:rPr>
                <w:rFonts w:hint="eastAsia" w:ascii="仿宋" w:hAnsi="仿宋" w:eastAsia="仿宋"/>
                <w:b/>
                <w:color w:val="000000"/>
                <w:sz w:val="24"/>
                <w:szCs w:val="24"/>
              </w:rPr>
              <w:t>中小企业划分标准所属行业（具体根据《中小企业划型标准规定》执行）</w:t>
            </w:r>
          </w:p>
          <w:p>
            <w:pPr>
              <w:snapToGrid w:val="0"/>
              <w:spacing w:line="460" w:lineRule="exact"/>
              <w:ind w:left="600"/>
              <w:rPr>
                <w:rFonts w:hint="eastAsia" w:ascii="仿宋" w:hAnsi="仿宋" w:eastAsia="仿宋"/>
                <w:b/>
                <w:color w:val="000000"/>
                <w:sz w:val="24"/>
                <w:szCs w:val="24"/>
                <w:u w:val="single"/>
              </w:rPr>
            </w:pPr>
            <w:r>
              <w:rPr>
                <w:rFonts w:hint="eastAsia" w:ascii="仿宋" w:hAnsi="仿宋" w:eastAsia="仿宋"/>
                <w:b/>
                <w:color w:val="000000"/>
                <w:sz w:val="24"/>
                <w:szCs w:val="24"/>
              </w:rPr>
              <w:t>采购标的：</w:t>
            </w:r>
            <w:r>
              <w:rPr>
                <w:rFonts w:hint="eastAsia" w:ascii="仿宋" w:hAnsi="仿宋" w:eastAsia="仿宋"/>
                <w:b/>
                <w:color w:val="000000"/>
                <w:sz w:val="24"/>
                <w:szCs w:val="24"/>
                <w:u w:val="single"/>
              </w:rPr>
              <w:t xml:space="preserve">浙江财经大学经管实验中心实验室建设四期项目 </w:t>
            </w:r>
            <w:r>
              <w:rPr>
                <w:rFonts w:hint="eastAsia" w:ascii="仿宋" w:hAnsi="仿宋" w:eastAsia="仿宋"/>
                <w:b/>
                <w:color w:val="000000"/>
                <w:sz w:val="24"/>
                <w:szCs w:val="24"/>
              </w:rPr>
              <w:t>，所属行业：</w:t>
            </w:r>
            <w:r>
              <w:rPr>
                <w:rFonts w:hint="eastAsia" w:ascii="仿宋" w:hAnsi="仿宋" w:eastAsia="仿宋"/>
                <w:b/>
                <w:color w:val="000000"/>
                <w:sz w:val="24"/>
                <w:szCs w:val="24"/>
                <w:u w:val="single"/>
              </w:rPr>
              <w:t>软件和信息技术服务业</w:t>
            </w:r>
          </w:p>
          <w:p>
            <w:pPr>
              <w:numPr>
                <w:ilvl w:val="0"/>
                <w:numId w:val="30"/>
              </w:numPr>
              <w:snapToGrid w:val="0"/>
              <w:spacing w:line="460" w:lineRule="exact"/>
              <w:rPr>
                <w:rFonts w:hint="eastAsia" w:ascii="仿宋" w:hAnsi="仿宋" w:eastAsia="仿宋"/>
                <w:b/>
                <w:color w:val="000000"/>
                <w:sz w:val="24"/>
                <w:szCs w:val="24"/>
              </w:rPr>
            </w:pPr>
            <w:r>
              <w:rPr>
                <w:rFonts w:hint="eastAsia" w:ascii="仿宋" w:hAnsi="仿宋" w:eastAsia="仿宋"/>
                <w:b/>
                <w:color w:val="000000"/>
                <w:sz w:val="24"/>
                <w:szCs w:val="24"/>
              </w:rPr>
              <w:t>本项目专门面向中小企业采购的项目，不再执行价格评审优惠的扶持政策。</w:t>
            </w:r>
          </w:p>
          <w:p>
            <w:pPr>
              <w:snapToGrid w:val="0"/>
              <w:spacing w:line="460" w:lineRule="exact"/>
              <w:ind w:left="600"/>
              <w:rPr>
                <w:rFonts w:ascii="仿宋" w:hAnsi="仿宋" w:eastAsia="仿宋"/>
                <w:color w:val="000000"/>
                <w:sz w:val="24"/>
                <w:szCs w:val="24"/>
              </w:rPr>
            </w:pPr>
            <w:r>
              <w:rPr>
                <w:rFonts w:hint="eastAsia" w:ascii="仿宋" w:hAnsi="仿宋" w:eastAsia="仿宋"/>
                <w:color w:val="000000"/>
                <w:sz w:val="24"/>
                <w:szCs w:val="24"/>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ascii="仿宋" w:hAnsi="仿宋" w:eastAsia="仿宋"/>
                <w:b/>
                <w:bCs/>
                <w:color w:val="000000"/>
                <w:sz w:val="24"/>
                <w:szCs w:val="24"/>
              </w:rPr>
            </w:pPr>
            <w:r>
              <w:rPr>
                <w:rFonts w:hint="eastAsia" w:ascii="仿宋" w:hAnsi="仿宋" w:eastAsia="仿宋"/>
                <w:b/>
                <w:color w:val="000000"/>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5</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政府采购节能环保产品</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color w:val="000000"/>
                <w:sz w:val="24"/>
                <w:szCs w:val="24"/>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6</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促进绿色发展有关政策</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投标人参与政府采购活动中，涉及商品包装和快递包装的，其包装要参考财政部办公厅、生态环境部办公厅、国家邮政局办公室印发的《商品包装政府采购需求标准（试行）》、《快递包装政府采购需求标准（试行）》（财办库〔</w:t>
            </w:r>
            <w:r>
              <w:rPr>
                <w:rFonts w:ascii="仿宋" w:hAnsi="仿宋" w:eastAsia="仿宋"/>
                <w:color w:val="000000"/>
                <w:sz w:val="24"/>
                <w:szCs w:val="24"/>
              </w:rPr>
              <w:t>2020〕123号文件）。提倡供应商优先采购绿色包装产品、绿色物流配送服务以及循环利用产品。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7</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首台套政策</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首台套产品被纳入《首台套产品推广应用指导目录》之日起3年内，视同已具备相应销售业绩，参加政府采购活动时业绩分值为满分。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8</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质疑</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具体格式及内容要求详见总则（五）质疑</w:t>
            </w:r>
            <w:r>
              <w:rPr>
                <w:rFonts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9</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是否允许采购进口产品</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20" w:name="PO_15528_PM042"/>
            <w:r>
              <w:rPr>
                <w:rFonts w:hint="eastAsia" w:ascii="仿宋" w:hAnsi="仿宋" w:eastAsia="仿宋"/>
                <w:color w:val="000000"/>
                <w:sz w:val="24"/>
                <w:szCs w:val="24"/>
              </w:rPr>
              <w:t>不允许进口产品</w:t>
            </w:r>
            <w:bookmarkEnd w:id="20"/>
            <w:r>
              <w:rPr>
                <w:rFonts w:hint="eastAsia" w:ascii="仿宋" w:hAnsi="仿宋" w:eastAsia="仿宋"/>
                <w:color w:val="000000"/>
                <w:sz w:val="24"/>
                <w:szCs w:val="24"/>
              </w:rPr>
              <w:t>。如是，优先采购向我国企业转让技术、与我国企业签订消化吸收再创新方案的供应商的进口产品。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10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是否允许转包与分包</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rPr>
                <w:rFonts w:ascii="仿宋_GB2312" w:hAnsi="仿宋" w:eastAsia="仿宋_GB2312"/>
                <w:bCs/>
                <w:color w:val="000000"/>
                <w:sz w:val="24"/>
              </w:rPr>
            </w:pPr>
            <w:r>
              <w:rPr>
                <w:rFonts w:hint="eastAsia" w:ascii="仿宋_GB2312" w:hAnsi="仿宋" w:eastAsia="仿宋_GB2312"/>
                <w:bCs/>
                <w:color w:val="000000"/>
                <w:sz w:val="24"/>
              </w:rPr>
              <w:t>转包：否</w:t>
            </w:r>
          </w:p>
          <w:p>
            <w:pPr>
              <w:snapToGrid w:val="0"/>
              <w:spacing w:line="460" w:lineRule="exact"/>
              <w:rPr>
                <w:rFonts w:ascii="仿宋_GB2312" w:hAnsi="仿宋" w:eastAsia="仿宋_GB2312"/>
                <w:bCs/>
                <w:color w:val="000000"/>
                <w:sz w:val="24"/>
              </w:rPr>
            </w:pPr>
            <w:r>
              <w:rPr>
                <w:rFonts w:hint="eastAsia" w:ascii="仿宋_GB2312" w:hAnsi="仿宋" w:eastAsia="仿宋_GB2312"/>
                <w:bCs/>
                <w:color w:val="000000"/>
                <w:sz w:val="24"/>
              </w:rPr>
              <w:t>分包：</w:t>
            </w:r>
            <w:bookmarkStart w:id="21" w:name="PO_15528_PM044"/>
            <w:r>
              <w:rPr>
                <w:rFonts w:hint="eastAsia" w:ascii="仿宋_GB2312" w:hAnsi="仿宋" w:eastAsia="仿宋_GB2312"/>
                <w:bCs/>
                <w:color w:val="000000"/>
                <w:sz w:val="24"/>
              </w:rPr>
              <w:t>允许分包</w:t>
            </w:r>
            <w:bookmarkEnd w:id="21"/>
            <w:r>
              <w:rPr>
                <w:rFonts w:hint="eastAsia" w:ascii="仿宋_GB2312" w:hAnsi="仿宋" w:eastAsia="仿宋_GB2312"/>
                <w:bCs/>
                <w:color w:val="000000"/>
                <w:sz w:val="24"/>
              </w:rPr>
              <w:t>；非主体、非关键性工作允许分包。</w:t>
            </w:r>
          </w:p>
          <w:p>
            <w:pPr>
              <w:spacing w:line="500" w:lineRule="exact"/>
              <w:jc w:val="left"/>
              <w:rPr>
                <w:rFonts w:ascii="仿宋_GB2312" w:hAnsi="仿宋" w:eastAsia="仿宋_GB2312"/>
                <w:bCs/>
                <w:color w:val="000000"/>
                <w:sz w:val="24"/>
              </w:rPr>
            </w:pPr>
            <w:r>
              <w:rPr>
                <w:rFonts w:hint="eastAsia" w:ascii="仿宋_GB2312" w:hAnsi="仿宋" w:eastAsia="仿宋_GB2312"/>
                <w:bCs/>
                <w:color w:val="000000"/>
                <w:sz w:val="24"/>
              </w:rPr>
              <w:t>当分包份额占到合同总金额100%时，视为转包。此情况根据《中华人民共和国政府采购法实施条例》（国务院令第658号）文件第七十二条规定，将依照政府采购法第七十七条第一款的规定追究相应法律责任。</w:t>
            </w:r>
          </w:p>
          <w:p>
            <w:pPr>
              <w:spacing w:line="500" w:lineRule="exact"/>
              <w:jc w:val="left"/>
              <w:rPr>
                <w:rFonts w:ascii="仿宋_GB2312" w:hAnsi="仿宋" w:eastAsia="仿宋_GB2312"/>
                <w:bCs/>
                <w:color w:val="000000"/>
                <w:sz w:val="24"/>
              </w:rPr>
            </w:pPr>
            <w:r>
              <w:rPr>
                <w:rFonts w:hint="eastAsia" w:ascii="仿宋_GB2312" w:hAnsi="仿宋" w:eastAsia="仿宋_GB2312"/>
                <w:bCs/>
                <w:color w:val="000000"/>
                <w:sz w:val="24"/>
              </w:rPr>
              <w:t>依据政府采购促进中小企业发展管理办法规定享受扶持政策获得政府采购合同的，小微企业不得将合同分包给大中型企业，中型企业不得将合同分包给大型企业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11</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联合体投标</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hint="eastAsia" w:ascii="仿宋_GB2312" w:hAnsi="仿宋" w:eastAsia="仿宋_GB2312"/>
                <w:bCs/>
                <w:color w:val="000000"/>
                <w:sz w:val="24"/>
              </w:rPr>
            </w:pPr>
            <w:bookmarkStart w:id="22" w:name="PO_15528_PM007_1"/>
            <w:r>
              <w:rPr>
                <w:rFonts w:hint="eastAsia" w:ascii="仿宋_GB2312" w:hAnsi="仿宋" w:eastAsia="仿宋_GB2312"/>
                <w:bCs/>
                <w:color w:val="000000"/>
                <w:sz w:val="24"/>
              </w:rPr>
              <w:t>标项1:允许联合体投标</w:t>
            </w:r>
            <w:bookmarkEnd w:id="22"/>
            <w:r>
              <w:rPr>
                <w:rFonts w:hint="eastAsia" w:ascii="仿宋_GB2312" w:hAnsi="仿宋" w:eastAsia="仿宋_GB2312"/>
                <w:bCs/>
                <w:color w:val="000000"/>
                <w:sz w:val="24"/>
              </w:rPr>
              <w:t>。</w:t>
            </w:r>
          </w:p>
          <w:p>
            <w:pPr>
              <w:spacing w:line="500" w:lineRule="exact"/>
              <w:jc w:val="left"/>
              <w:rPr>
                <w:rFonts w:hint="eastAsia" w:ascii="仿宋_GB2312" w:hAnsi="仿宋" w:eastAsia="仿宋_GB2312"/>
                <w:bCs/>
                <w:color w:val="000000"/>
                <w:sz w:val="24"/>
              </w:rPr>
            </w:pPr>
            <w:r>
              <w:rPr>
                <w:rFonts w:hint="eastAsia" w:ascii="仿宋_GB2312" w:hAnsi="仿宋" w:eastAsia="仿宋_GB2312"/>
                <w:bCs/>
                <w:color w:val="000000"/>
                <w:sz w:val="24"/>
              </w:rPr>
              <w:t>1.业绩证明材料</w:t>
            </w:r>
          </w:p>
          <w:p>
            <w:pPr>
              <w:spacing w:line="500" w:lineRule="exact"/>
              <w:jc w:val="left"/>
              <w:rPr>
                <w:rFonts w:hint="eastAsia" w:ascii="仿宋_GB2312" w:hAnsi="仿宋" w:eastAsia="仿宋_GB2312"/>
                <w:bCs/>
                <w:color w:val="000000"/>
                <w:sz w:val="24"/>
              </w:rPr>
            </w:pPr>
            <w:r>
              <w:rPr>
                <w:rFonts w:hint="eastAsia" w:ascii="仿宋_GB2312" w:hAnsi="仿宋" w:eastAsia="仿宋_GB2312"/>
                <w:bCs/>
                <w:color w:val="000000"/>
                <w:sz w:val="24"/>
              </w:rPr>
              <w:t>联合体投标的，按联合体协议约定的分工内容出具相应的业绩证明材料。承担相同工作的各方或工作内容存在部分相同的，业绩数量就低。</w:t>
            </w:r>
          </w:p>
          <w:p>
            <w:pPr>
              <w:spacing w:line="500" w:lineRule="exact"/>
              <w:jc w:val="left"/>
              <w:rPr>
                <w:rFonts w:hint="eastAsia" w:ascii="仿宋_GB2312" w:hAnsi="仿宋" w:eastAsia="仿宋_GB2312"/>
                <w:bCs/>
                <w:color w:val="000000"/>
                <w:sz w:val="24"/>
              </w:rPr>
            </w:pPr>
            <w:r>
              <w:rPr>
                <w:rFonts w:hint="eastAsia" w:ascii="仿宋_GB2312" w:hAnsi="仿宋" w:eastAsia="仿宋_GB2312"/>
                <w:bCs/>
                <w:color w:val="000000"/>
                <w:sz w:val="24"/>
              </w:rPr>
              <w:t>2.其他证明材料</w:t>
            </w:r>
          </w:p>
          <w:p>
            <w:pPr>
              <w:spacing w:line="500" w:lineRule="exact"/>
              <w:jc w:val="left"/>
              <w:rPr>
                <w:rFonts w:ascii="仿宋_GB2312" w:hAnsi="仿宋" w:eastAsia="仿宋_GB2312"/>
                <w:bCs/>
                <w:color w:val="000000"/>
                <w:sz w:val="24"/>
              </w:rPr>
            </w:pPr>
            <w:r>
              <w:rPr>
                <w:rFonts w:hint="eastAsia" w:ascii="仿宋_GB2312" w:hAnsi="仿宋" w:eastAsia="仿宋_GB2312"/>
                <w:bCs/>
                <w:color w:val="000000"/>
                <w:sz w:val="24"/>
              </w:rPr>
              <w:t>联合体投标的，需按招标文件第三章评标标准要求提供证明文件的，证明材料就低。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2</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是否现场踏勘</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23" w:name="PO_15528_PM040"/>
            <w:r>
              <w:rPr>
                <w:rFonts w:hint="eastAsia" w:ascii="仿宋" w:hAnsi="仿宋" w:eastAsia="仿宋"/>
                <w:color w:val="000000"/>
                <w:sz w:val="24"/>
                <w:szCs w:val="24"/>
              </w:rPr>
              <w:t>不组织现场踏勘</w:t>
            </w:r>
            <w:bookmarkEnd w:id="23"/>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3</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是否提供演示</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进行演示, 演示顺序原则上按投标文件“解密时间从早到晚”顺序，演示时间15分钟内。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4</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是否提供样品</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24" w:name="PO_1000000445_PM043"/>
            <w:r>
              <w:rPr>
                <w:rFonts w:hint="eastAsia" w:ascii="仿宋" w:hAnsi="仿宋" w:eastAsia="仿宋"/>
                <w:color w:val="000000"/>
                <w:sz w:val="24"/>
                <w:szCs w:val="24"/>
              </w:rPr>
              <w:t>不要求提供样品</w:t>
            </w:r>
            <w:bookmarkEnd w:id="24"/>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5</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投标文件组成</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投标文件均由资格文件、技术商务文件、报价文件组成。</w:t>
            </w:r>
          </w:p>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6</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电子交易平台登录方法</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第一步：供应商登记</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投标人应在投标前登记成为浙江政府采购网的正式供应商（注册网址：</w:t>
            </w:r>
            <w:r>
              <w:fldChar w:fldCharType="begin"/>
            </w:r>
            <w:r>
              <w:instrText xml:space="preserve"> HYPERLINK "https://middle.zcygov.cn/v-settle-front/registry" </w:instrText>
            </w:r>
            <w:r>
              <w:fldChar w:fldCharType="separate"/>
            </w:r>
            <w:r>
              <w:rPr>
                <w:rStyle w:val="69"/>
                <w:rFonts w:hint="eastAsia" w:ascii="仿宋" w:hAnsi="仿宋" w:eastAsia="仿宋"/>
                <w:b/>
                <w:color w:val="000000"/>
                <w:sz w:val="24"/>
                <w:szCs w:val="24"/>
              </w:rPr>
              <w:t>https://middle.zcygov.cn/v-settle-front/registry</w:t>
            </w:r>
            <w:r>
              <w:rPr>
                <w:rStyle w:val="69"/>
                <w:rFonts w:hint="eastAsia" w:ascii="仿宋" w:hAnsi="仿宋" w:eastAsia="仿宋"/>
                <w:b/>
                <w:color w:val="000000"/>
                <w:sz w:val="24"/>
                <w:szCs w:val="24"/>
              </w:rPr>
              <w:fldChar w:fldCharType="end"/>
            </w:r>
            <w:r>
              <w:rPr>
                <w:rFonts w:hint="eastAsia" w:ascii="仿宋" w:hAnsi="仿宋" w:eastAsia="仿宋"/>
                <w:b/>
                <w:color w:val="000000"/>
                <w:sz w:val="24"/>
                <w:szCs w:val="24"/>
              </w:rPr>
              <w:t>）；</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第二步：申请CA</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投标人应在投标前完成CA数字证书办理（办理流程详见http://zfcg.czt.zj.gov.cn/bidClientTemplate/2019-05-27/12945.html）。完成CA数字证书办理预计一周左右，建议各投标人抓紧时间办理；</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第三步：下载客户端</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投标人通过政采云电子交易客户端制作投标文件，请自行前往浙江政府采购网下载并安装（下载网址：</w:t>
            </w:r>
            <w:r>
              <w:fldChar w:fldCharType="begin"/>
            </w:r>
            <w:r>
              <w:instrText xml:space="preserve"> HYPERLINK "http://zfcg.czt.zj.gov.cn/bidClientTemplate/2019-09-24/12975.html" </w:instrText>
            </w:r>
            <w:r>
              <w:fldChar w:fldCharType="separate"/>
            </w:r>
            <w:r>
              <w:rPr>
                <w:rStyle w:val="69"/>
                <w:rFonts w:hint="eastAsia" w:ascii="仿宋" w:hAnsi="仿宋" w:eastAsia="仿宋"/>
                <w:b/>
                <w:color w:val="000000"/>
                <w:sz w:val="24"/>
                <w:szCs w:val="24"/>
              </w:rPr>
              <w:t>http://zfcg.czt.zj.gov.cn/bidClientTemplate/2019-09-24/12975.html</w:t>
            </w:r>
            <w:r>
              <w:rPr>
                <w:rStyle w:val="69"/>
                <w:rFonts w:hint="eastAsia" w:ascii="仿宋" w:hAnsi="仿宋" w:eastAsia="仿宋"/>
                <w:b/>
                <w:color w:val="000000"/>
                <w:sz w:val="24"/>
                <w:szCs w:val="24"/>
              </w:rPr>
              <w:fldChar w:fldCharType="end"/>
            </w:r>
            <w:r>
              <w:rPr>
                <w:rFonts w:hint="eastAsia" w:ascii="仿宋" w:hAnsi="仿宋" w:eastAsia="仿宋"/>
                <w:b/>
                <w:color w:val="000000"/>
                <w:sz w:val="24"/>
                <w:szCs w:val="24"/>
              </w:rPr>
              <w:t>）；</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第四步：具体流程</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详见浙江省“电子交易/不见面开评标”学习专题（网址</w:t>
            </w:r>
            <w:r>
              <w:fldChar w:fldCharType="begin"/>
            </w:r>
            <w:r>
              <w:instrText xml:space="preserve"> HYPERLINK "https://edu.zcygov.cn/luban/e-biding" </w:instrText>
            </w:r>
            <w:r>
              <w:fldChar w:fldCharType="separate"/>
            </w:r>
            <w:r>
              <w:rPr>
                <w:rStyle w:val="69"/>
                <w:rFonts w:hint="eastAsia" w:ascii="仿宋" w:hAnsi="仿宋" w:eastAsia="仿宋"/>
                <w:b/>
                <w:color w:val="000000"/>
                <w:sz w:val="24"/>
                <w:szCs w:val="24"/>
              </w:rPr>
              <w:t>https://edu.zcygov.cn/luban/e-biding</w:t>
            </w:r>
            <w:r>
              <w:rPr>
                <w:rStyle w:val="69"/>
                <w:rFonts w:hint="eastAsia" w:ascii="仿宋" w:hAnsi="仿宋" w:eastAsia="仿宋"/>
                <w:b/>
                <w:color w:val="000000"/>
                <w:sz w:val="24"/>
                <w:szCs w:val="24"/>
              </w:rPr>
              <w:fldChar w:fldCharType="end"/>
            </w:r>
            <w:r>
              <w:rPr>
                <w:rFonts w:hint="eastAsia" w:ascii="仿宋" w:hAnsi="仿宋" w:eastAsia="仿宋"/>
                <w:b/>
                <w:color w:val="000000"/>
                <w:sz w:val="24"/>
                <w:szCs w:val="24"/>
              </w:rPr>
              <w:t>）</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提醒：</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1</w:t>
            </w:r>
            <w:r>
              <w:rPr>
                <w:rFonts w:ascii="仿宋" w:hAnsi="仿宋" w:eastAsia="仿宋"/>
                <w:b/>
                <w:color w:val="000000"/>
                <w:sz w:val="24"/>
                <w:szCs w:val="24"/>
              </w:rPr>
              <w:t>.</w:t>
            </w:r>
            <w:r>
              <w:rPr>
                <w:rFonts w:hint="eastAsia" w:ascii="仿宋" w:hAnsi="仿宋" w:eastAsia="仿宋"/>
                <w:b/>
                <w:color w:val="000000"/>
                <w:sz w:val="24"/>
                <w:szCs w:val="24"/>
              </w:rPr>
              <w:t>请各投标人合理安排时间，尽快完成第一、二、三步骤，避免影响投标。</w:t>
            </w:r>
          </w:p>
          <w:p>
            <w:pPr>
              <w:spacing w:line="400" w:lineRule="exact"/>
              <w:jc w:val="left"/>
              <w:rPr>
                <w:rFonts w:ascii="仿宋" w:hAnsi="仿宋" w:eastAsia="仿宋"/>
                <w:color w:val="000000"/>
                <w:sz w:val="24"/>
                <w:szCs w:val="24"/>
              </w:rPr>
            </w:pPr>
            <w:r>
              <w:rPr>
                <w:rFonts w:ascii="仿宋" w:hAnsi="仿宋" w:eastAsia="仿宋"/>
                <w:b/>
                <w:color w:val="000000"/>
                <w:sz w:val="24"/>
                <w:szCs w:val="24"/>
              </w:rPr>
              <w:t>2.</w:t>
            </w:r>
            <w:r>
              <w:rPr>
                <w:rFonts w:hint="eastAsia" w:ascii="仿宋" w:hAnsi="仿宋" w:eastAsia="仿宋"/>
                <w:b/>
                <w:color w:val="000000"/>
                <w:sz w:val="24"/>
                <w:szCs w:val="24"/>
              </w:rPr>
              <w:t>为避免页面存在兼容性等问题，投标人须使用谷歌Chrome浏览器或360浏览器极速模式，涉及视频会议等功能的，还应安装摄像头和麦克风。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7</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投标文件的递交与接收</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投标文件的接收以本项目公告要求的时间、地点和“第二章”的“投标文件的编制”等要求为准。</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投标人递交备份投标文件，出现下列情况之一的，将被拒收：</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1、未按规定密封或标记的；</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2、由于包装不妥，在送交途中严重破损或失散的；</w:t>
            </w:r>
          </w:p>
          <w:p>
            <w:pPr>
              <w:spacing w:line="500" w:lineRule="exact"/>
              <w:jc w:val="left"/>
              <w:rPr>
                <w:rFonts w:ascii="仿宋" w:hAnsi="仿宋" w:eastAsia="仿宋"/>
                <w:color w:val="000000"/>
                <w:sz w:val="24"/>
                <w:szCs w:val="24"/>
              </w:rPr>
            </w:pPr>
            <w:r>
              <w:rPr>
                <w:rFonts w:hint="eastAsia" w:ascii="仿宋" w:hAnsi="仿宋" w:eastAsia="仿宋"/>
                <w:b/>
                <w:color w:val="000000"/>
                <w:sz w:val="24"/>
                <w:szCs w:val="24"/>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8</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投标撤销（撤回）</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_GB2312" w:hAnsi="仿宋" w:eastAsia="仿宋_GB2312"/>
                <w:bCs/>
                <w:color w:val="000000"/>
                <w:sz w:val="24"/>
              </w:rPr>
            </w:pPr>
            <w:r>
              <w:rPr>
                <w:rFonts w:hint="eastAsia" w:ascii="仿宋_GB2312" w:hAnsi="仿宋" w:eastAsia="仿宋_GB2312"/>
                <w:bCs/>
                <w:color w:val="000000"/>
                <w:sz w:val="24"/>
              </w:rPr>
              <w:t>1</w:t>
            </w:r>
            <w:r>
              <w:rPr>
                <w:rFonts w:ascii="仿宋_GB2312" w:hAnsi="仿宋" w:eastAsia="仿宋_GB2312"/>
                <w:bCs/>
                <w:color w:val="000000"/>
                <w:sz w:val="24"/>
              </w:rPr>
              <w:t>.</w:t>
            </w:r>
            <w:r>
              <w:rPr>
                <w:rFonts w:hint="eastAsia" w:ascii="仿宋_GB2312" w:hAnsi="仿宋" w:eastAsia="仿宋_GB2312"/>
                <w:bCs/>
                <w:color w:val="000000"/>
                <w:sz w:val="24"/>
              </w:rPr>
              <w:t>在投标截止时间起至投标有效期届满，供应商投标文件不可撤销。</w:t>
            </w:r>
          </w:p>
          <w:p>
            <w:pPr>
              <w:autoSpaceDE w:val="0"/>
              <w:autoSpaceDN w:val="0"/>
              <w:snapToGrid w:val="0"/>
              <w:jc w:val="left"/>
              <w:textAlignment w:val="bottom"/>
              <w:rPr>
                <w:rFonts w:ascii="仿宋" w:hAnsi="仿宋" w:eastAsia="仿宋"/>
                <w:b/>
                <w:color w:val="000000"/>
                <w:sz w:val="24"/>
                <w:szCs w:val="24"/>
              </w:rPr>
            </w:pPr>
            <w:r>
              <w:rPr>
                <w:rFonts w:ascii="仿宋_GB2312" w:hAnsi="仿宋" w:eastAsia="仿宋_GB2312"/>
                <w:bCs/>
                <w:color w:val="000000"/>
                <w:sz w:val="24"/>
              </w:rPr>
              <w:t>2.</w:t>
            </w:r>
            <w:r>
              <w:rPr>
                <w:rFonts w:hint="eastAsia" w:ascii="仿宋_GB2312" w:hAnsi="仿宋" w:eastAsia="仿宋_GB2312"/>
                <w:bCs/>
                <w:color w:val="000000"/>
                <w:sz w:val="24"/>
              </w:rPr>
              <w:t>供应商撤销（撤回）投标不得损害国家利益、社会公共利益、采购人利益、代理机构利益、其他供应商利益，否则，供应商撤销（撤回）投标无效。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9</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中标结果公告</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4"/>
                <w:szCs w:val="24"/>
              </w:rPr>
              <w:t>中标供应商确定之日起2个工作日内，将在</w:t>
            </w:r>
            <w:r>
              <w:rPr>
                <w:rFonts w:hint="eastAsia" w:ascii="仿宋" w:hAnsi="仿宋" w:eastAsia="仿宋" w:cs="Arial"/>
                <w:color w:val="000000"/>
                <w:sz w:val="24"/>
                <w:szCs w:val="24"/>
              </w:rPr>
              <w:t>浙江省政府采购网(</w:t>
            </w:r>
            <w:r>
              <w:fldChar w:fldCharType="begin"/>
            </w:r>
            <w:r>
              <w:instrText xml:space="preserve"> HYPERLINK "http://www.zjzfcg.gov.cn/new" </w:instrText>
            </w:r>
            <w:r>
              <w:fldChar w:fldCharType="separate"/>
            </w:r>
            <w:r>
              <w:rPr>
                <w:rStyle w:val="69"/>
                <w:rFonts w:hint="eastAsia" w:ascii="仿宋" w:hAnsi="仿宋" w:eastAsia="仿宋"/>
                <w:color w:val="000000"/>
                <w:sz w:val="24"/>
                <w:szCs w:val="24"/>
              </w:rPr>
              <w:t>http://www.zjzfcg.gov.cn</w:t>
            </w:r>
            <w:r>
              <w:rPr>
                <w:rStyle w:val="69"/>
                <w:rFonts w:hint="eastAsia" w:ascii="仿宋" w:hAnsi="仿宋" w:eastAsia="仿宋"/>
                <w:color w:val="000000"/>
                <w:sz w:val="24"/>
                <w:szCs w:val="24"/>
              </w:rPr>
              <w:fldChar w:fldCharType="end"/>
            </w:r>
            <w:r>
              <w:rPr>
                <w:rFonts w:hint="eastAsia" w:ascii="仿宋" w:hAnsi="仿宋" w:eastAsia="仿宋" w:cs="Arial"/>
                <w:color w:val="000000"/>
                <w:sz w:val="24"/>
                <w:szCs w:val="24"/>
              </w:rPr>
              <w:t>)发布</w:t>
            </w:r>
            <w:r>
              <w:rPr>
                <w:rFonts w:hint="eastAsia" w:ascii="仿宋" w:hAnsi="仿宋" w:eastAsia="仿宋"/>
                <w:color w:val="000000"/>
                <w:sz w:val="24"/>
                <w:szCs w:val="24"/>
              </w:rPr>
              <w:t>中标公告</w:t>
            </w:r>
            <w:r>
              <w:rPr>
                <w:rFonts w:hint="eastAsia" w:ascii="仿宋" w:hAnsi="仿宋" w:eastAsia="仿宋"/>
                <w:b/>
                <w:color w:val="000000"/>
                <w:sz w:val="24"/>
                <w:szCs w:val="24"/>
              </w:rPr>
              <w:t>（中标人为中小企业的，其声明函将随中标结果同时公告）</w:t>
            </w:r>
            <w:r>
              <w:rPr>
                <w:rFonts w:hint="eastAsia" w:ascii="仿宋" w:hAnsi="仿宋" w:eastAsia="仿宋"/>
                <w:color w:val="000000"/>
                <w:sz w:val="24"/>
                <w:szCs w:val="24"/>
              </w:rPr>
              <w:t>，公告期限为1个工作日</w:t>
            </w:r>
            <w:r>
              <w:rPr>
                <w:rFonts w:hint="eastAsia" w:ascii="仿宋" w:hAnsi="仿宋" w:eastAsia="仿宋" w:cs="Arial"/>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中标供应商放弃中标赔偿责任</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 w:hAnsi="仿宋" w:eastAsia="仿宋"/>
                <w:color w:val="000000"/>
                <w:sz w:val="24"/>
                <w:szCs w:val="24"/>
              </w:rPr>
            </w:pPr>
            <w:r>
              <w:rPr>
                <w:rFonts w:hint="eastAsia" w:ascii="仿宋_GB2312" w:hAnsi="仿宋" w:eastAsia="仿宋_GB2312"/>
                <w:bCs/>
                <w:color w:val="000000"/>
                <w:sz w:val="24"/>
              </w:rPr>
              <w:t>中标供应商放弃中标资格导致重新采购的，应当承担支付专家评审费等费用在内的赔偿责任（不可抗力除外）。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21</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履约保证金</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_GB2312" w:hAnsi="仿宋" w:eastAsia="仿宋_GB2312"/>
                <w:bCs/>
                <w:color w:val="000000"/>
                <w:sz w:val="24"/>
              </w:rPr>
            </w:pPr>
            <w:r>
              <w:rPr>
                <w:rFonts w:hint="eastAsia" w:ascii="仿宋_GB2312" w:hAnsi="仿宋" w:eastAsia="仿宋_GB2312"/>
                <w:bCs/>
                <w:color w:val="000000"/>
                <w:sz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22</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付款方式</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_GB2312" w:hAnsi="仿宋" w:eastAsia="仿宋_GB2312"/>
                <w:bCs/>
                <w:color w:val="000000"/>
                <w:sz w:val="24"/>
              </w:rPr>
            </w:pPr>
            <w:r>
              <w:rPr>
                <w:rFonts w:hint="eastAsia" w:ascii="仿宋_GB2312" w:hAnsi="仿宋" w:eastAsia="仿宋_GB2312"/>
                <w:bCs/>
                <w:color w:val="000000"/>
                <w:sz w:val="24"/>
              </w:rPr>
              <w:t>国库集中支付（采购人自行支付）详见各标项的商务要求表。</w:t>
            </w:r>
          </w:p>
          <w:p>
            <w:pPr>
              <w:autoSpaceDE w:val="0"/>
              <w:autoSpaceDN w:val="0"/>
              <w:snapToGrid w:val="0"/>
              <w:jc w:val="left"/>
              <w:textAlignment w:val="bottom"/>
              <w:rPr>
                <w:rFonts w:ascii="仿宋" w:hAnsi="仿宋" w:eastAsia="仿宋"/>
                <w:color w:val="000000"/>
                <w:sz w:val="28"/>
                <w:szCs w:val="28"/>
              </w:rPr>
            </w:pPr>
            <w:r>
              <w:rPr>
                <w:rFonts w:hint="eastAsia" w:ascii="仿宋_GB2312" w:hAnsi="仿宋" w:eastAsia="仿宋_GB2312"/>
                <w:bCs/>
                <w:color w:val="000000"/>
                <w:sz w:val="24"/>
              </w:rPr>
              <w:t>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w:t>
            </w:r>
            <w:r>
              <w:rPr>
                <w:rFonts w:ascii="仿宋_GB2312" w:hAnsi="仿宋" w:eastAsia="仿宋_GB2312"/>
                <w:bCs/>
                <w:color w:val="000000"/>
                <w:sz w:val="24"/>
              </w:rPr>
              <w:t>《浙江省财政厅关于进一步加大政府采购支持中小企业力度助力扎实稳住经济的通知》</w:t>
            </w:r>
            <w:r>
              <w:rPr>
                <w:rFonts w:hint="eastAsia" w:ascii="仿宋_GB2312" w:hAnsi="仿宋" w:eastAsia="仿宋_GB2312"/>
                <w:bCs/>
                <w:color w:val="000000"/>
                <w:sz w:val="24"/>
              </w:rPr>
              <w:t>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23</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投标文件有效期</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cs="Arial"/>
                <w:color w:val="000000"/>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4</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合同签订时间</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5</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招标方代理费用</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6</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解释权</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本招标文件的解释权属于浙江省政府采购中心。</w:t>
            </w:r>
          </w:p>
        </w:tc>
      </w:tr>
    </w:tbl>
    <w:p>
      <w:pPr>
        <w:pStyle w:val="31"/>
        <w:snapToGrid w:val="0"/>
        <w:spacing w:before="312" w:beforeLines="100" w:after="312" w:afterLines="100" w:line="360" w:lineRule="auto"/>
        <w:jc w:val="center"/>
        <w:rPr>
          <w:rFonts w:ascii="仿宋" w:hAnsi="仿宋" w:eastAsia="仿宋"/>
          <w:b/>
          <w:bCs/>
          <w:color w:val="000000"/>
          <w:sz w:val="28"/>
          <w:szCs w:val="28"/>
        </w:rPr>
      </w:pPr>
      <w:r>
        <w:rPr>
          <w:rFonts w:hint="eastAsia" w:ascii="仿宋" w:hAnsi="仿宋" w:eastAsia="仿宋_GB2312"/>
          <w:color w:val="000000"/>
          <w:kern w:val="0"/>
          <w:sz w:val="30"/>
          <w:szCs w:val="30"/>
        </w:rPr>
        <w:br w:type="page"/>
      </w:r>
      <w:r>
        <w:rPr>
          <w:rFonts w:hint="eastAsia" w:ascii="仿宋" w:hAnsi="仿宋" w:eastAsia="仿宋"/>
          <w:b/>
          <w:bCs/>
          <w:color w:val="000000"/>
          <w:sz w:val="28"/>
          <w:szCs w:val="28"/>
        </w:rPr>
        <w:t>一、总  则</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（一）适用范围</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仅适用于本次招标文件中采购项目的招标、投标、评标、定标、验收、合同履约、付款等行为（法律、法规另有规定的，从其规定）。</w:t>
      </w:r>
    </w:p>
    <w:p>
      <w:pPr>
        <w:snapToGrid w:val="0"/>
        <w:spacing w:before="156" w:beforeLines="50" w:line="460" w:lineRule="exact"/>
        <w:ind w:firstLine="411" w:firstLineChars="147"/>
        <w:jc w:val="left"/>
        <w:outlineLvl w:val="1"/>
        <w:rPr>
          <w:rFonts w:ascii="仿宋" w:hAnsi="仿宋" w:eastAsia="仿宋"/>
          <w:bCs/>
          <w:color w:val="000000"/>
          <w:sz w:val="28"/>
          <w:szCs w:val="28"/>
        </w:rPr>
      </w:pPr>
      <w:r>
        <w:rPr>
          <w:rFonts w:hint="eastAsia" w:ascii="仿宋" w:hAnsi="仿宋" w:eastAsia="仿宋"/>
          <w:bCs/>
          <w:color w:val="000000"/>
          <w:sz w:val="28"/>
          <w:szCs w:val="28"/>
        </w:rPr>
        <w:t xml:space="preserve">（二）定义 </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1.招标方：指组织本项目采购的浙江省政府采购中心。</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2.投标人：指响应招标、参加投标竞争的法人、其他组织或者自然人。</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3.采购人：指委托招标方采购本次货物、服务项目的国家机关、事业单位和团体组织。</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5.服务：指招标文件规定投标人须承担的劳务以及其他类似的义务。</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6.项目：指投标人按招标文件规定向采购人提供的需求总称。</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7.电子交易平台:指政府采购项目电子交易平台，即政采云平台。</w:t>
      </w:r>
    </w:p>
    <w:p>
      <w:pPr>
        <w:spacing w:line="360" w:lineRule="auto"/>
        <w:ind w:firstLine="562" w:firstLineChars="200"/>
        <w:rPr>
          <w:rFonts w:ascii="仿宋" w:hAnsi="仿宋" w:eastAsia="仿宋" w:cs="Arial"/>
          <w:b/>
          <w:color w:val="000000"/>
          <w:sz w:val="28"/>
          <w:szCs w:val="28"/>
        </w:rPr>
      </w:pPr>
      <w:r>
        <w:rPr>
          <w:rFonts w:hint="eastAsia" w:ascii="仿宋" w:hAnsi="仿宋" w:eastAsia="仿宋" w:cs="Arial"/>
          <w:b/>
          <w:color w:val="000000"/>
          <w:sz w:val="28"/>
          <w:szCs w:val="28"/>
        </w:rPr>
        <w:t>8.中小企业：是指在中华人民共和国境内依法设立，依据国务院批准的中小企业划分标准确定的中型企业、小型企业和微型企业，但与大企业的负责人为同一人，或者与大企业存在直接控股、管理关系的除外。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2" w:firstLineChars="200"/>
        <w:rPr>
          <w:rFonts w:ascii="仿宋" w:hAnsi="仿宋" w:eastAsia="仿宋" w:cs="Arial"/>
          <w:b/>
          <w:color w:val="000000"/>
          <w:sz w:val="28"/>
          <w:szCs w:val="28"/>
        </w:rPr>
      </w:pPr>
      <w:r>
        <w:rPr>
          <w:rFonts w:hint="eastAsia" w:ascii="仿宋" w:hAnsi="仿宋" w:eastAsia="仿宋" w:cs="Arial"/>
          <w:b/>
          <w:color w:val="000000"/>
          <w:sz w:val="28"/>
          <w:szCs w:val="28"/>
        </w:rPr>
        <w:t>符合中小企业划分标准的个体工商户，在政府采购活动中视同中小企业。</w:t>
      </w:r>
    </w:p>
    <w:p>
      <w:pPr>
        <w:snapToGrid w:val="0"/>
        <w:spacing w:before="156" w:beforeLines="50" w:line="460" w:lineRule="exact"/>
        <w:ind w:firstLine="548" w:firstLineChars="196"/>
        <w:jc w:val="left"/>
        <w:outlineLvl w:val="1"/>
        <w:rPr>
          <w:rFonts w:ascii="仿宋" w:hAnsi="仿宋" w:eastAsia="仿宋"/>
          <w:bCs/>
          <w:color w:val="000000"/>
          <w:sz w:val="28"/>
          <w:szCs w:val="28"/>
        </w:rPr>
      </w:pPr>
      <w:r>
        <w:rPr>
          <w:rFonts w:hint="eastAsia" w:ascii="仿宋" w:hAnsi="仿宋" w:eastAsia="仿宋"/>
          <w:bCs/>
          <w:color w:val="000000"/>
          <w:sz w:val="28"/>
          <w:szCs w:val="28"/>
        </w:rPr>
        <w:t>（三）投标人及委托有关说明</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1.如授权代表不是法定代表人，须有法定代表人出具的授权委托书</w:t>
      </w:r>
      <w:r>
        <w:rPr>
          <w:rFonts w:hint="eastAsia" w:ascii="仿宋" w:hAnsi="仿宋" w:eastAsia="仿宋"/>
          <w:b/>
          <w:bCs/>
          <w:color w:val="000000"/>
          <w:sz w:val="28"/>
          <w:szCs w:val="28"/>
        </w:rPr>
        <w:t>（格式见附件）。</w:t>
      </w:r>
      <w:r>
        <w:rPr>
          <w:rFonts w:hint="eastAsia" w:ascii="仿宋" w:hAnsi="仿宋" w:eastAsia="仿宋"/>
          <w:bCs/>
          <w:color w:val="000000"/>
          <w:sz w:val="28"/>
          <w:szCs w:val="28"/>
        </w:rPr>
        <w:t>投标人委派不在本单位缴纳社保的人员作为授权代表的，应当在投标文件中，说明具体原因、授权代表缴纳社保的单位，并附列该授权代表缴纳社保清单。</w:t>
      </w:r>
    </w:p>
    <w:p>
      <w:pPr>
        <w:pStyle w:val="31"/>
        <w:snapToGrid w:val="0"/>
        <w:spacing w:beforeLines="0" w:after="156" w:line="460" w:lineRule="exact"/>
        <w:ind w:left="2" w:leftChars="1" w:firstLine="560" w:firstLineChars="200"/>
        <w:rPr>
          <w:rFonts w:ascii="仿宋" w:hAnsi="仿宋" w:eastAsia="仿宋"/>
          <w:bCs/>
          <w:color w:val="000000"/>
          <w:sz w:val="28"/>
          <w:szCs w:val="28"/>
        </w:rPr>
      </w:pPr>
      <w:r>
        <w:rPr>
          <w:rFonts w:hint="eastAsia" w:ascii="仿宋" w:hAnsi="仿宋" w:eastAsia="仿宋"/>
          <w:bCs/>
          <w:color w:val="000000"/>
          <w:sz w:val="28"/>
          <w:szCs w:val="28"/>
        </w:rP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3.单位负责人为同一人或者存在直接控股、管理关系的不同供应商，不得参加同一合同项下的政府采购活动。</w:t>
      </w:r>
    </w:p>
    <w:p>
      <w:pPr>
        <w:pStyle w:val="31"/>
        <w:snapToGrid w:val="0"/>
        <w:spacing w:beforeLines="0" w:after="156" w:line="460" w:lineRule="exact"/>
        <w:ind w:left="2" w:leftChars="1" w:firstLine="560" w:firstLineChars="200"/>
        <w:rPr>
          <w:rFonts w:ascii="仿宋" w:hAnsi="仿宋" w:eastAsia="仿宋"/>
          <w:bCs/>
          <w:color w:val="000000"/>
          <w:sz w:val="28"/>
          <w:szCs w:val="28"/>
        </w:rPr>
      </w:pPr>
      <w:r>
        <w:rPr>
          <w:rFonts w:hint="eastAsia" w:ascii="仿宋" w:hAnsi="仿宋" w:eastAsia="仿宋"/>
          <w:bCs/>
          <w:color w:val="000000"/>
          <w:sz w:val="28"/>
          <w:szCs w:val="28"/>
        </w:rPr>
        <w:t>4.投标人应仔细阅读招标文件的所有内容，按照招标文件的要求提交投标文件，并对所提供的全部资料的真实性承担法律责任。</w:t>
      </w:r>
    </w:p>
    <w:p>
      <w:pPr>
        <w:snapToGrid w:val="0"/>
        <w:spacing w:before="156" w:beforeLines="50" w:line="460" w:lineRule="exact"/>
        <w:ind w:firstLine="548" w:firstLineChars="196"/>
        <w:jc w:val="left"/>
        <w:outlineLvl w:val="1"/>
        <w:rPr>
          <w:rFonts w:ascii="仿宋" w:hAnsi="仿宋" w:eastAsia="仿宋"/>
          <w:bCs/>
          <w:color w:val="000000"/>
          <w:sz w:val="28"/>
          <w:szCs w:val="28"/>
        </w:rPr>
      </w:pPr>
      <w:r>
        <w:rPr>
          <w:rFonts w:hint="eastAsia" w:ascii="仿宋" w:hAnsi="仿宋" w:eastAsia="仿宋"/>
          <w:bCs/>
          <w:color w:val="000000"/>
          <w:sz w:val="28"/>
          <w:szCs w:val="28"/>
        </w:rPr>
        <w:t>（四）投标费用</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（五）质疑</w:t>
      </w:r>
    </w:p>
    <w:p>
      <w:pPr>
        <w:snapToGrid w:val="0"/>
        <w:spacing w:line="460" w:lineRule="exact"/>
        <w:ind w:firstLine="700" w:firstLineChars="250"/>
        <w:rPr>
          <w:rFonts w:ascii="仿宋" w:hAnsi="仿宋" w:eastAsia="仿宋"/>
          <w:bCs/>
          <w:color w:val="000000"/>
          <w:sz w:val="28"/>
          <w:szCs w:val="28"/>
        </w:rPr>
      </w:pPr>
      <w:r>
        <w:rPr>
          <w:rFonts w:hint="eastAsia" w:ascii="仿宋" w:hAnsi="仿宋" w:eastAsia="仿宋"/>
          <w:bCs/>
          <w:color w:val="000000"/>
          <w:sz w:val="28"/>
          <w:szCs w:val="28"/>
        </w:rPr>
        <w:t>1.投标人认为采购文件使自己的权益受到损害的，可以自获取采购文件之日或者采购公告期限届满之日（公告期限届满后获取采购文件的，以公告期限届满之日为准）起7个工作日内，对采购文件需求及评分细则的以书面形式向采购人提出质疑，对其他内容的以书面形式向采购人和招标方提出质疑。</w:t>
      </w:r>
    </w:p>
    <w:p>
      <w:pPr>
        <w:snapToGrid w:val="0"/>
        <w:spacing w:line="460" w:lineRule="exact"/>
        <w:ind w:firstLine="700" w:firstLineChars="250"/>
        <w:rPr>
          <w:rFonts w:ascii="仿宋" w:hAnsi="仿宋" w:eastAsia="仿宋"/>
          <w:bCs/>
          <w:color w:val="000000"/>
          <w:sz w:val="28"/>
          <w:szCs w:val="28"/>
        </w:rPr>
      </w:pPr>
      <w:r>
        <w:rPr>
          <w:rFonts w:hint="eastAsia" w:ascii="仿宋" w:hAnsi="仿宋" w:eastAsia="仿宋"/>
          <w:bCs/>
          <w:color w:val="000000"/>
          <w:sz w:val="28"/>
          <w:szCs w:val="28"/>
        </w:rPr>
        <w:t>2</w:t>
      </w:r>
      <w:r>
        <w:rPr>
          <w:rFonts w:ascii="仿宋" w:hAnsi="仿宋" w:eastAsia="仿宋"/>
          <w:bCs/>
          <w:color w:val="000000"/>
          <w:sz w:val="28"/>
          <w:szCs w:val="28"/>
        </w:rPr>
        <w:t>.</w:t>
      </w:r>
      <w:r>
        <w:rPr>
          <w:rFonts w:hint="eastAsia" w:ascii="仿宋" w:hAnsi="仿宋" w:eastAsia="仿宋"/>
          <w:bCs/>
          <w:color w:val="000000"/>
          <w:sz w:val="28"/>
          <w:szCs w:val="28"/>
        </w:rPr>
        <w:t>投标人认为招标过程或中标结果使自己的合法权益受到损害的，可以在中标结果公告期限届满之日起七个工作日内，对“资格审查”等由采购人负责的环节的以书面形式向采购人提出质疑，对其他内容的以书面形式向采购人和招标方提出质疑。</w:t>
      </w:r>
    </w:p>
    <w:p>
      <w:pPr>
        <w:pStyle w:val="31"/>
        <w:snapToGrid w:val="0"/>
        <w:spacing w:beforeLines="0" w:after="156" w:line="460" w:lineRule="exact"/>
        <w:ind w:left="2" w:leftChars="1" w:firstLine="560" w:firstLineChars="200"/>
        <w:rPr>
          <w:rFonts w:ascii="仿宋" w:hAnsi="仿宋" w:eastAsia="仿宋"/>
          <w:bCs/>
          <w:color w:val="000000"/>
          <w:sz w:val="28"/>
          <w:szCs w:val="28"/>
        </w:rPr>
      </w:pPr>
      <w:r>
        <w:rPr>
          <w:rFonts w:ascii="仿宋" w:hAnsi="仿宋" w:eastAsia="仿宋"/>
          <w:bCs/>
          <w:color w:val="000000"/>
          <w:sz w:val="28"/>
          <w:szCs w:val="28"/>
        </w:rPr>
        <w:t>3</w:t>
      </w:r>
      <w:r>
        <w:rPr>
          <w:rFonts w:hint="eastAsia" w:ascii="仿宋" w:hAnsi="仿宋" w:eastAsia="仿宋"/>
          <w:bCs/>
          <w:color w:val="000000"/>
          <w:sz w:val="28"/>
          <w:szCs w:val="28"/>
        </w:rPr>
        <w:t>.质疑应当以书面形式提出，格式见《政府采购质疑和投诉办法》（财政部令第94号）附件范本，下载网址：浙江政府采购网(</w:t>
      </w:r>
      <w:r>
        <w:fldChar w:fldCharType="begin"/>
      </w:r>
      <w:r>
        <w:instrText xml:space="preserve"> HYPERLINK "http://zfcg.czt.zj.gov.cn/" </w:instrText>
      </w:r>
      <w:r>
        <w:fldChar w:fldCharType="separate"/>
      </w:r>
      <w:r>
        <w:rPr>
          <w:rStyle w:val="69"/>
          <w:rFonts w:hint="eastAsia" w:ascii="仿宋" w:hAnsi="仿宋" w:eastAsia="仿宋"/>
          <w:bCs/>
          <w:color w:val="000000"/>
          <w:sz w:val="28"/>
          <w:szCs w:val="28"/>
        </w:rPr>
        <w:t>http://zfcg.czt.zj.gov.cn/</w:t>
      </w:r>
      <w:r>
        <w:rPr>
          <w:rStyle w:val="69"/>
          <w:rFonts w:hint="eastAsia" w:ascii="仿宋" w:hAnsi="仿宋" w:eastAsia="仿宋"/>
          <w:bCs/>
          <w:color w:val="000000"/>
          <w:sz w:val="28"/>
          <w:szCs w:val="28"/>
        </w:rPr>
        <w:fldChar w:fldCharType="end"/>
      </w:r>
      <w:r>
        <w:rPr>
          <w:rFonts w:hint="eastAsia" w:ascii="仿宋" w:hAnsi="仿宋" w:eastAsia="仿宋"/>
          <w:bCs/>
          <w:color w:val="000000"/>
          <w:sz w:val="28"/>
          <w:szCs w:val="28"/>
        </w:rPr>
        <w:t>)，位置：“首页-下载专区-质疑投诉模板”。供应商提出质疑应当提交质疑函和必要的证明材料。供应商应当在法定质疑期内一次性提出针对同一采购程序环节的质疑。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质疑函应当包括下列内容：</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a.供应商的姓名或者名称、地址、邮编、联系人及联系电话；</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b.质疑项目的名称、编号；</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c.具体、明确的质疑事项和与质疑事项相关的请求；</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d.事实依据；</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e.必要的法律依据；</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f.提出质疑的日期。</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color w:val="000000"/>
          <w:sz w:val="28"/>
          <w:szCs w:val="28"/>
        </w:rPr>
      </w:pPr>
      <w:r>
        <w:rPr>
          <w:rFonts w:ascii="仿宋" w:hAnsi="仿宋" w:eastAsia="仿宋"/>
          <w:bCs/>
          <w:color w:val="000000"/>
          <w:sz w:val="28"/>
          <w:szCs w:val="28"/>
        </w:rPr>
        <w:t>4.</w:t>
      </w:r>
      <w:r>
        <w:rPr>
          <w:rFonts w:hint="eastAsia" w:ascii="仿宋" w:hAnsi="仿宋" w:eastAsia="仿宋"/>
          <w:bCs/>
          <w:color w:val="000000"/>
          <w:sz w:val="28"/>
          <w:szCs w:val="28"/>
        </w:rPr>
        <w:t xml:space="preserve"> 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 xml:space="preserve">（六）招标文件的澄清与修改 </w:t>
      </w:r>
    </w:p>
    <w:p>
      <w:pPr>
        <w:pStyle w:val="31"/>
        <w:snapToGrid w:val="0"/>
        <w:spacing w:before="156" w:after="156" w:line="460" w:lineRule="exact"/>
        <w:ind w:firstLine="560" w:firstLineChars="200"/>
        <w:rPr>
          <w:rFonts w:ascii="仿宋" w:hAnsi="仿宋" w:eastAsia="仿宋"/>
          <w:b/>
          <w:bCs/>
          <w:color w:val="000000"/>
          <w:sz w:val="28"/>
          <w:szCs w:val="28"/>
        </w:rPr>
      </w:pPr>
      <w:r>
        <w:rPr>
          <w:rFonts w:hint="eastAsia" w:ascii="仿宋" w:hAnsi="仿宋" w:eastAsia="仿宋"/>
          <w:bCs/>
          <w:color w:val="000000"/>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b/>
          <w:bCs/>
          <w:color w:val="000000"/>
          <w:sz w:val="28"/>
          <w:szCs w:val="28"/>
        </w:rPr>
        <w:t>逾期提出招标方将不予受理。</w:t>
      </w:r>
    </w:p>
    <w:p>
      <w:pPr>
        <w:pStyle w:val="31"/>
        <w:snapToGrid w:val="0"/>
        <w:spacing w:before="156" w:after="156"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2.招标方主动进行的澄清、修改：招标方无论出于何种原因，均可主动对招标文件中的相关事项，用补充文件等方式进行澄清和修改。</w:t>
      </w:r>
    </w:p>
    <w:p>
      <w:pPr>
        <w:pStyle w:val="31"/>
        <w:snapToGrid w:val="0"/>
        <w:spacing w:before="156" w:after="156"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3.招标文件澄清、答复、修改、补充的内容为招标文件的组成部分。当招标文件与招标文件的答复、澄清、修改、补充通知就同一内容的表述不一致时，以最后发出的书面文件为准。</w:t>
      </w:r>
    </w:p>
    <w:p>
      <w:pPr>
        <w:pStyle w:val="31"/>
        <w:snapToGrid w:val="0"/>
        <w:spacing w:before="312" w:beforeLines="100" w:after="312" w:afterLines="100" w:line="360" w:lineRule="auto"/>
        <w:jc w:val="center"/>
        <w:rPr>
          <w:rFonts w:ascii="仿宋" w:hAnsi="仿宋" w:eastAsia="仿宋"/>
          <w:bCs/>
          <w:color w:val="000000"/>
          <w:sz w:val="28"/>
          <w:szCs w:val="28"/>
        </w:rPr>
      </w:pPr>
      <w:r>
        <w:rPr>
          <w:rFonts w:hint="eastAsia" w:ascii="仿宋" w:hAnsi="仿宋" w:eastAsia="仿宋"/>
          <w:bCs/>
          <w:color w:val="000000"/>
          <w:sz w:val="28"/>
          <w:szCs w:val="28"/>
        </w:rPr>
        <w:t>二、投标文件的编制</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（一）投标文件编制工具</w:t>
      </w:r>
    </w:p>
    <w:p>
      <w:pPr>
        <w:pStyle w:val="31"/>
        <w:adjustRightInd w:val="0"/>
        <w:snapToGrid w:val="0"/>
        <w:spacing w:before="156" w:after="156" w:line="500" w:lineRule="exact"/>
        <w:ind w:firstLine="565" w:firstLineChars="201"/>
        <w:rPr>
          <w:rFonts w:ascii="仿宋" w:hAnsi="仿宋" w:eastAsia="仿宋"/>
          <w:b/>
          <w:bCs/>
          <w:color w:val="000000"/>
          <w:sz w:val="28"/>
          <w:szCs w:val="28"/>
        </w:rPr>
      </w:pPr>
      <w:r>
        <w:rPr>
          <w:rFonts w:hint="eastAsia" w:ascii="仿宋" w:hAnsi="仿宋" w:eastAsia="仿宋"/>
          <w:b/>
          <w:bCs/>
          <w:color w:val="000000"/>
          <w:sz w:val="28"/>
          <w:szCs w:val="28"/>
        </w:rPr>
        <w:t>投标文件编制工具为政采云电子交易客户端，下载网址：</w:t>
      </w:r>
      <w:r>
        <w:fldChar w:fldCharType="begin"/>
      </w:r>
      <w:r>
        <w:instrText xml:space="preserve"> HYPERLINK "http://zfcg.czt.zj.gov.cn/bidClientTemplate/2019-09-24/12975.html" </w:instrText>
      </w:r>
      <w:r>
        <w:fldChar w:fldCharType="separate"/>
      </w:r>
      <w:r>
        <w:rPr>
          <w:rStyle w:val="69"/>
          <w:rFonts w:hint="eastAsia" w:ascii="仿宋" w:hAnsi="仿宋" w:eastAsia="仿宋"/>
          <w:b/>
          <w:bCs/>
          <w:color w:val="000000"/>
          <w:sz w:val="28"/>
          <w:szCs w:val="28"/>
        </w:rPr>
        <w:t>http://zfcg.czt.zj.gov.cn/bidClientTemplate/2019-09-24/12975.html</w:t>
      </w:r>
      <w:r>
        <w:rPr>
          <w:rStyle w:val="69"/>
          <w:rFonts w:hint="eastAsia" w:ascii="仿宋" w:hAnsi="仿宋" w:eastAsia="仿宋"/>
          <w:b/>
          <w:bCs/>
          <w:color w:val="000000"/>
          <w:sz w:val="28"/>
          <w:szCs w:val="28"/>
        </w:rPr>
        <w:fldChar w:fldCharType="end"/>
      </w:r>
      <w:r>
        <w:rPr>
          <w:rFonts w:hint="eastAsia" w:ascii="仿宋" w:hAnsi="仿宋" w:eastAsia="仿宋"/>
          <w:b/>
          <w:bCs/>
          <w:color w:val="000000"/>
          <w:sz w:val="28"/>
          <w:szCs w:val="28"/>
        </w:rPr>
        <w:t>，请自行下载并安装。</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（二）投标文件的组成</w:t>
      </w:r>
    </w:p>
    <w:p>
      <w:pPr>
        <w:adjustRightInd w:val="0"/>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adjustRightInd w:val="0"/>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电子投标文件每个标项由资格文件、技术商务文件、投标报价文件三部份组成，具体详见“第六章  投标文件格式附件”。备份投标文件的组成和内容等同电子投标文件。</w:t>
      </w:r>
    </w:p>
    <w:p>
      <w:pPr>
        <w:pStyle w:val="50"/>
        <w:widowControl w:val="0"/>
        <w:spacing w:after="156" w:line="460" w:lineRule="exact"/>
        <w:ind w:firstLine="562" w:firstLineChars="200"/>
        <w:jc w:val="both"/>
        <w:rPr>
          <w:rFonts w:ascii="仿宋" w:hAnsi="仿宋" w:eastAsia="仿宋"/>
          <w:bCs/>
          <w:sz w:val="28"/>
          <w:szCs w:val="28"/>
        </w:rPr>
      </w:pPr>
      <w:r>
        <w:rPr>
          <w:rFonts w:hint="eastAsia" w:ascii="仿宋" w:hAnsi="仿宋" w:eastAsia="仿宋"/>
          <w:b/>
          <w:bCs/>
          <w:sz w:val="28"/>
          <w:szCs w:val="28"/>
        </w:rPr>
        <w:t>注：法定代表人授权委托书、投标声明书、开标一览表必须按招标文件格式要求正确签署并加盖投标人公章。投标文件中所须加盖公章部分均采用CA签章。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（三）投标文件的效力</w:t>
      </w:r>
    </w:p>
    <w:p>
      <w:pPr>
        <w:adjustRightInd w:val="0"/>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（四）投标文件的语言及计量</w:t>
      </w:r>
    </w:p>
    <w:p>
      <w:pPr>
        <w:snapToGrid w:val="0"/>
        <w:spacing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2.投标计量单位，招标文件已有明确规定的，使用招标文件规定的计量单位；招标文件没有规定的，应采用中华人民共和国法定计量单位（货币单位：人民币元），否则将作无效标处理。</w:t>
      </w:r>
    </w:p>
    <w:p>
      <w:pPr>
        <w:pStyle w:val="16"/>
        <w:tabs>
          <w:tab w:val="clear" w:pos="454"/>
        </w:tabs>
        <w:snapToGrid w:val="0"/>
        <w:spacing w:before="156" w:beforeLines="50" w:after="156" w:line="460" w:lineRule="exact"/>
        <w:ind w:left="0" w:firstLine="548" w:firstLineChars="196"/>
        <w:rPr>
          <w:rFonts w:ascii="仿宋" w:hAnsi="仿宋" w:eastAsia="仿宋"/>
          <w:bCs/>
          <w:color w:val="000000"/>
          <w:sz w:val="28"/>
          <w:szCs w:val="28"/>
        </w:rPr>
      </w:pPr>
      <w:r>
        <w:rPr>
          <w:rFonts w:hint="eastAsia" w:ascii="仿宋" w:hAnsi="仿宋" w:eastAsia="仿宋"/>
          <w:bCs/>
          <w:color w:val="000000"/>
          <w:sz w:val="28"/>
          <w:szCs w:val="28"/>
        </w:rPr>
        <w:t>（五）投标文件的有效期</w:t>
      </w:r>
    </w:p>
    <w:p>
      <w:pPr>
        <w:pStyle w:val="16"/>
        <w:tabs>
          <w:tab w:val="clear" w:pos="454"/>
        </w:tabs>
        <w:snapToGrid w:val="0"/>
        <w:spacing w:before="156" w:beforeLines="50" w:after="156" w:line="460" w:lineRule="exact"/>
        <w:ind w:left="0" w:firstLine="560" w:firstLineChars="200"/>
        <w:rPr>
          <w:rFonts w:ascii="仿宋" w:hAnsi="仿宋" w:eastAsia="仿宋"/>
          <w:bCs/>
          <w:color w:val="000000"/>
          <w:sz w:val="28"/>
          <w:szCs w:val="28"/>
        </w:rPr>
      </w:pPr>
      <w:r>
        <w:rPr>
          <w:rFonts w:hint="eastAsia" w:ascii="仿宋" w:hAnsi="仿宋" w:eastAsia="仿宋"/>
          <w:bCs/>
          <w:color w:val="000000"/>
          <w:sz w:val="28"/>
          <w:szCs w:val="28"/>
        </w:rPr>
        <w:t>1.自投标截止日起90天内投标文件应保持有效。有效期不足的投标文件将作无效标处理。</w:t>
      </w:r>
    </w:p>
    <w:p>
      <w:pPr>
        <w:pStyle w:val="16"/>
        <w:tabs>
          <w:tab w:val="clear" w:pos="454"/>
        </w:tabs>
        <w:snapToGrid w:val="0"/>
        <w:spacing w:before="156" w:beforeLines="50" w:after="156" w:line="460" w:lineRule="exact"/>
        <w:ind w:left="0" w:firstLine="560" w:firstLineChars="200"/>
        <w:rPr>
          <w:rFonts w:ascii="仿宋" w:hAnsi="仿宋" w:eastAsia="仿宋"/>
          <w:bCs/>
          <w:color w:val="000000"/>
          <w:sz w:val="28"/>
          <w:szCs w:val="28"/>
        </w:rPr>
      </w:pPr>
      <w:r>
        <w:rPr>
          <w:rFonts w:hint="eastAsia" w:ascii="仿宋" w:hAnsi="仿宋" w:eastAsia="仿宋"/>
          <w:bCs/>
          <w:color w:val="000000"/>
          <w:sz w:val="28"/>
          <w:szCs w:val="28"/>
        </w:rPr>
        <w:t>2.中标供应商的投标文件自开标之日起至合同履行完毕止均应保持有效。</w:t>
      </w:r>
    </w:p>
    <w:p>
      <w:pPr>
        <w:snapToGrid w:val="0"/>
        <w:spacing w:before="156" w:beforeLines="50" w:line="460" w:lineRule="exact"/>
        <w:ind w:firstLine="420" w:firstLineChars="150"/>
        <w:jc w:val="left"/>
        <w:rPr>
          <w:rFonts w:ascii="仿宋" w:hAnsi="仿宋" w:eastAsia="仿宋"/>
          <w:bCs/>
          <w:color w:val="000000"/>
          <w:sz w:val="28"/>
          <w:szCs w:val="28"/>
        </w:rPr>
      </w:pPr>
      <w:r>
        <w:rPr>
          <w:rFonts w:hint="eastAsia" w:ascii="仿宋" w:hAnsi="仿宋" w:eastAsia="仿宋"/>
          <w:bCs/>
          <w:color w:val="000000"/>
          <w:sz w:val="28"/>
          <w:szCs w:val="28"/>
        </w:rPr>
        <w:t>（六）投标文件的签署和包装</w:t>
      </w:r>
    </w:p>
    <w:p>
      <w:pPr>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 xml:space="preserve">1.电子投标文件部分： </w:t>
      </w:r>
    </w:p>
    <w:p>
      <w:pPr>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2.投标人选择递交备份投标文件的，备份投标文件另须满足以下条件：</w:t>
      </w:r>
    </w:p>
    <w:p>
      <w:pPr>
        <w:pStyle w:val="31"/>
        <w:adjustRightInd w:val="0"/>
        <w:snapToGrid w:val="0"/>
        <w:spacing w:before="156" w:after="156" w:line="50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 xml:space="preserve">（1）储存形式：U盘、DVD </w:t>
      </w:r>
    </w:p>
    <w:p>
      <w:pPr>
        <w:pStyle w:val="31"/>
        <w:adjustRightInd w:val="0"/>
        <w:snapToGrid w:val="0"/>
        <w:spacing w:before="156" w:after="156" w:line="500" w:lineRule="exact"/>
        <w:ind w:firstLine="557" w:firstLineChars="198"/>
        <w:rPr>
          <w:rFonts w:ascii="仿宋" w:hAnsi="仿宋" w:eastAsia="仿宋"/>
          <w:bCs/>
          <w:color w:val="000000"/>
          <w:sz w:val="28"/>
          <w:szCs w:val="28"/>
        </w:rPr>
      </w:pPr>
      <w:r>
        <w:rPr>
          <w:rFonts w:hint="eastAsia" w:ascii="仿宋" w:hAnsi="仿宋" w:eastAsia="仿宋"/>
          <w:b/>
          <w:bCs/>
          <w:color w:val="000000"/>
          <w:sz w:val="28"/>
          <w:szCs w:val="28"/>
        </w:rP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156" w:beforeLines="50"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（七）投标报价</w:t>
      </w:r>
    </w:p>
    <w:p>
      <w:pPr>
        <w:tabs>
          <w:tab w:val="left" w:pos="525"/>
        </w:tabs>
        <w:snapToGrid w:val="0"/>
        <w:spacing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1.投标文件只允许有一个报价，投标报价应按招标文件中相关附表格式填报，该投标报价应与明细报价汇总相等，且不允许出现报价优惠等字样。投标总价不为零，报价明细表中部分产品、服务单价为零的，视作已包含在总价中。</w:t>
      </w:r>
    </w:p>
    <w:p>
      <w:pPr>
        <w:pStyle w:val="31"/>
        <w:snapToGrid w:val="0"/>
        <w:spacing w:before="156" w:after="156"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2.投标报价应包含项目所需全部产品、服务，不得缺漏，是履行合同的最终价格（含货款、标准附件、备品备件、专用工具、包装、运输、装卸、保险、税金、货到就位以及安装、调试、培训、保修等一切税金和费用）。</w:t>
      </w:r>
    </w:p>
    <w:p>
      <w:pPr>
        <w:pStyle w:val="31"/>
        <w:snapToGrid w:val="0"/>
        <w:spacing w:before="156" w:after="156"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3.投标报价金额到元为止，如投标报价总价出现角、分，将被抹除。</w:t>
      </w:r>
    </w:p>
    <w:p>
      <w:pPr>
        <w:pStyle w:val="31"/>
        <w:snapToGrid w:val="0"/>
        <w:spacing w:before="156" w:after="156"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4.资格文件、技术商务文件中不得出现投标报价信息，否则按无效标处理。</w:t>
      </w:r>
    </w:p>
    <w:p>
      <w:pPr>
        <w:pStyle w:val="31"/>
        <w:snapToGrid w:val="0"/>
        <w:spacing w:before="156" w:after="156"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5.投标人不得进行影响产品质量或者诚信履约的恶意报价。投标人在项目评审前准备好报价核算、报价明细、报价说明等材料，以备评审专家核查。供应商报价低于项目预算50%的，应当在报价文件中详细阐述不影响产品质量或者诚信履约的具体原因。</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（八）串通投标认定</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有下列情形之一的，视为投标人串通投标，其投标无效：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1.不同投标人的投标文件由同一单位或者个人编制或同一I</w:t>
      </w:r>
      <w:r>
        <w:rPr>
          <w:rFonts w:ascii="仿宋" w:hAnsi="仿宋" w:eastAsia="仿宋"/>
          <w:bCs/>
          <w:color w:val="000000"/>
          <w:sz w:val="28"/>
          <w:szCs w:val="28"/>
        </w:rPr>
        <w:t>P</w:t>
      </w:r>
      <w:r>
        <w:rPr>
          <w:rFonts w:hint="eastAsia" w:ascii="仿宋" w:hAnsi="仿宋" w:eastAsia="仿宋"/>
          <w:bCs/>
          <w:color w:val="000000"/>
          <w:sz w:val="28"/>
          <w:szCs w:val="28"/>
        </w:rPr>
        <w:t>地址上传；</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2.不同投标人委托同一单位或者个人办理投标事宜；</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3.不同投标人的投标文件载明的项目管理成员或者联系人员为同一人；</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4.不同投标人的投标文件异常一致或者投标报价呈规律性差异；</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5.不同投标人的投标文件相互混装；</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（九）投标无效的情形</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在评审时，如发现下列情形之一的，投标文件将被视为无效：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1.投标人未能提供合格的资格文件、投标有效期不足的；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3.仅提供备份投标文件的；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4.电子投标文件解密失败，且未在规定时间内提交备份投标文件的；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6.投标文件未按招标文件要求签署、盖章的；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7.与招标文件有重大偏离、未满足带“▲”号实质性指标的投标文件；</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9</w:t>
      </w:r>
      <w:r>
        <w:rPr>
          <w:rFonts w:ascii="仿宋" w:hAnsi="仿宋" w:eastAsia="仿宋"/>
          <w:bCs/>
          <w:color w:val="000000"/>
          <w:sz w:val="28"/>
          <w:szCs w:val="28"/>
        </w:rPr>
        <w:t>.</w:t>
      </w:r>
      <w:r>
        <w:rPr>
          <w:rFonts w:hint="eastAsia" w:ascii="仿宋" w:hAnsi="仿宋" w:eastAsia="仿宋"/>
          <w:bCs/>
          <w:color w:val="000000"/>
          <w:sz w:val="28"/>
          <w:szCs w:val="28"/>
        </w:rPr>
        <w:t>未提供样品或提供样品不满足采购需求实质性条件的；</w:t>
      </w:r>
    </w:p>
    <w:p>
      <w:pPr>
        <w:snapToGrid w:val="0"/>
        <w:spacing w:line="460" w:lineRule="exact"/>
        <w:ind w:firstLine="560" w:firstLineChars="200"/>
        <w:rPr>
          <w:rFonts w:ascii="仿宋" w:hAnsi="仿宋" w:eastAsia="仿宋"/>
          <w:bCs/>
          <w:color w:val="000000"/>
          <w:sz w:val="28"/>
          <w:szCs w:val="28"/>
        </w:rPr>
      </w:pPr>
      <w:r>
        <w:rPr>
          <w:rFonts w:ascii="仿宋" w:hAnsi="仿宋" w:eastAsia="仿宋"/>
          <w:bCs/>
          <w:color w:val="000000"/>
          <w:sz w:val="28"/>
          <w:szCs w:val="28"/>
        </w:rPr>
        <w:t>10</w:t>
      </w:r>
      <w:r>
        <w:rPr>
          <w:rFonts w:hint="eastAsia" w:ascii="仿宋" w:hAnsi="仿宋" w:eastAsia="仿宋"/>
          <w:bCs/>
          <w:color w:val="000000"/>
          <w:sz w:val="28"/>
          <w:szCs w:val="28"/>
        </w:rPr>
        <w:t>.投标报价超出招标文件中规定的预算金额或者最高限价的；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1</w:t>
      </w:r>
      <w:r>
        <w:rPr>
          <w:rFonts w:hint="eastAsia" w:ascii="仿宋" w:hAnsi="仿宋" w:eastAsia="仿宋"/>
          <w:bCs/>
          <w:color w:val="000000"/>
          <w:sz w:val="28"/>
          <w:szCs w:val="28"/>
        </w:rPr>
        <w:t>.标项以赠送方式投标的、对一个标项提供两个投标方案或两个报价的；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2</w:t>
      </w:r>
      <w:r>
        <w:rPr>
          <w:rFonts w:hint="eastAsia" w:ascii="仿宋" w:hAnsi="仿宋" w:eastAsia="仿宋"/>
          <w:bCs/>
          <w:color w:val="000000"/>
          <w:sz w:val="28"/>
          <w:szCs w:val="28"/>
        </w:rPr>
        <w:t>.评标委员会认为投标人的报价明显低于其他通过符合性审查投标人的报价，有可能影响产品质量或者不能诚信履约，且不能证明其报价合理性的；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3</w:t>
      </w:r>
      <w:r>
        <w:rPr>
          <w:rFonts w:hint="eastAsia" w:ascii="仿宋" w:hAnsi="仿宋" w:eastAsia="仿宋"/>
          <w:bCs/>
          <w:color w:val="000000"/>
          <w:sz w:val="28"/>
          <w:szCs w:val="28"/>
        </w:rPr>
        <w:t>.投标人不接受报价文件中修正后的报价的；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4</w:t>
      </w:r>
      <w:r>
        <w:rPr>
          <w:rFonts w:hint="eastAsia" w:ascii="仿宋" w:hAnsi="仿宋" w:eastAsia="仿宋"/>
          <w:bCs/>
          <w:color w:val="000000"/>
          <w:sz w:val="28"/>
          <w:szCs w:val="28"/>
        </w:rPr>
        <w:t>.未按本章“二、投标文件的编制”第七点投标报价要求报价的；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5</w:t>
      </w:r>
      <w:r>
        <w:rPr>
          <w:rFonts w:hint="eastAsia" w:ascii="仿宋" w:hAnsi="仿宋" w:eastAsia="仿宋"/>
          <w:bCs/>
          <w:color w:val="000000"/>
          <w:sz w:val="28"/>
          <w:szCs w:val="28"/>
        </w:rPr>
        <w:t>.投标文件含有采购人不能接受的附加条件的；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6</w:t>
      </w:r>
      <w:r>
        <w:rPr>
          <w:rFonts w:hint="eastAsia" w:ascii="仿宋" w:hAnsi="仿宋" w:eastAsia="仿宋"/>
          <w:bCs/>
          <w:color w:val="000000"/>
          <w:sz w:val="28"/>
          <w:szCs w:val="28"/>
        </w:rPr>
        <w:t>.投标人被视为串通投标的；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7</w:t>
      </w:r>
      <w:r>
        <w:rPr>
          <w:rFonts w:hint="eastAsia" w:ascii="仿宋" w:hAnsi="仿宋" w:eastAsia="仿宋"/>
          <w:bCs/>
          <w:color w:val="000000"/>
          <w:sz w:val="28"/>
          <w:szCs w:val="28"/>
        </w:rPr>
        <w:t>.不符合法律、法规和本招标文件规定的其他实质性要求的。</w:t>
      </w:r>
    </w:p>
    <w:p>
      <w:pPr>
        <w:pStyle w:val="31"/>
        <w:snapToGrid w:val="0"/>
        <w:spacing w:beforeLines="0" w:after="156" w:line="460" w:lineRule="exact"/>
        <w:ind w:left="759" w:leftChars="228" w:hanging="280" w:hangingChars="100"/>
        <w:rPr>
          <w:rFonts w:ascii="仿宋" w:hAnsi="仿宋" w:eastAsia="仿宋"/>
          <w:bCs/>
          <w:color w:val="000000"/>
          <w:sz w:val="28"/>
          <w:szCs w:val="28"/>
        </w:rPr>
      </w:pPr>
      <w:r>
        <w:rPr>
          <w:rFonts w:hint="eastAsia" w:ascii="仿宋" w:hAnsi="仿宋" w:eastAsia="仿宋"/>
          <w:bCs/>
          <w:color w:val="000000"/>
          <w:sz w:val="28"/>
          <w:szCs w:val="28"/>
        </w:rPr>
        <w:t>（十）错误修正</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投标文件报价出现前后不一致的，除招标文件另有规定外，按照下列规定修正：</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1.投标文件中开标一览表内容与投标文件中相应内容不一致的，以开标一览表为准；</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2.大写金额和小写金额不一致的，以大写金额为准；</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3.单价金额小数点或者百分比有明显错位的，以开标一览表的总价为准，并修改单价；</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4.总价金额与按单价汇总金额不一致的，以单价金额计算结果为准。</w:t>
      </w:r>
    </w:p>
    <w:p>
      <w:pPr>
        <w:snapToGrid w:val="0"/>
        <w:spacing w:line="460" w:lineRule="exact"/>
        <w:ind w:firstLine="562" w:firstLineChars="200"/>
        <w:rPr>
          <w:rFonts w:ascii="仿宋" w:hAnsi="仿宋" w:eastAsia="仿宋"/>
          <w:bCs/>
          <w:color w:val="000000"/>
          <w:sz w:val="28"/>
          <w:szCs w:val="28"/>
        </w:rPr>
      </w:pPr>
      <w:r>
        <w:rPr>
          <w:rFonts w:hint="eastAsia" w:ascii="仿宋" w:hAnsi="仿宋" w:eastAsia="仿宋"/>
          <w:b/>
          <w:bCs/>
          <w:color w:val="000000"/>
          <w:sz w:val="28"/>
          <w:szCs w:val="28"/>
        </w:rP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（十一）采购过程中的异常情况及处理措施</w:t>
      </w:r>
    </w:p>
    <w:p>
      <w:pPr>
        <w:pStyle w:val="31"/>
        <w:adjustRightInd w:val="0"/>
        <w:snapToGrid w:val="0"/>
        <w:spacing w:before="156" w:after="156" w:line="500" w:lineRule="exact"/>
        <w:ind w:firstLine="565" w:firstLineChars="201"/>
        <w:rPr>
          <w:rFonts w:ascii="仿宋" w:hAnsi="仿宋" w:eastAsia="仿宋"/>
          <w:b/>
          <w:bCs/>
          <w:color w:val="000000"/>
          <w:sz w:val="28"/>
          <w:szCs w:val="28"/>
        </w:rPr>
      </w:pPr>
      <w:r>
        <w:rPr>
          <w:rFonts w:hint="eastAsia" w:ascii="仿宋" w:hAnsi="仿宋" w:eastAsia="仿宋"/>
          <w:b/>
          <w:bCs/>
          <w:color w:val="000000"/>
          <w:sz w:val="28"/>
          <w:szCs w:val="28"/>
        </w:rP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1.电子交易平台发生故障而无法登录访问的；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2.电子交易平台应用或数据库出现错误，不能进行正常操作的；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3.电子交易平台发现严重安全漏洞，有潜在泄密危险的；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4.病毒发作导致不能进行正常操作的；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5.其他无法保证电子交易的公平、公正和安全的情况。</w:t>
      </w:r>
    </w:p>
    <w:p>
      <w:pPr>
        <w:spacing w:line="440" w:lineRule="exact"/>
        <w:ind w:firstLine="562" w:firstLineChars="200"/>
        <w:rPr>
          <w:rFonts w:ascii="仿宋" w:hAnsi="仿宋" w:eastAsia="仿宋"/>
          <w:bCs/>
          <w:color w:val="000000"/>
          <w:sz w:val="28"/>
          <w:szCs w:val="28"/>
        </w:rPr>
      </w:pPr>
      <w:r>
        <w:rPr>
          <w:rFonts w:hint="eastAsia" w:ascii="仿宋" w:hAnsi="仿宋" w:eastAsia="仿宋"/>
          <w:b/>
          <w:bCs/>
          <w:color w:val="000000"/>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pPr>
        <w:pStyle w:val="31"/>
        <w:snapToGrid w:val="0"/>
        <w:spacing w:before="312" w:beforeLines="100" w:after="312"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三、开、评标程序及评标委员会的评审程序</w:t>
      </w:r>
    </w:p>
    <w:p>
      <w:pPr>
        <w:pStyle w:val="31"/>
        <w:snapToGrid w:val="0"/>
        <w:spacing w:before="156" w:after="156" w:line="46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（一）组织开标</w:t>
      </w:r>
    </w:p>
    <w:p>
      <w:pPr>
        <w:pStyle w:val="31"/>
        <w:snapToGrid w:val="0"/>
        <w:spacing w:before="156" w:after="156"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招标方将按照招标文件规定的时间、地点和程序组织开标，各投标人授权代表及相关人员</w:t>
      </w:r>
      <w:r>
        <w:rPr>
          <w:rFonts w:hint="eastAsia" w:ascii="仿宋" w:hAnsi="仿宋" w:eastAsia="仿宋"/>
          <w:b/>
          <w:bCs/>
          <w:color w:val="000000"/>
          <w:sz w:val="28"/>
          <w:szCs w:val="28"/>
        </w:rPr>
        <w:t>均应当准时在线参加</w:t>
      </w:r>
      <w:r>
        <w:rPr>
          <w:rFonts w:hint="eastAsia" w:ascii="仿宋" w:hAnsi="仿宋" w:eastAsia="仿宋"/>
          <w:bCs/>
          <w:color w:val="000000"/>
          <w:sz w:val="28"/>
          <w:szCs w:val="28"/>
        </w:rPr>
        <w:t>，无关人员不得进入开标现场。</w:t>
      </w:r>
      <w:r>
        <w:rPr>
          <w:rFonts w:hint="eastAsia" w:ascii="仿宋" w:hAnsi="仿宋" w:eastAsia="仿宋"/>
          <w:b/>
          <w:bCs/>
          <w:color w:val="000000"/>
          <w:sz w:val="28"/>
          <w:szCs w:val="28"/>
        </w:rPr>
        <w:t>投标人如未准时在线参加的</w:t>
      </w:r>
      <w:r>
        <w:rPr>
          <w:rFonts w:hint="eastAsia" w:ascii="仿宋" w:hAnsi="仿宋" w:eastAsia="仿宋"/>
          <w:bCs/>
          <w:color w:val="000000"/>
          <w:sz w:val="28"/>
          <w:szCs w:val="28"/>
        </w:rPr>
        <w:t>，事后不得对采购相关人员、开标过程和开标结果提出异议。</w:t>
      </w:r>
    </w:p>
    <w:p>
      <w:pPr>
        <w:pStyle w:val="31"/>
        <w:snapToGrid w:val="0"/>
        <w:spacing w:before="156" w:after="156"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 落实工作场地、设施，检查录音录像采集设备运行情况，验证电子交易平台是否能正常登录，并开启直播（如直播信号出现问题，不影响项目开标程序）。</w:t>
      </w:r>
    </w:p>
    <w:p>
      <w:pPr>
        <w:pStyle w:val="31"/>
        <w:snapToGrid w:val="0"/>
        <w:spacing w:before="156" w:after="156"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 开标由招标方主持，主持人介绍开标现场的人员情况，宣读递交投标文件的投标人名单、递交备份投标文件的投标人名单、开标纪律、应当回避的情形等注意事项。</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3.投标截止时，电子交易平台自动提取所有电子投标文件。招标方点击[开始解密]按钮后，投标人可以在线解密，解密时限为30分钟。</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解密时限内未完成解密且按规定提供了备份投标文件的，招标方将在开标直播间拆封其备份投标文件，并导入电子交易平台。</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6.招标方在电子交易平台开启投标人的报价文件信息，投标人对报价信息进行确认。投标人对报价信息不予确认的不影响后续评标过程。</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7.评标委员会经商议认为需要投标人作出必要澄清或说明的，应当通过电子交易平台交换数据电文。评标委员会给予投标人提交澄清或说明的时间为半小时，投标人已经明确表示澄清或说明完毕的除外。澄清说明环节评标委员会可以通过电子交易平台发出“视频会议”邀请，与相关供应商以视频会议形式进行，并在平台“讨论”组件中进行数据电文交换。为避免页面存在兼容性等问题，投标人须使用谷歌Chrome浏览器或360浏览器极速模式，并安装摄像头和麦克风。如若评审过程中，电子交易平台出现视频会议连接失败等情况，按原方式在电子交易平台与供应商交换数据电文。</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8.在电子交易平台上公布评审结果。</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特别说明：政采云公司如对电子化开标及评审程序有调整的，按调整后的程序操作。</w:t>
      </w:r>
    </w:p>
    <w:p>
      <w:pPr>
        <w:pStyle w:val="31"/>
        <w:snapToGrid w:val="0"/>
        <w:spacing w:before="156" w:after="156"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（二）组织评标程序</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招标方将按照招标文件规定的时间、地点和程序组织评标，各评审专家及相关人员应参加评审活动并接受核验、签到，无关人员不得进入评审现场。</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1、开启开标场地录音录像采集设备，并确保正常运行。</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2、按规定统一收缴、保存评标现场相关人员通讯工具。</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3、介绍评审现场的人员情况，宣布评审工作纪律，告知评审人员应当回避情形；组织推选评标委员会组长。</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4、宣读提交投标文件的供应商名单，组织评标委员会各位成员签订纸质形式的《政府采购评审人员廉洁自律承诺书》。</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5、采购人可以在评标前说明项目背景和采购需求，说明内容不得含有歧视性、倾向性意见，不得超出招标文件所述范围。说明应当提交书面材料，并随采购文件一并存档。</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7、采购人代表对投标人资格文件进行审查并</w:t>
      </w:r>
      <w:r>
        <w:rPr>
          <w:rFonts w:hint="eastAsia" w:ascii="仿宋" w:hAnsi="仿宋" w:eastAsia="仿宋"/>
          <w:color w:val="000000"/>
          <w:sz w:val="28"/>
          <w:szCs w:val="28"/>
        </w:rPr>
        <w:t>以开标当日为准</w:t>
      </w:r>
      <w:r>
        <w:rPr>
          <w:rFonts w:hint="eastAsia" w:ascii="仿宋" w:hAnsi="仿宋" w:eastAsia="仿宋"/>
          <w:bCs/>
          <w:color w:val="000000"/>
          <w:sz w:val="28"/>
          <w:szCs w:val="28"/>
        </w:rPr>
        <w:t>对投标人“信用中国”网站（www.creditchina.gov.cn）、中国政府采购网（www.ccgp.gov.cn）信用记录情况进行核实，资格不符合的，应组织相关投标人代表进行陈述、澄清或申辩。</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商务技术主观分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9、做好评审现场相关记录，协助评标委员会组长做好评审报告起草、有关内容电脑文字录入等工作，并要求评标委员会各成员签字确认。</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10、评审结束后，招标方应对评标委员会各成员的专业水平、职业道德、遵纪守法等情况进行评价；同时按规定向评审专家发放评审费，并交还评审人员及其他现场相关人员的通讯工具。</w:t>
      </w:r>
    </w:p>
    <w:p>
      <w:pPr>
        <w:pStyle w:val="31"/>
        <w:snapToGrid w:val="0"/>
        <w:spacing w:before="156" w:after="156" w:line="460" w:lineRule="exact"/>
        <w:ind w:firstLine="551" w:firstLineChars="196"/>
        <w:rPr>
          <w:rFonts w:ascii="仿宋" w:hAnsi="仿宋" w:eastAsia="仿宋"/>
          <w:bCs/>
          <w:color w:val="000000"/>
          <w:sz w:val="28"/>
          <w:szCs w:val="28"/>
        </w:rPr>
      </w:pPr>
      <w:r>
        <w:rPr>
          <w:rFonts w:hint="eastAsia" w:ascii="仿宋" w:hAnsi="仿宋" w:eastAsia="仿宋"/>
          <w:b/>
          <w:bCs/>
          <w:color w:val="000000"/>
          <w:sz w:val="28"/>
          <w:szCs w:val="28"/>
        </w:rPr>
        <w:t>11、招标方将在《中标公告》中，公开评标委员会对每个投标人的《评分明细》以及《得分汇总表》情况。</w:t>
      </w:r>
      <w:r>
        <w:rPr>
          <w:rFonts w:ascii="Calibri" w:hAnsi="Calibri" w:eastAsia="仿宋" w:cs="Calibri"/>
          <w:b/>
          <w:bCs/>
          <w:color w:val="000000"/>
          <w:sz w:val="28"/>
          <w:szCs w:val="28"/>
        </w:rPr>
        <w:t> </w:t>
      </w:r>
      <w:r>
        <w:rPr>
          <w:rFonts w:hint="eastAsia" w:ascii="仿宋" w:hAnsi="仿宋" w:eastAsia="仿宋"/>
          <w:b/>
          <w:bCs/>
          <w:color w:val="000000"/>
          <w:sz w:val="28"/>
          <w:szCs w:val="28"/>
        </w:rPr>
        <w:tab/>
      </w:r>
    </w:p>
    <w:p>
      <w:pPr>
        <w:pStyle w:val="31"/>
        <w:snapToGrid w:val="0"/>
        <w:spacing w:before="156" w:after="156"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（三）评审程序</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1、在评审专家中推选评标委员会组长。</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3、评审人员对各投标人投标文件的有效性、符合性、完整性和响应程度进行审查，确定是否对招标文件作出实质性响应。</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4、评审人员按招标文件规定的评审方法和评审标准，依法独立对投标人投标文件进行评估、比较，并给予评价或打分，不受任何单位和个人的干预。</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 xml:space="preserve">7、评标委员会根据评审汇总情况和招标文件规定确定中标候选供应商排序名单。 </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8、起草评审报告，所有评审人员须在评审报告上签字确认。</w:t>
      </w:r>
    </w:p>
    <w:p>
      <w:pPr>
        <w:pStyle w:val="31"/>
        <w:snapToGrid w:val="0"/>
        <w:spacing w:before="312" w:beforeLines="100" w:after="312" w:afterLines="100" w:line="360" w:lineRule="auto"/>
        <w:jc w:val="center"/>
        <w:rPr>
          <w:rFonts w:ascii="仿宋" w:hAnsi="仿宋" w:eastAsia="仿宋"/>
          <w:b/>
          <w:bCs/>
          <w:color w:val="000000"/>
          <w:sz w:val="28"/>
          <w:szCs w:val="28"/>
        </w:rPr>
      </w:pPr>
      <w:r>
        <w:rPr>
          <w:rFonts w:hint="eastAsia" w:ascii="仿宋" w:hAnsi="仿宋" w:eastAsia="仿宋"/>
          <w:b/>
          <w:bCs/>
          <w:color w:val="000000"/>
          <w:sz w:val="28"/>
          <w:szCs w:val="28"/>
        </w:rPr>
        <w:t>四、评审原则</w:t>
      </w:r>
    </w:p>
    <w:p>
      <w:pPr>
        <w:pStyle w:val="31"/>
        <w:snapToGrid w:val="0"/>
        <w:spacing w:before="156" w:after="156"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非单一产品采购项目，采购人应当根据采购项目技术构成、产品价格比重等合理确定核心产品，并在招标文件中载明。多家投标人提供的核心产品品牌相同的，按前款规定处理。</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1"/>
        <w:snapToGrid w:val="0"/>
        <w:spacing w:before="312" w:beforeLines="100" w:after="312"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五、确定中标供应商的原则</w:t>
      </w:r>
    </w:p>
    <w:p>
      <w:pPr>
        <w:pStyle w:val="31"/>
        <w:snapToGrid w:val="0"/>
        <w:spacing w:before="156" w:after="156"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 1.项目由评标委员会根据第三章《评标办法与评分标准》规定提出中标候选人排序。</w:t>
      </w:r>
    </w:p>
    <w:p>
      <w:pPr>
        <w:pStyle w:val="31"/>
        <w:snapToGrid w:val="0"/>
        <w:spacing w:before="156" w:after="156" w:line="460" w:lineRule="exact"/>
        <w:ind w:firstLine="560" w:firstLineChars="200"/>
        <w:rPr>
          <w:rFonts w:ascii="仿宋" w:hAnsi="仿宋" w:eastAsia="仿宋"/>
          <w:color w:val="000000"/>
          <w:sz w:val="28"/>
          <w:szCs w:val="28"/>
        </w:rPr>
      </w:pPr>
      <w:r>
        <w:rPr>
          <w:rFonts w:hint="eastAsia" w:hAnsi="宋体"/>
          <w:color w:val="000000"/>
          <w:sz w:val="28"/>
          <w:szCs w:val="28"/>
        </w:rPr>
        <w:t xml:space="preserve"> </w:t>
      </w:r>
      <w:r>
        <w:rPr>
          <w:rFonts w:hint="eastAsia" w:ascii="仿宋" w:hAnsi="仿宋" w:eastAsia="仿宋"/>
          <w:color w:val="000000"/>
          <w:sz w:val="28"/>
          <w:szCs w:val="28"/>
        </w:rPr>
        <w:t>2.采购人应当自收到评标报告之日起５个工作日内，在评标报告确定的中标候选人名单中按顺序确定中标人。中标候选人的总得分且投标报价相同的，按技术得分由高到低顺序确定中标人。采购人在收到评标报告5个工作日内未按评标报告推荐的中标候选人顺序确定中标人，又不能说明合法理由的，视同按评标报告推荐的顺序确定排名第一的中标候选人为中标人。在采购结果确认环节，中标候选人撤销投标文件不能成为采购人不确认采购结果的正当理由。</w:t>
      </w:r>
    </w:p>
    <w:p>
      <w:pPr>
        <w:pStyle w:val="31"/>
        <w:snapToGrid w:val="0"/>
        <w:spacing w:before="156" w:after="156"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 3.采购结果经采购人确认后，招标方将于2个工作日内在浙江省政府采购网上发布中标公告，通过电子交易平台统一签发《中标通知书》</w:t>
      </w:r>
      <w:r>
        <w:rPr>
          <w:rFonts w:hint="eastAsia" w:ascii="仿宋" w:hAnsi="仿宋" w:eastAsia="仿宋" w:cs="Arial"/>
          <w:color w:val="000000"/>
          <w:sz w:val="28"/>
          <w:szCs w:val="28"/>
        </w:rPr>
        <w:t>。</w:t>
      </w:r>
    </w:p>
    <w:p>
      <w:pPr>
        <w:pStyle w:val="31"/>
        <w:snapToGrid w:val="0"/>
        <w:spacing w:before="312" w:beforeLines="100" w:after="312"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六、合同授予</w:t>
      </w:r>
    </w:p>
    <w:p>
      <w:pPr>
        <w:snapToGrid w:val="0"/>
        <w:spacing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（一）签订合同</w:t>
      </w:r>
    </w:p>
    <w:p>
      <w:pPr>
        <w:snapToGrid w:val="0"/>
        <w:spacing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1.采购人与中标人应当在《中标通知书》发出之日起30日内签订政府采购合同。</w:t>
      </w:r>
    </w:p>
    <w:p>
      <w:pPr>
        <w:snapToGrid w:val="0"/>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2.中标人拖延、拒签合同的,将被取消中标资格。</w:t>
      </w:r>
    </w:p>
    <w:p>
      <w:pPr>
        <w:snapToGrid w:val="0"/>
        <w:spacing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snapToGrid w:val="0"/>
        <w:spacing w:before="156" w:after="156" w:line="46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（二）履约保证金</w:t>
      </w:r>
    </w:p>
    <w:p>
      <w:pPr>
        <w:pStyle w:val="31"/>
        <w:snapToGrid w:val="0"/>
        <w:spacing w:before="312" w:beforeLines="100" w:after="312" w:afterLines="10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31"/>
        <w:snapToGrid w:val="0"/>
        <w:spacing w:before="156" w:after="156" w:line="460" w:lineRule="exact"/>
        <w:ind w:firstLine="554" w:firstLineChars="198"/>
        <w:rPr>
          <w:rFonts w:ascii="仿宋" w:hAnsi="仿宋" w:eastAsia="仿宋"/>
          <w:color w:val="000000"/>
          <w:sz w:val="28"/>
          <w:szCs w:val="28"/>
        </w:rPr>
      </w:pPr>
      <w:r>
        <w:rPr>
          <w:rFonts w:hint="eastAsia" w:ascii="仿宋" w:hAnsi="仿宋" w:eastAsia="仿宋"/>
          <w:color w:val="000000"/>
          <w:sz w:val="28"/>
          <w:szCs w:val="28"/>
        </w:rPr>
        <w:t>2.按合同约定办理履约保证金退还手续。</w:t>
      </w:r>
    </w:p>
    <w:p>
      <w:pPr>
        <w:pStyle w:val="31"/>
        <w:snapToGrid w:val="0"/>
        <w:spacing w:before="312" w:beforeLines="100" w:after="312"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七、货款的结算</w:t>
      </w:r>
    </w:p>
    <w:p>
      <w:pPr>
        <w:pStyle w:val="31"/>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货款由采购人按采购文件规定的付款方式自行支付。纳入国库集中支付的，按照国库集中支付有关规定付款。</w:t>
      </w:r>
    </w:p>
    <w:p>
      <w:pPr>
        <w:pStyle w:val="31"/>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资金支付进度：采购人对于满足合同约定支付条件的，自收到发票后</w:t>
      </w:r>
      <w:r>
        <w:rPr>
          <w:rFonts w:hint="eastAsia" w:ascii="仿宋" w:hAnsi="仿宋" w:eastAsia="仿宋"/>
          <w:color w:val="000000"/>
          <w:sz w:val="28"/>
          <w:szCs w:val="28"/>
          <w:lang w:val="en-US" w:eastAsia="zh-CN"/>
        </w:rPr>
        <w:t>7</w:t>
      </w:r>
      <w:r>
        <w:rPr>
          <w:rFonts w:hint="eastAsia" w:ascii="仿宋" w:hAnsi="仿宋" w:eastAsia="仿宋"/>
          <w:color w:val="000000"/>
          <w:sz w:val="28"/>
          <w:szCs w:val="28"/>
        </w:rPr>
        <w:t>个工作日内将资金支付到合同约定的供应商账户。迟延支付中小企业款项的，供应商可要求采购人支付逾期利息。</w:t>
      </w:r>
    </w:p>
    <w:p>
      <w:pPr>
        <w:pStyle w:val="31"/>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w:t>
      </w:r>
      <w:r>
        <w:rPr>
          <w:rFonts w:ascii="仿宋" w:hAnsi="仿宋" w:eastAsia="仿宋"/>
          <w:color w:val="000000"/>
          <w:sz w:val="28"/>
          <w:szCs w:val="28"/>
        </w:rPr>
        <w:t>浙江省财政厅关于进一步加大政府采购支持中小企业力度助力扎实稳住经济的通知</w:t>
      </w:r>
      <w:r>
        <w:rPr>
          <w:rFonts w:hint="eastAsia" w:ascii="仿宋" w:hAnsi="仿宋" w:eastAsia="仿宋"/>
          <w:color w:val="000000"/>
          <w:sz w:val="28"/>
          <w:szCs w:val="28"/>
        </w:rPr>
        <w:t>》等相关规范，对预付款支付要求如下：</w:t>
      </w:r>
    </w:p>
    <w:p>
      <w:pPr>
        <w:pStyle w:val="31"/>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1.对中小企业合同预付款比例原则上不低于合同金额的40％，不高于合同金额的70%；</w:t>
      </w:r>
    </w:p>
    <w:p>
      <w:pPr>
        <w:pStyle w:val="31"/>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2.项目分年安排预算的，每年预付款比例不低于项目年度计划支付资金额的40％，不高于年度计划支付资金额的70%；</w:t>
      </w:r>
    </w:p>
    <w:p>
      <w:pPr>
        <w:pStyle w:val="31"/>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3.采购项目实施以人工投入为主的，可适当降低预付款比例，但不得低于20%。</w:t>
      </w:r>
    </w:p>
    <w:p>
      <w:pPr>
        <w:pStyle w:val="31"/>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4.对供应商为大型企业的项目或者以人工投入为主且实行按月定期结算支付款项的项目，预付款可低于上述比例或者不约定预付款。</w:t>
      </w:r>
    </w:p>
    <w:p>
      <w:pPr>
        <w:pStyle w:val="31"/>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备注：在签订合同时，供应商明确表示无需预付款或者主动要求降低预付款比例的，采购单位可不适用前述预付款比例的规定。</w:t>
      </w:r>
    </w:p>
    <w:p>
      <w:pPr>
        <w:pStyle w:val="31"/>
        <w:spacing w:before="156" w:after="156" w:line="360" w:lineRule="auto"/>
        <w:jc w:val="center"/>
        <w:outlineLvl w:val="0"/>
        <w:rPr>
          <w:rFonts w:hAnsi="宋体"/>
          <w:b/>
          <w:color w:val="000000"/>
          <w:sz w:val="36"/>
          <w:szCs w:val="36"/>
        </w:rPr>
      </w:pPr>
      <w:r>
        <w:rPr>
          <w:rFonts w:hint="eastAsia" w:hAnsi="宋体"/>
          <w:b/>
          <w:color w:val="000000"/>
          <w:kern w:val="0"/>
          <w:sz w:val="36"/>
          <w:szCs w:val="36"/>
        </w:rPr>
        <w:br w:type="page"/>
      </w:r>
      <w:bookmarkStart w:id="25" w:name="_Toc496796637"/>
      <w:bookmarkStart w:id="26" w:name="_Toc2834"/>
      <w:r>
        <w:rPr>
          <w:rFonts w:hint="eastAsia" w:hAnsi="宋体"/>
          <w:b/>
          <w:color w:val="000000"/>
          <w:sz w:val="36"/>
          <w:szCs w:val="36"/>
        </w:rPr>
        <w:t>第三章</w:t>
      </w:r>
      <w:bookmarkStart w:id="27" w:name="评标办法及评分标准"/>
      <w:r>
        <w:rPr>
          <w:rFonts w:hint="eastAsia" w:hAnsi="宋体"/>
          <w:b/>
          <w:color w:val="000000"/>
          <w:sz w:val="36"/>
          <w:szCs w:val="36"/>
        </w:rPr>
        <w:t>评标办法及评分标准</w:t>
      </w:r>
      <w:bookmarkEnd w:id="25"/>
      <w:bookmarkEnd w:id="26"/>
      <w:bookmarkEnd w:id="27"/>
    </w:p>
    <w:p>
      <w:pPr>
        <w:spacing w:before="156" w:beforeLines="50" w:after="156" w:afterLines="50" w:line="460" w:lineRule="exact"/>
        <w:ind w:firstLine="420"/>
        <w:rPr>
          <w:rFonts w:ascii="仿宋" w:hAnsi="仿宋" w:eastAsia="仿宋"/>
          <w:color w:val="000000"/>
          <w:sz w:val="30"/>
          <w:szCs w:val="30"/>
        </w:rPr>
      </w:pPr>
      <w:r>
        <w:rPr>
          <w:rFonts w:hint="eastAsia" w:ascii="仿宋" w:hAnsi="仿宋" w:eastAsia="仿宋"/>
          <w:color w:val="000000"/>
          <w:sz w:val="30"/>
          <w:szCs w:val="30"/>
        </w:rPr>
        <w:t>根据《中华人民共和国政府采购法》等有关法律法规，结合本项目的实际需求，制定本办法。</w:t>
      </w:r>
    </w:p>
    <w:p>
      <w:pPr>
        <w:spacing w:before="156" w:beforeLines="50" w:after="156" w:afterLines="50" w:line="460" w:lineRule="exact"/>
        <w:ind w:firstLine="590" w:firstLineChars="196"/>
        <w:rPr>
          <w:rFonts w:ascii="仿宋" w:hAnsi="仿宋" w:eastAsia="仿宋"/>
          <w:b/>
          <w:color w:val="000000"/>
          <w:sz w:val="30"/>
          <w:szCs w:val="30"/>
        </w:rPr>
      </w:pPr>
      <w:r>
        <w:rPr>
          <w:rFonts w:hint="eastAsia" w:ascii="仿宋" w:hAnsi="仿宋" w:eastAsia="仿宋"/>
          <w:b/>
          <w:color w:val="000000"/>
          <w:sz w:val="30"/>
          <w:szCs w:val="30"/>
        </w:rPr>
        <w:t>一、总则</w:t>
      </w:r>
    </w:p>
    <w:p>
      <w:pPr>
        <w:spacing w:before="156" w:beforeLines="50" w:after="156" w:afterLines="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并列。评分过程中采用四舍五入法，并保留小数2位。</w:t>
      </w:r>
    </w:p>
    <w:p>
      <w:pPr>
        <w:spacing w:before="156" w:beforeLines="50" w:after="156" w:afterLines="50" w:line="460" w:lineRule="exact"/>
        <w:ind w:firstLine="590" w:firstLineChars="196"/>
        <w:rPr>
          <w:rFonts w:ascii="仿宋" w:hAnsi="仿宋" w:eastAsia="仿宋"/>
          <w:b/>
          <w:bCs/>
          <w:color w:val="000000"/>
          <w:sz w:val="30"/>
          <w:szCs w:val="30"/>
        </w:rPr>
      </w:pPr>
      <w:r>
        <w:rPr>
          <w:rFonts w:hint="eastAsia" w:ascii="仿宋" w:hAnsi="仿宋" w:eastAsia="仿宋"/>
          <w:b/>
          <w:bCs/>
          <w:color w:val="000000"/>
          <w:sz w:val="30"/>
          <w:szCs w:val="30"/>
        </w:rPr>
        <w:t>二、分值的计算</w:t>
      </w:r>
    </w:p>
    <w:p>
      <w:pPr>
        <w:spacing w:before="156" w:beforeLines="50" w:after="156" w:afterLines="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技术、资信、商务及其他分按照评标委员会成员的独立评分结果汇总后的算术平均分计算，计算公式为：</w:t>
      </w:r>
    </w:p>
    <w:p>
      <w:pPr>
        <w:spacing w:before="156" w:beforeLines="50" w:after="156" w:afterLines="50" w:line="460" w:lineRule="exact"/>
        <w:ind w:firstLine="495"/>
        <w:rPr>
          <w:rFonts w:ascii="仿宋" w:hAnsi="仿宋" w:eastAsia="仿宋"/>
          <w:color w:val="000000"/>
          <w:sz w:val="30"/>
          <w:szCs w:val="30"/>
        </w:rPr>
      </w:pPr>
      <w:r>
        <w:rPr>
          <w:rFonts w:hint="eastAsia" w:ascii="仿宋" w:hAnsi="仿宋" w:eastAsia="仿宋"/>
          <w:color w:val="000000"/>
          <w:sz w:val="30"/>
          <w:szCs w:val="30"/>
        </w:rPr>
        <w:t>技术、资信商务及其他分=评标委员会所有成员评分合计数/评标委员会组成人员数</w:t>
      </w:r>
    </w:p>
    <w:p>
      <w:pPr>
        <w:spacing w:before="156" w:beforeLines="50" w:after="156" w:afterLines="50" w:line="460" w:lineRule="exact"/>
        <w:ind w:firstLine="600" w:firstLineChars="200"/>
        <w:rPr>
          <w:rFonts w:ascii="仿宋" w:hAnsi="仿宋" w:eastAsia="仿宋"/>
          <w:bCs/>
          <w:color w:val="000000"/>
          <w:sz w:val="30"/>
          <w:szCs w:val="30"/>
        </w:rPr>
      </w:pPr>
      <w:r>
        <w:rPr>
          <w:rFonts w:hint="eastAsia" w:ascii="仿宋" w:hAnsi="仿宋" w:eastAsia="仿宋"/>
          <w:color w:val="000000"/>
          <w:sz w:val="30"/>
          <w:szCs w:val="30"/>
        </w:rPr>
        <w:t>投标人评标</w:t>
      </w:r>
      <w:r>
        <w:rPr>
          <w:rFonts w:hint="eastAsia" w:ascii="仿宋" w:hAnsi="仿宋" w:eastAsia="仿宋"/>
          <w:bCs/>
          <w:color w:val="000000"/>
          <w:sz w:val="30"/>
          <w:szCs w:val="30"/>
        </w:rPr>
        <w:t>综合得分=价格分+(技术分+资信商务及其他分)</w:t>
      </w:r>
    </w:p>
    <w:p>
      <w:pPr>
        <w:spacing w:before="156" w:beforeLines="50" w:after="156" w:afterLines="50" w:line="460" w:lineRule="exact"/>
        <w:ind w:firstLine="602" w:firstLineChars="200"/>
        <w:rPr>
          <w:rFonts w:ascii="仿宋" w:hAnsi="仿宋" w:eastAsia="仿宋"/>
          <w:b/>
          <w:bCs/>
          <w:color w:val="000000"/>
          <w:sz w:val="30"/>
          <w:szCs w:val="30"/>
        </w:rPr>
      </w:pPr>
    </w:p>
    <w:p>
      <w:pPr>
        <w:spacing w:before="156" w:beforeLines="50" w:after="156" w:afterLines="50" w:line="460" w:lineRule="exact"/>
        <w:ind w:firstLine="602" w:firstLineChars="200"/>
        <w:rPr>
          <w:rFonts w:ascii="仿宋" w:hAnsi="仿宋" w:eastAsia="仿宋"/>
          <w:bCs/>
          <w:color w:val="000000"/>
          <w:sz w:val="30"/>
          <w:szCs w:val="30"/>
        </w:rPr>
      </w:pPr>
      <w:r>
        <w:rPr>
          <w:rFonts w:hint="eastAsia" w:ascii="仿宋" w:hAnsi="仿宋" w:eastAsia="仿宋"/>
          <w:b/>
          <w:bCs/>
          <w:color w:val="000000"/>
          <w:sz w:val="30"/>
          <w:szCs w:val="30"/>
        </w:rPr>
        <w:t>特别提醒：</w:t>
      </w:r>
      <w:r>
        <w:rPr>
          <w:rFonts w:hint="eastAsia" w:ascii="仿宋" w:hAnsi="仿宋" w:eastAsia="仿宋"/>
          <w:bCs/>
          <w:color w:val="000000"/>
          <w:sz w:val="30"/>
          <w:szCs w:val="30"/>
        </w:rPr>
        <w:t>评标委员会对每个投标人的评分明细以及得分汇总表情况在中标公告中公布。</w:t>
      </w:r>
    </w:p>
    <w:p>
      <w:pPr>
        <w:spacing w:before="156" w:beforeLines="50" w:after="156" w:afterLines="50" w:line="460" w:lineRule="exact"/>
        <w:rPr>
          <w:rFonts w:ascii="仿宋" w:hAnsi="仿宋"/>
          <w:bCs/>
          <w:color w:val="000000"/>
          <w:sz w:val="30"/>
          <w:szCs w:val="30"/>
        </w:rPr>
      </w:pPr>
    </w:p>
    <w:p>
      <w:pPr>
        <w:spacing w:before="156" w:beforeLines="50" w:after="156" w:afterLines="50" w:line="320" w:lineRule="exact"/>
        <w:rPr>
          <w:rFonts w:ascii="仿宋" w:hAnsi="仿宋" w:eastAsia="仿宋_GB2312"/>
          <w:b/>
          <w:color w:val="000000"/>
          <w:sz w:val="30"/>
          <w:szCs w:val="30"/>
        </w:rPr>
      </w:pPr>
      <w:r>
        <w:rPr>
          <w:rFonts w:hint="eastAsia" w:ascii="仿宋" w:hAnsi="仿宋" w:eastAsia="仿宋_GB2312"/>
          <w:bCs/>
          <w:color w:val="000000"/>
          <w:kern w:val="0"/>
          <w:sz w:val="30"/>
          <w:szCs w:val="30"/>
        </w:rPr>
        <w:br w:type="page"/>
      </w:r>
      <w:r>
        <w:rPr>
          <w:rFonts w:hint="eastAsia" w:ascii="仿宋" w:hAnsi="仿宋" w:eastAsia="仿宋_GB2312"/>
          <w:b/>
          <w:color w:val="000000"/>
          <w:sz w:val="32"/>
          <w:szCs w:val="32"/>
        </w:rPr>
        <w:t>三、评标内容及标</w:t>
      </w:r>
      <w:r>
        <w:rPr>
          <w:rFonts w:hint="eastAsia" w:ascii="仿宋" w:hAnsi="仿宋" w:eastAsia="仿宋_GB2312"/>
          <w:b/>
          <w:color w:val="000000"/>
          <w:sz w:val="30"/>
          <w:szCs w:val="30"/>
        </w:rPr>
        <w:t>准</w:t>
      </w:r>
      <w:bookmarkStart w:id="28" w:name="_Toc496796638"/>
    </w:p>
    <w:tbl>
      <w:tblPr>
        <w:tblStyle w:val="59"/>
        <w:tblW w:w="4879" w:type="pct"/>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1"/>
        <w:gridCol w:w="1403"/>
        <w:gridCol w:w="4773"/>
        <w:gridCol w:w="892"/>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7"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rPr>
                <w:rFonts w:ascii="Times New Roman" w:hAnsi="Times New Roman"/>
                <w:lang w:bidi="ar"/>
              </w:rPr>
            </w:pPr>
            <w:bookmarkStart w:id="29" w:name="PO_TDCUS_ITEM_SM_TABLE_1_1"/>
            <w:r>
              <w:rPr>
                <w:rFonts w:hint="eastAsia" w:ascii="Times New Roman" w:hAnsi="Times New Roman"/>
                <w:lang w:bidi="ar"/>
              </w:rPr>
              <w:t>序号</w:t>
            </w:r>
          </w:p>
        </w:tc>
        <w:tc>
          <w:tcPr>
            <w:tcW w:w="843"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rPr>
                <w:rFonts w:ascii="Times New Roman" w:hAnsi="Times New Roman"/>
                <w:lang w:bidi="ar"/>
              </w:rPr>
            </w:pPr>
            <w:r>
              <w:rPr>
                <w:rFonts w:hint="eastAsia" w:ascii="Times New Roman" w:hAnsi="Times New Roman"/>
                <w:lang w:bidi="ar"/>
              </w:rPr>
              <w:t>评分类型</w:t>
            </w:r>
          </w:p>
        </w:tc>
        <w:tc>
          <w:tcPr>
            <w:tcW w:w="2869"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rPr>
                <w:rFonts w:ascii="Times New Roman" w:hAnsi="Times New Roman"/>
              </w:rPr>
            </w:pPr>
            <w:r>
              <w:rPr>
                <w:rFonts w:hint="eastAsia" w:ascii="Times New Roman" w:hAnsi="Times New Roman"/>
                <w:lang w:bidi="ar"/>
              </w:rPr>
              <w:t>评分细则</w:t>
            </w:r>
          </w:p>
        </w:tc>
        <w:tc>
          <w:tcPr>
            <w:tcW w:w="536"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rPr>
                <w:rFonts w:ascii="Times New Roman" w:hAnsi="Times New Roman"/>
                <w:lang w:bidi="ar"/>
              </w:rPr>
            </w:pPr>
            <w:r>
              <w:rPr>
                <w:rFonts w:hint="eastAsia" w:ascii="Times New Roman" w:hAnsi="Times New Roman"/>
                <w:lang w:bidi="ar"/>
              </w:rPr>
              <w:t>分值</w:t>
            </w:r>
          </w:p>
        </w:tc>
        <w:tc>
          <w:tcPr>
            <w:tcW w:w="443" w:type="pct"/>
            <w:tcBorders>
              <w:top w:val="single" w:color="auto" w:sz="4" w:space="0"/>
              <w:left w:val="single" w:color="auto" w:sz="4" w:space="0"/>
              <w:bottom w:val="single" w:color="auto" w:sz="4" w:space="0"/>
              <w:right w:val="single" w:color="auto" w:sz="4" w:space="0"/>
            </w:tcBorders>
            <w:shd w:val="clear" w:color="auto" w:fill="F1F1F1"/>
            <w:noWrap w:val="0"/>
            <w:vAlign w:val="center"/>
          </w:tcPr>
          <w:p>
            <w:pPr>
              <w:rPr>
                <w:rFonts w:ascii="Times New Roman" w:hAnsi="Times New Roman"/>
                <w:lang w:bidi="ar"/>
              </w:rPr>
            </w:pPr>
            <w:r>
              <w:rPr>
                <w:rFonts w:hint="eastAsia" w:ascii="Times New Roman" w:hAnsi="Times New Roman"/>
                <w:lang w:bidi="ar"/>
              </w:rPr>
              <w:t>打分办法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307"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r>
              <w:rPr>
                <w:rFonts w:hint="eastAsia" w:ascii="Times New Roman" w:hAnsi="Times New Roman"/>
              </w:rPr>
              <w:t>1</w:t>
            </w:r>
          </w:p>
        </w:tc>
        <w:tc>
          <w:tcPr>
            <w:tcW w:w="843"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lang w:bidi="ar"/>
              </w:rPr>
            </w:pPr>
            <w:r>
              <w:rPr>
                <w:rFonts w:hint="eastAsia" w:ascii="Times New Roman" w:hAnsi="Times New Roman"/>
                <w:lang w:bidi="ar"/>
              </w:rPr>
              <w:t>价格评审</w:t>
            </w:r>
          </w:p>
        </w:tc>
        <w:tc>
          <w:tcPr>
            <w:tcW w:w="2869" w:type="pct"/>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lang w:val="en-US" w:eastAsia="zh-CN" w:bidi="ar"/>
              </w:rPr>
            </w:pPr>
            <w:r>
              <w:rPr>
                <w:rFonts w:hint="eastAsia" w:ascii="Times New Roman" w:hAnsi="Times New Roman"/>
                <w:lang w:bidi="ar"/>
              </w:rPr>
              <w:t>评标基准价=满足招标文件要求的参与评审价格中的最低价；</w:t>
            </w:r>
            <w:r>
              <w:rPr>
                <w:rFonts w:hint="eastAsia" w:ascii="Times New Roman" w:hAnsi="Times New Roman"/>
                <w:lang w:val="en-US" w:eastAsia="zh-CN" w:bidi="ar"/>
              </w:rPr>
              <w:t xml:space="preserve"> </w:t>
            </w:r>
          </w:p>
          <w:p>
            <w:pPr>
              <w:rPr>
                <w:rFonts w:ascii="Times New Roman" w:hAnsi="Times New Roman"/>
                <w:lang w:bidi="ar"/>
              </w:rPr>
            </w:pPr>
            <w:r>
              <w:rPr>
                <w:rFonts w:hint="eastAsia" w:ascii="Times New Roman" w:hAnsi="Times New Roman"/>
                <w:lang w:bidi="ar"/>
              </w:rPr>
              <w:t>评标基准价得分为满分。</w:t>
            </w:r>
          </w:p>
          <w:p>
            <w:pPr>
              <w:rPr>
                <w:rFonts w:ascii="Times New Roman" w:hAnsi="Times New Roman"/>
                <w:lang w:bidi="ar"/>
              </w:rPr>
            </w:pPr>
            <w:r>
              <w:rPr>
                <w:rFonts w:hint="eastAsia" w:ascii="Times New Roman" w:hAnsi="Times New Roman"/>
                <w:lang w:bidi="ar"/>
              </w:rPr>
              <w:t>参与评审价格=投标报价</w:t>
            </w:r>
          </w:p>
          <w:p>
            <w:pPr>
              <w:rPr>
                <w:rFonts w:ascii="Times New Roman" w:hAnsi="Times New Roman"/>
                <w:lang w:bidi="ar"/>
              </w:rPr>
            </w:pPr>
            <w:r>
              <w:rPr>
                <w:rFonts w:hint="eastAsia" w:ascii="Times New Roman" w:hAnsi="Times New Roman"/>
                <w:lang w:bidi="ar"/>
              </w:rPr>
              <w:t>投标报价得分=（评标基准价/参与评审价格）×30分</w:t>
            </w:r>
          </w:p>
        </w:tc>
        <w:tc>
          <w:tcPr>
            <w:tcW w:w="536"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lang w:bidi="ar"/>
              </w:rPr>
            </w:pPr>
            <w:r>
              <w:rPr>
                <w:rFonts w:ascii="Times New Roman" w:hAnsi="Times New Roman"/>
                <w:lang w:bidi="ar"/>
              </w:rPr>
              <w:t>30</w:t>
            </w:r>
            <w:r>
              <w:rPr>
                <w:rFonts w:hint="eastAsia" w:ascii="Times New Roman" w:hAnsi="Times New Roman"/>
                <w:lang w:bidi="ar"/>
              </w:rPr>
              <w:t>分</w:t>
            </w:r>
          </w:p>
        </w:tc>
        <w:tc>
          <w:tcPr>
            <w:tcW w:w="443"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lang w:bidi="ar"/>
              </w:rPr>
            </w:pPr>
            <w:r>
              <w:rPr>
                <w:rFonts w:hint="eastAsia" w:ascii="Times New Roman" w:hAnsi="Times New Roman"/>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07"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lang w:bidi="ar"/>
              </w:rPr>
            </w:pPr>
            <w:r>
              <w:rPr>
                <w:rFonts w:hint="eastAsia" w:ascii="Times New Roman" w:hAnsi="Times New Roman"/>
                <w:lang w:bidi="ar"/>
              </w:rPr>
              <w:t>1</w:t>
            </w:r>
          </w:p>
        </w:tc>
        <w:tc>
          <w:tcPr>
            <w:tcW w:w="843"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lang w:bidi="ar"/>
              </w:rPr>
            </w:pPr>
            <w:r>
              <w:rPr>
                <w:rFonts w:hint="eastAsia" w:ascii="Times New Roman" w:hAnsi="Times New Roman"/>
                <w:lang w:bidi="ar"/>
              </w:rPr>
              <w:t>商务资信</w:t>
            </w:r>
          </w:p>
        </w:tc>
        <w:tc>
          <w:tcPr>
            <w:tcW w:w="2869"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r>
              <w:rPr>
                <w:rFonts w:hint="eastAsia" w:ascii="Times New Roman" w:hAnsi="Times New Roman"/>
              </w:rPr>
              <w:t>经验或业绩要求，详见商务要求表</w:t>
            </w:r>
          </w:p>
        </w:tc>
        <w:tc>
          <w:tcPr>
            <w:tcW w:w="536"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lang w:bidi="ar"/>
              </w:rPr>
            </w:pPr>
            <w:r>
              <w:rPr>
                <w:rFonts w:ascii="Times New Roman" w:hAnsi="Times New Roman"/>
                <w:lang w:bidi="ar"/>
              </w:rPr>
              <w:t>2</w:t>
            </w:r>
            <w:r>
              <w:rPr>
                <w:rFonts w:hint="eastAsia" w:ascii="Times New Roman" w:hAnsi="Times New Roman"/>
                <w:lang w:val="zh-CN" w:bidi="ar"/>
              </w:rPr>
              <w:t>分</w:t>
            </w:r>
          </w:p>
        </w:tc>
        <w:tc>
          <w:tcPr>
            <w:tcW w:w="443"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lang w:bidi="ar"/>
              </w:rPr>
            </w:pPr>
            <w:r>
              <w:rPr>
                <w:rFonts w:hint="eastAsia" w:ascii="Times New Roman" w:hAnsi="Times New Roman"/>
                <w:lang w:bidi="ar"/>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7"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lang w:bidi="ar"/>
              </w:rPr>
            </w:pPr>
            <w:r>
              <w:rPr>
                <w:rFonts w:hint="eastAsia" w:ascii="Times New Roman" w:hAnsi="Times New Roman"/>
                <w:lang w:bidi="ar"/>
              </w:rPr>
              <w:t>2</w:t>
            </w:r>
          </w:p>
        </w:tc>
        <w:tc>
          <w:tcPr>
            <w:tcW w:w="843"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r>
              <w:rPr>
                <w:rFonts w:hint="eastAsia" w:ascii="Times New Roman" w:hAnsi="Times New Roman"/>
                <w:lang w:bidi="ar"/>
              </w:rPr>
              <w:t>商务资信</w:t>
            </w:r>
          </w:p>
        </w:tc>
        <w:tc>
          <w:tcPr>
            <w:tcW w:w="2869"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r>
              <w:rPr>
                <w:rFonts w:hint="eastAsia" w:ascii="Times New Roman" w:hAnsi="Times New Roman"/>
              </w:rPr>
              <w:t>投标人具有有效的质量管理体系认证证书、环境管理体系认证证书、职业健康安全管理体系认证证书、信息安全管理体系认证证书、信息技术服务管理体系认证证书，每提供一份得1分，最多得</w:t>
            </w:r>
            <w:r>
              <w:rPr>
                <w:rFonts w:ascii="Times New Roman" w:hAnsi="Times New Roman"/>
              </w:rPr>
              <w:t>5</w:t>
            </w:r>
            <w:r>
              <w:rPr>
                <w:rFonts w:hint="eastAsia" w:ascii="Times New Roman" w:hAnsi="Times New Roman"/>
              </w:rPr>
              <w:t>分（提供证书扫描件、国家认证认可监督管理委员会官网（http://www.cnca.gov.cn/）查询截图，不提供不得分）</w:t>
            </w:r>
          </w:p>
        </w:tc>
        <w:tc>
          <w:tcPr>
            <w:tcW w:w="536"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lang w:bidi="ar"/>
              </w:rPr>
            </w:pPr>
            <w:r>
              <w:rPr>
                <w:rFonts w:ascii="Times New Roman" w:hAnsi="Times New Roman"/>
                <w:lang w:bidi="ar"/>
              </w:rPr>
              <w:t>5</w:t>
            </w:r>
            <w:r>
              <w:rPr>
                <w:rFonts w:hint="eastAsia" w:ascii="Times New Roman" w:hAnsi="Times New Roman"/>
                <w:lang w:bidi="ar"/>
              </w:rPr>
              <w:t>分</w:t>
            </w:r>
          </w:p>
        </w:tc>
        <w:tc>
          <w:tcPr>
            <w:tcW w:w="443"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lang w:bidi="ar"/>
              </w:rPr>
            </w:pPr>
            <w:r>
              <w:rPr>
                <w:rFonts w:hint="eastAsia" w:ascii="Times New Roman" w:hAnsi="Times New Roman"/>
                <w:lang w:bidi="ar"/>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307" w:type="pct"/>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lang w:val="en-US" w:eastAsia="zh-CN" w:bidi="ar"/>
              </w:rPr>
            </w:pPr>
            <w:r>
              <w:rPr>
                <w:rFonts w:hint="eastAsia" w:ascii="Times New Roman" w:hAnsi="Times New Roman"/>
                <w:lang w:val="en-US" w:eastAsia="zh-CN" w:bidi="ar"/>
              </w:rPr>
              <w:t>3</w:t>
            </w:r>
          </w:p>
        </w:tc>
        <w:tc>
          <w:tcPr>
            <w:tcW w:w="843" w:type="pct"/>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lang w:bidi="ar"/>
              </w:rPr>
            </w:pPr>
            <w:r>
              <w:rPr>
                <w:rFonts w:hint="eastAsia" w:ascii="Times New Roman" w:hAnsi="Times New Roman"/>
                <w:lang w:bidi="ar"/>
              </w:rPr>
              <w:t>商务资信</w:t>
            </w:r>
          </w:p>
        </w:tc>
        <w:tc>
          <w:tcPr>
            <w:tcW w:w="2869"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lang w:bidi="ar"/>
              </w:rPr>
            </w:pPr>
            <w:r>
              <w:rPr>
                <w:rFonts w:hint="eastAsia" w:ascii="Times New Roman" w:hAnsi="Times New Roman"/>
                <w:lang w:bidi="ar"/>
              </w:rPr>
              <w:t>针对本项目制定售后服务方案，方案包括售后响应速度、产品及技术服务和售后服务流程。</w:t>
            </w:r>
          </w:p>
          <w:p>
            <w:pPr>
              <w:rPr>
                <w:rFonts w:hint="eastAsia" w:ascii="Times New Roman" w:hAnsi="Times New Roman"/>
              </w:rPr>
            </w:pPr>
            <w:r>
              <w:rPr>
                <w:rFonts w:hint="eastAsia" w:ascii="Times New Roman" w:hAnsi="Times New Roman"/>
                <w:lang w:bidi="ar"/>
              </w:rPr>
              <w:t>措施</w:t>
            </w:r>
            <w:r>
              <w:rPr>
                <w:rFonts w:hint="eastAsia" w:ascii="Times New Roman" w:hAnsi="Times New Roman"/>
              </w:rPr>
              <w:t>方案</w:t>
            </w:r>
            <w:r>
              <w:rPr>
                <w:rFonts w:hint="eastAsia" w:ascii="Times New Roman" w:hAnsi="Times New Roman"/>
                <w:lang w:bidi="ar"/>
              </w:rPr>
              <w:t>完善合理且可行性强</w:t>
            </w:r>
            <w:r>
              <w:rPr>
                <w:rFonts w:hint="eastAsia" w:ascii="Times New Roman" w:hAnsi="Times New Roman"/>
              </w:rPr>
              <w:t>得</w:t>
            </w:r>
            <w:r>
              <w:rPr>
                <w:rFonts w:ascii="Times New Roman" w:hAnsi="Times New Roman"/>
              </w:rPr>
              <w:t>2</w:t>
            </w:r>
            <w:r>
              <w:rPr>
                <w:rFonts w:hint="eastAsia" w:ascii="Times New Roman" w:hAnsi="Times New Roman"/>
              </w:rPr>
              <w:t>分；措施方案简单但基本也满足采购需求得</w:t>
            </w:r>
            <w:r>
              <w:rPr>
                <w:rFonts w:ascii="Times New Roman" w:hAnsi="Times New Roman"/>
              </w:rPr>
              <w:t>1.5</w:t>
            </w:r>
            <w:r>
              <w:rPr>
                <w:rFonts w:hint="eastAsia" w:ascii="Times New Roman" w:hAnsi="Times New Roman"/>
              </w:rPr>
              <w:t>分；方案略有欠缺得</w:t>
            </w:r>
            <w:r>
              <w:rPr>
                <w:rFonts w:ascii="Times New Roman" w:hAnsi="Times New Roman"/>
              </w:rPr>
              <w:t>0.5</w:t>
            </w:r>
            <w:r>
              <w:rPr>
                <w:rFonts w:hint="eastAsia" w:ascii="Times New Roman" w:hAnsi="Times New Roman"/>
              </w:rPr>
              <w:t>分；未提供本项内容不得分。</w:t>
            </w:r>
          </w:p>
          <w:p>
            <w:pPr>
              <w:rPr>
                <w:rFonts w:hint="eastAsia" w:ascii="Times New Roman" w:hAnsi="Times New Roman"/>
              </w:rPr>
            </w:pPr>
            <w:r>
              <w:rPr>
                <w:rFonts w:hint="eastAsia" w:ascii="Times New Roman" w:hAnsi="Times New Roman"/>
              </w:rPr>
              <w:t>（详见商务要求表）</w:t>
            </w:r>
          </w:p>
        </w:tc>
        <w:tc>
          <w:tcPr>
            <w:tcW w:w="536"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kern w:val="2"/>
                <w:sz w:val="21"/>
                <w:szCs w:val="22"/>
                <w:lang w:val="en-US" w:eastAsia="zh-CN" w:bidi="ar"/>
              </w:rPr>
            </w:pPr>
            <w:r>
              <w:rPr>
                <w:rFonts w:ascii="Times New Roman" w:hAnsi="Times New Roman"/>
                <w:lang w:bidi="ar"/>
              </w:rPr>
              <w:t>2</w:t>
            </w:r>
            <w:r>
              <w:rPr>
                <w:rFonts w:hint="eastAsia" w:ascii="Times New Roman" w:hAnsi="Times New Roman"/>
                <w:lang w:bidi="ar"/>
              </w:rPr>
              <w:t>分</w:t>
            </w:r>
          </w:p>
        </w:tc>
        <w:tc>
          <w:tcPr>
            <w:tcW w:w="443" w:type="pct"/>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kern w:val="2"/>
                <w:sz w:val="21"/>
                <w:szCs w:val="22"/>
                <w:lang w:val="en-US" w:eastAsia="zh-CN" w:bidi="ar"/>
              </w:rPr>
            </w:pPr>
            <w:r>
              <w:rPr>
                <w:rFonts w:hint="eastAsia" w:ascii="Times New Roman" w:hAnsi="Times New Roman"/>
                <w:lang w:bidi="ar"/>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trPr>
        <w:tc>
          <w:tcPr>
            <w:tcW w:w="307" w:type="pct"/>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lang w:val="en-US" w:eastAsia="zh-CN" w:bidi="ar"/>
              </w:rPr>
            </w:pPr>
            <w:r>
              <w:rPr>
                <w:rFonts w:hint="eastAsia" w:ascii="Times New Roman" w:hAnsi="Times New Roman"/>
                <w:lang w:val="en-US" w:eastAsia="zh-CN" w:bidi="ar"/>
              </w:rPr>
              <w:t>4</w:t>
            </w:r>
          </w:p>
        </w:tc>
        <w:tc>
          <w:tcPr>
            <w:tcW w:w="843" w:type="pct"/>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lang w:bidi="ar"/>
              </w:rPr>
            </w:pPr>
            <w:r>
              <w:rPr>
                <w:rFonts w:hint="eastAsia" w:ascii="Times New Roman" w:hAnsi="Times New Roman"/>
                <w:lang w:bidi="ar"/>
              </w:rPr>
              <w:t>商务资信</w:t>
            </w:r>
          </w:p>
        </w:tc>
        <w:tc>
          <w:tcPr>
            <w:tcW w:w="2869" w:type="pct"/>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lang w:bidi="ar"/>
              </w:rPr>
            </w:pPr>
            <w:r>
              <w:rPr>
                <w:rFonts w:hint="eastAsia" w:ascii="Times New Roman" w:hAnsi="Times New Roman"/>
                <w:lang w:bidi="ar"/>
              </w:rPr>
              <w:t>培训方案内容包含具体培训措施、明确培训方式、培训对象、培训目标、培训计划、人员配备及安排, 方案详细全面得</w:t>
            </w:r>
            <w:r>
              <w:rPr>
                <w:rFonts w:ascii="Times New Roman" w:hAnsi="Times New Roman"/>
                <w:lang w:bidi="ar"/>
              </w:rPr>
              <w:t>3</w:t>
            </w:r>
            <w:r>
              <w:rPr>
                <w:rFonts w:hint="eastAsia" w:ascii="Times New Roman" w:hAnsi="Times New Roman"/>
                <w:lang w:bidi="ar"/>
              </w:rPr>
              <w:t>分，方案一般的得2分，方案有瑕疵的得1分，无相关内容不得分。</w:t>
            </w:r>
          </w:p>
          <w:p>
            <w:pPr>
              <w:rPr>
                <w:rFonts w:hint="eastAsia" w:ascii="Times New Roman" w:hAnsi="Times New Roman"/>
                <w:lang w:bidi="ar"/>
              </w:rPr>
            </w:pPr>
            <w:r>
              <w:rPr>
                <w:rFonts w:hint="eastAsia" w:ascii="Times New Roman" w:hAnsi="Times New Roman"/>
                <w:lang w:bidi="ar"/>
              </w:rPr>
              <w:t>（详见商务要求表）</w:t>
            </w:r>
          </w:p>
        </w:tc>
        <w:tc>
          <w:tcPr>
            <w:tcW w:w="536"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kern w:val="2"/>
                <w:sz w:val="21"/>
                <w:szCs w:val="22"/>
                <w:lang w:val="en-US" w:eastAsia="zh-CN" w:bidi="ar"/>
              </w:rPr>
            </w:pPr>
            <w:r>
              <w:rPr>
                <w:rFonts w:hint="eastAsia" w:ascii="Times New Roman" w:hAnsi="Times New Roman"/>
                <w:lang w:bidi="ar"/>
              </w:rPr>
              <w:t>3分</w:t>
            </w:r>
          </w:p>
        </w:tc>
        <w:tc>
          <w:tcPr>
            <w:tcW w:w="443" w:type="pct"/>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kern w:val="2"/>
                <w:sz w:val="21"/>
                <w:szCs w:val="22"/>
                <w:lang w:val="en-US" w:eastAsia="zh-CN" w:bidi="ar"/>
              </w:rPr>
            </w:pPr>
            <w:r>
              <w:rPr>
                <w:rFonts w:hint="eastAsia" w:ascii="Times New Roman" w:hAnsi="Times New Roman"/>
                <w:lang w:bidi="ar"/>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7" w:type="pct"/>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lang w:val="en-US" w:eastAsia="zh-CN" w:bidi="ar"/>
              </w:rPr>
            </w:pPr>
            <w:r>
              <w:rPr>
                <w:rFonts w:hint="eastAsia" w:ascii="Times New Roman" w:hAnsi="Times New Roman"/>
                <w:lang w:val="en-US" w:eastAsia="zh-CN" w:bidi="ar"/>
              </w:rPr>
              <w:t>5</w:t>
            </w:r>
          </w:p>
        </w:tc>
        <w:tc>
          <w:tcPr>
            <w:tcW w:w="843"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Cs w:val="24"/>
              </w:rPr>
            </w:pPr>
            <w:r>
              <w:rPr>
                <w:rFonts w:hint="eastAsia" w:ascii="Times New Roman" w:hAnsi="Times New Roman"/>
              </w:rPr>
              <w:t>技术</w:t>
            </w:r>
          </w:p>
        </w:tc>
        <w:tc>
          <w:tcPr>
            <w:tcW w:w="2869"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r>
              <w:rPr>
                <w:rFonts w:hint="eastAsia" w:ascii="Times New Roman" w:hAnsi="Times New Roman"/>
              </w:rPr>
              <w:t>技术配置表内所提供的产品如有国家确定的认证机构出具的有效的节能产品认证证书提供（扫描件加盖公章）的得</w:t>
            </w:r>
            <w:r>
              <w:rPr>
                <w:rFonts w:ascii="Times New Roman" w:hAnsi="Times New Roman"/>
              </w:rPr>
              <w:t>0.5</w:t>
            </w:r>
            <w:r>
              <w:rPr>
                <w:rFonts w:hint="eastAsia" w:ascii="Times New Roman" w:hAnsi="Times New Roman"/>
              </w:rPr>
              <w:t>分；如不提供则不得分</w:t>
            </w:r>
          </w:p>
          <w:p>
            <w:pPr>
              <w:rPr>
                <w:rFonts w:ascii="Times New Roman" w:hAnsi="Times New Roman"/>
              </w:rPr>
            </w:pPr>
            <w:r>
              <w:rPr>
                <w:rFonts w:hint="eastAsia" w:ascii="Times New Roman" w:hAnsi="Times New Roman"/>
              </w:rPr>
              <w:t>技术配置表内的所提供的产品如有国家确定的认证机构出具的有效的环境标志产品认证证书提供（扫描件加盖公章）的得</w:t>
            </w:r>
            <w:r>
              <w:rPr>
                <w:rFonts w:ascii="Times New Roman" w:hAnsi="Times New Roman"/>
              </w:rPr>
              <w:t>0.5</w:t>
            </w:r>
            <w:r>
              <w:rPr>
                <w:rFonts w:hint="eastAsia" w:ascii="Times New Roman" w:hAnsi="Times New Roman"/>
              </w:rPr>
              <w:t>分；如不提供则不得分</w:t>
            </w:r>
          </w:p>
          <w:p>
            <w:pPr>
              <w:rPr>
                <w:rFonts w:ascii="Times New Roman" w:hAnsi="Times New Roman"/>
              </w:rPr>
            </w:pPr>
            <w:r>
              <w:rPr>
                <w:rFonts w:hint="eastAsia" w:ascii="Times New Roman" w:hAnsi="Times New Roman"/>
              </w:rPr>
              <w:t>注：技术配置表内政府强制采购的节能产品的除外。</w:t>
            </w:r>
          </w:p>
        </w:tc>
        <w:tc>
          <w:tcPr>
            <w:tcW w:w="536"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lang w:bidi="ar"/>
              </w:rPr>
            </w:pPr>
            <w:r>
              <w:rPr>
                <w:rFonts w:ascii="Times New Roman" w:hAnsi="Times New Roman"/>
                <w:lang w:bidi="ar"/>
              </w:rPr>
              <w:t>1</w:t>
            </w:r>
            <w:r>
              <w:rPr>
                <w:rFonts w:hint="eastAsia" w:ascii="Times New Roman" w:hAnsi="Times New Roman"/>
                <w:lang w:bidi="ar"/>
              </w:rPr>
              <w:t>分</w:t>
            </w:r>
          </w:p>
        </w:tc>
        <w:tc>
          <w:tcPr>
            <w:tcW w:w="443"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lang w:bidi="ar"/>
              </w:rPr>
            </w:pPr>
            <w:r>
              <w:rPr>
                <w:rFonts w:hint="eastAsia" w:ascii="Times New Roman" w:hAnsi="Times New Roman"/>
                <w:lang w:bidi="ar"/>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07" w:type="pct"/>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lang w:val="en-US" w:eastAsia="zh-CN"/>
              </w:rPr>
            </w:pPr>
            <w:r>
              <w:rPr>
                <w:rFonts w:hint="eastAsia" w:ascii="Times New Roman" w:hAnsi="Times New Roman"/>
                <w:lang w:val="en-US" w:eastAsia="zh-CN"/>
              </w:rPr>
              <w:t>6</w:t>
            </w:r>
          </w:p>
        </w:tc>
        <w:tc>
          <w:tcPr>
            <w:tcW w:w="843"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r>
              <w:rPr>
                <w:rFonts w:hint="eastAsia" w:ascii="Times New Roman" w:hAnsi="Times New Roman"/>
              </w:rPr>
              <w:t>技术</w:t>
            </w:r>
          </w:p>
        </w:tc>
        <w:tc>
          <w:tcPr>
            <w:tcW w:w="2869"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lang w:val="zh-CN"/>
              </w:rPr>
            </w:pPr>
            <w:r>
              <w:rPr>
                <w:rFonts w:hint="eastAsia" w:ascii="Times New Roman" w:hAnsi="Times New Roman"/>
              </w:rPr>
              <w:t>根据招标文件第三部分采购需求中“技术参数要求，</w:t>
            </w:r>
            <w:r>
              <w:rPr>
                <w:rFonts w:hint="eastAsia" w:ascii="Times New Roman" w:hAnsi="Times New Roman"/>
                <w:lang w:val="zh-CN"/>
              </w:rPr>
              <w:t>所投产品性能技术指标完全满足</w:t>
            </w:r>
            <w:r>
              <w:rPr>
                <w:rFonts w:hint="eastAsia" w:ascii="Times New Roman" w:hAnsi="Times New Roman"/>
              </w:rPr>
              <w:t>招标要求</w:t>
            </w:r>
            <w:r>
              <w:rPr>
                <w:rFonts w:hint="eastAsia" w:ascii="Times New Roman" w:hAnsi="Times New Roman"/>
                <w:lang w:val="zh-CN"/>
              </w:rPr>
              <w:t>的，得</w:t>
            </w:r>
            <w:r>
              <w:rPr>
                <w:rFonts w:hint="eastAsia" w:ascii="Times New Roman" w:hAnsi="Times New Roman"/>
              </w:rPr>
              <w:t>3</w:t>
            </w:r>
            <w:r>
              <w:rPr>
                <w:rFonts w:ascii="Times New Roman" w:hAnsi="Times New Roman"/>
              </w:rPr>
              <w:t>0</w:t>
            </w:r>
            <w:r>
              <w:rPr>
                <w:rFonts w:hint="eastAsia" w:ascii="Times New Roman" w:hAnsi="Times New Roman"/>
                <w:lang w:val="zh-CN"/>
              </w:rPr>
              <w:t>分；</w:t>
            </w:r>
            <w:r>
              <w:rPr>
                <w:rFonts w:hint="eastAsia" w:ascii="Times New Roman" w:hAnsi="Times New Roman"/>
              </w:rPr>
              <w:t>标</w:t>
            </w:r>
            <w:r>
              <w:rPr>
                <w:rFonts w:hint="eastAsia" w:ascii="Times New Roman" w:hAnsi="Times New Roman"/>
                <w:lang w:val="zh-CN"/>
              </w:rPr>
              <w:t>“★”</w:t>
            </w:r>
            <w:r>
              <w:rPr>
                <w:rFonts w:hint="eastAsia" w:ascii="Times New Roman" w:hAnsi="Times New Roman"/>
              </w:rPr>
              <w:t>项</w:t>
            </w:r>
            <w:r>
              <w:rPr>
                <w:rFonts w:hint="eastAsia" w:ascii="Times New Roman" w:hAnsi="Times New Roman"/>
                <w:lang w:val="zh-CN" w:eastAsia="zh-Hans"/>
              </w:rPr>
              <w:t>为</w:t>
            </w:r>
            <w:r>
              <w:rPr>
                <w:rFonts w:hint="eastAsia" w:ascii="Times New Roman" w:hAnsi="Times New Roman"/>
              </w:rPr>
              <w:t>重要指标</w:t>
            </w:r>
            <w:r>
              <w:rPr>
                <w:rFonts w:hint="eastAsia" w:ascii="Times New Roman" w:hAnsi="Times New Roman"/>
                <w:lang w:val="zh-CN"/>
              </w:rPr>
              <w:t>，</w:t>
            </w:r>
            <w:r>
              <w:rPr>
                <w:rFonts w:hint="eastAsia" w:ascii="Times New Roman" w:hAnsi="Times New Roman"/>
              </w:rPr>
              <w:t>如有偏离</w:t>
            </w:r>
            <w:r>
              <w:rPr>
                <w:rFonts w:hint="eastAsia" w:ascii="Times New Roman" w:hAnsi="Times New Roman"/>
                <w:lang w:val="zh-CN"/>
              </w:rPr>
              <w:t>（负偏离）</w:t>
            </w:r>
            <w:r>
              <w:rPr>
                <w:rFonts w:hint="eastAsia" w:ascii="Times New Roman" w:hAnsi="Times New Roman"/>
              </w:rPr>
              <w:t>，每项扣</w:t>
            </w:r>
            <w:r>
              <w:rPr>
                <w:rFonts w:ascii="Times New Roman" w:hAnsi="Times New Roman"/>
              </w:rPr>
              <w:t>2</w:t>
            </w:r>
            <w:r>
              <w:rPr>
                <w:rFonts w:hint="eastAsia" w:ascii="Times New Roman" w:hAnsi="Times New Roman"/>
              </w:rPr>
              <w:t>分；其他为一般性指标，如有偏</w:t>
            </w:r>
            <w:r>
              <w:rPr>
                <w:rFonts w:hint="eastAsia" w:ascii="Times New Roman" w:hAnsi="Times New Roman"/>
                <w:lang w:val="zh-CN"/>
              </w:rPr>
              <w:t>（负偏离）的，每项扣</w:t>
            </w:r>
            <w:r>
              <w:rPr>
                <w:rFonts w:hint="eastAsia" w:ascii="Times New Roman" w:hAnsi="Times New Roman"/>
              </w:rPr>
              <w:t>1</w:t>
            </w:r>
            <w:r>
              <w:rPr>
                <w:rFonts w:hint="eastAsia" w:ascii="Times New Roman" w:hAnsi="Times New Roman"/>
                <w:lang w:val="zh-CN"/>
              </w:rPr>
              <w:t>分。</w:t>
            </w:r>
          </w:p>
          <w:p>
            <w:pPr>
              <w:rPr>
                <w:rFonts w:ascii="Times New Roman" w:hAnsi="Times New Roman"/>
              </w:rPr>
            </w:pPr>
            <w:r>
              <w:rPr>
                <w:rFonts w:hint="eastAsia" w:ascii="Times New Roman" w:hAnsi="Times New Roman"/>
              </w:rPr>
              <w:t>特别提醒：</w:t>
            </w:r>
            <w:r>
              <w:rPr>
                <w:rFonts w:hint="eastAsia" w:ascii="Times New Roman" w:hAnsi="Times New Roman"/>
                <w:lang w:val="zh-CN"/>
              </w:rPr>
              <w:t>指标参数中有要求提供</w:t>
            </w:r>
            <w:r>
              <w:rPr>
                <w:rFonts w:hint="eastAsia" w:ascii="Times New Roman" w:hAnsi="Times New Roman"/>
              </w:rPr>
              <w:t>截图</w:t>
            </w:r>
            <w:r>
              <w:rPr>
                <w:rFonts w:hint="eastAsia" w:ascii="Times New Roman" w:hAnsi="Times New Roman"/>
                <w:lang w:val="zh-CN"/>
              </w:rPr>
              <w:t>或其他证明材料佐证的，未提供视为负偏离；商务资信中要求提供的证书以及演示项中包含的内容，不在此处重复评分</w:t>
            </w:r>
            <w:r>
              <w:rPr>
                <w:rFonts w:ascii="Times New Roman" w:hAnsi="Times New Roman"/>
              </w:rPr>
              <w:t xml:space="preserve"> </w:t>
            </w:r>
          </w:p>
        </w:tc>
        <w:tc>
          <w:tcPr>
            <w:tcW w:w="536"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r>
              <w:rPr>
                <w:rFonts w:hint="eastAsia" w:ascii="Times New Roman" w:hAnsi="Times New Roman"/>
                <w:lang w:bidi="ar"/>
              </w:rPr>
              <w:t>3</w:t>
            </w:r>
            <w:r>
              <w:rPr>
                <w:rFonts w:ascii="Times New Roman" w:hAnsi="Times New Roman"/>
                <w:lang w:bidi="ar"/>
              </w:rPr>
              <w:t>0</w:t>
            </w:r>
            <w:r>
              <w:rPr>
                <w:rFonts w:hint="eastAsia" w:ascii="Times New Roman" w:hAnsi="Times New Roman"/>
                <w:lang w:bidi="ar"/>
              </w:rPr>
              <w:t>分</w:t>
            </w:r>
          </w:p>
        </w:tc>
        <w:tc>
          <w:tcPr>
            <w:tcW w:w="443"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r>
              <w:rPr>
                <w:rFonts w:hint="eastAsia" w:ascii="Times New Roman" w:hAnsi="Times New Roman"/>
                <w:lang w:bidi="ar"/>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7" w:type="pct"/>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lang w:val="en-US" w:eastAsia="zh-CN" w:bidi="ar"/>
              </w:rPr>
            </w:pPr>
            <w:r>
              <w:rPr>
                <w:rFonts w:hint="eastAsia" w:ascii="Times New Roman" w:hAnsi="Times New Roman"/>
                <w:lang w:val="en-US" w:eastAsia="zh-CN" w:bidi="ar"/>
              </w:rPr>
              <w:t>7</w:t>
            </w:r>
          </w:p>
        </w:tc>
        <w:tc>
          <w:tcPr>
            <w:tcW w:w="843"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lang w:bidi="ar"/>
              </w:rPr>
            </w:pPr>
            <w:r>
              <w:rPr>
                <w:rFonts w:hint="eastAsia" w:ascii="Times New Roman" w:hAnsi="Times New Roman"/>
              </w:rPr>
              <w:t>技术</w:t>
            </w:r>
          </w:p>
        </w:tc>
        <w:tc>
          <w:tcPr>
            <w:tcW w:w="2869"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r>
              <w:rPr>
                <w:rFonts w:hint="eastAsia" w:ascii="Times New Roman" w:hAnsi="Times New Roman"/>
              </w:rPr>
              <w:t>供应商需在15分钟内完成桌面云软件视频演示，未提供演示的不得分。</w:t>
            </w:r>
          </w:p>
          <w:p>
            <w:pPr>
              <w:rPr>
                <w:rFonts w:ascii="Times New Roman" w:hAnsi="Times New Roman"/>
              </w:rPr>
            </w:pPr>
            <w:r>
              <w:rPr>
                <w:rFonts w:hint="eastAsia" w:ascii="Times New Roman" w:hAnsi="Times New Roman"/>
              </w:rPr>
              <w:t>（1）支持在WEB管理平台上直接对服务器SSD硬盘进行性能测试，不依赖第三方测试工具，可获取SSD硬盘16K随机读、顺序写数值，并给出测试评级结果，便于管理员定位系统故障；满足得1分，不满足不得分。</w:t>
            </w:r>
          </w:p>
          <w:p>
            <w:pPr>
              <w:rPr>
                <w:rFonts w:ascii="Times New Roman" w:hAnsi="Times New Roman"/>
              </w:rPr>
            </w:pPr>
            <w:r>
              <w:rPr>
                <w:rFonts w:hint="eastAsia" w:ascii="Times New Roman" w:hAnsi="Times New Roman"/>
              </w:rPr>
              <w:t>（2）支持桌面还原属性修改，桌面创建完成后，可随时在管理平台根据教学需求修改教学桌面还原属性，可单独分别为系统盘和数据盘设置每次还原，每天还原，每周还原、每月还原或不还原，也可对场景中的任意数量的桌面实现立即还原，满足教学桌面还原和考试环境数据保存等需求；满足得1分，不满足不得分。</w:t>
            </w:r>
          </w:p>
          <w:p>
            <w:pPr>
              <w:rPr>
                <w:rFonts w:ascii="Times New Roman" w:hAnsi="Times New Roman"/>
              </w:rPr>
            </w:pPr>
            <w:r>
              <w:rPr>
                <w:rFonts w:hint="eastAsia" w:ascii="Times New Roman" w:hAnsi="Times New Roman"/>
              </w:rPr>
              <w:t>（3）支持模板分享链接，管理员可以将编辑模板的链接分享给需要编辑模板的用户，在浏览器中直接输入链接地址即可对模板进行编辑，支持分享日期、分享链接的失效期设置。满足得1分，不满足不得分。</w:t>
            </w:r>
          </w:p>
          <w:p>
            <w:pPr>
              <w:rPr>
                <w:rFonts w:ascii="Times New Roman" w:hAnsi="Times New Roman"/>
              </w:rPr>
            </w:pPr>
            <w:r>
              <w:rPr>
                <w:rFonts w:hint="eastAsia" w:ascii="Times New Roman" w:hAnsi="Times New Roman"/>
              </w:rPr>
              <w:t>以上各管理模块界面图均为动态图，不接受截图，视频中应包含操作人员以及讲解进行界面切换的操作；</w:t>
            </w:r>
          </w:p>
        </w:tc>
        <w:tc>
          <w:tcPr>
            <w:tcW w:w="536"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lang w:bidi="ar"/>
              </w:rPr>
            </w:pPr>
            <w:r>
              <w:rPr>
                <w:rFonts w:ascii="Times New Roman" w:hAnsi="Times New Roman"/>
                <w:lang w:bidi="ar"/>
              </w:rPr>
              <w:t>3</w:t>
            </w:r>
            <w:r>
              <w:rPr>
                <w:rFonts w:hint="eastAsia" w:ascii="Times New Roman" w:hAnsi="Times New Roman"/>
                <w:lang w:bidi="ar"/>
              </w:rPr>
              <w:t>分</w:t>
            </w:r>
          </w:p>
        </w:tc>
        <w:tc>
          <w:tcPr>
            <w:tcW w:w="443"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lang w:bidi="ar"/>
              </w:rPr>
            </w:pPr>
            <w:r>
              <w:rPr>
                <w:rFonts w:hint="eastAsia" w:ascii="Times New Roman" w:hAnsi="Times New Roman"/>
                <w:lang w:bidi="ar"/>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307" w:type="pct"/>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lang w:val="en-US" w:eastAsia="zh-CN"/>
              </w:rPr>
            </w:pPr>
            <w:r>
              <w:rPr>
                <w:rFonts w:hint="eastAsia" w:ascii="Times New Roman" w:hAnsi="Times New Roman"/>
                <w:lang w:val="en-US" w:eastAsia="zh-CN"/>
              </w:rPr>
              <w:t>8</w:t>
            </w:r>
          </w:p>
        </w:tc>
        <w:tc>
          <w:tcPr>
            <w:tcW w:w="843"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r>
              <w:rPr>
                <w:rFonts w:hint="eastAsia" w:ascii="Times New Roman" w:hAnsi="Times New Roman"/>
              </w:rPr>
              <w:t>技术</w:t>
            </w:r>
          </w:p>
        </w:tc>
        <w:tc>
          <w:tcPr>
            <w:tcW w:w="2869"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lang w:bidi="ar"/>
              </w:rPr>
            </w:pPr>
            <w:r>
              <w:rPr>
                <w:rFonts w:hint="eastAsia" w:ascii="Times New Roman" w:hAnsi="Times New Roman"/>
                <w:lang w:bidi="ar"/>
              </w:rPr>
              <w:t>对本项目的总体理解。</w:t>
            </w:r>
          </w:p>
          <w:p>
            <w:pPr>
              <w:rPr>
                <w:rFonts w:ascii="Times New Roman" w:hAnsi="Times New Roman"/>
              </w:rPr>
            </w:pPr>
            <w:r>
              <w:rPr>
                <w:rFonts w:hint="eastAsia" w:ascii="Times New Roman" w:hAnsi="Times New Roman"/>
              </w:rPr>
              <w:t>内容全面清晰，针对性强，完全满足项目实施要求得</w:t>
            </w:r>
            <w:r>
              <w:rPr>
                <w:rFonts w:ascii="Times New Roman" w:hAnsi="Times New Roman"/>
              </w:rPr>
              <w:t>3</w:t>
            </w:r>
            <w:r>
              <w:rPr>
                <w:rFonts w:hint="eastAsia" w:ascii="Times New Roman" w:hAnsi="Times New Roman"/>
              </w:rPr>
              <w:t>分；内容简单但基本也满足采购需求得</w:t>
            </w:r>
            <w:r>
              <w:rPr>
                <w:rFonts w:ascii="Times New Roman" w:hAnsi="Times New Roman"/>
              </w:rPr>
              <w:t>2</w:t>
            </w:r>
            <w:r>
              <w:rPr>
                <w:rFonts w:hint="eastAsia" w:ascii="Times New Roman" w:hAnsi="Times New Roman"/>
              </w:rPr>
              <w:t>分；内容略有欠缺得1分；未提供本项内容不得分。</w:t>
            </w:r>
          </w:p>
        </w:tc>
        <w:tc>
          <w:tcPr>
            <w:tcW w:w="536"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r>
              <w:rPr>
                <w:rFonts w:ascii="Times New Roman" w:hAnsi="Times New Roman"/>
                <w:lang w:bidi="ar"/>
              </w:rPr>
              <w:t>3</w:t>
            </w:r>
            <w:r>
              <w:rPr>
                <w:rFonts w:hint="eastAsia" w:ascii="Times New Roman" w:hAnsi="Times New Roman"/>
                <w:lang w:bidi="ar"/>
              </w:rPr>
              <w:t>分</w:t>
            </w:r>
          </w:p>
        </w:tc>
        <w:tc>
          <w:tcPr>
            <w:tcW w:w="443"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r>
              <w:rPr>
                <w:rFonts w:hint="eastAsia" w:ascii="Times New Roman" w:hAnsi="Times New Roman"/>
                <w:lang w:bidi="ar"/>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307" w:type="pct"/>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lang w:val="en-US" w:eastAsia="zh-CN"/>
              </w:rPr>
            </w:pPr>
            <w:r>
              <w:rPr>
                <w:rFonts w:hint="eastAsia" w:ascii="Times New Roman" w:hAnsi="Times New Roman"/>
                <w:lang w:val="en-US" w:eastAsia="zh-CN"/>
              </w:rPr>
              <w:t>9</w:t>
            </w:r>
          </w:p>
        </w:tc>
        <w:tc>
          <w:tcPr>
            <w:tcW w:w="843"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r>
              <w:rPr>
                <w:rFonts w:hint="eastAsia" w:ascii="Times New Roman" w:hAnsi="Times New Roman"/>
              </w:rPr>
              <w:t>技术</w:t>
            </w:r>
          </w:p>
        </w:tc>
        <w:tc>
          <w:tcPr>
            <w:tcW w:w="2869"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lang w:bidi="ar"/>
              </w:rPr>
            </w:pPr>
            <w:r>
              <w:rPr>
                <w:rFonts w:hint="eastAsia" w:ascii="Times New Roman" w:hAnsi="Times New Roman"/>
                <w:lang w:bidi="ar"/>
              </w:rPr>
              <w:t>总体设计方案。</w:t>
            </w:r>
          </w:p>
          <w:p>
            <w:pPr>
              <w:rPr>
                <w:rFonts w:ascii="Times New Roman" w:hAnsi="Times New Roman"/>
                <w:lang w:bidi="ar"/>
              </w:rPr>
            </w:pPr>
            <w:r>
              <w:rPr>
                <w:rFonts w:hint="eastAsia" w:ascii="Times New Roman" w:hAnsi="Times New Roman"/>
              </w:rPr>
              <w:t>方案全面清晰，操作性强，完全满足项目实施要求得2分；方案简单但基本也满足采购需求得1.5分；方案略有欠缺得1分；未提供本项内容不得分。</w:t>
            </w:r>
          </w:p>
        </w:tc>
        <w:tc>
          <w:tcPr>
            <w:tcW w:w="536"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lang w:bidi="ar"/>
              </w:rPr>
            </w:pPr>
            <w:r>
              <w:rPr>
                <w:rFonts w:hint="eastAsia" w:ascii="Times New Roman" w:hAnsi="Times New Roman"/>
                <w:lang w:bidi="ar"/>
              </w:rPr>
              <w:t>2分</w:t>
            </w:r>
          </w:p>
        </w:tc>
        <w:tc>
          <w:tcPr>
            <w:tcW w:w="443"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lang w:bidi="ar"/>
              </w:rPr>
            </w:pPr>
            <w:r>
              <w:rPr>
                <w:rFonts w:hint="eastAsia" w:ascii="Times New Roman" w:hAnsi="Times New Roman"/>
                <w:lang w:bidi="ar"/>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307" w:type="pct"/>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lang w:val="en-US" w:eastAsia="zh-CN"/>
              </w:rPr>
            </w:pPr>
            <w:r>
              <w:rPr>
                <w:rFonts w:hint="eastAsia" w:ascii="Times New Roman" w:hAnsi="Times New Roman"/>
                <w:lang w:val="en-US" w:eastAsia="zh-CN"/>
              </w:rPr>
              <w:t>10</w:t>
            </w:r>
          </w:p>
        </w:tc>
        <w:tc>
          <w:tcPr>
            <w:tcW w:w="843"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r>
              <w:rPr>
                <w:rFonts w:hint="eastAsia" w:ascii="Times New Roman" w:hAnsi="Times New Roman"/>
              </w:rPr>
              <w:t>技术</w:t>
            </w:r>
          </w:p>
        </w:tc>
        <w:tc>
          <w:tcPr>
            <w:tcW w:w="2869"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lang w:bidi="ar"/>
              </w:rPr>
            </w:pPr>
            <w:r>
              <w:rPr>
                <w:rFonts w:hint="eastAsia" w:ascii="Times New Roman" w:hAnsi="Times New Roman"/>
                <w:lang w:bidi="ar"/>
              </w:rPr>
              <w:t>安全技术体系设计方案。</w:t>
            </w:r>
          </w:p>
          <w:p>
            <w:pPr>
              <w:rPr>
                <w:rFonts w:ascii="Times New Roman" w:hAnsi="Times New Roman"/>
                <w:lang w:bidi="ar"/>
              </w:rPr>
            </w:pPr>
            <w:r>
              <w:rPr>
                <w:rFonts w:hint="eastAsia" w:ascii="Times New Roman" w:hAnsi="Times New Roman"/>
              </w:rPr>
              <w:t>方案全面清晰，操作性强，完全满足项目实施要求得2分；方案简单但基本也满足采购需求得1.5分；方案略有欠缺得1分；未提供本项内容不得分。</w:t>
            </w:r>
          </w:p>
        </w:tc>
        <w:tc>
          <w:tcPr>
            <w:tcW w:w="536"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lang w:bidi="ar"/>
              </w:rPr>
            </w:pPr>
            <w:r>
              <w:rPr>
                <w:rFonts w:hint="eastAsia" w:ascii="Times New Roman" w:hAnsi="Times New Roman"/>
                <w:lang w:bidi="ar"/>
              </w:rPr>
              <w:t>2分</w:t>
            </w:r>
          </w:p>
        </w:tc>
        <w:tc>
          <w:tcPr>
            <w:tcW w:w="443"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lang w:bidi="ar"/>
              </w:rPr>
            </w:pPr>
            <w:r>
              <w:rPr>
                <w:rFonts w:hint="eastAsia" w:ascii="Times New Roman" w:hAnsi="Times New Roman"/>
                <w:lang w:bidi="ar"/>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307" w:type="pct"/>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lang w:val="en-US" w:eastAsia="zh-CN"/>
              </w:rPr>
            </w:pPr>
            <w:r>
              <w:rPr>
                <w:rFonts w:hint="eastAsia" w:ascii="Times New Roman" w:hAnsi="Times New Roman"/>
                <w:lang w:val="en-US" w:eastAsia="zh-CN"/>
              </w:rPr>
              <w:t>11</w:t>
            </w:r>
          </w:p>
        </w:tc>
        <w:tc>
          <w:tcPr>
            <w:tcW w:w="843"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r>
              <w:rPr>
                <w:rFonts w:hint="eastAsia" w:ascii="Times New Roman" w:hAnsi="Times New Roman"/>
              </w:rPr>
              <w:t>技术</w:t>
            </w:r>
          </w:p>
        </w:tc>
        <w:tc>
          <w:tcPr>
            <w:tcW w:w="2869"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lang w:bidi="ar"/>
              </w:rPr>
            </w:pPr>
            <w:r>
              <w:rPr>
                <w:rFonts w:hint="eastAsia" w:ascii="Times New Roman" w:hAnsi="Times New Roman"/>
                <w:lang w:bidi="ar"/>
              </w:rPr>
              <w:t>产品（平台）运行稳定性方案。</w:t>
            </w:r>
          </w:p>
          <w:p>
            <w:pPr>
              <w:rPr>
                <w:rFonts w:ascii="Times New Roman" w:hAnsi="Times New Roman"/>
                <w:lang w:bidi="ar"/>
              </w:rPr>
            </w:pPr>
            <w:r>
              <w:rPr>
                <w:rFonts w:hint="eastAsia" w:ascii="Times New Roman" w:hAnsi="Times New Roman"/>
              </w:rPr>
              <w:t>方案全面清晰，操作性强，完全满足项目实施要求得2分；方案简单但基本也满足采购需求得1.5分；方案略有欠缺得1分；未提供本项内容不得分。</w:t>
            </w:r>
          </w:p>
        </w:tc>
        <w:tc>
          <w:tcPr>
            <w:tcW w:w="536"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lang w:bidi="ar"/>
              </w:rPr>
            </w:pPr>
            <w:r>
              <w:rPr>
                <w:rFonts w:hint="eastAsia" w:ascii="Times New Roman" w:hAnsi="Times New Roman"/>
                <w:lang w:bidi="ar"/>
              </w:rPr>
              <w:t>2分</w:t>
            </w:r>
          </w:p>
        </w:tc>
        <w:tc>
          <w:tcPr>
            <w:tcW w:w="443"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lang w:bidi="ar"/>
              </w:rPr>
            </w:pPr>
            <w:r>
              <w:rPr>
                <w:rFonts w:hint="eastAsia" w:ascii="Times New Roman" w:hAnsi="Times New Roman"/>
                <w:lang w:bidi="ar"/>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307" w:type="pct"/>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lang w:val="en-US" w:eastAsia="zh-CN"/>
              </w:rPr>
            </w:pPr>
            <w:r>
              <w:rPr>
                <w:rFonts w:hint="eastAsia" w:ascii="Times New Roman" w:hAnsi="Times New Roman"/>
                <w:lang w:val="en-US" w:eastAsia="zh-CN"/>
              </w:rPr>
              <w:t>12</w:t>
            </w:r>
          </w:p>
        </w:tc>
        <w:tc>
          <w:tcPr>
            <w:tcW w:w="843"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r>
              <w:rPr>
                <w:rFonts w:hint="eastAsia" w:ascii="Times New Roman" w:hAnsi="Times New Roman"/>
              </w:rPr>
              <w:t>技术</w:t>
            </w:r>
          </w:p>
        </w:tc>
        <w:tc>
          <w:tcPr>
            <w:tcW w:w="2869"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lang w:bidi="ar"/>
              </w:rPr>
            </w:pPr>
            <w:r>
              <w:rPr>
                <w:rFonts w:hint="eastAsia" w:ascii="Times New Roman" w:hAnsi="Times New Roman"/>
                <w:lang w:bidi="ar"/>
              </w:rPr>
              <w:t>产品（平台）可升级及兼容性方案。</w:t>
            </w:r>
          </w:p>
          <w:p>
            <w:pPr>
              <w:rPr>
                <w:rFonts w:ascii="Times New Roman" w:hAnsi="Times New Roman"/>
                <w:lang w:bidi="ar"/>
              </w:rPr>
            </w:pPr>
            <w:r>
              <w:rPr>
                <w:rFonts w:hint="eastAsia" w:ascii="Times New Roman" w:hAnsi="Times New Roman"/>
              </w:rPr>
              <w:t>方案全面清晰，操作性强，完全满足项目实施要求得2分；方案简单但基本也满足采购需求得1.5分；方案略有欠缺得1分；未提供本项内容不得分。</w:t>
            </w:r>
          </w:p>
        </w:tc>
        <w:tc>
          <w:tcPr>
            <w:tcW w:w="536"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lang w:bidi="ar"/>
              </w:rPr>
            </w:pPr>
            <w:r>
              <w:rPr>
                <w:rFonts w:hint="eastAsia" w:ascii="Times New Roman" w:hAnsi="Times New Roman"/>
                <w:lang w:bidi="ar"/>
              </w:rPr>
              <w:t>2分</w:t>
            </w:r>
          </w:p>
        </w:tc>
        <w:tc>
          <w:tcPr>
            <w:tcW w:w="443"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lang w:bidi="ar"/>
              </w:rPr>
            </w:pPr>
            <w:r>
              <w:rPr>
                <w:rFonts w:hint="eastAsia" w:ascii="Times New Roman" w:hAnsi="Times New Roman"/>
                <w:lang w:bidi="ar"/>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307" w:type="pct"/>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lang w:val="en-US" w:eastAsia="zh-CN"/>
              </w:rPr>
            </w:pPr>
            <w:r>
              <w:rPr>
                <w:rFonts w:hint="eastAsia" w:ascii="Times New Roman" w:hAnsi="Times New Roman"/>
                <w:lang w:val="en-US" w:eastAsia="zh-CN"/>
              </w:rPr>
              <w:t>13</w:t>
            </w:r>
          </w:p>
        </w:tc>
        <w:tc>
          <w:tcPr>
            <w:tcW w:w="843"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r>
              <w:rPr>
                <w:rFonts w:hint="eastAsia" w:ascii="Times New Roman" w:hAnsi="Times New Roman"/>
              </w:rPr>
              <w:t>技术</w:t>
            </w:r>
          </w:p>
        </w:tc>
        <w:tc>
          <w:tcPr>
            <w:tcW w:w="2869"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lang w:bidi="ar"/>
              </w:rPr>
            </w:pPr>
            <w:r>
              <w:rPr>
                <w:rFonts w:hint="eastAsia" w:ascii="Times New Roman" w:hAnsi="Times New Roman"/>
                <w:lang w:bidi="ar"/>
              </w:rPr>
              <w:t>平台系统与学校云桌面系统对接方案。</w:t>
            </w:r>
          </w:p>
          <w:p>
            <w:pPr>
              <w:rPr>
                <w:rFonts w:ascii="Times New Roman" w:hAnsi="Times New Roman"/>
                <w:lang w:bidi="ar"/>
              </w:rPr>
            </w:pPr>
            <w:r>
              <w:rPr>
                <w:rFonts w:hint="eastAsia" w:ascii="Times New Roman" w:hAnsi="Times New Roman"/>
              </w:rPr>
              <w:t>包括系统集成对接分析、平台系统衔接，方案全面清晰，操作性强，完全满足项目实施要求得2分；方案简单但基本也满足采购需求得1.5分；方案略有欠缺得1分；未提供本项内容不得分。</w:t>
            </w:r>
          </w:p>
        </w:tc>
        <w:tc>
          <w:tcPr>
            <w:tcW w:w="536"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lang w:bidi="ar"/>
              </w:rPr>
            </w:pPr>
            <w:r>
              <w:rPr>
                <w:rFonts w:hint="eastAsia" w:ascii="Times New Roman" w:hAnsi="Times New Roman"/>
                <w:lang w:bidi="ar"/>
              </w:rPr>
              <w:t>2分</w:t>
            </w:r>
          </w:p>
        </w:tc>
        <w:tc>
          <w:tcPr>
            <w:tcW w:w="443"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lang w:bidi="ar"/>
              </w:rPr>
            </w:pPr>
            <w:r>
              <w:rPr>
                <w:rFonts w:hint="eastAsia" w:ascii="Times New Roman" w:hAnsi="Times New Roman"/>
                <w:lang w:bidi="ar"/>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307" w:type="pct"/>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lang w:val="en-US" w:eastAsia="zh-CN"/>
              </w:rPr>
            </w:pPr>
            <w:r>
              <w:rPr>
                <w:rFonts w:hint="eastAsia" w:ascii="Times New Roman" w:hAnsi="Times New Roman"/>
                <w:lang w:val="en-US" w:eastAsia="zh-CN"/>
              </w:rPr>
              <w:t>14</w:t>
            </w:r>
          </w:p>
        </w:tc>
        <w:tc>
          <w:tcPr>
            <w:tcW w:w="843"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r>
              <w:rPr>
                <w:rFonts w:hint="eastAsia" w:ascii="Times New Roman" w:hAnsi="Times New Roman"/>
              </w:rPr>
              <w:t>技术</w:t>
            </w:r>
          </w:p>
        </w:tc>
        <w:tc>
          <w:tcPr>
            <w:tcW w:w="2869"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lang w:bidi="ar"/>
              </w:rPr>
            </w:pPr>
            <w:r>
              <w:rPr>
                <w:rFonts w:hint="eastAsia" w:ascii="Times New Roman" w:hAnsi="Times New Roman"/>
                <w:lang w:bidi="ar"/>
              </w:rPr>
              <w:t>安装和调试方案。</w:t>
            </w:r>
          </w:p>
          <w:p>
            <w:pPr>
              <w:rPr>
                <w:rFonts w:ascii="Times New Roman" w:hAnsi="Times New Roman"/>
                <w:lang w:bidi="ar"/>
              </w:rPr>
            </w:pPr>
            <w:r>
              <w:rPr>
                <w:rFonts w:hint="eastAsia" w:ascii="Times New Roman" w:hAnsi="Times New Roman"/>
              </w:rPr>
              <w:t>方案全面清晰，操作性强，完全满足项目实施要求得2分；方案简单但基本也满足采购需求得1.5分；方案略有欠缺得1分；未提供本项内容不得分。</w:t>
            </w:r>
          </w:p>
        </w:tc>
        <w:tc>
          <w:tcPr>
            <w:tcW w:w="536"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lang w:bidi="ar"/>
              </w:rPr>
            </w:pPr>
            <w:r>
              <w:rPr>
                <w:rFonts w:hint="eastAsia" w:ascii="Times New Roman" w:hAnsi="Times New Roman"/>
                <w:lang w:bidi="ar"/>
              </w:rPr>
              <w:t>2分</w:t>
            </w:r>
          </w:p>
        </w:tc>
        <w:tc>
          <w:tcPr>
            <w:tcW w:w="443"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lang w:bidi="ar"/>
              </w:rPr>
            </w:pPr>
            <w:r>
              <w:rPr>
                <w:rFonts w:hint="eastAsia" w:ascii="Times New Roman" w:hAnsi="Times New Roman"/>
                <w:lang w:bidi="ar"/>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307" w:type="pct"/>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lang w:val="en-US" w:eastAsia="zh-CN"/>
              </w:rPr>
            </w:pPr>
            <w:r>
              <w:rPr>
                <w:rFonts w:hint="eastAsia" w:ascii="Times New Roman" w:hAnsi="Times New Roman"/>
                <w:lang w:val="en-US" w:eastAsia="zh-CN"/>
              </w:rPr>
              <w:t>15</w:t>
            </w:r>
          </w:p>
        </w:tc>
        <w:tc>
          <w:tcPr>
            <w:tcW w:w="843"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r>
              <w:rPr>
                <w:rFonts w:hint="eastAsia" w:ascii="Times New Roman" w:hAnsi="Times New Roman"/>
              </w:rPr>
              <w:t>技术</w:t>
            </w:r>
          </w:p>
        </w:tc>
        <w:tc>
          <w:tcPr>
            <w:tcW w:w="2869"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lang w:bidi="ar"/>
              </w:rPr>
            </w:pPr>
            <w:r>
              <w:rPr>
                <w:rFonts w:hint="eastAsia" w:ascii="Times New Roman" w:hAnsi="Times New Roman"/>
                <w:lang w:bidi="ar"/>
              </w:rPr>
              <w:t>实施进度计划方案。</w:t>
            </w:r>
          </w:p>
          <w:p>
            <w:pPr>
              <w:rPr>
                <w:rFonts w:ascii="Times New Roman" w:hAnsi="Times New Roman"/>
                <w:lang w:bidi="ar"/>
              </w:rPr>
            </w:pPr>
            <w:r>
              <w:rPr>
                <w:rFonts w:hint="eastAsia" w:ascii="Times New Roman" w:hAnsi="Times New Roman"/>
              </w:rPr>
              <w:t>方案全面清晰，操作性强，完全满足项目实施要求得2分；方案简单但基本也满足采购需求得1.5分；方案略有欠缺得1分；未提供本项内容不得分。</w:t>
            </w:r>
          </w:p>
        </w:tc>
        <w:tc>
          <w:tcPr>
            <w:tcW w:w="536"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lang w:bidi="ar"/>
              </w:rPr>
            </w:pPr>
            <w:r>
              <w:rPr>
                <w:rFonts w:hint="eastAsia" w:ascii="Times New Roman" w:hAnsi="Times New Roman"/>
                <w:lang w:bidi="ar"/>
              </w:rPr>
              <w:t>2分</w:t>
            </w:r>
          </w:p>
        </w:tc>
        <w:tc>
          <w:tcPr>
            <w:tcW w:w="443"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lang w:bidi="ar"/>
              </w:rPr>
            </w:pPr>
            <w:r>
              <w:rPr>
                <w:rFonts w:hint="eastAsia" w:ascii="Times New Roman" w:hAnsi="Times New Roman"/>
                <w:lang w:bidi="ar"/>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307" w:type="pct"/>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lang w:val="en-US" w:eastAsia="zh-CN"/>
              </w:rPr>
            </w:pPr>
            <w:r>
              <w:rPr>
                <w:rFonts w:hint="eastAsia" w:ascii="Times New Roman" w:hAnsi="Times New Roman"/>
                <w:lang w:val="en-US" w:eastAsia="zh-CN"/>
              </w:rPr>
              <w:t>16</w:t>
            </w:r>
          </w:p>
        </w:tc>
        <w:tc>
          <w:tcPr>
            <w:tcW w:w="843"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r>
              <w:rPr>
                <w:rFonts w:hint="eastAsia" w:ascii="Times New Roman" w:hAnsi="Times New Roman"/>
              </w:rPr>
              <w:t>技术</w:t>
            </w:r>
          </w:p>
        </w:tc>
        <w:tc>
          <w:tcPr>
            <w:tcW w:w="2869"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lang w:bidi="ar"/>
              </w:rPr>
            </w:pPr>
            <w:r>
              <w:rPr>
                <w:rFonts w:hint="eastAsia" w:ascii="Times New Roman" w:hAnsi="Times New Roman"/>
                <w:lang w:bidi="ar"/>
              </w:rPr>
              <w:t>应急预案。</w:t>
            </w:r>
          </w:p>
          <w:p>
            <w:pPr>
              <w:rPr>
                <w:rFonts w:ascii="Times New Roman" w:hAnsi="Times New Roman"/>
                <w:lang w:bidi="ar"/>
              </w:rPr>
            </w:pPr>
            <w:r>
              <w:rPr>
                <w:rFonts w:hint="eastAsia" w:ascii="Times New Roman" w:hAnsi="Times New Roman"/>
              </w:rPr>
              <w:t>方案全面清晰，操作性强，完全满足项目实施要求得2分；方案简单但基本也满足采购需求得1.5分；方案略有欠缺得1分；未提供本项内容不得分。</w:t>
            </w:r>
          </w:p>
        </w:tc>
        <w:tc>
          <w:tcPr>
            <w:tcW w:w="536"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lang w:bidi="ar"/>
              </w:rPr>
            </w:pPr>
            <w:r>
              <w:rPr>
                <w:rFonts w:hint="eastAsia" w:ascii="Times New Roman" w:hAnsi="Times New Roman"/>
                <w:lang w:bidi="ar"/>
              </w:rPr>
              <w:t>2分</w:t>
            </w:r>
          </w:p>
        </w:tc>
        <w:tc>
          <w:tcPr>
            <w:tcW w:w="443"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lang w:bidi="ar"/>
              </w:rPr>
            </w:pPr>
            <w:r>
              <w:rPr>
                <w:rFonts w:hint="eastAsia" w:ascii="Times New Roman" w:hAnsi="Times New Roman"/>
                <w:lang w:bidi="ar"/>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307" w:type="pct"/>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lang w:val="en-US" w:eastAsia="zh-CN"/>
              </w:rPr>
            </w:pPr>
            <w:r>
              <w:rPr>
                <w:rFonts w:hint="eastAsia" w:ascii="Times New Roman" w:hAnsi="Times New Roman"/>
                <w:lang w:val="en-US" w:eastAsia="zh-CN"/>
              </w:rPr>
              <w:t>17</w:t>
            </w:r>
          </w:p>
        </w:tc>
        <w:tc>
          <w:tcPr>
            <w:tcW w:w="843"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r>
              <w:rPr>
                <w:rFonts w:hint="eastAsia" w:ascii="Times New Roman" w:hAnsi="Times New Roman"/>
              </w:rPr>
              <w:t>技术</w:t>
            </w:r>
          </w:p>
        </w:tc>
        <w:tc>
          <w:tcPr>
            <w:tcW w:w="2869"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r>
              <w:rPr>
                <w:rFonts w:hint="eastAsia" w:ascii="Times New Roman" w:hAnsi="Times New Roman"/>
                <w:lang w:bidi="ar"/>
              </w:rPr>
              <w:t>项目负责人的专业素质、技术能力与招标项目具体特点和实际需求相适应同类项目实施经验情况。（提供IT服务项目经理证书及在职社保缴纳记录，提供不全不得分）。</w:t>
            </w:r>
          </w:p>
        </w:tc>
        <w:tc>
          <w:tcPr>
            <w:tcW w:w="536"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r>
              <w:rPr>
                <w:rFonts w:ascii="Times New Roman" w:hAnsi="Times New Roman"/>
                <w:lang w:bidi="ar"/>
              </w:rPr>
              <w:t>1</w:t>
            </w:r>
            <w:r>
              <w:rPr>
                <w:rFonts w:hint="eastAsia" w:ascii="Times New Roman" w:hAnsi="Times New Roman"/>
                <w:lang w:bidi="ar"/>
              </w:rPr>
              <w:t>分</w:t>
            </w:r>
          </w:p>
        </w:tc>
        <w:tc>
          <w:tcPr>
            <w:tcW w:w="443"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r>
              <w:rPr>
                <w:rFonts w:hint="eastAsia" w:ascii="Times New Roman" w:hAnsi="Times New Roman"/>
                <w:lang w:bidi="ar"/>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307" w:type="pct"/>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lang w:val="en-US" w:eastAsia="zh-CN"/>
              </w:rPr>
            </w:pPr>
            <w:r>
              <w:rPr>
                <w:rFonts w:hint="eastAsia" w:ascii="Times New Roman" w:hAnsi="Times New Roman"/>
                <w:lang w:val="en-US" w:eastAsia="zh-CN"/>
              </w:rPr>
              <w:t>18</w:t>
            </w:r>
          </w:p>
        </w:tc>
        <w:tc>
          <w:tcPr>
            <w:tcW w:w="843"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r>
              <w:rPr>
                <w:rFonts w:hint="eastAsia" w:ascii="Times New Roman" w:hAnsi="Times New Roman"/>
              </w:rPr>
              <w:t>技术</w:t>
            </w:r>
          </w:p>
        </w:tc>
        <w:tc>
          <w:tcPr>
            <w:tcW w:w="2869"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lang w:bidi="ar"/>
              </w:rPr>
            </w:pPr>
            <w:r>
              <w:rPr>
                <w:rFonts w:hint="eastAsia" w:ascii="Times New Roman" w:hAnsi="Times New Roman"/>
                <w:lang w:bidi="ar"/>
              </w:rPr>
              <w:t>除项目负责人外其他项目团队成员的人员组成、数量、专业素质、技术能力、经验等情况；</w:t>
            </w:r>
          </w:p>
          <w:p>
            <w:pPr>
              <w:rPr>
                <w:rFonts w:ascii="Times New Roman" w:hAnsi="Times New Roman"/>
                <w:lang w:bidi="ar"/>
              </w:rPr>
            </w:pPr>
            <w:r>
              <w:rPr>
                <w:rFonts w:hint="eastAsia" w:ascii="Times New Roman" w:hAnsi="Times New Roman"/>
                <w:lang w:bidi="ar"/>
              </w:rPr>
              <w:t>项目团队配置完善及分工合理，人员配备充足，人员具备IT服务工程师证书、高级网络工程师等I</w:t>
            </w:r>
            <w:r>
              <w:rPr>
                <w:rFonts w:ascii="Times New Roman" w:hAnsi="Times New Roman"/>
                <w:lang w:bidi="ar"/>
              </w:rPr>
              <w:t>T</w:t>
            </w:r>
            <w:r>
              <w:rPr>
                <w:rFonts w:hint="eastAsia" w:ascii="Times New Roman" w:hAnsi="Times New Roman"/>
                <w:lang w:bidi="ar"/>
              </w:rPr>
              <w:t>项目实施相关的证书得</w:t>
            </w:r>
            <w:r>
              <w:rPr>
                <w:rFonts w:ascii="Times New Roman" w:hAnsi="Times New Roman"/>
                <w:lang w:bidi="ar"/>
              </w:rPr>
              <w:t>2</w:t>
            </w:r>
            <w:r>
              <w:rPr>
                <w:rFonts w:hint="eastAsia" w:ascii="Times New Roman" w:hAnsi="Times New Roman"/>
                <w:lang w:bidi="ar"/>
              </w:rPr>
              <w:t>分；项目团队配置较差、人员配备略微不足，人员相应证书不全得</w:t>
            </w:r>
            <w:r>
              <w:rPr>
                <w:rFonts w:ascii="Times New Roman" w:hAnsi="Times New Roman"/>
                <w:lang w:bidi="ar"/>
              </w:rPr>
              <w:t>1</w:t>
            </w:r>
            <w:r>
              <w:rPr>
                <w:rFonts w:hint="eastAsia" w:ascii="Times New Roman" w:hAnsi="Times New Roman"/>
                <w:lang w:bidi="ar"/>
              </w:rPr>
              <w:t>分；项目团队配置不合理、不专业或未提供证书的得0分。</w:t>
            </w:r>
          </w:p>
          <w:p>
            <w:pPr>
              <w:rPr>
                <w:rFonts w:ascii="宋体" w:hAnsi="宋体" w:cs="宋体"/>
              </w:rPr>
            </w:pPr>
            <w:r>
              <w:rPr>
                <w:rFonts w:hint="eastAsia" w:ascii="Times New Roman" w:hAnsi="Times New Roman"/>
                <w:lang w:bidi="ar"/>
              </w:rPr>
              <w:t>（投标文件中提供人员履历、IT服务工程师、高级网络工程师等资质证书扫描件、在职服务人员社保证明材料）。</w:t>
            </w:r>
          </w:p>
        </w:tc>
        <w:tc>
          <w:tcPr>
            <w:tcW w:w="536"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r>
              <w:rPr>
                <w:rFonts w:ascii="Times New Roman" w:hAnsi="Times New Roman"/>
                <w:lang w:bidi="ar"/>
              </w:rPr>
              <w:t>2</w:t>
            </w:r>
            <w:r>
              <w:rPr>
                <w:rFonts w:hint="eastAsia" w:ascii="Times New Roman" w:hAnsi="Times New Roman"/>
                <w:lang w:bidi="ar"/>
              </w:rPr>
              <w:t>分</w:t>
            </w:r>
          </w:p>
        </w:tc>
        <w:tc>
          <w:tcPr>
            <w:tcW w:w="443"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r>
              <w:rPr>
                <w:rFonts w:hint="eastAsia" w:ascii="Times New Roman" w:hAnsi="Times New Roman"/>
                <w:lang w:bidi="ar"/>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trPr>
        <w:tc>
          <w:tcPr>
            <w:tcW w:w="307" w:type="pct"/>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lang w:val="en-US" w:eastAsia="zh-CN"/>
              </w:rPr>
            </w:pPr>
            <w:r>
              <w:rPr>
                <w:rFonts w:hint="eastAsia" w:ascii="Times New Roman" w:hAnsi="Times New Roman"/>
                <w:lang w:val="en-US" w:eastAsia="zh-CN"/>
              </w:rPr>
              <w:t>19</w:t>
            </w:r>
          </w:p>
        </w:tc>
        <w:tc>
          <w:tcPr>
            <w:tcW w:w="843"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r>
              <w:rPr>
                <w:rFonts w:hint="eastAsia" w:ascii="Times New Roman" w:hAnsi="Times New Roman"/>
              </w:rPr>
              <w:t>技术</w:t>
            </w:r>
          </w:p>
        </w:tc>
        <w:tc>
          <w:tcPr>
            <w:tcW w:w="2869"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r>
              <w:rPr>
                <w:rFonts w:hint="eastAsia" w:ascii="Times New Roman" w:hAnsi="Times New Roman"/>
              </w:rPr>
              <w:t>质保期满后配件、附件、备品备件的准备和保障措施。保障方案完整可行的，得2分；保障方案不完整或不符合采购需求的，得1分；未提供的不得分。</w:t>
            </w:r>
          </w:p>
        </w:tc>
        <w:tc>
          <w:tcPr>
            <w:tcW w:w="536"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r>
              <w:rPr>
                <w:rFonts w:hint="eastAsia" w:ascii="Times New Roman" w:hAnsi="Times New Roman"/>
              </w:rPr>
              <w:t>2分</w:t>
            </w:r>
          </w:p>
        </w:tc>
        <w:tc>
          <w:tcPr>
            <w:tcW w:w="443"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r>
              <w:rPr>
                <w:rFonts w:hint="eastAsia" w:ascii="Times New Roman" w:hAnsi="Times New Roman"/>
              </w:rPr>
              <w:t>主观</w:t>
            </w:r>
          </w:p>
        </w:tc>
      </w:tr>
    </w:tbl>
    <w:p>
      <w:pPr>
        <w:spacing w:before="156" w:beforeLines="50" w:after="156" w:afterLines="50" w:line="340" w:lineRule="exact"/>
        <w:rPr>
          <w:rFonts w:hint="eastAsia" w:ascii="仿宋_GB2312" w:hAnsi="宋体" w:eastAsia="仿宋_GB2312"/>
          <w:b/>
          <w:color w:val="000000"/>
          <w:sz w:val="32"/>
          <w:szCs w:val="32"/>
        </w:rPr>
      </w:pPr>
      <w:r>
        <w:rPr>
          <w:rFonts w:hint="eastAsia" w:ascii="仿宋_GB2312" w:hAnsi="宋体" w:eastAsia="仿宋_GB2312"/>
          <w:b/>
          <w:color w:val="000000"/>
          <w:sz w:val="32"/>
          <w:szCs w:val="32"/>
        </w:rPr>
        <w:t xml:space="preserve"> </w:t>
      </w:r>
      <w:bookmarkEnd w:id="29"/>
    </w:p>
    <w:p>
      <w:pPr>
        <w:spacing w:before="156" w:beforeLines="50" w:after="156" w:afterLines="50" w:line="340" w:lineRule="exact"/>
        <w:rPr>
          <w:rFonts w:hint="eastAsia" w:ascii="仿宋_GB2312" w:hAnsi="宋体" w:eastAsia="仿宋_GB2312"/>
          <w:b/>
          <w:color w:val="000000"/>
          <w:sz w:val="32"/>
          <w:szCs w:val="32"/>
        </w:rPr>
      </w:pPr>
    </w:p>
    <w:p>
      <w:pPr>
        <w:spacing w:before="156" w:beforeLines="50" w:after="156" w:afterLines="50" w:line="340" w:lineRule="exact"/>
        <w:rPr>
          <w:rFonts w:hint="eastAsia" w:ascii="仿宋_GB2312" w:hAnsi="宋体" w:eastAsia="仿宋_GB2312"/>
          <w:b/>
          <w:color w:val="000000"/>
          <w:sz w:val="32"/>
          <w:szCs w:val="32"/>
        </w:rPr>
      </w:pPr>
    </w:p>
    <w:p>
      <w:pPr>
        <w:spacing w:after="312" w:afterLines="100" w:line="340" w:lineRule="exact"/>
        <w:jc w:val="center"/>
        <w:outlineLvl w:val="0"/>
        <w:rPr>
          <w:rFonts w:hAnsi="宋体"/>
          <w:b/>
          <w:color w:val="000000"/>
          <w:sz w:val="36"/>
          <w:szCs w:val="36"/>
        </w:rPr>
      </w:pPr>
      <w:bookmarkStart w:id="30" w:name="_Toc24960"/>
      <w:r>
        <w:rPr>
          <w:rFonts w:hint="eastAsia" w:hAnsi="宋体"/>
          <w:b/>
          <w:color w:val="000000"/>
          <w:sz w:val="36"/>
          <w:szCs w:val="36"/>
        </w:rPr>
        <w:t>第四章招标需求</w:t>
      </w:r>
      <w:bookmarkEnd w:id="28"/>
      <w:bookmarkEnd w:id="30"/>
    </w:p>
    <w:p>
      <w:pPr>
        <w:snapToGrid w:val="0"/>
        <w:spacing w:before="156" w:beforeLines="50" w:after="156" w:afterLines="50"/>
        <w:rPr>
          <w:rFonts w:ascii="宋体" w:hAnsi="宋体"/>
          <w:b/>
          <w:color w:val="000000"/>
          <w:spacing w:val="40"/>
          <w:kern w:val="0"/>
          <w:sz w:val="36"/>
          <w:szCs w:val="36"/>
        </w:rPr>
      </w:pPr>
    </w:p>
    <w:p>
      <w:pPr>
        <w:snapToGrid w:val="0"/>
        <w:spacing w:before="156" w:beforeLines="50" w:after="156" w:afterLines="50"/>
        <w:rPr>
          <w:rFonts w:ascii="仿宋" w:hAnsi="仿宋" w:eastAsia="仿宋"/>
          <w:b/>
          <w:color w:val="000000"/>
          <w:spacing w:val="40"/>
          <w:kern w:val="0"/>
          <w:sz w:val="28"/>
          <w:szCs w:val="28"/>
        </w:rPr>
      </w:pPr>
      <w:r>
        <w:rPr>
          <w:rFonts w:hint="eastAsia" w:ascii="仿宋" w:hAnsi="仿宋" w:eastAsia="仿宋"/>
          <w:b/>
          <w:color w:val="000000"/>
          <w:spacing w:val="40"/>
          <w:kern w:val="0"/>
          <w:sz w:val="28"/>
          <w:szCs w:val="28"/>
        </w:rPr>
        <w:t>特别说明：</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1.除采购文件明确的品牌外，欢迎其他能满足本项目技术需求且性能与所明确品牌相当的产品参加。</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2.需求中不允许偏离的实质性要求和条件，以“▲”号标明，如投标人未响应的，将被视为无效。</w:t>
      </w:r>
    </w:p>
    <w:p>
      <w:pPr>
        <w:spacing w:line="360" w:lineRule="auto"/>
        <w:ind w:firstLine="562" w:firstLineChars="200"/>
        <w:rPr>
          <w:rFonts w:ascii="仿宋" w:hAnsi="仿宋" w:eastAsia="仿宋_GB2312"/>
          <w:b/>
          <w:color w:val="000000"/>
          <w:sz w:val="30"/>
          <w:szCs w:val="30"/>
        </w:rPr>
      </w:pPr>
      <w:r>
        <w:rPr>
          <w:rFonts w:hint="eastAsia" w:ascii="仿宋" w:hAnsi="仿宋" w:eastAsia="仿宋"/>
          <w:b/>
          <w:color w:val="000000"/>
          <w:sz w:val="28"/>
          <w:szCs w:val="28"/>
        </w:rPr>
        <w:t>3.核心产品在各标项内容中明确，如出现同品牌情况的，评标委员会根据评审原则第4条规定执行</w:t>
      </w:r>
      <w:r>
        <w:rPr>
          <w:rFonts w:hint="eastAsia" w:ascii="仿宋" w:hAnsi="仿宋" w:eastAsia="仿宋_GB2312"/>
          <w:b/>
          <w:color w:val="000000"/>
          <w:sz w:val="30"/>
          <w:szCs w:val="30"/>
        </w:rPr>
        <w:t>。</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5</w:t>
      </w:r>
      <w:r>
        <w:rPr>
          <w:rFonts w:ascii="仿宋" w:hAnsi="仿宋" w:eastAsia="仿宋"/>
          <w:b/>
          <w:color w:val="000000"/>
          <w:sz w:val="28"/>
          <w:szCs w:val="28"/>
        </w:rPr>
        <w:t>.</w:t>
      </w:r>
      <w:r>
        <w:rPr>
          <w:rFonts w:hint="eastAsia" w:ascii="仿宋" w:hAnsi="仿宋" w:eastAsia="仿宋"/>
          <w:b/>
          <w:color w:val="000000"/>
          <w:sz w:val="28"/>
          <w:szCs w:val="28"/>
        </w:rPr>
        <w:t xml:space="preserve"> 投标人投标产品规格型号与官网公布的产品规格型号一致，但技术参数不一致的，应当在投标文件中阐述技术参数不一致的原因，以及通过何种技术路线来实现投标产品技术参数。投标人未作说明的，评标委员会有权对该投标文件作出不利于投标人的评判。</w:t>
      </w:r>
    </w:p>
    <w:p>
      <w:pPr>
        <w:spacing w:line="360" w:lineRule="auto"/>
        <w:ind w:firstLine="562" w:firstLineChars="200"/>
        <w:rPr>
          <w:rFonts w:ascii="仿宋" w:hAnsi="仿宋" w:eastAsia="仿宋"/>
          <w:b/>
          <w:color w:val="000000"/>
          <w:sz w:val="28"/>
          <w:szCs w:val="28"/>
        </w:rPr>
      </w:pPr>
      <w:r>
        <w:rPr>
          <w:rFonts w:ascii="仿宋" w:hAnsi="仿宋" w:eastAsia="仿宋"/>
          <w:b/>
          <w:color w:val="000000"/>
          <w:sz w:val="28"/>
          <w:szCs w:val="28"/>
        </w:rPr>
        <w:t>6.</w:t>
      </w:r>
      <w:r>
        <w:rPr>
          <w:rFonts w:hint="eastAsia" w:ascii="仿宋" w:hAnsi="仿宋" w:eastAsia="仿宋"/>
          <w:b/>
          <w:color w:val="000000"/>
          <w:sz w:val="28"/>
          <w:szCs w:val="28"/>
        </w:rPr>
        <w:t>供应商承诺提供赠品、回扣、采购预算中本身不包含的其他商品或服务，视作无效承诺。</w:t>
      </w:r>
    </w:p>
    <w:p>
      <w:pPr>
        <w:pStyle w:val="399"/>
        <w:widowControl/>
        <w:numPr>
          <w:ilvl w:val="0"/>
          <w:numId w:val="31"/>
        </w:numPr>
        <w:ind w:firstLineChars="0"/>
        <w:jc w:val="left"/>
        <w:rPr>
          <w:rFonts w:ascii="宋体" w:hAnsi="宋体" w:cs="宋体"/>
          <w:b/>
          <w:sz w:val="28"/>
          <w:szCs w:val="28"/>
        </w:rPr>
      </w:pPr>
      <w:bookmarkStart w:id="31" w:name="PO_TDCUS_ITEM_PB_REQ_TABLE_1_1_0"/>
      <w:bookmarkEnd w:id="31"/>
      <w:bookmarkStart w:id="32" w:name="_Toc496796639"/>
      <w:r>
        <w:rPr>
          <w:rFonts w:hint="eastAsia" w:ascii="宋体" w:hAnsi="宋体" w:cs="宋体"/>
          <w:b/>
          <w:sz w:val="28"/>
          <w:szCs w:val="28"/>
        </w:rPr>
        <w:t>项目介绍：</w:t>
      </w:r>
    </w:p>
    <w:p>
      <w:pPr>
        <w:ind w:firstLine="560" w:firstLineChars="200"/>
        <w:rPr>
          <w:rFonts w:ascii="仿宋" w:hAnsi="仿宋" w:eastAsia="仿宋" w:cs="宋体"/>
          <w:kern w:val="0"/>
          <w:sz w:val="28"/>
          <w:szCs w:val="28"/>
        </w:rPr>
      </w:pPr>
      <w:r>
        <w:rPr>
          <w:rFonts w:ascii="仿宋" w:hAnsi="仿宋" w:eastAsia="仿宋" w:cs="宋体"/>
          <w:kern w:val="0"/>
          <w:sz w:val="28"/>
          <w:szCs w:val="28"/>
        </w:rPr>
        <w:t>根据我校经济与管理实验中心实验教学的需求，本次</w:t>
      </w:r>
      <w:r>
        <w:rPr>
          <w:rFonts w:hint="eastAsia" w:ascii="仿宋" w:hAnsi="仿宋" w:eastAsia="仿宋" w:cs="宋体"/>
          <w:kern w:val="0"/>
          <w:sz w:val="28"/>
          <w:szCs w:val="28"/>
        </w:rPr>
        <w:t>改</w:t>
      </w:r>
      <w:r>
        <w:rPr>
          <w:rFonts w:ascii="仿宋" w:hAnsi="仿宋" w:eastAsia="仿宋" w:cs="宋体"/>
          <w:kern w:val="0"/>
          <w:sz w:val="28"/>
          <w:szCs w:val="28"/>
        </w:rPr>
        <w:t>建3间合计349</w:t>
      </w:r>
      <w:r>
        <w:rPr>
          <w:rFonts w:hint="eastAsia" w:ascii="仿宋" w:hAnsi="仿宋" w:eastAsia="仿宋" w:cs="宋体"/>
          <w:kern w:val="0"/>
          <w:sz w:val="28"/>
          <w:szCs w:val="28"/>
        </w:rPr>
        <w:t>机位的</w:t>
      </w:r>
      <w:r>
        <w:rPr>
          <w:rFonts w:ascii="仿宋" w:hAnsi="仿宋" w:eastAsia="仿宋" w:cs="宋体"/>
          <w:kern w:val="0"/>
          <w:sz w:val="28"/>
          <w:szCs w:val="28"/>
        </w:rPr>
        <w:t>云桌面实验室，建设内容主要包括3</w:t>
      </w:r>
      <w:r>
        <w:rPr>
          <w:rFonts w:hint="eastAsia" w:ascii="仿宋" w:hAnsi="仿宋" w:eastAsia="仿宋" w:cs="宋体"/>
          <w:kern w:val="0"/>
          <w:sz w:val="28"/>
          <w:szCs w:val="28"/>
        </w:rPr>
        <w:t>间</w:t>
      </w:r>
      <w:r>
        <w:rPr>
          <w:rFonts w:ascii="仿宋" w:hAnsi="仿宋" w:eastAsia="仿宋" w:cs="宋体"/>
          <w:kern w:val="0"/>
          <w:sz w:val="28"/>
          <w:szCs w:val="28"/>
        </w:rPr>
        <w:t>实验室</w:t>
      </w:r>
      <w:r>
        <w:rPr>
          <w:rFonts w:hint="eastAsia" w:ascii="仿宋" w:hAnsi="仿宋" w:eastAsia="仿宋" w:cs="宋体"/>
          <w:kern w:val="0"/>
          <w:sz w:val="28"/>
          <w:szCs w:val="28"/>
        </w:rPr>
        <w:t>内</w:t>
      </w:r>
      <w:r>
        <w:rPr>
          <w:rFonts w:ascii="仿宋" w:hAnsi="仿宋" w:eastAsia="仿宋" w:cs="宋体"/>
          <w:kern w:val="0"/>
          <w:sz w:val="28"/>
          <w:szCs w:val="28"/>
        </w:rPr>
        <w:t>实验设备（计算机、服务器及网络和云桌面软件等）的</w:t>
      </w:r>
      <w:r>
        <w:rPr>
          <w:rFonts w:hint="eastAsia" w:ascii="仿宋" w:hAnsi="仿宋" w:eastAsia="仿宋" w:cs="宋体"/>
          <w:kern w:val="0"/>
          <w:sz w:val="28"/>
          <w:szCs w:val="28"/>
        </w:rPr>
        <w:t>拆迁、</w:t>
      </w:r>
      <w:r>
        <w:rPr>
          <w:rFonts w:ascii="仿宋" w:hAnsi="仿宋" w:eastAsia="仿宋" w:cs="宋体"/>
          <w:kern w:val="0"/>
          <w:sz w:val="28"/>
          <w:szCs w:val="28"/>
        </w:rPr>
        <w:t>采购、软硬件及网络等系统的安装调试升级等，主要内容有：</w:t>
      </w:r>
    </w:p>
    <w:p>
      <w:pPr>
        <w:ind w:firstLine="562" w:firstLineChars="200"/>
        <w:rPr>
          <w:rFonts w:ascii="仿宋" w:hAnsi="仿宋" w:eastAsia="仿宋" w:cs="宋体"/>
          <w:kern w:val="0"/>
          <w:sz w:val="28"/>
          <w:szCs w:val="28"/>
        </w:rPr>
      </w:pPr>
      <w:r>
        <w:rPr>
          <w:rFonts w:ascii="仿宋" w:hAnsi="仿宋" w:eastAsia="仿宋" w:cs="宋体"/>
          <w:b/>
          <w:kern w:val="0"/>
          <w:sz w:val="28"/>
          <w:szCs w:val="28"/>
        </w:rPr>
        <w:t>硬件建设：</w:t>
      </w:r>
      <w:r>
        <w:rPr>
          <w:rFonts w:ascii="仿宋" w:hAnsi="仿宋" w:eastAsia="仿宋" w:cs="宋体"/>
          <w:kern w:val="0"/>
          <w:sz w:val="28"/>
          <w:szCs w:val="28"/>
        </w:rPr>
        <w:t>建设3</w:t>
      </w:r>
      <w:r>
        <w:rPr>
          <w:rFonts w:hint="eastAsia" w:ascii="仿宋" w:hAnsi="仿宋" w:eastAsia="仿宋" w:cs="宋体"/>
          <w:kern w:val="0"/>
          <w:sz w:val="28"/>
          <w:szCs w:val="28"/>
        </w:rPr>
        <w:t>间</w:t>
      </w:r>
      <w:r>
        <w:rPr>
          <w:rFonts w:ascii="仿宋" w:hAnsi="仿宋" w:eastAsia="仿宋" w:cs="宋体"/>
          <w:kern w:val="0"/>
          <w:sz w:val="28"/>
          <w:szCs w:val="28"/>
        </w:rPr>
        <w:t>标准</w:t>
      </w:r>
      <w:r>
        <w:rPr>
          <w:rFonts w:hint="eastAsia" w:ascii="仿宋" w:hAnsi="仿宋" w:eastAsia="仿宋" w:cs="宋体"/>
          <w:kern w:val="0"/>
          <w:sz w:val="28"/>
          <w:szCs w:val="28"/>
        </w:rPr>
        <w:t>云</w:t>
      </w:r>
      <w:r>
        <w:rPr>
          <w:rFonts w:ascii="仿宋" w:hAnsi="仿宋" w:eastAsia="仿宋" w:cs="宋体"/>
          <w:kern w:val="0"/>
          <w:sz w:val="28"/>
          <w:szCs w:val="28"/>
        </w:rPr>
        <w:t>机房（1间81座，一间108座以及一间160座，同时在线实验的用房）；每机房标配等量的云终端一体机，1台教师用机，1</w:t>
      </w:r>
      <w:r>
        <w:rPr>
          <w:rFonts w:hint="eastAsia" w:ascii="仿宋" w:hAnsi="仿宋" w:eastAsia="仿宋" w:cs="宋体"/>
          <w:kern w:val="0"/>
          <w:sz w:val="28"/>
          <w:szCs w:val="28"/>
        </w:rPr>
        <w:t>套显示设备</w:t>
      </w:r>
      <w:r>
        <w:rPr>
          <w:rFonts w:ascii="仿宋" w:hAnsi="仿宋" w:eastAsia="仿宋" w:cs="宋体"/>
          <w:kern w:val="0"/>
          <w:sz w:val="28"/>
          <w:szCs w:val="28"/>
        </w:rPr>
        <w:t>，1套中控系统，1套声学系统；本次架构采用云桌面混合云模式，通过后端高性能云承载服务器+前端客户端模式，实现350点以上的</w:t>
      </w:r>
      <w:r>
        <w:rPr>
          <w:rFonts w:hint="eastAsia" w:ascii="仿宋" w:hAnsi="仿宋" w:eastAsia="仿宋" w:cs="宋体"/>
          <w:kern w:val="0"/>
          <w:sz w:val="28"/>
          <w:szCs w:val="28"/>
        </w:rPr>
        <w:t>云</w:t>
      </w:r>
      <w:r>
        <w:rPr>
          <w:rFonts w:ascii="仿宋" w:hAnsi="仿宋" w:eastAsia="仿宋" w:cs="宋体"/>
          <w:kern w:val="0"/>
          <w:sz w:val="28"/>
          <w:szCs w:val="28"/>
        </w:rPr>
        <w:t>桌面虚拟化部署</w:t>
      </w:r>
      <w:r>
        <w:rPr>
          <w:rFonts w:hint="eastAsia" w:ascii="仿宋" w:hAnsi="仿宋" w:eastAsia="仿宋" w:cs="宋体"/>
          <w:kern w:val="0"/>
          <w:sz w:val="28"/>
          <w:szCs w:val="28"/>
        </w:rPr>
        <w:t>，其中一间8</w:t>
      </w:r>
      <w:r>
        <w:rPr>
          <w:rFonts w:ascii="仿宋" w:hAnsi="仿宋" w:eastAsia="仿宋" w:cs="宋体"/>
          <w:kern w:val="0"/>
          <w:sz w:val="28"/>
          <w:szCs w:val="28"/>
        </w:rPr>
        <w:t>1</w:t>
      </w:r>
      <w:r>
        <w:rPr>
          <w:rFonts w:hint="eastAsia" w:ascii="仿宋" w:hAnsi="仿宋" w:eastAsia="仿宋" w:cs="宋体"/>
          <w:kern w:val="0"/>
          <w:sz w:val="28"/>
          <w:szCs w:val="28"/>
        </w:rPr>
        <w:t>座机房计划建设V</w:t>
      </w:r>
      <w:r>
        <w:rPr>
          <w:rFonts w:ascii="仿宋" w:hAnsi="仿宋" w:eastAsia="仿宋" w:cs="宋体"/>
          <w:kern w:val="0"/>
          <w:sz w:val="28"/>
          <w:szCs w:val="28"/>
        </w:rPr>
        <w:t>OI</w:t>
      </w:r>
      <w:r>
        <w:rPr>
          <w:rFonts w:hint="eastAsia" w:ascii="仿宋" w:hAnsi="仿宋" w:eastAsia="仿宋" w:cs="宋体"/>
          <w:kern w:val="0"/>
          <w:sz w:val="28"/>
          <w:szCs w:val="28"/>
        </w:rPr>
        <w:t>云机房，用于满足我校高性能图像软件课教学需求。其余两间教室采用V</w:t>
      </w:r>
      <w:r>
        <w:rPr>
          <w:rFonts w:ascii="仿宋" w:hAnsi="仿宋" w:eastAsia="仿宋" w:cs="宋体"/>
          <w:kern w:val="0"/>
          <w:sz w:val="28"/>
          <w:szCs w:val="28"/>
        </w:rPr>
        <w:t>DI</w:t>
      </w:r>
      <w:r>
        <w:rPr>
          <w:rFonts w:hint="eastAsia" w:ascii="仿宋" w:hAnsi="仿宋" w:eastAsia="仿宋" w:cs="宋体"/>
          <w:kern w:val="0"/>
          <w:sz w:val="28"/>
          <w:szCs w:val="28"/>
        </w:rPr>
        <w:t>模式。另外，由于原云桌面资源池运算性能处于低位运转状态，单机虚拟化性能偏弱，故而，在本次项目上增补了大量高性能云桌面承载服务器，用于对现有资源池运算性能的整体提升。</w:t>
      </w:r>
    </w:p>
    <w:p>
      <w:pPr>
        <w:ind w:firstLine="562" w:firstLineChars="200"/>
        <w:rPr>
          <w:rFonts w:ascii="仿宋" w:hAnsi="仿宋" w:eastAsia="仿宋" w:cs="宋体"/>
          <w:kern w:val="0"/>
          <w:sz w:val="28"/>
          <w:szCs w:val="28"/>
        </w:rPr>
      </w:pPr>
      <w:r>
        <w:rPr>
          <w:rFonts w:ascii="仿宋" w:hAnsi="仿宋" w:eastAsia="仿宋" w:cs="宋体"/>
          <w:b/>
          <w:kern w:val="0"/>
          <w:sz w:val="28"/>
          <w:szCs w:val="28"/>
        </w:rPr>
        <w:t>软件建设：</w:t>
      </w:r>
      <w:r>
        <w:rPr>
          <w:rFonts w:ascii="仿宋" w:hAnsi="仿宋" w:eastAsia="仿宋" w:cs="宋体"/>
          <w:kern w:val="0"/>
          <w:sz w:val="28"/>
          <w:szCs w:val="28"/>
        </w:rPr>
        <w:t>在服务器机房部署云管理平台软件，采用混合云（VDI+VOI混合模式）技术，将实验室机房中所有学生电脑进行虚拟化构建，通过在学生终端搭载云桌面管理软件，云桌面系统，镜像模板创设，根据不同教学需求呈现多种不同教学场景，进而满足实验室内所有教学需求；同时每个教室建设一套多媒体教学管理软件，教师机能够管理控制所有学生机，可实现屏幕广播，收发作业，分组教学等操作。</w:t>
      </w:r>
      <w:r>
        <w:rPr>
          <w:rFonts w:hint="eastAsia" w:ascii="仿宋" w:hAnsi="仿宋" w:eastAsia="仿宋" w:cs="宋体"/>
          <w:kern w:val="0"/>
          <w:sz w:val="28"/>
          <w:szCs w:val="28"/>
        </w:rPr>
        <w:t>另外本次项目建设中要求对中心内所有的windows</w:t>
      </w:r>
      <w:r>
        <w:rPr>
          <w:rFonts w:ascii="仿宋" w:hAnsi="仿宋" w:eastAsia="仿宋" w:cs="宋体"/>
          <w:kern w:val="0"/>
          <w:sz w:val="28"/>
          <w:szCs w:val="28"/>
        </w:rPr>
        <w:t>7</w:t>
      </w:r>
      <w:r>
        <w:rPr>
          <w:rFonts w:hint="eastAsia" w:ascii="仿宋" w:hAnsi="仿宋" w:eastAsia="仿宋" w:cs="宋体"/>
          <w:kern w:val="0"/>
          <w:sz w:val="28"/>
          <w:szCs w:val="28"/>
        </w:rPr>
        <w:t>镜像模版升级到windows</w:t>
      </w:r>
      <w:r>
        <w:rPr>
          <w:rFonts w:ascii="仿宋" w:hAnsi="仿宋" w:eastAsia="仿宋" w:cs="宋体"/>
          <w:kern w:val="0"/>
          <w:sz w:val="28"/>
          <w:szCs w:val="28"/>
        </w:rPr>
        <w:t>10</w:t>
      </w:r>
      <w:r>
        <w:rPr>
          <w:rFonts w:hint="eastAsia" w:ascii="仿宋" w:hAnsi="仿宋" w:eastAsia="仿宋" w:cs="宋体"/>
          <w:kern w:val="0"/>
          <w:sz w:val="28"/>
          <w:szCs w:val="28"/>
        </w:rPr>
        <w:t>操作系统，原系统内的专业教学软件要求重新部署，确保所有教学软件能够在9月开学前正常运行。</w:t>
      </w:r>
    </w:p>
    <w:p>
      <w:pPr>
        <w:widowControl/>
        <w:spacing w:line="360" w:lineRule="auto"/>
        <w:ind w:firstLine="562" w:firstLineChars="200"/>
        <w:jc w:val="left"/>
        <w:rPr>
          <w:rFonts w:ascii="仿宋" w:hAnsi="仿宋" w:eastAsia="仿宋" w:cs="宋体"/>
          <w:kern w:val="0"/>
          <w:sz w:val="28"/>
          <w:szCs w:val="28"/>
        </w:rPr>
      </w:pPr>
      <w:r>
        <w:rPr>
          <w:rFonts w:ascii="仿宋" w:hAnsi="仿宋" w:eastAsia="仿宋" w:cs="宋体"/>
          <w:b/>
          <w:kern w:val="0"/>
          <w:sz w:val="28"/>
          <w:szCs w:val="28"/>
        </w:rPr>
        <w:t>环境建设：</w:t>
      </w:r>
      <w:r>
        <w:rPr>
          <w:rFonts w:hint="eastAsia" w:ascii="仿宋" w:hAnsi="仿宋" w:eastAsia="仿宋" w:cs="宋体"/>
          <w:kern w:val="0"/>
          <w:sz w:val="28"/>
          <w:szCs w:val="28"/>
        </w:rPr>
        <w:t>地面部署地毯，墙面翻新，软包处理满足教室内声学要求，同时对教室内所有的灯光系统进行改造，通过LED灯，黑板灯等灯光部署，形成明亮的教学环境。建设教室强弱电，满足教室内所有云终端设备的强弱电要求，每三个学生机再备用一个网络端，为后期设备维护提供支持。</w:t>
      </w:r>
    </w:p>
    <w:p>
      <w:pPr>
        <w:snapToGrid w:val="0"/>
        <w:spacing w:line="360" w:lineRule="auto"/>
        <w:rPr>
          <w:rFonts w:ascii="宋体" w:hAnsi="宋体" w:cs="宋体"/>
          <w:b/>
          <w:sz w:val="28"/>
          <w:szCs w:val="28"/>
        </w:rPr>
      </w:pPr>
      <w:r>
        <w:rPr>
          <w:rFonts w:hint="eastAsia" w:ascii="宋体" w:hAnsi="宋体" w:cs="宋体"/>
          <w:b/>
          <w:sz w:val="28"/>
          <w:szCs w:val="28"/>
        </w:rPr>
        <w:t>二、清单：</w:t>
      </w:r>
    </w:p>
    <w:tbl>
      <w:tblPr>
        <w:tblStyle w:val="59"/>
        <w:tblW w:w="836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7"/>
        <w:gridCol w:w="4727"/>
        <w:gridCol w:w="113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noWrap/>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序号</w:t>
            </w:r>
          </w:p>
        </w:tc>
        <w:tc>
          <w:tcPr>
            <w:tcW w:w="4727" w:type="dxa"/>
            <w:noWrap w:val="0"/>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sz w:val="28"/>
                <w:szCs w:val="28"/>
              </w:rPr>
              <w:t>设备名称</w:t>
            </w:r>
          </w:p>
        </w:tc>
        <w:tc>
          <w:tcPr>
            <w:tcW w:w="1135" w:type="dxa"/>
            <w:noWrap w:val="0"/>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sz w:val="28"/>
                <w:szCs w:val="28"/>
              </w:rPr>
              <w:t>数量</w:t>
            </w:r>
          </w:p>
        </w:tc>
        <w:tc>
          <w:tcPr>
            <w:tcW w:w="1275" w:type="dxa"/>
            <w:noWrap w:val="0"/>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4727"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教师机（强制节能产品）</w:t>
            </w:r>
          </w:p>
        </w:tc>
        <w:tc>
          <w:tcPr>
            <w:tcW w:w="113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p>
        </w:tc>
        <w:tc>
          <w:tcPr>
            <w:tcW w:w="127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p>
        </w:tc>
        <w:tc>
          <w:tcPr>
            <w:tcW w:w="4727"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学生机（强制节能产品）</w:t>
            </w:r>
          </w:p>
        </w:tc>
        <w:tc>
          <w:tcPr>
            <w:tcW w:w="113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81</w:t>
            </w:r>
          </w:p>
        </w:tc>
        <w:tc>
          <w:tcPr>
            <w:tcW w:w="127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noWrap/>
            <w:vAlign w:val="center"/>
          </w:tcPr>
          <w:p>
            <w:pPr>
              <w:widowControl/>
              <w:jc w:val="center"/>
              <w:rPr>
                <w:rFonts w:ascii="仿宋" w:hAnsi="仿宋" w:eastAsia="仿宋" w:cs="宋体"/>
                <w:color w:val="000000"/>
                <w:kern w:val="0"/>
                <w:sz w:val="28"/>
                <w:szCs w:val="28"/>
              </w:rPr>
            </w:pPr>
            <w:r>
              <w:rPr>
                <w:rFonts w:ascii="仿宋" w:hAnsi="仿宋" w:eastAsia="仿宋" w:cs="宋体"/>
                <w:color w:val="000000"/>
                <w:kern w:val="0"/>
                <w:sz w:val="28"/>
                <w:szCs w:val="28"/>
              </w:rPr>
              <w:t>3</w:t>
            </w:r>
          </w:p>
        </w:tc>
        <w:tc>
          <w:tcPr>
            <w:tcW w:w="4727"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云终端</w:t>
            </w:r>
          </w:p>
        </w:tc>
        <w:tc>
          <w:tcPr>
            <w:tcW w:w="113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268</w:t>
            </w:r>
          </w:p>
        </w:tc>
        <w:tc>
          <w:tcPr>
            <w:tcW w:w="127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noWrap/>
            <w:vAlign w:val="center"/>
          </w:tcPr>
          <w:p>
            <w:pPr>
              <w:widowControl/>
              <w:jc w:val="center"/>
              <w:rPr>
                <w:rFonts w:ascii="仿宋" w:hAnsi="仿宋" w:eastAsia="仿宋" w:cs="宋体"/>
                <w:color w:val="000000"/>
                <w:kern w:val="0"/>
                <w:sz w:val="28"/>
                <w:szCs w:val="28"/>
              </w:rPr>
            </w:pPr>
            <w:r>
              <w:rPr>
                <w:rFonts w:ascii="仿宋" w:hAnsi="仿宋" w:eastAsia="仿宋" w:cs="宋体"/>
                <w:color w:val="000000"/>
                <w:kern w:val="0"/>
                <w:sz w:val="28"/>
                <w:szCs w:val="28"/>
              </w:rPr>
              <w:t>4</w:t>
            </w:r>
          </w:p>
        </w:tc>
        <w:tc>
          <w:tcPr>
            <w:tcW w:w="4727"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云桌面承载服务器（含模块两对）</w:t>
            </w:r>
          </w:p>
        </w:tc>
        <w:tc>
          <w:tcPr>
            <w:tcW w:w="113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10</w:t>
            </w:r>
          </w:p>
        </w:tc>
        <w:tc>
          <w:tcPr>
            <w:tcW w:w="127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noWrap/>
            <w:vAlign w:val="center"/>
          </w:tcPr>
          <w:p>
            <w:pPr>
              <w:widowControl/>
              <w:jc w:val="center"/>
              <w:rPr>
                <w:rFonts w:ascii="仿宋" w:hAnsi="仿宋" w:eastAsia="仿宋" w:cs="宋体"/>
                <w:color w:val="000000"/>
                <w:kern w:val="0"/>
                <w:sz w:val="28"/>
                <w:szCs w:val="28"/>
              </w:rPr>
            </w:pPr>
            <w:r>
              <w:rPr>
                <w:rFonts w:ascii="仿宋" w:hAnsi="仿宋" w:eastAsia="仿宋" w:cs="宋体"/>
                <w:color w:val="000000"/>
                <w:kern w:val="0"/>
                <w:sz w:val="28"/>
                <w:szCs w:val="28"/>
              </w:rPr>
              <w:t>5</w:t>
            </w:r>
          </w:p>
        </w:tc>
        <w:tc>
          <w:tcPr>
            <w:tcW w:w="4727"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光纤交换机</w:t>
            </w:r>
          </w:p>
        </w:tc>
        <w:tc>
          <w:tcPr>
            <w:tcW w:w="113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127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noWrap/>
            <w:vAlign w:val="center"/>
          </w:tcPr>
          <w:p>
            <w:pPr>
              <w:widowControl/>
              <w:jc w:val="center"/>
              <w:rPr>
                <w:rFonts w:ascii="仿宋" w:hAnsi="仿宋" w:eastAsia="仿宋" w:cs="宋体"/>
                <w:color w:val="000000"/>
                <w:kern w:val="0"/>
                <w:sz w:val="28"/>
                <w:szCs w:val="28"/>
              </w:rPr>
            </w:pPr>
            <w:r>
              <w:rPr>
                <w:rFonts w:ascii="仿宋" w:hAnsi="仿宋" w:eastAsia="仿宋" w:cs="宋体"/>
                <w:color w:val="000000"/>
                <w:kern w:val="0"/>
                <w:sz w:val="28"/>
                <w:szCs w:val="28"/>
              </w:rPr>
              <w:t>6</w:t>
            </w:r>
          </w:p>
        </w:tc>
        <w:tc>
          <w:tcPr>
            <w:tcW w:w="4727"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激光工程投影仪</w:t>
            </w:r>
          </w:p>
        </w:tc>
        <w:tc>
          <w:tcPr>
            <w:tcW w:w="113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p>
        </w:tc>
        <w:tc>
          <w:tcPr>
            <w:tcW w:w="127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noWrap/>
            <w:vAlign w:val="center"/>
          </w:tcPr>
          <w:p>
            <w:pPr>
              <w:widowControl/>
              <w:jc w:val="center"/>
              <w:rPr>
                <w:rFonts w:ascii="仿宋" w:hAnsi="仿宋" w:eastAsia="仿宋" w:cs="宋体"/>
                <w:color w:val="000000"/>
                <w:kern w:val="0"/>
                <w:sz w:val="28"/>
                <w:szCs w:val="28"/>
              </w:rPr>
            </w:pPr>
            <w:r>
              <w:rPr>
                <w:rFonts w:ascii="仿宋" w:hAnsi="仿宋" w:eastAsia="仿宋" w:cs="宋体"/>
                <w:color w:val="000000"/>
                <w:kern w:val="0"/>
                <w:sz w:val="28"/>
                <w:szCs w:val="28"/>
              </w:rPr>
              <w:t>7</w:t>
            </w:r>
          </w:p>
        </w:tc>
        <w:tc>
          <w:tcPr>
            <w:tcW w:w="4727"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画框幕布</w:t>
            </w:r>
          </w:p>
        </w:tc>
        <w:tc>
          <w:tcPr>
            <w:tcW w:w="113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p>
        </w:tc>
        <w:tc>
          <w:tcPr>
            <w:tcW w:w="127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noWrap/>
            <w:vAlign w:val="center"/>
          </w:tcPr>
          <w:p>
            <w:pPr>
              <w:widowControl/>
              <w:jc w:val="center"/>
              <w:rPr>
                <w:rFonts w:ascii="仿宋" w:hAnsi="仿宋" w:eastAsia="仿宋" w:cs="宋体"/>
                <w:color w:val="000000"/>
                <w:kern w:val="0"/>
                <w:sz w:val="28"/>
                <w:szCs w:val="28"/>
              </w:rPr>
            </w:pPr>
            <w:r>
              <w:rPr>
                <w:rFonts w:ascii="仿宋" w:hAnsi="仿宋" w:eastAsia="仿宋" w:cs="宋体"/>
                <w:color w:val="000000"/>
                <w:kern w:val="0"/>
                <w:sz w:val="28"/>
                <w:szCs w:val="28"/>
              </w:rPr>
              <w:t>8</w:t>
            </w:r>
          </w:p>
        </w:tc>
        <w:tc>
          <w:tcPr>
            <w:tcW w:w="4727"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100寸触摸大屏</w:t>
            </w:r>
          </w:p>
        </w:tc>
        <w:tc>
          <w:tcPr>
            <w:tcW w:w="113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127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noWrap/>
            <w:vAlign w:val="center"/>
          </w:tcPr>
          <w:p>
            <w:pPr>
              <w:widowControl/>
              <w:jc w:val="center"/>
              <w:rPr>
                <w:rFonts w:ascii="仿宋" w:hAnsi="仿宋" w:eastAsia="仿宋" w:cs="宋体"/>
                <w:color w:val="000000"/>
                <w:kern w:val="0"/>
                <w:sz w:val="28"/>
                <w:szCs w:val="28"/>
              </w:rPr>
            </w:pPr>
            <w:r>
              <w:rPr>
                <w:rFonts w:ascii="仿宋" w:hAnsi="仿宋" w:eastAsia="仿宋" w:cs="宋体"/>
                <w:color w:val="000000"/>
                <w:kern w:val="0"/>
                <w:sz w:val="28"/>
                <w:szCs w:val="28"/>
              </w:rPr>
              <w:t>9</w:t>
            </w:r>
          </w:p>
        </w:tc>
        <w:tc>
          <w:tcPr>
            <w:tcW w:w="4727"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55寸电视含支架</w:t>
            </w:r>
          </w:p>
        </w:tc>
        <w:tc>
          <w:tcPr>
            <w:tcW w:w="113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p>
        </w:tc>
        <w:tc>
          <w:tcPr>
            <w:tcW w:w="127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noWrap/>
            <w:vAlign w:val="center"/>
          </w:tcPr>
          <w:p>
            <w:pPr>
              <w:widowControl/>
              <w:jc w:val="center"/>
              <w:rPr>
                <w:rFonts w:ascii="仿宋" w:hAnsi="仿宋" w:eastAsia="仿宋" w:cs="宋体"/>
                <w:color w:val="000000"/>
                <w:kern w:val="0"/>
                <w:sz w:val="28"/>
                <w:szCs w:val="28"/>
              </w:rPr>
            </w:pPr>
            <w:r>
              <w:rPr>
                <w:rFonts w:ascii="仿宋" w:hAnsi="仿宋" w:eastAsia="仿宋" w:cs="宋体"/>
                <w:color w:val="000000"/>
                <w:kern w:val="0"/>
                <w:sz w:val="28"/>
                <w:szCs w:val="28"/>
              </w:rPr>
              <w:t>10</w:t>
            </w:r>
          </w:p>
        </w:tc>
        <w:tc>
          <w:tcPr>
            <w:tcW w:w="4727"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白板</w:t>
            </w:r>
          </w:p>
        </w:tc>
        <w:tc>
          <w:tcPr>
            <w:tcW w:w="113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127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noWrap/>
            <w:vAlign w:val="center"/>
          </w:tcPr>
          <w:p>
            <w:pPr>
              <w:widowControl/>
              <w:jc w:val="center"/>
              <w:rPr>
                <w:rFonts w:ascii="仿宋" w:hAnsi="仿宋" w:eastAsia="仿宋" w:cs="宋体"/>
                <w:color w:val="000000"/>
                <w:kern w:val="0"/>
                <w:sz w:val="28"/>
                <w:szCs w:val="28"/>
              </w:rPr>
            </w:pPr>
            <w:r>
              <w:rPr>
                <w:rFonts w:ascii="仿宋" w:hAnsi="仿宋" w:eastAsia="仿宋" w:cs="宋体"/>
                <w:color w:val="000000"/>
                <w:kern w:val="0"/>
                <w:sz w:val="28"/>
                <w:szCs w:val="28"/>
              </w:rPr>
              <w:t>11</w:t>
            </w:r>
          </w:p>
        </w:tc>
        <w:tc>
          <w:tcPr>
            <w:tcW w:w="4727"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接入交换机</w:t>
            </w:r>
          </w:p>
        </w:tc>
        <w:tc>
          <w:tcPr>
            <w:tcW w:w="113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6</w:t>
            </w:r>
          </w:p>
        </w:tc>
        <w:tc>
          <w:tcPr>
            <w:tcW w:w="127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noWrap/>
            <w:vAlign w:val="center"/>
          </w:tcPr>
          <w:p>
            <w:pPr>
              <w:widowControl/>
              <w:jc w:val="center"/>
              <w:rPr>
                <w:rFonts w:ascii="仿宋" w:hAnsi="仿宋" w:eastAsia="仿宋" w:cs="宋体"/>
                <w:color w:val="000000"/>
                <w:kern w:val="0"/>
                <w:sz w:val="28"/>
                <w:szCs w:val="28"/>
              </w:rPr>
            </w:pPr>
            <w:r>
              <w:rPr>
                <w:rFonts w:ascii="仿宋" w:hAnsi="仿宋" w:eastAsia="仿宋" w:cs="宋体"/>
                <w:color w:val="000000"/>
                <w:kern w:val="0"/>
                <w:sz w:val="28"/>
                <w:szCs w:val="28"/>
              </w:rPr>
              <w:t>12</w:t>
            </w:r>
          </w:p>
        </w:tc>
        <w:tc>
          <w:tcPr>
            <w:tcW w:w="4727"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云桌面软件</w:t>
            </w:r>
          </w:p>
        </w:tc>
        <w:tc>
          <w:tcPr>
            <w:tcW w:w="113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349</w:t>
            </w:r>
          </w:p>
        </w:tc>
        <w:tc>
          <w:tcPr>
            <w:tcW w:w="127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ascii="仿宋" w:hAnsi="仿宋" w:eastAsia="仿宋" w:cs="宋体"/>
                <w:color w:val="000000"/>
                <w:kern w:val="0"/>
                <w:sz w:val="28"/>
                <w:szCs w:val="28"/>
              </w:rPr>
              <w:t>3</w:t>
            </w:r>
          </w:p>
        </w:tc>
        <w:tc>
          <w:tcPr>
            <w:tcW w:w="4727"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数字无线教学功放</w:t>
            </w:r>
          </w:p>
        </w:tc>
        <w:tc>
          <w:tcPr>
            <w:tcW w:w="113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3</w:t>
            </w:r>
          </w:p>
        </w:tc>
        <w:tc>
          <w:tcPr>
            <w:tcW w:w="127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noWrap/>
            <w:vAlign w:val="center"/>
          </w:tcPr>
          <w:p>
            <w:pPr>
              <w:widowControl/>
              <w:jc w:val="center"/>
              <w:rPr>
                <w:rFonts w:ascii="仿宋" w:hAnsi="仿宋" w:eastAsia="仿宋" w:cs="宋体"/>
                <w:color w:val="000000"/>
                <w:kern w:val="0"/>
                <w:sz w:val="28"/>
                <w:szCs w:val="28"/>
              </w:rPr>
            </w:pPr>
            <w:r>
              <w:rPr>
                <w:rFonts w:ascii="仿宋" w:hAnsi="仿宋" w:eastAsia="仿宋" w:cs="宋体"/>
                <w:color w:val="000000"/>
                <w:kern w:val="0"/>
                <w:sz w:val="28"/>
                <w:szCs w:val="28"/>
              </w:rPr>
              <w:t>14</w:t>
            </w:r>
          </w:p>
        </w:tc>
        <w:tc>
          <w:tcPr>
            <w:tcW w:w="4727"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无线话筒（一拖二）</w:t>
            </w:r>
          </w:p>
        </w:tc>
        <w:tc>
          <w:tcPr>
            <w:tcW w:w="113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3</w:t>
            </w:r>
          </w:p>
        </w:tc>
        <w:tc>
          <w:tcPr>
            <w:tcW w:w="127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noWrap/>
            <w:vAlign w:val="center"/>
          </w:tcPr>
          <w:p>
            <w:pPr>
              <w:widowControl/>
              <w:jc w:val="center"/>
              <w:rPr>
                <w:rFonts w:ascii="仿宋" w:hAnsi="仿宋" w:eastAsia="仿宋" w:cs="宋体"/>
                <w:color w:val="000000"/>
                <w:kern w:val="0"/>
                <w:sz w:val="28"/>
                <w:szCs w:val="28"/>
              </w:rPr>
            </w:pPr>
            <w:r>
              <w:rPr>
                <w:rFonts w:ascii="仿宋" w:hAnsi="仿宋" w:eastAsia="仿宋" w:cs="宋体"/>
                <w:color w:val="000000"/>
                <w:kern w:val="0"/>
                <w:sz w:val="28"/>
                <w:szCs w:val="28"/>
              </w:rPr>
              <w:t>15</w:t>
            </w:r>
          </w:p>
        </w:tc>
        <w:tc>
          <w:tcPr>
            <w:tcW w:w="4727"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鹅颈有线话筒</w:t>
            </w:r>
          </w:p>
        </w:tc>
        <w:tc>
          <w:tcPr>
            <w:tcW w:w="113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3</w:t>
            </w:r>
          </w:p>
        </w:tc>
        <w:tc>
          <w:tcPr>
            <w:tcW w:w="127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noWrap/>
            <w:vAlign w:val="center"/>
          </w:tcPr>
          <w:p>
            <w:pPr>
              <w:widowControl/>
              <w:jc w:val="center"/>
              <w:rPr>
                <w:rFonts w:ascii="仿宋" w:hAnsi="仿宋" w:eastAsia="仿宋" w:cs="宋体"/>
                <w:color w:val="000000"/>
                <w:kern w:val="0"/>
                <w:sz w:val="28"/>
                <w:szCs w:val="28"/>
              </w:rPr>
            </w:pPr>
            <w:r>
              <w:rPr>
                <w:rFonts w:ascii="仿宋" w:hAnsi="仿宋" w:eastAsia="仿宋" w:cs="宋体"/>
                <w:color w:val="000000"/>
                <w:kern w:val="0"/>
                <w:sz w:val="28"/>
                <w:szCs w:val="28"/>
              </w:rPr>
              <w:t>16</w:t>
            </w:r>
          </w:p>
        </w:tc>
        <w:tc>
          <w:tcPr>
            <w:tcW w:w="4727"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电子教室软件</w:t>
            </w:r>
          </w:p>
        </w:tc>
        <w:tc>
          <w:tcPr>
            <w:tcW w:w="113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3</w:t>
            </w:r>
          </w:p>
        </w:tc>
        <w:tc>
          <w:tcPr>
            <w:tcW w:w="127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noWrap/>
            <w:vAlign w:val="center"/>
          </w:tcPr>
          <w:p>
            <w:pPr>
              <w:widowControl/>
              <w:jc w:val="center"/>
              <w:rPr>
                <w:rFonts w:ascii="仿宋" w:hAnsi="仿宋" w:eastAsia="仿宋" w:cs="宋体"/>
                <w:color w:val="000000"/>
                <w:kern w:val="0"/>
                <w:sz w:val="28"/>
                <w:szCs w:val="28"/>
              </w:rPr>
            </w:pPr>
            <w:r>
              <w:rPr>
                <w:rFonts w:ascii="仿宋" w:hAnsi="仿宋" w:eastAsia="仿宋" w:cs="宋体"/>
                <w:color w:val="000000"/>
                <w:kern w:val="0"/>
                <w:sz w:val="28"/>
                <w:szCs w:val="28"/>
              </w:rPr>
              <w:t>17</w:t>
            </w:r>
          </w:p>
        </w:tc>
        <w:tc>
          <w:tcPr>
            <w:tcW w:w="4727"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音箱</w:t>
            </w:r>
          </w:p>
        </w:tc>
        <w:tc>
          <w:tcPr>
            <w:tcW w:w="113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4</w:t>
            </w:r>
          </w:p>
        </w:tc>
        <w:tc>
          <w:tcPr>
            <w:tcW w:w="127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noWrap/>
            <w:vAlign w:val="center"/>
          </w:tcPr>
          <w:p>
            <w:pPr>
              <w:widowControl/>
              <w:jc w:val="center"/>
              <w:rPr>
                <w:rFonts w:ascii="仿宋" w:hAnsi="仿宋" w:eastAsia="仿宋" w:cs="宋体"/>
                <w:color w:val="000000"/>
                <w:kern w:val="0"/>
                <w:sz w:val="28"/>
                <w:szCs w:val="28"/>
              </w:rPr>
            </w:pPr>
            <w:r>
              <w:rPr>
                <w:rFonts w:ascii="仿宋" w:hAnsi="仿宋" w:eastAsia="仿宋" w:cs="宋体"/>
                <w:color w:val="000000"/>
                <w:kern w:val="0"/>
                <w:sz w:val="28"/>
                <w:szCs w:val="28"/>
              </w:rPr>
              <w:t>18</w:t>
            </w:r>
          </w:p>
        </w:tc>
        <w:tc>
          <w:tcPr>
            <w:tcW w:w="4727"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中控</w:t>
            </w:r>
          </w:p>
        </w:tc>
        <w:tc>
          <w:tcPr>
            <w:tcW w:w="113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3</w:t>
            </w:r>
          </w:p>
        </w:tc>
        <w:tc>
          <w:tcPr>
            <w:tcW w:w="127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noWrap/>
            <w:vAlign w:val="center"/>
          </w:tcPr>
          <w:p>
            <w:pPr>
              <w:widowControl/>
              <w:jc w:val="center"/>
              <w:rPr>
                <w:rFonts w:ascii="仿宋" w:hAnsi="仿宋" w:eastAsia="仿宋" w:cs="宋体"/>
                <w:color w:val="000000"/>
                <w:kern w:val="0"/>
                <w:sz w:val="28"/>
                <w:szCs w:val="28"/>
              </w:rPr>
            </w:pPr>
            <w:r>
              <w:rPr>
                <w:rFonts w:ascii="仿宋" w:hAnsi="仿宋" w:eastAsia="仿宋" w:cs="宋体"/>
                <w:color w:val="000000"/>
                <w:kern w:val="0"/>
                <w:sz w:val="28"/>
                <w:szCs w:val="28"/>
              </w:rPr>
              <w:t>19</w:t>
            </w:r>
          </w:p>
        </w:tc>
        <w:tc>
          <w:tcPr>
            <w:tcW w:w="4727"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学生桌椅</w:t>
            </w:r>
          </w:p>
        </w:tc>
        <w:tc>
          <w:tcPr>
            <w:tcW w:w="113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349</w:t>
            </w:r>
          </w:p>
        </w:tc>
        <w:tc>
          <w:tcPr>
            <w:tcW w:w="127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noWrap/>
            <w:vAlign w:val="center"/>
          </w:tcPr>
          <w:p>
            <w:pPr>
              <w:widowControl/>
              <w:jc w:val="center"/>
              <w:rPr>
                <w:rFonts w:ascii="仿宋" w:hAnsi="仿宋" w:eastAsia="仿宋" w:cs="宋体"/>
                <w:color w:val="000000"/>
                <w:kern w:val="0"/>
                <w:sz w:val="28"/>
                <w:szCs w:val="28"/>
              </w:rPr>
            </w:pPr>
            <w:r>
              <w:rPr>
                <w:rFonts w:ascii="仿宋" w:hAnsi="仿宋" w:eastAsia="仿宋" w:cs="宋体"/>
                <w:color w:val="000000"/>
                <w:kern w:val="0"/>
                <w:sz w:val="28"/>
                <w:szCs w:val="28"/>
              </w:rPr>
              <w:t>20</w:t>
            </w:r>
          </w:p>
        </w:tc>
        <w:tc>
          <w:tcPr>
            <w:tcW w:w="4727"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教师机讲台及教师用椅</w:t>
            </w:r>
          </w:p>
        </w:tc>
        <w:tc>
          <w:tcPr>
            <w:tcW w:w="113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3</w:t>
            </w:r>
          </w:p>
        </w:tc>
        <w:tc>
          <w:tcPr>
            <w:tcW w:w="127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noWrap/>
            <w:vAlign w:val="center"/>
          </w:tcPr>
          <w:p>
            <w:pPr>
              <w:widowControl/>
              <w:jc w:val="center"/>
              <w:rPr>
                <w:rFonts w:ascii="仿宋" w:hAnsi="仿宋" w:eastAsia="仿宋" w:cs="宋体"/>
                <w:color w:val="000000"/>
                <w:kern w:val="0"/>
                <w:sz w:val="28"/>
                <w:szCs w:val="28"/>
              </w:rPr>
            </w:pPr>
            <w:r>
              <w:rPr>
                <w:rFonts w:ascii="仿宋" w:hAnsi="仿宋" w:eastAsia="仿宋" w:cs="宋体"/>
                <w:color w:val="000000"/>
                <w:kern w:val="0"/>
                <w:sz w:val="28"/>
                <w:szCs w:val="28"/>
              </w:rPr>
              <w:t>21</w:t>
            </w:r>
          </w:p>
        </w:tc>
        <w:tc>
          <w:tcPr>
            <w:tcW w:w="4727"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综合布线（套）</w:t>
            </w:r>
          </w:p>
        </w:tc>
        <w:tc>
          <w:tcPr>
            <w:tcW w:w="113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127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noWrap/>
            <w:vAlign w:val="center"/>
          </w:tcPr>
          <w:p>
            <w:pPr>
              <w:widowControl/>
              <w:jc w:val="center"/>
              <w:rPr>
                <w:rFonts w:ascii="仿宋" w:hAnsi="仿宋" w:eastAsia="仿宋" w:cs="宋体"/>
                <w:color w:val="000000"/>
                <w:kern w:val="0"/>
                <w:sz w:val="28"/>
                <w:szCs w:val="28"/>
              </w:rPr>
            </w:pPr>
            <w:r>
              <w:rPr>
                <w:rFonts w:ascii="仿宋" w:hAnsi="仿宋" w:eastAsia="仿宋" w:cs="宋体"/>
                <w:color w:val="000000"/>
                <w:kern w:val="0"/>
                <w:sz w:val="28"/>
                <w:szCs w:val="28"/>
              </w:rPr>
              <w:t>22</w:t>
            </w:r>
          </w:p>
        </w:tc>
        <w:tc>
          <w:tcPr>
            <w:tcW w:w="4727"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81座实验室环境改造费</w:t>
            </w:r>
          </w:p>
        </w:tc>
        <w:tc>
          <w:tcPr>
            <w:tcW w:w="113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127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noWrap/>
            <w:vAlign w:val="center"/>
          </w:tcPr>
          <w:p>
            <w:pPr>
              <w:widowControl/>
              <w:jc w:val="center"/>
              <w:rPr>
                <w:rFonts w:ascii="仿宋" w:hAnsi="仿宋" w:eastAsia="仿宋" w:cs="宋体"/>
                <w:color w:val="000000"/>
                <w:kern w:val="0"/>
                <w:sz w:val="28"/>
                <w:szCs w:val="28"/>
              </w:rPr>
            </w:pPr>
            <w:r>
              <w:rPr>
                <w:rFonts w:ascii="仿宋" w:hAnsi="仿宋" w:eastAsia="仿宋" w:cs="宋体"/>
                <w:color w:val="000000"/>
                <w:kern w:val="0"/>
                <w:sz w:val="28"/>
                <w:szCs w:val="28"/>
              </w:rPr>
              <w:t>23</w:t>
            </w:r>
          </w:p>
        </w:tc>
        <w:tc>
          <w:tcPr>
            <w:tcW w:w="4727"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108座实验室环境改造费</w:t>
            </w:r>
          </w:p>
        </w:tc>
        <w:tc>
          <w:tcPr>
            <w:tcW w:w="1135" w:type="dxa"/>
            <w:noWrap w:val="0"/>
            <w:vAlign w:val="center"/>
          </w:tcPr>
          <w:p>
            <w:pPr>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127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noWrap/>
            <w:vAlign w:val="center"/>
          </w:tcPr>
          <w:p>
            <w:pPr>
              <w:widowControl/>
              <w:jc w:val="center"/>
              <w:rPr>
                <w:rFonts w:ascii="仿宋" w:hAnsi="仿宋" w:eastAsia="仿宋" w:cs="宋体"/>
                <w:color w:val="000000"/>
                <w:kern w:val="0"/>
                <w:sz w:val="28"/>
                <w:szCs w:val="28"/>
              </w:rPr>
            </w:pPr>
            <w:r>
              <w:rPr>
                <w:rFonts w:ascii="仿宋" w:hAnsi="仿宋" w:eastAsia="仿宋" w:cs="宋体"/>
                <w:color w:val="000000"/>
                <w:kern w:val="0"/>
                <w:sz w:val="28"/>
                <w:szCs w:val="28"/>
              </w:rPr>
              <w:t>24</w:t>
            </w:r>
          </w:p>
        </w:tc>
        <w:tc>
          <w:tcPr>
            <w:tcW w:w="4727"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160座实验室环境改造费</w:t>
            </w:r>
          </w:p>
        </w:tc>
        <w:tc>
          <w:tcPr>
            <w:tcW w:w="113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1275" w:type="dxa"/>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批</w:t>
            </w:r>
          </w:p>
        </w:tc>
      </w:tr>
    </w:tbl>
    <w:p>
      <w:pPr>
        <w:spacing w:line="360" w:lineRule="auto"/>
        <w:rPr>
          <w:rFonts w:hint="eastAsia" w:ascii="宋体" w:hAnsi="宋体" w:cs="宋体"/>
          <w:b/>
          <w:sz w:val="28"/>
          <w:szCs w:val="28"/>
        </w:rPr>
      </w:pPr>
    </w:p>
    <w:p>
      <w:pPr>
        <w:spacing w:line="360" w:lineRule="auto"/>
        <w:rPr>
          <w:rFonts w:ascii="宋体" w:hAnsi="宋体" w:cs="宋体"/>
          <w:b/>
          <w:sz w:val="28"/>
          <w:szCs w:val="28"/>
        </w:rPr>
      </w:pPr>
      <w:r>
        <w:rPr>
          <w:rFonts w:hint="eastAsia" w:ascii="宋体" w:hAnsi="宋体" w:cs="宋体"/>
          <w:b/>
          <w:sz w:val="28"/>
          <w:szCs w:val="28"/>
        </w:rPr>
        <w:t>三、技术配置表：</w:t>
      </w:r>
    </w:p>
    <w:tbl>
      <w:tblPr>
        <w:tblStyle w:val="59"/>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063"/>
        <w:gridCol w:w="6313"/>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b/>
                <w:bCs/>
                <w:kern w:val="0"/>
                <w:sz w:val="20"/>
              </w:rPr>
            </w:pPr>
            <w:r>
              <w:rPr>
                <w:rFonts w:hint="eastAsia" w:ascii="微软雅黑" w:hAnsi="微软雅黑" w:eastAsia="微软雅黑" w:cs="宋体"/>
                <w:b/>
                <w:bCs/>
                <w:color w:val="000000"/>
                <w:kern w:val="0"/>
                <w:sz w:val="20"/>
              </w:rPr>
              <w:t>序号</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b/>
                <w:bCs/>
                <w:kern w:val="0"/>
                <w:sz w:val="20"/>
              </w:rPr>
            </w:pPr>
            <w:r>
              <w:rPr>
                <w:rFonts w:hint="eastAsia" w:ascii="微软雅黑" w:hAnsi="微软雅黑" w:eastAsia="微软雅黑" w:cs="宋体"/>
                <w:b/>
                <w:bCs/>
                <w:kern w:val="0"/>
                <w:sz w:val="20"/>
              </w:rPr>
              <w:t>设备名称</w:t>
            </w:r>
          </w:p>
        </w:tc>
        <w:tc>
          <w:tcPr>
            <w:tcW w:w="631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b/>
                <w:bCs/>
                <w:kern w:val="0"/>
                <w:sz w:val="20"/>
              </w:rPr>
            </w:pPr>
            <w:r>
              <w:rPr>
                <w:rFonts w:hint="eastAsia" w:ascii="微软雅黑" w:hAnsi="微软雅黑" w:eastAsia="微软雅黑" w:cs="宋体"/>
                <w:b/>
                <w:bCs/>
                <w:kern w:val="0"/>
                <w:sz w:val="20"/>
              </w:rPr>
              <w:t>参数</w:t>
            </w:r>
          </w:p>
        </w:tc>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b/>
                <w:bCs/>
                <w:kern w:val="0"/>
                <w:sz w:val="20"/>
              </w:rPr>
            </w:pPr>
            <w:r>
              <w:rPr>
                <w:rFonts w:hint="eastAsia" w:ascii="微软雅黑" w:hAnsi="微软雅黑" w:eastAsia="微软雅黑" w:cs="宋体"/>
                <w:b/>
                <w:bCs/>
                <w:kern w:val="0"/>
                <w:sz w:val="2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hint="eastAsia" w:ascii="微软雅黑" w:hAnsi="微软雅黑" w:eastAsia="微软雅黑" w:cs="宋体"/>
                <w:color w:val="000000"/>
                <w:kern w:val="0"/>
                <w:sz w:val="20"/>
              </w:rPr>
              <w:t>1</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hint="eastAsia" w:ascii="微软雅黑" w:hAnsi="微软雅黑" w:eastAsia="微软雅黑" w:cs="宋体"/>
                <w:kern w:val="0"/>
                <w:sz w:val="20"/>
              </w:rPr>
              <w:t>教师机</w:t>
            </w:r>
            <w:r>
              <w:rPr>
                <w:rFonts w:hint="eastAsia" w:ascii="微软雅黑" w:hAnsi="微软雅黑" w:eastAsia="微软雅黑" w:cs="宋体"/>
                <w:color w:val="000000"/>
                <w:kern w:val="0"/>
                <w:sz w:val="20"/>
              </w:rPr>
              <w:t>（强制节能产品）</w:t>
            </w:r>
          </w:p>
        </w:tc>
        <w:tc>
          <w:tcPr>
            <w:tcW w:w="6313" w:type="dxa"/>
            <w:tcBorders>
              <w:top w:val="single" w:color="auto" w:sz="4" w:space="0"/>
              <w:left w:val="single" w:color="auto" w:sz="4" w:space="0"/>
              <w:bottom w:val="single" w:color="auto" w:sz="4" w:space="0"/>
              <w:right w:val="single" w:color="auto" w:sz="4" w:space="0"/>
            </w:tcBorders>
            <w:noWrap w:val="0"/>
            <w:vAlign w:val="center"/>
          </w:tcPr>
          <w:p>
            <w:pPr>
              <w:jc w:val="left"/>
              <w:rPr>
                <w:rFonts w:ascii="微软雅黑" w:hAnsi="微软雅黑" w:eastAsia="微软雅黑" w:cs="宋体"/>
                <w:kern w:val="0"/>
                <w:sz w:val="20"/>
              </w:rPr>
            </w:pPr>
            <w:r>
              <w:rPr>
                <w:rFonts w:hint="eastAsia" w:ascii="微软雅黑" w:hAnsi="微软雅黑" w:eastAsia="微软雅黑" w:cs="宋体"/>
                <w:kern w:val="0"/>
                <w:sz w:val="20"/>
              </w:rPr>
              <w:t>处理器：Intel i5 1</w:t>
            </w:r>
            <w:r>
              <w:rPr>
                <w:rFonts w:ascii="微软雅黑" w:hAnsi="微软雅黑" w:eastAsia="微软雅黑" w:cs="宋体"/>
                <w:kern w:val="0"/>
                <w:sz w:val="20"/>
              </w:rPr>
              <w:t>2</w:t>
            </w:r>
            <w:r>
              <w:rPr>
                <w:rFonts w:hint="eastAsia" w:ascii="微软雅黑" w:hAnsi="微软雅黑" w:eastAsia="微软雅黑" w:cs="宋体"/>
                <w:kern w:val="0"/>
                <w:sz w:val="20"/>
              </w:rPr>
              <w:t>代处理器以上</w:t>
            </w:r>
          </w:p>
          <w:p>
            <w:pPr>
              <w:jc w:val="left"/>
              <w:rPr>
                <w:rFonts w:ascii="微软雅黑" w:hAnsi="微软雅黑" w:eastAsia="微软雅黑" w:cs="宋体"/>
                <w:kern w:val="0"/>
                <w:sz w:val="20"/>
              </w:rPr>
            </w:pPr>
            <w:r>
              <w:rPr>
                <w:rFonts w:hint="eastAsia" w:ascii="微软雅黑" w:hAnsi="微软雅黑" w:eastAsia="微软雅黑" w:cs="宋体"/>
                <w:kern w:val="0"/>
                <w:sz w:val="20"/>
              </w:rPr>
              <w:t>显卡：不低于Intel® UHD Graphics 730集成显卡；</w:t>
            </w:r>
          </w:p>
          <w:p>
            <w:pPr>
              <w:jc w:val="left"/>
              <w:rPr>
                <w:rFonts w:ascii="微软雅黑" w:hAnsi="微软雅黑" w:eastAsia="微软雅黑" w:cs="宋体"/>
                <w:kern w:val="0"/>
                <w:sz w:val="20"/>
              </w:rPr>
            </w:pPr>
            <w:r>
              <w:rPr>
                <w:rFonts w:hint="eastAsia" w:ascii="微软雅黑" w:hAnsi="微软雅黑" w:eastAsia="微软雅黑" w:cs="宋体"/>
                <w:kern w:val="0"/>
                <w:sz w:val="20"/>
              </w:rPr>
              <w:t>内存：不低于DDR4双通道16GB（支持升级DDR5）；</w:t>
            </w:r>
          </w:p>
          <w:p>
            <w:pPr>
              <w:jc w:val="left"/>
              <w:rPr>
                <w:rFonts w:ascii="微软雅黑" w:hAnsi="微软雅黑" w:eastAsia="微软雅黑" w:cs="宋体"/>
                <w:kern w:val="0"/>
                <w:sz w:val="20"/>
              </w:rPr>
            </w:pPr>
            <w:r>
              <w:rPr>
                <w:rFonts w:hint="eastAsia" w:ascii="微软雅黑" w:hAnsi="微软雅黑" w:eastAsia="微软雅黑" w:cs="宋体"/>
                <w:kern w:val="0"/>
                <w:sz w:val="20"/>
              </w:rPr>
              <w:t>存储：不低于1T SSD  M.2 NVMe 2</w:t>
            </w:r>
          </w:p>
          <w:p>
            <w:pPr>
              <w:jc w:val="left"/>
              <w:rPr>
                <w:rFonts w:ascii="微软雅黑" w:hAnsi="微软雅黑" w:eastAsia="微软雅黑" w:cs="宋体"/>
                <w:kern w:val="0"/>
                <w:sz w:val="20"/>
              </w:rPr>
            </w:pPr>
            <w:r>
              <w:rPr>
                <w:rFonts w:hint="eastAsia" w:ascii="微软雅黑" w:hAnsi="微软雅黑" w:eastAsia="微软雅黑" w:cs="宋体"/>
                <w:kern w:val="0"/>
                <w:sz w:val="20"/>
              </w:rPr>
              <w:t>内置接口： PCIe x16插槽 x 1，PCIe x1插槽 x 1，M.2 2280接口 x 1，SATA 3.0接口 x 1，UDIMM插槽 x 2；</w:t>
            </w:r>
          </w:p>
          <w:p>
            <w:pPr>
              <w:jc w:val="left"/>
              <w:rPr>
                <w:rFonts w:ascii="微软雅黑" w:hAnsi="微软雅黑" w:eastAsia="微软雅黑" w:cs="宋体"/>
                <w:kern w:val="0"/>
                <w:sz w:val="20"/>
              </w:rPr>
            </w:pPr>
            <w:r>
              <w:rPr>
                <w:rFonts w:hint="eastAsia" w:ascii="微软雅黑" w:hAnsi="微软雅黑" w:eastAsia="微软雅黑" w:cs="宋体"/>
                <w:kern w:val="0"/>
                <w:sz w:val="20"/>
              </w:rPr>
              <w:t>前面板接口：USB-A（USB 3.2）接口 x 4，3.5mm 耳机、麦克风二合一接口 x 1；</w:t>
            </w:r>
          </w:p>
          <w:p>
            <w:pPr>
              <w:jc w:val="left"/>
              <w:rPr>
                <w:rFonts w:ascii="微软雅黑" w:hAnsi="微软雅黑" w:eastAsia="微软雅黑" w:cs="宋体"/>
                <w:kern w:val="0"/>
                <w:sz w:val="20"/>
              </w:rPr>
            </w:pPr>
            <w:r>
              <w:rPr>
                <w:rFonts w:hint="eastAsia" w:ascii="微软雅黑" w:hAnsi="微软雅黑" w:eastAsia="微软雅黑" w:cs="宋体"/>
                <w:kern w:val="0"/>
                <w:sz w:val="20"/>
              </w:rPr>
              <w:t>后面板接口：USB-A（USB 3.2）接口 x 2，USB-A（USB 2.0）接口 x 4，RJ45 接口 x 1，10M/100M/1000M 自适应串口 x 1，Audio Jack 接口 (麦克风 x 1,  音频输出 x 1, 音频输入 x 1)，DP 1.4 接口 x 1，HDMI 1.4b 接口x 1，电源接口 x 1，功率 180W。输入：100-240V，MAX 4.5A，50/60Hz；</w:t>
            </w:r>
          </w:p>
          <w:p>
            <w:pPr>
              <w:jc w:val="left"/>
              <w:rPr>
                <w:rFonts w:ascii="微软雅黑" w:hAnsi="微软雅黑" w:eastAsia="微软雅黑" w:cs="宋体"/>
                <w:kern w:val="0"/>
                <w:sz w:val="20"/>
              </w:rPr>
            </w:pPr>
            <w:r>
              <w:rPr>
                <w:rFonts w:hint="eastAsia" w:ascii="微软雅黑" w:hAnsi="微软雅黑" w:eastAsia="微软雅黑" w:cs="宋体"/>
                <w:kern w:val="0"/>
                <w:sz w:val="20"/>
              </w:rPr>
              <w:t>防护特性：支持 Padlock，支持 Kensington lock</w:t>
            </w:r>
          </w:p>
          <w:p>
            <w:pPr>
              <w:jc w:val="left"/>
              <w:rPr>
                <w:rFonts w:hint="eastAsia" w:ascii="微软雅黑" w:hAnsi="微软雅黑" w:eastAsia="微软雅黑" w:cs="宋体"/>
                <w:kern w:val="0"/>
                <w:sz w:val="20"/>
                <w:lang w:eastAsia="zh-CN"/>
              </w:rPr>
            </w:pPr>
            <w:r>
              <w:rPr>
                <w:rFonts w:hint="eastAsia" w:ascii="微软雅黑" w:hAnsi="微软雅黑" w:eastAsia="微软雅黑" w:cs="宋体"/>
                <w:kern w:val="0"/>
                <w:sz w:val="20"/>
              </w:rPr>
              <w:t>认证：CCC 认证、中国 RoHS 认证、中国节能认证、中国能效等级认证、中国环境认证、外壳防护等级认证</w:t>
            </w:r>
            <w:r>
              <w:rPr>
                <w:rFonts w:hint="eastAsia" w:ascii="微软雅黑" w:hAnsi="微软雅黑" w:eastAsia="微软雅黑" w:cs="宋体"/>
                <w:kern w:val="0"/>
                <w:sz w:val="20"/>
                <w:lang w:eastAsia="zh-CN"/>
              </w:rPr>
              <w:t>；</w:t>
            </w:r>
          </w:p>
          <w:p>
            <w:pPr>
              <w:jc w:val="left"/>
              <w:rPr>
                <w:rFonts w:ascii="微软雅黑" w:hAnsi="微软雅黑" w:eastAsia="微软雅黑" w:cs="宋体"/>
                <w:kern w:val="0"/>
                <w:sz w:val="20"/>
              </w:rPr>
            </w:pPr>
            <w:r>
              <w:rPr>
                <w:rFonts w:hint="eastAsia" w:ascii="微软雅黑" w:hAnsi="微软雅黑" w:eastAsia="微软雅黑" w:cs="宋体"/>
                <w:kern w:val="0"/>
                <w:sz w:val="20"/>
              </w:rPr>
              <w:t>操作系统 Windows 11 家庭版 64 位 或专业版 64位；</w:t>
            </w:r>
          </w:p>
          <w:p>
            <w:pPr>
              <w:jc w:val="left"/>
              <w:rPr>
                <w:rFonts w:ascii="微软雅黑" w:hAnsi="微软雅黑" w:eastAsia="微软雅黑" w:cs="宋体"/>
                <w:kern w:val="0"/>
                <w:sz w:val="20"/>
              </w:rPr>
            </w:pPr>
            <w:r>
              <w:rPr>
                <w:rFonts w:hint="eastAsia" w:ascii="微软雅黑" w:hAnsi="微软雅黑" w:eastAsia="微软雅黑" w:cs="宋体"/>
                <w:kern w:val="0"/>
                <w:sz w:val="20"/>
              </w:rPr>
              <w:t>显示器：23.8寸以上、HDMI接口1个、DP接口1个、90% P3色域、92%高屏占比、75Hz刷新率、分辨率1920x1080；</w:t>
            </w:r>
          </w:p>
          <w:p>
            <w:pPr>
              <w:jc w:val="left"/>
              <w:rPr>
                <w:rFonts w:ascii="微软雅黑" w:hAnsi="微软雅黑" w:eastAsia="微软雅黑" w:cs="宋体"/>
                <w:kern w:val="0"/>
                <w:sz w:val="20"/>
              </w:rPr>
            </w:pPr>
            <w:r>
              <w:rPr>
                <w:rFonts w:hint="eastAsia" w:ascii="微软雅黑" w:hAnsi="微软雅黑" w:eastAsia="微软雅黑" w:cs="宋体"/>
                <w:kern w:val="0"/>
                <w:sz w:val="20"/>
              </w:rPr>
              <w:t>服务：原厂5年质保，整机原装不拆封直发用户指定地址；</w:t>
            </w:r>
          </w:p>
        </w:tc>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hint="eastAsia" w:ascii="微软雅黑" w:hAnsi="微软雅黑" w:eastAsia="微软雅黑" w:cs="宋体"/>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2</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学生机（强制节能产品）</w:t>
            </w:r>
          </w:p>
        </w:tc>
        <w:tc>
          <w:tcPr>
            <w:tcW w:w="6313" w:type="dxa"/>
            <w:tcBorders>
              <w:top w:val="single" w:color="auto" w:sz="4" w:space="0"/>
              <w:left w:val="single" w:color="auto" w:sz="4" w:space="0"/>
              <w:bottom w:val="single" w:color="auto" w:sz="4" w:space="0"/>
              <w:right w:val="single" w:color="auto" w:sz="4" w:space="0"/>
            </w:tcBorders>
            <w:noWrap w:val="0"/>
            <w:vAlign w:val="center"/>
          </w:tcPr>
          <w:p>
            <w:pPr>
              <w:jc w:val="left"/>
              <w:rPr>
                <w:rFonts w:ascii="微软雅黑" w:hAnsi="微软雅黑" w:eastAsia="微软雅黑" w:cs="宋体"/>
                <w:kern w:val="0"/>
                <w:sz w:val="20"/>
              </w:rPr>
            </w:pPr>
            <w:r>
              <w:rPr>
                <w:rFonts w:hint="eastAsia" w:ascii="微软雅黑" w:hAnsi="微软雅黑" w:eastAsia="微软雅黑" w:cs="宋体"/>
                <w:kern w:val="0"/>
                <w:sz w:val="20"/>
              </w:rPr>
              <w:t>处理器：Intel i5 1</w:t>
            </w:r>
            <w:r>
              <w:rPr>
                <w:rFonts w:ascii="微软雅黑" w:hAnsi="微软雅黑" w:eastAsia="微软雅黑" w:cs="宋体"/>
                <w:kern w:val="0"/>
                <w:sz w:val="20"/>
              </w:rPr>
              <w:t>2</w:t>
            </w:r>
            <w:r>
              <w:rPr>
                <w:rFonts w:hint="eastAsia" w:ascii="微软雅黑" w:hAnsi="微软雅黑" w:eastAsia="微软雅黑" w:cs="宋体"/>
                <w:kern w:val="0"/>
                <w:sz w:val="20"/>
              </w:rPr>
              <w:t>代处理器以上</w:t>
            </w:r>
          </w:p>
          <w:p>
            <w:pPr>
              <w:jc w:val="left"/>
              <w:rPr>
                <w:rFonts w:ascii="微软雅黑" w:hAnsi="微软雅黑" w:eastAsia="微软雅黑" w:cs="宋体"/>
                <w:kern w:val="0"/>
                <w:sz w:val="20"/>
              </w:rPr>
            </w:pPr>
            <w:r>
              <w:rPr>
                <w:rFonts w:hint="eastAsia" w:ascii="微软雅黑" w:hAnsi="微软雅黑" w:eastAsia="微软雅黑" w:cs="宋体"/>
                <w:kern w:val="0"/>
                <w:sz w:val="20"/>
              </w:rPr>
              <w:t>显卡：不低于Intel® UHD Graphics 730集成显卡；</w:t>
            </w:r>
          </w:p>
          <w:p>
            <w:pPr>
              <w:jc w:val="left"/>
              <w:rPr>
                <w:rFonts w:ascii="微软雅黑" w:hAnsi="微软雅黑" w:eastAsia="微软雅黑" w:cs="宋体"/>
                <w:kern w:val="0"/>
                <w:sz w:val="20"/>
              </w:rPr>
            </w:pPr>
            <w:r>
              <w:rPr>
                <w:rFonts w:hint="eastAsia" w:ascii="微软雅黑" w:hAnsi="微软雅黑" w:eastAsia="微软雅黑" w:cs="宋体"/>
                <w:kern w:val="0"/>
                <w:sz w:val="20"/>
              </w:rPr>
              <w:t>内存：不低于DDR4双通道16GB（支持升级DDR5）；</w:t>
            </w:r>
          </w:p>
          <w:p>
            <w:pPr>
              <w:jc w:val="left"/>
              <w:rPr>
                <w:rFonts w:ascii="微软雅黑" w:hAnsi="微软雅黑" w:eastAsia="微软雅黑" w:cs="宋体"/>
                <w:kern w:val="0"/>
                <w:sz w:val="20"/>
              </w:rPr>
            </w:pPr>
            <w:r>
              <w:rPr>
                <w:rFonts w:hint="eastAsia" w:ascii="微软雅黑" w:hAnsi="微软雅黑" w:eastAsia="微软雅黑" w:cs="宋体"/>
                <w:kern w:val="0"/>
                <w:sz w:val="20"/>
              </w:rPr>
              <w:t>存储：不低于1T SSD  M.2 NVMe 2</w:t>
            </w:r>
          </w:p>
          <w:p>
            <w:pPr>
              <w:jc w:val="left"/>
              <w:rPr>
                <w:rFonts w:ascii="微软雅黑" w:hAnsi="微软雅黑" w:eastAsia="微软雅黑" w:cs="宋体"/>
                <w:kern w:val="0"/>
                <w:sz w:val="20"/>
              </w:rPr>
            </w:pPr>
            <w:r>
              <w:rPr>
                <w:rFonts w:hint="eastAsia" w:ascii="微软雅黑" w:hAnsi="微软雅黑" w:eastAsia="微软雅黑" w:cs="宋体"/>
                <w:kern w:val="0"/>
                <w:sz w:val="20"/>
              </w:rPr>
              <w:t>内置接口： PCIe x16插槽 x 1，PCIe x1插槽 x 1，M.2 2280接口 x 1，SATA 3.0接口 x 1，UDIMM插槽 x 2；</w:t>
            </w:r>
          </w:p>
          <w:p>
            <w:pPr>
              <w:jc w:val="left"/>
              <w:rPr>
                <w:rFonts w:ascii="微软雅黑" w:hAnsi="微软雅黑" w:eastAsia="微软雅黑" w:cs="宋体"/>
                <w:kern w:val="0"/>
                <w:sz w:val="20"/>
              </w:rPr>
            </w:pPr>
            <w:r>
              <w:rPr>
                <w:rFonts w:hint="eastAsia" w:ascii="微软雅黑" w:hAnsi="微软雅黑" w:eastAsia="微软雅黑" w:cs="宋体"/>
                <w:kern w:val="0"/>
                <w:sz w:val="20"/>
              </w:rPr>
              <w:t>前面板接口：USB-A（USB 3.2）接口 x 4，3.5mm 耳机、麦克风二合一接口 x 1；</w:t>
            </w:r>
          </w:p>
          <w:p>
            <w:pPr>
              <w:jc w:val="left"/>
              <w:rPr>
                <w:rFonts w:ascii="微软雅黑" w:hAnsi="微软雅黑" w:eastAsia="微软雅黑" w:cs="宋体"/>
                <w:kern w:val="0"/>
                <w:sz w:val="20"/>
              </w:rPr>
            </w:pPr>
            <w:r>
              <w:rPr>
                <w:rFonts w:hint="eastAsia" w:ascii="微软雅黑" w:hAnsi="微软雅黑" w:eastAsia="微软雅黑" w:cs="宋体"/>
                <w:kern w:val="0"/>
                <w:sz w:val="20"/>
              </w:rPr>
              <w:t>后面板接口：USB-A（USB 3.2）接口 x 2，USB-A（USB 2.0）接口 x 4，RJ45 接口 x 1，10M/100M/1000M 自适应串口 x 1，Audio Jack 接口 (麦克风 x 1,  音频输出 x 1, 音频输入 x 1)，DP 1.4 接口 x 1，HDMI 1.4b 接口x 1，电源接口 x 1，功率 180W。输入：100-240V，MAX 4.5A，50/60Hz；</w:t>
            </w:r>
          </w:p>
          <w:p>
            <w:pPr>
              <w:jc w:val="left"/>
              <w:rPr>
                <w:rFonts w:ascii="微软雅黑" w:hAnsi="微软雅黑" w:eastAsia="微软雅黑" w:cs="宋体"/>
                <w:kern w:val="0"/>
                <w:sz w:val="20"/>
              </w:rPr>
            </w:pPr>
            <w:r>
              <w:rPr>
                <w:rFonts w:hint="eastAsia" w:ascii="微软雅黑" w:hAnsi="微软雅黑" w:eastAsia="微软雅黑" w:cs="宋体"/>
                <w:kern w:val="0"/>
                <w:sz w:val="20"/>
              </w:rPr>
              <w:t>防护特性：支持 Padlock，支持 Kensington lock</w:t>
            </w:r>
          </w:p>
          <w:p>
            <w:pPr>
              <w:jc w:val="left"/>
              <w:rPr>
                <w:rFonts w:ascii="微软雅黑" w:hAnsi="微软雅黑" w:eastAsia="微软雅黑" w:cs="宋体"/>
                <w:kern w:val="0"/>
                <w:sz w:val="20"/>
              </w:rPr>
            </w:pPr>
            <w:r>
              <w:rPr>
                <w:rFonts w:hint="eastAsia" w:ascii="微软雅黑" w:hAnsi="微软雅黑" w:eastAsia="微软雅黑" w:cs="宋体"/>
                <w:kern w:val="0"/>
                <w:sz w:val="20"/>
              </w:rPr>
              <w:t>认证：CCC 认证、中国 RoHS 认证、中国节能认证、中国能效等级认证、中国环境认证、外壳防护等级认证；</w:t>
            </w:r>
          </w:p>
          <w:p>
            <w:pPr>
              <w:jc w:val="left"/>
              <w:rPr>
                <w:rFonts w:ascii="微软雅黑" w:hAnsi="微软雅黑" w:eastAsia="微软雅黑" w:cs="宋体"/>
                <w:kern w:val="0"/>
                <w:sz w:val="20"/>
              </w:rPr>
            </w:pPr>
            <w:r>
              <w:rPr>
                <w:rFonts w:hint="eastAsia" w:ascii="微软雅黑" w:hAnsi="微软雅黑" w:eastAsia="微软雅黑" w:cs="宋体"/>
                <w:kern w:val="0"/>
                <w:sz w:val="20"/>
              </w:rPr>
              <w:t>操作系统 Windows 11 家庭版 64 位 或专业版 64位；</w:t>
            </w:r>
          </w:p>
          <w:p>
            <w:pPr>
              <w:jc w:val="left"/>
              <w:rPr>
                <w:rFonts w:ascii="微软雅黑" w:hAnsi="微软雅黑" w:eastAsia="微软雅黑" w:cs="宋体"/>
                <w:kern w:val="0"/>
                <w:sz w:val="20"/>
              </w:rPr>
            </w:pPr>
            <w:r>
              <w:rPr>
                <w:rFonts w:hint="eastAsia" w:ascii="微软雅黑" w:hAnsi="微软雅黑" w:eastAsia="微软雅黑" w:cs="宋体"/>
                <w:kern w:val="0"/>
                <w:sz w:val="20"/>
              </w:rPr>
              <w:t>显示器：23.8寸以上、HDMI接口1个、DP接口1个、90% P3色域、92%高屏占比、75Hz刷新率、分辨率1920x1080；</w:t>
            </w:r>
          </w:p>
          <w:p>
            <w:pPr>
              <w:jc w:val="left"/>
              <w:rPr>
                <w:rFonts w:ascii="微软雅黑" w:hAnsi="微软雅黑" w:eastAsia="微软雅黑" w:cs="宋体"/>
                <w:kern w:val="0"/>
                <w:sz w:val="20"/>
              </w:rPr>
            </w:pPr>
            <w:r>
              <w:rPr>
                <w:rFonts w:hint="eastAsia" w:ascii="微软雅黑" w:hAnsi="微软雅黑" w:eastAsia="微软雅黑" w:cs="宋体"/>
                <w:kern w:val="0"/>
                <w:sz w:val="20"/>
              </w:rPr>
              <w:t>服务：原厂5年质保，整机原装不拆封直发用户指定地址；</w:t>
            </w:r>
          </w:p>
        </w:tc>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hint="eastAsia" w:ascii="微软雅黑" w:hAnsi="微软雅黑" w:eastAsia="微软雅黑" w:cs="宋体"/>
                <w:kern w:val="0"/>
                <w:sz w:val="20"/>
              </w:rPr>
              <w:t>8</w:t>
            </w:r>
            <w:r>
              <w:rPr>
                <w:rFonts w:ascii="微软雅黑" w:hAnsi="微软雅黑" w:eastAsia="微软雅黑" w:cs="宋体"/>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ascii="微软雅黑" w:hAnsi="微软雅黑" w:eastAsia="微软雅黑" w:cs="宋体"/>
                <w:color w:val="000000"/>
                <w:kern w:val="0"/>
                <w:sz w:val="20"/>
              </w:rPr>
              <w:t>3</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hint="eastAsia" w:ascii="微软雅黑" w:hAnsi="微软雅黑" w:eastAsia="微软雅黑" w:cs="宋体"/>
                <w:color w:val="000000"/>
                <w:kern w:val="0"/>
                <w:sz w:val="20"/>
              </w:rPr>
              <w:t>云终端（含显示器）</w:t>
            </w:r>
          </w:p>
        </w:tc>
        <w:tc>
          <w:tcPr>
            <w:tcW w:w="6313" w:type="dxa"/>
            <w:tcBorders>
              <w:top w:val="single" w:color="auto" w:sz="4" w:space="0"/>
              <w:left w:val="single" w:color="auto" w:sz="4" w:space="0"/>
              <w:bottom w:val="single" w:color="auto" w:sz="4" w:space="0"/>
              <w:right w:val="single" w:color="auto" w:sz="4" w:space="0"/>
            </w:tcBorders>
            <w:noWrap w:val="0"/>
            <w:vAlign w:val="center"/>
          </w:tcPr>
          <w:p>
            <w:pPr>
              <w:jc w:val="left"/>
              <w:rPr>
                <w:rFonts w:ascii="微软雅黑" w:hAnsi="微软雅黑" w:eastAsia="微软雅黑" w:cs="宋体"/>
                <w:kern w:val="0"/>
                <w:sz w:val="20"/>
              </w:rPr>
            </w:pPr>
            <w:r>
              <w:rPr>
                <w:rFonts w:hint="eastAsia" w:ascii="微软雅黑" w:hAnsi="微软雅黑" w:eastAsia="微软雅黑" w:cs="宋体"/>
                <w:kern w:val="0"/>
                <w:sz w:val="20"/>
              </w:rPr>
              <w:t xml:space="preserve">云终端：1. 架构：x86架构云终端； </w:t>
            </w:r>
          </w:p>
          <w:p>
            <w:pPr>
              <w:jc w:val="left"/>
              <w:rPr>
                <w:rFonts w:ascii="微软雅黑" w:hAnsi="微软雅黑" w:eastAsia="微软雅黑" w:cs="宋体"/>
                <w:kern w:val="0"/>
                <w:sz w:val="20"/>
              </w:rPr>
            </w:pPr>
            <w:r>
              <w:rPr>
                <w:rFonts w:hint="eastAsia" w:ascii="微软雅黑" w:hAnsi="微软雅黑" w:eastAsia="微软雅黑" w:cs="宋体"/>
                <w:kern w:val="0"/>
                <w:sz w:val="20"/>
              </w:rPr>
              <w:t>2. CPU：不低于intel四核 四线程处理器，基础主频2.0GHz，最大支持2.8GHz；</w:t>
            </w:r>
          </w:p>
          <w:p>
            <w:pPr>
              <w:jc w:val="left"/>
              <w:rPr>
                <w:rFonts w:ascii="微软雅黑" w:hAnsi="微软雅黑" w:eastAsia="微软雅黑" w:cs="宋体"/>
                <w:kern w:val="0"/>
                <w:sz w:val="20"/>
              </w:rPr>
            </w:pPr>
            <w:r>
              <w:rPr>
                <w:rFonts w:hint="eastAsia" w:ascii="微软雅黑" w:hAnsi="微软雅黑" w:eastAsia="微软雅黑" w:cs="宋体"/>
                <w:kern w:val="0"/>
                <w:sz w:val="20"/>
              </w:rPr>
              <w:t>3. 内存：实配≥8GB DDR4内存，最大支持16GB，后盖独立开盖设计，内存易拆易升级；</w:t>
            </w:r>
          </w:p>
          <w:p>
            <w:pPr>
              <w:jc w:val="left"/>
              <w:rPr>
                <w:rFonts w:ascii="微软雅黑" w:hAnsi="微软雅黑" w:eastAsia="微软雅黑" w:cs="宋体"/>
                <w:kern w:val="0"/>
                <w:sz w:val="20"/>
              </w:rPr>
            </w:pPr>
            <w:r>
              <w:rPr>
                <w:rFonts w:hint="eastAsia" w:ascii="微软雅黑" w:hAnsi="微软雅黑" w:eastAsia="微软雅黑" w:cs="宋体"/>
                <w:kern w:val="0"/>
                <w:sz w:val="20"/>
              </w:rPr>
              <w:t xml:space="preserve">4. 硬盘：实配≥256GB M.2 SSD,最大支持1TB； </w:t>
            </w:r>
          </w:p>
          <w:p>
            <w:pPr>
              <w:jc w:val="left"/>
              <w:rPr>
                <w:rFonts w:ascii="微软雅黑" w:hAnsi="微软雅黑" w:eastAsia="微软雅黑" w:cs="宋体"/>
                <w:kern w:val="0"/>
                <w:sz w:val="20"/>
              </w:rPr>
            </w:pPr>
            <w:r>
              <w:rPr>
                <w:rFonts w:hint="eastAsia" w:ascii="微软雅黑" w:hAnsi="微软雅黑" w:eastAsia="微软雅黑" w:cs="宋体"/>
                <w:kern w:val="0"/>
                <w:sz w:val="20"/>
              </w:rPr>
              <w:t xml:space="preserve">5. 显卡：集成Intel UHD Graphics显示芯片； </w:t>
            </w:r>
          </w:p>
          <w:p>
            <w:pPr>
              <w:jc w:val="left"/>
              <w:rPr>
                <w:rFonts w:ascii="微软雅黑" w:hAnsi="微软雅黑" w:eastAsia="微软雅黑" w:cs="宋体"/>
                <w:kern w:val="0"/>
                <w:sz w:val="20"/>
              </w:rPr>
            </w:pPr>
            <w:r>
              <w:rPr>
                <w:rFonts w:hint="eastAsia" w:ascii="微软雅黑" w:hAnsi="微软雅黑" w:eastAsia="微软雅黑" w:cs="宋体"/>
                <w:kern w:val="0"/>
                <w:sz w:val="20"/>
              </w:rPr>
              <w:t>6. 显示接口：1个VGA口，1个HDMI口；</w:t>
            </w:r>
          </w:p>
          <w:p>
            <w:pPr>
              <w:jc w:val="left"/>
              <w:rPr>
                <w:rFonts w:ascii="微软雅黑" w:hAnsi="微软雅黑" w:eastAsia="微软雅黑" w:cs="宋体"/>
                <w:kern w:val="0"/>
                <w:sz w:val="20"/>
              </w:rPr>
            </w:pPr>
            <w:r>
              <w:rPr>
                <w:rFonts w:hint="eastAsia" w:ascii="微软雅黑" w:hAnsi="微软雅黑" w:eastAsia="微软雅黑" w:cs="宋体"/>
                <w:kern w:val="0"/>
                <w:sz w:val="20"/>
              </w:rPr>
              <w:t>7. USB接口：≥8个USB接口，其中前置4个（2个USB3.2 GEN2，2个USB2.0），后置4个（2个USB3.2 Gen1，2个USB2.0）</w:t>
            </w:r>
          </w:p>
          <w:p>
            <w:pPr>
              <w:jc w:val="left"/>
              <w:rPr>
                <w:rFonts w:ascii="微软雅黑" w:hAnsi="微软雅黑" w:eastAsia="微软雅黑" w:cs="宋体"/>
                <w:kern w:val="0"/>
                <w:sz w:val="20"/>
              </w:rPr>
            </w:pPr>
            <w:r>
              <w:rPr>
                <w:rFonts w:hint="eastAsia" w:ascii="微软雅黑" w:hAnsi="微软雅黑" w:eastAsia="微软雅黑" w:cs="宋体"/>
                <w:kern w:val="0"/>
                <w:sz w:val="20"/>
              </w:rPr>
              <w:t>8. 2组音频接口，前置3.5mm  Mic in*1、AudioOut*1，后置4段式音频输入输出口；</w:t>
            </w:r>
          </w:p>
          <w:p>
            <w:pPr>
              <w:jc w:val="left"/>
              <w:rPr>
                <w:rFonts w:ascii="微软雅黑" w:hAnsi="微软雅黑" w:eastAsia="微软雅黑" w:cs="宋体"/>
                <w:kern w:val="0"/>
                <w:sz w:val="20"/>
              </w:rPr>
            </w:pPr>
            <w:r>
              <w:rPr>
                <w:rFonts w:hint="eastAsia" w:ascii="微软雅黑" w:hAnsi="微软雅黑" w:eastAsia="微软雅黑" w:cs="宋体"/>
                <w:kern w:val="0"/>
                <w:sz w:val="20"/>
              </w:rPr>
              <w:t xml:space="preserve">9. 后置扩展模块，支持外接延长开关，可满足终端封闭式安装放置后的便捷式开关机操作； </w:t>
            </w:r>
          </w:p>
          <w:p>
            <w:pPr>
              <w:jc w:val="left"/>
              <w:rPr>
                <w:rFonts w:ascii="微软雅黑" w:hAnsi="微软雅黑" w:eastAsia="微软雅黑" w:cs="宋体"/>
                <w:kern w:val="0"/>
                <w:sz w:val="20"/>
              </w:rPr>
            </w:pPr>
            <w:r>
              <w:rPr>
                <w:rFonts w:hint="eastAsia" w:ascii="微软雅黑" w:hAnsi="微软雅黑" w:eastAsia="微软雅黑" w:cs="宋体"/>
                <w:kern w:val="0"/>
                <w:sz w:val="20"/>
              </w:rPr>
              <w:t>10. 后置一键ClearCMOS孔，支持一键快速恢复CMOS；</w:t>
            </w:r>
          </w:p>
          <w:p>
            <w:pPr>
              <w:jc w:val="left"/>
              <w:rPr>
                <w:rFonts w:ascii="微软雅黑" w:hAnsi="微软雅黑" w:eastAsia="微软雅黑" w:cs="宋体"/>
                <w:kern w:val="0"/>
                <w:sz w:val="20"/>
              </w:rPr>
            </w:pPr>
            <w:r>
              <w:rPr>
                <w:rFonts w:hint="eastAsia" w:ascii="微软雅黑" w:hAnsi="微软雅黑" w:eastAsia="微软雅黑" w:cs="宋体"/>
                <w:kern w:val="0"/>
                <w:sz w:val="20"/>
              </w:rPr>
              <w:t>11. 尺寸：≤190X140X40mm</w:t>
            </w:r>
          </w:p>
          <w:p>
            <w:pPr>
              <w:jc w:val="left"/>
              <w:rPr>
                <w:rFonts w:ascii="微软雅黑" w:hAnsi="微软雅黑" w:eastAsia="微软雅黑" w:cs="宋体"/>
                <w:kern w:val="0"/>
                <w:sz w:val="20"/>
              </w:rPr>
            </w:pPr>
            <w:r>
              <w:rPr>
                <w:rFonts w:hint="eastAsia" w:ascii="微软雅黑" w:hAnsi="微软雅黑" w:eastAsia="微软雅黑" w:cs="宋体"/>
                <w:kern w:val="0"/>
                <w:sz w:val="20"/>
              </w:rPr>
              <w:t xml:space="preserve">12. 网络：1个千兆网口；  </w:t>
            </w:r>
          </w:p>
          <w:p>
            <w:pPr>
              <w:jc w:val="left"/>
              <w:rPr>
                <w:rFonts w:ascii="微软雅黑" w:hAnsi="微软雅黑" w:eastAsia="微软雅黑" w:cs="宋体"/>
                <w:kern w:val="0"/>
                <w:sz w:val="20"/>
              </w:rPr>
            </w:pPr>
            <w:r>
              <w:rPr>
                <w:rFonts w:ascii="微软雅黑" w:hAnsi="微软雅黑" w:eastAsia="微软雅黑" w:cs="宋体"/>
                <w:kern w:val="0"/>
                <w:sz w:val="20"/>
              </w:rPr>
              <w:t>13.</w:t>
            </w:r>
            <w:r>
              <w:rPr>
                <w:rFonts w:hint="eastAsia" w:ascii="微软雅黑" w:hAnsi="微软雅黑" w:eastAsia="微软雅黑" w:cs="宋体"/>
                <w:kern w:val="0"/>
                <w:sz w:val="20"/>
              </w:rPr>
              <w:t xml:space="preserve"> 电源适配器：≤19V/2.37A；</w:t>
            </w:r>
          </w:p>
          <w:p>
            <w:pPr>
              <w:jc w:val="left"/>
              <w:rPr>
                <w:rFonts w:ascii="微软雅黑" w:hAnsi="微软雅黑" w:eastAsia="微软雅黑" w:cs="宋体"/>
                <w:kern w:val="0"/>
                <w:sz w:val="20"/>
              </w:rPr>
            </w:pPr>
            <w:r>
              <w:rPr>
                <w:rFonts w:hint="eastAsia" w:ascii="微软雅黑" w:hAnsi="微软雅黑" w:eastAsia="微软雅黑" w:cs="宋体"/>
                <w:kern w:val="0"/>
                <w:sz w:val="20"/>
              </w:rPr>
              <w:t>1</w:t>
            </w:r>
            <w:r>
              <w:rPr>
                <w:rFonts w:ascii="微软雅黑" w:hAnsi="微软雅黑" w:eastAsia="微软雅黑" w:cs="宋体"/>
                <w:kern w:val="0"/>
                <w:sz w:val="20"/>
              </w:rPr>
              <w:t>4.</w:t>
            </w:r>
            <w:r>
              <w:rPr>
                <w:rFonts w:hint="eastAsia" w:ascii="微软雅黑" w:hAnsi="微软雅黑" w:eastAsia="微软雅黑" w:cs="宋体"/>
                <w:kern w:val="0"/>
                <w:sz w:val="20"/>
              </w:rPr>
              <w:t>显示器</w:t>
            </w:r>
          </w:p>
          <w:p>
            <w:pPr>
              <w:jc w:val="left"/>
              <w:rPr>
                <w:rFonts w:ascii="微软雅黑" w:hAnsi="微软雅黑" w:eastAsia="微软雅黑" w:cs="宋体"/>
                <w:kern w:val="0"/>
                <w:sz w:val="20"/>
              </w:rPr>
            </w:pPr>
            <w:r>
              <w:rPr>
                <w:rFonts w:hint="eastAsia" w:ascii="微软雅黑" w:hAnsi="微软雅黑" w:eastAsia="微软雅黑" w:cs="宋体"/>
                <w:kern w:val="0"/>
                <w:sz w:val="20"/>
              </w:rPr>
              <w:t>尺寸：23.8寸以上</w:t>
            </w:r>
          </w:p>
          <w:p>
            <w:pPr>
              <w:jc w:val="left"/>
              <w:rPr>
                <w:rFonts w:ascii="微软雅黑" w:hAnsi="微软雅黑" w:eastAsia="微软雅黑" w:cs="宋体"/>
                <w:kern w:val="0"/>
                <w:sz w:val="20"/>
              </w:rPr>
            </w:pPr>
            <w:r>
              <w:rPr>
                <w:rFonts w:hint="eastAsia" w:ascii="微软雅黑" w:hAnsi="微软雅黑" w:eastAsia="微软雅黑" w:cs="宋体"/>
                <w:kern w:val="0"/>
                <w:sz w:val="20"/>
              </w:rPr>
              <w:t>接口：不低于HDMI接口1个、DP接口1个</w:t>
            </w:r>
          </w:p>
          <w:p>
            <w:pPr>
              <w:jc w:val="left"/>
              <w:rPr>
                <w:rFonts w:ascii="微软雅黑" w:hAnsi="微软雅黑" w:eastAsia="微软雅黑" w:cs="宋体"/>
                <w:kern w:val="0"/>
                <w:sz w:val="20"/>
              </w:rPr>
            </w:pPr>
            <w:r>
              <w:rPr>
                <w:rFonts w:hint="eastAsia" w:ascii="微软雅黑" w:hAnsi="微软雅黑" w:eastAsia="微软雅黑" w:cs="宋体"/>
                <w:kern w:val="0"/>
                <w:sz w:val="20"/>
              </w:rPr>
              <w:t>显示：90% P3色域、92%高屏占比、75Hz刷新率、分辨率不低于1920x1080；</w:t>
            </w:r>
          </w:p>
          <w:p>
            <w:pPr>
              <w:jc w:val="left"/>
              <w:rPr>
                <w:rFonts w:ascii="微软雅黑" w:hAnsi="微软雅黑" w:eastAsia="微软雅黑" w:cs="宋体"/>
                <w:kern w:val="0"/>
                <w:sz w:val="20"/>
              </w:rPr>
            </w:pPr>
            <w:r>
              <w:rPr>
                <w:rFonts w:hint="eastAsia" w:ascii="微软雅黑" w:hAnsi="微软雅黑" w:eastAsia="微软雅黑" w:cs="宋体"/>
                <w:kern w:val="0"/>
                <w:sz w:val="20"/>
              </w:rPr>
              <w:t>1</w:t>
            </w:r>
            <w:r>
              <w:rPr>
                <w:rFonts w:ascii="微软雅黑" w:hAnsi="微软雅黑" w:eastAsia="微软雅黑" w:cs="宋体"/>
                <w:kern w:val="0"/>
                <w:sz w:val="20"/>
              </w:rPr>
              <w:t>5.</w:t>
            </w:r>
            <w:r>
              <w:rPr>
                <w:rFonts w:hint="eastAsia" w:ascii="微软雅黑" w:hAnsi="微软雅黑" w:eastAsia="微软雅黑" w:cs="宋体"/>
                <w:kern w:val="0"/>
                <w:sz w:val="20"/>
              </w:rPr>
              <w:t>键鼠：</w:t>
            </w:r>
          </w:p>
          <w:p>
            <w:pPr>
              <w:jc w:val="left"/>
              <w:rPr>
                <w:rFonts w:ascii="微软雅黑" w:hAnsi="微软雅黑" w:eastAsia="微软雅黑" w:cs="宋体"/>
                <w:kern w:val="0"/>
                <w:sz w:val="20"/>
              </w:rPr>
            </w:pPr>
            <w:r>
              <w:rPr>
                <w:rFonts w:hint="eastAsia" w:ascii="微软雅黑" w:hAnsi="微软雅黑" w:eastAsia="微软雅黑" w:cs="宋体"/>
                <w:kern w:val="0"/>
                <w:sz w:val="20"/>
              </w:rPr>
              <w:t>（1）鼠标移动速度≥30inch/s</w:t>
            </w:r>
          </w:p>
          <w:p>
            <w:pPr>
              <w:jc w:val="left"/>
              <w:rPr>
                <w:rFonts w:ascii="微软雅黑" w:hAnsi="微软雅黑" w:eastAsia="微软雅黑" w:cs="宋体"/>
                <w:kern w:val="0"/>
                <w:sz w:val="20"/>
              </w:rPr>
            </w:pPr>
            <w:r>
              <w:rPr>
                <w:rFonts w:hint="eastAsia" w:ascii="微软雅黑" w:hAnsi="微软雅黑" w:eastAsia="微软雅黑" w:cs="宋体"/>
                <w:kern w:val="0"/>
                <w:sz w:val="20"/>
              </w:rPr>
              <w:t>（2）鼠标工作方式：光电</w:t>
            </w:r>
          </w:p>
          <w:p>
            <w:pPr>
              <w:jc w:val="left"/>
              <w:rPr>
                <w:rFonts w:ascii="微软雅黑" w:hAnsi="微软雅黑" w:eastAsia="微软雅黑" w:cs="宋体"/>
                <w:kern w:val="0"/>
                <w:sz w:val="20"/>
              </w:rPr>
            </w:pPr>
            <w:r>
              <w:rPr>
                <w:rFonts w:hint="eastAsia" w:ascii="微软雅黑" w:hAnsi="微软雅黑" w:eastAsia="微软雅黑" w:cs="宋体"/>
                <w:kern w:val="0"/>
                <w:sz w:val="20"/>
              </w:rPr>
              <w:t>（3）鼠标接口：USB-A</w:t>
            </w:r>
          </w:p>
          <w:p>
            <w:pPr>
              <w:jc w:val="left"/>
              <w:rPr>
                <w:rFonts w:ascii="微软雅黑" w:hAnsi="微软雅黑" w:eastAsia="微软雅黑" w:cs="宋体"/>
                <w:kern w:val="0"/>
                <w:sz w:val="20"/>
              </w:rPr>
            </w:pPr>
            <w:r>
              <w:rPr>
                <w:rFonts w:hint="eastAsia" w:ascii="微软雅黑" w:hAnsi="微软雅黑" w:eastAsia="微软雅黑" w:cs="宋体"/>
                <w:kern w:val="0"/>
                <w:sz w:val="20"/>
              </w:rPr>
              <w:t>（</w:t>
            </w:r>
            <w:r>
              <w:rPr>
                <w:rFonts w:ascii="微软雅黑" w:hAnsi="微软雅黑" w:eastAsia="微软雅黑" w:cs="宋体"/>
                <w:kern w:val="0"/>
                <w:sz w:val="20"/>
              </w:rPr>
              <w:t>4</w:t>
            </w:r>
            <w:r>
              <w:rPr>
                <w:rFonts w:hint="eastAsia" w:ascii="微软雅黑" w:hAnsi="微软雅黑" w:eastAsia="微软雅黑" w:cs="宋体"/>
                <w:kern w:val="0"/>
                <w:sz w:val="20"/>
              </w:rPr>
              <w:t>）输入:4.75~5.25V DC</w:t>
            </w:r>
          </w:p>
          <w:p>
            <w:pPr>
              <w:jc w:val="left"/>
              <w:rPr>
                <w:rFonts w:ascii="微软雅黑" w:hAnsi="微软雅黑" w:eastAsia="微软雅黑" w:cs="宋体"/>
                <w:kern w:val="0"/>
                <w:sz w:val="20"/>
              </w:rPr>
            </w:pPr>
            <w:r>
              <w:rPr>
                <w:rFonts w:hint="eastAsia" w:ascii="微软雅黑" w:hAnsi="微软雅黑" w:eastAsia="微软雅黑" w:cs="宋体"/>
                <w:kern w:val="0"/>
                <w:sz w:val="20"/>
              </w:rPr>
              <w:t>（</w:t>
            </w:r>
            <w:r>
              <w:rPr>
                <w:rFonts w:ascii="微软雅黑" w:hAnsi="微软雅黑" w:eastAsia="微软雅黑" w:cs="宋体"/>
                <w:kern w:val="0"/>
                <w:sz w:val="20"/>
              </w:rPr>
              <w:t>5</w:t>
            </w:r>
            <w:r>
              <w:rPr>
                <w:rFonts w:hint="eastAsia" w:ascii="微软雅黑" w:hAnsi="微软雅黑" w:eastAsia="微软雅黑" w:cs="宋体"/>
                <w:kern w:val="0"/>
                <w:sz w:val="20"/>
              </w:rPr>
              <w:t>）功耗:Max</w:t>
            </w:r>
            <w:r>
              <w:rPr>
                <w:rFonts w:ascii="微软雅黑" w:hAnsi="微软雅黑" w:eastAsia="微软雅黑" w:cs="宋体"/>
                <w:kern w:val="0"/>
                <w:sz w:val="20"/>
              </w:rPr>
              <w:t xml:space="preserve"> </w:t>
            </w:r>
            <w:r>
              <w:rPr>
                <w:rFonts w:hint="eastAsia" w:ascii="微软雅黑" w:hAnsi="微软雅黑" w:eastAsia="微软雅黑" w:cs="宋体"/>
                <w:kern w:val="0"/>
                <w:sz w:val="20"/>
              </w:rPr>
              <w:t>100 mA</w:t>
            </w:r>
          </w:p>
          <w:p>
            <w:pPr>
              <w:jc w:val="left"/>
              <w:rPr>
                <w:rFonts w:ascii="微软雅黑" w:hAnsi="微软雅黑" w:eastAsia="微软雅黑" w:cs="宋体"/>
                <w:kern w:val="0"/>
                <w:sz w:val="20"/>
              </w:rPr>
            </w:pPr>
            <w:r>
              <w:rPr>
                <w:rFonts w:hint="eastAsia" w:ascii="微软雅黑" w:hAnsi="微软雅黑" w:eastAsia="微软雅黑" w:cs="宋体"/>
                <w:kern w:val="0"/>
                <w:sz w:val="20"/>
              </w:rPr>
              <w:t>（</w:t>
            </w:r>
            <w:r>
              <w:rPr>
                <w:rFonts w:ascii="微软雅黑" w:hAnsi="微软雅黑" w:eastAsia="微软雅黑" w:cs="宋体"/>
                <w:kern w:val="0"/>
                <w:sz w:val="20"/>
              </w:rPr>
              <w:t>6</w:t>
            </w:r>
            <w:r>
              <w:rPr>
                <w:rFonts w:hint="eastAsia" w:ascii="微软雅黑" w:hAnsi="微软雅黑" w:eastAsia="微软雅黑" w:cs="宋体"/>
                <w:kern w:val="0"/>
                <w:sz w:val="20"/>
              </w:rPr>
              <w:t>）键盘功耗：Max 100 mA</w:t>
            </w:r>
          </w:p>
          <w:p>
            <w:pPr>
              <w:jc w:val="left"/>
              <w:rPr>
                <w:rFonts w:ascii="微软雅黑" w:hAnsi="微软雅黑" w:eastAsia="微软雅黑" w:cs="宋体"/>
                <w:kern w:val="0"/>
                <w:sz w:val="20"/>
              </w:rPr>
            </w:pPr>
            <w:r>
              <w:rPr>
                <w:rFonts w:hint="eastAsia" w:ascii="微软雅黑" w:hAnsi="微软雅黑" w:eastAsia="微软雅黑" w:cs="宋体"/>
                <w:kern w:val="0"/>
                <w:sz w:val="20"/>
              </w:rPr>
              <w:t>（</w:t>
            </w:r>
            <w:r>
              <w:rPr>
                <w:rFonts w:ascii="微软雅黑" w:hAnsi="微软雅黑" w:eastAsia="微软雅黑" w:cs="宋体"/>
                <w:kern w:val="0"/>
                <w:sz w:val="20"/>
              </w:rPr>
              <w:t>7</w:t>
            </w:r>
            <w:r>
              <w:rPr>
                <w:rFonts w:hint="eastAsia" w:ascii="微软雅黑" w:hAnsi="微软雅黑" w:eastAsia="微软雅黑" w:cs="宋体"/>
                <w:kern w:val="0"/>
                <w:sz w:val="20"/>
              </w:rPr>
              <w:t>）键盘输入/输出：输入:4.75~5.25V DC</w:t>
            </w:r>
          </w:p>
          <w:p>
            <w:pPr>
              <w:jc w:val="left"/>
              <w:rPr>
                <w:rFonts w:ascii="微软雅黑" w:hAnsi="微软雅黑" w:eastAsia="微软雅黑" w:cs="宋体"/>
                <w:kern w:val="0"/>
                <w:sz w:val="20"/>
              </w:rPr>
            </w:pPr>
            <w:r>
              <w:rPr>
                <w:rFonts w:hint="eastAsia" w:ascii="微软雅黑" w:hAnsi="微软雅黑" w:eastAsia="微软雅黑" w:cs="宋体"/>
                <w:kern w:val="0"/>
                <w:sz w:val="20"/>
              </w:rPr>
              <w:t>（</w:t>
            </w:r>
            <w:r>
              <w:rPr>
                <w:rFonts w:ascii="微软雅黑" w:hAnsi="微软雅黑" w:eastAsia="微软雅黑" w:cs="宋体"/>
                <w:kern w:val="0"/>
                <w:sz w:val="20"/>
              </w:rPr>
              <w:t>8</w:t>
            </w:r>
            <w:r>
              <w:rPr>
                <w:rFonts w:hint="eastAsia" w:ascii="微软雅黑" w:hAnsi="微软雅黑" w:eastAsia="微软雅黑" w:cs="宋体"/>
                <w:kern w:val="0"/>
                <w:sz w:val="20"/>
              </w:rPr>
              <w:t>）键盘敲击次数按键寿命5百万次</w:t>
            </w:r>
          </w:p>
          <w:p>
            <w:pPr>
              <w:jc w:val="left"/>
              <w:rPr>
                <w:rFonts w:ascii="微软雅黑" w:hAnsi="微软雅黑" w:eastAsia="微软雅黑" w:cs="宋体"/>
                <w:kern w:val="0"/>
                <w:sz w:val="20"/>
              </w:rPr>
            </w:pPr>
            <w:r>
              <w:rPr>
                <w:rFonts w:hint="eastAsia" w:ascii="微软雅黑" w:hAnsi="微软雅黑" w:eastAsia="微软雅黑" w:cs="宋体"/>
                <w:kern w:val="0"/>
                <w:sz w:val="20"/>
              </w:rPr>
              <w:t>1</w:t>
            </w:r>
            <w:r>
              <w:rPr>
                <w:rFonts w:ascii="微软雅黑" w:hAnsi="微软雅黑" w:eastAsia="微软雅黑" w:cs="宋体"/>
                <w:kern w:val="0"/>
                <w:sz w:val="20"/>
              </w:rPr>
              <w:t>6.</w:t>
            </w:r>
            <w:r>
              <w:rPr>
                <w:rFonts w:hint="eastAsia" w:ascii="微软雅黑" w:hAnsi="微软雅黑" w:eastAsia="微软雅黑" w:cs="宋体"/>
                <w:kern w:val="0"/>
                <w:sz w:val="20"/>
              </w:rPr>
              <w:t>原厂5年质保；</w:t>
            </w:r>
          </w:p>
        </w:tc>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ascii="微软雅黑" w:hAnsi="微软雅黑" w:eastAsia="微软雅黑" w:cs="宋体"/>
                <w:kern w:val="0"/>
                <w:sz w:val="20"/>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ascii="微软雅黑" w:hAnsi="微软雅黑" w:eastAsia="微软雅黑" w:cs="宋体"/>
                <w:kern w:val="0"/>
                <w:sz w:val="20"/>
              </w:rPr>
              <w:t>4</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hint="eastAsia" w:ascii="微软雅黑" w:hAnsi="微软雅黑" w:eastAsia="微软雅黑" w:cs="宋体"/>
                <w:kern w:val="0"/>
                <w:sz w:val="20"/>
              </w:rPr>
              <w:t>云桌面承载服务器（单台含万兆模块两对）</w:t>
            </w:r>
          </w:p>
        </w:tc>
        <w:tc>
          <w:tcPr>
            <w:tcW w:w="631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1. 规格：2U机架式（含导轨）服务器：</w:t>
            </w:r>
          </w:p>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2. 架构：2U机架式软硬件一体服务器</w:t>
            </w:r>
          </w:p>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 xml:space="preserve">★3. 处理器：实配≥2颗Intel Xeon Gold 6330 28核/56线程，2.0GHz主频  </w:t>
            </w:r>
          </w:p>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★4. 内存：最大支持16个内存DIMM槽，实配≥320GB DDR4；</w:t>
            </w:r>
          </w:p>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5. 硬盘：最大支持8个热插拔3.5”/2.5” SATA/SAS/SSD硬盘; 实配 ≥1块1.92TB U.2 SSD硬盘，2块4TB 7.2K转企业级SATA硬盘；</w:t>
            </w:r>
          </w:p>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6.Raid卡：2G缓存带电容</w:t>
            </w:r>
          </w:p>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6. 网络：集成2个千兆网口；2个万兆光网口（含光模块两对）</w:t>
            </w:r>
          </w:p>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7. I/O： ≥ 3个PCI-E扩展插槽，2个USB端口，1个VGA端口；</w:t>
            </w:r>
          </w:p>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8. 电源：标配高效节能服务器专用电源，1+1铂金热插拔冗余电源</w:t>
            </w:r>
          </w:p>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9. 支持IPMI2.0，对外提供1个100/1000 Mbps RJ45管理网口，支持远程管理</w:t>
            </w:r>
          </w:p>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10. 平台集成远程维护，可过WEB管理台上的控制台直接进入服务器底层操作系统，实现底层系统编辑和维护；</w:t>
            </w:r>
          </w:p>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11. 为了应对学校网络调整，可在管理平台上灵活修改服务器的ip地址，无需重启服务器，使用更改后的ip地址即可访问平台，平台原有模板、桌面信息、网络配置无变化</w:t>
            </w:r>
          </w:p>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1</w:t>
            </w:r>
            <w:r>
              <w:rPr>
                <w:rFonts w:ascii="微软雅黑" w:hAnsi="微软雅黑" w:eastAsia="微软雅黑" w:cs="宋体"/>
                <w:kern w:val="0"/>
                <w:sz w:val="20"/>
              </w:rPr>
              <w:t>2</w:t>
            </w:r>
            <w:r>
              <w:rPr>
                <w:rFonts w:hint="eastAsia" w:ascii="微软雅黑" w:hAnsi="微软雅黑" w:eastAsia="微软雅黑" w:cs="宋体"/>
                <w:kern w:val="0"/>
                <w:sz w:val="20"/>
              </w:rPr>
              <w:t>. 为了保证服务器不因拉闸断电导致硬件损坏，能够通过平台设置服务器定时关机策略，能够设定周一至周五，服务器自动关机的时间，能够精确到分钟。</w:t>
            </w:r>
          </w:p>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1</w:t>
            </w:r>
            <w:r>
              <w:rPr>
                <w:rFonts w:ascii="微软雅黑" w:hAnsi="微软雅黑" w:eastAsia="微软雅黑" w:cs="宋体"/>
                <w:kern w:val="0"/>
                <w:sz w:val="20"/>
              </w:rPr>
              <w:t>3</w:t>
            </w:r>
            <w:r>
              <w:rPr>
                <w:rFonts w:hint="eastAsia" w:ascii="微软雅黑" w:hAnsi="微软雅黑" w:eastAsia="微软雅黑" w:cs="宋体"/>
                <w:kern w:val="0"/>
                <w:sz w:val="20"/>
              </w:rPr>
              <w:t>. 提供CNAS认可资质的第三方专业检测机构出具的产品检测报告，报告至少涵盖高温工作、交变湿热、随机振动、压力试验、跌落实验、碰撞试验等内容；</w:t>
            </w:r>
          </w:p>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1</w:t>
            </w:r>
            <w:r>
              <w:rPr>
                <w:rFonts w:ascii="微软雅黑" w:hAnsi="微软雅黑" w:eastAsia="微软雅黑" w:cs="宋体"/>
                <w:kern w:val="0"/>
                <w:sz w:val="20"/>
              </w:rPr>
              <w:t>4</w:t>
            </w:r>
            <w:r>
              <w:rPr>
                <w:rFonts w:hint="eastAsia" w:ascii="微软雅黑" w:hAnsi="微软雅黑" w:eastAsia="微软雅黑" w:cs="宋体"/>
                <w:kern w:val="0"/>
                <w:sz w:val="20"/>
              </w:rPr>
              <w:t>. 通过国家强制CCC认证以及节能认证；</w:t>
            </w:r>
          </w:p>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1</w:t>
            </w:r>
            <w:r>
              <w:rPr>
                <w:rFonts w:ascii="微软雅黑" w:hAnsi="微软雅黑" w:eastAsia="微软雅黑" w:cs="宋体"/>
                <w:kern w:val="0"/>
                <w:sz w:val="20"/>
              </w:rPr>
              <w:t>5</w:t>
            </w:r>
            <w:r>
              <w:rPr>
                <w:rFonts w:hint="eastAsia" w:ascii="微软雅黑" w:hAnsi="微软雅黑" w:eastAsia="微软雅黑" w:cs="宋体"/>
                <w:kern w:val="0"/>
                <w:sz w:val="20"/>
              </w:rPr>
              <w:t>. 提供不少于原厂7年质保。所供产品现场开箱，要求整机原配出厂，到客户处现场拆封，整机配置要求与出厂配置一致（出厂配置按本设备的序列号再原厂售后服务器数据库中查询为准），其产品的质保服务器最终用户名为“浙江财经大学”。</w:t>
            </w:r>
          </w:p>
        </w:tc>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hint="eastAsia" w:ascii="微软雅黑" w:hAnsi="微软雅黑" w:eastAsia="微软雅黑" w:cs="宋体"/>
                <w:kern w:val="0"/>
                <w:sz w:val="20"/>
              </w:rPr>
              <w:t>1</w:t>
            </w:r>
            <w:r>
              <w:rPr>
                <w:rFonts w:ascii="微软雅黑" w:hAnsi="微软雅黑" w:eastAsia="微软雅黑" w:cs="宋体"/>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ascii="微软雅黑" w:hAnsi="微软雅黑" w:eastAsia="微软雅黑" w:cs="宋体"/>
                <w:color w:val="000000"/>
                <w:kern w:val="0"/>
                <w:sz w:val="20"/>
              </w:rPr>
              <w:t>5</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hint="eastAsia" w:ascii="微软雅黑" w:hAnsi="微软雅黑" w:eastAsia="微软雅黑" w:cs="宋体"/>
                <w:kern w:val="0"/>
                <w:sz w:val="20"/>
              </w:rPr>
              <w:t>光纤交换机</w:t>
            </w:r>
          </w:p>
        </w:tc>
        <w:tc>
          <w:tcPr>
            <w:tcW w:w="6313" w:type="dxa"/>
            <w:tcBorders>
              <w:top w:val="single" w:color="auto" w:sz="4" w:space="0"/>
              <w:left w:val="single" w:color="auto" w:sz="4" w:space="0"/>
              <w:bottom w:val="single" w:color="auto" w:sz="4" w:space="0"/>
              <w:right w:val="single" w:color="auto" w:sz="4" w:space="0"/>
            </w:tcBorders>
            <w:noWrap w:val="0"/>
            <w:vAlign w:val="center"/>
          </w:tcPr>
          <w:p>
            <w:pPr>
              <w:jc w:val="left"/>
              <w:rPr>
                <w:rFonts w:ascii="微软雅黑" w:hAnsi="微软雅黑" w:eastAsia="微软雅黑" w:cs="宋体"/>
                <w:kern w:val="0"/>
                <w:sz w:val="20"/>
              </w:rPr>
            </w:pPr>
            <w:r>
              <w:rPr>
                <w:rFonts w:hint="eastAsia" w:ascii="微软雅黑" w:hAnsi="微软雅黑" w:eastAsia="微软雅黑" w:cs="宋体"/>
                <w:kern w:val="0"/>
                <w:sz w:val="20"/>
              </w:rPr>
              <w:t>接口：48个10GE SFP+接口，6个40GE QSFP+接口</w:t>
            </w:r>
          </w:p>
          <w:p>
            <w:pPr>
              <w:jc w:val="left"/>
              <w:rPr>
                <w:rFonts w:ascii="微软雅黑" w:hAnsi="微软雅黑" w:eastAsia="微软雅黑" w:cs="宋体"/>
                <w:kern w:val="0"/>
                <w:sz w:val="20"/>
              </w:rPr>
            </w:pPr>
            <w:r>
              <w:rPr>
                <w:rFonts w:hint="eastAsia" w:ascii="微软雅黑" w:hAnsi="微软雅黑" w:eastAsia="微软雅黑" w:cs="宋体"/>
                <w:kern w:val="0"/>
                <w:sz w:val="20"/>
              </w:rPr>
              <w:t>交换容量：不低于2.56Tbps/40.96Tbps1</w:t>
            </w:r>
          </w:p>
          <w:p>
            <w:pPr>
              <w:jc w:val="left"/>
              <w:rPr>
                <w:rFonts w:ascii="微软雅黑" w:hAnsi="微软雅黑" w:eastAsia="微软雅黑" w:cs="宋体"/>
                <w:kern w:val="0"/>
                <w:sz w:val="20"/>
              </w:rPr>
            </w:pPr>
            <w:r>
              <w:rPr>
                <w:rFonts w:hint="eastAsia" w:ascii="微软雅黑" w:hAnsi="微软雅黑" w:eastAsia="微软雅黑" w:cs="宋体"/>
                <w:kern w:val="0"/>
                <w:sz w:val="20"/>
              </w:rPr>
              <w:t>包转发率：不低于1080 Mpps</w:t>
            </w:r>
          </w:p>
          <w:p>
            <w:pPr>
              <w:jc w:val="left"/>
              <w:rPr>
                <w:rFonts w:ascii="微软雅黑" w:hAnsi="微软雅黑" w:eastAsia="微软雅黑" w:cs="宋体"/>
                <w:kern w:val="0"/>
                <w:sz w:val="20"/>
              </w:rPr>
            </w:pPr>
            <w:r>
              <w:rPr>
                <w:rFonts w:hint="eastAsia" w:ascii="微软雅黑" w:hAnsi="微软雅黑" w:eastAsia="微软雅黑" w:cs="宋体"/>
                <w:kern w:val="0"/>
                <w:sz w:val="20"/>
              </w:rPr>
              <w:t>设备虚拟化：支持iStack堆叠，支持SVF3，支持M-LAG</w:t>
            </w:r>
          </w:p>
          <w:p>
            <w:pPr>
              <w:jc w:val="left"/>
              <w:rPr>
                <w:rFonts w:ascii="微软雅黑" w:hAnsi="微软雅黑" w:eastAsia="微软雅黑" w:cs="宋体"/>
                <w:kern w:val="0"/>
                <w:sz w:val="20"/>
              </w:rPr>
            </w:pPr>
            <w:r>
              <w:rPr>
                <w:rFonts w:hint="eastAsia" w:ascii="微软雅黑" w:hAnsi="微软雅黑" w:eastAsia="微软雅黑" w:cs="宋体"/>
                <w:kern w:val="0"/>
                <w:sz w:val="20"/>
              </w:rPr>
              <w:t>风道类型：标准前后或后前风道</w:t>
            </w:r>
          </w:p>
          <w:p>
            <w:pPr>
              <w:jc w:val="left"/>
              <w:rPr>
                <w:rFonts w:ascii="微软雅黑" w:hAnsi="微软雅黑" w:eastAsia="微软雅黑" w:cs="宋体"/>
                <w:kern w:val="0"/>
                <w:sz w:val="20"/>
              </w:rPr>
            </w:pPr>
            <w:r>
              <w:rPr>
                <w:rFonts w:hint="eastAsia" w:ascii="微软雅黑" w:hAnsi="微软雅黑" w:eastAsia="微软雅黑" w:cs="宋体"/>
                <w:kern w:val="0"/>
                <w:sz w:val="20"/>
              </w:rPr>
              <w:t>网络虚拟化：支持TRILL，支持VxLAN routing 和VxLAN bridging ，支持BGP-EVPN，支持QinQ in VxLAN</w:t>
            </w:r>
          </w:p>
          <w:p>
            <w:pPr>
              <w:jc w:val="left"/>
              <w:rPr>
                <w:rFonts w:ascii="微软雅黑" w:hAnsi="微软雅黑" w:eastAsia="微软雅黑" w:cs="宋体"/>
                <w:kern w:val="0"/>
                <w:sz w:val="20"/>
              </w:rPr>
            </w:pPr>
            <w:r>
              <w:rPr>
                <w:rFonts w:hint="eastAsia" w:ascii="微软雅黑" w:hAnsi="微软雅黑" w:eastAsia="微软雅黑" w:cs="宋体"/>
                <w:kern w:val="0"/>
                <w:sz w:val="20"/>
              </w:rPr>
              <w:t>数据中心互联：支持VxLAN Mapping，实现多DC二层</w:t>
            </w:r>
          </w:p>
        </w:tc>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hint="eastAsia" w:ascii="微软雅黑" w:hAnsi="微软雅黑" w:eastAsia="微软雅黑" w:cs="宋体"/>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ascii="微软雅黑" w:hAnsi="微软雅黑" w:eastAsia="微软雅黑" w:cs="宋体"/>
                <w:color w:val="000000"/>
                <w:kern w:val="0"/>
                <w:sz w:val="20"/>
              </w:rPr>
              <w:t>6</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hint="eastAsia" w:ascii="微软雅黑" w:hAnsi="微软雅黑" w:eastAsia="微软雅黑" w:cs="宋体"/>
                <w:kern w:val="0"/>
                <w:sz w:val="20"/>
              </w:rPr>
              <w:t>工程投影仪</w:t>
            </w:r>
          </w:p>
        </w:tc>
        <w:tc>
          <w:tcPr>
            <w:tcW w:w="6313" w:type="dxa"/>
            <w:tcBorders>
              <w:top w:val="single" w:color="auto" w:sz="4" w:space="0"/>
              <w:left w:val="single" w:color="auto" w:sz="4" w:space="0"/>
              <w:bottom w:val="single" w:color="auto" w:sz="4" w:space="0"/>
              <w:right w:val="single" w:color="auto" w:sz="4" w:space="0"/>
            </w:tcBorders>
            <w:noWrap w:val="0"/>
            <w:vAlign w:val="center"/>
          </w:tcPr>
          <w:p>
            <w:pPr>
              <w:jc w:val="left"/>
              <w:rPr>
                <w:rFonts w:ascii="微软雅黑" w:hAnsi="微软雅黑" w:eastAsia="微软雅黑" w:cs="宋体"/>
                <w:kern w:val="0"/>
                <w:sz w:val="20"/>
              </w:rPr>
            </w:pPr>
            <w:r>
              <w:rPr>
                <w:rFonts w:hint="eastAsia" w:ascii="微软雅黑" w:hAnsi="微软雅黑" w:eastAsia="微软雅黑" w:cs="宋体"/>
                <w:kern w:val="0"/>
                <w:sz w:val="20"/>
              </w:rPr>
              <w:t>1：高端激光工程投影机，投影技术3LCD显示芯片≥0.59英寸；</w:t>
            </w:r>
          </w:p>
          <w:p>
            <w:pPr>
              <w:jc w:val="left"/>
              <w:rPr>
                <w:rFonts w:ascii="微软雅黑" w:hAnsi="微软雅黑" w:eastAsia="微软雅黑" w:cs="宋体"/>
                <w:kern w:val="0"/>
                <w:sz w:val="20"/>
              </w:rPr>
            </w:pPr>
            <w:r>
              <w:rPr>
                <w:rFonts w:hint="eastAsia" w:ascii="微软雅黑" w:hAnsi="微软雅黑" w:eastAsia="微软雅黑" w:cs="宋体"/>
                <w:kern w:val="0"/>
                <w:sz w:val="20"/>
              </w:rPr>
              <w:t>2：亮度≥5200流明；</w:t>
            </w:r>
          </w:p>
          <w:p>
            <w:pPr>
              <w:jc w:val="left"/>
              <w:rPr>
                <w:rFonts w:ascii="微软雅黑" w:hAnsi="微软雅黑" w:eastAsia="微软雅黑" w:cs="宋体"/>
                <w:kern w:val="0"/>
                <w:sz w:val="20"/>
              </w:rPr>
            </w:pPr>
            <w:r>
              <w:rPr>
                <w:rFonts w:hint="eastAsia" w:ascii="微软雅黑" w:hAnsi="微软雅黑" w:eastAsia="微软雅黑" w:cs="宋体"/>
                <w:kern w:val="0"/>
                <w:sz w:val="20"/>
              </w:rPr>
              <w:t>3：标准分辨率WXGA（1280*800），对比度≥2500000:1；</w:t>
            </w:r>
          </w:p>
          <w:p>
            <w:pPr>
              <w:jc w:val="left"/>
              <w:rPr>
                <w:rFonts w:ascii="微软雅黑" w:hAnsi="微软雅黑" w:eastAsia="微软雅黑" w:cs="宋体"/>
                <w:kern w:val="0"/>
                <w:sz w:val="20"/>
              </w:rPr>
            </w:pPr>
            <w:r>
              <w:rPr>
                <w:rFonts w:hint="eastAsia" w:ascii="微软雅黑" w:hAnsi="微软雅黑" w:eastAsia="微软雅黑" w:cs="宋体"/>
                <w:kern w:val="0"/>
                <w:sz w:val="20"/>
              </w:rPr>
              <w:t>4：采用免维护激光光源，标准模式寿命≥20000小时；</w:t>
            </w:r>
          </w:p>
          <w:p>
            <w:pPr>
              <w:jc w:val="left"/>
              <w:rPr>
                <w:rFonts w:ascii="微软雅黑" w:hAnsi="微软雅黑" w:eastAsia="微软雅黑" w:cs="宋体"/>
                <w:kern w:val="0"/>
                <w:sz w:val="20"/>
              </w:rPr>
            </w:pPr>
            <w:r>
              <w:rPr>
                <w:rFonts w:hint="eastAsia" w:ascii="微软雅黑" w:hAnsi="微软雅黑" w:eastAsia="微软雅黑" w:cs="宋体"/>
                <w:kern w:val="0"/>
                <w:sz w:val="20"/>
              </w:rPr>
              <w:t>5：激光二极管标准模式2万小时，免维护，使用无机荧光轮和无机LCD 晶板；</w:t>
            </w:r>
          </w:p>
          <w:p>
            <w:pPr>
              <w:jc w:val="left"/>
              <w:rPr>
                <w:rFonts w:ascii="微软雅黑" w:hAnsi="微软雅黑" w:eastAsia="微软雅黑" w:cs="宋体"/>
                <w:kern w:val="0"/>
                <w:sz w:val="20"/>
              </w:rPr>
            </w:pPr>
            <w:r>
              <w:rPr>
                <w:rFonts w:hint="eastAsia" w:ascii="微软雅黑" w:hAnsi="微软雅黑" w:eastAsia="微软雅黑" w:cs="宋体"/>
                <w:kern w:val="0"/>
                <w:sz w:val="20"/>
              </w:rPr>
              <w:t xml:space="preserve">6：专业工程镜头居中设计，1.6倍变焦，镜头投射比1.38-2.24:1，镜头垂直位移≥±30，水平位移≥±30； </w:t>
            </w:r>
          </w:p>
          <w:p>
            <w:pPr>
              <w:jc w:val="left"/>
              <w:rPr>
                <w:rFonts w:ascii="微软雅黑" w:hAnsi="微软雅黑" w:eastAsia="微软雅黑" w:cs="宋体"/>
                <w:kern w:val="0"/>
                <w:sz w:val="20"/>
              </w:rPr>
            </w:pPr>
            <w:r>
              <w:rPr>
                <w:rFonts w:hint="eastAsia" w:ascii="微软雅黑" w:hAnsi="微软雅黑" w:eastAsia="微软雅黑" w:cs="宋体"/>
                <w:kern w:val="0"/>
                <w:sz w:val="20"/>
              </w:rPr>
              <w:t>7：丰富的端口设计，包含HDMI、RGB接口、USB等输入端口，支持HD-BaseT超远距离传输接口, 实现网线高清数字传输；</w:t>
            </w:r>
          </w:p>
          <w:p>
            <w:pPr>
              <w:jc w:val="left"/>
              <w:rPr>
                <w:rFonts w:ascii="微软雅黑" w:hAnsi="微软雅黑" w:eastAsia="微软雅黑" w:cs="宋体"/>
                <w:kern w:val="0"/>
                <w:sz w:val="20"/>
              </w:rPr>
            </w:pPr>
            <w:r>
              <w:rPr>
                <w:rFonts w:hint="eastAsia" w:ascii="微软雅黑" w:hAnsi="微软雅黑" w:eastAsia="微软雅黑" w:cs="宋体"/>
                <w:kern w:val="0"/>
                <w:sz w:val="20"/>
              </w:rPr>
              <w:t>8：功能：支持几何校正（水平垂直梯形校正，点校正，弧形校正），内置多画面拼接系统、镜头水平可移动50%、左右移动20%、具有快整四角校正、弧形矫正，支持选配原厂无线网卡实现无线投影，360 度全方位安装；</w:t>
            </w:r>
          </w:p>
          <w:p>
            <w:pPr>
              <w:jc w:val="left"/>
              <w:rPr>
                <w:rFonts w:ascii="微软雅黑" w:hAnsi="微软雅黑" w:eastAsia="微软雅黑" w:cs="宋体"/>
                <w:kern w:val="0"/>
                <w:sz w:val="20"/>
              </w:rPr>
            </w:pPr>
            <w:r>
              <w:rPr>
                <w:rFonts w:ascii="微软雅黑" w:hAnsi="微软雅黑" w:eastAsia="微软雅黑" w:cs="宋体"/>
                <w:kern w:val="0"/>
                <w:sz w:val="20"/>
              </w:rPr>
              <w:t>9</w:t>
            </w:r>
            <w:r>
              <w:rPr>
                <w:rFonts w:hint="eastAsia" w:ascii="微软雅黑" w:hAnsi="微软雅黑" w:eastAsia="微软雅黑" w:cs="宋体"/>
                <w:kern w:val="0"/>
                <w:sz w:val="20"/>
              </w:rPr>
              <w:t>：支持自定义亮度模式，用户可以在亮度100%~70%之间，以1%为单位进行亮度调节</w:t>
            </w:r>
          </w:p>
          <w:p>
            <w:pPr>
              <w:jc w:val="left"/>
              <w:rPr>
                <w:rFonts w:ascii="微软雅黑" w:hAnsi="微软雅黑" w:eastAsia="微软雅黑" w:cs="宋体"/>
                <w:kern w:val="0"/>
                <w:sz w:val="20"/>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ascii="微软雅黑" w:hAnsi="微软雅黑" w:eastAsia="微软雅黑" w:cs="宋体"/>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ascii="微软雅黑" w:hAnsi="微软雅黑" w:eastAsia="微软雅黑" w:cs="宋体"/>
                <w:color w:val="000000"/>
                <w:kern w:val="0"/>
                <w:sz w:val="20"/>
              </w:rPr>
              <w:t>7</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hint="eastAsia" w:ascii="微软雅黑" w:hAnsi="微软雅黑" w:eastAsia="微软雅黑" w:cs="宋体"/>
                <w:kern w:val="0"/>
                <w:sz w:val="20"/>
              </w:rPr>
              <w:t>画框幕布</w:t>
            </w:r>
          </w:p>
        </w:tc>
        <w:tc>
          <w:tcPr>
            <w:tcW w:w="6313" w:type="dxa"/>
            <w:tcBorders>
              <w:top w:val="single" w:color="auto" w:sz="4" w:space="0"/>
              <w:left w:val="single" w:color="auto" w:sz="4" w:space="0"/>
              <w:bottom w:val="single" w:color="auto" w:sz="4" w:space="0"/>
              <w:right w:val="single" w:color="auto" w:sz="4" w:space="0"/>
            </w:tcBorders>
            <w:noWrap w:val="0"/>
            <w:vAlign w:val="center"/>
          </w:tcPr>
          <w:p>
            <w:pPr>
              <w:jc w:val="left"/>
              <w:rPr>
                <w:rFonts w:ascii="微软雅黑" w:hAnsi="微软雅黑" w:eastAsia="微软雅黑" w:cs="宋体"/>
                <w:kern w:val="0"/>
                <w:sz w:val="20"/>
              </w:rPr>
            </w:pPr>
            <w:r>
              <w:rPr>
                <w:rFonts w:hint="eastAsia" w:ascii="微软雅黑" w:hAnsi="微软雅黑" w:eastAsia="微软雅黑" w:cs="宋体"/>
                <w:kern w:val="0"/>
                <w:sz w:val="20"/>
              </w:rPr>
              <w:t>尺寸：150寸</w:t>
            </w:r>
          </w:p>
          <w:p>
            <w:pPr>
              <w:jc w:val="left"/>
              <w:rPr>
                <w:rFonts w:ascii="微软雅黑" w:hAnsi="微软雅黑" w:eastAsia="微软雅黑" w:cs="宋体"/>
                <w:kern w:val="0"/>
                <w:sz w:val="20"/>
              </w:rPr>
            </w:pPr>
            <w:r>
              <w:rPr>
                <w:rFonts w:hint="eastAsia" w:ascii="微软雅黑" w:hAnsi="微软雅黑" w:eastAsia="微软雅黑" w:cs="宋体"/>
                <w:kern w:val="0"/>
                <w:sz w:val="20"/>
              </w:rPr>
              <w:t>长宽比：16:10</w:t>
            </w:r>
          </w:p>
          <w:p>
            <w:pPr>
              <w:jc w:val="left"/>
              <w:rPr>
                <w:rFonts w:ascii="微软雅黑" w:hAnsi="微软雅黑" w:eastAsia="微软雅黑" w:cs="宋体"/>
                <w:kern w:val="0"/>
                <w:sz w:val="20"/>
              </w:rPr>
            </w:pPr>
            <w:r>
              <w:rPr>
                <w:rFonts w:hint="eastAsia" w:ascii="微软雅黑" w:hAnsi="微软雅黑" w:eastAsia="微软雅黑" w:cs="宋体"/>
                <w:kern w:val="0"/>
                <w:sz w:val="20"/>
              </w:rPr>
              <w:t>幕布材质：纳米微晶抗光</w:t>
            </w:r>
          </w:p>
          <w:p>
            <w:pPr>
              <w:jc w:val="left"/>
              <w:rPr>
                <w:rFonts w:ascii="微软雅黑" w:hAnsi="微软雅黑" w:eastAsia="微软雅黑" w:cs="宋体"/>
                <w:kern w:val="0"/>
                <w:sz w:val="20"/>
              </w:rPr>
            </w:pPr>
            <w:r>
              <w:rPr>
                <w:rFonts w:hint="eastAsia" w:ascii="微软雅黑" w:hAnsi="微软雅黑" w:eastAsia="微软雅黑" w:cs="宋体"/>
                <w:kern w:val="0"/>
                <w:sz w:val="20"/>
              </w:rPr>
              <w:t>幕布特点：白塑纤维，不变色;幕布背面为黑色，不透光幕布表面易清洁</w:t>
            </w:r>
          </w:p>
        </w:tc>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ascii="微软雅黑" w:hAnsi="微软雅黑" w:eastAsia="微软雅黑" w:cs="宋体"/>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ascii="微软雅黑" w:hAnsi="微软雅黑" w:eastAsia="微软雅黑" w:cs="宋体"/>
                <w:color w:val="000000"/>
                <w:kern w:val="0"/>
                <w:sz w:val="20"/>
              </w:rPr>
              <w:t>8</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ascii="微软雅黑" w:hAnsi="微软雅黑" w:eastAsia="微软雅黑" w:cs="宋体"/>
                <w:kern w:val="0"/>
                <w:sz w:val="20"/>
              </w:rPr>
              <w:t>100</w:t>
            </w:r>
            <w:r>
              <w:rPr>
                <w:rFonts w:hint="eastAsia" w:ascii="微软雅黑" w:hAnsi="微软雅黑" w:eastAsia="微软雅黑" w:cs="宋体"/>
                <w:kern w:val="0"/>
                <w:sz w:val="20"/>
              </w:rPr>
              <w:t>寸大屏</w:t>
            </w:r>
          </w:p>
        </w:tc>
        <w:tc>
          <w:tcPr>
            <w:tcW w:w="631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微软雅黑" w:hAnsi="微软雅黑" w:eastAsia="微软雅黑"/>
                <w:kern w:val="0"/>
                <w:sz w:val="20"/>
              </w:rPr>
            </w:pPr>
            <w:r>
              <w:rPr>
                <w:rFonts w:hint="eastAsia" w:ascii="微软雅黑" w:hAnsi="微软雅黑" w:eastAsia="微软雅黑"/>
                <w:kern w:val="0"/>
                <w:sz w:val="20"/>
              </w:rPr>
              <w:t>整机设计：</w:t>
            </w:r>
          </w:p>
          <w:p>
            <w:pPr>
              <w:widowControl/>
              <w:jc w:val="left"/>
              <w:rPr>
                <w:rFonts w:hint="eastAsia" w:ascii="微软雅黑" w:hAnsi="微软雅黑" w:eastAsia="微软雅黑"/>
                <w:kern w:val="0"/>
                <w:sz w:val="20"/>
              </w:rPr>
            </w:pPr>
            <w:r>
              <w:rPr>
                <w:rFonts w:hint="eastAsia" w:ascii="微软雅黑" w:hAnsi="微软雅黑" w:eastAsia="微软雅黑"/>
                <w:kern w:val="0"/>
                <w:sz w:val="20"/>
              </w:rPr>
              <w:t>1 超薄窄边框设计，整机屏占比≥92%以上，整机最薄处≤25mm</w:t>
            </w:r>
          </w:p>
          <w:p>
            <w:pPr>
              <w:widowControl/>
              <w:jc w:val="left"/>
              <w:rPr>
                <w:rFonts w:hint="eastAsia" w:ascii="微软雅黑" w:hAnsi="微软雅黑" w:eastAsia="微软雅黑"/>
                <w:kern w:val="0"/>
                <w:sz w:val="20"/>
              </w:rPr>
            </w:pPr>
            <w:r>
              <w:rPr>
                <w:rFonts w:hint="eastAsia" w:ascii="微软雅黑" w:hAnsi="微软雅黑" w:eastAsia="微软雅黑"/>
                <w:kern w:val="0"/>
                <w:sz w:val="20"/>
              </w:rPr>
              <w:t xml:space="preserve"> 2 整机采用Android 11.0系统，内置CPU性能≥四核A55，内置GPU性能≥双核Mali G52，RAM≥4G，ROM≥32G</w:t>
            </w:r>
          </w:p>
          <w:p>
            <w:pPr>
              <w:widowControl/>
              <w:jc w:val="left"/>
              <w:rPr>
                <w:rFonts w:hint="eastAsia" w:ascii="微软雅黑" w:hAnsi="微软雅黑" w:eastAsia="微软雅黑"/>
                <w:kern w:val="0"/>
                <w:sz w:val="20"/>
              </w:rPr>
            </w:pPr>
            <w:r>
              <w:rPr>
                <w:rFonts w:hint="eastAsia" w:ascii="微软雅黑" w:hAnsi="微软雅黑" w:eastAsia="微软雅黑"/>
                <w:kern w:val="0"/>
                <w:sz w:val="20"/>
              </w:rPr>
              <w:t xml:space="preserve"> 3 采用2.0声道，内置扬声器功率≥20W</w:t>
            </w:r>
          </w:p>
          <w:p>
            <w:pPr>
              <w:widowControl/>
              <w:jc w:val="left"/>
              <w:rPr>
                <w:rFonts w:hint="eastAsia" w:ascii="微软雅黑" w:hAnsi="微软雅黑" w:eastAsia="微软雅黑"/>
                <w:kern w:val="0"/>
                <w:sz w:val="20"/>
              </w:rPr>
            </w:pPr>
            <w:r>
              <w:rPr>
                <w:rFonts w:hint="eastAsia" w:ascii="微软雅黑" w:hAnsi="微软雅黑" w:eastAsia="微软雅黑"/>
                <w:kern w:val="0"/>
                <w:sz w:val="20"/>
              </w:rPr>
              <w:t xml:space="preserve"> 4 无线模块支持802.11 a/b/g/n/ac，工作频率2.4GHz/5GHz</w:t>
            </w:r>
          </w:p>
          <w:p>
            <w:pPr>
              <w:widowControl/>
              <w:jc w:val="left"/>
              <w:rPr>
                <w:rFonts w:hint="eastAsia" w:ascii="微软雅黑" w:hAnsi="微软雅黑" w:eastAsia="微软雅黑"/>
                <w:kern w:val="0"/>
                <w:sz w:val="20"/>
              </w:rPr>
            </w:pPr>
            <w:r>
              <w:rPr>
                <w:rFonts w:hint="eastAsia" w:ascii="微软雅黑" w:hAnsi="微软雅黑" w:eastAsia="微软雅黑"/>
                <w:kern w:val="0"/>
                <w:sz w:val="20"/>
              </w:rPr>
              <w:t xml:space="preserve"> 5 I/O接口：≥2路HDMI IN，≥4路 USB接口（前置≥2路，后置≥2路，至少包含1路USB3.0），≥1路Line in，≥1路AUDIO OUT，≥1路RJ45 IN，≥1路RS232</w:t>
            </w:r>
          </w:p>
          <w:p>
            <w:pPr>
              <w:widowControl/>
              <w:jc w:val="left"/>
              <w:rPr>
                <w:rFonts w:hint="eastAsia" w:ascii="微软雅黑" w:hAnsi="微软雅黑" w:eastAsia="微软雅黑"/>
                <w:kern w:val="0"/>
                <w:sz w:val="20"/>
              </w:rPr>
            </w:pPr>
            <w:r>
              <w:rPr>
                <w:rFonts w:hint="eastAsia" w:ascii="微软雅黑" w:hAnsi="微软雅黑" w:eastAsia="微软雅黑"/>
                <w:kern w:val="0"/>
                <w:sz w:val="20"/>
              </w:rPr>
              <w:t xml:space="preserve"> 6 整机符合GB/T 17626.5-2019浪涌（冲击）抗扰度、GB/T 17626.2-2018静电放电抗扰度、GB/T 17626.3-2016射频电磁场辐射抗扰度、GB/T 17626.4-2018电快速瞬变脉冲群抗扰度、GB/T 17626.6-2017射频场感应的传导抗扰度、GB/T 17626.11-2008电压暂降、短时中断和电压变化抗扰度等要求，确保整机使用安全。</w:t>
            </w:r>
          </w:p>
          <w:p>
            <w:pPr>
              <w:widowControl/>
              <w:jc w:val="left"/>
              <w:rPr>
                <w:rFonts w:hint="eastAsia" w:ascii="微软雅黑" w:hAnsi="微软雅黑" w:eastAsia="微软雅黑"/>
                <w:kern w:val="0"/>
                <w:sz w:val="20"/>
              </w:rPr>
            </w:pPr>
            <w:r>
              <w:rPr>
                <w:rFonts w:hint="eastAsia" w:ascii="微软雅黑" w:hAnsi="微软雅黑" w:eastAsia="微软雅黑"/>
                <w:kern w:val="0"/>
                <w:sz w:val="20"/>
              </w:rPr>
              <w:t xml:space="preserve"> 7 整机符合盐雾试验、GB/T 2423.1低温试验、GB/T 2423.2高温试验，确保整机存储、使用安全。</w:t>
            </w:r>
          </w:p>
          <w:p>
            <w:pPr>
              <w:widowControl/>
              <w:jc w:val="left"/>
              <w:rPr>
                <w:rFonts w:hint="eastAsia" w:ascii="微软雅黑" w:hAnsi="微软雅黑" w:eastAsia="微软雅黑"/>
                <w:kern w:val="0"/>
                <w:sz w:val="20"/>
              </w:rPr>
            </w:pPr>
            <w:r>
              <w:rPr>
                <w:rFonts w:hint="eastAsia" w:ascii="微软雅黑" w:hAnsi="微软雅黑" w:eastAsia="微软雅黑"/>
                <w:kern w:val="0"/>
                <w:sz w:val="20"/>
              </w:rPr>
              <w:t xml:space="preserve"> 8 整机具备抗振动、防跌落特性，保证整机运输或使用过程中不易受损</w:t>
            </w:r>
          </w:p>
          <w:p>
            <w:pPr>
              <w:widowControl/>
              <w:jc w:val="left"/>
              <w:rPr>
                <w:rFonts w:hint="eastAsia" w:ascii="微软雅黑" w:hAnsi="微软雅黑" w:eastAsia="微软雅黑"/>
                <w:kern w:val="0"/>
                <w:sz w:val="20"/>
              </w:rPr>
            </w:pPr>
            <w:r>
              <w:rPr>
                <w:rFonts w:hint="eastAsia" w:ascii="微软雅黑" w:hAnsi="微软雅黑" w:eastAsia="微软雅黑"/>
                <w:kern w:val="0"/>
                <w:sz w:val="20"/>
              </w:rPr>
              <w:t xml:space="preserve"> 9 产品符合强制性产品认证制度，需具备CCC认证</w:t>
            </w:r>
          </w:p>
          <w:p>
            <w:pPr>
              <w:widowControl/>
              <w:jc w:val="left"/>
              <w:rPr>
                <w:rFonts w:hint="eastAsia" w:ascii="微软雅黑" w:hAnsi="微软雅黑" w:eastAsia="微软雅黑"/>
                <w:kern w:val="0"/>
                <w:sz w:val="20"/>
              </w:rPr>
            </w:pPr>
            <w:r>
              <w:rPr>
                <w:rFonts w:hint="eastAsia" w:ascii="微软雅黑" w:hAnsi="微软雅黑" w:eastAsia="微软雅黑"/>
                <w:kern w:val="0"/>
                <w:sz w:val="20"/>
              </w:rPr>
              <w:t xml:space="preserve"> 10 产品经过中国节能产品认证，需具备节能认证证书</w:t>
            </w:r>
          </w:p>
          <w:p>
            <w:pPr>
              <w:widowControl/>
              <w:jc w:val="left"/>
              <w:rPr>
                <w:rFonts w:hint="eastAsia" w:ascii="微软雅黑" w:hAnsi="微软雅黑" w:eastAsia="微软雅黑"/>
                <w:kern w:val="0"/>
                <w:sz w:val="20"/>
              </w:rPr>
            </w:pPr>
            <w:r>
              <w:rPr>
                <w:rFonts w:hint="eastAsia" w:ascii="微软雅黑" w:hAnsi="微软雅黑" w:eastAsia="微软雅黑"/>
                <w:kern w:val="0"/>
                <w:sz w:val="20"/>
              </w:rPr>
              <w:t>显示参数：</w:t>
            </w:r>
          </w:p>
          <w:p>
            <w:pPr>
              <w:widowControl/>
              <w:jc w:val="left"/>
              <w:rPr>
                <w:rFonts w:hint="eastAsia" w:ascii="微软雅黑" w:hAnsi="微软雅黑" w:eastAsia="微软雅黑"/>
                <w:kern w:val="0"/>
                <w:sz w:val="20"/>
              </w:rPr>
            </w:pPr>
            <w:r>
              <w:rPr>
                <w:rFonts w:hint="eastAsia" w:ascii="微软雅黑" w:hAnsi="微软雅黑" w:eastAsia="微软雅黑"/>
                <w:kern w:val="0"/>
                <w:sz w:val="20"/>
              </w:rPr>
              <w:t>1 为保证显示效果，要求整机屏幕采用100英寸VA液晶屏，显示比例16:9，屏幕分辨率≥3840*2160，屏亮度≥300cd/㎡，对比度≥4000:1</w:t>
            </w:r>
          </w:p>
          <w:p>
            <w:pPr>
              <w:widowControl/>
              <w:jc w:val="left"/>
              <w:rPr>
                <w:rFonts w:hint="eastAsia" w:ascii="微软雅黑" w:hAnsi="微软雅黑" w:eastAsia="微软雅黑"/>
                <w:kern w:val="0"/>
                <w:sz w:val="20"/>
              </w:rPr>
            </w:pPr>
            <w:r>
              <w:rPr>
                <w:rFonts w:hint="eastAsia" w:ascii="微软雅黑" w:hAnsi="微软雅黑" w:eastAsia="微软雅黑"/>
                <w:kern w:val="0"/>
                <w:sz w:val="20"/>
              </w:rPr>
              <w:t xml:space="preserve"> 2 为保证显示色彩的丰富程度，色域≥90%DCI-P3(Typ)</w:t>
            </w:r>
          </w:p>
          <w:p>
            <w:pPr>
              <w:widowControl/>
              <w:jc w:val="left"/>
              <w:rPr>
                <w:rFonts w:hint="eastAsia" w:ascii="微软雅黑" w:hAnsi="微软雅黑" w:eastAsia="微软雅黑"/>
                <w:kern w:val="0"/>
                <w:sz w:val="20"/>
              </w:rPr>
            </w:pPr>
            <w:r>
              <w:rPr>
                <w:rFonts w:hint="eastAsia" w:ascii="微软雅黑" w:hAnsi="微软雅黑" w:eastAsia="微软雅黑"/>
                <w:kern w:val="0"/>
                <w:sz w:val="20"/>
              </w:rPr>
              <w:t>无线传屏：</w:t>
            </w:r>
          </w:p>
          <w:p>
            <w:pPr>
              <w:widowControl/>
              <w:jc w:val="left"/>
              <w:rPr>
                <w:rFonts w:hint="eastAsia" w:ascii="微软雅黑" w:hAnsi="微软雅黑" w:eastAsia="微软雅黑"/>
                <w:kern w:val="0"/>
                <w:sz w:val="20"/>
              </w:rPr>
            </w:pPr>
            <w:r>
              <w:rPr>
                <w:rFonts w:hint="eastAsia" w:ascii="微软雅黑" w:hAnsi="微软雅黑" w:eastAsia="微软雅黑"/>
                <w:kern w:val="0"/>
                <w:sz w:val="20"/>
              </w:rPr>
              <w:t>1 支持同时8个无线传屏器，画面分别投屏到同一个整机，可通过按键切换传输不同外部电脑的画面及声音</w:t>
            </w:r>
          </w:p>
          <w:p>
            <w:pPr>
              <w:widowControl/>
              <w:jc w:val="left"/>
              <w:rPr>
                <w:rFonts w:hint="eastAsia" w:ascii="微软雅黑" w:hAnsi="微软雅黑" w:eastAsia="微软雅黑"/>
                <w:kern w:val="0"/>
                <w:sz w:val="20"/>
              </w:rPr>
            </w:pPr>
            <w:r>
              <w:rPr>
                <w:rFonts w:hint="eastAsia" w:ascii="微软雅黑" w:hAnsi="微软雅黑" w:eastAsia="微软雅黑"/>
                <w:kern w:val="0"/>
                <w:sz w:val="20"/>
              </w:rPr>
              <w:t xml:space="preserve"> 2 支持手机投屏软件操控大屏，小屏控大屏满足近端操控需求</w:t>
            </w:r>
          </w:p>
          <w:p>
            <w:pPr>
              <w:widowControl/>
              <w:jc w:val="left"/>
              <w:rPr>
                <w:rFonts w:hint="eastAsia" w:ascii="微软雅黑" w:hAnsi="微软雅黑" w:eastAsia="微软雅黑"/>
                <w:kern w:val="0"/>
                <w:sz w:val="20"/>
              </w:rPr>
            </w:pPr>
            <w:r>
              <w:rPr>
                <w:rFonts w:hint="eastAsia" w:ascii="微软雅黑" w:hAnsi="微软雅黑" w:eastAsia="微软雅黑"/>
                <w:kern w:val="0"/>
                <w:sz w:val="20"/>
              </w:rPr>
              <w:t xml:space="preserve"> 3 手机和电脑支持混合投屏展示，可支持4个画面同屏展示</w:t>
            </w:r>
          </w:p>
          <w:p>
            <w:pPr>
              <w:widowControl/>
              <w:jc w:val="left"/>
              <w:rPr>
                <w:rFonts w:hint="eastAsia" w:ascii="微软雅黑" w:hAnsi="微软雅黑" w:eastAsia="微软雅黑"/>
                <w:kern w:val="0"/>
                <w:sz w:val="20"/>
              </w:rPr>
            </w:pPr>
            <w:r>
              <w:rPr>
                <w:rFonts w:hint="eastAsia" w:ascii="微软雅黑" w:hAnsi="微软雅黑" w:eastAsia="微软雅黑"/>
                <w:kern w:val="0"/>
                <w:sz w:val="20"/>
              </w:rPr>
              <w:t xml:space="preserve"> 4 无线传屏软硬件均支持win10系统/MAC系统扩展屏显示</w:t>
            </w:r>
          </w:p>
          <w:p>
            <w:pPr>
              <w:widowControl/>
              <w:jc w:val="left"/>
              <w:rPr>
                <w:rFonts w:hint="eastAsia" w:ascii="微软雅黑" w:hAnsi="微软雅黑" w:eastAsia="微软雅黑"/>
                <w:kern w:val="0"/>
                <w:sz w:val="20"/>
              </w:rPr>
            </w:pPr>
            <w:r>
              <w:rPr>
                <w:rFonts w:hint="eastAsia" w:ascii="微软雅黑" w:hAnsi="微软雅黑" w:eastAsia="微软雅黑"/>
                <w:kern w:val="0"/>
                <w:sz w:val="20"/>
              </w:rPr>
              <w:t xml:space="preserve"> 5 无线传屏视频数据加密，加密方式：AES（CBC模式），128 位，保障数据传输安全</w:t>
            </w:r>
          </w:p>
          <w:p>
            <w:pPr>
              <w:widowControl/>
              <w:jc w:val="left"/>
              <w:rPr>
                <w:rFonts w:hint="eastAsia" w:ascii="微软雅黑" w:hAnsi="微软雅黑" w:eastAsia="微软雅黑"/>
                <w:kern w:val="0"/>
                <w:sz w:val="20"/>
              </w:rPr>
            </w:pPr>
            <w:r>
              <w:rPr>
                <w:rFonts w:hint="eastAsia" w:ascii="微软雅黑" w:hAnsi="微软雅黑" w:eastAsia="微软雅黑"/>
                <w:kern w:val="0"/>
                <w:sz w:val="20"/>
              </w:rPr>
              <w:t xml:space="preserve"> 6 在同一个局域网下，电脑或手机使用可通过连接码进行投屏（提供国家级第三方认证机构测试报告）</w:t>
            </w:r>
          </w:p>
          <w:p>
            <w:pPr>
              <w:widowControl/>
              <w:jc w:val="left"/>
              <w:rPr>
                <w:rFonts w:hint="eastAsia" w:ascii="微软雅黑" w:hAnsi="微软雅黑" w:eastAsia="微软雅黑"/>
                <w:kern w:val="0"/>
                <w:sz w:val="20"/>
              </w:rPr>
            </w:pPr>
            <w:r>
              <w:rPr>
                <w:rFonts w:hint="eastAsia" w:ascii="微软雅黑" w:hAnsi="微软雅黑" w:eastAsia="微软雅黑"/>
                <w:kern w:val="0"/>
                <w:sz w:val="20"/>
              </w:rPr>
              <w:t xml:space="preserve"> 7 电脑投屏，最大支持4k@30的分辨率投屏</w:t>
            </w:r>
          </w:p>
          <w:p>
            <w:pPr>
              <w:widowControl/>
              <w:jc w:val="left"/>
              <w:rPr>
                <w:rFonts w:hint="eastAsia" w:ascii="微软雅黑" w:hAnsi="微软雅黑" w:eastAsia="微软雅黑"/>
                <w:kern w:val="0"/>
                <w:sz w:val="20"/>
              </w:rPr>
            </w:pPr>
            <w:r>
              <w:rPr>
                <w:rFonts w:hint="eastAsia" w:ascii="微软雅黑" w:hAnsi="微软雅黑" w:eastAsia="微软雅黑"/>
                <w:kern w:val="0"/>
                <w:sz w:val="20"/>
              </w:rPr>
              <w:t xml:space="preserve"> 8 可以仅对一个窗口进行无线投屏，其他窗口内容不做展示，保证数据的隐私</w:t>
            </w:r>
          </w:p>
          <w:p>
            <w:pPr>
              <w:widowControl/>
              <w:jc w:val="left"/>
              <w:rPr>
                <w:rFonts w:hint="eastAsia" w:ascii="微软雅黑" w:hAnsi="微软雅黑" w:eastAsia="微软雅黑"/>
                <w:kern w:val="0"/>
                <w:sz w:val="20"/>
              </w:rPr>
            </w:pPr>
            <w:r>
              <w:rPr>
                <w:rFonts w:hint="eastAsia" w:ascii="微软雅黑" w:hAnsi="微软雅黑" w:eastAsia="微软雅黑"/>
                <w:kern w:val="0"/>
                <w:sz w:val="20"/>
              </w:rPr>
              <w:t xml:space="preserve"> 9 传屏之后，在电脑屏幕上部中间部分显示工具栏，可以进行基本的操作（具体包括勿扰模式，暂停投屏等）</w:t>
            </w:r>
          </w:p>
          <w:p>
            <w:pPr>
              <w:widowControl/>
              <w:jc w:val="left"/>
              <w:rPr>
                <w:rFonts w:hint="eastAsia" w:ascii="微软雅黑" w:hAnsi="微软雅黑" w:eastAsia="微软雅黑"/>
                <w:kern w:val="0"/>
                <w:sz w:val="20"/>
              </w:rPr>
            </w:pPr>
            <w:r>
              <w:rPr>
                <w:rFonts w:hint="eastAsia" w:ascii="微软雅黑" w:hAnsi="微软雅黑" w:eastAsia="微软雅黑"/>
                <w:kern w:val="0"/>
                <w:sz w:val="20"/>
              </w:rPr>
              <w:t xml:space="preserve"> 10 传屏开启勿扰模式之后，不允许其他人再进行传屏，避免在使用过程中，用户被其他人传屏顶替掉，造成使用中断</w:t>
            </w:r>
          </w:p>
          <w:p>
            <w:pPr>
              <w:widowControl/>
              <w:jc w:val="left"/>
              <w:rPr>
                <w:rFonts w:hint="eastAsia" w:ascii="微软雅黑" w:hAnsi="微软雅黑" w:eastAsia="微软雅黑"/>
                <w:kern w:val="0"/>
                <w:sz w:val="20"/>
              </w:rPr>
            </w:pPr>
            <w:r>
              <w:rPr>
                <w:rFonts w:hint="eastAsia" w:ascii="微软雅黑" w:hAnsi="微软雅黑" w:eastAsia="微软雅黑"/>
                <w:kern w:val="0"/>
                <w:sz w:val="20"/>
              </w:rPr>
              <w:t xml:space="preserve"> 11 可通过传屏工具栏暂停投屏功能进行画面冻结暂停，投屏电脑可自主进行其他操作，不影响整机的冻结画面内容显示</w:t>
            </w:r>
          </w:p>
          <w:p>
            <w:pPr>
              <w:widowControl/>
              <w:jc w:val="left"/>
              <w:rPr>
                <w:rFonts w:hint="eastAsia" w:ascii="微软雅黑" w:hAnsi="微软雅黑" w:eastAsia="微软雅黑"/>
                <w:kern w:val="0"/>
                <w:sz w:val="20"/>
              </w:rPr>
            </w:pPr>
            <w:r>
              <w:rPr>
                <w:rFonts w:hint="eastAsia" w:ascii="微软雅黑" w:hAnsi="微软雅黑" w:eastAsia="微软雅黑"/>
                <w:kern w:val="0"/>
                <w:sz w:val="20"/>
              </w:rPr>
              <w:t xml:space="preserve"> 12 可通过传屏工具栏传屏模式，快速切换传屏方式</w:t>
            </w:r>
          </w:p>
          <w:p>
            <w:pPr>
              <w:widowControl/>
              <w:jc w:val="left"/>
              <w:rPr>
                <w:rFonts w:hint="eastAsia" w:ascii="微软雅黑" w:hAnsi="微软雅黑" w:eastAsia="微软雅黑"/>
                <w:kern w:val="0"/>
                <w:sz w:val="20"/>
              </w:rPr>
            </w:pPr>
            <w:r>
              <w:rPr>
                <w:rFonts w:hint="eastAsia" w:ascii="微软雅黑" w:hAnsi="微软雅黑" w:eastAsia="微软雅黑"/>
                <w:kern w:val="0"/>
                <w:sz w:val="20"/>
              </w:rPr>
              <w:t xml:space="preserve"> 13 手机和电脑可以向整机传输文件</w:t>
            </w:r>
          </w:p>
          <w:p>
            <w:pPr>
              <w:widowControl/>
              <w:jc w:val="left"/>
              <w:rPr>
                <w:rFonts w:hint="eastAsia" w:ascii="微软雅黑" w:hAnsi="微软雅黑" w:eastAsia="微软雅黑"/>
                <w:kern w:val="0"/>
                <w:sz w:val="20"/>
              </w:rPr>
            </w:pPr>
            <w:r>
              <w:rPr>
                <w:rFonts w:hint="eastAsia" w:ascii="微软雅黑" w:hAnsi="微软雅黑" w:eastAsia="微软雅黑"/>
                <w:kern w:val="0"/>
                <w:sz w:val="20"/>
              </w:rPr>
              <w:t xml:space="preserve"> 14 手机扫描整机传屏二维码即可完成连接整机热点，无需单独在手机上输入WIFI账号密码</w:t>
            </w:r>
          </w:p>
          <w:p>
            <w:pPr>
              <w:widowControl/>
              <w:jc w:val="left"/>
              <w:rPr>
                <w:rFonts w:hint="eastAsia" w:ascii="微软雅黑" w:hAnsi="微软雅黑" w:eastAsia="微软雅黑"/>
                <w:kern w:val="0"/>
                <w:sz w:val="20"/>
              </w:rPr>
            </w:pPr>
            <w:r>
              <w:rPr>
                <w:rFonts w:hint="eastAsia" w:ascii="微软雅黑" w:hAnsi="微软雅黑" w:eastAsia="微软雅黑"/>
                <w:kern w:val="0"/>
                <w:sz w:val="20"/>
              </w:rPr>
              <w:t>软件功能：</w:t>
            </w:r>
          </w:p>
          <w:p>
            <w:pPr>
              <w:widowControl/>
              <w:jc w:val="left"/>
              <w:rPr>
                <w:rFonts w:hint="eastAsia" w:ascii="微软雅黑" w:hAnsi="微软雅黑" w:eastAsia="微软雅黑"/>
                <w:kern w:val="0"/>
                <w:sz w:val="20"/>
              </w:rPr>
            </w:pPr>
            <w:r>
              <w:rPr>
                <w:rFonts w:hint="eastAsia" w:ascii="微软雅黑" w:hAnsi="微软雅黑" w:eastAsia="微软雅黑"/>
                <w:kern w:val="0"/>
                <w:sz w:val="20"/>
              </w:rPr>
              <w:t>1 支持桌面自定义，客户可根据需求设置桌面样式，在桌面底部显示≥4个常用应用的图标</w:t>
            </w:r>
          </w:p>
          <w:p>
            <w:pPr>
              <w:widowControl/>
              <w:jc w:val="left"/>
              <w:rPr>
                <w:rFonts w:hint="eastAsia" w:ascii="微软雅黑" w:hAnsi="微软雅黑" w:eastAsia="微软雅黑"/>
                <w:kern w:val="0"/>
                <w:sz w:val="20"/>
              </w:rPr>
            </w:pPr>
            <w:r>
              <w:rPr>
                <w:rFonts w:hint="eastAsia" w:ascii="微软雅黑" w:hAnsi="微软雅黑" w:eastAsia="微软雅黑"/>
                <w:kern w:val="0"/>
                <w:sz w:val="20"/>
              </w:rPr>
              <w:t xml:space="preserve"> 2 内置功能强大欢迎界面，标配多种模板，并支持手机编辑欢迎界面</w:t>
            </w:r>
          </w:p>
          <w:p>
            <w:pPr>
              <w:widowControl/>
              <w:jc w:val="left"/>
              <w:rPr>
                <w:rFonts w:hint="eastAsia" w:ascii="微软雅黑" w:hAnsi="微软雅黑" w:eastAsia="微软雅黑"/>
                <w:kern w:val="0"/>
                <w:sz w:val="20"/>
              </w:rPr>
            </w:pPr>
            <w:r>
              <w:rPr>
                <w:rFonts w:hint="eastAsia" w:ascii="微软雅黑" w:hAnsi="微软雅黑" w:eastAsia="微软雅黑"/>
                <w:kern w:val="0"/>
                <w:sz w:val="20"/>
              </w:rPr>
              <w:t xml:space="preserve"> 3 内置应用商城，提供多种应用软件方便客户选择</w:t>
            </w:r>
          </w:p>
          <w:p>
            <w:pPr>
              <w:widowControl/>
              <w:jc w:val="left"/>
              <w:rPr>
                <w:rFonts w:hint="eastAsia" w:ascii="微软雅黑" w:hAnsi="微软雅黑" w:eastAsia="微软雅黑"/>
                <w:kern w:val="0"/>
                <w:sz w:val="20"/>
              </w:rPr>
            </w:pPr>
            <w:r>
              <w:rPr>
                <w:rFonts w:hint="eastAsia" w:ascii="微软雅黑" w:hAnsi="微软雅黑" w:eastAsia="微软雅黑"/>
                <w:kern w:val="0"/>
                <w:sz w:val="20"/>
              </w:rPr>
              <w:t xml:space="preserve"> 4 支持对接集控管理平台，实现一键巡检所有设备，实时查看设备运行状态，必要时可通过远程桌面操控对应设备</w:t>
            </w:r>
          </w:p>
          <w:p>
            <w:pPr>
              <w:widowControl/>
              <w:jc w:val="left"/>
              <w:rPr>
                <w:rFonts w:hint="eastAsia" w:ascii="微软雅黑" w:hAnsi="微软雅黑" w:eastAsia="微软雅黑"/>
                <w:kern w:val="0"/>
                <w:sz w:val="20"/>
              </w:rPr>
            </w:pPr>
            <w:r>
              <w:rPr>
                <w:rFonts w:hint="eastAsia" w:ascii="微软雅黑" w:hAnsi="微软雅黑" w:eastAsia="微软雅黑"/>
                <w:kern w:val="0"/>
                <w:sz w:val="20"/>
              </w:rPr>
              <w:t xml:space="preserve"> 5 支持对接集控管理平台，实现对设备进行立即关机、立即重启等便捷操作</w:t>
            </w:r>
          </w:p>
          <w:p>
            <w:pPr>
              <w:widowControl/>
              <w:jc w:val="left"/>
              <w:rPr>
                <w:rFonts w:hint="eastAsia" w:ascii="微软雅黑" w:hAnsi="微软雅黑" w:eastAsia="微软雅黑"/>
                <w:kern w:val="0"/>
                <w:sz w:val="20"/>
              </w:rPr>
            </w:pPr>
            <w:r>
              <w:rPr>
                <w:rFonts w:hint="eastAsia" w:ascii="微软雅黑" w:hAnsi="微软雅黑" w:eastAsia="微软雅黑"/>
                <w:kern w:val="0"/>
                <w:sz w:val="20"/>
              </w:rPr>
              <w:t xml:space="preserve"> 6 支持对接集控管理平台，实现对设备进行休眠模式设置、USB接口禁用设置等便捷操作</w:t>
            </w:r>
          </w:p>
          <w:p>
            <w:pPr>
              <w:widowControl/>
              <w:jc w:val="left"/>
              <w:rPr>
                <w:rFonts w:hint="eastAsia" w:ascii="微软雅黑" w:hAnsi="微软雅黑" w:eastAsia="微软雅黑"/>
                <w:kern w:val="0"/>
                <w:sz w:val="20"/>
              </w:rPr>
            </w:pPr>
            <w:r>
              <w:rPr>
                <w:rFonts w:hint="eastAsia" w:ascii="微软雅黑" w:hAnsi="微软雅黑" w:eastAsia="微软雅黑"/>
                <w:kern w:val="0"/>
                <w:sz w:val="20"/>
              </w:rPr>
              <w:t xml:space="preserve"> 7 支持对接集控管理平台，设定定时任务并推送至相关设备，定时向设备推送文字消息、壁纸等，并支持循环执行</w:t>
            </w:r>
          </w:p>
          <w:p>
            <w:pPr>
              <w:widowControl/>
              <w:jc w:val="left"/>
              <w:rPr>
                <w:rFonts w:ascii="微软雅黑" w:hAnsi="微软雅黑" w:eastAsia="微软雅黑"/>
                <w:kern w:val="0"/>
                <w:sz w:val="20"/>
              </w:rPr>
            </w:pPr>
            <w:r>
              <w:rPr>
                <w:rFonts w:hint="eastAsia" w:ascii="微软雅黑" w:hAnsi="微软雅黑" w:eastAsia="微软雅黑"/>
                <w:kern w:val="0"/>
                <w:sz w:val="20"/>
              </w:rPr>
              <w:t xml:space="preserve"> 8 支持对接集控管理平台，通过平台上传应用并推送至对应设备进行安装，同时支持卸载已安装应用</w:t>
            </w:r>
          </w:p>
          <w:p>
            <w:pPr>
              <w:widowControl/>
              <w:jc w:val="left"/>
              <w:rPr>
                <w:rFonts w:ascii="微软雅黑" w:hAnsi="微软雅黑" w:eastAsia="微软雅黑"/>
                <w:kern w:val="0"/>
                <w:sz w:val="20"/>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ascii="微软雅黑" w:hAnsi="微软雅黑" w:eastAsia="微软雅黑" w:cs="宋体"/>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ascii="微软雅黑" w:hAnsi="微软雅黑" w:eastAsia="微软雅黑" w:cs="宋体"/>
                <w:color w:val="000000"/>
                <w:kern w:val="0"/>
                <w:sz w:val="20"/>
              </w:rPr>
              <w:t>9</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hint="eastAsia" w:ascii="微软雅黑" w:hAnsi="微软雅黑" w:eastAsia="微软雅黑" w:cs="宋体"/>
                <w:kern w:val="0"/>
                <w:sz w:val="20"/>
              </w:rPr>
              <w:t>白板</w:t>
            </w:r>
          </w:p>
        </w:tc>
        <w:tc>
          <w:tcPr>
            <w:tcW w:w="6313" w:type="dxa"/>
            <w:tcBorders>
              <w:top w:val="single" w:color="auto" w:sz="4" w:space="0"/>
              <w:left w:val="single" w:color="auto" w:sz="4" w:space="0"/>
              <w:bottom w:val="single" w:color="auto" w:sz="4" w:space="0"/>
              <w:right w:val="single" w:color="auto" w:sz="4" w:space="0"/>
            </w:tcBorders>
            <w:noWrap w:val="0"/>
            <w:vAlign w:val="center"/>
          </w:tcPr>
          <w:p>
            <w:pPr>
              <w:jc w:val="left"/>
              <w:rPr>
                <w:rFonts w:ascii="微软雅黑" w:hAnsi="微软雅黑" w:eastAsia="微软雅黑" w:cs="宋体"/>
                <w:kern w:val="0"/>
                <w:sz w:val="20"/>
              </w:rPr>
            </w:pPr>
            <w:r>
              <w:rPr>
                <w:rFonts w:hint="eastAsia" w:ascii="微软雅黑" w:hAnsi="微软雅黑" w:eastAsia="微软雅黑" w:cs="宋体"/>
                <w:kern w:val="0"/>
                <w:sz w:val="20"/>
              </w:rPr>
              <w:t>1、书写板夹心材料采用：高强度铝蜂窝板材，板材厚度≥15mm。</w:t>
            </w:r>
          </w:p>
          <w:p>
            <w:pPr>
              <w:jc w:val="left"/>
              <w:rPr>
                <w:rFonts w:ascii="微软雅黑" w:hAnsi="微软雅黑" w:eastAsia="微软雅黑" w:cs="宋体"/>
                <w:kern w:val="0"/>
                <w:sz w:val="20"/>
              </w:rPr>
            </w:pPr>
            <w:r>
              <w:rPr>
                <w:rFonts w:hint="eastAsia" w:ascii="微软雅黑" w:hAnsi="微软雅黑" w:eastAsia="微软雅黑" w:cs="宋体"/>
                <w:kern w:val="0"/>
                <w:sz w:val="20"/>
              </w:rPr>
              <w:t>2、板面材料：进口≥0.4mm搪瓷面材，颜色为白色；板面硬度＞4H。</w:t>
            </w:r>
          </w:p>
          <w:p>
            <w:pPr>
              <w:jc w:val="left"/>
              <w:rPr>
                <w:rFonts w:ascii="微软雅黑" w:hAnsi="微软雅黑" w:eastAsia="微软雅黑" w:cs="宋体"/>
                <w:kern w:val="0"/>
                <w:sz w:val="20"/>
              </w:rPr>
            </w:pPr>
            <w:r>
              <w:rPr>
                <w:rFonts w:hint="eastAsia" w:ascii="微软雅黑" w:hAnsi="微软雅黑" w:eastAsia="微软雅黑" w:cs="宋体"/>
                <w:kern w:val="0"/>
                <w:sz w:val="20"/>
              </w:rPr>
              <w:t>3、板面尺寸：100寸（画面比例16：10）。</w:t>
            </w:r>
          </w:p>
          <w:p>
            <w:pPr>
              <w:jc w:val="left"/>
              <w:rPr>
                <w:rFonts w:ascii="微软雅黑" w:hAnsi="微软雅黑" w:eastAsia="微软雅黑" w:cs="宋体"/>
                <w:kern w:val="0"/>
                <w:sz w:val="20"/>
              </w:rPr>
            </w:pPr>
            <w:r>
              <w:rPr>
                <w:rFonts w:hint="eastAsia" w:ascii="微软雅黑" w:hAnsi="微软雅黑" w:eastAsia="微软雅黑" w:cs="宋体"/>
                <w:kern w:val="0"/>
                <w:sz w:val="20"/>
              </w:rPr>
              <w:t>4、板体尺寸：长*高≥2174*1387(mm)</w:t>
            </w:r>
          </w:p>
          <w:p>
            <w:pPr>
              <w:jc w:val="left"/>
              <w:rPr>
                <w:rFonts w:ascii="微软雅黑" w:hAnsi="微软雅黑" w:eastAsia="微软雅黑" w:cs="宋体"/>
                <w:kern w:val="0"/>
                <w:sz w:val="20"/>
              </w:rPr>
            </w:pPr>
            <w:r>
              <w:rPr>
                <w:rFonts w:hint="eastAsia" w:ascii="微软雅黑" w:hAnsi="微软雅黑" w:eastAsia="微软雅黑" w:cs="宋体"/>
                <w:kern w:val="0"/>
                <w:sz w:val="20"/>
              </w:rPr>
              <w:t>5、配套</w:t>
            </w:r>
            <w:r>
              <w:rPr>
                <w:rFonts w:ascii="微软雅黑" w:hAnsi="微软雅黑" w:eastAsia="微软雅黑" w:cs="宋体"/>
                <w:kern w:val="0"/>
                <w:sz w:val="20"/>
              </w:rPr>
              <w:t>100</w:t>
            </w:r>
            <w:r>
              <w:rPr>
                <w:rFonts w:hint="eastAsia" w:ascii="微软雅黑" w:hAnsi="微软雅黑" w:eastAsia="微软雅黑" w:cs="宋体"/>
                <w:kern w:val="0"/>
                <w:sz w:val="20"/>
              </w:rPr>
              <w:t>寸大屏使用，与</w:t>
            </w:r>
            <w:r>
              <w:rPr>
                <w:rFonts w:ascii="微软雅黑" w:hAnsi="微软雅黑" w:eastAsia="微软雅黑" w:cs="宋体"/>
                <w:kern w:val="0"/>
                <w:sz w:val="20"/>
              </w:rPr>
              <w:t>100</w:t>
            </w:r>
            <w:r>
              <w:rPr>
                <w:rFonts w:hint="eastAsia" w:ascii="微软雅黑" w:hAnsi="微软雅黑" w:eastAsia="微软雅黑" w:cs="宋体"/>
                <w:kern w:val="0"/>
                <w:sz w:val="20"/>
              </w:rPr>
              <w:t>寸大屏可做一体化铝合金包边处理。</w:t>
            </w:r>
          </w:p>
        </w:tc>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ascii="微软雅黑" w:hAnsi="微软雅黑" w:eastAsia="微软雅黑" w:cs="宋体"/>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ascii="微软雅黑" w:hAnsi="微软雅黑" w:eastAsia="微软雅黑" w:cs="宋体"/>
                <w:color w:val="000000"/>
                <w:kern w:val="0"/>
                <w:sz w:val="20"/>
              </w:rPr>
              <w:t>10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hint="eastAsia" w:ascii="微软雅黑" w:hAnsi="微软雅黑" w:eastAsia="微软雅黑" w:cs="宋体"/>
                <w:kern w:val="0"/>
                <w:sz w:val="20"/>
              </w:rPr>
              <w:t>55寸电视</w:t>
            </w:r>
          </w:p>
        </w:tc>
        <w:tc>
          <w:tcPr>
            <w:tcW w:w="6313" w:type="dxa"/>
            <w:tcBorders>
              <w:top w:val="single" w:color="auto" w:sz="4" w:space="0"/>
              <w:left w:val="single" w:color="auto" w:sz="4" w:space="0"/>
              <w:bottom w:val="single" w:color="auto" w:sz="4" w:space="0"/>
              <w:right w:val="single" w:color="auto" w:sz="4" w:space="0"/>
            </w:tcBorders>
            <w:noWrap w:val="0"/>
            <w:vAlign w:val="center"/>
          </w:tcPr>
          <w:p>
            <w:pPr>
              <w:widowControl/>
              <w:ind w:firstLine="400" w:firstLineChars="200"/>
              <w:jc w:val="left"/>
              <w:rPr>
                <w:rFonts w:ascii="微软雅黑" w:hAnsi="微软雅黑" w:eastAsia="微软雅黑"/>
                <w:kern w:val="0"/>
                <w:sz w:val="20"/>
              </w:rPr>
            </w:pPr>
            <w:r>
              <w:rPr>
                <w:rFonts w:hint="eastAsia" w:ascii="微软雅黑" w:hAnsi="微软雅黑" w:eastAsia="微软雅黑"/>
                <w:kern w:val="0"/>
                <w:sz w:val="20"/>
              </w:rPr>
              <w:t>1、外观颜色：黑色</w:t>
            </w:r>
          </w:p>
          <w:p>
            <w:pPr>
              <w:pStyle w:val="182"/>
              <w:widowControl/>
              <w:ind w:left="360" w:firstLine="0" w:firstLineChars="0"/>
              <w:jc w:val="left"/>
              <w:rPr>
                <w:rFonts w:ascii="微软雅黑" w:hAnsi="微软雅黑" w:eastAsia="微软雅黑"/>
                <w:kern w:val="0"/>
                <w:sz w:val="20"/>
              </w:rPr>
            </w:pPr>
            <w:r>
              <w:rPr>
                <w:rFonts w:ascii="微软雅黑" w:hAnsi="微软雅黑" w:eastAsia="微软雅黑"/>
                <w:kern w:val="0"/>
                <w:sz w:val="20"/>
              </w:rPr>
              <w:t>2</w:t>
            </w:r>
            <w:r>
              <w:rPr>
                <w:rFonts w:hint="eastAsia" w:ascii="微软雅黑" w:hAnsi="微软雅黑" w:eastAsia="微软雅黑"/>
                <w:kern w:val="0"/>
                <w:sz w:val="20"/>
              </w:rPr>
              <w:t>、显示参数：不低于以下标准，屏幕尺寸:55英寸，屏幕分辨率:超高清（3840×2160），屏幕比例:16:9，屏幕等级:A+，背光源:LED，背光方式:直下式，对比度：50000：1，刷新频率:60Hz，扫描方式:逐行扫描，响应时间:8ms，支持格式（超高清）:2160p、1080p、1080i、720p，支持HDR10解码。</w:t>
            </w:r>
          </w:p>
          <w:p>
            <w:pPr>
              <w:pStyle w:val="182"/>
              <w:widowControl/>
              <w:ind w:left="360" w:firstLine="0" w:firstLineChars="0"/>
              <w:jc w:val="left"/>
              <w:rPr>
                <w:rFonts w:ascii="微软雅黑" w:hAnsi="微软雅黑" w:eastAsia="微软雅黑"/>
                <w:kern w:val="0"/>
                <w:sz w:val="20"/>
              </w:rPr>
            </w:pPr>
            <w:r>
              <w:rPr>
                <w:rFonts w:ascii="微软雅黑" w:hAnsi="微软雅黑" w:eastAsia="微软雅黑"/>
                <w:kern w:val="0"/>
                <w:sz w:val="20"/>
              </w:rPr>
              <w:t>3</w:t>
            </w:r>
            <w:r>
              <w:rPr>
                <w:rFonts w:hint="eastAsia" w:ascii="微软雅黑" w:hAnsi="微软雅黑" w:eastAsia="微软雅黑"/>
                <w:kern w:val="0"/>
                <w:sz w:val="20"/>
              </w:rPr>
              <w:t>、操作系统:基于安卓9.0深度优化的操作系统</w:t>
            </w:r>
          </w:p>
          <w:p>
            <w:pPr>
              <w:pStyle w:val="182"/>
              <w:widowControl/>
              <w:ind w:left="360" w:firstLine="0" w:firstLineChars="0"/>
              <w:jc w:val="left"/>
              <w:rPr>
                <w:rFonts w:ascii="微软雅黑" w:hAnsi="微软雅黑" w:eastAsia="微软雅黑"/>
                <w:kern w:val="0"/>
                <w:sz w:val="20"/>
              </w:rPr>
            </w:pPr>
            <w:r>
              <w:rPr>
                <w:rFonts w:ascii="微软雅黑" w:hAnsi="微软雅黑" w:eastAsia="微软雅黑"/>
                <w:kern w:val="0"/>
                <w:sz w:val="20"/>
              </w:rPr>
              <w:t>4</w:t>
            </w:r>
            <w:r>
              <w:rPr>
                <w:rFonts w:hint="eastAsia" w:ascii="微软雅黑" w:hAnsi="微软雅黑" w:eastAsia="微软雅黑"/>
                <w:kern w:val="0"/>
                <w:sz w:val="20"/>
              </w:rPr>
              <w:t>、CPU:1.5GHz四核Cortex A53 CPU，GPU: 双核Mali-G52</w:t>
            </w:r>
            <w:r>
              <w:rPr>
                <w:rFonts w:hint="eastAsia" w:ascii="微软雅黑" w:hAnsi="微软雅黑" w:eastAsia="微软雅黑"/>
                <w:kern w:val="0"/>
                <w:sz w:val="20"/>
              </w:rPr>
              <w:br w:type="textWrapping"/>
            </w:r>
            <w:r>
              <w:rPr>
                <w:rFonts w:hint="eastAsia" w:ascii="微软雅黑" w:hAnsi="微软雅黑" w:eastAsia="微软雅黑"/>
                <w:kern w:val="0"/>
                <w:sz w:val="20"/>
              </w:rPr>
              <w:t>运行内存:1.5GB，内部存储空间:8GB</w:t>
            </w:r>
            <w:r>
              <w:rPr>
                <w:rFonts w:hint="eastAsia" w:ascii="微软雅黑" w:hAnsi="微软雅黑" w:eastAsia="微软雅黑"/>
                <w:kern w:val="0"/>
                <w:sz w:val="20"/>
              </w:rPr>
              <w:br w:type="textWrapping"/>
            </w:r>
            <w:r>
              <w:rPr>
                <w:rFonts w:ascii="微软雅黑" w:hAnsi="微软雅黑" w:eastAsia="微软雅黑"/>
                <w:kern w:val="0"/>
                <w:sz w:val="20"/>
              </w:rPr>
              <w:t>5</w:t>
            </w:r>
            <w:r>
              <w:rPr>
                <w:rFonts w:hint="eastAsia" w:ascii="微软雅黑" w:hAnsi="微软雅黑" w:eastAsia="微软雅黑"/>
                <w:kern w:val="0"/>
                <w:sz w:val="20"/>
              </w:rPr>
              <w:t>、端口参数：不低于USB2.0接口:2</w:t>
            </w:r>
            <w:r>
              <w:rPr>
                <w:rFonts w:ascii="微软雅黑" w:hAnsi="微软雅黑" w:eastAsia="微软雅黑"/>
                <w:kern w:val="0"/>
                <w:sz w:val="20"/>
              </w:rPr>
              <w:t xml:space="preserve">  </w:t>
            </w:r>
            <w:r>
              <w:rPr>
                <w:rFonts w:hint="eastAsia" w:ascii="微软雅黑" w:hAnsi="微软雅黑" w:eastAsia="微软雅黑"/>
                <w:kern w:val="0"/>
                <w:sz w:val="20"/>
              </w:rPr>
              <w:t>；HDMI2.0接口:2（1路支持ARC）；RF接口:1；音频输出：数字同轴</w:t>
            </w:r>
            <w:r>
              <w:rPr>
                <w:rFonts w:hint="eastAsia" w:ascii="微软雅黑" w:hAnsi="微软雅黑" w:eastAsia="微软雅黑"/>
                <w:kern w:val="0"/>
                <w:sz w:val="20"/>
              </w:rPr>
              <w:br w:type="textWrapping"/>
            </w:r>
            <w:r>
              <w:rPr>
                <w:rFonts w:ascii="微软雅黑" w:hAnsi="微软雅黑" w:eastAsia="微软雅黑"/>
                <w:kern w:val="0"/>
                <w:sz w:val="20"/>
              </w:rPr>
              <w:t>6</w:t>
            </w:r>
            <w:r>
              <w:rPr>
                <w:rFonts w:hint="eastAsia" w:ascii="微软雅黑" w:hAnsi="微软雅黑" w:eastAsia="微软雅黑"/>
                <w:kern w:val="0"/>
                <w:sz w:val="20"/>
              </w:rPr>
              <w:t>、含安装支架</w:t>
            </w:r>
          </w:p>
        </w:tc>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hint="eastAsia" w:ascii="微软雅黑" w:hAnsi="微软雅黑" w:eastAsia="微软雅黑" w:cs="宋体"/>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color w:val="000000"/>
                <w:kern w:val="0"/>
                <w:sz w:val="20"/>
              </w:rPr>
            </w:pPr>
            <w:r>
              <w:rPr>
                <w:rFonts w:ascii="微软雅黑" w:hAnsi="微软雅黑" w:eastAsia="微软雅黑" w:cs="宋体"/>
                <w:color w:val="000000"/>
                <w:kern w:val="0"/>
                <w:sz w:val="20"/>
              </w:rPr>
              <w:t>11</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hint="eastAsia" w:ascii="微软雅黑" w:hAnsi="微软雅黑" w:eastAsia="微软雅黑" w:cs="宋体"/>
                <w:kern w:val="0"/>
                <w:sz w:val="20"/>
              </w:rPr>
              <w:t>接入交换机</w:t>
            </w:r>
          </w:p>
        </w:tc>
        <w:tc>
          <w:tcPr>
            <w:tcW w:w="6313" w:type="dxa"/>
            <w:tcBorders>
              <w:top w:val="single" w:color="auto" w:sz="4" w:space="0"/>
              <w:left w:val="single" w:color="auto" w:sz="4" w:space="0"/>
              <w:bottom w:val="single" w:color="auto" w:sz="4" w:space="0"/>
              <w:right w:val="single" w:color="auto" w:sz="4" w:space="0"/>
            </w:tcBorders>
            <w:noWrap w:val="0"/>
            <w:vAlign w:val="center"/>
          </w:tcPr>
          <w:p>
            <w:pPr>
              <w:jc w:val="left"/>
              <w:rPr>
                <w:rFonts w:ascii="微软雅黑" w:hAnsi="微软雅黑" w:eastAsia="微软雅黑" w:cs="宋体"/>
                <w:kern w:val="0"/>
                <w:sz w:val="20"/>
              </w:rPr>
            </w:pPr>
            <w:r>
              <w:rPr>
                <w:rFonts w:hint="eastAsia" w:ascii="微软雅黑" w:hAnsi="微软雅黑" w:eastAsia="微软雅黑" w:cs="宋体"/>
                <w:kern w:val="0"/>
                <w:sz w:val="20"/>
              </w:rPr>
              <w:t>端口：48*千兆电口+4*万兆光口</w:t>
            </w:r>
          </w:p>
          <w:p>
            <w:pPr>
              <w:jc w:val="left"/>
              <w:rPr>
                <w:rFonts w:ascii="微软雅黑" w:hAnsi="微软雅黑" w:eastAsia="微软雅黑" w:cs="宋体"/>
                <w:kern w:val="0"/>
                <w:sz w:val="20"/>
              </w:rPr>
            </w:pPr>
            <w:r>
              <w:rPr>
                <w:rFonts w:hint="eastAsia" w:ascii="微软雅黑" w:hAnsi="微软雅黑" w:eastAsia="微软雅黑" w:cs="宋体"/>
                <w:kern w:val="0"/>
                <w:sz w:val="20"/>
              </w:rPr>
              <w:t>交换机容量：不低于 336Gbps</w:t>
            </w:r>
          </w:p>
          <w:p>
            <w:pPr>
              <w:jc w:val="left"/>
              <w:rPr>
                <w:rFonts w:ascii="微软雅黑" w:hAnsi="微软雅黑" w:eastAsia="微软雅黑" w:cs="宋体"/>
                <w:kern w:val="0"/>
                <w:sz w:val="20"/>
              </w:rPr>
            </w:pPr>
            <w:r>
              <w:rPr>
                <w:rFonts w:hint="eastAsia" w:ascii="微软雅黑" w:hAnsi="微软雅黑" w:eastAsia="微软雅黑" w:cs="宋体"/>
                <w:kern w:val="0"/>
                <w:sz w:val="20"/>
              </w:rPr>
              <w:t>包转发率：不低于 144Mpps</w:t>
            </w:r>
          </w:p>
          <w:p>
            <w:pPr>
              <w:jc w:val="left"/>
              <w:rPr>
                <w:rFonts w:ascii="微软雅黑" w:hAnsi="微软雅黑" w:eastAsia="微软雅黑" w:cs="宋体"/>
                <w:kern w:val="0"/>
                <w:sz w:val="20"/>
              </w:rPr>
            </w:pPr>
            <w:r>
              <w:rPr>
                <w:rFonts w:hint="eastAsia" w:ascii="微软雅黑" w:hAnsi="微软雅黑" w:eastAsia="微软雅黑" w:cs="宋体"/>
                <w:kern w:val="0"/>
                <w:sz w:val="20"/>
              </w:rPr>
              <w:t>端口供电功率：非POE供电</w:t>
            </w:r>
          </w:p>
          <w:p>
            <w:pPr>
              <w:jc w:val="left"/>
              <w:rPr>
                <w:rFonts w:ascii="微软雅黑" w:hAnsi="微软雅黑" w:eastAsia="微软雅黑" w:cs="宋体"/>
                <w:kern w:val="0"/>
                <w:sz w:val="20"/>
              </w:rPr>
            </w:pPr>
            <w:r>
              <w:rPr>
                <w:rFonts w:hint="eastAsia" w:ascii="微软雅黑" w:hAnsi="微软雅黑" w:eastAsia="微软雅黑" w:cs="宋体"/>
                <w:kern w:val="0"/>
                <w:sz w:val="20"/>
              </w:rPr>
              <w:t>48口全千兆（含万兆光模块一对）</w:t>
            </w:r>
          </w:p>
        </w:tc>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ascii="微软雅黑" w:hAnsi="微软雅黑" w:eastAsia="微软雅黑" w:cs="宋体"/>
                <w:kern w:val="0"/>
                <w:sz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ascii="微软雅黑" w:hAnsi="微软雅黑" w:eastAsia="微软雅黑" w:cs="宋体"/>
                <w:color w:val="000000"/>
                <w:kern w:val="0"/>
                <w:sz w:val="20"/>
              </w:rPr>
              <w:t>12</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hint="eastAsia" w:ascii="微软雅黑" w:hAnsi="微软雅黑" w:eastAsia="微软雅黑" w:cs="宋体"/>
                <w:kern w:val="0"/>
                <w:sz w:val="20"/>
              </w:rPr>
              <w:t>云桌面软件</w:t>
            </w:r>
          </w:p>
        </w:tc>
        <w:tc>
          <w:tcPr>
            <w:tcW w:w="631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微软雅黑" w:hAnsi="微软雅黑" w:eastAsia="微软雅黑"/>
                <w:kern w:val="0"/>
                <w:sz w:val="20"/>
              </w:rPr>
            </w:pPr>
            <w:r>
              <w:rPr>
                <w:rFonts w:hint="eastAsia" w:ascii="微软雅黑" w:hAnsi="微软雅黑" w:eastAsia="微软雅黑"/>
                <w:kern w:val="0"/>
                <w:sz w:val="20"/>
              </w:rPr>
              <w:t>采用目前行业主流桌面虚拟化云技术，支持VOI/IDV（本地计算）、VDI（云端计算）三种桌面云技术架构，三种架构桌面在一个平台实现融合管理，既能够充分利用服务器资源，将虚拟桌面运行在服务器端，也可将桌面镜像直接下发到终端本地，利用终端资源运行，快速实现环境批量部署，软件统一更新，课程安排，考试环境快熟搭建，个性化桌面定制，移动学习等功能。具体功能需求如下：</w:t>
            </w:r>
          </w:p>
          <w:p>
            <w:pPr>
              <w:widowControl/>
              <w:jc w:val="left"/>
              <w:rPr>
                <w:rFonts w:ascii="微软雅黑" w:hAnsi="微软雅黑" w:eastAsia="微软雅黑"/>
                <w:kern w:val="0"/>
                <w:sz w:val="20"/>
              </w:rPr>
            </w:pPr>
            <w:r>
              <w:rPr>
                <w:rFonts w:hint="eastAsia" w:ascii="微软雅黑" w:hAnsi="微软雅黑" w:eastAsia="微软雅黑"/>
                <w:kern w:val="0"/>
                <w:sz w:val="20"/>
              </w:rPr>
              <w:t>1.★为保证平台的兼容性和扩展性，提供单一视图的融合管理平台，对VDI/VOI/IDV三种架构云桌面进行统一管理，实现操作界面的融合、计算/存储/网络资源的融合、桌面融合、模板融合、数据融合；（提供VDI/VOI/IDV三种架构可统一管理的功能截图）</w:t>
            </w:r>
          </w:p>
          <w:p>
            <w:pPr>
              <w:widowControl/>
              <w:jc w:val="left"/>
              <w:rPr>
                <w:rFonts w:ascii="微软雅黑" w:hAnsi="微软雅黑" w:eastAsia="微软雅黑"/>
                <w:kern w:val="0"/>
                <w:sz w:val="20"/>
              </w:rPr>
            </w:pPr>
            <w:r>
              <w:rPr>
                <w:rFonts w:hint="eastAsia" w:ascii="微软雅黑" w:hAnsi="微软雅黑" w:eastAsia="微软雅黑"/>
                <w:kern w:val="0"/>
                <w:sz w:val="20"/>
              </w:rPr>
              <w:t>2.★可纳入学校现有的云机房平台统一管理，一个web管理界面，后台三种云架构镜像模板互通，支持统一规划，方便统一管理；</w:t>
            </w:r>
          </w:p>
          <w:p>
            <w:pPr>
              <w:widowControl/>
              <w:jc w:val="left"/>
              <w:rPr>
                <w:rFonts w:ascii="微软雅黑" w:hAnsi="微软雅黑" w:eastAsia="微软雅黑"/>
                <w:kern w:val="0"/>
                <w:sz w:val="20"/>
              </w:rPr>
            </w:pPr>
            <w:r>
              <w:rPr>
                <w:rFonts w:hint="eastAsia" w:ascii="微软雅黑" w:hAnsi="微软雅黑" w:eastAsia="微软雅黑"/>
                <w:kern w:val="0"/>
                <w:sz w:val="20"/>
              </w:rPr>
              <w:t xml:space="preserve">3.单个平台可交付多种类型桌面，至少包括VDI桌面、VOI桌面、IDV桌面、漫游桌面、个人桌面，满足教学、实训、科研、办公等场景需求；   </w:t>
            </w:r>
          </w:p>
          <w:p>
            <w:pPr>
              <w:widowControl/>
              <w:jc w:val="left"/>
              <w:rPr>
                <w:rFonts w:ascii="微软雅黑" w:hAnsi="微软雅黑" w:eastAsia="微软雅黑"/>
                <w:kern w:val="0"/>
                <w:sz w:val="20"/>
              </w:rPr>
            </w:pPr>
            <w:r>
              <w:rPr>
                <w:rFonts w:hint="eastAsia" w:ascii="微软雅黑" w:hAnsi="微软雅黑" w:eastAsia="微软雅黑"/>
                <w:kern w:val="0"/>
                <w:sz w:val="20"/>
              </w:rPr>
              <w:t>4.支持系统环境的批量部署，可根据不同专业的教学、考试要求，快速创建多套教学环境，使用时开放，不使用时随时回收；</w:t>
            </w:r>
          </w:p>
          <w:p>
            <w:pPr>
              <w:widowControl/>
              <w:jc w:val="left"/>
              <w:rPr>
                <w:rFonts w:ascii="微软雅黑" w:hAnsi="微软雅黑" w:eastAsia="微软雅黑"/>
                <w:kern w:val="0"/>
                <w:sz w:val="20"/>
              </w:rPr>
            </w:pPr>
            <w:r>
              <w:rPr>
                <w:rFonts w:hint="eastAsia" w:ascii="微软雅黑" w:hAnsi="微软雅黑" w:eastAsia="微软雅黑"/>
                <w:kern w:val="0"/>
                <w:sz w:val="20"/>
              </w:rPr>
              <w:t>5.支持软件课间差异快速更新，更新系统模板时采用差异化方式，更新1GB大小的软件可在课间10分钟内完成；</w:t>
            </w:r>
          </w:p>
          <w:p>
            <w:pPr>
              <w:widowControl/>
              <w:jc w:val="left"/>
              <w:rPr>
                <w:rFonts w:ascii="微软雅黑" w:hAnsi="微软雅黑" w:eastAsia="微软雅黑"/>
                <w:kern w:val="0"/>
                <w:sz w:val="20"/>
              </w:rPr>
            </w:pPr>
            <w:r>
              <w:rPr>
                <w:rFonts w:hint="eastAsia" w:ascii="微软雅黑" w:hAnsi="微软雅黑" w:eastAsia="微软雅黑"/>
                <w:kern w:val="0"/>
                <w:sz w:val="20"/>
              </w:rPr>
              <w:t>6.支持多种考试场景，包括但不限于全国计算机等级考试、ATA考试、会计类考试，在考试场景下，终端出现断网、断电等故障保证考试数据不丢失，更换终端可以正常恢复考试，保证考试正常进行；</w:t>
            </w:r>
          </w:p>
          <w:p>
            <w:pPr>
              <w:widowControl/>
              <w:jc w:val="left"/>
              <w:rPr>
                <w:rFonts w:ascii="微软雅黑" w:hAnsi="微软雅黑" w:eastAsia="微软雅黑"/>
                <w:kern w:val="0"/>
                <w:sz w:val="20"/>
              </w:rPr>
            </w:pPr>
            <w:r>
              <w:rPr>
                <w:rFonts w:hint="eastAsia" w:ascii="微软雅黑" w:hAnsi="微软雅黑" w:eastAsia="微软雅黑"/>
                <w:kern w:val="0"/>
                <w:sz w:val="20"/>
              </w:rPr>
              <w:t>7.支持视频重定向技术，本地及在线1080P视频均可流畅播放，在线视频支持添加任意视频网站，包括但不限于爱奇艺、优酷、腾讯视频、以及学校自己搭建或购买的视频学习网站；</w:t>
            </w:r>
          </w:p>
          <w:p>
            <w:pPr>
              <w:widowControl/>
              <w:jc w:val="left"/>
              <w:rPr>
                <w:rFonts w:ascii="微软雅黑" w:hAnsi="微软雅黑" w:eastAsia="微软雅黑"/>
                <w:kern w:val="0"/>
                <w:sz w:val="20"/>
              </w:rPr>
            </w:pPr>
            <w:r>
              <w:rPr>
                <w:rFonts w:hint="eastAsia" w:ascii="微软雅黑" w:hAnsi="微软雅黑" w:eastAsia="微软雅黑"/>
                <w:kern w:val="0"/>
                <w:sz w:val="20"/>
              </w:rPr>
              <w:t>8.为了应对学校网络调整，可在管理平台上灵活修改服务器的ip地址，无需重启服务器，使用更改后的ip地址即可访问平台，平台原有模板、桌面信息、网络配置无变化；</w:t>
            </w:r>
          </w:p>
          <w:p>
            <w:pPr>
              <w:widowControl/>
              <w:jc w:val="left"/>
              <w:rPr>
                <w:rFonts w:ascii="微软雅黑" w:hAnsi="微软雅黑" w:eastAsia="微软雅黑"/>
                <w:kern w:val="0"/>
                <w:sz w:val="20"/>
              </w:rPr>
            </w:pPr>
            <w:r>
              <w:rPr>
                <w:rFonts w:hint="eastAsia" w:ascii="微软雅黑" w:hAnsi="微软雅黑" w:eastAsia="微软雅黑"/>
                <w:kern w:val="0"/>
                <w:sz w:val="20"/>
              </w:rPr>
              <w:t>9.支持控制节点HA，配置两台主控时采用主备模式，当主控服务器故障，备控服务器自动完成接管，虚拟桌面零中断，执行HA切换前后，所有终端连接服务器的网络配置无需更改；HA触发的敏感时间可精细化到秒并可配置；</w:t>
            </w:r>
          </w:p>
          <w:p>
            <w:pPr>
              <w:widowControl/>
              <w:jc w:val="left"/>
              <w:rPr>
                <w:rFonts w:ascii="微软雅黑" w:hAnsi="微软雅黑" w:eastAsia="微软雅黑"/>
                <w:kern w:val="0"/>
                <w:sz w:val="20"/>
              </w:rPr>
            </w:pPr>
            <w:r>
              <w:rPr>
                <w:rFonts w:hint="eastAsia" w:ascii="微软雅黑" w:hAnsi="微软雅黑" w:eastAsia="微软雅黑"/>
                <w:kern w:val="0"/>
                <w:sz w:val="20"/>
              </w:rPr>
              <w:t>1</w:t>
            </w:r>
            <w:r>
              <w:rPr>
                <w:rFonts w:ascii="微软雅黑" w:hAnsi="微软雅黑" w:eastAsia="微软雅黑"/>
                <w:kern w:val="0"/>
                <w:sz w:val="20"/>
              </w:rPr>
              <w:t>0</w:t>
            </w:r>
            <w:r>
              <w:rPr>
                <w:rFonts w:hint="eastAsia" w:ascii="微软雅黑" w:hAnsi="微软雅黑" w:eastAsia="微软雅黑"/>
                <w:kern w:val="0"/>
                <w:sz w:val="20"/>
              </w:rPr>
              <w:t>.为保证系统网络安全性与稳定性，WEB管理平台上可支持多网卡绑定，支持activebackup、broadcast、roundrobin、random、loadbalance 等5种常用的bond模式； 也可支持管理网络、数据网络、镜像网络分离，将三种网络分别绑定到不同的服务器物理网卡，实现网络分流，上述功能均无需采用命令行操作；（提供功能截图）</w:t>
            </w:r>
          </w:p>
          <w:p>
            <w:pPr>
              <w:widowControl/>
              <w:jc w:val="left"/>
              <w:rPr>
                <w:rFonts w:ascii="微软雅黑" w:hAnsi="微软雅黑" w:eastAsia="微软雅黑"/>
                <w:kern w:val="0"/>
                <w:sz w:val="20"/>
              </w:rPr>
            </w:pPr>
            <w:r>
              <w:rPr>
                <w:rFonts w:hint="eastAsia" w:ascii="微软雅黑" w:hAnsi="微软雅黑" w:eastAsia="微软雅黑"/>
                <w:kern w:val="0"/>
                <w:sz w:val="20"/>
              </w:rPr>
              <w:t>1</w:t>
            </w:r>
            <w:r>
              <w:rPr>
                <w:rFonts w:ascii="微软雅黑" w:hAnsi="微软雅黑" w:eastAsia="微软雅黑"/>
                <w:kern w:val="0"/>
                <w:sz w:val="20"/>
              </w:rPr>
              <w:t>1</w:t>
            </w:r>
            <w:r>
              <w:rPr>
                <w:rFonts w:hint="eastAsia" w:ascii="微软雅黑" w:hAnsi="微软雅黑" w:eastAsia="微软雅黑"/>
                <w:kern w:val="0"/>
                <w:sz w:val="20"/>
              </w:rPr>
              <w:t xml:space="preserve">.★支持通过手机APP（非浏览器）查看各个教室终端在线和离线情况，并且可对服务器及终端实现远程关机；（提供功能截图） </w:t>
            </w:r>
          </w:p>
          <w:p>
            <w:pPr>
              <w:widowControl/>
              <w:jc w:val="left"/>
              <w:rPr>
                <w:rFonts w:ascii="微软雅黑" w:hAnsi="微软雅黑" w:eastAsia="微软雅黑"/>
                <w:kern w:val="0"/>
                <w:sz w:val="20"/>
              </w:rPr>
            </w:pPr>
            <w:r>
              <w:rPr>
                <w:rFonts w:hint="eastAsia" w:ascii="微软雅黑" w:hAnsi="微软雅黑" w:eastAsia="微软雅黑"/>
                <w:kern w:val="0"/>
                <w:sz w:val="20"/>
              </w:rPr>
              <w:t>1</w:t>
            </w:r>
            <w:r>
              <w:rPr>
                <w:rFonts w:ascii="微软雅黑" w:hAnsi="微软雅黑" w:eastAsia="微软雅黑"/>
                <w:kern w:val="0"/>
                <w:sz w:val="20"/>
              </w:rPr>
              <w:t>2</w:t>
            </w:r>
            <w:r>
              <w:rPr>
                <w:rFonts w:hint="eastAsia" w:ascii="微软雅黑" w:hAnsi="微软雅黑" w:eastAsia="微软雅黑"/>
                <w:kern w:val="0"/>
                <w:sz w:val="20"/>
              </w:rPr>
              <w:t>.★单个终端可同时支持教学桌面和个人桌面两种使用方式，教学桌面开机无需账号直接进入桌面，个人桌面开机须输入账号密码进入桌面；管理台可控制允许终端进入的桌面类型，包括仅使用教学桌面，仅使用个人桌面，混合登录三种方式；</w:t>
            </w:r>
          </w:p>
          <w:p>
            <w:pPr>
              <w:widowControl/>
              <w:jc w:val="left"/>
              <w:rPr>
                <w:rFonts w:ascii="微软雅黑" w:hAnsi="微软雅黑" w:eastAsia="微软雅黑"/>
                <w:kern w:val="0"/>
                <w:sz w:val="20"/>
              </w:rPr>
            </w:pPr>
            <w:r>
              <w:rPr>
                <w:rFonts w:hint="eastAsia" w:ascii="微软雅黑" w:hAnsi="微软雅黑" w:eastAsia="微软雅黑"/>
                <w:kern w:val="0"/>
                <w:sz w:val="20"/>
              </w:rPr>
              <w:t>1</w:t>
            </w:r>
            <w:r>
              <w:rPr>
                <w:rFonts w:ascii="微软雅黑" w:hAnsi="微软雅黑" w:eastAsia="微软雅黑"/>
                <w:kern w:val="0"/>
                <w:sz w:val="20"/>
              </w:rPr>
              <w:t>3</w:t>
            </w:r>
            <w:r>
              <w:rPr>
                <w:rFonts w:hint="eastAsia" w:ascii="微软雅黑" w:hAnsi="微软雅黑" w:eastAsia="微软雅黑"/>
                <w:kern w:val="0"/>
                <w:sz w:val="20"/>
              </w:rPr>
              <w:t xml:space="preserve">.支持个人桌面池和教学桌面池功能，个人桌面池中，用户可通过账号随机获取要使用的桌面资源；教学桌面池中，用户无需账号密码可在任意终端上随机获取桌面资源，满足开放型实验、公共学习等要求； </w:t>
            </w:r>
          </w:p>
          <w:p>
            <w:pPr>
              <w:widowControl/>
              <w:jc w:val="left"/>
              <w:rPr>
                <w:rFonts w:ascii="微软雅黑" w:hAnsi="微软雅黑" w:eastAsia="微软雅黑"/>
                <w:kern w:val="0"/>
                <w:sz w:val="20"/>
              </w:rPr>
            </w:pPr>
            <w:r>
              <w:rPr>
                <w:rFonts w:hint="eastAsia" w:ascii="微软雅黑" w:hAnsi="微软雅黑" w:eastAsia="微软雅黑"/>
                <w:kern w:val="0"/>
                <w:sz w:val="20"/>
              </w:rPr>
              <w:t>1</w:t>
            </w:r>
            <w:r>
              <w:rPr>
                <w:rFonts w:ascii="微软雅黑" w:hAnsi="微软雅黑" w:eastAsia="微软雅黑"/>
                <w:kern w:val="0"/>
                <w:sz w:val="20"/>
              </w:rPr>
              <w:t>4</w:t>
            </w:r>
            <w:r>
              <w:rPr>
                <w:rFonts w:hint="eastAsia" w:ascii="微软雅黑" w:hAnsi="微软雅黑" w:eastAsia="微软雅黑"/>
                <w:kern w:val="0"/>
                <w:sz w:val="20"/>
              </w:rPr>
              <w:t>.支持个人桌面回收站功能，防止因个人桌面误删除造成的数据丢失，可设置回收站文件保存天数，超期的文件将被自动删除，也可彻底删除或还原虚拟桌面；</w:t>
            </w:r>
          </w:p>
          <w:p>
            <w:pPr>
              <w:widowControl/>
              <w:jc w:val="left"/>
              <w:rPr>
                <w:rFonts w:ascii="微软雅黑" w:hAnsi="微软雅黑" w:eastAsia="微软雅黑"/>
                <w:kern w:val="0"/>
                <w:sz w:val="20"/>
              </w:rPr>
            </w:pPr>
            <w:r>
              <w:rPr>
                <w:rFonts w:hint="eastAsia" w:ascii="微软雅黑" w:hAnsi="微软雅黑" w:eastAsia="微软雅黑"/>
                <w:kern w:val="0"/>
                <w:sz w:val="20"/>
              </w:rPr>
              <w:t>1</w:t>
            </w:r>
            <w:r>
              <w:rPr>
                <w:rFonts w:ascii="微软雅黑" w:hAnsi="微软雅黑" w:eastAsia="微软雅黑"/>
                <w:kern w:val="0"/>
                <w:sz w:val="20"/>
              </w:rPr>
              <w:t>5</w:t>
            </w:r>
            <w:r>
              <w:rPr>
                <w:rFonts w:hint="eastAsia" w:ascii="微软雅黑" w:hAnsi="微软雅黑" w:eastAsia="微软雅黑"/>
                <w:kern w:val="0"/>
                <w:sz w:val="20"/>
              </w:rPr>
              <w:t xml:space="preserve">.支持本地VOI桌面漫游到云端服务器，在任意终端可通过浏览器或VDI客户端访问该桌面，实现本地VOI桌面的漫游使用； </w:t>
            </w:r>
          </w:p>
          <w:p>
            <w:pPr>
              <w:widowControl/>
              <w:jc w:val="left"/>
              <w:rPr>
                <w:rFonts w:ascii="微软雅黑" w:hAnsi="微软雅黑" w:eastAsia="微软雅黑"/>
                <w:kern w:val="0"/>
                <w:sz w:val="20"/>
              </w:rPr>
            </w:pPr>
            <w:r>
              <w:rPr>
                <w:rFonts w:hint="eastAsia" w:ascii="微软雅黑" w:hAnsi="微软雅黑" w:eastAsia="微软雅黑"/>
                <w:kern w:val="0"/>
                <w:sz w:val="20"/>
              </w:rPr>
              <w:t>1</w:t>
            </w:r>
            <w:r>
              <w:rPr>
                <w:rFonts w:ascii="微软雅黑" w:hAnsi="微软雅黑" w:eastAsia="微软雅黑"/>
                <w:kern w:val="0"/>
                <w:sz w:val="20"/>
              </w:rPr>
              <w:t>6</w:t>
            </w:r>
            <w:r>
              <w:rPr>
                <w:rFonts w:hint="eastAsia" w:ascii="微软雅黑" w:hAnsi="微软雅黑" w:eastAsia="微软雅黑"/>
                <w:kern w:val="0"/>
                <w:sz w:val="20"/>
              </w:rPr>
              <w:t>.支持硬件虚拟化功能，开启后针对硬件识别码的软件如3DMAX、Autocad、Maya等，可实现软件统一注册，大幅度降低激活软件带来的工作量；</w:t>
            </w:r>
          </w:p>
          <w:p>
            <w:pPr>
              <w:widowControl/>
              <w:jc w:val="left"/>
              <w:rPr>
                <w:rFonts w:ascii="微软雅黑" w:hAnsi="微软雅黑" w:eastAsia="微软雅黑"/>
                <w:kern w:val="0"/>
                <w:sz w:val="20"/>
              </w:rPr>
            </w:pPr>
            <w:r>
              <w:rPr>
                <w:rFonts w:hint="eastAsia" w:ascii="微软雅黑" w:hAnsi="微软雅黑" w:eastAsia="微软雅黑"/>
                <w:kern w:val="0"/>
                <w:sz w:val="20"/>
              </w:rPr>
              <w:t>1</w:t>
            </w:r>
            <w:r>
              <w:rPr>
                <w:rFonts w:ascii="微软雅黑" w:hAnsi="微软雅黑" w:eastAsia="微软雅黑"/>
                <w:kern w:val="0"/>
                <w:sz w:val="20"/>
              </w:rPr>
              <w:t>7</w:t>
            </w:r>
            <w:r>
              <w:rPr>
                <w:rFonts w:hint="eastAsia" w:ascii="微软雅黑" w:hAnsi="微软雅黑" w:eastAsia="微软雅黑"/>
                <w:kern w:val="0"/>
                <w:sz w:val="20"/>
              </w:rPr>
              <w:t>.支持模板管理，VDI/VOI/IDV三种架构桌面均可针对不同的教学要求提供windows、linux等多套教学模板，支持模板的新增，编辑，注册，删除等功能；</w:t>
            </w:r>
          </w:p>
          <w:p>
            <w:pPr>
              <w:widowControl/>
              <w:jc w:val="left"/>
              <w:rPr>
                <w:rFonts w:ascii="微软雅黑" w:hAnsi="微软雅黑" w:eastAsia="微软雅黑"/>
                <w:kern w:val="0"/>
                <w:sz w:val="20"/>
              </w:rPr>
            </w:pPr>
            <w:r>
              <w:rPr>
                <w:rFonts w:ascii="微软雅黑" w:hAnsi="微软雅黑" w:eastAsia="微软雅黑"/>
                <w:kern w:val="0"/>
                <w:sz w:val="20"/>
              </w:rPr>
              <w:t>18</w:t>
            </w:r>
            <w:r>
              <w:rPr>
                <w:rFonts w:hint="eastAsia" w:ascii="微软雅黑" w:hAnsi="微软雅黑" w:eastAsia="微软雅黑"/>
                <w:kern w:val="0"/>
                <w:sz w:val="20"/>
              </w:rPr>
              <w:t>.★支持融合模板功能，可基于单个融合模板创建对应的VDI/VOI/IDV桌面，节省多个模板对空间的占用，实现VDI/VOI/IDV模板镜像统一管理；</w:t>
            </w:r>
          </w:p>
          <w:p>
            <w:pPr>
              <w:widowControl/>
              <w:jc w:val="left"/>
              <w:rPr>
                <w:rFonts w:ascii="微软雅黑" w:hAnsi="微软雅黑" w:eastAsia="微软雅黑"/>
                <w:kern w:val="0"/>
                <w:sz w:val="20"/>
              </w:rPr>
            </w:pPr>
            <w:r>
              <w:rPr>
                <w:rFonts w:ascii="微软雅黑" w:hAnsi="微软雅黑" w:eastAsia="微软雅黑"/>
                <w:kern w:val="0"/>
                <w:sz w:val="20"/>
              </w:rPr>
              <w:t>19</w:t>
            </w:r>
            <w:r>
              <w:rPr>
                <w:rFonts w:hint="eastAsia" w:ascii="微软雅黑" w:hAnsi="微软雅黑" w:eastAsia="微软雅黑"/>
                <w:kern w:val="0"/>
                <w:sz w:val="20"/>
              </w:rPr>
              <w:t xml:space="preserve">.可通过管理平台上传系统镜像、应用及补丁包（上传文件不限格式），并可进行分类管理，便于在web平台进行模板制作和更新时随时调用本地文件； </w:t>
            </w:r>
          </w:p>
          <w:p>
            <w:pPr>
              <w:widowControl/>
              <w:jc w:val="left"/>
              <w:rPr>
                <w:rFonts w:ascii="微软雅黑" w:hAnsi="微软雅黑" w:eastAsia="微软雅黑"/>
                <w:kern w:val="0"/>
                <w:sz w:val="20"/>
              </w:rPr>
            </w:pPr>
            <w:r>
              <w:rPr>
                <w:rFonts w:ascii="微软雅黑" w:hAnsi="微软雅黑" w:eastAsia="微软雅黑"/>
                <w:kern w:val="0"/>
                <w:sz w:val="20"/>
              </w:rPr>
              <w:t>20</w:t>
            </w:r>
            <w:r>
              <w:rPr>
                <w:rFonts w:hint="eastAsia" w:ascii="微软雅黑" w:hAnsi="微软雅黑" w:eastAsia="微软雅黑"/>
                <w:kern w:val="0"/>
                <w:sz w:val="20"/>
              </w:rPr>
              <w:t xml:space="preserve">.支持云终端联动关机设置策略，可实现虚拟桌面正常关机时，终端设备自动关机；终端设备按电源键时虚拟桌面自动关机，终端异常断电时可根据策略实现虚拟机自动关机或挂起； </w:t>
            </w:r>
          </w:p>
          <w:p>
            <w:pPr>
              <w:widowControl/>
              <w:jc w:val="left"/>
              <w:rPr>
                <w:rFonts w:ascii="微软雅黑" w:hAnsi="微软雅黑" w:eastAsia="微软雅黑"/>
                <w:kern w:val="0"/>
                <w:sz w:val="20"/>
              </w:rPr>
            </w:pPr>
            <w:r>
              <w:rPr>
                <w:rFonts w:hint="eastAsia" w:ascii="微软雅黑" w:hAnsi="微软雅黑" w:eastAsia="微软雅黑"/>
                <w:kern w:val="0"/>
                <w:sz w:val="20"/>
              </w:rPr>
              <w:t>2</w:t>
            </w:r>
            <w:r>
              <w:rPr>
                <w:rFonts w:ascii="微软雅黑" w:hAnsi="微软雅黑" w:eastAsia="微软雅黑"/>
                <w:kern w:val="0"/>
                <w:sz w:val="20"/>
              </w:rPr>
              <w:t>1</w:t>
            </w:r>
            <w:r>
              <w:rPr>
                <w:rFonts w:hint="eastAsia" w:ascii="微软雅黑" w:hAnsi="微软雅黑" w:eastAsia="微软雅黑"/>
                <w:kern w:val="0"/>
                <w:sz w:val="20"/>
              </w:rPr>
              <w:t>.单个终端可部署多个操作系统，支持在管理平台上设置终端共享数据盘，可任意选定可使用共享盘的操作系统数量，可设置终端共享数据盘的的空间大小，并能设定清除策略，包含不清除/每周清除/每月清除；</w:t>
            </w:r>
          </w:p>
          <w:p>
            <w:pPr>
              <w:widowControl/>
              <w:jc w:val="left"/>
              <w:rPr>
                <w:rFonts w:ascii="微软雅黑" w:hAnsi="微软雅黑" w:eastAsia="微软雅黑"/>
                <w:kern w:val="0"/>
                <w:sz w:val="20"/>
              </w:rPr>
            </w:pPr>
            <w:r>
              <w:rPr>
                <w:rFonts w:hint="eastAsia" w:ascii="微软雅黑" w:hAnsi="微软雅黑" w:eastAsia="微软雅黑"/>
                <w:kern w:val="0"/>
                <w:sz w:val="20"/>
              </w:rPr>
              <w:t>2</w:t>
            </w:r>
            <w:r>
              <w:rPr>
                <w:rFonts w:ascii="微软雅黑" w:hAnsi="微软雅黑" w:eastAsia="微软雅黑"/>
                <w:kern w:val="0"/>
                <w:sz w:val="20"/>
              </w:rPr>
              <w:t>2</w:t>
            </w:r>
            <w:r>
              <w:rPr>
                <w:rFonts w:hint="eastAsia" w:ascii="微软雅黑" w:hAnsi="微软雅黑" w:eastAsia="微软雅黑"/>
                <w:kern w:val="0"/>
                <w:sz w:val="20"/>
              </w:rPr>
              <w:t>.至少支持windows客户端和linux客户端，windows客户端支持窗口模式和全屏模式并可设置开机自启；linux客户端支持虚实双系统断网切换，虚拟桌面连接中断时，无需人工干预，平台自动将虚拟桌面切换至终端本地系统；</w:t>
            </w:r>
          </w:p>
          <w:p>
            <w:pPr>
              <w:widowControl/>
              <w:jc w:val="left"/>
              <w:rPr>
                <w:rFonts w:ascii="微软雅黑" w:hAnsi="微软雅黑" w:eastAsia="微软雅黑"/>
                <w:kern w:val="0"/>
                <w:sz w:val="20"/>
              </w:rPr>
            </w:pPr>
            <w:r>
              <w:rPr>
                <w:rFonts w:hint="eastAsia" w:ascii="微软雅黑" w:hAnsi="微软雅黑" w:eastAsia="微软雅黑"/>
                <w:kern w:val="0"/>
                <w:sz w:val="20"/>
              </w:rPr>
              <w:t>2</w:t>
            </w:r>
            <w:r>
              <w:rPr>
                <w:rFonts w:ascii="微软雅黑" w:hAnsi="微软雅黑" w:eastAsia="微软雅黑"/>
                <w:kern w:val="0"/>
                <w:sz w:val="20"/>
              </w:rPr>
              <w:t>3</w:t>
            </w:r>
            <w:r>
              <w:rPr>
                <w:rFonts w:hint="eastAsia" w:ascii="微软雅黑" w:hAnsi="微软雅黑" w:eastAsia="微软雅黑"/>
                <w:kern w:val="0"/>
                <w:sz w:val="20"/>
              </w:rPr>
              <w:t xml:space="preserve">针对VDI/VOI/IDV三种桌面终端均可设置定时开关机计划，可按周期在固定时间唤醒和关闭对应的教学桌面终端，日期精确到天、时间精确到分钟，并可以指定开机的虚拟桌面范围； </w:t>
            </w:r>
          </w:p>
          <w:p>
            <w:pPr>
              <w:widowControl/>
              <w:jc w:val="left"/>
              <w:rPr>
                <w:rFonts w:ascii="微软雅黑" w:hAnsi="微软雅黑" w:eastAsia="微软雅黑"/>
                <w:kern w:val="0"/>
                <w:sz w:val="20"/>
              </w:rPr>
            </w:pPr>
            <w:r>
              <w:rPr>
                <w:rFonts w:hint="eastAsia" w:ascii="微软雅黑" w:hAnsi="微软雅黑" w:eastAsia="微软雅黑"/>
                <w:kern w:val="0"/>
                <w:sz w:val="20"/>
              </w:rPr>
              <w:t>2</w:t>
            </w:r>
            <w:r>
              <w:rPr>
                <w:rFonts w:ascii="微软雅黑" w:hAnsi="微软雅黑" w:eastAsia="微软雅黑"/>
                <w:kern w:val="0"/>
                <w:sz w:val="20"/>
              </w:rPr>
              <w:t>4</w:t>
            </w:r>
            <w:r>
              <w:rPr>
                <w:rFonts w:hint="eastAsia" w:ascii="微软雅黑" w:hAnsi="微软雅黑" w:eastAsia="微软雅黑"/>
                <w:kern w:val="0"/>
                <w:sz w:val="20"/>
              </w:rPr>
              <w:t xml:space="preserve">.★支持在虚拟化平台上查看服务器和虚拟机的运行详细情况，包括服务器和虚拟桌面的CPU占用率、内存占用率、磁盘读写速度、网络流量、进程资源占用率； </w:t>
            </w:r>
          </w:p>
          <w:p>
            <w:pPr>
              <w:widowControl/>
              <w:jc w:val="left"/>
              <w:rPr>
                <w:rFonts w:ascii="微软雅黑" w:hAnsi="微软雅黑" w:eastAsia="微软雅黑"/>
                <w:kern w:val="0"/>
                <w:sz w:val="20"/>
              </w:rPr>
            </w:pPr>
            <w:r>
              <w:rPr>
                <w:rFonts w:hint="eastAsia" w:ascii="微软雅黑" w:hAnsi="微软雅黑" w:eastAsia="微软雅黑"/>
                <w:kern w:val="0"/>
                <w:sz w:val="20"/>
              </w:rPr>
              <w:t>2</w:t>
            </w:r>
            <w:r>
              <w:rPr>
                <w:rFonts w:ascii="微软雅黑" w:hAnsi="微软雅黑" w:eastAsia="微软雅黑"/>
                <w:kern w:val="0"/>
                <w:sz w:val="20"/>
              </w:rPr>
              <w:t>5</w:t>
            </w:r>
            <w:r>
              <w:rPr>
                <w:rFonts w:hint="eastAsia" w:ascii="微软雅黑" w:hAnsi="微软雅黑" w:eastAsia="微软雅黑"/>
                <w:kern w:val="0"/>
                <w:sz w:val="20"/>
              </w:rPr>
              <w:t xml:space="preserve">.桌面云平台支持教学网盘功能，无需第三方组件，创建桌面账户时可同步生成网盘账号，启用网盘后可通过该账号直接登录网盘，用于上传并保存个人数据，无需使用时可关闭网盘回收资源； </w:t>
            </w:r>
          </w:p>
          <w:p>
            <w:pPr>
              <w:widowControl/>
              <w:jc w:val="left"/>
              <w:rPr>
                <w:rFonts w:ascii="微软雅黑" w:hAnsi="微软雅黑" w:eastAsia="微软雅黑"/>
                <w:kern w:val="0"/>
                <w:sz w:val="20"/>
              </w:rPr>
            </w:pPr>
            <w:r>
              <w:rPr>
                <w:rFonts w:hint="eastAsia" w:ascii="微软雅黑" w:hAnsi="微软雅黑" w:eastAsia="微软雅黑"/>
                <w:kern w:val="0"/>
                <w:sz w:val="20"/>
              </w:rPr>
              <w:t>2</w:t>
            </w:r>
            <w:r>
              <w:rPr>
                <w:rFonts w:ascii="微软雅黑" w:hAnsi="微软雅黑" w:eastAsia="微软雅黑"/>
                <w:kern w:val="0"/>
                <w:sz w:val="20"/>
              </w:rPr>
              <w:t>6</w:t>
            </w:r>
            <w:r>
              <w:rPr>
                <w:rFonts w:hint="eastAsia" w:ascii="微软雅黑" w:hAnsi="微软雅黑" w:eastAsia="微软雅黑"/>
                <w:kern w:val="0"/>
                <w:sz w:val="20"/>
              </w:rPr>
              <w:t xml:space="preserve">.★无需依赖第三方软件或脚本，即可在管理台编辑学期课表，可设置学期开始和结束时间、单双周安排、每节课起始时间，可直接将不同桌面拖拽到课表中，与各个课程时间对应，桌面环境根据课表时间自动启动； </w:t>
            </w:r>
          </w:p>
          <w:p>
            <w:pPr>
              <w:widowControl/>
              <w:jc w:val="left"/>
              <w:rPr>
                <w:rFonts w:ascii="微软雅黑" w:hAnsi="微软雅黑" w:eastAsia="微软雅黑"/>
                <w:kern w:val="0"/>
                <w:sz w:val="20"/>
              </w:rPr>
            </w:pPr>
            <w:r>
              <w:rPr>
                <w:rFonts w:ascii="微软雅黑" w:hAnsi="微软雅黑" w:eastAsia="微软雅黑"/>
                <w:kern w:val="0"/>
                <w:sz w:val="20"/>
              </w:rPr>
              <w:t>27</w:t>
            </w:r>
            <w:r>
              <w:rPr>
                <w:rFonts w:hint="eastAsia" w:ascii="微软雅黑" w:hAnsi="微软雅黑" w:eastAsia="微软雅黑"/>
                <w:kern w:val="0"/>
                <w:sz w:val="20"/>
              </w:rPr>
              <w:t xml:space="preserve">.VDI环境下，支持有存储和无存储的虚拟桌面HA，可设置HA的额优先级和响应时间，当承载虚拟桌面的服务器出现故障时，可以根据设定的HA策略，在指定的服务器上继续运行虚拟桌面； </w:t>
            </w:r>
          </w:p>
          <w:p>
            <w:pPr>
              <w:widowControl/>
              <w:jc w:val="left"/>
              <w:rPr>
                <w:rFonts w:ascii="微软雅黑" w:hAnsi="微软雅黑" w:eastAsia="微软雅黑"/>
                <w:kern w:val="0"/>
                <w:sz w:val="20"/>
              </w:rPr>
            </w:pPr>
            <w:r>
              <w:rPr>
                <w:rFonts w:ascii="微软雅黑" w:hAnsi="微软雅黑" w:eastAsia="微软雅黑"/>
                <w:kern w:val="0"/>
                <w:sz w:val="20"/>
              </w:rPr>
              <w:t>28</w:t>
            </w:r>
            <w:r>
              <w:rPr>
                <w:rFonts w:hint="eastAsia" w:ascii="微软雅黑" w:hAnsi="微软雅黑" w:eastAsia="微软雅黑"/>
                <w:kern w:val="0"/>
                <w:sz w:val="20"/>
              </w:rPr>
              <w:t>.支持系统数据库的备份，支持立即备份和自动备份，可设置自动备份周期、备份时间、备份文件保留数量，保障平台数据库安全性；</w:t>
            </w:r>
          </w:p>
          <w:p>
            <w:pPr>
              <w:widowControl/>
              <w:jc w:val="left"/>
              <w:rPr>
                <w:rFonts w:ascii="微软雅黑" w:hAnsi="微软雅黑" w:eastAsia="微软雅黑"/>
                <w:kern w:val="0"/>
                <w:sz w:val="20"/>
              </w:rPr>
            </w:pPr>
            <w:r>
              <w:rPr>
                <w:rFonts w:ascii="微软雅黑" w:hAnsi="微软雅黑" w:eastAsia="微软雅黑"/>
                <w:kern w:val="0"/>
                <w:sz w:val="20"/>
              </w:rPr>
              <w:t>29</w:t>
            </w:r>
            <w:r>
              <w:rPr>
                <w:rFonts w:hint="eastAsia" w:ascii="微软雅黑" w:hAnsi="微软雅黑" w:eastAsia="微软雅黑"/>
                <w:kern w:val="0"/>
                <w:sz w:val="20"/>
              </w:rPr>
              <w:t xml:space="preserve">.提供系统操作日志功能，可独立查看管理日志和用户日志（包括操作内容，操作者，操作时间，登录主机IP，操作对象等），便于管理员精确定位操作记录，可设置日志的保留时间，如一个月，一年，永久等，支持对日志文件的备份，包括立即备份和自动备份，可设置自动备份周期、备份时间、备份文件保留数量； </w:t>
            </w:r>
          </w:p>
          <w:p>
            <w:pPr>
              <w:widowControl/>
              <w:jc w:val="left"/>
              <w:rPr>
                <w:rFonts w:ascii="微软雅黑" w:hAnsi="微软雅黑" w:eastAsia="微软雅黑"/>
                <w:kern w:val="0"/>
                <w:sz w:val="20"/>
              </w:rPr>
            </w:pPr>
            <w:r>
              <w:rPr>
                <w:rFonts w:ascii="微软雅黑" w:hAnsi="微软雅黑" w:eastAsia="微软雅黑"/>
                <w:kern w:val="0"/>
                <w:sz w:val="20"/>
              </w:rPr>
              <w:t>30</w:t>
            </w:r>
            <w:r>
              <w:rPr>
                <w:rFonts w:hint="eastAsia" w:ascii="微软雅黑" w:hAnsi="微软雅黑" w:eastAsia="微软雅黑"/>
                <w:kern w:val="0"/>
                <w:sz w:val="20"/>
              </w:rPr>
              <w:t>.支持显卡虚拟化技术，兼容AMD和NVIDIA显卡，每个虚拟机可获得独立的显卡资源，满足3D机房大型图形图像软件的运行使用；</w:t>
            </w:r>
          </w:p>
          <w:p>
            <w:pPr>
              <w:widowControl/>
              <w:jc w:val="left"/>
              <w:rPr>
                <w:rFonts w:ascii="微软雅黑" w:hAnsi="微软雅黑" w:eastAsia="微软雅黑"/>
                <w:kern w:val="0"/>
                <w:sz w:val="20"/>
              </w:rPr>
            </w:pPr>
            <w:r>
              <w:rPr>
                <w:rFonts w:hint="eastAsia" w:ascii="微软雅黑" w:hAnsi="微软雅黑" w:eastAsia="微软雅黑"/>
                <w:kern w:val="0"/>
                <w:sz w:val="20"/>
              </w:rPr>
              <w:t>3</w:t>
            </w:r>
            <w:r>
              <w:rPr>
                <w:rFonts w:ascii="微软雅黑" w:hAnsi="微软雅黑" w:eastAsia="微软雅黑"/>
                <w:kern w:val="0"/>
                <w:sz w:val="20"/>
              </w:rPr>
              <w:t>1</w:t>
            </w:r>
            <w:r>
              <w:rPr>
                <w:rFonts w:hint="eastAsia" w:ascii="微软雅黑" w:hAnsi="微软雅黑" w:eastAsia="微软雅黑"/>
                <w:kern w:val="0"/>
                <w:sz w:val="20"/>
              </w:rPr>
              <w:t>.支持WinXP/Win7/Win8/Win10等Windows系统、Ubuntu/Redhat等Linux系统，中标麒麟等国产操作系统，Windows server2008/2012等服务器系统的发布；</w:t>
            </w:r>
          </w:p>
          <w:p>
            <w:pPr>
              <w:widowControl/>
              <w:jc w:val="left"/>
              <w:rPr>
                <w:rFonts w:ascii="微软雅黑" w:hAnsi="微软雅黑" w:eastAsia="微软雅黑"/>
                <w:kern w:val="0"/>
                <w:sz w:val="20"/>
              </w:rPr>
            </w:pPr>
            <w:r>
              <w:rPr>
                <w:rFonts w:hint="eastAsia" w:ascii="微软雅黑" w:hAnsi="微软雅黑" w:eastAsia="微软雅黑"/>
                <w:kern w:val="0"/>
                <w:sz w:val="20"/>
              </w:rPr>
              <w:t>3</w:t>
            </w:r>
            <w:r>
              <w:rPr>
                <w:rFonts w:ascii="微软雅黑" w:hAnsi="微软雅黑" w:eastAsia="微软雅黑"/>
                <w:kern w:val="0"/>
                <w:sz w:val="20"/>
              </w:rPr>
              <w:t>2</w:t>
            </w:r>
            <w:r>
              <w:rPr>
                <w:rFonts w:hint="eastAsia" w:ascii="微软雅黑" w:hAnsi="微软雅黑" w:eastAsia="微软雅黑"/>
                <w:kern w:val="0"/>
                <w:sz w:val="20"/>
              </w:rPr>
              <w:t>.支持主流服务器、存储、网络设备厂商，支持主流PC厂商，不绑定终端设备；兼容多种架构和类型的终端，包括:X86云终端、ARM云终端等，可根据实际应用灵活选择终端配置；</w:t>
            </w:r>
          </w:p>
          <w:p>
            <w:pPr>
              <w:widowControl/>
              <w:jc w:val="left"/>
              <w:rPr>
                <w:rFonts w:ascii="微软雅黑" w:hAnsi="微软雅黑" w:eastAsia="微软雅黑"/>
                <w:kern w:val="0"/>
                <w:sz w:val="20"/>
              </w:rPr>
            </w:pPr>
            <w:r>
              <w:rPr>
                <w:rFonts w:hint="eastAsia" w:ascii="微软雅黑" w:hAnsi="微软雅黑" w:eastAsia="微软雅黑"/>
                <w:kern w:val="0"/>
                <w:sz w:val="20"/>
              </w:rPr>
              <w:t>3</w:t>
            </w:r>
            <w:r>
              <w:rPr>
                <w:rFonts w:ascii="微软雅黑" w:hAnsi="微软雅黑" w:eastAsia="微软雅黑"/>
                <w:kern w:val="0"/>
                <w:sz w:val="20"/>
              </w:rPr>
              <w:t>3</w:t>
            </w:r>
            <w:r>
              <w:rPr>
                <w:rFonts w:hint="eastAsia" w:ascii="微软雅黑" w:hAnsi="微软雅黑" w:eastAsia="微软雅黑"/>
                <w:kern w:val="0"/>
                <w:sz w:val="20"/>
              </w:rPr>
              <w:t>.兼容旧PC，可将老旧PC接入平台进行统一管理，可同时给新旧终端批量下发操作系统、统一更新软件；</w:t>
            </w:r>
          </w:p>
          <w:p>
            <w:pPr>
              <w:widowControl/>
              <w:jc w:val="left"/>
              <w:rPr>
                <w:rFonts w:ascii="微软雅黑" w:hAnsi="微软雅黑" w:eastAsia="微软雅黑"/>
                <w:kern w:val="0"/>
                <w:sz w:val="20"/>
              </w:rPr>
            </w:pPr>
            <w:r>
              <w:rPr>
                <w:rFonts w:hint="eastAsia" w:ascii="微软雅黑" w:hAnsi="微软雅黑" w:eastAsia="微软雅黑"/>
                <w:kern w:val="0"/>
                <w:sz w:val="20"/>
              </w:rPr>
              <w:t>3</w:t>
            </w:r>
            <w:r>
              <w:rPr>
                <w:rFonts w:ascii="微软雅黑" w:hAnsi="微软雅黑" w:eastAsia="微软雅黑"/>
                <w:kern w:val="0"/>
                <w:sz w:val="20"/>
              </w:rPr>
              <w:t>4</w:t>
            </w:r>
            <w:r>
              <w:rPr>
                <w:rFonts w:hint="eastAsia" w:ascii="微软雅黑" w:hAnsi="微软雅黑" w:eastAsia="微软雅黑"/>
                <w:kern w:val="0"/>
                <w:sz w:val="20"/>
              </w:rPr>
              <w:t xml:space="preserve">.云桌面保留与PC完全一致的使用习惯，学生禁用网卡、修改网卡IP，桌面连接不会中断； </w:t>
            </w:r>
          </w:p>
          <w:p>
            <w:pPr>
              <w:widowControl/>
              <w:jc w:val="left"/>
              <w:rPr>
                <w:rFonts w:ascii="微软雅黑" w:hAnsi="微软雅黑" w:eastAsia="微软雅黑"/>
                <w:kern w:val="0"/>
                <w:sz w:val="20"/>
              </w:rPr>
            </w:pPr>
            <w:r>
              <w:rPr>
                <w:rFonts w:hint="eastAsia" w:ascii="微软雅黑" w:hAnsi="微软雅黑" w:eastAsia="微软雅黑"/>
                <w:kern w:val="0"/>
                <w:sz w:val="20"/>
              </w:rPr>
              <w:t>3</w:t>
            </w:r>
            <w:r>
              <w:rPr>
                <w:rFonts w:ascii="微软雅黑" w:hAnsi="微软雅黑" w:eastAsia="微软雅黑"/>
                <w:kern w:val="0"/>
                <w:sz w:val="20"/>
              </w:rPr>
              <w:t>5</w:t>
            </w:r>
            <w:r>
              <w:rPr>
                <w:rFonts w:hint="eastAsia" w:ascii="微软雅黑" w:hAnsi="微软雅黑" w:eastAsia="微软雅黑"/>
                <w:kern w:val="0"/>
                <w:sz w:val="20"/>
              </w:rPr>
              <w:t>.支持USB重定向技术，虚拟桌面可快速识别USB存储、打印机、扫描仪、电子白板等设备，并可根据设备类别设置优先级、PID值和VID值，从而控制USB设备的使用权限；</w:t>
            </w:r>
          </w:p>
          <w:p>
            <w:pPr>
              <w:widowControl/>
              <w:jc w:val="left"/>
              <w:rPr>
                <w:rFonts w:ascii="微软雅黑" w:hAnsi="微软雅黑" w:eastAsia="微软雅黑"/>
                <w:kern w:val="0"/>
                <w:sz w:val="20"/>
              </w:rPr>
            </w:pPr>
            <w:r>
              <w:rPr>
                <w:rFonts w:hint="eastAsia" w:ascii="微软雅黑" w:hAnsi="微软雅黑" w:eastAsia="微软雅黑"/>
                <w:kern w:val="0"/>
                <w:sz w:val="20"/>
              </w:rPr>
              <w:t>3</w:t>
            </w:r>
            <w:r>
              <w:rPr>
                <w:rFonts w:ascii="微软雅黑" w:hAnsi="微软雅黑" w:eastAsia="微软雅黑"/>
                <w:kern w:val="0"/>
                <w:sz w:val="20"/>
              </w:rPr>
              <w:t>6</w:t>
            </w:r>
            <w:r>
              <w:rPr>
                <w:rFonts w:hint="eastAsia" w:ascii="微软雅黑" w:hAnsi="微软雅黑" w:eastAsia="微软雅黑"/>
                <w:kern w:val="0"/>
                <w:sz w:val="20"/>
              </w:rPr>
              <w:t xml:space="preserve">.终端支持无线连接VDI桌面，可在管理平台批量设置终端无线网络（无需逐一设置），支持“WEP”，“WPA”、“WPA2”、“WPA/WPA2”等多种认证模式；（提供功能截图） </w:t>
            </w:r>
          </w:p>
          <w:p>
            <w:pPr>
              <w:widowControl/>
              <w:jc w:val="left"/>
              <w:rPr>
                <w:rFonts w:ascii="微软雅黑" w:hAnsi="微软雅黑" w:eastAsia="微软雅黑"/>
                <w:kern w:val="0"/>
                <w:sz w:val="20"/>
              </w:rPr>
            </w:pPr>
            <w:r>
              <w:rPr>
                <w:rFonts w:ascii="微软雅黑" w:hAnsi="微软雅黑" w:eastAsia="微软雅黑"/>
                <w:kern w:val="0"/>
                <w:sz w:val="20"/>
              </w:rPr>
              <w:t>37</w:t>
            </w:r>
            <w:r>
              <w:rPr>
                <w:rFonts w:hint="eastAsia" w:ascii="微软雅黑" w:hAnsi="微软雅黑" w:eastAsia="微软雅黑"/>
                <w:kern w:val="0"/>
                <w:sz w:val="20"/>
              </w:rPr>
              <w:t>.提供独立的桌面云系统检测工具，可检测服务器、终端连接状态，集群网络状态，数据库状态，文件系统状态，模板状态，桌面状态等内容，可提供体检分数和检测结果详情展示，并可生成检测报告，也可对检测的问题进行一键恢复，便于系统的日常运维；</w:t>
            </w:r>
          </w:p>
          <w:p>
            <w:pPr>
              <w:widowControl/>
              <w:jc w:val="left"/>
              <w:rPr>
                <w:rFonts w:ascii="微软雅黑" w:hAnsi="微软雅黑" w:eastAsia="微软雅黑"/>
                <w:kern w:val="0"/>
                <w:sz w:val="20"/>
              </w:rPr>
            </w:pPr>
            <w:r>
              <w:rPr>
                <w:rFonts w:ascii="微软雅黑" w:hAnsi="微软雅黑" w:eastAsia="微软雅黑"/>
                <w:kern w:val="0"/>
                <w:sz w:val="20"/>
              </w:rPr>
              <w:t>38</w:t>
            </w:r>
            <w:r>
              <w:rPr>
                <w:rFonts w:hint="eastAsia" w:ascii="微软雅黑" w:hAnsi="微软雅黑" w:eastAsia="微软雅黑"/>
                <w:kern w:val="0"/>
                <w:sz w:val="20"/>
              </w:rPr>
              <w:t>.提供VDI虚拟桌面检测工具，可检测桌面基本配置信息，可检测操作系统计算机名、IP地址配置是否正常、视频重定向是否可用等，便于迅速排查桌面故障；（提供功能截图）</w:t>
            </w:r>
          </w:p>
          <w:p>
            <w:pPr>
              <w:widowControl/>
              <w:jc w:val="left"/>
              <w:rPr>
                <w:rFonts w:ascii="微软雅黑" w:hAnsi="微软雅黑" w:eastAsia="微软雅黑"/>
                <w:kern w:val="0"/>
                <w:sz w:val="20"/>
              </w:rPr>
            </w:pPr>
            <w:r>
              <w:rPr>
                <w:rFonts w:ascii="微软雅黑" w:hAnsi="微软雅黑" w:eastAsia="微软雅黑"/>
                <w:kern w:val="0"/>
                <w:sz w:val="20"/>
              </w:rPr>
              <w:t>39</w:t>
            </w:r>
            <w:r>
              <w:rPr>
                <w:rFonts w:hint="eastAsia" w:ascii="微软雅黑" w:hAnsi="微软雅黑" w:eastAsia="微软雅黑"/>
                <w:kern w:val="0"/>
                <w:sz w:val="20"/>
              </w:rPr>
              <w:t>.提供VOI桌面自维护工具，包括IP查看、防火墙设置、网络检测、快速调整最佳分辨率、重启打印机、清除无效快捷方式等，便于用户快速自主解决桌面问题；（提供功能截图）</w:t>
            </w:r>
          </w:p>
          <w:p>
            <w:pPr>
              <w:widowControl/>
              <w:jc w:val="left"/>
              <w:rPr>
                <w:rFonts w:ascii="微软雅黑" w:hAnsi="微软雅黑" w:eastAsia="微软雅黑"/>
                <w:kern w:val="0"/>
                <w:sz w:val="20"/>
              </w:rPr>
            </w:pPr>
            <w:r>
              <w:rPr>
                <w:rFonts w:ascii="微软雅黑" w:hAnsi="微软雅黑" w:eastAsia="微软雅黑"/>
                <w:kern w:val="0"/>
                <w:sz w:val="20"/>
              </w:rPr>
              <w:t>40</w:t>
            </w:r>
            <w:r>
              <w:rPr>
                <w:rFonts w:hint="eastAsia" w:ascii="微软雅黑" w:hAnsi="微软雅黑" w:eastAsia="微软雅黑"/>
                <w:kern w:val="0"/>
                <w:sz w:val="20"/>
              </w:rPr>
              <w:t>. 提供不少于349点位授权的终端运维管理系统：</w:t>
            </w:r>
          </w:p>
          <w:p>
            <w:pPr>
              <w:widowControl/>
              <w:jc w:val="left"/>
              <w:rPr>
                <w:rFonts w:hint="eastAsia" w:ascii="微软雅黑" w:hAnsi="微软雅黑" w:eastAsia="微软雅黑"/>
                <w:kern w:val="0"/>
                <w:sz w:val="20"/>
              </w:rPr>
            </w:pPr>
            <w:r>
              <w:rPr>
                <w:rFonts w:hint="eastAsia" w:ascii="微软雅黑" w:hAnsi="微软雅黑" w:eastAsia="微软雅黑"/>
                <w:kern w:val="0"/>
                <w:sz w:val="20"/>
              </w:rPr>
              <w:t>（1）系统采用B/S架构，通过浏览器访问服务器对机房的桌面进行管理，能够实现管理员账号与桌面云平台账号自动同步，无需手动同步；</w:t>
            </w:r>
            <w:r>
              <w:rPr>
                <w:rFonts w:hint="eastAsia" w:ascii="微软雅黑" w:hAnsi="微软雅黑" w:eastAsia="微软雅黑"/>
                <w:kern w:val="0"/>
                <w:sz w:val="20"/>
              </w:rPr>
              <w:br w:type="textWrapping"/>
            </w:r>
            <w:r>
              <w:rPr>
                <w:rFonts w:hint="eastAsia" w:ascii="微软雅黑" w:hAnsi="微软雅黑" w:eastAsia="微软雅黑"/>
                <w:kern w:val="0"/>
                <w:sz w:val="20"/>
              </w:rPr>
              <w:t>（2）支持终端的批量唤醒、关闭、重启。能够自动同步桌面云平台中的教学场景，实现对终端桌面场景的切换；</w:t>
            </w:r>
            <w:r>
              <w:rPr>
                <w:rFonts w:hint="eastAsia" w:ascii="微软雅黑" w:hAnsi="微软雅黑" w:eastAsia="微软雅黑"/>
                <w:kern w:val="0"/>
                <w:sz w:val="20"/>
              </w:rPr>
              <w:br w:type="textWrapping"/>
            </w:r>
            <w:r>
              <w:rPr>
                <w:rFonts w:hint="eastAsia" w:ascii="微软雅黑" w:hAnsi="微软雅黑" w:eastAsia="微软雅黑"/>
                <w:kern w:val="0"/>
                <w:sz w:val="20"/>
              </w:rPr>
              <w:t>（</w:t>
            </w:r>
            <w:r>
              <w:rPr>
                <w:rFonts w:ascii="微软雅黑" w:hAnsi="微软雅黑" w:eastAsia="微软雅黑"/>
                <w:kern w:val="0"/>
                <w:sz w:val="20"/>
              </w:rPr>
              <w:t>3</w:t>
            </w:r>
            <w:r>
              <w:rPr>
                <w:rFonts w:hint="eastAsia" w:ascii="微软雅黑" w:hAnsi="微软雅黑" w:eastAsia="微软雅黑"/>
                <w:kern w:val="0"/>
                <w:sz w:val="20"/>
              </w:rPr>
              <w:t>）可远程锁定虚拟桌面的屏幕、键盘，管理员手动可批量解锁，也可在服务器上算出解锁密码，学生可在桌面上使用快捷键输入解锁密码进行自助解锁；</w:t>
            </w:r>
            <w:r>
              <w:rPr>
                <w:rFonts w:hint="eastAsia" w:ascii="微软雅黑" w:hAnsi="微软雅黑" w:eastAsia="微软雅黑"/>
                <w:kern w:val="0"/>
                <w:sz w:val="20"/>
              </w:rPr>
              <w:br w:type="textWrapping"/>
            </w:r>
            <w:r>
              <w:rPr>
                <w:rFonts w:hint="eastAsia" w:ascii="微软雅黑" w:hAnsi="微软雅黑" w:eastAsia="微软雅黑"/>
                <w:kern w:val="0"/>
                <w:sz w:val="20"/>
              </w:rPr>
              <w:t>（</w:t>
            </w:r>
            <w:r>
              <w:rPr>
                <w:rFonts w:ascii="微软雅黑" w:hAnsi="微软雅黑" w:eastAsia="微软雅黑"/>
                <w:kern w:val="0"/>
                <w:sz w:val="20"/>
              </w:rPr>
              <w:t>4</w:t>
            </w:r>
            <w:r>
              <w:rPr>
                <w:rFonts w:hint="eastAsia" w:ascii="微软雅黑" w:hAnsi="微软雅黑" w:eastAsia="微软雅黑"/>
                <w:kern w:val="0"/>
                <w:sz w:val="20"/>
              </w:rPr>
              <w:t>）支持对Ubuntu、Redhat、Centos、Fedora等系统的立即还原和ip地址自动分配；</w:t>
            </w:r>
            <w:r>
              <w:rPr>
                <w:rFonts w:hint="eastAsia" w:ascii="微软雅黑" w:hAnsi="微软雅黑" w:eastAsia="微软雅黑"/>
                <w:kern w:val="0"/>
                <w:sz w:val="20"/>
              </w:rPr>
              <w:br w:type="textWrapping"/>
            </w:r>
            <w:r>
              <w:rPr>
                <w:rFonts w:hint="eastAsia" w:ascii="微软雅黑" w:hAnsi="微软雅黑" w:eastAsia="微软雅黑"/>
                <w:kern w:val="0"/>
                <w:sz w:val="20"/>
              </w:rPr>
              <w:t>（</w:t>
            </w:r>
            <w:r>
              <w:rPr>
                <w:rFonts w:ascii="微软雅黑" w:hAnsi="微软雅黑" w:eastAsia="微软雅黑"/>
                <w:kern w:val="0"/>
                <w:sz w:val="20"/>
              </w:rPr>
              <w:t>5</w:t>
            </w:r>
            <w:r>
              <w:rPr>
                <w:rFonts w:hint="eastAsia" w:ascii="微软雅黑" w:hAnsi="微软雅黑" w:eastAsia="微软雅黑"/>
                <w:kern w:val="0"/>
                <w:sz w:val="20"/>
              </w:rPr>
              <w:t>）支持对349台以上的终端进行硬盘数据部署，根据网络状况可选择广播、组播、单播等方式；</w:t>
            </w:r>
            <w:r>
              <w:rPr>
                <w:rFonts w:hint="eastAsia" w:ascii="微软雅黑" w:hAnsi="微软雅黑" w:eastAsia="微软雅黑"/>
                <w:kern w:val="0"/>
                <w:sz w:val="20"/>
              </w:rPr>
              <w:br w:type="textWrapping"/>
            </w:r>
            <w:r>
              <w:rPr>
                <w:rFonts w:hint="eastAsia" w:ascii="微软雅黑" w:hAnsi="微软雅黑" w:eastAsia="微软雅黑"/>
                <w:kern w:val="0"/>
                <w:sz w:val="20"/>
              </w:rPr>
              <w:t>（</w:t>
            </w:r>
            <w:r>
              <w:rPr>
                <w:rFonts w:ascii="微软雅黑" w:hAnsi="微软雅黑" w:eastAsia="微软雅黑"/>
                <w:kern w:val="0"/>
                <w:sz w:val="20"/>
              </w:rPr>
              <w:t>6</w:t>
            </w:r>
            <w:r>
              <w:rPr>
                <w:rFonts w:hint="eastAsia" w:ascii="微软雅黑" w:hAnsi="微软雅黑" w:eastAsia="微软雅黑"/>
                <w:kern w:val="0"/>
                <w:sz w:val="20"/>
              </w:rPr>
              <w:t>）能够实现对设备、程序、流量、网络的限制分别设置策略，并能够通过开关一键解除所有策略；</w:t>
            </w:r>
            <w:r>
              <w:rPr>
                <w:rFonts w:hint="eastAsia" w:ascii="微软雅黑" w:hAnsi="微软雅黑" w:eastAsia="微软雅黑"/>
                <w:kern w:val="0"/>
                <w:sz w:val="20"/>
              </w:rPr>
              <w:br w:type="textWrapping"/>
            </w:r>
            <w:r>
              <w:rPr>
                <w:rFonts w:hint="eastAsia" w:ascii="微软雅黑" w:hAnsi="微软雅黑" w:eastAsia="微软雅黑"/>
                <w:kern w:val="0"/>
                <w:sz w:val="20"/>
              </w:rPr>
              <w:t>（</w:t>
            </w:r>
            <w:r>
              <w:rPr>
                <w:rFonts w:ascii="微软雅黑" w:hAnsi="微软雅黑" w:eastAsia="微软雅黑"/>
                <w:kern w:val="0"/>
                <w:sz w:val="20"/>
              </w:rPr>
              <w:t>7</w:t>
            </w:r>
            <w:r>
              <w:rPr>
                <w:rFonts w:hint="eastAsia" w:ascii="微软雅黑" w:hAnsi="微软雅黑" w:eastAsia="微软雅黑"/>
                <w:kern w:val="0"/>
                <w:sz w:val="20"/>
              </w:rPr>
              <w:t>）针对设备限制策略，至少包含内置光驱、虚拟光驱、移动光驱、U盘、移动硬盘、USB外接设备类别，并设置生效时间区间，能够精确到秒，支持按天执行、按周执行、按月执行；</w:t>
            </w:r>
            <w:r>
              <w:rPr>
                <w:rFonts w:hint="eastAsia" w:ascii="微软雅黑" w:hAnsi="微软雅黑" w:eastAsia="微软雅黑"/>
                <w:kern w:val="0"/>
                <w:sz w:val="20"/>
              </w:rPr>
              <w:br w:type="textWrapping"/>
            </w:r>
            <w:r>
              <w:rPr>
                <w:rFonts w:hint="eastAsia" w:ascii="微软雅黑" w:hAnsi="微软雅黑" w:eastAsia="微软雅黑"/>
                <w:kern w:val="0"/>
                <w:sz w:val="20"/>
              </w:rPr>
              <w:t>（</w:t>
            </w:r>
            <w:r>
              <w:rPr>
                <w:rFonts w:ascii="微软雅黑" w:hAnsi="微软雅黑" w:eastAsia="微软雅黑"/>
                <w:kern w:val="0"/>
                <w:sz w:val="20"/>
              </w:rPr>
              <w:t>8</w:t>
            </w:r>
            <w:r>
              <w:rPr>
                <w:rFonts w:hint="eastAsia" w:ascii="微软雅黑" w:hAnsi="微软雅黑" w:eastAsia="微软雅黑"/>
                <w:kern w:val="0"/>
                <w:sz w:val="20"/>
              </w:rPr>
              <w:t xml:space="preserve">）针对程序限制策略，支持黑名单、白名单两种模式，能够根据手动添加、游戏进程、应用进程、系统自带进程镜像设置，并能够通过客户端实时识别操作系统进程进行控制，并设置生效时间区间，能够精确到秒，支持按天执行、按周执行、按月执行； </w:t>
            </w:r>
            <w:r>
              <w:rPr>
                <w:rFonts w:hint="eastAsia" w:ascii="微软雅黑" w:hAnsi="微软雅黑" w:eastAsia="微软雅黑"/>
                <w:kern w:val="0"/>
                <w:sz w:val="20"/>
              </w:rPr>
              <w:br w:type="textWrapping"/>
            </w:r>
            <w:r>
              <w:rPr>
                <w:rFonts w:hint="eastAsia" w:ascii="微软雅黑" w:hAnsi="微软雅黑" w:eastAsia="微软雅黑"/>
                <w:kern w:val="0"/>
                <w:sz w:val="20"/>
              </w:rPr>
              <w:t>（</w:t>
            </w:r>
            <w:r>
              <w:rPr>
                <w:rFonts w:ascii="微软雅黑" w:hAnsi="微软雅黑" w:eastAsia="微软雅黑"/>
                <w:kern w:val="0"/>
                <w:sz w:val="20"/>
              </w:rPr>
              <w:t>9</w:t>
            </w:r>
            <w:r>
              <w:rPr>
                <w:rFonts w:hint="eastAsia" w:ascii="微软雅黑" w:hAnsi="微软雅黑" w:eastAsia="微软雅黑"/>
                <w:kern w:val="0"/>
                <w:sz w:val="20"/>
              </w:rPr>
              <w:t xml:space="preserve">）针对流量限制策略，能够设定上行流量、下行流量，并设置生效时间区间，能够精确到秒，支持按天执行、按周执行、按月执行； </w:t>
            </w:r>
            <w:r>
              <w:rPr>
                <w:rFonts w:hint="eastAsia" w:ascii="微软雅黑" w:hAnsi="微软雅黑" w:eastAsia="微软雅黑"/>
                <w:kern w:val="0"/>
                <w:sz w:val="20"/>
              </w:rPr>
              <w:br w:type="textWrapping"/>
            </w:r>
            <w:r>
              <w:rPr>
                <w:rFonts w:hint="eastAsia" w:ascii="微软雅黑" w:hAnsi="微软雅黑" w:eastAsia="微软雅黑"/>
                <w:kern w:val="0"/>
                <w:sz w:val="20"/>
              </w:rPr>
              <w:t>（1</w:t>
            </w:r>
            <w:r>
              <w:rPr>
                <w:rFonts w:ascii="微软雅黑" w:hAnsi="微软雅黑" w:eastAsia="微软雅黑"/>
                <w:kern w:val="0"/>
                <w:sz w:val="20"/>
              </w:rPr>
              <w:t>0</w:t>
            </w:r>
            <w:r>
              <w:rPr>
                <w:rFonts w:hint="eastAsia" w:ascii="微软雅黑" w:hAnsi="微软雅黑" w:eastAsia="微软雅黑"/>
                <w:kern w:val="0"/>
                <w:sz w:val="20"/>
              </w:rPr>
              <w:t>）针对网络限制策略，能够设定禁用外网或禁用全部网络，并支持设置例外，例外类型包括ip地址、网址、端口，并设置生效时间区间，能够精确到秒，支持按天执行、按周执行、按月执行；</w:t>
            </w:r>
            <w:r>
              <w:rPr>
                <w:rFonts w:hint="eastAsia" w:ascii="微软雅黑" w:hAnsi="微软雅黑" w:eastAsia="微软雅黑"/>
                <w:kern w:val="0"/>
                <w:sz w:val="20"/>
              </w:rPr>
              <w:br w:type="textWrapping"/>
            </w:r>
            <w:r>
              <w:rPr>
                <w:rFonts w:hint="eastAsia" w:ascii="微软雅黑" w:hAnsi="微软雅黑" w:eastAsia="微软雅黑"/>
                <w:kern w:val="0"/>
                <w:sz w:val="20"/>
              </w:rPr>
              <w:t>（1</w:t>
            </w:r>
            <w:r>
              <w:rPr>
                <w:rFonts w:ascii="微软雅黑" w:hAnsi="微软雅黑" w:eastAsia="微软雅黑"/>
                <w:kern w:val="0"/>
                <w:sz w:val="20"/>
              </w:rPr>
              <w:t>1</w:t>
            </w:r>
            <w:r>
              <w:rPr>
                <w:rFonts w:hint="eastAsia" w:ascii="微软雅黑" w:hAnsi="微软雅黑" w:eastAsia="微软雅黑"/>
                <w:kern w:val="0"/>
                <w:sz w:val="20"/>
              </w:rPr>
              <w:t>）能够针每台虚拟机安装的应用识别并记录，至少包括软件应用名称、版本号、应用大小、应用厂商，并支持表格导出。当有软件应用新增、卸载时，能够记录软件变更信息，至少包含软件所在的计算机名称、ip地址、变更软件、变更次数等信息，并予以提醒；</w:t>
            </w:r>
            <w:r>
              <w:rPr>
                <w:rFonts w:hint="eastAsia" w:ascii="微软雅黑" w:hAnsi="微软雅黑" w:eastAsia="微软雅黑"/>
                <w:kern w:val="0"/>
                <w:sz w:val="20"/>
              </w:rPr>
              <w:br w:type="textWrapping"/>
            </w:r>
            <w:r>
              <w:rPr>
                <w:rFonts w:hint="eastAsia" w:ascii="微软雅黑" w:hAnsi="微软雅黑" w:eastAsia="微软雅黑"/>
                <w:kern w:val="0"/>
                <w:sz w:val="20"/>
              </w:rPr>
              <w:t>（1</w:t>
            </w:r>
            <w:r>
              <w:rPr>
                <w:rFonts w:ascii="微软雅黑" w:hAnsi="微软雅黑" w:eastAsia="微软雅黑"/>
                <w:kern w:val="0"/>
                <w:sz w:val="20"/>
              </w:rPr>
              <w:t>2</w:t>
            </w:r>
            <w:r>
              <w:rPr>
                <w:rFonts w:hint="eastAsia" w:ascii="微软雅黑" w:hAnsi="微软雅黑" w:eastAsia="微软雅黑"/>
                <w:kern w:val="0"/>
                <w:sz w:val="20"/>
              </w:rPr>
              <w:t>）能够针对软件使用、上网操作进行记录，并支持按照应用、访问网址进行查询，能够根据时间段进行搜索，搜索时间精确到秒，针对上网操作，能够展示网址及网站标题信息，支持表格导出。</w:t>
            </w:r>
            <w:r>
              <w:rPr>
                <w:rFonts w:hint="eastAsia" w:ascii="微软雅黑" w:hAnsi="微软雅黑" w:eastAsia="微软雅黑"/>
                <w:kern w:val="0"/>
                <w:sz w:val="20"/>
              </w:rPr>
              <w:br w:type="textWrapping"/>
            </w:r>
            <w:r>
              <w:rPr>
                <w:rFonts w:hint="eastAsia" w:ascii="微软雅黑" w:hAnsi="微软雅黑" w:eastAsia="微软雅黑"/>
                <w:kern w:val="0"/>
                <w:sz w:val="20"/>
              </w:rPr>
              <w:t>★</w:t>
            </w:r>
            <w:r>
              <w:rPr>
                <w:rFonts w:ascii="微软雅黑" w:hAnsi="微软雅黑" w:eastAsia="微软雅黑"/>
                <w:kern w:val="0"/>
                <w:sz w:val="20"/>
              </w:rPr>
              <w:t>41</w:t>
            </w:r>
            <w:r>
              <w:rPr>
                <w:rFonts w:hint="eastAsia" w:ascii="微软雅黑" w:hAnsi="微软雅黑" w:eastAsia="微软雅黑"/>
                <w:kern w:val="0"/>
                <w:sz w:val="20"/>
              </w:rPr>
              <w:t>.与学校原有云桌面系统无缝对接,便于统一管理，原有云桌面系统厂商已开放接口。</w:t>
            </w:r>
          </w:p>
        </w:tc>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color w:val="000000"/>
                <w:kern w:val="0"/>
                <w:sz w:val="20"/>
              </w:rPr>
            </w:pPr>
            <w:r>
              <w:rPr>
                <w:rFonts w:ascii="微软雅黑" w:hAnsi="微软雅黑" w:eastAsia="微软雅黑" w:cs="宋体"/>
                <w:color w:val="000000"/>
                <w:kern w:val="0"/>
                <w:sz w:val="20"/>
              </w:rPr>
              <w:t>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ascii="微软雅黑" w:hAnsi="微软雅黑" w:eastAsia="微软雅黑" w:cs="宋体"/>
                <w:color w:val="000000"/>
                <w:kern w:val="0"/>
                <w:sz w:val="20"/>
              </w:rPr>
              <w:t>13</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kern w:val="0"/>
                <w:sz w:val="20"/>
              </w:rPr>
            </w:pPr>
            <w:r>
              <w:rPr>
                <w:rFonts w:hint="eastAsia" w:ascii="微软雅黑" w:hAnsi="微软雅黑" w:eastAsia="微软雅黑"/>
                <w:kern w:val="0"/>
                <w:sz w:val="20"/>
              </w:rPr>
              <w:t>数字无线教学功放</w:t>
            </w:r>
          </w:p>
        </w:tc>
        <w:tc>
          <w:tcPr>
            <w:tcW w:w="6313" w:type="dxa"/>
            <w:tcBorders>
              <w:top w:val="single" w:color="auto" w:sz="4" w:space="0"/>
              <w:left w:val="single" w:color="auto" w:sz="4" w:space="0"/>
              <w:bottom w:val="single" w:color="auto" w:sz="4" w:space="0"/>
              <w:right w:val="single" w:color="auto" w:sz="4" w:space="0"/>
            </w:tcBorders>
            <w:noWrap w:val="0"/>
            <w:vAlign w:val="center"/>
          </w:tcPr>
          <w:p>
            <w:pPr>
              <w:widowControl/>
              <w:rPr>
                <w:rFonts w:ascii="微软雅黑" w:hAnsi="微软雅黑" w:eastAsia="微软雅黑"/>
                <w:kern w:val="0"/>
                <w:sz w:val="20"/>
              </w:rPr>
            </w:pPr>
            <w:r>
              <w:rPr>
                <w:rFonts w:hint="eastAsia" w:ascii="微软雅黑" w:hAnsi="微软雅黑" w:eastAsia="微软雅黑"/>
                <w:kern w:val="0"/>
                <w:sz w:val="20"/>
              </w:rPr>
              <w:t>内置2路三模合一无线教学话筒接收模块</w:t>
            </w:r>
            <w:r>
              <w:rPr>
                <w:rFonts w:hint="eastAsia" w:ascii="微软雅黑" w:hAnsi="微软雅黑" w:eastAsia="微软雅黑"/>
                <w:kern w:val="0"/>
                <w:sz w:val="20"/>
              </w:rPr>
              <w:br w:type="textWrapping"/>
            </w:r>
            <w:r>
              <w:rPr>
                <w:rFonts w:hint="eastAsia" w:ascii="微软雅黑" w:hAnsi="微软雅黑" w:eastAsia="微软雅黑"/>
                <w:kern w:val="0"/>
                <w:sz w:val="20"/>
              </w:rPr>
              <w:t>能同时使用2支三模合一无线教学话筒；</w:t>
            </w:r>
            <w:r>
              <w:rPr>
                <w:rFonts w:hint="eastAsia" w:ascii="微软雅黑" w:hAnsi="微软雅黑" w:eastAsia="微软雅黑"/>
                <w:kern w:val="0"/>
                <w:sz w:val="20"/>
              </w:rPr>
              <w:br w:type="textWrapping"/>
            </w:r>
            <w:r>
              <w:rPr>
                <w:rFonts w:hint="eastAsia" w:ascii="微软雅黑" w:hAnsi="微软雅黑" w:eastAsia="微软雅黑"/>
                <w:kern w:val="0"/>
                <w:sz w:val="20"/>
              </w:rPr>
              <w:t>具备2路MIC平衡信号专用输入凤凰接口；</w:t>
            </w:r>
            <w:r>
              <w:rPr>
                <w:rFonts w:hint="eastAsia" w:ascii="微软雅黑" w:hAnsi="微软雅黑" w:eastAsia="微软雅黑"/>
                <w:kern w:val="0"/>
                <w:sz w:val="20"/>
              </w:rPr>
              <w:br w:type="textWrapping"/>
            </w:r>
            <w:r>
              <w:rPr>
                <w:rFonts w:hint="eastAsia" w:ascii="微软雅黑" w:hAnsi="微软雅黑" w:eastAsia="微软雅黑"/>
                <w:kern w:val="0"/>
                <w:sz w:val="20"/>
              </w:rPr>
              <w:t>每路MIC信号接口独立提供6V供电；</w:t>
            </w:r>
            <w:r>
              <w:rPr>
                <w:rFonts w:hint="eastAsia" w:ascii="微软雅黑" w:hAnsi="微软雅黑" w:eastAsia="微软雅黑"/>
                <w:kern w:val="0"/>
                <w:sz w:val="20"/>
              </w:rPr>
              <w:br w:type="textWrapping"/>
            </w:r>
            <w:r>
              <w:rPr>
                <w:rFonts w:hint="eastAsia" w:ascii="微软雅黑" w:hAnsi="微软雅黑" w:eastAsia="微软雅黑"/>
                <w:kern w:val="0"/>
                <w:sz w:val="20"/>
              </w:rPr>
              <w:t>具备1组立体声LINE信号输入凤凰接口；</w:t>
            </w:r>
            <w:r>
              <w:rPr>
                <w:rFonts w:hint="eastAsia" w:ascii="微软雅黑" w:hAnsi="微软雅黑" w:eastAsia="微软雅黑"/>
                <w:kern w:val="0"/>
                <w:sz w:val="20"/>
              </w:rPr>
              <w:br w:type="textWrapping"/>
            </w:r>
            <w:r>
              <w:rPr>
                <w:rFonts w:hint="eastAsia" w:ascii="微软雅黑" w:hAnsi="微软雅黑" w:eastAsia="微软雅黑"/>
                <w:kern w:val="0"/>
                <w:sz w:val="20"/>
              </w:rPr>
              <w:t>具备1组立体声MUSIC信号输入凤凰接口；</w:t>
            </w:r>
            <w:r>
              <w:rPr>
                <w:rFonts w:hint="eastAsia" w:ascii="微软雅黑" w:hAnsi="微软雅黑" w:eastAsia="微软雅黑"/>
                <w:kern w:val="0"/>
                <w:sz w:val="20"/>
              </w:rPr>
              <w:br w:type="textWrapping"/>
            </w:r>
            <w:r>
              <w:rPr>
                <w:rFonts w:hint="eastAsia" w:ascii="微软雅黑" w:hAnsi="微软雅黑" w:eastAsia="微软雅黑"/>
                <w:kern w:val="0"/>
                <w:sz w:val="20"/>
              </w:rPr>
              <w:t>具备1组立体声录音信号输出RCA接口；</w:t>
            </w:r>
            <w:r>
              <w:rPr>
                <w:rFonts w:hint="eastAsia" w:ascii="微软雅黑" w:hAnsi="微软雅黑" w:eastAsia="微软雅黑"/>
                <w:kern w:val="0"/>
                <w:sz w:val="20"/>
              </w:rPr>
              <w:br w:type="textWrapping"/>
            </w:r>
            <w:r>
              <w:rPr>
                <w:rFonts w:hint="eastAsia" w:ascii="微软雅黑" w:hAnsi="微软雅黑" w:eastAsia="微软雅黑"/>
                <w:kern w:val="0"/>
                <w:sz w:val="20"/>
              </w:rPr>
              <w:t>所有输入输出接口均具备独立音量调节功能；</w:t>
            </w:r>
            <w:r>
              <w:rPr>
                <w:rFonts w:hint="eastAsia" w:ascii="微软雅黑" w:hAnsi="微软雅黑" w:eastAsia="微软雅黑"/>
                <w:kern w:val="0"/>
                <w:sz w:val="20"/>
              </w:rPr>
              <w:br w:type="textWrapping"/>
            </w:r>
            <w:r>
              <w:rPr>
                <w:rFonts w:hint="eastAsia" w:ascii="微软雅黑" w:hAnsi="微软雅黑" w:eastAsia="微软雅黑"/>
                <w:kern w:val="0"/>
                <w:sz w:val="20"/>
              </w:rPr>
              <w:t>LINE和MUSIC总音量前面板可调，且不能影响其他输入信号；</w:t>
            </w:r>
            <w:r>
              <w:rPr>
                <w:rFonts w:hint="eastAsia" w:ascii="微软雅黑" w:hAnsi="微软雅黑" w:eastAsia="微软雅黑"/>
                <w:kern w:val="0"/>
                <w:sz w:val="20"/>
              </w:rPr>
              <w:br w:type="textWrapping"/>
            </w:r>
            <w:r>
              <w:rPr>
                <w:rFonts w:hint="eastAsia" w:ascii="微软雅黑" w:hAnsi="微软雅黑" w:eastAsia="微软雅黑"/>
                <w:kern w:val="0"/>
                <w:sz w:val="20"/>
              </w:rPr>
              <w:t>前面板除总混合输出音量调节旋钮外，其他调节旋钮均为暗藏式旋钮，防止误触碰；</w:t>
            </w:r>
            <w:r>
              <w:rPr>
                <w:rFonts w:hint="eastAsia" w:ascii="微软雅黑" w:hAnsi="微软雅黑" w:eastAsia="微软雅黑"/>
                <w:kern w:val="0"/>
                <w:sz w:val="20"/>
              </w:rPr>
              <w:br w:type="textWrapping"/>
            </w:r>
            <w:r>
              <w:rPr>
                <w:rFonts w:hint="eastAsia" w:ascii="微软雅黑" w:hAnsi="微软雅黑" w:eastAsia="微软雅黑"/>
                <w:kern w:val="0"/>
                <w:sz w:val="20"/>
              </w:rPr>
              <w:t>具备录音输出电平高低调节功能；</w:t>
            </w:r>
            <w:r>
              <w:rPr>
                <w:rFonts w:hint="eastAsia" w:ascii="微软雅黑" w:hAnsi="微软雅黑" w:eastAsia="微软雅黑"/>
                <w:kern w:val="0"/>
                <w:sz w:val="20"/>
              </w:rPr>
              <w:br w:type="textWrapping"/>
            </w:r>
            <w:r>
              <w:rPr>
                <w:rFonts w:hint="eastAsia" w:ascii="微软雅黑" w:hAnsi="微软雅黑" w:eastAsia="微软雅黑"/>
                <w:kern w:val="0"/>
                <w:sz w:val="20"/>
              </w:rPr>
              <w:t>要求录音信号输出提供MIC信号和混合信号可选，可直接通过开关按钮来选择</w:t>
            </w:r>
            <w:r>
              <w:rPr>
                <w:rFonts w:hint="eastAsia" w:ascii="微软雅黑" w:hAnsi="微软雅黑" w:eastAsia="微软雅黑"/>
                <w:kern w:val="0"/>
                <w:sz w:val="20"/>
              </w:rPr>
              <w:br w:type="textWrapping"/>
            </w:r>
            <w:r>
              <w:rPr>
                <w:rFonts w:hint="eastAsia" w:ascii="微软雅黑" w:hAnsi="微软雅黑" w:eastAsia="微软雅黑"/>
                <w:kern w:val="0"/>
                <w:sz w:val="20"/>
              </w:rPr>
              <w:t>具备开关机自动延时管理功能，保护设备受冲击损坏。</w:t>
            </w:r>
            <w:r>
              <w:rPr>
                <w:rFonts w:hint="eastAsia" w:ascii="微软雅黑" w:hAnsi="微软雅黑" w:eastAsia="微软雅黑"/>
                <w:kern w:val="0"/>
                <w:sz w:val="20"/>
              </w:rPr>
              <w:br w:type="textWrapping"/>
            </w:r>
            <w:r>
              <w:rPr>
                <w:rFonts w:hint="eastAsia" w:ascii="微软雅黑" w:hAnsi="微软雅黑" w:eastAsia="微软雅黑"/>
                <w:kern w:val="0"/>
                <w:sz w:val="20"/>
              </w:rPr>
              <w:t>前面板具备MIC信号3段音调调节；</w:t>
            </w:r>
            <w:r>
              <w:rPr>
                <w:rFonts w:hint="eastAsia" w:ascii="微软雅黑" w:hAnsi="微软雅黑" w:eastAsia="微软雅黑"/>
                <w:kern w:val="0"/>
                <w:sz w:val="20"/>
              </w:rPr>
              <w:br w:type="textWrapping"/>
            </w:r>
            <w:r>
              <w:rPr>
                <w:rFonts w:hint="eastAsia" w:ascii="微软雅黑" w:hAnsi="微软雅黑" w:eastAsia="微软雅黑"/>
                <w:kern w:val="0"/>
                <w:sz w:val="20"/>
              </w:rPr>
              <w:t>前面板具备LINE/MUSIC信号3段音调调节；</w:t>
            </w:r>
            <w:r>
              <w:rPr>
                <w:rFonts w:hint="eastAsia" w:ascii="微软雅黑" w:hAnsi="微软雅黑" w:eastAsia="微软雅黑"/>
                <w:kern w:val="0"/>
                <w:sz w:val="20"/>
              </w:rPr>
              <w:br w:type="textWrapping"/>
            </w:r>
            <w:r>
              <w:rPr>
                <w:rFonts w:hint="eastAsia" w:ascii="微软雅黑" w:hAnsi="微软雅黑" w:eastAsia="微软雅黑"/>
                <w:kern w:val="0"/>
                <w:sz w:val="20"/>
              </w:rPr>
              <w:t>具备远程开关机控制接口；</w:t>
            </w:r>
            <w:r>
              <w:rPr>
                <w:rFonts w:hint="eastAsia" w:ascii="微软雅黑" w:hAnsi="微软雅黑" w:eastAsia="微软雅黑"/>
                <w:kern w:val="0"/>
                <w:sz w:val="20"/>
              </w:rPr>
              <w:br w:type="textWrapping"/>
            </w:r>
            <w:r>
              <w:rPr>
                <w:rFonts w:hint="eastAsia" w:ascii="微软雅黑" w:hAnsi="微软雅黑" w:eastAsia="微软雅黑"/>
                <w:kern w:val="0"/>
                <w:sz w:val="20"/>
              </w:rPr>
              <w:t>具备接地选择开关；</w:t>
            </w:r>
            <w:r>
              <w:rPr>
                <w:rFonts w:hint="eastAsia" w:ascii="微软雅黑" w:hAnsi="微软雅黑" w:eastAsia="微软雅黑"/>
                <w:kern w:val="0"/>
                <w:sz w:val="20"/>
              </w:rPr>
              <w:br w:type="textWrapping"/>
            </w:r>
            <w:r>
              <w:rPr>
                <w:rFonts w:hint="eastAsia" w:ascii="微软雅黑" w:hAnsi="微软雅黑" w:eastAsia="微软雅黑"/>
                <w:kern w:val="0"/>
                <w:sz w:val="20"/>
              </w:rPr>
              <w:t>具备8通道电子音量调节并提供控制的RS232接口</w:t>
            </w:r>
            <w:r>
              <w:rPr>
                <w:rFonts w:hint="eastAsia" w:ascii="微软雅黑" w:hAnsi="微软雅黑" w:eastAsia="微软雅黑"/>
                <w:kern w:val="0"/>
                <w:sz w:val="20"/>
              </w:rPr>
              <w:br w:type="textWrapping"/>
            </w:r>
            <w:r>
              <w:rPr>
                <w:rFonts w:hint="eastAsia" w:ascii="微软雅黑" w:hAnsi="微软雅黑" w:eastAsia="微软雅黑"/>
                <w:kern w:val="0"/>
                <w:sz w:val="20"/>
              </w:rPr>
              <w:t>具备独立两通道2x100W 8Ω 额定功率输出；</w:t>
            </w:r>
            <w:r>
              <w:rPr>
                <w:rFonts w:hint="eastAsia" w:ascii="微软雅黑" w:hAnsi="微软雅黑" w:eastAsia="微软雅黑"/>
                <w:kern w:val="0"/>
                <w:sz w:val="20"/>
              </w:rPr>
              <w:br w:type="textWrapping"/>
            </w:r>
            <w:r>
              <w:rPr>
                <w:rFonts w:hint="eastAsia" w:ascii="微软雅黑" w:hAnsi="微软雅黑" w:eastAsia="微软雅黑"/>
                <w:kern w:val="0"/>
                <w:sz w:val="20"/>
              </w:rPr>
              <w:t>具备每通道功率输出大小可调；</w:t>
            </w:r>
          </w:p>
        </w:tc>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ascii="微软雅黑" w:hAnsi="微软雅黑" w:eastAsia="微软雅黑" w:cs="宋体"/>
                <w:color w:val="000000"/>
                <w:kern w:val="0"/>
                <w:sz w:val="20"/>
              </w:rPr>
              <w:t>14</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kern w:val="0"/>
                <w:sz w:val="20"/>
              </w:rPr>
            </w:pPr>
            <w:r>
              <w:rPr>
                <w:rFonts w:hint="eastAsia" w:ascii="微软雅黑" w:hAnsi="微软雅黑" w:eastAsia="微软雅黑"/>
                <w:kern w:val="0"/>
                <w:sz w:val="20"/>
              </w:rPr>
              <w:t>一拖二无线话筒</w:t>
            </w:r>
          </w:p>
        </w:tc>
        <w:tc>
          <w:tcPr>
            <w:tcW w:w="631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微软雅黑" w:hAnsi="微软雅黑" w:eastAsia="微软雅黑"/>
                <w:kern w:val="0"/>
                <w:sz w:val="20"/>
              </w:rPr>
            </w:pPr>
            <w:r>
              <w:rPr>
                <w:rFonts w:hint="eastAsia" w:ascii="微软雅黑" w:hAnsi="微软雅黑" w:eastAsia="微软雅黑"/>
                <w:kern w:val="0"/>
                <w:sz w:val="20"/>
              </w:rPr>
              <w:t>1、频率范围:640.000-690.000MHZ</w:t>
            </w:r>
          </w:p>
          <w:p>
            <w:pPr>
              <w:widowControl/>
              <w:jc w:val="left"/>
              <w:rPr>
                <w:rFonts w:ascii="微软雅黑" w:hAnsi="微软雅黑" w:eastAsia="微软雅黑"/>
                <w:kern w:val="0"/>
                <w:sz w:val="20"/>
              </w:rPr>
            </w:pPr>
            <w:r>
              <w:rPr>
                <w:rFonts w:hint="eastAsia" w:ascii="微软雅黑" w:hAnsi="微软雅黑" w:eastAsia="微软雅黑"/>
                <w:kern w:val="0"/>
                <w:sz w:val="20"/>
              </w:rPr>
              <w:t>2、频率间隔:250KHZ</w:t>
            </w:r>
          </w:p>
          <w:p>
            <w:pPr>
              <w:widowControl/>
              <w:jc w:val="left"/>
              <w:rPr>
                <w:rFonts w:ascii="微软雅黑" w:hAnsi="微软雅黑" w:eastAsia="微软雅黑"/>
                <w:kern w:val="0"/>
                <w:sz w:val="20"/>
              </w:rPr>
            </w:pPr>
            <w:r>
              <w:rPr>
                <w:rFonts w:hint="eastAsia" w:ascii="微软雅黑" w:hAnsi="微软雅黑" w:eastAsia="微软雅黑"/>
                <w:kern w:val="0"/>
                <w:sz w:val="20"/>
              </w:rPr>
              <w:t>3、频道总数:200CH</w:t>
            </w:r>
          </w:p>
          <w:p>
            <w:pPr>
              <w:widowControl/>
              <w:jc w:val="left"/>
              <w:rPr>
                <w:rFonts w:ascii="微软雅黑" w:hAnsi="微软雅黑" w:eastAsia="微软雅黑"/>
                <w:kern w:val="0"/>
                <w:sz w:val="20"/>
              </w:rPr>
            </w:pPr>
            <w:r>
              <w:rPr>
                <w:rFonts w:hint="eastAsia" w:ascii="微软雅黑" w:hAnsi="微软雅黑" w:eastAsia="微软雅黑"/>
                <w:kern w:val="0"/>
                <w:sz w:val="20"/>
              </w:rPr>
              <w:t>4、有效使用距离:x50m</w:t>
            </w:r>
          </w:p>
          <w:p>
            <w:pPr>
              <w:widowControl/>
              <w:jc w:val="left"/>
              <w:rPr>
                <w:rFonts w:ascii="微软雅黑" w:hAnsi="微软雅黑" w:eastAsia="微软雅黑"/>
                <w:kern w:val="0"/>
                <w:sz w:val="20"/>
              </w:rPr>
            </w:pPr>
            <w:r>
              <w:rPr>
                <w:rFonts w:hint="eastAsia" w:ascii="微软雅黑" w:hAnsi="微软雅黑" w:eastAsia="微软雅黑"/>
                <w:kern w:val="0"/>
                <w:sz w:val="20"/>
              </w:rPr>
              <w:t>5、频率宽度:50MHZ</w:t>
            </w:r>
          </w:p>
          <w:p>
            <w:pPr>
              <w:widowControl/>
              <w:jc w:val="left"/>
              <w:rPr>
                <w:rFonts w:ascii="微软雅黑" w:hAnsi="微软雅黑" w:eastAsia="微软雅黑"/>
                <w:kern w:val="0"/>
                <w:sz w:val="20"/>
              </w:rPr>
            </w:pPr>
            <w:r>
              <w:rPr>
                <w:rFonts w:hint="eastAsia" w:ascii="微软雅黑" w:hAnsi="微软雅黑" w:eastAsia="微软雅黑"/>
                <w:kern w:val="0"/>
                <w:sz w:val="20"/>
              </w:rPr>
              <w:t>6、频率震荡模式:PLL相位锁定频率合成</w:t>
            </w:r>
          </w:p>
          <w:p>
            <w:pPr>
              <w:widowControl/>
              <w:jc w:val="left"/>
              <w:rPr>
                <w:rFonts w:ascii="微软雅黑" w:hAnsi="微软雅黑" w:eastAsia="微软雅黑"/>
                <w:kern w:val="0"/>
                <w:sz w:val="20"/>
              </w:rPr>
            </w:pPr>
            <w:r>
              <w:rPr>
                <w:rFonts w:hint="eastAsia" w:ascii="微软雅黑" w:hAnsi="微软雅黑" w:eastAsia="微软雅黑"/>
                <w:kern w:val="0"/>
                <w:sz w:val="20"/>
              </w:rPr>
              <w:t>7、信号信噪比:&gt;50dB</w:t>
            </w:r>
          </w:p>
          <w:p>
            <w:pPr>
              <w:widowControl/>
              <w:jc w:val="left"/>
              <w:rPr>
                <w:rFonts w:ascii="微软雅黑" w:hAnsi="微软雅黑" w:eastAsia="微软雅黑"/>
                <w:kern w:val="0"/>
                <w:sz w:val="20"/>
              </w:rPr>
            </w:pPr>
            <w:r>
              <w:rPr>
                <w:rFonts w:hint="eastAsia" w:ascii="微软雅黑" w:hAnsi="微软雅黑" w:eastAsia="微软雅黑"/>
                <w:kern w:val="0"/>
                <w:sz w:val="20"/>
              </w:rPr>
              <w:t>8、频率稳定度:±5KHZ</w:t>
            </w:r>
          </w:p>
          <w:p>
            <w:pPr>
              <w:widowControl/>
              <w:jc w:val="left"/>
              <w:rPr>
                <w:rFonts w:ascii="微软雅黑" w:hAnsi="微软雅黑" w:eastAsia="微软雅黑"/>
                <w:kern w:val="0"/>
                <w:sz w:val="20"/>
              </w:rPr>
            </w:pPr>
            <w:r>
              <w:rPr>
                <w:rFonts w:hint="eastAsia" w:ascii="微软雅黑" w:hAnsi="微软雅黑" w:eastAsia="微软雅黑"/>
                <w:kern w:val="0"/>
                <w:sz w:val="20"/>
              </w:rPr>
              <w:t>9、接收方式:CPU控制选讯+导频识别接收</w:t>
            </w:r>
          </w:p>
          <w:p>
            <w:pPr>
              <w:widowControl/>
              <w:jc w:val="left"/>
              <w:rPr>
                <w:rFonts w:ascii="微软雅黑" w:hAnsi="微软雅黑" w:eastAsia="微软雅黑"/>
                <w:kern w:val="0"/>
                <w:sz w:val="20"/>
              </w:rPr>
            </w:pPr>
            <w:r>
              <w:rPr>
                <w:rFonts w:hint="eastAsia" w:ascii="微软雅黑" w:hAnsi="微软雅黑" w:eastAsia="微软雅黑"/>
                <w:kern w:val="0"/>
                <w:sz w:val="20"/>
              </w:rPr>
              <w:t>10、静音方式:Mute &amp;Lock Loop Circuit</w:t>
            </w:r>
          </w:p>
          <w:p>
            <w:pPr>
              <w:widowControl/>
              <w:jc w:val="left"/>
              <w:rPr>
                <w:rFonts w:ascii="微软雅黑" w:hAnsi="微软雅黑" w:eastAsia="微软雅黑"/>
                <w:kern w:val="0"/>
                <w:sz w:val="20"/>
              </w:rPr>
            </w:pPr>
            <w:r>
              <w:rPr>
                <w:rFonts w:hint="eastAsia" w:ascii="微软雅黑" w:hAnsi="微软雅黑" w:eastAsia="微软雅黑"/>
                <w:kern w:val="0"/>
                <w:sz w:val="20"/>
              </w:rPr>
              <w:t>11、显示方式:LCD电源供应:12V DC,1250mA</w:t>
            </w:r>
          </w:p>
        </w:tc>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ascii="微软雅黑" w:hAnsi="微软雅黑" w:eastAsia="微软雅黑" w:cs="宋体"/>
                <w:color w:val="000000"/>
                <w:kern w:val="0"/>
                <w:sz w:val="20"/>
              </w:rPr>
              <w:t>15</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hint="eastAsia" w:ascii="微软雅黑" w:hAnsi="微软雅黑" w:eastAsia="微软雅黑" w:cs="宋体"/>
                <w:kern w:val="0"/>
                <w:sz w:val="20"/>
              </w:rPr>
              <w:t>鹅颈有线话筒</w:t>
            </w:r>
          </w:p>
        </w:tc>
        <w:tc>
          <w:tcPr>
            <w:tcW w:w="6313" w:type="dxa"/>
            <w:tcBorders>
              <w:top w:val="single" w:color="auto" w:sz="4" w:space="0"/>
              <w:left w:val="single" w:color="auto" w:sz="4" w:space="0"/>
              <w:bottom w:val="single" w:color="auto" w:sz="4" w:space="0"/>
              <w:right w:val="single" w:color="auto" w:sz="4" w:space="0"/>
            </w:tcBorders>
            <w:noWrap w:val="0"/>
            <w:vAlign w:val="center"/>
          </w:tcPr>
          <w:p>
            <w:pPr>
              <w:widowControl/>
              <w:rPr>
                <w:rFonts w:ascii="微软雅黑" w:hAnsi="微软雅黑" w:eastAsia="微软雅黑"/>
                <w:kern w:val="0"/>
                <w:sz w:val="20"/>
              </w:rPr>
            </w:pPr>
            <w:r>
              <w:rPr>
                <w:rFonts w:hint="eastAsia" w:ascii="微软雅黑" w:hAnsi="微软雅黑" w:eastAsia="微软雅黑"/>
                <w:kern w:val="0"/>
                <w:sz w:val="20"/>
              </w:rPr>
              <w:t>产品类型</w:t>
            </w:r>
            <w:r>
              <w:rPr>
                <w:rFonts w:hint="eastAsia" w:ascii="微软雅黑" w:hAnsi="微软雅黑" w:eastAsia="微软雅黑"/>
                <w:kern w:val="0"/>
                <w:sz w:val="20"/>
              </w:rPr>
              <w:tab/>
            </w:r>
            <w:r>
              <w:rPr>
                <w:rFonts w:hint="eastAsia" w:ascii="微软雅黑" w:hAnsi="微软雅黑" w:eastAsia="微软雅黑"/>
                <w:kern w:val="0"/>
                <w:sz w:val="20"/>
              </w:rPr>
              <w:t>有线</w:t>
            </w:r>
          </w:p>
          <w:p>
            <w:pPr>
              <w:widowControl/>
              <w:rPr>
                <w:rFonts w:ascii="微软雅黑" w:hAnsi="微软雅黑" w:eastAsia="微软雅黑"/>
                <w:kern w:val="0"/>
                <w:sz w:val="20"/>
              </w:rPr>
            </w:pPr>
            <w:r>
              <w:rPr>
                <w:rFonts w:hint="eastAsia" w:ascii="微软雅黑" w:hAnsi="微软雅黑" w:eastAsia="微软雅黑"/>
                <w:kern w:val="0"/>
                <w:sz w:val="20"/>
              </w:rPr>
              <w:t>指向特征</w:t>
            </w:r>
            <w:r>
              <w:rPr>
                <w:rFonts w:hint="eastAsia" w:ascii="微软雅黑" w:hAnsi="微软雅黑" w:eastAsia="微软雅黑"/>
                <w:kern w:val="0"/>
                <w:sz w:val="20"/>
              </w:rPr>
              <w:tab/>
            </w:r>
            <w:r>
              <w:rPr>
                <w:rFonts w:hint="eastAsia" w:ascii="微软雅黑" w:hAnsi="微软雅黑" w:eastAsia="微软雅黑"/>
                <w:kern w:val="0"/>
                <w:sz w:val="20"/>
              </w:rPr>
              <w:t>：心型</w:t>
            </w:r>
          </w:p>
          <w:p>
            <w:pPr>
              <w:widowControl/>
              <w:rPr>
                <w:rFonts w:ascii="微软雅黑" w:hAnsi="微软雅黑" w:eastAsia="微软雅黑"/>
                <w:kern w:val="0"/>
                <w:sz w:val="20"/>
              </w:rPr>
            </w:pPr>
            <w:r>
              <w:rPr>
                <w:rFonts w:hint="eastAsia" w:ascii="微软雅黑" w:hAnsi="微软雅黑" w:eastAsia="微软雅黑"/>
                <w:kern w:val="0"/>
                <w:sz w:val="20"/>
              </w:rPr>
              <w:t>收音头：</w:t>
            </w:r>
            <w:r>
              <w:rPr>
                <w:rFonts w:hint="eastAsia" w:ascii="微软雅黑" w:hAnsi="微软雅黑" w:eastAsia="微软雅黑"/>
                <w:kern w:val="0"/>
                <w:sz w:val="20"/>
              </w:rPr>
              <w:tab/>
            </w:r>
            <w:r>
              <w:rPr>
                <w:rFonts w:hint="eastAsia" w:ascii="微软雅黑" w:hAnsi="微软雅黑" w:eastAsia="微软雅黑"/>
                <w:kern w:val="0"/>
                <w:sz w:val="20"/>
              </w:rPr>
              <w:t>静电型电容音头</w:t>
            </w:r>
          </w:p>
          <w:p>
            <w:pPr>
              <w:widowControl/>
              <w:rPr>
                <w:rFonts w:ascii="微软雅黑" w:hAnsi="微软雅黑" w:eastAsia="微软雅黑"/>
                <w:kern w:val="0"/>
                <w:sz w:val="20"/>
              </w:rPr>
            </w:pPr>
            <w:r>
              <w:rPr>
                <w:rFonts w:hint="eastAsia" w:ascii="微软雅黑" w:hAnsi="微软雅黑" w:eastAsia="微软雅黑"/>
                <w:kern w:val="0"/>
                <w:sz w:val="20"/>
              </w:rPr>
              <w:t>灵敏度：</w:t>
            </w:r>
            <w:r>
              <w:rPr>
                <w:rFonts w:hint="eastAsia" w:ascii="微软雅黑" w:hAnsi="微软雅黑" w:eastAsia="微软雅黑"/>
                <w:kern w:val="0"/>
                <w:sz w:val="20"/>
              </w:rPr>
              <w:tab/>
            </w:r>
            <w:r>
              <w:rPr>
                <w:rFonts w:hint="eastAsia" w:ascii="微软雅黑" w:hAnsi="微软雅黑" w:eastAsia="微软雅黑"/>
                <w:kern w:val="0"/>
                <w:sz w:val="20"/>
              </w:rPr>
              <w:t>-30dB±3dB（0dB=1V/Pa at 1KHz）</w:t>
            </w:r>
          </w:p>
          <w:p>
            <w:pPr>
              <w:widowControl/>
              <w:rPr>
                <w:rFonts w:ascii="微软雅黑" w:hAnsi="微软雅黑" w:eastAsia="微软雅黑"/>
                <w:kern w:val="0"/>
                <w:sz w:val="20"/>
              </w:rPr>
            </w:pPr>
            <w:r>
              <w:rPr>
                <w:rFonts w:hint="eastAsia" w:ascii="微软雅黑" w:hAnsi="微软雅黑" w:eastAsia="微软雅黑"/>
                <w:kern w:val="0"/>
                <w:sz w:val="20"/>
              </w:rPr>
              <w:t>频率范围</w:t>
            </w:r>
            <w:r>
              <w:rPr>
                <w:rFonts w:hint="eastAsia" w:ascii="微软雅黑" w:hAnsi="微软雅黑" w:eastAsia="微软雅黑"/>
                <w:kern w:val="0"/>
                <w:sz w:val="20"/>
              </w:rPr>
              <w:tab/>
            </w:r>
            <w:r>
              <w:rPr>
                <w:rFonts w:hint="eastAsia" w:ascii="微软雅黑" w:hAnsi="微软雅黑" w:eastAsia="微软雅黑"/>
                <w:kern w:val="0"/>
                <w:sz w:val="20"/>
              </w:rPr>
              <w:t>：50-16000Hz</w:t>
            </w:r>
          </w:p>
          <w:p>
            <w:pPr>
              <w:widowControl/>
              <w:rPr>
                <w:rFonts w:ascii="微软雅黑" w:hAnsi="微软雅黑" w:eastAsia="微软雅黑"/>
                <w:kern w:val="0"/>
                <w:sz w:val="20"/>
              </w:rPr>
            </w:pPr>
            <w:r>
              <w:rPr>
                <w:rFonts w:hint="eastAsia" w:ascii="微软雅黑" w:hAnsi="微软雅黑" w:eastAsia="微软雅黑"/>
                <w:kern w:val="0"/>
                <w:sz w:val="20"/>
              </w:rPr>
              <w:t>产品阻抗：</w:t>
            </w:r>
            <w:r>
              <w:rPr>
                <w:rFonts w:hint="eastAsia" w:ascii="微软雅黑" w:hAnsi="微软雅黑" w:eastAsia="微软雅黑"/>
                <w:kern w:val="0"/>
                <w:sz w:val="20"/>
              </w:rPr>
              <w:tab/>
            </w:r>
            <w:r>
              <w:rPr>
                <w:rFonts w:hint="eastAsia" w:ascii="微软雅黑" w:hAnsi="微软雅黑" w:eastAsia="微软雅黑"/>
                <w:kern w:val="0"/>
                <w:sz w:val="20"/>
              </w:rPr>
              <w:t>100Ω±20%欧姆</w:t>
            </w:r>
          </w:p>
        </w:tc>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ascii="微软雅黑" w:hAnsi="微软雅黑" w:eastAsia="微软雅黑" w:cs="宋体"/>
                <w:color w:val="000000"/>
                <w:kern w:val="0"/>
                <w:sz w:val="20"/>
              </w:rPr>
              <w:t>16</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hint="eastAsia" w:ascii="微软雅黑" w:hAnsi="微软雅黑" w:eastAsia="微软雅黑" w:cs="宋体"/>
                <w:kern w:val="0"/>
                <w:sz w:val="20"/>
              </w:rPr>
              <w:t>电子教室软件</w:t>
            </w:r>
          </w:p>
        </w:tc>
        <w:tc>
          <w:tcPr>
            <w:tcW w:w="6313" w:type="dxa"/>
            <w:tcBorders>
              <w:top w:val="single" w:color="auto" w:sz="4" w:space="0"/>
              <w:left w:val="single" w:color="auto" w:sz="4" w:space="0"/>
              <w:bottom w:val="single" w:color="auto" w:sz="4" w:space="0"/>
              <w:right w:val="single" w:color="auto" w:sz="4" w:space="0"/>
            </w:tcBorders>
            <w:noWrap w:val="0"/>
            <w:vAlign w:val="center"/>
          </w:tcPr>
          <w:p>
            <w:pPr>
              <w:widowControl/>
              <w:rPr>
                <w:rFonts w:ascii="微软雅黑" w:hAnsi="微软雅黑" w:eastAsia="微软雅黑"/>
                <w:kern w:val="0"/>
                <w:sz w:val="20"/>
              </w:rPr>
            </w:pPr>
            <w:r>
              <w:rPr>
                <w:rFonts w:hint="eastAsia" w:ascii="微软雅黑" w:hAnsi="微软雅黑" w:eastAsia="微软雅黑"/>
                <w:kern w:val="0"/>
                <w:sz w:val="20"/>
              </w:rPr>
              <w:t>桌面云平台下的多媒体电子教室软件，满足以下教学功能：</w:t>
            </w:r>
            <w:r>
              <w:rPr>
                <w:rFonts w:hint="eastAsia" w:ascii="微软雅黑" w:hAnsi="微软雅黑" w:eastAsia="微软雅黑"/>
                <w:kern w:val="0"/>
                <w:sz w:val="20"/>
              </w:rPr>
              <w:br w:type="textWrapping"/>
            </w:r>
            <w:r>
              <w:rPr>
                <w:rFonts w:hint="eastAsia" w:ascii="微软雅黑" w:hAnsi="微软雅黑" w:eastAsia="微软雅黑"/>
                <w:kern w:val="0"/>
                <w:sz w:val="20"/>
              </w:rPr>
              <w:t>1.支持学生机管理，可隐藏“网上邻居”，禁用“显示”控制面板，隐藏桌面上所有程序项；</w:t>
            </w:r>
          </w:p>
          <w:p>
            <w:pPr>
              <w:widowControl/>
              <w:rPr>
                <w:rFonts w:ascii="微软雅黑" w:hAnsi="微软雅黑" w:eastAsia="微软雅黑"/>
                <w:kern w:val="0"/>
                <w:sz w:val="20"/>
              </w:rPr>
            </w:pPr>
            <w:r>
              <w:rPr>
                <w:rFonts w:hint="eastAsia" w:ascii="微软雅黑" w:hAnsi="微软雅黑" w:eastAsia="微软雅黑"/>
                <w:kern w:val="0"/>
                <w:sz w:val="20"/>
              </w:rPr>
              <w:t>2.支持班级管理，可将频道和班级进行绑定，用于不同的教室登录不同的频道进行上课；</w:t>
            </w:r>
          </w:p>
          <w:p>
            <w:pPr>
              <w:widowControl/>
              <w:rPr>
                <w:rFonts w:ascii="微软雅黑" w:hAnsi="微软雅黑" w:eastAsia="微软雅黑"/>
                <w:kern w:val="0"/>
                <w:sz w:val="20"/>
              </w:rPr>
            </w:pPr>
            <w:r>
              <w:rPr>
                <w:rFonts w:hint="eastAsia" w:ascii="微软雅黑" w:hAnsi="微软雅黑" w:eastAsia="微软雅黑"/>
                <w:kern w:val="0"/>
                <w:sz w:val="20"/>
              </w:rPr>
              <w:t>3.支持屏幕广播功能，能够实现两种接收模式，包括学生全屏/窗口模式接收教师机广播的画面，全屏状态锁定学生鼠标和键盘；</w:t>
            </w:r>
          </w:p>
          <w:p>
            <w:pPr>
              <w:widowControl/>
              <w:rPr>
                <w:rFonts w:ascii="微软雅黑" w:hAnsi="微软雅黑" w:eastAsia="微软雅黑"/>
                <w:kern w:val="0"/>
                <w:sz w:val="20"/>
              </w:rPr>
            </w:pPr>
            <w:r>
              <w:rPr>
                <w:rFonts w:hint="eastAsia" w:ascii="微软雅黑" w:hAnsi="微软雅黑" w:eastAsia="微软雅黑"/>
                <w:kern w:val="0"/>
                <w:sz w:val="20"/>
              </w:rPr>
              <w:t>4.屏幕广播状态下，教师可开启实时语音，学生端可以通过耳机接听教师语音，同时支持屏幕笔功能，教师可通过屏幕笔将屏幕当做画板进行绘制，便于教学互动；</w:t>
            </w:r>
          </w:p>
          <w:p>
            <w:pPr>
              <w:widowControl/>
              <w:rPr>
                <w:rFonts w:ascii="微软雅黑" w:hAnsi="微软雅黑" w:eastAsia="微软雅黑"/>
                <w:kern w:val="0"/>
                <w:sz w:val="20"/>
              </w:rPr>
            </w:pPr>
            <w:r>
              <w:rPr>
                <w:rFonts w:hint="eastAsia" w:ascii="微软雅黑" w:hAnsi="微软雅黑" w:eastAsia="微软雅黑"/>
                <w:kern w:val="0"/>
                <w:sz w:val="20"/>
              </w:rPr>
              <w:t>5.支持影音广播，即使在终端未进入桌面的状态，也能够实现全体学生的影音广播，影音广播下支持视频的切换、暂停，并支持点击进度条任意地方以改变视频播放进度；</w:t>
            </w:r>
            <w:r>
              <w:rPr>
                <w:rFonts w:hint="eastAsia" w:ascii="微软雅黑" w:hAnsi="微软雅黑" w:eastAsia="微软雅黑"/>
                <w:kern w:val="0"/>
                <w:sz w:val="20"/>
              </w:rPr>
              <w:br w:type="textWrapping"/>
            </w:r>
            <w:r>
              <w:rPr>
                <w:rFonts w:hint="eastAsia" w:ascii="微软雅黑" w:hAnsi="微软雅黑" w:eastAsia="微软雅黑"/>
                <w:kern w:val="0"/>
                <w:sz w:val="20"/>
              </w:rPr>
              <w:t>6.在屏幕广播之后连接上来的终端可直接接收屏幕广播内容，用户终端关闭虚拟桌面仍可同步广播教师机屏幕和视频，不会中断教学；</w:t>
            </w:r>
            <w:r>
              <w:rPr>
                <w:rFonts w:hint="eastAsia" w:ascii="微软雅黑" w:hAnsi="微软雅黑" w:eastAsia="微软雅黑"/>
                <w:kern w:val="0"/>
                <w:sz w:val="20"/>
              </w:rPr>
              <w:br w:type="textWrapping"/>
            </w:r>
            <w:r>
              <w:rPr>
                <w:rFonts w:hint="eastAsia" w:ascii="微软雅黑" w:hAnsi="微软雅黑" w:eastAsia="微软雅黑"/>
                <w:kern w:val="0"/>
                <w:sz w:val="20"/>
              </w:rPr>
              <w:t>7.教师可选定一个学生操作本机或操作教师机进行教学演示，并将该学生演示的画面广播给每一个学生，同时被广播的学生将全屏/窗口接收演示学生的画面，全屏状态键盘和鼠标被锁定；</w:t>
            </w:r>
            <w:r>
              <w:rPr>
                <w:rFonts w:hint="eastAsia" w:ascii="微软雅黑" w:hAnsi="微软雅黑" w:eastAsia="微软雅黑"/>
                <w:kern w:val="0"/>
                <w:sz w:val="20"/>
              </w:rPr>
              <w:br w:type="textWrapping"/>
            </w:r>
            <w:r>
              <w:rPr>
                <w:rFonts w:hint="eastAsia" w:ascii="微软雅黑" w:hAnsi="微软雅黑" w:eastAsia="微软雅黑"/>
                <w:kern w:val="0"/>
                <w:sz w:val="20"/>
              </w:rPr>
              <w:t>8.支持遥控监看，教师可实时监看学生端的学生桌面，并可远程遥控学生端桌面，支持单屏控制和全体控制；</w:t>
            </w:r>
            <w:r>
              <w:rPr>
                <w:rFonts w:hint="eastAsia" w:ascii="微软雅黑" w:hAnsi="微软雅黑" w:eastAsia="微软雅黑"/>
                <w:kern w:val="0"/>
                <w:sz w:val="20"/>
              </w:rPr>
              <w:br w:type="textWrapping"/>
            </w:r>
            <w:r>
              <w:rPr>
                <w:rFonts w:hint="eastAsia" w:ascii="微软雅黑" w:hAnsi="微软雅黑" w:eastAsia="微软雅黑"/>
                <w:kern w:val="0"/>
                <w:sz w:val="20"/>
              </w:rPr>
              <w:t>9.教师机可以连续监看所选学生机屏幕，每屏可监视多个学生,可设置每屏学生机的数量以及学生机屏幕轮循的时间间隔；</w:t>
            </w:r>
            <w:r>
              <w:rPr>
                <w:rFonts w:hint="eastAsia" w:ascii="微软雅黑" w:hAnsi="微软雅黑" w:eastAsia="微软雅黑"/>
                <w:kern w:val="0"/>
                <w:sz w:val="20"/>
              </w:rPr>
              <w:br w:type="textWrapping"/>
            </w:r>
            <w:r>
              <w:rPr>
                <w:rFonts w:hint="eastAsia" w:ascii="微软雅黑" w:hAnsi="微软雅黑" w:eastAsia="微软雅黑"/>
                <w:kern w:val="0"/>
                <w:sz w:val="20"/>
              </w:rPr>
              <w:t>10.教师可对学生进行电子点名，可以自定义院系、专业、班级等单位类别，可导入导出学生信息，可设置迟到时间，可显示签到人数；</w:t>
            </w:r>
            <w:r>
              <w:rPr>
                <w:rFonts w:hint="eastAsia" w:ascii="微软雅黑" w:hAnsi="微软雅黑" w:eastAsia="微软雅黑"/>
                <w:kern w:val="0"/>
                <w:sz w:val="20"/>
              </w:rPr>
              <w:br w:type="textWrapping"/>
            </w:r>
            <w:r>
              <w:rPr>
                <w:rFonts w:hint="eastAsia" w:ascii="微软雅黑" w:hAnsi="微软雅黑" w:eastAsia="微软雅黑"/>
                <w:kern w:val="0"/>
                <w:sz w:val="20"/>
              </w:rPr>
              <w:t>11.支持作业下发，教师机可将自己机器上的文件传输到学生机，支持一对多传输，当选中多台学生机执行下发文件时，教师端需选择其中一台学生机作为样本机，并选择存放路径，支持发送文件或文件夹；</w:t>
            </w:r>
            <w:r>
              <w:rPr>
                <w:rFonts w:hint="eastAsia" w:ascii="微软雅黑" w:hAnsi="微软雅黑" w:eastAsia="微软雅黑"/>
                <w:kern w:val="0"/>
                <w:sz w:val="20"/>
              </w:rPr>
              <w:br w:type="textWrapping"/>
            </w:r>
            <w:r>
              <w:rPr>
                <w:rFonts w:hint="eastAsia" w:ascii="微软雅黑" w:hAnsi="微软雅黑" w:eastAsia="微软雅黑"/>
                <w:kern w:val="0"/>
                <w:sz w:val="20"/>
              </w:rPr>
              <w:t>12.支持自动收取作业，且存放路径、作业名称可自定义；</w:t>
            </w:r>
            <w:r>
              <w:rPr>
                <w:rFonts w:hint="eastAsia" w:ascii="微软雅黑" w:hAnsi="微软雅黑" w:eastAsia="微软雅黑"/>
                <w:kern w:val="0"/>
                <w:sz w:val="20"/>
              </w:rPr>
              <w:br w:type="textWrapping"/>
            </w:r>
            <w:r>
              <w:rPr>
                <w:rFonts w:hint="eastAsia" w:ascii="微软雅黑" w:hAnsi="微软雅黑" w:eastAsia="微软雅黑"/>
                <w:kern w:val="0"/>
                <w:sz w:val="20"/>
              </w:rPr>
              <w:t>13.支持远程命令、远程开机，远程关机等功能；</w:t>
            </w:r>
            <w:r>
              <w:rPr>
                <w:rFonts w:hint="eastAsia" w:ascii="微软雅黑" w:hAnsi="微软雅黑" w:eastAsia="微软雅黑"/>
                <w:kern w:val="0"/>
                <w:sz w:val="20"/>
              </w:rPr>
              <w:br w:type="textWrapping"/>
            </w:r>
            <w:r>
              <w:rPr>
                <w:rFonts w:hint="eastAsia" w:ascii="微软雅黑" w:hAnsi="微软雅黑" w:eastAsia="微软雅黑"/>
                <w:kern w:val="0"/>
                <w:sz w:val="20"/>
              </w:rPr>
              <w:t>1</w:t>
            </w:r>
            <w:r>
              <w:rPr>
                <w:rFonts w:ascii="微软雅黑" w:hAnsi="微软雅黑" w:eastAsia="微软雅黑"/>
                <w:kern w:val="0"/>
                <w:sz w:val="20"/>
              </w:rPr>
              <w:t>4</w:t>
            </w:r>
            <w:r>
              <w:rPr>
                <w:rFonts w:hint="eastAsia" w:ascii="微软雅黑" w:hAnsi="微软雅黑" w:eastAsia="微软雅黑"/>
                <w:kern w:val="0"/>
                <w:sz w:val="20"/>
              </w:rPr>
              <w:t>.支持屏幕录制与回放，教师机可以将本机的操作过程、讲解录制为一个文件，内容可回放，并可通过屏幕广播给学生；</w:t>
            </w:r>
            <w:r>
              <w:rPr>
                <w:rFonts w:hint="eastAsia" w:ascii="微软雅黑" w:hAnsi="微软雅黑" w:eastAsia="微软雅黑"/>
                <w:kern w:val="0"/>
                <w:sz w:val="20"/>
              </w:rPr>
              <w:br w:type="textWrapping"/>
            </w:r>
            <w:r>
              <w:rPr>
                <w:rFonts w:hint="eastAsia" w:ascii="微软雅黑" w:hAnsi="微软雅黑" w:eastAsia="微软雅黑"/>
                <w:kern w:val="0"/>
                <w:sz w:val="20"/>
              </w:rPr>
              <w:t>1</w:t>
            </w:r>
            <w:r>
              <w:rPr>
                <w:rFonts w:ascii="微软雅黑" w:hAnsi="微软雅黑" w:eastAsia="微软雅黑"/>
                <w:kern w:val="0"/>
                <w:sz w:val="20"/>
              </w:rPr>
              <w:t>5</w:t>
            </w:r>
            <w:r>
              <w:rPr>
                <w:rFonts w:hint="eastAsia" w:ascii="微软雅黑" w:hAnsi="微软雅黑" w:eastAsia="微软雅黑"/>
                <w:kern w:val="0"/>
                <w:sz w:val="20"/>
              </w:rPr>
              <w:t>.支持电子白板功能，能够在屏幕广播时实现注解讲解、注释，辅助教学；</w:t>
            </w:r>
            <w:r>
              <w:rPr>
                <w:rFonts w:hint="eastAsia" w:ascii="微软雅黑" w:hAnsi="微软雅黑" w:eastAsia="微软雅黑"/>
                <w:kern w:val="0"/>
                <w:sz w:val="20"/>
              </w:rPr>
              <w:br w:type="textWrapping"/>
            </w:r>
            <w:r>
              <w:rPr>
                <w:rFonts w:hint="eastAsia" w:ascii="微软雅黑" w:hAnsi="微软雅黑" w:eastAsia="微软雅黑"/>
                <w:kern w:val="0"/>
                <w:sz w:val="20"/>
              </w:rPr>
              <w:t>1</w:t>
            </w:r>
            <w:r>
              <w:rPr>
                <w:rFonts w:ascii="微软雅黑" w:hAnsi="微软雅黑" w:eastAsia="微软雅黑"/>
                <w:kern w:val="0"/>
                <w:sz w:val="20"/>
              </w:rPr>
              <w:t>6</w:t>
            </w:r>
            <w:r>
              <w:rPr>
                <w:rFonts w:hint="eastAsia" w:ascii="微软雅黑" w:hAnsi="微软雅黑" w:eastAsia="微软雅黑"/>
                <w:kern w:val="0"/>
                <w:sz w:val="20"/>
              </w:rPr>
              <w:t>.支持黑屏肃静，教师可以对单一、部分、全体学生执行黑屏，能够自定义提示信息并禁止学生进行操作，支持手动解锁、按时解锁、锁定时长三种模式，时间设定精确到秒级。</w:t>
            </w:r>
            <w:r>
              <w:rPr>
                <w:rFonts w:hint="eastAsia" w:ascii="微软雅黑" w:hAnsi="微软雅黑" w:eastAsia="微软雅黑"/>
                <w:kern w:val="0"/>
                <w:sz w:val="20"/>
              </w:rPr>
              <w:br w:type="textWrapping"/>
            </w:r>
            <w:r>
              <w:rPr>
                <w:rFonts w:hint="eastAsia" w:ascii="微软雅黑" w:hAnsi="微软雅黑" w:eastAsia="微软雅黑"/>
                <w:kern w:val="0"/>
                <w:sz w:val="20"/>
              </w:rPr>
              <w:t>1</w:t>
            </w:r>
            <w:r>
              <w:rPr>
                <w:rFonts w:ascii="微软雅黑" w:hAnsi="微软雅黑" w:eastAsia="微软雅黑"/>
                <w:kern w:val="0"/>
                <w:sz w:val="20"/>
              </w:rPr>
              <w:t>7</w:t>
            </w:r>
            <w:r>
              <w:rPr>
                <w:rFonts w:hint="eastAsia" w:ascii="微软雅黑" w:hAnsi="微软雅黑" w:eastAsia="微软雅黑"/>
                <w:kern w:val="0"/>
                <w:sz w:val="20"/>
              </w:rPr>
              <w:t>.支持考试功能，包括试题编辑、下发试卷、考试监控、成绩统计；可添加单选题、多选题、判断题、填空题、问答题；可设置考试时长，倒计时结束后自动结束考试；阅卷时，单选题、多选题、判断题支持自动评分和统计正确率。。</w:t>
            </w:r>
            <w:r>
              <w:rPr>
                <w:rFonts w:hint="eastAsia" w:ascii="微软雅黑" w:hAnsi="微软雅黑" w:eastAsia="微软雅黑"/>
                <w:kern w:val="0"/>
                <w:sz w:val="20"/>
              </w:rPr>
              <w:br w:type="textWrapping"/>
            </w:r>
            <w:r>
              <w:rPr>
                <w:rFonts w:ascii="微软雅黑" w:hAnsi="微软雅黑" w:eastAsia="微软雅黑"/>
                <w:kern w:val="0"/>
                <w:sz w:val="20"/>
              </w:rPr>
              <w:t>18</w:t>
            </w:r>
            <w:r>
              <w:rPr>
                <w:rFonts w:hint="eastAsia" w:ascii="微软雅黑" w:hAnsi="微软雅黑" w:eastAsia="微软雅黑"/>
                <w:kern w:val="0"/>
                <w:sz w:val="20"/>
              </w:rPr>
              <w:t>.支持与桌面云软件融合打通，通过教学软件即可识别终端开放的系统，并能够实现操作系统一键切换，下课后可一键关闭所有学生机。</w:t>
            </w:r>
            <w:r>
              <w:rPr>
                <w:rFonts w:hint="eastAsia" w:ascii="微软雅黑" w:hAnsi="微软雅黑" w:eastAsia="微软雅黑"/>
                <w:kern w:val="0"/>
                <w:sz w:val="20"/>
              </w:rPr>
              <w:br w:type="textWrapping"/>
            </w:r>
            <w:r>
              <w:rPr>
                <w:rFonts w:ascii="微软雅黑" w:hAnsi="微软雅黑" w:eastAsia="微软雅黑"/>
                <w:kern w:val="0"/>
                <w:sz w:val="20"/>
              </w:rPr>
              <w:t>19</w:t>
            </w:r>
            <w:r>
              <w:rPr>
                <w:rFonts w:hint="eastAsia" w:ascii="微软雅黑" w:hAnsi="微软雅黑" w:eastAsia="微软雅黑"/>
                <w:kern w:val="0"/>
                <w:sz w:val="20"/>
              </w:rPr>
              <w:t>.支持与桌面云软件融合打通，可一键关闭云桌面服务器和所有的学生机桌面。</w:t>
            </w:r>
          </w:p>
          <w:p>
            <w:pPr>
              <w:widowControl/>
              <w:rPr>
                <w:rFonts w:ascii="微软雅黑" w:hAnsi="微软雅黑" w:eastAsia="微软雅黑"/>
                <w:kern w:val="0"/>
                <w:sz w:val="20"/>
              </w:rPr>
            </w:pPr>
            <w:r>
              <w:rPr>
                <w:rFonts w:ascii="微软雅黑" w:hAnsi="微软雅黑" w:eastAsia="微软雅黑"/>
                <w:kern w:val="0"/>
                <w:sz w:val="20"/>
              </w:rPr>
              <w:t>20</w:t>
            </w:r>
            <w:r>
              <w:rPr>
                <w:rFonts w:hint="eastAsia" w:ascii="微软雅黑" w:hAnsi="微软雅黑" w:eastAsia="微软雅黑"/>
                <w:kern w:val="0"/>
                <w:sz w:val="20"/>
              </w:rPr>
              <w:t>.支持与桌面云软件融合打通，可通过多媒体软件帮助老师从本地系统切换到虚系统，或者从虚系统切换到实系统，实现虚实系统自主切换。</w:t>
            </w:r>
          </w:p>
          <w:p>
            <w:pPr>
              <w:widowControl/>
              <w:rPr>
                <w:rFonts w:ascii="微软雅黑" w:hAnsi="微软雅黑" w:eastAsia="微软雅黑" w:cs="宋体"/>
                <w:kern w:val="0"/>
                <w:sz w:val="20"/>
              </w:rPr>
            </w:pPr>
            <w:r>
              <w:rPr>
                <w:rFonts w:hint="eastAsia" w:ascii="微软雅黑" w:hAnsi="微软雅黑" w:eastAsia="微软雅黑"/>
                <w:kern w:val="0"/>
                <w:sz w:val="20"/>
              </w:rPr>
              <w:t>2</w:t>
            </w:r>
            <w:r>
              <w:rPr>
                <w:rFonts w:ascii="微软雅黑" w:hAnsi="微软雅黑" w:eastAsia="微软雅黑"/>
                <w:kern w:val="0"/>
                <w:sz w:val="20"/>
              </w:rPr>
              <w:t>1</w:t>
            </w:r>
            <w:r>
              <w:rPr>
                <w:rFonts w:hint="eastAsia" w:ascii="微软雅黑" w:hAnsi="微软雅黑" w:eastAsia="微软雅黑"/>
                <w:kern w:val="0"/>
                <w:sz w:val="20"/>
              </w:rPr>
              <w:t>.学生端支持消息互动、电子举手，查看作业等功能。</w:t>
            </w:r>
          </w:p>
        </w:tc>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ascii="微软雅黑" w:hAnsi="微软雅黑" w:eastAsia="微软雅黑" w:cs="宋体"/>
                <w:color w:val="000000"/>
                <w:kern w:val="0"/>
                <w:sz w:val="20"/>
              </w:rPr>
              <w:t>17</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hint="eastAsia" w:ascii="微软雅黑" w:hAnsi="微软雅黑" w:eastAsia="微软雅黑" w:cs="宋体"/>
                <w:kern w:val="0"/>
                <w:sz w:val="20"/>
              </w:rPr>
              <w:t>音箱</w:t>
            </w:r>
          </w:p>
        </w:tc>
        <w:tc>
          <w:tcPr>
            <w:tcW w:w="6313" w:type="dxa"/>
            <w:tcBorders>
              <w:top w:val="single" w:color="auto" w:sz="4" w:space="0"/>
              <w:left w:val="single" w:color="auto" w:sz="4" w:space="0"/>
              <w:bottom w:val="single" w:color="auto" w:sz="4" w:space="0"/>
              <w:right w:val="single" w:color="auto" w:sz="4" w:space="0"/>
            </w:tcBorders>
            <w:noWrap w:val="0"/>
            <w:vAlign w:val="center"/>
          </w:tcPr>
          <w:p>
            <w:pPr>
              <w:pStyle w:val="399"/>
              <w:widowControl/>
              <w:ind w:firstLine="400"/>
              <w:jc w:val="left"/>
              <w:rPr>
                <w:rFonts w:ascii="微软雅黑" w:hAnsi="微软雅黑" w:eastAsia="微软雅黑" w:cs="宋体"/>
                <w:kern w:val="0"/>
                <w:sz w:val="20"/>
              </w:rPr>
            </w:pPr>
            <w:r>
              <w:rPr>
                <w:rFonts w:hint="eastAsia" w:ascii="微软雅黑" w:hAnsi="微软雅黑" w:eastAsia="微软雅黑" w:cs="宋体"/>
                <w:kern w:val="0"/>
                <w:sz w:val="20"/>
              </w:rPr>
              <w:t>1、频率响应：100Hz～20kHz</w:t>
            </w:r>
          </w:p>
          <w:p>
            <w:pPr>
              <w:pStyle w:val="399"/>
              <w:widowControl/>
              <w:ind w:firstLine="400"/>
              <w:jc w:val="left"/>
              <w:rPr>
                <w:rFonts w:ascii="微软雅黑" w:hAnsi="微软雅黑" w:eastAsia="微软雅黑" w:cs="宋体"/>
                <w:kern w:val="0"/>
                <w:sz w:val="20"/>
              </w:rPr>
            </w:pPr>
            <w:r>
              <w:rPr>
                <w:rFonts w:hint="eastAsia" w:ascii="微软雅黑" w:hAnsi="微软雅黑" w:eastAsia="微软雅黑" w:cs="宋体"/>
                <w:kern w:val="0"/>
                <w:sz w:val="20"/>
              </w:rPr>
              <w:t>2、额定阻抗：8Ω</w:t>
            </w:r>
          </w:p>
          <w:p>
            <w:pPr>
              <w:pStyle w:val="399"/>
              <w:widowControl/>
              <w:ind w:firstLine="400"/>
              <w:jc w:val="left"/>
              <w:rPr>
                <w:rFonts w:ascii="微软雅黑" w:hAnsi="微软雅黑" w:eastAsia="微软雅黑" w:cs="宋体"/>
                <w:kern w:val="0"/>
                <w:sz w:val="20"/>
              </w:rPr>
            </w:pPr>
            <w:r>
              <w:rPr>
                <w:rFonts w:hint="eastAsia" w:ascii="微软雅黑" w:hAnsi="微软雅黑" w:eastAsia="微软雅黑" w:cs="宋体"/>
                <w:kern w:val="0"/>
                <w:sz w:val="20"/>
              </w:rPr>
              <w:t>3、灵敏度：85 dB</w:t>
            </w:r>
          </w:p>
          <w:p>
            <w:pPr>
              <w:pStyle w:val="399"/>
              <w:widowControl/>
              <w:ind w:firstLine="400"/>
              <w:jc w:val="left"/>
              <w:rPr>
                <w:rFonts w:ascii="微软雅黑" w:hAnsi="微软雅黑" w:eastAsia="微软雅黑" w:cs="宋体"/>
                <w:kern w:val="0"/>
                <w:sz w:val="20"/>
              </w:rPr>
            </w:pPr>
            <w:r>
              <w:rPr>
                <w:rFonts w:hint="eastAsia" w:ascii="微软雅黑" w:hAnsi="微软雅黑" w:eastAsia="微软雅黑" w:cs="宋体"/>
                <w:kern w:val="0"/>
                <w:sz w:val="20"/>
              </w:rPr>
              <w:t>4、 额定：80W 8Ω</w:t>
            </w:r>
          </w:p>
          <w:p>
            <w:pPr>
              <w:pStyle w:val="399"/>
              <w:widowControl/>
              <w:ind w:firstLine="400"/>
              <w:jc w:val="left"/>
              <w:rPr>
                <w:rFonts w:ascii="微软雅黑" w:hAnsi="微软雅黑" w:eastAsia="微软雅黑" w:cs="宋体"/>
                <w:kern w:val="0"/>
                <w:sz w:val="20"/>
              </w:rPr>
            </w:pPr>
            <w:r>
              <w:rPr>
                <w:rFonts w:hint="eastAsia" w:ascii="微软雅黑" w:hAnsi="微软雅黑" w:eastAsia="微软雅黑" w:cs="宋体"/>
                <w:kern w:val="0"/>
                <w:sz w:val="20"/>
              </w:rPr>
              <w:t>5、高保真6.5”低音 + 3”双磁高音</w:t>
            </w:r>
          </w:p>
          <w:p>
            <w:pPr>
              <w:pStyle w:val="399"/>
              <w:widowControl/>
              <w:ind w:firstLine="400"/>
              <w:jc w:val="left"/>
              <w:rPr>
                <w:rFonts w:ascii="微软雅黑" w:hAnsi="微软雅黑" w:eastAsia="微软雅黑" w:cs="宋体"/>
                <w:kern w:val="0"/>
                <w:sz w:val="20"/>
              </w:rPr>
            </w:pPr>
            <w:r>
              <w:rPr>
                <w:rFonts w:hint="eastAsia" w:ascii="微软雅黑" w:hAnsi="微软雅黑" w:eastAsia="微软雅黑" w:cs="宋体"/>
                <w:kern w:val="0"/>
                <w:sz w:val="20"/>
              </w:rPr>
              <w:t>6、 15mm厚度实木板材专业箱体结构，扎实耐用</w:t>
            </w:r>
          </w:p>
          <w:p>
            <w:pPr>
              <w:pStyle w:val="399"/>
              <w:widowControl/>
              <w:ind w:firstLine="400"/>
              <w:jc w:val="left"/>
              <w:rPr>
                <w:rFonts w:ascii="微软雅黑" w:hAnsi="微软雅黑" w:eastAsia="微软雅黑" w:cs="宋体"/>
                <w:kern w:val="0"/>
                <w:sz w:val="20"/>
              </w:rPr>
            </w:pPr>
            <w:r>
              <w:rPr>
                <w:rFonts w:hint="eastAsia" w:ascii="微软雅黑" w:hAnsi="微软雅黑" w:eastAsia="微软雅黑" w:cs="宋体"/>
                <w:kern w:val="0"/>
                <w:sz w:val="20"/>
              </w:rPr>
              <w:t>7、倒梯形箱体特殊设计，贴合墙面简单吊挂，即可获得理想覆盖角度</w:t>
            </w:r>
          </w:p>
          <w:p>
            <w:pPr>
              <w:pStyle w:val="399"/>
              <w:widowControl/>
              <w:ind w:firstLine="400"/>
              <w:jc w:val="left"/>
              <w:rPr>
                <w:rFonts w:ascii="微软雅黑" w:hAnsi="微软雅黑" w:eastAsia="微软雅黑" w:cs="宋体"/>
                <w:kern w:val="0"/>
                <w:sz w:val="20"/>
              </w:rPr>
            </w:pPr>
            <w:r>
              <w:rPr>
                <w:rFonts w:hint="eastAsia" w:ascii="微软雅黑" w:hAnsi="微软雅黑" w:eastAsia="微软雅黑" w:cs="宋体"/>
                <w:kern w:val="0"/>
                <w:sz w:val="20"/>
              </w:rPr>
              <w:t>8、 高档磨砂环保喷漆工艺，大方高雅，防潮耐用易维护</w:t>
            </w:r>
          </w:p>
          <w:p>
            <w:pPr>
              <w:pStyle w:val="399"/>
              <w:widowControl/>
              <w:ind w:firstLine="400"/>
              <w:jc w:val="left"/>
              <w:rPr>
                <w:rFonts w:ascii="微软雅黑" w:hAnsi="微软雅黑" w:eastAsia="微软雅黑" w:cs="宋体"/>
                <w:kern w:val="0"/>
                <w:sz w:val="20"/>
              </w:rPr>
            </w:pPr>
            <w:r>
              <w:rPr>
                <w:rFonts w:hint="eastAsia" w:ascii="微软雅黑" w:hAnsi="微软雅黑" w:eastAsia="微软雅黑" w:cs="宋体"/>
                <w:kern w:val="0"/>
                <w:sz w:val="20"/>
              </w:rPr>
              <w:t>9、 自带双保险挂片，兼有M8专业支架挂</w:t>
            </w:r>
          </w:p>
        </w:tc>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hint="eastAsia" w:ascii="微软雅黑" w:hAnsi="微软雅黑" w:eastAsia="微软雅黑" w:cs="宋体"/>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ascii="微软雅黑" w:hAnsi="微软雅黑" w:eastAsia="微软雅黑" w:cs="宋体"/>
                <w:color w:val="000000"/>
                <w:kern w:val="0"/>
                <w:sz w:val="20"/>
              </w:rPr>
              <w:t>18</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hint="eastAsia" w:ascii="微软雅黑" w:hAnsi="微软雅黑" w:eastAsia="微软雅黑" w:cs="宋体"/>
                <w:kern w:val="0"/>
                <w:sz w:val="20"/>
              </w:rPr>
              <w:t>高清中控</w:t>
            </w:r>
          </w:p>
        </w:tc>
        <w:tc>
          <w:tcPr>
            <w:tcW w:w="631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微软雅黑" w:hAnsi="微软雅黑" w:eastAsia="微软雅黑"/>
                <w:kern w:val="0"/>
                <w:sz w:val="20"/>
              </w:rPr>
            </w:pPr>
            <w:r>
              <w:rPr>
                <w:rFonts w:hint="eastAsia" w:ascii="微软雅黑" w:hAnsi="微软雅黑" w:eastAsia="微软雅黑"/>
                <w:kern w:val="0"/>
                <w:sz w:val="20"/>
              </w:rPr>
              <w:t>中控：（1）网络中控采用嵌入式设计，模块化总线结构，多路电源独立时序控制，具有四种输入源选择，控制面板可四键或自定义加密并可远程批量设置，</w:t>
            </w:r>
            <w:r>
              <w:rPr>
                <w:rFonts w:hint="eastAsia" w:ascii="微软雅黑" w:hAnsi="微软雅黑" w:eastAsia="微软雅黑"/>
                <w:kern w:val="0"/>
                <w:sz w:val="20"/>
              </w:rPr>
              <w:br w:type="textWrapping"/>
            </w:r>
            <w:r>
              <w:rPr>
                <w:rFonts w:hint="eastAsia" w:ascii="微软雅黑" w:hAnsi="微软雅黑" w:eastAsia="微软雅黑"/>
                <w:kern w:val="0"/>
                <w:sz w:val="20"/>
              </w:rPr>
              <w:t>(2) ★具有≥3进2出HDMI接口支持TDMS信号和DDC信号，超低功耗支持节能标准数据速率最大支持3.4Gbs，每路输出输出都带ESD保护；支持12bit 深色技术，支持3D输入输出，支持485命令控制，支持HDMI1.4版本，支持全高清3D和4Kx2K分辨率，支持HDCP1.3，支持340MHz/3.4Gbps单通道(10.2Gbps所有通道)带宽，支持无压缩音频，支持12bit单通道(36bit所有通道深色技术)</w:t>
            </w:r>
            <w:r>
              <w:rPr>
                <w:rFonts w:hint="eastAsia" w:ascii="微软雅黑" w:hAnsi="微软雅黑" w:eastAsia="微软雅黑"/>
                <w:kern w:val="0"/>
                <w:sz w:val="20"/>
              </w:rPr>
              <w:br w:type="textWrapping"/>
            </w:r>
            <w:r>
              <w:rPr>
                <w:rFonts w:hint="eastAsia" w:ascii="微软雅黑" w:hAnsi="微软雅黑" w:eastAsia="微软雅黑"/>
                <w:kern w:val="0"/>
                <w:sz w:val="20"/>
              </w:rPr>
              <w:t>（3）系统可实现定教室，定人、定时启用，具有IC卡远程授权功能。“插卡即用，拔卡即走”功能：教师经授权后只需通过插入IC卡，控制系统能自动按照系统开启步骤自动将投影机打开、电脑打开、电动屏幕降下等操作，老师可直接进行教学；拔卡后系统自动关闭，所有设备恢复至保管状态，支持CPU卡、M1卡、手机卡等, 并能与学校使用的校园一卡通数据库兼容且实时共享。</w:t>
            </w:r>
            <w:r>
              <w:rPr>
                <w:rFonts w:hint="eastAsia" w:ascii="微软雅黑" w:hAnsi="微软雅黑" w:eastAsia="微软雅黑"/>
                <w:kern w:val="0"/>
                <w:sz w:val="20"/>
              </w:rPr>
              <w:br w:type="textWrapping"/>
            </w:r>
            <w:r>
              <w:rPr>
                <w:rFonts w:hint="eastAsia" w:ascii="微软雅黑" w:hAnsi="微软雅黑" w:eastAsia="微软雅黑"/>
                <w:kern w:val="0"/>
                <w:sz w:val="20"/>
              </w:rPr>
              <w:t>（4）有网络远程控制功能：网络中控可以进行远程管理，实现智能化。可以远程控制教室端各种设备的动作，可远程检测教室设备的工作状态、参数设置等。当网络出现故障时，所有中控自动开启应急状态，任何一张卡插入即可用。</w:t>
            </w:r>
            <w:r>
              <w:rPr>
                <w:rFonts w:hint="eastAsia" w:ascii="微软雅黑" w:hAnsi="微软雅黑" w:eastAsia="微软雅黑"/>
                <w:kern w:val="0"/>
                <w:sz w:val="20"/>
              </w:rPr>
              <w:br w:type="textWrapping"/>
            </w:r>
            <w:r>
              <w:rPr>
                <w:rFonts w:hint="eastAsia" w:ascii="微软雅黑" w:hAnsi="微软雅黑" w:eastAsia="微软雅黑"/>
                <w:kern w:val="0"/>
                <w:sz w:val="20"/>
              </w:rPr>
              <w:t>（5）可按照课表安排教室内设备的定时开关，能对教室设备工作状态进行实时监测，统计各多媒体教室使用的课时数；与投影机数据同步，真实记录投影机工作时间，统计各多媒体教室投影机灯泡使用时间、滤网使用时间等。</w:t>
            </w:r>
            <w:r>
              <w:rPr>
                <w:rFonts w:hint="eastAsia" w:ascii="微软雅黑" w:hAnsi="微软雅黑" w:eastAsia="微软雅黑"/>
                <w:kern w:val="0"/>
                <w:sz w:val="20"/>
              </w:rPr>
              <w:br w:type="textWrapping"/>
            </w:r>
            <w:r>
              <w:rPr>
                <w:rFonts w:hint="eastAsia" w:ascii="微软雅黑" w:hAnsi="微软雅黑" w:eastAsia="微软雅黑"/>
                <w:kern w:val="0"/>
                <w:sz w:val="20"/>
              </w:rPr>
              <w:t>（6）具备教务管理功能，系统详细记录了教师的所授课时、所用设备、时间等内容，具有时间志、实名志记录查询功能，可按时间和姓名查询教师使用信息、设备使用信息和故障信息等记录，并进行统计分析，为教务管理提供了真实的量化数据。可以对教师使用电教课程进行考勤管理。可以进行分类汇总，需要有总的报表与具体使用清单,可与学校的教务排课系统无缝对接，做到实时更新。</w:t>
            </w:r>
            <w:r>
              <w:rPr>
                <w:rFonts w:hint="eastAsia" w:ascii="微软雅黑" w:hAnsi="微软雅黑" w:eastAsia="微软雅黑"/>
                <w:kern w:val="0"/>
                <w:sz w:val="20"/>
              </w:rPr>
              <w:br w:type="textWrapping"/>
            </w:r>
            <w:r>
              <w:rPr>
                <w:rFonts w:hint="eastAsia" w:ascii="微软雅黑" w:hAnsi="微软雅黑" w:eastAsia="微软雅黑"/>
                <w:kern w:val="0"/>
                <w:sz w:val="20"/>
              </w:rPr>
              <w:t>（7）跨网段要求，控制机可放置在任意网段并能完成对中控设备的管理，中控设备所在网段无需再增加额外电脑。</w:t>
            </w:r>
            <w:r>
              <w:rPr>
                <w:rFonts w:hint="eastAsia" w:ascii="微软雅黑" w:hAnsi="微软雅黑" w:eastAsia="微软雅黑"/>
                <w:kern w:val="0"/>
                <w:sz w:val="20"/>
              </w:rPr>
              <w:br w:type="textWrapping"/>
            </w:r>
            <w:r>
              <w:rPr>
                <w:rFonts w:hint="eastAsia" w:ascii="微软雅黑" w:hAnsi="微软雅黑" w:eastAsia="微软雅黑"/>
                <w:kern w:val="0"/>
                <w:sz w:val="20"/>
              </w:rPr>
              <w:t>（8）防盗报警功能，系统将除投影机、银幕以外所有设备集中于全封闭的控制台内，实现设备的全封闭管理。若投影机被盗或发生其它意外事件时，网络中控会自动向主控室报警</w:t>
            </w:r>
            <w:r>
              <w:rPr>
                <w:rFonts w:hint="eastAsia" w:ascii="微软雅黑" w:hAnsi="微软雅黑" w:eastAsia="微软雅黑"/>
                <w:kern w:val="0"/>
                <w:sz w:val="20"/>
              </w:rPr>
              <w:br w:type="textWrapping"/>
            </w:r>
            <w:r>
              <w:rPr>
                <w:rFonts w:hint="eastAsia" w:ascii="微软雅黑" w:hAnsi="微软雅黑" w:eastAsia="微软雅黑"/>
                <w:kern w:val="0"/>
                <w:sz w:val="20"/>
              </w:rPr>
              <w:t>（9）支持脱机和联网两种运行方式：网络畅通时数据上传至中心数据库，网络故障时，可脱离服务器独立工作，实现本地认证和操作记录，实现脱机和联网运行两种方式。内置（非电话机形式）语音对讲网络功能：运用数字语音压缩传输技术实现对讲，一键式按钮呼叫:呼叫排队等待及网络故障时有真人语音提示功能,教师可以通过对讲与控制室的管理人员通话，实时解决问题，接通后自动显示该教室的视频画面及计算机桌面,对讲内容可同步录音存储,（教师按讲台上按钮的同时，远端主控室管理员电脑屏幕上自动弹出呼叫请求画面；管理员与教师双向对讲，并可同时处理不同教室的呼叫请求，支持呼叫排队、等待、调度等功能）。</w:t>
            </w:r>
          </w:p>
        </w:tc>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hint="eastAsia" w:ascii="微软雅黑" w:hAnsi="微软雅黑" w:eastAsia="微软雅黑" w:cs="宋体"/>
                <w:kern w:val="0"/>
                <w:sz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color w:val="000000"/>
                <w:kern w:val="0"/>
                <w:sz w:val="20"/>
              </w:rPr>
            </w:pPr>
            <w:r>
              <w:rPr>
                <w:rFonts w:ascii="微软雅黑" w:hAnsi="微软雅黑" w:eastAsia="微软雅黑" w:cs="宋体"/>
                <w:color w:val="000000"/>
                <w:kern w:val="0"/>
                <w:sz w:val="20"/>
              </w:rPr>
              <w:t>19</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kern w:val="0"/>
                <w:sz w:val="20"/>
              </w:rPr>
            </w:pPr>
            <w:r>
              <w:rPr>
                <w:rFonts w:hint="eastAsia" w:ascii="微软雅黑" w:hAnsi="微软雅黑" w:eastAsia="微软雅黑"/>
                <w:kern w:val="0"/>
                <w:sz w:val="20"/>
              </w:rPr>
              <w:t>学生桌椅</w:t>
            </w:r>
          </w:p>
        </w:tc>
        <w:tc>
          <w:tcPr>
            <w:tcW w:w="631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微软雅黑" w:hAnsi="微软雅黑" w:eastAsia="微软雅黑"/>
                <w:kern w:val="0"/>
                <w:sz w:val="20"/>
              </w:rPr>
            </w:pPr>
            <w:r>
              <w:rPr>
                <w:rFonts w:hint="eastAsia" w:ascii="微软雅黑" w:hAnsi="微软雅黑" w:eastAsia="微软雅黑"/>
                <w:b/>
                <w:bCs/>
                <w:kern w:val="0"/>
                <w:sz w:val="20"/>
              </w:rPr>
              <w:t>桌子：</w:t>
            </w:r>
            <w:r>
              <w:rPr>
                <w:rFonts w:hint="eastAsia" w:ascii="微软雅黑" w:hAnsi="微软雅黑" w:eastAsia="微软雅黑"/>
                <w:kern w:val="0"/>
                <w:sz w:val="20"/>
              </w:rPr>
              <w:t>钢木结构，桌子要求实现内部隐藏走线</w:t>
            </w:r>
          </w:p>
          <w:p>
            <w:pPr>
              <w:widowControl/>
              <w:jc w:val="left"/>
              <w:rPr>
                <w:rFonts w:ascii="微软雅黑" w:hAnsi="微软雅黑" w:eastAsia="微软雅黑"/>
                <w:kern w:val="0"/>
                <w:sz w:val="20"/>
              </w:rPr>
            </w:pPr>
            <w:r>
              <w:rPr>
                <w:rFonts w:hint="eastAsia" w:ascii="微软雅黑" w:hAnsi="微软雅黑" w:eastAsia="微软雅黑"/>
                <w:kern w:val="0"/>
                <w:sz w:val="20"/>
              </w:rPr>
              <w:t>1.单人位置尺寸:</w:t>
            </w:r>
            <w:r>
              <w:rPr>
                <w:rFonts w:ascii="微软雅黑" w:hAnsi="微软雅黑" w:eastAsia="微软雅黑"/>
                <w:kern w:val="0"/>
                <w:sz w:val="20"/>
              </w:rPr>
              <w:t>750</w:t>
            </w:r>
            <w:r>
              <w:rPr>
                <w:rFonts w:hint="eastAsia" w:ascii="微软雅黑" w:hAnsi="微软雅黑" w:eastAsia="微软雅黑"/>
                <w:kern w:val="0"/>
                <w:sz w:val="20"/>
              </w:rPr>
              <w:t>*600*750 MM；（可根据用户实际要求定制合适尺寸）</w:t>
            </w:r>
          </w:p>
          <w:p>
            <w:pPr>
              <w:widowControl/>
              <w:jc w:val="left"/>
              <w:rPr>
                <w:rFonts w:ascii="微软雅黑" w:hAnsi="微软雅黑" w:eastAsia="微软雅黑"/>
                <w:kern w:val="0"/>
                <w:sz w:val="20"/>
              </w:rPr>
            </w:pPr>
            <w:r>
              <w:rPr>
                <w:rFonts w:hint="eastAsia" w:ascii="微软雅黑" w:hAnsi="微软雅黑" w:eastAsia="微软雅黑"/>
                <w:kern w:val="0"/>
                <w:sz w:val="20"/>
              </w:rPr>
              <w:t>2.桌子基材:采用不低于E1级刨花板，板材厚度25mm，密度在700_800kg/m3（均符合环保要求，含水率≤9%，甲醛释放量≤1.5mg/L达到国家检测E1标准，。面材:采用优质板材。产品光泽、平整、纹理清晰、环保、颜色内外一致，表面硬度大于4H，耐磨度高于3级。颜色外观可提供定制服务。</w:t>
            </w:r>
          </w:p>
          <w:p>
            <w:pPr>
              <w:widowControl/>
              <w:jc w:val="left"/>
              <w:rPr>
                <w:rFonts w:ascii="微软雅黑" w:hAnsi="微软雅黑" w:eastAsia="微软雅黑"/>
                <w:kern w:val="0"/>
                <w:sz w:val="20"/>
              </w:rPr>
            </w:pPr>
            <w:r>
              <w:rPr>
                <w:rFonts w:hint="eastAsia" w:ascii="微软雅黑" w:hAnsi="微软雅黑" w:eastAsia="微软雅黑"/>
                <w:kern w:val="0"/>
                <w:sz w:val="20"/>
              </w:rPr>
              <w:t>3.钢管主架采用50*50*1.2mm方管，脚架表面涂装为焊接完成之钢管架</w:t>
            </w:r>
          </w:p>
          <w:p>
            <w:pPr>
              <w:widowControl/>
              <w:jc w:val="left"/>
              <w:rPr>
                <w:rFonts w:ascii="微软雅黑" w:hAnsi="微软雅黑" w:eastAsia="微软雅黑"/>
                <w:kern w:val="0"/>
                <w:sz w:val="20"/>
              </w:rPr>
            </w:pPr>
            <w:r>
              <w:rPr>
                <w:rFonts w:hint="eastAsia" w:ascii="微软雅黑" w:hAnsi="微软雅黑" w:eastAsia="微软雅黑"/>
                <w:kern w:val="0"/>
                <w:sz w:val="20"/>
              </w:rPr>
              <w:t>4.桌面留有出线孔，线槽两侧带可拆卸的封口挡板，桌下机箱处带走线槽。</w:t>
            </w:r>
          </w:p>
          <w:p>
            <w:pPr>
              <w:widowControl/>
              <w:jc w:val="left"/>
              <w:rPr>
                <w:rFonts w:ascii="微软雅黑" w:hAnsi="微软雅黑" w:eastAsia="微软雅黑"/>
                <w:kern w:val="0"/>
                <w:sz w:val="20"/>
              </w:rPr>
            </w:pPr>
            <w:r>
              <w:rPr>
                <w:rFonts w:hint="eastAsia" w:ascii="微软雅黑" w:hAnsi="微软雅黑" w:eastAsia="微软雅黑"/>
                <w:kern w:val="0"/>
                <w:sz w:val="20"/>
              </w:rPr>
              <w:t>5.钢架脚用脚片固定</w:t>
            </w:r>
          </w:p>
          <w:p>
            <w:pPr>
              <w:widowControl/>
              <w:jc w:val="left"/>
              <w:rPr>
                <w:rFonts w:ascii="微软雅黑" w:hAnsi="微软雅黑" w:eastAsia="微软雅黑"/>
                <w:kern w:val="0"/>
                <w:sz w:val="20"/>
              </w:rPr>
            </w:pPr>
            <w:r>
              <w:rPr>
                <w:rFonts w:hint="eastAsia" w:ascii="微软雅黑" w:hAnsi="微软雅黑" w:eastAsia="微软雅黑"/>
                <w:kern w:val="0"/>
                <w:sz w:val="20"/>
              </w:rPr>
              <w:t>6.桌面每个位置都要预留电源插口和网线。</w:t>
            </w:r>
          </w:p>
          <w:p>
            <w:pPr>
              <w:widowControl/>
              <w:jc w:val="left"/>
              <w:rPr>
                <w:rFonts w:ascii="微软雅黑" w:hAnsi="微软雅黑" w:eastAsia="微软雅黑"/>
                <w:kern w:val="0"/>
                <w:sz w:val="20"/>
              </w:rPr>
            </w:pPr>
            <w:r>
              <w:rPr>
                <w:rFonts w:hint="eastAsia" w:ascii="微软雅黑" w:hAnsi="微软雅黑" w:eastAsia="微软雅黑"/>
                <w:b/>
                <w:bCs/>
                <w:kern w:val="0"/>
                <w:sz w:val="20"/>
              </w:rPr>
              <w:t>椅子：</w:t>
            </w:r>
            <w:r>
              <w:rPr>
                <w:rFonts w:hint="eastAsia" w:ascii="微软雅黑" w:hAnsi="微软雅黑" w:eastAsia="微软雅黑"/>
                <w:kern w:val="0"/>
                <w:sz w:val="20"/>
              </w:rPr>
              <w:t>凳面为实木多层板贴防火皮、耐磨、光滑；钢架1.2MM厚圆管椅子尺寸为360*400*420，板材厚度25mm。</w:t>
            </w:r>
          </w:p>
          <w:p>
            <w:pPr>
              <w:widowControl/>
              <w:jc w:val="left"/>
              <w:rPr>
                <w:rFonts w:ascii="微软雅黑" w:hAnsi="微软雅黑" w:eastAsia="微软雅黑"/>
                <w:kern w:val="0"/>
                <w:sz w:val="20"/>
              </w:rPr>
            </w:pPr>
            <w:r>
              <w:rPr>
                <w:rFonts w:hint="eastAsia" w:ascii="微软雅黑" w:hAnsi="微软雅黑" w:eastAsia="微软雅黑"/>
                <w:kern w:val="0"/>
                <w:sz w:val="20"/>
              </w:rPr>
              <w:t>1、基材：采用环保优质三聚氰胺板，刨花板内材，符合国际E1级环保标准，含水率≤9%，经防潮、防虫、防腐处理，抗弯力强，不易变形。</w:t>
            </w:r>
          </w:p>
          <w:p>
            <w:pPr>
              <w:widowControl/>
              <w:jc w:val="left"/>
              <w:rPr>
                <w:rFonts w:ascii="微软雅黑" w:hAnsi="微软雅黑" w:eastAsia="微软雅黑"/>
                <w:kern w:val="0"/>
                <w:sz w:val="20"/>
              </w:rPr>
            </w:pPr>
            <w:r>
              <w:rPr>
                <w:rFonts w:hint="eastAsia" w:ascii="微软雅黑" w:hAnsi="微软雅黑" w:eastAsia="微软雅黑"/>
                <w:kern w:val="0"/>
                <w:sz w:val="20"/>
              </w:rPr>
              <w:t>2、封边：不低于2mm厚PVC封边。采用高温封边热溶胶，经全自动封边机热压与板材粘连无丝无缝，在不同地区气温、湿度的变化中不受影响，能长期不变形、不开裂。</w:t>
            </w:r>
          </w:p>
          <w:p>
            <w:pPr>
              <w:widowControl/>
              <w:jc w:val="left"/>
              <w:rPr>
                <w:rFonts w:ascii="微软雅黑" w:hAnsi="微软雅黑" w:eastAsia="微软雅黑"/>
                <w:kern w:val="0"/>
                <w:sz w:val="20"/>
              </w:rPr>
            </w:pPr>
            <w:r>
              <w:rPr>
                <w:rFonts w:hint="eastAsia" w:ascii="微软雅黑" w:hAnsi="微软雅黑" w:eastAsia="微软雅黑"/>
                <w:kern w:val="0"/>
                <w:sz w:val="20"/>
              </w:rPr>
              <w:t>3、封边胶：采用高温封边热溶胶，热稳定好，抗高低温性能好。</w:t>
            </w:r>
          </w:p>
          <w:p>
            <w:pPr>
              <w:widowControl/>
              <w:jc w:val="left"/>
              <w:rPr>
                <w:rFonts w:ascii="微软雅黑" w:hAnsi="微软雅黑" w:eastAsia="微软雅黑"/>
                <w:kern w:val="0"/>
                <w:sz w:val="20"/>
              </w:rPr>
            </w:pPr>
            <w:r>
              <w:rPr>
                <w:rFonts w:hint="eastAsia" w:ascii="微软雅黑" w:hAnsi="微软雅黑" w:eastAsia="微软雅黑"/>
                <w:kern w:val="0"/>
                <w:sz w:val="20"/>
              </w:rPr>
              <w:t>4、所有五金件作防锈、防腐处理 ，优质钢制脚架。</w:t>
            </w:r>
          </w:p>
        </w:tc>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ascii="微软雅黑" w:hAnsi="微软雅黑" w:eastAsia="微软雅黑" w:cs="宋体"/>
                <w:kern w:val="0"/>
                <w:sz w:val="20"/>
              </w:rPr>
              <w:t>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color w:val="000000"/>
                <w:kern w:val="0"/>
                <w:sz w:val="20"/>
              </w:rPr>
            </w:pPr>
            <w:r>
              <w:rPr>
                <w:rFonts w:ascii="微软雅黑" w:hAnsi="微软雅黑" w:eastAsia="微软雅黑" w:cs="宋体"/>
                <w:color w:val="000000"/>
                <w:kern w:val="0"/>
                <w:sz w:val="20"/>
              </w:rPr>
              <w:t>20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kern w:val="0"/>
                <w:sz w:val="20"/>
              </w:rPr>
            </w:pPr>
            <w:r>
              <w:rPr>
                <w:rFonts w:hint="eastAsia" w:ascii="微软雅黑" w:hAnsi="微软雅黑" w:eastAsia="微软雅黑"/>
                <w:kern w:val="0"/>
                <w:sz w:val="20"/>
              </w:rPr>
              <w:t>教师机讲台桌椅</w:t>
            </w:r>
          </w:p>
        </w:tc>
        <w:tc>
          <w:tcPr>
            <w:tcW w:w="631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微软雅黑" w:hAnsi="微软雅黑" w:eastAsia="微软雅黑"/>
                <w:kern w:val="0"/>
                <w:sz w:val="20"/>
              </w:rPr>
            </w:pPr>
            <w:r>
              <w:rPr>
                <w:rFonts w:hint="eastAsia" w:ascii="微软雅黑" w:hAnsi="微软雅黑" w:eastAsia="微软雅黑"/>
                <w:b/>
                <w:bCs/>
                <w:kern w:val="0"/>
                <w:sz w:val="20"/>
              </w:rPr>
              <w:t>电动升降智能讲台：</w:t>
            </w:r>
            <w:r>
              <w:rPr>
                <w:rFonts w:hint="eastAsia" w:ascii="微软雅黑" w:hAnsi="微软雅黑" w:eastAsia="微软雅黑"/>
                <w:kern w:val="0"/>
                <w:sz w:val="20"/>
              </w:rPr>
              <w:t>1、配置数字液晶屏，台面上升下降，数字显示屏显示当前桌面高度，桌面上升（下降）速度为≥15mm/S2、按数字键，即可把当前高度记忆到对应的数字键。在任何位置高度时，按对应的数字键，都会自动升降到记忆位置。3、台架在上升或下降过程中，遇到阻碍，台架反方向运动≥2秒，保护用户安全和办公桌安全4、如频繁调节高度，系统会保护电机而不能上下升降。5、桌面为木质，≥140厘米X60厘米X2.5厘米，台面配显示器支架，线路套管。</w:t>
            </w:r>
            <w:r>
              <w:rPr>
                <w:rFonts w:hint="eastAsia" w:ascii="微软雅黑" w:hAnsi="微软雅黑" w:eastAsia="微软雅黑"/>
                <w:kern w:val="0"/>
                <w:sz w:val="20"/>
              </w:rPr>
              <w:br w:type="textWrapping"/>
            </w:r>
            <w:r>
              <w:rPr>
                <w:rFonts w:hint="eastAsia" w:ascii="微软雅黑" w:hAnsi="微软雅黑" w:eastAsia="微软雅黑"/>
                <w:kern w:val="0"/>
                <w:sz w:val="20"/>
              </w:rPr>
              <w:t>6、脚：脚管Q235，Φ70*2.0mm厚三节升降，底脚：Q235钢板折弯+60*20*1.5铁管加固。横梁：Q235方管25*50*，≥1.5mm厚，内加铝型材可伸缩横梁。脚盖：ABS、脚垫：ABS、连接螺丝：45#钢，定做粗牙加硬，能更有效的与铝型材连接，不易滑牙。</w:t>
            </w:r>
            <w:r>
              <w:rPr>
                <w:rFonts w:hint="eastAsia" w:ascii="微软雅黑" w:hAnsi="微软雅黑" w:eastAsia="微软雅黑"/>
                <w:kern w:val="0"/>
                <w:sz w:val="20"/>
              </w:rPr>
              <w:br w:type="textWrapping"/>
            </w:r>
            <w:r>
              <w:rPr>
                <w:rFonts w:hint="eastAsia" w:ascii="微软雅黑" w:hAnsi="微软雅黑" w:eastAsia="微软雅黑"/>
                <w:kern w:val="0"/>
                <w:sz w:val="20"/>
              </w:rPr>
              <w:t>7、升降系统：电机升降</w:t>
            </w:r>
            <w:r>
              <w:rPr>
                <w:rFonts w:hint="eastAsia" w:ascii="微软雅黑" w:hAnsi="微软雅黑" w:eastAsia="微软雅黑"/>
                <w:kern w:val="0"/>
                <w:sz w:val="20"/>
              </w:rPr>
              <w:br w:type="textWrapping"/>
            </w:r>
            <w:r>
              <w:rPr>
                <w:rFonts w:hint="eastAsia" w:ascii="微软雅黑" w:hAnsi="微软雅黑" w:eastAsia="微软雅黑"/>
                <w:kern w:val="0"/>
                <w:sz w:val="20"/>
              </w:rPr>
              <w:t>8、台架升降高度跨度不低于 650MM-1250MM</w:t>
            </w:r>
          </w:p>
          <w:p>
            <w:pPr>
              <w:widowControl/>
              <w:jc w:val="left"/>
              <w:rPr>
                <w:rFonts w:ascii="微软雅黑" w:hAnsi="微软雅黑" w:eastAsia="微软雅黑"/>
                <w:b/>
                <w:bCs/>
                <w:kern w:val="0"/>
                <w:sz w:val="20"/>
              </w:rPr>
            </w:pPr>
            <w:r>
              <w:rPr>
                <w:rFonts w:hint="eastAsia" w:ascii="微软雅黑" w:hAnsi="微软雅黑" w:eastAsia="微软雅黑"/>
                <w:b/>
                <w:bCs/>
                <w:kern w:val="0"/>
                <w:sz w:val="20"/>
              </w:rPr>
              <w:t>设备控制柜：</w:t>
            </w:r>
            <w:r>
              <w:rPr>
                <w:rFonts w:hint="eastAsia" w:ascii="微软雅黑" w:hAnsi="微软雅黑" w:eastAsia="微软雅黑"/>
                <w:kern w:val="0"/>
                <w:sz w:val="20"/>
              </w:rPr>
              <w:t>≥60X60X90厘米,木质结构，顶部台面铝合金包边，内设4层设备架构，内置走线槽及通风口。</w:t>
            </w:r>
          </w:p>
          <w:p>
            <w:pPr>
              <w:widowControl/>
              <w:jc w:val="left"/>
              <w:rPr>
                <w:rFonts w:ascii="微软雅黑" w:hAnsi="微软雅黑" w:eastAsia="微软雅黑"/>
                <w:kern w:val="0"/>
                <w:sz w:val="20"/>
              </w:rPr>
            </w:pPr>
            <w:r>
              <w:rPr>
                <w:rFonts w:hint="eastAsia" w:ascii="微软雅黑" w:hAnsi="微软雅黑" w:eastAsia="微软雅黑"/>
                <w:b/>
                <w:bCs/>
                <w:kern w:val="0"/>
                <w:sz w:val="20"/>
              </w:rPr>
              <w:t>椅子</w:t>
            </w:r>
            <w:r>
              <w:rPr>
                <w:rFonts w:hint="eastAsia" w:ascii="微软雅黑" w:hAnsi="微软雅黑" w:eastAsia="微软雅黑"/>
                <w:kern w:val="0"/>
                <w:sz w:val="20"/>
              </w:rPr>
              <w:t>：</w:t>
            </w:r>
            <w:r>
              <w:rPr>
                <w:rFonts w:ascii="微软雅黑" w:hAnsi="微软雅黑" w:eastAsia="微软雅黑" w:cs="Calibri"/>
                <w:kern w:val="0"/>
                <w:sz w:val="20"/>
              </w:rPr>
              <w:t>Ø</w:t>
            </w:r>
            <w:r>
              <w:rPr>
                <w:rFonts w:hint="eastAsia" w:ascii="微软雅黑" w:hAnsi="微软雅黑" w:eastAsia="微软雅黑"/>
                <w:kern w:val="0"/>
                <w:sz w:val="20"/>
              </w:rPr>
              <w:t>330PP脚过不低于1000KG静压测试</w:t>
            </w:r>
          </w:p>
          <w:p>
            <w:pPr>
              <w:widowControl/>
              <w:jc w:val="left"/>
              <w:rPr>
                <w:rFonts w:ascii="微软雅黑" w:hAnsi="微软雅黑" w:eastAsia="微软雅黑"/>
                <w:kern w:val="0"/>
                <w:sz w:val="20"/>
              </w:rPr>
            </w:pPr>
            <w:r>
              <w:rPr>
                <w:rFonts w:hint="eastAsia" w:ascii="微软雅黑" w:hAnsi="微软雅黑" w:eastAsia="微软雅黑"/>
                <w:kern w:val="0"/>
                <w:sz w:val="20"/>
              </w:rPr>
              <w:t>2.5加厚中班蝴蝶底盘（可原位锁定和逍遥功能）</w:t>
            </w:r>
          </w:p>
          <w:p>
            <w:pPr>
              <w:widowControl/>
              <w:jc w:val="left"/>
              <w:rPr>
                <w:rFonts w:ascii="微软雅黑" w:hAnsi="微软雅黑" w:eastAsia="微软雅黑"/>
                <w:kern w:val="0"/>
                <w:sz w:val="20"/>
              </w:rPr>
            </w:pPr>
            <w:r>
              <w:rPr>
                <w:rFonts w:hint="eastAsia" w:ascii="微软雅黑" w:hAnsi="微软雅黑" w:eastAsia="微软雅黑"/>
                <w:kern w:val="0"/>
                <w:sz w:val="20"/>
              </w:rPr>
              <w:t>固定腰靠和PP玻纤背筐和扶手</w:t>
            </w:r>
          </w:p>
          <w:p>
            <w:pPr>
              <w:widowControl/>
              <w:jc w:val="left"/>
              <w:rPr>
                <w:rFonts w:ascii="微软雅黑" w:hAnsi="微软雅黑" w:eastAsia="微软雅黑"/>
                <w:kern w:val="0"/>
                <w:sz w:val="20"/>
              </w:rPr>
            </w:pPr>
            <w:r>
              <w:rPr>
                <w:rFonts w:hint="eastAsia" w:ascii="微软雅黑" w:hAnsi="微软雅黑" w:eastAsia="微软雅黑"/>
                <w:kern w:val="0"/>
                <w:sz w:val="20"/>
              </w:rPr>
              <w:t>座板为15mm加厚多层板，42密度中软高弹切割海绵</w:t>
            </w:r>
          </w:p>
          <w:p>
            <w:pPr>
              <w:widowControl/>
              <w:jc w:val="left"/>
              <w:rPr>
                <w:rFonts w:ascii="微软雅黑" w:hAnsi="微软雅黑" w:eastAsia="微软雅黑"/>
                <w:kern w:val="0"/>
                <w:sz w:val="20"/>
              </w:rPr>
            </w:pPr>
            <w:r>
              <w:rPr>
                <w:rFonts w:hint="eastAsia" w:ascii="微软雅黑" w:hAnsi="微软雅黑" w:eastAsia="微软雅黑"/>
                <w:kern w:val="0"/>
                <w:sz w:val="20"/>
              </w:rPr>
              <w:t>耐磨亲肤弹力座布，具体按使用方需要定制</w:t>
            </w:r>
          </w:p>
        </w:tc>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hint="eastAsia" w:ascii="微软雅黑" w:hAnsi="微软雅黑" w:eastAsia="微软雅黑" w:cs="宋体"/>
                <w:kern w:val="0"/>
                <w:sz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color w:val="000000"/>
                <w:kern w:val="0"/>
                <w:sz w:val="20"/>
              </w:rPr>
            </w:pPr>
            <w:r>
              <w:rPr>
                <w:rFonts w:ascii="微软雅黑" w:hAnsi="微软雅黑" w:eastAsia="微软雅黑" w:cs="宋体"/>
                <w:color w:val="000000"/>
                <w:kern w:val="0"/>
                <w:sz w:val="20"/>
              </w:rPr>
              <w:t>21</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微软雅黑" w:hAnsi="微软雅黑" w:eastAsia="微软雅黑"/>
                <w:kern w:val="0"/>
                <w:sz w:val="20"/>
              </w:rPr>
            </w:pPr>
            <w:r>
              <w:rPr>
                <w:rFonts w:hint="eastAsia" w:ascii="微软雅黑" w:hAnsi="微软雅黑" w:eastAsia="微软雅黑"/>
                <w:kern w:val="0"/>
                <w:sz w:val="20"/>
              </w:rPr>
              <w:t>综合布线（套）</w:t>
            </w:r>
          </w:p>
        </w:tc>
        <w:tc>
          <w:tcPr>
            <w:tcW w:w="6313" w:type="dxa"/>
            <w:tcBorders>
              <w:top w:val="single" w:color="auto" w:sz="4" w:space="0"/>
              <w:left w:val="single" w:color="auto" w:sz="4" w:space="0"/>
              <w:bottom w:val="single" w:color="auto" w:sz="4" w:space="0"/>
              <w:right w:val="single" w:color="auto" w:sz="4" w:space="0"/>
            </w:tcBorders>
            <w:noWrap w:val="0"/>
            <w:vAlign w:val="center"/>
          </w:tcPr>
          <w:p>
            <w:pPr>
              <w:pStyle w:val="399"/>
              <w:widowControl/>
              <w:numPr>
                <w:ilvl w:val="0"/>
                <w:numId w:val="32"/>
              </w:numPr>
              <w:ind w:firstLineChars="0"/>
              <w:jc w:val="left"/>
              <w:rPr>
                <w:rFonts w:ascii="微软雅黑" w:hAnsi="微软雅黑" w:eastAsia="微软雅黑" w:cs="宋体"/>
                <w:kern w:val="0"/>
                <w:sz w:val="20"/>
              </w:rPr>
            </w:pPr>
            <w:r>
              <w:rPr>
                <w:rFonts w:hint="eastAsia" w:ascii="微软雅黑" w:hAnsi="微软雅黑" w:eastAsia="微软雅黑" w:cs="宋体"/>
                <w:kern w:val="0"/>
                <w:sz w:val="20"/>
              </w:rPr>
              <w:t>满足3</w:t>
            </w:r>
            <w:r>
              <w:rPr>
                <w:rFonts w:ascii="微软雅黑" w:hAnsi="微软雅黑" w:eastAsia="微软雅黑" w:cs="宋体"/>
                <w:kern w:val="0"/>
                <w:sz w:val="20"/>
              </w:rPr>
              <w:t>52</w:t>
            </w:r>
            <w:r>
              <w:rPr>
                <w:rFonts w:hint="eastAsia" w:ascii="微软雅黑" w:hAnsi="微软雅黑" w:eastAsia="微软雅黑" w:cs="宋体"/>
                <w:kern w:val="0"/>
                <w:sz w:val="20"/>
              </w:rPr>
              <w:t>终端设备强弱电布线要求，备用要求：3备1，合计不少于46</w:t>
            </w:r>
            <w:r>
              <w:rPr>
                <w:rFonts w:ascii="微软雅黑" w:hAnsi="微软雅黑" w:eastAsia="微软雅黑" w:cs="宋体"/>
                <w:kern w:val="0"/>
                <w:sz w:val="20"/>
              </w:rPr>
              <w:t>0</w:t>
            </w:r>
            <w:r>
              <w:rPr>
                <w:rFonts w:hint="eastAsia" w:ascii="微软雅黑" w:hAnsi="微软雅黑" w:eastAsia="微软雅黑" w:cs="宋体"/>
                <w:kern w:val="0"/>
                <w:sz w:val="20"/>
              </w:rPr>
              <w:t>点位强弱电电布线。</w:t>
            </w:r>
          </w:p>
          <w:p>
            <w:pPr>
              <w:pStyle w:val="399"/>
              <w:widowControl/>
              <w:numPr>
                <w:ilvl w:val="0"/>
                <w:numId w:val="32"/>
              </w:numPr>
              <w:ind w:firstLineChars="0"/>
              <w:jc w:val="left"/>
              <w:rPr>
                <w:rFonts w:ascii="微软雅黑" w:hAnsi="微软雅黑" w:eastAsia="微软雅黑" w:cs="宋体"/>
                <w:kern w:val="0"/>
                <w:sz w:val="20"/>
              </w:rPr>
            </w:pPr>
            <w:r>
              <w:rPr>
                <w:rFonts w:hint="eastAsia" w:ascii="微软雅黑" w:hAnsi="微软雅黑" w:eastAsia="微软雅黑" w:cs="宋体"/>
                <w:kern w:val="0"/>
                <w:sz w:val="20"/>
              </w:rPr>
              <w:t>要求使用AMP六类双绞线、AMP水晶头、PVC线槽及PVC管、强电弱电通过PVC管拉至桌子钢管，主流品牌电源线、开关及面板，按需拉备用线(3备1)，根据用户的要求对所提供的所有设备进行安装调试。</w:t>
            </w:r>
          </w:p>
          <w:p>
            <w:pPr>
              <w:pStyle w:val="399"/>
              <w:widowControl/>
              <w:numPr>
                <w:ilvl w:val="0"/>
                <w:numId w:val="32"/>
              </w:numPr>
              <w:ind w:firstLineChars="0"/>
              <w:jc w:val="left"/>
              <w:rPr>
                <w:rFonts w:ascii="微软雅黑" w:hAnsi="微软雅黑" w:eastAsia="微软雅黑" w:cs="宋体"/>
                <w:kern w:val="0"/>
                <w:sz w:val="20"/>
              </w:rPr>
            </w:pPr>
            <w:r>
              <w:rPr>
                <w:rFonts w:hint="eastAsia" w:ascii="微软雅黑" w:hAnsi="微软雅黑" w:eastAsia="微软雅黑" w:cs="宋体"/>
                <w:kern w:val="0"/>
                <w:sz w:val="20"/>
              </w:rPr>
              <w:t>每张桌子要求额外外接一个品牌插线板，供学生外接使用。</w:t>
            </w:r>
          </w:p>
        </w:tc>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ascii="微软雅黑" w:hAnsi="微软雅黑" w:eastAsia="微软雅黑" w:cs="宋体"/>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color w:val="000000"/>
                <w:kern w:val="0"/>
                <w:sz w:val="20"/>
              </w:rPr>
            </w:pPr>
            <w:r>
              <w:rPr>
                <w:rFonts w:ascii="微软雅黑" w:hAnsi="微软雅黑" w:eastAsia="微软雅黑" w:cs="宋体"/>
                <w:color w:val="000000"/>
                <w:kern w:val="0"/>
                <w:sz w:val="20"/>
              </w:rPr>
              <w:t>22</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微软雅黑" w:hAnsi="微软雅黑" w:eastAsia="微软雅黑"/>
                <w:kern w:val="0"/>
                <w:sz w:val="20"/>
              </w:rPr>
            </w:pPr>
            <w:r>
              <w:rPr>
                <w:rFonts w:hint="eastAsia" w:ascii="微软雅黑" w:hAnsi="微软雅黑" w:eastAsia="微软雅黑"/>
                <w:kern w:val="0"/>
                <w:sz w:val="20"/>
              </w:rPr>
              <w:t>8</w:t>
            </w:r>
            <w:r>
              <w:rPr>
                <w:rFonts w:ascii="微软雅黑" w:hAnsi="微软雅黑" w:eastAsia="微软雅黑"/>
                <w:kern w:val="0"/>
                <w:sz w:val="20"/>
              </w:rPr>
              <w:t>1</w:t>
            </w:r>
            <w:r>
              <w:rPr>
                <w:rFonts w:hint="eastAsia" w:ascii="微软雅黑" w:hAnsi="微软雅黑" w:eastAsia="微软雅黑"/>
                <w:kern w:val="0"/>
                <w:sz w:val="20"/>
              </w:rPr>
              <w:t>座实验室环境改造费</w:t>
            </w:r>
          </w:p>
        </w:tc>
        <w:tc>
          <w:tcPr>
            <w:tcW w:w="6313" w:type="dxa"/>
            <w:tcBorders>
              <w:top w:val="single" w:color="auto" w:sz="4" w:space="0"/>
              <w:left w:val="single" w:color="auto" w:sz="4" w:space="0"/>
              <w:bottom w:val="single" w:color="auto" w:sz="4" w:space="0"/>
              <w:right w:val="single" w:color="auto" w:sz="4" w:space="0"/>
            </w:tcBorders>
            <w:noWrap w:val="0"/>
            <w:vAlign w:val="center"/>
          </w:tcPr>
          <w:p>
            <w:pPr>
              <w:pStyle w:val="399"/>
              <w:widowControl/>
              <w:numPr>
                <w:ilvl w:val="0"/>
                <w:numId w:val="33"/>
              </w:numPr>
              <w:ind w:firstLineChars="0"/>
              <w:jc w:val="left"/>
              <w:rPr>
                <w:rFonts w:ascii="微软雅黑" w:hAnsi="微软雅黑" w:eastAsia="微软雅黑" w:cs="宋体"/>
                <w:kern w:val="0"/>
                <w:sz w:val="20"/>
              </w:rPr>
            </w:pPr>
            <w:r>
              <w:rPr>
                <w:rFonts w:hint="eastAsia" w:ascii="微软雅黑" w:hAnsi="微软雅黑" w:eastAsia="微软雅黑" w:cs="宋体"/>
                <w:kern w:val="0"/>
                <w:sz w:val="20"/>
              </w:rPr>
              <w:t>地面处理：铺设不低于162平方防火地毯，材质：尼龙底背PVC，尺寸：50cm*50cm，阻燃等级：不低于B1，厚度：不低于6mm，拼接铺设；静电地板钢架调整，部分静电地板更换、补铺。</w:t>
            </w:r>
            <w:r>
              <w:rPr>
                <w:rFonts w:ascii="微软雅黑" w:hAnsi="微软雅黑" w:eastAsia="微软雅黑" w:cs="宋体"/>
                <w:kern w:val="0"/>
                <w:sz w:val="20"/>
              </w:rPr>
              <w:t xml:space="preserve"> </w:t>
            </w:r>
          </w:p>
          <w:p>
            <w:pPr>
              <w:pStyle w:val="399"/>
              <w:widowControl/>
              <w:numPr>
                <w:ilvl w:val="0"/>
                <w:numId w:val="33"/>
              </w:numPr>
              <w:ind w:firstLineChars="0"/>
              <w:jc w:val="left"/>
              <w:rPr>
                <w:rFonts w:ascii="微软雅黑" w:hAnsi="微软雅黑" w:eastAsia="微软雅黑" w:cs="宋体"/>
                <w:kern w:val="0"/>
                <w:sz w:val="20"/>
              </w:rPr>
            </w:pPr>
            <w:r>
              <w:rPr>
                <w:rFonts w:hint="eastAsia" w:ascii="微软雅黑" w:hAnsi="微软雅黑" w:eastAsia="微软雅黑" w:cs="宋体"/>
                <w:kern w:val="0"/>
                <w:sz w:val="20"/>
              </w:rPr>
              <w:t>墙面处理：整体精装处理，软包+硬包墙面造型施工，包括2</w:t>
            </w:r>
            <w:r>
              <w:rPr>
                <w:rFonts w:ascii="微软雅黑" w:hAnsi="微软雅黑" w:eastAsia="微软雅黑" w:cs="宋体"/>
                <w:kern w:val="0"/>
                <w:sz w:val="20"/>
              </w:rPr>
              <w:t>8</w:t>
            </w:r>
            <w:r>
              <w:rPr>
                <w:rFonts w:hint="eastAsia" w:ascii="微软雅黑" w:hAnsi="微软雅黑" w:eastAsia="微软雅黑" w:cs="宋体"/>
                <w:kern w:val="0"/>
                <w:sz w:val="20"/>
              </w:rPr>
              <w:t>平方讲台背景墙；其余墙面软包处理。</w:t>
            </w:r>
            <w:r>
              <w:rPr>
                <w:rFonts w:ascii="微软雅黑" w:hAnsi="微软雅黑" w:eastAsia="微软雅黑" w:cs="宋体"/>
                <w:kern w:val="0"/>
                <w:sz w:val="20"/>
              </w:rPr>
              <w:t xml:space="preserve"> </w:t>
            </w:r>
          </w:p>
          <w:p>
            <w:pPr>
              <w:pStyle w:val="399"/>
              <w:widowControl/>
              <w:numPr>
                <w:ilvl w:val="0"/>
                <w:numId w:val="33"/>
              </w:numPr>
              <w:ind w:firstLineChars="0"/>
              <w:jc w:val="left"/>
              <w:rPr>
                <w:rFonts w:ascii="微软雅黑" w:hAnsi="微软雅黑" w:eastAsia="微软雅黑" w:cs="宋体"/>
                <w:kern w:val="0"/>
                <w:sz w:val="20"/>
              </w:rPr>
            </w:pPr>
            <w:r>
              <w:rPr>
                <w:rFonts w:hint="eastAsia" w:ascii="微软雅黑" w:hAnsi="微软雅黑" w:eastAsia="微软雅黑" w:cs="宋体"/>
                <w:kern w:val="0"/>
                <w:sz w:val="20"/>
              </w:rPr>
              <w:t>顶部处理：灯光改造，旧灯具拆除，安装不低于24盏LED灯，灯具尺寸600*600，功率不少于48W，光效：6000K及以上,材质：冷轧板，铝材面框+PP面罩，无可视频闪，隔离恒流外置驱动电源；部分破损吊顶更换，灯光电路更换改造。</w:t>
            </w:r>
          </w:p>
          <w:p>
            <w:pPr>
              <w:pStyle w:val="399"/>
              <w:widowControl/>
              <w:numPr>
                <w:ilvl w:val="0"/>
                <w:numId w:val="33"/>
              </w:numPr>
              <w:ind w:firstLineChars="0"/>
              <w:jc w:val="left"/>
              <w:rPr>
                <w:rFonts w:ascii="微软雅黑" w:hAnsi="微软雅黑" w:eastAsia="微软雅黑" w:cs="宋体"/>
                <w:kern w:val="0"/>
                <w:sz w:val="20"/>
              </w:rPr>
            </w:pPr>
            <w:r>
              <w:rPr>
                <w:rFonts w:hint="eastAsia" w:ascii="微软雅黑" w:hAnsi="微软雅黑" w:eastAsia="微软雅黑" w:cs="宋体"/>
                <w:kern w:val="0"/>
                <w:sz w:val="20"/>
              </w:rPr>
              <w:t>铝合金门窗整体面油漆更新。</w:t>
            </w:r>
          </w:p>
          <w:p>
            <w:pPr>
              <w:pStyle w:val="399"/>
              <w:widowControl/>
              <w:numPr>
                <w:ilvl w:val="0"/>
                <w:numId w:val="33"/>
              </w:numPr>
              <w:ind w:firstLineChars="0"/>
              <w:jc w:val="left"/>
              <w:rPr>
                <w:rFonts w:ascii="微软雅黑" w:hAnsi="微软雅黑" w:eastAsia="微软雅黑" w:cs="宋体"/>
                <w:kern w:val="0"/>
                <w:sz w:val="20"/>
              </w:rPr>
            </w:pPr>
            <w:r>
              <w:rPr>
                <w:rFonts w:hint="eastAsia" w:ascii="微软雅黑" w:hAnsi="微软雅黑" w:eastAsia="微软雅黑" w:cs="宋体"/>
                <w:kern w:val="0"/>
                <w:sz w:val="20"/>
              </w:rPr>
              <w:t>满足GB50325-2020《室内环境污染控制标准》</w:t>
            </w:r>
          </w:p>
        </w:tc>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hint="eastAsia" w:ascii="微软雅黑" w:hAnsi="微软雅黑" w:eastAsia="微软雅黑" w:cs="宋体"/>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color w:val="000000"/>
                <w:kern w:val="0"/>
                <w:sz w:val="20"/>
              </w:rPr>
            </w:pPr>
            <w:r>
              <w:rPr>
                <w:rFonts w:ascii="微软雅黑" w:hAnsi="微软雅黑" w:eastAsia="微软雅黑" w:cs="宋体"/>
                <w:color w:val="000000"/>
                <w:kern w:val="0"/>
                <w:sz w:val="20"/>
              </w:rPr>
              <w:t>23</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微软雅黑" w:hAnsi="微软雅黑" w:eastAsia="微软雅黑"/>
                <w:kern w:val="0"/>
                <w:sz w:val="20"/>
              </w:rPr>
            </w:pPr>
            <w:r>
              <w:rPr>
                <w:rFonts w:hint="eastAsia" w:ascii="微软雅黑" w:hAnsi="微软雅黑" w:eastAsia="微软雅黑"/>
                <w:kern w:val="0"/>
                <w:sz w:val="20"/>
              </w:rPr>
              <w:t>10</w:t>
            </w:r>
            <w:r>
              <w:rPr>
                <w:rFonts w:ascii="微软雅黑" w:hAnsi="微软雅黑" w:eastAsia="微软雅黑"/>
                <w:kern w:val="0"/>
                <w:sz w:val="20"/>
              </w:rPr>
              <w:t>8</w:t>
            </w:r>
            <w:r>
              <w:rPr>
                <w:rFonts w:hint="eastAsia" w:ascii="微软雅黑" w:hAnsi="微软雅黑" w:eastAsia="微软雅黑"/>
                <w:kern w:val="0"/>
                <w:sz w:val="20"/>
              </w:rPr>
              <w:t>座实验室环境改造费</w:t>
            </w:r>
          </w:p>
        </w:tc>
        <w:tc>
          <w:tcPr>
            <w:tcW w:w="6313" w:type="dxa"/>
            <w:tcBorders>
              <w:top w:val="single" w:color="auto" w:sz="4" w:space="0"/>
              <w:left w:val="single" w:color="auto" w:sz="4" w:space="0"/>
              <w:bottom w:val="single" w:color="auto" w:sz="4" w:space="0"/>
              <w:right w:val="single" w:color="auto" w:sz="4" w:space="0"/>
            </w:tcBorders>
            <w:noWrap w:val="0"/>
            <w:vAlign w:val="center"/>
          </w:tcPr>
          <w:p>
            <w:pPr>
              <w:pStyle w:val="399"/>
              <w:widowControl/>
              <w:numPr>
                <w:ilvl w:val="0"/>
                <w:numId w:val="34"/>
              </w:numPr>
              <w:ind w:firstLineChars="0"/>
              <w:jc w:val="left"/>
              <w:rPr>
                <w:rFonts w:ascii="微软雅黑" w:hAnsi="微软雅黑" w:eastAsia="微软雅黑" w:cs="宋体"/>
                <w:kern w:val="0"/>
                <w:sz w:val="20"/>
              </w:rPr>
            </w:pPr>
            <w:r>
              <w:rPr>
                <w:rFonts w:hint="eastAsia" w:ascii="微软雅黑" w:hAnsi="微软雅黑" w:eastAsia="微软雅黑" w:cs="宋体"/>
                <w:kern w:val="0"/>
                <w:sz w:val="20"/>
              </w:rPr>
              <w:t>地面处理：铺设不低于189平方防火地毯，材质：尼龙底背PVC，尺寸：50cm*50cm，阻燃等级：不低于B1，厚度：不低于6mm，拼接铺设；静电地板钢架调整，部分静电地板更换；</w:t>
            </w:r>
          </w:p>
          <w:p>
            <w:pPr>
              <w:pStyle w:val="399"/>
              <w:widowControl/>
              <w:numPr>
                <w:ilvl w:val="0"/>
                <w:numId w:val="34"/>
              </w:numPr>
              <w:ind w:firstLineChars="0"/>
              <w:jc w:val="left"/>
              <w:rPr>
                <w:rFonts w:ascii="微软雅黑" w:hAnsi="微软雅黑" w:eastAsia="微软雅黑" w:cs="宋体"/>
                <w:kern w:val="0"/>
                <w:sz w:val="20"/>
              </w:rPr>
            </w:pPr>
            <w:r>
              <w:rPr>
                <w:rFonts w:hint="eastAsia" w:ascii="微软雅黑" w:hAnsi="微软雅黑" w:eastAsia="微软雅黑" w:cs="宋体"/>
                <w:kern w:val="0"/>
                <w:sz w:val="20"/>
              </w:rPr>
              <w:t>教室整体软包：：软包墙面造型施工，包括26.4平方讲台背景墙，其余墙面精装软包处理。</w:t>
            </w:r>
          </w:p>
          <w:p>
            <w:pPr>
              <w:pStyle w:val="399"/>
              <w:widowControl/>
              <w:numPr>
                <w:ilvl w:val="0"/>
                <w:numId w:val="33"/>
              </w:numPr>
              <w:ind w:firstLineChars="0"/>
              <w:jc w:val="left"/>
              <w:rPr>
                <w:rFonts w:ascii="微软雅黑" w:hAnsi="微软雅黑" w:eastAsia="微软雅黑" w:cs="宋体"/>
                <w:kern w:val="0"/>
                <w:sz w:val="20"/>
              </w:rPr>
            </w:pPr>
            <w:r>
              <w:rPr>
                <w:rFonts w:hint="eastAsia" w:ascii="微软雅黑" w:hAnsi="微软雅黑" w:eastAsia="微软雅黑" w:cs="宋体"/>
                <w:kern w:val="0"/>
                <w:sz w:val="20"/>
              </w:rPr>
              <w:t>旧灯具拆除，安装不低于</w:t>
            </w:r>
            <w:r>
              <w:rPr>
                <w:rFonts w:ascii="微软雅黑" w:hAnsi="微软雅黑" w:eastAsia="微软雅黑" w:cs="宋体"/>
                <w:kern w:val="0"/>
                <w:sz w:val="20"/>
              </w:rPr>
              <w:t>32</w:t>
            </w:r>
            <w:r>
              <w:rPr>
                <w:rFonts w:hint="eastAsia" w:ascii="微软雅黑" w:hAnsi="微软雅黑" w:eastAsia="微软雅黑" w:cs="宋体"/>
                <w:kern w:val="0"/>
                <w:sz w:val="20"/>
              </w:rPr>
              <w:t>盏LED灯，灯具尺寸600*600，功率不少于48W，光效：6000K及以上,材质：冷轧板，铝材面框+PP面罩，无可视频闪，隔离恒流外置驱动电源；部分破损吊顶更换，灯光电路更换改造。</w:t>
            </w:r>
          </w:p>
          <w:p>
            <w:pPr>
              <w:pStyle w:val="399"/>
              <w:widowControl/>
              <w:numPr>
                <w:ilvl w:val="0"/>
                <w:numId w:val="34"/>
              </w:numPr>
              <w:ind w:firstLineChars="0"/>
              <w:jc w:val="left"/>
              <w:rPr>
                <w:rFonts w:ascii="微软雅黑" w:hAnsi="微软雅黑" w:eastAsia="微软雅黑" w:cs="宋体"/>
                <w:kern w:val="0"/>
                <w:sz w:val="20"/>
              </w:rPr>
            </w:pPr>
            <w:r>
              <w:rPr>
                <w:rFonts w:hint="eastAsia" w:ascii="微软雅黑" w:hAnsi="微软雅黑" w:eastAsia="微软雅黑" w:cs="宋体"/>
                <w:kern w:val="0"/>
                <w:sz w:val="20"/>
              </w:rPr>
              <w:t>原教室有石膏隔断，要求拆除隔墙墙体，地面及吊顶修复；</w:t>
            </w:r>
          </w:p>
          <w:p>
            <w:pPr>
              <w:pStyle w:val="399"/>
              <w:widowControl/>
              <w:numPr>
                <w:ilvl w:val="0"/>
                <w:numId w:val="34"/>
              </w:numPr>
              <w:ind w:firstLineChars="0"/>
              <w:jc w:val="left"/>
              <w:rPr>
                <w:rFonts w:ascii="微软雅黑" w:hAnsi="微软雅黑" w:eastAsia="微软雅黑" w:cs="宋体"/>
                <w:kern w:val="0"/>
                <w:sz w:val="20"/>
              </w:rPr>
            </w:pPr>
            <w:r>
              <w:rPr>
                <w:rFonts w:hint="eastAsia" w:ascii="微软雅黑" w:hAnsi="微软雅黑" w:eastAsia="微软雅黑" w:cs="宋体"/>
                <w:kern w:val="0"/>
                <w:sz w:val="20"/>
              </w:rPr>
              <w:t>铝合金门窗整体面油漆更新。</w:t>
            </w:r>
          </w:p>
          <w:p>
            <w:pPr>
              <w:pStyle w:val="399"/>
              <w:widowControl/>
              <w:numPr>
                <w:ilvl w:val="0"/>
                <w:numId w:val="34"/>
              </w:numPr>
              <w:ind w:firstLineChars="0"/>
              <w:jc w:val="left"/>
              <w:rPr>
                <w:rFonts w:ascii="微软雅黑" w:hAnsi="微软雅黑" w:eastAsia="微软雅黑" w:cs="宋体"/>
                <w:kern w:val="0"/>
                <w:sz w:val="20"/>
              </w:rPr>
            </w:pPr>
            <w:r>
              <w:rPr>
                <w:rFonts w:hint="eastAsia" w:ascii="微软雅黑" w:hAnsi="微软雅黑" w:eastAsia="微软雅黑" w:cs="宋体"/>
                <w:kern w:val="0"/>
                <w:sz w:val="20"/>
              </w:rPr>
              <w:t>满足GB50325-2020《室内环境污染控制标准》。</w:t>
            </w:r>
          </w:p>
        </w:tc>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hint="eastAsia" w:ascii="微软雅黑" w:hAnsi="微软雅黑" w:eastAsia="微软雅黑" w:cs="宋体"/>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color w:val="000000"/>
                <w:kern w:val="0"/>
                <w:sz w:val="20"/>
              </w:rPr>
            </w:pPr>
            <w:r>
              <w:rPr>
                <w:rFonts w:ascii="微软雅黑" w:hAnsi="微软雅黑" w:eastAsia="微软雅黑" w:cs="宋体"/>
                <w:color w:val="000000"/>
                <w:kern w:val="0"/>
                <w:sz w:val="20"/>
              </w:rPr>
              <w:t>24</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微软雅黑" w:hAnsi="微软雅黑" w:eastAsia="微软雅黑"/>
                <w:kern w:val="0"/>
                <w:sz w:val="20"/>
              </w:rPr>
            </w:pPr>
            <w:r>
              <w:rPr>
                <w:rFonts w:hint="eastAsia" w:ascii="微软雅黑" w:hAnsi="微软雅黑" w:eastAsia="微软雅黑"/>
                <w:kern w:val="0"/>
                <w:sz w:val="20"/>
              </w:rPr>
              <w:t>160座实验室环境改造费</w:t>
            </w:r>
          </w:p>
        </w:tc>
        <w:tc>
          <w:tcPr>
            <w:tcW w:w="6313" w:type="dxa"/>
            <w:tcBorders>
              <w:top w:val="single" w:color="auto" w:sz="4" w:space="0"/>
              <w:left w:val="single" w:color="auto" w:sz="4" w:space="0"/>
              <w:bottom w:val="single" w:color="auto" w:sz="4" w:space="0"/>
              <w:right w:val="single" w:color="auto" w:sz="4" w:space="0"/>
            </w:tcBorders>
            <w:noWrap w:val="0"/>
            <w:vAlign w:val="center"/>
          </w:tcPr>
          <w:p>
            <w:pPr>
              <w:pStyle w:val="399"/>
              <w:widowControl/>
              <w:numPr>
                <w:ilvl w:val="0"/>
                <w:numId w:val="35"/>
              </w:numPr>
              <w:ind w:firstLineChars="0"/>
              <w:jc w:val="left"/>
              <w:rPr>
                <w:rFonts w:ascii="微软雅黑" w:hAnsi="微软雅黑" w:eastAsia="微软雅黑" w:cs="宋体"/>
                <w:kern w:val="0"/>
                <w:sz w:val="20"/>
              </w:rPr>
            </w:pPr>
            <w:r>
              <w:rPr>
                <w:rFonts w:hint="eastAsia" w:ascii="微软雅黑" w:hAnsi="微软雅黑" w:eastAsia="微软雅黑" w:cs="宋体"/>
                <w:kern w:val="0"/>
                <w:sz w:val="20"/>
              </w:rPr>
              <w:t>灯光改造，旧灯具拆除，安装不少于48盏LED灯，尺寸600*600，功率不少于48W，光效：6000K及以上,材质：冷轧板+铝材面框+PP面罩，无可视频闪，隔离恒流外置驱动电源；</w:t>
            </w:r>
          </w:p>
          <w:p>
            <w:pPr>
              <w:pStyle w:val="399"/>
              <w:widowControl/>
              <w:numPr>
                <w:ilvl w:val="0"/>
                <w:numId w:val="35"/>
              </w:numPr>
              <w:ind w:firstLineChars="0"/>
              <w:jc w:val="left"/>
              <w:rPr>
                <w:rFonts w:ascii="微软雅黑" w:hAnsi="微软雅黑" w:eastAsia="微软雅黑" w:cs="宋体"/>
                <w:kern w:val="0"/>
                <w:sz w:val="20"/>
              </w:rPr>
            </w:pPr>
            <w:r>
              <w:rPr>
                <w:rFonts w:hint="eastAsia" w:ascii="微软雅黑" w:hAnsi="微软雅黑" w:eastAsia="微软雅黑" w:cs="宋体"/>
                <w:kern w:val="0"/>
                <w:sz w:val="20"/>
              </w:rPr>
              <w:t>182平方墙面翻新处理，损坏墙面铲除，批腻子修复，顶面以下所有墙面喷刷环保乳胶漆，按使用方需要调色；部分破损吊顶更换，灯光电路更换改造。</w:t>
            </w:r>
          </w:p>
          <w:p>
            <w:pPr>
              <w:pStyle w:val="399"/>
              <w:widowControl/>
              <w:numPr>
                <w:ilvl w:val="0"/>
                <w:numId w:val="35"/>
              </w:numPr>
              <w:ind w:firstLineChars="0"/>
              <w:jc w:val="left"/>
              <w:rPr>
                <w:rFonts w:ascii="微软雅黑" w:hAnsi="微软雅黑" w:eastAsia="微软雅黑" w:cs="宋体"/>
                <w:kern w:val="0"/>
                <w:sz w:val="20"/>
              </w:rPr>
            </w:pPr>
            <w:r>
              <w:rPr>
                <w:rFonts w:hint="eastAsia" w:ascii="微软雅黑" w:hAnsi="微软雅黑" w:eastAsia="微软雅黑" w:cs="宋体"/>
                <w:kern w:val="0"/>
                <w:sz w:val="20"/>
              </w:rPr>
              <w:t>铝合金门窗整体面油漆更新。</w:t>
            </w:r>
          </w:p>
          <w:p>
            <w:pPr>
              <w:pStyle w:val="399"/>
              <w:widowControl/>
              <w:numPr>
                <w:ilvl w:val="0"/>
                <w:numId w:val="35"/>
              </w:numPr>
              <w:ind w:firstLineChars="0"/>
              <w:jc w:val="left"/>
              <w:rPr>
                <w:rFonts w:ascii="微软雅黑" w:hAnsi="微软雅黑" w:eastAsia="微软雅黑" w:cs="宋体"/>
                <w:kern w:val="0"/>
                <w:sz w:val="20"/>
              </w:rPr>
            </w:pPr>
            <w:r>
              <w:rPr>
                <w:rFonts w:hint="eastAsia" w:ascii="微软雅黑" w:hAnsi="微软雅黑" w:eastAsia="微软雅黑" w:cs="宋体"/>
                <w:kern w:val="0"/>
                <w:sz w:val="20"/>
              </w:rPr>
              <w:t>满足GB50325-2020《室内环境污染控制标准》。</w:t>
            </w:r>
          </w:p>
        </w:tc>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微软雅黑" w:hAnsi="微软雅黑" w:eastAsia="微软雅黑" w:cs="宋体"/>
                <w:kern w:val="0"/>
                <w:sz w:val="20"/>
              </w:rPr>
            </w:pPr>
            <w:r>
              <w:rPr>
                <w:rFonts w:hint="eastAsia" w:ascii="微软雅黑" w:hAnsi="微软雅黑" w:eastAsia="微软雅黑" w:cs="宋体"/>
                <w:kern w:val="0"/>
                <w:sz w:val="20"/>
              </w:rPr>
              <w:t>1</w:t>
            </w:r>
          </w:p>
        </w:tc>
      </w:tr>
    </w:tbl>
    <w:p>
      <w:r>
        <w:br w:type="page"/>
      </w:r>
    </w:p>
    <w:p/>
    <w:p>
      <w:pPr>
        <w:spacing w:after="156" w:afterLines="50" w:line="340" w:lineRule="exact"/>
        <w:rPr>
          <w:rFonts w:ascii="仿宋" w:hAnsi="仿宋" w:eastAsia="仿宋" w:cs="Arial"/>
          <w:b/>
          <w:sz w:val="28"/>
          <w:szCs w:val="28"/>
        </w:rPr>
      </w:pPr>
      <w:r>
        <w:rPr>
          <w:rFonts w:hint="eastAsia" w:ascii="仿宋" w:hAnsi="仿宋" w:eastAsia="仿宋" w:cs="Arial"/>
          <w:b/>
          <w:sz w:val="28"/>
          <w:szCs w:val="28"/>
        </w:rPr>
        <w:t>其他要求</w:t>
      </w:r>
    </w:p>
    <w:tbl>
      <w:tblPr>
        <w:tblStyle w:val="59"/>
        <w:tblW w:w="8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Borders>
              <w:top w:val="single" w:color="auto" w:sz="4" w:space="0"/>
              <w:left w:val="single" w:color="auto" w:sz="4" w:space="0"/>
              <w:bottom w:val="single" w:color="auto" w:sz="4" w:space="0"/>
              <w:right w:val="single" w:color="auto" w:sz="4" w:space="0"/>
            </w:tcBorders>
            <w:noWrap w:val="0"/>
            <w:vAlign w:val="top"/>
          </w:tcPr>
          <w:p>
            <w:pPr>
              <w:autoSpaceDN w:val="0"/>
              <w:spacing w:line="340" w:lineRule="exact"/>
              <w:textAlignment w:val="top"/>
              <w:rPr>
                <w:rFonts w:ascii="仿宋" w:hAnsi="仿宋" w:eastAsia="仿宋" w:cs="仿宋"/>
                <w:sz w:val="28"/>
                <w:szCs w:val="28"/>
              </w:rPr>
            </w:pPr>
            <w:r>
              <w:rPr>
                <w:rFonts w:hint="eastAsia" w:ascii="仿宋" w:hAnsi="仿宋" w:eastAsia="仿宋" w:cs="宋体"/>
                <w:kern w:val="0"/>
                <w:sz w:val="28"/>
                <w:szCs w:val="28"/>
              </w:rPr>
              <w:t>所有投标软件必须满足现有的所有的应用要求，不能存在软件冲突、运行效率变慢等情况。与浙江财经大学经济与管理实验中心现有的噢易云桌面系统实现兼容（可进行统一管理、调用），原软件厂商会配合进行系统对接开放接口。新购服务器需与现存的服务器能够组建统一的一个资源池，统一的界面管理，每台服务器所承载的桌面数量可按照服务器的运算性能进行分配、统一调度。经管中心单个终端一般要求部署8个专业教学镜像系统，系统的之间的切换需能进行资源释放。</w:t>
            </w:r>
          </w:p>
        </w:tc>
      </w:tr>
    </w:tbl>
    <w:p>
      <w:pPr>
        <w:pStyle w:val="31"/>
        <w:widowControl/>
        <w:adjustRightInd w:val="0"/>
        <w:snapToGrid w:val="0"/>
        <w:spacing w:before="156" w:after="156" w:line="460" w:lineRule="exact"/>
        <w:ind w:firstLine="641" w:firstLineChars="213"/>
        <w:jc w:val="left"/>
        <w:rPr>
          <w:rFonts w:ascii="仿宋" w:hAnsi="仿宋" w:eastAsia="仿宋" w:cs="宋体"/>
          <w:kern w:val="0"/>
          <w:sz w:val="28"/>
          <w:szCs w:val="28"/>
        </w:rPr>
      </w:pPr>
      <w:r>
        <w:rPr>
          <w:rFonts w:hint="eastAsia" w:ascii="仿宋" w:hAnsi="仿宋" w:eastAsia="仿宋" w:cs="仿宋_GB2312"/>
          <w:b/>
          <w:bCs/>
          <w:sz w:val="30"/>
          <w:szCs w:val="30"/>
          <w:shd w:val="clear" w:color="auto" w:fill="FFFFFF"/>
        </w:rPr>
        <w:t>验收标准：</w:t>
      </w:r>
      <w:r>
        <w:rPr>
          <w:rFonts w:hint="eastAsia" w:ascii="仿宋" w:hAnsi="仿宋" w:eastAsia="仿宋" w:cs="宋体"/>
          <w:kern w:val="0"/>
          <w:sz w:val="28"/>
          <w:szCs w:val="28"/>
        </w:rPr>
        <w:t>1、甲方对乙方提交的货物依据合同文件上的技术规格要求和国家有关质量标准进行现场验收。</w:t>
      </w:r>
    </w:p>
    <w:p>
      <w:pPr>
        <w:pStyle w:val="31"/>
        <w:widowControl/>
        <w:adjustRightInd w:val="0"/>
        <w:snapToGrid w:val="0"/>
        <w:spacing w:before="156" w:after="156" w:line="460" w:lineRule="exact"/>
        <w:ind w:firstLine="596" w:firstLineChars="213"/>
        <w:rPr>
          <w:rFonts w:ascii="仿宋" w:hAnsi="仿宋" w:eastAsia="仿宋" w:cs="宋体"/>
          <w:kern w:val="0"/>
          <w:sz w:val="28"/>
          <w:szCs w:val="28"/>
        </w:rPr>
      </w:pPr>
      <w:r>
        <w:rPr>
          <w:rFonts w:hint="eastAsia" w:ascii="仿宋" w:hAnsi="仿宋" w:eastAsia="仿宋" w:cs="宋体"/>
          <w:kern w:val="0"/>
          <w:sz w:val="28"/>
          <w:szCs w:val="28"/>
        </w:rPr>
        <w:t>2、乙方交货前应对产品作出全面检查和对验收文件进行整理，并列出清单，作为甲方收货验收和使用的技术条件依据，检验的结果应随货物交甲方。</w:t>
      </w:r>
    </w:p>
    <w:p>
      <w:pPr>
        <w:pStyle w:val="31"/>
        <w:widowControl/>
        <w:adjustRightInd w:val="0"/>
        <w:snapToGrid w:val="0"/>
        <w:spacing w:before="156" w:after="156" w:line="460" w:lineRule="exact"/>
        <w:ind w:firstLine="596" w:firstLineChars="213"/>
        <w:rPr>
          <w:rFonts w:ascii="仿宋" w:hAnsi="仿宋" w:eastAsia="仿宋" w:cs="宋体"/>
          <w:kern w:val="0"/>
          <w:sz w:val="28"/>
          <w:szCs w:val="28"/>
        </w:rPr>
      </w:pPr>
      <w:r>
        <w:rPr>
          <w:rFonts w:hint="eastAsia" w:ascii="仿宋" w:hAnsi="仿宋" w:eastAsia="仿宋" w:cs="宋体"/>
          <w:kern w:val="0"/>
          <w:sz w:val="28"/>
          <w:szCs w:val="28"/>
        </w:rPr>
        <w:t>3、甲方对乙方提供的货物在使用前进行调试时，乙方需负责安装并培训甲方的使用操作人员，并协助甲方一起调试，直到符合技术要求，甲方才做最终验收。</w:t>
      </w:r>
    </w:p>
    <w:p>
      <w:pPr>
        <w:pStyle w:val="31"/>
        <w:widowControl/>
        <w:adjustRightInd w:val="0"/>
        <w:snapToGrid w:val="0"/>
        <w:spacing w:before="156" w:after="156" w:line="460" w:lineRule="exact"/>
        <w:ind w:firstLine="596" w:firstLineChars="213"/>
        <w:rPr>
          <w:rFonts w:ascii="仿宋" w:hAnsi="仿宋" w:eastAsia="仿宋" w:cs="宋体"/>
          <w:kern w:val="0"/>
          <w:sz w:val="28"/>
          <w:szCs w:val="28"/>
        </w:rPr>
      </w:pPr>
      <w:r>
        <w:rPr>
          <w:rFonts w:hint="eastAsia" w:ascii="仿宋" w:hAnsi="仿宋" w:eastAsia="仿宋" w:cs="宋体"/>
          <w:kern w:val="0"/>
          <w:sz w:val="28"/>
          <w:szCs w:val="28"/>
        </w:rPr>
        <w:t>4、验收时乙方必须在现场，验收完毕后作出验收结果报告。</w:t>
      </w:r>
    </w:p>
    <w:p>
      <w:pPr>
        <w:pStyle w:val="399"/>
        <w:widowControl/>
        <w:tabs>
          <w:tab w:val="left" w:pos="720"/>
        </w:tabs>
        <w:snapToGrid w:val="0"/>
        <w:ind w:left="720" w:firstLine="0" w:firstLineChars="0"/>
        <w:rPr>
          <w:rFonts w:ascii="仿宋" w:hAnsi="仿宋" w:eastAsia="仿宋" w:cs="仿宋_GB2312"/>
          <w:b/>
          <w:bCs/>
          <w:sz w:val="30"/>
          <w:szCs w:val="30"/>
          <w:shd w:val="clear" w:color="auto" w:fill="FFFFFF"/>
        </w:rPr>
      </w:pPr>
    </w:p>
    <w:p>
      <w:pPr>
        <w:pStyle w:val="399"/>
        <w:widowControl/>
        <w:tabs>
          <w:tab w:val="left" w:pos="720"/>
        </w:tabs>
        <w:snapToGrid w:val="0"/>
        <w:ind w:left="720" w:firstLine="0" w:firstLineChars="0"/>
        <w:rPr>
          <w:rFonts w:ascii="仿宋" w:hAnsi="仿宋" w:eastAsia="仿宋" w:cs="仿宋_GB2312"/>
          <w:b/>
          <w:bCs/>
          <w:sz w:val="30"/>
          <w:szCs w:val="30"/>
          <w:shd w:val="clear" w:color="auto" w:fill="FFFFFF"/>
        </w:rPr>
      </w:pPr>
    </w:p>
    <w:p>
      <w:pPr>
        <w:pStyle w:val="399"/>
        <w:widowControl/>
        <w:tabs>
          <w:tab w:val="left" w:pos="720"/>
        </w:tabs>
        <w:snapToGrid w:val="0"/>
        <w:ind w:left="720" w:firstLine="0" w:firstLineChars="0"/>
        <w:rPr>
          <w:rFonts w:ascii="仿宋" w:hAnsi="仿宋" w:eastAsia="仿宋" w:cs="仿宋_GB2312"/>
          <w:b/>
          <w:bCs/>
          <w:sz w:val="30"/>
          <w:szCs w:val="30"/>
          <w:shd w:val="clear" w:color="auto" w:fill="FFFFFF"/>
        </w:rPr>
      </w:pPr>
    </w:p>
    <w:p>
      <w:pPr>
        <w:pStyle w:val="399"/>
        <w:widowControl/>
        <w:tabs>
          <w:tab w:val="left" w:pos="720"/>
        </w:tabs>
        <w:snapToGrid w:val="0"/>
        <w:ind w:firstLine="602"/>
        <w:jc w:val="left"/>
        <w:rPr>
          <w:rFonts w:ascii="仿宋" w:hAnsi="仿宋" w:eastAsia="仿宋" w:cs="仿宋_GB2312"/>
          <w:b/>
          <w:bCs/>
          <w:sz w:val="30"/>
          <w:szCs w:val="30"/>
          <w:shd w:val="clear" w:color="auto" w:fill="FFFFFF"/>
        </w:rPr>
      </w:pPr>
      <w:r>
        <w:rPr>
          <w:rFonts w:hint="eastAsia" w:ascii="仿宋" w:hAnsi="仿宋" w:eastAsia="仿宋" w:cs="仿宋_GB2312"/>
          <w:b/>
          <w:bCs/>
          <w:sz w:val="30"/>
          <w:szCs w:val="30"/>
          <w:shd w:val="clear" w:color="auto" w:fill="FFFFFF"/>
        </w:rPr>
        <w:t>商务要求表</w:t>
      </w:r>
    </w:p>
    <w:tbl>
      <w:tblPr>
        <w:tblStyle w:val="59"/>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06"/>
        <w:gridCol w:w="6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
                <w:b/>
                <w:sz w:val="28"/>
                <w:szCs w:val="28"/>
                <w:shd w:val="clear" w:color="auto" w:fill="FFFFFF"/>
              </w:rPr>
            </w:pPr>
            <w:r>
              <w:rPr>
                <w:rFonts w:hint="eastAsia" w:ascii="仿宋" w:hAnsi="仿宋" w:eastAsia="仿宋" w:cs="仿宋"/>
                <w:b/>
                <w:sz w:val="28"/>
                <w:szCs w:val="28"/>
                <w:shd w:val="clear" w:color="auto" w:fill="FFFFFF"/>
              </w:rPr>
              <w:t>▲供货时间（项目工期）及地点</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cs="宋体"/>
                <w:color w:val="000000"/>
                <w:sz w:val="28"/>
                <w:szCs w:val="28"/>
              </w:rPr>
            </w:pPr>
            <w:r>
              <w:rPr>
                <w:rFonts w:hint="eastAsia" w:ascii="仿宋" w:hAnsi="仿宋" w:eastAsia="仿宋" w:cs="宋体"/>
                <w:color w:val="000000"/>
                <w:sz w:val="28"/>
                <w:szCs w:val="28"/>
              </w:rPr>
              <w:t>交货时间：合同签订后30天内完成项目建设。</w:t>
            </w:r>
          </w:p>
          <w:p>
            <w:pPr>
              <w:rPr>
                <w:rFonts w:ascii="仿宋" w:hAnsi="仿宋" w:eastAsia="仿宋" w:cs="仿宋"/>
                <w:sz w:val="28"/>
                <w:szCs w:val="28"/>
                <w:shd w:val="clear" w:color="auto" w:fill="FFFFFF"/>
              </w:rPr>
            </w:pPr>
            <w:r>
              <w:rPr>
                <w:rFonts w:hint="eastAsia" w:ascii="仿宋" w:hAnsi="仿宋" w:eastAsia="仿宋" w:cs="宋体"/>
                <w:color w:val="000000"/>
                <w:sz w:val="28"/>
                <w:szCs w:val="28"/>
              </w:rPr>
              <w:t>交货地点：用户指定地点。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
                <w:b/>
                <w:sz w:val="28"/>
                <w:szCs w:val="28"/>
                <w:shd w:val="clear" w:color="auto" w:fill="FFFFFF"/>
              </w:rPr>
            </w:pPr>
            <w:r>
              <w:rPr>
                <w:rFonts w:hint="eastAsia" w:ascii="仿宋" w:hAnsi="仿宋" w:eastAsia="仿宋" w:cs="仿宋"/>
                <w:b/>
                <w:sz w:val="28"/>
                <w:szCs w:val="28"/>
                <w:shd w:val="clear" w:color="auto" w:fill="FFFFFF"/>
              </w:rPr>
              <w:t>▲付款条件</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仿宋"/>
                <w:sz w:val="28"/>
                <w:szCs w:val="28"/>
                <w:shd w:val="clear" w:color="auto" w:fill="FFFFFF"/>
              </w:rPr>
            </w:pPr>
            <w:r>
              <w:rPr>
                <w:rFonts w:hint="eastAsia" w:ascii="仿宋" w:hAnsi="仿宋" w:eastAsia="仿宋" w:cs="宋体"/>
                <w:color w:val="000000"/>
                <w:sz w:val="28"/>
                <w:szCs w:val="28"/>
              </w:rPr>
              <w:t>甲方应在合同生效后7个工作日内向乙方支付合同金额的40%（签订合同时乙方明确表示无需预付款或者主动要求降低预付款比例的可不适用前述规定）作为预付款，货物验收合格后</w:t>
            </w:r>
            <w:r>
              <w:rPr>
                <w:rFonts w:hint="eastAsia" w:ascii="仿宋" w:hAnsi="仿宋" w:eastAsia="仿宋" w:cs="宋体"/>
                <w:color w:val="000000"/>
                <w:sz w:val="28"/>
                <w:szCs w:val="28"/>
                <w:lang w:val="en-US" w:eastAsia="zh-CN"/>
              </w:rPr>
              <w:t>7</w:t>
            </w:r>
            <w:r>
              <w:rPr>
                <w:rFonts w:hint="eastAsia" w:ascii="仿宋" w:hAnsi="仿宋" w:eastAsia="仿宋" w:cs="宋体"/>
                <w:color w:val="000000"/>
                <w:sz w:val="28"/>
                <w:szCs w:val="28"/>
              </w:rPr>
              <w:t>个工作日内将剩余合同金额全部支付给乙方。履约保证金为合同金额的1%，验收后15个工作日内无息退还。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
                <w:b/>
                <w:sz w:val="28"/>
                <w:szCs w:val="28"/>
                <w:shd w:val="clear" w:color="auto" w:fill="FFFFFF"/>
              </w:rPr>
            </w:pPr>
            <w:r>
              <w:rPr>
                <w:rFonts w:hint="eastAsia" w:ascii="仿宋" w:hAnsi="仿宋" w:eastAsia="仿宋" w:cs="仿宋"/>
                <w:b/>
                <w:sz w:val="28"/>
                <w:szCs w:val="28"/>
                <w:shd w:val="clear" w:color="auto" w:fill="FFFFFF"/>
              </w:rPr>
              <w:t>违约责任及争议解决方式</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仿宋"/>
                <w:color w:val="FF0000"/>
                <w:sz w:val="28"/>
                <w:szCs w:val="28"/>
                <w:shd w:val="clear" w:color="auto" w:fill="FFFFFF"/>
              </w:rPr>
            </w:pPr>
            <w:r>
              <w:rPr>
                <w:rFonts w:hint="eastAsia" w:ascii="仿宋" w:hAnsi="仿宋" w:eastAsia="仿宋" w:cs="仿宋"/>
                <w:sz w:val="28"/>
                <w:szCs w:val="28"/>
                <w:shd w:val="clear" w:color="auto" w:fill="FFFFFF"/>
              </w:rPr>
              <w:t>如无特别说明，按“第五章浙江省政府采购合同主要条款指引”相关违约责任及争议解决方式内容。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
                <w:b/>
                <w:sz w:val="28"/>
                <w:szCs w:val="28"/>
                <w:shd w:val="clear" w:color="auto" w:fill="FFFFFF"/>
              </w:rPr>
            </w:pPr>
            <w:r>
              <w:rPr>
                <w:rFonts w:hint="eastAsia" w:ascii="仿宋" w:hAnsi="仿宋" w:eastAsia="仿宋" w:cs="仿宋"/>
                <w:b/>
                <w:sz w:val="28"/>
                <w:szCs w:val="28"/>
                <w:shd w:val="clear" w:color="auto" w:fill="FFFFFF"/>
              </w:rPr>
              <w:t>售</w:t>
            </w:r>
          </w:p>
          <w:p>
            <w:pPr>
              <w:snapToGrid w:val="0"/>
              <w:jc w:val="left"/>
              <w:rPr>
                <w:rFonts w:ascii="仿宋" w:hAnsi="仿宋" w:eastAsia="仿宋" w:cs="仿宋"/>
                <w:b/>
                <w:sz w:val="28"/>
                <w:szCs w:val="28"/>
                <w:shd w:val="clear" w:color="auto" w:fill="FFFFFF"/>
              </w:rPr>
            </w:pPr>
            <w:r>
              <w:rPr>
                <w:rFonts w:hint="eastAsia" w:ascii="仿宋" w:hAnsi="仿宋" w:eastAsia="仿宋" w:cs="仿宋"/>
                <w:b/>
                <w:sz w:val="28"/>
                <w:szCs w:val="28"/>
                <w:shd w:val="clear" w:color="auto" w:fill="FFFFFF"/>
              </w:rPr>
              <w:t>后</w:t>
            </w:r>
          </w:p>
          <w:p>
            <w:pPr>
              <w:snapToGrid w:val="0"/>
              <w:jc w:val="left"/>
              <w:rPr>
                <w:rFonts w:ascii="仿宋" w:hAnsi="仿宋" w:eastAsia="仿宋" w:cs="仿宋"/>
                <w:b/>
                <w:sz w:val="28"/>
                <w:szCs w:val="28"/>
                <w:shd w:val="clear" w:color="auto" w:fill="FFFFFF"/>
              </w:rPr>
            </w:pPr>
            <w:r>
              <w:rPr>
                <w:rFonts w:hint="eastAsia" w:ascii="仿宋" w:hAnsi="仿宋" w:eastAsia="仿宋" w:cs="仿宋"/>
                <w:b/>
                <w:sz w:val="28"/>
                <w:szCs w:val="28"/>
                <w:shd w:val="clear" w:color="auto" w:fill="FFFFFF"/>
              </w:rPr>
              <w:t>服务</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
                <w:b/>
                <w:sz w:val="28"/>
                <w:szCs w:val="28"/>
                <w:shd w:val="clear" w:color="auto" w:fill="FFFFFF"/>
              </w:rPr>
            </w:pPr>
            <w:r>
              <w:rPr>
                <w:rFonts w:hint="eastAsia" w:ascii="仿宋" w:hAnsi="仿宋" w:eastAsia="仿宋" w:cs="仿宋"/>
                <w:b/>
                <w:sz w:val="28"/>
                <w:szCs w:val="28"/>
                <w:shd w:val="clear" w:color="auto" w:fill="FFFFFF"/>
              </w:rPr>
              <w:t>项目维护计划</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仿宋"/>
                <w:color w:val="000000"/>
                <w:sz w:val="28"/>
                <w:szCs w:val="28"/>
                <w:shd w:val="clear" w:color="auto" w:fill="FFFFFF"/>
              </w:rPr>
            </w:pPr>
            <w:r>
              <w:rPr>
                <w:rFonts w:hint="eastAsia" w:ascii="仿宋" w:hAnsi="仿宋" w:eastAsia="仿宋" w:cs="仿宋"/>
                <w:sz w:val="28"/>
                <w:szCs w:val="28"/>
                <w:shd w:val="clear" w:color="auto" w:fill="FFFFFF"/>
              </w:rPr>
              <w:t>（1）投标货物必须是符合国家技术规范和质量标准的合格产品，满足采购单位的使用需求，并具有可靠的售后服务体系，质量可靠、使用安全。投标人保证其提供的货物中所有预装和为本项目安装的软件均为具有合法版权或使用权的正版软件且无质量瑕疵。在质保期内，如遇软件产品升级、改版，应免费提供更新、升级服务。（2）计算机、云终端设备提供原厂五年保修，服务器提供原厂七年质保，软件设备质保期要求为六年，其余设备质保期为三年。在投标货物质保期内，应提供7×24小时的现场质保和技术支持服务，对故障在1小时内响应，2小时以内到现场，5小时以内解决问题；不能当场修复的，必须采取提供备品、备件或备机等措施，以保证采购单位的正常使用。如果逾期未作出响应，采购人有权委托其他有资质单位进行维修，所产生的费用以及由于故障所造成的全部损失均由供应商承担。）（3）当投标货物发生非人为因素严重故障时，供应商应当免费在七日内将补充或者更换的货物运抵发生故障的货物所在地，由此产生的一切相关费用由供应商负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cs="Calibri"/>
                <w:sz w:val="28"/>
                <w:szCs w:val="28"/>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
                <w:b/>
                <w:sz w:val="28"/>
                <w:szCs w:val="28"/>
                <w:shd w:val="clear" w:color="auto" w:fill="FFFFFF"/>
              </w:rPr>
            </w:pPr>
            <w:r>
              <w:rPr>
                <w:rFonts w:hint="eastAsia" w:ascii="仿宋" w:hAnsi="仿宋" w:eastAsia="仿宋" w:cs="仿宋"/>
                <w:b/>
                <w:bCs/>
                <w:color w:val="000000"/>
                <w:sz w:val="28"/>
                <w:szCs w:val="28"/>
              </w:rPr>
              <w:t>响应情况</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1）投标人须保证所提供软件产品为相关厂家正版软件，符合国家有关规定。投标人须保证所提供产品具有合法的版权或使用权，本项目采购的产品，如在本项目范围内使用过程中出现版权或使用权纠纷，应由中标人负责，采购人不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cs="Calibri"/>
                <w:sz w:val="28"/>
                <w:szCs w:val="28"/>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
                <w:b/>
                <w:sz w:val="28"/>
                <w:szCs w:val="28"/>
                <w:shd w:val="clear" w:color="auto" w:fill="FFFFFF"/>
              </w:rPr>
            </w:pPr>
            <w:r>
              <w:rPr>
                <w:rFonts w:hint="eastAsia" w:ascii="仿宋" w:hAnsi="仿宋" w:eastAsia="仿宋" w:cs="仿宋"/>
                <w:b/>
                <w:sz w:val="28"/>
                <w:szCs w:val="28"/>
                <w:shd w:val="clear" w:color="auto" w:fill="FFFFFF"/>
              </w:rPr>
              <w:t>技术培训</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仿宋"/>
                <w:color w:val="000000"/>
                <w:kern w:val="0"/>
                <w:sz w:val="28"/>
                <w:szCs w:val="28"/>
              </w:rPr>
            </w:pPr>
            <w:r>
              <w:rPr>
                <w:rFonts w:hint="eastAsia" w:ascii="仿宋" w:hAnsi="仿宋" w:eastAsia="仿宋" w:cs="仿宋"/>
                <w:sz w:val="28"/>
                <w:szCs w:val="28"/>
                <w:shd w:val="clear" w:color="auto" w:fill="FFFFFF"/>
              </w:rPr>
              <w:t>提供现场集中培训2次，每次培训时间1天,培训人数8人。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
                <w:b/>
                <w:sz w:val="28"/>
                <w:szCs w:val="28"/>
                <w:shd w:val="clear" w:color="auto" w:fill="FFFFFF"/>
              </w:rPr>
            </w:pPr>
            <w:r>
              <w:rPr>
                <w:rFonts w:hint="eastAsia" w:ascii="仿宋" w:hAnsi="仿宋" w:eastAsia="仿宋" w:cs="仿宋"/>
                <w:b/>
                <w:sz w:val="28"/>
                <w:szCs w:val="28"/>
                <w:shd w:val="clear" w:color="auto" w:fill="FFFFFF"/>
              </w:rPr>
              <w:t>履约能力</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
                <w:b/>
                <w:sz w:val="28"/>
                <w:szCs w:val="28"/>
                <w:shd w:val="clear" w:color="auto" w:fill="FFFFFF"/>
              </w:rPr>
            </w:pPr>
            <w:r>
              <w:rPr>
                <w:rFonts w:hint="eastAsia" w:ascii="仿宋" w:hAnsi="仿宋" w:eastAsia="仿宋" w:cs="仿宋"/>
                <w:b/>
                <w:sz w:val="28"/>
                <w:szCs w:val="28"/>
                <w:shd w:val="clear" w:color="auto" w:fill="FFFFFF"/>
              </w:rPr>
              <w:t>公司技术力量情况</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sz w:val="28"/>
                <w:szCs w:val="28"/>
              </w:rPr>
            </w:pPr>
            <w:r>
              <w:rPr>
                <w:rFonts w:hint="eastAsia" w:ascii="仿宋" w:hAnsi="仿宋" w:eastAsia="仿宋" w:cs="仿宋"/>
                <w:sz w:val="28"/>
                <w:szCs w:val="28"/>
                <w:shd w:val="clear" w:color="auto" w:fill="FFFFFF"/>
              </w:rPr>
              <w:t>如有，请供应商自行提供。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cs="Calibri"/>
                <w:sz w:val="28"/>
                <w:szCs w:val="28"/>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
                <w:b/>
                <w:sz w:val="28"/>
                <w:szCs w:val="28"/>
                <w:shd w:val="clear" w:color="auto" w:fill="FFFFFF"/>
              </w:rPr>
            </w:pPr>
            <w:r>
              <w:rPr>
                <w:rFonts w:hint="eastAsia" w:ascii="仿宋" w:hAnsi="仿宋" w:eastAsia="仿宋" w:cs="仿宋"/>
                <w:b/>
                <w:sz w:val="28"/>
                <w:szCs w:val="28"/>
                <w:shd w:val="clear" w:color="auto" w:fill="FFFFFF"/>
              </w:rPr>
              <w:t>经验或业绩要求</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投标人提供近三年内以来（以合同签订时间为准）云机房建设同类合同业绩（以提供的合同扫描件为准）：每提供1份合同业绩得</w:t>
            </w:r>
            <w:r>
              <w:rPr>
                <w:rFonts w:ascii="仿宋" w:hAnsi="仿宋" w:eastAsia="仿宋" w:cs="仿宋"/>
                <w:sz w:val="28"/>
                <w:szCs w:val="28"/>
                <w:shd w:val="clear" w:color="auto" w:fill="FFFFFF"/>
              </w:rPr>
              <w:t>0.5</w:t>
            </w:r>
            <w:r>
              <w:rPr>
                <w:rFonts w:hint="eastAsia" w:ascii="仿宋" w:hAnsi="仿宋" w:eastAsia="仿宋" w:cs="仿宋"/>
                <w:sz w:val="28"/>
                <w:szCs w:val="28"/>
                <w:shd w:val="clear" w:color="auto" w:fill="FFFFFF"/>
              </w:rPr>
              <w:t>分，最高得</w:t>
            </w:r>
            <w:r>
              <w:rPr>
                <w:rFonts w:ascii="仿宋" w:hAnsi="仿宋" w:eastAsia="仿宋" w:cs="仿宋"/>
                <w:sz w:val="28"/>
                <w:szCs w:val="28"/>
                <w:shd w:val="clear" w:color="auto" w:fill="FFFFFF"/>
              </w:rPr>
              <w:t>2</w:t>
            </w:r>
            <w:r>
              <w:rPr>
                <w:rFonts w:hint="eastAsia" w:ascii="仿宋" w:hAnsi="仿宋" w:eastAsia="仿宋" w:cs="仿宋"/>
                <w:sz w:val="28"/>
                <w:szCs w:val="28"/>
                <w:shd w:val="clear" w:color="auto" w:fill="FFFFFF"/>
              </w:rPr>
              <w:t>分。</w:t>
            </w:r>
          </w:p>
        </w:tc>
      </w:tr>
    </w:tbl>
    <w:p/>
    <w:p>
      <w:pPr>
        <w:widowControl/>
        <w:jc w:val="left"/>
        <w:rPr>
          <w:rFonts w:ascii="仿宋" w:hAnsi="仿宋" w:eastAsia="仿宋" w:cs="仿宋"/>
          <w:b/>
          <w:bCs/>
          <w:color w:val="000000"/>
          <w:spacing w:val="30"/>
          <w:sz w:val="28"/>
          <w:szCs w:val="28"/>
        </w:rPr>
      </w:pPr>
    </w:p>
    <w:p>
      <w:pPr>
        <w:widowControl/>
        <w:jc w:val="left"/>
        <w:rPr>
          <w:rFonts w:ascii="仿宋" w:hAnsi="仿宋" w:eastAsia="仿宋" w:cs="仿宋"/>
          <w:b/>
          <w:bCs/>
          <w:color w:val="000000"/>
          <w:spacing w:val="30"/>
          <w:sz w:val="28"/>
          <w:szCs w:val="28"/>
        </w:rPr>
      </w:pPr>
    </w:p>
    <w:p>
      <w:pPr>
        <w:widowControl/>
        <w:jc w:val="left"/>
        <w:rPr>
          <w:rFonts w:ascii="仿宋" w:hAnsi="仿宋" w:eastAsia="仿宋" w:cs="仿宋"/>
          <w:b/>
          <w:bCs/>
          <w:color w:val="000000"/>
          <w:spacing w:val="30"/>
          <w:sz w:val="28"/>
          <w:szCs w:val="28"/>
        </w:rPr>
      </w:pPr>
    </w:p>
    <w:p>
      <w:pPr>
        <w:widowControl/>
        <w:jc w:val="left"/>
        <w:rPr>
          <w:rFonts w:ascii="仿宋" w:hAnsi="仿宋" w:eastAsia="仿宋" w:cs="仿宋"/>
          <w:b/>
          <w:bCs/>
          <w:color w:val="000000"/>
          <w:spacing w:val="30"/>
          <w:sz w:val="28"/>
          <w:szCs w:val="28"/>
        </w:rPr>
      </w:pPr>
    </w:p>
    <w:p>
      <w:pPr>
        <w:widowControl/>
        <w:jc w:val="left"/>
        <w:rPr>
          <w:rFonts w:ascii="仿宋" w:hAnsi="仿宋" w:eastAsia="仿宋" w:cs="仿宋"/>
          <w:b/>
          <w:bCs/>
          <w:color w:val="000000"/>
          <w:spacing w:val="30"/>
          <w:sz w:val="28"/>
          <w:szCs w:val="28"/>
        </w:rPr>
      </w:pPr>
    </w:p>
    <w:p>
      <w:pPr>
        <w:widowControl/>
        <w:jc w:val="left"/>
        <w:rPr>
          <w:rFonts w:ascii="仿宋" w:hAnsi="仿宋" w:eastAsia="仿宋" w:cs="仿宋"/>
          <w:b/>
          <w:bCs/>
          <w:color w:val="000000"/>
          <w:spacing w:val="30"/>
          <w:sz w:val="28"/>
          <w:szCs w:val="28"/>
        </w:rPr>
      </w:pPr>
    </w:p>
    <w:p>
      <w:pPr>
        <w:widowControl/>
        <w:jc w:val="left"/>
        <w:rPr>
          <w:rFonts w:ascii="仿宋" w:hAnsi="仿宋" w:eastAsia="仿宋" w:cs="仿宋"/>
          <w:b/>
          <w:bCs/>
          <w:color w:val="000000"/>
          <w:spacing w:val="30"/>
          <w:sz w:val="28"/>
          <w:szCs w:val="28"/>
        </w:rPr>
      </w:pPr>
    </w:p>
    <w:p>
      <w:pPr>
        <w:widowControl/>
        <w:jc w:val="left"/>
        <w:rPr>
          <w:rFonts w:ascii="仿宋" w:hAnsi="仿宋" w:eastAsia="仿宋" w:cs="仿宋"/>
          <w:b/>
          <w:bCs/>
          <w:color w:val="000000"/>
          <w:spacing w:val="30"/>
          <w:sz w:val="28"/>
          <w:szCs w:val="28"/>
        </w:rPr>
      </w:pPr>
    </w:p>
    <w:p>
      <w:pPr>
        <w:widowControl/>
        <w:jc w:val="left"/>
        <w:rPr>
          <w:rFonts w:ascii="仿宋" w:hAnsi="仿宋" w:eastAsia="仿宋" w:cs="仿宋"/>
          <w:b/>
          <w:bCs/>
          <w:color w:val="000000"/>
          <w:spacing w:val="30"/>
          <w:sz w:val="28"/>
          <w:szCs w:val="28"/>
        </w:rPr>
      </w:pPr>
    </w:p>
    <w:p>
      <w:pPr>
        <w:widowControl/>
        <w:jc w:val="left"/>
        <w:rPr>
          <w:rFonts w:ascii="仿宋" w:hAnsi="仿宋" w:eastAsia="仿宋" w:cs="仿宋"/>
          <w:b/>
          <w:bCs/>
          <w:color w:val="000000"/>
          <w:spacing w:val="30"/>
          <w:sz w:val="28"/>
          <w:szCs w:val="28"/>
        </w:rPr>
      </w:pPr>
    </w:p>
    <w:p>
      <w:pPr>
        <w:widowControl/>
        <w:jc w:val="left"/>
        <w:rPr>
          <w:rFonts w:ascii="仿宋" w:hAnsi="仿宋" w:eastAsia="仿宋" w:cs="仿宋"/>
          <w:b/>
          <w:bCs/>
          <w:color w:val="000000"/>
          <w:spacing w:val="30"/>
          <w:sz w:val="28"/>
          <w:szCs w:val="28"/>
        </w:rPr>
      </w:pPr>
      <w:bookmarkStart w:id="46" w:name="_GoBack"/>
      <w:bookmarkEnd w:id="46"/>
    </w:p>
    <w:p>
      <w:pPr>
        <w:pStyle w:val="31"/>
        <w:spacing w:before="156" w:after="156" w:line="360" w:lineRule="auto"/>
        <w:jc w:val="center"/>
        <w:outlineLvl w:val="0"/>
        <w:rPr>
          <w:rFonts w:hAnsi="宋体"/>
          <w:b/>
          <w:color w:val="000000"/>
          <w:sz w:val="36"/>
          <w:szCs w:val="36"/>
        </w:rPr>
      </w:pPr>
      <w:bookmarkStart w:id="33" w:name="_Toc26308"/>
      <w:r>
        <w:rPr>
          <w:rFonts w:hint="eastAsia" w:hAnsi="宋体"/>
          <w:b/>
          <w:color w:val="000000"/>
          <w:sz w:val="36"/>
          <w:szCs w:val="36"/>
        </w:rPr>
        <w:t>第五章浙江省政府采购合同主要条款指引</w:t>
      </w:r>
      <w:bookmarkEnd w:id="32"/>
      <w:bookmarkEnd w:id="33"/>
    </w:p>
    <w:p>
      <w:pPr>
        <w:rPr>
          <w:color w:val="000000"/>
        </w:rPr>
      </w:pPr>
    </w:p>
    <w:p>
      <w:pPr>
        <w:pStyle w:val="31"/>
        <w:snapToGrid w:val="0"/>
        <w:spacing w:before="156" w:after="156" w:line="360" w:lineRule="auto"/>
        <w:jc w:val="center"/>
        <w:rPr>
          <w:rFonts w:ascii="仿宋" w:hAnsi="仿宋" w:eastAsia="仿宋"/>
          <w:color w:val="000000"/>
          <w:sz w:val="30"/>
          <w:szCs w:val="30"/>
        </w:rPr>
      </w:pPr>
      <w:r>
        <w:rPr>
          <w:rFonts w:hint="eastAsia" w:ascii="仿宋" w:hAnsi="仿宋" w:eastAsia="仿宋"/>
          <w:color w:val="000000"/>
          <w:sz w:val="30"/>
          <w:szCs w:val="30"/>
        </w:rPr>
        <w:t xml:space="preserve">                       合同编号：        </w:t>
      </w:r>
    </w:p>
    <w:p>
      <w:pPr>
        <w:pStyle w:val="31"/>
        <w:snapToGrid w:val="0"/>
        <w:spacing w:before="156" w:after="156" w:line="360" w:lineRule="auto"/>
        <w:jc w:val="left"/>
        <w:rPr>
          <w:rFonts w:ascii="仿宋" w:hAnsi="仿宋" w:eastAsia="仿宋"/>
          <w:color w:val="000000"/>
          <w:sz w:val="30"/>
          <w:szCs w:val="30"/>
        </w:rPr>
      </w:pPr>
      <w:r>
        <w:rPr>
          <w:rFonts w:hint="eastAsia" w:ascii="仿宋" w:hAnsi="仿宋" w:eastAsia="仿宋"/>
          <w:color w:val="000000"/>
          <w:sz w:val="30"/>
          <w:szCs w:val="30"/>
        </w:rPr>
        <w:t xml:space="preserve">                                     确认书号：</w:t>
      </w:r>
    </w:p>
    <w:p>
      <w:pPr>
        <w:spacing w:line="520" w:lineRule="exact"/>
        <w:ind w:firstLine="301" w:firstLineChars="100"/>
        <w:rPr>
          <w:rFonts w:ascii="仿宋" w:hAnsi="仿宋" w:eastAsia="仿宋"/>
          <w:color w:val="000000"/>
          <w:sz w:val="30"/>
          <w:szCs w:val="30"/>
        </w:rPr>
      </w:pPr>
      <w:r>
        <w:rPr>
          <w:rFonts w:hint="eastAsia" w:ascii="仿宋" w:hAnsi="仿宋" w:eastAsia="仿宋"/>
          <w:b/>
          <w:bCs/>
          <w:color w:val="000000"/>
          <w:sz w:val="30"/>
          <w:szCs w:val="30"/>
        </w:rPr>
        <w:t>甲方</w:t>
      </w:r>
      <w:r>
        <w:rPr>
          <w:rFonts w:hint="eastAsia" w:ascii="仿宋" w:hAnsi="仿宋" w:eastAsia="仿宋"/>
          <w:color w:val="000000"/>
          <w:sz w:val="30"/>
          <w:szCs w:val="30"/>
        </w:rPr>
        <w:t xml:space="preserve">（采购人）： </w:t>
      </w:r>
    </w:p>
    <w:p>
      <w:pPr>
        <w:spacing w:line="520" w:lineRule="exact"/>
        <w:ind w:firstLine="301" w:firstLineChars="100"/>
        <w:rPr>
          <w:rFonts w:ascii="仿宋" w:hAnsi="仿宋" w:eastAsia="仿宋"/>
          <w:color w:val="000000"/>
          <w:sz w:val="30"/>
          <w:szCs w:val="30"/>
        </w:rPr>
      </w:pPr>
      <w:r>
        <w:rPr>
          <w:rFonts w:hint="eastAsia" w:ascii="仿宋" w:hAnsi="仿宋" w:eastAsia="仿宋"/>
          <w:b/>
          <w:bCs/>
          <w:color w:val="000000"/>
          <w:sz w:val="30"/>
          <w:szCs w:val="30"/>
        </w:rPr>
        <w:t>乙方</w:t>
      </w:r>
      <w:r>
        <w:rPr>
          <w:rFonts w:hint="eastAsia" w:ascii="仿宋" w:hAnsi="仿宋" w:eastAsia="仿宋"/>
          <w:color w:val="000000"/>
          <w:sz w:val="30"/>
          <w:szCs w:val="30"/>
        </w:rPr>
        <w:t xml:space="preserve">（供应商）： </w:t>
      </w:r>
    </w:p>
    <w:p>
      <w:pPr>
        <w:pStyle w:val="31"/>
        <w:adjustRightInd w:val="0"/>
        <w:snapToGrid w:val="0"/>
        <w:spacing w:before="156" w:after="156" w:line="460" w:lineRule="exact"/>
        <w:ind w:firstLine="594" w:firstLineChars="198"/>
        <w:rPr>
          <w:rFonts w:ascii="仿宋" w:hAnsi="仿宋" w:eastAsia="仿宋"/>
          <w:b/>
          <w:snapToGrid w:val="0"/>
          <w:color w:val="000000"/>
          <w:sz w:val="30"/>
          <w:szCs w:val="30"/>
        </w:rPr>
      </w:pPr>
      <w:r>
        <w:rPr>
          <w:rFonts w:hint="eastAsia" w:ascii="仿宋" w:hAnsi="仿宋" w:eastAsia="仿宋"/>
          <w:snapToGrid w:val="0"/>
          <w:color w:val="000000"/>
          <w:sz w:val="30"/>
          <w:szCs w:val="30"/>
        </w:rPr>
        <w:t>甲、乙双方根据浙江省政府采购中心关于</w:t>
      </w:r>
      <w:r>
        <w:rPr>
          <w:rFonts w:hint="eastAsia" w:ascii="仿宋" w:hAnsi="仿宋" w:eastAsia="仿宋"/>
          <w:color w:val="000000"/>
          <w:sz w:val="30"/>
          <w:szCs w:val="30"/>
        </w:rPr>
        <w:t>项目编号为      的</w:t>
      </w:r>
      <w:r>
        <w:rPr>
          <w:rFonts w:hint="eastAsia" w:ascii="仿宋" w:hAnsi="仿宋" w:eastAsia="仿宋"/>
          <w:snapToGrid w:val="0"/>
          <w:color w:val="000000"/>
          <w:sz w:val="30"/>
          <w:szCs w:val="30"/>
        </w:rPr>
        <w:t>（标项及名称）项目公开招标的结果，签署本合同。</w:t>
      </w:r>
    </w:p>
    <w:p>
      <w:pPr>
        <w:pStyle w:val="31"/>
        <w:adjustRightInd w:val="0"/>
        <w:snapToGrid w:val="0"/>
        <w:spacing w:before="156" w:after="156" w:line="460" w:lineRule="exact"/>
        <w:ind w:firstLine="641" w:firstLineChars="213"/>
        <w:rPr>
          <w:rFonts w:ascii="仿宋" w:hAnsi="仿宋" w:eastAsia="仿宋"/>
          <w:b/>
          <w:color w:val="000000"/>
          <w:sz w:val="30"/>
          <w:szCs w:val="30"/>
        </w:rPr>
      </w:pPr>
      <w:r>
        <w:rPr>
          <w:rFonts w:hint="eastAsia" w:ascii="仿宋" w:hAnsi="仿宋" w:eastAsia="仿宋"/>
          <w:b/>
          <w:snapToGrid w:val="0"/>
          <w:color w:val="000000"/>
          <w:sz w:val="30"/>
          <w:szCs w:val="30"/>
        </w:rPr>
        <w:t>一、项目内容</w:t>
      </w:r>
      <w:r>
        <w:rPr>
          <w:rFonts w:hint="eastAsia" w:ascii="仿宋" w:hAnsi="仿宋" w:eastAsia="仿宋"/>
          <w:b/>
          <w:color w:val="000000"/>
          <w:sz w:val="30"/>
          <w:szCs w:val="30"/>
        </w:rPr>
        <w:t>及合同价格</w:t>
      </w:r>
    </w:p>
    <w:p>
      <w:pPr>
        <w:pStyle w:val="31"/>
        <w:adjustRightInd w:val="0"/>
        <w:snapToGrid w:val="0"/>
        <w:spacing w:before="156" w:after="156" w:line="460" w:lineRule="exact"/>
        <w:ind w:firstLine="639" w:firstLineChars="213"/>
        <w:jc w:val="right"/>
        <w:rPr>
          <w:rFonts w:ascii="仿宋" w:hAnsi="仿宋" w:eastAsia="仿宋"/>
          <w:color w:val="000000"/>
          <w:sz w:val="30"/>
          <w:szCs w:val="30"/>
        </w:rPr>
      </w:pPr>
      <w:r>
        <w:rPr>
          <w:rFonts w:hint="eastAsia" w:ascii="仿宋" w:hAnsi="仿宋" w:eastAsia="仿宋"/>
          <w:color w:val="000000"/>
          <w:sz w:val="30"/>
          <w:szCs w:val="30"/>
        </w:rPr>
        <w:t xml:space="preserve">金额单位：元 </w:t>
      </w:r>
    </w:p>
    <w:tbl>
      <w:tblPr>
        <w:tblStyle w:val="59"/>
        <w:tblW w:w="91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9"/>
        <w:gridCol w:w="3239"/>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56" w:after="156" w:line="460" w:lineRule="exact"/>
              <w:jc w:val="center"/>
              <w:rPr>
                <w:rFonts w:ascii="仿宋" w:hAnsi="仿宋" w:eastAsia="仿宋"/>
                <w:color w:val="000000"/>
                <w:sz w:val="30"/>
                <w:szCs w:val="30"/>
              </w:rPr>
            </w:pPr>
            <w:r>
              <w:rPr>
                <w:rFonts w:hint="eastAsia" w:ascii="仿宋" w:hAnsi="仿宋" w:eastAsia="仿宋"/>
                <w:color w:val="000000"/>
                <w:sz w:val="30"/>
                <w:szCs w:val="30"/>
              </w:rPr>
              <w:t>项目名称</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56" w:after="156" w:line="460" w:lineRule="exact"/>
              <w:jc w:val="center"/>
              <w:rPr>
                <w:rFonts w:ascii="仿宋" w:hAnsi="仿宋" w:eastAsia="仿宋"/>
                <w:color w:val="000000"/>
                <w:sz w:val="30"/>
                <w:szCs w:val="30"/>
              </w:rPr>
            </w:pPr>
            <w:r>
              <w:rPr>
                <w:rFonts w:hint="eastAsia" w:ascii="仿宋" w:hAnsi="仿宋" w:eastAsia="仿宋"/>
                <w:color w:val="000000"/>
                <w:sz w:val="30"/>
                <w:szCs w:val="30"/>
              </w:rPr>
              <w:t>技术需求</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56" w:after="156" w:line="460" w:lineRule="exact"/>
              <w:ind w:left="-108"/>
              <w:jc w:val="center"/>
              <w:rPr>
                <w:rFonts w:ascii="仿宋" w:hAnsi="仿宋" w:eastAsia="仿宋"/>
                <w:color w:val="000000"/>
                <w:sz w:val="30"/>
                <w:szCs w:val="30"/>
              </w:rPr>
            </w:pPr>
            <w:r>
              <w:rPr>
                <w:rFonts w:hint="eastAsia" w:ascii="仿宋" w:hAnsi="仿宋" w:eastAsia="仿宋"/>
                <w:color w:val="000000"/>
                <w:sz w:val="30"/>
                <w:szCs w:val="30"/>
              </w:rPr>
              <w:t>数量</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56" w:after="156" w:line="460" w:lineRule="exact"/>
              <w:ind w:left="-108"/>
              <w:jc w:val="center"/>
              <w:rPr>
                <w:rFonts w:ascii="仿宋" w:hAnsi="仿宋" w:eastAsia="仿宋"/>
                <w:color w:val="000000"/>
                <w:sz w:val="30"/>
                <w:szCs w:val="30"/>
              </w:rPr>
            </w:pPr>
            <w:r>
              <w:rPr>
                <w:rFonts w:hint="eastAsia" w:ascii="仿宋" w:hAnsi="仿宋" w:eastAsia="仿宋"/>
                <w:color w:val="000000"/>
                <w:sz w:val="30"/>
                <w:szCs w:val="30"/>
              </w:rPr>
              <w:t>单价</w:t>
            </w:r>
          </w:p>
        </w:tc>
        <w:tc>
          <w:tcPr>
            <w:tcW w:w="1212"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56" w:after="156" w:line="460" w:lineRule="exact"/>
              <w:jc w:val="center"/>
              <w:rPr>
                <w:rFonts w:ascii="仿宋" w:hAnsi="仿宋" w:eastAsia="仿宋"/>
                <w:color w:val="000000"/>
                <w:sz w:val="30"/>
                <w:szCs w:val="30"/>
              </w:rPr>
            </w:pPr>
            <w:r>
              <w:rPr>
                <w:rFonts w:hint="eastAsia" w:ascii="仿宋" w:hAnsi="仿宋" w:eastAsia="仿宋"/>
                <w:color w:val="000000"/>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639" w:firstLineChars="213"/>
              <w:rPr>
                <w:rFonts w:ascii="仿宋" w:hAnsi="仿宋" w:eastAsia="仿宋"/>
                <w:color w:val="000000"/>
                <w:sz w:val="30"/>
                <w:szCs w:val="30"/>
              </w:rPr>
            </w:pPr>
          </w:p>
        </w:tc>
        <w:tc>
          <w:tcPr>
            <w:tcW w:w="324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仿宋" w:hAnsi="仿宋" w:eastAsia="仿宋"/>
                <w:color w:val="000000"/>
                <w:sz w:val="30"/>
                <w:szCs w:val="30"/>
              </w:rPr>
            </w:pPr>
            <w:r>
              <w:rPr>
                <w:rFonts w:hint="eastAsia" w:ascii="仿宋" w:hAnsi="仿宋" w:eastAsia="仿宋"/>
                <w:color w:val="000000"/>
                <w:sz w:val="30"/>
                <w:szCs w:val="30"/>
              </w:rPr>
              <w:t>详见项目对应招投标文件</w:t>
            </w: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639" w:firstLineChars="213"/>
              <w:rPr>
                <w:rFonts w:ascii="仿宋" w:hAnsi="仿宋" w:eastAsia="仿宋"/>
                <w:color w:val="00000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432"/>
              <w:spacing w:after="120" w:line="460" w:lineRule="exact"/>
              <w:ind w:firstLine="639" w:firstLineChars="213"/>
              <w:rPr>
                <w:rFonts w:ascii="仿宋" w:hAnsi="仿宋" w:eastAsia="仿宋"/>
                <w:kern w:val="2"/>
                <w:sz w:val="30"/>
                <w:szCs w:val="30"/>
              </w:rPr>
            </w:pPr>
          </w:p>
        </w:tc>
        <w:tc>
          <w:tcPr>
            <w:tcW w:w="1212" w:type="dxa"/>
            <w:tcBorders>
              <w:top w:val="single" w:color="auto" w:sz="4" w:space="0"/>
              <w:left w:val="single" w:color="auto" w:sz="4" w:space="0"/>
              <w:bottom w:val="single" w:color="auto" w:sz="4" w:space="0"/>
              <w:right w:val="single" w:color="auto" w:sz="4" w:space="0"/>
            </w:tcBorders>
            <w:noWrap w:val="0"/>
            <w:vAlign w:val="top"/>
          </w:tcPr>
          <w:p>
            <w:pPr>
              <w:pStyle w:val="432"/>
              <w:spacing w:after="120" w:line="460" w:lineRule="exact"/>
              <w:ind w:left="1890"/>
              <w:rPr>
                <w:rFonts w:ascii="仿宋" w:hAnsi="仿宋" w:eastAsia="仿宋"/>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56" w:after="156" w:line="460" w:lineRule="exact"/>
              <w:ind w:firstLine="639" w:firstLineChars="213"/>
              <w:jc w:val="center"/>
              <w:rPr>
                <w:rFonts w:ascii="仿宋" w:hAnsi="仿宋" w:eastAsia="仿宋"/>
                <w:color w:val="000000"/>
                <w:sz w:val="30"/>
                <w:szCs w:val="30"/>
              </w:rPr>
            </w:pPr>
            <w:r>
              <w:rPr>
                <w:rFonts w:hint="eastAsia" w:ascii="仿宋" w:hAnsi="仿宋" w:eastAsia="仿宋"/>
                <w:color w:val="000000"/>
                <w:sz w:val="30"/>
                <w:szCs w:val="30"/>
              </w:rPr>
              <w:t>合            计</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56" w:after="156" w:line="460" w:lineRule="exact"/>
              <w:ind w:firstLine="639" w:firstLineChars="213"/>
              <w:jc w:val="center"/>
              <w:rPr>
                <w:rFonts w:ascii="仿宋" w:hAnsi="仿宋" w:eastAsia="仿宋"/>
                <w:color w:val="000000"/>
                <w:sz w:val="30"/>
                <w:szCs w:val="30"/>
              </w:rPr>
            </w:pPr>
          </w:p>
        </w:tc>
        <w:tc>
          <w:tcPr>
            <w:tcW w:w="2472" w:type="dxa"/>
            <w:gridSpan w:val="2"/>
            <w:tcBorders>
              <w:top w:val="single" w:color="auto" w:sz="4" w:space="0"/>
              <w:left w:val="single" w:color="auto" w:sz="4" w:space="0"/>
              <w:bottom w:val="single" w:color="auto" w:sz="4" w:space="0"/>
              <w:right w:val="single" w:color="auto" w:sz="4" w:space="0"/>
            </w:tcBorders>
            <w:noWrap w:val="0"/>
            <w:vAlign w:val="top"/>
          </w:tcPr>
          <w:p>
            <w:pPr>
              <w:pStyle w:val="432"/>
              <w:spacing w:after="120" w:line="460" w:lineRule="exact"/>
              <w:ind w:firstLine="639" w:firstLineChars="213"/>
              <w:rPr>
                <w:rFonts w:ascii="仿宋" w:hAnsi="仿宋" w:eastAsia="仿宋"/>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56" w:after="156" w:line="460" w:lineRule="exact"/>
              <w:rPr>
                <w:rFonts w:ascii="仿宋" w:hAnsi="仿宋" w:eastAsia="仿宋"/>
                <w:color w:val="000000"/>
                <w:sz w:val="30"/>
                <w:szCs w:val="30"/>
              </w:rPr>
            </w:pPr>
            <w:r>
              <w:rPr>
                <w:rFonts w:hint="eastAsia" w:ascii="仿宋" w:hAnsi="仿宋" w:eastAsia="仿宋"/>
                <w:color w:val="000000"/>
                <w:sz w:val="30"/>
                <w:szCs w:val="30"/>
              </w:rPr>
              <w:t>合同总价大写：                              小写：￥</w:t>
            </w:r>
          </w:p>
        </w:tc>
      </w:tr>
    </w:tbl>
    <w:p>
      <w:pPr>
        <w:pStyle w:val="31"/>
        <w:snapToGrid w:val="0"/>
        <w:spacing w:before="120" w:beforeLines="0" w:after="156" w:line="460" w:lineRule="exact"/>
        <w:ind w:left="-178" w:leftChars="-85" w:firstLine="639" w:firstLineChars="213"/>
        <w:rPr>
          <w:rFonts w:ascii="仿宋" w:hAnsi="仿宋" w:eastAsia="仿宋"/>
          <w:color w:val="000000"/>
          <w:kern w:val="0"/>
          <w:sz w:val="30"/>
          <w:szCs w:val="30"/>
        </w:rPr>
      </w:pPr>
      <w:r>
        <w:rPr>
          <w:rFonts w:hint="eastAsia" w:ascii="仿宋" w:hAnsi="仿宋" w:eastAsia="仿宋"/>
          <w:color w:val="000000"/>
          <w:sz w:val="30"/>
          <w:szCs w:val="30"/>
        </w:rPr>
        <w:t>注：1.项目具体技术需求及采购人地址等详见招标文件、投标文件以及询标记录。</w:t>
      </w:r>
    </w:p>
    <w:p>
      <w:pPr>
        <w:spacing w:line="460" w:lineRule="exact"/>
        <w:ind w:firstLine="639" w:firstLineChars="213"/>
        <w:rPr>
          <w:rFonts w:ascii="仿宋" w:hAnsi="仿宋" w:eastAsia="仿宋"/>
          <w:color w:val="000000"/>
          <w:sz w:val="30"/>
          <w:szCs w:val="30"/>
        </w:rPr>
      </w:pPr>
      <w:r>
        <w:rPr>
          <w:rFonts w:hint="eastAsia" w:ascii="仿宋" w:hAnsi="仿宋" w:eastAsia="仿宋"/>
          <w:color w:val="000000"/>
          <w:sz w:val="30"/>
          <w:szCs w:val="30"/>
        </w:rPr>
        <w:t>　2.以上合同总价包含项目达到预期使用效果所需的一切费用。</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二、技术资料</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1.乙方应按招标文件规定的时间向甲方提供使用项目的有关技术资料。</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1"/>
        <w:adjustRightInd w:val="0"/>
        <w:snapToGrid w:val="0"/>
        <w:spacing w:before="156" w:after="156" w:line="460" w:lineRule="exact"/>
        <w:ind w:firstLine="596" w:firstLineChars="198"/>
        <w:rPr>
          <w:rFonts w:ascii="仿宋" w:hAnsi="仿宋" w:eastAsia="仿宋"/>
          <w:b/>
          <w:snapToGrid w:val="0"/>
          <w:color w:val="000000"/>
          <w:sz w:val="30"/>
          <w:szCs w:val="30"/>
        </w:rPr>
      </w:pPr>
      <w:r>
        <w:rPr>
          <w:rFonts w:hint="eastAsia" w:ascii="仿宋" w:hAnsi="仿宋" w:eastAsia="仿宋"/>
          <w:b/>
          <w:snapToGrid w:val="0"/>
          <w:color w:val="000000"/>
          <w:sz w:val="30"/>
          <w:szCs w:val="30"/>
        </w:rPr>
        <w:t>三、知识产权</w:t>
      </w:r>
    </w:p>
    <w:p>
      <w:pPr>
        <w:pStyle w:val="31"/>
        <w:adjustRightInd w:val="0"/>
        <w:snapToGrid w:val="0"/>
        <w:spacing w:before="156" w:after="156" w:line="460" w:lineRule="exact"/>
        <w:ind w:firstLine="639" w:firstLineChars="213"/>
        <w:rPr>
          <w:rFonts w:ascii="仿宋" w:hAnsi="仿宋" w:eastAsia="仿宋"/>
          <w:bCs/>
          <w:snapToGrid w:val="0"/>
          <w:color w:val="000000"/>
          <w:sz w:val="30"/>
          <w:szCs w:val="30"/>
        </w:rPr>
      </w:pPr>
      <w:r>
        <w:rPr>
          <w:rFonts w:hint="eastAsia" w:ascii="仿宋" w:hAnsi="仿宋" w:eastAsia="仿宋"/>
          <w:snapToGrid w:val="0"/>
          <w:color w:val="000000"/>
          <w:sz w:val="30"/>
          <w:szCs w:val="30"/>
        </w:rPr>
        <w:t>乙方应保证所提供的货物或其任何一部分均不会侵犯任何第三方的知识产权</w:t>
      </w:r>
      <w:r>
        <w:rPr>
          <w:rFonts w:hint="eastAsia" w:ascii="仿宋" w:hAnsi="仿宋" w:eastAsia="仿宋"/>
          <w:bCs/>
          <w:snapToGrid w:val="0"/>
          <w:color w:val="000000"/>
          <w:sz w:val="30"/>
          <w:szCs w:val="30"/>
        </w:rPr>
        <w:t>。</w:t>
      </w:r>
    </w:p>
    <w:p>
      <w:pPr>
        <w:pStyle w:val="31"/>
        <w:adjustRightInd w:val="0"/>
        <w:snapToGrid w:val="0"/>
        <w:spacing w:before="156" w:after="156" w:line="460" w:lineRule="exact"/>
        <w:ind w:firstLine="596" w:firstLineChars="198"/>
        <w:rPr>
          <w:rFonts w:ascii="仿宋" w:hAnsi="仿宋" w:eastAsia="仿宋"/>
          <w:snapToGrid w:val="0"/>
          <w:color w:val="000000"/>
          <w:sz w:val="30"/>
          <w:szCs w:val="30"/>
          <w:u w:val="single"/>
        </w:rPr>
      </w:pPr>
      <w:r>
        <w:rPr>
          <w:rFonts w:hint="eastAsia" w:ascii="仿宋" w:hAnsi="仿宋" w:eastAsia="仿宋"/>
          <w:b/>
          <w:snapToGrid w:val="0"/>
          <w:color w:val="000000"/>
          <w:sz w:val="30"/>
          <w:szCs w:val="30"/>
        </w:rPr>
        <w:t>四、产权担保</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u w:val="single"/>
        </w:rPr>
      </w:pPr>
      <w:r>
        <w:rPr>
          <w:rFonts w:hint="eastAsia" w:ascii="仿宋" w:hAnsi="仿宋" w:eastAsia="仿宋"/>
          <w:snapToGrid w:val="0"/>
          <w:color w:val="000000"/>
          <w:sz w:val="30"/>
          <w:szCs w:val="30"/>
        </w:rPr>
        <w:t>乙方保证所交付的货物的所有权完全属于乙方且无任何抵押、查封等产权瑕疵。</w:t>
      </w:r>
    </w:p>
    <w:p>
      <w:pPr>
        <w:pStyle w:val="31"/>
        <w:adjustRightInd w:val="0"/>
        <w:snapToGrid w:val="0"/>
        <w:spacing w:before="156" w:after="156" w:line="460" w:lineRule="exact"/>
        <w:ind w:firstLine="596" w:firstLineChars="198"/>
        <w:rPr>
          <w:rFonts w:ascii="仿宋" w:hAnsi="仿宋" w:eastAsia="仿宋"/>
          <w:b/>
          <w:snapToGrid w:val="0"/>
          <w:color w:val="000000"/>
          <w:sz w:val="30"/>
          <w:szCs w:val="30"/>
        </w:rPr>
      </w:pPr>
      <w:r>
        <w:rPr>
          <w:rFonts w:hint="eastAsia" w:ascii="仿宋" w:hAnsi="仿宋" w:eastAsia="仿宋"/>
          <w:b/>
          <w:snapToGrid w:val="0"/>
          <w:color w:val="000000"/>
          <w:sz w:val="30"/>
          <w:szCs w:val="30"/>
        </w:rPr>
        <w:t>五、转包或分包</w:t>
      </w:r>
    </w:p>
    <w:p>
      <w:pPr>
        <w:adjustRightInd w:val="0"/>
        <w:snapToGrid w:val="0"/>
        <w:spacing w:before="156" w:beforeLines="50" w:after="156" w:afterLines="50" w:line="460" w:lineRule="exact"/>
        <w:ind w:firstLine="639" w:firstLineChars="213"/>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不允许转包。</w:t>
      </w:r>
    </w:p>
    <w:p>
      <w:pPr>
        <w:adjustRightInd w:val="0"/>
        <w:snapToGrid w:val="0"/>
        <w:spacing w:before="156" w:beforeLines="50" w:after="156" w:afterLines="50" w:line="460" w:lineRule="exact"/>
        <w:ind w:firstLine="639" w:firstLineChars="213"/>
        <w:rPr>
          <w:rFonts w:ascii="仿宋" w:hAnsi="仿宋" w:eastAsia="仿宋"/>
          <w:snapToGrid w:val="0"/>
          <w:color w:val="000000"/>
          <w:kern w:val="0"/>
          <w:sz w:val="30"/>
          <w:szCs w:val="30"/>
          <w:u w:val="single"/>
        </w:rPr>
      </w:pPr>
      <w:r>
        <w:rPr>
          <w:rFonts w:hint="eastAsia" w:ascii="仿宋" w:hAnsi="仿宋" w:eastAsia="仿宋"/>
          <w:snapToGrid w:val="0"/>
          <w:color w:val="000000"/>
          <w:kern w:val="0"/>
          <w:sz w:val="30"/>
          <w:szCs w:val="30"/>
        </w:rPr>
        <w:t>允许分包部分</w:t>
      </w:r>
      <w:r>
        <w:rPr>
          <w:rFonts w:hint="eastAsia" w:ascii="仿宋" w:hAnsi="仿宋" w:eastAsia="仿宋"/>
          <w:snapToGrid w:val="0"/>
          <w:color w:val="000000"/>
          <w:kern w:val="0"/>
          <w:sz w:val="30"/>
          <w:szCs w:val="30"/>
          <w:u w:val="single"/>
        </w:rPr>
        <w:t xml:space="preserve">               。</w:t>
      </w:r>
    </w:p>
    <w:p>
      <w:pPr>
        <w:adjustRightInd w:val="0"/>
        <w:snapToGrid w:val="0"/>
        <w:spacing w:before="156" w:beforeLines="50" w:after="156" w:afterLines="50" w:line="460" w:lineRule="exact"/>
        <w:ind w:firstLine="600" w:firstLineChars="200"/>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如乙方将项目转包或将不允许分包部分就行了分包，甲方有权解除合同，没收履约保证金并追究乙方的违约责任。</w:t>
      </w:r>
    </w:p>
    <w:p>
      <w:pPr>
        <w:pStyle w:val="31"/>
        <w:adjustRightInd w:val="0"/>
        <w:snapToGrid w:val="0"/>
        <w:spacing w:before="156" w:after="156" w:line="460" w:lineRule="exact"/>
        <w:ind w:firstLine="641" w:firstLineChars="213"/>
        <w:rPr>
          <w:rFonts w:ascii="仿宋" w:hAnsi="仿宋" w:eastAsia="仿宋"/>
          <w:snapToGrid w:val="0"/>
          <w:color w:val="000000"/>
          <w:kern w:val="0"/>
          <w:sz w:val="30"/>
          <w:szCs w:val="30"/>
        </w:rPr>
      </w:pPr>
      <w:r>
        <w:rPr>
          <w:rFonts w:hint="eastAsia" w:ascii="仿宋" w:hAnsi="仿宋" w:eastAsia="仿宋"/>
          <w:b/>
          <w:snapToGrid w:val="0"/>
          <w:color w:val="000000"/>
          <w:sz w:val="30"/>
          <w:szCs w:val="30"/>
        </w:rPr>
        <w:t>六、质保期和履约保证金</w:t>
      </w:r>
    </w:p>
    <w:p>
      <w:pPr>
        <w:pStyle w:val="31"/>
        <w:adjustRightInd w:val="0"/>
        <w:snapToGrid w:val="0"/>
        <w:spacing w:before="156" w:after="156" w:line="460" w:lineRule="exact"/>
        <w:ind w:firstLine="600" w:firstLineChars="200"/>
        <w:jc w:val="left"/>
        <w:rPr>
          <w:rFonts w:ascii="仿宋" w:hAnsi="仿宋" w:eastAsia="仿宋"/>
          <w:snapToGrid w:val="0"/>
          <w:color w:val="000000"/>
          <w:sz w:val="30"/>
          <w:szCs w:val="30"/>
        </w:rPr>
      </w:pPr>
      <w:r>
        <w:rPr>
          <w:rFonts w:hint="eastAsia" w:ascii="仿宋" w:hAnsi="仿宋" w:eastAsia="仿宋"/>
          <w:snapToGrid w:val="0"/>
          <w:color w:val="000000"/>
          <w:sz w:val="30"/>
          <w:szCs w:val="30"/>
        </w:rPr>
        <w:t>1.质保期年。（自项目验收合格交付使用之日起计）</w:t>
      </w:r>
    </w:p>
    <w:p>
      <w:pPr>
        <w:pStyle w:val="31"/>
        <w:adjustRightInd w:val="0"/>
        <w:snapToGrid w:val="0"/>
        <w:spacing w:before="156" w:after="156" w:line="460" w:lineRule="exact"/>
        <w:ind w:firstLine="600" w:firstLineChars="200"/>
        <w:rPr>
          <w:rFonts w:ascii="仿宋" w:hAnsi="仿宋" w:eastAsia="仿宋"/>
          <w:snapToGrid w:val="0"/>
          <w:color w:val="000000"/>
          <w:sz w:val="30"/>
          <w:szCs w:val="30"/>
        </w:rPr>
      </w:pPr>
      <w:r>
        <w:rPr>
          <w:rFonts w:hint="eastAsia" w:ascii="仿宋" w:hAnsi="仿宋" w:eastAsia="仿宋"/>
          <w:snapToGrid w:val="0"/>
          <w:color w:val="000000"/>
          <w:sz w:val="30"/>
          <w:szCs w:val="30"/>
        </w:rPr>
        <w:t>2.履约保证金（   ）元。[履约保证金交至采购人处，在合同约定交货验收合格满（   ）个月之日起5个工作日内无息退还]</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七、项目工期及实施地点</w:t>
      </w:r>
    </w:p>
    <w:p>
      <w:pPr>
        <w:pStyle w:val="31"/>
        <w:adjustRightInd w:val="0"/>
        <w:snapToGrid w:val="0"/>
        <w:spacing w:before="156" w:after="156" w:line="460" w:lineRule="exact"/>
        <w:ind w:firstLine="639" w:firstLineChars="213"/>
        <w:rPr>
          <w:rFonts w:ascii="仿宋" w:hAnsi="仿宋" w:eastAsia="仿宋"/>
          <w:bCs/>
          <w:snapToGrid w:val="0"/>
          <w:color w:val="000000"/>
          <w:sz w:val="30"/>
          <w:szCs w:val="30"/>
        </w:rPr>
      </w:pPr>
      <w:r>
        <w:rPr>
          <w:rFonts w:hint="eastAsia" w:ascii="仿宋" w:hAnsi="仿宋" w:eastAsia="仿宋"/>
          <w:bCs/>
          <w:snapToGrid w:val="0"/>
          <w:color w:val="000000"/>
          <w:sz w:val="30"/>
          <w:szCs w:val="30"/>
        </w:rPr>
        <w:t>1.交货期：</w:t>
      </w:r>
    </w:p>
    <w:p>
      <w:pPr>
        <w:pStyle w:val="31"/>
        <w:adjustRightInd w:val="0"/>
        <w:snapToGrid w:val="0"/>
        <w:spacing w:before="156" w:after="156" w:line="460" w:lineRule="exact"/>
        <w:ind w:firstLine="639" w:firstLineChars="213"/>
        <w:rPr>
          <w:rFonts w:ascii="仿宋" w:hAnsi="仿宋" w:eastAsia="仿宋"/>
          <w:b/>
          <w:snapToGrid w:val="0"/>
          <w:color w:val="000000"/>
          <w:sz w:val="30"/>
          <w:szCs w:val="30"/>
        </w:rPr>
      </w:pPr>
      <w:r>
        <w:rPr>
          <w:rFonts w:hint="eastAsia" w:ascii="仿宋" w:hAnsi="仿宋" w:eastAsia="仿宋"/>
          <w:bCs/>
          <w:snapToGrid w:val="0"/>
          <w:color w:val="000000"/>
          <w:sz w:val="30"/>
          <w:szCs w:val="30"/>
        </w:rPr>
        <w:t>2.实施地点：</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八、货款支付</w:t>
      </w:r>
    </w:p>
    <w:p>
      <w:pPr>
        <w:spacing w:line="360" w:lineRule="auto"/>
        <w:rPr>
          <w:rFonts w:ascii="仿宋" w:hAnsi="仿宋" w:eastAsia="仿宋"/>
          <w:bCs/>
          <w:snapToGrid w:val="0"/>
          <w:color w:val="000000"/>
          <w:sz w:val="30"/>
          <w:szCs w:val="30"/>
        </w:rPr>
      </w:pPr>
      <w:r>
        <w:rPr>
          <w:rFonts w:hint="eastAsia" w:ascii="仿宋" w:hAnsi="仿宋" w:eastAsia="仿宋"/>
          <w:bCs/>
          <w:snapToGrid w:val="0"/>
          <w:color w:val="000000"/>
          <w:sz w:val="30"/>
          <w:szCs w:val="30"/>
        </w:rPr>
        <w:t xml:space="preserve"> 付款方式：（根据采购文件“第四部分商务要求表付款条件”内容填写）</w:t>
      </w:r>
    </w:p>
    <w:p>
      <w:pPr>
        <w:adjustRightInd w:val="0"/>
        <w:snapToGrid w:val="0"/>
        <w:spacing w:before="156" w:beforeLines="50" w:after="156" w:afterLines="50" w:line="460" w:lineRule="exact"/>
        <w:ind w:firstLine="641" w:firstLineChars="213"/>
        <w:rPr>
          <w:rFonts w:ascii="仿宋" w:hAnsi="仿宋" w:eastAsia="仿宋"/>
          <w:b/>
          <w:snapToGrid w:val="0"/>
          <w:color w:val="000000"/>
          <w:kern w:val="0"/>
          <w:sz w:val="30"/>
          <w:szCs w:val="30"/>
        </w:rPr>
      </w:pPr>
      <w:r>
        <w:rPr>
          <w:rFonts w:hint="eastAsia" w:ascii="仿宋" w:hAnsi="仿宋" w:eastAsia="仿宋"/>
          <w:b/>
          <w:snapToGrid w:val="0"/>
          <w:color w:val="000000"/>
          <w:kern w:val="0"/>
          <w:sz w:val="30"/>
          <w:szCs w:val="30"/>
        </w:rPr>
        <w:t>九、税费</w:t>
      </w:r>
    </w:p>
    <w:p>
      <w:pPr>
        <w:adjustRightInd w:val="0"/>
        <w:snapToGrid w:val="0"/>
        <w:spacing w:before="156" w:beforeLines="50" w:after="156" w:afterLines="50" w:line="460" w:lineRule="exact"/>
        <w:ind w:firstLine="639" w:firstLineChars="213"/>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本合同执行中相关的一切税费均由乙方负担。</w:t>
      </w:r>
    </w:p>
    <w:p>
      <w:pPr>
        <w:pStyle w:val="31"/>
        <w:adjustRightInd w:val="0"/>
        <w:snapToGrid w:val="0"/>
        <w:spacing w:before="156" w:after="156" w:line="460" w:lineRule="exact"/>
        <w:ind w:firstLine="596" w:firstLineChars="198"/>
        <w:rPr>
          <w:rFonts w:ascii="仿宋" w:hAnsi="仿宋" w:eastAsia="仿宋"/>
          <w:snapToGrid w:val="0"/>
          <w:color w:val="000000"/>
          <w:kern w:val="0"/>
          <w:sz w:val="30"/>
          <w:szCs w:val="30"/>
        </w:rPr>
      </w:pPr>
      <w:r>
        <w:rPr>
          <w:rFonts w:hint="eastAsia" w:ascii="仿宋" w:hAnsi="仿宋" w:eastAsia="仿宋"/>
          <w:b/>
          <w:snapToGrid w:val="0"/>
          <w:color w:val="000000"/>
          <w:sz w:val="30"/>
          <w:szCs w:val="30"/>
        </w:rPr>
        <w:t>十、质量保证及售后服务</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详见招标文件。</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十一、调试和验收</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详见招标文件、投标文件。</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十二、货物包装</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详见招标文件、投标文件。</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十三、违约责任</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1.甲方无正当理由拒收验收项目的，甲方向乙方偿付拒收合同总价的百分之五违约金。</w:t>
      </w:r>
    </w:p>
    <w:p>
      <w:pPr>
        <w:pStyle w:val="31"/>
        <w:adjustRightInd w:val="0"/>
        <w:snapToGrid w:val="0"/>
        <w:spacing w:before="156" w:after="156" w:line="460" w:lineRule="exact"/>
        <w:ind w:left="1"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2. 甲方收到乙方提供的发票，结合验收情况，验收合格的，在15日内将采购资金支付到乙方约定账户。</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甲方无故逾期验收和办理合同款项支付手续的,甲方应按逾期付款总额每日万分之五向乙方支付违约金。</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5.解除合同应按《浙江省政府采购合同暂行办法》向财政备案。</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十四、不可抗力事件处理</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1.在合同有效期内，任何一方因不可抗力事件导致不能履行合同，则合同履行期可延长，其延长期与不可抗力影响期相同。</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2.不可抗力事件发生后，应立即通知对方，并寄送有关权威机构出具的证明。</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3.不可抗力事件延续120天以上，双方应通过友好协商，确定是否继续履行合同。</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十五、诉讼</w:t>
      </w:r>
    </w:p>
    <w:p>
      <w:pPr>
        <w:pStyle w:val="31"/>
        <w:adjustRightInd w:val="0"/>
        <w:snapToGrid w:val="0"/>
        <w:spacing w:before="156" w:after="156" w:line="460" w:lineRule="exact"/>
        <w:ind w:left="2"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双方在执行合同中所发生的一切争议，应通过协商解决。如协商不成，可向甲方所在地法院起诉。</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十六、合同生效及其它</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1.合同经甲、乙两方签名并加盖单位公章后生效。</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2.合同执行中涉及采购资金和采购内容修改或补充的，须双方经财政部门审批，并签书面补充协议，经报政府采购监督管理部门备案后，方可作为主合同不可分割的一部分。</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3.招标文件、投标文件与本合同具有同等法律效力。</w:t>
      </w:r>
    </w:p>
    <w:p>
      <w:pPr>
        <w:pStyle w:val="31"/>
        <w:adjustRightInd w:val="0"/>
        <w:snapToGrid w:val="0"/>
        <w:spacing w:before="156" w:after="156" w:line="460" w:lineRule="exact"/>
        <w:ind w:firstLine="599" w:firstLineChars="213"/>
        <w:rPr>
          <w:rFonts w:ascii="仿宋" w:hAnsi="仿宋" w:eastAsia="仿宋"/>
          <w:snapToGrid w:val="0"/>
          <w:color w:val="000000"/>
          <w:sz w:val="30"/>
          <w:szCs w:val="30"/>
        </w:rPr>
      </w:pPr>
      <w:r>
        <w:rPr>
          <w:rFonts w:hint="eastAsia" w:ascii="仿宋" w:hAnsi="仿宋" w:eastAsia="仿宋"/>
          <w:b/>
          <w:color w:val="000000"/>
          <w:sz w:val="28"/>
          <w:szCs w:val="28"/>
        </w:rP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adjustRightInd w:val="0"/>
        <w:snapToGrid w:val="0"/>
        <w:spacing w:before="156" w:after="156" w:line="460" w:lineRule="exact"/>
        <w:ind w:firstLine="600" w:firstLineChars="200"/>
        <w:rPr>
          <w:rFonts w:ascii="仿宋" w:hAnsi="仿宋" w:eastAsia="仿宋"/>
          <w:snapToGrid w:val="0"/>
          <w:color w:val="000000"/>
          <w:sz w:val="30"/>
          <w:szCs w:val="30"/>
        </w:rPr>
      </w:pPr>
      <w:r>
        <w:rPr>
          <w:rFonts w:hint="eastAsia" w:ascii="仿宋" w:hAnsi="仿宋" w:eastAsia="仿宋"/>
          <w:snapToGrid w:val="0"/>
          <w:color w:val="000000"/>
          <w:sz w:val="30"/>
          <w:szCs w:val="30"/>
        </w:rPr>
        <w:t>5.本合同未尽事宜，遵照《中华人民共和国民法典》有关条文执行。</w:t>
      </w:r>
    </w:p>
    <w:p>
      <w:pPr>
        <w:pStyle w:val="31"/>
        <w:adjustRightInd w:val="0"/>
        <w:snapToGrid w:val="0"/>
        <w:spacing w:before="120" w:beforeLines="0" w:after="156" w:line="460" w:lineRule="exact"/>
        <w:ind w:left="2" w:leftChars="1" w:firstLine="600" w:firstLineChars="200"/>
        <w:rPr>
          <w:rFonts w:ascii="仿宋" w:hAnsi="仿宋" w:eastAsia="仿宋"/>
          <w:snapToGrid w:val="0"/>
          <w:color w:val="000000"/>
          <w:sz w:val="30"/>
          <w:szCs w:val="30"/>
        </w:rPr>
      </w:pPr>
      <w:r>
        <w:rPr>
          <w:rFonts w:hint="eastAsia" w:ascii="仿宋" w:hAnsi="仿宋" w:eastAsia="仿宋"/>
          <w:snapToGrid w:val="0"/>
          <w:color w:val="000000"/>
          <w:sz w:val="30"/>
          <w:szCs w:val="30"/>
        </w:rPr>
        <w:t>6.本合同一式四份，具有同等法律效力，甲、乙两方各执二份。</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甲方（盖章）：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地址：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法定（授权）代表人：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签名日期：     年   月   日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乙方（盖章）：</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地址：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开户行：</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开户帐号：</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法定（授权）代表人：</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签名日期：      年   月   日</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p>
    <w:p>
      <w:pPr>
        <w:rPr>
          <w:color w:val="000000"/>
          <w:szCs w:val="30"/>
        </w:rPr>
      </w:pPr>
    </w:p>
    <w:p>
      <w:pPr>
        <w:pStyle w:val="31"/>
        <w:spacing w:before="156" w:after="156" w:line="360" w:lineRule="auto"/>
        <w:jc w:val="center"/>
        <w:outlineLvl w:val="0"/>
        <w:rPr>
          <w:rFonts w:hAnsi="宋体"/>
          <w:b/>
          <w:color w:val="000000"/>
          <w:sz w:val="36"/>
          <w:szCs w:val="36"/>
        </w:rPr>
      </w:pPr>
      <w:r>
        <w:rPr>
          <w:rFonts w:hint="eastAsia" w:ascii="仿宋_GB2312" w:eastAsia="仿宋_GB2312"/>
          <w:snapToGrid w:val="0"/>
          <w:color w:val="000000"/>
          <w:kern w:val="0"/>
          <w:sz w:val="30"/>
          <w:szCs w:val="30"/>
        </w:rPr>
        <w:br w:type="page"/>
      </w:r>
      <w:bookmarkStart w:id="34" w:name="_Toc22013"/>
      <w:r>
        <w:rPr>
          <w:rFonts w:hint="eastAsia" w:hAnsi="宋体"/>
          <w:b/>
          <w:color w:val="000000"/>
          <w:sz w:val="36"/>
          <w:szCs w:val="36"/>
        </w:rPr>
        <w:t>第六章投标文件格式附件</w:t>
      </w:r>
      <w:bookmarkEnd w:id="34"/>
    </w:p>
    <w:p>
      <w:pPr>
        <w:pStyle w:val="31"/>
        <w:spacing w:before="156" w:after="156" w:line="360" w:lineRule="auto"/>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rPr>
          <w:rFonts w:hAnsi="宋体" w:eastAsia="仿宋_GB2312"/>
          <w:b/>
          <w:color w:val="000000"/>
          <w:sz w:val="36"/>
          <w:szCs w:val="36"/>
        </w:rPr>
      </w:pPr>
    </w:p>
    <w:p>
      <w:pPr>
        <w:snapToGrid w:val="0"/>
        <w:spacing w:before="156" w:beforeLines="50" w:after="50"/>
        <w:rPr>
          <w:rFonts w:ascii="仿宋" w:hAnsi="仿宋" w:eastAsia="仿宋"/>
          <w:bCs/>
          <w:color w:val="000000"/>
          <w:sz w:val="30"/>
          <w:szCs w:val="30"/>
        </w:rPr>
      </w:pPr>
      <w:r>
        <w:rPr>
          <w:rFonts w:hint="eastAsia" w:ascii="仿宋" w:hAnsi="仿宋" w:eastAsia="仿宋"/>
          <w:color w:val="000000"/>
          <w:sz w:val="30"/>
          <w:szCs w:val="30"/>
        </w:rPr>
        <w:t>附件1</w:t>
      </w:r>
      <w:r>
        <w:rPr>
          <w:rFonts w:hint="eastAsia" w:ascii="仿宋" w:hAnsi="仿宋" w:eastAsia="仿宋"/>
          <w:b/>
          <w:color w:val="000000"/>
          <w:sz w:val="30"/>
          <w:szCs w:val="30"/>
        </w:rPr>
        <w:t xml:space="preserve">：                                          </w:t>
      </w:r>
    </w:p>
    <w:p>
      <w:pPr>
        <w:spacing w:before="312" w:beforeLines="100" w:line="240" w:lineRule="atLeast"/>
        <w:jc w:val="center"/>
        <w:rPr>
          <w:rFonts w:hint="eastAsia" w:ascii="仿宋" w:hAnsi="仿宋" w:eastAsia="仿宋"/>
          <w:color w:val="000000"/>
          <w:sz w:val="36"/>
          <w:szCs w:val="36"/>
        </w:rPr>
      </w:pPr>
      <w:bookmarkStart w:id="35" w:name="PO_1000000445_PM002_2"/>
      <w:r>
        <w:rPr>
          <w:rFonts w:hint="eastAsia" w:ascii="仿宋" w:hAnsi="仿宋" w:eastAsia="仿宋"/>
          <w:b/>
          <w:color w:val="000000"/>
          <w:spacing w:val="40"/>
          <w:sz w:val="52"/>
          <w:szCs w:val="52"/>
        </w:rPr>
        <w:t>浙江财经大学经管实验中心实验室建设四期项目</w:t>
      </w:r>
      <w:bookmarkEnd w:id="35"/>
    </w:p>
    <w:p>
      <w:pPr>
        <w:spacing w:before="312"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36" w:name="PO_15528_PM001_2"/>
      <w:r>
        <w:rPr>
          <w:rFonts w:hint="eastAsia" w:ascii="仿宋" w:hAnsi="仿宋" w:eastAsia="仿宋"/>
          <w:color w:val="000000"/>
          <w:sz w:val="36"/>
          <w:szCs w:val="36"/>
        </w:rPr>
        <w:t>ZZCG2024H-GK-102</w:t>
      </w:r>
      <w:bookmarkEnd w:id="36"/>
      <w:r>
        <w:rPr>
          <w:rFonts w:hint="eastAsia" w:ascii="仿宋" w:hAnsi="仿宋" w:eastAsia="仿宋"/>
          <w:color w:val="000000"/>
          <w:sz w:val="36"/>
          <w:szCs w:val="36"/>
        </w:rPr>
        <w:t>（标项  ）</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资</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格</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color w:val="000000"/>
          <w:sz w:val="36"/>
          <w:szCs w:val="36"/>
        </w:rPr>
      </w:pPr>
      <w:r>
        <w:rPr>
          <w:rFonts w:hint="eastAsia" w:ascii="仿宋" w:hAnsi="仿宋" w:eastAsia="仿宋"/>
          <w:b/>
          <w:color w:val="000000"/>
          <w:spacing w:val="40"/>
          <w:sz w:val="84"/>
          <w:szCs w:val="84"/>
        </w:rPr>
        <w:t>件</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b/>
          <w:bCs/>
          <w:sz w:val="36"/>
          <w:szCs w:val="36"/>
        </w:rPr>
      </w:pPr>
      <w:r>
        <w:rPr>
          <w:rFonts w:hint="eastAsia" w:ascii="仿宋" w:hAnsi="仿宋" w:eastAsia="仿宋"/>
          <w:b/>
          <w:color w:val="000000"/>
          <w:kern w:val="0"/>
          <w:sz w:val="36"/>
          <w:szCs w:val="36"/>
        </w:rPr>
        <w:br w:type="page"/>
      </w:r>
      <w:r>
        <w:rPr>
          <w:rFonts w:hint="eastAsia" w:ascii="仿宋" w:hAnsi="仿宋" w:eastAsia="仿宋"/>
          <w:b/>
          <w:sz w:val="36"/>
          <w:szCs w:val="36"/>
        </w:rPr>
        <w:t>1、</w:t>
      </w:r>
      <w:r>
        <w:rPr>
          <w:rFonts w:hint="eastAsia" w:ascii="仿宋" w:hAnsi="仿宋" w:eastAsia="仿宋"/>
          <w:b/>
          <w:bCs/>
          <w:sz w:val="36"/>
          <w:szCs w:val="36"/>
        </w:rPr>
        <w:t>资格文件目录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（1）声明书 (格式见附件2)；</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（2）法定代表人授权委托书(以非联合体形式投标的提供，格式见附件3</w:t>
      </w:r>
      <w:r>
        <w:rPr>
          <w:rFonts w:ascii="仿宋" w:hAnsi="仿宋" w:eastAsia="仿宋"/>
          <w:sz w:val="30"/>
          <w:szCs w:val="30"/>
        </w:rPr>
        <w:t>-1</w:t>
      </w:r>
      <w:r>
        <w:rPr>
          <w:rFonts w:hint="eastAsia" w:ascii="仿宋" w:hAnsi="仿宋" w:eastAsia="仿宋"/>
          <w:sz w:val="30"/>
          <w:szCs w:val="30"/>
        </w:rPr>
        <w:t>)或法定代表人身份证明（法定代表人代表投标人投标的提供，格式见附件3</w:t>
      </w:r>
      <w:r>
        <w:rPr>
          <w:rFonts w:ascii="仿宋" w:hAnsi="仿宋" w:eastAsia="仿宋"/>
          <w:sz w:val="30"/>
          <w:szCs w:val="30"/>
        </w:rPr>
        <w:t>-2</w:t>
      </w:r>
      <w:r>
        <w:rPr>
          <w:rFonts w:hint="eastAsia" w:ascii="仿宋" w:hAnsi="仿宋" w:eastAsia="仿宋"/>
          <w:sz w:val="30"/>
          <w:szCs w:val="30"/>
        </w:rPr>
        <w:t>）或联合投标授权委托书（以联合体形式投标的提供，格式见附件</w:t>
      </w:r>
      <w:r>
        <w:rPr>
          <w:rFonts w:ascii="仿宋" w:hAnsi="仿宋" w:eastAsia="仿宋"/>
          <w:sz w:val="30"/>
          <w:szCs w:val="30"/>
        </w:rPr>
        <w:t>5</w:t>
      </w:r>
      <w:r>
        <w:rPr>
          <w:rFonts w:hint="eastAsia" w:ascii="仿宋" w:hAnsi="仿宋" w:eastAsia="仿宋"/>
          <w:sz w:val="30"/>
          <w:szCs w:val="30"/>
        </w:rPr>
        <w:t>）；</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（4）联合投标协议书（以联合体形式投标的须提供，格式见附件4）;</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5</w:t>
      </w:r>
      <w:r>
        <w:rPr>
          <w:rFonts w:hint="eastAsia" w:ascii="仿宋" w:hAnsi="仿宋" w:eastAsia="仿宋"/>
          <w:sz w:val="30"/>
          <w:szCs w:val="30"/>
        </w:rPr>
        <w:t>）分包意向协议（以分包方式履行合同的须提供，格式见附件6）</w:t>
      </w:r>
    </w:p>
    <w:p>
      <w:pPr>
        <w:snapToGrid w:val="0"/>
        <w:spacing w:line="460" w:lineRule="exact"/>
        <w:ind w:firstLine="588" w:firstLineChars="196"/>
        <w:jc w:val="left"/>
        <w:rPr>
          <w:rFonts w:ascii="仿宋" w:hAnsi="仿宋" w:eastAsia="仿宋"/>
        </w:rPr>
      </w:pPr>
      <w:r>
        <w:rPr>
          <w:rFonts w:hint="eastAsia" w:ascii="仿宋" w:hAnsi="仿宋" w:eastAsia="仿宋"/>
          <w:sz w:val="30"/>
          <w:szCs w:val="30"/>
        </w:rPr>
        <w:t>（</w:t>
      </w:r>
      <w:r>
        <w:rPr>
          <w:rFonts w:ascii="仿宋" w:hAnsi="仿宋" w:eastAsia="仿宋"/>
          <w:sz w:val="30"/>
          <w:szCs w:val="30"/>
        </w:rPr>
        <w:t>6</w:t>
      </w:r>
      <w:r>
        <w:rPr>
          <w:rFonts w:hint="eastAsia" w:ascii="仿宋" w:hAnsi="仿宋" w:eastAsia="仿宋"/>
          <w:sz w:val="30"/>
          <w:szCs w:val="30"/>
        </w:rPr>
        <w:t>）中小企业声明函（若需要，格式见附件7）；</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7</w:t>
      </w:r>
      <w:r>
        <w:rPr>
          <w:rFonts w:hint="eastAsia" w:ascii="仿宋" w:hAnsi="仿宋" w:eastAsia="仿宋"/>
          <w:sz w:val="30"/>
          <w:szCs w:val="30"/>
        </w:rPr>
        <w:t>）残疾人福利企业声明函（若需要，格式见附件8）；</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8</w:t>
      </w:r>
      <w:r>
        <w:rPr>
          <w:rFonts w:hint="eastAsia" w:ascii="仿宋" w:hAnsi="仿宋" w:eastAsia="仿宋"/>
          <w:sz w:val="30"/>
          <w:szCs w:val="30"/>
        </w:rPr>
        <w:t>）</w:t>
      </w:r>
      <w:r>
        <w:rPr>
          <w:rFonts w:hint="eastAsia" w:ascii="仿宋" w:hAnsi="仿宋" w:eastAsia="仿宋"/>
          <w:bCs/>
          <w:sz w:val="30"/>
          <w:szCs w:val="30"/>
        </w:rPr>
        <w:t>监狱企业证明文件</w:t>
      </w:r>
      <w:r>
        <w:rPr>
          <w:rFonts w:hint="eastAsia" w:ascii="仿宋" w:hAnsi="仿宋" w:eastAsia="仿宋"/>
          <w:sz w:val="30"/>
          <w:szCs w:val="30"/>
        </w:rPr>
        <w:t>（若需要）；</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9</w:t>
      </w:r>
      <w:r>
        <w:rPr>
          <w:rFonts w:hint="eastAsia" w:ascii="仿宋" w:hAnsi="仿宋" w:eastAsia="仿宋"/>
          <w:sz w:val="30"/>
          <w:szCs w:val="30"/>
        </w:rPr>
        <w:t>）提供采购公告中符合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4"/>
        <w:snapToGrid w:val="0"/>
        <w:spacing w:after="120"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widowControl/>
        <w:jc w:val="left"/>
        <w:rPr>
          <w:rFonts w:ascii="仿宋" w:hAnsi="仿宋" w:eastAsia="仿宋"/>
          <w:bCs/>
          <w:sz w:val="28"/>
          <w:szCs w:val="28"/>
        </w:rPr>
      </w:pPr>
      <w:r>
        <w:rPr>
          <w:rFonts w:ascii="仿宋" w:hAnsi="仿宋" w:eastAsia="仿宋"/>
          <w:bCs/>
          <w:sz w:val="28"/>
          <w:szCs w:val="28"/>
        </w:rPr>
        <w:br w:type="page"/>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▲投标人须知（九）投标无效的情形中“1.投标人未能提供合格的资格文件”包括但不限于下列情形：</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1</w:t>
      </w:r>
      <w:r>
        <w:rPr>
          <w:rFonts w:ascii="仿宋" w:hAnsi="仿宋" w:eastAsia="仿宋"/>
          <w:b/>
          <w:bCs/>
          <w:sz w:val="30"/>
          <w:szCs w:val="30"/>
        </w:rPr>
        <w:t>.</w:t>
      </w:r>
      <w:r>
        <w:rPr>
          <w:rFonts w:hint="eastAsia" w:ascii="仿宋" w:hAnsi="仿宋" w:eastAsia="仿宋"/>
          <w:b/>
          <w:bCs/>
          <w:sz w:val="30"/>
          <w:szCs w:val="30"/>
        </w:rPr>
        <w:t>声明书：</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w:t>
      </w:r>
      <w:r>
        <w:rPr>
          <w:rFonts w:hint="eastAsia" w:ascii="仿宋" w:hAnsi="仿宋" w:eastAsia="仿宋"/>
          <w:bCs/>
          <w:sz w:val="30"/>
          <w:szCs w:val="30"/>
        </w:rPr>
        <w:t>未提供声明书或声明书未盖投标人公章；</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联合体形式投标的，未分别提供联合体各方声明书</w:t>
      </w:r>
      <w:r>
        <w:rPr>
          <w:rFonts w:hint="eastAsia" w:ascii="仿宋" w:hAnsi="仿宋" w:eastAsia="仿宋"/>
          <w:bCs/>
          <w:sz w:val="30"/>
          <w:szCs w:val="30"/>
        </w:rPr>
        <w:t>或声明书未盖投标人公章</w:t>
      </w:r>
      <w:r>
        <w:rPr>
          <w:rFonts w:hint="eastAsia" w:ascii="仿宋" w:hAnsi="仿宋" w:eastAsia="仿宋"/>
          <w:sz w:val="30"/>
          <w:szCs w:val="30"/>
        </w:rPr>
        <w:t>；</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2.</w:t>
      </w:r>
      <w:r>
        <w:rPr>
          <w:rFonts w:hint="eastAsia" w:ascii="仿宋" w:hAnsi="仿宋" w:eastAsia="仿宋"/>
          <w:b/>
          <w:sz w:val="30"/>
          <w:szCs w:val="30"/>
        </w:rPr>
        <w:t>法定代表人授权书或法定代表人身份证明或联合投标授权委托书：</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以非联合体形式投标的，未提供法定代表人授权委托书或委托书</w:t>
      </w:r>
      <w:r>
        <w:rPr>
          <w:rFonts w:hint="eastAsia" w:ascii="仿宋" w:hAnsi="仿宋" w:eastAsia="仿宋"/>
          <w:bCs/>
          <w:sz w:val="30"/>
          <w:szCs w:val="30"/>
        </w:rPr>
        <w:t>无法定代表人签章或未盖投标人公章；</w:t>
      </w:r>
      <w:r>
        <w:rPr>
          <w:rFonts w:hint="eastAsia" w:ascii="仿宋" w:hAnsi="仿宋" w:eastAsia="仿宋"/>
          <w:sz w:val="30"/>
          <w:szCs w:val="30"/>
        </w:rPr>
        <w:t>法定代表人代表投标人投标的，</w:t>
      </w:r>
      <w:r>
        <w:rPr>
          <w:rFonts w:hint="eastAsia" w:ascii="仿宋" w:hAnsi="仿宋" w:eastAsia="仿宋"/>
          <w:bCs/>
          <w:sz w:val="30"/>
          <w:szCs w:val="30"/>
        </w:rPr>
        <w:t>未提供身份证或身份证不在有效期内或未签章；</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联合体形式投标的，未提供联合投标授权委托书或委托书</w:t>
      </w:r>
      <w:r>
        <w:rPr>
          <w:rFonts w:hint="eastAsia" w:ascii="仿宋" w:hAnsi="仿宋" w:eastAsia="仿宋"/>
          <w:bCs/>
          <w:sz w:val="30"/>
          <w:szCs w:val="30"/>
        </w:rPr>
        <w:t>无联合体各方法定代表人签章或未盖联合体各方公章；</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3</w:t>
      </w:r>
      <w:r>
        <w:rPr>
          <w:rFonts w:ascii="仿宋" w:hAnsi="仿宋" w:eastAsia="仿宋"/>
          <w:b/>
          <w:bCs/>
          <w:sz w:val="30"/>
          <w:szCs w:val="30"/>
        </w:rPr>
        <w:t>.</w:t>
      </w:r>
      <w:r>
        <w:rPr>
          <w:rFonts w:hint="eastAsia" w:ascii="仿宋" w:hAnsi="仿宋" w:eastAsia="仿宋"/>
          <w:b/>
          <w:bCs/>
          <w:sz w:val="30"/>
          <w:szCs w:val="30"/>
        </w:rPr>
        <w:t>营业执照：</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w:t>
      </w:r>
      <w:r>
        <w:rPr>
          <w:rFonts w:hint="eastAsia" w:ascii="仿宋" w:hAnsi="仿宋" w:eastAsia="仿宋"/>
          <w:bCs/>
          <w:sz w:val="30"/>
          <w:szCs w:val="30"/>
        </w:rPr>
        <w:t>未提供营业执照或营业执照不在有效期内或未盖投标人公章；</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联合体形式投标的，未提供联合体各方</w:t>
      </w:r>
      <w:r>
        <w:rPr>
          <w:rFonts w:hint="eastAsia" w:ascii="仿宋" w:hAnsi="仿宋" w:eastAsia="仿宋"/>
          <w:bCs/>
          <w:sz w:val="30"/>
          <w:szCs w:val="30"/>
        </w:rPr>
        <w:t>营业执照或营业执照不在有效期内或未盖投标人公章</w:t>
      </w:r>
      <w:r>
        <w:rPr>
          <w:rFonts w:hint="eastAsia" w:ascii="仿宋" w:hAnsi="仿宋" w:eastAsia="仿宋"/>
          <w:sz w:val="30"/>
          <w:szCs w:val="30"/>
        </w:rPr>
        <w:t>；</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事业单位投标的，未提供事业单位法人证书或事业单位法人证书不在有效期内或未盖投标人公章；自然人投标的，未提供身份证或身份证不在有效期内或未签章；</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4.</w:t>
      </w:r>
      <w:r>
        <w:rPr>
          <w:rFonts w:hint="eastAsia" w:ascii="仿宋" w:hAnsi="仿宋" w:eastAsia="仿宋"/>
          <w:b/>
          <w:sz w:val="30"/>
          <w:szCs w:val="30"/>
        </w:rPr>
        <w:t>联合投标协议书：</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联合体形式投标的，未提供联合投标协议书或</w:t>
      </w:r>
      <w:r>
        <w:rPr>
          <w:rFonts w:hint="eastAsia" w:ascii="仿宋" w:hAnsi="仿宋" w:eastAsia="仿宋"/>
          <w:bCs/>
          <w:sz w:val="30"/>
          <w:szCs w:val="30"/>
        </w:rPr>
        <w:t>未盖联合体各方公章或</w:t>
      </w:r>
      <w:r>
        <w:rPr>
          <w:rFonts w:hint="eastAsia" w:ascii="仿宋" w:hAnsi="仿宋" w:eastAsia="仿宋"/>
          <w:sz w:val="30"/>
          <w:szCs w:val="30"/>
        </w:rPr>
        <w:t>未列明联合体各方承担的工作、义务、合同金额占比；</w:t>
      </w:r>
    </w:p>
    <w:p>
      <w:pPr>
        <w:snapToGrid w:val="0"/>
        <w:spacing w:line="460" w:lineRule="exact"/>
        <w:ind w:firstLine="446" w:firstLineChars="148"/>
        <w:jc w:val="left"/>
        <w:outlineLvl w:val="1"/>
        <w:rPr>
          <w:rFonts w:ascii="仿宋" w:hAnsi="仿宋" w:eastAsia="仿宋"/>
          <w:b/>
          <w:sz w:val="30"/>
          <w:szCs w:val="30"/>
        </w:rPr>
      </w:pPr>
      <w:r>
        <w:rPr>
          <w:rFonts w:hint="eastAsia" w:ascii="仿宋" w:hAnsi="仿宋" w:eastAsia="仿宋"/>
          <w:b/>
          <w:sz w:val="30"/>
          <w:szCs w:val="30"/>
        </w:rPr>
        <w:t>5</w:t>
      </w:r>
      <w:r>
        <w:rPr>
          <w:rFonts w:ascii="仿宋" w:hAnsi="仿宋" w:eastAsia="仿宋"/>
          <w:b/>
          <w:sz w:val="30"/>
          <w:szCs w:val="30"/>
        </w:rPr>
        <w:t>.</w:t>
      </w:r>
      <w:r>
        <w:rPr>
          <w:rFonts w:hint="eastAsia" w:ascii="仿宋" w:hAnsi="仿宋" w:eastAsia="仿宋"/>
          <w:b/>
          <w:sz w:val="30"/>
          <w:szCs w:val="30"/>
        </w:rPr>
        <w:t xml:space="preserve"> 投标人的特定条件证明材料：</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合格投标人的资格要求中有投标人的特定条件的，未提供符合投标人特定条件证明材料或证明材</w:t>
      </w:r>
      <w:r>
        <w:rPr>
          <w:rFonts w:hint="eastAsia" w:ascii="仿宋" w:hAnsi="仿宋" w:eastAsia="仿宋"/>
          <w:bCs/>
          <w:sz w:val="30"/>
          <w:szCs w:val="30"/>
        </w:rPr>
        <w:t>料不在有效期内或未盖投标人公章；</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6</w:t>
      </w:r>
      <w:r>
        <w:rPr>
          <w:rFonts w:ascii="仿宋" w:hAnsi="仿宋" w:eastAsia="仿宋"/>
          <w:b/>
          <w:bCs/>
          <w:sz w:val="30"/>
          <w:szCs w:val="30"/>
        </w:rPr>
        <w:t>.</w:t>
      </w:r>
      <w:r>
        <w:rPr>
          <w:rFonts w:hint="eastAsia" w:ascii="仿宋" w:hAnsi="仿宋" w:eastAsia="仿宋"/>
          <w:b/>
          <w:bCs/>
          <w:sz w:val="30"/>
          <w:szCs w:val="30"/>
        </w:rPr>
        <w:t>中小企业声明函：</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项目专门面向中小企业的，未提供中小企业声明函或中小企业声明函中未完整填写标的名称、企业名称、从业人员、营业收入、资产总额或未盖投标人公章；</w:t>
      </w:r>
    </w:p>
    <w:p>
      <w:pPr>
        <w:snapToGrid w:val="0"/>
        <w:spacing w:line="460" w:lineRule="exact"/>
        <w:ind w:firstLine="461" w:firstLineChars="148"/>
        <w:jc w:val="left"/>
        <w:outlineLvl w:val="1"/>
        <w:rPr>
          <w:rFonts w:ascii="仿宋" w:hAnsi="仿宋" w:eastAsia="仿宋"/>
          <w:sz w:val="30"/>
          <w:szCs w:val="30"/>
        </w:rPr>
      </w:pPr>
      <w:r>
        <w:rPr>
          <w:rFonts w:hint="eastAsia" w:ascii="仿宋" w:hAnsi="仿宋" w:eastAsia="仿宋"/>
          <w:spacing w:val="6"/>
          <w:sz w:val="30"/>
          <w:szCs w:val="30"/>
        </w:rPr>
        <w:t>残疾人福利性单位投标的，</w:t>
      </w:r>
      <w:r>
        <w:rPr>
          <w:rFonts w:hint="eastAsia" w:ascii="仿宋" w:hAnsi="仿宋" w:eastAsia="仿宋"/>
          <w:bCs/>
          <w:sz w:val="30"/>
          <w:szCs w:val="30"/>
        </w:rPr>
        <w:t>未提供残疾人福利性单位声明函或未盖投标人公章；监狱企业投标的，未提供由省级以上监狱管理局、戒毒管理局（含新疆生产建设兵团）出具的属于监狱企业的证明文件；</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7.</w:t>
      </w:r>
      <w:r>
        <w:rPr>
          <w:rFonts w:hint="eastAsia" w:ascii="仿宋" w:hAnsi="仿宋" w:eastAsia="仿宋"/>
          <w:b/>
          <w:sz w:val="30"/>
          <w:szCs w:val="30"/>
        </w:rPr>
        <w:t>分包意向协议:</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sz w:val="30"/>
          <w:szCs w:val="30"/>
        </w:rPr>
        <w:t>项目要求以合同分包形式预留份额专门面向中小企业的，未提供分包意向协议或</w:t>
      </w:r>
      <w:r>
        <w:rPr>
          <w:rFonts w:hint="eastAsia" w:ascii="仿宋" w:hAnsi="仿宋" w:eastAsia="仿宋"/>
          <w:bCs/>
          <w:sz w:val="30"/>
          <w:szCs w:val="30"/>
        </w:rPr>
        <w:t>未盖投标人与分包供应商公章或</w:t>
      </w:r>
      <w:r>
        <w:rPr>
          <w:rFonts w:hint="eastAsia" w:ascii="仿宋" w:hAnsi="仿宋" w:eastAsia="仿宋"/>
          <w:sz w:val="30"/>
          <w:szCs w:val="30"/>
        </w:rPr>
        <w:t>未列明分包供应商承担的工作、合同金额占比。</w:t>
      </w:r>
    </w:p>
    <w:p>
      <w:pPr>
        <w:pStyle w:val="31"/>
        <w:snapToGrid w:val="0"/>
        <w:spacing w:before="156" w:after="156" w:line="240" w:lineRule="auto"/>
        <w:rPr>
          <w:rFonts w:ascii="仿宋" w:hAnsi="仿宋" w:eastAsia="仿宋"/>
          <w:sz w:val="30"/>
          <w:szCs w:val="30"/>
        </w:rPr>
      </w:pPr>
    </w:p>
    <w:p>
      <w:pPr>
        <w:pStyle w:val="31"/>
        <w:snapToGrid w:val="0"/>
        <w:spacing w:before="156" w:after="156" w:line="240" w:lineRule="auto"/>
        <w:rPr>
          <w:rFonts w:ascii="仿宋" w:hAnsi="仿宋" w:eastAsia="仿宋"/>
          <w:sz w:val="30"/>
          <w:szCs w:val="30"/>
        </w:rPr>
      </w:pPr>
    </w:p>
    <w:p>
      <w:pPr>
        <w:snapToGrid w:val="0"/>
        <w:spacing w:before="50" w:after="156" w:afterLines="50"/>
        <w:jc w:val="lef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我方愿意参加贵方组织的</w:t>
      </w:r>
      <w:bookmarkStart w:id="37" w:name="PO_3000002632_PM002"/>
      <w:r>
        <w:rPr>
          <w:rFonts w:hint="eastAsia" w:ascii="仿宋" w:hAnsi="仿宋" w:eastAsia="仿宋"/>
          <w:b/>
          <w:sz w:val="30"/>
          <w:szCs w:val="30"/>
          <w:u w:val="single"/>
        </w:rPr>
        <w:t>浙江财经大学经管实验中心实验室建设四期项目</w:t>
      </w:r>
      <w:bookmarkEnd w:id="37"/>
      <w:r>
        <w:rPr>
          <w:rFonts w:hint="eastAsia" w:ascii="仿宋" w:hAnsi="仿宋" w:eastAsia="仿宋"/>
          <w:sz w:val="30"/>
          <w:szCs w:val="30"/>
          <w:u w:val="single"/>
        </w:rPr>
        <w:t>（编号为</w:t>
      </w:r>
      <w:bookmarkStart w:id="38" w:name="PO_15528_PM001_3"/>
      <w:r>
        <w:rPr>
          <w:rFonts w:hint="eastAsia" w:ascii="仿宋" w:hAnsi="仿宋" w:eastAsia="仿宋"/>
          <w:sz w:val="30"/>
          <w:szCs w:val="30"/>
          <w:u w:val="single"/>
        </w:rPr>
        <w:t>ZZCG2024H-GK-102</w:t>
      </w:r>
      <w:bookmarkEnd w:id="38"/>
      <w:r>
        <w:rPr>
          <w:rFonts w:hint="eastAsia" w:ascii="仿宋" w:hAnsi="仿宋" w:eastAsia="仿宋"/>
          <w:sz w:val="30"/>
          <w:szCs w:val="30"/>
          <w:u w:val="single"/>
        </w:rPr>
        <w:t>）</w:t>
      </w:r>
      <w:r>
        <w:rPr>
          <w:rFonts w:hint="eastAsia" w:ascii="仿宋" w:hAnsi="仿宋" w:eastAsia="仿宋"/>
          <w:sz w:val="30"/>
          <w:szCs w:val="30"/>
        </w:rPr>
        <w:t>的投标，为此，我方就本次投标有关事项郑重声明如下：</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1.我方已详细审查全部招标文件，同意招标文件的各项要求。</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3.若中标，我方将按招标文件规定履行合同责任和义务。</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5.投标文件自开标日起有效期为90天。</w:t>
      </w: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6.我方承诺已经具备参与政府采购活动的资格条件；</w:t>
      </w:r>
      <w:r>
        <w:rPr>
          <w:rFonts w:ascii="仿宋" w:hAnsi="仿宋" w:eastAsia="仿宋"/>
          <w:b/>
          <w:sz w:val="30"/>
          <w:szCs w:val="30"/>
        </w:rPr>
        <w:t>具有良好的商业信誉和健全的财务会计制度</w:t>
      </w:r>
      <w:r>
        <w:rPr>
          <w:rFonts w:hint="eastAsia" w:ascii="仿宋" w:hAnsi="仿宋" w:eastAsia="仿宋"/>
          <w:b/>
          <w:sz w:val="30"/>
          <w:szCs w:val="30"/>
        </w:rPr>
        <w:t>；</w:t>
      </w:r>
      <w:r>
        <w:rPr>
          <w:rFonts w:ascii="仿宋" w:hAnsi="仿宋" w:eastAsia="仿宋"/>
          <w:b/>
          <w:sz w:val="30"/>
          <w:szCs w:val="30"/>
        </w:rPr>
        <w:t>有依法缴纳税收和社会保障资金的良好记录；参加政府采购活动前三年内，在经营活动中没有重大违法记录</w:t>
      </w:r>
      <w:r>
        <w:rPr>
          <w:rFonts w:hint="eastAsia" w:ascii="仿宋" w:hAnsi="仿宋" w:eastAsia="仿宋"/>
          <w:b/>
          <w:sz w:val="30"/>
          <w:szCs w:val="30"/>
        </w:rPr>
        <w:t>。</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8</w:t>
      </w:r>
      <w:r>
        <w:rPr>
          <w:rFonts w:ascii="仿宋" w:hAnsi="仿宋" w:eastAsia="仿宋"/>
          <w:sz w:val="30"/>
          <w:szCs w:val="30"/>
        </w:rPr>
        <w:t>.</w:t>
      </w:r>
      <w:r>
        <w:rPr>
          <w:rFonts w:hint="eastAsia" w:ascii="仿宋" w:hAnsi="仿宋" w:eastAsia="仿宋"/>
          <w:sz w:val="30"/>
          <w:szCs w:val="30"/>
        </w:rPr>
        <w:t>我方不存在</w:t>
      </w:r>
      <w:r>
        <w:rPr>
          <w:rFonts w:ascii="仿宋" w:hAnsi="仿宋" w:eastAsia="仿宋"/>
          <w:sz w:val="30"/>
          <w:szCs w:val="30"/>
        </w:rPr>
        <w:t>单位负责人为同一人或者存在直接控股、管理关系的不同供应商， 参加同一合同项下的政府采购活动</w:t>
      </w:r>
      <w:r>
        <w:rPr>
          <w:rFonts w:hint="eastAsia" w:ascii="仿宋" w:hAnsi="仿宋" w:eastAsia="仿宋"/>
          <w:sz w:val="30"/>
          <w:szCs w:val="30"/>
        </w:rPr>
        <w:t>的情况</w:t>
      </w:r>
      <w:r>
        <w:rPr>
          <w:rFonts w:ascii="仿宋" w:hAnsi="仿宋" w:eastAsia="仿宋"/>
          <w:sz w:val="30"/>
          <w:szCs w:val="30"/>
        </w:rPr>
        <w:t>。</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9</w:t>
      </w:r>
      <w:r>
        <w:rPr>
          <w:rFonts w:ascii="仿宋" w:hAnsi="仿宋" w:eastAsia="仿宋"/>
          <w:sz w:val="30"/>
          <w:szCs w:val="30"/>
        </w:rPr>
        <w:t>.</w:t>
      </w:r>
      <w:r>
        <w:rPr>
          <w:rFonts w:hint="eastAsia" w:ascii="仿宋" w:hAnsi="仿宋" w:eastAsia="仿宋"/>
          <w:sz w:val="30"/>
          <w:szCs w:val="30"/>
        </w:rPr>
        <w:t>我方不存在</w:t>
      </w:r>
      <w:r>
        <w:rPr>
          <w:rFonts w:ascii="仿宋" w:hAnsi="仿宋" w:eastAsia="仿宋"/>
          <w:sz w:val="30"/>
          <w:szCs w:val="30"/>
        </w:rPr>
        <w:t>为采购项目提供整体设计、规范编制或者项目管理、监理、检测等服务</w:t>
      </w:r>
      <w:r>
        <w:rPr>
          <w:rFonts w:hint="eastAsia" w:ascii="仿宋" w:hAnsi="仿宋" w:eastAsia="仿宋"/>
          <w:sz w:val="30"/>
          <w:szCs w:val="30"/>
        </w:rPr>
        <w:t>后</w:t>
      </w:r>
      <w:r>
        <w:rPr>
          <w:rFonts w:ascii="仿宋" w:hAnsi="仿宋" w:eastAsia="仿宋"/>
          <w:sz w:val="30"/>
          <w:szCs w:val="30"/>
        </w:rPr>
        <w:t>再参加该采购项目的其他采购活动</w:t>
      </w:r>
      <w:r>
        <w:rPr>
          <w:rFonts w:hint="eastAsia" w:ascii="仿宋" w:hAnsi="仿宋" w:eastAsia="仿宋"/>
          <w:sz w:val="30"/>
          <w:szCs w:val="30"/>
        </w:rPr>
        <w:t>的情况</w:t>
      </w:r>
      <w:r>
        <w:rPr>
          <w:rFonts w:ascii="仿宋" w:hAnsi="仿宋" w:eastAsia="仿宋"/>
          <w:sz w:val="30"/>
          <w:szCs w:val="30"/>
        </w:rPr>
        <w:t>。</w:t>
      </w:r>
    </w:p>
    <w:p>
      <w:pPr>
        <w:snapToGrid w:val="0"/>
        <w:spacing w:before="156" w:beforeLines="50" w:after="50" w:line="460" w:lineRule="exact"/>
        <w:ind w:firstLine="600" w:firstLineChars="200"/>
        <w:rPr>
          <w:rFonts w:ascii="仿宋" w:hAnsi="仿宋" w:eastAsia="仿宋"/>
          <w:sz w:val="30"/>
          <w:szCs w:val="30"/>
        </w:rPr>
      </w:pPr>
      <w:r>
        <w:rPr>
          <w:rFonts w:ascii="仿宋" w:hAnsi="仿宋" w:eastAsia="仿宋"/>
          <w:sz w:val="30"/>
          <w:szCs w:val="30"/>
        </w:rPr>
        <w:t>10</w:t>
      </w:r>
      <w:r>
        <w:rPr>
          <w:rFonts w:hint="eastAsia" w:ascii="仿宋" w:hAnsi="仿宋" w:eastAsia="仿宋"/>
          <w:sz w:val="30"/>
          <w:szCs w:val="30"/>
        </w:rPr>
        <w:t>.以上事项如有虚假或隐瞒，我方愿意承担一切后果，并不再寻求任何旨在减轻或免除法律责任的辩解。</w:t>
      </w:r>
    </w:p>
    <w:p>
      <w:pPr>
        <w:snapToGrid w:val="0"/>
        <w:spacing w:before="156" w:beforeLines="50" w:after="50" w:line="460" w:lineRule="exact"/>
        <w:ind w:right="600" w:firstLine="150" w:firstLineChars="50"/>
        <w:rPr>
          <w:rFonts w:ascii="仿宋" w:hAnsi="仿宋" w:eastAsia="仿宋"/>
          <w:sz w:val="30"/>
          <w:szCs w:val="30"/>
        </w:rPr>
      </w:pPr>
    </w:p>
    <w:p>
      <w:pPr>
        <w:snapToGrid w:val="0"/>
        <w:spacing w:before="156" w:beforeLines="50" w:after="50" w:line="460" w:lineRule="exact"/>
        <w:ind w:right="600" w:firstLine="150" w:firstLineChars="50"/>
        <w:rPr>
          <w:rFonts w:ascii="仿宋" w:hAnsi="仿宋" w:eastAsia="仿宋"/>
          <w:sz w:val="30"/>
          <w:szCs w:val="30"/>
        </w:rPr>
      </w:pPr>
    </w:p>
    <w:p>
      <w:pPr>
        <w:snapToGrid w:val="0"/>
        <w:spacing w:before="156"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附件3</w:t>
      </w:r>
      <w:r>
        <w:rPr>
          <w:rFonts w:ascii="仿宋" w:hAnsi="仿宋" w:eastAsia="仿宋"/>
          <w:sz w:val="30"/>
          <w:szCs w:val="30"/>
        </w:rPr>
        <w:t>-1</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56" w:beforeLines="50" w:after="50"/>
        <w:jc w:val="center"/>
        <w:rPr>
          <w:rFonts w:ascii="仿宋" w:hAnsi="仿宋" w:eastAsia="仿宋"/>
          <w:b/>
          <w:sz w:val="30"/>
          <w:szCs w:val="30"/>
        </w:rPr>
      </w:pPr>
    </w:p>
    <w:p>
      <w:pPr>
        <w:snapToGrid w:val="0"/>
        <w:spacing w:before="156"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156"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的法定代表人，现授权委托本单位在职职工</w:t>
      </w:r>
      <w:r>
        <w:rPr>
          <w:rFonts w:hint="eastAsia" w:ascii="仿宋" w:hAnsi="仿宋" w:eastAsia="仿宋"/>
          <w:sz w:val="30"/>
          <w:szCs w:val="30"/>
          <w:u w:val="single"/>
        </w:rPr>
        <w:t xml:space="preserve"> （姓名）</w:t>
      </w:r>
      <w:r>
        <w:rPr>
          <w:rFonts w:hint="eastAsia" w:ascii="仿宋" w:hAnsi="仿宋" w:eastAsia="仿宋"/>
          <w:sz w:val="30"/>
          <w:szCs w:val="30"/>
        </w:rPr>
        <w:t>为授权代表，以我方的名义参加项目名称：</w:t>
      </w:r>
      <w:bookmarkStart w:id="39" w:name="PO_3000002632_PM002_1"/>
      <w:r>
        <w:rPr>
          <w:rFonts w:hint="eastAsia" w:ascii="仿宋" w:hAnsi="仿宋" w:eastAsia="仿宋"/>
          <w:b/>
          <w:sz w:val="30"/>
          <w:szCs w:val="30"/>
          <w:u w:val="single"/>
        </w:rPr>
        <w:t>浙江财经大学经管实验中心实验室建设四期项目</w:t>
      </w:r>
      <w:bookmarkEnd w:id="39"/>
      <w:r>
        <w:rPr>
          <w:rFonts w:hint="eastAsia" w:ascii="仿宋" w:hAnsi="仿宋" w:eastAsia="仿宋"/>
          <w:sz w:val="30"/>
          <w:szCs w:val="30"/>
        </w:rPr>
        <w:t xml:space="preserve"> 项目编号：</w:t>
      </w:r>
      <w:bookmarkStart w:id="40" w:name="PO_3000002632_PM001"/>
      <w:r>
        <w:rPr>
          <w:rFonts w:hint="eastAsia" w:ascii="仿宋" w:hAnsi="仿宋" w:eastAsia="仿宋"/>
          <w:b/>
          <w:sz w:val="30"/>
          <w:szCs w:val="30"/>
          <w:u w:val="single"/>
        </w:rPr>
        <w:t>ZZCG2024H-GK-102</w:t>
      </w:r>
      <w:bookmarkEnd w:id="40"/>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156" w:beforeLines="50" w:after="50" w:line="460" w:lineRule="exact"/>
        <w:ind w:firstLine="480"/>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p>
    <w:p>
      <w:pPr>
        <w:snapToGrid w:val="0"/>
        <w:spacing w:before="156" w:beforeLines="50" w:after="50" w:line="460" w:lineRule="exact"/>
        <w:ind w:firstLine="6150" w:firstLineChars="2050"/>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widowControl/>
        <w:jc w:val="left"/>
        <w:rPr>
          <w:rFonts w:ascii="仿宋" w:hAnsi="仿宋" w:eastAsia="仿宋"/>
          <w:sz w:val="30"/>
          <w:szCs w:val="30"/>
        </w:rPr>
      </w:pP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附件3</w:t>
      </w:r>
      <w:r>
        <w:rPr>
          <w:rFonts w:ascii="仿宋" w:hAnsi="仿宋" w:eastAsia="仿宋"/>
          <w:sz w:val="30"/>
          <w:szCs w:val="30"/>
        </w:rPr>
        <w:t>-2</w:t>
      </w:r>
      <w:r>
        <w:rPr>
          <w:rFonts w:hint="eastAsia" w:ascii="仿宋" w:hAnsi="仿宋" w:eastAsia="仿宋"/>
          <w:sz w:val="30"/>
          <w:szCs w:val="30"/>
        </w:rPr>
        <w:t>：</w:t>
      </w:r>
    </w:p>
    <w:p>
      <w:pPr>
        <w:snapToGrid w:val="0"/>
        <w:spacing w:before="50" w:after="50"/>
        <w:jc w:val="center"/>
        <w:rPr>
          <w:rFonts w:ascii="仿宋" w:hAnsi="仿宋" w:eastAsia="仿宋"/>
          <w:sz w:val="30"/>
          <w:szCs w:val="30"/>
        </w:rPr>
      </w:pPr>
      <w:r>
        <w:rPr>
          <w:rFonts w:hint="eastAsia" w:ascii="仿宋" w:hAnsi="仿宋" w:eastAsia="仿宋"/>
          <w:b/>
          <w:sz w:val="36"/>
          <w:szCs w:val="36"/>
        </w:rPr>
        <w:t>法定代表人身份证明</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有效的身份证件扫描件、复印件：</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正面：</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反面：</w:t>
      </w: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widowControl/>
        <w:jc w:val="left"/>
        <w:rPr>
          <w:rFonts w:hAnsi="宋体" w:cs="宋体"/>
          <w:bCs/>
          <w:sz w:val="24"/>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tabs>
          <w:tab w:val="left" w:pos="606"/>
        </w:tabs>
        <w:spacing w:line="360" w:lineRule="exact"/>
        <w:rPr>
          <w:rFonts w:ascii="仿宋" w:hAnsi="仿宋" w:eastAsia="仿宋"/>
          <w:spacing w:val="20"/>
          <w:sz w:val="30"/>
          <w:szCs w:val="30"/>
        </w:rPr>
      </w:pPr>
      <w:r>
        <w:rPr>
          <w:rFonts w:hint="eastAsia" w:ascii="仿宋" w:hAnsi="仿宋" w:eastAsia="仿宋"/>
          <w:sz w:val="30"/>
          <w:szCs w:val="30"/>
        </w:rPr>
        <w:t>附件4：</w:t>
      </w:r>
    </w:p>
    <w:p>
      <w:pPr>
        <w:pStyle w:val="17"/>
        <w:overflowPunct w:val="0"/>
        <w:ind w:firstLine="0"/>
        <w:jc w:val="center"/>
        <w:rPr>
          <w:rFonts w:ascii="仿宋" w:hAnsi="仿宋" w:eastAsia="仿宋"/>
          <w:b/>
          <w:spacing w:val="40"/>
          <w:kern w:val="0"/>
          <w:sz w:val="30"/>
          <w:szCs w:val="30"/>
        </w:rPr>
      </w:pPr>
      <w:r>
        <w:rPr>
          <w:rFonts w:hint="eastAsia" w:ascii="仿宋" w:hAnsi="仿宋" w:eastAsia="仿宋"/>
          <w:b/>
          <w:spacing w:val="40"/>
          <w:kern w:val="0"/>
          <w:sz w:val="30"/>
          <w:szCs w:val="30"/>
        </w:rPr>
        <w:t>联合投标协议书</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各方经协商，就响应</w:t>
      </w:r>
      <w:r>
        <w:rPr>
          <w:rFonts w:hint="eastAsia" w:ascii="仿宋" w:hAnsi="仿宋" w:eastAsia="仿宋"/>
          <w:sz w:val="30"/>
          <w:szCs w:val="30"/>
          <w:u w:val="single"/>
        </w:rPr>
        <w:t xml:space="preserve">        </w:t>
      </w:r>
      <w:r>
        <w:rPr>
          <w:rFonts w:hint="eastAsia" w:ascii="仿宋" w:hAnsi="仿宋" w:eastAsia="仿宋"/>
          <w:sz w:val="30"/>
          <w:szCs w:val="30"/>
        </w:rPr>
        <w:t>组织实施的编号为</w:t>
      </w:r>
      <w:r>
        <w:rPr>
          <w:rFonts w:hint="eastAsia" w:ascii="仿宋" w:hAnsi="仿宋" w:eastAsia="仿宋"/>
          <w:sz w:val="30"/>
          <w:szCs w:val="30"/>
          <w:u w:val="single"/>
        </w:rPr>
        <w:t xml:space="preserve"> </w:t>
      </w:r>
      <w:bookmarkStart w:id="41" w:name="PO_3000002632_PM001_1"/>
      <w:r>
        <w:rPr>
          <w:rFonts w:hint="eastAsia" w:ascii="仿宋" w:hAnsi="仿宋" w:eastAsia="仿宋"/>
          <w:b/>
          <w:sz w:val="30"/>
          <w:szCs w:val="30"/>
          <w:u w:val="single"/>
        </w:rPr>
        <w:t>ZZCG2024H-GK-102</w:t>
      </w:r>
      <w:bookmarkEnd w:id="41"/>
      <w:r>
        <w:rPr>
          <w:rFonts w:hint="eastAsia" w:ascii="仿宋" w:hAnsi="仿宋" w:eastAsia="仿宋"/>
          <w:sz w:val="30"/>
          <w:szCs w:val="30"/>
        </w:rPr>
        <w:t>的招标活动联合进行投标之事宜，达成如下协议：</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为主办人进行投标，并按照招标文件的规定分别提交联合体各方的资格文件（声明书、营业执照、投标人特定条件）。</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表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乙方承担的工作和义务为：</w:t>
      </w:r>
      <w:r>
        <w:rPr>
          <w:rFonts w:hint="eastAsia"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59"/>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noWrap w:val="0"/>
            <w:vAlign w:val="top"/>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noWrap w:val="0"/>
            <w:vAlign w:val="top"/>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17"/>
        <w:overflowPunct w:val="0"/>
        <w:spacing w:line="460" w:lineRule="exact"/>
        <w:ind w:firstLine="0"/>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附件5：</w:t>
      </w:r>
    </w:p>
    <w:p>
      <w:pPr>
        <w:pStyle w:val="17"/>
        <w:overflowPunct w:val="0"/>
        <w:spacing w:line="460" w:lineRule="exact"/>
        <w:jc w:val="center"/>
        <w:rPr>
          <w:rFonts w:ascii="仿宋" w:hAnsi="仿宋" w:eastAsia="仿宋"/>
          <w:b/>
          <w:sz w:val="30"/>
          <w:szCs w:val="30"/>
        </w:rPr>
      </w:pPr>
      <w:r>
        <w:rPr>
          <w:rFonts w:hint="eastAsia" w:ascii="仿宋" w:hAnsi="仿宋" w:eastAsia="仿宋"/>
          <w:b/>
          <w:sz w:val="30"/>
          <w:szCs w:val="30"/>
        </w:rPr>
        <w:t>联合投标授权委托书</w:t>
      </w:r>
    </w:p>
    <w:p>
      <w:pPr>
        <w:pStyle w:val="17"/>
        <w:overflowPunct w:val="0"/>
        <w:spacing w:line="460" w:lineRule="exact"/>
        <w:rPr>
          <w:rFonts w:ascii="仿宋" w:hAnsi="仿宋" w:eastAsia="仿宋"/>
          <w:sz w:val="30"/>
          <w:szCs w:val="30"/>
        </w:rPr>
      </w:pPr>
    </w:p>
    <w:p>
      <w:pPr>
        <w:pStyle w:val="17"/>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hint="eastAsia" w:ascii="仿宋" w:hAnsi="仿宋" w:eastAsia="仿宋"/>
          <w:sz w:val="30"/>
          <w:szCs w:val="30"/>
        </w:rPr>
        <w:t>与</w:t>
      </w:r>
      <w:r>
        <w:rPr>
          <w:rFonts w:hint="eastAsia" w:ascii="仿宋" w:hAnsi="仿宋" w:eastAsia="仿宋"/>
          <w:sz w:val="30"/>
          <w:szCs w:val="30"/>
          <w:u w:val="single"/>
        </w:rPr>
        <w:t xml:space="preserve">        </w:t>
      </w:r>
      <w:r>
        <w:rPr>
          <w:rFonts w:hint="eastAsia" w:ascii="仿宋" w:hAnsi="仿宋" w:eastAsia="仿宋"/>
          <w:sz w:val="30"/>
          <w:szCs w:val="30"/>
        </w:rPr>
        <w:t>签订的《联合投标协议书》的内容，现授权</w:t>
      </w:r>
      <w:r>
        <w:rPr>
          <w:rFonts w:hint="eastAsia" w:ascii="仿宋" w:hAnsi="仿宋" w:eastAsia="仿宋"/>
          <w:sz w:val="30"/>
          <w:szCs w:val="30"/>
          <w:u w:val="single"/>
        </w:rPr>
        <w:t xml:space="preserve">    </w:t>
      </w:r>
      <w:r>
        <w:rPr>
          <w:rFonts w:hint="eastAsia" w:ascii="仿宋" w:hAnsi="仿宋" w:eastAsia="仿宋"/>
          <w:sz w:val="30"/>
          <w:szCs w:val="30"/>
        </w:rPr>
        <w:t>为联合投标授权代表，授权代表在投标、开标、评标、签约过程中所签署的一切文件和处理与这有关的一切事务， 联合投标各方均予以认可并遵守。</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pStyle w:val="17"/>
        <w:overflowPunct w:val="0"/>
        <w:spacing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59"/>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noWrap w:val="0"/>
            <w:vAlign w:val="top"/>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noWrap w:val="0"/>
            <w:vAlign w:val="top"/>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附件6：</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分包意向协议</w:t>
      </w:r>
    </w:p>
    <w:p>
      <w:pPr>
        <w:pStyle w:val="58"/>
        <w:spacing w:before="156" w:after="156" w:line="400" w:lineRule="exact"/>
      </w:pP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hint="eastAsia" w:ascii="仿宋" w:hAnsi="仿宋" w:eastAsia="仿宋"/>
          <w:sz w:val="28"/>
          <w:szCs w:val="28"/>
          <w:lang w:val="zh-CN"/>
        </w:rPr>
        <w:t>相应资质条件且不得再次分包；</w:t>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w:t>
      </w:r>
    </w:p>
    <w:p>
      <w:pPr>
        <w:snapToGrid w:val="0"/>
        <w:spacing w:line="360" w:lineRule="exact"/>
        <w:ind w:left="84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left="84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ind w:left="630" w:leftChars="300"/>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）的合同份额占到合同总金额</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lang w:val="zh-CN"/>
        </w:rPr>
        <w:t>……</w:t>
      </w:r>
    </w:p>
    <w:p>
      <w:pPr>
        <w:snapToGrid w:val="0"/>
        <w:spacing w:line="400" w:lineRule="exact"/>
        <w:ind w:firstLine="840" w:firstLineChars="300"/>
      </w:pPr>
      <w:r>
        <w:rPr>
          <w:rFonts w:hint="eastAsia" w:ascii="仿宋" w:hAnsi="仿宋" w:eastAsia="仿宋"/>
          <w:sz w:val="28"/>
          <w:szCs w:val="28"/>
          <w:lang w:val="zh-CN"/>
        </w:rPr>
        <w:t xml:space="preserve">                                 日期：</w:t>
      </w:r>
      <w:r>
        <w:rPr>
          <w:rFonts w:hint="eastAsia" w:ascii="仿宋" w:hAnsi="仿宋" w:eastAsia="仿宋"/>
          <w:sz w:val="28"/>
          <w:szCs w:val="28"/>
          <w:u w:val="single"/>
          <w:lang w:val="zh-CN"/>
        </w:rPr>
        <w:t xml:space="preserve">  年  月   日</w:t>
      </w:r>
    </w:p>
    <w:p>
      <w:pPr>
        <w:snapToGrid w:val="0"/>
        <w:spacing w:before="50" w:after="50"/>
        <w:jc w:val="left"/>
        <w:rPr>
          <w:rFonts w:ascii="仿宋" w:hAnsi="仿宋" w:eastAsia="仿宋"/>
          <w:sz w:val="30"/>
          <w:szCs w:val="30"/>
        </w:rPr>
      </w:pPr>
      <w:r>
        <w:rPr>
          <w:rFonts w:hint="eastAsia" w:ascii="仿宋" w:hAnsi="仿宋" w:eastAsia="仿宋"/>
          <w:sz w:val="30"/>
          <w:szCs w:val="30"/>
        </w:rPr>
        <w:t>附件7：</w:t>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中小企业声明函（货物）</w:t>
      </w:r>
    </w:p>
    <w:p>
      <w:pPr>
        <w:snapToGrid w:val="0"/>
        <w:spacing w:line="360" w:lineRule="auto"/>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采购活动，提供的货物全部由符合政策要求的中小企业制造。相关企业 （含联合体中的中小企业、签订分包意向协议的中小企业） 的具体情况如下：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u w:val="single"/>
        </w:rPr>
        <w:t>（标的名称）</w:t>
      </w:r>
      <w:r>
        <w:rPr>
          <w:rFonts w:hint="eastAsia" w:ascii="仿宋" w:hAnsi="仿宋" w:eastAsia="仿宋"/>
          <w:sz w:val="28"/>
          <w:szCs w:val="28"/>
        </w:rPr>
        <w:t>，属于</w:t>
      </w:r>
      <w:r>
        <w:rPr>
          <w:rFonts w:hint="eastAsia" w:ascii="仿宋" w:hAnsi="仿宋" w:eastAsia="仿宋"/>
          <w:sz w:val="28"/>
          <w:szCs w:val="28"/>
          <w:u w:val="single"/>
        </w:rPr>
        <w:t>（采购文件中明确的所属行业） 行业</w:t>
      </w:r>
      <w:r>
        <w:rPr>
          <w:rFonts w:hint="eastAsia" w:ascii="仿宋" w:hAnsi="仿宋" w:eastAsia="仿宋"/>
          <w:sz w:val="28"/>
          <w:szCs w:val="28"/>
        </w:rPr>
        <w:t>；制造商为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w:t>
      </w:r>
      <w:r>
        <w:rPr>
          <w:rFonts w:hint="eastAsia" w:ascii="仿宋" w:hAnsi="仿宋" w:eastAsia="仿宋"/>
          <w:sz w:val="28"/>
          <w:szCs w:val="28"/>
          <w:vertAlign w:val="superscript"/>
        </w:rPr>
        <w:t xml:space="preserve"> 1</w:t>
      </w:r>
      <w:r>
        <w:rPr>
          <w:rFonts w:hint="eastAsia" w:ascii="仿宋" w:hAnsi="仿宋" w:eastAsia="仿宋"/>
          <w:sz w:val="28"/>
          <w:szCs w:val="28"/>
        </w:rPr>
        <w:t>，属于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 xml:space="preserve">采购文件中明确的所属行业） </w:t>
      </w:r>
      <w:r>
        <w:rPr>
          <w:rFonts w:hint="eastAsia" w:ascii="仿宋" w:hAnsi="仿宋" w:eastAsia="仿宋"/>
          <w:sz w:val="28"/>
          <w:szCs w:val="28"/>
        </w:rPr>
        <w:t>行业；制造商为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以上企业，不属于大企业的分支机构，不存在控股股东为大企业的情形，也不存在与大企业的负责人为同一人的情形。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本企业对上述声明内容的真实性负责。如有虚假，将依法承担相应责任。</w:t>
      </w:r>
    </w:p>
    <w:p>
      <w:pPr>
        <w:snapToGrid w:val="0"/>
        <w:spacing w:line="360" w:lineRule="auto"/>
        <w:ind w:left="3640" w:firstLine="560" w:firstLineChars="200"/>
        <w:jc w:val="left"/>
        <w:rPr>
          <w:rFonts w:ascii="仿宋" w:hAnsi="仿宋" w:eastAsia="仿宋"/>
          <w:sz w:val="28"/>
          <w:szCs w:val="28"/>
          <w:u w:val="single"/>
        </w:rPr>
      </w:pPr>
      <w:r>
        <w:rPr>
          <w:rFonts w:hint="eastAsia" w:ascii="仿宋" w:hAnsi="仿宋" w:eastAsia="仿宋"/>
          <w:sz w:val="28"/>
          <w:szCs w:val="28"/>
        </w:rPr>
        <w:t>投标人名称（盖章）：</w:t>
      </w:r>
      <w:r>
        <w:rPr>
          <w:rFonts w:hint="eastAsia" w:ascii="仿宋" w:hAnsi="仿宋" w:eastAsia="仿宋"/>
          <w:sz w:val="28"/>
          <w:szCs w:val="28"/>
          <w:u w:val="single"/>
        </w:rPr>
        <w:t xml:space="preserve">         </w:t>
      </w:r>
    </w:p>
    <w:p>
      <w:pPr>
        <w:wordWrap w:val="0"/>
        <w:snapToGrid w:val="0"/>
        <w:spacing w:line="360" w:lineRule="auto"/>
        <w:ind w:right="1120"/>
        <w:jc w:val="right"/>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p>
    <w:p>
      <w:pPr>
        <w:pStyle w:val="31"/>
        <w:spacing w:before="156" w:after="156"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60" w:lineRule="auto"/>
        <w:jc w:val="right"/>
        <w:rPr>
          <w:rFonts w:ascii="仿宋" w:hAnsi="仿宋" w:eastAsia="仿宋"/>
          <w:sz w:val="28"/>
          <w:szCs w:val="28"/>
        </w:rPr>
      </w:pPr>
    </w:p>
    <w:p>
      <w:pPr>
        <w:widowControl/>
        <w:jc w:val="left"/>
        <w:rPr>
          <w:rFonts w:ascii="仿宋" w:hAnsi="仿宋" w:eastAsia="仿宋"/>
          <w:b/>
          <w:sz w:val="36"/>
          <w:szCs w:val="36"/>
        </w:rPr>
      </w:pPr>
      <w:r>
        <w:rPr>
          <w:rFonts w:hint="eastAsia" w:ascii="仿宋" w:hAnsi="仿宋" w:eastAsia="仿宋"/>
          <w:b/>
          <w:kern w:val="0"/>
          <w:sz w:val="36"/>
          <w:szCs w:val="36"/>
        </w:rPr>
        <w:br w:type="page"/>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中小企业声明函（工程、服务）</w:t>
      </w:r>
    </w:p>
    <w:p>
      <w:pPr>
        <w:snapToGrid w:val="0"/>
        <w:spacing w:line="312" w:lineRule="auto"/>
        <w:ind w:firstLine="560" w:firstLineChars="200"/>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u w:val="single"/>
        </w:rPr>
        <w:t>（标的名称）</w:t>
      </w:r>
      <w:r>
        <w:rPr>
          <w:rFonts w:hint="eastAsia" w:ascii="仿宋" w:hAnsi="仿宋" w:eastAsia="仿宋"/>
          <w:sz w:val="28"/>
          <w:szCs w:val="28"/>
        </w:rPr>
        <w:t>，属于</w:t>
      </w:r>
      <w:r>
        <w:rPr>
          <w:rFonts w:hint="eastAsia" w:ascii="仿宋" w:hAnsi="仿宋" w:eastAsia="仿宋"/>
          <w:sz w:val="28"/>
          <w:szCs w:val="28"/>
          <w:u w:val="single"/>
        </w:rPr>
        <w:t>（采购文件中明确的所属行业）</w:t>
      </w:r>
      <w:r>
        <w:rPr>
          <w:rFonts w:hint="eastAsia" w:ascii="仿宋" w:hAnsi="仿宋" w:eastAsia="仿宋"/>
          <w:sz w:val="28"/>
          <w:szCs w:val="28"/>
        </w:rPr>
        <w:t>； 承建（承接）企业为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w:t>
      </w:r>
      <w:r>
        <w:rPr>
          <w:rFonts w:hint="eastAsia" w:ascii="仿宋" w:hAnsi="仿宋" w:eastAsia="仿宋"/>
          <w:sz w:val="28"/>
          <w:szCs w:val="28"/>
          <w:vertAlign w:val="superscript"/>
        </w:rPr>
        <w:t xml:space="preserve"> 1</w:t>
      </w:r>
      <w:r>
        <w:rPr>
          <w:rFonts w:hint="eastAsia" w:ascii="仿宋" w:hAnsi="仿宋" w:eastAsia="仿宋"/>
          <w:sz w:val="28"/>
          <w:szCs w:val="28"/>
        </w:rPr>
        <w:t>，属于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（采购文件中明确的所属行业）</w:t>
      </w:r>
      <w:r>
        <w:rPr>
          <w:rFonts w:hint="eastAsia" w:ascii="仿宋" w:hAnsi="仿宋" w:eastAsia="仿宋"/>
          <w:sz w:val="28"/>
          <w:szCs w:val="28"/>
        </w:rPr>
        <w:t>；承建（承接）企业为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以上企业，不属于大企业的分支机构，不存在控股股东为大企业的情形，也不存在与大企业的负责人为同一人的情形。</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 xml:space="preserve">本企业对上述声明内容的真实性负责。如有虚假，将依法承担相应责任。 </w:t>
      </w:r>
    </w:p>
    <w:p>
      <w:pPr>
        <w:snapToGrid w:val="0"/>
        <w:spacing w:line="312" w:lineRule="auto"/>
        <w:ind w:firstLine="4620" w:firstLineChars="1650"/>
        <w:rPr>
          <w:rFonts w:ascii="仿宋" w:hAnsi="仿宋" w:eastAsia="仿宋"/>
          <w:sz w:val="28"/>
          <w:szCs w:val="28"/>
        </w:rPr>
      </w:pPr>
      <w:r>
        <w:rPr>
          <w:rFonts w:hint="eastAsia" w:ascii="仿宋" w:hAnsi="仿宋" w:eastAsia="仿宋"/>
          <w:sz w:val="28"/>
          <w:szCs w:val="28"/>
        </w:rPr>
        <w:t>投标人名称（盖章）：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napToGrid w:val="0"/>
        <w:spacing w:line="312" w:lineRule="auto"/>
        <w:ind w:firstLine="4620" w:firstLineChars="1650"/>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p>
    <w:p>
      <w:pPr>
        <w:pStyle w:val="31"/>
        <w:spacing w:before="156" w:after="156"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widowControl/>
        <w:jc w:val="left"/>
        <w:rPr>
          <w:rFonts w:ascii="仿宋" w:hAnsi="仿宋" w:eastAsia="仿宋"/>
          <w:sz w:val="28"/>
          <w:szCs w:val="28"/>
        </w:rPr>
        <w:sectPr>
          <w:pgSz w:w="11906" w:h="16838"/>
          <w:pgMar w:top="1440" w:right="1800" w:bottom="1440" w:left="1800" w:header="851" w:footer="992" w:gutter="0"/>
          <w:cols w:space="720" w:num="1"/>
          <w:docGrid w:type="lines" w:linePitch="312" w:charSpace="0"/>
        </w:sectPr>
      </w:pPr>
    </w:p>
    <w:p>
      <w:pPr>
        <w:jc w:val="left"/>
        <w:rPr>
          <w:rFonts w:ascii="仿宋" w:hAnsi="仿宋" w:eastAsia="仿宋"/>
        </w:rPr>
      </w:pPr>
      <w:r>
        <w:rPr>
          <w:rFonts w:hint="eastAsia" w:ascii="仿宋" w:hAnsi="仿宋" w:eastAsia="仿宋"/>
          <w:sz w:val="30"/>
          <w:szCs w:val="30"/>
        </w:rPr>
        <w:t>附件8：</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840" w:firstLineChars="3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投标人名称（盖章）：</w:t>
      </w:r>
      <w:r>
        <w:rPr>
          <w:rFonts w:hint="eastAsia" w:ascii="仿宋" w:hAnsi="仿宋" w:eastAsia="仿宋"/>
          <w:sz w:val="28"/>
          <w:szCs w:val="28"/>
          <w:u w:val="single"/>
        </w:rPr>
        <w:t xml:space="preserve">        </w:t>
      </w: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wordWrap w:val="0"/>
        <w:snapToGrid w:val="0"/>
        <w:spacing w:line="360" w:lineRule="auto"/>
        <w:ind w:firstLine="560" w:firstLineChars="200"/>
        <w:jc w:val="right"/>
        <w:rPr>
          <w:rFonts w:ascii="仿宋" w:hAnsi="仿宋" w:eastAsia="仿宋"/>
          <w:color w:val="000000"/>
          <w:sz w:val="28"/>
          <w:szCs w:val="28"/>
          <w:u w:val="single"/>
        </w:rPr>
      </w:pPr>
    </w:p>
    <w:p>
      <w:pPr>
        <w:rPr>
          <w:color w:val="000000"/>
        </w:rPr>
      </w:pPr>
    </w:p>
    <w:p>
      <w:pPr>
        <w:rPr>
          <w:color w:val="000000"/>
        </w:rPr>
      </w:pPr>
    </w:p>
    <w:p>
      <w:pPr>
        <w:widowControl/>
        <w:jc w:val="left"/>
        <w:rPr>
          <w:rFonts w:ascii="仿宋" w:hAnsi="仿宋" w:eastAsia="仿宋"/>
          <w:color w:val="000000"/>
          <w:sz w:val="30"/>
          <w:szCs w:val="30"/>
        </w:rPr>
      </w:pPr>
    </w:p>
    <w:p>
      <w:pPr>
        <w:widowControl/>
        <w:jc w:val="left"/>
        <w:rPr>
          <w:rFonts w:ascii="仿宋" w:hAnsi="仿宋" w:eastAsia="仿宋"/>
          <w:color w:val="000000"/>
          <w:sz w:val="30"/>
          <w:szCs w:val="30"/>
        </w:rPr>
      </w:pPr>
      <w:r>
        <w:rPr>
          <w:rFonts w:hint="eastAsia" w:ascii="仿宋" w:hAnsi="仿宋" w:eastAsia="仿宋"/>
          <w:color w:val="000000"/>
          <w:kern w:val="0"/>
          <w:sz w:val="30"/>
          <w:szCs w:val="30"/>
        </w:rPr>
        <w:br w:type="page"/>
      </w:r>
    </w:p>
    <w:p>
      <w:pPr>
        <w:snapToGrid w:val="0"/>
        <w:spacing w:before="120" w:beforeLines="50" w:after="50"/>
        <w:rPr>
          <w:rFonts w:ascii="仿宋" w:hAnsi="仿宋" w:eastAsia="仿宋"/>
          <w:b/>
          <w:color w:val="000000"/>
          <w:sz w:val="30"/>
          <w:szCs w:val="30"/>
        </w:rPr>
      </w:pPr>
      <w:r>
        <w:rPr>
          <w:rFonts w:hint="eastAsia" w:ascii="仿宋" w:hAnsi="仿宋" w:eastAsia="仿宋"/>
          <w:color w:val="000000"/>
          <w:sz w:val="30"/>
          <w:szCs w:val="30"/>
        </w:rPr>
        <w:t>附件9</w:t>
      </w:r>
      <w:r>
        <w:rPr>
          <w:rFonts w:hint="eastAsia" w:ascii="仿宋" w:hAnsi="仿宋" w:eastAsia="仿宋"/>
          <w:b/>
          <w:color w:val="000000"/>
          <w:sz w:val="30"/>
          <w:szCs w:val="30"/>
        </w:rPr>
        <w:t xml:space="preserve">：                                     </w:t>
      </w:r>
    </w:p>
    <w:p>
      <w:pPr>
        <w:spacing w:before="240" w:beforeLines="100" w:line="240" w:lineRule="atLeast"/>
        <w:jc w:val="center"/>
        <w:rPr>
          <w:rFonts w:hint="eastAsia" w:ascii="仿宋" w:hAnsi="仿宋" w:eastAsia="仿宋"/>
          <w:b/>
          <w:color w:val="000000"/>
          <w:spacing w:val="40"/>
          <w:sz w:val="52"/>
          <w:szCs w:val="52"/>
        </w:rPr>
      </w:pPr>
      <w:bookmarkStart w:id="42" w:name="PO_1000000445_PM002"/>
      <w:r>
        <w:rPr>
          <w:rFonts w:hint="eastAsia" w:ascii="仿宋" w:hAnsi="仿宋" w:eastAsia="仿宋"/>
          <w:b/>
          <w:color w:val="000000"/>
          <w:spacing w:val="40"/>
          <w:sz w:val="52"/>
          <w:szCs w:val="52"/>
        </w:rPr>
        <w:t>浙江财经大学经管实验中心实验室建设四期项目</w:t>
      </w:r>
      <w:bookmarkEnd w:id="42"/>
    </w:p>
    <w:p>
      <w:pPr>
        <w:spacing w:before="240"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43" w:name="PO_15528_PM001_4"/>
      <w:r>
        <w:rPr>
          <w:rFonts w:hint="eastAsia" w:ascii="仿宋" w:hAnsi="仿宋" w:eastAsia="仿宋"/>
          <w:color w:val="000000"/>
          <w:sz w:val="36"/>
          <w:szCs w:val="36"/>
        </w:rPr>
        <w:t>ZZCG2024H-GK-102</w:t>
      </w:r>
      <w:bookmarkEnd w:id="43"/>
      <w:r>
        <w:rPr>
          <w:rFonts w:hint="eastAsia" w:ascii="仿宋" w:hAnsi="仿宋" w:eastAsia="仿宋"/>
          <w:color w:val="000000"/>
          <w:sz w:val="36"/>
          <w:szCs w:val="36"/>
        </w:rPr>
        <w:t>（标项  ）</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技</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术</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及</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商</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务</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件</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spacing w:line="6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spacing w:line="6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color w:val="000000"/>
          <w:sz w:val="30"/>
          <w:szCs w:val="30"/>
        </w:rPr>
      </w:pPr>
    </w:p>
    <w:p>
      <w:pPr>
        <w:snapToGrid w:val="0"/>
        <w:spacing w:before="50" w:after="50"/>
        <w:rPr>
          <w:rFonts w:ascii="仿宋" w:hAnsi="仿宋" w:eastAsia="仿宋"/>
          <w:b/>
          <w:bCs/>
          <w:color w:val="000000"/>
          <w:sz w:val="36"/>
          <w:szCs w:val="36"/>
        </w:rPr>
      </w:pPr>
      <w:r>
        <w:rPr>
          <w:rFonts w:hint="eastAsia" w:ascii="仿宋" w:hAnsi="仿宋" w:eastAsia="仿宋"/>
          <w:color w:val="000000"/>
          <w:kern w:val="0"/>
          <w:sz w:val="36"/>
          <w:szCs w:val="36"/>
        </w:rPr>
        <w:br w:type="page"/>
      </w:r>
      <w:r>
        <w:rPr>
          <w:rFonts w:hint="eastAsia" w:ascii="仿宋" w:hAnsi="仿宋" w:eastAsia="仿宋"/>
          <w:color w:val="000000"/>
          <w:sz w:val="36"/>
          <w:szCs w:val="36"/>
        </w:rPr>
        <w:t>2、</w:t>
      </w:r>
      <w:r>
        <w:rPr>
          <w:rFonts w:hint="eastAsia" w:ascii="仿宋" w:hAnsi="仿宋" w:eastAsia="仿宋"/>
          <w:b/>
          <w:bCs/>
          <w:color w:val="000000"/>
          <w:sz w:val="36"/>
          <w:szCs w:val="36"/>
        </w:rPr>
        <w:t>技术及商务文件目录</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（1）评分对应表（格式见附件，主要用于评委对应评分内容）</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（2）投标项目明细清单（含货物、服务等）；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（3）技术响应表（格式见附件）；</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（6）列入政府采购节能环保清单的证明资料（若有）；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（7）商务响应表（格式见附件）；</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（9）技术培训计划（若有）；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（10）投标人履约能力（可包含且不限于技术力量情况、投标人各项能力证书）；</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（11）案例的业绩证明（投标人业绩情况一览表、合同复印件等）；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（12）投标人认为需要的其他文件资料。</w:t>
      </w:r>
    </w:p>
    <w:p>
      <w:pPr>
        <w:snapToGrid w:val="0"/>
        <w:spacing w:before="50" w:after="120" w:afterLines="50"/>
        <w:jc w:val="left"/>
        <w:rPr>
          <w:rFonts w:ascii="仿宋" w:hAnsi="仿宋" w:eastAsia="仿宋"/>
          <w:color w:val="000000"/>
          <w:sz w:val="30"/>
          <w:szCs w:val="30"/>
        </w:rPr>
      </w:pPr>
    </w:p>
    <w:p>
      <w:pPr>
        <w:snapToGrid w:val="0"/>
        <w:spacing w:before="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附件10：</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评分对应表</w:t>
      </w:r>
    </w:p>
    <w:p>
      <w:pPr>
        <w:snapToGrid w:val="0"/>
        <w:spacing w:before="50"/>
        <w:jc w:val="center"/>
        <w:rPr>
          <w:rFonts w:ascii="仿宋" w:hAnsi="仿宋" w:eastAsia="仿宋"/>
          <w:b/>
          <w:color w:val="000000"/>
          <w:sz w:val="32"/>
          <w:szCs w:val="32"/>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39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9"/>
        <w:gridCol w:w="3061"/>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评分项目</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r>
              <w:rPr>
                <w:rFonts w:hint="eastAsia" w:ascii="仿宋" w:hAnsi="仿宋" w:eastAsia="仿宋"/>
                <w:color w:val="000000"/>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r>
              <w:rPr>
                <w:rFonts w:hint="eastAsia" w:ascii="仿宋" w:hAnsi="仿宋" w:eastAsia="仿宋"/>
                <w:color w:val="000000"/>
                <w:sz w:val="30"/>
                <w:szCs w:val="30"/>
              </w:rPr>
              <w:t>……</w:t>
            </w: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snapToGrid w:val="0"/>
        <w:spacing w:before="50" w:after="120" w:afterLines="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附件11：</w:t>
      </w:r>
    </w:p>
    <w:p>
      <w:pPr>
        <w:snapToGrid w:val="0"/>
        <w:spacing w:before="50" w:after="120" w:afterLines="50"/>
        <w:jc w:val="center"/>
        <w:rPr>
          <w:rFonts w:ascii="仿宋" w:hAnsi="仿宋" w:eastAsia="仿宋"/>
          <w:b/>
          <w:color w:val="000000"/>
          <w:spacing w:val="40"/>
          <w:kern w:val="0"/>
          <w:sz w:val="36"/>
          <w:szCs w:val="36"/>
        </w:rPr>
      </w:pPr>
      <w:r>
        <w:rPr>
          <w:rFonts w:hint="eastAsia" w:ascii="仿宋" w:hAnsi="仿宋" w:eastAsia="仿宋"/>
          <w:b/>
          <w:color w:val="000000"/>
          <w:spacing w:val="40"/>
          <w:kern w:val="0"/>
          <w:sz w:val="36"/>
          <w:szCs w:val="36"/>
        </w:rPr>
        <w:t>投标项目明细清单</w:t>
      </w:r>
    </w:p>
    <w:p>
      <w:pPr>
        <w:snapToGrid w:val="0"/>
        <w:spacing w:before="50" w:after="120" w:afterLines="50"/>
        <w:rPr>
          <w:rFonts w:ascii="仿宋" w:hAnsi="仿宋" w:eastAsia="仿宋"/>
          <w:b/>
          <w:color w:val="000000"/>
          <w:spacing w:val="40"/>
          <w:kern w:val="0"/>
          <w:sz w:val="36"/>
          <w:szCs w:val="36"/>
        </w:rPr>
      </w:pPr>
    </w:p>
    <w:p>
      <w:pPr>
        <w:pStyle w:val="18"/>
        <w:snapToGrid w:val="0"/>
        <w:rPr>
          <w:rFonts w:ascii="仿宋" w:hAnsi="仿宋" w:eastAsia="仿宋"/>
          <w:color w:val="000000"/>
          <w:kern w:val="0"/>
          <w:sz w:val="30"/>
          <w:szCs w:val="30"/>
          <w:u w:val="single"/>
        </w:rPr>
      </w:pPr>
      <w:r>
        <w:rPr>
          <w:rFonts w:hint="eastAsia" w:ascii="仿宋" w:hAnsi="仿宋" w:eastAsia="仿宋"/>
          <w:color w:val="000000"/>
          <w:sz w:val="30"/>
          <w:szCs w:val="30"/>
        </w:rPr>
        <w:t>投标人全称（公章）：                标项：</w:t>
      </w:r>
    </w:p>
    <w:p>
      <w:pPr>
        <w:pStyle w:val="18"/>
        <w:snapToGrid w:val="0"/>
        <w:rPr>
          <w:rFonts w:ascii="仿宋" w:hAnsi="仿宋" w:eastAsia="仿宋"/>
          <w:color w:val="000000"/>
          <w:sz w:val="30"/>
          <w:szCs w:val="30"/>
        </w:rPr>
      </w:pPr>
      <w:r>
        <w:rPr>
          <w:rFonts w:hint="eastAsia" w:ascii="仿宋" w:hAnsi="仿宋" w:eastAsia="仿宋"/>
          <w:color w:val="000000"/>
          <w:sz w:val="30"/>
          <w:szCs w:val="30"/>
        </w:rPr>
        <w:t>货物类</w:t>
      </w:r>
    </w:p>
    <w:tbl>
      <w:tblPr>
        <w:tblStyle w:val="59"/>
        <w:tblW w:w="90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3"/>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规格</w:t>
            </w:r>
          </w:p>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单位及</w:t>
            </w:r>
          </w:p>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rPr>
      </w:pPr>
      <w:r>
        <w:rPr>
          <w:rFonts w:hint="eastAsia" w:ascii="仿宋" w:hAnsi="仿宋" w:eastAsia="仿宋"/>
          <w:color w:val="000000"/>
          <w:sz w:val="30"/>
          <w:szCs w:val="30"/>
        </w:rPr>
        <w:t>服务类</w:t>
      </w:r>
    </w:p>
    <w:tbl>
      <w:tblPr>
        <w:tblStyle w:val="59"/>
        <w:tblW w:w="90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5"/>
        <w:gridCol w:w="2828"/>
        <w:gridCol w:w="2828"/>
        <w:gridCol w:w="28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序号</w:t>
            </w: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服务内容</w:t>
            </w: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28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28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rPr>
      </w:pPr>
      <w:r>
        <w:rPr>
          <w:rFonts w:hint="eastAsia" w:ascii="仿宋" w:hAnsi="仿宋" w:eastAsia="仿宋"/>
          <w:color w:val="000000"/>
          <w:sz w:val="30"/>
          <w:szCs w:val="30"/>
        </w:rPr>
        <w:t>注：在填写时，如上表不适合本项目的实际情况，可在确保投标明细内容完整的情况下，根据上表格式自行划表填写。</w:t>
      </w:r>
    </w:p>
    <w:p>
      <w:pPr>
        <w:snapToGrid w:val="0"/>
        <w:spacing w:before="120" w:beforeLines="50"/>
        <w:rPr>
          <w:rFonts w:ascii="仿宋" w:hAnsi="仿宋" w:eastAsia="仿宋"/>
          <w:color w:val="000000"/>
          <w:sz w:val="30"/>
          <w:szCs w:val="30"/>
        </w:rPr>
      </w:pPr>
    </w:p>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snapToGrid w:val="0"/>
        <w:spacing w:before="50" w:after="50"/>
        <w:rPr>
          <w:rFonts w:ascii="仿宋" w:hAnsi="仿宋" w:eastAsia="仿宋"/>
          <w:color w:val="000000"/>
          <w:spacing w:val="2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spacing w:val="20"/>
          <w:kern w:val="0"/>
          <w:sz w:val="30"/>
          <w:szCs w:val="30"/>
        </w:rPr>
        <w:br w:type="page"/>
      </w:r>
      <w:r>
        <w:rPr>
          <w:rFonts w:hint="eastAsia" w:ascii="仿宋" w:hAnsi="仿宋" w:eastAsia="仿宋"/>
          <w:color w:val="000000"/>
          <w:sz w:val="30"/>
          <w:szCs w:val="30"/>
        </w:rPr>
        <w:t>附件12：</w:t>
      </w:r>
    </w:p>
    <w:p>
      <w:pPr>
        <w:snapToGrid w:val="0"/>
        <w:spacing w:before="50" w:after="120" w:afterLines="50"/>
        <w:jc w:val="center"/>
        <w:rPr>
          <w:rFonts w:ascii="仿宋" w:hAnsi="仿宋" w:eastAsia="仿宋"/>
          <w:b/>
          <w:color w:val="000000"/>
          <w:spacing w:val="40"/>
          <w:kern w:val="0"/>
          <w:sz w:val="36"/>
          <w:szCs w:val="36"/>
        </w:rPr>
      </w:pPr>
      <w:r>
        <w:rPr>
          <w:rFonts w:hint="eastAsia" w:ascii="仿宋" w:hAnsi="仿宋" w:eastAsia="仿宋"/>
          <w:b/>
          <w:color w:val="000000"/>
          <w:spacing w:val="40"/>
          <w:kern w:val="0"/>
          <w:sz w:val="36"/>
          <w:szCs w:val="36"/>
        </w:rPr>
        <w:t>技 术 响 应 表</w:t>
      </w:r>
    </w:p>
    <w:p>
      <w:pPr>
        <w:snapToGrid w:val="0"/>
        <w:spacing w:before="50" w:after="120" w:afterLines="50"/>
        <w:rPr>
          <w:rFonts w:ascii="仿宋" w:hAnsi="仿宋" w:eastAsia="仿宋"/>
          <w:b/>
          <w:color w:val="000000"/>
          <w:sz w:val="32"/>
          <w:szCs w:val="32"/>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53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7"/>
        <w:gridCol w:w="24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ascii="仿宋" w:hAnsi="仿宋" w:eastAsia="仿宋"/>
                <w:color w:val="000000"/>
                <w:sz w:val="30"/>
                <w:szCs w:val="30"/>
              </w:rPr>
            </w:pPr>
            <w:r>
              <w:rPr>
                <w:rFonts w:hint="eastAsia" w:ascii="仿宋" w:hAnsi="仿宋" w:eastAsia="仿宋"/>
                <w:color w:val="000000"/>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ascii="仿宋" w:hAnsi="仿宋" w:eastAsia="仿宋"/>
                <w:color w:val="000000"/>
                <w:sz w:val="30"/>
                <w:szCs w:val="30"/>
              </w:rPr>
            </w:pPr>
            <w:r>
              <w:rPr>
                <w:rFonts w:hint="eastAsia" w:ascii="仿宋" w:hAnsi="仿宋" w:eastAsia="仿宋"/>
                <w:color w:val="000000"/>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ascii="仿宋" w:hAnsi="仿宋" w:eastAsia="仿宋"/>
                <w:color w:val="000000"/>
                <w:kern w:val="0"/>
                <w:sz w:val="30"/>
                <w:szCs w:val="30"/>
              </w:rPr>
            </w:pPr>
            <w:r>
              <w:rPr>
                <w:rFonts w:hint="eastAsia" w:ascii="仿宋" w:hAnsi="仿宋" w:eastAsia="仿宋"/>
                <w:color w:val="000000"/>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nil"/>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bl>
    <w:p>
      <w:pPr>
        <w:pStyle w:val="23"/>
        <w:rPr>
          <w:rFonts w:ascii="仿宋" w:hAnsi="仿宋" w:eastAsia="仿宋"/>
          <w:color w:val="000000"/>
          <w:spacing w:val="20"/>
          <w:kern w:val="0"/>
          <w:sz w:val="30"/>
          <w:szCs w:val="30"/>
        </w:rPr>
      </w:pPr>
      <w:r>
        <w:rPr>
          <w:rFonts w:hint="eastAsia" w:ascii="仿宋" w:hAnsi="仿宋" w:eastAsia="仿宋"/>
          <w:color w:val="000000"/>
          <w:sz w:val="30"/>
          <w:szCs w:val="30"/>
        </w:rPr>
        <w:t>注：投标人应根据投标设备的性能指标、对照招标文件要求在“偏离情况”栏注明“正偏离”、“负偏离”或“无偏离”。</w:t>
      </w:r>
    </w:p>
    <w:p>
      <w:pPr>
        <w:snapToGrid w:val="0"/>
        <w:spacing w:before="50" w:after="50"/>
        <w:rPr>
          <w:rFonts w:ascii="仿宋" w:hAnsi="仿宋" w:eastAsia="仿宋"/>
          <w:color w:val="000000"/>
          <w:spacing w:val="2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spacing w:val="20"/>
          <w:sz w:val="30"/>
          <w:szCs w:val="30"/>
        </w:rPr>
        <w:t>授权代表签名：          日 期：</w:t>
      </w:r>
    </w:p>
    <w:p>
      <w:pPr>
        <w:snapToGrid w:val="0"/>
        <w:spacing w:before="50" w:after="120" w:afterLines="50"/>
        <w:jc w:val="left"/>
        <w:rPr>
          <w:rFonts w:ascii="仿宋" w:hAnsi="仿宋" w:eastAsia="仿宋"/>
          <w:color w:val="00000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附件13：</w:t>
      </w:r>
    </w:p>
    <w:p>
      <w:pPr>
        <w:snapToGrid w:val="0"/>
        <w:spacing w:before="50" w:after="120" w:afterLines="50"/>
        <w:jc w:val="center"/>
        <w:rPr>
          <w:rFonts w:ascii="仿宋" w:hAnsi="仿宋" w:eastAsia="仿宋"/>
          <w:b/>
          <w:color w:val="000000"/>
          <w:kern w:val="0"/>
          <w:sz w:val="36"/>
          <w:szCs w:val="36"/>
        </w:rPr>
      </w:pPr>
      <w:r>
        <w:rPr>
          <w:rFonts w:hint="eastAsia" w:ascii="仿宋" w:hAnsi="仿宋" w:eastAsia="仿宋"/>
          <w:b/>
          <w:color w:val="000000"/>
          <w:kern w:val="0"/>
          <w:sz w:val="36"/>
          <w:szCs w:val="36"/>
        </w:rPr>
        <w:t>项目组人员清单</w:t>
      </w:r>
    </w:p>
    <w:p>
      <w:pPr>
        <w:snapToGrid w:val="0"/>
        <w:spacing w:before="120" w:beforeLines="50" w:after="50"/>
        <w:rPr>
          <w:rFonts w:ascii="仿宋" w:hAnsi="仿宋" w:eastAsia="仿宋"/>
          <w:b/>
          <w:color w:val="000000"/>
          <w:sz w:val="30"/>
          <w:szCs w:val="30"/>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530"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3"/>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sz w:val="30"/>
                <w:szCs w:val="30"/>
              </w:rPr>
            </w:pPr>
            <w:r>
              <w:rPr>
                <w:rFonts w:hint="eastAsia" w:ascii="仿宋" w:hAnsi="仿宋" w:eastAsia="仿宋"/>
                <w:color w:val="000000"/>
                <w:sz w:val="30"/>
                <w:szCs w:val="30"/>
              </w:rPr>
              <w:t>姓名</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sz w:val="30"/>
                <w:szCs w:val="30"/>
              </w:rPr>
            </w:pPr>
            <w:r>
              <w:rPr>
                <w:rFonts w:hint="eastAsia" w:ascii="仿宋" w:hAnsi="仿宋" w:eastAsia="仿宋"/>
                <w:color w:val="000000"/>
                <w:sz w:val="30"/>
                <w:szCs w:val="30"/>
              </w:rPr>
              <w:t>职务</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专业技</w:t>
            </w:r>
          </w:p>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术资格</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证书</w:t>
            </w:r>
          </w:p>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编号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劳动合</w:t>
            </w:r>
          </w:p>
          <w:p>
            <w:pPr>
              <w:snapToGrid w:val="0"/>
              <w:spacing w:before="120"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pStyle w:val="34"/>
              <w:snapToGrid w:val="0"/>
              <w:spacing w:before="120" w:beforeLines="50" w:after="120" w:line="460" w:lineRule="exact"/>
              <w:ind w:left="5250"/>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bl>
    <w:p>
      <w:pPr>
        <w:snapToGrid w:val="0"/>
        <w:spacing w:before="50" w:after="120" w:afterLines="50" w:line="460" w:lineRule="exact"/>
        <w:jc w:val="left"/>
        <w:rPr>
          <w:rFonts w:ascii="仿宋" w:hAnsi="仿宋" w:eastAsia="仿宋"/>
          <w:color w:val="000000"/>
          <w:sz w:val="30"/>
          <w:szCs w:val="30"/>
        </w:rPr>
      </w:pPr>
      <w:r>
        <w:rPr>
          <w:rFonts w:hint="eastAsia" w:ascii="仿宋" w:hAnsi="仿宋" w:eastAsia="仿宋"/>
          <w:color w:val="000000"/>
          <w:sz w:val="30"/>
          <w:szCs w:val="30"/>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color w:val="000000"/>
          <w:sz w:val="30"/>
          <w:szCs w:val="30"/>
        </w:rPr>
      </w:pPr>
    </w:p>
    <w:p>
      <w:pPr>
        <w:snapToGrid w:val="0"/>
        <w:spacing w:before="50" w:after="50" w:line="460" w:lineRule="exact"/>
        <w:rPr>
          <w:rFonts w:ascii="仿宋" w:hAnsi="仿宋" w:eastAsia="仿宋"/>
          <w:color w:val="000000"/>
          <w:spacing w:val="20"/>
          <w:sz w:val="30"/>
          <w:szCs w:val="30"/>
          <w:u w:val="single"/>
        </w:rPr>
      </w:pPr>
      <w:r>
        <w:rPr>
          <w:rFonts w:hint="eastAsia" w:ascii="仿宋" w:hAnsi="仿宋" w:eastAsia="仿宋"/>
          <w:color w:val="000000"/>
          <w:spacing w:val="20"/>
          <w:sz w:val="30"/>
          <w:szCs w:val="30"/>
        </w:rPr>
        <w:t>授权代表签名： 日  期：</w:t>
      </w:r>
    </w:p>
    <w:p>
      <w:pPr>
        <w:snapToGrid w:val="0"/>
        <w:spacing w:before="50" w:after="120" w:afterLines="50" w:line="460" w:lineRule="exact"/>
        <w:jc w:val="left"/>
        <w:rPr>
          <w:rFonts w:ascii="仿宋" w:hAnsi="仿宋" w:eastAsia="仿宋"/>
          <w:color w:val="000000"/>
          <w:sz w:val="30"/>
          <w:szCs w:val="30"/>
        </w:rPr>
      </w:pPr>
    </w:p>
    <w:p>
      <w:pPr>
        <w:pStyle w:val="31"/>
        <w:snapToGrid w:val="0"/>
        <w:spacing w:before="120" w:after="120" w:line="460" w:lineRule="exact"/>
        <w:rPr>
          <w:rFonts w:ascii="仿宋" w:hAnsi="仿宋" w:eastAsia="仿宋"/>
          <w:color w:val="000000"/>
          <w:sz w:val="30"/>
          <w:szCs w:val="30"/>
        </w:rPr>
      </w:pPr>
    </w:p>
    <w:p>
      <w:pPr>
        <w:snapToGrid w:val="0"/>
        <w:spacing w:before="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附件14：</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商务响应表</w:t>
      </w:r>
    </w:p>
    <w:p>
      <w:pPr>
        <w:snapToGrid w:val="0"/>
        <w:spacing w:before="50"/>
        <w:jc w:val="center"/>
        <w:rPr>
          <w:rFonts w:ascii="仿宋" w:hAnsi="仿宋" w:eastAsia="仿宋"/>
          <w:b/>
          <w:color w:val="000000"/>
          <w:sz w:val="32"/>
          <w:szCs w:val="32"/>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7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3"/>
        <w:gridCol w:w="2699"/>
        <w:gridCol w:w="1259"/>
        <w:gridCol w:w="30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项目</w:t>
            </w:r>
          </w:p>
        </w:tc>
        <w:tc>
          <w:tcPr>
            <w:tcW w:w="269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招标文件要求</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是否</w:t>
            </w:r>
          </w:p>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响应</w:t>
            </w:r>
          </w:p>
        </w:tc>
        <w:tc>
          <w:tcPr>
            <w:tcW w:w="30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项目工期（交货期）及地点</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付款条件</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违约责任及争议解决方式</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项目维护计划</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响应情况</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技术培训</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投标人技术力量情况</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经验或业绩要求</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r>
              <w:rPr>
                <w:rFonts w:hint="eastAsia" w:ascii="仿宋" w:hAnsi="仿宋" w:eastAsia="仿宋"/>
                <w:color w:val="000000"/>
                <w:sz w:val="30"/>
                <w:szCs w:val="30"/>
              </w:rPr>
              <w:t>……</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b/>
                <w:bCs/>
                <w:color w:val="000000"/>
                <w:sz w:val="30"/>
                <w:szCs w:val="30"/>
              </w:rPr>
            </w:pPr>
          </w:p>
        </w:tc>
      </w:tr>
    </w:tbl>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widowControl/>
        <w:jc w:val="left"/>
        <w:rPr>
          <w:rFonts w:ascii="仿宋" w:hAnsi="仿宋" w:eastAsia="仿宋"/>
          <w:color w:val="000000"/>
          <w:kern w:val="0"/>
          <w:sz w:val="30"/>
          <w:szCs w:val="30"/>
        </w:rPr>
        <w:sectPr>
          <w:footerReference r:id="rId3" w:type="default"/>
          <w:pgSz w:w="11906" w:h="16838"/>
          <w:pgMar w:top="1474" w:right="1797" w:bottom="1247" w:left="1797" w:header="851" w:footer="851" w:gutter="0"/>
          <w:cols w:space="720" w:num="1"/>
        </w:sectPr>
      </w:pPr>
    </w:p>
    <w:p>
      <w:pPr>
        <w:snapToGrid w:val="0"/>
        <w:spacing w:before="50" w:after="120" w:afterLines="50"/>
        <w:jc w:val="left"/>
        <w:rPr>
          <w:rFonts w:ascii="仿宋" w:hAnsi="仿宋" w:eastAsia="仿宋"/>
          <w:color w:val="000000"/>
          <w:sz w:val="30"/>
          <w:szCs w:val="30"/>
        </w:rPr>
      </w:pPr>
      <w:r>
        <w:rPr>
          <w:rFonts w:hint="eastAsia" w:ascii="仿宋" w:hAnsi="仿宋" w:eastAsia="仿宋"/>
          <w:color w:val="000000"/>
          <w:sz w:val="30"/>
          <w:szCs w:val="30"/>
        </w:rPr>
        <w:t>附件15：</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投标人业绩情况一览表</w:t>
      </w: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w:t>
      </w:r>
    </w:p>
    <w:tbl>
      <w:tblPr>
        <w:tblStyle w:val="59"/>
        <w:tblW w:w="1397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9"/>
        <w:gridCol w:w="3421"/>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w:t>
            </w:r>
          </w:p>
          <w:p>
            <w:pPr>
              <w:snapToGrid w:val="0"/>
              <w:jc w:val="center"/>
              <w:rPr>
                <w:rFonts w:ascii="仿宋" w:hAnsi="仿宋" w:eastAsia="仿宋"/>
                <w:color w:val="000000"/>
                <w:sz w:val="30"/>
                <w:szCs w:val="30"/>
              </w:rPr>
            </w:pPr>
            <w:r>
              <w:rPr>
                <w:rFonts w:hint="eastAsia" w:ascii="仿宋" w:hAnsi="仿宋" w:eastAsia="仿宋"/>
                <w:color w:val="000000"/>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合同</w:t>
            </w:r>
          </w:p>
          <w:p>
            <w:pPr>
              <w:snapToGrid w:val="0"/>
              <w:jc w:val="center"/>
              <w:rPr>
                <w:rFonts w:ascii="仿宋" w:hAnsi="仿宋" w:eastAsia="仿宋"/>
                <w:color w:val="000000"/>
                <w:sz w:val="30"/>
                <w:szCs w:val="30"/>
              </w:rPr>
            </w:pPr>
            <w:r>
              <w:rPr>
                <w:rFonts w:hint="eastAsia" w:ascii="仿宋" w:hAnsi="仿宋" w:eastAsia="仿宋"/>
                <w:color w:val="000000"/>
                <w:sz w:val="30"/>
                <w:szCs w:val="30"/>
              </w:rPr>
              <w:t>金额</w:t>
            </w:r>
          </w:p>
          <w:p>
            <w:pPr>
              <w:snapToGrid w:val="0"/>
              <w:jc w:val="center"/>
              <w:rPr>
                <w:rFonts w:ascii="仿宋" w:hAnsi="仿宋" w:eastAsia="仿宋"/>
                <w:color w:val="000000"/>
                <w:sz w:val="30"/>
                <w:szCs w:val="30"/>
              </w:rPr>
            </w:pPr>
            <w:r>
              <w:rPr>
                <w:rFonts w:hint="eastAsia" w:ascii="仿宋" w:hAnsi="仿宋" w:eastAsia="仿宋"/>
                <w:color w:val="000000"/>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采购单位联系人及</w:t>
            </w:r>
          </w:p>
          <w:p>
            <w:pPr>
              <w:snapToGrid w:val="0"/>
              <w:jc w:val="center"/>
              <w:rPr>
                <w:rFonts w:ascii="仿宋" w:hAnsi="仿宋" w:eastAsia="仿宋"/>
                <w:color w:val="000000"/>
                <w:sz w:val="30"/>
                <w:szCs w:val="30"/>
              </w:rPr>
            </w:pPr>
            <w:r>
              <w:rPr>
                <w:rFonts w:hint="eastAsia" w:ascii="仿宋" w:hAnsi="仿宋" w:eastAsia="仿宋"/>
                <w:color w:val="000000"/>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13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合</w:t>
            </w:r>
          </w:p>
          <w:p>
            <w:pPr>
              <w:snapToGrid w:val="0"/>
              <w:jc w:val="center"/>
              <w:rPr>
                <w:rFonts w:ascii="仿宋" w:hAnsi="仿宋" w:eastAsia="仿宋"/>
                <w:color w:val="000000"/>
                <w:sz w:val="30"/>
                <w:szCs w:val="30"/>
              </w:rPr>
            </w:pPr>
            <w:r>
              <w:rPr>
                <w:rFonts w:hint="eastAsia" w:ascii="仿宋" w:hAnsi="仿宋" w:eastAsia="仿宋"/>
                <w:color w:val="000000"/>
                <w:sz w:val="30"/>
                <w:szCs w:val="30"/>
              </w:rPr>
              <w:t>同</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验收</w:t>
            </w:r>
          </w:p>
          <w:p>
            <w:pPr>
              <w:snapToGrid w:val="0"/>
              <w:jc w:val="center"/>
              <w:rPr>
                <w:rFonts w:ascii="仿宋" w:hAnsi="仿宋" w:eastAsia="仿宋"/>
                <w:color w:val="000000"/>
                <w:sz w:val="30"/>
                <w:szCs w:val="30"/>
              </w:rPr>
            </w:pPr>
            <w:r>
              <w:rPr>
                <w:rFonts w:hint="eastAsia" w:ascii="仿宋" w:hAnsi="仿宋" w:eastAsia="仿宋"/>
                <w:color w:val="000000"/>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center"/>
              <w:rPr>
                <w:rFonts w:ascii="仿宋" w:hAnsi="仿宋" w:eastAsia="仿宋"/>
                <w:color w:val="000000"/>
                <w:sz w:val="30"/>
                <w:szCs w:val="30"/>
              </w:rPr>
            </w:pPr>
            <w:r>
              <w:rPr>
                <w:rFonts w:hint="eastAsia" w:ascii="仿宋" w:hAnsi="仿宋" w:eastAsia="仿宋"/>
                <w:color w:val="000000"/>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r>
              <w:rPr>
                <w:rFonts w:hint="eastAsia" w:ascii="仿宋" w:hAnsi="仿宋" w:eastAsia="仿宋"/>
                <w:color w:val="000000"/>
                <w:sz w:val="32"/>
                <w:szCs w:val="32"/>
              </w:rPr>
              <w:t>提供投标人同类项目合同复印件、用户验收报告（如有）。</w:t>
            </w:r>
          </w:p>
        </w:tc>
      </w:tr>
    </w:tbl>
    <w:p>
      <w:pPr>
        <w:pStyle w:val="18"/>
        <w:snapToGrid w:val="0"/>
        <w:spacing w:before="240"/>
        <w:rPr>
          <w:rFonts w:ascii="仿宋" w:hAnsi="仿宋" w:eastAsia="仿宋"/>
          <w:color w:val="000000"/>
          <w:kern w:val="0"/>
          <w:sz w:val="30"/>
          <w:szCs w:val="30"/>
        </w:rPr>
      </w:pPr>
      <w:r>
        <w:rPr>
          <w:rFonts w:hint="eastAsia" w:ascii="仿宋" w:hAnsi="仿宋" w:eastAsia="仿宋"/>
          <w:color w:val="000000"/>
          <w:sz w:val="30"/>
          <w:szCs w:val="30"/>
        </w:rPr>
        <w:t>授权代表签名：</w:t>
      </w:r>
      <w:r>
        <w:rPr>
          <w:rFonts w:hint="eastAsia" w:ascii="仿宋" w:hAnsi="仿宋" w:eastAsia="仿宋"/>
          <w:color w:val="000000"/>
          <w:sz w:val="30"/>
          <w:szCs w:val="30"/>
          <w:u w:val="single"/>
        </w:rPr>
        <w:t>　　　　　</w:t>
      </w:r>
      <w:r>
        <w:rPr>
          <w:rFonts w:hint="eastAsia" w:ascii="仿宋" w:hAnsi="仿宋" w:eastAsia="仿宋"/>
          <w:color w:val="000000"/>
          <w:sz w:val="30"/>
          <w:szCs w:val="30"/>
        </w:rPr>
        <w:t xml:space="preserve">                                            时  间：</w:t>
      </w:r>
    </w:p>
    <w:p>
      <w:pPr>
        <w:widowControl/>
        <w:jc w:val="left"/>
        <w:rPr>
          <w:rFonts w:ascii="仿宋" w:hAnsi="仿宋" w:eastAsia="仿宋"/>
          <w:color w:val="000000"/>
          <w:kern w:val="0"/>
          <w:sz w:val="30"/>
          <w:szCs w:val="30"/>
        </w:rPr>
        <w:sectPr>
          <w:pgSz w:w="16838" w:h="11906" w:orient="landscape"/>
          <w:pgMar w:top="1797" w:right="1474" w:bottom="1797" w:left="1247" w:header="851" w:footer="851" w:gutter="0"/>
          <w:cols w:space="720" w:num="1"/>
        </w:sectPr>
      </w:pPr>
    </w:p>
    <w:p>
      <w:pPr>
        <w:snapToGrid w:val="0"/>
        <w:spacing w:before="120" w:beforeLines="50" w:after="50"/>
        <w:rPr>
          <w:rFonts w:ascii="仿宋" w:hAnsi="仿宋" w:eastAsia="仿宋"/>
          <w:b/>
          <w:color w:val="000000"/>
          <w:sz w:val="30"/>
          <w:szCs w:val="30"/>
        </w:rPr>
      </w:pPr>
      <w:r>
        <w:rPr>
          <w:rFonts w:hint="eastAsia" w:ascii="仿宋" w:hAnsi="仿宋" w:eastAsia="仿宋"/>
          <w:color w:val="000000"/>
          <w:sz w:val="30"/>
          <w:szCs w:val="30"/>
        </w:rPr>
        <w:t>附件16</w:t>
      </w:r>
      <w:r>
        <w:rPr>
          <w:rFonts w:hint="eastAsia" w:ascii="仿宋" w:hAnsi="仿宋" w:eastAsia="仿宋"/>
          <w:b/>
          <w:color w:val="000000"/>
          <w:sz w:val="30"/>
          <w:szCs w:val="30"/>
        </w:rPr>
        <w:t xml:space="preserve">：                                    </w:t>
      </w:r>
    </w:p>
    <w:p>
      <w:pPr>
        <w:spacing w:before="240" w:beforeLines="100" w:line="240" w:lineRule="atLeast"/>
        <w:jc w:val="center"/>
        <w:rPr>
          <w:rFonts w:hint="eastAsia" w:ascii="仿宋" w:hAnsi="仿宋" w:eastAsia="仿宋"/>
          <w:b/>
          <w:color w:val="000000"/>
          <w:spacing w:val="40"/>
          <w:sz w:val="52"/>
          <w:szCs w:val="52"/>
        </w:rPr>
      </w:pPr>
      <w:bookmarkStart w:id="44" w:name="PO_1000000445_PM002_1"/>
      <w:r>
        <w:rPr>
          <w:rFonts w:hint="eastAsia" w:ascii="仿宋" w:hAnsi="仿宋" w:eastAsia="仿宋"/>
          <w:b/>
          <w:color w:val="000000"/>
          <w:spacing w:val="40"/>
          <w:sz w:val="52"/>
          <w:szCs w:val="52"/>
        </w:rPr>
        <w:t>浙江财经大学经管实验中心实验室建设四期项目</w:t>
      </w:r>
      <w:bookmarkEnd w:id="44"/>
    </w:p>
    <w:p>
      <w:pPr>
        <w:spacing w:before="240"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45" w:name="PO_1000000445_PM001"/>
      <w:r>
        <w:rPr>
          <w:rFonts w:hint="eastAsia" w:ascii="仿宋" w:hAnsi="仿宋" w:eastAsia="仿宋"/>
          <w:b/>
          <w:color w:val="000000"/>
          <w:sz w:val="36"/>
          <w:szCs w:val="36"/>
        </w:rPr>
        <w:t>ZZCG2024H-GK-102</w:t>
      </w:r>
      <w:bookmarkEnd w:id="45"/>
      <w:r>
        <w:rPr>
          <w:rFonts w:hint="eastAsia" w:ascii="仿宋" w:hAnsi="仿宋" w:eastAsia="仿宋"/>
          <w:color w:val="000000"/>
          <w:sz w:val="36"/>
          <w:szCs w:val="36"/>
        </w:rPr>
        <w:t>（标项  ）</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报</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价</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件</w:t>
      </w:r>
    </w:p>
    <w:p>
      <w:pPr>
        <w:spacing w:line="500" w:lineRule="exact"/>
        <w:ind w:right="532"/>
        <w:jc w:val="center"/>
        <w:rPr>
          <w:rFonts w:ascii="仿宋" w:hAnsi="仿宋" w:eastAsia="仿宋"/>
          <w:color w:val="000000"/>
          <w:sz w:val="36"/>
          <w:szCs w:val="36"/>
        </w:rPr>
      </w:pPr>
    </w:p>
    <w:p>
      <w:pPr>
        <w:spacing w:line="5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wordWrap w:val="0"/>
        <w:spacing w:line="5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wordWrap w:val="0"/>
        <w:spacing w:line="5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color w:val="000000"/>
          <w:sz w:val="30"/>
          <w:szCs w:val="30"/>
        </w:rPr>
      </w:pPr>
    </w:p>
    <w:p>
      <w:pPr>
        <w:pStyle w:val="34"/>
        <w:snapToGrid w:val="0"/>
        <w:spacing w:after="120"/>
        <w:ind w:left="0" w:leftChars="0"/>
        <w:rPr>
          <w:rFonts w:ascii="仿宋" w:hAnsi="仿宋" w:eastAsia="仿宋"/>
          <w:b/>
          <w:color w:val="000000"/>
          <w:sz w:val="36"/>
          <w:szCs w:val="36"/>
        </w:rPr>
      </w:pPr>
      <w:r>
        <w:rPr>
          <w:rFonts w:hint="eastAsia" w:ascii="仿宋" w:hAnsi="仿宋" w:eastAsia="仿宋"/>
          <w:color w:val="000000"/>
          <w:kern w:val="0"/>
          <w:sz w:val="36"/>
          <w:szCs w:val="36"/>
        </w:rPr>
        <w:br w:type="page"/>
      </w:r>
      <w:r>
        <w:rPr>
          <w:rFonts w:hint="eastAsia" w:ascii="仿宋" w:hAnsi="仿宋" w:eastAsia="仿宋"/>
          <w:color w:val="000000"/>
          <w:sz w:val="36"/>
          <w:szCs w:val="36"/>
        </w:rPr>
        <w:t>3、</w:t>
      </w:r>
      <w:r>
        <w:rPr>
          <w:rFonts w:hint="eastAsia" w:ascii="仿宋" w:hAnsi="仿宋" w:eastAsia="仿宋"/>
          <w:b/>
          <w:color w:val="000000"/>
          <w:sz w:val="36"/>
          <w:szCs w:val="36"/>
        </w:rPr>
        <w:t>报价文件目录</w:t>
      </w:r>
    </w:p>
    <w:p>
      <w:pPr>
        <w:rPr>
          <w:rFonts w:ascii="仿宋" w:hAnsi="仿宋" w:eastAsia="仿宋"/>
          <w:color w:val="000000"/>
        </w:rPr>
      </w:pPr>
    </w:p>
    <w:p>
      <w:pPr>
        <w:pStyle w:val="34"/>
        <w:snapToGrid w:val="0"/>
        <w:spacing w:after="120" w:line="460" w:lineRule="exact"/>
        <w:ind w:left="0" w:leftChars="0"/>
        <w:rPr>
          <w:rFonts w:ascii="仿宋" w:hAnsi="仿宋" w:eastAsia="仿宋"/>
          <w:color w:val="000000"/>
          <w:sz w:val="30"/>
          <w:szCs w:val="30"/>
        </w:rPr>
      </w:pPr>
      <w:r>
        <w:rPr>
          <w:rFonts w:hint="eastAsia" w:ascii="仿宋" w:hAnsi="仿宋" w:eastAsia="仿宋"/>
          <w:color w:val="000000"/>
          <w:sz w:val="30"/>
          <w:szCs w:val="30"/>
        </w:rPr>
        <w:t>（1）开标一览表（见附件17）；</w:t>
      </w:r>
    </w:p>
    <w:p>
      <w:pPr>
        <w:pStyle w:val="34"/>
        <w:snapToGrid w:val="0"/>
        <w:spacing w:after="120" w:line="460" w:lineRule="exact"/>
        <w:ind w:left="0" w:leftChars="0"/>
        <w:rPr>
          <w:rFonts w:ascii="仿宋" w:hAnsi="仿宋" w:eastAsia="仿宋"/>
          <w:color w:val="000000"/>
          <w:sz w:val="30"/>
          <w:szCs w:val="30"/>
        </w:rPr>
      </w:pPr>
      <w:r>
        <w:rPr>
          <w:rFonts w:hint="eastAsia" w:ascii="仿宋" w:hAnsi="仿宋" w:eastAsia="仿宋"/>
          <w:color w:val="000000"/>
          <w:sz w:val="30"/>
          <w:szCs w:val="30"/>
        </w:rPr>
        <w:t>（2）投标人针对报价需要说明的其他文件和说明（格式自拟）；</w:t>
      </w:r>
    </w:p>
    <w:p>
      <w:pPr>
        <w:pStyle w:val="31"/>
        <w:snapToGrid w:val="0"/>
        <w:spacing w:before="120" w:after="120" w:line="240" w:lineRule="auto"/>
        <w:jc w:val="left"/>
        <w:rPr>
          <w:rFonts w:ascii="仿宋" w:hAnsi="仿宋" w:eastAsia="仿宋"/>
          <w:b/>
          <w:color w:val="000000"/>
          <w:sz w:val="36"/>
          <w:szCs w:val="36"/>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附件17：</w:t>
      </w:r>
    </w:p>
    <w:p>
      <w:pPr>
        <w:pStyle w:val="31"/>
        <w:snapToGrid w:val="0"/>
        <w:spacing w:before="120" w:after="120" w:line="240" w:lineRule="auto"/>
        <w:ind w:firstLine="1084" w:firstLineChars="300"/>
        <w:jc w:val="center"/>
        <w:rPr>
          <w:rFonts w:hAnsi="宋体"/>
          <w:b/>
          <w:color w:val="000000"/>
          <w:sz w:val="36"/>
          <w:szCs w:val="36"/>
        </w:rPr>
      </w:pPr>
      <w:r>
        <w:rPr>
          <w:rFonts w:hint="eastAsia" w:hAnsi="宋体"/>
          <w:b/>
          <w:color w:val="000000"/>
          <w:sz w:val="36"/>
          <w:szCs w:val="36"/>
        </w:rPr>
        <w:t>开 标 一 览 表</w:t>
      </w:r>
    </w:p>
    <w:p>
      <w:pPr>
        <w:pStyle w:val="31"/>
        <w:snapToGrid w:val="0"/>
        <w:spacing w:before="120" w:after="120" w:line="240" w:lineRule="auto"/>
        <w:ind w:firstLine="1084" w:firstLineChars="300"/>
        <w:jc w:val="center"/>
        <w:rPr>
          <w:rFonts w:ascii="仿宋" w:hAnsi="仿宋" w:eastAsia="仿宋"/>
          <w:b/>
          <w:color w:val="000000"/>
          <w:sz w:val="36"/>
          <w:szCs w:val="36"/>
        </w:rPr>
      </w:pPr>
    </w:p>
    <w:p>
      <w:pPr>
        <w:snapToGrid w:val="0"/>
        <w:rPr>
          <w:rFonts w:ascii="仿宋" w:hAnsi="仿宋" w:eastAsia="仿宋"/>
          <w:color w:val="000000"/>
          <w:sz w:val="28"/>
          <w:szCs w:val="28"/>
          <w:u w:val="single"/>
        </w:rPr>
      </w:pPr>
      <w:r>
        <w:rPr>
          <w:rFonts w:hint="eastAsia" w:ascii="仿宋" w:hAnsi="仿宋" w:eastAsia="仿宋"/>
          <w:color w:val="000000"/>
          <w:sz w:val="28"/>
          <w:szCs w:val="28"/>
        </w:rPr>
        <w:t>投标人全称（公章）：</w:t>
      </w:r>
      <w:r>
        <w:rPr>
          <w:rFonts w:hint="eastAsia" w:ascii="仿宋" w:hAnsi="仿宋" w:eastAsia="仿宋"/>
          <w:color w:val="000000"/>
          <w:sz w:val="28"/>
          <w:szCs w:val="28"/>
          <w:u w:val="single"/>
        </w:rPr>
        <w:t xml:space="preserve">               </w:t>
      </w:r>
    </w:p>
    <w:p>
      <w:pPr>
        <w:snapToGrid w:val="0"/>
        <w:rPr>
          <w:rFonts w:ascii="仿宋" w:hAnsi="仿宋" w:eastAsia="仿宋"/>
          <w:color w:val="000000"/>
          <w:sz w:val="28"/>
          <w:szCs w:val="28"/>
        </w:rPr>
      </w:pPr>
    </w:p>
    <w:p>
      <w:pPr>
        <w:snapToGrid w:val="0"/>
        <w:rPr>
          <w:rFonts w:ascii="仿宋" w:hAnsi="仿宋" w:eastAsia="仿宋"/>
          <w:b/>
          <w:color w:val="000000"/>
          <w:sz w:val="28"/>
          <w:szCs w:val="28"/>
          <w:u w:val="single"/>
        </w:rPr>
      </w:pPr>
      <w:r>
        <w:rPr>
          <w:rFonts w:hint="eastAsia" w:ascii="仿宋" w:hAnsi="仿宋" w:eastAsia="仿宋"/>
          <w:color w:val="000000"/>
          <w:sz w:val="28"/>
          <w:szCs w:val="28"/>
        </w:rPr>
        <w:t>招标编号及标项：</w:t>
      </w:r>
      <w:r>
        <w:rPr>
          <w:rFonts w:hint="eastAsia" w:ascii="仿宋" w:hAnsi="仿宋" w:eastAsia="仿宋"/>
          <w:color w:val="000000"/>
          <w:sz w:val="28"/>
          <w:szCs w:val="28"/>
          <w:u w:val="single"/>
        </w:rPr>
        <w:t xml:space="preserve">                 </w:t>
      </w:r>
    </w:p>
    <w:p>
      <w:pPr>
        <w:snapToGrid w:val="0"/>
        <w:rPr>
          <w:rFonts w:ascii="仿宋" w:hAnsi="仿宋" w:eastAsia="仿宋"/>
          <w:b/>
          <w:color w:val="000000"/>
          <w:sz w:val="24"/>
          <w:szCs w:val="24"/>
          <w:u w:val="single"/>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852"/>
        <w:gridCol w:w="1029"/>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180"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货物</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名称</w:t>
            </w:r>
          </w:p>
        </w:tc>
        <w:tc>
          <w:tcPr>
            <w:tcW w:w="67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品牌</w:t>
            </w:r>
          </w:p>
        </w:tc>
        <w:tc>
          <w:tcPr>
            <w:tcW w:w="85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产地</w:t>
            </w:r>
          </w:p>
        </w:tc>
        <w:tc>
          <w:tcPr>
            <w:tcW w:w="1029"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规格</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型号</w:t>
            </w:r>
          </w:p>
        </w:tc>
        <w:tc>
          <w:tcPr>
            <w:tcW w:w="957"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数量</w:t>
            </w:r>
          </w:p>
        </w:tc>
        <w:tc>
          <w:tcPr>
            <w:tcW w:w="85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单价</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（元）</w:t>
            </w:r>
          </w:p>
        </w:tc>
        <w:tc>
          <w:tcPr>
            <w:tcW w:w="891"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7827"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67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02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5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91"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Cs w:val="21"/>
              </w:rPr>
              <w:t>是否中小企业</w:t>
            </w: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企业全称</w:t>
            </w: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中小企业商号或注册商标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仿宋" w:hAnsi="仿宋" w:eastAsia="仿宋"/>
                <w:b/>
                <w:color w:val="000000"/>
                <w:sz w:val="24"/>
                <w:szCs w:val="24"/>
              </w:rPr>
            </w:pPr>
            <w:r>
              <w:rPr>
                <w:rFonts w:hint="eastAsia" w:ascii="仿宋" w:hAnsi="仿宋" w:eastAsia="仿宋"/>
                <w:b/>
                <w:color w:val="000000"/>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备注</w:t>
            </w:r>
          </w:p>
        </w:tc>
        <w:tc>
          <w:tcPr>
            <w:tcW w:w="8647"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4"/>
                <w:szCs w:val="24"/>
              </w:rPr>
            </w:pPr>
            <w:r>
              <w:rPr>
                <w:rFonts w:hint="eastAsia" w:ascii="仿宋" w:hAnsi="仿宋" w:eastAsia="仿宋"/>
                <w:color w:val="000000"/>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sz w:val="24"/>
                <w:szCs w:val="24"/>
              </w:rPr>
            </w:pPr>
            <w:r>
              <w:rPr>
                <w:rFonts w:hint="eastAsia" w:ascii="仿宋" w:hAnsi="仿宋" w:eastAsia="仿宋"/>
                <w:color w:val="000000"/>
                <w:sz w:val="24"/>
                <w:szCs w:val="24"/>
              </w:rPr>
              <w:t>2.报价要求：项目费用包括项目实施所需的工程费、工时费、服务费、运输费、安装调试费、税费及其他一切费用。</w:t>
            </w:r>
          </w:p>
          <w:p>
            <w:pPr>
              <w:snapToGrid w:val="0"/>
              <w:rPr>
                <w:rFonts w:ascii="仿宋" w:hAnsi="仿宋" w:eastAsia="仿宋"/>
                <w:color w:val="000000"/>
                <w:sz w:val="24"/>
                <w:szCs w:val="24"/>
              </w:rPr>
            </w:pPr>
            <w:r>
              <w:rPr>
                <w:rFonts w:hint="eastAsia" w:ascii="仿宋" w:hAnsi="仿宋" w:eastAsia="仿宋"/>
                <w:color w:val="000000"/>
                <w:sz w:val="24"/>
                <w:szCs w:val="24"/>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b/>
                <w:color w:val="000000"/>
                <w:sz w:val="24"/>
                <w:szCs w:val="24"/>
              </w:rPr>
            </w:pPr>
            <w:r>
              <w:rPr>
                <w:rFonts w:hint="eastAsia" w:ascii="仿宋" w:hAnsi="仿宋" w:eastAsia="仿宋"/>
                <w:color w:val="000000"/>
                <w:sz w:val="24"/>
                <w:szCs w:val="24"/>
              </w:rPr>
              <w:t>4</w:t>
            </w:r>
            <w:r>
              <w:rPr>
                <w:rFonts w:hint="eastAsia" w:ascii="仿宋" w:hAnsi="仿宋" w:eastAsia="仿宋"/>
                <w:b/>
                <w:color w:val="000000"/>
                <w:sz w:val="24"/>
                <w:szCs w:val="24"/>
              </w:rPr>
              <w:t>.开标时，招标方在电子交易平台公开投标人的报价信息，投标人对报价信息进行确认。投标人对报价信息不予确认的不影响后续评标过程。</w:t>
            </w:r>
          </w:p>
          <w:p>
            <w:pPr>
              <w:snapToGrid w:val="0"/>
              <w:rPr>
                <w:rFonts w:ascii="仿宋" w:hAnsi="仿宋" w:eastAsia="仿宋"/>
                <w:color w:val="000000"/>
                <w:sz w:val="24"/>
                <w:szCs w:val="24"/>
              </w:rPr>
            </w:pPr>
            <w:r>
              <w:rPr>
                <w:rFonts w:hint="eastAsia" w:ascii="仿宋" w:hAnsi="仿宋" w:eastAsia="仿宋"/>
                <w:b/>
                <w:color w:val="000000"/>
                <w:sz w:val="24"/>
                <w:szCs w:val="24"/>
              </w:rPr>
              <w:t>5</w:t>
            </w:r>
            <w:r>
              <w:rPr>
                <w:rFonts w:ascii="仿宋" w:hAnsi="仿宋" w:eastAsia="仿宋"/>
                <w:b/>
                <w:color w:val="000000"/>
                <w:sz w:val="24"/>
                <w:szCs w:val="24"/>
              </w:rPr>
              <w:t>.</w:t>
            </w:r>
            <w:r>
              <w:rPr>
                <w:rFonts w:hint="eastAsia" w:ascii="仿宋" w:hAnsi="仿宋" w:eastAsia="仿宋"/>
                <w:b/>
                <w:color w:val="000000"/>
                <w:sz w:val="24"/>
                <w:szCs w:val="24"/>
              </w:rPr>
              <w:t>报价低于项目预算50%的，应当在报价文件中详细阐述不影响产品质量或者诚信履约的具体原因。</w:t>
            </w:r>
          </w:p>
        </w:tc>
      </w:tr>
    </w:tbl>
    <w:p>
      <w:pPr>
        <w:snapToGrid w:val="0"/>
        <w:spacing w:line="400" w:lineRule="exact"/>
        <w:jc w:val="left"/>
        <w:rPr>
          <w:rFonts w:ascii="仿宋" w:hAnsi="仿宋" w:eastAsia="仿宋"/>
          <w:color w:val="000000"/>
          <w:sz w:val="24"/>
          <w:szCs w:val="24"/>
        </w:rPr>
      </w:pPr>
    </w:p>
    <w:p>
      <w:pPr>
        <w:snapToGrid w:val="0"/>
        <w:spacing w:line="400" w:lineRule="exact"/>
        <w:jc w:val="left"/>
        <w:rPr>
          <w:rFonts w:ascii="仿宋" w:hAnsi="仿宋" w:eastAsia="仿宋"/>
          <w:color w:val="000000"/>
          <w:sz w:val="28"/>
          <w:szCs w:val="28"/>
        </w:rPr>
      </w:pPr>
      <w:r>
        <w:rPr>
          <w:rFonts w:hint="eastAsia" w:ascii="仿宋" w:hAnsi="仿宋" w:eastAsia="仿宋"/>
          <w:color w:val="000000"/>
          <w:sz w:val="28"/>
          <w:szCs w:val="28"/>
        </w:rPr>
        <w:t>授权代表签名：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日期：</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30"/>
          <w:szCs w:val="30"/>
        </w:rPr>
      </w:pPr>
      <w:r>
        <w:rPr>
          <w:rFonts w:hint="eastAsia" w:ascii="仿宋" w:hAnsi="仿宋" w:eastAsia="仿宋"/>
          <w:color w:val="000000"/>
          <w:kern w:val="0"/>
          <w:sz w:val="30"/>
          <w:szCs w:val="30"/>
        </w:rPr>
        <w:br w:type="page"/>
      </w:r>
    </w:p>
    <w:p>
      <w:pPr>
        <w:pStyle w:val="31"/>
        <w:snapToGrid w:val="0"/>
        <w:spacing w:before="120" w:after="120" w:line="240" w:lineRule="auto"/>
        <w:ind w:firstLine="1084" w:firstLineChars="300"/>
        <w:jc w:val="center"/>
        <w:rPr>
          <w:rFonts w:hAnsi="宋体"/>
          <w:b/>
          <w:color w:val="000000"/>
          <w:sz w:val="36"/>
          <w:szCs w:val="36"/>
        </w:rPr>
      </w:pPr>
      <w:r>
        <w:rPr>
          <w:rFonts w:hint="eastAsia" w:hAnsi="宋体"/>
          <w:b/>
          <w:color w:val="000000"/>
          <w:sz w:val="36"/>
          <w:szCs w:val="36"/>
        </w:rPr>
        <w:t>开 标 一 览 表</w:t>
      </w:r>
    </w:p>
    <w:p>
      <w:pPr>
        <w:pStyle w:val="31"/>
        <w:snapToGrid w:val="0"/>
        <w:spacing w:before="120" w:after="120" w:line="240" w:lineRule="auto"/>
        <w:ind w:firstLine="1084" w:firstLineChars="300"/>
        <w:jc w:val="center"/>
        <w:rPr>
          <w:rFonts w:ascii="仿宋" w:hAnsi="仿宋" w:eastAsia="仿宋"/>
          <w:b/>
          <w:color w:val="000000"/>
          <w:sz w:val="36"/>
          <w:szCs w:val="36"/>
        </w:rPr>
      </w:pPr>
    </w:p>
    <w:p>
      <w:pPr>
        <w:snapToGrid w:val="0"/>
        <w:rPr>
          <w:rFonts w:ascii="仿宋" w:hAnsi="仿宋" w:eastAsia="仿宋"/>
          <w:color w:val="000000"/>
          <w:sz w:val="28"/>
          <w:szCs w:val="28"/>
          <w:u w:val="single"/>
        </w:rPr>
      </w:pPr>
      <w:r>
        <w:rPr>
          <w:rFonts w:hint="eastAsia" w:ascii="仿宋" w:hAnsi="仿宋" w:eastAsia="仿宋"/>
          <w:color w:val="000000"/>
          <w:sz w:val="28"/>
          <w:szCs w:val="28"/>
        </w:rPr>
        <w:t>投标人全称（公章）：</w:t>
      </w:r>
      <w:r>
        <w:rPr>
          <w:rFonts w:hint="eastAsia" w:ascii="仿宋" w:hAnsi="仿宋" w:eastAsia="仿宋"/>
          <w:color w:val="000000"/>
          <w:sz w:val="28"/>
          <w:szCs w:val="28"/>
          <w:u w:val="single"/>
        </w:rPr>
        <w:t xml:space="preserve">                 </w:t>
      </w:r>
    </w:p>
    <w:p>
      <w:pPr>
        <w:snapToGrid w:val="0"/>
        <w:rPr>
          <w:rFonts w:ascii="仿宋" w:hAnsi="仿宋" w:eastAsia="仿宋"/>
          <w:color w:val="000000"/>
          <w:sz w:val="28"/>
          <w:szCs w:val="28"/>
        </w:rPr>
      </w:pPr>
    </w:p>
    <w:p>
      <w:pPr>
        <w:snapToGrid w:val="0"/>
        <w:rPr>
          <w:rFonts w:ascii="仿宋" w:hAnsi="仿宋" w:eastAsia="仿宋"/>
          <w:b/>
          <w:color w:val="000000"/>
          <w:sz w:val="28"/>
          <w:szCs w:val="28"/>
          <w:u w:val="single"/>
        </w:rPr>
      </w:pPr>
      <w:r>
        <w:rPr>
          <w:rFonts w:hint="eastAsia" w:ascii="仿宋" w:hAnsi="仿宋" w:eastAsia="仿宋"/>
          <w:color w:val="000000"/>
          <w:sz w:val="28"/>
          <w:szCs w:val="28"/>
        </w:rPr>
        <w:t>招标编号及标项：</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30"/>
          <w:szCs w:val="30"/>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271"/>
        <w:gridCol w:w="1845"/>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180"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804" w:type="dxa"/>
            <w:gridSpan w:val="2"/>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服务内容</w:t>
            </w:r>
          </w:p>
        </w:tc>
        <w:tc>
          <w:tcPr>
            <w:tcW w:w="1845"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服务人员数量</w:t>
            </w:r>
          </w:p>
        </w:tc>
        <w:tc>
          <w:tcPr>
            <w:tcW w:w="957"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工作量</w:t>
            </w:r>
          </w:p>
        </w:tc>
        <w:tc>
          <w:tcPr>
            <w:tcW w:w="85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单价</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（元）</w:t>
            </w:r>
          </w:p>
        </w:tc>
        <w:tc>
          <w:tcPr>
            <w:tcW w:w="891"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7827"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845"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5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91"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是否中小企业承接</w:t>
            </w: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企业全称</w:t>
            </w: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13"/>
                <w:szCs w:val="13"/>
              </w:rPr>
            </w:pPr>
            <w:r>
              <w:rPr>
                <w:rFonts w:hint="eastAsia" w:ascii="仿宋" w:hAnsi="仿宋" w:eastAsia="仿宋"/>
                <w:b/>
                <w:color w:val="000000"/>
                <w:sz w:val="13"/>
                <w:szCs w:val="13"/>
              </w:rPr>
              <w:t>服务人员是否依照《中华人民共和国劳动合同法》订立劳动合同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8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仿宋" w:hAnsi="仿宋" w:eastAsia="仿宋"/>
                <w:b/>
                <w:color w:val="000000"/>
                <w:sz w:val="24"/>
                <w:szCs w:val="24"/>
              </w:rPr>
            </w:pPr>
            <w:r>
              <w:rPr>
                <w:rFonts w:hint="eastAsia" w:ascii="仿宋" w:hAnsi="仿宋" w:eastAsia="仿宋"/>
                <w:b/>
                <w:color w:val="000000"/>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备注</w:t>
            </w:r>
          </w:p>
        </w:tc>
        <w:tc>
          <w:tcPr>
            <w:tcW w:w="8647"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4"/>
                <w:szCs w:val="24"/>
              </w:rPr>
            </w:pPr>
            <w:r>
              <w:rPr>
                <w:rFonts w:hint="eastAsia" w:ascii="仿宋" w:hAnsi="仿宋" w:eastAsia="仿宋"/>
                <w:color w:val="000000"/>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sz w:val="24"/>
                <w:szCs w:val="24"/>
              </w:rPr>
            </w:pPr>
            <w:r>
              <w:rPr>
                <w:rFonts w:hint="eastAsia" w:ascii="仿宋" w:hAnsi="仿宋" w:eastAsia="仿宋"/>
                <w:color w:val="000000"/>
                <w:sz w:val="24"/>
                <w:szCs w:val="24"/>
              </w:rPr>
              <w:t>2.报价要求：项目费用包括项目实施所需的工程费、工时费、服务费、运输费、安装调试费、税费及其他一切费用。</w:t>
            </w:r>
          </w:p>
          <w:p>
            <w:pPr>
              <w:snapToGrid w:val="0"/>
              <w:rPr>
                <w:rFonts w:ascii="仿宋" w:hAnsi="仿宋" w:eastAsia="仿宋"/>
                <w:color w:val="000000"/>
                <w:sz w:val="24"/>
                <w:szCs w:val="24"/>
              </w:rPr>
            </w:pPr>
            <w:r>
              <w:rPr>
                <w:rFonts w:hint="eastAsia" w:ascii="仿宋" w:hAnsi="仿宋" w:eastAsia="仿宋"/>
                <w:color w:val="000000"/>
                <w:sz w:val="24"/>
                <w:szCs w:val="24"/>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b/>
                <w:color w:val="000000"/>
                <w:sz w:val="24"/>
                <w:szCs w:val="24"/>
              </w:rPr>
            </w:pPr>
            <w:r>
              <w:rPr>
                <w:rFonts w:hint="eastAsia" w:ascii="仿宋" w:hAnsi="仿宋" w:eastAsia="仿宋"/>
                <w:b/>
                <w:color w:val="000000"/>
                <w:sz w:val="24"/>
              </w:rPr>
              <w:t>4</w:t>
            </w:r>
            <w:r>
              <w:rPr>
                <w:rFonts w:hint="eastAsia" w:ascii="仿宋" w:hAnsi="仿宋" w:eastAsia="仿宋"/>
                <w:b/>
                <w:color w:val="000000"/>
                <w:sz w:val="24"/>
                <w:szCs w:val="24"/>
              </w:rPr>
              <w:t>.开标时，招标方在电子交易平台公开投标人的报价信息，投标人对报价信息进行确认。投标人对报价信息不予确认的不影响后续评标过程。</w:t>
            </w:r>
          </w:p>
          <w:p>
            <w:pPr>
              <w:snapToGrid w:val="0"/>
              <w:rPr>
                <w:rFonts w:ascii="仿宋" w:hAnsi="仿宋" w:eastAsia="仿宋"/>
                <w:color w:val="000000"/>
                <w:sz w:val="24"/>
                <w:szCs w:val="24"/>
              </w:rPr>
            </w:pPr>
            <w:r>
              <w:rPr>
                <w:rFonts w:hint="eastAsia" w:ascii="仿宋" w:hAnsi="仿宋" w:eastAsia="仿宋"/>
                <w:b/>
                <w:color w:val="000000"/>
                <w:sz w:val="24"/>
                <w:szCs w:val="24"/>
              </w:rPr>
              <w:t>5</w:t>
            </w:r>
            <w:r>
              <w:rPr>
                <w:rFonts w:ascii="仿宋" w:hAnsi="仿宋" w:eastAsia="仿宋"/>
                <w:b/>
                <w:color w:val="000000"/>
                <w:sz w:val="24"/>
                <w:szCs w:val="24"/>
              </w:rPr>
              <w:t>.</w:t>
            </w:r>
            <w:r>
              <w:rPr>
                <w:rFonts w:hint="eastAsia" w:ascii="仿宋" w:hAnsi="仿宋" w:eastAsia="仿宋"/>
                <w:b/>
                <w:color w:val="000000"/>
                <w:sz w:val="24"/>
                <w:szCs w:val="24"/>
              </w:rPr>
              <w:t>报价低于项目预算50%的，应当在报价文件中详细阐述不影响产品质量或者诚信履约的具体原因。</w:t>
            </w:r>
          </w:p>
        </w:tc>
      </w:tr>
    </w:tbl>
    <w:p>
      <w:pPr>
        <w:snapToGrid w:val="0"/>
        <w:spacing w:line="360" w:lineRule="auto"/>
        <w:rPr>
          <w:rFonts w:ascii="仿宋" w:hAnsi="仿宋" w:eastAsia="仿宋"/>
          <w:color w:val="000000"/>
          <w:sz w:val="30"/>
          <w:szCs w:val="30"/>
        </w:rPr>
      </w:pPr>
    </w:p>
    <w:p>
      <w:pPr>
        <w:snapToGrid w:val="0"/>
        <w:spacing w:line="400" w:lineRule="exact"/>
        <w:jc w:val="left"/>
        <w:rPr>
          <w:rFonts w:ascii="仿宋" w:hAnsi="仿宋" w:eastAsia="仿宋"/>
          <w:color w:val="000000"/>
          <w:sz w:val="28"/>
          <w:szCs w:val="28"/>
        </w:rPr>
      </w:pPr>
      <w:r>
        <w:rPr>
          <w:rFonts w:hint="eastAsia" w:ascii="仿宋" w:hAnsi="仿宋" w:eastAsia="仿宋"/>
          <w:color w:val="000000"/>
          <w:sz w:val="28"/>
          <w:szCs w:val="28"/>
        </w:rPr>
        <w:t>授权代表签名：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日期：</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30"/>
          <w:szCs w:val="30"/>
        </w:rPr>
      </w:pPr>
      <w:r>
        <w:rPr>
          <w:rFonts w:hint="eastAsia" w:ascii="仿宋" w:hAnsi="仿宋" w:eastAsia="仿宋"/>
          <w:color w:val="000000"/>
          <w:kern w:val="0"/>
          <w:sz w:val="30"/>
          <w:szCs w:val="30"/>
        </w:rPr>
        <w:br w:type="page"/>
      </w:r>
    </w:p>
    <w:p>
      <w:pPr>
        <w:pStyle w:val="31"/>
        <w:snapToGrid w:val="0"/>
        <w:spacing w:before="120" w:after="120" w:line="240" w:lineRule="auto"/>
        <w:jc w:val="center"/>
        <w:rPr>
          <w:rFonts w:hAnsi="宋体"/>
          <w:b/>
          <w:color w:val="000000"/>
          <w:sz w:val="36"/>
          <w:szCs w:val="36"/>
        </w:rPr>
      </w:pPr>
      <w:r>
        <w:rPr>
          <w:rFonts w:hint="eastAsia" w:hAnsi="宋体"/>
          <w:b/>
          <w:color w:val="000000"/>
          <w:sz w:val="36"/>
          <w:szCs w:val="36"/>
        </w:rPr>
        <w:t>开 标 一 览 表</w:t>
      </w:r>
    </w:p>
    <w:p>
      <w:pPr>
        <w:pStyle w:val="31"/>
        <w:snapToGrid w:val="0"/>
        <w:spacing w:before="120" w:after="120" w:line="240" w:lineRule="auto"/>
        <w:ind w:firstLine="1084" w:firstLineChars="300"/>
        <w:jc w:val="center"/>
        <w:rPr>
          <w:rFonts w:ascii="仿宋" w:hAnsi="仿宋" w:eastAsia="仿宋"/>
          <w:b/>
          <w:color w:val="000000"/>
          <w:sz w:val="36"/>
          <w:szCs w:val="36"/>
        </w:rPr>
      </w:pPr>
    </w:p>
    <w:p>
      <w:pPr>
        <w:snapToGrid w:val="0"/>
        <w:rPr>
          <w:rFonts w:ascii="仿宋" w:hAnsi="仿宋" w:eastAsia="仿宋"/>
          <w:color w:val="000000"/>
          <w:sz w:val="28"/>
          <w:szCs w:val="28"/>
          <w:u w:val="single"/>
        </w:rPr>
      </w:pPr>
      <w:r>
        <w:rPr>
          <w:rFonts w:hint="eastAsia" w:ascii="仿宋" w:hAnsi="仿宋" w:eastAsia="仿宋"/>
          <w:color w:val="000000"/>
          <w:sz w:val="28"/>
          <w:szCs w:val="28"/>
        </w:rPr>
        <w:t>投标人全称（公章）：</w:t>
      </w:r>
      <w:r>
        <w:rPr>
          <w:rFonts w:hint="eastAsia" w:ascii="仿宋" w:hAnsi="仿宋" w:eastAsia="仿宋"/>
          <w:color w:val="000000"/>
          <w:sz w:val="28"/>
          <w:szCs w:val="28"/>
          <w:u w:val="single"/>
        </w:rPr>
        <w:t xml:space="preserve">             </w:t>
      </w:r>
    </w:p>
    <w:p>
      <w:pPr>
        <w:snapToGrid w:val="0"/>
        <w:rPr>
          <w:rFonts w:ascii="仿宋" w:hAnsi="仿宋" w:eastAsia="仿宋"/>
          <w:color w:val="000000"/>
          <w:sz w:val="28"/>
          <w:szCs w:val="28"/>
        </w:rPr>
      </w:pPr>
    </w:p>
    <w:p>
      <w:pPr>
        <w:snapToGrid w:val="0"/>
        <w:rPr>
          <w:rFonts w:ascii="仿宋" w:hAnsi="仿宋" w:eastAsia="仿宋"/>
          <w:b/>
          <w:color w:val="000000"/>
          <w:sz w:val="28"/>
          <w:szCs w:val="28"/>
          <w:u w:val="single"/>
        </w:rPr>
      </w:pPr>
      <w:r>
        <w:rPr>
          <w:rFonts w:hint="eastAsia" w:ascii="仿宋" w:hAnsi="仿宋" w:eastAsia="仿宋"/>
          <w:color w:val="000000"/>
          <w:sz w:val="28"/>
          <w:szCs w:val="28"/>
        </w:rPr>
        <w:t>招标编号及标项：</w:t>
      </w:r>
      <w:r>
        <w:rPr>
          <w:rFonts w:hint="eastAsia" w:ascii="仿宋" w:hAnsi="仿宋" w:eastAsia="仿宋"/>
          <w:color w:val="000000"/>
          <w:sz w:val="28"/>
          <w:szCs w:val="28"/>
          <w:u w:val="single"/>
        </w:rPr>
        <w:t xml:space="preserve">               </w:t>
      </w:r>
    </w:p>
    <w:p>
      <w:pPr>
        <w:snapToGrid w:val="0"/>
        <w:rPr>
          <w:rFonts w:ascii="仿宋" w:hAnsi="仿宋" w:eastAsia="仿宋"/>
          <w:b/>
          <w:color w:val="000000"/>
          <w:sz w:val="24"/>
          <w:szCs w:val="24"/>
          <w:u w:val="single"/>
        </w:rPr>
      </w:pPr>
    </w:p>
    <w:tbl>
      <w:tblPr>
        <w:tblStyle w:val="59"/>
        <w:tblW w:w="905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2"/>
        <w:gridCol w:w="563"/>
        <w:gridCol w:w="998"/>
        <w:gridCol w:w="993"/>
        <w:gridCol w:w="993"/>
        <w:gridCol w:w="851"/>
        <w:gridCol w:w="1422"/>
        <w:gridCol w:w="1278"/>
        <w:gridCol w:w="14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045"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工程类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宋体" w:hAnsi="宋体" w:cs="宋体"/>
                <w:color w:val="000000"/>
                <w:kern w:val="0"/>
                <w:sz w:val="24"/>
              </w:rPr>
              <w:t>工程项目名称</w:t>
            </w:r>
          </w:p>
        </w:tc>
        <w:tc>
          <w:tcPr>
            <w:tcW w:w="997"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施工范围</w:t>
            </w:r>
          </w:p>
        </w:tc>
        <w:tc>
          <w:tcPr>
            <w:tcW w:w="99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具体内容</w:t>
            </w:r>
          </w:p>
        </w:tc>
        <w:tc>
          <w:tcPr>
            <w:tcW w:w="99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施工工期</w:t>
            </w:r>
          </w:p>
        </w:tc>
        <w:tc>
          <w:tcPr>
            <w:tcW w:w="851"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单价（元）</w:t>
            </w:r>
          </w:p>
        </w:tc>
        <w:tc>
          <w:tcPr>
            <w:tcW w:w="1421"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总价（元）</w:t>
            </w:r>
          </w:p>
        </w:tc>
        <w:tc>
          <w:tcPr>
            <w:tcW w:w="269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承建工程的企业情况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75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b/>
                <w:color w:val="000000"/>
                <w:sz w:val="24"/>
                <w:szCs w:val="24"/>
              </w:rPr>
            </w:pPr>
          </w:p>
        </w:tc>
        <w:tc>
          <w:tcPr>
            <w:tcW w:w="9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b/>
                <w:color w:val="000000"/>
                <w:sz w:val="24"/>
                <w:szCs w:val="24"/>
              </w:rPr>
            </w:pPr>
          </w:p>
        </w:tc>
        <w:tc>
          <w:tcPr>
            <w:tcW w:w="99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9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1"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421"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277"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是否中小企业</w:t>
            </w:r>
          </w:p>
        </w:tc>
        <w:tc>
          <w:tcPr>
            <w:tcW w:w="141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97"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92"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92"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1"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421"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277"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41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w:t>
            </w:r>
          </w:p>
        </w:tc>
        <w:tc>
          <w:tcPr>
            <w:tcW w:w="99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42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27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45"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仿宋" w:hAnsi="仿宋" w:eastAsia="仿宋"/>
                <w:b/>
                <w:color w:val="000000"/>
                <w:sz w:val="24"/>
                <w:szCs w:val="24"/>
              </w:rPr>
            </w:pPr>
            <w:r>
              <w:rPr>
                <w:rFonts w:hint="eastAsia" w:ascii="仿宋" w:hAnsi="仿宋" w:eastAsia="仿宋"/>
                <w:b/>
                <w:color w:val="000000"/>
                <w:sz w:val="24"/>
                <w:szCs w:val="24"/>
              </w:rPr>
              <w:t>投标总价合计金额大写：小写：￥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备注</w:t>
            </w:r>
          </w:p>
        </w:tc>
        <w:tc>
          <w:tcPr>
            <w:tcW w:w="8512"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4"/>
                <w:szCs w:val="24"/>
              </w:rPr>
            </w:pPr>
            <w:r>
              <w:rPr>
                <w:rFonts w:hint="eastAsia" w:ascii="仿宋" w:hAnsi="仿宋" w:eastAsia="仿宋"/>
                <w:color w:val="000000"/>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sz w:val="24"/>
                <w:szCs w:val="24"/>
              </w:rPr>
            </w:pPr>
            <w:r>
              <w:rPr>
                <w:rFonts w:hint="eastAsia" w:ascii="仿宋" w:hAnsi="仿宋" w:eastAsia="仿宋"/>
                <w:color w:val="000000"/>
                <w:sz w:val="24"/>
                <w:szCs w:val="24"/>
              </w:rPr>
              <w:t>2.报价要求：项目费用包括项目实施所需的工程费、工时费、服务费、运输费、安装调试费、税费及其他一切费用。</w:t>
            </w:r>
          </w:p>
          <w:p>
            <w:pPr>
              <w:snapToGrid w:val="0"/>
              <w:rPr>
                <w:rFonts w:ascii="仿宋" w:hAnsi="仿宋" w:eastAsia="仿宋"/>
                <w:color w:val="000000"/>
                <w:sz w:val="24"/>
                <w:szCs w:val="24"/>
              </w:rPr>
            </w:pPr>
            <w:r>
              <w:rPr>
                <w:rFonts w:hint="eastAsia" w:ascii="仿宋" w:hAnsi="仿宋" w:eastAsia="仿宋"/>
                <w:color w:val="000000"/>
                <w:sz w:val="24"/>
                <w:szCs w:val="24"/>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color w:val="000000"/>
                <w:sz w:val="24"/>
                <w:szCs w:val="24"/>
              </w:rPr>
            </w:pPr>
            <w:r>
              <w:rPr>
                <w:rFonts w:hint="eastAsia" w:ascii="仿宋" w:hAnsi="仿宋" w:eastAsia="仿宋"/>
                <w:b/>
                <w:color w:val="000000"/>
                <w:sz w:val="24"/>
              </w:rPr>
              <w:t>4.</w:t>
            </w:r>
            <w:r>
              <w:rPr>
                <w:rFonts w:hint="eastAsia" w:ascii="仿宋" w:hAnsi="仿宋" w:eastAsia="仿宋"/>
                <w:color w:val="000000"/>
                <w:sz w:val="24"/>
                <w:szCs w:val="24"/>
              </w:rPr>
              <w:t>开标时，现场工作人员当众拆封，并宣布投标人名称、投标总价合计金额。</w:t>
            </w:r>
          </w:p>
          <w:p>
            <w:pPr>
              <w:snapToGrid w:val="0"/>
              <w:rPr>
                <w:rFonts w:ascii="仿宋" w:hAnsi="仿宋" w:eastAsia="仿宋"/>
                <w:color w:val="000000"/>
                <w:sz w:val="24"/>
                <w:szCs w:val="24"/>
              </w:rPr>
            </w:pPr>
            <w:r>
              <w:rPr>
                <w:rFonts w:hint="eastAsia" w:ascii="仿宋" w:hAnsi="仿宋" w:eastAsia="仿宋"/>
                <w:b/>
                <w:color w:val="000000"/>
                <w:sz w:val="24"/>
                <w:szCs w:val="24"/>
              </w:rPr>
              <w:t>5</w:t>
            </w:r>
            <w:r>
              <w:rPr>
                <w:rFonts w:ascii="仿宋" w:hAnsi="仿宋" w:eastAsia="仿宋"/>
                <w:b/>
                <w:color w:val="000000"/>
                <w:sz w:val="24"/>
                <w:szCs w:val="24"/>
              </w:rPr>
              <w:t>.</w:t>
            </w:r>
            <w:r>
              <w:rPr>
                <w:rFonts w:hint="eastAsia" w:ascii="仿宋" w:hAnsi="仿宋" w:eastAsia="仿宋"/>
                <w:b/>
                <w:color w:val="000000"/>
                <w:sz w:val="24"/>
                <w:szCs w:val="24"/>
              </w:rPr>
              <w:t>报价低于项目预算50%的，应当在报价文件中详细阐述不影响产品质量或者诚信履约的具体原因。</w:t>
            </w:r>
          </w:p>
        </w:tc>
      </w:tr>
    </w:tbl>
    <w:p>
      <w:pPr>
        <w:snapToGrid w:val="0"/>
        <w:spacing w:line="400" w:lineRule="exact"/>
        <w:jc w:val="left"/>
        <w:rPr>
          <w:rFonts w:ascii="仿宋" w:hAnsi="仿宋" w:eastAsia="仿宋"/>
          <w:color w:val="000000"/>
          <w:sz w:val="28"/>
          <w:szCs w:val="28"/>
        </w:rPr>
      </w:pPr>
      <w:r>
        <w:rPr>
          <w:rFonts w:hint="eastAsia" w:ascii="仿宋" w:hAnsi="仿宋" w:eastAsia="仿宋"/>
          <w:color w:val="000000"/>
          <w:sz w:val="28"/>
          <w:szCs w:val="28"/>
        </w:rPr>
        <w:t>授权代表签名：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日期：</w:t>
      </w:r>
      <w:r>
        <w:rPr>
          <w:rFonts w:hint="eastAsia" w:ascii="仿宋" w:hAnsi="仿宋" w:eastAsia="仿宋"/>
          <w:color w:val="000000"/>
          <w:sz w:val="28"/>
          <w:szCs w:val="28"/>
          <w:u w:val="single"/>
        </w:rPr>
        <w:t xml:space="preserve">        </w:t>
      </w:r>
    </w:p>
    <w:p>
      <w:pPr>
        <w:widowControl/>
        <w:tabs>
          <w:tab w:val="center" w:pos="4755"/>
          <w:tab w:val="right" w:pos="9070"/>
        </w:tabs>
        <w:jc w:val="left"/>
        <w:rPr>
          <w:rFonts w:ascii="宋体" w:cs="Arial"/>
          <w:color w:val="000000"/>
          <w:kern w:val="0"/>
          <w:sz w:val="18"/>
          <w:szCs w:val="18"/>
        </w:rPr>
      </w:pPr>
    </w:p>
    <w:p>
      <w:pPr>
        <w:pStyle w:val="40"/>
        <w:spacing w:after="120"/>
        <w:rPr>
          <w:color w:val="000000"/>
        </w:rPr>
      </w:pPr>
    </w:p>
    <w:p>
      <w:pPr>
        <w:rPr>
          <w:color w:val="000000"/>
        </w:rPr>
      </w:pPr>
    </w:p>
    <w:p>
      <w:pPr>
        <w:snapToGrid w:val="0"/>
        <w:spacing w:line="360" w:lineRule="auto"/>
        <w:rPr>
          <w:rFonts w:ascii="仿宋" w:hAnsi="仿宋" w:eastAsia="仿宋"/>
          <w:color w:val="000000"/>
          <w:sz w:val="30"/>
          <w:szCs w:val="30"/>
        </w:rPr>
      </w:pPr>
    </w:p>
    <w:p>
      <w:pPr>
        <w:snapToGrid w:val="0"/>
        <w:spacing w:line="360" w:lineRule="auto"/>
        <w:rPr>
          <w:rFonts w:ascii="仿宋" w:hAnsi="仿宋" w:eastAsia="仿宋"/>
          <w:color w:val="000000"/>
          <w:sz w:val="30"/>
          <w:szCs w:val="30"/>
        </w:rPr>
      </w:pPr>
    </w:p>
    <w:p>
      <w:pPr>
        <w:snapToGrid w:val="0"/>
        <w:spacing w:line="360" w:lineRule="auto"/>
        <w:rPr>
          <w:rFonts w:ascii="仿宋" w:hAnsi="仿宋" w:eastAsia="仿宋"/>
          <w:color w:val="000000"/>
          <w:sz w:val="30"/>
          <w:szCs w:val="30"/>
        </w:rPr>
      </w:pPr>
    </w:p>
    <w:p>
      <w:pPr>
        <w:rPr>
          <w:color w:val="000000"/>
        </w:rPr>
      </w:pPr>
    </w:p>
    <w:p>
      <w:pPr>
        <w:rPr>
          <w:color w:val="000000"/>
        </w:rPr>
      </w:pPr>
    </w:p>
    <w:p/>
    <w:p/>
    <w:p/>
    <w:sectPr>
      <w:headerReference r:id="rId5" w:type="first"/>
      <w:footerReference r:id="rId8" w:type="first"/>
      <w:headerReference r:id="rId4" w:type="default"/>
      <w:footerReference r:id="rId6" w:type="default"/>
      <w:footerReference r:id="rId7" w:type="even"/>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panose1 w:val="020B0604020202020204"/>
    <w:charset w:val="86"/>
    <w:family w:val="swiss"/>
    <w:pitch w:val="default"/>
    <w:sig w:usb0="FFFFFFFF" w:usb1="E9FFFFFF" w:usb2="0000003F" w:usb3="00000000" w:csb0="603F01FF" w:csb1="FFFF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altName w:val="Segoe UI Semilight"/>
    <w:panose1 w:val="020004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8"/>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Fonts w:ascii="宋体" w:hAnsi="宋体"/>
        <w:sz w:val="28"/>
        <w:szCs w:val="28"/>
      </w:rPr>
    </w:pPr>
    <w:r>
      <w:rPr>
        <w:rStyle w:val="66"/>
        <w:rFonts w:hint="eastAsia" w:ascii="宋体" w:hAnsi="宋体"/>
        <w:sz w:val="28"/>
        <w:szCs w:val="28"/>
      </w:rPr>
      <w:t xml:space="preserve">— </w:t>
    </w:r>
    <w:r>
      <w:rPr>
        <w:rFonts w:ascii="宋体" w:hAnsi="宋体"/>
        <w:sz w:val="28"/>
        <w:szCs w:val="28"/>
      </w:rPr>
      <w:fldChar w:fldCharType="begin"/>
    </w:r>
    <w:r>
      <w:rPr>
        <w:rStyle w:val="66"/>
        <w:rFonts w:ascii="宋体" w:hAnsi="宋体"/>
        <w:sz w:val="28"/>
        <w:szCs w:val="28"/>
      </w:rPr>
      <w:instrText xml:space="preserve">PAGE  </w:instrText>
    </w:r>
    <w:r>
      <w:rPr>
        <w:rFonts w:ascii="宋体" w:hAnsi="宋体"/>
        <w:sz w:val="28"/>
        <w:szCs w:val="28"/>
      </w:rPr>
      <w:fldChar w:fldCharType="separate"/>
    </w:r>
    <w:r>
      <w:rPr>
        <w:rStyle w:val="66"/>
        <w:rFonts w:ascii="宋体" w:hAnsi="宋体"/>
        <w:sz w:val="28"/>
        <w:szCs w:val="28"/>
      </w:rPr>
      <w:t>65</w:t>
    </w:r>
    <w:r>
      <w:rPr>
        <w:rFonts w:ascii="宋体" w:hAnsi="宋体"/>
        <w:sz w:val="28"/>
        <w:szCs w:val="28"/>
      </w:rPr>
      <w:fldChar w:fldCharType="end"/>
    </w:r>
    <w:r>
      <w:rPr>
        <w:rStyle w:val="66"/>
        <w:rFonts w:hint="eastAsia" w:ascii="宋体" w:hAnsi="宋体"/>
        <w:sz w:val="28"/>
        <w:szCs w:val="28"/>
      </w:rPr>
      <w:t xml:space="preserve"> —</w:t>
    </w:r>
  </w:p>
  <w:p>
    <w:pPr>
      <w:pStyle w:val="38"/>
      <w:ind w:right="720" w:firstLine="180" w:firstLineChars="100"/>
      <w:jc w:val="center"/>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Pr>
    </w:pPr>
    <w:r>
      <w:fldChar w:fldCharType="begin"/>
    </w:r>
    <w:r>
      <w:rPr>
        <w:rStyle w:val="66"/>
      </w:rPr>
      <w:instrText xml:space="preserve">PAGE  </w:instrText>
    </w:r>
    <w:r>
      <w:fldChar w:fldCharType="end"/>
    </w:r>
  </w:p>
  <w:p>
    <w:pPr>
      <w:pStyle w:val="38"/>
      <w:ind w:right="360" w:firstLine="360"/>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2"/>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C5D9A"/>
    <w:multiLevelType w:val="multilevel"/>
    <w:tmpl w:val="93CC5D9A"/>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2">
    <w:nsid w:val="FFFFFF80"/>
    <w:multiLevelType w:val="singleLevel"/>
    <w:tmpl w:val="FFFFFF80"/>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3">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4">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7">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8">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0">
    <w:nsid w:val="18A777E8"/>
    <w:multiLevelType w:val="multilevel"/>
    <w:tmpl w:val="18A777E8"/>
    <w:lvl w:ilvl="0" w:tentative="0">
      <w:start w:val="1"/>
      <w:numFmt w:val="decimal"/>
      <w:pStyle w:val="36"/>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1">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2">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2213619F"/>
    <w:multiLevelType w:val="multilevel"/>
    <w:tmpl w:val="2213619F"/>
    <w:lvl w:ilvl="0" w:tentative="0">
      <w:start w:val="1"/>
      <w:numFmt w:val="decimal"/>
      <w:pStyle w:val="14"/>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4">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8">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9">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0">
    <w:nsid w:val="40B792A8"/>
    <w:multiLevelType w:val="multilevel"/>
    <w:tmpl w:val="40B792A8"/>
    <w:lvl w:ilvl="0" w:tentative="0">
      <w:start w:val="1"/>
      <w:numFmt w:val="japaneseCounting"/>
      <w:lvlText w:val="%1、"/>
      <w:lvlJc w:val="left"/>
      <w:pPr>
        <w:ind w:left="600" w:hanging="60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2">
    <w:nsid w:val="4B6F3332"/>
    <w:multiLevelType w:val="multilevel"/>
    <w:tmpl w:val="4B6F3332"/>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3">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4">
    <w:nsid w:val="4E7107F0"/>
    <w:multiLevelType w:val="multilevel"/>
    <w:tmpl w:val="4E7107F0"/>
    <w:lvl w:ilvl="0" w:tentative="0">
      <w:start w:val="1"/>
      <w:numFmt w:val="bullet"/>
      <w:pStyle w:val="254"/>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5">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6">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7">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8">
    <w:nsid w:val="635576A1"/>
    <w:multiLevelType w:val="multilevel"/>
    <w:tmpl w:val="635576A1"/>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9">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30">
    <w:nsid w:val="698619EB"/>
    <w:multiLevelType w:val="multilevel"/>
    <w:tmpl w:val="698619EB"/>
    <w:lvl w:ilvl="0" w:tentative="0">
      <w:start w:val="1"/>
      <w:numFmt w:val="decimal"/>
      <w:pStyle w:val="263"/>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1">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2">
    <w:nsid w:val="6F387D2B"/>
    <w:multiLevelType w:val="multilevel"/>
    <w:tmpl w:val="6F387D2B"/>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3">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4">
    <w:nsid w:val="7755585C"/>
    <w:multiLevelType w:val="multilevel"/>
    <w:tmpl w:val="7755585C"/>
    <w:lvl w:ilvl="0" w:tentative="0">
      <w:start w:val="1"/>
      <w:numFmt w:val="bullet"/>
      <w:pStyle w:val="213"/>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3"/>
  </w:num>
  <w:num w:numId="2">
    <w:abstractNumId w:val="3"/>
  </w:num>
  <w:num w:numId="3">
    <w:abstractNumId w:val="1"/>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4"/>
  </w:num>
  <w:num w:numId="8">
    <w:abstractNumId w:val="24"/>
  </w:num>
  <w:num w:numId="9">
    <w:abstractNumId w:val="30"/>
    <w:lvlOverride w:ilvl="0">
      <w:startOverride w:val="1"/>
    </w:lvlOverride>
  </w:num>
  <w:num w:numId="10">
    <w:abstractNumId w:val="9"/>
  </w:num>
  <w:num w:numId="11">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7"/>
  </w:num>
  <w:num w:numId="14">
    <w:abstractNumId w:val="27"/>
  </w:num>
  <w:num w:numId="15">
    <w:abstractNumId w:val="19"/>
  </w:num>
  <w:num w:numId="16">
    <w:abstractNumId w:val="16"/>
  </w:num>
  <w:num w:numId="17">
    <w:abstractNumId w:val="5"/>
  </w:num>
  <w:num w:numId="18">
    <w:abstractNumId w:val="25"/>
  </w:num>
  <w:num w:numId="19">
    <w:abstractNumId w:val="7"/>
  </w:num>
  <w:num w:numId="20">
    <w:abstractNumId w:val="14"/>
  </w:num>
  <w:num w:numId="21">
    <w:abstractNumId w:val="12"/>
  </w:num>
  <w:num w:numId="22">
    <w:abstractNumId w:val="21"/>
  </w:num>
  <w:num w:numId="23">
    <w:abstractNumId w:val="8"/>
  </w:num>
  <w:num w:numId="24">
    <w:abstractNumId w:val="33"/>
  </w:num>
  <w:num w:numId="25">
    <w:abstractNumId w:val="4"/>
  </w:num>
  <w:num w:numId="26">
    <w:abstractNumId w:val="29"/>
  </w:num>
  <w:num w:numId="27">
    <w:abstractNumId w:val="23"/>
  </w:num>
  <w:num w:numId="28">
    <w:abstractNumId w:val="11"/>
  </w:num>
  <w:num w:numId="29">
    <w:abstractNumId w:val="26"/>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0"/>
  </w:num>
  <w:num w:numId="33">
    <w:abstractNumId w:val="32"/>
  </w:num>
  <w:num w:numId="34">
    <w:abstractNumId w:val="2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gyOGZjMWMzOWYxZTYxYTAwMWY1N2QwMjFkNjUyNGUifQ=="/>
  </w:docVars>
  <w:rsids>
    <w:rsidRoot w:val="007B39CD"/>
    <w:rsid w:val="000869A0"/>
    <w:rsid w:val="00097B32"/>
    <w:rsid w:val="000A0C44"/>
    <w:rsid w:val="000C308D"/>
    <w:rsid w:val="000F7EE7"/>
    <w:rsid w:val="00120088"/>
    <w:rsid w:val="0012017A"/>
    <w:rsid w:val="0012623F"/>
    <w:rsid w:val="00162FF4"/>
    <w:rsid w:val="00176C4B"/>
    <w:rsid w:val="001A46E4"/>
    <w:rsid w:val="001B3980"/>
    <w:rsid w:val="001D0E9A"/>
    <w:rsid w:val="002641A2"/>
    <w:rsid w:val="003325FB"/>
    <w:rsid w:val="00360F0E"/>
    <w:rsid w:val="0036152B"/>
    <w:rsid w:val="003D1384"/>
    <w:rsid w:val="003E2398"/>
    <w:rsid w:val="00411BA0"/>
    <w:rsid w:val="00473394"/>
    <w:rsid w:val="004825F5"/>
    <w:rsid w:val="0049675C"/>
    <w:rsid w:val="004A290E"/>
    <w:rsid w:val="004A76BE"/>
    <w:rsid w:val="004B659A"/>
    <w:rsid w:val="004C0111"/>
    <w:rsid w:val="005855C1"/>
    <w:rsid w:val="005C254C"/>
    <w:rsid w:val="005E17E9"/>
    <w:rsid w:val="005F25FA"/>
    <w:rsid w:val="006111E0"/>
    <w:rsid w:val="0065516D"/>
    <w:rsid w:val="006A75FB"/>
    <w:rsid w:val="006E1042"/>
    <w:rsid w:val="006F3E5C"/>
    <w:rsid w:val="00741CB1"/>
    <w:rsid w:val="007456F9"/>
    <w:rsid w:val="0079512C"/>
    <w:rsid w:val="007B33D8"/>
    <w:rsid w:val="007B39CD"/>
    <w:rsid w:val="008010EC"/>
    <w:rsid w:val="008139C8"/>
    <w:rsid w:val="00831259"/>
    <w:rsid w:val="0084546F"/>
    <w:rsid w:val="00935B2B"/>
    <w:rsid w:val="00993FC4"/>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C2D38"/>
    <w:rsid w:val="00BE3542"/>
    <w:rsid w:val="00BF76D9"/>
    <w:rsid w:val="00C21114"/>
    <w:rsid w:val="00C22B7F"/>
    <w:rsid w:val="00C42BF5"/>
    <w:rsid w:val="00C50CB8"/>
    <w:rsid w:val="00C8441C"/>
    <w:rsid w:val="00CE0BC9"/>
    <w:rsid w:val="00D06379"/>
    <w:rsid w:val="00D34D4C"/>
    <w:rsid w:val="00D67996"/>
    <w:rsid w:val="00DB219B"/>
    <w:rsid w:val="00E05EDB"/>
    <w:rsid w:val="00E201D7"/>
    <w:rsid w:val="00EA67ED"/>
    <w:rsid w:val="00ED4653"/>
    <w:rsid w:val="00EF085D"/>
    <w:rsid w:val="00F65755"/>
    <w:rsid w:val="00FC29AB"/>
    <w:rsid w:val="00FD3EEC"/>
    <w:rsid w:val="37306D97"/>
    <w:rsid w:val="3A06357E"/>
    <w:rsid w:val="3EEF6CC1"/>
    <w:rsid w:val="750C2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qFormat="1"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iPriority="99" w:name="page number"/>
    <w:lsdException w:uiPriority="99" w:name="endnote reference"/>
    <w:lsdException w:qFormat="1" w:uiPriority="99" w:name="endnote text"/>
    <w:lsdException w:qFormat="1" w:uiPriority="99" w:name="table of authorities"/>
    <w:lsdException w:uiPriority="99" w:name="macro"/>
    <w:lsdException w:uiPriority="99" w:name="toa heading"/>
    <w:lsdException w:qFormat="1" w:uiPriority="99" w:name="List"/>
    <w:lsdException w:qFormat="1" w:uiPriority="99" w:name="List Bullet"/>
    <w:lsdException w:qFormat="1" w:uiPriority="99" w:name="List Number"/>
    <w:lsdException w:qFormat="1" w:uiPriority="99" w:name="List 2"/>
    <w:lsdException w:qFormat="1" w:uiPriority="99" w:name="List 3"/>
    <w:lsdException w:uiPriority="99" w:name="List 4"/>
    <w:lsdException w:uiPriority="99" w:name="List 5"/>
    <w:lsdException w:qFormat="1" w:uiPriority="99" w:name="List Bullet 2"/>
    <w:lsdException w:uiPriority="99" w:name="List Bullet 3"/>
    <w:lsdException w:qFormat="1" w:uiPriority="99" w:name="List Bullet 4"/>
    <w:lsdException w:qFormat="1" w:uiPriority="99" w:name="List Bullet 5"/>
    <w:lsdException w:qFormat="1" w:uiPriority="99" w:name="List Number 2"/>
    <w:lsdException w:qFormat="1"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iPriority="99" w:name="Body Text Indent"/>
    <w:lsdException w:uiPriority="99" w:name="List Continue"/>
    <w:lsdException w:qFormat="1"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name="Salutation"/>
    <w:lsdException w:qFormat="1" w:uiPriority="99" w:name="Date"/>
    <w:lsdException w:qFormat="1" w:uiPriority="99" w:name="Body Text First Indent"/>
    <w:lsdException w:qFormat="1" w:uiPriority="99" w:name="Body Text First Indent 2"/>
    <w:lsdException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qFormat="1"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semiHidden="0"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2"/>
    <w:qFormat/>
    <w:uiPriority w:val="9"/>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229"/>
    <w:semiHidden/>
    <w:unhideWhenUsed/>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74"/>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75"/>
    <w:semiHidden/>
    <w:unhideWhenUsed/>
    <w:qFormat/>
    <w:uiPriority w:val="9"/>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6"/>
    <w:semiHidden/>
    <w:unhideWhenUsed/>
    <w:qFormat/>
    <w:uiPriority w:val="9"/>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77"/>
    <w:semiHidden/>
    <w:unhideWhenUsed/>
    <w:qFormat/>
    <w:uiPriority w:val="9"/>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78"/>
    <w:semiHidden/>
    <w:unhideWhenUsed/>
    <w:qFormat/>
    <w:uiPriority w:val="9"/>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79"/>
    <w:semiHidden/>
    <w:unhideWhenUsed/>
    <w:qFormat/>
    <w:uiPriority w:val="9"/>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80"/>
    <w:semiHidden/>
    <w:unhideWhenUsed/>
    <w:qFormat/>
    <w:uiPriority w:val="9"/>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semiHidden/>
    <w:unhideWhenUsed/>
    <w:uiPriority w:val="1"/>
  </w:style>
  <w:style w:type="table" w:default="1" w:styleId="59">
    <w:name w:val="Normal Table"/>
    <w:semiHidden/>
    <w:unhideWhenUsed/>
    <w:qFormat/>
    <w:uiPriority w:val="99"/>
    <w:tblPr>
      <w:tblCellMar>
        <w:top w:w="0" w:type="dxa"/>
        <w:left w:w="108" w:type="dxa"/>
        <w:bottom w:w="0" w:type="dxa"/>
        <w:right w:w="108" w:type="dxa"/>
      </w:tblCellMar>
    </w:tblPr>
  </w:style>
  <w:style w:type="paragraph" w:styleId="11">
    <w:name w:val="List 3"/>
    <w:basedOn w:val="1"/>
    <w:semiHidden/>
    <w:unhideWhenUsed/>
    <w:qFormat/>
    <w:uiPriority w:val="99"/>
    <w:pPr>
      <w:ind w:left="100" w:leftChars="400" w:hanging="200" w:hangingChars="200"/>
    </w:pPr>
    <w:rPr>
      <w:rFonts w:ascii="Times New Roman" w:hAnsi="Times New Roman"/>
      <w:szCs w:val="20"/>
    </w:rPr>
  </w:style>
  <w:style w:type="paragraph" w:styleId="12">
    <w:name w:val="toc 7"/>
    <w:basedOn w:val="1"/>
    <w:next w:val="1"/>
    <w:semiHidden/>
    <w:unhideWhenUsed/>
    <w:qFormat/>
    <w:uiPriority w:val="39"/>
    <w:pPr>
      <w:ind w:left="1260"/>
      <w:jc w:val="left"/>
    </w:pPr>
    <w:rPr>
      <w:rFonts w:ascii="Times New Roman" w:hAnsi="Times New Roman"/>
      <w:sz w:val="18"/>
      <w:szCs w:val="18"/>
    </w:rPr>
  </w:style>
  <w:style w:type="paragraph" w:styleId="13">
    <w:name w:val="List Number 2"/>
    <w:basedOn w:val="1"/>
    <w:semiHidden/>
    <w:unhideWhenUsed/>
    <w:qFormat/>
    <w:uiPriority w:val="99"/>
    <w:pPr>
      <w:tabs>
        <w:tab w:val="left" w:pos="432"/>
        <w:tab w:val="left" w:pos="567"/>
      </w:tabs>
      <w:ind w:left="432" w:hanging="432"/>
    </w:pPr>
    <w:rPr>
      <w:rFonts w:ascii="Times New Roman" w:hAnsi="Times New Roman"/>
      <w:sz w:val="28"/>
      <w:szCs w:val="20"/>
    </w:rPr>
  </w:style>
  <w:style w:type="paragraph" w:styleId="14">
    <w:name w:val="table of authorities"/>
    <w:basedOn w:val="1"/>
    <w:next w:val="1"/>
    <w:semiHidden/>
    <w:unhideWhenUsed/>
    <w:qFormat/>
    <w:uiPriority w:val="99"/>
    <w:pPr>
      <w:numPr>
        <w:ilvl w:val="0"/>
        <w:numId w:val="1"/>
      </w:numPr>
      <w:ind w:left="200" w:leftChars="200"/>
    </w:pPr>
    <w:rPr>
      <w:rFonts w:ascii="Times New Roman" w:hAnsi="Times New Roman"/>
      <w:sz w:val="18"/>
      <w:szCs w:val="24"/>
    </w:rPr>
  </w:style>
  <w:style w:type="paragraph" w:styleId="15">
    <w:name w:val="List Bullet 4"/>
    <w:basedOn w:val="1"/>
    <w:semiHidden/>
    <w:unhideWhenUsed/>
    <w:qFormat/>
    <w:uiPriority w:val="99"/>
    <w:pPr>
      <w:numPr>
        <w:ilvl w:val="0"/>
        <w:numId w:val="2"/>
      </w:numPr>
    </w:pPr>
    <w:rPr>
      <w:rFonts w:ascii="Times New Roman" w:hAnsi="Times New Roman"/>
      <w:szCs w:val="24"/>
    </w:rPr>
  </w:style>
  <w:style w:type="paragraph" w:styleId="16">
    <w:name w:val="List Number"/>
    <w:basedOn w:val="1"/>
    <w:semiHidden/>
    <w:unhideWhenUsed/>
    <w:qFormat/>
    <w:uiPriority w:val="99"/>
    <w:pPr>
      <w:widowControl/>
      <w:tabs>
        <w:tab w:val="left" w:pos="454"/>
        <w:tab w:val="left" w:pos="720"/>
      </w:tabs>
      <w:spacing w:afterLines="50"/>
      <w:ind w:left="454" w:hanging="284"/>
      <w:jc w:val="left"/>
    </w:pPr>
    <w:rPr>
      <w:rFonts w:ascii="Times New Roman" w:hAnsi="Times New Roman"/>
      <w:kern w:val="0"/>
      <w:sz w:val="24"/>
      <w:szCs w:val="20"/>
    </w:rPr>
  </w:style>
  <w:style w:type="paragraph" w:styleId="17">
    <w:name w:val="Normal Indent"/>
    <w:basedOn w:val="1"/>
    <w:link w:val="372"/>
    <w:semiHidden/>
    <w:unhideWhenUsed/>
    <w:qFormat/>
    <w:uiPriority w:val="99"/>
    <w:pPr>
      <w:ind w:firstLine="420"/>
    </w:pPr>
    <w:rPr>
      <w:szCs w:val="20"/>
    </w:rPr>
  </w:style>
  <w:style w:type="paragraph" w:styleId="18">
    <w:name w:val="caption"/>
    <w:basedOn w:val="1"/>
    <w:next w:val="1"/>
    <w:link w:val="107"/>
    <w:semiHidden/>
    <w:unhideWhenUsed/>
    <w:qFormat/>
    <w:uiPriority w:val="35"/>
    <w:pPr>
      <w:spacing w:before="152" w:after="160"/>
    </w:pPr>
    <w:rPr>
      <w:rFonts w:ascii="Arial" w:hAnsi="Arial" w:eastAsia="黑体"/>
      <w:sz w:val="20"/>
      <w:szCs w:val="20"/>
    </w:rPr>
  </w:style>
  <w:style w:type="paragraph" w:styleId="19">
    <w:name w:val="List Bullet"/>
    <w:basedOn w:val="1"/>
    <w:semiHidden/>
    <w:unhideWhenUsed/>
    <w:qFormat/>
    <w:uiPriority w:val="99"/>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0">
    <w:name w:val="Document Map"/>
    <w:basedOn w:val="1"/>
    <w:link w:val="81"/>
    <w:semiHidden/>
    <w:unhideWhenUsed/>
    <w:qFormat/>
    <w:uiPriority w:val="99"/>
    <w:rPr>
      <w:rFonts w:ascii="宋体"/>
      <w:sz w:val="18"/>
      <w:szCs w:val="18"/>
    </w:rPr>
  </w:style>
  <w:style w:type="paragraph" w:styleId="21">
    <w:name w:val="annotation text"/>
    <w:basedOn w:val="1"/>
    <w:link w:val="82"/>
    <w:semiHidden/>
    <w:unhideWhenUsed/>
    <w:qFormat/>
    <w:uiPriority w:val="99"/>
    <w:pPr>
      <w:jc w:val="left"/>
    </w:pPr>
  </w:style>
  <w:style w:type="paragraph" w:styleId="22">
    <w:name w:val="Salutation"/>
    <w:basedOn w:val="1"/>
    <w:next w:val="1"/>
    <w:link w:val="83"/>
    <w:semiHidden/>
    <w:unhideWhenUsed/>
    <w:qFormat/>
    <w:uiPriority w:val="99"/>
    <w:rPr>
      <w:rFonts w:ascii="宋体" w:hAnsi="Times New Roman"/>
      <w:b/>
      <w:sz w:val="28"/>
      <w:szCs w:val="20"/>
    </w:rPr>
  </w:style>
  <w:style w:type="paragraph" w:styleId="23">
    <w:name w:val="Body Text 3"/>
    <w:basedOn w:val="1"/>
    <w:link w:val="84"/>
    <w:semiHidden/>
    <w:unhideWhenUsed/>
    <w:qFormat/>
    <w:uiPriority w:val="99"/>
    <w:pPr>
      <w:snapToGrid w:val="0"/>
      <w:spacing w:before="50" w:after="50"/>
    </w:pPr>
    <w:rPr>
      <w:rFonts w:ascii="Times New Roman" w:hAnsi="宋体" w:eastAsia="仿宋_GB2312"/>
      <w:b/>
      <w:bCs/>
      <w:sz w:val="24"/>
      <w:szCs w:val="20"/>
    </w:rPr>
  </w:style>
  <w:style w:type="paragraph" w:styleId="24">
    <w:name w:val="Body Text"/>
    <w:basedOn w:val="1"/>
    <w:link w:val="85"/>
    <w:semiHidden/>
    <w:unhideWhenUsed/>
    <w:qFormat/>
    <w:uiPriority w:val="99"/>
    <w:pPr>
      <w:spacing w:after="120"/>
    </w:pPr>
    <w:rPr>
      <w:sz w:val="28"/>
      <w:szCs w:val="24"/>
    </w:rPr>
  </w:style>
  <w:style w:type="paragraph" w:styleId="25">
    <w:name w:val="Body Text Indent"/>
    <w:basedOn w:val="1"/>
    <w:link w:val="86"/>
    <w:semiHidden/>
    <w:unhideWhenUsed/>
    <w:qFormat/>
    <w:uiPriority w:val="99"/>
    <w:pPr>
      <w:spacing w:line="200" w:lineRule="exact"/>
      <w:ind w:firstLine="301"/>
    </w:pPr>
    <w:rPr>
      <w:rFonts w:ascii="宋体" w:hAnsi="Courier New"/>
      <w:spacing w:val="-4"/>
      <w:sz w:val="18"/>
      <w:szCs w:val="20"/>
    </w:rPr>
  </w:style>
  <w:style w:type="paragraph" w:styleId="26">
    <w:name w:val="List Number 3"/>
    <w:basedOn w:val="1"/>
    <w:semiHidden/>
    <w:unhideWhenUsed/>
    <w:qFormat/>
    <w:uiPriority w:val="99"/>
    <w:pPr>
      <w:numPr>
        <w:ilvl w:val="0"/>
        <w:numId w:val="3"/>
      </w:numPr>
    </w:pPr>
    <w:rPr>
      <w:rFonts w:ascii="Times New Roman" w:hAnsi="Times New Roman"/>
      <w:szCs w:val="24"/>
    </w:rPr>
  </w:style>
  <w:style w:type="paragraph" w:styleId="27">
    <w:name w:val="List 2"/>
    <w:basedOn w:val="1"/>
    <w:semiHidden/>
    <w:unhideWhenUsed/>
    <w:qFormat/>
    <w:uiPriority w:val="99"/>
    <w:pPr>
      <w:ind w:left="100" w:leftChars="200" w:hanging="200" w:hangingChars="200"/>
    </w:pPr>
    <w:rPr>
      <w:rFonts w:ascii="Times New Roman" w:hAnsi="Times New Roman"/>
      <w:sz w:val="28"/>
      <w:szCs w:val="24"/>
    </w:rPr>
  </w:style>
  <w:style w:type="paragraph" w:styleId="28">
    <w:name w:val="List Bullet 2"/>
    <w:basedOn w:val="1"/>
    <w:semiHidden/>
    <w:unhideWhenUsed/>
    <w:qFormat/>
    <w:uiPriority w:val="99"/>
    <w:pPr>
      <w:tabs>
        <w:tab w:val="left" w:pos="780"/>
      </w:tabs>
      <w:ind w:left="780" w:leftChars="200" w:hanging="360" w:hangingChars="200"/>
    </w:pPr>
    <w:rPr>
      <w:rFonts w:ascii="Times New Roman" w:hAnsi="Times New Roman"/>
      <w:szCs w:val="24"/>
    </w:rPr>
  </w:style>
  <w:style w:type="paragraph" w:styleId="29">
    <w:name w:val="toc 5"/>
    <w:basedOn w:val="1"/>
    <w:next w:val="1"/>
    <w:semiHidden/>
    <w:unhideWhenUsed/>
    <w:qFormat/>
    <w:uiPriority w:val="39"/>
    <w:pPr>
      <w:spacing w:afterLines="50"/>
      <w:ind w:left="840"/>
      <w:jc w:val="left"/>
    </w:pPr>
    <w:rPr>
      <w:rFonts w:ascii="Times New Roman" w:hAnsi="Times New Roman"/>
      <w:snapToGrid w:val="0"/>
      <w:kern w:val="0"/>
      <w:sz w:val="18"/>
      <w:szCs w:val="18"/>
    </w:rPr>
  </w:style>
  <w:style w:type="paragraph" w:styleId="30">
    <w:name w:val="toc 3"/>
    <w:basedOn w:val="1"/>
    <w:next w:val="1"/>
    <w:semiHidden/>
    <w:unhideWhenUsed/>
    <w:qFormat/>
    <w:uiPriority w:val="39"/>
    <w:pPr>
      <w:ind w:left="840" w:leftChars="400"/>
    </w:pPr>
  </w:style>
  <w:style w:type="paragraph" w:styleId="31">
    <w:name w:val="Plain Text"/>
    <w:basedOn w:val="1"/>
    <w:link w:val="87"/>
    <w:qFormat/>
    <w:uiPriority w:val="0"/>
    <w:pPr>
      <w:spacing w:beforeLines="50" w:afterLines="50" w:line="400" w:lineRule="exact"/>
    </w:pPr>
    <w:rPr>
      <w:rFonts w:ascii="宋体" w:hAnsi="Courier New"/>
      <w:sz w:val="24"/>
      <w:szCs w:val="24"/>
    </w:rPr>
  </w:style>
  <w:style w:type="paragraph" w:styleId="32">
    <w:name w:val="List Bullet 5"/>
    <w:basedOn w:val="1"/>
    <w:semiHidden/>
    <w:unhideWhenUsed/>
    <w:qFormat/>
    <w:uiPriority w:val="99"/>
    <w:pPr>
      <w:numPr>
        <w:ilvl w:val="0"/>
        <w:numId w:val="4"/>
      </w:numPr>
    </w:pPr>
    <w:rPr>
      <w:rFonts w:ascii="Times New Roman" w:hAnsi="Times New Roman"/>
      <w:szCs w:val="24"/>
    </w:rPr>
  </w:style>
  <w:style w:type="paragraph" w:styleId="33">
    <w:name w:val="toc 8"/>
    <w:basedOn w:val="1"/>
    <w:next w:val="1"/>
    <w:semiHidden/>
    <w:unhideWhenUsed/>
    <w:qFormat/>
    <w:uiPriority w:val="39"/>
    <w:pPr>
      <w:spacing w:afterLines="50"/>
      <w:ind w:left="1470"/>
      <w:jc w:val="left"/>
    </w:pPr>
    <w:rPr>
      <w:rFonts w:ascii="Times New Roman" w:hAnsi="Times New Roman"/>
      <w:snapToGrid w:val="0"/>
      <w:kern w:val="0"/>
      <w:sz w:val="18"/>
      <w:szCs w:val="18"/>
    </w:rPr>
  </w:style>
  <w:style w:type="paragraph" w:styleId="34">
    <w:name w:val="Date"/>
    <w:basedOn w:val="1"/>
    <w:next w:val="1"/>
    <w:link w:val="88"/>
    <w:semiHidden/>
    <w:unhideWhenUsed/>
    <w:qFormat/>
    <w:uiPriority w:val="99"/>
    <w:pPr>
      <w:ind w:left="2500" w:leftChars="2500"/>
    </w:pPr>
    <w:rPr>
      <w:rFonts w:eastAsia="楷体_GB2312"/>
      <w:sz w:val="32"/>
      <w:szCs w:val="20"/>
    </w:rPr>
  </w:style>
  <w:style w:type="paragraph" w:styleId="35">
    <w:name w:val="Body Text Indent 2"/>
    <w:basedOn w:val="1"/>
    <w:link w:val="89"/>
    <w:semiHidden/>
    <w:unhideWhenUsed/>
    <w:qFormat/>
    <w:uiPriority w:val="99"/>
    <w:pPr>
      <w:snapToGrid w:val="0"/>
      <w:ind w:firstLine="542" w:firstLineChars="225"/>
    </w:pPr>
    <w:rPr>
      <w:rFonts w:ascii="仿宋_GB2312" w:hAnsi="宋体"/>
      <w:b/>
      <w:bCs/>
      <w:color w:val="000000"/>
      <w:sz w:val="24"/>
      <w:szCs w:val="24"/>
    </w:rPr>
  </w:style>
  <w:style w:type="paragraph" w:styleId="36">
    <w:name w:val="endnote text"/>
    <w:basedOn w:val="1"/>
    <w:link w:val="90"/>
    <w:semiHidden/>
    <w:unhideWhenUsed/>
    <w:qFormat/>
    <w:uiPriority w:val="99"/>
    <w:pPr>
      <w:numPr>
        <w:ilvl w:val="0"/>
        <w:numId w:val="5"/>
      </w:numPr>
      <w:snapToGrid w:val="0"/>
      <w:spacing w:afterLines="50"/>
      <w:jc w:val="left"/>
    </w:pPr>
    <w:rPr>
      <w:rFonts w:ascii="宋体"/>
      <w:snapToGrid w:val="0"/>
      <w:kern w:val="0"/>
      <w:szCs w:val="20"/>
    </w:rPr>
  </w:style>
  <w:style w:type="paragraph" w:styleId="37">
    <w:name w:val="Balloon Text"/>
    <w:basedOn w:val="1"/>
    <w:link w:val="91"/>
    <w:semiHidden/>
    <w:unhideWhenUsed/>
    <w:qFormat/>
    <w:uiPriority w:val="99"/>
    <w:rPr>
      <w:sz w:val="18"/>
      <w:szCs w:val="18"/>
    </w:rPr>
  </w:style>
  <w:style w:type="paragraph" w:styleId="38">
    <w:name w:val="footer"/>
    <w:basedOn w:val="1"/>
    <w:link w:val="819"/>
    <w:unhideWhenUsed/>
    <w:qFormat/>
    <w:uiPriority w:val="99"/>
    <w:pPr>
      <w:tabs>
        <w:tab w:val="center" w:pos="4153"/>
        <w:tab w:val="right" w:pos="8306"/>
      </w:tabs>
      <w:snapToGrid w:val="0"/>
      <w:jc w:val="left"/>
    </w:pPr>
    <w:rPr>
      <w:sz w:val="18"/>
      <w:szCs w:val="18"/>
    </w:rPr>
  </w:style>
  <w:style w:type="paragraph" w:styleId="39">
    <w:name w:val="header"/>
    <w:basedOn w:val="1"/>
    <w:link w:val="379"/>
    <w:unhideWhenUsed/>
    <w:qFormat/>
    <w:uiPriority w:val="99"/>
    <w:pPr>
      <w:pBdr>
        <w:bottom w:val="single" w:color="auto" w:sz="6" w:space="1"/>
      </w:pBdr>
      <w:tabs>
        <w:tab w:val="center" w:pos="4153"/>
        <w:tab w:val="right" w:pos="8306"/>
      </w:tabs>
      <w:snapToGrid w:val="0"/>
      <w:jc w:val="center"/>
    </w:pPr>
    <w:rPr>
      <w:sz w:val="18"/>
      <w:szCs w:val="18"/>
    </w:rPr>
  </w:style>
  <w:style w:type="paragraph" w:styleId="40">
    <w:name w:val="toc 1"/>
    <w:basedOn w:val="1"/>
    <w:next w:val="1"/>
    <w:semiHidden/>
    <w:unhideWhenUsed/>
    <w:qFormat/>
    <w:uiPriority w:val="39"/>
    <w:pPr>
      <w:spacing w:before="240" w:after="240"/>
    </w:pPr>
    <w:rPr>
      <w:rFonts w:ascii="Times New Roman" w:hAnsi="Times New Roman" w:eastAsia="仿宋"/>
      <w:sz w:val="36"/>
      <w:szCs w:val="24"/>
    </w:rPr>
  </w:style>
  <w:style w:type="paragraph" w:styleId="41">
    <w:name w:val="toc 4"/>
    <w:basedOn w:val="1"/>
    <w:next w:val="1"/>
    <w:semiHidden/>
    <w:unhideWhenUsed/>
    <w:qFormat/>
    <w:uiPriority w:val="39"/>
    <w:pPr>
      <w:ind w:left="1260" w:leftChars="600"/>
    </w:pPr>
  </w:style>
  <w:style w:type="paragraph" w:styleId="42">
    <w:name w:val="Subtitle"/>
    <w:basedOn w:val="1"/>
    <w:link w:val="94"/>
    <w:qFormat/>
    <w:uiPriority w:val="11"/>
    <w:pPr>
      <w:spacing w:afterLines="50"/>
      <w:jc w:val="center"/>
    </w:pPr>
    <w:rPr>
      <w:rFonts w:ascii="Times New Roman" w:hAnsi="Times New Roman" w:eastAsia="Times New Roman"/>
      <w:sz w:val="18"/>
      <w:szCs w:val="18"/>
    </w:rPr>
  </w:style>
  <w:style w:type="paragraph" w:styleId="43">
    <w:name w:val="List"/>
    <w:basedOn w:val="1"/>
    <w:semiHidden/>
    <w:unhideWhenUsed/>
    <w:qFormat/>
    <w:uiPriority w:val="99"/>
    <w:pPr>
      <w:ind w:left="200" w:hanging="200" w:hangingChars="200"/>
    </w:pPr>
    <w:rPr>
      <w:rFonts w:ascii="Times New Roman" w:hAnsi="Times New Roman"/>
      <w:sz w:val="28"/>
      <w:szCs w:val="24"/>
    </w:rPr>
  </w:style>
  <w:style w:type="paragraph" w:styleId="44">
    <w:name w:val="footnote text"/>
    <w:basedOn w:val="1"/>
    <w:link w:val="95"/>
    <w:semiHidden/>
    <w:unhideWhenUsed/>
    <w:qFormat/>
    <w:uiPriority w:val="99"/>
    <w:pPr>
      <w:snapToGrid w:val="0"/>
      <w:jc w:val="left"/>
    </w:pPr>
    <w:rPr>
      <w:sz w:val="18"/>
      <w:szCs w:val="18"/>
    </w:rPr>
  </w:style>
  <w:style w:type="paragraph" w:styleId="45">
    <w:name w:val="toc 6"/>
    <w:basedOn w:val="1"/>
    <w:next w:val="1"/>
    <w:semiHidden/>
    <w:unhideWhenUsed/>
    <w:qFormat/>
    <w:uiPriority w:val="39"/>
    <w:pPr>
      <w:ind w:left="1050"/>
      <w:jc w:val="left"/>
    </w:pPr>
    <w:rPr>
      <w:rFonts w:ascii="Times New Roman" w:hAnsi="Times New Roman"/>
      <w:sz w:val="18"/>
      <w:szCs w:val="18"/>
    </w:rPr>
  </w:style>
  <w:style w:type="paragraph" w:styleId="46">
    <w:name w:val="Body Text Indent 3"/>
    <w:basedOn w:val="1"/>
    <w:link w:val="96"/>
    <w:semiHidden/>
    <w:unhideWhenUsed/>
    <w:qFormat/>
    <w:uiPriority w:val="99"/>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semiHidden/>
    <w:unhideWhenUsed/>
    <w:qFormat/>
    <w:uiPriority w:val="99"/>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semiHidden/>
    <w:unhideWhenUsed/>
    <w:qFormat/>
    <w:uiPriority w:val="39"/>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semiHidden/>
    <w:unhideWhenUsed/>
    <w:qFormat/>
    <w:uiPriority w:val="39"/>
    <w:pPr>
      <w:ind w:left="1680"/>
      <w:jc w:val="left"/>
    </w:pPr>
    <w:rPr>
      <w:rFonts w:ascii="Times New Roman" w:hAnsi="Times New Roman"/>
      <w:sz w:val="18"/>
      <w:szCs w:val="18"/>
    </w:rPr>
  </w:style>
  <w:style w:type="paragraph" w:styleId="50">
    <w:name w:val="Body Text 2"/>
    <w:basedOn w:val="1"/>
    <w:link w:val="97"/>
    <w:semiHidden/>
    <w:unhideWhenUsed/>
    <w:qFormat/>
    <w:uiPriority w:val="99"/>
    <w:pPr>
      <w:widowControl/>
      <w:snapToGrid w:val="0"/>
      <w:spacing w:before="50" w:afterLines="50" w:line="400" w:lineRule="exact"/>
      <w:jc w:val="left"/>
    </w:pPr>
    <w:rPr>
      <w:rFonts w:ascii="宋体" w:hAnsi="宋体"/>
      <w:color w:val="000000"/>
      <w:sz w:val="24"/>
      <w:szCs w:val="24"/>
    </w:rPr>
  </w:style>
  <w:style w:type="paragraph" w:styleId="51">
    <w:name w:val="List Continue 2"/>
    <w:basedOn w:val="1"/>
    <w:semiHidden/>
    <w:unhideWhenUsed/>
    <w:qFormat/>
    <w:uiPriority w:val="99"/>
    <w:pPr>
      <w:widowControl/>
      <w:spacing w:after="120"/>
      <w:ind w:left="840" w:leftChars="400"/>
      <w:jc w:val="left"/>
    </w:pPr>
    <w:rPr>
      <w:rFonts w:ascii="Times New Roman" w:hAnsi="Times New Roman" w:cs="宋体"/>
      <w:kern w:val="0"/>
      <w:sz w:val="24"/>
      <w:szCs w:val="24"/>
    </w:rPr>
  </w:style>
  <w:style w:type="paragraph" w:styleId="52">
    <w:name w:val="HTML Preformatted"/>
    <w:basedOn w:val="1"/>
    <w:link w:val="98"/>
    <w:semiHidden/>
    <w:unhideWhenUsed/>
    <w:qFormat/>
    <w:uiPriority w:val="99"/>
    <w:rPr>
      <w:rFonts w:ascii="Courier New" w:hAnsi="Courier New"/>
      <w:sz w:val="20"/>
      <w:szCs w:val="20"/>
    </w:rPr>
  </w:style>
  <w:style w:type="paragraph" w:styleId="53">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54">
    <w:name w:val="index 1"/>
    <w:basedOn w:val="1"/>
    <w:next w:val="1"/>
    <w:semiHidden/>
    <w:unhideWhenUsed/>
    <w:qFormat/>
    <w:uiPriority w:val="99"/>
    <w:rPr>
      <w:rFonts w:ascii="Times New Roman" w:hAnsi="Times New Roman"/>
      <w:szCs w:val="20"/>
    </w:rPr>
  </w:style>
  <w:style w:type="paragraph" w:styleId="55">
    <w:name w:val="Title"/>
    <w:basedOn w:val="1"/>
    <w:link w:val="99"/>
    <w:qFormat/>
    <w:uiPriority w:val="10"/>
    <w:pPr>
      <w:spacing w:before="240" w:after="60"/>
      <w:jc w:val="center"/>
      <w:outlineLvl w:val="0"/>
    </w:pPr>
    <w:rPr>
      <w:rFonts w:ascii="Arial" w:hAnsi="Arial"/>
      <w:b/>
      <w:bCs/>
      <w:sz w:val="32"/>
      <w:szCs w:val="32"/>
    </w:rPr>
  </w:style>
  <w:style w:type="paragraph" w:styleId="56">
    <w:name w:val="annotation subject"/>
    <w:basedOn w:val="21"/>
    <w:next w:val="21"/>
    <w:link w:val="963"/>
    <w:semiHidden/>
    <w:unhideWhenUsed/>
    <w:qFormat/>
    <w:uiPriority w:val="99"/>
    <w:rPr>
      <w:b/>
      <w:bCs/>
    </w:rPr>
  </w:style>
  <w:style w:type="paragraph" w:styleId="57">
    <w:name w:val="Body Text First Indent"/>
    <w:basedOn w:val="24"/>
    <w:link w:val="102"/>
    <w:semiHidden/>
    <w:unhideWhenUsed/>
    <w:qFormat/>
    <w:uiPriority w:val="99"/>
    <w:pPr>
      <w:ind w:firstLine="420" w:firstLineChars="100"/>
    </w:pPr>
    <w:rPr>
      <w:sz w:val="21"/>
      <w:szCs w:val="22"/>
    </w:rPr>
  </w:style>
  <w:style w:type="paragraph" w:styleId="58">
    <w:name w:val="Body Text First Indent 2"/>
    <w:basedOn w:val="25"/>
    <w:link w:val="964"/>
    <w:semiHidden/>
    <w:unhideWhenUsed/>
    <w:qFormat/>
    <w:uiPriority w:val="99"/>
    <w:pPr>
      <w:spacing w:after="120" w:line="240" w:lineRule="auto"/>
      <w:ind w:left="420" w:leftChars="200" w:firstLine="420" w:firstLineChars="200"/>
    </w:pPr>
    <w:rPr>
      <w:rFonts w:ascii="Times New Roman" w:hAnsi="Times New Roman"/>
      <w:spacing w:val="0"/>
      <w:sz w:val="21"/>
    </w:rPr>
  </w:style>
  <w:style w:type="table" w:styleId="60">
    <w:name w:val="Table Grid"/>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Simple 1"/>
    <w:basedOn w:val="59"/>
    <w:semiHidden/>
    <w:unhideWhenUsed/>
    <w:qFormat/>
    <w:uiPriority w:val="99"/>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semiHidden/>
    <w:unhideWhenUsed/>
    <w:qFormat/>
    <w:uiPriority w:val="99"/>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qFormat/>
    <w:uiPriority w:val="22"/>
    <w:rPr>
      <w:b/>
      <w:bCs/>
    </w:rPr>
  </w:style>
  <w:style w:type="character" w:styleId="66">
    <w:name w:val="page number"/>
    <w:basedOn w:val="64"/>
    <w:semiHidden/>
    <w:unhideWhenUsed/>
    <w:qFormat/>
    <w:uiPriority w:val="99"/>
  </w:style>
  <w:style w:type="character" w:styleId="67">
    <w:name w:val="FollowedHyperlink"/>
    <w:semiHidden/>
    <w:unhideWhenUsed/>
    <w:qFormat/>
    <w:uiPriority w:val="99"/>
    <w:rPr>
      <w:color w:val="800080"/>
      <w:u w:val="single"/>
    </w:rPr>
  </w:style>
  <w:style w:type="character" w:styleId="68">
    <w:name w:val="Emphasis"/>
    <w:qFormat/>
    <w:uiPriority w:val="20"/>
    <w:rPr>
      <w:color w:val="CC0033"/>
    </w:rPr>
  </w:style>
  <w:style w:type="character" w:styleId="69">
    <w:name w:val="Hyperlink"/>
    <w:semiHidden/>
    <w:unhideWhenUsed/>
    <w:qFormat/>
    <w:uiPriority w:val="99"/>
    <w:rPr>
      <w:color w:val="0000FF"/>
      <w:u w:val="single"/>
    </w:rPr>
  </w:style>
  <w:style w:type="character" w:styleId="70">
    <w:name w:val="annotation reference"/>
    <w:semiHidden/>
    <w:unhideWhenUsed/>
    <w:qFormat/>
    <w:uiPriority w:val="99"/>
    <w:rPr>
      <w:sz w:val="21"/>
      <w:szCs w:val="21"/>
    </w:rPr>
  </w:style>
  <w:style w:type="character" w:styleId="71">
    <w:name w:val="footnote reference"/>
    <w:semiHidden/>
    <w:unhideWhenUsed/>
    <w:qFormat/>
    <w:uiPriority w:val="99"/>
    <w:rPr>
      <w:vertAlign w:val="superscript"/>
    </w:rPr>
  </w:style>
  <w:style w:type="character" w:customStyle="1" w:styleId="72">
    <w:name w:val="标题 1 字符"/>
    <w:basedOn w:val="64"/>
    <w:link w:val="2"/>
    <w:qFormat/>
    <w:uiPriority w:val="0"/>
    <w:rPr>
      <w:rFonts w:ascii="Calibri" w:hAnsi="Calibri" w:eastAsia="隶书" w:cs="Times New Roman"/>
      <w:b/>
      <w:bCs/>
      <w:kern w:val="0"/>
      <w:sz w:val="36"/>
      <w:szCs w:val="36"/>
    </w:rPr>
  </w:style>
  <w:style w:type="character" w:customStyle="1" w:styleId="73">
    <w:name w:val="标题 2 Char"/>
    <w:basedOn w:val="64"/>
    <w:qFormat/>
    <w:uiPriority w:val="0"/>
    <w:rPr>
      <w:rFonts w:asciiTheme="majorHAnsi" w:hAnsiTheme="majorHAnsi" w:eastAsiaTheme="majorEastAsia" w:cstheme="majorBidi"/>
      <w:b/>
      <w:bCs/>
      <w:sz w:val="32"/>
      <w:szCs w:val="32"/>
    </w:rPr>
  </w:style>
  <w:style w:type="character" w:customStyle="1" w:styleId="74">
    <w:name w:val="标题 3 字符"/>
    <w:basedOn w:val="64"/>
    <w:link w:val="4"/>
    <w:qFormat/>
    <w:uiPriority w:val="9"/>
    <w:rPr>
      <w:rFonts w:ascii="Calibri" w:hAnsi="Calibri" w:eastAsia="宋体" w:cs="Times New Roman"/>
      <w:b/>
      <w:bCs/>
      <w:sz w:val="32"/>
      <w:szCs w:val="32"/>
    </w:rPr>
  </w:style>
  <w:style w:type="character" w:customStyle="1" w:styleId="75">
    <w:name w:val="标题 4 字符"/>
    <w:basedOn w:val="64"/>
    <w:link w:val="5"/>
    <w:qFormat/>
    <w:uiPriority w:val="0"/>
    <w:rPr>
      <w:rFonts w:ascii="Arial" w:hAnsi="Arial" w:eastAsia="黑体" w:cs="Times New Roman"/>
      <w:b/>
      <w:bCs/>
      <w:sz w:val="28"/>
      <w:szCs w:val="28"/>
    </w:rPr>
  </w:style>
  <w:style w:type="character" w:customStyle="1" w:styleId="76">
    <w:name w:val="标题 5 字符"/>
    <w:basedOn w:val="64"/>
    <w:link w:val="6"/>
    <w:qFormat/>
    <w:uiPriority w:val="0"/>
    <w:rPr>
      <w:rFonts w:ascii="Calibri" w:hAnsi="Calibri" w:eastAsia="宋体" w:cs="Times New Roman"/>
      <w:b/>
      <w:bCs/>
      <w:sz w:val="28"/>
      <w:szCs w:val="28"/>
    </w:rPr>
  </w:style>
  <w:style w:type="character" w:customStyle="1" w:styleId="77">
    <w:name w:val="标题 6 字符"/>
    <w:basedOn w:val="64"/>
    <w:link w:val="7"/>
    <w:qFormat/>
    <w:uiPriority w:val="0"/>
    <w:rPr>
      <w:rFonts w:ascii="Arial" w:hAnsi="Arial" w:eastAsia="黑体" w:cs="Times New Roman"/>
      <w:b/>
      <w:bCs/>
      <w:sz w:val="24"/>
      <w:szCs w:val="24"/>
    </w:rPr>
  </w:style>
  <w:style w:type="character" w:customStyle="1" w:styleId="78">
    <w:name w:val="标题 7 字符"/>
    <w:basedOn w:val="64"/>
    <w:link w:val="8"/>
    <w:qFormat/>
    <w:uiPriority w:val="99"/>
    <w:rPr>
      <w:rFonts w:ascii="Calibri" w:hAnsi="Calibri" w:eastAsia="宋体" w:cs="Times New Roman"/>
      <w:b/>
      <w:bCs/>
      <w:sz w:val="24"/>
      <w:szCs w:val="24"/>
    </w:rPr>
  </w:style>
  <w:style w:type="character" w:customStyle="1" w:styleId="79">
    <w:name w:val="标题 8 字符"/>
    <w:basedOn w:val="64"/>
    <w:link w:val="9"/>
    <w:qFormat/>
    <w:uiPriority w:val="99"/>
    <w:rPr>
      <w:rFonts w:ascii="Cambria" w:hAnsi="Cambria" w:eastAsia="宋体" w:cs="Times New Roman"/>
      <w:sz w:val="24"/>
      <w:szCs w:val="24"/>
    </w:rPr>
  </w:style>
  <w:style w:type="character" w:customStyle="1" w:styleId="80">
    <w:name w:val="标题 9 字符"/>
    <w:basedOn w:val="64"/>
    <w:link w:val="10"/>
    <w:qFormat/>
    <w:uiPriority w:val="99"/>
    <w:rPr>
      <w:rFonts w:ascii="Cambria" w:hAnsi="Cambria" w:eastAsia="宋体" w:cs="Times New Roman"/>
      <w:szCs w:val="21"/>
    </w:rPr>
  </w:style>
  <w:style w:type="character" w:customStyle="1" w:styleId="81">
    <w:name w:val="文档结构图 字符"/>
    <w:basedOn w:val="64"/>
    <w:link w:val="20"/>
    <w:qFormat/>
    <w:uiPriority w:val="99"/>
    <w:rPr>
      <w:rFonts w:ascii="宋体" w:hAnsi="Calibri" w:eastAsia="宋体" w:cs="Times New Roman"/>
      <w:sz w:val="18"/>
      <w:szCs w:val="18"/>
    </w:rPr>
  </w:style>
  <w:style w:type="character" w:customStyle="1" w:styleId="82">
    <w:name w:val="批注文字 字符1"/>
    <w:basedOn w:val="64"/>
    <w:link w:val="21"/>
    <w:qFormat/>
    <w:uiPriority w:val="99"/>
    <w:rPr>
      <w:rFonts w:ascii="Calibri" w:hAnsi="Calibri" w:eastAsia="宋体" w:cs="Times New Roman"/>
    </w:rPr>
  </w:style>
  <w:style w:type="character" w:customStyle="1" w:styleId="83">
    <w:name w:val="称呼 字符"/>
    <w:basedOn w:val="64"/>
    <w:link w:val="22"/>
    <w:qFormat/>
    <w:uiPriority w:val="99"/>
    <w:rPr>
      <w:rFonts w:ascii="宋体" w:hAnsi="Times New Roman" w:eastAsia="宋体" w:cs="Times New Roman"/>
      <w:b/>
      <w:sz w:val="28"/>
      <w:szCs w:val="20"/>
    </w:rPr>
  </w:style>
  <w:style w:type="character" w:customStyle="1" w:styleId="84">
    <w:name w:val="正文文本 3 字符"/>
    <w:basedOn w:val="64"/>
    <w:link w:val="23"/>
    <w:qFormat/>
    <w:uiPriority w:val="99"/>
    <w:rPr>
      <w:rFonts w:ascii="Times New Roman" w:hAnsi="宋体" w:eastAsia="仿宋_GB2312" w:cs="Times New Roman"/>
      <w:b/>
      <w:bCs/>
      <w:sz w:val="24"/>
      <w:szCs w:val="20"/>
    </w:rPr>
  </w:style>
  <w:style w:type="character" w:customStyle="1" w:styleId="85">
    <w:name w:val="正文文本 字符1"/>
    <w:basedOn w:val="64"/>
    <w:link w:val="24"/>
    <w:qFormat/>
    <w:uiPriority w:val="99"/>
    <w:rPr>
      <w:rFonts w:ascii="Calibri" w:hAnsi="Calibri" w:eastAsia="宋体" w:cs="Times New Roman"/>
      <w:sz w:val="28"/>
      <w:szCs w:val="24"/>
    </w:rPr>
  </w:style>
  <w:style w:type="character" w:customStyle="1" w:styleId="86">
    <w:name w:val="正文文本缩进 字符1"/>
    <w:basedOn w:val="64"/>
    <w:link w:val="25"/>
    <w:qFormat/>
    <w:uiPriority w:val="99"/>
    <w:rPr>
      <w:rFonts w:ascii="宋体" w:hAnsi="Courier New" w:eastAsia="宋体" w:cs="Times New Roman"/>
      <w:spacing w:val="-4"/>
      <w:sz w:val="18"/>
      <w:szCs w:val="20"/>
    </w:rPr>
  </w:style>
  <w:style w:type="character" w:customStyle="1" w:styleId="87">
    <w:name w:val="纯文本 字符"/>
    <w:basedOn w:val="64"/>
    <w:link w:val="31"/>
    <w:qFormat/>
    <w:uiPriority w:val="99"/>
    <w:rPr>
      <w:rFonts w:ascii="宋体" w:hAnsi="Courier New" w:eastAsia="宋体" w:cs="Times New Roman"/>
      <w:sz w:val="24"/>
      <w:szCs w:val="24"/>
    </w:rPr>
  </w:style>
  <w:style w:type="character" w:customStyle="1" w:styleId="88">
    <w:name w:val="日期 字符"/>
    <w:basedOn w:val="64"/>
    <w:link w:val="34"/>
    <w:qFormat/>
    <w:uiPriority w:val="0"/>
    <w:rPr>
      <w:rFonts w:ascii="Calibri" w:hAnsi="Calibri" w:eastAsia="楷体_GB2312" w:cs="Times New Roman"/>
      <w:sz w:val="32"/>
      <w:szCs w:val="20"/>
    </w:rPr>
  </w:style>
  <w:style w:type="character" w:customStyle="1" w:styleId="89">
    <w:name w:val="正文文本缩进 2 字符"/>
    <w:basedOn w:val="64"/>
    <w:link w:val="35"/>
    <w:qFormat/>
    <w:uiPriority w:val="99"/>
    <w:rPr>
      <w:rFonts w:ascii="仿宋_GB2312" w:hAnsi="宋体" w:eastAsia="宋体" w:cs="Times New Roman"/>
      <w:b/>
      <w:bCs/>
      <w:color w:val="000000"/>
      <w:sz w:val="24"/>
      <w:szCs w:val="24"/>
    </w:rPr>
  </w:style>
  <w:style w:type="character" w:customStyle="1" w:styleId="90">
    <w:name w:val="尾注文本 字符"/>
    <w:basedOn w:val="64"/>
    <w:link w:val="36"/>
    <w:qFormat/>
    <w:uiPriority w:val="99"/>
    <w:rPr>
      <w:rFonts w:ascii="宋体" w:hAnsi="Calibri" w:eastAsia="宋体" w:cs="Times New Roman"/>
      <w:snapToGrid w:val="0"/>
      <w:kern w:val="0"/>
      <w:szCs w:val="20"/>
    </w:rPr>
  </w:style>
  <w:style w:type="character" w:customStyle="1" w:styleId="91">
    <w:name w:val="批注框文本 字符"/>
    <w:basedOn w:val="64"/>
    <w:link w:val="37"/>
    <w:qFormat/>
    <w:uiPriority w:val="99"/>
    <w:rPr>
      <w:rFonts w:ascii="Calibri" w:hAnsi="Calibri" w:eastAsia="宋体" w:cs="Times New Roman"/>
      <w:sz w:val="18"/>
      <w:szCs w:val="18"/>
    </w:rPr>
  </w:style>
  <w:style w:type="character" w:customStyle="1" w:styleId="92">
    <w:name w:val="页脚 Char"/>
    <w:basedOn w:val="64"/>
    <w:qFormat/>
    <w:uiPriority w:val="0"/>
    <w:rPr>
      <w:rFonts w:ascii="Calibri" w:hAnsi="Calibri" w:eastAsia="宋体" w:cs="Times New Roman"/>
      <w:sz w:val="18"/>
      <w:szCs w:val="18"/>
    </w:rPr>
  </w:style>
  <w:style w:type="character" w:customStyle="1" w:styleId="93">
    <w:name w:val="页眉 Char"/>
    <w:basedOn w:val="64"/>
    <w:qFormat/>
    <w:uiPriority w:val="0"/>
    <w:rPr>
      <w:rFonts w:ascii="Calibri" w:hAnsi="Calibri" w:eastAsia="宋体" w:cs="Times New Roman"/>
      <w:sz w:val="18"/>
      <w:szCs w:val="18"/>
    </w:rPr>
  </w:style>
  <w:style w:type="character" w:customStyle="1" w:styleId="94">
    <w:name w:val="副标题 字符"/>
    <w:basedOn w:val="64"/>
    <w:link w:val="42"/>
    <w:qFormat/>
    <w:uiPriority w:val="11"/>
    <w:rPr>
      <w:rFonts w:ascii="Times New Roman" w:hAnsi="Times New Roman" w:eastAsia="Times New Roman" w:cs="Times New Roman"/>
      <w:sz w:val="18"/>
      <w:szCs w:val="18"/>
    </w:rPr>
  </w:style>
  <w:style w:type="character" w:customStyle="1" w:styleId="95">
    <w:name w:val="脚注文本 字符"/>
    <w:basedOn w:val="64"/>
    <w:link w:val="44"/>
    <w:qFormat/>
    <w:uiPriority w:val="99"/>
    <w:rPr>
      <w:rFonts w:ascii="Calibri" w:hAnsi="Calibri" w:eastAsia="宋体" w:cs="Times New Roman"/>
      <w:sz w:val="18"/>
      <w:szCs w:val="18"/>
    </w:rPr>
  </w:style>
  <w:style w:type="character" w:customStyle="1" w:styleId="96">
    <w:name w:val="正文文本缩进 3 字符"/>
    <w:basedOn w:val="64"/>
    <w:link w:val="46"/>
    <w:qFormat/>
    <w:uiPriority w:val="99"/>
    <w:rPr>
      <w:rFonts w:ascii="仿宋_GB2312" w:hAnsi="宋体" w:eastAsia="仿宋_GB2312" w:cs="Times New Roman"/>
      <w:color w:val="000000"/>
      <w:sz w:val="24"/>
      <w:szCs w:val="24"/>
    </w:rPr>
  </w:style>
  <w:style w:type="character" w:customStyle="1" w:styleId="97">
    <w:name w:val="正文文本 2 字符"/>
    <w:basedOn w:val="64"/>
    <w:link w:val="50"/>
    <w:qFormat/>
    <w:uiPriority w:val="0"/>
    <w:rPr>
      <w:rFonts w:ascii="宋体" w:hAnsi="宋体" w:eastAsia="宋体" w:cs="Times New Roman"/>
      <w:color w:val="000000"/>
      <w:sz w:val="24"/>
      <w:szCs w:val="24"/>
    </w:rPr>
  </w:style>
  <w:style w:type="character" w:customStyle="1" w:styleId="98">
    <w:name w:val="HTML 预设格式 字符"/>
    <w:basedOn w:val="64"/>
    <w:link w:val="52"/>
    <w:qFormat/>
    <w:uiPriority w:val="99"/>
    <w:rPr>
      <w:rFonts w:ascii="Courier New" w:hAnsi="Courier New" w:eastAsia="宋体" w:cs="Times New Roman"/>
      <w:sz w:val="20"/>
      <w:szCs w:val="20"/>
    </w:rPr>
  </w:style>
  <w:style w:type="character" w:customStyle="1" w:styleId="99">
    <w:name w:val="标题 字符"/>
    <w:basedOn w:val="64"/>
    <w:link w:val="55"/>
    <w:qFormat/>
    <w:uiPriority w:val="99"/>
    <w:rPr>
      <w:rFonts w:ascii="Arial" w:hAnsi="Arial" w:eastAsia="宋体" w:cs="Times New Roman"/>
      <w:b/>
      <w:bCs/>
      <w:sz w:val="32"/>
      <w:szCs w:val="32"/>
    </w:rPr>
  </w:style>
  <w:style w:type="character" w:customStyle="1" w:styleId="100">
    <w:name w:val="批注主题 Char"/>
    <w:basedOn w:val="82"/>
    <w:link w:val="101"/>
    <w:qFormat/>
    <w:uiPriority w:val="99"/>
    <w:rPr>
      <w:rFonts w:ascii="Calibri" w:hAnsi="Calibri" w:eastAsia="宋体" w:cs="Times New Roman"/>
      <w:b/>
      <w:bCs/>
    </w:rPr>
  </w:style>
  <w:style w:type="paragraph" w:customStyle="1" w:styleId="101">
    <w:name w:val="批注主题1"/>
    <w:basedOn w:val="21"/>
    <w:next w:val="21"/>
    <w:link w:val="100"/>
    <w:qFormat/>
    <w:uiPriority w:val="99"/>
    <w:rPr>
      <w:b/>
      <w:bCs/>
    </w:rPr>
  </w:style>
  <w:style w:type="character" w:customStyle="1" w:styleId="102">
    <w:name w:val="正文首行缩进 字符"/>
    <w:basedOn w:val="85"/>
    <w:link w:val="57"/>
    <w:qFormat/>
    <w:uiPriority w:val="99"/>
    <w:rPr>
      <w:rFonts w:ascii="Calibri" w:hAnsi="Calibri" w:eastAsia="宋体" w:cs="Times New Roman"/>
      <w:sz w:val="28"/>
      <w:szCs w:val="24"/>
    </w:rPr>
  </w:style>
  <w:style w:type="character" w:customStyle="1" w:styleId="103">
    <w:name w:val="正文首行缩进 2 Char"/>
    <w:basedOn w:val="86"/>
    <w:link w:val="104"/>
    <w:qFormat/>
    <w:uiPriority w:val="0"/>
    <w:rPr>
      <w:rFonts w:ascii="宋体" w:hAnsi="Courier New" w:eastAsia="宋体" w:cs="Times New Roman"/>
      <w:spacing w:val="-4"/>
      <w:sz w:val="18"/>
      <w:szCs w:val="20"/>
    </w:rPr>
  </w:style>
  <w:style w:type="paragraph" w:customStyle="1" w:styleId="104">
    <w:name w:val="正文首行缩进 22"/>
    <w:basedOn w:val="105"/>
    <w:link w:val="103"/>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qFormat/>
    <w:uiPriority w:val="99"/>
    <w:pPr>
      <w:spacing w:after="120"/>
      <w:ind w:left="420" w:leftChars="200"/>
    </w:pPr>
    <w:rPr>
      <w:rFonts w:cs="黑体"/>
    </w:rPr>
  </w:style>
  <w:style w:type="character" w:customStyle="1" w:styleId="106">
    <w:name w:val="ca-8"/>
    <w:basedOn w:val="64"/>
    <w:qFormat/>
    <w:uiPriority w:val="0"/>
  </w:style>
  <w:style w:type="character" w:customStyle="1" w:styleId="107">
    <w:name w:val="题注 字符"/>
    <w:link w:val="18"/>
    <w:qFormat/>
    <w:uiPriority w:val="0"/>
    <w:rPr>
      <w:rFonts w:ascii="Arial" w:hAnsi="Arial" w:eastAsia="黑体" w:cs="Times New Roman"/>
      <w:sz w:val="20"/>
      <w:szCs w:val="20"/>
    </w:rPr>
  </w:style>
  <w:style w:type="character" w:customStyle="1" w:styleId="108">
    <w:name w:val="正文2 Char Char"/>
    <w:link w:val="109"/>
    <w:qFormat/>
    <w:uiPriority w:val="0"/>
    <w:rPr>
      <w:rFonts w:ascii="Times New Roman" w:hAnsi="Times New Roman"/>
      <w:sz w:val="24"/>
    </w:rPr>
  </w:style>
  <w:style w:type="paragraph" w:customStyle="1" w:styleId="109">
    <w:name w:val="正文2"/>
    <w:basedOn w:val="1"/>
    <w:link w:val="108"/>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qFormat/>
    <w:uiPriority w:val="0"/>
    <w:rPr>
      <w:rFonts w:ascii="Times New Roman" w:hAnsi="宋体"/>
      <w:sz w:val="24"/>
      <w:szCs w:val="24"/>
    </w:rPr>
  </w:style>
  <w:style w:type="paragraph" w:customStyle="1" w:styleId="111">
    <w:name w:val="新昌正文"/>
    <w:basedOn w:val="1"/>
    <w:link w:val="110"/>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qFormat/>
    <w:uiPriority w:val="0"/>
    <w:rPr>
      <w:rFonts w:eastAsia="宋体" w:cs="宋体"/>
      <w:kern w:val="2"/>
      <w:sz w:val="24"/>
      <w:lang w:val="en-US" w:eastAsia="zh-CN" w:bidi="ar-SA"/>
    </w:rPr>
  </w:style>
  <w:style w:type="character" w:customStyle="1" w:styleId="113">
    <w:name w:val="表正文 Char1"/>
    <w:qFormat/>
    <w:uiPriority w:val="0"/>
    <w:rPr>
      <w:rFonts w:eastAsia="宋体"/>
      <w:kern w:val="2"/>
      <w:sz w:val="24"/>
      <w:lang w:val="en-US" w:eastAsia="zh-CN"/>
    </w:rPr>
  </w:style>
  <w:style w:type="character" w:customStyle="1" w:styleId="114">
    <w:name w:val="A C"/>
    <w:qFormat/>
    <w:uiPriority w:val="0"/>
    <w:rPr>
      <w:rFonts w:ascii="仿宋_GB2312"/>
      <w:bCs/>
      <w:iCs/>
      <w:sz w:val="24"/>
    </w:rPr>
  </w:style>
  <w:style w:type="character" w:customStyle="1" w:styleId="115">
    <w:name w:val="大汉方案正文 Char1"/>
    <w:link w:val="116"/>
    <w:qFormat/>
    <w:uiPriority w:val="0"/>
    <w:rPr>
      <w:rFonts w:ascii="Arial" w:hAnsi="Arial" w:eastAsia="宋体"/>
      <w:sz w:val="24"/>
      <w:szCs w:val="24"/>
    </w:rPr>
  </w:style>
  <w:style w:type="paragraph" w:customStyle="1" w:styleId="116">
    <w:name w:val="大汉方案正文"/>
    <w:basedOn w:val="1"/>
    <w:link w:val="115"/>
    <w:qFormat/>
    <w:uiPriority w:val="0"/>
    <w:pPr>
      <w:spacing w:line="360" w:lineRule="auto"/>
      <w:ind w:firstLine="200" w:firstLineChars="200"/>
    </w:pPr>
    <w:rPr>
      <w:rFonts w:ascii="Arial" w:hAnsi="Arial" w:cstheme="minorBidi"/>
      <w:sz w:val="24"/>
      <w:szCs w:val="24"/>
    </w:rPr>
  </w:style>
  <w:style w:type="character" w:customStyle="1" w:styleId="117">
    <w:name w:val="正 文 1 Char Char"/>
    <w:qFormat/>
    <w:uiPriority w:val="0"/>
    <w:rPr>
      <w:rFonts w:ascii="宋体" w:hAnsi="Courier New" w:eastAsia="宋体"/>
      <w:kern w:val="2"/>
      <w:sz w:val="21"/>
      <w:lang w:val="en-US" w:eastAsia="zh-CN" w:bidi="ar-SA"/>
    </w:rPr>
  </w:style>
  <w:style w:type="character" w:customStyle="1" w:styleId="118">
    <w:name w:val="Char Char6"/>
    <w:qFormat/>
    <w:uiPriority w:val="0"/>
    <w:rPr>
      <w:rFonts w:ascii="Calibri" w:hAnsi="Calibri" w:eastAsia="宋体"/>
      <w:b/>
      <w:bCs/>
      <w:kern w:val="2"/>
      <w:sz w:val="28"/>
      <w:szCs w:val="28"/>
      <w:lang w:bidi="ar-SA"/>
    </w:rPr>
  </w:style>
  <w:style w:type="character" w:customStyle="1" w:styleId="119">
    <w:name w:val="标题 1 Char1"/>
    <w:qFormat/>
    <w:uiPriority w:val="0"/>
    <w:rPr>
      <w:rFonts w:cs="Times New Roman"/>
      <w:b/>
      <w:bCs/>
      <w:kern w:val="44"/>
      <w:sz w:val="44"/>
      <w:szCs w:val="44"/>
    </w:rPr>
  </w:style>
  <w:style w:type="character" w:customStyle="1" w:styleId="120">
    <w:name w:val="仙居正文 Char"/>
    <w:link w:val="121"/>
    <w:qFormat/>
    <w:uiPriority w:val="0"/>
    <w:rPr>
      <w:rFonts w:ascii="宋体" w:hAnsi="宋体"/>
      <w:sz w:val="24"/>
      <w:szCs w:val="24"/>
    </w:rPr>
  </w:style>
  <w:style w:type="paragraph" w:customStyle="1" w:styleId="121">
    <w:name w:val="仙居正文"/>
    <w:basedOn w:val="1"/>
    <w:link w:val="120"/>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qFormat/>
    <w:uiPriority w:val="0"/>
    <w:rPr>
      <w:rFonts w:ascii="Courier New" w:hAnsi="Courier New"/>
      <w:color w:val="008080"/>
    </w:rPr>
  </w:style>
  <w:style w:type="character" w:customStyle="1" w:styleId="123">
    <w:name w:val="unnamed1"/>
    <w:basedOn w:val="64"/>
    <w:qFormat/>
    <w:uiPriority w:val="0"/>
  </w:style>
  <w:style w:type="character" w:customStyle="1" w:styleId="124">
    <w:name w:val="样式(-) Char"/>
    <w:link w:val="125"/>
    <w:qFormat/>
    <w:locked/>
    <w:uiPriority w:val="0"/>
    <w:rPr>
      <w:rFonts w:ascii="Calibri" w:hAnsi="Calibri" w:eastAsia="仿宋"/>
      <w:b/>
      <w:sz w:val="28"/>
      <w:szCs w:val="21"/>
    </w:rPr>
  </w:style>
  <w:style w:type="paragraph" w:customStyle="1" w:styleId="125">
    <w:name w:val="样式(-)"/>
    <w:basedOn w:val="126"/>
    <w:link w:val="124"/>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8"/>
    <w:qFormat/>
    <w:uiPriority w:val="0"/>
    <w:pPr>
      <w:ind w:firstLine="420" w:firstLineChars="200"/>
    </w:pPr>
    <w:rPr>
      <w:szCs w:val="24"/>
    </w:rPr>
  </w:style>
  <w:style w:type="character" w:customStyle="1" w:styleId="127">
    <w:name w:val="表正文 Char2"/>
    <w:qFormat/>
    <w:uiPriority w:val="0"/>
    <w:rPr>
      <w:rFonts w:eastAsia="宋体"/>
      <w:kern w:val="2"/>
      <w:sz w:val="21"/>
      <w:lang w:val="en-US" w:eastAsia="zh-CN" w:bidi="ar-SA"/>
    </w:rPr>
  </w:style>
  <w:style w:type="character" w:customStyle="1" w:styleId="128">
    <w:name w:val="表格中文字 Char Char"/>
    <w:qFormat/>
    <w:uiPriority w:val="0"/>
    <w:rPr>
      <w:rFonts w:ascii="新宋体" w:hAnsi="新宋体" w:eastAsia="新宋体"/>
      <w:sz w:val="24"/>
      <w:szCs w:val="24"/>
      <w:lang w:bidi="ar-SA"/>
    </w:rPr>
  </w:style>
  <w:style w:type="character" w:customStyle="1" w:styleId="129">
    <w:name w:val="ca-7"/>
    <w:basedOn w:val="64"/>
    <w:qFormat/>
    <w:uiPriority w:val="0"/>
  </w:style>
  <w:style w:type="character" w:customStyle="1" w:styleId="130">
    <w:name w:val="公司一级标题"/>
    <w:qFormat/>
    <w:uiPriority w:val="0"/>
    <w:rPr>
      <w:rFonts w:ascii="黑体" w:hAnsi="黑体" w:eastAsia="黑体"/>
      <w:color w:val="333300"/>
      <w:sz w:val="30"/>
    </w:rPr>
  </w:style>
  <w:style w:type="character" w:customStyle="1" w:styleId="131">
    <w:name w:val="a Char"/>
    <w:link w:val="132"/>
    <w:qFormat/>
    <w:uiPriority w:val="0"/>
    <w:rPr>
      <w:rFonts w:ascii="宋体" w:hAnsi="宋体" w:eastAsia="仿宋_GB2312"/>
      <w:sz w:val="24"/>
    </w:rPr>
  </w:style>
  <w:style w:type="paragraph" w:customStyle="1" w:styleId="132">
    <w:name w:val="a"/>
    <w:basedOn w:val="1"/>
    <w:link w:val="131"/>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qFormat/>
    <w:uiPriority w:val="0"/>
  </w:style>
  <w:style w:type="character" w:customStyle="1" w:styleId="134">
    <w:name w:val="tw4winTerm"/>
    <w:qFormat/>
    <w:uiPriority w:val="0"/>
    <w:rPr>
      <w:color w:val="0000FF"/>
    </w:rPr>
  </w:style>
  <w:style w:type="character" w:customStyle="1" w:styleId="135">
    <w:name w:val="正文样式_首行缩进2字符 Char"/>
    <w:link w:val="136"/>
    <w:qFormat/>
    <w:uiPriority w:val="0"/>
    <w:rPr>
      <w:sz w:val="24"/>
      <w:szCs w:val="24"/>
    </w:rPr>
  </w:style>
  <w:style w:type="paragraph" w:customStyle="1" w:styleId="136">
    <w:name w:val="正文样式_首行缩进2字符"/>
    <w:basedOn w:val="1"/>
    <w:link w:val="135"/>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qFormat/>
    <w:uiPriority w:val="0"/>
    <w:rPr>
      <w:rFonts w:ascii="Calibri" w:hAnsi="Calibri" w:eastAsia="宋体"/>
      <w:kern w:val="2"/>
      <w:sz w:val="24"/>
      <w:szCs w:val="24"/>
      <w:lang w:bidi="ar-SA"/>
    </w:rPr>
  </w:style>
  <w:style w:type="character" w:customStyle="1" w:styleId="138">
    <w:name w:val="BodyText 2 Char Char"/>
    <w:link w:val="139"/>
    <w:qFormat/>
    <w:uiPriority w:val="0"/>
    <w:rPr>
      <w:snapToGrid w:val="0"/>
      <w:sz w:val="24"/>
    </w:rPr>
  </w:style>
  <w:style w:type="paragraph" w:customStyle="1" w:styleId="139">
    <w:name w:val="BodyText 2"/>
    <w:basedOn w:val="1"/>
    <w:link w:val="138"/>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qFormat/>
    <w:uiPriority w:val="0"/>
    <w:rPr>
      <w:rFonts w:ascii="Courier New" w:hAnsi="Courier New"/>
      <w:color w:val="FF0000"/>
    </w:rPr>
  </w:style>
  <w:style w:type="character" w:customStyle="1" w:styleId="141">
    <w:name w:val="Z图表 Char"/>
    <w:link w:val="142"/>
    <w:qFormat/>
    <w:uiPriority w:val="0"/>
    <w:rPr>
      <w:rFonts w:ascii="Times New Roman" w:hAnsi="Times New Roman" w:eastAsia="黑体"/>
      <w:sz w:val="24"/>
      <w:szCs w:val="24"/>
    </w:rPr>
  </w:style>
  <w:style w:type="paragraph" w:customStyle="1" w:styleId="142">
    <w:name w:val="Z图表"/>
    <w:basedOn w:val="18"/>
    <w:link w:val="141"/>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qFormat/>
    <w:uiPriority w:val="0"/>
    <w:rPr>
      <w:rFonts w:ascii="Cambria" w:hAnsi="Cambria" w:eastAsia="宋体"/>
      <w:b/>
      <w:bCs/>
      <w:color w:val="000000"/>
      <w:szCs w:val="21"/>
    </w:rPr>
  </w:style>
  <w:style w:type="paragraph" w:customStyle="1" w:styleId="144">
    <w:name w:val="标题4-dyf"/>
    <w:basedOn w:val="5"/>
    <w:link w:val="143"/>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qFormat/>
    <w:uiPriority w:val="0"/>
    <w:rPr>
      <w:rFonts w:ascii="Times New Roman" w:hAnsi="Times New Roman" w:eastAsia="Times New Roman"/>
      <w:sz w:val="22"/>
    </w:rPr>
  </w:style>
  <w:style w:type="paragraph" w:customStyle="1" w:styleId="146">
    <w:name w:val="无间隔1"/>
    <w:link w:val="145"/>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qFormat/>
    <w:uiPriority w:val="0"/>
    <w:rPr>
      <w:rFonts w:ascii="Times New Roman" w:hAnsi="Times New Roman" w:eastAsia="黑体"/>
      <w:color w:val="000000"/>
      <w:sz w:val="24"/>
      <w:szCs w:val="24"/>
    </w:rPr>
  </w:style>
  <w:style w:type="paragraph" w:customStyle="1" w:styleId="148">
    <w:name w:val="ZJGIS图表"/>
    <w:basedOn w:val="1"/>
    <w:link w:val="147"/>
    <w:qFormat/>
    <w:uiPriority w:val="0"/>
    <w:pPr>
      <w:jc w:val="center"/>
    </w:pPr>
    <w:rPr>
      <w:rFonts w:ascii="Times New Roman" w:hAnsi="Times New Roman" w:eastAsia="黑体" w:cstheme="minorBidi"/>
      <w:color w:val="000000"/>
      <w:sz w:val="24"/>
      <w:szCs w:val="24"/>
    </w:rPr>
  </w:style>
  <w:style w:type="character" w:customStyle="1" w:styleId="149">
    <w:name w:val="H1 Char2"/>
    <w:qFormat/>
    <w:uiPriority w:val="0"/>
    <w:rPr>
      <w:rFonts w:eastAsia="隶书"/>
      <w:b/>
      <w:bCs/>
      <w:sz w:val="36"/>
      <w:szCs w:val="36"/>
      <w:lang w:val="en-US" w:eastAsia="zh-CN" w:bidi="ar-SA"/>
    </w:rPr>
  </w:style>
  <w:style w:type="character" w:customStyle="1" w:styleId="150">
    <w:name w:val="info4"/>
    <w:basedOn w:val="64"/>
    <w:qFormat/>
    <w:uiPriority w:val="0"/>
  </w:style>
  <w:style w:type="character" w:customStyle="1" w:styleId="151">
    <w:name w:val="content"/>
    <w:basedOn w:val="64"/>
    <w:qFormat/>
    <w:uiPriority w:val="0"/>
  </w:style>
  <w:style w:type="character" w:customStyle="1" w:styleId="152">
    <w:name w:val="普通文字 Char Char2"/>
    <w:qFormat/>
    <w:uiPriority w:val="0"/>
    <w:rPr>
      <w:rFonts w:ascii="宋体" w:hAnsi="Courier New" w:eastAsia="宋体"/>
      <w:sz w:val="21"/>
      <w:lang w:val="en-US" w:eastAsia="zh-CN" w:bidi="ar-SA"/>
    </w:rPr>
  </w:style>
  <w:style w:type="character" w:customStyle="1" w:styleId="153">
    <w:name w:val="列表1 Char Char"/>
    <w:link w:val="154"/>
    <w:qFormat/>
    <w:uiPriority w:val="0"/>
    <w:rPr>
      <w:rFonts w:ascii="Century" w:hAnsi="Century"/>
      <w:szCs w:val="21"/>
    </w:rPr>
  </w:style>
  <w:style w:type="paragraph" w:customStyle="1" w:styleId="154">
    <w:name w:val="列表111"/>
    <w:basedOn w:val="1"/>
    <w:link w:val="153"/>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5">
    <w:name w:val="Head 2"/>
    <w:qFormat/>
    <w:uiPriority w:val="0"/>
    <w:rPr>
      <w:rFonts w:ascii="仿宋_GB2312"/>
      <w:bCs/>
      <w:iCs/>
      <w:sz w:val="24"/>
    </w:rPr>
  </w:style>
  <w:style w:type="character" w:customStyle="1" w:styleId="156">
    <w:name w:val="ZJ正文 Char"/>
    <w:link w:val="157"/>
    <w:qFormat/>
    <w:uiPriority w:val="0"/>
    <w:rPr>
      <w:rFonts w:ascii="Times New Roman" w:hAnsi="Times New Roman"/>
      <w:sz w:val="24"/>
      <w:szCs w:val="24"/>
    </w:rPr>
  </w:style>
  <w:style w:type="paragraph" w:customStyle="1" w:styleId="157">
    <w:name w:val="ZJ正文"/>
    <w:basedOn w:val="1"/>
    <w:link w:val="156"/>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8">
    <w:name w:val="t_tag"/>
    <w:basedOn w:val="64"/>
    <w:qFormat/>
    <w:uiPriority w:val="0"/>
  </w:style>
  <w:style w:type="character" w:customStyle="1" w:styleId="159">
    <w:name w:val="p71"/>
    <w:qFormat/>
    <w:uiPriority w:val="0"/>
    <w:rPr>
      <w:sz w:val="21"/>
    </w:rPr>
  </w:style>
  <w:style w:type="character" w:customStyle="1" w:styleId="160">
    <w:name w:val="文档结构图 Char1"/>
    <w:qFormat/>
    <w:uiPriority w:val="0"/>
    <w:rPr>
      <w:rFonts w:ascii="宋体" w:hAnsi="Courier New" w:eastAsia="宋体"/>
      <w:sz w:val="21"/>
      <w:lang w:val="en-US" w:eastAsia="zh-CN" w:bidi="ar-SA"/>
    </w:rPr>
  </w:style>
  <w:style w:type="character" w:customStyle="1" w:styleId="161">
    <w:name w:val="样式 小四"/>
    <w:qFormat/>
    <w:uiPriority w:val="0"/>
    <w:rPr>
      <w:sz w:val="21"/>
    </w:rPr>
  </w:style>
  <w:style w:type="character" w:customStyle="1" w:styleId="162">
    <w:name w:val="页眉 Char Char"/>
    <w:qFormat/>
    <w:uiPriority w:val="0"/>
    <w:rPr>
      <w:kern w:val="2"/>
      <w:sz w:val="18"/>
      <w:szCs w:val="18"/>
      <w:lang w:bidi="ar-SA"/>
    </w:rPr>
  </w:style>
  <w:style w:type="character" w:customStyle="1" w:styleId="163">
    <w:name w:val="font9_black_line14"/>
    <w:basedOn w:val="64"/>
    <w:qFormat/>
    <w:uiPriority w:val="0"/>
  </w:style>
  <w:style w:type="character" w:customStyle="1" w:styleId="164">
    <w:name w:val="粘贴正文 Char"/>
    <w:link w:val="165"/>
    <w:qFormat/>
    <w:uiPriority w:val="0"/>
    <w:rPr>
      <w:rFonts w:ascii="Times New Roman" w:hAnsi="Times New Roman"/>
      <w:sz w:val="24"/>
      <w:szCs w:val="21"/>
    </w:rPr>
  </w:style>
  <w:style w:type="paragraph" w:customStyle="1" w:styleId="165">
    <w:name w:val="粘贴正文"/>
    <w:link w:val="164"/>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6">
    <w:name w:val="tpc_content1"/>
    <w:qFormat/>
    <w:uiPriority w:val="0"/>
    <w:rPr>
      <w:sz w:val="20"/>
      <w:szCs w:val="20"/>
    </w:rPr>
  </w:style>
  <w:style w:type="character" w:customStyle="1" w:styleId="167">
    <w:name w:val="Char Char7"/>
    <w:qFormat/>
    <w:uiPriority w:val="0"/>
    <w:rPr>
      <w:rFonts w:eastAsia="宋体"/>
      <w:b/>
      <w:kern w:val="2"/>
      <w:sz w:val="32"/>
      <w:lang w:bidi="ar-SA"/>
    </w:rPr>
  </w:style>
  <w:style w:type="character" w:customStyle="1" w:styleId="168">
    <w:name w:val="Heading 2 Char"/>
    <w:qFormat/>
    <w:uiPriority w:val="0"/>
    <w:rPr>
      <w:rFonts w:ascii="Cambria" w:hAnsi="Cambria" w:eastAsia="宋体" w:cs="Cambria"/>
      <w:b/>
      <w:bCs/>
      <w:sz w:val="32"/>
      <w:szCs w:val="32"/>
      <w:lang w:val="en-US" w:eastAsia="zh-CN" w:bidi="ar-SA"/>
    </w:rPr>
  </w:style>
  <w:style w:type="character" w:customStyle="1" w:styleId="169">
    <w:name w:val="maywed421"/>
    <w:qFormat/>
    <w:uiPriority w:val="0"/>
    <w:rPr>
      <w:color w:val="366FB6"/>
      <w:u w:val="none"/>
    </w:rPr>
  </w:style>
  <w:style w:type="character" w:customStyle="1" w:styleId="170">
    <w:name w:val="表格抬头 Char"/>
    <w:link w:val="171"/>
    <w:qFormat/>
    <w:locked/>
    <w:uiPriority w:val="0"/>
    <w:rPr>
      <w:rFonts w:ascii="黑体" w:eastAsia="黑体"/>
      <w:b/>
    </w:rPr>
  </w:style>
  <w:style w:type="paragraph" w:customStyle="1" w:styleId="171">
    <w:name w:val="表格抬头"/>
    <w:basedOn w:val="1"/>
    <w:link w:val="170"/>
    <w:qFormat/>
    <w:uiPriority w:val="0"/>
    <w:pPr>
      <w:jc w:val="center"/>
    </w:pPr>
    <w:rPr>
      <w:rFonts w:ascii="黑体" w:eastAsia="黑体" w:hAnsiTheme="minorHAnsi" w:cstheme="minorBidi"/>
      <w:b/>
    </w:rPr>
  </w:style>
  <w:style w:type="character" w:customStyle="1" w:styleId="172">
    <w:name w:val="greyfont1"/>
    <w:qFormat/>
    <w:uiPriority w:val="0"/>
    <w:rPr>
      <w:b/>
      <w:bCs/>
      <w:color w:val="666666"/>
    </w:rPr>
  </w:style>
  <w:style w:type="character" w:customStyle="1" w:styleId="173">
    <w:name w:val="pt91"/>
    <w:qFormat/>
    <w:uiPriority w:val="0"/>
    <w:rPr>
      <w:rFonts w:hint="default"/>
      <w:spacing w:val="240"/>
      <w:sz w:val="18"/>
      <w:szCs w:val="18"/>
    </w:rPr>
  </w:style>
  <w:style w:type="character" w:customStyle="1" w:styleId="174">
    <w:name w:val="title14"/>
    <w:basedOn w:val="64"/>
    <w:qFormat/>
    <w:uiPriority w:val="0"/>
  </w:style>
  <w:style w:type="character" w:customStyle="1" w:styleId="175">
    <w:name w:val="样式41"/>
    <w:qFormat/>
    <w:uiPriority w:val="0"/>
    <w:rPr>
      <w:color w:val="3366CC"/>
      <w:sz w:val="21"/>
      <w:szCs w:val="21"/>
    </w:rPr>
  </w:style>
  <w:style w:type="character" w:customStyle="1" w:styleId="176">
    <w:name w:val="正文s Char"/>
    <w:link w:val="177"/>
    <w:qFormat/>
    <w:uiPriority w:val="0"/>
    <w:rPr>
      <w:rFonts w:ascii="Arial" w:hAnsi="Arial"/>
    </w:rPr>
  </w:style>
  <w:style w:type="paragraph" w:customStyle="1" w:styleId="177">
    <w:name w:val="正文s"/>
    <w:basedOn w:val="1"/>
    <w:link w:val="176"/>
    <w:qFormat/>
    <w:uiPriority w:val="0"/>
    <w:pPr>
      <w:spacing w:beforeLines="50" w:line="360" w:lineRule="exact"/>
      <w:ind w:left="420"/>
    </w:pPr>
    <w:rPr>
      <w:rFonts w:ascii="Arial" w:hAnsi="Arial" w:eastAsiaTheme="minorEastAsia" w:cstheme="minorBidi"/>
    </w:rPr>
  </w:style>
  <w:style w:type="character" w:customStyle="1" w:styleId="178">
    <w:name w:val="浅色网格 - 强调文字颜色 3 Char1"/>
    <w:link w:val="126"/>
    <w:qFormat/>
    <w:uiPriority w:val="0"/>
    <w:rPr>
      <w:rFonts w:ascii="Calibri" w:hAnsi="Calibri" w:eastAsia="宋体" w:cs="Times New Roman"/>
      <w:szCs w:val="24"/>
    </w:rPr>
  </w:style>
  <w:style w:type="character" w:customStyle="1" w:styleId="179">
    <w:name w:val="b11_01b Char"/>
    <w:link w:val="180"/>
    <w:qFormat/>
    <w:uiPriority w:val="0"/>
    <w:rPr>
      <w:rFonts w:ascii="Verdana" w:hAnsi="Verdana" w:eastAsia="宋体"/>
      <w:b/>
      <w:bCs/>
      <w:color w:val="4A82CA"/>
      <w:sz w:val="17"/>
      <w:szCs w:val="17"/>
    </w:rPr>
  </w:style>
  <w:style w:type="paragraph" w:customStyle="1" w:styleId="180">
    <w:name w:val="b11_01b"/>
    <w:basedOn w:val="1"/>
    <w:next w:val="1"/>
    <w:link w:val="179"/>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1">
    <w:name w:val="列出段落 字符"/>
    <w:link w:val="182"/>
    <w:qFormat/>
    <w:uiPriority w:val="0"/>
  </w:style>
  <w:style w:type="paragraph" w:styleId="182">
    <w:name w:val="List Paragraph"/>
    <w:basedOn w:val="1"/>
    <w:link w:val="181"/>
    <w:qFormat/>
    <w:uiPriority w:val="0"/>
    <w:pPr>
      <w:ind w:firstLine="420" w:firstLineChars="200"/>
    </w:pPr>
    <w:rPr>
      <w:rFonts w:asciiTheme="minorHAnsi" w:hAnsiTheme="minorHAnsi" w:eastAsiaTheme="minorEastAsia" w:cstheme="minorBidi"/>
    </w:rPr>
  </w:style>
  <w:style w:type="character" w:customStyle="1" w:styleId="183">
    <w:name w:val="para"/>
    <w:basedOn w:val="64"/>
    <w:qFormat/>
    <w:uiPriority w:val="0"/>
  </w:style>
  <w:style w:type="character" w:customStyle="1" w:styleId="184">
    <w:name w:val="文档正文1 Char Char"/>
    <w:qFormat/>
    <w:uiPriority w:val="0"/>
    <w:rPr>
      <w:rFonts w:ascii="仿宋_GB2312" w:hAnsi="仿宋" w:eastAsia="仿宋_GB2312"/>
      <w:kern w:val="2"/>
      <w:sz w:val="30"/>
      <w:szCs w:val="30"/>
      <w:lang w:bidi="ar-SA"/>
    </w:rPr>
  </w:style>
  <w:style w:type="character" w:customStyle="1" w:styleId="185">
    <w:name w:val="加重文字 Char"/>
    <w:link w:val="186"/>
    <w:qFormat/>
    <w:locked/>
    <w:uiPriority w:val="0"/>
    <w:rPr>
      <w:b/>
      <w:bCs/>
      <w:sz w:val="24"/>
      <w:szCs w:val="24"/>
      <w:u w:val="thick"/>
    </w:rPr>
  </w:style>
  <w:style w:type="paragraph" w:customStyle="1" w:styleId="186">
    <w:name w:val="加重文字"/>
    <w:basedOn w:val="187"/>
    <w:link w:val="185"/>
    <w:qFormat/>
    <w:uiPriority w:val="0"/>
    <w:pPr>
      <w:ind w:firstLine="0" w:firstLineChars="0"/>
    </w:pPr>
    <w:rPr>
      <w:rFonts w:asciiTheme="minorHAnsi" w:hAnsiTheme="minorHAnsi" w:eastAsiaTheme="minorEastAsia" w:cstheme="minorBidi"/>
      <w:b/>
      <w:bCs/>
      <w:u w:val="thick"/>
    </w:rPr>
  </w:style>
  <w:style w:type="paragraph" w:customStyle="1" w:styleId="187">
    <w:name w:val="标准文本"/>
    <w:basedOn w:val="1"/>
    <w:link w:val="199"/>
    <w:qFormat/>
    <w:uiPriority w:val="0"/>
    <w:pPr>
      <w:spacing w:line="360" w:lineRule="auto"/>
      <w:ind w:firstLine="480" w:firstLineChars="200"/>
    </w:pPr>
    <w:rPr>
      <w:sz w:val="24"/>
      <w:szCs w:val="24"/>
    </w:rPr>
  </w:style>
  <w:style w:type="character" w:customStyle="1" w:styleId="188">
    <w:name w:val="H1 Char3"/>
    <w:qFormat/>
    <w:uiPriority w:val="0"/>
    <w:rPr>
      <w:rFonts w:eastAsia="隶书"/>
      <w:b/>
      <w:bCs/>
      <w:sz w:val="36"/>
      <w:szCs w:val="36"/>
      <w:lang w:val="en-US" w:eastAsia="zh-CN" w:bidi="ar-SA"/>
    </w:rPr>
  </w:style>
  <w:style w:type="character" w:customStyle="1" w:styleId="189">
    <w:name w:val="style181"/>
    <w:qFormat/>
    <w:uiPriority w:val="0"/>
    <w:rPr>
      <w:rFonts w:hint="default" w:ascii="Arial" w:hAnsi="Arial" w:cs="Arial"/>
      <w:color w:val="000000"/>
      <w:sz w:val="18"/>
      <w:szCs w:val="18"/>
    </w:rPr>
  </w:style>
  <w:style w:type="character" w:customStyle="1" w:styleId="190">
    <w:name w:val="吉奥正文 Char2"/>
    <w:link w:val="191"/>
    <w:qFormat/>
    <w:uiPriority w:val="0"/>
    <w:rPr>
      <w:rFonts w:ascii="Times New Roman" w:hAnsi="Times New Roman" w:eastAsia="仿宋_GB2312"/>
      <w:sz w:val="24"/>
    </w:rPr>
  </w:style>
  <w:style w:type="paragraph" w:customStyle="1" w:styleId="191">
    <w:name w:val="吉奥正文"/>
    <w:basedOn w:val="1"/>
    <w:link w:val="190"/>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2">
    <w:name w:val="flname7"/>
    <w:basedOn w:val="64"/>
    <w:qFormat/>
    <w:uiPriority w:val="0"/>
  </w:style>
  <w:style w:type="character" w:customStyle="1" w:styleId="193">
    <w:name w:val="header odd Char Char1"/>
    <w:qFormat/>
    <w:uiPriority w:val="0"/>
    <w:rPr>
      <w:rFonts w:eastAsia="宋体"/>
      <w:kern w:val="2"/>
      <w:sz w:val="18"/>
      <w:szCs w:val="18"/>
      <w:lang w:val="en-US" w:eastAsia="zh-CN" w:bidi="ar-SA"/>
    </w:rPr>
  </w:style>
  <w:style w:type="character" w:customStyle="1" w:styleId="194">
    <w:name w:val="一级标题 Char Char"/>
    <w:qFormat/>
    <w:uiPriority w:val="0"/>
    <w:rPr>
      <w:rFonts w:eastAsia="仿宋"/>
      <w:b/>
      <w:kern w:val="44"/>
      <w:sz w:val="28"/>
      <w:lang w:val="en-US" w:eastAsia="zh-CN" w:bidi="ar-SA"/>
    </w:rPr>
  </w:style>
  <w:style w:type="character" w:customStyle="1" w:styleId="195">
    <w:name w:val="Char Char12"/>
    <w:qFormat/>
    <w:uiPriority w:val="0"/>
    <w:rPr>
      <w:rFonts w:ascii="宋体" w:hAnsi="Courier New" w:eastAsia="宋体" w:cs="Times New Roman"/>
      <w:spacing w:val="-4"/>
      <w:sz w:val="18"/>
      <w:szCs w:val="20"/>
    </w:rPr>
  </w:style>
  <w:style w:type="character" w:customStyle="1" w:styleId="196">
    <w:name w:val="huide001"/>
    <w:qFormat/>
    <w:uiPriority w:val="0"/>
    <w:rPr>
      <w:rFonts w:hint="default" w:ascii="Arial" w:hAnsi="Arial" w:cs="Arial"/>
      <w:color w:val="666666"/>
      <w:sz w:val="18"/>
      <w:szCs w:val="18"/>
    </w:rPr>
  </w:style>
  <w:style w:type="character" w:customStyle="1" w:styleId="197">
    <w:name w:val="Title Char"/>
    <w:qFormat/>
    <w:uiPriority w:val="0"/>
    <w:rPr>
      <w:rFonts w:ascii="Cambria" w:hAnsi="Cambria" w:eastAsia="宋体" w:cs="Cambria"/>
      <w:b/>
      <w:bCs/>
      <w:sz w:val="32"/>
      <w:szCs w:val="32"/>
      <w:lang w:val="en-US" w:eastAsia="zh-CN" w:bidi="ar-SA"/>
    </w:rPr>
  </w:style>
  <w:style w:type="character" w:customStyle="1" w:styleId="198">
    <w:name w:val="text_show1"/>
    <w:qFormat/>
    <w:uiPriority w:val="0"/>
    <w:rPr>
      <w:color w:val="000000"/>
      <w:sz w:val="21"/>
      <w:szCs w:val="21"/>
      <w:u w:val="none"/>
    </w:rPr>
  </w:style>
  <w:style w:type="character" w:customStyle="1" w:styleId="199">
    <w:name w:val="标准文本 Char"/>
    <w:link w:val="187"/>
    <w:qFormat/>
    <w:locked/>
    <w:uiPriority w:val="0"/>
    <w:rPr>
      <w:rFonts w:ascii="Calibri" w:hAnsi="Calibri" w:eastAsia="宋体" w:cs="Times New Roman"/>
      <w:sz w:val="24"/>
      <w:szCs w:val="24"/>
    </w:rPr>
  </w:style>
  <w:style w:type="character" w:customStyle="1" w:styleId="200">
    <w:name w:val="Char Char4"/>
    <w:qFormat/>
    <w:uiPriority w:val="0"/>
    <w:rPr>
      <w:rFonts w:ascii="Calibri" w:hAnsi="Calibri" w:eastAsia="宋体"/>
      <w:sz w:val="18"/>
      <w:szCs w:val="18"/>
      <w:lang w:bidi="ar-SA"/>
    </w:rPr>
  </w:style>
  <w:style w:type="character" w:customStyle="1" w:styleId="201">
    <w:name w:val="Char Char141"/>
    <w:qFormat/>
    <w:uiPriority w:val="0"/>
    <w:rPr>
      <w:rFonts w:ascii="楷体_GB2312" w:eastAsia="楷体_GB2312"/>
      <w:kern w:val="2"/>
      <w:sz w:val="32"/>
      <w:lang w:val="en-US" w:eastAsia="zh-CN" w:bidi="ar-SA"/>
    </w:rPr>
  </w:style>
  <w:style w:type="character" w:customStyle="1" w:styleId="202">
    <w:name w:val="Header Char"/>
    <w:semiHidden/>
    <w:qFormat/>
    <w:locked/>
    <w:uiPriority w:val="0"/>
    <w:rPr>
      <w:rFonts w:ascii="Times New Roman" w:hAnsi="Times New Roman" w:eastAsia="宋体" w:cs="Times New Roman"/>
      <w:sz w:val="18"/>
      <w:szCs w:val="18"/>
    </w:rPr>
  </w:style>
  <w:style w:type="character" w:customStyle="1" w:styleId="203">
    <w:name w:val="p21"/>
    <w:qFormat/>
    <w:uiPriority w:val="0"/>
    <w:rPr>
      <w:rFonts w:hint="default" w:ascii="Arial" w:hAnsi="Arial"/>
      <w:color w:val="333333"/>
      <w:sz w:val="18"/>
      <w:u w:val="none"/>
    </w:rPr>
  </w:style>
  <w:style w:type="character" w:customStyle="1" w:styleId="204">
    <w:name w:val="Footer Char"/>
    <w:qFormat/>
    <w:locked/>
    <w:uiPriority w:val="0"/>
    <w:rPr>
      <w:rFonts w:ascii="Times New Roman" w:hAnsi="Times New Roman" w:eastAsia="宋体" w:cs="Times New Roman"/>
      <w:sz w:val="18"/>
      <w:szCs w:val="18"/>
    </w:rPr>
  </w:style>
  <w:style w:type="character" w:customStyle="1" w:styleId="205">
    <w:name w:val="Normal Indent Char Char"/>
    <w:qFormat/>
    <w:uiPriority w:val="0"/>
    <w:rPr>
      <w:rFonts w:eastAsia="宋体"/>
      <w:kern w:val="2"/>
      <w:sz w:val="21"/>
      <w:szCs w:val="24"/>
      <w:lang w:val="en-US" w:eastAsia="zh-CN" w:bidi="ar-SA"/>
    </w:rPr>
  </w:style>
  <w:style w:type="character" w:customStyle="1" w:styleId="206">
    <w:name w:val="Char Char8"/>
    <w:qFormat/>
    <w:uiPriority w:val="0"/>
    <w:rPr>
      <w:rFonts w:ascii="Arial" w:hAnsi="Arial" w:eastAsia="黑体"/>
      <w:b/>
      <w:bCs/>
      <w:kern w:val="2"/>
      <w:sz w:val="32"/>
      <w:szCs w:val="32"/>
      <w:lang w:val="en-US" w:eastAsia="zh-CN" w:bidi="ar-SA"/>
    </w:rPr>
  </w:style>
  <w:style w:type="character" w:customStyle="1" w:styleId="207">
    <w:name w:val="List Paragraph Char"/>
    <w:link w:val="208"/>
    <w:qFormat/>
    <w:locked/>
    <w:uiPriority w:val="34"/>
    <w:rPr>
      <w:rFonts w:ascii="Times New Roman" w:hAnsi="Times New Roman"/>
      <w:szCs w:val="24"/>
    </w:rPr>
  </w:style>
  <w:style w:type="paragraph" w:customStyle="1" w:styleId="208">
    <w:name w:val="列出段落1"/>
    <w:basedOn w:val="1"/>
    <w:link w:val="207"/>
    <w:qFormat/>
    <w:uiPriority w:val="34"/>
    <w:pPr>
      <w:ind w:firstLine="420" w:firstLineChars="200"/>
    </w:pPr>
    <w:rPr>
      <w:rFonts w:ascii="Times New Roman" w:hAnsi="Times New Roman" w:eastAsiaTheme="minorEastAsia" w:cstheme="minorBidi"/>
      <w:szCs w:val="24"/>
    </w:rPr>
  </w:style>
  <w:style w:type="character" w:customStyle="1" w:styleId="209">
    <w:name w:val="Balloon Text Char"/>
    <w:semiHidden/>
    <w:qFormat/>
    <w:locked/>
    <w:uiPriority w:val="0"/>
    <w:rPr>
      <w:rFonts w:ascii="Times New Roman" w:hAnsi="Times New Roman" w:eastAsia="宋体" w:cs="Times New Roman"/>
      <w:sz w:val="18"/>
      <w:szCs w:val="18"/>
    </w:rPr>
  </w:style>
  <w:style w:type="character" w:customStyle="1" w:styleId="210">
    <w:name w:val="书籍标题1"/>
    <w:qFormat/>
    <w:uiPriority w:val="33"/>
    <w:rPr>
      <w:b/>
      <w:bCs/>
      <w:smallCaps/>
      <w:spacing w:val="5"/>
    </w:rPr>
  </w:style>
  <w:style w:type="character" w:customStyle="1" w:styleId="211">
    <w:name w:val="tw4winMark"/>
    <w:qFormat/>
    <w:uiPriority w:val="0"/>
    <w:rPr>
      <w:rFonts w:ascii="Courier New" w:hAnsi="Courier New"/>
      <w:vanish/>
      <w:color w:val="800080"/>
      <w:vertAlign w:val="subscript"/>
    </w:rPr>
  </w:style>
  <w:style w:type="character" w:customStyle="1" w:styleId="212">
    <w:name w:val="Item List in Table Char Char"/>
    <w:link w:val="213"/>
    <w:qFormat/>
    <w:locked/>
    <w:uiPriority w:val="99"/>
    <w:rPr>
      <w:rFonts w:ascii="Arial" w:hAnsi="Arial"/>
      <w:sz w:val="18"/>
      <w:szCs w:val="18"/>
    </w:rPr>
  </w:style>
  <w:style w:type="paragraph" w:customStyle="1" w:styleId="213">
    <w:name w:val="Item List in Table"/>
    <w:link w:val="212"/>
    <w:qFormat/>
    <w:uiPriority w:val="99"/>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4">
    <w:name w:val="Char Char2"/>
    <w:qFormat/>
    <w:uiPriority w:val="0"/>
    <w:rPr>
      <w:rFonts w:ascii="宋体" w:hAnsi="Courier New" w:eastAsia="宋体"/>
      <w:sz w:val="21"/>
      <w:lang w:val="en-US" w:eastAsia="zh-CN" w:bidi="ar-SA"/>
    </w:rPr>
  </w:style>
  <w:style w:type="character" w:customStyle="1" w:styleId="215">
    <w:name w:val="paragraph1 Char Char"/>
    <w:qFormat/>
    <w:uiPriority w:val="0"/>
    <w:rPr>
      <w:rFonts w:eastAsia="楷体_GB2312"/>
      <w:kern w:val="2"/>
      <w:sz w:val="24"/>
      <w:lang w:val="en-US" w:eastAsia="zh-CN" w:bidi="ar-SA"/>
    </w:rPr>
  </w:style>
  <w:style w:type="character" w:customStyle="1" w:styleId="216">
    <w:name w:val="grame"/>
    <w:basedOn w:val="64"/>
    <w:qFormat/>
    <w:uiPriority w:val="0"/>
  </w:style>
  <w:style w:type="character" w:customStyle="1" w:styleId="217">
    <w:name w:val="Char Char5"/>
    <w:qFormat/>
    <w:uiPriority w:val="0"/>
    <w:rPr>
      <w:rFonts w:ascii="Calibri" w:hAnsi="Calibri" w:eastAsia="宋体"/>
      <w:sz w:val="18"/>
      <w:szCs w:val="18"/>
      <w:lang w:bidi="ar-SA"/>
    </w:rPr>
  </w:style>
  <w:style w:type="character" w:customStyle="1" w:styleId="218">
    <w:name w:val="fontdz1"/>
    <w:qFormat/>
    <w:uiPriority w:val="0"/>
    <w:rPr>
      <w:sz w:val="18"/>
      <w:szCs w:val="18"/>
    </w:rPr>
  </w:style>
  <w:style w:type="character" w:customStyle="1" w:styleId="219">
    <w:name w:val="自定义正文 Char"/>
    <w:link w:val="220"/>
    <w:qFormat/>
    <w:uiPriority w:val="0"/>
    <w:rPr>
      <w:rFonts w:ascii="仿宋_GB2312" w:eastAsia="仿宋_GB2312"/>
      <w:sz w:val="28"/>
      <w:szCs w:val="24"/>
    </w:rPr>
  </w:style>
  <w:style w:type="paragraph" w:customStyle="1" w:styleId="220">
    <w:name w:val="自定义正文"/>
    <w:basedOn w:val="1"/>
    <w:link w:val="219"/>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1">
    <w:name w:val="公文正文 Char"/>
    <w:link w:val="222"/>
    <w:qFormat/>
    <w:uiPriority w:val="0"/>
    <w:rPr>
      <w:rFonts w:ascii="仿宋_GB2312" w:eastAsia="仿宋_GB2312"/>
      <w:sz w:val="24"/>
      <w:szCs w:val="24"/>
    </w:rPr>
  </w:style>
  <w:style w:type="paragraph" w:customStyle="1" w:styleId="222">
    <w:name w:val="公文正文"/>
    <w:basedOn w:val="1"/>
    <w:link w:val="221"/>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3">
    <w:name w:val="Char Char14"/>
    <w:qFormat/>
    <w:uiPriority w:val="0"/>
    <w:rPr>
      <w:rFonts w:ascii="Calibri" w:hAnsi="Calibri" w:eastAsia="宋体" w:cs="Times New Roman"/>
      <w:b/>
      <w:bCs/>
      <w:sz w:val="28"/>
      <w:szCs w:val="28"/>
    </w:rPr>
  </w:style>
  <w:style w:type="character" w:customStyle="1" w:styleId="224">
    <w:name w:val="列表1、 Char Char"/>
    <w:qFormat/>
    <w:uiPriority w:val="0"/>
    <w:rPr>
      <w:rFonts w:ascii="仿宋" w:hAnsi="仿宋" w:eastAsia="仿宋"/>
      <w:kern w:val="2"/>
      <w:sz w:val="28"/>
      <w:szCs w:val="21"/>
      <w:lang w:bidi="ar-SA"/>
    </w:rPr>
  </w:style>
  <w:style w:type="character" w:customStyle="1" w:styleId="225">
    <w:name w:val="表名 Char"/>
    <w:qFormat/>
    <w:uiPriority w:val="0"/>
    <w:rPr>
      <w:rFonts w:ascii="Arial" w:hAnsi="Arial" w:eastAsia="黑体"/>
      <w:sz w:val="24"/>
      <w:szCs w:val="24"/>
    </w:rPr>
  </w:style>
  <w:style w:type="character" w:customStyle="1" w:styleId="226">
    <w:name w:val="ZJ图表 Char"/>
    <w:link w:val="227"/>
    <w:qFormat/>
    <w:uiPriority w:val="0"/>
    <w:rPr>
      <w:rFonts w:ascii="Times New Roman" w:hAnsi="Times New Roman" w:eastAsia="黑体"/>
      <w:color w:val="000000"/>
      <w:sz w:val="24"/>
      <w:szCs w:val="24"/>
    </w:rPr>
  </w:style>
  <w:style w:type="paragraph" w:customStyle="1" w:styleId="227">
    <w:name w:val="ZJ图表"/>
    <w:basedOn w:val="8"/>
    <w:link w:val="226"/>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8">
    <w:name w:val="h Char"/>
    <w:qFormat/>
    <w:uiPriority w:val="0"/>
    <w:rPr>
      <w:rFonts w:ascii="Calibri" w:hAnsi="Calibri" w:eastAsia="宋体" w:cs="Times New Roman"/>
      <w:sz w:val="18"/>
      <w:szCs w:val="18"/>
    </w:rPr>
  </w:style>
  <w:style w:type="character" w:customStyle="1" w:styleId="229">
    <w:name w:val="标题 2 字符"/>
    <w:link w:val="3"/>
    <w:qFormat/>
    <w:uiPriority w:val="0"/>
    <w:rPr>
      <w:rFonts w:ascii="Arial" w:hAnsi="Arial" w:eastAsia="黑体" w:cs="Times New Roman"/>
      <w:b/>
      <w:bCs/>
      <w:sz w:val="32"/>
      <w:szCs w:val="32"/>
    </w:rPr>
  </w:style>
  <w:style w:type="character" w:customStyle="1" w:styleId="230">
    <w:name w:val="z-窗体底端 字符"/>
    <w:link w:val="231"/>
    <w:qFormat/>
    <w:uiPriority w:val="0"/>
    <w:rPr>
      <w:rFonts w:ascii="Arial" w:hAnsi="Arial" w:cs="Arial"/>
      <w:vanish/>
      <w:sz w:val="16"/>
      <w:szCs w:val="16"/>
    </w:rPr>
  </w:style>
  <w:style w:type="paragraph" w:customStyle="1" w:styleId="231">
    <w:name w:val="z-窗体底端1"/>
    <w:basedOn w:val="1"/>
    <w:next w:val="1"/>
    <w:link w:val="230"/>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2">
    <w:name w:val="title_sub_blue1"/>
    <w:qFormat/>
    <w:uiPriority w:val="0"/>
    <w:rPr>
      <w:rFonts w:hint="default" w:ascii="Arial" w:hAnsi="Arial"/>
      <w:b/>
      <w:color w:val="16344F"/>
      <w:spacing w:val="15"/>
      <w:sz w:val="18"/>
      <w:u w:val="none"/>
    </w:rPr>
  </w:style>
  <w:style w:type="character" w:customStyle="1" w:styleId="233">
    <w:name w:val="二级标题 Char Char"/>
    <w:qFormat/>
    <w:uiPriority w:val="0"/>
    <w:rPr>
      <w:rFonts w:eastAsia="仿宋"/>
      <w:b/>
      <w:sz w:val="28"/>
      <w:lang w:val="en-US" w:eastAsia="zh-CN" w:bidi="ar-SA"/>
    </w:rPr>
  </w:style>
  <w:style w:type="character" w:customStyle="1" w:styleId="234">
    <w:name w:val="明显参考1"/>
    <w:qFormat/>
    <w:uiPriority w:val="0"/>
    <w:rPr>
      <w:b/>
      <w:sz w:val="24"/>
      <w:u w:val="single"/>
    </w:rPr>
  </w:style>
  <w:style w:type="character" w:customStyle="1" w:styleId="235">
    <w:name w:val="中等深浅网格 11"/>
    <w:semiHidden/>
    <w:qFormat/>
    <w:uiPriority w:val="0"/>
    <w:rPr>
      <w:color w:val="808080"/>
    </w:rPr>
  </w:style>
  <w:style w:type="character" w:customStyle="1" w:styleId="236">
    <w:name w:val="Char Char9"/>
    <w:qFormat/>
    <w:uiPriority w:val="0"/>
    <w:rPr>
      <w:rFonts w:eastAsia="宋体"/>
      <w:b/>
      <w:kern w:val="44"/>
      <w:sz w:val="44"/>
      <w:lang w:bidi="ar-SA"/>
    </w:rPr>
  </w:style>
  <w:style w:type="character" w:customStyle="1" w:styleId="237">
    <w:name w:val="正文文本缩进 Char1"/>
    <w:qFormat/>
    <w:uiPriority w:val="99"/>
    <w:rPr>
      <w:rFonts w:ascii="Times New Roman" w:hAnsi="Times New Roman" w:eastAsia="宋体" w:cs="Times New Roman"/>
      <w:sz w:val="28"/>
      <w:szCs w:val="20"/>
    </w:rPr>
  </w:style>
  <w:style w:type="character" w:customStyle="1" w:styleId="238">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39">
    <w:name w:val="大标题 Char"/>
    <w:link w:val="240"/>
    <w:qFormat/>
    <w:uiPriority w:val="0"/>
    <w:rPr>
      <w:b/>
      <w:sz w:val="28"/>
    </w:rPr>
  </w:style>
  <w:style w:type="paragraph" w:customStyle="1" w:styleId="240">
    <w:name w:val="大标题"/>
    <w:next w:val="1"/>
    <w:link w:val="239"/>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1">
    <w:name w:val="样式4 Char Char"/>
    <w:qFormat/>
    <w:uiPriority w:val="0"/>
    <w:rPr>
      <w:rFonts w:ascii="Calibri" w:hAnsi="Calibri" w:eastAsia="宋体"/>
      <w:kern w:val="2"/>
      <w:sz w:val="24"/>
      <w:szCs w:val="22"/>
      <w:lang w:val="en-US" w:eastAsia="zh-CN" w:bidi="ar-SA"/>
    </w:rPr>
  </w:style>
  <w:style w:type="character" w:customStyle="1" w:styleId="242">
    <w:name w:val="正文（首行缩进2字符） Char Char"/>
    <w:link w:val="243"/>
    <w:qFormat/>
    <w:uiPriority w:val="0"/>
    <w:rPr>
      <w:szCs w:val="21"/>
    </w:rPr>
  </w:style>
  <w:style w:type="paragraph" w:customStyle="1" w:styleId="243">
    <w:name w:val="正文（首行缩进2字符）"/>
    <w:basedOn w:val="1"/>
    <w:link w:val="242"/>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4">
    <w:name w:val="tw4winPopup"/>
    <w:qFormat/>
    <w:uiPriority w:val="0"/>
    <w:rPr>
      <w:rFonts w:ascii="Courier New" w:hAnsi="Courier New"/>
      <w:color w:val="008000"/>
    </w:rPr>
  </w:style>
  <w:style w:type="character" w:customStyle="1" w:styleId="245">
    <w:name w:val="页脚 字符1"/>
    <w:link w:val="38"/>
    <w:qFormat/>
    <w:uiPriority w:val="99"/>
    <w:rPr>
      <w:rFonts w:ascii="Calibri" w:hAnsi="Calibri" w:eastAsia="宋体" w:cs="Times New Roman"/>
      <w:sz w:val="18"/>
      <w:szCs w:val="18"/>
    </w:rPr>
  </w:style>
  <w:style w:type="character" w:customStyle="1" w:styleId="246">
    <w:name w:val="浅色网格 - 强调文字颜色 3 Char"/>
    <w:qFormat/>
    <w:locked/>
    <w:uiPriority w:val="0"/>
    <w:rPr>
      <w:rFonts w:ascii="Calibri" w:hAnsi="Calibri" w:eastAsia="宋体" w:cs="Times New Roman"/>
    </w:rPr>
  </w:style>
  <w:style w:type="character" w:customStyle="1" w:styleId="247">
    <w:name w:val="Char Char21"/>
    <w:qFormat/>
    <w:uiPriority w:val="0"/>
    <w:rPr>
      <w:rFonts w:ascii="宋体" w:hAnsi="Courier New" w:eastAsia="宋体"/>
      <w:sz w:val="21"/>
      <w:lang w:val="en-US" w:eastAsia="zh-CN" w:bidi="ar-SA"/>
    </w:rPr>
  </w:style>
  <w:style w:type="character" w:customStyle="1" w:styleId="248">
    <w:name w:val="H2 Char3"/>
    <w:qFormat/>
    <w:uiPriority w:val="0"/>
    <w:rPr>
      <w:rFonts w:ascii="Arial" w:hAnsi="Arial" w:eastAsia="黑体"/>
      <w:b/>
      <w:bCs/>
      <w:kern w:val="2"/>
      <w:sz w:val="32"/>
      <w:szCs w:val="32"/>
      <w:lang w:val="en-US" w:eastAsia="zh-CN" w:bidi="ar-SA"/>
    </w:rPr>
  </w:style>
  <w:style w:type="character" w:customStyle="1" w:styleId="249">
    <w:name w:val="新昌图表 Char"/>
    <w:link w:val="250"/>
    <w:qFormat/>
    <w:uiPriority w:val="0"/>
    <w:rPr>
      <w:rFonts w:ascii="Times New Roman" w:hAnsi="Times New Roman" w:eastAsia="黑体"/>
      <w:color w:val="000000"/>
      <w:sz w:val="24"/>
      <w:szCs w:val="24"/>
    </w:rPr>
  </w:style>
  <w:style w:type="paragraph" w:customStyle="1" w:styleId="250">
    <w:name w:val="新昌图表"/>
    <w:basedOn w:val="1"/>
    <w:link w:val="249"/>
    <w:qFormat/>
    <w:uiPriority w:val="0"/>
    <w:pPr>
      <w:jc w:val="center"/>
    </w:pPr>
    <w:rPr>
      <w:rFonts w:ascii="Times New Roman" w:hAnsi="Times New Roman" w:eastAsia="黑体" w:cstheme="minorBidi"/>
      <w:color w:val="000000"/>
      <w:sz w:val="24"/>
      <w:szCs w:val="24"/>
    </w:rPr>
  </w:style>
  <w:style w:type="character" w:customStyle="1" w:styleId="251">
    <w:name w:val="Char Char1421"/>
    <w:qFormat/>
    <w:locked/>
    <w:uiPriority w:val="0"/>
    <w:rPr>
      <w:rFonts w:ascii="楷体_GB2312" w:eastAsia="楷体_GB2312"/>
      <w:kern w:val="2"/>
      <w:sz w:val="32"/>
      <w:lang w:val="en-US" w:eastAsia="zh-CN" w:bidi="ar-SA"/>
    </w:rPr>
  </w:style>
  <w:style w:type="character" w:customStyle="1" w:styleId="252">
    <w:name w:val="tw4winError"/>
    <w:qFormat/>
    <w:uiPriority w:val="0"/>
    <w:rPr>
      <w:rFonts w:ascii="Courier New" w:hAnsi="Courier New"/>
      <w:color w:val="00FF00"/>
      <w:sz w:val="40"/>
    </w:rPr>
  </w:style>
  <w:style w:type="character" w:customStyle="1" w:styleId="253">
    <w:name w:val="正文4 Char"/>
    <w:link w:val="254"/>
    <w:qFormat/>
    <w:uiPriority w:val="99"/>
    <w:rPr>
      <w:rFonts w:ascii="Calibri" w:hAnsi="Calibri"/>
      <w:sz w:val="24"/>
      <w:szCs w:val="24"/>
    </w:rPr>
  </w:style>
  <w:style w:type="paragraph" w:customStyle="1" w:styleId="254">
    <w:name w:val="正文4"/>
    <w:basedOn w:val="1"/>
    <w:link w:val="253"/>
    <w:qFormat/>
    <w:uiPriority w:val="99"/>
    <w:pPr>
      <w:numPr>
        <w:ilvl w:val="0"/>
        <w:numId w:val="8"/>
      </w:numPr>
      <w:spacing w:before="60" w:after="60" w:line="360" w:lineRule="auto"/>
      <w:ind w:firstLine="0"/>
    </w:pPr>
    <w:rPr>
      <w:rFonts w:eastAsiaTheme="minorEastAsia" w:cstheme="minorBidi"/>
      <w:sz w:val="24"/>
      <w:szCs w:val="24"/>
    </w:rPr>
  </w:style>
  <w:style w:type="character" w:customStyle="1" w:styleId="255">
    <w:name w:val="z-窗体顶端 字符"/>
    <w:link w:val="256"/>
    <w:qFormat/>
    <w:uiPriority w:val="0"/>
    <w:rPr>
      <w:rFonts w:ascii="Arial" w:hAnsi="Arial" w:cs="Arial"/>
      <w:vanish/>
      <w:sz w:val="16"/>
      <w:szCs w:val="16"/>
    </w:rPr>
  </w:style>
  <w:style w:type="paragraph" w:customStyle="1" w:styleId="256">
    <w:name w:val="z-窗体顶端1"/>
    <w:basedOn w:val="1"/>
    <w:next w:val="1"/>
    <w:link w:val="255"/>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7">
    <w:name w:val="衢州正文 Char"/>
    <w:link w:val="258"/>
    <w:qFormat/>
    <w:uiPriority w:val="0"/>
    <w:rPr>
      <w:rFonts w:ascii="Times New Roman" w:hAnsi="宋体"/>
      <w:sz w:val="24"/>
      <w:szCs w:val="24"/>
    </w:rPr>
  </w:style>
  <w:style w:type="paragraph" w:customStyle="1" w:styleId="258">
    <w:name w:val="衢州正文"/>
    <w:basedOn w:val="1"/>
    <w:link w:val="257"/>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59">
    <w:name w:val="公文正文 Char Char"/>
    <w:qFormat/>
    <w:uiPriority w:val="0"/>
    <w:rPr>
      <w:rFonts w:ascii="仿宋_GB2312" w:eastAsia="仿宋_GB2312"/>
      <w:kern w:val="2"/>
      <w:sz w:val="24"/>
      <w:szCs w:val="24"/>
      <w:lang w:val="en-US" w:eastAsia="zh-CN" w:bidi="ar-SA"/>
    </w:rPr>
  </w:style>
  <w:style w:type="character" w:customStyle="1" w:styleId="260">
    <w:name w:val="css21"/>
    <w:qFormat/>
    <w:uiPriority w:val="0"/>
    <w:rPr>
      <w:sz w:val="18"/>
    </w:rPr>
  </w:style>
  <w:style w:type="character" w:customStyle="1" w:styleId="261">
    <w:name w:val="样式(-) Char Char"/>
    <w:qFormat/>
    <w:uiPriority w:val="0"/>
    <w:rPr>
      <w:rFonts w:ascii="Calibri" w:hAnsi="Calibri" w:eastAsia="仿宋"/>
      <w:b/>
      <w:kern w:val="2"/>
      <w:sz w:val="28"/>
      <w:szCs w:val="21"/>
      <w:lang w:bidi="ar-SA"/>
    </w:rPr>
  </w:style>
  <w:style w:type="character" w:customStyle="1" w:styleId="262">
    <w:name w:val="列表1、 Char"/>
    <w:link w:val="263"/>
    <w:qFormat/>
    <w:locked/>
    <w:uiPriority w:val="99"/>
    <w:rPr>
      <w:rFonts w:ascii="仿宋" w:hAnsi="仿宋" w:eastAsia="仿宋"/>
      <w:sz w:val="28"/>
      <w:szCs w:val="21"/>
    </w:rPr>
  </w:style>
  <w:style w:type="paragraph" w:customStyle="1" w:styleId="263">
    <w:name w:val="列表1、"/>
    <w:basedOn w:val="126"/>
    <w:link w:val="262"/>
    <w:qFormat/>
    <w:uiPriority w:val="99"/>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4">
    <w:name w:val="bt Char2"/>
    <w:qFormat/>
    <w:uiPriority w:val="0"/>
    <w:rPr>
      <w:rFonts w:eastAsia="宋体"/>
      <w:kern w:val="2"/>
      <w:sz w:val="28"/>
      <w:szCs w:val="24"/>
      <w:lang w:val="en-US" w:eastAsia="zh-CN" w:bidi="ar-SA"/>
    </w:rPr>
  </w:style>
  <w:style w:type="character" w:customStyle="1" w:styleId="265">
    <w:name w:val="news1"/>
    <w:qFormat/>
    <w:uiPriority w:val="0"/>
    <w:rPr>
      <w:rFonts w:hint="default" w:ascii="Times New Roman" w:hAnsi="Times New Roman" w:cs="Times New Roman"/>
      <w:sz w:val="21"/>
      <w:szCs w:val="21"/>
    </w:rPr>
  </w:style>
  <w:style w:type="character" w:customStyle="1" w:styleId="266">
    <w:name w:val="Char Char511"/>
    <w:qFormat/>
    <w:uiPriority w:val="0"/>
    <w:rPr>
      <w:rFonts w:ascii="Calibri" w:hAnsi="Calibri" w:eastAsia="宋体"/>
      <w:sz w:val="18"/>
      <w:szCs w:val="18"/>
      <w:lang w:bidi="ar-SA"/>
    </w:rPr>
  </w:style>
  <w:style w:type="character" w:customStyle="1" w:styleId="267">
    <w:name w:val="正文文字 Char"/>
    <w:qFormat/>
    <w:uiPriority w:val="0"/>
    <w:rPr>
      <w:rFonts w:ascii="Arial" w:hAnsi="Arial" w:eastAsia="宋体"/>
      <w:kern w:val="2"/>
      <w:sz w:val="24"/>
      <w:lang w:val="en-US" w:eastAsia="zh-CN"/>
    </w:rPr>
  </w:style>
  <w:style w:type="character" w:customStyle="1" w:styleId="268">
    <w:name w:val="大标题 Char Char"/>
    <w:qFormat/>
    <w:uiPriority w:val="0"/>
    <w:rPr>
      <w:b/>
      <w:sz w:val="28"/>
      <w:lang w:val="en-US" w:eastAsia="zh-CN" w:bidi="ar-SA"/>
    </w:rPr>
  </w:style>
  <w:style w:type="character" w:customStyle="1" w:styleId="269">
    <w:name w:val="华电 正文 Char"/>
    <w:link w:val="270"/>
    <w:qFormat/>
    <w:uiPriority w:val="0"/>
    <w:rPr>
      <w:rFonts w:ascii="宋体" w:hAnsi="宋体" w:eastAsia="宋体"/>
      <w:sz w:val="22"/>
    </w:rPr>
  </w:style>
  <w:style w:type="paragraph" w:customStyle="1" w:styleId="270">
    <w:name w:val="华电 正文"/>
    <w:basedOn w:val="1"/>
    <w:link w:val="269"/>
    <w:qFormat/>
    <w:uiPriority w:val="0"/>
    <w:pPr>
      <w:widowControl/>
      <w:spacing w:line="360" w:lineRule="auto"/>
      <w:ind w:firstLine="440" w:firstLineChars="200"/>
      <w:jc w:val="left"/>
    </w:pPr>
    <w:rPr>
      <w:rFonts w:ascii="宋体" w:hAnsi="宋体" w:cstheme="minorBidi"/>
      <w:sz w:val="22"/>
    </w:rPr>
  </w:style>
  <w:style w:type="character" w:customStyle="1" w:styleId="271">
    <w:name w:val="标准正文格式 Char"/>
    <w:link w:val="272"/>
    <w:qFormat/>
    <w:uiPriority w:val="0"/>
    <w:rPr>
      <w:rFonts w:ascii="宋体" w:eastAsia="仿宋_GB2312" w:cs="宋体"/>
      <w:color w:val="000000"/>
      <w:sz w:val="24"/>
    </w:rPr>
  </w:style>
  <w:style w:type="paragraph" w:customStyle="1" w:styleId="272">
    <w:name w:val="标准正文格式"/>
    <w:basedOn w:val="1"/>
    <w:link w:val="271"/>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3">
    <w:name w:val="标题 3 Char1"/>
    <w:qFormat/>
    <w:uiPriority w:val="0"/>
    <w:rPr>
      <w:rFonts w:ascii="Calibri" w:hAnsi="Calibri" w:eastAsia="宋体"/>
      <w:b/>
      <w:bCs/>
      <w:kern w:val="2"/>
      <w:sz w:val="32"/>
      <w:szCs w:val="32"/>
      <w:lang w:val="en-US" w:eastAsia="zh-CN" w:bidi="ar-SA"/>
    </w:rPr>
  </w:style>
  <w:style w:type="character" w:customStyle="1" w:styleId="274">
    <w:name w:val="Indent Normal Char"/>
    <w:link w:val="275"/>
    <w:qFormat/>
    <w:uiPriority w:val="0"/>
  </w:style>
  <w:style w:type="paragraph" w:customStyle="1" w:styleId="275">
    <w:name w:val="Indent Normal"/>
    <w:basedOn w:val="1"/>
    <w:link w:val="274"/>
    <w:qFormat/>
    <w:uiPriority w:val="0"/>
    <w:pPr>
      <w:ind w:firstLine="420"/>
    </w:pPr>
    <w:rPr>
      <w:rFonts w:asciiTheme="minorHAnsi" w:hAnsiTheme="minorHAnsi" w:eastAsiaTheme="minorEastAsia" w:cstheme="minorBidi"/>
    </w:rPr>
  </w:style>
  <w:style w:type="character" w:customStyle="1" w:styleId="276">
    <w:name w:val="line1"/>
    <w:qFormat/>
    <w:uiPriority w:val="0"/>
    <w:rPr>
      <w:spacing w:val="360"/>
      <w:u w:val="none"/>
    </w:rPr>
  </w:style>
  <w:style w:type="character" w:customStyle="1" w:styleId="277">
    <w:name w:val="point_normal1"/>
    <w:qFormat/>
    <w:uiPriority w:val="0"/>
    <w:rPr>
      <w:rFonts w:hint="default" w:ascii="Arial" w:hAnsi="Arial" w:cs="Arial"/>
      <w:sz w:val="18"/>
      <w:szCs w:val="18"/>
    </w:rPr>
  </w:style>
  <w:style w:type="character" w:customStyle="1" w:styleId="278">
    <w:name w:val="unnamed11"/>
    <w:qFormat/>
    <w:uiPriority w:val="0"/>
    <w:rPr>
      <w:color w:val="000000"/>
      <w:sz w:val="20"/>
      <w:szCs w:val="20"/>
    </w:rPr>
  </w:style>
  <w:style w:type="character" w:customStyle="1" w:styleId="279">
    <w:name w:val="模板正文 Char"/>
    <w:link w:val="280"/>
    <w:qFormat/>
    <w:uiPriority w:val="0"/>
    <w:rPr>
      <w:rFonts w:ascii="Arial" w:hAnsi="Arial"/>
      <w:szCs w:val="21"/>
    </w:rPr>
  </w:style>
  <w:style w:type="paragraph" w:customStyle="1" w:styleId="280">
    <w:name w:val="模板正文"/>
    <w:basedOn w:val="1"/>
    <w:link w:val="279"/>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1">
    <w:name w:val="*Body Text Char1"/>
    <w:link w:val="282"/>
    <w:qFormat/>
    <w:uiPriority w:val="0"/>
    <w:rPr>
      <w:rFonts w:ascii="Futura Lt" w:hAnsi="Futura Lt" w:cs="Futura Lt"/>
      <w:szCs w:val="21"/>
      <w:lang w:eastAsia="en-US"/>
    </w:rPr>
  </w:style>
  <w:style w:type="paragraph" w:customStyle="1" w:styleId="282">
    <w:name w:val="*Body Text"/>
    <w:link w:val="281"/>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3">
    <w:name w:val="14_black1"/>
    <w:qFormat/>
    <w:uiPriority w:val="0"/>
    <w:rPr>
      <w:color w:val="000000"/>
      <w:sz w:val="21"/>
    </w:rPr>
  </w:style>
  <w:style w:type="character" w:customStyle="1" w:styleId="284">
    <w:name w:val="样式 小四1"/>
    <w:qFormat/>
    <w:uiPriority w:val="0"/>
    <w:rPr>
      <w:rFonts w:ascii="Tahoma" w:hAnsi="Tahoma" w:eastAsia="仿宋_GB2312"/>
      <w:kern w:val="2"/>
      <w:sz w:val="24"/>
      <w:lang w:val="en-US" w:eastAsia="zh-CN" w:bidi="ar-SA"/>
    </w:rPr>
  </w:style>
  <w:style w:type="character" w:customStyle="1" w:styleId="285">
    <w:name w:val="Char Char3"/>
    <w:qFormat/>
    <w:uiPriority w:val="0"/>
    <w:rPr>
      <w:rFonts w:ascii="Arial" w:hAnsi="Arial" w:eastAsia="黑体"/>
      <w:b/>
      <w:kern w:val="2"/>
      <w:sz w:val="32"/>
      <w:lang w:val="en-US" w:eastAsia="zh-CN" w:bidi="ar-SA"/>
    </w:rPr>
  </w:style>
  <w:style w:type="character" w:customStyle="1" w:styleId="286">
    <w:name w:val="style51"/>
    <w:qFormat/>
    <w:uiPriority w:val="0"/>
    <w:rPr>
      <w:rFonts w:hint="eastAsia" w:ascii="宋体" w:hAnsi="宋体" w:eastAsia="宋体"/>
      <w:color w:val="333333"/>
      <w:sz w:val="23"/>
      <w:szCs w:val="23"/>
      <w:u w:val="none"/>
    </w:rPr>
  </w:style>
  <w:style w:type="character" w:customStyle="1" w:styleId="287">
    <w:name w:val="font3"/>
    <w:basedOn w:val="64"/>
    <w:qFormat/>
    <w:uiPriority w:val="0"/>
  </w:style>
  <w:style w:type="character" w:customStyle="1" w:styleId="288">
    <w:name w:val="样式4 Char"/>
    <w:link w:val="289"/>
    <w:qFormat/>
    <w:uiPriority w:val="0"/>
    <w:rPr>
      <w:rFonts w:ascii="Calibri" w:hAnsi="Calibri" w:eastAsia="宋体"/>
      <w:sz w:val="24"/>
    </w:rPr>
  </w:style>
  <w:style w:type="paragraph" w:customStyle="1" w:styleId="289">
    <w:name w:val="样式4"/>
    <w:basedOn w:val="1"/>
    <w:link w:val="288"/>
    <w:qFormat/>
    <w:uiPriority w:val="0"/>
    <w:pPr>
      <w:spacing w:line="360" w:lineRule="auto"/>
    </w:pPr>
    <w:rPr>
      <w:rFonts w:cstheme="minorBidi"/>
      <w:sz w:val="24"/>
    </w:rPr>
  </w:style>
  <w:style w:type="character" w:customStyle="1" w:styleId="290">
    <w:name w:val="样式 正文缩进 + 首行缩进:  2 字符 Char"/>
    <w:link w:val="291"/>
    <w:qFormat/>
    <w:uiPriority w:val="0"/>
    <w:rPr>
      <w:rFonts w:ascii="Times New Roman" w:hAnsi="Times New Roman"/>
      <w:sz w:val="24"/>
    </w:rPr>
  </w:style>
  <w:style w:type="paragraph" w:customStyle="1" w:styleId="291">
    <w:name w:val="样式 正文缩进 + 首行缩进:  2 字符"/>
    <w:basedOn w:val="17"/>
    <w:link w:val="290"/>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2">
    <w:name w:val="inf1"/>
    <w:qFormat/>
    <w:uiPriority w:val="0"/>
    <w:rPr>
      <w:rFonts w:hint="eastAsia" w:ascii="宋体" w:hAnsi="宋体" w:eastAsia="宋体"/>
      <w:color w:val="000000"/>
      <w:sz w:val="20"/>
      <w:szCs w:val="20"/>
    </w:rPr>
  </w:style>
  <w:style w:type="character" w:customStyle="1" w:styleId="293">
    <w:name w:val="h3 Char"/>
    <w:qFormat/>
    <w:uiPriority w:val="0"/>
    <w:rPr>
      <w:rFonts w:ascii="Times New Roman" w:hAnsi="Times New Roman"/>
      <w:b/>
      <w:bCs/>
      <w:kern w:val="2"/>
      <w:sz w:val="32"/>
      <w:szCs w:val="32"/>
    </w:rPr>
  </w:style>
  <w:style w:type="character" w:customStyle="1" w:styleId="294">
    <w:name w:val="apple-style-span"/>
    <w:basedOn w:val="64"/>
    <w:qFormat/>
    <w:uiPriority w:val="0"/>
  </w:style>
  <w:style w:type="character" w:customStyle="1" w:styleId="295">
    <w:name w:val="样式 首行缩进:  0.85 厘米 Char"/>
    <w:link w:val="296"/>
    <w:qFormat/>
    <w:uiPriority w:val="0"/>
    <w:rPr>
      <w:rFonts w:eastAsia="宋体" w:cs="宋体"/>
      <w:sz w:val="24"/>
    </w:rPr>
  </w:style>
  <w:style w:type="paragraph" w:customStyle="1" w:styleId="296">
    <w:name w:val="样式 首行缩进:  0.85 厘米"/>
    <w:basedOn w:val="1"/>
    <w:link w:val="295"/>
    <w:qFormat/>
    <w:uiPriority w:val="0"/>
    <w:pPr>
      <w:spacing w:line="360" w:lineRule="auto"/>
      <w:ind w:firstLine="480"/>
    </w:pPr>
    <w:rPr>
      <w:rFonts w:cs="宋体" w:asciiTheme="minorHAnsi" w:hAnsiTheme="minorHAnsi"/>
      <w:sz w:val="24"/>
    </w:rPr>
  </w:style>
  <w:style w:type="character" w:customStyle="1" w:styleId="297">
    <w:name w:val="style31"/>
    <w:qFormat/>
    <w:uiPriority w:val="0"/>
    <w:rPr>
      <w:color w:val="666666"/>
    </w:rPr>
  </w:style>
  <w:style w:type="character" w:customStyle="1" w:styleId="298">
    <w:name w:val="_正文段落 Char"/>
    <w:link w:val="299"/>
    <w:qFormat/>
    <w:uiPriority w:val="0"/>
    <w:rPr>
      <w:rFonts w:ascii="Times New Roman" w:hAnsi="Times New Roman"/>
      <w:szCs w:val="24"/>
    </w:rPr>
  </w:style>
  <w:style w:type="paragraph" w:customStyle="1" w:styleId="299">
    <w:name w:val="_正文段落"/>
    <w:basedOn w:val="1"/>
    <w:link w:val="298"/>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0">
    <w:name w:val="列表1"/>
    <w:basedOn w:val="64"/>
    <w:qFormat/>
    <w:uiPriority w:val="0"/>
  </w:style>
  <w:style w:type="character" w:customStyle="1" w:styleId="301">
    <w:name w:val="Char Char611"/>
    <w:qFormat/>
    <w:uiPriority w:val="0"/>
    <w:rPr>
      <w:rFonts w:ascii="Calibri" w:hAnsi="Calibri" w:eastAsia="宋体"/>
      <w:b/>
      <w:bCs/>
      <w:kern w:val="2"/>
      <w:sz w:val="28"/>
      <w:szCs w:val="28"/>
      <w:lang w:bidi="ar-SA"/>
    </w:rPr>
  </w:style>
  <w:style w:type="character" w:customStyle="1" w:styleId="302">
    <w:name w:val="数据小节格式"/>
    <w:qFormat/>
    <w:uiPriority w:val="0"/>
    <w:rPr>
      <w:rFonts w:ascii="新宋体" w:hAnsi="新宋体" w:eastAsia="华文中宋"/>
      <w:b/>
      <w:bCs/>
      <w:sz w:val="27"/>
      <w:szCs w:val="26"/>
      <w:shd w:val="clear" w:color="auto" w:fill="auto"/>
    </w:rPr>
  </w:style>
  <w:style w:type="character" w:customStyle="1" w:styleId="303">
    <w:name w:val="自定义正文 Char Char"/>
    <w:qFormat/>
    <w:uiPriority w:val="0"/>
    <w:rPr>
      <w:rFonts w:eastAsia="宋体"/>
      <w:kern w:val="2"/>
      <w:sz w:val="24"/>
      <w:szCs w:val="24"/>
      <w:lang w:val="en-US" w:eastAsia="zh-CN" w:bidi="ar-SA"/>
    </w:rPr>
  </w:style>
  <w:style w:type="character" w:customStyle="1" w:styleId="304">
    <w:name w:val="apple-converted-space"/>
    <w:qFormat/>
    <w:uiPriority w:val="0"/>
  </w:style>
  <w:style w:type="character" w:customStyle="1" w:styleId="305">
    <w:name w:val="表格文字 Char"/>
    <w:link w:val="306"/>
    <w:qFormat/>
    <w:uiPriority w:val="0"/>
    <w:rPr>
      <w:rFonts w:ascii="Times New Roman" w:hAnsi="Times New Roman"/>
      <w:sz w:val="18"/>
      <w:szCs w:val="24"/>
    </w:rPr>
  </w:style>
  <w:style w:type="paragraph" w:customStyle="1" w:styleId="306">
    <w:name w:val="表格文字"/>
    <w:basedOn w:val="1"/>
    <w:link w:val="305"/>
    <w:qFormat/>
    <w:uiPriority w:val="0"/>
    <w:pPr>
      <w:jc w:val="left"/>
      <w:textAlignment w:val="top"/>
    </w:pPr>
    <w:rPr>
      <w:rFonts w:ascii="Times New Roman" w:hAnsi="Times New Roman" w:eastAsiaTheme="minorEastAsia" w:cstheme="minorBidi"/>
      <w:sz w:val="18"/>
      <w:szCs w:val="24"/>
    </w:rPr>
  </w:style>
  <w:style w:type="character" w:customStyle="1" w:styleId="307">
    <w:name w:val="我的正文 Char"/>
    <w:link w:val="308"/>
    <w:qFormat/>
    <w:uiPriority w:val="0"/>
    <w:rPr>
      <w:rFonts w:eastAsia="仿宋_GB2312" w:cs="宋体"/>
      <w:sz w:val="24"/>
    </w:rPr>
  </w:style>
  <w:style w:type="paragraph" w:customStyle="1" w:styleId="308">
    <w:name w:val="我的正文"/>
    <w:basedOn w:val="1"/>
    <w:link w:val="307"/>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qFormat/>
    <w:uiPriority w:val="0"/>
    <w:rPr>
      <w:rFonts w:ascii="宋体" w:hAnsi="宋体" w:eastAsia="宋体"/>
      <w:sz w:val="24"/>
      <w:szCs w:val="24"/>
    </w:rPr>
  </w:style>
  <w:style w:type="paragraph" w:customStyle="1" w:styleId="310">
    <w:name w:val="7.表小四"/>
    <w:basedOn w:val="1"/>
    <w:link w:val="309"/>
    <w:qFormat/>
    <w:uiPriority w:val="0"/>
    <w:pPr>
      <w:spacing w:beforeLines="50" w:afterLines="50"/>
    </w:pPr>
    <w:rPr>
      <w:rFonts w:ascii="宋体" w:hAnsi="宋体" w:cstheme="minorBidi"/>
      <w:sz w:val="24"/>
      <w:szCs w:val="24"/>
    </w:rPr>
  </w:style>
  <w:style w:type="character" w:customStyle="1" w:styleId="311">
    <w:name w:val="标题 1 Char Char"/>
    <w:qFormat/>
    <w:uiPriority w:val="0"/>
    <w:rPr>
      <w:rFonts w:eastAsia="宋体"/>
      <w:b/>
      <w:spacing w:val="-2"/>
      <w:sz w:val="24"/>
      <w:lang w:val="en-US" w:eastAsia="zh-CN" w:bidi="ar-SA"/>
    </w:rPr>
  </w:style>
  <w:style w:type="character" w:customStyle="1" w:styleId="312">
    <w:name w:val="b11_01b Char Char"/>
    <w:qFormat/>
    <w:uiPriority w:val="0"/>
    <w:rPr>
      <w:rFonts w:ascii="Verdana" w:hAnsi="Verdana" w:eastAsia="宋体"/>
      <w:b/>
      <w:bCs/>
      <w:color w:val="4A82CA"/>
      <w:sz w:val="17"/>
      <w:szCs w:val="17"/>
      <w:lang w:val="en-US" w:eastAsia="zh-CN" w:bidi="ar-SA"/>
    </w:rPr>
  </w:style>
  <w:style w:type="character" w:customStyle="1" w:styleId="313">
    <w:name w:val="方案正文 Char"/>
    <w:link w:val="314"/>
    <w:qFormat/>
    <w:uiPriority w:val="0"/>
    <w:rPr>
      <w:rFonts w:ascii="Calibri" w:hAnsi="Calibri" w:eastAsia="仿宋_GB2312"/>
      <w:sz w:val="32"/>
      <w:szCs w:val="24"/>
    </w:rPr>
  </w:style>
  <w:style w:type="paragraph" w:customStyle="1" w:styleId="314">
    <w:name w:val="方案正文"/>
    <w:basedOn w:val="1"/>
    <w:link w:val="313"/>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qFormat/>
    <w:uiPriority w:val="0"/>
    <w:rPr>
      <w:rFonts w:ascii="Arial" w:hAnsi="Arial" w:eastAsia="黑体"/>
      <w:b/>
      <w:bCs/>
      <w:kern w:val="2"/>
      <w:sz w:val="32"/>
      <w:szCs w:val="32"/>
      <w:lang w:val="en-US" w:eastAsia="zh-CN" w:bidi="ar-SA"/>
    </w:rPr>
  </w:style>
  <w:style w:type="character" w:customStyle="1" w:styleId="316">
    <w:name w:val="标准正文格式 Char Char"/>
    <w:qFormat/>
    <w:uiPriority w:val="0"/>
    <w:rPr>
      <w:rFonts w:ascii="宋体" w:eastAsia="仿宋_GB2312" w:cs="宋体"/>
      <w:color w:val="000000"/>
      <w:sz w:val="24"/>
      <w:lang w:val="en-US" w:eastAsia="zh-CN" w:bidi="ar-SA"/>
    </w:rPr>
  </w:style>
  <w:style w:type="character" w:customStyle="1" w:styleId="317">
    <w:name w:val="页脚 Char Char"/>
    <w:qFormat/>
    <w:uiPriority w:val="0"/>
    <w:rPr>
      <w:kern w:val="2"/>
      <w:sz w:val="18"/>
      <w:szCs w:val="18"/>
      <w:lang w:bidi="ar-SA"/>
    </w:rPr>
  </w:style>
  <w:style w:type="character" w:customStyle="1" w:styleId="318">
    <w:name w:val="Char Char221"/>
    <w:qFormat/>
    <w:uiPriority w:val="0"/>
    <w:rPr>
      <w:rFonts w:ascii="宋体" w:hAnsi="Courier New" w:eastAsia="宋体"/>
      <w:sz w:val="21"/>
      <w:lang w:val="en-US" w:eastAsia="zh-CN" w:bidi="ar-SA"/>
    </w:rPr>
  </w:style>
  <w:style w:type="character" w:customStyle="1" w:styleId="319">
    <w:name w:val="投标正文 Char"/>
    <w:link w:val="320"/>
    <w:qFormat/>
    <w:uiPriority w:val="0"/>
    <w:rPr>
      <w:rFonts w:ascii="宋体" w:hAnsi="宋体" w:eastAsia="宋体"/>
      <w:sz w:val="24"/>
      <w:szCs w:val="24"/>
    </w:rPr>
  </w:style>
  <w:style w:type="paragraph" w:customStyle="1" w:styleId="320">
    <w:name w:val="投标正文"/>
    <w:basedOn w:val="1"/>
    <w:link w:val="319"/>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qFormat/>
    <w:uiPriority w:val="0"/>
    <w:rPr>
      <w:rFonts w:eastAsia="楷体_GB2312"/>
      <w:kern w:val="2"/>
      <w:sz w:val="32"/>
      <w:lang w:val="en-US" w:eastAsia="zh-CN" w:bidi="ar-SA"/>
    </w:rPr>
  </w:style>
  <w:style w:type="character" w:customStyle="1" w:styleId="322">
    <w:name w:val="正文0缩进 Char"/>
    <w:link w:val="323"/>
    <w:qFormat/>
    <w:uiPriority w:val="0"/>
    <w:rPr>
      <w:rFonts w:ascii="宋体" w:hAnsi="宋体"/>
      <w:sz w:val="24"/>
      <w:szCs w:val="24"/>
    </w:rPr>
  </w:style>
  <w:style w:type="paragraph" w:customStyle="1" w:styleId="323">
    <w:name w:val="正文0缩进"/>
    <w:basedOn w:val="1"/>
    <w:link w:val="322"/>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qFormat/>
    <w:uiPriority w:val="0"/>
    <w:rPr>
      <w:rFonts w:ascii="新宋体" w:hAnsi="新宋体" w:eastAsia="新宋体"/>
      <w:sz w:val="24"/>
      <w:szCs w:val="24"/>
    </w:rPr>
  </w:style>
  <w:style w:type="paragraph" w:customStyle="1" w:styleId="325">
    <w:name w:val="表格中文字"/>
    <w:basedOn w:val="1"/>
    <w:link w:val="324"/>
    <w:qFormat/>
    <w:uiPriority w:val="0"/>
    <w:pPr>
      <w:spacing w:line="288" w:lineRule="auto"/>
    </w:pPr>
    <w:rPr>
      <w:rFonts w:ascii="新宋体" w:hAnsi="新宋体" w:eastAsia="新宋体" w:cstheme="minorBidi"/>
      <w:sz w:val="24"/>
      <w:szCs w:val="24"/>
    </w:rPr>
  </w:style>
  <w:style w:type="character" w:styleId="326">
    <w:name w:val="Placeholder Text"/>
    <w:qFormat/>
    <w:uiPriority w:val="99"/>
    <w:rPr>
      <w:color w:val="808080"/>
    </w:rPr>
  </w:style>
  <w:style w:type="character" w:customStyle="1" w:styleId="327">
    <w:name w:val="标题4-dyf Char Char"/>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qFormat/>
    <w:uiPriority w:val="0"/>
    <w:rPr>
      <w:rFonts w:ascii="Calibri" w:hAnsi="Calibri" w:eastAsia="楷体_GB2312"/>
      <w:kern w:val="2"/>
      <w:sz w:val="32"/>
      <w:lang w:val="en-US" w:eastAsia="zh-CN" w:bidi="ar-SA"/>
    </w:rPr>
  </w:style>
  <w:style w:type="character" w:customStyle="1" w:styleId="329">
    <w:name w:val="viewdoctitle"/>
    <w:basedOn w:val="64"/>
    <w:qFormat/>
    <w:uiPriority w:val="0"/>
  </w:style>
  <w:style w:type="character" w:customStyle="1" w:styleId="330">
    <w:name w:val="black10"/>
    <w:basedOn w:val="64"/>
    <w:qFormat/>
    <w:uiPriority w:val="0"/>
  </w:style>
  <w:style w:type="character" w:customStyle="1" w:styleId="331">
    <w:name w:val="Char Char1211"/>
    <w:qFormat/>
    <w:uiPriority w:val="0"/>
    <w:rPr>
      <w:rFonts w:ascii="宋体" w:hAnsi="Courier New" w:eastAsia="宋体" w:cs="Times New Roman"/>
      <w:spacing w:val="-4"/>
      <w:sz w:val="18"/>
      <w:szCs w:val="20"/>
    </w:rPr>
  </w:style>
  <w:style w:type="character" w:customStyle="1" w:styleId="332">
    <w:name w:val="段 Char Char"/>
    <w:link w:val="333"/>
    <w:qFormat/>
    <w:uiPriority w:val="0"/>
    <w:rPr>
      <w:rFonts w:ascii="宋体" w:hAnsi="Times New Roman"/>
    </w:rPr>
  </w:style>
  <w:style w:type="paragraph" w:customStyle="1" w:styleId="333">
    <w:name w:val="段"/>
    <w:link w:val="332"/>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4"/>
    <w:qFormat/>
    <w:uiPriority w:val="0"/>
  </w:style>
  <w:style w:type="character" w:customStyle="1" w:styleId="335">
    <w:name w:val="ZJGIS-四级标题 Char"/>
    <w:link w:val="336"/>
    <w:qFormat/>
    <w:uiPriority w:val="99"/>
    <w:rPr>
      <w:rFonts w:ascii="Arial" w:hAnsi="Arial" w:eastAsia="仿宋_GB2312"/>
      <w:b/>
      <w:bCs/>
      <w:sz w:val="28"/>
      <w:szCs w:val="28"/>
    </w:rPr>
  </w:style>
  <w:style w:type="paragraph" w:customStyle="1" w:styleId="336">
    <w:name w:val="ZJGIS-四级标题"/>
    <w:basedOn w:val="5"/>
    <w:link w:val="335"/>
    <w:qFormat/>
    <w:uiPriority w:val="99"/>
    <w:pPr>
      <w:numPr>
        <w:ilvl w:val="3"/>
        <w:numId w:val="10"/>
      </w:numPr>
      <w:spacing w:before="120" w:after="120" w:line="240" w:lineRule="auto"/>
    </w:pPr>
    <w:rPr>
      <w:rFonts w:eastAsia="仿宋_GB2312" w:cstheme="minorBidi"/>
    </w:rPr>
  </w:style>
  <w:style w:type="character" w:customStyle="1" w:styleId="337">
    <w:name w:val="不明显参考1"/>
    <w:qFormat/>
    <w:uiPriority w:val="31"/>
    <w:rPr>
      <w:smallCaps/>
      <w:color w:val="C0504D"/>
      <w:u w:val="single"/>
    </w:rPr>
  </w:style>
  <w:style w:type="character" w:customStyle="1" w:styleId="338">
    <w:name w:val="样式 样式 正文首行缩进 + 首行缩进:  2 字符 + 首行缩进:  2 字符 Char"/>
    <w:link w:val="339"/>
    <w:qFormat/>
    <w:uiPriority w:val="0"/>
    <w:rPr>
      <w:rFonts w:cs="宋体"/>
      <w:sz w:val="24"/>
    </w:rPr>
  </w:style>
  <w:style w:type="paragraph" w:customStyle="1" w:styleId="339">
    <w:name w:val="样式 样式 正文首行缩进 + 首行缩进:  2 字符 + 首行缩进:  2 字符"/>
    <w:basedOn w:val="1"/>
    <w:link w:val="338"/>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qFormat/>
    <w:uiPriority w:val="0"/>
    <w:rPr>
      <w:rFonts w:ascii="Arial" w:hAnsi="Arial" w:eastAsia="黑体"/>
      <w:b/>
      <w:kern w:val="2"/>
      <w:sz w:val="32"/>
      <w:lang w:val="en-US" w:eastAsia="zh-CN" w:bidi="ar-SA"/>
    </w:rPr>
  </w:style>
  <w:style w:type="character" w:customStyle="1" w:styleId="341">
    <w:name w:val="b titlename wangputoptitle"/>
    <w:basedOn w:val="64"/>
    <w:qFormat/>
    <w:uiPriority w:val="0"/>
  </w:style>
  <w:style w:type="character" w:customStyle="1" w:styleId="342">
    <w:name w:val="tw4winExternal"/>
    <w:qFormat/>
    <w:uiPriority w:val="0"/>
    <w:rPr>
      <w:rFonts w:ascii="Courier New" w:hAnsi="Courier New"/>
      <w:color w:val="808080"/>
    </w:rPr>
  </w:style>
  <w:style w:type="character" w:customStyle="1" w:styleId="343">
    <w:name w:val="glossaryitem"/>
    <w:qFormat/>
    <w:uiPriority w:val="0"/>
    <w:rPr>
      <w:u w:val="none"/>
    </w:rPr>
  </w:style>
  <w:style w:type="character" w:customStyle="1" w:styleId="344">
    <w:name w:val="title_emph1"/>
    <w:qFormat/>
    <w:uiPriority w:val="0"/>
    <w:rPr>
      <w:rFonts w:hint="default" w:ascii="Arial" w:hAnsi="Arial" w:cs="Arial"/>
      <w:b/>
      <w:bCs/>
      <w:sz w:val="18"/>
      <w:szCs w:val="18"/>
    </w:rPr>
  </w:style>
  <w:style w:type="character" w:customStyle="1" w:styleId="345">
    <w:name w:val="Char Char1"/>
    <w:qFormat/>
    <w:uiPriority w:val="0"/>
    <w:rPr>
      <w:kern w:val="2"/>
      <w:sz w:val="18"/>
      <w:szCs w:val="18"/>
    </w:rPr>
  </w:style>
  <w:style w:type="character" w:customStyle="1" w:styleId="346">
    <w:name w:val="正文段落 Char"/>
    <w:link w:val="347"/>
    <w:qFormat/>
    <w:uiPriority w:val="0"/>
    <w:rPr>
      <w:rFonts w:ascii="Times New Roman" w:hAnsi="Times New Roman"/>
      <w:sz w:val="24"/>
    </w:rPr>
  </w:style>
  <w:style w:type="paragraph" w:customStyle="1" w:styleId="347">
    <w:name w:val="正文段落"/>
    <w:basedOn w:val="1"/>
    <w:link w:val="346"/>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4"/>
    <w:qFormat/>
    <w:uiPriority w:val="0"/>
  </w:style>
  <w:style w:type="character" w:customStyle="1" w:styleId="349">
    <w:name w:val="样式 首行缩进:  2 字符 Char"/>
    <w:link w:val="350"/>
    <w:qFormat/>
    <w:uiPriority w:val="99"/>
    <w:rPr>
      <w:rFonts w:ascii="宋体" w:hAnsi="宋体"/>
      <w:bCs/>
      <w:color w:val="000000"/>
      <w:sz w:val="24"/>
      <w:szCs w:val="24"/>
    </w:rPr>
  </w:style>
  <w:style w:type="paragraph" w:customStyle="1" w:styleId="350">
    <w:name w:val="样式 首行缩进:  2 字符"/>
    <w:basedOn w:val="1"/>
    <w:link w:val="349"/>
    <w:qFormat/>
    <w:uiPriority w:val="99"/>
    <w:pPr>
      <w:widowControl/>
      <w:numPr>
        <w:ilvl w:val="0"/>
        <w:numId w:val="11"/>
      </w:numPr>
    </w:pPr>
    <w:rPr>
      <w:rFonts w:ascii="宋体" w:hAnsi="宋体" w:eastAsiaTheme="minorEastAsia" w:cstheme="minorBidi"/>
      <w:bCs/>
      <w:color w:val="000000"/>
      <w:sz w:val="24"/>
      <w:szCs w:val="24"/>
    </w:rPr>
  </w:style>
  <w:style w:type="character" w:customStyle="1" w:styleId="351">
    <w:name w:val="h4 Char2"/>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qFormat/>
    <w:uiPriority w:val="0"/>
    <w:rPr>
      <w:rFonts w:ascii="Arial" w:hAnsi="Arial" w:eastAsia="宋体"/>
      <w:sz w:val="24"/>
      <w:szCs w:val="24"/>
    </w:rPr>
  </w:style>
  <w:style w:type="paragraph" w:customStyle="1" w:styleId="353">
    <w:name w:val="大汉方案正文 Char"/>
    <w:basedOn w:val="1"/>
    <w:link w:val="352"/>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qFormat/>
    <w:uiPriority w:val="0"/>
    <w:rPr>
      <w:rFonts w:ascii="Times New Roman" w:hAnsi="Times New Roman" w:eastAsia="仿宋_GB2312"/>
      <w:szCs w:val="21"/>
    </w:rPr>
  </w:style>
  <w:style w:type="paragraph" w:customStyle="1" w:styleId="355">
    <w:name w:val="表格正文"/>
    <w:basedOn w:val="1"/>
    <w:link w:val="354"/>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qFormat/>
    <w:uiPriority w:val="0"/>
    <w:rPr>
      <w:rFonts w:eastAsia="宋体" w:cs="宋体"/>
      <w:sz w:val="24"/>
    </w:rPr>
  </w:style>
  <w:style w:type="paragraph" w:customStyle="1" w:styleId="357">
    <w:name w:val="正文标准样式ty"/>
    <w:basedOn w:val="1"/>
    <w:link w:val="356"/>
    <w:qFormat/>
    <w:uiPriority w:val="0"/>
    <w:pPr>
      <w:spacing w:line="360" w:lineRule="auto"/>
      <w:ind w:firstLine="480" w:firstLineChars="200"/>
    </w:pPr>
    <w:rPr>
      <w:rFonts w:cs="宋体" w:asciiTheme="minorHAnsi" w:hAnsiTheme="minorHAnsi"/>
      <w:sz w:val="24"/>
    </w:rPr>
  </w:style>
  <w:style w:type="character" w:customStyle="1" w:styleId="358">
    <w:name w:val="Char Char13"/>
    <w:qFormat/>
    <w:uiPriority w:val="0"/>
    <w:rPr>
      <w:rFonts w:ascii="Calibri" w:hAnsi="Calibri" w:eastAsia="宋体" w:cs="Times New Roman"/>
      <w:sz w:val="18"/>
      <w:szCs w:val="18"/>
    </w:rPr>
  </w:style>
  <w:style w:type="character" w:customStyle="1" w:styleId="359">
    <w:name w:val="Char Char711"/>
    <w:qFormat/>
    <w:uiPriority w:val="0"/>
    <w:rPr>
      <w:rFonts w:eastAsia="宋体"/>
      <w:b/>
      <w:kern w:val="2"/>
      <w:sz w:val="32"/>
      <w:lang w:bidi="ar-SA"/>
    </w:rPr>
  </w:style>
  <w:style w:type="character" w:customStyle="1" w:styleId="360">
    <w:name w:val="Char Char911"/>
    <w:qFormat/>
    <w:uiPriority w:val="0"/>
    <w:rPr>
      <w:rFonts w:eastAsia="宋体"/>
      <w:b/>
      <w:kern w:val="44"/>
      <w:sz w:val="44"/>
      <w:lang w:bidi="ar-SA"/>
    </w:rPr>
  </w:style>
  <w:style w:type="character" w:customStyle="1" w:styleId="361">
    <w:name w:val="吉奥表格正文 Char"/>
    <w:link w:val="362"/>
    <w:qFormat/>
    <w:uiPriority w:val="0"/>
    <w:rPr>
      <w:rFonts w:ascii="Times New Roman" w:hAnsi="Times New Roman" w:eastAsia="仿宋_GB2312"/>
      <w:szCs w:val="21"/>
    </w:rPr>
  </w:style>
  <w:style w:type="paragraph" w:customStyle="1" w:styleId="362">
    <w:name w:val="吉奥表格正文"/>
    <w:basedOn w:val="1"/>
    <w:link w:val="361"/>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qFormat/>
    <w:locked/>
    <w:uiPriority w:val="0"/>
    <w:rPr>
      <w:rFonts w:ascii="宋体" w:hAnsi="宋体" w:cs="Arial"/>
      <w:lang w:eastAsia="en-US"/>
    </w:rPr>
  </w:style>
  <w:style w:type="paragraph" w:customStyle="1" w:styleId="364">
    <w:name w:val="+SymcPara"/>
    <w:link w:val="363"/>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qFormat/>
    <w:uiPriority w:val="0"/>
    <w:rPr>
      <w:rFonts w:ascii="宋体" w:hAnsi="宋体" w:eastAsia="仿宋_GB2312"/>
      <w:sz w:val="24"/>
      <w:lang w:val="en-US" w:eastAsia="zh-CN" w:bidi="ar-SA"/>
    </w:rPr>
  </w:style>
  <w:style w:type="character" w:customStyle="1" w:styleId="366">
    <w:name w:val="7.表小四 Char Char"/>
    <w:qFormat/>
    <w:uiPriority w:val="0"/>
    <w:rPr>
      <w:rFonts w:ascii="宋体" w:hAnsi="宋体" w:eastAsia="宋体"/>
      <w:kern w:val="2"/>
      <w:sz w:val="24"/>
      <w:szCs w:val="24"/>
      <w:lang w:val="en-US" w:eastAsia="zh-CN" w:bidi="ar-SA"/>
    </w:rPr>
  </w:style>
  <w:style w:type="character" w:customStyle="1" w:styleId="367">
    <w:name w:val="ca-16"/>
    <w:basedOn w:val="64"/>
    <w:qFormat/>
    <w:uiPriority w:val="0"/>
  </w:style>
  <w:style w:type="character" w:customStyle="1" w:styleId="368">
    <w:name w:val="正文（缩进） Char"/>
    <w:link w:val="369"/>
    <w:qFormat/>
    <w:uiPriority w:val="0"/>
    <w:rPr>
      <w:sz w:val="24"/>
      <w:szCs w:val="24"/>
    </w:rPr>
  </w:style>
  <w:style w:type="paragraph" w:customStyle="1" w:styleId="369">
    <w:name w:val="正文（缩进）"/>
    <w:basedOn w:val="1"/>
    <w:link w:val="368"/>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qFormat/>
    <w:uiPriority w:val="0"/>
    <w:rPr>
      <w:rFonts w:ascii="仿宋_GB2312" w:hAnsi="仿宋" w:eastAsia="仿宋_GB2312"/>
      <w:sz w:val="30"/>
      <w:szCs w:val="30"/>
    </w:rPr>
  </w:style>
  <w:style w:type="paragraph" w:customStyle="1" w:styleId="371">
    <w:name w:val="文档正文1"/>
    <w:basedOn w:val="1"/>
    <w:link w:val="370"/>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字符"/>
    <w:link w:val="17"/>
    <w:qFormat/>
    <w:uiPriority w:val="0"/>
    <w:rPr>
      <w:rFonts w:ascii="Calibri" w:hAnsi="Calibri" w:eastAsia="宋体" w:cs="Times New Roman"/>
      <w:szCs w:val="20"/>
    </w:rPr>
  </w:style>
  <w:style w:type="character" w:customStyle="1" w:styleId="373">
    <w:name w:val="Indent Normal Char Char"/>
    <w:qFormat/>
    <w:uiPriority w:val="0"/>
    <w:rPr>
      <w:kern w:val="2"/>
      <w:sz w:val="21"/>
      <w:lang w:bidi="ar-SA"/>
    </w:rPr>
  </w:style>
  <w:style w:type="character" w:customStyle="1" w:styleId="374">
    <w:name w:val="标题 4 Char1"/>
    <w:qFormat/>
    <w:uiPriority w:val="0"/>
    <w:rPr>
      <w:rFonts w:ascii="Cambria" w:hAnsi="Cambria" w:eastAsia="宋体" w:cs="Times New Roman"/>
      <w:b/>
      <w:bCs/>
      <w:kern w:val="2"/>
      <w:sz w:val="28"/>
      <w:szCs w:val="28"/>
    </w:rPr>
  </w:style>
  <w:style w:type="character" w:customStyle="1" w:styleId="375">
    <w:name w:val="列出段落 Char Char"/>
    <w:qFormat/>
    <w:uiPriority w:val="0"/>
    <w:rPr>
      <w:rFonts w:ascii="Calibri" w:hAnsi="Calibri" w:eastAsia="宋体"/>
      <w:kern w:val="2"/>
      <w:sz w:val="21"/>
      <w:szCs w:val="24"/>
      <w:lang w:val="en-US" w:eastAsia="zh-CN" w:bidi="ar-SA"/>
    </w:rPr>
  </w:style>
  <w:style w:type="character" w:customStyle="1" w:styleId="376">
    <w:name w:val="mark8"/>
    <w:qFormat/>
    <w:uiPriority w:val="0"/>
    <w:rPr>
      <w:b/>
      <w:bCs/>
      <w:sz w:val="21"/>
      <w:szCs w:val="21"/>
    </w:rPr>
  </w:style>
  <w:style w:type="character" w:customStyle="1" w:styleId="377">
    <w:name w:val="paragraph1 Char"/>
    <w:link w:val="378"/>
    <w:qFormat/>
    <w:uiPriority w:val="0"/>
    <w:rPr>
      <w:rFonts w:eastAsia="楷体_GB2312"/>
      <w:sz w:val="24"/>
    </w:rPr>
  </w:style>
  <w:style w:type="paragraph" w:customStyle="1" w:styleId="378">
    <w:name w:val="paragraph1"/>
    <w:basedOn w:val="1"/>
    <w:link w:val="377"/>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字符"/>
    <w:basedOn w:val="64"/>
    <w:link w:val="39"/>
    <w:qFormat/>
    <w:uiPriority w:val="99"/>
    <w:rPr>
      <w:rFonts w:ascii="Calibri" w:hAnsi="Calibri" w:eastAsia="宋体" w:cs="Times New Roman"/>
      <w:sz w:val="18"/>
      <w:szCs w:val="18"/>
    </w:rPr>
  </w:style>
  <w:style w:type="character" w:customStyle="1" w:styleId="380">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1">
    <w:name w:val="mark"/>
    <w:qFormat/>
    <w:uiPriority w:val="0"/>
    <w:rPr>
      <w:rFonts w:cs="Times New Roman"/>
    </w:rPr>
  </w:style>
  <w:style w:type="character" w:customStyle="1" w:styleId="382">
    <w:name w:val="Char Char1311"/>
    <w:qFormat/>
    <w:uiPriority w:val="0"/>
    <w:rPr>
      <w:rFonts w:ascii="Calibri" w:hAnsi="Calibri" w:eastAsia="宋体" w:cs="Times New Roman"/>
      <w:sz w:val="18"/>
      <w:szCs w:val="18"/>
    </w:rPr>
  </w:style>
  <w:style w:type="character" w:customStyle="1" w:styleId="383">
    <w:name w:val="Char2 Char"/>
    <w:qFormat/>
    <w:uiPriority w:val="0"/>
    <w:rPr>
      <w:rFonts w:ascii="Verdana" w:hAnsi="宋体" w:eastAsia="宋体" w:cs="Times New Roman"/>
      <w:sz w:val="28"/>
      <w:szCs w:val="28"/>
    </w:rPr>
  </w:style>
  <w:style w:type="character" w:customStyle="1" w:styleId="384">
    <w:name w:val="正文 首行缩进:  2 字符 Char"/>
    <w:link w:val="385"/>
    <w:qFormat/>
    <w:uiPriority w:val="0"/>
    <w:rPr>
      <w:rFonts w:cs="宋体"/>
      <w:sz w:val="24"/>
    </w:rPr>
  </w:style>
  <w:style w:type="paragraph" w:customStyle="1" w:styleId="385">
    <w:name w:val="正文 首行缩进:  2 字符"/>
    <w:basedOn w:val="1"/>
    <w:next w:val="1"/>
    <w:link w:val="384"/>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qFormat/>
    <w:uiPriority w:val="0"/>
    <w:rPr>
      <w:color w:val="999999"/>
    </w:rPr>
  </w:style>
  <w:style w:type="character" w:customStyle="1" w:styleId="387">
    <w:name w:val="Char Char411"/>
    <w:qFormat/>
    <w:uiPriority w:val="0"/>
    <w:rPr>
      <w:rFonts w:ascii="Calibri" w:hAnsi="Calibri" w:eastAsia="宋体"/>
      <w:sz w:val="18"/>
      <w:szCs w:val="18"/>
      <w:lang w:bidi="ar-SA"/>
    </w:rPr>
  </w:style>
  <w:style w:type="character" w:customStyle="1" w:styleId="388">
    <w:name w:val="华电 正文 Char Char"/>
    <w:qFormat/>
    <w:uiPriority w:val="0"/>
    <w:rPr>
      <w:rFonts w:ascii="宋体" w:hAnsi="宋体" w:eastAsia="宋体"/>
      <w:sz w:val="22"/>
      <w:lang w:bidi="ar-SA"/>
    </w:rPr>
  </w:style>
  <w:style w:type="character" w:customStyle="1" w:styleId="389">
    <w:name w:val="Char Char"/>
    <w:qFormat/>
    <w:uiPriority w:val="0"/>
    <w:rPr>
      <w:rFonts w:ascii="Arial" w:hAnsi="Arial" w:eastAsia="黑体"/>
      <w:b/>
      <w:bCs/>
      <w:kern w:val="2"/>
      <w:sz w:val="28"/>
      <w:szCs w:val="28"/>
      <w:lang w:val="en-US" w:eastAsia="zh-CN" w:bidi="ar-SA"/>
    </w:rPr>
  </w:style>
  <w:style w:type="paragraph" w:customStyle="1" w:styleId="390">
    <w:name w:val="表文字"/>
    <w:qFormat/>
    <w:uiPriority w:val="99"/>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3"/>
    <w:qFormat/>
    <w:uiPriority w:val="99"/>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qFormat/>
    <w:uiPriority w:val="99"/>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394">
    <w:name w:val="沈标题四"/>
    <w:basedOn w:val="5"/>
    <w:next w:val="1"/>
    <w:qFormat/>
    <w:uiPriority w:val="99"/>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24"/>
    <w:qFormat/>
    <w:uiPriority w:val="99"/>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qFormat/>
    <w:uiPriority w:val="99"/>
    <w:pPr>
      <w:ind w:firstLine="480" w:firstLineChars="200"/>
    </w:pPr>
  </w:style>
  <w:style w:type="paragraph" w:customStyle="1" w:styleId="397">
    <w:name w:val="正文段"/>
    <w:basedOn w:val="1"/>
    <w:qFormat/>
    <w:uiPriority w:val="99"/>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qFormat/>
    <w:uiPriority w:val="99"/>
    <w:pPr>
      <w:spacing w:line="360" w:lineRule="auto"/>
      <w:ind w:firstLine="560" w:firstLineChars="200"/>
    </w:pPr>
    <w:rPr>
      <w:rFonts w:ascii="仿宋" w:hAnsi="宋体" w:eastAsia="仿宋" w:cs="宋体"/>
      <w:sz w:val="28"/>
      <w:szCs w:val="20"/>
    </w:rPr>
  </w:style>
  <w:style w:type="paragraph" w:customStyle="1" w:styleId="399">
    <w:name w:val="msolistparagraph"/>
    <w:basedOn w:val="1"/>
    <w:qFormat/>
    <w:uiPriority w:val="99"/>
    <w:pPr>
      <w:ind w:firstLine="420" w:firstLineChars="200"/>
    </w:pPr>
  </w:style>
  <w:style w:type="paragraph" w:customStyle="1" w:styleId="400">
    <w:name w:val="15"/>
    <w:basedOn w:val="1"/>
    <w:qFormat/>
    <w:uiPriority w:val="99"/>
    <w:pPr>
      <w:widowControl/>
      <w:spacing w:line="312" w:lineRule="auto"/>
      <w:ind w:firstLine="202"/>
    </w:pPr>
    <w:rPr>
      <w:rFonts w:ascii="Times New Roman" w:hAnsi="Times New Roman"/>
      <w:kern w:val="0"/>
      <w:sz w:val="24"/>
      <w:szCs w:val="24"/>
    </w:rPr>
  </w:style>
  <w:style w:type="paragraph" w:customStyle="1" w:styleId="401">
    <w:name w:val="表格中序号"/>
    <w:basedOn w:val="1"/>
    <w:qFormat/>
    <w:uiPriority w:val="99"/>
    <w:pPr>
      <w:spacing w:line="288" w:lineRule="auto"/>
      <w:jc w:val="center"/>
    </w:pPr>
    <w:rPr>
      <w:rFonts w:ascii="新宋体" w:hAnsi="Times New Roman" w:eastAsia="新宋体"/>
      <w:sz w:val="24"/>
      <w:szCs w:val="24"/>
    </w:rPr>
  </w:style>
  <w:style w:type="paragraph" w:customStyle="1" w:styleId="402">
    <w:name w:val="xl76"/>
    <w:basedOn w:val="1"/>
    <w:qFormat/>
    <w:uiPriority w:val="99"/>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qFormat/>
    <w:uiPriority w:val="99"/>
    <w:pPr>
      <w:spacing w:afterLines="50"/>
      <w:ind w:left="720" w:hanging="432"/>
      <w:jc w:val="left"/>
    </w:pPr>
    <w:rPr>
      <w:rFonts w:ascii="宋体" w:hAnsi="Times New Roman"/>
      <w:snapToGrid w:val="0"/>
      <w:kern w:val="0"/>
      <w:szCs w:val="20"/>
    </w:rPr>
  </w:style>
  <w:style w:type="paragraph" w:customStyle="1" w:styleId="404">
    <w:name w:val="S4-I-L15-U"/>
    <w:basedOn w:val="1"/>
    <w:qFormat/>
    <w:uiPriority w:val="99"/>
    <w:pPr>
      <w:spacing w:line="360" w:lineRule="auto"/>
    </w:pPr>
    <w:rPr>
      <w:rFonts w:ascii="Times New Roman" w:hAnsi="Times New Roman"/>
      <w:b/>
      <w:i/>
      <w:sz w:val="24"/>
      <w:szCs w:val="24"/>
      <w:u w:val="single"/>
    </w:rPr>
  </w:style>
  <w:style w:type="paragraph" w:customStyle="1" w:styleId="405">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qFormat/>
    <w:uiPriority w:val="99"/>
    <w:pPr>
      <w:spacing w:after="120"/>
    </w:pPr>
    <w:rPr>
      <w:rFonts w:ascii="Times New Roman" w:hAnsi="Times New Roman"/>
      <w:sz w:val="28"/>
      <w:szCs w:val="24"/>
    </w:rPr>
  </w:style>
  <w:style w:type="paragraph" w:customStyle="1" w:styleId="407">
    <w:name w:val="xl70"/>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qFormat/>
    <w:uiPriority w:val="99"/>
    <w:pPr>
      <w:adjustRightInd w:val="0"/>
      <w:snapToGrid w:val="0"/>
      <w:spacing w:line="400" w:lineRule="atLeast"/>
      <w:ind w:firstLine="200" w:firstLineChars="200"/>
    </w:pPr>
    <w:rPr>
      <w:rFonts w:ascii="宋体" w:hAnsi="Times New Roman"/>
      <w:szCs w:val="24"/>
    </w:rPr>
  </w:style>
  <w:style w:type="paragraph" w:customStyle="1" w:styleId="409">
    <w:name w:val="tab0/2"/>
    <w:basedOn w:val="1"/>
    <w:qFormat/>
    <w:uiPriority w:val="9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qFormat/>
    <w:uiPriority w:val="99"/>
    <w:pPr>
      <w:spacing w:line="360" w:lineRule="auto"/>
      <w:jc w:val="center"/>
    </w:pPr>
    <w:rPr>
      <w:rFonts w:ascii="宋体" w:hAnsi="宋体"/>
      <w:b/>
      <w:sz w:val="24"/>
      <w:szCs w:val="24"/>
    </w:rPr>
  </w:style>
  <w:style w:type="paragraph" w:customStyle="1" w:styleId="412">
    <w:name w:val="Char"/>
    <w:basedOn w:val="1"/>
    <w:qFormat/>
    <w:uiPriority w:val="99"/>
    <w:rPr>
      <w:rFonts w:ascii="仿宋_GB2312" w:hAnsi="Times New Roman" w:eastAsia="仿宋_GB2312"/>
      <w:b/>
      <w:sz w:val="32"/>
      <w:szCs w:val="32"/>
    </w:rPr>
  </w:style>
  <w:style w:type="paragraph" w:customStyle="1" w:styleId="413">
    <w:name w:val="font11"/>
    <w:basedOn w:val="1"/>
    <w:qFormat/>
    <w:uiPriority w:val="99"/>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qFormat/>
    <w:uiPriority w:val="99"/>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qFormat/>
    <w:uiPriority w:val="99"/>
    <w:pPr>
      <w:adjustRightInd w:val="0"/>
      <w:snapToGrid w:val="0"/>
      <w:jc w:val="center"/>
    </w:pPr>
    <w:rPr>
      <w:rFonts w:ascii="宋体" w:hAnsi="宋体"/>
      <w:szCs w:val="21"/>
    </w:rPr>
  </w:style>
  <w:style w:type="paragraph" w:customStyle="1" w:styleId="416">
    <w:name w:val="正文浙江中烟安全"/>
    <w:basedOn w:val="1"/>
    <w:qFormat/>
    <w:uiPriority w:val="99"/>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qFormat/>
    <w:uiPriority w:val="99"/>
    <w:pPr>
      <w:ind w:firstLine="480" w:firstLineChars="200"/>
    </w:pPr>
  </w:style>
  <w:style w:type="paragraph" w:customStyle="1" w:styleId="420">
    <w:name w:val="样式 正文文本缩进 + 仿宋_GB2312 小四 首行缩进:  0 厘米 行距: 1.5 倍行距"/>
    <w:basedOn w:val="25"/>
    <w:qFormat/>
    <w:uiPriority w:val="99"/>
    <w:pPr>
      <w:spacing w:line="360" w:lineRule="auto"/>
      <w:ind w:firstLine="0"/>
    </w:pPr>
    <w:rPr>
      <w:rFonts w:ascii="仿宋_GB2312" w:hAnsi="Times New Roman" w:eastAsia="新宋体"/>
      <w:spacing w:val="0"/>
      <w:sz w:val="24"/>
    </w:rPr>
  </w:style>
  <w:style w:type="paragraph" w:customStyle="1" w:styleId="421">
    <w:name w:val="xl86"/>
    <w:basedOn w:val="1"/>
    <w:qFormat/>
    <w:uiPriority w:val="99"/>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6"/>
    <w:qFormat/>
    <w:uiPriority w:val="99"/>
    <w:pPr>
      <w:ind w:firstLine="562"/>
    </w:pPr>
    <w:rPr>
      <w:rFonts w:ascii="仿宋_GB2312" w:eastAsia="仿宋_GB2312"/>
      <w:b/>
      <w:sz w:val="28"/>
      <w:szCs w:val="28"/>
    </w:rPr>
  </w:style>
  <w:style w:type="paragraph" w:customStyle="1" w:styleId="423">
    <w:name w:val="图名"/>
    <w:basedOn w:val="18"/>
    <w:qFormat/>
    <w:uiPriority w:val="99"/>
    <w:pPr>
      <w:spacing w:beforeLines="50" w:afterLines="50"/>
      <w:jc w:val="center"/>
    </w:pPr>
    <w:rPr>
      <w:rFonts w:ascii="Times New Roman" w:hAnsi="Times New Roman"/>
      <w:kern w:val="0"/>
      <w:sz w:val="24"/>
      <w:szCs w:val="24"/>
    </w:rPr>
  </w:style>
  <w:style w:type="paragraph" w:styleId="424">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qFormat/>
    <w:uiPriority w:val="99"/>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qFormat/>
    <w:uiPriority w:val="99"/>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qFormat/>
    <w:uiPriority w:val="99"/>
    <w:pPr>
      <w:autoSpaceDE w:val="0"/>
      <w:autoSpaceDN w:val="0"/>
      <w:adjustRightInd w:val="0"/>
      <w:spacing w:line="360" w:lineRule="auto"/>
    </w:pPr>
    <w:rPr>
      <w:rFonts w:hint="eastAsia" w:ascii="宋体" w:hAnsi="宋体"/>
      <w:sz w:val="24"/>
      <w:szCs w:val="20"/>
    </w:rPr>
  </w:style>
  <w:style w:type="paragraph" w:customStyle="1" w:styleId="428">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qFormat/>
    <w:uiPriority w:val="99"/>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qFormat/>
    <w:uiPriority w:val="99"/>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qFormat/>
    <w:uiPriority w:val="99"/>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qFormat/>
    <w:uiPriority w:val="99"/>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18"/>
    <w:qFormat/>
    <w:uiPriority w:val="99"/>
    <w:pPr>
      <w:spacing w:beforeLines="50" w:afterLines="50"/>
      <w:jc w:val="center"/>
    </w:pPr>
    <w:rPr>
      <w:rFonts w:ascii="黑体"/>
      <w:kern w:val="0"/>
      <w:sz w:val="24"/>
      <w:szCs w:val="24"/>
    </w:rPr>
  </w:style>
  <w:style w:type="paragraph" w:customStyle="1" w:styleId="434">
    <w:name w:val="Char Char Char"/>
    <w:basedOn w:val="1"/>
    <w:qFormat/>
    <w:uiPriority w:val="99"/>
    <w:rPr>
      <w:rFonts w:ascii="Tahoma" w:hAnsi="Tahoma"/>
      <w:sz w:val="24"/>
      <w:szCs w:val="20"/>
    </w:rPr>
  </w:style>
  <w:style w:type="paragraph" w:customStyle="1" w:styleId="435">
    <w:name w:val="样式 样式 标题 4 + 段后: 0.5 行1"/>
    <w:basedOn w:val="436"/>
    <w:next w:val="36"/>
    <w:qFormat/>
    <w:uiPriority w:val="99"/>
    <w:pPr>
      <w:numPr>
        <w:ilvl w:val="1"/>
        <w:numId w:val="5"/>
      </w:numPr>
      <w:tabs>
        <w:tab w:val="left" w:pos="2040"/>
      </w:tabs>
      <w:spacing w:after="120"/>
      <w:ind w:left="0" w:firstLine="0"/>
    </w:pPr>
  </w:style>
  <w:style w:type="paragraph" w:customStyle="1" w:styleId="436">
    <w:name w:val="样式 标题 4 + 段后: 0.5 行"/>
    <w:basedOn w:val="5"/>
    <w:qFormat/>
    <w:uiPriority w:val="99"/>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3"/>
    <w:next w:val="1"/>
    <w:qFormat/>
    <w:uiPriority w:val="99"/>
    <w:pPr>
      <w:tabs>
        <w:tab w:val="left" w:pos="709"/>
      </w:tabs>
      <w:spacing w:line="360" w:lineRule="auto"/>
    </w:pPr>
    <w:rPr>
      <w:rFonts w:ascii="Times New Roman" w:hAnsi="Times New Roman"/>
      <w:kern w:val="0"/>
      <w:sz w:val="28"/>
      <w:szCs w:val="28"/>
    </w:rPr>
  </w:style>
  <w:style w:type="paragraph" w:customStyle="1" w:styleId="438">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qFormat/>
    <w:uiPriority w:val="99"/>
    <w:pPr>
      <w:ind w:left="1890" w:leftChars="900"/>
    </w:pPr>
    <w:rPr>
      <w:rFonts w:ascii="Times New Roman" w:hAnsi="Times New Roman"/>
      <w:sz w:val="24"/>
      <w:szCs w:val="24"/>
    </w:rPr>
  </w:style>
  <w:style w:type="paragraph" w:customStyle="1" w:styleId="440">
    <w:name w:val="linyang-正文"/>
    <w:basedOn w:val="1"/>
    <w:qFormat/>
    <w:uiPriority w:val="99"/>
    <w:pPr>
      <w:spacing w:before="120" w:after="120" w:line="400" w:lineRule="exact"/>
      <w:ind w:firstLine="200" w:firstLineChars="200"/>
    </w:pPr>
    <w:rPr>
      <w:rFonts w:ascii="Times New Roman" w:hAnsi="Times New Roman"/>
      <w:sz w:val="24"/>
      <w:szCs w:val="24"/>
    </w:rPr>
  </w:style>
  <w:style w:type="paragraph" w:customStyle="1" w:styleId="441">
    <w:name w:val="标题2"/>
    <w:basedOn w:val="3"/>
    <w:next w:val="4"/>
    <w:qFormat/>
    <w:uiPriority w:val="99"/>
    <w:pPr>
      <w:numPr>
        <w:ilvl w:val="1"/>
        <w:numId w:val="13"/>
      </w:numPr>
      <w:spacing w:beforeLines="100" w:afterLines="100" w:line="360" w:lineRule="auto"/>
    </w:pPr>
    <w:rPr>
      <w:rFonts w:ascii="Times New Roman" w:hAnsi="Times New Roman"/>
      <w:sz w:val="30"/>
    </w:rPr>
  </w:style>
  <w:style w:type="paragraph" w:customStyle="1" w:styleId="442">
    <w:name w:val="text"/>
    <w:basedOn w:val="1"/>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0"/>
    <w:next w:val="1"/>
    <w:qFormat/>
    <w:uiPriority w:val="99"/>
    <w:pPr>
      <w:shd w:val="clear" w:color="auto" w:fill="000080"/>
    </w:pPr>
    <w:rPr>
      <w:rFonts w:ascii="Tahoma" w:hAnsi="Tahoma" w:cs="Tahoma"/>
      <w:kern w:val="0"/>
      <w:szCs w:val="24"/>
    </w:rPr>
  </w:style>
  <w:style w:type="paragraph" w:customStyle="1" w:styleId="444">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24"/>
    <w:qFormat/>
    <w:uiPriority w:val="99"/>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qFormat/>
    <w:uiPriority w:val="99"/>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qFormat/>
    <w:uiPriority w:val="99"/>
    <w:pPr>
      <w:widowControl/>
      <w:spacing w:before="100" w:beforeAutospacing="1" w:after="100" w:afterAutospacing="1"/>
    </w:pPr>
    <w:rPr>
      <w:rFonts w:ascii="宋体" w:hAnsi="宋体" w:cs="宋体"/>
      <w:color w:val="000000"/>
      <w:kern w:val="0"/>
      <w:szCs w:val="21"/>
    </w:rPr>
  </w:style>
  <w:style w:type="paragraph" w:customStyle="1" w:styleId="451">
    <w:name w:val="S4-L15-C"/>
    <w:basedOn w:val="1"/>
    <w:qFormat/>
    <w:uiPriority w:val="99"/>
    <w:pPr>
      <w:spacing w:after="120" w:line="360" w:lineRule="auto"/>
      <w:jc w:val="center"/>
    </w:pPr>
    <w:rPr>
      <w:rFonts w:ascii="Times New Roman" w:hAnsi="Times New Roman"/>
      <w:szCs w:val="21"/>
    </w:rPr>
  </w:style>
  <w:style w:type="paragraph" w:customStyle="1" w:styleId="452">
    <w:name w:val="P2"/>
    <w:basedOn w:val="1"/>
    <w:qFormat/>
    <w:uiPriority w:val="99"/>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qFormat/>
    <w:uiPriority w:val="99"/>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1"/>
    <w:qFormat/>
    <w:uiPriority w:val="99"/>
    <w:pPr>
      <w:spacing w:beforeLines="0" w:afterLines="0" w:line="360" w:lineRule="auto"/>
    </w:pPr>
    <w:rPr>
      <w:b/>
      <w:sz w:val="30"/>
      <w:szCs w:val="20"/>
    </w:rPr>
  </w:style>
  <w:style w:type="paragraph" w:customStyle="1" w:styleId="455">
    <w:name w:val="Normal0"/>
    <w:qFormat/>
    <w:uiPriority w:val="99"/>
    <w:rPr>
      <w:rFonts w:ascii="Times New Roman" w:hAnsi="Times New Roman" w:eastAsia="宋体" w:cs="Times New Roman"/>
      <w:kern w:val="0"/>
      <w:sz w:val="20"/>
      <w:szCs w:val="20"/>
      <w:lang w:val="en-US" w:eastAsia="en-US" w:bidi="ar-SA"/>
    </w:rPr>
  </w:style>
  <w:style w:type="paragraph" w:customStyle="1" w:styleId="456">
    <w:name w:val="Char6"/>
    <w:basedOn w:val="1"/>
    <w:qFormat/>
    <w:uiPriority w:val="99"/>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4"/>
    <w:qFormat/>
    <w:uiPriority w:val="99"/>
    <w:rPr>
      <w:rFonts w:ascii="Arial" w:hAnsi="Arial"/>
      <w:sz w:val="30"/>
    </w:rPr>
  </w:style>
  <w:style w:type="paragraph" w:customStyle="1" w:styleId="458">
    <w:name w:val="书籍标题3"/>
    <w:basedOn w:val="1"/>
    <w:qFormat/>
    <w:uiPriority w:val="99"/>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qFormat/>
    <w:uiPriority w:val="99"/>
    <w:pPr>
      <w:spacing w:beforeLines="20" w:afterLines="20"/>
    </w:pPr>
    <w:rPr>
      <w:rFonts w:ascii="楷体_GB2312" w:hAnsi="宋体" w:eastAsia="楷体_GB2312" w:cs="Arial"/>
      <w:kern w:val="0"/>
      <w:sz w:val="24"/>
      <w:szCs w:val="24"/>
    </w:rPr>
  </w:style>
  <w:style w:type="paragraph" w:customStyle="1" w:styleId="460">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qFormat/>
    <w:uiPriority w:val="99"/>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qFormat/>
    <w:uiPriority w:val="99"/>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qFormat/>
    <w:uiPriority w:val="99"/>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467">
    <w:name w:val="xl1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qFormat/>
    <w:uiPriority w:val="99"/>
    <w:pPr>
      <w:ind w:firstLine="420"/>
    </w:pPr>
    <w:rPr>
      <w:rFonts w:ascii="Times New Roman" w:hAnsi="Times New Roman"/>
      <w:szCs w:val="20"/>
    </w:rPr>
  </w:style>
  <w:style w:type="paragraph" w:customStyle="1" w:styleId="469">
    <w:name w:val="pa-17"/>
    <w:basedOn w:val="1"/>
    <w:qFormat/>
    <w:uiPriority w:val="99"/>
    <w:pPr>
      <w:widowControl/>
      <w:spacing w:before="150" w:after="150"/>
      <w:jc w:val="left"/>
    </w:pPr>
    <w:rPr>
      <w:rFonts w:ascii="宋体" w:hAnsi="宋体" w:cs="宋体"/>
      <w:kern w:val="0"/>
      <w:sz w:val="24"/>
      <w:szCs w:val="24"/>
    </w:rPr>
  </w:style>
  <w:style w:type="paragraph" w:customStyle="1" w:styleId="470">
    <w:name w:val="小四 段落 宋体 Char Char"/>
    <w:basedOn w:val="1"/>
    <w:qFormat/>
    <w:uiPriority w:val="99"/>
    <w:pPr>
      <w:spacing w:line="360" w:lineRule="auto"/>
      <w:ind w:firstLine="480" w:firstLineChars="200"/>
    </w:pPr>
    <w:rPr>
      <w:rFonts w:ascii="宋体" w:hAnsi="宋体"/>
      <w:sz w:val="24"/>
      <w:szCs w:val="24"/>
    </w:rPr>
  </w:style>
  <w:style w:type="paragraph" w:customStyle="1" w:styleId="471">
    <w:name w:val="Char9"/>
    <w:basedOn w:val="1"/>
    <w:qFormat/>
    <w:uiPriority w:val="99"/>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7"/>
    <w:qFormat/>
    <w:uiPriority w:val="99"/>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1"/>
    <w:next w:val="21"/>
    <w:qFormat/>
    <w:uiPriority w:val="99"/>
    <w:rPr>
      <w:b/>
      <w:bCs/>
      <w:kern w:val="0"/>
      <w:sz w:val="20"/>
      <w:szCs w:val="20"/>
    </w:rPr>
  </w:style>
  <w:style w:type="paragraph" w:customStyle="1" w:styleId="474">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qFormat/>
    <w:uiPriority w:val="99"/>
    <w:pPr>
      <w:tabs>
        <w:tab w:val="left" w:pos="1140"/>
      </w:tabs>
      <w:spacing w:after="120"/>
    </w:pPr>
    <w:rPr>
      <w:bCs/>
    </w:rPr>
  </w:style>
  <w:style w:type="paragraph" w:customStyle="1" w:styleId="476">
    <w:name w:val="样式 标题1"/>
    <w:basedOn w:val="477"/>
    <w:next w:val="478"/>
    <w:qFormat/>
    <w:uiPriority w:val="99"/>
    <w:pPr>
      <w:tabs>
        <w:tab w:val="left" w:pos="1140"/>
      </w:tabs>
      <w:spacing w:after="50"/>
      <w:ind w:left="1140" w:hanging="720"/>
    </w:pPr>
    <w:rPr>
      <w:bCs w:val="0"/>
      <w:sz w:val="32"/>
    </w:rPr>
  </w:style>
  <w:style w:type="paragraph" w:customStyle="1" w:styleId="477">
    <w:name w:val="样式 标题 1 + 段后: 0.5 行"/>
    <w:basedOn w:val="2"/>
    <w:qFormat/>
    <w:uiPriority w:val="99"/>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qFormat/>
    <w:uiPriority w:val="99"/>
    <w:pPr>
      <w:spacing w:after="120"/>
    </w:pPr>
  </w:style>
  <w:style w:type="paragraph" w:customStyle="1" w:styleId="479">
    <w:name w:val="样式 标题 2"/>
    <w:basedOn w:val="3"/>
    <w:next w:val="480"/>
    <w:qFormat/>
    <w:uiPriority w:val="99"/>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qFormat/>
    <w:uiPriority w:val="0"/>
    <w:pPr>
      <w:spacing w:after="120"/>
    </w:pPr>
  </w:style>
  <w:style w:type="paragraph" w:customStyle="1" w:styleId="481">
    <w:name w:val="样式 标题 3"/>
    <w:basedOn w:val="4"/>
    <w:next w:val="482"/>
    <w:qFormat/>
    <w:uiPriority w:val="99"/>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qFormat/>
    <w:uiPriority w:val="0"/>
    <w:pPr>
      <w:tabs>
        <w:tab w:val="left" w:pos="864"/>
        <w:tab w:val="left" w:pos="2040"/>
        <w:tab w:val="left" w:pos="2100"/>
      </w:tabs>
      <w:spacing w:after="120"/>
      <w:ind w:left="0" w:firstLine="0"/>
    </w:pPr>
  </w:style>
  <w:style w:type="paragraph" w:customStyle="1" w:styleId="483">
    <w:name w:val="样式 标题 4"/>
    <w:basedOn w:val="484"/>
    <w:next w:val="485"/>
    <w:qFormat/>
    <w:uiPriority w:val="99"/>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qFormat/>
    <w:uiPriority w:val="99"/>
    <w:pPr>
      <w:numPr>
        <w:numId w:val="0"/>
      </w:numPr>
      <w:tabs>
        <w:tab w:val="left" w:pos="864"/>
      </w:tabs>
      <w:spacing w:after="120"/>
      <w:ind w:left="864" w:hanging="864"/>
    </w:pPr>
  </w:style>
  <w:style w:type="paragraph" w:customStyle="1" w:styleId="485">
    <w:name w:val="样式 正文"/>
    <w:basedOn w:val="1"/>
    <w:next w:val="1"/>
    <w:qFormat/>
    <w:uiPriority w:val="99"/>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qFormat/>
    <w:uiPriority w:val="99"/>
    <w:pPr>
      <w:autoSpaceDE w:val="0"/>
      <w:autoSpaceDN w:val="0"/>
      <w:adjustRightInd w:val="0"/>
      <w:jc w:val="left"/>
    </w:pPr>
    <w:rPr>
      <w:rFonts w:ascii="Times New Roman" w:hAnsi="Times New Roman"/>
      <w:kern w:val="0"/>
      <w:sz w:val="24"/>
      <w:szCs w:val="20"/>
    </w:rPr>
  </w:style>
  <w:style w:type="paragraph" w:customStyle="1" w:styleId="487">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2"/>
    <w:qFormat/>
    <w:uiPriority w:val="99"/>
    <w:pPr>
      <w:keepNext/>
      <w:keepLines/>
      <w:autoSpaceDE/>
      <w:autoSpaceDN/>
      <w:adjustRightInd/>
      <w:spacing w:after="120"/>
      <w:jc w:val="both"/>
    </w:pPr>
    <w:rPr>
      <w:rFonts w:ascii="黑体" w:eastAsia="黑体" w:cs="宋体"/>
      <w:kern w:val="44"/>
    </w:rPr>
  </w:style>
  <w:style w:type="paragraph" w:customStyle="1" w:styleId="489">
    <w:name w:val="Paragraph1"/>
    <w:basedOn w:val="1"/>
    <w:qFormat/>
    <w:uiPriority w:val="99"/>
    <w:pPr>
      <w:spacing w:before="80" w:afterLines="50"/>
    </w:pPr>
    <w:rPr>
      <w:rFonts w:ascii="宋体" w:hAnsi="Times New Roman"/>
      <w:snapToGrid w:val="0"/>
      <w:kern w:val="0"/>
      <w:szCs w:val="20"/>
    </w:rPr>
  </w:style>
  <w:style w:type="paragraph" w:customStyle="1" w:styleId="490">
    <w:name w:val="4"/>
    <w:basedOn w:val="1"/>
    <w:qFormat/>
    <w:uiPriority w:val="99"/>
  </w:style>
  <w:style w:type="paragraph" w:customStyle="1" w:styleId="491">
    <w:name w:val="ZJGIS-一级标题"/>
    <w:basedOn w:val="2"/>
    <w:qFormat/>
    <w:uiPriority w:val="99"/>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qFormat/>
    <w:uiPriority w:val="99"/>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qFormat/>
    <w:uiPriority w:val="99"/>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7">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9">
    <w:name w:val="Char4"/>
    <w:basedOn w:val="1"/>
    <w:qFormat/>
    <w:uiPriority w:val="99"/>
    <w:pPr>
      <w:tabs>
        <w:tab w:val="left" w:pos="432"/>
      </w:tabs>
      <w:ind w:left="432" w:hanging="432"/>
    </w:pPr>
    <w:rPr>
      <w:rFonts w:ascii="Times New Roman" w:hAnsi="Times New Roman"/>
      <w:sz w:val="24"/>
      <w:szCs w:val="24"/>
    </w:rPr>
  </w:style>
  <w:style w:type="paragraph" w:customStyle="1" w:styleId="500">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qFormat/>
    <w:uiPriority w:val="99"/>
    <w:pPr>
      <w:spacing w:beforeLines="50" w:after="120" w:line="300" w:lineRule="auto"/>
      <w:ind w:firstLine="480"/>
    </w:pPr>
    <w:rPr>
      <w:rFonts w:ascii="Helvetica" w:hAnsi="Helvetica"/>
      <w:kern w:val="0"/>
      <w:sz w:val="24"/>
      <w:szCs w:val="24"/>
    </w:rPr>
  </w:style>
  <w:style w:type="paragraph" w:customStyle="1" w:styleId="502">
    <w:name w:val="xl9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qFormat/>
    <w:uiPriority w:val="99"/>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qFormat/>
    <w:uiPriority w:val="99"/>
    <w:pPr>
      <w:widowControl/>
      <w:spacing w:before="360" w:after="360"/>
      <w:jc w:val="center"/>
    </w:pPr>
    <w:rPr>
      <w:rFonts w:ascii="宋体" w:hAnsi="宋体" w:cs="宋体"/>
      <w:kern w:val="0"/>
      <w:sz w:val="24"/>
      <w:szCs w:val="24"/>
    </w:rPr>
  </w:style>
  <w:style w:type="paragraph" w:customStyle="1" w:styleId="506">
    <w:name w:val="pbullet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qFormat/>
    <w:uiPriority w:val="99"/>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qFormat/>
    <w:uiPriority w:val="99"/>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qFormat/>
    <w:uiPriority w:val="99"/>
    <w:pPr>
      <w:adjustRightInd w:val="0"/>
      <w:spacing w:line="360" w:lineRule="atLeast"/>
      <w:textAlignment w:val="baseline"/>
    </w:pPr>
    <w:rPr>
      <w:rFonts w:ascii="Tahoma" w:hAnsi="Tahoma"/>
      <w:sz w:val="24"/>
      <w:szCs w:val="20"/>
    </w:rPr>
  </w:style>
  <w:style w:type="paragraph" w:customStyle="1" w:styleId="513">
    <w:name w:val="圆点"/>
    <w:basedOn w:val="1"/>
    <w:qFormat/>
    <w:uiPriority w:val="99"/>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qFormat/>
    <w:uiPriority w:val="99"/>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qFormat/>
    <w:uiPriority w:val="99"/>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2"/>
    <w:qFormat/>
    <w:uiPriority w:val="99"/>
    <w:pPr>
      <w:keepNext/>
      <w:keepLines/>
      <w:autoSpaceDE/>
      <w:autoSpaceDN/>
      <w:adjustRightInd/>
      <w:spacing w:line="480" w:lineRule="auto"/>
      <w:jc w:val="both"/>
    </w:pPr>
    <w:rPr>
      <w:rFonts w:eastAsia="宋体"/>
      <w:kern w:val="44"/>
      <w:sz w:val="21"/>
      <w:szCs w:val="44"/>
    </w:rPr>
  </w:style>
  <w:style w:type="paragraph" w:customStyle="1" w:styleId="517">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qFormat/>
    <w:uiPriority w:val="99"/>
    <w:rPr>
      <w:rFonts w:ascii="仿宋_GB2312" w:hAnsi="Times New Roman" w:eastAsia="仿宋_GB2312"/>
      <w:b/>
      <w:sz w:val="32"/>
      <w:szCs w:val="32"/>
    </w:rPr>
  </w:style>
  <w:style w:type="paragraph" w:customStyle="1" w:styleId="519">
    <w:name w:val="样式6"/>
    <w:basedOn w:val="1"/>
    <w:qFormat/>
    <w:uiPriority w:val="99"/>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7"/>
    <w:qFormat/>
    <w:uiPriority w:val="99"/>
    <w:pPr>
      <w:spacing w:after="60"/>
      <w:ind w:left="420" w:firstLine="200" w:firstLineChars="200"/>
    </w:pPr>
    <w:rPr>
      <w:rFonts w:ascii="Times New Roman" w:hAnsi="Times New Roman"/>
      <w:szCs w:val="24"/>
    </w:rPr>
  </w:style>
  <w:style w:type="paragraph" w:customStyle="1" w:styleId="521">
    <w:name w:val="xl114"/>
    <w:basedOn w:val="1"/>
    <w:qFormat/>
    <w:uiPriority w:val="99"/>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qFormat/>
    <w:uiPriority w:val="99"/>
    <w:pPr>
      <w:numPr>
        <w:ilvl w:val="0"/>
        <w:numId w:val="14"/>
      </w:numPr>
      <w:spacing w:line="400" w:lineRule="exact"/>
    </w:pPr>
    <w:rPr>
      <w:rFonts w:ascii="Arial" w:hAnsi="Arial"/>
      <w:szCs w:val="24"/>
    </w:rPr>
  </w:style>
  <w:style w:type="paragraph" w:customStyle="1" w:styleId="523">
    <w:name w:val="GP有序编号2级"/>
    <w:basedOn w:val="1"/>
    <w:qFormat/>
    <w:uiPriority w:val="99"/>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qFormat/>
    <w:uiPriority w:val="99"/>
    <w:pPr>
      <w:spacing w:after="120"/>
    </w:pPr>
  </w:style>
  <w:style w:type="paragraph" w:customStyle="1" w:styleId="526">
    <w:name w:val="标题 3Chapter X.X.X. + 段后: 0.5 行 + 段后: 0.5 行 + 段后: 0.5 行1"/>
    <w:basedOn w:val="527"/>
    <w:qFormat/>
    <w:uiPriority w:val="99"/>
  </w:style>
  <w:style w:type="paragraph" w:customStyle="1" w:styleId="527">
    <w:name w:val="样式 样式 标题 3Chapter X.X.X. + 段后: 0.5 行 + 段后: 0.5 行"/>
    <w:basedOn w:val="528"/>
    <w:qFormat/>
    <w:uiPriority w:val="99"/>
  </w:style>
  <w:style w:type="paragraph" w:customStyle="1" w:styleId="528">
    <w:name w:val="样式 标题 3Chapter X.X.X. + 段后: 0.5 行"/>
    <w:basedOn w:val="4"/>
    <w:qFormat/>
    <w:uiPriority w:val="99"/>
    <w:pPr>
      <w:keepLines w:val="0"/>
      <w:spacing w:before="120" w:afterLines="50" w:line="240" w:lineRule="auto"/>
      <w:jc w:val="left"/>
    </w:pPr>
    <w:rPr>
      <w:rFonts w:ascii="宋体" w:cs="宋体"/>
      <w:snapToGrid w:val="0"/>
      <w:kern w:val="0"/>
      <w:sz w:val="24"/>
      <w:szCs w:val="20"/>
    </w:rPr>
  </w:style>
  <w:style w:type="paragraph" w:customStyle="1" w:styleId="529">
    <w:name w:val="xl63"/>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qFormat/>
    <w:uiPriority w:val="99"/>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qFormat/>
    <w:uiPriority w:val="99"/>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qFormat/>
    <w:uiPriority w:val="99"/>
    <w:pPr>
      <w:tabs>
        <w:tab w:val="left" w:pos="720"/>
      </w:tabs>
      <w:ind w:hanging="720"/>
    </w:pPr>
  </w:style>
  <w:style w:type="paragraph" w:customStyle="1" w:styleId="535">
    <w:name w:val="S4-L15"/>
    <w:basedOn w:val="1"/>
    <w:qFormat/>
    <w:uiPriority w:val="99"/>
    <w:pPr>
      <w:spacing w:after="120" w:line="360" w:lineRule="auto"/>
      <w:ind w:left="720" w:firstLine="392"/>
    </w:pPr>
    <w:rPr>
      <w:rFonts w:ascii="Times New Roman" w:hAnsi="Times New Roman"/>
      <w:szCs w:val="21"/>
      <w:lang w:val="fr-FR"/>
    </w:rPr>
  </w:style>
  <w:style w:type="paragraph" w:customStyle="1" w:styleId="536">
    <w:name w:val="a1"/>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5"/>
    <w:next w:val="1"/>
    <w:qFormat/>
    <w:uiPriority w:val="99"/>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qFormat/>
    <w:uiPriority w:val="99"/>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qFormat/>
    <w:uiPriority w:val="99"/>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qFormat/>
    <w:uiPriority w:val="99"/>
    <w:pPr>
      <w:tabs>
        <w:tab w:val="left" w:pos="432"/>
      </w:tabs>
      <w:ind w:left="432" w:hanging="432"/>
    </w:pPr>
    <w:rPr>
      <w:rFonts w:ascii="Tahoma" w:hAnsi="Tahoma"/>
      <w:sz w:val="24"/>
      <w:szCs w:val="20"/>
    </w:rPr>
  </w:style>
  <w:style w:type="paragraph" w:customStyle="1" w:styleId="542">
    <w:name w:val="Bullet2"/>
    <w:basedOn w:val="1"/>
    <w:qFormat/>
    <w:uiPriority w:val="99"/>
    <w:pPr>
      <w:spacing w:afterLines="50"/>
      <w:ind w:left="1440" w:hanging="360"/>
      <w:jc w:val="left"/>
    </w:pPr>
    <w:rPr>
      <w:rFonts w:ascii="宋体" w:hAnsi="Times New Roman"/>
      <w:snapToGrid w:val="0"/>
      <w:color w:val="000080"/>
      <w:kern w:val="0"/>
      <w:szCs w:val="20"/>
    </w:rPr>
  </w:style>
  <w:style w:type="paragraph" w:customStyle="1" w:styleId="543">
    <w:name w:val="样式"/>
    <w:basedOn w:val="1"/>
    <w:qFormat/>
    <w:uiPriority w:val="99"/>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qFormat/>
    <w:uiPriority w:val="99"/>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qFormat/>
    <w:uiPriority w:val="99"/>
    <w:pPr>
      <w:spacing w:line="360" w:lineRule="auto"/>
      <w:ind w:firstLine="480" w:firstLineChars="200"/>
    </w:pPr>
    <w:rPr>
      <w:rFonts w:ascii="宋体" w:hAnsi="宋体" w:cs="宋体"/>
      <w:sz w:val="24"/>
      <w:szCs w:val="20"/>
    </w:rPr>
  </w:style>
  <w:style w:type="paragraph" w:customStyle="1" w:styleId="546">
    <w:name w:val="文本框内文字"/>
    <w:basedOn w:val="1"/>
    <w:qFormat/>
    <w:uiPriority w:val="99"/>
    <w:pPr>
      <w:spacing w:line="0" w:lineRule="atLeast"/>
    </w:pPr>
    <w:rPr>
      <w:rFonts w:ascii="Times New Roman" w:hAnsi="Times New Roman" w:eastAsia="仿宋_GB2312"/>
      <w:sz w:val="22"/>
      <w:szCs w:val="24"/>
    </w:rPr>
  </w:style>
  <w:style w:type="paragraph" w:customStyle="1" w:styleId="547">
    <w:name w:val="Char3"/>
    <w:basedOn w:val="1"/>
    <w:qFormat/>
    <w:uiPriority w:val="99"/>
    <w:rPr>
      <w:rFonts w:ascii="仿宋_GB2312" w:hAnsi="Times New Roman" w:eastAsia="仿宋_GB2312"/>
      <w:b/>
      <w:sz w:val="32"/>
      <w:szCs w:val="20"/>
    </w:rPr>
  </w:style>
  <w:style w:type="paragraph" w:customStyle="1" w:styleId="548">
    <w:name w:val="此正文"/>
    <w:basedOn w:val="1"/>
    <w:qFormat/>
    <w:uiPriority w:val="99"/>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550">
    <w:name w:val="_Style 13"/>
    <w:basedOn w:val="1"/>
    <w:qFormat/>
    <w:uiPriority w:val="99"/>
    <w:pPr>
      <w:tabs>
        <w:tab w:val="left" w:pos="360"/>
      </w:tabs>
      <w:ind w:firstLine="420" w:firstLineChars="150"/>
    </w:pPr>
    <w:rPr>
      <w:rFonts w:ascii="Times New Roman" w:hAnsi="Times New Roman"/>
      <w:szCs w:val="20"/>
    </w:rPr>
  </w:style>
  <w:style w:type="paragraph" w:customStyle="1" w:styleId="551">
    <w:name w:val="Bullet 2"/>
    <w:basedOn w:val="24"/>
    <w:qFormat/>
    <w:uiPriority w:val="99"/>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qFormat/>
    <w:uiPriority w:val="99"/>
    <w:pPr>
      <w:adjustRightInd w:val="0"/>
      <w:spacing w:line="360" w:lineRule="auto"/>
    </w:pPr>
    <w:rPr>
      <w:rFonts w:ascii="Times New Roman" w:hAnsi="Times New Roman"/>
      <w:kern w:val="0"/>
      <w:sz w:val="24"/>
      <w:szCs w:val="20"/>
    </w:rPr>
  </w:style>
  <w:style w:type="paragraph" w:customStyle="1" w:styleId="553">
    <w:name w:val="contentartic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qFormat/>
    <w:uiPriority w:val="99"/>
    <w:pPr>
      <w:keepNext/>
      <w:widowControl/>
      <w:spacing w:before="80" w:after="80"/>
      <w:jc w:val="center"/>
    </w:pPr>
    <w:rPr>
      <w:rFonts w:ascii="Times New Roman" w:hAnsi="Times New Roman"/>
      <w:szCs w:val="20"/>
    </w:rPr>
  </w:style>
  <w:style w:type="paragraph" w:customStyle="1" w:styleId="556">
    <w:name w:val="Char Char1 Char111"/>
    <w:basedOn w:val="1"/>
    <w:qFormat/>
    <w:uiPriority w:val="99"/>
    <w:rPr>
      <w:rFonts w:ascii="仿宋_GB2312" w:hAnsi="Times New Roman" w:eastAsia="仿宋_GB2312"/>
      <w:b/>
      <w:sz w:val="32"/>
      <w:szCs w:val="32"/>
    </w:rPr>
  </w:style>
  <w:style w:type="paragraph" w:customStyle="1" w:styleId="557">
    <w:name w:val="xl73"/>
    <w:basedOn w:val="1"/>
    <w:qFormat/>
    <w:uiPriority w:val="99"/>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qFormat/>
    <w:uiPriority w:val="99"/>
    <w:rPr>
      <w:rFonts w:ascii="Tahoma" w:hAnsi="Tahoma"/>
      <w:sz w:val="24"/>
      <w:szCs w:val="20"/>
    </w:rPr>
  </w:style>
  <w:style w:type="paragraph" w:customStyle="1" w:styleId="559">
    <w:name w:val="页面边线"/>
    <w:basedOn w:val="1"/>
    <w:qFormat/>
    <w:uiPriority w:val="99"/>
    <w:pPr>
      <w:adjustRightInd w:val="0"/>
      <w:spacing w:line="360" w:lineRule="atLeast"/>
      <w:textAlignment w:val="baseline"/>
    </w:pPr>
    <w:rPr>
      <w:rFonts w:ascii="Century" w:hAnsi="Century"/>
      <w:kern w:val="0"/>
      <w:szCs w:val="20"/>
      <w:lang w:eastAsia="ja-JP"/>
    </w:rPr>
  </w:style>
  <w:style w:type="paragraph" w:customStyle="1" w:styleId="560">
    <w:name w:val="样式2"/>
    <w:basedOn w:val="3"/>
    <w:qFormat/>
    <w:uiPriority w:val="99"/>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qFormat/>
    <w:uiPriority w:val="99"/>
    <w:pPr>
      <w:wordWrap w:val="0"/>
      <w:spacing w:before="120" w:line="320" w:lineRule="exact"/>
      <w:ind w:firstLine="200" w:firstLineChars="200"/>
    </w:pPr>
    <w:rPr>
      <w:rFonts w:ascii="Arial" w:hAnsi="Arial"/>
      <w:szCs w:val="20"/>
    </w:rPr>
  </w:style>
  <w:style w:type="paragraph" w:customStyle="1" w:styleId="563">
    <w:name w:val="_Style 118"/>
    <w:basedOn w:val="1"/>
    <w:qFormat/>
    <w:uiPriority w:val="99"/>
  </w:style>
  <w:style w:type="paragraph" w:customStyle="1" w:styleId="564">
    <w:name w:val="标准有序列表（L1）"/>
    <w:basedOn w:val="17"/>
    <w:qFormat/>
    <w:uiPriority w:val="99"/>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qFormat/>
    <w:uiPriority w:val="99"/>
    <w:pPr>
      <w:jc w:val="center"/>
    </w:pPr>
    <w:rPr>
      <w:rFonts w:ascii="Times New Roman" w:hAnsi="Times New Roman" w:eastAsia="幼圆" w:cs="宋体"/>
      <w:b/>
      <w:sz w:val="28"/>
      <w:szCs w:val="28"/>
    </w:rPr>
  </w:style>
  <w:style w:type="paragraph" w:customStyle="1" w:styleId="566">
    <w:name w:val="_Style 11811"/>
    <w:basedOn w:val="1"/>
    <w:qFormat/>
    <w:uiPriority w:val="99"/>
  </w:style>
  <w:style w:type="paragraph" w:customStyle="1" w:styleId="567">
    <w:name w:val="Char Char Char Char Char Char Char Char"/>
    <w:basedOn w:val="1"/>
    <w:qFormat/>
    <w:uiPriority w:val="99"/>
    <w:pPr>
      <w:tabs>
        <w:tab w:val="left" w:pos="360"/>
      </w:tabs>
    </w:pPr>
    <w:rPr>
      <w:rFonts w:ascii="Times New Roman" w:hAnsi="Times New Roman"/>
      <w:sz w:val="24"/>
      <w:szCs w:val="24"/>
    </w:rPr>
  </w:style>
  <w:style w:type="paragraph" w:customStyle="1" w:styleId="568">
    <w:name w:val="xl66"/>
    <w:basedOn w:val="1"/>
    <w:qFormat/>
    <w:uiPriority w:val="99"/>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qFormat/>
    <w:uiPriority w:val="99"/>
    <w:rPr>
      <w:rFonts w:ascii="Times New Roman" w:hAnsi="Times New Roman" w:eastAsia="仿宋_GB2312" w:cs="宋体"/>
      <w:sz w:val="24"/>
      <w:szCs w:val="20"/>
    </w:rPr>
  </w:style>
  <w:style w:type="paragraph" w:customStyle="1" w:styleId="570">
    <w:name w:val="样式 小四 行距: 1.5 倍行距 首行缩进:  2 字符"/>
    <w:basedOn w:val="1"/>
    <w:qFormat/>
    <w:uiPriority w:val="99"/>
    <w:pPr>
      <w:spacing w:line="360" w:lineRule="auto"/>
      <w:ind w:firstLine="480" w:firstLineChars="200"/>
    </w:pPr>
    <w:rPr>
      <w:rFonts w:ascii="Times New Roman" w:hAnsi="Times New Roman" w:cs="宋体"/>
      <w:sz w:val="24"/>
      <w:szCs w:val="20"/>
    </w:rPr>
  </w:style>
  <w:style w:type="paragraph" w:customStyle="1" w:styleId="571">
    <w:name w:val="表内文字"/>
    <w:basedOn w:val="1"/>
    <w:qFormat/>
    <w:uiPriority w:val="99"/>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qFormat/>
    <w:uiPriority w:val="99"/>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qFormat/>
    <w:uiPriority w:val="99"/>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qFormat/>
    <w:uiPriority w:val="99"/>
    <w:pPr>
      <w:ind w:firstLine="420" w:firstLineChars="200"/>
    </w:pPr>
    <w:rPr>
      <w:szCs w:val="24"/>
    </w:rPr>
  </w:style>
  <w:style w:type="paragraph" w:customStyle="1" w:styleId="576">
    <w:name w:val="样式 标题 2 + 五号"/>
    <w:basedOn w:val="3"/>
    <w:qFormat/>
    <w:uiPriority w:val="99"/>
    <w:pPr>
      <w:spacing w:before="0" w:after="0" w:line="240" w:lineRule="auto"/>
    </w:pPr>
    <w:rPr>
      <w:rFonts w:ascii="宋体" w:hAnsi="宋体" w:eastAsia="宋体"/>
      <w:sz w:val="21"/>
    </w:rPr>
  </w:style>
  <w:style w:type="paragraph" w:customStyle="1" w:styleId="577">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7"/>
    <w:qFormat/>
    <w:uiPriority w:val="99"/>
    <w:pPr>
      <w:spacing w:line="360" w:lineRule="auto"/>
    </w:pPr>
    <w:rPr>
      <w:sz w:val="24"/>
      <w:szCs w:val="24"/>
    </w:rPr>
  </w:style>
  <w:style w:type="paragraph" w:customStyle="1" w:styleId="579">
    <w:name w:val="Style-正文"/>
    <w:basedOn w:val="1"/>
    <w:qFormat/>
    <w:uiPriority w:val="99"/>
    <w:pPr>
      <w:spacing w:line="360" w:lineRule="auto"/>
      <w:ind w:firstLine="420"/>
    </w:pPr>
    <w:rPr>
      <w:rFonts w:ascii="宋体" w:hAnsi="宋体"/>
      <w:sz w:val="24"/>
      <w:szCs w:val="24"/>
    </w:rPr>
  </w:style>
  <w:style w:type="paragraph" w:customStyle="1" w:styleId="580">
    <w:name w:val="金保文档标准正文 Char"/>
    <w:basedOn w:val="1"/>
    <w:qFormat/>
    <w:uiPriority w:val="99"/>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2"/>
    <w:qFormat/>
    <w:uiPriority w:val="99"/>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qFormat/>
    <w:uiPriority w:val="99"/>
    <w:rPr>
      <w:rFonts w:ascii="Times New Roman" w:hAnsi="Times New Roman"/>
      <w:szCs w:val="24"/>
    </w:rPr>
  </w:style>
  <w:style w:type="paragraph" w:customStyle="1" w:styleId="583">
    <w:name w:val="样式 标题 1 + 五号"/>
    <w:basedOn w:val="2"/>
    <w:qFormat/>
    <w:uiPriority w:val="99"/>
    <w:pPr>
      <w:keepNext/>
      <w:keepLines/>
      <w:autoSpaceDE/>
      <w:autoSpaceDN/>
      <w:adjustRightInd/>
      <w:spacing w:line="240" w:lineRule="auto"/>
    </w:pPr>
    <w:rPr>
      <w:rFonts w:eastAsia="宋体"/>
      <w:kern w:val="44"/>
      <w:sz w:val="32"/>
      <w:szCs w:val="32"/>
    </w:rPr>
  </w:style>
  <w:style w:type="paragraph" w:customStyle="1" w:styleId="584">
    <w:name w:val="xl119"/>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qFormat/>
    <w:uiPriority w:val="99"/>
    <w:rPr>
      <w:rFonts w:ascii="宋体" w:hAnsi="Courier New"/>
      <w:szCs w:val="20"/>
    </w:rPr>
  </w:style>
  <w:style w:type="paragraph" w:customStyle="1" w:styleId="586">
    <w:name w:val="S4-I-U-L15-No-dot"/>
    <w:basedOn w:val="1"/>
    <w:qFormat/>
    <w:uiPriority w:val="99"/>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qFormat/>
    <w:uiPriority w:val="99"/>
    <w:rPr>
      <w:rFonts w:ascii="Tahoma" w:hAnsi="Tahoma"/>
      <w:sz w:val="24"/>
      <w:szCs w:val="20"/>
    </w:rPr>
  </w:style>
  <w:style w:type="paragraph" w:customStyle="1" w:styleId="590">
    <w:name w:val="样式 样式3 + 宋体 五号 Char Char Char"/>
    <w:basedOn w:val="1"/>
    <w:qFormat/>
    <w:uiPriority w:val="99"/>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qFormat/>
    <w:uiPriority w:val="99"/>
    <w:pPr>
      <w:spacing w:after="120"/>
    </w:pPr>
  </w:style>
  <w:style w:type="paragraph" w:customStyle="1" w:styleId="592">
    <w:name w:val="样式 标题 2 + 宋体 小四 段前: 0 磅 段后: 0 磅 行距: 1.5 倍行距"/>
    <w:basedOn w:val="3"/>
    <w:qFormat/>
    <w:uiPriority w:val="99"/>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qFormat/>
    <w:uiPriority w:val="99"/>
    <w:pPr>
      <w:widowControl/>
      <w:spacing w:after="160" w:line="240" w:lineRule="exact"/>
      <w:jc w:val="left"/>
    </w:pPr>
    <w:rPr>
      <w:rFonts w:ascii="Times New Roman" w:hAnsi="Times New Roman"/>
      <w:szCs w:val="20"/>
    </w:rPr>
  </w:style>
  <w:style w:type="paragraph" w:customStyle="1" w:styleId="594">
    <w:name w:val="二级标题"/>
    <w:basedOn w:val="3"/>
    <w:qFormat/>
    <w:uiPriority w:val="99"/>
    <w:pPr>
      <w:tabs>
        <w:tab w:val="left" w:pos="1116"/>
      </w:tabs>
      <w:ind w:left="1116" w:hanging="576"/>
    </w:pPr>
    <w:rPr>
      <w:rFonts w:ascii="黑体" w:hAnsi="Cambria"/>
      <w:kern w:val="0"/>
    </w:rPr>
  </w:style>
  <w:style w:type="paragraph" w:customStyle="1" w:styleId="595">
    <w:name w:val="文档结构图1"/>
    <w:basedOn w:val="1"/>
    <w:qFormat/>
    <w:uiPriority w:val="99"/>
    <w:rPr>
      <w:rFonts w:ascii="宋体"/>
      <w:kern w:val="0"/>
      <w:sz w:val="18"/>
      <w:szCs w:val="18"/>
    </w:rPr>
  </w:style>
  <w:style w:type="paragraph" w:customStyle="1" w:styleId="596">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qFormat/>
    <w:uiPriority w:val="99"/>
    <w:pPr>
      <w:tabs>
        <w:tab w:val="left" w:pos="432"/>
      </w:tabs>
      <w:ind w:left="432" w:hanging="432"/>
    </w:pPr>
    <w:rPr>
      <w:rFonts w:ascii="Tahoma" w:hAnsi="Tahoma"/>
      <w:sz w:val="24"/>
      <w:szCs w:val="20"/>
    </w:rPr>
  </w:style>
  <w:style w:type="paragraph" w:customStyle="1" w:styleId="598">
    <w:name w:val="正文文本 New New"/>
    <w:basedOn w:val="524"/>
    <w:qFormat/>
    <w:uiPriority w:val="99"/>
    <w:pPr>
      <w:spacing w:after="120"/>
    </w:pPr>
    <w:rPr>
      <w:sz w:val="28"/>
      <w:szCs w:val="24"/>
    </w:rPr>
  </w:style>
  <w:style w:type="paragraph" w:customStyle="1" w:styleId="599">
    <w:name w:val="xl11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qFormat/>
    <w:uiPriority w:val="99"/>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qFormat/>
    <w:uiPriority w:val="99"/>
    <w:rPr>
      <w:rFonts w:ascii="宋体" w:hAnsi="宋体" w:eastAsia="宋体" w:cs="Times New Roman"/>
      <w:kern w:val="0"/>
      <w:sz w:val="24"/>
      <w:szCs w:val="20"/>
      <w:lang w:val="zh-CN" w:eastAsia="zh-CN" w:bidi="ar-SA"/>
    </w:rPr>
  </w:style>
  <w:style w:type="paragraph" w:customStyle="1" w:styleId="603">
    <w:name w:val="SZF表"/>
    <w:basedOn w:val="604"/>
    <w:qFormat/>
    <w:uiPriority w:val="99"/>
    <w:rPr>
      <w:rFonts w:ascii="宋体" w:hAnsi="宋体"/>
      <w:bCs/>
      <w:szCs w:val="21"/>
    </w:rPr>
  </w:style>
  <w:style w:type="paragraph" w:customStyle="1" w:styleId="604">
    <w:name w:val="SZF图"/>
    <w:basedOn w:val="1"/>
    <w:qFormat/>
    <w:uiPriority w:val="99"/>
    <w:pPr>
      <w:spacing w:beforeLines="50" w:afterLines="50" w:line="360" w:lineRule="auto"/>
      <w:jc w:val="center"/>
    </w:pPr>
    <w:rPr>
      <w:rFonts w:ascii="Times New Roman" w:hAnsi="Times New Roman"/>
      <w:b/>
      <w:szCs w:val="24"/>
    </w:rPr>
  </w:style>
  <w:style w:type="paragraph" w:customStyle="1" w:styleId="605">
    <w:name w:val="Figure Description"/>
    <w:next w:val="1"/>
    <w:qFormat/>
    <w:uiPriority w:val="99"/>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qFormat/>
    <w:uiPriority w:val="99"/>
    <w:rPr>
      <w:rFonts w:ascii="Tahoma" w:hAnsi="Tahoma"/>
      <w:sz w:val="24"/>
      <w:szCs w:val="20"/>
    </w:rPr>
  </w:style>
  <w:style w:type="paragraph" w:customStyle="1" w:styleId="608">
    <w:name w:val="文档结构图2"/>
    <w:basedOn w:val="1"/>
    <w:qFormat/>
    <w:uiPriority w:val="99"/>
    <w:rPr>
      <w:rFonts w:ascii="宋体"/>
      <w:kern w:val="0"/>
      <w:sz w:val="18"/>
      <w:szCs w:val="18"/>
    </w:rPr>
  </w:style>
  <w:style w:type="paragraph" w:customStyle="1" w:styleId="609">
    <w:name w:val="xl72"/>
    <w:basedOn w:val="1"/>
    <w:qFormat/>
    <w:uiPriority w:val="99"/>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qFormat/>
    <w:uiPriority w:val="99"/>
    <w:pPr>
      <w:ind w:firstLine="480" w:firstLineChars="200"/>
    </w:pPr>
  </w:style>
  <w:style w:type="paragraph" w:customStyle="1" w:styleId="611">
    <w:name w:val="大汉正文"/>
    <w:basedOn w:val="1"/>
    <w:qFormat/>
    <w:uiPriority w:val="99"/>
    <w:pPr>
      <w:spacing w:line="360" w:lineRule="auto"/>
      <w:ind w:firstLine="200" w:firstLineChars="200"/>
      <w:jc w:val="left"/>
    </w:pPr>
    <w:rPr>
      <w:rFonts w:ascii="宋体" w:hAnsi="Times New Roman"/>
      <w:kern w:val="0"/>
      <w:sz w:val="24"/>
      <w:szCs w:val="24"/>
    </w:rPr>
  </w:style>
  <w:style w:type="paragraph" w:customStyle="1" w:styleId="612">
    <w:name w:val="Table_Medium"/>
    <w:basedOn w:val="600"/>
    <w:qFormat/>
    <w:uiPriority w:val="99"/>
    <w:rPr>
      <w:sz w:val="18"/>
    </w:rPr>
  </w:style>
  <w:style w:type="paragraph" w:customStyle="1" w:styleId="613">
    <w:name w:val="IBM 正文"/>
    <w:basedOn w:val="1"/>
    <w:qFormat/>
    <w:uiPriority w:val="99"/>
    <w:pPr>
      <w:spacing w:line="360" w:lineRule="atLeast"/>
    </w:pPr>
    <w:rPr>
      <w:rFonts w:ascii="Times New Roman" w:hAnsi="Times New Roman"/>
      <w:sz w:val="24"/>
      <w:szCs w:val="20"/>
    </w:rPr>
  </w:style>
  <w:style w:type="paragraph" w:customStyle="1" w:styleId="614">
    <w:name w:val="Char Char1 Char1"/>
    <w:basedOn w:val="1"/>
    <w:qFormat/>
    <w:uiPriority w:val="99"/>
    <w:rPr>
      <w:rFonts w:ascii="仿宋_GB2312" w:hAnsi="Times New Roman" w:eastAsia="仿宋_GB2312"/>
      <w:b/>
      <w:sz w:val="32"/>
      <w:szCs w:val="32"/>
    </w:rPr>
  </w:style>
  <w:style w:type="paragraph" w:customStyle="1" w:styleId="615">
    <w:name w:val="xl12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qFormat/>
    <w:uiPriority w:val="99"/>
    <w:pPr>
      <w:tabs>
        <w:tab w:val="left" w:pos="432"/>
      </w:tabs>
      <w:ind w:left="432" w:hanging="432"/>
    </w:pPr>
    <w:rPr>
      <w:rFonts w:ascii="Tahoma" w:hAnsi="Tahoma"/>
      <w:sz w:val="24"/>
      <w:szCs w:val="20"/>
    </w:rPr>
  </w:style>
  <w:style w:type="paragraph" w:customStyle="1" w:styleId="617">
    <w:name w:val="页眉1"/>
    <w:basedOn w:val="1"/>
    <w:qFormat/>
    <w:uiPriority w:val="99"/>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qFormat/>
    <w:uiPriority w:val="99"/>
    <w:pPr>
      <w:tabs>
        <w:tab w:val="left" w:pos="432"/>
      </w:tabs>
      <w:ind w:left="432" w:hanging="432"/>
    </w:pPr>
    <w:rPr>
      <w:rFonts w:ascii="Tahoma" w:hAnsi="Tahoma"/>
      <w:sz w:val="24"/>
      <w:szCs w:val="20"/>
    </w:rPr>
  </w:style>
  <w:style w:type="paragraph" w:customStyle="1" w:styleId="619">
    <w:name w:val="Tabletext"/>
    <w:basedOn w:val="1"/>
    <w:qFormat/>
    <w:uiPriority w:val="99"/>
    <w:pPr>
      <w:keepLines/>
      <w:spacing w:afterLines="50"/>
      <w:jc w:val="left"/>
    </w:pPr>
    <w:rPr>
      <w:rFonts w:ascii="宋体" w:hAnsi="Times New Roman"/>
      <w:snapToGrid w:val="0"/>
      <w:kern w:val="0"/>
      <w:szCs w:val="20"/>
    </w:rPr>
  </w:style>
  <w:style w:type="paragraph" w:customStyle="1" w:styleId="620">
    <w:name w:val="P3"/>
    <w:basedOn w:val="1"/>
    <w:qFormat/>
    <w:uiPriority w:val="99"/>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4"/>
    <w:qFormat/>
    <w:uiPriority w:val="99"/>
    <w:pPr>
      <w:tabs>
        <w:tab w:val="left" w:pos="1050"/>
      </w:tabs>
      <w:spacing w:line="240" w:lineRule="auto"/>
      <w:ind w:left="-258" w:leftChars="-258"/>
    </w:pPr>
    <w:rPr>
      <w:rFonts w:eastAsia="仿宋_GB2312"/>
      <w:sz w:val="28"/>
    </w:rPr>
  </w:style>
  <w:style w:type="paragraph" w:customStyle="1" w:styleId="622">
    <w:name w:val="大表 mt"/>
    <w:basedOn w:val="1"/>
    <w:qFormat/>
    <w:uiPriority w:val="99"/>
    <w:pPr>
      <w:widowControl/>
      <w:jc w:val="left"/>
    </w:pPr>
    <w:rPr>
      <w:rFonts w:ascii="宋体" w:hAnsi="宋体" w:cs="宋体"/>
      <w:kern w:val="0"/>
      <w:szCs w:val="21"/>
    </w:rPr>
  </w:style>
  <w:style w:type="paragraph" w:customStyle="1" w:styleId="623">
    <w:name w:val="Char Char Char111"/>
    <w:basedOn w:val="1"/>
    <w:qFormat/>
    <w:uiPriority w:val="99"/>
  </w:style>
  <w:style w:type="paragraph" w:customStyle="1" w:styleId="624">
    <w:name w:val="段落正文"/>
    <w:basedOn w:val="1"/>
    <w:qFormat/>
    <w:uiPriority w:val="99"/>
    <w:pPr>
      <w:spacing w:line="360" w:lineRule="auto"/>
      <w:ind w:firstLine="560" w:firstLineChars="200"/>
    </w:pPr>
    <w:rPr>
      <w:rFonts w:ascii="Times New Roman" w:hAnsi="Times New Roman"/>
      <w:sz w:val="28"/>
      <w:szCs w:val="28"/>
    </w:rPr>
  </w:style>
  <w:style w:type="paragraph" w:customStyle="1" w:styleId="625">
    <w:name w:val="footnote"/>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qFormat/>
    <w:uiPriority w:val="99"/>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qFormat/>
    <w:uiPriority w:val="99"/>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qFormat/>
    <w:uiPriority w:val="99"/>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qFormat/>
    <w:uiPriority w:val="99"/>
    <w:pPr>
      <w:spacing w:line="360" w:lineRule="auto"/>
      <w:ind w:firstLine="0"/>
    </w:pPr>
    <w:rPr>
      <w:rFonts w:ascii="宋体" w:hAnsi="宋体" w:cs="宋体"/>
      <w:kern w:val="0"/>
    </w:rPr>
  </w:style>
  <w:style w:type="paragraph" w:customStyle="1" w:styleId="631">
    <w:name w:val="graytext"/>
    <w:basedOn w:val="1"/>
    <w:qFormat/>
    <w:uiPriority w:val="99"/>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qFormat/>
    <w:uiPriority w:val="99"/>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qFormat/>
    <w:uiPriority w:val="99"/>
    <w:pPr>
      <w:widowControl/>
      <w:spacing w:after="160" w:line="360" w:lineRule="auto"/>
      <w:jc w:val="left"/>
    </w:pPr>
    <w:rPr>
      <w:rFonts w:ascii="Verdana" w:hAnsi="Verdana"/>
      <w:kern w:val="0"/>
      <w:sz w:val="24"/>
      <w:szCs w:val="20"/>
      <w:lang w:eastAsia="en-US"/>
    </w:rPr>
  </w:style>
  <w:style w:type="paragraph" w:customStyle="1" w:styleId="634">
    <w:name w:val="font10"/>
    <w:basedOn w:val="1"/>
    <w:qFormat/>
    <w:uiPriority w:val="99"/>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qFormat/>
    <w:uiPriority w:val="99"/>
    <w:pPr>
      <w:widowControl/>
      <w:spacing w:after="160" w:line="240" w:lineRule="exact"/>
      <w:jc w:val="left"/>
    </w:pPr>
    <w:rPr>
      <w:rFonts w:ascii="Times New Roman" w:hAnsi="Times New Roman"/>
      <w:szCs w:val="20"/>
    </w:rPr>
  </w:style>
  <w:style w:type="paragraph" w:customStyle="1" w:styleId="636">
    <w:name w:val="font5"/>
    <w:basedOn w:val="1"/>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qFormat/>
    <w:uiPriority w:val="99"/>
    <w:pPr>
      <w:tabs>
        <w:tab w:val="left" w:pos="360"/>
        <w:tab w:val="left" w:pos="704"/>
      </w:tabs>
      <w:spacing w:line="360" w:lineRule="auto"/>
    </w:pPr>
    <w:rPr>
      <w:rFonts w:ascii="宋体" w:hAnsi="宋体"/>
      <w:spacing w:val="-8"/>
      <w:sz w:val="24"/>
      <w:szCs w:val="20"/>
    </w:rPr>
  </w:style>
  <w:style w:type="paragraph" w:customStyle="1" w:styleId="640">
    <w:name w:val="规范正文"/>
    <w:basedOn w:val="1"/>
    <w:qFormat/>
    <w:uiPriority w:val="99"/>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qFormat/>
    <w:uiPriority w:val="99"/>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qFormat/>
    <w:uiPriority w:val="99"/>
    <w:pPr>
      <w:numPr>
        <w:numId w:val="0"/>
      </w:numPr>
      <w:tabs>
        <w:tab w:val="left" w:pos="864"/>
      </w:tabs>
      <w:ind w:left="425" w:hanging="425"/>
    </w:pPr>
    <w:rPr>
      <w:szCs w:val="21"/>
    </w:rPr>
  </w:style>
  <w:style w:type="paragraph" w:customStyle="1" w:styleId="643">
    <w:name w:val="样式 标题 4Chapter X.X.X. + 段后: 0.5 行1"/>
    <w:basedOn w:val="5"/>
    <w:next w:val="5"/>
    <w:qFormat/>
    <w:uiPriority w:val="99"/>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6"/>
    <w:qFormat/>
    <w:uiPriority w:val="99"/>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2"/>
    <w:qFormat/>
    <w:uiPriority w:val="99"/>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qFormat/>
    <w:uiPriority w:val="99"/>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qFormat/>
    <w:uiPriority w:val="99"/>
    <w:rPr>
      <w:rFonts w:ascii="仿宋_GB2312" w:hAnsi="Times New Roman" w:eastAsia="仿宋_GB2312"/>
      <w:b/>
      <w:sz w:val="32"/>
      <w:szCs w:val="32"/>
    </w:rPr>
  </w:style>
  <w:style w:type="paragraph" w:customStyle="1" w:styleId="650">
    <w:name w:val="正文文本 21"/>
    <w:basedOn w:val="1"/>
    <w:qFormat/>
    <w:uiPriority w:val="99"/>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qFormat/>
    <w:uiPriority w:val="99"/>
    <w:pPr>
      <w:spacing w:line="360" w:lineRule="auto"/>
      <w:ind w:firstLine="200" w:firstLineChars="200"/>
    </w:pPr>
    <w:rPr>
      <w:rFonts w:ascii="Times New Roman" w:hAnsi="Times New Roman"/>
      <w:sz w:val="24"/>
      <w:szCs w:val="24"/>
    </w:rPr>
  </w:style>
  <w:style w:type="paragraph" w:customStyle="1" w:styleId="653">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qFormat/>
    <w:uiPriority w:val="99"/>
    <w:pPr>
      <w:ind w:firstLine="420" w:firstLineChars="200"/>
    </w:pPr>
  </w:style>
  <w:style w:type="paragraph" w:customStyle="1" w:styleId="655">
    <w:name w:val="xl1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qFormat/>
    <w:uiPriority w:val="99"/>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qFormat/>
    <w:uiPriority w:val="99"/>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qFormat/>
    <w:uiPriority w:val="99"/>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24"/>
    <w:qFormat/>
    <w:uiPriority w:val="99"/>
    <w:pPr>
      <w:suppressLineNumbers/>
      <w:suppressAutoHyphens/>
    </w:pPr>
    <w:rPr>
      <w:kern w:val="1"/>
      <w:sz w:val="21"/>
      <w:lang w:eastAsia="ar-SA"/>
    </w:rPr>
  </w:style>
  <w:style w:type="paragraph" w:customStyle="1" w:styleId="661">
    <w:name w:val="样式　标题4"/>
    <w:basedOn w:val="643"/>
    <w:next w:val="1"/>
    <w:qFormat/>
    <w:uiPriority w:val="99"/>
    <w:pPr>
      <w:numPr>
        <w:ilvl w:val="0"/>
        <w:numId w:val="0"/>
      </w:numPr>
      <w:ind w:left="425" w:hanging="425"/>
    </w:pPr>
  </w:style>
  <w:style w:type="paragraph" w:customStyle="1" w:styleId="662">
    <w:name w:val="Char2 Char Char Char"/>
    <w:basedOn w:val="1"/>
    <w:qFormat/>
    <w:uiPriority w:val="99"/>
    <w:rPr>
      <w:rFonts w:ascii="仿宋_GB2312" w:hAnsi="Times New Roman" w:eastAsia="仿宋_GB2312"/>
      <w:b/>
      <w:sz w:val="32"/>
      <w:szCs w:val="32"/>
    </w:rPr>
  </w:style>
  <w:style w:type="paragraph" w:customStyle="1" w:styleId="663">
    <w:name w:val="Paragraph4"/>
    <w:basedOn w:val="1"/>
    <w:qFormat/>
    <w:uiPriority w:val="99"/>
    <w:pPr>
      <w:spacing w:before="80" w:afterLines="50"/>
      <w:ind w:left="2250"/>
    </w:pPr>
    <w:rPr>
      <w:rFonts w:ascii="宋体" w:hAnsi="Times New Roman"/>
      <w:snapToGrid w:val="0"/>
      <w:kern w:val="0"/>
      <w:szCs w:val="20"/>
    </w:rPr>
  </w:style>
  <w:style w:type="paragraph" w:customStyle="1" w:styleId="664">
    <w:name w:val="xl8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4"/>
    <w:qFormat/>
    <w:uiPriority w:val="99"/>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qFormat/>
    <w:uiPriority w:val="99"/>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qFormat/>
    <w:uiPriority w:val="99"/>
    <w:pPr>
      <w:adjustRightInd w:val="0"/>
      <w:spacing w:line="360" w:lineRule="auto"/>
      <w:ind w:firstLine="480"/>
    </w:pPr>
    <w:rPr>
      <w:rFonts w:ascii="宋体" w:hAnsi="宋体"/>
      <w:kern w:val="0"/>
      <w:sz w:val="24"/>
      <w:szCs w:val="20"/>
    </w:rPr>
  </w:style>
  <w:style w:type="paragraph" w:customStyle="1" w:styleId="671">
    <w:name w:val="xl10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qFormat/>
    <w:uiPriority w:val="99"/>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qFormat/>
    <w:uiPriority w:val="99"/>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qFormat/>
    <w:uiPriority w:val="99"/>
    <w:rPr>
      <w:rFonts w:ascii="Tahoma" w:hAnsi="Tahoma"/>
      <w:sz w:val="24"/>
      <w:szCs w:val="20"/>
    </w:rPr>
  </w:style>
  <w:style w:type="paragraph" w:customStyle="1" w:styleId="676">
    <w:name w:val="样式1"/>
    <w:basedOn w:val="1"/>
    <w:qFormat/>
    <w:uiPriority w:val="99"/>
    <w:pPr>
      <w:pBdr>
        <w:bottom w:val="single" w:color="auto" w:sz="4" w:space="1"/>
      </w:pBdr>
    </w:pPr>
    <w:rPr>
      <w:rFonts w:ascii="Times New Roman" w:hAnsi="Times New Roman"/>
      <w:szCs w:val="24"/>
    </w:rPr>
  </w:style>
  <w:style w:type="paragraph" w:customStyle="1" w:styleId="677">
    <w:name w:val="font7"/>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qFormat/>
    <w:uiPriority w:val="99"/>
    <w:rPr>
      <w:rFonts w:ascii="仿宋_GB2312" w:hAnsi="Times New Roman" w:eastAsia="仿宋_GB2312"/>
      <w:b/>
      <w:sz w:val="32"/>
      <w:szCs w:val="32"/>
    </w:rPr>
  </w:style>
  <w:style w:type="paragraph" w:customStyle="1" w:styleId="679">
    <w:name w:val="要点2"/>
    <w:basedOn w:val="1"/>
    <w:qFormat/>
    <w:uiPriority w:val="99"/>
    <w:pPr>
      <w:spacing w:line="360" w:lineRule="auto"/>
      <w:ind w:left="420" w:hanging="420"/>
    </w:pPr>
    <w:rPr>
      <w:rFonts w:ascii="Times New Roman" w:hAnsi="Times New Roman"/>
      <w:b/>
      <w:szCs w:val="21"/>
      <w:shd w:val="pct10" w:color="auto" w:fill="FFFFFF"/>
    </w:rPr>
  </w:style>
  <w:style w:type="paragraph" w:customStyle="1" w:styleId="680">
    <w:name w:val="Table - Text"/>
    <w:basedOn w:val="1"/>
    <w:qFormat/>
    <w:uiPriority w:val="99"/>
    <w:pPr>
      <w:widowControl/>
      <w:spacing w:before="60" w:afterLines="50"/>
      <w:jc w:val="left"/>
    </w:pPr>
    <w:rPr>
      <w:rFonts w:ascii="Times New Roman" w:hAnsi="Times New Roman"/>
      <w:kern w:val="0"/>
      <w:szCs w:val="20"/>
      <w:lang w:eastAsia="en-US"/>
    </w:rPr>
  </w:style>
  <w:style w:type="paragraph" w:customStyle="1" w:styleId="681">
    <w:name w:val="Item List"/>
    <w:qFormat/>
    <w:uiPriority w:val="99"/>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qFormat/>
    <w:uiPriority w:val="99"/>
    <w:pPr>
      <w:spacing w:afterLines="50"/>
      <w:jc w:val="left"/>
    </w:pPr>
    <w:rPr>
      <w:rFonts w:ascii="宋体" w:hAnsi="Times New Roman" w:cs="宋体"/>
      <w:i/>
      <w:iCs/>
      <w:snapToGrid w:val="0"/>
      <w:color w:val="0000FF"/>
      <w:kern w:val="0"/>
      <w:szCs w:val="21"/>
    </w:rPr>
  </w:style>
  <w:style w:type="paragraph" w:customStyle="1" w:styleId="683">
    <w:name w:val="Main Title"/>
    <w:basedOn w:val="1"/>
    <w:qFormat/>
    <w:uiPriority w:val="99"/>
    <w:pPr>
      <w:spacing w:before="480" w:afterLines="50"/>
      <w:jc w:val="center"/>
    </w:pPr>
    <w:rPr>
      <w:rFonts w:ascii="宋体" w:hAnsi="Times New Roman"/>
      <w:b/>
      <w:snapToGrid w:val="0"/>
      <w:kern w:val="28"/>
      <w:sz w:val="32"/>
      <w:szCs w:val="20"/>
    </w:rPr>
  </w:style>
  <w:style w:type="paragraph" w:customStyle="1" w:styleId="684">
    <w:name w:val="font12"/>
    <w:basedOn w:val="1"/>
    <w:qFormat/>
    <w:uiPriority w:val="99"/>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qFormat/>
    <w:uiPriority w:val="99"/>
    <w:pPr>
      <w:spacing w:after="120"/>
      <w:ind w:left="420" w:leftChars="200"/>
    </w:pPr>
    <w:rPr>
      <w:rFonts w:cs="黑体"/>
    </w:rPr>
  </w:style>
  <w:style w:type="paragraph" w:customStyle="1" w:styleId="686">
    <w:name w:val="font6"/>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qFormat/>
    <w:uiPriority w:val="99"/>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qFormat/>
    <w:uiPriority w:val="99"/>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qFormat/>
    <w:uiPriority w:val="99"/>
    <w:pPr>
      <w:spacing w:afterLines="50"/>
      <w:jc w:val="left"/>
    </w:pPr>
    <w:rPr>
      <w:rFonts w:ascii="宋体" w:hAnsi="Times New Roman" w:cs="宋体"/>
      <w:b/>
      <w:bCs/>
      <w:snapToGrid w:val="0"/>
      <w:kern w:val="0"/>
      <w:sz w:val="32"/>
      <w:szCs w:val="20"/>
    </w:rPr>
  </w:style>
  <w:style w:type="paragraph" w:customStyle="1" w:styleId="691">
    <w:name w:val="Blockquote"/>
    <w:basedOn w:val="1"/>
    <w:qFormat/>
    <w:uiPriority w:val="99"/>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qFormat/>
    <w:uiPriority w:val="99"/>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1"/>
    <w:qFormat/>
    <w:uiPriority w:val="99"/>
    <w:pPr>
      <w:spacing w:beforeLines="0" w:afterLines="0" w:line="360" w:lineRule="auto"/>
      <w:jc w:val="left"/>
    </w:pPr>
    <w:rPr>
      <w:rFonts w:eastAsia="仿宋_GB2312" w:cs="Arial"/>
      <w:sz w:val="28"/>
      <w:szCs w:val="20"/>
    </w:rPr>
  </w:style>
  <w:style w:type="paragraph" w:customStyle="1" w:styleId="694">
    <w:name w:val="msoaccenttext2"/>
    <w:qFormat/>
    <w:uiPriority w:val="99"/>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qFormat/>
    <w:uiPriority w:val="99"/>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4"/>
    <w:next w:val="1"/>
    <w:qFormat/>
    <w:uiPriority w:val="99"/>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qFormat/>
    <w:uiPriority w:val="99"/>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qFormat/>
    <w:uiPriority w:val="99"/>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qFormat/>
    <w:uiPriority w:val="99"/>
    <w:pPr>
      <w:spacing w:line="360" w:lineRule="auto"/>
      <w:ind w:firstLine="200" w:firstLineChars="200"/>
    </w:pPr>
    <w:rPr>
      <w:rFonts w:ascii="Times New Roman" w:hAnsi="Times New Roman" w:cs="宋体"/>
      <w:sz w:val="24"/>
      <w:szCs w:val="20"/>
    </w:rPr>
  </w:style>
  <w:style w:type="paragraph" w:customStyle="1" w:styleId="702">
    <w:name w:val="mod_selection1"/>
    <w:basedOn w:val="1"/>
    <w:qFormat/>
    <w:uiPriority w:val="99"/>
    <w:pPr>
      <w:widowControl/>
      <w:ind w:left="75"/>
      <w:jc w:val="left"/>
    </w:pPr>
    <w:rPr>
      <w:rFonts w:ascii="Arial" w:hAnsi="Arial" w:cs="Arial"/>
      <w:b/>
      <w:bCs/>
      <w:kern w:val="0"/>
      <w:sz w:val="20"/>
      <w:szCs w:val="20"/>
    </w:rPr>
  </w:style>
  <w:style w:type="paragraph" w:customStyle="1" w:styleId="703">
    <w:name w:val="itemlis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qFormat/>
    <w:uiPriority w:val="99"/>
    <w:pPr>
      <w:tabs>
        <w:tab w:val="left" w:pos="432"/>
      </w:tabs>
      <w:ind w:left="432" w:hanging="432"/>
    </w:pPr>
    <w:rPr>
      <w:rFonts w:ascii="Times New Roman" w:hAnsi="Times New Roman"/>
      <w:sz w:val="24"/>
      <w:szCs w:val="24"/>
    </w:rPr>
  </w:style>
  <w:style w:type="paragraph" w:customStyle="1" w:styleId="705">
    <w:name w:val="二级."/>
    <w:basedOn w:val="3"/>
    <w:qFormat/>
    <w:uiPriority w:val="99"/>
    <w:pPr>
      <w:tabs>
        <w:tab w:val="left" w:pos="0"/>
      </w:tabs>
      <w:spacing w:before="0" w:after="0" w:line="528" w:lineRule="auto"/>
      <w:ind w:left="181" w:hanging="181"/>
    </w:pPr>
    <w:rPr>
      <w:bCs w:val="0"/>
      <w:kern w:val="0"/>
      <w:sz w:val="36"/>
      <w:szCs w:val="20"/>
    </w:rPr>
  </w:style>
  <w:style w:type="paragraph" w:customStyle="1" w:styleId="706">
    <w:name w:val="标准小四"/>
    <w:basedOn w:val="1"/>
    <w:qFormat/>
    <w:uiPriority w:val="99"/>
    <w:pPr>
      <w:spacing w:line="360" w:lineRule="auto"/>
      <w:ind w:firstLine="480" w:firstLineChars="200"/>
    </w:pPr>
    <w:rPr>
      <w:rFonts w:ascii="Arial" w:hAnsi="Arial"/>
      <w:sz w:val="24"/>
      <w:szCs w:val="21"/>
    </w:rPr>
  </w:style>
  <w:style w:type="paragraph" w:customStyle="1" w:styleId="707">
    <w:name w:val="xl65"/>
    <w:basedOn w:val="1"/>
    <w:qFormat/>
    <w:uiPriority w:val="99"/>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qFormat/>
    <w:uiPriority w:val="99"/>
    <w:rPr>
      <w:rFonts w:ascii="仿宋_GB2312" w:hAnsi="Times New Roman" w:eastAsia="仿宋_GB2312"/>
      <w:b/>
      <w:sz w:val="32"/>
      <w:szCs w:val="32"/>
    </w:rPr>
  </w:style>
  <w:style w:type="paragraph" w:customStyle="1" w:styleId="709">
    <w:name w:val="xl11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qFormat/>
    <w:uiPriority w:val="99"/>
    <w:pPr>
      <w:ind w:firstLine="420" w:firstLineChars="200"/>
    </w:pPr>
  </w:style>
  <w:style w:type="paragraph" w:customStyle="1" w:styleId="711">
    <w:name w:val="Char Char Char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712">
    <w:name w:val="列出段落2"/>
    <w:basedOn w:val="1"/>
    <w:qFormat/>
    <w:uiPriority w:val="34"/>
    <w:pPr>
      <w:ind w:firstLine="420" w:firstLineChars="200"/>
    </w:pPr>
    <w:rPr>
      <w:szCs w:val="24"/>
    </w:rPr>
  </w:style>
  <w:style w:type="paragraph" w:customStyle="1" w:styleId="713">
    <w:name w:val="正文首行缩进 21"/>
    <w:basedOn w:val="685"/>
    <w:qFormat/>
    <w:uiPriority w:val="99"/>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qFormat/>
    <w:uiPriority w:val="99"/>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qFormat/>
    <w:uiPriority w:val="99"/>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718">
    <w:name w:val="p1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qFormat/>
    <w:uiPriority w:val="99"/>
    <w:rPr>
      <w:rFonts w:ascii="Times New Roman" w:hAnsi="Times New Roman" w:eastAsia="仿宋_GB2312" w:cs="宋体"/>
      <w:szCs w:val="20"/>
    </w:rPr>
  </w:style>
  <w:style w:type="paragraph" w:customStyle="1" w:styleId="720">
    <w:name w:val="样式 标题 2Chapter X.X. Statementh22Header 2l2Level 2 Headhea...1"/>
    <w:basedOn w:val="4"/>
    <w:qFormat/>
    <w:uiPriority w:val="99"/>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qFormat/>
    <w:uiPriority w:val="99"/>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qFormat/>
    <w:uiPriority w:val="99"/>
    <w:pPr>
      <w:spacing w:afterLines="50"/>
      <w:ind w:firstLine="425"/>
      <w:jc w:val="left"/>
    </w:pPr>
    <w:rPr>
      <w:rFonts w:ascii="宋体" w:hAnsi="Times New Roman" w:cs="宋体"/>
      <w:snapToGrid w:val="0"/>
      <w:kern w:val="0"/>
      <w:szCs w:val="20"/>
    </w:rPr>
  </w:style>
  <w:style w:type="paragraph" w:customStyle="1" w:styleId="723">
    <w:name w:val="首行缩进"/>
    <w:basedOn w:val="1"/>
    <w:qFormat/>
    <w:uiPriority w:val="99"/>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6"/>
    <w:qFormat/>
    <w:uiPriority w:val="99"/>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qFormat/>
    <w:uiPriority w:val="99"/>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57"/>
    <w:qFormat/>
    <w:uiPriority w:val="99"/>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qFormat/>
    <w:uiPriority w:val="99"/>
    <w:rPr>
      <w:rFonts w:ascii="Times New Roman" w:hAnsi="Times New Roman" w:eastAsia="Times New Roman" w:cs="Times New Roman"/>
      <w:kern w:val="2"/>
      <w:sz w:val="22"/>
      <w:szCs w:val="22"/>
      <w:lang w:val="en-US" w:eastAsia="zh-CN" w:bidi="ar-SA"/>
    </w:rPr>
  </w:style>
  <w:style w:type="paragraph" w:customStyle="1" w:styleId="728">
    <w:name w:val="S4-B-L15"/>
    <w:basedOn w:val="1"/>
    <w:qFormat/>
    <w:uiPriority w:val="99"/>
    <w:pPr>
      <w:spacing w:line="360" w:lineRule="auto"/>
    </w:pPr>
    <w:rPr>
      <w:rFonts w:ascii="Times New Roman" w:hAnsi="Times New Roman"/>
      <w:b/>
      <w:bCs/>
      <w:sz w:val="24"/>
      <w:szCs w:val="24"/>
    </w:rPr>
  </w:style>
  <w:style w:type="paragraph" w:customStyle="1" w:styleId="729">
    <w:name w:val="GP标题1"/>
    <w:basedOn w:val="1"/>
    <w:next w:val="1"/>
    <w:qFormat/>
    <w:uiPriority w:val="99"/>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qFormat/>
    <w:uiPriority w:val="99"/>
    <w:pPr>
      <w:spacing w:beforeLines="20" w:afterLines="20"/>
    </w:pPr>
    <w:rPr>
      <w:rFonts w:ascii="楷体_GB2312" w:hAnsi="宋体" w:eastAsia="楷体_GB2312" w:cs="Arial"/>
      <w:kern w:val="0"/>
      <w:sz w:val="24"/>
      <w:szCs w:val="24"/>
    </w:rPr>
  </w:style>
  <w:style w:type="paragraph" w:customStyle="1" w:styleId="731">
    <w:name w:val="正文文本缩进 21"/>
    <w:basedOn w:val="1"/>
    <w:qFormat/>
    <w:uiPriority w:val="99"/>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qFormat/>
    <w:uiPriority w:val="99"/>
    <w:rPr>
      <w:rFonts w:ascii="Tahoma" w:hAnsi="Tahoma"/>
      <w:sz w:val="24"/>
      <w:szCs w:val="20"/>
    </w:rPr>
  </w:style>
  <w:style w:type="paragraph" w:customStyle="1" w:styleId="733">
    <w:name w:val="列表（编号二级）（绿盟科技）"/>
    <w:basedOn w:val="656"/>
    <w:qFormat/>
    <w:uiPriority w:val="99"/>
    <w:pPr>
      <w:numPr>
        <w:ilvl w:val="1"/>
      </w:numPr>
      <w:spacing w:beforeLines="0"/>
      <w:ind w:left="1260"/>
    </w:pPr>
  </w:style>
  <w:style w:type="paragraph" w:customStyle="1" w:styleId="734">
    <w:name w:val="huide00"/>
    <w:basedOn w:val="1"/>
    <w:qFormat/>
    <w:uiPriority w:val="99"/>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qFormat/>
    <w:uiPriority w:val="99"/>
    <w:pPr>
      <w:spacing w:before="80" w:afterLines="50"/>
      <w:ind w:left="1530"/>
    </w:pPr>
    <w:rPr>
      <w:rFonts w:ascii="宋体" w:hAnsi="Times New Roman"/>
      <w:snapToGrid w:val="0"/>
      <w:kern w:val="0"/>
      <w:szCs w:val="20"/>
    </w:rPr>
  </w:style>
  <w:style w:type="paragraph" w:customStyle="1" w:styleId="737">
    <w:name w:val="正文样式"/>
    <w:basedOn w:val="1"/>
    <w:qFormat/>
    <w:uiPriority w:val="99"/>
    <w:pPr>
      <w:spacing w:line="360" w:lineRule="auto"/>
      <w:ind w:firstLine="200" w:firstLineChars="200"/>
    </w:pPr>
    <w:rPr>
      <w:rFonts w:ascii="宋体" w:hAnsi="Times New Roman"/>
      <w:sz w:val="24"/>
      <w:szCs w:val="24"/>
    </w:rPr>
  </w:style>
  <w:style w:type="paragraph" w:customStyle="1" w:styleId="738">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3"/>
    <w:qFormat/>
    <w:uiPriority w:val="99"/>
    <w:pPr>
      <w:spacing w:after="0" w:line="415" w:lineRule="auto"/>
    </w:pPr>
    <w:rPr>
      <w:sz w:val="28"/>
      <w:szCs w:val="20"/>
    </w:rPr>
  </w:style>
  <w:style w:type="paragraph" w:customStyle="1" w:styleId="740">
    <w:name w:val="表格标题"/>
    <w:basedOn w:val="660"/>
    <w:qFormat/>
    <w:uiPriority w:val="99"/>
    <w:pPr>
      <w:numPr>
        <w:ilvl w:val="0"/>
        <w:numId w:val="26"/>
      </w:numPr>
      <w:tabs>
        <w:tab w:val="clear" w:pos="360"/>
      </w:tabs>
      <w:ind w:left="0" w:firstLine="0"/>
      <w:jc w:val="center"/>
    </w:pPr>
    <w:rPr>
      <w:b/>
      <w:bCs/>
      <w:i/>
      <w:iCs/>
    </w:rPr>
  </w:style>
  <w:style w:type="paragraph" w:customStyle="1" w:styleId="741">
    <w:name w:val="_Style 1181"/>
    <w:basedOn w:val="1"/>
    <w:qFormat/>
    <w:uiPriority w:val="99"/>
  </w:style>
  <w:style w:type="paragraph" w:customStyle="1" w:styleId="742">
    <w:name w:val="Char2"/>
    <w:basedOn w:val="1"/>
    <w:qFormat/>
    <w:uiPriority w:val="99"/>
    <w:rPr>
      <w:rFonts w:ascii="仿宋_GB2312" w:hAnsi="Times New Roman" w:eastAsia="仿宋_GB2312"/>
      <w:b/>
      <w:sz w:val="32"/>
      <w:szCs w:val="20"/>
    </w:rPr>
  </w:style>
  <w:style w:type="paragraph" w:customStyle="1" w:styleId="743">
    <w:name w:val="ZJGIS-三级标题"/>
    <w:basedOn w:val="4"/>
    <w:qFormat/>
    <w:uiPriority w:val="99"/>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qFormat/>
    <w:uiPriority w:val="99"/>
    <w:pPr>
      <w:adjustRightInd w:val="0"/>
      <w:spacing w:line="360" w:lineRule="atLeast"/>
      <w:textAlignment w:val="baseline"/>
    </w:pPr>
    <w:rPr>
      <w:rFonts w:ascii="Tahoma" w:hAnsi="Tahoma"/>
      <w:sz w:val="24"/>
      <w:szCs w:val="20"/>
    </w:rPr>
  </w:style>
  <w:style w:type="paragraph" w:customStyle="1" w:styleId="746">
    <w:name w:val="Char Char101"/>
    <w:basedOn w:val="1"/>
    <w:qFormat/>
    <w:uiPriority w:val="99"/>
    <w:rPr>
      <w:rFonts w:ascii="Tahoma" w:hAnsi="Tahoma"/>
      <w:sz w:val="24"/>
      <w:szCs w:val="20"/>
    </w:rPr>
  </w:style>
  <w:style w:type="paragraph" w:customStyle="1" w:styleId="747">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748">
    <w:name w:val="样式7"/>
    <w:basedOn w:val="1"/>
    <w:qFormat/>
    <w:uiPriority w:val="99"/>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qFormat/>
    <w:uiPriority w:val="99"/>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qFormat/>
    <w:uiPriority w:val="99"/>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qFormat/>
    <w:uiPriority w:val="99"/>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qFormat/>
    <w:uiPriority w:val="99"/>
    <w:pPr>
      <w:widowControl/>
      <w:spacing w:before="150" w:after="150"/>
      <w:jc w:val="left"/>
    </w:pPr>
    <w:rPr>
      <w:rFonts w:ascii="宋体" w:hAnsi="宋体" w:cs="宋体"/>
      <w:kern w:val="0"/>
      <w:sz w:val="24"/>
      <w:szCs w:val="24"/>
    </w:rPr>
  </w:style>
  <w:style w:type="paragraph" w:customStyle="1" w:styleId="753">
    <w:name w:val="表格_内容"/>
    <w:basedOn w:val="1"/>
    <w:qFormat/>
    <w:uiPriority w:val="99"/>
    <w:rPr>
      <w:rFonts w:ascii="宋体" w:hAnsi="宋体"/>
      <w:szCs w:val="21"/>
    </w:rPr>
  </w:style>
  <w:style w:type="paragraph" w:customStyle="1" w:styleId="754">
    <w:name w:val="MM Title"/>
    <w:basedOn w:val="55"/>
    <w:qFormat/>
    <w:uiPriority w:val="99"/>
    <w:rPr>
      <w:rFonts w:ascii="Calibri" w:hAnsi="Calibri" w:cs="Arial"/>
      <w:b w:val="0"/>
      <w:sz w:val="18"/>
    </w:rPr>
  </w:style>
  <w:style w:type="paragraph" w:customStyle="1" w:styleId="755">
    <w:name w:val="样式 正文 段落文字 + 宋体 小四 左侧:  0 厘米 首行缩进:  2 字符 段后: 0 磅 行距: 固定值 24..."/>
    <w:basedOn w:val="1"/>
    <w:qFormat/>
    <w:uiPriority w:val="99"/>
    <w:pPr>
      <w:spacing w:line="480" w:lineRule="exact"/>
      <w:ind w:firstLine="480" w:firstLineChars="200"/>
    </w:pPr>
    <w:rPr>
      <w:rFonts w:ascii="宋体" w:hAnsi="宋体" w:cs="宋体"/>
      <w:sz w:val="24"/>
      <w:szCs w:val="20"/>
    </w:rPr>
  </w:style>
  <w:style w:type="paragraph" w:customStyle="1" w:styleId="756">
    <w:name w:val="xl79"/>
    <w:basedOn w:val="1"/>
    <w:qFormat/>
    <w:uiPriority w:val="99"/>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qFormat/>
    <w:uiPriority w:val="99"/>
    <w:pPr>
      <w:adjustRightInd w:val="0"/>
      <w:spacing w:beforeLines="25" w:afterLines="25"/>
      <w:textAlignment w:val="baseline"/>
    </w:pPr>
    <w:rPr>
      <w:rFonts w:ascii="Arial" w:hAnsi="Arial" w:eastAsia="仿宋_GB2312"/>
      <w:kern w:val="0"/>
      <w:sz w:val="24"/>
      <w:szCs w:val="28"/>
    </w:rPr>
  </w:style>
  <w:style w:type="paragraph" w:customStyle="1" w:styleId="758">
    <w:name w:val="修订1"/>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qFormat/>
    <w:uiPriority w:val="99"/>
    <w:pPr>
      <w:spacing w:beforeLines="800"/>
      <w:jc w:val="center"/>
    </w:pPr>
    <w:rPr>
      <w:rFonts w:ascii="Arial" w:hAnsi="Arial" w:eastAsia="黑体" w:cs="宋体"/>
      <w:b/>
      <w:sz w:val="72"/>
      <w:szCs w:val="72"/>
    </w:rPr>
  </w:style>
  <w:style w:type="paragraph" w:customStyle="1" w:styleId="760">
    <w:name w:val="xl122"/>
    <w:basedOn w:val="1"/>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qFormat/>
    <w:uiPriority w:val="99"/>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17"/>
    <w:qFormat/>
    <w:uiPriority w:val="99"/>
    <w:pPr>
      <w:numPr>
        <w:ilvl w:val="4"/>
        <w:numId w:val="29"/>
      </w:numPr>
    </w:pPr>
    <w:rPr>
      <w:rFonts w:eastAsia="黑体"/>
      <w:kern w:val="0"/>
      <w:sz w:val="24"/>
      <w:szCs w:val="20"/>
    </w:rPr>
  </w:style>
  <w:style w:type="paragraph" w:customStyle="1" w:styleId="763">
    <w:name w:val="Body"/>
    <w:basedOn w:val="1"/>
    <w:qFormat/>
    <w:uiPriority w:val="99"/>
    <w:pPr>
      <w:widowControl/>
      <w:spacing w:before="120" w:afterLines="50"/>
    </w:pPr>
    <w:rPr>
      <w:rFonts w:ascii="宋体" w:hAnsi="Times New Roman"/>
      <w:snapToGrid w:val="0"/>
      <w:kern w:val="0"/>
      <w:szCs w:val="20"/>
    </w:rPr>
  </w:style>
  <w:style w:type="paragraph" w:customStyle="1" w:styleId="764">
    <w:name w:val="标准标题2"/>
    <w:basedOn w:val="3"/>
    <w:qFormat/>
    <w:uiPriority w:val="99"/>
    <w:pPr>
      <w:spacing w:line="360" w:lineRule="auto"/>
    </w:pPr>
    <w:rPr>
      <w:rFonts w:eastAsia="仿宋_GB2312"/>
      <w:bCs w:val="0"/>
      <w:sz w:val="28"/>
    </w:rPr>
  </w:style>
  <w:style w:type="paragraph" w:customStyle="1" w:styleId="765">
    <w:name w:val="xl83"/>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2"/>
    <w:qFormat/>
    <w:uiPriority w:val="99"/>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4"/>
    <w:qFormat/>
    <w:uiPriority w:val="99"/>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qFormat/>
    <w:uiPriority w:val="99"/>
    <w:pPr>
      <w:spacing w:line="312" w:lineRule="auto"/>
      <w:ind w:firstLine="202" w:firstLineChars="202"/>
    </w:pPr>
    <w:rPr>
      <w:rFonts w:ascii="Times New Roman" w:hAnsi="Times New Roman" w:cs="宋体"/>
      <w:sz w:val="24"/>
      <w:szCs w:val="20"/>
    </w:rPr>
  </w:style>
  <w:style w:type="paragraph" w:customStyle="1" w:styleId="774">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5">
    <w:name w:val="_Style 164"/>
    <w:basedOn w:val="1"/>
    <w:qFormat/>
    <w:uiPriority w:val="99"/>
    <w:rPr>
      <w:rFonts w:ascii="Times New Roman" w:hAnsi="Times New Roman"/>
      <w:szCs w:val="20"/>
    </w:rPr>
  </w:style>
  <w:style w:type="paragraph" w:customStyle="1" w:styleId="776">
    <w:name w:val="GP公文标题1"/>
    <w:basedOn w:val="1"/>
    <w:next w:val="1"/>
    <w:qFormat/>
    <w:uiPriority w:val="99"/>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qFormat/>
    <w:uiPriority w:val="99"/>
    <w:pPr>
      <w:tabs>
        <w:tab w:val="left" w:pos="432"/>
      </w:tabs>
      <w:ind w:left="432" w:hanging="432"/>
    </w:pPr>
    <w:rPr>
      <w:rFonts w:ascii="Tahoma" w:hAnsi="Tahoma"/>
      <w:sz w:val="24"/>
      <w:szCs w:val="20"/>
    </w:rPr>
  </w:style>
  <w:style w:type="paragraph" w:customStyle="1" w:styleId="779">
    <w:name w:val="Table Text"/>
    <w:basedOn w:val="1"/>
    <w:qFormat/>
    <w:uiPriority w:val="99"/>
    <w:pPr>
      <w:widowControl/>
      <w:spacing w:before="60" w:after="60"/>
      <w:jc w:val="left"/>
    </w:pPr>
    <w:rPr>
      <w:rFonts w:ascii="Times New Roman" w:hAnsi="Times New Roman"/>
      <w:kern w:val="0"/>
      <w:sz w:val="24"/>
      <w:szCs w:val="24"/>
    </w:rPr>
  </w:style>
  <w:style w:type="paragraph" w:customStyle="1" w:styleId="780">
    <w:name w:val="button"/>
    <w:basedOn w:val="1"/>
    <w:qFormat/>
    <w:uiPriority w:val="99"/>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qFormat/>
    <w:uiPriority w:val="99"/>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qFormat/>
    <w:uiPriority w:val="99"/>
    <w:pPr>
      <w:tabs>
        <w:tab w:val="left" w:pos="1200"/>
      </w:tabs>
      <w:ind w:left="1200" w:hanging="360"/>
    </w:pPr>
  </w:style>
  <w:style w:type="paragraph" w:customStyle="1" w:styleId="784">
    <w:name w:val="封面2级标题"/>
    <w:basedOn w:val="1"/>
    <w:next w:val="280"/>
    <w:qFormat/>
    <w:uiPriority w:val="99"/>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qFormat/>
    <w:uiPriority w:val="34"/>
    <w:pPr>
      <w:ind w:firstLine="420" w:firstLineChars="200"/>
    </w:pPr>
  </w:style>
  <w:style w:type="paragraph" w:customStyle="1" w:styleId="786">
    <w:name w:val="样式 标题 3Chapter X.X.X. + 五号 段后: 0.5 行"/>
    <w:basedOn w:val="4"/>
    <w:qFormat/>
    <w:uiPriority w:val="99"/>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3"/>
    <w:qFormat/>
    <w:uiPriority w:val="99"/>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qFormat/>
    <w:uiPriority w:val="99"/>
    <w:pPr>
      <w:widowControl/>
      <w:spacing w:before="150" w:after="150"/>
      <w:jc w:val="left"/>
    </w:pPr>
    <w:rPr>
      <w:rFonts w:ascii="宋体" w:hAnsi="宋体" w:cs="宋体"/>
      <w:kern w:val="0"/>
      <w:sz w:val="24"/>
      <w:szCs w:val="24"/>
    </w:rPr>
  </w:style>
  <w:style w:type="paragraph" w:customStyle="1" w:styleId="789">
    <w:name w:val="注意事项"/>
    <w:basedOn w:val="1"/>
    <w:qFormat/>
    <w:uiPriority w:val="99"/>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qFormat/>
    <w:uiPriority w:val="99"/>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qFormat/>
    <w:uiPriority w:val="99"/>
    <w:pPr>
      <w:widowControl/>
      <w:spacing w:after="160" w:line="240" w:lineRule="exact"/>
      <w:jc w:val="left"/>
    </w:pPr>
    <w:rPr>
      <w:rFonts w:ascii="Times New Roman" w:hAnsi="Times New Roman"/>
      <w:szCs w:val="20"/>
    </w:rPr>
  </w:style>
  <w:style w:type="paragraph" w:customStyle="1" w:styleId="792">
    <w:name w:val="CM12"/>
    <w:basedOn w:val="674"/>
    <w:next w:val="674"/>
    <w:qFormat/>
    <w:uiPriority w:val="99"/>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qFormat/>
    <w:uiPriority w:val="99"/>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5"/>
    <w:qFormat/>
    <w:uiPriority w:val="99"/>
    <w:pPr>
      <w:tabs>
        <w:tab w:val="left" w:pos="284"/>
      </w:tabs>
      <w:spacing w:before="160" w:after="170" w:line="240" w:lineRule="auto"/>
      <w:ind w:left="828" w:hanging="544"/>
    </w:pPr>
    <w:rPr>
      <w:bCs w:val="0"/>
      <w:sz w:val="30"/>
      <w:szCs w:val="20"/>
    </w:rPr>
  </w:style>
  <w:style w:type="paragraph" w:customStyle="1" w:styleId="795">
    <w:name w:val="Char Char Char1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qFormat/>
    <w:uiPriority w:val="99"/>
    <w:pPr>
      <w:spacing w:line="360" w:lineRule="auto"/>
      <w:jc w:val="center"/>
    </w:pPr>
    <w:rPr>
      <w:rFonts w:ascii="仿宋_GB2312" w:eastAsia="仿宋_GB2312"/>
      <w:b/>
      <w:sz w:val="24"/>
      <w:szCs w:val="28"/>
    </w:rPr>
  </w:style>
  <w:style w:type="paragraph" w:customStyle="1" w:styleId="797">
    <w:name w:val="样式 正文段落 + 首行缩进:  0 字符"/>
    <w:basedOn w:val="347"/>
    <w:qFormat/>
    <w:uiPriority w:val="99"/>
    <w:pPr>
      <w:spacing w:line="360" w:lineRule="auto"/>
      <w:ind w:firstLine="0"/>
    </w:pPr>
    <w:rPr>
      <w:rFonts w:ascii="宋体" w:hAnsi="宋体" w:cs="宋体"/>
      <w:kern w:val="0"/>
    </w:rPr>
  </w:style>
  <w:style w:type="paragraph" w:customStyle="1" w:styleId="798">
    <w:name w:val="Char8"/>
    <w:basedOn w:val="1"/>
    <w:qFormat/>
    <w:uiPriority w:val="99"/>
    <w:pPr>
      <w:tabs>
        <w:tab w:val="left" w:pos="432"/>
      </w:tabs>
      <w:ind w:left="432" w:hanging="432"/>
    </w:pPr>
    <w:rPr>
      <w:rFonts w:ascii="Times New Roman" w:hAnsi="Times New Roman"/>
      <w:sz w:val="24"/>
      <w:szCs w:val="24"/>
    </w:rPr>
  </w:style>
  <w:style w:type="paragraph" w:customStyle="1" w:styleId="799">
    <w:name w:val="Char Char Char1"/>
    <w:basedOn w:val="1"/>
    <w:qFormat/>
    <w:uiPriority w:val="99"/>
    <w:rPr>
      <w:rFonts w:ascii="Times New Roman" w:hAnsi="Times New Roman" w:eastAsia="仿宋_GB2312" w:cs="宋体"/>
      <w:sz w:val="24"/>
      <w:szCs w:val="20"/>
    </w:rPr>
  </w:style>
  <w:style w:type="paragraph" w:customStyle="1" w:styleId="800">
    <w:name w:val="ZJGIS-五级标题"/>
    <w:basedOn w:val="6"/>
    <w:qFormat/>
    <w:uiPriority w:val="99"/>
    <w:pPr>
      <w:numPr>
        <w:ilvl w:val="4"/>
        <w:numId w:val="10"/>
      </w:numPr>
      <w:spacing w:before="120" w:after="120" w:line="240" w:lineRule="auto"/>
    </w:pPr>
    <w:rPr>
      <w:rFonts w:ascii="Times New Roman" w:hAnsi="Times New Roman"/>
      <w:sz w:val="24"/>
      <w:szCs w:val="24"/>
    </w:rPr>
  </w:style>
  <w:style w:type="paragraph" w:customStyle="1" w:styleId="801">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qFormat/>
    <w:uiPriority w:val="99"/>
    <w:pPr>
      <w:jc w:val="center"/>
    </w:pPr>
    <w:rPr>
      <w:rFonts w:ascii="Arial" w:hAnsi="Arial" w:eastAsia="黑体"/>
      <w:b/>
    </w:rPr>
  </w:style>
  <w:style w:type="paragraph" w:customStyle="1" w:styleId="803">
    <w:name w:val="吉奥封面(黑体小初)"/>
    <w:basedOn w:val="191"/>
    <w:qFormat/>
    <w:uiPriority w:val="99"/>
    <w:pPr>
      <w:spacing w:before="480"/>
      <w:ind w:firstLine="0" w:firstLineChars="0"/>
      <w:jc w:val="center"/>
    </w:pPr>
    <w:rPr>
      <w:rFonts w:eastAsia="黑体"/>
      <w:sz w:val="72"/>
      <w:szCs w:val="72"/>
    </w:rPr>
  </w:style>
  <w:style w:type="paragraph" w:customStyle="1" w:styleId="804">
    <w:name w:val="样式 标题 3 + 首行缩进:  2 字符1"/>
    <w:basedOn w:val="4"/>
    <w:qFormat/>
    <w:uiPriority w:val="99"/>
    <w:pPr>
      <w:spacing w:line="360" w:lineRule="auto"/>
    </w:pPr>
    <w:rPr>
      <w:rFonts w:ascii="Times New Roman" w:hAnsi="Times New Roman" w:cs="宋体"/>
      <w:szCs w:val="20"/>
    </w:rPr>
  </w:style>
  <w:style w:type="character" w:customStyle="1" w:styleId="805">
    <w:name w:val="一级标题 Char"/>
    <w:link w:val="806"/>
    <w:qFormat/>
    <w:locked/>
    <w:uiPriority w:val="0"/>
    <w:rPr>
      <w:rFonts w:ascii="宋体" w:hAnsi="宋体"/>
      <w:b/>
      <w:sz w:val="36"/>
      <w:szCs w:val="36"/>
    </w:rPr>
  </w:style>
  <w:style w:type="paragraph" w:customStyle="1" w:styleId="806">
    <w:name w:val="一级标题"/>
    <w:basedOn w:val="31"/>
    <w:link w:val="805"/>
    <w:qFormat/>
    <w:uiPriority w:val="0"/>
    <w:pPr>
      <w:spacing w:line="360" w:lineRule="auto"/>
      <w:jc w:val="center"/>
    </w:pPr>
    <w:rPr>
      <w:rFonts w:hAnsi="宋体" w:eastAsiaTheme="minorEastAsia" w:cstheme="minorBidi"/>
      <w:b/>
      <w:sz w:val="36"/>
      <w:szCs w:val="36"/>
    </w:rPr>
  </w:style>
  <w:style w:type="character" w:customStyle="1" w:styleId="807">
    <w:name w:val="纯文本 Char1"/>
    <w:qFormat/>
    <w:uiPriority w:val="99"/>
    <w:rPr>
      <w:rFonts w:ascii="宋体" w:hAnsi="Courier New"/>
      <w:kern w:val="2"/>
      <w:sz w:val="24"/>
      <w:szCs w:val="24"/>
    </w:rPr>
  </w:style>
  <w:style w:type="paragraph" w:customStyle="1" w:styleId="808">
    <w:name w:val="正文5"/>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qFormat/>
    <w:uiPriority w:val="99"/>
    <w:pPr>
      <w:widowControl/>
      <w:jc w:val="left"/>
    </w:pPr>
    <w:rPr>
      <w:rFonts w:ascii="宋体" w:hAnsi="Courier New"/>
    </w:rPr>
  </w:style>
  <w:style w:type="character" w:customStyle="1" w:styleId="810">
    <w:name w:val="列表段落 字符"/>
    <w:link w:val="811"/>
    <w:qFormat/>
    <w:uiPriority w:val="0"/>
  </w:style>
  <w:style w:type="paragraph" w:customStyle="1" w:styleId="811">
    <w:name w:val="列表段落1"/>
    <w:basedOn w:val="1"/>
    <w:link w:val="810"/>
    <w:qFormat/>
    <w:uiPriority w:val="0"/>
    <w:pPr>
      <w:ind w:firstLine="420" w:firstLineChars="200"/>
    </w:pPr>
    <w:rPr>
      <w:rFonts w:asciiTheme="minorHAnsi" w:hAnsiTheme="minorHAnsi" w:eastAsiaTheme="minorEastAsia" w:cstheme="minorBidi"/>
    </w:rPr>
  </w:style>
  <w:style w:type="character" w:customStyle="1" w:styleId="812">
    <w:name w:val="正 文 Char"/>
    <w:link w:val="813"/>
    <w:qFormat/>
    <w:locked/>
    <w:uiPriority w:val="0"/>
    <w:rPr>
      <w:sz w:val="24"/>
      <w:szCs w:val="24"/>
    </w:rPr>
  </w:style>
  <w:style w:type="paragraph" w:customStyle="1" w:styleId="813">
    <w:name w:val="正 文"/>
    <w:basedOn w:val="1"/>
    <w:link w:val="812"/>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qFormat/>
    <w:uiPriority w:val="0"/>
    <w:rPr>
      <w:rFonts w:hint="eastAsia" w:ascii="微软雅黑" w:hAnsi="微软雅黑" w:eastAsia="微软雅黑" w:cs="微软雅黑"/>
      <w:b/>
      <w:color w:val="000000"/>
      <w:sz w:val="24"/>
      <w:szCs w:val="24"/>
      <w:u w:val="none"/>
    </w:rPr>
  </w:style>
  <w:style w:type="character" w:customStyle="1" w:styleId="815">
    <w:name w:val="font21"/>
    <w:qFormat/>
    <w:uiPriority w:val="0"/>
    <w:rPr>
      <w:rFonts w:hint="eastAsia" w:ascii="微软雅黑" w:hAnsi="微软雅黑" w:eastAsia="微软雅黑" w:cs="微软雅黑"/>
      <w:color w:val="000000"/>
      <w:sz w:val="16"/>
      <w:szCs w:val="16"/>
      <w:u w:val="none"/>
    </w:rPr>
  </w:style>
  <w:style w:type="character" w:customStyle="1" w:styleId="816">
    <w:name w:val="font51"/>
    <w:qFormat/>
    <w:uiPriority w:val="0"/>
    <w:rPr>
      <w:rFonts w:hint="eastAsia" w:ascii="微软雅黑" w:hAnsi="微软雅黑" w:eastAsia="微软雅黑" w:cs="微软雅黑"/>
      <w:b/>
      <w:color w:val="000000"/>
      <w:sz w:val="16"/>
      <w:szCs w:val="16"/>
      <w:u w:val="none"/>
    </w:rPr>
  </w:style>
  <w:style w:type="character" w:customStyle="1" w:styleId="817">
    <w:name w:val="font31"/>
    <w:qFormat/>
    <w:uiPriority w:val="0"/>
    <w:rPr>
      <w:rFonts w:hint="eastAsia" w:ascii="微软雅黑" w:hAnsi="微软雅黑" w:eastAsia="微软雅黑" w:cs="微软雅黑"/>
      <w:b/>
      <w:color w:val="000000"/>
      <w:sz w:val="16"/>
      <w:szCs w:val="16"/>
      <w:u w:val="none"/>
    </w:rPr>
  </w:style>
  <w:style w:type="character" w:customStyle="1" w:styleId="818">
    <w:name w:val="font41"/>
    <w:qFormat/>
    <w:uiPriority w:val="0"/>
    <w:rPr>
      <w:rFonts w:hint="eastAsia" w:ascii="微软雅黑" w:hAnsi="微软雅黑" w:eastAsia="微软雅黑" w:cs="微软雅黑"/>
      <w:color w:val="000000"/>
      <w:sz w:val="16"/>
      <w:szCs w:val="16"/>
      <w:u w:val="none"/>
    </w:rPr>
  </w:style>
  <w:style w:type="character" w:customStyle="1" w:styleId="819">
    <w:name w:val="页脚 字符"/>
    <w:basedOn w:val="64"/>
    <w:link w:val="38"/>
    <w:qFormat/>
    <w:uiPriority w:val="99"/>
  </w:style>
  <w:style w:type="paragraph" w:customStyle="1" w:styleId="820">
    <w:name w:val="正文360首行缩进"/>
    <w:basedOn w:val="1"/>
    <w:link w:val="852"/>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qFormat/>
    <w:uiPriority w:val="34"/>
    <w:pPr>
      <w:ind w:firstLine="420" w:firstLineChars="200"/>
    </w:pPr>
    <w:rPr>
      <w:rFonts w:ascii="等线" w:hAnsi="等线" w:eastAsia="等线"/>
    </w:rPr>
  </w:style>
  <w:style w:type="paragraph" w:customStyle="1" w:styleId="822">
    <w:name w:val="et10"/>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qFormat/>
    <w:uiPriority w:val="99"/>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qFormat/>
    <w:uiPriority w:val="99"/>
    <w:pPr>
      <w:spacing w:line="360" w:lineRule="auto"/>
      <w:ind w:firstLine="420" w:firstLineChars="200"/>
    </w:pPr>
    <w:rPr>
      <w:rFonts w:ascii="Times New Roman" w:hAnsi="Times New Roman"/>
      <w:szCs w:val="21"/>
    </w:rPr>
  </w:style>
  <w:style w:type="paragraph" w:customStyle="1" w:styleId="851">
    <w:name w:val="列表段落11"/>
    <w:basedOn w:val="1"/>
    <w:qFormat/>
    <w:uiPriority w:val="34"/>
    <w:pPr>
      <w:ind w:firstLine="420" w:firstLineChars="200"/>
    </w:pPr>
    <w:rPr>
      <w:rFonts w:ascii="Cambria" w:hAnsi="Cambria"/>
      <w:sz w:val="24"/>
      <w:szCs w:val="24"/>
    </w:rPr>
  </w:style>
  <w:style w:type="character" w:customStyle="1" w:styleId="852">
    <w:name w:val="正文360首行缩进 Char"/>
    <w:basedOn w:val="64"/>
    <w:link w:val="820"/>
    <w:qFormat/>
    <w:uiPriority w:val="0"/>
    <w:rPr>
      <w:rFonts w:ascii="Times New Roman" w:hAnsi="Times New Roman" w:eastAsia="宋体" w:cs="Times New Roman"/>
      <w:sz w:val="24"/>
      <w:szCs w:val="20"/>
    </w:rPr>
  </w:style>
  <w:style w:type="paragraph" w:customStyle="1" w:styleId="853">
    <w:name w:val="列表11"/>
    <w:basedOn w:val="1"/>
    <w:qFormat/>
    <w:uiPriority w:val="99"/>
    <w:pPr>
      <w:tabs>
        <w:tab w:val="left" w:pos="840"/>
      </w:tabs>
      <w:spacing w:line="360" w:lineRule="auto"/>
      <w:ind w:left="840" w:hanging="420"/>
      <w:jc w:val="left"/>
    </w:pPr>
    <w:rPr>
      <w:rFonts w:ascii="Century" w:hAnsi="Century"/>
      <w:szCs w:val="21"/>
    </w:rPr>
  </w:style>
  <w:style w:type="character" w:customStyle="1" w:styleId="854">
    <w:name w:val="书籍标题11"/>
    <w:qFormat/>
    <w:uiPriority w:val="33"/>
    <w:rPr>
      <w:b/>
      <w:bCs/>
      <w:smallCaps/>
      <w:spacing w:val="5"/>
    </w:rPr>
  </w:style>
  <w:style w:type="paragraph" w:customStyle="1" w:styleId="855">
    <w:name w:val="z-窗体底端11"/>
    <w:basedOn w:val="1"/>
    <w:next w:val="1"/>
    <w:qFormat/>
    <w:uiPriority w:val="99"/>
    <w:pPr>
      <w:widowControl/>
      <w:pBdr>
        <w:top w:val="single" w:color="auto" w:sz="6" w:space="1"/>
      </w:pBdr>
      <w:jc w:val="center"/>
    </w:pPr>
    <w:rPr>
      <w:rFonts w:ascii="Arial" w:hAnsi="Arial"/>
      <w:vanish/>
      <w:kern w:val="0"/>
      <w:sz w:val="16"/>
      <w:szCs w:val="16"/>
    </w:rPr>
  </w:style>
  <w:style w:type="character" w:customStyle="1" w:styleId="856">
    <w:name w:val="明显参考11"/>
    <w:qFormat/>
    <w:uiPriority w:val="0"/>
    <w:rPr>
      <w:b/>
      <w:sz w:val="24"/>
      <w:u w:val="single"/>
    </w:rPr>
  </w:style>
  <w:style w:type="character" w:customStyle="1" w:styleId="857">
    <w:name w:val="Char Char142"/>
    <w:qFormat/>
    <w:locked/>
    <w:uiPriority w:val="0"/>
    <w:rPr>
      <w:rFonts w:ascii="楷体_GB2312" w:eastAsia="楷体_GB2312"/>
      <w:kern w:val="2"/>
      <w:sz w:val="32"/>
      <w:lang w:val="en-US" w:eastAsia="zh-CN" w:bidi="ar-SA"/>
    </w:rPr>
  </w:style>
  <w:style w:type="paragraph" w:customStyle="1" w:styleId="858">
    <w:name w:val="z-窗体顶端11"/>
    <w:basedOn w:val="1"/>
    <w:next w:val="1"/>
    <w:qFormat/>
    <w:uiPriority w:val="99"/>
    <w:pPr>
      <w:widowControl/>
      <w:pBdr>
        <w:bottom w:val="single" w:color="auto" w:sz="6" w:space="1"/>
      </w:pBdr>
      <w:jc w:val="center"/>
    </w:pPr>
    <w:rPr>
      <w:rFonts w:ascii="Arial" w:hAnsi="Arial"/>
      <w:vanish/>
      <w:kern w:val="0"/>
      <w:sz w:val="16"/>
      <w:szCs w:val="16"/>
    </w:rPr>
  </w:style>
  <w:style w:type="character" w:customStyle="1" w:styleId="859">
    <w:name w:val="Char Char51"/>
    <w:qFormat/>
    <w:uiPriority w:val="0"/>
    <w:rPr>
      <w:rFonts w:ascii="Calibri" w:hAnsi="Calibri" w:eastAsia="宋体"/>
      <w:sz w:val="18"/>
      <w:szCs w:val="18"/>
      <w:lang w:bidi="ar-SA"/>
    </w:rPr>
  </w:style>
  <w:style w:type="character" w:customStyle="1" w:styleId="860">
    <w:name w:val="Char Char61"/>
    <w:qFormat/>
    <w:uiPriority w:val="0"/>
    <w:rPr>
      <w:rFonts w:ascii="Calibri" w:hAnsi="Calibri" w:eastAsia="宋体"/>
      <w:b/>
      <w:bCs/>
      <w:kern w:val="2"/>
      <w:sz w:val="28"/>
      <w:szCs w:val="28"/>
      <w:lang w:bidi="ar-SA"/>
    </w:rPr>
  </w:style>
  <w:style w:type="character" w:customStyle="1" w:styleId="861">
    <w:name w:val="Char Char81"/>
    <w:qFormat/>
    <w:uiPriority w:val="0"/>
    <w:rPr>
      <w:rFonts w:ascii="Arial" w:hAnsi="Arial" w:eastAsia="黑体"/>
      <w:b/>
      <w:bCs/>
      <w:kern w:val="2"/>
      <w:sz w:val="32"/>
      <w:szCs w:val="32"/>
      <w:lang w:val="en-US" w:eastAsia="zh-CN" w:bidi="ar-SA"/>
    </w:rPr>
  </w:style>
  <w:style w:type="character" w:customStyle="1" w:styleId="862">
    <w:name w:val="Char Char22"/>
    <w:qFormat/>
    <w:uiPriority w:val="0"/>
    <w:rPr>
      <w:rFonts w:ascii="宋体" w:hAnsi="Courier New" w:eastAsia="宋体"/>
      <w:sz w:val="21"/>
      <w:lang w:val="en-US" w:eastAsia="zh-CN" w:bidi="ar-SA"/>
    </w:rPr>
  </w:style>
  <w:style w:type="character" w:customStyle="1" w:styleId="863">
    <w:name w:val="占位符文本1"/>
    <w:qFormat/>
    <w:uiPriority w:val="0"/>
    <w:rPr>
      <w:color w:val="808080"/>
    </w:rPr>
  </w:style>
  <w:style w:type="character" w:customStyle="1" w:styleId="864">
    <w:name w:val="Char Char121"/>
    <w:qFormat/>
    <w:uiPriority w:val="0"/>
    <w:rPr>
      <w:rFonts w:ascii="宋体" w:hAnsi="Courier New" w:eastAsia="宋体" w:cs="Times New Roman"/>
      <w:spacing w:val="-4"/>
      <w:sz w:val="18"/>
      <w:szCs w:val="20"/>
    </w:rPr>
  </w:style>
  <w:style w:type="character" w:customStyle="1" w:styleId="865">
    <w:name w:val="不明显参考11"/>
    <w:qFormat/>
    <w:uiPriority w:val="31"/>
    <w:rPr>
      <w:smallCaps/>
      <w:color w:val="C0504D"/>
      <w:u w:val="single"/>
    </w:rPr>
  </w:style>
  <w:style w:type="character" w:customStyle="1" w:styleId="866">
    <w:name w:val="Char Char31"/>
    <w:qFormat/>
    <w:uiPriority w:val="0"/>
    <w:rPr>
      <w:rFonts w:ascii="Arial" w:hAnsi="Arial" w:eastAsia="黑体"/>
      <w:b/>
      <w:kern w:val="2"/>
      <w:sz w:val="32"/>
      <w:lang w:val="en-US" w:eastAsia="zh-CN" w:bidi="ar-SA"/>
    </w:rPr>
  </w:style>
  <w:style w:type="character" w:customStyle="1" w:styleId="867">
    <w:name w:val="Char Char71"/>
    <w:qFormat/>
    <w:uiPriority w:val="0"/>
    <w:rPr>
      <w:rFonts w:eastAsia="宋体"/>
      <w:b/>
      <w:kern w:val="2"/>
      <w:sz w:val="32"/>
      <w:lang w:bidi="ar-SA"/>
    </w:rPr>
  </w:style>
  <w:style w:type="character" w:customStyle="1" w:styleId="868">
    <w:name w:val="Char Char91"/>
    <w:qFormat/>
    <w:uiPriority w:val="0"/>
    <w:rPr>
      <w:rFonts w:eastAsia="宋体"/>
      <w:b/>
      <w:kern w:val="44"/>
      <w:sz w:val="44"/>
      <w:lang w:bidi="ar-SA"/>
    </w:rPr>
  </w:style>
  <w:style w:type="character" w:customStyle="1" w:styleId="869">
    <w:name w:val="Char Char131"/>
    <w:qFormat/>
    <w:uiPriority w:val="0"/>
    <w:rPr>
      <w:rFonts w:ascii="Calibri" w:hAnsi="Calibri" w:eastAsia="宋体" w:cs="Times New Roman"/>
      <w:sz w:val="18"/>
      <w:szCs w:val="18"/>
    </w:rPr>
  </w:style>
  <w:style w:type="character" w:customStyle="1" w:styleId="870">
    <w:name w:val="Char Char41"/>
    <w:qFormat/>
    <w:uiPriority w:val="0"/>
    <w:rPr>
      <w:rFonts w:ascii="Calibri" w:hAnsi="Calibri" w:eastAsia="宋体"/>
      <w:sz w:val="18"/>
      <w:szCs w:val="18"/>
      <w:lang w:bidi="ar-SA"/>
    </w:rPr>
  </w:style>
  <w:style w:type="paragraph" w:customStyle="1" w:styleId="871">
    <w:name w:val="批注主题11"/>
    <w:basedOn w:val="21"/>
    <w:next w:val="21"/>
    <w:qFormat/>
    <w:uiPriority w:val="99"/>
    <w:rPr>
      <w:b/>
      <w:bCs/>
      <w:kern w:val="0"/>
      <w:sz w:val="20"/>
      <w:szCs w:val="20"/>
    </w:rPr>
  </w:style>
  <w:style w:type="paragraph" w:customStyle="1" w:styleId="872">
    <w:name w:val="Char Char Char Char1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qFormat/>
    <w:uiPriority w:val="99"/>
    <w:rPr>
      <w:rFonts w:ascii="仿宋_GB2312" w:hAnsi="Times New Roman" w:eastAsia="仿宋_GB2312"/>
      <w:b/>
      <w:sz w:val="32"/>
      <w:szCs w:val="32"/>
    </w:rPr>
  </w:style>
  <w:style w:type="paragraph" w:customStyle="1" w:styleId="874">
    <w:name w:val="Char Char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qFormat/>
    <w:uiPriority w:val="99"/>
    <w:pPr>
      <w:tabs>
        <w:tab w:val="left" w:pos="432"/>
      </w:tabs>
      <w:ind w:left="432" w:hanging="432"/>
    </w:pPr>
    <w:rPr>
      <w:rFonts w:ascii="Tahoma" w:hAnsi="Tahoma"/>
      <w:sz w:val="24"/>
      <w:szCs w:val="20"/>
    </w:rPr>
  </w:style>
  <w:style w:type="paragraph" w:customStyle="1" w:styleId="877">
    <w:name w:val="Char Char Char11"/>
    <w:basedOn w:val="1"/>
    <w:qFormat/>
    <w:uiPriority w:val="99"/>
  </w:style>
  <w:style w:type="paragraph" w:customStyle="1" w:styleId="878">
    <w:name w:val="Char111"/>
    <w:basedOn w:val="1"/>
    <w:qFormat/>
    <w:uiPriority w:val="99"/>
    <w:rPr>
      <w:rFonts w:ascii="仿宋_GB2312" w:hAnsi="Times New Roman" w:eastAsia="仿宋_GB2312"/>
      <w:b/>
      <w:sz w:val="32"/>
      <w:szCs w:val="32"/>
    </w:rPr>
  </w:style>
  <w:style w:type="paragraph" w:customStyle="1" w:styleId="879">
    <w:name w:val="Char3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0">
    <w:name w:val="正文缩进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qFormat/>
    <w:uiPriority w:val="99"/>
    <w:rPr>
      <w:rFonts w:ascii="仿宋_GB2312" w:hAnsi="Times New Roman" w:eastAsia="仿宋_GB2312"/>
      <w:b/>
      <w:sz w:val="32"/>
      <w:szCs w:val="32"/>
    </w:rPr>
  </w:style>
  <w:style w:type="paragraph" w:customStyle="1" w:styleId="883">
    <w:name w:val="正文文本缩进11"/>
    <w:basedOn w:val="1"/>
    <w:qFormat/>
    <w:uiPriority w:val="99"/>
    <w:pPr>
      <w:spacing w:after="120"/>
      <w:ind w:left="420" w:leftChars="200"/>
    </w:pPr>
    <w:rPr>
      <w:rFonts w:cs="黑体"/>
    </w:rPr>
  </w:style>
  <w:style w:type="paragraph" w:customStyle="1" w:styleId="884">
    <w:name w:val="Char Char Char Char Char Char Char Char Char Char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qFormat/>
    <w:uiPriority w:val="99"/>
    <w:rPr>
      <w:rFonts w:ascii="仿宋_GB2312" w:hAnsi="Times New Roman" w:eastAsia="仿宋_GB2312"/>
      <w:b/>
      <w:sz w:val="32"/>
      <w:szCs w:val="32"/>
    </w:rPr>
  </w:style>
  <w:style w:type="paragraph" w:customStyle="1" w:styleId="886">
    <w:name w:val="列出段落12"/>
    <w:basedOn w:val="1"/>
    <w:qFormat/>
    <w:uiPriority w:val="99"/>
    <w:pPr>
      <w:ind w:firstLine="420" w:firstLineChars="200"/>
    </w:pPr>
  </w:style>
  <w:style w:type="paragraph" w:customStyle="1" w:styleId="887">
    <w:name w:val="Char Char Char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qFormat/>
    <w:uiPriority w:val="99"/>
    <w:rPr>
      <w:rFonts w:ascii="Tahoma" w:hAnsi="Tahoma"/>
      <w:sz w:val="24"/>
      <w:szCs w:val="20"/>
    </w:rPr>
  </w:style>
  <w:style w:type="paragraph" w:customStyle="1" w:styleId="889">
    <w:name w:val="Char Char1 Char Char Char Char1 Char Char Char1"/>
    <w:basedOn w:val="1"/>
    <w:qFormat/>
    <w:uiPriority w:val="99"/>
    <w:pPr>
      <w:adjustRightInd w:val="0"/>
      <w:spacing w:line="360" w:lineRule="atLeast"/>
      <w:textAlignment w:val="baseline"/>
    </w:pPr>
    <w:rPr>
      <w:rFonts w:ascii="Tahoma" w:hAnsi="Tahoma"/>
      <w:sz w:val="24"/>
      <w:szCs w:val="20"/>
    </w:rPr>
  </w:style>
  <w:style w:type="paragraph" w:customStyle="1" w:styleId="890">
    <w:name w:val="Char Char10"/>
    <w:basedOn w:val="1"/>
    <w:qFormat/>
    <w:uiPriority w:val="99"/>
    <w:rPr>
      <w:rFonts w:ascii="Tahoma" w:hAnsi="Tahoma"/>
      <w:sz w:val="24"/>
      <w:szCs w:val="20"/>
    </w:rPr>
  </w:style>
  <w:style w:type="paragraph" w:customStyle="1" w:styleId="891">
    <w:name w:val="Char Char Char Char3"/>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qFormat/>
    <w:uiPriority w:val="99"/>
    <w:pPr>
      <w:widowControl/>
      <w:spacing w:after="160" w:line="240" w:lineRule="exact"/>
      <w:jc w:val="left"/>
    </w:pPr>
    <w:rPr>
      <w:rFonts w:ascii="Times New Roman" w:hAnsi="Times New Roman"/>
      <w:szCs w:val="20"/>
    </w:rPr>
  </w:style>
  <w:style w:type="character" w:customStyle="1" w:styleId="893">
    <w:name w:val="Book Title"/>
    <w:qFormat/>
    <w:uiPriority w:val="33"/>
    <w:rPr>
      <w:b/>
      <w:bCs/>
      <w:smallCaps/>
      <w:spacing w:val="5"/>
    </w:rPr>
  </w:style>
  <w:style w:type="character" w:customStyle="1" w:styleId="894">
    <w:name w:val="z-窗体底端 字符2"/>
    <w:link w:val="895"/>
    <w:qFormat/>
    <w:uiPriority w:val="0"/>
    <w:rPr>
      <w:rFonts w:ascii="Arial" w:hAnsi="Arial" w:cs="Arial"/>
      <w:vanish/>
      <w:sz w:val="16"/>
      <w:szCs w:val="16"/>
    </w:rPr>
  </w:style>
  <w:style w:type="paragraph" w:customStyle="1" w:styleId="895">
    <w:name w:val="HTML Bottom of Form"/>
    <w:basedOn w:val="1"/>
    <w:next w:val="1"/>
    <w:link w:val="894"/>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qFormat/>
    <w:uiPriority w:val="0"/>
    <w:rPr>
      <w:b/>
      <w:sz w:val="24"/>
      <w:u w:val="single"/>
    </w:rPr>
  </w:style>
  <w:style w:type="character" w:customStyle="1" w:styleId="897">
    <w:name w:val="z-窗体顶端 字符2"/>
    <w:link w:val="898"/>
    <w:qFormat/>
    <w:uiPriority w:val="0"/>
    <w:rPr>
      <w:rFonts w:ascii="Arial" w:hAnsi="Arial" w:cs="Arial"/>
      <w:vanish/>
      <w:sz w:val="16"/>
      <w:szCs w:val="16"/>
    </w:rPr>
  </w:style>
  <w:style w:type="paragraph" w:customStyle="1" w:styleId="898">
    <w:name w:val="HTML Top of Form"/>
    <w:basedOn w:val="1"/>
    <w:next w:val="1"/>
    <w:link w:val="897"/>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qFormat/>
    <w:uiPriority w:val="31"/>
    <w:rPr>
      <w:smallCaps/>
      <w:color w:val="C0504D"/>
      <w:u w:val="single"/>
    </w:rPr>
  </w:style>
  <w:style w:type="paragraph" w:customStyle="1" w:styleId="900">
    <w:name w:val="TOC Heading"/>
    <w:basedOn w:val="2"/>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4"/>
    <w:semiHidden/>
    <w:qFormat/>
    <w:uiPriority w:val="99"/>
    <w:rPr>
      <w:rFonts w:ascii="Arial" w:hAnsi="Arial" w:eastAsia="宋体" w:cs="Arial"/>
      <w:vanish/>
      <w:sz w:val="16"/>
      <w:szCs w:val="16"/>
    </w:rPr>
  </w:style>
  <w:style w:type="character" w:customStyle="1" w:styleId="902">
    <w:name w:val="z-窗体顶端 Char1"/>
    <w:basedOn w:val="64"/>
    <w:semiHidden/>
    <w:qFormat/>
    <w:uiPriority w:val="99"/>
    <w:rPr>
      <w:rFonts w:ascii="Arial" w:hAnsi="Arial" w:eastAsia="宋体" w:cs="Arial"/>
      <w:vanish/>
      <w:sz w:val="16"/>
      <w:szCs w:val="16"/>
    </w:rPr>
  </w:style>
  <w:style w:type="paragraph" w:customStyle="1" w:styleId="903">
    <w:name w:val="Revision"/>
    <w:semiHidden/>
    <w:qFormat/>
    <w:uiPriority w:val="99"/>
    <w:rPr>
      <w:rFonts w:ascii="Calibri" w:hAnsi="Calibri" w:eastAsia="宋体" w:cs="Times New Roman"/>
      <w:kern w:val="2"/>
      <w:sz w:val="21"/>
      <w:szCs w:val="22"/>
      <w:lang w:val="en-US" w:eastAsia="zh-CN" w:bidi="ar-SA"/>
    </w:rPr>
  </w:style>
  <w:style w:type="paragraph" w:customStyle="1" w:styleId="904">
    <w:name w:val="列表段落"/>
    <w:basedOn w:val="1"/>
    <w:qFormat/>
    <w:uiPriority w:val="99"/>
    <w:pPr>
      <w:ind w:firstLine="420" w:firstLineChars="200"/>
    </w:pPr>
  </w:style>
  <w:style w:type="character" w:customStyle="1" w:styleId="905">
    <w:name w:val="content1"/>
    <w:qFormat/>
    <w:uiPriority w:val="0"/>
    <w:rPr>
      <w:rFonts w:hint="default" w:ascii="Tahoma" w:hAnsi="Tahoma" w:cs="Tahoma"/>
      <w:sz w:val="21"/>
      <w:szCs w:val="21"/>
    </w:rPr>
  </w:style>
  <w:style w:type="character" w:customStyle="1" w:styleId="906">
    <w:name w:val="style25"/>
    <w:basedOn w:val="64"/>
    <w:qFormat/>
    <w:uiPriority w:val="0"/>
  </w:style>
  <w:style w:type="character" w:customStyle="1" w:styleId="907">
    <w:name w:val="style281"/>
    <w:qFormat/>
    <w:uiPriority w:val="0"/>
    <w:rPr>
      <w:color w:val="0000FF"/>
      <w:sz w:val="21"/>
      <w:szCs w:val="21"/>
    </w:rPr>
  </w:style>
  <w:style w:type="character" w:customStyle="1" w:styleId="908">
    <w:name w:val="ml21"/>
    <w:qFormat/>
    <w:uiPriority w:val="0"/>
    <w:rPr>
      <w:rFonts w:hint="default"/>
      <w:color w:val="0000FF"/>
      <w:sz w:val="21"/>
      <w:szCs w:val="21"/>
    </w:rPr>
  </w:style>
  <w:style w:type="character" w:customStyle="1" w:styleId="909">
    <w:name w:val="newstyle1"/>
    <w:qFormat/>
    <w:uiPriority w:val="0"/>
    <w:rPr>
      <w:rFonts w:hint="default"/>
      <w:sz w:val="18"/>
      <w:szCs w:val="18"/>
    </w:rPr>
  </w:style>
  <w:style w:type="character" w:customStyle="1" w:styleId="910">
    <w:name w:val="center style5"/>
    <w:basedOn w:val="64"/>
    <w:qFormat/>
    <w:uiPriority w:val="0"/>
  </w:style>
  <w:style w:type="character" w:customStyle="1" w:styleId="911">
    <w:name w:val="新正文 Char"/>
    <w:link w:val="912"/>
    <w:qFormat/>
    <w:uiPriority w:val="0"/>
    <w:rPr>
      <w:szCs w:val="24"/>
    </w:rPr>
  </w:style>
  <w:style w:type="paragraph" w:customStyle="1" w:styleId="912">
    <w:name w:val="新正文"/>
    <w:basedOn w:val="1"/>
    <w:link w:val="911"/>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qFormat/>
    <w:uiPriority w:val="99"/>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qFormat/>
    <w:uiPriority w:val="99"/>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qFormat/>
    <w:uiPriority w:val="99"/>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qFormat/>
    <w:uiPriority w:val="99"/>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qFormat/>
    <w:uiPriority w:val="99"/>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qFormat/>
    <w:uiPriority w:val="99"/>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qFormat/>
    <w:uiPriority w:val="99"/>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qFormat/>
    <w:uiPriority w:val="99"/>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qFormat/>
    <w:uiPriority w:val="99"/>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qFormat/>
    <w:uiPriority w:val="99"/>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qFormat/>
    <w:uiPriority w:val="99"/>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qFormat/>
    <w:uiPriority w:val="99"/>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qFormat/>
    <w:uiPriority w:val="99"/>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qFormat/>
    <w:uiPriority w:val="99"/>
    <w:pPr>
      <w:outlineLvl w:val="9"/>
    </w:pPr>
  </w:style>
  <w:style w:type="paragraph" w:customStyle="1" w:styleId="956">
    <w:name w:val="xl22"/>
    <w:basedOn w:val="1"/>
    <w:qFormat/>
    <w:uiPriority w:val="99"/>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qFormat/>
    <w:uiPriority w:val="99"/>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qFormat/>
    <w:uiPriority w:val="0"/>
    <w:rPr>
      <w:rFonts w:ascii="Arial" w:hAnsi="Arial" w:cs="Arial"/>
      <w:vanish/>
      <w:sz w:val="16"/>
      <w:szCs w:val="16"/>
    </w:rPr>
  </w:style>
  <w:style w:type="character" w:customStyle="1" w:styleId="962">
    <w:name w:val="z-窗体顶端 字符1"/>
    <w:qFormat/>
    <w:uiPriority w:val="0"/>
    <w:rPr>
      <w:rFonts w:ascii="Arial" w:hAnsi="Arial" w:cs="Arial"/>
      <w:vanish/>
      <w:sz w:val="16"/>
      <w:szCs w:val="16"/>
    </w:rPr>
  </w:style>
  <w:style w:type="character" w:customStyle="1" w:styleId="963">
    <w:name w:val="批注主题 字符"/>
    <w:basedOn w:val="82"/>
    <w:link w:val="56"/>
    <w:qFormat/>
    <w:uiPriority w:val="99"/>
    <w:rPr>
      <w:rFonts w:ascii="Calibri" w:hAnsi="Calibri" w:eastAsia="宋体" w:cs="Times New Roman"/>
      <w:b/>
      <w:bCs/>
    </w:rPr>
  </w:style>
  <w:style w:type="character" w:customStyle="1" w:styleId="964">
    <w:name w:val="正文首行缩进 2 字符"/>
    <w:basedOn w:val="86"/>
    <w:link w:val="58"/>
    <w:qFormat/>
    <w:uiPriority w:val="99"/>
    <w:rPr>
      <w:rFonts w:ascii="Times New Roman" w:hAnsi="Times New Roman" w:eastAsia="宋体" w:cs="Times New Roman"/>
      <w:spacing w:val="-4"/>
      <w:sz w:val="18"/>
      <w:szCs w:val="20"/>
    </w:rPr>
  </w:style>
  <w:style w:type="table" w:customStyle="1" w:styleId="965">
    <w:name w:val="浅色列表 - 着色 51"/>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6">
    <w:name w:val="批注引用1"/>
    <w:qFormat/>
    <w:uiPriority w:val="0"/>
    <w:rPr>
      <w:sz w:val="21"/>
      <w:szCs w:val="21"/>
    </w:rPr>
  </w:style>
  <w:style w:type="paragraph" w:customStyle="1" w:styleId="967">
    <w:name w:val="内容文本"/>
    <w:basedOn w:val="1"/>
    <w:qFormat/>
    <w:uiPriority w:val="99"/>
    <w:pPr>
      <w:spacing w:line="360" w:lineRule="auto"/>
      <w:ind w:firstLine="200" w:firstLineChars="200"/>
      <w:contextualSpacing/>
    </w:pPr>
    <w:rPr>
      <w:rFonts w:ascii="宋体" w:hAnsi="宋体"/>
      <w:sz w:val="24"/>
      <w:szCs w:val="24"/>
      <w:lang w:eastAsia="en-US" w:bidi="en-US"/>
    </w:rPr>
  </w:style>
  <w:style w:type="character" w:customStyle="1" w:styleId="968">
    <w:name w:val="正文文本 字符"/>
    <w:qFormat/>
    <w:uiPriority w:val="99"/>
    <w:rPr>
      <w:rFonts w:eastAsia="宋体"/>
      <w:kern w:val="2"/>
      <w:sz w:val="28"/>
      <w:szCs w:val="24"/>
      <w:lang w:val="en-US" w:eastAsia="zh-CN" w:bidi="ar-SA"/>
    </w:rPr>
  </w:style>
  <w:style w:type="character" w:customStyle="1" w:styleId="969">
    <w:name w:val="批注文字 字符"/>
    <w:qFormat/>
    <w:uiPriority w:val="99"/>
    <w:rPr>
      <w:kern w:val="2"/>
      <w:sz w:val="21"/>
      <w:szCs w:val="22"/>
    </w:rPr>
  </w:style>
  <w:style w:type="character" w:customStyle="1" w:styleId="970">
    <w:name w:val="正文文本缩进 字符"/>
    <w:qFormat/>
    <w:uiPriority w:val="99"/>
    <w:rPr>
      <w:rFonts w:ascii="宋体" w:hAnsi="Courier New" w:eastAsia="宋体"/>
      <w:spacing w:val="-4"/>
      <w:kern w:val="2"/>
      <w:sz w:val="18"/>
      <w:lang w:val="en-US" w:eastAsia="zh-CN" w:bidi="ar-SA"/>
    </w:rPr>
  </w:style>
  <w:style w:type="character" w:customStyle="1" w:styleId="971">
    <w:name w:val="标题 字符1"/>
    <w:basedOn w:val="64"/>
    <w:qFormat/>
    <w:uiPriority w:val="10"/>
    <w:rPr>
      <w:rFonts w:asciiTheme="majorHAnsi" w:hAnsiTheme="majorHAnsi" w:eastAsiaTheme="majorEastAsia" w:cstheme="majorBidi"/>
      <w:b/>
      <w:bCs/>
      <w:sz w:val="32"/>
      <w:szCs w:val="32"/>
    </w:rPr>
  </w:style>
  <w:style w:type="character" w:customStyle="1" w:styleId="972">
    <w:name w:val="副标题 字符1"/>
    <w:basedOn w:val="64"/>
    <w:qFormat/>
    <w:uiPriority w:val="11"/>
    <w:rPr>
      <w:b/>
      <w:bCs/>
      <w:kern w:val="28"/>
      <w:sz w:val="32"/>
      <w:szCs w:val="32"/>
    </w:rPr>
  </w:style>
  <w:style w:type="paragraph" w:customStyle="1" w:styleId="973">
    <w:name w:val="表格非标题文字"/>
    <w:link w:val="97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4"/>
    <w:link w:val="973"/>
    <w:qFormat/>
    <w:uiPriority w:val="0"/>
    <w:rPr>
      <w:rFonts w:ascii="Futura Bk" w:hAnsi="Futura Bk" w:eastAsia="宋体" w:cs="Times New Roman"/>
      <w:sz w:val="18"/>
      <w:szCs w:val="21"/>
    </w:rPr>
  </w:style>
  <w:style w:type="paragraph" w:customStyle="1" w:styleId="975">
    <w:name w:val="a2"/>
    <w:basedOn w:val="1"/>
    <w:qFormat/>
    <w:uiPriority w:val="99"/>
    <w:pPr>
      <w:widowControl/>
      <w:spacing w:after="150"/>
      <w:jc w:val="left"/>
    </w:pPr>
    <w:rPr>
      <w:rFonts w:ascii="宋体" w:hAnsi="宋体" w:cs="宋体"/>
      <w:kern w:val="0"/>
      <w:sz w:val="24"/>
      <w:szCs w:val="24"/>
    </w:rPr>
  </w:style>
  <w:style w:type="table" w:customStyle="1" w:styleId="976">
    <w:name w:val="网格型1"/>
    <w:basedOn w:val="5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77">
    <w:name w:val="标题 2 Char2"/>
    <w:qFormat/>
    <w:uiPriority w:val="0"/>
    <w:rPr>
      <w:rFonts w:ascii="Arial" w:hAnsi="Arial" w:eastAsia="黑体" w:cs="Times New Roman"/>
      <w:b/>
      <w:bCs/>
      <w:sz w:val="32"/>
      <w:szCs w:val="32"/>
    </w:rPr>
  </w:style>
  <w:style w:type="character" w:customStyle="1" w:styleId="978">
    <w:name w:val="正文缩进 Char1"/>
    <w:qFormat/>
    <w:uiPriority w:val="0"/>
    <w:rPr>
      <w:rFonts w:ascii="Calibri" w:hAnsi="Calibri" w:eastAsia="宋体" w:cs="Times New Roman"/>
      <w:szCs w:val="20"/>
    </w:rPr>
  </w:style>
  <w:style w:type="paragraph" w:customStyle="1" w:styleId="979">
    <w:name w:val="TOC Heading1"/>
    <w:basedOn w:val="2"/>
    <w:next w:val="1"/>
    <w:qFormat/>
    <w:uiPriority w:val="99"/>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4"/>
    <w:qFormat/>
    <w:uiPriority w:val="0"/>
  </w:style>
  <w:style w:type="character" w:customStyle="1" w:styleId="981">
    <w:name w:val="书籍标题2"/>
    <w:qFormat/>
    <w:uiPriority w:val="33"/>
    <w:rPr>
      <w:b/>
      <w:bCs/>
      <w:smallCaps/>
      <w:spacing w:val="5"/>
    </w:rPr>
  </w:style>
  <w:style w:type="paragraph" w:customStyle="1" w:styleId="982">
    <w:name w:val="z-窗体底端2"/>
    <w:basedOn w:val="1"/>
    <w:next w:val="1"/>
    <w:qFormat/>
    <w:uiPriority w:val="0"/>
    <w:pPr>
      <w:widowControl/>
      <w:pBdr>
        <w:top w:val="single" w:color="auto" w:sz="6" w:space="1"/>
      </w:pBdr>
      <w:jc w:val="center"/>
    </w:pPr>
    <w:rPr>
      <w:rFonts w:ascii="Arial" w:hAnsi="Arial" w:cs="Arial" w:eastAsiaTheme="minorEastAsia"/>
      <w:vanish/>
      <w:kern w:val="0"/>
      <w:sz w:val="16"/>
      <w:szCs w:val="16"/>
    </w:rPr>
  </w:style>
  <w:style w:type="character" w:customStyle="1" w:styleId="983">
    <w:name w:val="明显参考2"/>
    <w:qFormat/>
    <w:uiPriority w:val="0"/>
    <w:rPr>
      <w:b/>
      <w:sz w:val="24"/>
      <w:u w:val="single"/>
    </w:rPr>
  </w:style>
  <w:style w:type="paragraph" w:customStyle="1" w:styleId="984">
    <w:name w:val="z-窗体顶端2"/>
    <w:basedOn w:val="1"/>
    <w:next w:val="1"/>
    <w:qFormat/>
    <w:uiPriority w:val="0"/>
    <w:pPr>
      <w:widowControl/>
      <w:pBdr>
        <w:bottom w:val="single" w:color="auto" w:sz="6" w:space="1"/>
      </w:pBdr>
      <w:jc w:val="center"/>
    </w:pPr>
    <w:rPr>
      <w:rFonts w:ascii="Arial" w:hAnsi="Arial" w:cs="Arial" w:eastAsiaTheme="minorEastAsia"/>
      <w:vanish/>
      <w:kern w:val="0"/>
      <w:sz w:val="16"/>
      <w:szCs w:val="16"/>
    </w:rPr>
  </w:style>
  <w:style w:type="character" w:customStyle="1" w:styleId="985">
    <w:name w:val="不明显参考2"/>
    <w:qFormat/>
    <w:uiPriority w:val="31"/>
    <w:rPr>
      <w:smallCaps/>
      <w:color w:val="C0504D"/>
      <w:u w:val="single"/>
    </w:rPr>
  </w:style>
  <w:style w:type="paragraph" w:customStyle="1" w:styleId="986">
    <w:name w:val="TOC 标题2"/>
    <w:basedOn w:val="2"/>
    <w:next w:val="1"/>
    <w:qFormat/>
    <w:uiPriority w:val="9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987">
    <w:name w:val="修订2"/>
    <w:semiHidden/>
    <w:qFormat/>
    <w:uiPriority w:val="99"/>
    <w:rPr>
      <w:rFonts w:ascii="Calibri" w:hAnsi="Calibri" w:eastAsia="宋体" w:cs="Times New Roman"/>
      <w:kern w:val="2"/>
      <w:sz w:val="21"/>
      <w:szCs w:val="22"/>
      <w:lang w:val="en-US" w:eastAsia="zh-CN" w:bidi="ar-SA"/>
    </w:rPr>
  </w:style>
  <w:style w:type="character" w:customStyle="1" w:styleId="988">
    <w:name w:val="日期 字符1"/>
    <w:basedOn w:val="64"/>
    <w:semiHidden/>
    <w:qFormat/>
    <w:uiPriority w:val="0"/>
    <w:rPr>
      <w:rFonts w:ascii="Calibri" w:hAnsi="Calibri" w:eastAsia="宋体" w:cs="Times New Roman"/>
    </w:rPr>
  </w:style>
  <w:style w:type="character" w:customStyle="1" w:styleId="989">
    <w:name w:val="正文文本 2 字符1"/>
    <w:basedOn w:val="64"/>
    <w:semiHidden/>
    <w:qFormat/>
    <w:uiPriority w:val="0"/>
    <w:rPr>
      <w:rFonts w:ascii="Calibri" w:hAnsi="Calibri" w:eastAsia="宋体" w:cs="Times New Roman"/>
    </w:rPr>
  </w:style>
  <w:style w:type="character" w:customStyle="1" w:styleId="990">
    <w:name w:val="纯文本 字符1"/>
    <w:basedOn w:val="64"/>
    <w:semiHidden/>
    <w:qFormat/>
    <w:uiPriority w:val="99"/>
    <w:rPr>
      <w:rFonts w:hAnsi="Courier New" w:cs="Courier New" w:asciiTheme="minorEastAsia"/>
    </w:rPr>
  </w:style>
  <w:style w:type="table" w:customStyle="1" w:styleId="991">
    <w:name w:val="网格型2"/>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99</Pages>
  <Words>41505</Words>
  <Characters>45424</Characters>
  <Lines>132</Lines>
  <Paragraphs>37</Paragraphs>
  <TotalTime>1</TotalTime>
  <ScaleCrop>false</ScaleCrop>
  <LinksUpToDate>false</LinksUpToDate>
  <CharactersWithSpaces>47905</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2024-04-03T03:03:00Z</dcterms:created>
  <dc:creator>ls</dc:creator>
  <cp:lastModifiedBy>WPS_1563246556</cp:lastModifiedBy>
  <cp:lastPrinted>2021-01-25T02:12:00Z</cp:lastPrinted>
  <dcterms:modified xsi:type="dcterms:W3CDTF">2024-05-14T00:37:18Z</dcterms:modified>
  <cp:revision>256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B008742F109C45BFA6312B94BF6478E4</vt:lpwstr>
  </property>
</Properties>
</file>