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240" w:lineRule="atLeast"/>
        <w:ind w:right="-108"/>
        <w:jc w:val="center"/>
        <w:rPr>
          <w:rFonts w:ascii="仿宋" w:hAnsi="仿宋" w:eastAsia="仿宋" w:cs="宋体"/>
          <w:sz w:val="36"/>
          <w:szCs w:val="36"/>
        </w:rPr>
      </w:pPr>
      <w:bookmarkStart w:id="0" w:name="PO_15526_PM002"/>
      <w:bookmarkStart w:id="49" w:name="_GoBack"/>
      <w:bookmarkEnd w:id="49"/>
      <w:r>
        <w:rPr>
          <w:rFonts w:hint="eastAsia" w:ascii="仿宋" w:hAnsi="仿宋" w:eastAsia="仿宋" w:cs="宋体"/>
          <w:sz w:val="36"/>
          <w:szCs w:val="36"/>
        </w:rPr>
        <w:t>浙江省福利彩票管理中心2024年彩票业务宽带线路与机房租赁服务项目</w:t>
      </w:r>
      <w:bookmarkEnd w:id="0"/>
    </w:p>
    <w:p>
      <w:pPr>
        <w:shd w:val="clear" w:color="auto" w:fill="FFFFFF"/>
        <w:spacing w:line="240" w:lineRule="atLeast"/>
        <w:ind w:right="-108"/>
        <w:jc w:val="center"/>
        <w:rPr>
          <w:rFonts w:ascii="仿宋" w:hAnsi="仿宋" w:eastAsia="仿宋" w:cs="宋体"/>
          <w:sz w:val="36"/>
          <w:szCs w:val="36"/>
        </w:rPr>
      </w:pPr>
      <w:r>
        <w:rPr>
          <w:rFonts w:hint="eastAsia" w:ascii="仿宋" w:hAnsi="仿宋" w:eastAsia="仿宋" w:cs="宋体"/>
          <w:sz w:val="36"/>
          <w:szCs w:val="36"/>
        </w:rPr>
        <w:t>项目编号：</w:t>
      </w:r>
      <w:bookmarkStart w:id="1" w:name="PO_15526_PM001"/>
      <w:r>
        <w:rPr>
          <w:rFonts w:hint="eastAsia" w:ascii="仿宋" w:hAnsi="仿宋" w:eastAsia="仿宋" w:cs="宋体"/>
          <w:sz w:val="36"/>
          <w:szCs w:val="36"/>
        </w:rPr>
        <w:t>ZZCG2023C-DY-111</w:t>
      </w:r>
      <w:bookmarkEnd w:id="1"/>
    </w:p>
    <w:p>
      <w:pPr>
        <w:shd w:val="clear" w:color="auto" w:fill="FFFFFF"/>
        <w:spacing w:after="100" w:afterAutospacing="1" w:line="820" w:lineRule="exact"/>
        <w:ind w:right="-108"/>
        <w:jc w:val="center"/>
        <w:rPr>
          <w:rFonts w:ascii="仿宋" w:hAnsi="仿宋" w:eastAsia="仿宋" w:cs="宋体"/>
          <w:bCs/>
          <w:spacing w:val="40"/>
          <w:sz w:val="84"/>
          <w:szCs w:val="84"/>
        </w:rPr>
      </w:pPr>
    </w:p>
    <w:p>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单</w:t>
      </w:r>
    </w:p>
    <w:p>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一</w:t>
      </w:r>
    </w:p>
    <w:p>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来</w:t>
      </w:r>
    </w:p>
    <w:p>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源</w:t>
      </w:r>
    </w:p>
    <w:p>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采</w:t>
      </w:r>
    </w:p>
    <w:p>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购</w:t>
      </w:r>
    </w:p>
    <w:p>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文</w:t>
      </w:r>
    </w:p>
    <w:p>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件</w:t>
      </w:r>
    </w:p>
    <w:p>
      <w:pPr>
        <w:spacing w:line="500" w:lineRule="exact"/>
        <w:ind w:right="532" w:firstLine="540" w:firstLineChars="150"/>
        <w:jc w:val="center"/>
        <w:rPr>
          <w:rFonts w:ascii="宋体" w:hAnsi="宋体"/>
          <w:color w:val="000000"/>
          <w:sz w:val="36"/>
          <w:szCs w:val="36"/>
        </w:rPr>
      </w:pPr>
      <w:bookmarkStart w:id="2" w:name="采购单位"/>
      <w:r>
        <w:rPr>
          <w:rFonts w:hint="eastAsia" w:ascii="宋体" w:hAnsi="宋体"/>
          <w:color w:val="000000"/>
          <w:sz w:val="36"/>
          <w:szCs w:val="36"/>
        </w:rPr>
        <w:t>浙江省政府采购中心</w:t>
      </w:r>
      <w:bookmarkEnd w:id="2"/>
    </w:p>
    <w:p>
      <w:pPr>
        <w:spacing w:line="500" w:lineRule="exact"/>
        <w:ind w:right="532" w:firstLine="540" w:firstLineChars="150"/>
        <w:jc w:val="center"/>
        <w:rPr>
          <w:rFonts w:ascii="宋体"/>
          <w:color w:val="000000"/>
          <w:sz w:val="36"/>
          <w:szCs w:val="36"/>
        </w:rPr>
      </w:pPr>
    </w:p>
    <w:p>
      <w:pPr>
        <w:wordWrap w:val="0"/>
        <w:spacing w:line="500" w:lineRule="exact"/>
        <w:ind w:right="-108" w:firstLine="540" w:firstLineChars="150"/>
        <w:jc w:val="center"/>
        <w:rPr>
          <w:rFonts w:ascii="宋体"/>
          <w:color w:val="000000"/>
          <w:sz w:val="36"/>
          <w:szCs w:val="36"/>
        </w:rPr>
      </w:pPr>
      <w:bookmarkStart w:id="3" w:name="地址"/>
      <w:r>
        <w:rPr>
          <w:rFonts w:hint="eastAsia" w:ascii="宋体" w:hAnsi="宋体"/>
          <w:color w:val="000000"/>
          <w:sz w:val="36"/>
          <w:szCs w:val="36"/>
        </w:rPr>
        <w:t>地址：杭州市西湖区宝石一路3号</w:t>
      </w:r>
      <w:bookmarkEnd w:id="3"/>
    </w:p>
    <w:p>
      <w:pPr>
        <w:pStyle w:val="22"/>
        <w:spacing w:before="156" w:line="360" w:lineRule="auto"/>
        <w:jc w:val="center"/>
        <w:rPr>
          <w:rFonts w:ascii="仿宋" w:hAnsi="仿宋" w:eastAsia="仿宋"/>
          <w:b/>
          <w:sz w:val="52"/>
          <w:szCs w:val="52"/>
        </w:rPr>
      </w:pPr>
    </w:p>
    <w:p>
      <w:pPr>
        <w:pStyle w:val="22"/>
        <w:spacing w:before="156" w:line="360" w:lineRule="auto"/>
        <w:jc w:val="center"/>
        <w:rPr>
          <w:rFonts w:ascii="仿宋" w:hAnsi="仿宋" w:eastAsia="仿宋"/>
          <w:b/>
          <w:sz w:val="52"/>
          <w:szCs w:val="52"/>
        </w:rPr>
      </w:pPr>
      <w:r>
        <w:rPr>
          <w:rFonts w:hint="eastAsia" w:ascii="仿宋" w:hAnsi="仿宋" w:eastAsia="仿宋"/>
          <w:b/>
          <w:sz w:val="52"/>
          <w:szCs w:val="52"/>
        </w:rPr>
        <w:t>目  录</w:t>
      </w:r>
    </w:p>
    <w:p>
      <w:pPr>
        <w:pStyle w:val="22"/>
        <w:spacing w:before="156" w:line="360" w:lineRule="auto"/>
        <w:jc w:val="center"/>
        <w:rPr>
          <w:rFonts w:ascii="仿宋" w:hAnsi="仿宋" w:eastAsia="仿宋"/>
          <w:b/>
          <w:sz w:val="52"/>
          <w:szCs w:val="52"/>
        </w:rPr>
      </w:pPr>
    </w:p>
    <w:p>
      <w:pPr>
        <w:pStyle w:val="29"/>
        <w:tabs>
          <w:tab w:val="right" w:leader="dot" w:pos="8296"/>
        </w:tabs>
        <w:rPr>
          <w:rFonts w:ascii="Calibri" w:hAnsi="Calibri"/>
          <w:sz w:val="28"/>
          <w:szCs w:val="28"/>
        </w:rPr>
      </w:pPr>
      <w:r>
        <w:rPr>
          <w:rFonts w:hint="eastAsia" w:ascii="宋体" w:hAnsi="宋体"/>
          <w:sz w:val="28"/>
          <w:szCs w:val="28"/>
        </w:rPr>
        <w:fldChar w:fldCharType="begin"/>
      </w:r>
      <w:r>
        <w:rPr>
          <w:rFonts w:hint="eastAsia" w:ascii="宋体" w:hAnsi="宋体"/>
          <w:sz w:val="28"/>
          <w:szCs w:val="28"/>
        </w:rPr>
        <w:instrText xml:space="preserve"> TOC \o "1-1" \h \z \u </w:instrText>
      </w:r>
      <w:r>
        <w:rPr>
          <w:rFonts w:hint="eastAsia" w:ascii="宋体" w:hAnsi="宋体"/>
          <w:sz w:val="28"/>
          <w:szCs w:val="28"/>
        </w:rPr>
        <w:fldChar w:fldCharType="separate"/>
      </w:r>
      <w:r>
        <w:fldChar w:fldCharType="begin"/>
      </w:r>
      <w:r>
        <w:instrText xml:space="preserve"> HYPERLINK "PageOfficeControl%20中的文档" \l "_Toc510136958" </w:instrText>
      </w:r>
      <w:r>
        <w:fldChar w:fldCharType="separate"/>
      </w:r>
      <w:r>
        <w:rPr>
          <w:rStyle w:val="50"/>
          <w:rFonts w:hint="eastAsia"/>
          <w:sz w:val="28"/>
          <w:szCs w:val="28"/>
        </w:rPr>
        <w:t>第一章单一来源采购邀请</w:t>
      </w:r>
      <w:r>
        <w:rPr>
          <w:rStyle w:val="50"/>
          <w:sz w:val="28"/>
          <w:szCs w:val="28"/>
        </w:rPr>
        <w:tab/>
      </w:r>
      <w:r>
        <w:rPr>
          <w:rStyle w:val="50"/>
          <w:sz w:val="28"/>
          <w:szCs w:val="28"/>
        </w:rPr>
        <w:fldChar w:fldCharType="begin"/>
      </w:r>
      <w:r>
        <w:rPr>
          <w:rStyle w:val="50"/>
          <w:sz w:val="28"/>
          <w:szCs w:val="28"/>
        </w:rPr>
        <w:instrText xml:space="preserve"> PAGEREF _Toc510136958 \h </w:instrText>
      </w:r>
      <w:r>
        <w:rPr>
          <w:rStyle w:val="50"/>
          <w:sz w:val="28"/>
          <w:szCs w:val="28"/>
        </w:rPr>
        <w:fldChar w:fldCharType="separate"/>
      </w:r>
      <w:r>
        <w:rPr>
          <w:rStyle w:val="50"/>
          <w:sz w:val="28"/>
          <w:szCs w:val="28"/>
        </w:rPr>
        <w:t>3</w:t>
      </w:r>
      <w:r>
        <w:rPr>
          <w:rStyle w:val="50"/>
          <w:sz w:val="28"/>
          <w:szCs w:val="28"/>
        </w:rPr>
        <w:fldChar w:fldCharType="end"/>
      </w:r>
      <w:r>
        <w:rPr>
          <w:rStyle w:val="50"/>
          <w:sz w:val="28"/>
          <w:szCs w:val="28"/>
        </w:rPr>
        <w:fldChar w:fldCharType="end"/>
      </w:r>
    </w:p>
    <w:p>
      <w:pPr>
        <w:pStyle w:val="29"/>
        <w:tabs>
          <w:tab w:val="right" w:leader="dot" w:pos="8296"/>
        </w:tabs>
        <w:rPr>
          <w:rFonts w:ascii="Calibri" w:hAnsi="Calibri"/>
          <w:sz w:val="28"/>
          <w:szCs w:val="28"/>
        </w:rPr>
      </w:pPr>
      <w:r>
        <w:fldChar w:fldCharType="begin"/>
      </w:r>
      <w:r>
        <w:instrText xml:space="preserve"> HYPERLINK "PageOfficeControl%20中的文档" \l "_Toc510136959" </w:instrText>
      </w:r>
      <w:r>
        <w:fldChar w:fldCharType="separate"/>
      </w:r>
      <w:r>
        <w:rPr>
          <w:rStyle w:val="50"/>
          <w:rFonts w:hint="eastAsia"/>
          <w:sz w:val="28"/>
          <w:szCs w:val="28"/>
        </w:rPr>
        <w:t>第二章响应方须知</w:t>
      </w:r>
      <w:r>
        <w:rPr>
          <w:rStyle w:val="50"/>
          <w:sz w:val="28"/>
          <w:szCs w:val="28"/>
        </w:rPr>
        <w:tab/>
      </w:r>
      <w:r>
        <w:rPr>
          <w:rStyle w:val="50"/>
          <w:sz w:val="28"/>
          <w:szCs w:val="28"/>
        </w:rPr>
        <w:fldChar w:fldCharType="begin"/>
      </w:r>
      <w:r>
        <w:rPr>
          <w:rStyle w:val="50"/>
          <w:sz w:val="28"/>
          <w:szCs w:val="28"/>
        </w:rPr>
        <w:instrText xml:space="preserve"> PAGEREF _Toc510136959 \h </w:instrText>
      </w:r>
      <w:r>
        <w:rPr>
          <w:rStyle w:val="50"/>
          <w:sz w:val="28"/>
          <w:szCs w:val="28"/>
        </w:rPr>
        <w:fldChar w:fldCharType="separate"/>
      </w:r>
      <w:r>
        <w:rPr>
          <w:rStyle w:val="50"/>
          <w:sz w:val="28"/>
          <w:szCs w:val="28"/>
        </w:rPr>
        <w:t>6</w:t>
      </w:r>
      <w:r>
        <w:rPr>
          <w:rStyle w:val="50"/>
          <w:sz w:val="28"/>
          <w:szCs w:val="28"/>
        </w:rPr>
        <w:fldChar w:fldCharType="end"/>
      </w:r>
      <w:r>
        <w:rPr>
          <w:rStyle w:val="50"/>
          <w:sz w:val="28"/>
          <w:szCs w:val="28"/>
        </w:rPr>
        <w:fldChar w:fldCharType="end"/>
      </w:r>
    </w:p>
    <w:p>
      <w:pPr>
        <w:pStyle w:val="29"/>
        <w:tabs>
          <w:tab w:val="right" w:leader="dot" w:pos="8296"/>
        </w:tabs>
        <w:rPr>
          <w:rFonts w:hint="eastAsia" w:ascii="Calibri" w:hAnsi="Calibri" w:eastAsia="宋体"/>
          <w:sz w:val="28"/>
          <w:szCs w:val="28"/>
          <w:lang w:val="en-US" w:eastAsia="zh-CN"/>
        </w:rPr>
      </w:pPr>
      <w:r>
        <w:fldChar w:fldCharType="begin"/>
      </w:r>
      <w:r>
        <w:instrText xml:space="preserve"> HYPERLINK "PageOfficeControl%20中的文档" \l "_Toc510136960" </w:instrText>
      </w:r>
      <w:r>
        <w:fldChar w:fldCharType="separate"/>
      </w:r>
      <w:r>
        <w:rPr>
          <w:rStyle w:val="50"/>
          <w:rFonts w:hint="eastAsia"/>
          <w:sz w:val="28"/>
          <w:szCs w:val="28"/>
        </w:rPr>
        <w:t>第三章采购内容</w:t>
      </w:r>
      <w:r>
        <w:rPr>
          <w:rStyle w:val="50"/>
          <w:sz w:val="28"/>
          <w:szCs w:val="28"/>
        </w:rPr>
        <w:tab/>
      </w:r>
      <w:r>
        <w:rPr>
          <w:rStyle w:val="50"/>
          <w:rFonts w:hint="eastAsia"/>
          <w:sz w:val="28"/>
          <w:szCs w:val="28"/>
          <w:lang w:val="en-US" w:eastAsia="zh-CN"/>
        </w:rPr>
        <w:t>2</w:t>
      </w:r>
      <w:r>
        <w:rPr>
          <w:rStyle w:val="50"/>
          <w:sz w:val="28"/>
          <w:szCs w:val="28"/>
        </w:rPr>
        <w:fldChar w:fldCharType="end"/>
      </w:r>
      <w:r>
        <w:rPr>
          <w:rStyle w:val="50"/>
          <w:rFonts w:hint="eastAsia"/>
          <w:sz w:val="28"/>
          <w:szCs w:val="28"/>
          <w:lang w:val="en-US" w:eastAsia="zh-CN"/>
        </w:rPr>
        <w:t>0</w:t>
      </w:r>
    </w:p>
    <w:p>
      <w:pPr>
        <w:pStyle w:val="29"/>
        <w:tabs>
          <w:tab w:val="right" w:leader="dot" w:pos="8296"/>
        </w:tabs>
        <w:rPr>
          <w:rFonts w:ascii="Calibri" w:hAnsi="Calibri"/>
          <w:sz w:val="28"/>
          <w:szCs w:val="28"/>
        </w:rPr>
      </w:pPr>
      <w:r>
        <w:fldChar w:fldCharType="begin"/>
      </w:r>
      <w:r>
        <w:instrText xml:space="preserve"> HYPERLINK "PageOfficeControl%20中的文档" \l "_Toc510136961" </w:instrText>
      </w:r>
      <w:r>
        <w:fldChar w:fldCharType="separate"/>
      </w:r>
      <w:r>
        <w:rPr>
          <w:rStyle w:val="50"/>
          <w:rFonts w:hint="eastAsia"/>
          <w:sz w:val="28"/>
          <w:szCs w:val="28"/>
        </w:rPr>
        <w:t>第四章浙江省政府采购合同主要条款指引</w:t>
      </w:r>
      <w:r>
        <w:rPr>
          <w:rStyle w:val="50"/>
          <w:sz w:val="28"/>
          <w:szCs w:val="28"/>
        </w:rPr>
        <w:tab/>
      </w:r>
      <w:r>
        <w:rPr>
          <w:rStyle w:val="50"/>
          <w:sz w:val="28"/>
          <w:szCs w:val="28"/>
        </w:rPr>
        <w:t>3</w:t>
      </w:r>
      <w:r>
        <w:rPr>
          <w:rStyle w:val="50"/>
          <w:rFonts w:hint="eastAsia"/>
          <w:sz w:val="28"/>
          <w:szCs w:val="28"/>
          <w:lang w:val="en-US" w:eastAsia="zh-CN"/>
        </w:rPr>
        <w:t>5</w:t>
      </w:r>
      <w:r>
        <w:rPr>
          <w:rStyle w:val="50"/>
          <w:sz w:val="28"/>
          <w:szCs w:val="28"/>
        </w:rPr>
        <w:fldChar w:fldCharType="end"/>
      </w:r>
    </w:p>
    <w:p>
      <w:pPr>
        <w:pStyle w:val="29"/>
        <w:tabs>
          <w:tab w:val="right" w:leader="dot" w:pos="8296"/>
        </w:tabs>
        <w:rPr>
          <w:rFonts w:hint="eastAsia" w:ascii="Calibri" w:hAnsi="Calibri" w:eastAsia="宋体"/>
          <w:sz w:val="28"/>
          <w:szCs w:val="28"/>
          <w:lang w:val="en-US" w:eastAsia="zh-CN"/>
        </w:rPr>
      </w:pPr>
      <w:r>
        <w:fldChar w:fldCharType="begin"/>
      </w:r>
      <w:r>
        <w:instrText xml:space="preserve"> HYPERLINK "PageOfficeControl%20中的文档" \l "_Toc510136962" </w:instrText>
      </w:r>
      <w:r>
        <w:fldChar w:fldCharType="separate"/>
      </w:r>
      <w:r>
        <w:rPr>
          <w:rStyle w:val="50"/>
          <w:rFonts w:hint="eastAsia"/>
          <w:snapToGrid w:val="0"/>
          <w:sz w:val="28"/>
          <w:szCs w:val="28"/>
        </w:rPr>
        <w:t>第五章</w:t>
      </w:r>
      <w:r>
        <w:rPr>
          <w:rStyle w:val="50"/>
          <w:rFonts w:hint="eastAsia"/>
          <w:sz w:val="28"/>
          <w:szCs w:val="28"/>
        </w:rPr>
        <w:t>单一来源采购响应文件格式附件</w:t>
      </w:r>
      <w:r>
        <w:rPr>
          <w:rStyle w:val="50"/>
          <w:sz w:val="28"/>
          <w:szCs w:val="28"/>
        </w:rPr>
        <w:tab/>
      </w:r>
      <w:r>
        <w:rPr>
          <w:rStyle w:val="50"/>
          <w:rFonts w:hint="eastAsia"/>
          <w:sz w:val="28"/>
          <w:szCs w:val="28"/>
          <w:lang w:val="en-US" w:eastAsia="zh-CN"/>
        </w:rPr>
        <w:t>4</w:t>
      </w:r>
      <w:r>
        <w:rPr>
          <w:rStyle w:val="50"/>
          <w:sz w:val="28"/>
          <w:szCs w:val="28"/>
        </w:rPr>
        <w:fldChar w:fldCharType="end"/>
      </w:r>
      <w:r>
        <w:rPr>
          <w:rStyle w:val="50"/>
          <w:rFonts w:hint="eastAsia"/>
          <w:sz w:val="28"/>
          <w:szCs w:val="28"/>
          <w:lang w:val="en-US" w:eastAsia="zh-CN"/>
        </w:rPr>
        <w:t>0</w:t>
      </w:r>
    </w:p>
    <w:p>
      <w:pPr>
        <w:pStyle w:val="22"/>
        <w:spacing w:before="156" w:line="480" w:lineRule="auto"/>
        <w:jc w:val="left"/>
        <w:rPr>
          <w:rFonts w:ascii="仿宋" w:hAnsi="仿宋" w:eastAsia="仿宋"/>
          <w:sz w:val="28"/>
          <w:szCs w:val="28"/>
        </w:rPr>
      </w:pPr>
      <w:r>
        <w:rPr>
          <w:rFonts w:hint="eastAsia" w:hAnsi="宋体"/>
          <w:sz w:val="28"/>
          <w:szCs w:val="28"/>
        </w:rPr>
        <w:fldChar w:fldCharType="end"/>
      </w:r>
    </w:p>
    <w:p>
      <w:pPr>
        <w:pStyle w:val="40"/>
      </w:pPr>
      <w:r>
        <w:rPr>
          <w:b w:val="0"/>
          <w:bCs w:val="0"/>
          <w:sz w:val="30"/>
          <w:szCs w:val="30"/>
        </w:rPr>
        <w:br w:type="page"/>
      </w:r>
      <w:bookmarkStart w:id="4" w:name="_Toc510136958"/>
      <w:bookmarkStart w:id="5" w:name="_Toc451268214"/>
      <w:r>
        <w:rPr>
          <w:rFonts w:hint="eastAsia"/>
        </w:rPr>
        <w:t>第一章单一来源采购邀请</w:t>
      </w:r>
      <w:bookmarkEnd w:id="4"/>
      <w:bookmarkEnd w:id="5"/>
    </w:p>
    <w:p>
      <w:pPr>
        <w:spacing w:line="360" w:lineRule="auto"/>
        <w:ind w:firstLine="588" w:firstLineChars="196"/>
        <w:rPr>
          <w:rFonts w:ascii="仿宋" w:hAnsi="仿宋" w:eastAsia="仿宋" w:cs="仿宋"/>
          <w:sz w:val="28"/>
          <w:szCs w:val="28"/>
        </w:rPr>
      </w:pPr>
      <w:r>
        <w:rPr>
          <w:rFonts w:hint="eastAsia" w:ascii="仿宋" w:hAnsi="仿宋" w:eastAsia="仿宋"/>
          <w:sz w:val="30"/>
          <w:szCs w:val="30"/>
        </w:rPr>
        <w:t>根据《中华人民共和国政府采购法》、《政府采购非招标采购方式管理规定》、《中华人民共和国政府采购法实施条例》规定，经采购人推荐，浙江省财政厅批准，现就下列项目向</w:t>
      </w:r>
      <w:bookmarkStart w:id="6" w:name="PO_15526_PM001383"/>
      <w:r>
        <w:rPr>
          <w:rFonts w:hint="eastAsia" w:ascii="仿宋" w:hAnsi="仿宋" w:eastAsia="仿宋"/>
          <w:sz w:val="30"/>
          <w:szCs w:val="30"/>
        </w:rPr>
        <w:t>标项1：(正式)中国电信股份有限公司浙江分公司。</w:t>
      </w:r>
      <w:bookmarkEnd w:id="6"/>
      <w:r>
        <w:rPr>
          <w:rFonts w:hint="eastAsia" w:ascii="仿宋" w:hAnsi="仿宋" w:eastAsia="仿宋"/>
          <w:sz w:val="30"/>
          <w:szCs w:val="30"/>
        </w:rPr>
        <w:t>进行单一来源采购：</w:t>
      </w:r>
    </w:p>
    <w:p>
      <w:pPr>
        <w:snapToGrid w:val="0"/>
        <w:spacing w:line="460" w:lineRule="exact"/>
        <w:ind w:firstLine="600" w:firstLineChars="200"/>
        <w:rPr>
          <w:rFonts w:ascii="仿宋" w:hAnsi="仿宋" w:eastAsia="仿宋"/>
          <w:kern w:val="0"/>
          <w:sz w:val="30"/>
          <w:szCs w:val="30"/>
        </w:rPr>
      </w:pPr>
      <w:r>
        <w:rPr>
          <w:rFonts w:hint="eastAsia" w:ascii="仿宋" w:hAnsi="仿宋" w:eastAsia="仿宋" w:cs="Arial"/>
          <w:sz w:val="30"/>
          <w:szCs w:val="30"/>
        </w:rPr>
        <w:t>一、</w:t>
      </w:r>
      <w:r>
        <w:rPr>
          <w:rFonts w:hint="eastAsia" w:ascii="仿宋" w:hAnsi="仿宋" w:eastAsia="仿宋" w:cs="Arial"/>
          <w:b/>
          <w:bCs/>
          <w:sz w:val="30"/>
          <w:szCs w:val="30"/>
        </w:rPr>
        <w:t>项目编号：</w:t>
      </w:r>
      <w:bookmarkStart w:id="7" w:name="PO_15526_PM001_1"/>
      <w:r>
        <w:rPr>
          <w:rFonts w:hint="eastAsia" w:ascii="仿宋" w:hAnsi="仿宋" w:eastAsia="仿宋" w:cs="Arial"/>
          <w:b/>
          <w:bCs/>
          <w:sz w:val="30"/>
          <w:szCs w:val="30"/>
        </w:rPr>
        <w:t>ZZCG2023C-DY-111</w:t>
      </w:r>
      <w:bookmarkEnd w:id="7"/>
    </w:p>
    <w:p>
      <w:pPr>
        <w:snapToGrid w:val="0"/>
        <w:spacing w:line="460" w:lineRule="exact"/>
        <w:ind w:firstLine="602" w:firstLineChars="200"/>
        <w:rPr>
          <w:rFonts w:ascii="仿宋" w:hAnsi="仿宋" w:eastAsia="仿宋" w:cs="Arial"/>
          <w:b/>
          <w:bCs/>
          <w:sz w:val="30"/>
          <w:szCs w:val="30"/>
        </w:rPr>
      </w:pPr>
      <w:r>
        <w:rPr>
          <w:rFonts w:hint="eastAsia" w:ascii="仿宋" w:hAnsi="仿宋" w:eastAsia="仿宋" w:cs="Arial"/>
          <w:b/>
          <w:sz w:val="30"/>
          <w:szCs w:val="30"/>
        </w:rPr>
        <w:t>二、</w:t>
      </w:r>
      <w:r>
        <w:rPr>
          <w:rFonts w:hint="eastAsia" w:ascii="仿宋" w:hAnsi="仿宋" w:eastAsia="仿宋" w:cs="Arial"/>
          <w:b/>
          <w:bCs/>
          <w:sz w:val="30"/>
          <w:szCs w:val="30"/>
        </w:rPr>
        <w:t>采购内容及数量</w:t>
      </w:r>
    </w:p>
    <w:p>
      <w:pPr>
        <w:snapToGrid w:val="0"/>
        <w:spacing w:line="460" w:lineRule="exact"/>
        <w:ind w:firstLine="602" w:firstLineChars="200"/>
        <w:rPr>
          <w:rFonts w:ascii="仿宋" w:hAnsi="仿宋" w:eastAsia="仿宋" w:cs="Arial"/>
          <w:b/>
          <w:bCs/>
          <w:sz w:val="30"/>
          <w:szCs w:val="30"/>
        </w:rPr>
      </w:pPr>
      <w:bookmarkStart w:id="8" w:name="PO_15526_PM004_1"/>
      <w:r>
        <w:rPr>
          <w:rFonts w:hint="eastAsia" w:ascii="仿宋" w:hAnsi="仿宋" w:eastAsia="仿宋" w:cs="Arial"/>
          <w:b/>
          <w:bCs/>
          <w:sz w:val="30"/>
          <w:szCs w:val="30"/>
        </w:rPr>
        <w:t xml:space="preserve"> </w:t>
      </w:r>
    </w:p>
    <w:tbl>
      <w:tblPr>
        <w:tblStyle w:val="44"/>
        <w:tblW w:w="51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3277"/>
        <w:gridCol w:w="792"/>
        <w:gridCol w:w="991"/>
        <w:gridCol w:w="1548"/>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427" w:type="pct"/>
          </w:tcPr>
          <w:p>
            <w:pPr>
              <w:snapToGrid w:val="0"/>
              <w:spacing w:line="460" w:lineRule="exact"/>
              <w:rPr>
                <w:rFonts w:ascii="仿宋" w:hAnsi="仿宋" w:eastAsia="仿宋" w:cs="Arial"/>
                <w:b/>
                <w:bCs/>
                <w:sz w:val="30"/>
                <w:szCs w:val="30"/>
              </w:rPr>
            </w:pPr>
            <w:r>
              <w:rPr>
                <w:rFonts w:hint="eastAsia" w:ascii="仿宋" w:hAnsi="仿宋" w:eastAsia="仿宋" w:cs="Arial"/>
                <w:b/>
                <w:bCs/>
                <w:sz w:val="30"/>
                <w:szCs w:val="30"/>
              </w:rPr>
              <w:t>标项序号</w:t>
            </w:r>
          </w:p>
        </w:tc>
        <w:tc>
          <w:tcPr>
            <w:tcW w:w="1857" w:type="pct"/>
          </w:tcPr>
          <w:p>
            <w:pPr>
              <w:snapToGrid w:val="0"/>
              <w:spacing w:line="460" w:lineRule="exact"/>
              <w:rPr>
                <w:rFonts w:ascii="仿宋" w:hAnsi="仿宋" w:eastAsia="仿宋" w:cs="Arial"/>
                <w:b/>
                <w:bCs/>
                <w:sz w:val="30"/>
                <w:szCs w:val="30"/>
              </w:rPr>
            </w:pPr>
            <w:r>
              <w:rPr>
                <w:rFonts w:hint="eastAsia" w:ascii="仿宋" w:hAnsi="仿宋" w:eastAsia="仿宋" w:cs="Arial"/>
                <w:b/>
                <w:bCs/>
                <w:sz w:val="30"/>
                <w:szCs w:val="30"/>
              </w:rPr>
              <w:t>标项名称</w:t>
            </w:r>
          </w:p>
        </w:tc>
        <w:tc>
          <w:tcPr>
            <w:tcW w:w="449" w:type="pct"/>
          </w:tcPr>
          <w:p>
            <w:pPr>
              <w:snapToGrid w:val="0"/>
              <w:spacing w:line="460" w:lineRule="exact"/>
              <w:rPr>
                <w:rFonts w:ascii="仿宋" w:hAnsi="仿宋" w:eastAsia="仿宋" w:cs="Arial"/>
                <w:b/>
                <w:bCs/>
                <w:sz w:val="30"/>
                <w:szCs w:val="30"/>
              </w:rPr>
            </w:pPr>
            <w:r>
              <w:rPr>
                <w:rFonts w:hint="eastAsia" w:ascii="仿宋" w:hAnsi="仿宋" w:eastAsia="仿宋" w:cs="Arial"/>
                <w:b/>
                <w:bCs/>
                <w:sz w:val="30"/>
                <w:szCs w:val="30"/>
              </w:rPr>
              <w:t>数量</w:t>
            </w:r>
          </w:p>
        </w:tc>
        <w:tc>
          <w:tcPr>
            <w:tcW w:w="562" w:type="pct"/>
          </w:tcPr>
          <w:p>
            <w:pPr>
              <w:snapToGrid w:val="0"/>
              <w:spacing w:line="460" w:lineRule="exact"/>
              <w:rPr>
                <w:rFonts w:ascii="仿宋" w:hAnsi="仿宋" w:eastAsia="仿宋" w:cs="Arial"/>
                <w:b/>
                <w:bCs/>
                <w:sz w:val="30"/>
                <w:szCs w:val="30"/>
              </w:rPr>
            </w:pPr>
            <w:r>
              <w:rPr>
                <w:rFonts w:hint="eastAsia" w:ascii="仿宋" w:hAnsi="仿宋" w:eastAsia="仿宋" w:cs="Arial"/>
                <w:b/>
                <w:bCs/>
                <w:sz w:val="30"/>
                <w:szCs w:val="30"/>
              </w:rPr>
              <w:t>单位</w:t>
            </w:r>
          </w:p>
        </w:tc>
        <w:tc>
          <w:tcPr>
            <w:tcW w:w="877" w:type="pct"/>
          </w:tcPr>
          <w:p>
            <w:pPr>
              <w:snapToGrid w:val="0"/>
              <w:spacing w:line="460" w:lineRule="exact"/>
              <w:rPr>
                <w:rFonts w:ascii="仿宋" w:hAnsi="仿宋" w:eastAsia="仿宋" w:cs="Arial"/>
                <w:b/>
                <w:bCs/>
                <w:sz w:val="30"/>
                <w:szCs w:val="30"/>
              </w:rPr>
            </w:pPr>
            <w:r>
              <w:rPr>
                <w:rFonts w:hint="eastAsia" w:ascii="仿宋" w:hAnsi="仿宋" w:eastAsia="仿宋" w:cs="Arial"/>
                <w:b/>
                <w:bCs/>
                <w:sz w:val="30"/>
                <w:szCs w:val="30"/>
              </w:rPr>
              <w:t>预算金额(万元)</w:t>
            </w:r>
          </w:p>
        </w:tc>
        <w:tc>
          <w:tcPr>
            <w:tcW w:w="825" w:type="pct"/>
          </w:tcPr>
          <w:p>
            <w:pPr>
              <w:snapToGrid w:val="0"/>
              <w:spacing w:line="460" w:lineRule="exact"/>
              <w:rPr>
                <w:rFonts w:ascii="仿宋" w:hAnsi="仿宋" w:eastAsia="仿宋" w:cs="Arial"/>
                <w:b/>
                <w:bCs/>
                <w:sz w:val="30"/>
                <w:szCs w:val="30"/>
              </w:rPr>
            </w:pPr>
            <w:r>
              <w:rPr>
                <w:rFonts w:hint="eastAsia" w:ascii="仿宋" w:hAnsi="仿宋" w:eastAsia="仿宋" w:cs="Arial"/>
                <w:b/>
                <w:bCs/>
                <w:sz w:val="30"/>
                <w:szCs w:val="30"/>
              </w:rPr>
              <w:t>简要规格描述或标项基本概况介绍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trPr>
        <w:tc>
          <w:tcPr>
            <w:tcW w:w="427" w:type="pct"/>
          </w:tcPr>
          <w:p>
            <w:pPr>
              <w:snapToGrid w:val="0"/>
              <w:spacing w:line="460" w:lineRule="exact"/>
              <w:rPr>
                <w:rFonts w:ascii="仿宋" w:hAnsi="仿宋" w:eastAsia="仿宋" w:cs="Arial"/>
                <w:b/>
                <w:bCs/>
                <w:sz w:val="30"/>
                <w:szCs w:val="30"/>
              </w:rPr>
            </w:pPr>
            <w:r>
              <w:rPr>
                <w:rFonts w:hint="eastAsia" w:ascii="仿宋" w:hAnsi="仿宋" w:eastAsia="仿宋" w:cs="Arial"/>
                <w:b/>
                <w:bCs/>
                <w:sz w:val="30"/>
                <w:szCs w:val="30"/>
              </w:rPr>
              <w:t>1</w:t>
            </w:r>
          </w:p>
        </w:tc>
        <w:tc>
          <w:tcPr>
            <w:tcW w:w="1857" w:type="pct"/>
          </w:tcPr>
          <w:p>
            <w:pPr>
              <w:snapToGrid w:val="0"/>
              <w:spacing w:line="460" w:lineRule="exact"/>
              <w:rPr>
                <w:rFonts w:hint="eastAsia" w:ascii="仿宋" w:hAnsi="仿宋" w:eastAsia="仿宋" w:cs="Arial"/>
                <w:b/>
                <w:bCs/>
                <w:sz w:val="30"/>
                <w:szCs w:val="30"/>
                <w:lang w:eastAsia="zh-CN"/>
              </w:rPr>
            </w:pPr>
            <w:r>
              <w:rPr>
                <w:rFonts w:hint="eastAsia" w:ascii="仿宋" w:hAnsi="仿宋" w:eastAsia="仿宋" w:cs="Arial"/>
                <w:b/>
                <w:bCs/>
                <w:sz w:val="30"/>
                <w:szCs w:val="30"/>
                <w:lang w:eastAsia="zh-CN"/>
              </w:rPr>
              <w:t>浙江省福利彩票管理中心2024年彩票业务宽带线路与机房租赁服务项目</w:t>
            </w:r>
          </w:p>
        </w:tc>
        <w:tc>
          <w:tcPr>
            <w:tcW w:w="449" w:type="pct"/>
          </w:tcPr>
          <w:p>
            <w:pPr>
              <w:snapToGrid w:val="0"/>
              <w:spacing w:line="460" w:lineRule="exact"/>
              <w:rPr>
                <w:rFonts w:ascii="仿宋" w:hAnsi="仿宋" w:eastAsia="仿宋" w:cs="Arial"/>
                <w:b/>
                <w:bCs/>
                <w:sz w:val="30"/>
                <w:szCs w:val="30"/>
              </w:rPr>
            </w:pPr>
            <w:r>
              <w:rPr>
                <w:rFonts w:hint="eastAsia" w:ascii="仿宋" w:hAnsi="仿宋" w:eastAsia="仿宋" w:cs="Arial"/>
                <w:b/>
                <w:bCs/>
                <w:sz w:val="30"/>
                <w:szCs w:val="30"/>
              </w:rPr>
              <w:t>1</w:t>
            </w:r>
          </w:p>
        </w:tc>
        <w:tc>
          <w:tcPr>
            <w:tcW w:w="562" w:type="pct"/>
          </w:tcPr>
          <w:p>
            <w:pPr>
              <w:snapToGrid w:val="0"/>
              <w:spacing w:line="460" w:lineRule="exact"/>
              <w:rPr>
                <w:rFonts w:ascii="仿宋" w:hAnsi="仿宋" w:eastAsia="仿宋" w:cs="Arial"/>
                <w:b/>
                <w:bCs/>
                <w:sz w:val="30"/>
                <w:szCs w:val="30"/>
              </w:rPr>
            </w:pPr>
            <w:r>
              <w:rPr>
                <w:rFonts w:hint="eastAsia" w:ascii="仿宋" w:hAnsi="仿宋" w:eastAsia="仿宋" w:cs="Arial"/>
                <w:b/>
                <w:bCs/>
                <w:sz w:val="30"/>
                <w:szCs w:val="30"/>
              </w:rPr>
              <w:t>批</w:t>
            </w:r>
          </w:p>
        </w:tc>
        <w:tc>
          <w:tcPr>
            <w:tcW w:w="877" w:type="pct"/>
          </w:tcPr>
          <w:p>
            <w:pPr>
              <w:snapToGrid w:val="0"/>
              <w:spacing w:line="460" w:lineRule="exact"/>
              <w:rPr>
                <w:rFonts w:ascii="仿宋" w:hAnsi="仿宋" w:eastAsia="仿宋" w:cs="Arial"/>
                <w:b/>
                <w:bCs/>
                <w:sz w:val="30"/>
                <w:szCs w:val="30"/>
              </w:rPr>
            </w:pPr>
            <w:r>
              <w:rPr>
                <w:rFonts w:hint="eastAsia" w:ascii="仿宋" w:hAnsi="仿宋" w:eastAsia="仿宋" w:cs="Arial"/>
                <w:b/>
                <w:bCs/>
                <w:sz w:val="30"/>
                <w:szCs w:val="30"/>
              </w:rPr>
              <w:t>865.73</w:t>
            </w:r>
          </w:p>
        </w:tc>
        <w:tc>
          <w:tcPr>
            <w:tcW w:w="825" w:type="pct"/>
          </w:tcPr>
          <w:p>
            <w:pPr>
              <w:snapToGrid w:val="0"/>
              <w:spacing w:line="460" w:lineRule="exact"/>
              <w:rPr>
                <w:rFonts w:ascii="仿宋" w:hAnsi="仿宋" w:eastAsia="仿宋" w:cs="Arial"/>
                <w:b/>
                <w:bCs/>
                <w:sz w:val="30"/>
                <w:szCs w:val="30"/>
              </w:rPr>
            </w:pPr>
            <w:r>
              <w:rPr>
                <w:rFonts w:hint="eastAsia" w:ascii="仿宋" w:hAnsi="仿宋" w:eastAsia="仿宋" w:cs="Arial"/>
                <w:b/>
                <w:bCs/>
                <w:sz w:val="30"/>
                <w:szCs w:val="30"/>
              </w:rPr>
              <w:t>详见需求</w:t>
            </w:r>
          </w:p>
        </w:tc>
      </w:tr>
    </w:tbl>
    <w:p>
      <w:pPr>
        <w:snapToGrid w:val="0"/>
        <w:spacing w:line="460" w:lineRule="exact"/>
        <w:ind w:firstLine="602" w:firstLineChars="200"/>
        <w:rPr>
          <w:rStyle w:val="51"/>
          <w:rFonts w:ascii="仿宋" w:hAnsi="仿宋" w:cs="Arial"/>
          <w:sz w:val="30"/>
        </w:rPr>
      </w:pPr>
      <w:r>
        <w:rPr>
          <w:rFonts w:hint="eastAsia" w:ascii="仿宋" w:hAnsi="仿宋" w:eastAsia="仿宋" w:cs="Arial"/>
          <w:b/>
          <w:bCs/>
          <w:sz w:val="30"/>
          <w:szCs w:val="30"/>
        </w:rPr>
        <w:t xml:space="preserve"> </w:t>
      </w:r>
      <w:bookmarkEnd w:id="8"/>
    </w:p>
    <w:p>
      <w:pPr>
        <w:snapToGrid w:val="0"/>
        <w:spacing w:line="460" w:lineRule="exact"/>
        <w:ind w:firstLine="301" w:firstLineChars="100"/>
      </w:pPr>
      <w:r>
        <w:rPr>
          <w:rFonts w:hint="eastAsia" w:ascii="仿宋" w:hAnsi="仿宋" w:eastAsia="仿宋" w:cs="Arial"/>
          <w:b/>
          <w:sz w:val="30"/>
          <w:szCs w:val="30"/>
        </w:rPr>
        <w:t>三</w:t>
      </w:r>
      <w:r>
        <w:rPr>
          <w:rFonts w:hint="eastAsia" w:ascii="仿宋" w:hAnsi="仿宋" w:eastAsia="仿宋" w:cs="Arial"/>
          <w:sz w:val="30"/>
          <w:szCs w:val="30"/>
        </w:rPr>
        <w:t>、</w:t>
      </w:r>
      <w:r>
        <w:rPr>
          <w:rFonts w:hint="eastAsia" w:ascii="仿宋" w:hAnsi="仿宋" w:eastAsia="仿宋" w:cs="Arial"/>
          <w:b/>
          <w:bCs/>
          <w:sz w:val="30"/>
          <w:szCs w:val="30"/>
        </w:rPr>
        <w:t>合格响应方的资格要求</w:t>
      </w:r>
    </w:p>
    <w:p>
      <w:pPr>
        <w:snapToGrid w:val="0"/>
        <w:spacing w:line="460" w:lineRule="exact"/>
        <w:ind w:firstLine="560" w:firstLineChars="200"/>
        <w:rPr>
          <w:rFonts w:ascii="仿宋" w:hAnsi="仿宋" w:eastAsia="仿宋"/>
          <w:sz w:val="28"/>
          <w:szCs w:val="28"/>
        </w:rPr>
      </w:pPr>
      <w:r>
        <w:rPr>
          <w:rFonts w:hint="eastAsia" w:ascii="仿宋" w:hAnsi="仿宋" w:eastAsia="仿宋" w:cs="Arial"/>
          <w:bCs/>
          <w:sz w:val="28"/>
          <w:szCs w:val="28"/>
        </w:rPr>
        <w:t>符合《中华人民共和国政府采购法》第二十二条和浙财采监【2013】24号《关于规范政府采购供应商资格设定及资格审查的通知》第六条规定,且未被</w:t>
      </w:r>
      <w:r>
        <w:rPr>
          <w:rFonts w:hint="eastAsia" w:ascii="仿宋" w:hAnsi="仿宋" w:eastAsia="仿宋"/>
          <w:sz w:val="28"/>
          <w:szCs w:val="28"/>
        </w:rPr>
        <w:t>“信用中国”（www.creditchina.gov.cn）、中国政府采购网（www.ccgp.gov.cn）列入失信被执行人、重大税收违法案件当事人名单、政府采购严重违法失信行为记录名单。</w:t>
      </w:r>
    </w:p>
    <w:p>
      <w:pPr>
        <w:snapToGrid w:val="0"/>
        <w:spacing w:line="46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单一来源响应方的特定条件：无</w:t>
      </w:r>
    </w:p>
    <w:p>
      <w:pPr>
        <w:snapToGrid w:val="0"/>
        <w:spacing w:line="460" w:lineRule="exact"/>
        <w:ind w:firstLine="602" w:firstLineChars="200"/>
        <w:rPr>
          <w:rFonts w:ascii="仿宋" w:hAnsi="仿宋" w:eastAsia="仿宋" w:cs="Arial"/>
          <w:b/>
          <w:bCs/>
          <w:sz w:val="30"/>
          <w:szCs w:val="30"/>
        </w:rPr>
      </w:pPr>
    </w:p>
    <w:p>
      <w:pPr>
        <w:snapToGrid w:val="0"/>
        <w:spacing w:line="460" w:lineRule="exact"/>
        <w:ind w:firstLine="602" w:firstLineChars="200"/>
        <w:rPr>
          <w:rFonts w:ascii="仿宋" w:hAnsi="仿宋" w:eastAsia="仿宋" w:cs="Arial"/>
          <w:b/>
          <w:bCs/>
          <w:sz w:val="30"/>
          <w:szCs w:val="30"/>
        </w:rPr>
      </w:pPr>
    </w:p>
    <w:p>
      <w:pPr>
        <w:snapToGrid w:val="0"/>
        <w:spacing w:line="460" w:lineRule="exact"/>
        <w:ind w:firstLine="602" w:firstLineChars="200"/>
        <w:rPr>
          <w:rFonts w:ascii="仿宋" w:hAnsi="仿宋" w:eastAsia="仿宋" w:cs="Arial"/>
          <w:sz w:val="30"/>
          <w:szCs w:val="30"/>
        </w:rPr>
      </w:pPr>
      <w:r>
        <w:rPr>
          <w:rFonts w:hint="eastAsia" w:ascii="仿宋" w:hAnsi="仿宋" w:eastAsia="仿宋" w:cs="Arial"/>
          <w:b/>
          <w:bCs/>
          <w:sz w:val="30"/>
          <w:szCs w:val="30"/>
        </w:rPr>
        <w:t>四、单一来源采购的时间和地点</w:t>
      </w:r>
      <w:r>
        <w:rPr>
          <w:rFonts w:hint="eastAsia" w:ascii="仿宋" w:hAnsi="仿宋" w:eastAsia="仿宋" w:cs="Arial"/>
          <w:sz w:val="30"/>
          <w:szCs w:val="30"/>
        </w:rPr>
        <w:t>：</w:t>
      </w:r>
    </w:p>
    <w:p>
      <w:pPr>
        <w:snapToGrid w:val="0"/>
        <w:spacing w:line="460" w:lineRule="exact"/>
        <w:ind w:firstLine="600" w:firstLineChars="200"/>
        <w:rPr>
          <w:rFonts w:hint="eastAsia" w:ascii="仿宋" w:hAnsi="仿宋" w:eastAsia="仿宋" w:cs="仿宋"/>
          <w:color w:val="000000"/>
          <w:kern w:val="0"/>
          <w:sz w:val="30"/>
          <w:szCs w:val="30"/>
          <w:lang w:eastAsia="zh-CN"/>
        </w:rPr>
      </w:pPr>
      <w:r>
        <w:rPr>
          <w:rFonts w:hint="eastAsia" w:ascii="仿宋" w:hAnsi="仿宋" w:eastAsia="仿宋" w:cs="Arial"/>
          <w:sz w:val="30"/>
          <w:szCs w:val="30"/>
        </w:rPr>
        <w:t>时间：</w:t>
      </w:r>
      <w:bookmarkStart w:id="9" w:name="开标时间1"/>
      <w:bookmarkEnd w:id="9"/>
      <w:bookmarkStart w:id="10" w:name="PO_15526_PM015"/>
      <w:r>
        <w:rPr>
          <w:rFonts w:hint="eastAsia" w:ascii="仿宋" w:hAnsi="仿宋" w:eastAsia="仿宋" w:cs="Arial"/>
          <w:sz w:val="30"/>
          <w:szCs w:val="30"/>
          <w:lang w:eastAsia="zh-CN"/>
        </w:rPr>
        <w:t>2023-09-14 09:30:00</w:t>
      </w:r>
      <w:bookmarkEnd w:id="10"/>
    </w:p>
    <w:p>
      <w:pPr>
        <w:snapToGrid w:val="0"/>
        <w:spacing w:line="460" w:lineRule="exact"/>
        <w:ind w:firstLine="600" w:firstLineChars="200"/>
        <w:rPr>
          <w:rFonts w:hint="eastAsia" w:ascii="仿宋" w:hAnsi="仿宋" w:eastAsia="仿宋" w:cs="Arial"/>
          <w:sz w:val="30"/>
          <w:szCs w:val="30"/>
          <w:lang w:eastAsia="zh-CN"/>
        </w:rPr>
      </w:pPr>
      <w:r>
        <w:rPr>
          <w:rFonts w:hint="eastAsia" w:ascii="仿宋" w:hAnsi="仿宋" w:eastAsia="仿宋" w:cs="Arial"/>
          <w:sz w:val="30"/>
          <w:szCs w:val="30"/>
        </w:rPr>
        <w:t>地点：</w:t>
      </w:r>
      <w:bookmarkStart w:id="11" w:name="谈判地址1"/>
      <w:bookmarkEnd w:id="11"/>
      <w:bookmarkStart w:id="12" w:name="PO_15526_PM016"/>
      <w:r>
        <w:rPr>
          <w:rFonts w:hint="eastAsia" w:ascii="仿宋" w:hAnsi="仿宋" w:eastAsia="仿宋" w:cs="Arial"/>
          <w:sz w:val="30"/>
          <w:szCs w:val="30"/>
          <w:lang w:eastAsia="zh-CN"/>
        </w:rPr>
        <w:t>西湖区宝石一路3号202开标室</w:t>
      </w:r>
      <w:bookmarkEnd w:id="12"/>
    </w:p>
    <w:p>
      <w:pPr>
        <w:snapToGrid w:val="0"/>
        <w:spacing w:line="46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五、</w:t>
      </w:r>
      <w:r>
        <w:rPr>
          <w:rFonts w:hint="eastAsia" w:ascii="宋体" w:hAnsi="宋体" w:cs="Arial"/>
          <w:b/>
          <w:bCs/>
          <w:sz w:val="30"/>
          <w:szCs w:val="30"/>
        </w:rPr>
        <w:t>单一来源响应截止时间和地点</w:t>
      </w:r>
      <w:r>
        <w:rPr>
          <w:rFonts w:hint="eastAsia" w:ascii="仿宋" w:hAnsi="仿宋" w:eastAsia="仿宋" w:cs="Arial"/>
          <w:b/>
          <w:bCs/>
          <w:sz w:val="30"/>
          <w:szCs w:val="30"/>
        </w:rPr>
        <w:t>：</w:t>
      </w:r>
    </w:p>
    <w:p>
      <w:pPr>
        <w:pStyle w:val="22"/>
        <w:adjustRightInd w:val="0"/>
        <w:snapToGrid w:val="0"/>
        <w:spacing w:before="156" w:line="500" w:lineRule="exact"/>
        <w:ind w:firstLine="565" w:firstLineChars="201"/>
        <w:rPr>
          <w:rFonts w:hint="eastAsia" w:ascii="仿宋" w:hAnsi="仿宋" w:eastAsia="宋体" w:cs="Arial"/>
          <w:sz w:val="30"/>
          <w:szCs w:val="30"/>
          <w:lang w:eastAsia="zh-CN"/>
        </w:rPr>
      </w:pPr>
      <w:r>
        <w:rPr>
          <w:rFonts w:hint="eastAsia" w:hAnsi="宋体"/>
          <w:b/>
          <w:color w:val="000000"/>
          <w:kern w:val="0"/>
          <w:sz w:val="28"/>
          <w:szCs w:val="28"/>
        </w:rPr>
        <w:t>投标截止时间：</w:t>
      </w:r>
      <w:bookmarkStart w:id="13" w:name="PO_419_PM015"/>
      <w:r>
        <w:rPr>
          <w:rFonts w:hint="eastAsia" w:ascii="仿宋" w:hAnsi="仿宋" w:eastAsia="仿宋" w:cs="Arial"/>
          <w:sz w:val="30"/>
          <w:szCs w:val="30"/>
          <w:lang w:eastAsia="zh-CN"/>
        </w:rPr>
        <w:t>2023-09-14 09:30:00</w:t>
      </w:r>
      <w:bookmarkEnd w:id="13"/>
    </w:p>
    <w:p>
      <w:pPr>
        <w:pStyle w:val="22"/>
        <w:adjustRightInd w:val="0"/>
        <w:snapToGrid w:val="0"/>
        <w:spacing w:before="156" w:line="500" w:lineRule="exact"/>
        <w:ind w:firstLine="565" w:firstLineChars="201"/>
        <w:rPr>
          <w:rFonts w:hAnsi="宋体"/>
          <w:b/>
          <w:bCs/>
          <w:kern w:val="0"/>
          <w:sz w:val="28"/>
          <w:szCs w:val="28"/>
        </w:rPr>
      </w:pPr>
      <w:r>
        <w:rPr>
          <w:rFonts w:hint="eastAsia" w:hAnsi="宋体"/>
          <w:b/>
          <w:bCs/>
          <w:kern w:val="0"/>
          <w:sz w:val="28"/>
          <w:szCs w:val="28"/>
        </w:rPr>
        <w:t>本项目实行电子投标。单一来源响应文件应按照本项目单一来源响应文件和电子交易平台的要求编制、加密，并应当在投标截止时间前在规定电子交易平台完成传输递交，投标截止时间后送达的单一来源响应文件，将被电子交易平台拒收。</w:t>
      </w:r>
    </w:p>
    <w:p>
      <w:pPr>
        <w:pStyle w:val="22"/>
        <w:adjustRightInd w:val="0"/>
        <w:snapToGrid w:val="0"/>
        <w:spacing w:before="156" w:line="500" w:lineRule="exact"/>
        <w:ind w:firstLine="565" w:firstLineChars="201"/>
        <w:rPr>
          <w:rFonts w:hAnsi="宋体"/>
          <w:b/>
          <w:bCs/>
          <w:kern w:val="0"/>
          <w:sz w:val="28"/>
          <w:szCs w:val="28"/>
        </w:rPr>
      </w:pPr>
      <w:r>
        <w:rPr>
          <w:rFonts w:hint="eastAsia" w:hAnsi="宋体"/>
          <w:b/>
          <w:bCs/>
          <w:kern w:val="0"/>
          <w:sz w:val="28"/>
          <w:szCs w:val="28"/>
        </w:rPr>
        <w:t>如认为需要，单一来源响应方可以选择递交备份单一来源响应文件，采用数据电文形式，以U盘或DVD光盘形式存储，并在投标截止时间前，通过邮寄方式，送达指定地点，逾期送达或未密封将被拒收。</w:t>
      </w:r>
    </w:p>
    <w:p>
      <w:pPr>
        <w:snapToGrid w:val="0"/>
        <w:spacing w:line="460" w:lineRule="exact"/>
        <w:ind w:firstLine="562" w:firstLineChars="200"/>
        <w:rPr>
          <w:rFonts w:ascii="宋体" w:hAnsi="宋体"/>
          <w:b/>
          <w:bCs/>
          <w:kern w:val="0"/>
          <w:sz w:val="28"/>
          <w:szCs w:val="28"/>
        </w:rPr>
      </w:pPr>
      <w:r>
        <w:rPr>
          <w:rFonts w:hint="eastAsia" w:ascii="宋体" w:hAnsi="宋体"/>
          <w:b/>
          <w:bCs/>
          <w:kern w:val="0"/>
          <w:sz w:val="28"/>
          <w:szCs w:val="28"/>
        </w:rPr>
        <w:t>备份文件收件人：陶老师，联系方式：0571-88901836，收件地址：浙江省杭州市西湖区宝石一路3号省政府采购中心。（收件时间：上午8:30-11:30，下午14:30-17:30，节假日、双休日除外，推荐使用中国邮政速递和顺丰快递,快递人员投递时须同时登记邮寄单号等相关信息。）</w:t>
      </w:r>
    </w:p>
    <w:p>
      <w:pPr>
        <w:snapToGrid w:val="0"/>
        <w:spacing w:line="460" w:lineRule="exact"/>
        <w:ind w:firstLine="602" w:firstLineChars="200"/>
        <w:rPr>
          <w:rFonts w:ascii="仿宋" w:hAnsi="仿宋" w:eastAsia="仿宋" w:cs="Arial"/>
          <w:sz w:val="30"/>
          <w:szCs w:val="30"/>
        </w:rPr>
      </w:pPr>
      <w:r>
        <w:rPr>
          <w:rFonts w:hint="eastAsia" w:ascii="仿宋" w:hAnsi="仿宋" w:eastAsia="仿宋" w:cs="Arial"/>
          <w:b/>
          <w:bCs/>
          <w:sz w:val="30"/>
          <w:szCs w:val="30"/>
        </w:rPr>
        <w:t>本项目拒绝接受纸质</w:t>
      </w:r>
      <w:r>
        <w:rPr>
          <w:rFonts w:hint="eastAsia" w:hAnsi="宋体"/>
          <w:b/>
          <w:bCs/>
          <w:kern w:val="0"/>
          <w:sz w:val="28"/>
          <w:szCs w:val="28"/>
        </w:rPr>
        <w:t>单一来源响应</w:t>
      </w:r>
      <w:r>
        <w:rPr>
          <w:rFonts w:hint="eastAsia" w:ascii="仿宋" w:hAnsi="仿宋" w:eastAsia="仿宋" w:cs="Arial"/>
          <w:b/>
          <w:bCs/>
          <w:sz w:val="30"/>
          <w:szCs w:val="30"/>
        </w:rPr>
        <w:t>文件。</w:t>
      </w:r>
    </w:p>
    <w:p>
      <w:pPr>
        <w:snapToGrid w:val="0"/>
        <w:spacing w:line="460" w:lineRule="exact"/>
        <w:ind w:firstLine="569" w:firstLineChars="189"/>
        <w:rPr>
          <w:rFonts w:ascii="仿宋" w:hAnsi="仿宋" w:eastAsia="仿宋" w:cs="Arial"/>
          <w:b/>
          <w:sz w:val="30"/>
          <w:szCs w:val="30"/>
        </w:rPr>
      </w:pPr>
      <w:r>
        <w:rPr>
          <w:rFonts w:hint="eastAsia" w:ascii="仿宋" w:hAnsi="仿宋" w:eastAsia="仿宋" w:cs="Arial"/>
          <w:b/>
          <w:sz w:val="30"/>
          <w:szCs w:val="30"/>
        </w:rPr>
        <w:t>六、业务咨询：</w:t>
      </w:r>
    </w:p>
    <w:tbl>
      <w:tblPr>
        <w:tblStyle w:val="43"/>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2066"/>
        <w:gridCol w:w="2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机 构</w:t>
            </w:r>
          </w:p>
        </w:tc>
        <w:tc>
          <w:tcPr>
            <w:tcW w:w="8113" w:type="dxa"/>
            <w:gridSpan w:val="4"/>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8"/>
                <w:szCs w:val="28"/>
              </w:rPr>
            </w:pPr>
            <w:r>
              <w:rPr>
                <w:rFonts w:hint="eastAsia" w:ascii="仿宋" w:hAnsi="仿宋" w:eastAsia="仿宋" w:cs="仿宋"/>
                <w:sz w:val="28"/>
                <w:szCs w:val="28"/>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地 址</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浙江省杭州市西湖区宝石一路3号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网 站</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浙江政府采购网</w:t>
            </w:r>
            <w:r>
              <w:rPr>
                <w:rFonts w:hint="eastAsia" w:ascii="仿宋_GB2312" w:hAnsi="Segoe UI" w:eastAsia="仿宋_GB2312" w:cs="Segoe UI"/>
                <w:color w:val="333333"/>
                <w:sz w:val="29"/>
                <w:szCs w:val="29"/>
              </w:rPr>
              <w:t>ht</w:t>
            </w:r>
            <w:r>
              <w:rPr>
                <w:rFonts w:hint="eastAsia" w:ascii="仿宋" w:hAnsi="仿宋" w:eastAsia="仿宋" w:cs="仿宋"/>
                <w:sz w:val="28"/>
                <w:szCs w:val="28"/>
              </w:rPr>
              <w: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Cs w:val="21"/>
              </w:rPr>
              <w:t>咨询事项</w:t>
            </w:r>
          </w:p>
        </w:tc>
        <w:tc>
          <w:tcPr>
            <w:tcW w:w="131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Cs w:val="21"/>
              </w:rPr>
              <w:t>联系人</w:t>
            </w:r>
          </w:p>
        </w:tc>
        <w:tc>
          <w:tcPr>
            <w:tcW w:w="20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Cs w:val="21"/>
              </w:rPr>
              <w:t>联系方式</w:t>
            </w:r>
          </w:p>
        </w:tc>
        <w:tc>
          <w:tcPr>
            <w:tcW w:w="206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Cs w:val="21"/>
              </w:rPr>
              <w:t>传真</w:t>
            </w:r>
          </w:p>
        </w:tc>
        <w:tc>
          <w:tcPr>
            <w:tcW w:w="26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4"/>
                <w:szCs w:val="24"/>
              </w:rPr>
              <w:t>项目联系人（A岗）</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4"/>
                <w:szCs w:val="24"/>
              </w:rPr>
              <w:t>蒋冰琳</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4"/>
                <w:szCs w:val="24"/>
              </w:rPr>
              <w:t>0571-88907785</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4"/>
                <w:szCs w:val="24"/>
              </w:rPr>
              <w:t>/</w:t>
            </w:r>
          </w:p>
        </w:tc>
        <w:tc>
          <w:tcPr>
            <w:tcW w:w="2644" w:type="dxa"/>
            <w:vMerge w:val="restart"/>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8"/>
                <w:szCs w:val="28"/>
              </w:rPr>
            </w:pPr>
            <w:r>
              <w:rPr>
                <w:rFonts w:hint="eastAsia" w:ascii="仿宋" w:hAnsi="仿宋" w:eastAsia="仿宋" w:cs="仿宋"/>
                <w:sz w:val="24"/>
                <w:szCs w:val="24"/>
              </w:rPr>
              <w:t>采购二部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4"/>
                <w:szCs w:val="24"/>
              </w:rPr>
              <w:t>项目协办人（B岗）</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4"/>
                <w:szCs w:val="24"/>
              </w:rPr>
              <w:t>戴宋琴</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4"/>
                <w:szCs w:val="24"/>
              </w:rPr>
              <w:t>0571-88907768</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4"/>
                <w:szCs w:val="24"/>
              </w:rPr>
              <w:t>/</w:t>
            </w:r>
          </w:p>
        </w:tc>
        <w:tc>
          <w:tcPr>
            <w:tcW w:w="26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4"/>
                <w:szCs w:val="24"/>
              </w:rP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4"/>
                <w:szCs w:val="24"/>
              </w:rPr>
              <w:t>高媛沁</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4"/>
                <w:szCs w:val="24"/>
              </w:rPr>
              <w:t>0571-88907717</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4"/>
                <w:szCs w:val="24"/>
              </w:rPr>
              <w:t>/</w:t>
            </w:r>
          </w:p>
        </w:tc>
        <w:tc>
          <w:tcPr>
            <w:tcW w:w="26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4"/>
                <w:szCs w:val="24"/>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4"/>
                <w:szCs w:val="24"/>
              </w:rPr>
              <w:t>邵女士</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4"/>
                <w:szCs w:val="24"/>
              </w:rPr>
              <w:t>0571-8890</w:t>
            </w:r>
            <w:r>
              <w:rPr>
                <w:rFonts w:ascii="仿宋" w:hAnsi="仿宋" w:eastAsia="仿宋" w:cs="仿宋"/>
                <w:sz w:val="24"/>
                <w:szCs w:val="24"/>
              </w:rPr>
              <w:t>7750</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4"/>
                <w:szCs w:val="24"/>
              </w:rPr>
              <w:t>/</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4"/>
                <w:szCs w:val="24"/>
              </w:rPr>
              <w:t>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4"/>
                <w:szCs w:val="24"/>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4"/>
                <w:szCs w:val="24"/>
              </w:rPr>
              <w:t>客  服</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4"/>
                <w:szCs w:val="24"/>
              </w:rPr>
              <w:t>95763</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4"/>
                <w:szCs w:val="24"/>
              </w:rPr>
              <w:t>/</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4"/>
                <w:szCs w:val="24"/>
              </w:rPr>
              <w:t>注册、账号、系统操作等</w:t>
            </w:r>
          </w:p>
        </w:tc>
      </w:tr>
    </w:tbl>
    <w:p>
      <w:pPr>
        <w:snapToGrid w:val="0"/>
        <w:spacing w:line="460" w:lineRule="exact"/>
        <w:ind w:firstLine="569" w:firstLineChars="189"/>
        <w:rPr>
          <w:rFonts w:ascii="仿宋" w:hAnsi="仿宋" w:eastAsia="仿宋" w:cs="Arial"/>
          <w:b/>
          <w:sz w:val="30"/>
          <w:szCs w:val="30"/>
        </w:rPr>
      </w:pPr>
    </w:p>
    <w:p>
      <w:bookmarkStart w:id="14" w:name="_Toc451268215"/>
    </w:p>
    <w:p>
      <w:pPr>
        <w:snapToGrid w:val="0"/>
        <w:spacing w:line="500" w:lineRule="exact"/>
        <w:ind w:firstLine="602" w:firstLineChars="200"/>
        <w:rPr>
          <w:rFonts w:ascii="仿宋" w:hAnsi="仿宋" w:eastAsia="仿宋" w:cs="Arial"/>
          <w:b/>
          <w:bCs/>
          <w:color w:val="000000"/>
          <w:sz w:val="30"/>
          <w:szCs w:val="30"/>
        </w:rPr>
      </w:pPr>
    </w:p>
    <w:p>
      <w:pPr>
        <w:snapToGrid w:val="0"/>
        <w:spacing w:line="500" w:lineRule="exact"/>
        <w:ind w:firstLine="602" w:firstLineChars="200"/>
        <w:rPr>
          <w:rFonts w:ascii="仿宋" w:hAnsi="仿宋" w:eastAsia="仿宋" w:cs="Arial"/>
          <w:b/>
          <w:bCs/>
          <w:color w:val="000000"/>
          <w:sz w:val="30"/>
          <w:szCs w:val="30"/>
        </w:rPr>
      </w:pPr>
    </w:p>
    <w:p>
      <w:pPr>
        <w:snapToGrid w:val="0"/>
        <w:spacing w:line="500" w:lineRule="exact"/>
        <w:ind w:firstLine="602" w:firstLineChars="200"/>
        <w:rPr>
          <w:rFonts w:ascii="宋体" w:hAnsi="宋体" w:cs="Arial"/>
          <w:b/>
          <w:bCs/>
          <w:sz w:val="28"/>
          <w:szCs w:val="28"/>
        </w:rPr>
      </w:pPr>
      <w:r>
        <w:rPr>
          <w:rFonts w:hint="eastAsia" w:ascii="仿宋" w:hAnsi="仿宋" w:eastAsia="仿宋" w:cs="Arial"/>
          <w:b/>
          <w:bCs/>
          <w:color w:val="000000"/>
          <w:sz w:val="30"/>
          <w:szCs w:val="30"/>
        </w:rPr>
        <w:t>七、</w:t>
      </w:r>
      <w:r>
        <w:rPr>
          <w:rFonts w:hint="eastAsia" w:ascii="宋体" w:hAnsi="宋体" w:cs="Arial"/>
          <w:b/>
          <w:bCs/>
          <w:sz w:val="28"/>
          <w:szCs w:val="28"/>
        </w:rPr>
        <w:t>采购需求和项目监督</w:t>
      </w:r>
    </w:p>
    <w:p>
      <w:pPr>
        <w:snapToGrid w:val="0"/>
        <w:spacing w:line="500" w:lineRule="exact"/>
        <w:ind w:firstLine="600" w:firstLineChars="200"/>
        <w:rPr>
          <w:rFonts w:ascii="仿宋_GB2312" w:hAnsi="仿宋" w:eastAsia="仿宋_GB2312"/>
          <w:color w:val="000000"/>
          <w:sz w:val="30"/>
          <w:szCs w:val="30"/>
        </w:rPr>
      </w:pPr>
      <w:bookmarkStart w:id="15" w:name="PO_15528_PM001384_1"/>
      <w:r>
        <w:rPr>
          <w:rFonts w:hint="eastAsia" w:ascii="仿宋_GB2312" w:hAnsi="仿宋" w:eastAsia="仿宋_GB2312"/>
          <w:color w:val="000000"/>
          <w:sz w:val="30"/>
          <w:szCs w:val="30"/>
        </w:rPr>
        <w:t xml:space="preserve"> </w:t>
      </w:r>
      <w:bookmarkEnd w:id="15"/>
      <w:bookmarkStart w:id="16" w:name="PO_TDCUS_ITEM_PRC_TITLE_1_0"/>
      <w:r>
        <w:rPr>
          <w:rFonts w:hint="eastAsia" w:ascii="仿宋_GB2312" w:hAnsi="仿宋" w:eastAsia="仿宋_GB2312"/>
          <w:color w:val="000000"/>
          <w:sz w:val="30"/>
          <w:szCs w:val="30"/>
        </w:rPr>
        <w:t>标项1：</w:t>
      </w:r>
      <w:bookmarkEnd w:id="16"/>
      <w:bookmarkStart w:id="17" w:name="PO_TDCUS_ITEM_PRC_TABLE_1_1_0"/>
      <w:r>
        <w:rPr>
          <w:rFonts w:hint="eastAsia" w:ascii="仿宋_GB2312" w:hAnsi="仿宋" w:eastAsia="仿宋_GB2312"/>
          <w:color w:val="000000"/>
          <w:sz w:val="30"/>
          <w:szCs w:val="30"/>
        </w:rPr>
        <w:t xml:space="preserve"> </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500" w:lineRule="exact"/>
              <w:rPr>
                <w:rFonts w:ascii="仿宋_GB2312" w:hAnsi="仿宋" w:eastAsia="仿宋_GB2312"/>
                <w:color w:val="000000"/>
                <w:sz w:val="30"/>
                <w:szCs w:val="30"/>
              </w:rPr>
            </w:pPr>
            <w:r>
              <w:rPr>
                <w:rFonts w:hint="eastAsia" w:ascii="仿宋_GB2312" w:hAnsi="仿宋" w:eastAsia="仿宋_GB2312"/>
                <w:color w:val="000000"/>
                <w:sz w:val="30"/>
                <w:szCs w:val="30"/>
              </w:rPr>
              <w:t>采购单位</w:t>
            </w:r>
          </w:p>
        </w:tc>
        <w:tc>
          <w:tcPr>
            <w:tcW w:w="2500" w:type="pct"/>
          </w:tcPr>
          <w:p>
            <w:pPr>
              <w:snapToGrid w:val="0"/>
              <w:spacing w:line="500" w:lineRule="exact"/>
              <w:rPr>
                <w:rFonts w:ascii="仿宋_GB2312" w:hAnsi="仿宋" w:eastAsia="仿宋_GB2312"/>
                <w:color w:val="000000"/>
                <w:sz w:val="30"/>
                <w:szCs w:val="30"/>
              </w:rPr>
            </w:pPr>
            <w:r>
              <w:rPr>
                <w:rFonts w:hint="eastAsia" w:ascii="仿宋_GB2312" w:hAnsi="仿宋" w:eastAsia="仿宋_GB2312"/>
                <w:color w:val="000000"/>
                <w:sz w:val="30"/>
                <w:szCs w:val="30"/>
              </w:rPr>
              <w:t>浙江省福利彩票管理中心（本级）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500" w:lineRule="exact"/>
              <w:rPr>
                <w:rFonts w:ascii="仿宋_GB2312" w:hAnsi="仿宋" w:eastAsia="仿宋_GB2312"/>
                <w:color w:val="000000"/>
                <w:sz w:val="30"/>
                <w:szCs w:val="30"/>
              </w:rPr>
            </w:pPr>
            <w:r>
              <w:rPr>
                <w:rFonts w:hint="eastAsia" w:ascii="仿宋_GB2312" w:hAnsi="仿宋" w:eastAsia="仿宋_GB2312"/>
                <w:color w:val="000000"/>
                <w:sz w:val="30"/>
                <w:szCs w:val="30"/>
              </w:rPr>
              <w:t>地址</w:t>
            </w:r>
          </w:p>
        </w:tc>
        <w:tc>
          <w:tcPr>
            <w:tcW w:w="2500" w:type="pct"/>
          </w:tcPr>
          <w:p>
            <w:pPr>
              <w:snapToGrid w:val="0"/>
              <w:spacing w:line="500" w:lineRule="exact"/>
              <w:rPr>
                <w:rFonts w:ascii="仿宋_GB2312" w:hAnsi="仿宋" w:eastAsia="仿宋_GB2312"/>
                <w:color w:val="000000"/>
                <w:sz w:val="30"/>
                <w:szCs w:val="30"/>
              </w:rPr>
            </w:pPr>
            <w:r>
              <w:rPr>
                <w:rFonts w:hint="eastAsia" w:ascii="仿宋_GB2312" w:hAnsi="仿宋" w:eastAsia="仿宋_GB2312"/>
                <w:color w:val="000000"/>
                <w:sz w:val="30"/>
                <w:szCs w:val="30"/>
              </w:rPr>
              <w:t>杭州市余杭区荆长路539号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500" w:lineRule="exact"/>
              <w:rPr>
                <w:rFonts w:ascii="仿宋_GB2312" w:hAnsi="仿宋" w:eastAsia="仿宋_GB2312"/>
                <w:color w:val="000000"/>
                <w:sz w:val="30"/>
                <w:szCs w:val="30"/>
              </w:rPr>
            </w:pPr>
            <w:r>
              <w:rPr>
                <w:rFonts w:hint="eastAsia" w:ascii="仿宋_GB2312" w:hAnsi="仿宋" w:eastAsia="仿宋_GB2312"/>
                <w:color w:val="000000"/>
                <w:sz w:val="30"/>
                <w:szCs w:val="30"/>
              </w:rPr>
              <w:t>咨询事项</w:t>
            </w:r>
          </w:p>
        </w:tc>
        <w:tc>
          <w:tcPr>
            <w:tcW w:w="2500" w:type="pct"/>
          </w:tcPr>
          <w:p>
            <w:pPr>
              <w:snapToGrid w:val="0"/>
              <w:spacing w:line="500" w:lineRule="exact"/>
              <w:rPr>
                <w:rFonts w:ascii="仿宋_GB2312" w:hAnsi="仿宋" w:eastAsia="仿宋_GB2312"/>
                <w:color w:val="000000"/>
                <w:sz w:val="30"/>
                <w:szCs w:val="30"/>
              </w:rPr>
            </w:pPr>
            <w:r>
              <w:rPr>
                <w:rFonts w:hint="eastAsia" w:ascii="仿宋_GB2312" w:hAnsi="仿宋" w:eastAsia="仿宋_GB2312"/>
                <w:color w:val="000000"/>
                <w:sz w:val="30"/>
                <w:szCs w:val="30"/>
              </w:rP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500" w:lineRule="exact"/>
              <w:rPr>
                <w:rFonts w:ascii="仿宋_GB2312" w:hAnsi="仿宋" w:eastAsia="仿宋_GB2312"/>
                <w:color w:val="000000"/>
                <w:sz w:val="30"/>
                <w:szCs w:val="30"/>
              </w:rPr>
            </w:pPr>
            <w:r>
              <w:rPr>
                <w:rFonts w:hint="eastAsia" w:ascii="仿宋_GB2312" w:hAnsi="仿宋" w:eastAsia="仿宋_GB2312"/>
                <w:color w:val="000000"/>
                <w:sz w:val="30"/>
                <w:szCs w:val="30"/>
              </w:rPr>
              <w:t>联系人</w:t>
            </w:r>
          </w:p>
        </w:tc>
        <w:tc>
          <w:tcPr>
            <w:tcW w:w="2500" w:type="pct"/>
          </w:tcPr>
          <w:p>
            <w:pPr>
              <w:snapToGrid w:val="0"/>
              <w:spacing w:line="500" w:lineRule="exact"/>
              <w:rPr>
                <w:rFonts w:ascii="仿宋_GB2312" w:hAnsi="仿宋" w:eastAsia="仿宋_GB2312"/>
                <w:color w:val="000000"/>
                <w:sz w:val="30"/>
                <w:szCs w:val="30"/>
              </w:rPr>
            </w:pPr>
            <w:r>
              <w:rPr>
                <w:rFonts w:hint="eastAsia" w:ascii="仿宋_GB2312" w:hAnsi="仿宋" w:eastAsia="仿宋_GB2312"/>
                <w:color w:val="000000"/>
                <w:sz w:val="30"/>
                <w:szCs w:val="30"/>
              </w:rPr>
              <w:t>陈猛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500" w:lineRule="exact"/>
              <w:rPr>
                <w:rFonts w:ascii="仿宋_GB2312" w:hAnsi="仿宋" w:eastAsia="仿宋_GB2312"/>
                <w:color w:val="000000"/>
                <w:sz w:val="30"/>
                <w:szCs w:val="30"/>
              </w:rPr>
            </w:pPr>
            <w:r>
              <w:rPr>
                <w:rFonts w:hint="eastAsia" w:ascii="仿宋_GB2312" w:hAnsi="仿宋" w:eastAsia="仿宋_GB2312"/>
                <w:color w:val="000000"/>
                <w:sz w:val="30"/>
                <w:szCs w:val="30"/>
              </w:rPr>
              <w:t>联系方式</w:t>
            </w:r>
          </w:p>
        </w:tc>
        <w:tc>
          <w:tcPr>
            <w:tcW w:w="2500" w:type="pct"/>
          </w:tcPr>
          <w:p>
            <w:pPr>
              <w:snapToGrid w:val="0"/>
              <w:spacing w:line="500" w:lineRule="exact"/>
              <w:rPr>
                <w:rFonts w:ascii="仿宋_GB2312" w:hAnsi="仿宋" w:eastAsia="仿宋_GB2312"/>
                <w:color w:val="000000"/>
                <w:sz w:val="30"/>
                <w:szCs w:val="30"/>
              </w:rPr>
            </w:pPr>
            <w:r>
              <w:rPr>
                <w:rFonts w:hint="eastAsia" w:ascii="仿宋_GB2312" w:hAnsi="仿宋" w:eastAsia="仿宋_GB2312"/>
                <w:color w:val="000000"/>
                <w:sz w:val="30"/>
                <w:szCs w:val="30"/>
              </w:rPr>
              <w:t>0571-89057732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500" w:lineRule="exact"/>
              <w:rPr>
                <w:rFonts w:ascii="仿宋_GB2312" w:hAnsi="仿宋" w:eastAsia="仿宋_GB2312"/>
                <w:color w:val="000000"/>
                <w:sz w:val="30"/>
                <w:szCs w:val="30"/>
              </w:rPr>
            </w:pPr>
            <w:r>
              <w:rPr>
                <w:rFonts w:hint="eastAsia" w:ascii="仿宋_GB2312" w:hAnsi="仿宋" w:eastAsia="仿宋_GB2312"/>
                <w:color w:val="000000"/>
                <w:sz w:val="30"/>
                <w:szCs w:val="30"/>
              </w:rPr>
              <w:t>传真</w:t>
            </w:r>
          </w:p>
        </w:tc>
        <w:tc>
          <w:tcPr>
            <w:tcW w:w="2500" w:type="pct"/>
          </w:tcPr>
          <w:p>
            <w:pPr>
              <w:snapToGrid w:val="0"/>
              <w:spacing w:line="500" w:lineRule="exact"/>
              <w:rPr>
                <w:rFonts w:ascii="仿宋_GB2312" w:hAnsi="仿宋"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500" w:lineRule="exact"/>
              <w:rPr>
                <w:rFonts w:ascii="仿宋_GB2312" w:hAnsi="仿宋" w:eastAsia="仿宋_GB2312"/>
                <w:color w:val="000000"/>
                <w:sz w:val="30"/>
                <w:szCs w:val="30"/>
              </w:rPr>
            </w:pPr>
            <w:r>
              <w:rPr>
                <w:rFonts w:hint="eastAsia" w:ascii="仿宋_GB2312" w:hAnsi="仿宋" w:eastAsia="仿宋_GB2312"/>
                <w:color w:val="000000"/>
                <w:sz w:val="30"/>
                <w:szCs w:val="30"/>
              </w:rPr>
              <w:t>备注</w:t>
            </w:r>
          </w:p>
        </w:tc>
        <w:tc>
          <w:tcPr>
            <w:tcW w:w="2500" w:type="pct"/>
          </w:tcPr>
          <w:p>
            <w:pPr>
              <w:snapToGrid w:val="0"/>
              <w:spacing w:line="500" w:lineRule="exact"/>
              <w:rPr>
                <w:rFonts w:ascii="仿宋_GB2312" w:hAnsi="仿宋" w:eastAsia="仿宋_GB2312"/>
                <w:color w:val="000000"/>
                <w:sz w:val="30"/>
                <w:szCs w:val="30"/>
              </w:rPr>
            </w:pPr>
          </w:p>
        </w:tc>
      </w:tr>
    </w:tbl>
    <w:p>
      <w:pPr>
        <w:snapToGrid w:val="0"/>
        <w:spacing w:line="500" w:lineRule="exact"/>
        <w:ind w:firstLine="600" w:firstLineChars="200"/>
        <w:rPr>
          <w:rFonts w:ascii="宋体" w:hAnsi="宋体" w:cs="Arial"/>
          <w:b/>
          <w:bCs/>
          <w:sz w:val="28"/>
          <w:szCs w:val="28"/>
        </w:rPr>
      </w:pPr>
      <w:r>
        <w:rPr>
          <w:rFonts w:hint="eastAsia" w:ascii="仿宋_GB2312" w:hAnsi="仿宋" w:eastAsia="仿宋_GB2312"/>
          <w:color w:val="000000"/>
          <w:sz w:val="30"/>
          <w:szCs w:val="30"/>
        </w:rPr>
        <w:t xml:space="preserve"> </w:t>
      </w:r>
      <w:bookmarkEnd w:id="17"/>
    </w:p>
    <w:p>
      <w:pPr>
        <w:snapToGrid w:val="0"/>
        <w:spacing w:line="440" w:lineRule="exact"/>
        <w:ind w:firstLine="420" w:firstLineChars="200"/>
      </w:pPr>
    </w:p>
    <w:p>
      <w:pPr>
        <w:spacing w:line="480" w:lineRule="exact"/>
        <w:jc w:val="right"/>
        <w:rPr>
          <w:spacing w:val="20"/>
          <w:u w:val="single"/>
        </w:rPr>
      </w:pPr>
      <w:r>
        <w:rPr>
          <w:rFonts w:hint="eastAsia" w:ascii="仿宋" w:hAnsi="仿宋" w:eastAsia="仿宋" w:cs="仿宋"/>
          <w:sz w:val="28"/>
          <w:szCs w:val="28"/>
        </w:rPr>
        <w:t>浙江省政府采购中心</w:t>
      </w:r>
      <w:bookmarkEnd w:id="14"/>
    </w:p>
    <w:p>
      <w:pPr>
        <w:pStyle w:val="40"/>
        <w:rPr>
          <w:sz w:val="30"/>
          <w:szCs w:val="30"/>
        </w:rPr>
      </w:pPr>
      <w:r>
        <w:rPr>
          <w:b w:val="0"/>
          <w:bCs w:val="0"/>
        </w:rPr>
        <w:br w:type="page"/>
      </w:r>
      <w:bookmarkStart w:id="18" w:name="_Toc451268216"/>
      <w:bookmarkStart w:id="19" w:name="_Toc510136959"/>
      <w:r>
        <w:rPr>
          <w:rFonts w:hint="eastAsia"/>
        </w:rPr>
        <w:t>第二章响应方须知</w:t>
      </w:r>
      <w:bookmarkEnd w:id="18"/>
      <w:bookmarkEnd w:id="19"/>
    </w:p>
    <w:p>
      <w:pPr>
        <w:autoSpaceDE w:val="0"/>
        <w:autoSpaceDN w:val="0"/>
        <w:snapToGrid w:val="0"/>
        <w:spacing w:line="460" w:lineRule="exact"/>
        <w:textAlignment w:val="bottom"/>
        <w:rPr>
          <w:rFonts w:ascii="仿宋" w:hAnsi="仿宋" w:eastAsia="仿宋"/>
          <w:sz w:val="30"/>
          <w:szCs w:val="30"/>
        </w:rPr>
      </w:pPr>
      <w:bookmarkStart w:id="20" w:name="_Toc451268217"/>
      <w:r>
        <w:rPr>
          <w:rFonts w:hint="eastAsia" w:ascii="仿宋" w:hAnsi="仿宋" w:eastAsia="仿宋"/>
          <w:sz w:val="30"/>
          <w:szCs w:val="30"/>
        </w:rPr>
        <w:t>前附表</w:t>
      </w:r>
      <w:bookmarkEnd w:id="20"/>
    </w:p>
    <w:tbl>
      <w:tblPr>
        <w:tblStyle w:val="43"/>
        <w:tblW w:w="89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418"/>
        <w:gridCol w:w="22"/>
        <w:gridCol w:w="66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序号</w:t>
            </w:r>
          </w:p>
        </w:tc>
        <w:tc>
          <w:tcPr>
            <w:tcW w:w="1418" w:type="dxa"/>
            <w:tcBorders>
              <w:top w:val="single" w:color="auto" w:sz="4" w:space="0"/>
              <w:left w:val="single" w:color="auto" w:sz="4" w:space="0"/>
              <w:bottom w:val="single" w:color="auto" w:sz="4" w:space="0"/>
              <w:right w:val="nil"/>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内容</w:t>
            </w:r>
          </w:p>
        </w:tc>
        <w:tc>
          <w:tcPr>
            <w:tcW w:w="666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w:t>
            </w:r>
          </w:p>
        </w:tc>
        <w:tc>
          <w:tcPr>
            <w:tcW w:w="1418" w:type="dxa"/>
            <w:tcBorders>
              <w:top w:val="single" w:color="auto" w:sz="4" w:space="0"/>
              <w:left w:val="single" w:color="auto" w:sz="4" w:space="0"/>
              <w:bottom w:val="single" w:color="auto" w:sz="4" w:space="0"/>
              <w:right w:val="nil"/>
            </w:tcBorders>
            <w:vAlign w:val="center"/>
          </w:tcPr>
          <w:p>
            <w:pPr>
              <w:spacing w:line="500" w:lineRule="exact"/>
              <w:rPr>
                <w:rFonts w:ascii="仿宋" w:hAnsi="仿宋" w:eastAsia="仿宋"/>
                <w:sz w:val="24"/>
                <w:szCs w:val="24"/>
              </w:rPr>
            </w:pPr>
            <w:r>
              <w:rPr>
                <w:rFonts w:hint="eastAsia" w:ascii="仿宋" w:hAnsi="仿宋" w:eastAsia="仿宋"/>
                <w:sz w:val="24"/>
                <w:szCs w:val="24"/>
              </w:rPr>
              <w:t>项目名称及数量</w:t>
            </w:r>
          </w:p>
        </w:tc>
        <w:tc>
          <w:tcPr>
            <w:tcW w:w="666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sz w:val="24"/>
                <w:szCs w:val="24"/>
              </w:rPr>
            </w:pPr>
            <w:r>
              <w:rPr>
                <w:rFonts w:hint="eastAsia" w:ascii="仿宋" w:hAnsi="仿宋" w:eastAsia="仿宋"/>
                <w:sz w:val="24"/>
                <w:szCs w:val="24"/>
              </w:rPr>
              <w:t>详见《单一来源采购邀请》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w:t>
            </w:r>
          </w:p>
        </w:tc>
        <w:tc>
          <w:tcPr>
            <w:tcW w:w="14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信用记录</w:t>
            </w:r>
          </w:p>
        </w:tc>
        <w:tc>
          <w:tcPr>
            <w:tcW w:w="666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响应方，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3</w:t>
            </w:r>
          </w:p>
        </w:tc>
        <w:tc>
          <w:tcPr>
            <w:tcW w:w="14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中小企业预留份额情况</w:t>
            </w:r>
          </w:p>
        </w:tc>
        <w:tc>
          <w:tcPr>
            <w:tcW w:w="666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根据《政府采购促进中小企业发展管理办法》财库〔2020〕46号文件的规定，本项目</w:t>
            </w:r>
            <w:r>
              <w:rPr>
                <w:rFonts w:hint="eastAsia" w:ascii="仿宋" w:hAnsi="仿宋" w:eastAsia="仿宋"/>
                <w:sz w:val="24"/>
                <w:szCs w:val="24"/>
                <w:u w:val="single"/>
              </w:rPr>
              <w:t>不</w:t>
            </w:r>
            <w:r>
              <w:rPr>
                <w:rFonts w:hint="eastAsia" w:ascii="仿宋" w:hAnsi="仿宋" w:eastAsia="仿宋"/>
                <w:sz w:val="24"/>
                <w:szCs w:val="24"/>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4</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中小企业优惠措施</w:t>
            </w:r>
          </w:p>
        </w:tc>
        <w:tc>
          <w:tcPr>
            <w:tcW w:w="6662" w:type="dxa"/>
            <w:gridSpan w:val="2"/>
            <w:tcBorders>
              <w:top w:val="single" w:color="auto" w:sz="4" w:space="0"/>
              <w:left w:val="single" w:color="auto" w:sz="4" w:space="0"/>
              <w:bottom w:val="single" w:color="auto" w:sz="4" w:space="0"/>
              <w:right w:val="single" w:color="auto" w:sz="4" w:space="0"/>
            </w:tcBorders>
            <w:vAlign w:val="center"/>
          </w:tcPr>
          <w:p>
            <w:pPr>
              <w:pStyle w:val="158"/>
              <w:numPr>
                <w:ilvl w:val="0"/>
                <w:numId w:val="6"/>
              </w:numPr>
              <w:snapToGrid w:val="0"/>
              <w:spacing w:line="460" w:lineRule="exact"/>
              <w:ind w:firstLineChars="0"/>
              <w:rPr>
                <w:rFonts w:ascii="仿宋" w:hAnsi="仿宋" w:eastAsia="仿宋"/>
                <w:sz w:val="24"/>
                <w:szCs w:val="24"/>
              </w:rPr>
            </w:pPr>
            <w:r>
              <w:rPr>
                <w:rFonts w:hint="eastAsia" w:ascii="仿宋" w:hAnsi="仿宋" w:eastAsia="仿宋"/>
                <w:sz w:val="24"/>
                <w:szCs w:val="24"/>
              </w:rPr>
              <w:t>项目属性（服务类）</w:t>
            </w:r>
          </w:p>
          <w:p>
            <w:pPr>
              <w:pStyle w:val="158"/>
              <w:numPr>
                <w:ilvl w:val="0"/>
                <w:numId w:val="6"/>
              </w:numPr>
              <w:snapToGrid w:val="0"/>
              <w:spacing w:line="460" w:lineRule="exact"/>
              <w:ind w:firstLineChars="0"/>
              <w:rPr>
                <w:rFonts w:ascii="仿宋" w:hAnsi="仿宋" w:eastAsia="仿宋"/>
                <w:sz w:val="24"/>
                <w:szCs w:val="24"/>
              </w:rPr>
            </w:pPr>
            <w:r>
              <w:rPr>
                <w:rFonts w:hint="eastAsia" w:ascii="仿宋" w:hAnsi="仿宋" w:eastAsia="仿宋"/>
                <w:sz w:val="24"/>
                <w:szCs w:val="24"/>
              </w:rPr>
              <w:t>中小企业划分标准所属行业（具体根据《中小企业划型标准规定》执行）</w:t>
            </w:r>
          </w:p>
          <w:p>
            <w:pPr>
              <w:snapToGrid w:val="0"/>
              <w:spacing w:line="460" w:lineRule="exact"/>
              <w:ind w:left="600"/>
              <w:rPr>
                <w:rFonts w:ascii="仿宋" w:hAnsi="仿宋" w:eastAsia="仿宋"/>
                <w:sz w:val="24"/>
                <w:szCs w:val="24"/>
              </w:rPr>
            </w:pPr>
            <w:r>
              <w:rPr>
                <w:rFonts w:hint="eastAsia" w:ascii="仿宋" w:hAnsi="仿宋" w:eastAsia="仿宋"/>
                <w:sz w:val="24"/>
                <w:szCs w:val="24"/>
              </w:rPr>
              <w:t>采购标的：浙江省福利彩票管理中心2024年彩票业务宽带线路与机房租赁服务项目</w:t>
            </w:r>
          </w:p>
          <w:p>
            <w:pPr>
              <w:snapToGrid w:val="0"/>
              <w:spacing w:line="460" w:lineRule="exact"/>
              <w:ind w:left="600"/>
              <w:rPr>
                <w:rFonts w:ascii="仿宋" w:hAnsi="仿宋" w:eastAsia="仿宋"/>
                <w:sz w:val="24"/>
                <w:szCs w:val="24"/>
              </w:rPr>
            </w:pPr>
            <w:r>
              <w:rPr>
                <w:rFonts w:hint="eastAsia" w:ascii="仿宋" w:hAnsi="仿宋" w:eastAsia="仿宋"/>
                <w:sz w:val="24"/>
                <w:szCs w:val="24"/>
              </w:rPr>
              <w:t>所属行业：</w:t>
            </w:r>
            <w:r>
              <w:rPr>
                <w:rFonts w:hint="eastAsia" w:ascii="仿宋" w:hAnsi="仿宋" w:eastAsia="仿宋"/>
                <w:color w:val="FF0000"/>
                <w:sz w:val="24"/>
                <w:szCs w:val="24"/>
              </w:rPr>
              <w:t xml:space="preserve"> </w:t>
            </w:r>
            <w:r>
              <w:rPr>
                <w:rFonts w:hint="eastAsia" w:ascii="仿宋" w:hAnsi="仿宋" w:eastAsia="仿宋"/>
                <w:color w:val="auto"/>
                <w:sz w:val="24"/>
                <w:szCs w:val="24"/>
                <w:lang w:val="en-US" w:eastAsia="zh-CN"/>
              </w:rPr>
              <w:t>信息传输业</w:t>
            </w:r>
            <w:r>
              <w:rPr>
                <w:rFonts w:hint="eastAsia" w:ascii="仿宋" w:hAnsi="仿宋" w:eastAsia="仿宋"/>
                <w:color w:val="auto"/>
                <w:sz w:val="24"/>
                <w:szCs w:val="24"/>
              </w:rPr>
              <w:t xml:space="preserve">   </w:t>
            </w:r>
            <w:r>
              <w:rPr>
                <w:rFonts w:hint="eastAsia" w:ascii="仿宋" w:hAnsi="仿宋" w:eastAsia="仿宋"/>
                <w:sz w:val="24"/>
                <w:szCs w:val="24"/>
              </w:rPr>
              <w:t xml:space="preserve">  </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3.根据财库[2017]141号的相关规定，在政府采购活动中，残疾人福利性单位视同小型、微型企业,并在单一来源响应文件中提供残疾人福利性单位声明函（见附件）。</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4.根据财库[2014]68号的相关规定，在政府采购活动中，监狱企业视同小型、微型企业，并在响应文件中提供由省级以上监狱管理局、戒毒管理局（含新疆生产建设兵团）出具的属于监狱企业的证明文件（格式自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5</w:t>
            </w:r>
          </w:p>
        </w:tc>
        <w:tc>
          <w:tcPr>
            <w:tcW w:w="14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政府采购节能环保产品</w:t>
            </w:r>
          </w:p>
        </w:tc>
        <w:tc>
          <w:tcPr>
            <w:tcW w:w="666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pacing w:line="500" w:lineRule="exact"/>
              <w:jc w:val="left"/>
              <w:rPr>
                <w:rFonts w:ascii="仿宋" w:hAnsi="仿宋" w:eastAsia="仿宋"/>
                <w:sz w:val="24"/>
                <w:szCs w:val="24"/>
              </w:rPr>
            </w:pPr>
            <w:r>
              <w:rPr>
                <w:rFonts w:hint="eastAsia" w:ascii="仿宋" w:hAnsi="仿宋" w:eastAsia="仿宋"/>
                <w:sz w:val="24"/>
                <w:szCs w:val="24"/>
              </w:rPr>
              <w:t>产品属于政府强制采购节能品目的（详见《关于印发节能产品政府采购品目清单的通知》财库〔2019〕19号），响应方须按上款要求提供节能产品认证证书或规定网站证书查询截图。产品属于政府强制采购节能产品品目的，响应方未提供节能产品的，其投标将作无效标处理；本文件“第四章采购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6</w:t>
            </w:r>
          </w:p>
        </w:tc>
        <w:tc>
          <w:tcPr>
            <w:tcW w:w="1440" w:type="dxa"/>
            <w:gridSpan w:val="2"/>
            <w:tcBorders>
              <w:top w:val="single" w:color="auto" w:sz="4" w:space="0"/>
              <w:left w:val="single" w:color="auto" w:sz="4" w:space="0"/>
              <w:bottom w:val="single" w:color="auto" w:sz="4" w:space="0"/>
              <w:right w:val="nil"/>
            </w:tcBorders>
            <w:vAlign w:val="center"/>
          </w:tcPr>
          <w:p>
            <w:pPr>
              <w:spacing w:line="500" w:lineRule="exact"/>
              <w:rPr>
                <w:rFonts w:ascii="仿宋" w:hAnsi="仿宋" w:eastAsia="仿宋"/>
                <w:sz w:val="24"/>
                <w:szCs w:val="24"/>
              </w:rPr>
            </w:pPr>
            <w:r>
              <w:rPr>
                <w:rFonts w:hint="eastAsia" w:ascii="仿宋" w:hAnsi="仿宋" w:eastAsia="仿宋"/>
                <w:sz w:val="24"/>
                <w:szCs w:val="24"/>
              </w:rPr>
              <w:t>是否允许进口产品</w:t>
            </w:r>
          </w:p>
        </w:tc>
        <w:tc>
          <w:tcPr>
            <w:tcW w:w="664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sz w:val="24"/>
                <w:szCs w:val="24"/>
              </w:rPr>
            </w:pPr>
            <w:bookmarkStart w:id="21" w:name="PO_15528_PM042"/>
            <w:r>
              <w:rPr>
                <w:rFonts w:hint="eastAsia" w:ascii="仿宋" w:hAnsi="仿宋" w:eastAsia="仿宋"/>
                <w:sz w:val="24"/>
                <w:szCs w:val="24"/>
              </w:rPr>
              <w:t>不允许进口产品</w:t>
            </w:r>
            <w:bookmarkEnd w:id="2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7</w:t>
            </w:r>
          </w:p>
        </w:tc>
        <w:tc>
          <w:tcPr>
            <w:tcW w:w="1440" w:type="dxa"/>
            <w:gridSpan w:val="2"/>
            <w:tcBorders>
              <w:top w:val="single" w:color="auto" w:sz="4" w:space="0"/>
              <w:left w:val="single" w:color="auto" w:sz="4" w:space="0"/>
              <w:bottom w:val="single" w:color="auto" w:sz="4" w:space="0"/>
              <w:right w:val="nil"/>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是否允许转包与分包</w:t>
            </w:r>
          </w:p>
        </w:tc>
        <w:tc>
          <w:tcPr>
            <w:tcW w:w="664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sz w:val="24"/>
                <w:szCs w:val="24"/>
              </w:rPr>
            </w:pPr>
            <w:bookmarkStart w:id="22" w:name="PO_15528_PM044"/>
            <w:r>
              <w:rPr>
                <w:rFonts w:hint="eastAsia" w:ascii="仿宋" w:hAnsi="仿宋" w:eastAsia="仿宋"/>
                <w:sz w:val="24"/>
                <w:szCs w:val="24"/>
              </w:rPr>
              <w:t>允许分包</w:t>
            </w:r>
            <w:bookmarkEnd w:id="2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8</w:t>
            </w:r>
          </w:p>
        </w:tc>
        <w:tc>
          <w:tcPr>
            <w:tcW w:w="1440" w:type="dxa"/>
            <w:gridSpan w:val="2"/>
            <w:tcBorders>
              <w:top w:val="single" w:color="auto" w:sz="4" w:space="0"/>
              <w:left w:val="single" w:color="auto" w:sz="4" w:space="0"/>
              <w:bottom w:val="single" w:color="auto" w:sz="4" w:space="0"/>
              <w:right w:val="nil"/>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是否接受联合体投标</w:t>
            </w:r>
          </w:p>
        </w:tc>
        <w:tc>
          <w:tcPr>
            <w:tcW w:w="664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sz w:val="24"/>
                <w:szCs w:val="24"/>
              </w:rPr>
            </w:pPr>
            <w:bookmarkStart w:id="23" w:name="PO_15528_PM007_1"/>
            <w:r>
              <w:rPr>
                <w:rFonts w:hint="eastAsia" w:ascii="仿宋" w:hAnsi="仿宋" w:eastAsia="仿宋"/>
                <w:sz w:val="24"/>
                <w:szCs w:val="24"/>
              </w:rPr>
              <w:t>标项1:允许联合体投标</w:t>
            </w:r>
            <w:bookmarkEnd w:id="2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9</w:t>
            </w:r>
          </w:p>
        </w:tc>
        <w:tc>
          <w:tcPr>
            <w:tcW w:w="1440" w:type="dxa"/>
            <w:gridSpan w:val="2"/>
            <w:tcBorders>
              <w:top w:val="single" w:color="auto" w:sz="4" w:space="0"/>
              <w:left w:val="single" w:color="auto" w:sz="4" w:space="0"/>
              <w:bottom w:val="single" w:color="auto" w:sz="4" w:space="0"/>
              <w:right w:val="nil"/>
            </w:tcBorders>
            <w:vAlign w:val="center"/>
          </w:tcPr>
          <w:p>
            <w:pPr>
              <w:spacing w:line="500" w:lineRule="exact"/>
              <w:rPr>
                <w:rFonts w:ascii="仿宋" w:hAnsi="仿宋" w:eastAsia="仿宋"/>
                <w:sz w:val="24"/>
                <w:szCs w:val="24"/>
              </w:rPr>
            </w:pPr>
            <w:r>
              <w:rPr>
                <w:rFonts w:hint="eastAsia" w:ascii="仿宋" w:hAnsi="仿宋" w:eastAsia="仿宋"/>
                <w:sz w:val="24"/>
                <w:szCs w:val="24"/>
              </w:rPr>
              <w:t>是否需要演示</w:t>
            </w:r>
          </w:p>
        </w:tc>
        <w:tc>
          <w:tcPr>
            <w:tcW w:w="664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sz w:val="24"/>
                <w:szCs w:val="24"/>
              </w:rPr>
            </w:pPr>
            <w:bookmarkStart w:id="24" w:name="PO_15526_PM041"/>
            <w:r>
              <w:rPr>
                <w:rFonts w:hint="eastAsia" w:ascii="仿宋" w:hAnsi="仿宋" w:eastAsia="仿宋"/>
                <w:sz w:val="24"/>
                <w:szCs w:val="24"/>
              </w:rPr>
              <w:t>不进行演示</w:t>
            </w:r>
            <w:bookmarkEnd w:id="2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10</w:t>
            </w:r>
          </w:p>
        </w:tc>
        <w:tc>
          <w:tcPr>
            <w:tcW w:w="8080"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sz w:val="24"/>
                <w:szCs w:val="24"/>
              </w:rPr>
            </w:pPr>
            <w:r>
              <w:rPr>
                <w:rFonts w:hint="eastAsia" w:ascii="仿宋" w:hAnsi="仿宋" w:eastAsia="仿宋"/>
                <w:sz w:val="24"/>
                <w:szCs w:val="24"/>
              </w:rPr>
              <w:t>单一来源采购响应文件组成：由资格文件、技术及商务文件、报价组成。</w:t>
            </w:r>
          </w:p>
          <w:p>
            <w:pPr>
              <w:spacing w:line="500" w:lineRule="exact"/>
              <w:rPr>
                <w:rFonts w:ascii="仿宋" w:hAnsi="仿宋" w:eastAsia="仿宋"/>
                <w:sz w:val="24"/>
                <w:szCs w:val="24"/>
              </w:rPr>
            </w:pPr>
            <w:r>
              <w:rPr>
                <w:rFonts w:hint="eastAsia" w:ascii="仿宋" w:hAnsi="仿宋" w:eastAsia="仿宋"/>
                <w:sz w:val="24"/>
                <w:szCs w:val="24"/>
              </w:rPr>
              <w:t>单一来源响应方提供备份单一来源响应文件的，数量为1份。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11</w:t>
            </w:r>
          </w:p>
        </w:tc>
        <w:tc>
          <w:tcPr>
            <w:tcW w:w="8080"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电子交易平台登录方法：</w:t>
            </w:r>
          </w:p>
          <w:p>
            <w:pPr>
              <w:spacing w:line="500" w:lineRule="exact"/>
              <w:jc w:val="left"/>
              <w:rPr>
                <w:rFonts w:ascii="仿宋" w:hAnsi="仿宋" w:eastAsia="仿宋"/>
                <w:sz w:val="24"/>
                <w:szCs w:val="24"/>
              </w:rPr>
            </w:pPr>
            <w:r>
              <w:rPr>
                <w:rFonts w:hint="eastAsia" w:ascii="仿宋" w:hAnsi="仿宋" w:eastAsia="仿宋"/>
                <w:sz w:val="24"/>
                <w:szCs w:val="24"/>
              </w:rPr>
              <w:t>第一步：响应方注册</w:t>
            </w:r>
          </w:p>
          <w:p>
            <w:pPr>
              <w:spacing w:line="500" w:lineRule="exact"/>
              <w:jc w:val="left"/>
              <w:rPr>
                <w:rFonts w:ascii="仿宋" w:hAnsi="仿宋" w:eastAsia="仿宋"/>
                <w:sz w:val="24"/>
                <w:szCs w:val="24"/>
              </w:rPr>
            </w:pPr>
            <w:r>
              <w:rPr>
                <w:rFonts w:hint="eastAsia" w:ascii="仿宋" w:hAnsi="仿宋" w:eastAsia="仿宋"/>
                <w:sz w:val="24"/>
                <w:szCs w:val="24"/>
              </w:rPr>
              <w:t>单一来源响应方应在投标前注册成为浙江政府采购网的正式供应商（注册网址：</w:t>
            </w:r>
            <w:r>
              <w:rPr>
                <w:rFonts w:hint="eastAsia"/>
              </w:rPr>
              <w:fldChar w:fldCharType="begin"/>
            </w:r>
            <w:r>
              <w:instrText xml:space="preserve"> HYPERLINK "https://middle.zcygov.cn/v-settle-front/registry" </w:instrText>
            </w:r>
            <w:r>
              <w:rPr>
                <w:rFonts w:hint="eastAsia"/>
              </w:rPr>
              <w:fldChar w:fldCharType="separate"/>
            </w:r>
            <w:r>
              <w:rPr>
                <w:rStyle w:val="50"/>
                <w:rFonts w:hint="eastAsia" w:ascii="仿宋" w:hAnsi="仿宋" w:eastAsia="仿宋"/>
                <w:sz w:val="24"/>
                <w:szCs w:val="24"/>
              </w:rPr>
              <w:t>https://middle.zcygov.cn/v-settle-front/registry</w:t>
            </w:r>
            <w:r>
              <w:rPr>
                <w:rStyle w:val="50"/>
                <w:rFonts w:hint="eastAsia" w:ascii="仿宋" w:hAnsi="仿宋" w:eastAsia="仿宋"/>
                <w:sz w:val="24"/>
                <w:szCs w:val="24"/>
              </w:rPr>
              <w:fldChar w:fldCharType="end"/>
            </w:r>
            <w:r>
              <w:rPr>
                <w:rFonts w:hint="eastAsia" w:ascii="仿宋" w:hAnsi="仿宋" w:eastAsia="仿宋"/>
                <w:sz w:val="24"/>
                <w:szCs w:val="24"/>
              </w:rPr>
              <w:t>）；</w:t>
            </w:r>
          </w:p>
          <w:p>
            <w:pPr>
              <w:spacing w:line="500" w:lineRule="exact"/>
              <w:jc w:val="left"/>
              <w:rPr>
                <w:rFonts w:ascii="仿宋" w:hAnsi="仿宋" w:eastAsia="仿宋"/>
                <w:sz w:val="24"/>
                <w:szCs w:val="24"/>
              </w:rPr>
            </w:pPr>
            <w:r>
              <w:rPr>
                <w:rFonts w:hint="eastAsia" w:ascii="仿宋" w:hAnsi="仿宋" w:eastAsia="仿宋"/>
                <w:sz w:val="24"/>
                <w:szCs w:val="24"/>
              </w:rPr>
              <w:t>第二步：申请CA</w:t>
            </w:r>
          </w:p>
          <w:p>
            <w:pPr>
              <w:spacing w:line="500" w:lineRule="exact"/>
              <w:jc w:val="left"/>
              <w:rPr>
                <w:rFonts w:ascii="仿宋" w:hAnsi="仿宋" w:eastAsia="仿宋"/>
                <w:sz w:val="24"/>
                <w:szCs w:val="24"/>
              </w:rPr>
            </w:pPr>
            <w:r>
              <w:rPr>
                <w:rFonts w:hint="eastAsia" w:ascii="仿宋" w:hAnsi="仿宋" w:eastAsia="仿宋"/>
                <w:sz w:val="24"/>
                <w:szCs w:val="24"/>
              </w:rPr>
              <w:t>单一来源响应方应在投标前完成CA数字证书办理（办理流程详见http://zfcg.czt.zj.gov.cn/bidClientTemplate/2019-05-27/12945.html）。完成CA数字证书办理预计一周左右，建议各单一来源响应方抓紧时间办理；</w:t>
            </w:r>
          </w:p>
          <w:p>
            <w:pPr>
              <w:spacing w:line="500" w:lineRule="exact"/>
              <w:jc w:val="left"/>
              <w:rPr>
                <w:rFonts w:ascii="仿宋" w:hAnsi="仿宋" w:eastAsia="仿宋"/>
                <w:sz w:val="24"/>
                <w:szCs w:val="24"/>
              </w:rPr>
            </w:pPr>
            <w:r>
              <w:rPr>
                <w:rFonts w:hint="eastAsia" w:ascii="仿宋" w:hAnsi="仿宋" w:eastAsia="仿宋"/>
                <w:sz w:val="24"/>
                <w:szCs w:val="24"/>
              </w:rPr>
              <w:t>第三步：下载客户端</w:t>
            </w:r>
          </w:p>
          <w:p>
            <w:pPr>
              <w:spacing w:line="500" w:lineRule="exact"/>
              <w:jc w:val="left"/>
              <w:rPr>
                <w:rFonts w:ascii="仿宋" w:hAnsi="仿宋" w:eastAsia="仿宋"/>
                <w:sz w:val="24"/>
                <w:szCs w:val="24"/>
              </w:rPr>
            </w:pPr>
            <w:r>
              <w:rPr>
                <w:rFonts w:hint="eastAsia" w:ascii="仿宋" w:hAnsi="仿宋" w:eastAsia="仿宋"/>
                <w:sz w:val="24"/>
                <w:szCs w:val="24"/>
              </w:rPr>
              <w:t>单一来源响应方通过政采云电子交易客户端制作单一来源响应文件，请自行前往浙江政府采购网下载并安装（下载网址：</w:t>
            </w:r>
            <w:r>
              <w:rPr>
                <w:rFonts w:hint="eastAsia"/>
              </w:rPr>
              <w:fldChar w:fldCharType="begin"/>
            </w:r>
            <w:r>
              <w:instrText xml:space="preserve"> HYPERLINK "http://zfcg.czt.zj.gov.cn/bidClientTemplate/2019-09-24/12975.html" </w:instrText>
            </w:r>
            <w:r>
              <w:rPr>
                <w:rFonts w:hint="eastAsia"/>
              </w:rPr>
              <w:fldChar w:fldCharType="separate"/>
            </w:r>
            <w:r>
              <w:rPr>
                <w:rStyle w:val="50"/>
                <w:rFonts w:hint="eastAsia" w:ascii="仿宋" w:hAnsi="仿宋" w:eastAsia="仿宋"/>
                <w:sz w:val="24"/>
                <w:szCs w:val="24"/>
              </w:rPr>
              <w:t>http://zfcg.czt.zj.gov.cn/bidClientTemplate/2019-09-24/12975.html</w:t>
            </w:r>
            <w:r>
              <w:rPr>
                <w:rStyle w:val="50"/>
                <w:rFonts w:hint="eastAsia" w:ascii="仿宋" w:hAnsi="仿宋" w:eastAsia="仿宋"/>
                <w:sz w:val="24"/>
                <w:szCs w:val="24"/>
              </w:rPr>
              <w:fldChar w:fldCharType="end"/>
            </w:r>
            <w:r>
              <w:rPr>
                <w:rFonts w:hint="eastAsia" w:ascii="仿宋" w:hAnsi="仿宋" w:eastAsia="仿宋"/>
                <w:sz w:val="24"/>
                <w:szCs w:val="24"/>
              </w:rPr>
              <w:t>）；</w:t>
            </w:r>
          </w:p>
          <w:p>
            <w:pPr>
              <w:spacing w:line="500" w:lineRule="exact"/>
              <w:jc w:val="left"/>
              <w:rPr>
                <w:rFonts w:ascii="仿宋" w:hAnsi="仿宋" w:eastAsia="仿宋"/>
                <w:sz w:val="24"/>
                <w:szCs w:val="24"/>
              </w:rPr>
            </w:pPr>
            <w:r>
              <w:rPr>
                <w:rFonts w:hint="eastAsia" w:ascii="仿宋" w:hAnsi="仿宋" w:eastAsia="仿宋"/>
                <w:sz w:val="24"/>
                <w:szCs w:val="24"/>
              </w:rPr>
              <w:t>第四步：具体流程</w:t>
            </w:r>
          </w:p>
          <w:p>
            <w:pPr>
              <w:spacing w:line="500" w:lineRule="exact"/>
              <w:jc w:val="left"/>
              <w:rPr>
                <w:rFonts w:ascii="仿宋" w:hAnsi="仿宋" w:eastAsia="仿宋"/>
                <w:sz w:val="24"/>
                <w:szCs w:val="24"/>
              </w:rPr>
            </w:pPr>
            <w:r>
              <w:rPr>
                <w:rFonts w:hint="eastAsia" w:ascii="仿宋" w:hAnsi="仿宋" w:eastAsia="仿宋"/>
                <w:sz w:val="24"/>
                <w:szCs w:val="24"/>
              </w:rPr>
              <w:t>详见浙江省“电子交易/不见面开评标”学习专题（网址</w:t>
            </w:r>
            <w:r>
              <w:rPr>
                <w:rFonts w:hint="eastAsia"/>
              </w:rPr>
              <w:fldChar w:fldCharType="begin"/>
            </w:r>
            <w:r>
              <w:instrText xml:space="preserve"> HYPERLINK "https://edu.zcygov.cn/luban/e-biding" </w:instrText>
            </w:r>
            <w:r>
              <w:rPr>
                <w:rFonts w:hint="eastAsia"/>
              </w:rPr>
              <w:fldChar w:fldCharType="separate"/>
            </w:r>
            <w:r>
              <w:rPr>
                <w:rStyle w:val="50"/>
                <w:rFonts w:hint="eastAsia" w:ascii="仿宋" w:hAnsi="仿宋" w:eastAsia="仿宋"/>
                <w:sz w:val="24"/>
                <w:szCs w:val="24"/>
              </w:rPr>
              <w:t>https://edu.zcygov.cn/luban/e-biding</w:t>
            </w:r>
            <w:r>
              <w:rPr>
                <w:rStyle w:val="50"/>
                <w:rFonts w:hint="eastAsia" w:ascii="仿宋" w:hAnsi="仿宋" w:eastAsia="仿宋"/>
                <w:sz w:val="24"/>
                <w:szCs w:val="24"/>
              </w:rPr>
              <w:fldChar w:fldCharType="end"/>
            </w:r>
            <w:r>
              <w:rPr>
                <w:rFonts w:hint="eastAsia" w:ascii="仿宋" w:hAnsi="仿宋" w:eastAsia="仿宋"/>
                <w:sz w:val="24"/>
                <w:szCs w:val="24"/>
              </w:rPr>
              <w:t>）</w:t>
            </w:r>
          </w:p>
          <w:p>
            <w:pPr>
              <w:spacing w:line="500" w:lineRule="exact"/>
              <w:rPr>
                <w:rFonts w:ascii="仿宋" w:hAnsi="仿宋" w:eastAsia="仿宋"/>
                <w:sz w:val="24"/>
                <w:szCs w:val="24"/>
              </w:rPr>
            </w:pPr>
            <w:r>
              <w:rPr>
                <w:rFonts w:hint="eastAsia" w:ascii="仿宋" w:hAnsi="仿宋" w:eastAsia="仿宋"/>
                <w:sz w:val="24"/>
                <w:szCs w:val="24"/>
              </w:rPr>
              <w:t>提醒：请各单一来源响应方合理安排时间，尽快完成第一、二、三步骤，避免影响投标。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12</w:t>
            </w:r>
          </w:p>
        </w:tc>
        <w:tc>
          <w:tcPr>
            <w:tcW w:w="8080"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单一来源响应文件的递交与接收：单一来源响应方应当在投标截止时间前完成电子单一来源响应文件的传输递交，并可以补充、修改或者撤回电子单一来源响应文件。补充或者修改电子单一来源响应文件的，应当先行撤回原文件，补充、修改后重新传输递交。投标截止时间前未完成传输的，视为撤回单一来源响应文件。投标截止时间后送达的单一来源响应文件，将被电子交易平台拒收。</w:t>
            </w:r>
          </w:p>
          <w:p>
            <w:pPr>
              <w:spacing w:line="500" w:lineRule="exact"/>
              <w:jc w:val="left"/>
              <w:rPr>
                <w:rFonts w:ascii="仿宋" w:hAnsi="仿宋" w:eastAsia="仿宋"/>
                <w:sz w:val="24"/>
                <w:szCs w:val="24"/>
              </w:rPr>
            </w:pPr>
            <w:r>
              <w:rPr>
                <w:rFonts w:hint="eastAsia" w:ascii="仿宋" w:hAnsi="仿宋" w:eastAsia="仿宋"/>
                <w:sz w:val="24"/>
                <w:szCs w:val="24"/>
              </w:rPr>
              <w:t>单一来源响应文件的接收以本项目公告要求的时间、地点和“第二章”的“单一来源响应文件的编制”等要求为准。</w:t>
            </w:r>
          </w:p>
          <w:p>
            <w:pPr>
              <w:spacing w:line="500" w:lineRule="exact"/>
              <w:jc w:val="left"/>
              <w:rPr>
                <w:rFonts w:ascii="仿宋" w:hAnsi="仿宋" w:eastAsia="仿宋"/>
                <w:sz w:val="24"/>
                <w:szCs w:val="24"/>
              </w:rPr>
            </w:pPr>
            <w:r>
              <w:rPr>
                <w:rFonts w:hint="eastAsia" w:ascii="仿宋" w:hAnsi="仿宋" w:eastAsia="仿宋"/>
                <w:sz w:val="24"/>
                <w:szCs w:val="24"/>
              </w:rPr>
              <w:t>单一来源响应方递交备份响应文件，出现下列情况之一的，将被拒收：</w:t>
            </w:r>
          </w:p>
          <w:p>
            <w:pPr>
              <w:spacing w:line="500" w:lineRule="exact"/>
              <w:jc w:val="left"/>
              <w:rPr>
                <w:rFonts w:ascii="仿宋" w:hAnsi="仿宋" w:eastAsia="仿宋"/>
                <w:sz w:val="24"/>
                <w:szCs w:val="24"/>
              </w:rPr>
            </w:pPr>
            <w:r>
              <w:rPr>
                <w:rFonts w:hint="eastAsia" w:ascii="仿宋" w:hAnsi="仿宋" w:eastAsia="仿宋"/>
                <w:sz w:val="24"/>
                <w:szCs w:val="24"/>
              </w:rPr>
              <w:t>1、未按规定密封或标记的；</w:t>
            </w:r>
          </w:p>
          <w:p>
            <w:pPr>
              <w:spacing w:line="500" w:lineRule="exact"/>
              <w:jc w:val="left"/>
              <w:rPr>
                <w:rFonts w:ascii="仿宋" w:hAnsi="仿宋" w:eastAsia="仿宋"/>
                <w:sz w:val="24"/>
                <w:szCs w:val="24"/>
              </w:rPr>
            </w:pPr>
            <w:r>
              <w:rPr>
                <w:rFonts w:hint="eastAsia" w:ascii="仿宋" w:hAnsi="仿宋" w:eastAsia="仿宋"/>
                <w:sz w:val="24"/>
                <w:szCs w:val="24"/>
              </w:rPr>
              <w:t>2、由于包装不妥，在送交途中严重破损或失散的；</w:t>
            </w:r>
          </w:p>
          <w:p>
            <w:pPr>
              <w:spacing w:line="500" w:lineRule="exact"/>
              <w:jc w:val="left"/>
              <w:rPr>
                <w:rFonts w:ascii="仿宋" w:hAnsi="仿宋" w:eastAsia="仿宋"/>
                <w:sz w:val="24"/>
                <w:szCs w:val="24"/>
              </w:rPr>
            </w:pPr>
            <w:r>
              <w:rPr>
                <w:rFonts w:hint="eastAsia" w:ascii="仿宋" w:hAnsi="仿宋" w:eastAsia="仿宋"/>
                <w:sz w:val="24"/>
                <w:szCs w:val="24"/>
              </w:rPr>
              <w:t>3、超过投标截止时间送达的。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13</w:t>
            </w:r>
          </w:p>
        </w:tc>
        <w:tc>
          <w:tcPr>
            <w:tcW w:w="8080"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sz w:val="24"/>
                <w:szCs w:val="24"/>
              </w:rPr>
            </w:pPr>
            <w:r>
              <w:rPr>
                <w:rFonts w:hint="eastAsia" w:ascii="仿宋" w:hAnsi="仿宋" w:eastAsia="仿宋"/>
                <w:sz w:val="24"/>
                <w:szCs w:val="24"/>
              </w:rPr>
              <w:t>采购结果公示：采购结果经采购人确认后，采购中心将于2个工作日内在浙江省政府采购网上公告成交结果，并向成交响应方发出成交通知书。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14</w:t>
            </w:r>
          </w:p>
        </w:tc>
        <w:tc>
          <w:tcPr>
            <w:tcW w:w="8080"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sz w:val="24"/>
                <w:szCs w:val="24"/>
              </w:rPr>
            </w:pPr>
            <w:r>
              <w:rPr>
                <w:rFonts w:hint="eastAsia" w:ascii="仿宋" w:hAnsi="仿宋" w:eastAsia="仿宋"/>
                <w:sz w:val="24"/>
                <w:szCs w:val="24"/>
              </w:rPr>
              <w:t>签订合同时间：成交通知书发出后30日内。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15</w:t>
            </w:r>
          </w:p>
        </w:tc>
        <w:tc>
          <w:tcPr>
            <w:tcW w:w="8080"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sz w:val="24"/>
                <w:szCs w:val="24"/>
              </w:rPr>
            </w:pPr>
            <w:r>
              <w:rPr>
                <w:rFonts w:hint="eastAsia" w:ascii="仿宋" w:hAnsi="仿宋" w:eastAsia="仿宋"/>
                <w:sz w:val="24"/>
                <w:szCs w:val="24"/>
              </w:rPr>
              <w:t>合同签订时，采购人按《中华人民共和国政府采购法实施条例》有关规定自行收取项目履约保证金。采购人要求中标或者成交响应方提交履约保证金的，响应方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16</w:t>
            </w:r>
          </w:p>
        </w:tc>
        <w:tc>
          <w:tcPr>
            <w:tcW w:w="8080"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sz w:val="24"/>
                <w:szCs w:val="24"/>
              </w:rPr>
            </w:pPr>
            <w:r>
              <w:rPr>
                <w:rFonts w:hint="eastAsia" w:ascii="仿宋" w:hAnsi="仿宋" w:eastAsia="仿宋"/>
                <w:sz w:val="24"/>
                <w:szCs w:val="24"/>
              </w:rPr>
              <w:t>付款方式：国库集中支付（采购人自行支付），详见各标项的资信及商务要求表。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17</w:t>
            </w:r>
          </w:p>
        </w:tc>
        <w:tc>
          <w:tcPr>
            <w:tcW w:w="8080"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sz w:val="24"/>
                <w:szCs w:val="24"/>
              </w:rPr>
            </w:pPr>
            <w:r>
              <w:rPr>
                <w:rFonts w:hint="eastAsia" w:ascii="仿宋" w:hAnsi="仿宋" w:eastAsia="仿宋"/>
                <w:sz w:val="24"/>
                <w:szCs w:val="24"/>
              </w:rPr>
              <w:t>解释：单一来源采购文件的解释权属于浙江省政府采购中心。</w:t>
            </w:r>
          </w:p>
        </w:tc>
      </w:tr>
    </w:tbl>
    <w:p>
      <w:pPr>
        <w:pStyle w:val="22"/>
        <w:snapToGrid w:val="0"/>
        <w:spacing w:before="156" w:line="240" w:lineRule="auto"/>
        <w:jc w:val="left"/>
        <w:outlineLvl w:val="0"/>
        <w:rPr>
          <w:rFonts w:ascii="仿宋" w:hAnsi="仿宋" w:eastAsia="仿宋"/>
          <w:b/>
          <w:sz w:val="30"/>
          <w:szCs w:val="30"/>
        </w:rPr>
      </w:pPr>
      <w:bookmarkStart w:id="25" w:name="_Toc451268218"/>
    </w:p>
    <w:p>
      <w:pPr>
        <w:pStyle w:val="22"/>
        <w:snapToGrid w:val="0"/>
        <w:spacing w:before="156" w:line="240" w:lineRule="auto"/>
        <w:jc w:val="left"/>
        <w:outlineLvl w:val="0"/>
        <w:rPr>
          <w:rFonts w:ascii="仿宋" w:hAnsi="仿宋" w:eastAsia="仿宋"/>
          <w:b/>
          <w:sz w:val="30"/>
          <w:szCs w:val="30"/>
        </w:rPr>
      </w:pPr>
    </w:p>
    <w:p>
      <w:pPr>
        <w:rPr>
          <w:rFonts w:ascii="仿宋" w:hAnsi="仿宋" w:eastAsia="仿宋" w:cs="Arial"/>
          <w:sz w:val="30"/>
          <w:szCs w:val="30"/>
        </w:rPr>
      </w:pPr>
    </w:p>
    <w:p>
      <w:pPr>
        <w:rPr>
          <w:rFonts w:ascii="仿宋" w:hAnsi="仿宋" w:eastAsia="仿宋" w:cs="Arial"/>
          <w:sz w:val="30"/>
          <w:szCs w:val="30"/>
        </w:rPr>
      </w:pPr>
    </w:p>
    <w:p>
      <w:pPr>
        <w:rPr>
          <w:rFonts w:ascii="仿宋" w:hAnsi="仿宋" w:eastAsia="仿宋" w:cs="Arial"/>
          <w:sz w:val="30"/>
          <w:szCs w:val="30"/>
        </w:rPr>
      </w:pPr>
    </w:p>
    <w:p>
      <w:pPr>
        <w:rPr>
          <w:rFonts w:ascii="仿宋" w:hAnsi="仿宋" w:eastAsia="仿宋" w:cs="Arial"/>
          <w:sz w:val="30"/>
          <w:szCs w:val="30"/>
        </w:rPr>
      </w:pPr>
    </w:p>
    <w:p>
      <w:pPr>
        <w:rPr>
          <w:rFonts w:ascii="仿宋" w:hAnsi="仿宋" w:eastAsia="仿宋" w:cs="Arial"/>
          <w:sz w:val="30"/>
          <w:szCs w:val="30"/>
        </w:rPr>
      </w:pPr>
    </w:p>
    <w:p>
      <w:pPr>
        <w:rPr>
          <w:rFonts w:ascii="仿宋" w:hAnsi="仿宋" w:eastAsia="仿宋" w:cs="Arial"/>
          <w:sz w:val="30"/>
          <w:szCs w:val="30"/>
        </w:rPr>
      </w:pPr>
    </w:p>
    <w:p>
      <w:pPr>
        <w:rPr>
          <w:rFonts w:ascii="仿宋" w:hAnsi="仿宋" w:eastAsia="仿宋" w:cs="Arial"/>
          <w:sz w:val="30"/>
          <w:szCs w:val="30"/>
        </w:rPr>
      </w:pPr>
    </w:p>
    <w:p>
      <w:pPr>
        <w:rPr>
          <w:rFonts w:ascii="仿宋" w:hAnsi="仿宋" w:eastAsia="仿宋" w:cs="Arial"/>
          <w:sz w:val="30"/>
          <w:szCs w:val="30"/>
        </w:rPr>
      </w:pPr>
    </w:p>
    <w:p>
      <w:pPr>
        <w:rPr>
          <w:rFonts w:ascii="仿宋" w:hAnsi="仿宋" w:eastAsia="仿宋" w:cs="Arial"/>
          <w:sz w:val="30"/>
          <w:szCs w:val="30"/>
        </w:rPr>
      </w:pPr>
    </w:p>
    <w:p>
      <w:pPr>
        <w:rPr>
          <w:rFonts w:ascii="仿宋" w:hAnsi="仿宋" w:eastAsia="仿宋" w:cs="Arial"/>
          <w:sz w:val="30"/>
          <w:szCs w:val="30"/>
        </w:rPr>
      </w:pPr>
    </w:p>
    <w:p>
      <w:pPr>
        <w:rPr>
          <w:rFonts w:ascii="仿宋" w:hAnsi="仿宋" w:eastAsia="仿宋" w:cs="Arial"/>
          <w:sz w:val="30"/>
          <w:szCs w:val="30"/>
        </w:rPr>
      </w:pPr>
    </w:p>
    <w:p>
      <w:pPr>
        <w:rPr>
          <w:rFonts w:ascii="仿宋" w:hAnsi="仿宋" w:eastAsia="仿宋" w:cs="Arial"/>
          <w:sz w:val="30"/>
          <w:szCs w:val="30"/>
        </w:rPr>
      </w:pPr>
    </w:p>
    <w:p>
      <w:pPr>
        <w:rPr>
          <w:rFonts w:ascii="仿宋" w:hAnsi="仿宋" w:eastAsia="仿宋" w:cs="Arial"/>
          <w:sz w:val="30"/>
          <w:szCs w:val="30"/>
        </w:rPr>
      </w:pPr>
      <w:r>
        <w:rPr>
          <w:rFonts w:hint="eastAsia" w:ascii="仿宋" w:hAnsi="仿宋" w:eastAsia="仿宋" w:cs="Arial"/>
          <w:sz w:val="30"/>
          <w:szCs w:val="30"/>
        </w:rPr>
        <w:t>一、总则</w:t>
      </w:r>
      <w:bookmarkEnd w:id="25"/>
    </w:p>
    <w:p>
      <w:pPr>
        <w:snapToGrid w:val="0"/>
        <w:spacing w:line="460" w:lineRule="exact"/>
        <w:ind w:firstLine="444" w:firstLineChars="148"/>
        <w:jc w:val="left"/>
        <w:outlineLvl w:val="1"/>
        <w:rPr>
          <w:rFonts w:ascii="仿宋" w:hAnsi="仿宋" w:eastAsia="仿宋" w:cs="Arial"/>
          <w:sz w:val="30"/>
          <w:szCs w:val="30"/>
        </w:rPr>
      </w:pPr>
      <w:r>
        <w:rPr>
          <w:rFonts w:hint="eastAsia" w:ascii="仿宋" w:hAnsi="仿宋" w:eastAsia="仿宋" w:cs="Arial"/>
          <w:sz w:val="30"/>
          <w:szCs w:val="30"/>
        </w:rPr>
        <w:t>单一来源是指采购人为了从某一特定供应商处采购货物、工程和服务，采购中心组织具有相关经验的专业人员与供应商商定合理的成交价格并保证采购项目质量的采购方式。</w:t>
      </w:r>
    </w:p>
    <w:p>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（一）适用范围</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仅适用于本次单一来源采购文件中政府采购的项目</w:t>
      </w:r>
    </w:p>
    <w:p>
      <w:pPr>
        <w:snapToGrid w:val="0"/>
        <w:spacing w:line="460" w:lineRule="exact"/>
        <w:ind w:firstLine="443" w:firstLineChars="147"/>
        <w:jc w:val="left"/>
        <w:outlineLvl w:val="1"/>
        <w:rPr>
          <w:rFonts w:ascii="仿宋" w:hAnsi="仿宋" w:eastAsia="仿宋"/>
          <w:b/>
          <w:sz w:val="30"/>
          <w:szCs w:val="30"/>
        </w:rPr>
      </w:pPr>
      <w:r>
        <w:rPr>
          <w:rFonts w:hint="eastAsia" w:ascii="仿宋" w:hAnsi="仿宋" w:eastAsia="仿宋"/>
          <w:b/>
          <w:sz w:val="30"/>
          <w:szCs w:val="30"/>
        </w:rPr>
        <w:t>（二）定义</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1.“采购中心”系指组织本次采购的浙江省政府采购中心。</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2.“响应方”系指向采购中心提交单一来源采购响应文件的单位。</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3.“采购人”系指委托采购中心采购本次项目的国家机关、事业单位和团体组织。</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4.“产品”系指响应方按单一来源采购文件规定，须向采购人提供的一切设备、保险、税金、备品备件、工具、手册及其它有关技术资料和材料。</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5.“服务”系指单一来源采购文件规定响应方须承担的安装、调试、技术协助、校准、培训、技术指导以及其他类似的义务。</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6.“项目”系指响应方按单一来源采购文件规定向采购人提供的产品和服务。</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7、</w:t>
      </w:r>
      <w:r>
        <w:rPr>
          <w:rFonts w:hint="eastAsia" w:ascii="宋体" w:hAnsi="宋体" w:cs="Arial"/>
          <w:b/>
          <w:color w:val="000000"/>
          <w:sz w:val="28"/>
          <w:szCs w:val="28"/>
        </w:rPr>
        <w:t>电子交易平台:指政府采购项目电子交易平台，即政采云平台。</w:t>
      </w:r>
    </w:p>
    <w:p>
      <w:pPr>
        <w:snapToGrid w:val="0"/>
        <w:spacing w:line="460" w:lineRule="exact"/>
        <w:ind w:firstLine="446" w:firstLineChars="148"/>
        <w:jc w:val="left"/>
        <w:outlineLvl w:val="1"/>
        <w:rPr>
          <w:rFonts w:ascii="仿宋" w:hAnsi="仿宋" w:eastAsia="仿宋" w:cs="Arial"/>
          <w:b/>
          <w:sz w:val="30"/>
          <w:szCs w:val="30"/>
        </w:rPr>
      </w:pPr>
      <w:r>
        <w:rPr>
          <w:rFonts w:hint="eastAsia" w:ascii="仿宋" w:hAnsi="仿宋" w:eastAsia="仿宋" w:cs="Arial"/>
          <w:b/>
          <w:sz w:val="30"/>
          <w:szCs w:val="30"/>
        </w:rPr>
        <w:t>（三）响应方全权代表委托</w:t>
      </w:r>
    </w:p>
    <w:p>
      <w:pPr>
        <w:snapToGrid w:val="0"/>
        <w:spacing w:line="460" w:lineRule="exact"/>
        <w:ind w:firstLine="444" w:firstLineChars="148"/>
        <w:jc w:val="left"/>
        <w:outlineLvl w:val="1"/>
        <w:rPr>
          <w:rFonts w:ascii="仿宋" w:hAnsi="仿宋" w:eastAsia="仿宋" w:cs="Arial"/>
          <w:sz w:val="30"/>
          <w:szCs w:val="30"/>
        </w:rPr>
      </w:pPr>
      <w:r>
        <w:rPr>
          <w:rFonts w:hint="eastAsia" w:ascii="仿宋" w:hAnsi="仿宋" w:eastAsia="仿宋" w:cs="Arial"/>
          <w:sz w:val="30"/>
          <w:szCs w:val="30"/>
        </w:rPr>
        <w:t>如全权代表不是法定代表人，须有法定代表人出具的授权委托书（格式见附部分）。</w:t>
      </w:r>
    </w:p>
    <w:p>
      <w:pPr>
        <w:snapToGrid w:val="0"/>
        <w:spacing w:line="460" w:lineRule="exact"/>
        <w:ind w:firstLine="590" w:firstLineChars="196"/>
        <w:jc w:val="left"/>
        <w:outlineLvl w:val="1"/>
        <w:rPr>
          <w:rFonts w:ascii="仿宋" w:hAnsi="仿宋" w:eastAsia="仿宋"/>
          <w:b/>
          <w:sz w:val="30"/>
          <w:szCs w:val="30"/>
        </w:rPr>
      </w:pPr>
      <w:r>
        <w:rPr>
          <w:rFonts w:hint="eastAsia" w:ascii="仿宋" w:hAnsi="仿宋" w:eastAsia="仿宋"/>
          <w:b/>
          <w:sz w:val="30"/>
          <w:szCs w:val="30"/>
        </w:rPr>
        <w:t>（四）单一来源采购费用</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不论采购结果如何，响应方均应自行承担所有与单一来源采购有关的全部费用（单一来源采购文件有其他规定除外）。</w:t>
      </w:r>
    </w:p>
    <w:p>
      <w:pPr>
        <w:pStyle w:val="10"/>
        <w:numPr>
          <w:ilvl w:val="0"/>
          <w:numId w:val="0"/>
        </w:numPr>
        <w:tabs>
          <w:tab w:val="clear" w:pos="454"/>
        </w:tabs>
        <w:snapToGrid w:val="0"/>
        <w:spacing w:line="460" w:lineRule="exact"/>
        <w:ind w:left="696" w:leftChars="196"/>
        <w:rPr>
          <w:rFonts w:ascii="仿宋" w:hAnsi="仿宋" w:eastAsia="仿宋"/>
          <w:b/>
          <w:sz w:val="30"/>
          <w:szCs w:val="30"/>
        </w:rPr>
      </w:pPr>
      <w:r>
        <w:rPr>
          <w:rFonts w:hint="eastAsia" w:ascii="仿宋" w:hAnsi="仿宋" w:eastAsia="仿宋"/>
          <w:b/>
          <w:sz w:val="30"/>
          <w:szCs w:val="30"/>
        </w:rPr>
        <w:t>（五）单一来源采购文件的澄清与修改</w:t>
      </w:r>
    </w:p>
    <w:p>
      <w:pPr>
        <w:pStyle w:val="22"/>
        <w:snapToGrid w:val="0"/>
        <w:spacing w:before="156" w:line="460" w:lineRule="exact"/>
        <w:ind w:firstLine="600" w:firstLineChars="200"/>
        <w:rPr>
          <w:rFonts w:ascii="仿宋" w:hAnsi="仿宋" w:eastAsia="仿宋"/>
          <w:sz w:val="30"/>
          <w:szCs w:val="30"/>
        </w:rPr>
      </w:pPr>
      <w:r>
        <w:rPr>
          <w:rFonts w:hint="eastAsia" w:ascii="仿宋" w:hAnsi="仿宋" w:eastAsia="仿宋"/>
          <w:sz w:val="30"/>
          <w:szCs w:val="30"/>
        </w:rPr>
        <w:t>1.在采购过程中，协商小组可以根据单一来源采购文件和协商情况实质性变动采购需求中的技术、服务要求以及合同草案条款，但不得变动单一来源采购文件中的其他内容。实质性变动的内容，须经采购人代表确认，该实质性变动是单一来源采购文件的有效组成部分，并以书面形式通知响应方。</w:t>
      </w:r>
    </w:p>
    <w:p>
      <w:pPr>
        <w:pStyle w:val="22"/>
        <w:snapToGrid w:val="0"/>
        <w:spacing w:before="156" w:line="460" w:lineRule="exact"/>
        <w:ind w:firstLine="600" w:firstLineChars="200"/>
        <w:rPr>
          <w:rFonts w:ascii="仿宋" w:hAnsi="仿宋" w:eastAsia="仿宋"/>
          <w:sz w:val="30"/>
          <w:szCs w:val="30"/>
        </w:rPr>
      </w:pPr>
      <w:r>
        <w:rPr>
          <w:rFonts w:hint="eastAsia" w:ascii="仿宋" w:hAnsi="仿宋" w:eastAsia="仿宋"/>
          <w:sz w:val="30"/>
          <w:szCs w:val="30"/>
        </w:rPr>
        <w:t>2.单一来源采购文件澄清、答复、修改、补充的内容为单一来源采购文件的组成部分。当单一来源采购文件与单一来源采购文件的答复、澄清、修改、补充通知就同一内容的表述不一致时，以最后发出的书面文件为准。</w:t>
      </w:r>
    </w:p>
    <w:p>
      <w:pPr>
        <w:pStyle w:val="22"/>
        <w:snapToGrid w:val="0"/>
        <w:spacing w:before="156" w:line="460" w:lineRule="exact"/>
        <w:ind w:firstLine="602" w:firstLineChars="200"/>
        <w:rPr>
          <w:rFonts w:ascii="仿宋" w:hAnsi="仿宋" w:eastAsia="仿宋"/>
          <w:b/>
          <w:sz w:val="30"/>
          <w:szCs w:val="30"/>
        </w:rPr>
      </w:pPr>
      <w:r>
        <w:rPr>
          <w:rFonts w:hint="eastAsia" w:ascii="仿宋" w:hAnsi="仿宋" w:eastAsia="仿宋"/>
          <w:b/>
          <w:sz w:val="30"/>
          <w:szCs w:val="30"/>
        </w:rPr>
        <w:t>二、单一来源采购响应文件的编制</w:t>
      </w:r>
    </w:p>
    <w:p>
      <w:pPr>
        <w:snapToGrid w:val="0"/>
        <w:spacing w:line="460" w:lineRule="exact"/>
        <w:ind w:firstLine="551" w:firstLineChars="196"/>
        <w:jc w:val="left"/>
        <w:rPr>
          <w:rFonts w:ascii="宋体" w:hAnsi="宋体"/>
          <w:b/>
          <w:sz w:val="28"/>
          <w:szCs w:val="28"/>
        </w:rPr>
      </w:pPr>
      <w:bookmarkStart w:id="26" w:name="_Toc451762244"/>
      <w:bookmarkStart w:id="27" w:name="_Toc510137461"/>
      <w:bookmarkStart w:id="28" w:name="_Toc451762175"/>
      <w:r>
        <w:rPr>
          <w:rFonts w:hint="eastAsia" w:ascii="宋体" w:hAnsi="宋体"/>
          <w:b/>
          <w:sz w:val="28"/>
          <w:szCs w:val="28"/>
        </w:rPr>
        <w:t>（一）单一来源响应文件编制工具</w:t>
      </w:r>
    </w:p>
    <w:p>
      <w:pPr>
        <w:pStyle w:val="22"/>
        <w:adjustRightInd w:val="0"/>
        <w:snapToGrid w:val="0"/>
        <w:spacing w:before="156" w:line="500" w:lineRule="exact"/>
        <w:ind w:firstLine="565" w:firstLineChars="201"/>
        <w:rPr>
          <w:rFonts w:hAnsi="宋体"/>
          <w:b/>
          <w:sz w:val="30"/>
          <w:szCs w:val="30"/>
        </w:rPr>
      </w:pPr>
      <w:r>
        <w:rPr>
          <w:rFonts w:hint="eastAsia" w:hAnsi="宋体"/>
          <w:b/>
          <w:sz w:val="28"/>
          <w:szCs w:val="28"/>
        </w:rPr>
        <w:t>单一来源响应文件编制工具为政采云电子交易客户端，下载网址：</w:t>
      </w:r>
      <w:r>
        <w:fldChar w:fldCharType="begin"/>
      </w:r>
      <w:r>
        <w:instrText xml:space="preserve"> HYPERLINK "http://zfcg.czt.zj.gov.cn/bidClientTemplate/2019-09-24/12975.html" </w:instrText>
      </w:r>
      <w:r>
        <w:fldChar w:fldCharType="separate"/>
      </w:r>
      <w:r>
        <w:rPr>
          <w:rStyle w:val="50"/>
        </w:rPr>
        <w:t>http://zfcg.czt.zj.gov.cn/bidClientTemplate/2019-09-24/12975.html</w:t>
      </w:r>
      <w:r>
        <w:rPr>
          <w:rStyle w:val="50"/>
        </w:rPr>
        <w:fldChar w:fldCharType="end"/>
      </w:r>
      <w:r>
        <w:rPr>
          <w:rFonts w:hint="eastAsia" w:hAnsi="宋体"/>
          <w:b/>
          <w:sz w:val="28"/>
          <w:szCs w:val="28"/>
        </w:rPr>
        <w:t>，请自行下载并安装。</w:t>
      </w:r>
    </w:p>
    <w:p>
      <w:pPr>
        <w:snapToGrid w:val="0"/>
        <w:spacing w:line="460" w:lineRule="exact"/>
        <w:ind w:firstLine="590" w:firstLineChars="196"/>
        <w:jc w:val="left"/>
        <w:outlineLvl w:val="0"/>
        <w:rPr>
          <w:rFonts w:ascii="宋体" w:hAnsi="宋体"/>
          <w:b/>
          <w:sz w:val="30"/>
          <w:szCs w:val="30"/>
        </w:rPr>
      </w:pPr>
      <w:r>
        <w:rPr>
          <w:rFonts w:hint="eastAsia" w:ascii="宋体" w:hAnsi="宋体"/>
          <w:b/>
          <w:sz w:val="30"/>
          <w:szCs w:val="30"/>
        </w:rPr>
        <w:t>（二）单一来源响应文件的组成</w:t>
      </w:r>
      <w:bookmarkEnd w:id="26"/>
      <w:bookmarkEnd w:id="27"/>
      <w:bookmarkEnd w:id="28"/>
    </w:p>
    <w:p>
      <w:pPr>
        <w:adjustRightInd w:val="0"/>
        <w:snapToGrid w:val="0"/>
        <w:spacing w:line="460" w:lineRule="exact"/>
        <w:ind w:firstLine="562" w:firstLineChars="200"/>
        <w:rPr>
          <w:rFonts w:ascii="宋体" w:hAnsi="宋体"/>
          <w:b/>
          <w:sz w:val="28"/>
          <w:szCs w:val="28"/>
        </w:rPr>
      </w:pPr>
      <w:r>
        <w:rPr>
          <w:rFonts w:hint="eastAsia" w:ascii="宋体" w:hAnsi="宋体"/>
          <w:b/>
          <w:sz w:val="28"/>
          <w:szCs w:val="28"/>
        </w:rPr>
        <w:t>本项目所称单一来源响应文件系指电子单一来源响应文件或备份单一来源响应文件。单一来源响应文件需按照本采购文件和电子交易平台的要求制作、加密并递交。</w:t>
      </w:r>
    </w:p>
    <w:p>
      <w:pPr>
        <w:adjustRightInd w:val="0"/>
        <w:snapToGrid w:val="0"/>
        <w:spacing w:line="460" w:lineRule="exact"/>
        <w:ind w:firstLine="562" w:firstLineChars="200"/>
        <w:rPr>
          <w:rFonts w:ascii="宋体" w:hAnsi="宋体"/>
          <w:b/>
          <w:sz w:val="28"/>
          <w:szCs w:val="28"/>
        </w:rPr>
      </w:pPr>
      <w:r>
        <w:rPr>
          <w:rFonts w:hint="eastAsia" w:ascii="宋体" w:hAnsi="宋体"/>
          <w:b/>
          <w:sz w:val="28"/>
          <w:szCs w:val="28"/>
        </w:rPr>
        <w:t>电子单一来源响应文件由资格文件、技术商务文件、报价文件三部份组成，具体详见“第五章  单一来源响应格式附件”。备份响应文件的组成和内容等同电子响应文件。</w:t>
      </w:r>
    </w:p>
    <w:p>
      <w:pPr>
        <w:pStyle w:val="37"/>
        <w:widowControl w:val="0"/>
        <w:spacing w:line="460" w:lineRule="exact"/>
        <w:ind w:firstLine="562" w:firstLineChars="200"/>
        <w:jc w:val="both"/>
        <w:rPr>
          <w:b/>
          <w:color w:val="auto"/>
          <w:sz w:val="28"/>
          <w:szCs w:val="28"/>
        </w:rPr>
      </w:pPr>
      <w:r>
        <w:rPr>
          <w:rFonts w:hint="eastAsia"/>
          <w:b/>
          <w:color w:val="auto"/>
          <w:sz w:val="28"/>
          <w:szCs w:val="28"/>
        </w:rPr>
        <w:t>注：法定代表人授权委托书、投标声明书、投标报价明细表必须按采购文件格式要求正确签署并加盖响应方公章。响应文件中所须加盖公章部分均采用CA签章。</w:t>
      </w:r>
    </w:p>
    <w:p>
      <w:pPr>
        <w:snapToGrid w:val="0"/>
        <w:spacing w:before="50" w:after="50"/>
        <w:ind w:firstLine="301" w:firstLineChars="100"/>
        <w:rPr>
          <w:rFonts w:ascii="仿宋" w:hAnsi="仿宋" w:eastAsia="仿宋"/>
          <w:b/>
          <w:bCs/>
          <w:color w:val="FF0000"/>
          <w:sz w:val="36"/>
          <w:szCs w:val="36"/>
        </w:rPr>
      </w:pPr>
      <w:bookmarkStart w:id="29" w:name="_Toc451268220"/>
      <w:r>
        <w:rPr>
          <w:rFonts w:hint="eastAsia" w:ascii="仿宋" w:hAnsi="仿宋" w:eastAsia="仿宋"/>
          <w:b/>
          <w:sz w:val="30"/>
          <w:szCs w:val="30"/>
        </w:rPr>
        <w:t>1、资格文件目录</w:t>
      </w:r>
    </w:p>
    <w:p>
      <w:pPr>
        <w:snapToGrid w:val="0"/>
        <w:spacing w:line="460" w:lineRule="exact"/>
        <w:ind w:firstLine="588" w:firstLineChars="196"/>
        <w:jc w:val="left"/>
        <w:rPr>
          <w:rFonts w:ascii="仿宋" w:hAnsi="仿宋" w:eastAsia="仿宋"/>
          <w:color w:val="auto"/>
          <w:sz w:val="30"/>
          <w:szCs w:val="30"/>
        </w:rPr>
      </w:pPr>
      <w:r>
        <w:rPr>
          <w:rFonts w:hint="eastAsia" w:ascii="宋体" w:hAnsi="宋体" w:cs="宋体"/>
          <w:color w:val="auto"/>
          <w:sz w:val="30"/>
          <w:szCs w:val="30"/>
        </w:rPr>
        <w:t>（</w:t>
      </w:r>
      <w:r>
        <w:rPr>
          <w:rFonts w:hint="eastAsia" w:ascii="仿宋" w:hAnsi="仿宋" w:eastAsia="仿宋"/>
          <w:color w:val="auto"/>
          <w:sz w:val="30"/>
          <w:szCs w:val="30"/>
        </w:rPr>
        <w:t>1）声明书 (格式见附件1，含重大违法记录声明)；</w:t>
      </w:r>
    </w:p>
    <w:p>
      <w:pPr>
        <w:snapToGrid w:val="0"/>
        <w:spacing w:line="460" w:lineRule="exact"/>
        <w:ind w:firstLine="588" w:firstLineChars="196"/>
        <w:jc w:val="left"/>
        <w:rPr>
          <w:rFonts w:ascii="仿宋" w:hAnsi="仿宋" w:eastAsia="仿宋"/>
          <w:color w:val="auto"/>
          <w:sz w:val="30"/>
          <w:szCs w:val="30"/>
        </w:rPr>
      </w:pPr>
      <w:r>
        <w:rPr>
          <w:rFonts w:hint="eastAsia" w:ascii="仿宋" w:hAnsi="仿宋" w:eastAsia="仿宋"/>
          <w:color w:val="auto"/>
          <w:sz w:val="30"/>
          <w:szCs w:val="30"/>
        </w:rPr>
        <w:t>（2）法定代表人授权委托书(格式见附件2)；</w:t>
      </w:r>
    </w:p>
    <w:p>
      <w:pPr>
        <w:snapToGrid w:val="0"/>
        <w:spacing w:line="460" w:lineRule="exact"/>
        <w:ind w:firstLine="588" w:firstLineChars="196"/>
        <w:jc w:val="left"/>
        <w:rPr>
          <w:rFonts w:ascii="仿宋" w:hAnsi="仿宋" w:eastAsia="仿宋"/>
          <w:color w:val="auto"/>
          <w:sz w:val="30"/>
          <w:szCs w:val="30"/>
        </w:rPr>
      </w:pPr>
      <w:r>
        <w:rPr>
          <w:rFonts w:hint="eastAsia" w:ascii="仿宋" w:hAnsi="仿宋" w:eastAsia="仿宋"/>
          <w:color w:val="auto"/>
          <w:sz w:val="30"/>
          <w:szCs w:val="30"/>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color w:val="auto"/>
          <w:sz w:val="30"/>
          <w:szCs w:val="30"/>
        </w:rPr>
      </w:pPr>
      <w:r>
        <w:rPr>
          <w:rFonts w:hint="eastAsia" w:ascii="仿宋" w:hAnsi="仿宋" w:eastAsia="仿宋"/>
          <w:color w:val="auto"/>
          <w:sz w:val="30"/>
          <w:szCs w:val="30"/>
        </w:rPr>
        <w:t>（4）联合响应协议书（若需要见附件3）;</w:t>
      </w:r>
    </w:p>
    <w:p>
      <w:pPr>
        <w:snapToGrid w:val="0"/>
        <w:spacing w:line="460" w:lineRule="exact"/>
        <w:ind w:firstLine="588" w:firstLineChars="196"/>
        <w:jc w:val="left"/>
        <w:rPr>
          <w:rFonts w:ascii="仿宋" w:hAnsi="仿宋" w:eastAsia="仿宋"/>
          <w:color w:val="auto"/>
          <w:sz w:val="30"/>
          <w:szCs w:val="30"/>
        </w:rPr>
      </w:pPr>
      <w:r>
        <w:rPr>
          <w:rFonts w:hint="eastAsia" w:ascii="仿宋" w:hAnsi="仿宋" w:eastAsia="仿宋"/>
          <w:color w:val="auto"/>
          <w:sz w:val="30"/>
          <w:szCs w:val="30"/>
        </w:rPr>
        <w:t>（5）联合响应授权委托书（若需要见附件4）;</w:t>
      </w:r>
    </w:p>
    <w:p>
      <w:pPr>
        <w:snapToGrid w:val="0"/>
        <w:spacing w:line="460" w:lineRule="exact"/>
        <w:ind w:firstLine="600" w:firstLineChars="200"/>
        <w:jc w:val="left"/>
        <w:rPr>
          <w:rFonts w:ascii="仿宋" w:hAnsi="仿宋" w:eastAsia="仿宋"/>
          <w:color w:val="auto"/>
          <w:sz w:val="30"/>
          <w:szCs w:val="30"/>
        </w:rPr>
      </w:pPr>
      <w:r>
        <w:rPr>
          <w:rFonts w:hint="eastAsia" w:ascii="仿宋" w:hAnsi="仿宋" w:eastAsia="仿宋"/>
          <w:color w:val="auto"/>
          <w:sz w:val="30"/>
          <w:szCs w:val="30"/>
        </w:rPr>
        <w:t>（6）提供采购公告中符合响应方特定条件要求的有效的其他资质复印件并加盖公司公章及需要说明的资料。</w:t>
      </w:r>
    </w:p>
    <w:p>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2.技术及商务文件目录：</w:t>
      </w:r>
    </w:p>
    <w:p>
      <w:pPr>
        <w:snapToGrid w:val="0"/>
        <w:spacing w:line="480" w:lineRule="exact"/>
        <w:ind w:firstLine="588" w:firstLineChars="196"/>
        <w:jc w:val="left"/>
        <w:rPr>
          <w:rFonts w:ascii="仿宋" w:hAnsi="仿宋" w:eastAsia="仿宋"/>
          <w:kern w:val="0"/>
          <w:sz w:val="30"/>
          <w:szCs w:val="30"/>
        </w:rPr>
      </w:pPr>
      <w:r>
        <w:rPr>
          <w:rFonts w:hint="eastAsia" w:ascii="仿宋" w:hAnsi="仿宋" w:eastAsia="仿宋"/>
          <w:kern w:val="0"/>
          <w:sz w:val="30"/>
          <w:szCs w:val="30"/>
        </w:rPr>
        <w:t>（1）技术响应表（见附件5）；</w:t>
      </w:r>
    </w:p>
    <w:p>
      <w:pPr>
        <w:snapToGrid w:val="0"/>
        <w:spacing w:line="460" w:lineRule="exact"/>
        <w:ind w:firstLine="600" w:firstLineChars="200"/>
        <w:jc w:val="left"/>
        <w:rPr>
          <w:rFonts w:ascii="仿宋" w:hAnsi="仿宋" w:eastAsia="仿宋"/>
          <w:color w:val="auto"/>
          <w:sz w:val="30"/>
          <w:szCs w:val="30"/>
        </w:rPr>
      </w:pPr>
      <w:r>
        <w:rPr>
          <w:rFonts w:hint="eastAsia" w:ascii="仿宋" w:hAnsi="仿宋" w:eastAsia="仿宋"/>
          <w:sz w:val="30"/>
          <w:szCs w:val="30"/>
        </w:rPr>
        <w:t>（2）项目总体解决方案（可包含且不限于对项目总体要求的</w:t>
      </w:r>
      <w:r>
        <w:rPr>
          <w:rFonts w:hint="eastAsia" w:ascii="仿宋" w:hAnsi="仿宋" w:eastAsia="仿宋"/>
          <w:color w:val="auto"/>
          <w:sz w:val="30"/>
          <w:szCs w:val="30"/>
        </w:rPr>
        <w:t>理解、项目总体架构及技术解决方案等）；</w:t>
      </w:r>
    </w:p>
    <w:p>
      <w:pPr>
        <w:snapToGrid w:val="0"/>
        <w:spacing w:line="480" w:lineRule="exact"/>
        <w:ind w:firstLine="588" w:firstLineChars="196"/>
        <w:jc w:val="left"/>
        <w:rPr>
          <w:rFonts w:ascii="仿宋" w:hAnsi="仿宋" w:eastAsia="仿宋"/>
          <w:color w:val="auto"/>
          <w:sz w:val="30"/>
          <w:szCs w:val="30"/>
        </w:rPr>
      </w:pPr>
      <w:r>
        <w:rPr>
          <w:rFonts w:hint="eastAsia" w:ascii="仿宋" w:hAnsi="仿宋" w:eastAsia="仿宋"/>
          <w:color w:val="auto"/>
          <w:sz w:val="30"/>
          <w:szCs w:val="30"/>
        </w:rPr>
        <w:t>（3）项目实施计划（可包含且不限于保证工期的施工组织方案及人力资源安排、项目组人员清单《</w:t>
      </w:r>
      <w:r>
        <w:rPr>
          <w:rFonts w:hint="eastAsia" w:ascii="仿宋" w:hAnsi="仿宋" w:eastAsia="仿宋"/>
          <w:color w:val="auto"/>
          <w:kern w:val="0"/>
          <w:sz w:val="30"/>
          <w:szCs w:val="30"/>
        </w:rPr>
        <w:t>项目实施人员一览表</w:t>
      </w:r>
      <w:r>
        <w:rPr>
          <w:rFonts w:hint="eastAsia" w:ascii="仿宋" w:hAnsi="仿宋" w:eastAsia="仿宋"/>
          <w:color w:val="auto"/>
          <w:sz w:val="30"/>
          <w:szCs w:val="30"/>
        </w:rPr>
        <w:t>》（</w:t>
      </w:r>
      <w:r>
        <w:rPr>
          <w:rFonts w:hint="eastAsia" w:ascii="仿宋" w:hAnsi="仿宋" w:eastAsia="仿宋"/>
          <w:color w:val="auto"/>
          <w:kern w:val="0"/>
          <w:sz w:val="30"/>
          <w:szCs w:val="30"/>
        </w:rPr>
        <w:t>附件6）</w:t>
      </w:r>
      <w:r>
        <w:rPr>
          <w:rFonts w:hint="eastAsia" w:ascii="仿宋" w:hAnsi="仿宋" w:eastAsia="仿宋"/>
          <w:color w:val="auto"/>
          <w:sz w:val="30"/>
          <w:szCs w:val="30"/>
        </w:rPr>
        <w:t>）；</w:t>
      </w:r>
    </w:p>
    <w:p>
      <w:pPr>
        <w:snapToGrid w:val="0"/>
        <w:spacing w:line="460" w:lineRule="exact"/>
        <w:ind w:firstLine="600" w:firstLineChars="200"/>
        <w:jc w:val="left"/>
        <w:rPr>
          <w:rFonts w:ascii="仿宋" w:hAnsi="仿宋" w:eastAsia="仿宋"/>
          <w:color w:val="auto"/>
          <w:sz w:val="30"/>
          <w:szCs w:val="30"/>
        </w:rPr>
      </w:pPr>
      <w:r>
        <w:rPr>
          <w:rFonts w:hint="eastAsia" w:ascii="仿宋" w:hAnsi="仿宋" w:eastAsia="仿宋"/>
          <w:color w:val="auto"/>
          <w:sz w:val="30"/>
          <w:szCs w:val="30"/>
        </w:rPr>
        <w:t>（4）列入政府采购节能环保清单的证明资料（若有）；</w:t>
      </w:r>
    </w:p>
    <w:p>
      <w:pPr>
        <w:snapToGrid w:val="0"/>
        <w:spacing w:line="460" w:lineRule="exact"/>
        <w:ind w:firstLine="588" w:firstLineChars="196"/>
        <w:jc w:val="left"/>
        <w:rPr>
          <w:rFonts w:ascii="仿宋" w:hAnsi="仿宋" w:eastAsia="仿宋"/>
          <w:color w:val="auto"/>
          <w:sz w:val="30"/>
          <w:szCs w:val="30"/>
        </w:rPr>
      </w:pPr>
      <w:r>
        <w:rPr>
          <w:rFonts w:hint="eastAsia" w:ascii="仿宋" w:hAnsi="仿宋" w:eastAsia="仿宋"/>
          <w:color w:val="auto"/>
          <w:sz w:val="30"/>
          <w:szCs w:val="30"/>
        </w:rPr>
        <w:t>（5）商务响应表（附件7）；</w:t>
      </w:r>
    </w:p>
    <w:p>
      <w:pPr>
        <w:snapToGrid w:val="0"/>
        <w:spacing w:line="460" w:lineRule="exact"/>
        <w:ind w:firstLine="600" w:firstLineChars="200"/>
        <w:jc w:val="left"/>
        <w:rPr>
          <w:rFonts w:ascii="仿宋" w:hAnsi="仿宋" w:eastAsia="仿宋"/>
          <w:color w:val="auto"/>
          <w:sz w:val="30"/>
          <w:szCs w:val="30"/>
        </w:rPr>
      </w:pPr>
      <w:r>
        <w:rPr>
          <w:rFonts w:hint="eastAsia" w:ascii="仿宋" w:hAnsi="仿宋" w:eastAsia="仿宋"/>
          <w:color w:val="auto"/>
          <w:sz w:val="30"/>
          <w:szCs w:val="30"/>
        </w:rPr>
        <w:t>（6）售后服务计划（可包含且不限于对用户故障的响应、处理、定期巡检、备品备件、常用耗材提供、驻点人员情况等）；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color w:val="auto"/>
          <w:sz w:val="30"/>
          <w:szCs w:val="30"/>
        </w:rPr>
      </w:pPr>
      <w:r>
        <w:rPr>
          <w:rFonts w:hint="eastAsia" w:ascii="仿宋" w:hAnsi="仿宋" w:eastAsia="仿宋"/>
          <w:color w:val="auto"/>
          <w:sz w:val="30"/>
          <w:szCs w:val="30"/>
        </w:rPr>
        <w:t>（7）技术培训计划（若有）；</w:t>
      </w:r>
    </w:p>
    <w:p>
      <w:pPr>
        <w:snapToGrid w:val="0"/>
        <w:spacing w:line="460" w:lineRule="exact"/>
        <w:ind w:firstLine="600" w:firstLineChars="200"/>
        <w:jc w:val="left"/>
        <w:rPr>
          <w:rFonts w:ascii="仿宋" w:hAnsi="仿宋" w:eastAsia="仿宋"/>
          <w:color w:val="auto"/>
          <w:sz w:val="30"/>
          <w:szCs w:val="30"/>
        </w:rPr>
      </w:pPr>
      <w:r>
        <w:rPr>
          <w:rFonts w:hint="eastAsia" w:ascii="仿宋" w:hAnsi="仿宋" w:eastAsia="仿宋"/>
          <w:color w:val="auto"/>
          <w:sz w:val="30"/>
          <w:szCs w:val="30"/>
        </w:rPr>
        <w:t>（8）响应方履约能力（可包含且不限于技术力量情况、响应方各项能力证书）；</w:t>
      </w:r>
    </w:p>
    <w:p>
      <w:pPr>
        <w:snapToGrid w:val="0"/>
        <w:spacing w:line="460" w:lineRule="exact"/>
        <w:ind w:firstLine="588" w:firstLineChars="196"/>
        <w:jc w:val="left"/>
        <w:rPr>
          <w:rFonts w:ascii="仿宋" w:hAnsi="仿宋" w:eastAsia="仿宋"/>
          <w:color w:val="auto"/>
          <w:sz w:val="30"/>
          <w:szCs w:val="30"/>
        </w:rPr>
      </w:pPr>
      <w:r>
        <w:rPr>
          <w:rFonts w:hint="eastAsia" w:ascii="仿宋" w:hAnsi="仿宋" w:eastAsia="仿宋"/>
          <w:color w:val="auto"/>
          <w:sz w:val="30"/>
          <w:szCs w:val="30"/>
        </w:rPr>
        <w:t>（9）案例的业绩证明（响应方同类项目实施情况一览表（附件8）、合同复印件）；</w:t>
      </w:r>
    </w:p>
    <w:p>
      <w:pPr>
        <w:tabs>
          <w:tab w:val="left" w:pos="6540"/>
        </w:tabs>
        <w:snapToGrid w:val="0"/>
        <w:spacing w:line="460" w:lineRule="exact"/>
        <w:ind w:firstLine="600" w:firstLineChars="200"/>
        <w:jc w:val="left"/>
        <w:rPr>
          <w:rFonts w:ascii="仿宋" w:hAnsi="仿宋" w:eastAsia="仿宋"/>
          <w:color w:val="auto"/>
          <w:sz w:val="30"/>
          <w:szCs w:val="30"/>
        </w:rPr>
      </w:pPr>
      <w:r>
        <w:rPr>
          <w:rFonts w:hint="eastAsia" w:ascii="仿宋" w:hAnsi="仿宋" w:eastAsia="仿宋"/>
          <w:color w:val="auto"/>
          <w:sz w:val="30"/>
          <w:szCs w:val="30"/>
        </w:rPr>
        <w:t>（10）响应方认为需要的其他文件资料。</w:t>
      </w:r>
      <w:r>
        <w:rPr>
          <w:rFonts w:hint="eastAsia" w:ascii="仿宋" w:hAnsi="仿宋" w:eastAsia="仿宋"/>
          <w:color w:val="auto"/>
          <w:sz w:val="30"/>
          <w:szCs w:val="30"/>
        </w:rPr>
        <w:tab/>
      </w:r>
    </w:p>
    <w:p>
      <w:pPr>
        <w:tabs>
          <w:tab w:val="left" w:pos="6540"/>
        </w:tabs>
        <w:snapToGrid w:val="0"/>
        <w:spacing w:line="460" w:lineRule="exact"/>
        <w:ind w:firstLine="602" w:firstLineChars="200"/>
        <w:jc w:val="left"/>
        <w:rPr>
          <w:rFonts w:ascii="仿宋" w:hAnsi="仿宋" w:eastAsia="仿宋"/>
          <w:b/>
          <w:sz w:val="30"/>
          <w:szCs w:val="30"/>
        </w:rPr>
      </w:pPr>
      <w:r>
        <w:rPr>
          <w:rFonts w:hint="eastAsia" w:ascii="仿宋" w:hAnsi="仿宋" w:eastAsia="仿宋"/>
          <w:b/>
          <w:sz w:val="30"/>
          <w:szCs w:val="30"/>
        </w:rPr>
        <w:t>3、报价文件目录</w:t>
      </w:r>
    </w:p>
    <w:p>
      <w:pPr>
        <w:pStyle w:val="24"/>
        <w:snapToGrid w:val="0"/>
        <w:spacing w:line="460" w:lineRule="exact"/>
        <w:ind w:left="0" w:leftChars="0"/>
        <w:rPr>
          <w:rFonts w:ascii="仿宋" w:hAnsi="仿宋" w:eastAsia="仿宋"/>
          <w:sz w:val="30"/>
          <w:szCs w:val="30"/>
        </w:rPr>
      </w:pPr>
      <w:r>
        <w:rPr>
          <w:rFonts w:hint="eastAsia" w:ascii="仿宋" w:hAnsi="仿宋" w:eastAsia="仿宋"/>
          <w:sz w:val="30"/>
          <w:szCs w:val="30"/>
        </w:rPr>
        <w:t>（1）投标报价明细表（附件9）；</w:t>
      </w:r>
    </w:p>
    <w:p>
      <w:pPr>
        <w:pStyle w:val="24"/>
        <w:snapToGrid w:val="0"/>
        <w:spacing w:line="460" w:lineRule="exact"/>
        <w:ind w:left="0" w:leftChars="0"/>
        <w:rPr>
          <w:rFonts w:ascii="仿宋" w:hAnsi="仿宋" w:eastAsia="仿宋"/>
          <w:sz w:val="30"/>
          <w:szCs w:val="30"/>
        </w:rPr>
      </w:pPr>
      <w:r>
        <w:rPr>
          <w:rFonts w:hint="eastAsia" w:ascii="仿宋" w:hAnsi="仿宋" w:eastAsia="仿宋"/>
          <w:sz w:val="30"/>
          <w:szCs w:val="30"/>
        </w:rPr>
        <w:t>（2）响应方针对报价需要说明的其他文件和说明（格式自拟）；</w:t>
      </w:r>
    </w:p>
    <w:p>
      <w:pPr>
        <w:pStyle w:val="24"/>
        <w:snapToGrid w:val="0"/>
        <w:spacing w:line="460" w:lineRule="exact"/>
        <w:ind w:left="0" w:leftChars="0"/>
        <w:rPr>
          <w:rFonts w:ascii="仿宋" w:hAnsi="仿宋" w:eastAsia="仿宋"/>
        </w:rPr>
      </w:pPr>
      <w:r>
        <w:rPr>
          <w:rFonts w:hint="eastAsia" w:ascii="仿宋" w:hAnsi="仿宋" w:eastAsia="仿宋"/>
          <w:sz w:val="30"/>
          <w:szCs w:val="30"/>
        </w:rPr>
        <w:t>（3）中小企业声明函（见附件10）；</w:t>
      </w:r>
    </w:p>
    <w:p>
      <w:pPr>
        <w:pStyle w:val="37"/>
        <w:widowControl w:val="0"/>
        <w:spacing w:line="460" w:lineRule="exact"/>
        <w:jc w:val="both"/>
        <w:rPr>
          <w:rFonts w:ascii="仿宋" w:hAnsi="仿宋" w:eastAsia="仿宋"/>
          <w:color w:val="auto"/>
          <w:sz w:val="30"/>
          <w:szCs w:val="30"/>
        </w:rPr>
      </w:pPr>
      <w:r>
        <w:rPr>
          <w:rFonts w:hint="eastAsia" w:ascii="仿宋" w:hAnsi="仿宋" w:eastAsia="仿宋"/>
          <w:color w:val="auto"/>
          <w:sz w:val="30"/>
          <w:szCs w:val="30"/>
        </w:rPr>
        <w:t>（4）残疾人福利企业声明函（见附件11）。</w:t>
      </w:r>
    </w:p>
    <w:p>
      <w:pPr>
        <w:ind w:firstLine="446" w:firstLineChars="148"/>
        <w:rPr>
          <w:rFonts w:ascii="仿宋" w:hAnsi="仿宋" w:eastAsia="仿宋"/>
          <w:b/>
          <w:bCs/>
          <w:sz w:val="30"/>
          <w:szCs w:val="30"/>
        </w:rPr>
      </w:pPr>
      <w:r>
        <w:rPr>
          <w:rFonts w:hint="eastAsia" w:ascii="仿宋" w:hAnsi="仿宋" w:eastAsia="仿宋"/>
          <w:b/>
          <w:bCs/>
          <w:sz w:val="30"/>
          <w:szCs w:val="30"/>
        </w:rPr>
        <w:t>（二）响应方报价</w:t>
      </w:r>
      <w:bookmarkEnd w:id="29"/>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1.响应方报价应按单一来源采购文件中相关附表格式填报；</w:t>
      </w:r>
    </w:p>
    <w:p>
      <w:pPr>
        <w:pStyle w:val="10"/>
        <w:numPr>
          <w:ilvl w:val="0"/>
          <w:numId w:val="0"/>
        </w:numPr>
        <w:tabs>
          <w:tab w:val="clear" w:pos="454"/>
        </w:tabs>
        <w:snapToGrid w:val="0"/>
        <w:spacing w:before="156" w:beforeLines="50" w:after="156" w:line="460" w:lineRule="exact"/>
        <w:ind w:left="588"/>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响应方的最终报价是履行合同的最终价格，应包括货款、标准附件、备品备件、专用工具、包装、运输、装卸、保险、税金、货到就位以及安装、调试、培训、保修等一切税金和费用。</w:t>
      </w:r>
    </w:p>
    <w:p>
      <w:pPr>
        <w:pStyle w:val="10"/>
        <w:numPr>
          <w:ilvl w:val="0"/>
          <w:numId w:val="0"/>
        </w:numPr>
        <w:tabs>
          <w:tab w:val="clear" w:pos="454"/>
        </w:tabs>
        <w:snapToGrid w:val="0"/>
        <w:spacing w:before="156" w:beforeLines="50" w:after="156" w:line="460" w:lineRule="exact"/>
        <w:ind w:left="696" w:leftChars="196"/>
        <w:rPr>
          <w:rFonts w:ascii="宋体"/>
          <w:b/>
          <w:sz w:val="30"/>
          <w:szCs w:val="30"/>
        </w:rPr>
      </w:pPr>
      <w:r>
        <w:rPr>
          <w:rFonts w:hint="eastAsia" w:ascii="宋体" w:hAnsi="宋体"/>
          <w:b/>
          <w:sz w:val="30"/>
          <w:szCs w:val="30"/>
        </w:rPr>
        <w:t>（三）单一来源响应文件的有效期</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1、自采购响应截止日起90天内响应文件应保持有效。有效期不足的响应文件将被拒绝。</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2、成交人的响应文件自采购之日起至合同履行完毕止均应保持有效。</w:t>
      </w:r>
    </w:p>
    <w:p>
      <w:pPr>
        <w:ind w:firstLine="596" w:firstLineChars="198"/>
        <w:rPr>
          <w:rFonts w:ascii="仿宋" w:hAnsi="仿宋" w:eastAsia="仿宋"/>
          <w:b/>
          <w:bCs/>
          <w:sz w:val="30"/>
          <w:szCs w:val="30"/>
        </w:rPr>
      </w:pPr>
      <w:bookmarkStart w:id="30" w:name="_Toc451268222"/>
      <w:r>
        <w:rPr>
          <w:rFonts w:hint="eastAsia" w:ascii="仿宋" w:hAnsi="仿宋" w:eastAsia="仿宋"/>
          <w:b/>
          <w:bCs/>
          <w:sz w:val="30"/>
          <w:szCs w:val="30"/>
        </w:rPr>
        <w:t>（四）单一来源采购响应文件的签署和份数</w:t>
      </w:r>
      <w:bookmarkEnd w:id="30"/>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 xml:space="preserve">1.电子响应文件部分： </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1）响应方应根据本采购文件和电子交易平台规定的格式和顺序编制电子响应文件并进行关联定位，响应文件内容不完整、编排混乱、关联错误导致响应文件被误读、漏读或者查找不到相关内容的，是响应方的责任。</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（2）响应文件须由响应方在规定位置盖章并由法定代表人或法定代表人的授权委托人签署，响应方应写全称。</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（3）响应文件不得涂改，若有修改错漏处，须加盖响应方公章或者法定代表人或授权委托人签名或盖章。响应文件因字迹潦草或表达不清所引起的后果由响应方负责。</w:t>
      </w:r>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2.响应方选择递交备份响应文件</w:t>
      </w:r>
      <w:r>
        <w:rPr>
          <w:rFonts w:hint="eastAsia" w:ascii="仿宋" w:hAnsi="仿宋" w:eastAsia="仿宋"/>
          <w:b/>
          <w:bCs/>
          <w:color w:val="FF0000"/>
          <w:sz w:val="28"/>
          <w:szCs w:val="28"/>
        </w:rPr>
        <w:t>，</w:t>
      </w:r>
      <w:r>
        <w:rPr>
          <w:rFonts w:hint="eastAsia" w:ascii="仿宋" w:hAnsi="仿宋" w:eastAsia="仿宋"/>
          <w:b/>
          <w:bCs/>
          <w:sz w:val="28"/>
          <w:szCs w:val="28"/>
        </w:rPr>
        <w:t>备份响应文件另须满足以下条件：</w:t>
      </w:r>
    </w:p>
    <w:p>
      <w:pPr>
        <w:pStyle w:val="22"/>
        <w:adjustRightInd w:val="0"/>
        <w:snapToGrid w:val="0"/>
        <w:spacing w:before="156" w:line="500" w:lineRule="exact"/>
        <w:ind w:firstLine="562" w:firstLineChars="200"/>
        <w:rPr>
          <w:rFonts w:ascii="仿宋" w:hAnsi="仿宋" w:eastAsia="仿宋"/>
          <w:b/>
          <w:bCs/>
          <w:sz w:val="28"/>
          <w:szCs w:val="28"/>
        </w:rPr>
      </w:pPr>
      <w:r>
        <w:rPr>
          <w:rFonts w:hint="eastAsia" w:ascii="仿宋" w:hAnsi="仿宋" w:eastAsia="仿宋"/>
          <w:b/>
          <w:bCs/>
          <w:sz w:val="28"/>
          <w:szCs w:val="28"/>
        </w:rPr>
        <w:t xml:space="preserve">（1）储存形式：U盘、DVD </w:t>
      </w:r>
    </w:p>
    <w:p>
      <w:pPr>
        <w:pStyle w:val="22"/>
        <w:adjustRightInd w:val="0"/>
        <w:snapToGrid w:val="0"/>
        <w:spacing w:before="156" w:line="500" w:lineRule="exact"/>
        <w:ind w:firstLine="557" w:firstLineChars="198"/>
        <w:rPr>
          <w:rFonts w:ascii="仿宋" w:hAnsi="仿宋" w:eastAsia="仿宋"/>
          <w:bCs/>
          <w:sz w:val="28"/>
          <w:szCs w:val="28"/>
        </w:rPr>
      </w:pPr>
      <w:r>
        <w:rPr>
          <w:rFonts w:hint="eastAsia" w:ascii="仿宋" w:hAnsi="仿宋" w:eastAsia="仿宋"/>
          <w:b/>
          <w:bCs/>
          <w:sz w:val="28"/>
          <w:szCs w:val="28"/>
        </w:rPr>
        <w:t>（2）密封要求：外包装封面上应注明响应方名称、响应方地址、响应方联系方式（授权代表手机）、响应文件名称（备份响应文件）、投标项目名称、项目编号、标项及“开标时启封”字样，并加盖响应方公章。</w:t>
      </w:r>
    </w:p>
    <w:p>
      <w:pPr>
        <w:snapToGrid w:val="0"/>
        <w:spacing w:before="156" w:beforeLines="50" w:line="460" w:lineRule="exact"/>
        <w:ind w:firstLine="590" w:firstLineChars="196"/>
        <w:outlineLvl w:val="2"/>
        <w:rPr>
          <w:rFonts w:ascii="仿宋" w:hAnsi="仿宋" w:eastAsia="仿宋"/>
          <w:b/>
          <w:sz w:val="30"/>
          <w:szCs w:val="30"/>
        </w:rPr>
      </w:pPr>
      <w:r>
        <w:rPr>
          <w:rFonts w:hint="eastAsia" w:ascii="仿宋" w:hAnsi="仿宋" w:eastAsia="仿宋"/>
          <w:b/>
          <w:sz w:val="30"/>
          <w:szCs w:val="30"/>
        </w:rPr>
        <w:t>（五）采购无效的情形</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在采购时，如发现下列情形之一的，采购响应文件将被视为无效：</w:t>
      </w:r>
    </w:p>
    <w:p>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1、仅提供备份响应文件的；</w:t>
      </w:r>
    </w:p>
    <w:p>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2、电子响应文件解密失败，且未在规定时间内提交备份响应文件的；</w:t>
      </w:r>
    </w:p>
    <w:p>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3、电子响应文件解密失败，虽然在规定时间内提交了备份响应文件，但是备份响应文件无法导入或者无法读取或者不符合本采购文件和电子交易平台要求的；</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4、响应方未能提供合格的资格文件；</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5、与采购文件有重大偏离的；</w:t>
      </w:r>
    </w:p>
    <w:p>
      <w:pPr>
        <w:snapToGrid w:val="0"/>
        <w:spacing w:line="460" w:lineRule="exact"/>
        <w:ind w:firstLine="570" w:firstLineChars="190"/>
        <w:jc w:val="left"/>
        <w:rPr>
          <w:rFonts w:ascii="仿宋" w:hAnsi="仿宋" w:eastAsia="仿宋"/>
          <w:sz w:val="30"/>
          <w:szCs w:val="30"/>
        </w:rPr>
      </w:pPr>
      <w:r>
        <w:rPr>
          <w:rFonts w:hint="eastAsia" w:ascii="仿宋" w:hAnsi="仿宋" w:eastAsia="仿宋"/>
          <w:sz w:val="30"/>
          <w:szCs w:val="30"/>
        </w:rPr>
        <w:t>6、响应文件未有效授权；</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7、响应方最终报价超出预算的；</w:t>
      </w:r>
    </w:p>
    <w:p>
      <w:pPr>
        <w:snapToGrid w:val="0"/>
        <w:spacing w:line="460" w:lineRule="exact"/>
        <w:ind w:firstLine="570" w:firstLineChars="190"/>
        <w:jc w:val="left"/>
        <w:rPr>
          <w:rFonts w:ascii="仿宋" w:hAnsi="仿宋" w:eastAsia="仿宋"/>
          <w:color w:val="000000"/>
          <w:sz w:val="30"/>
          <w:szCs w:val="30"/>
        </w:rPr>
      </w:pPr>
      <w:r>
        <w:rPr>
          <w:rFonts w:hint="eastAsia" w:ascii="仿宋" w:hAnsi="仿宋" w:eastAsia="仿宋"/>
          <w:color w:val="000000"/>
          <w:sz w:val="30"/>
          <w:szCs w:val="30"/>
        </w:rPr>
        <w:t>8、最终报价明显高于其市场报价或低于成本价且不能合理说明原因并提供证明材料的；</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9、不符合法律、法规和本采购文件规定的其他实质性要求的。</w:t>
      </w:r>
    </w:p>
    <w:p>
      <w:pPr>
        <w:snapToGrid w:val="0"/>
        <w:spacing w:line="460" w:lineRule="exact"/>
        <w:ind w:firstLine="562" w:firstLineChars="200"/>
        <w:rPr>
          <w:rFonts w:ascii="宋体" w:hAnsi="宋体"/>
          <w:b/>
          <w:sz w:val="28"/>
          <w:szCs w:val="28"/>
        </w:rPr>
      </w:pPr>
      <w:r>
        <w:rPr>
          <w:rFonts w:hint="eastAsia" w:ascii="宋体" w:hAnsi="宋体"/>
          <w:b/>
          <w:sz w:val="28"/>
          <w:szCs w:val="28"/>
        </w:rPr>
        <w:t>（七）采购过程中的</w:t>
      </w:r>
      <w:r>
        <w:rPr>
          <w:rFonts w:hint="eastAsia" w:hAnsi="宋体"/>
          <w:b/>
          <w:bCs/>
          <w:sz w:val="28"/>
          <w:szCs w:val="28"/>
        </w:rPr>
        <w:t>异常情况及处理措施</w:t>
      </w:r>
    </w:p>
    <w:p>
      <w:pPr>
        <w:pStyle w:val="22"/>
        <w:adjustRightInd w:val="0"/>
        <w:snapToGrid w:val="0"/>
        <w:spacing w:before="156" w:line="500" w:lineRule="exact"/>
        <w:ind w:firstLine="565" w:firstLineChars="201"/>
        <w:rPr>
          <w:rFonts w:hAnsi="宋体"/>
          <w:b/>
          <w:bCs/>
          <w:sz w:val="28"/>
          <w:szCs w:val="28"/>
        </w:rPr>
      </w:pPr>
      <w:r>
        <w:rPr>
          <w:rFonts w:hint="eastAsia" w:hAnsi="宋体"/>
          <w:b/>
          <w:bCs/>
          <w:sz w:val="28"/>
          <w:szCs w:val="28"/>
        </w:rPr>
        <w:t>采购过程中出现以下情形，导致电子交易平台无法正常运行，或者无法保证电子交易的公平、公正和安全时，采购方可中止电子交易活动：</w:t>
      </w:r>
    </w:p>
    <w:p>
      <w:pPr>
        <w:spacing w:line="440" w:lineRule="exact"/>
        <w:ind w:firstLine="562" w:firstLineChars="200"/>
        <w:rPr>
          <w:rFonts w:ascii="宋体" w:hAnsi="宋体"/>
          <w:b/>
          <w:bCs/>
          <w:sz w:val="28"/>
          <w:szCs w:val="28"/>
        </w:rPr>
      </w:pPr>
      <w:r>
        <w:rPr>
          <w:rFonts w:hint="eastAsia" w:ascii="宋体" w:hAnsi="宋体"/>
          <w:b/>
          <w:bCs/>
          <w:sz w:val="28"/>
          <w:szCs w:val="28"/>
        </w:rPr>
        <w:t>1.电子交易平台发生故障而无法登录访问的；</w:t>
      </w:r>
    </w:p>
    <w:p>
      <w:pPr>
        <w:spacing w:line="440" w:lineRule="exact"/>
        <w:ind w:firstLine="562" w:firstLineChars="200"/>
        <w:rPr>
          <w:rFonts w:ascii="宋体" w:hAnsi="宋体"/>
          <w:b/>
          <w:bCs/>
          <w:sz w:val="28"/>
          <w:szCs w:val="28"/>
        </w:rPr>
      </w:pPr>
      <w:r>
        <w:rPr>
          <w:rFonts w:hint="eastAsia" w:ascii="宋体" w:hAnsi="宋体"/>
          <w:b/>
          <w:bCs/>
          <w:sz w:val="28"/>
          <w:szCs w:val="28"/>
        </w:rPr>
        <w:t>2.电子交易平台应用或数据库出现错误，不能进行正常操作的；</w:t>
      </w:r>
    </w:p>
    <w:p>
      <w:pPr>
        <w:spacing w:line="440" w:lineRule="exact"/>
        <w:ind w:firstLine="562" w:firstLineChars="200"/>
        <w:rPr>
          <w:rFonts w:ascii="宋体" w:hAnsi="宋体"/>
          <w:b/>
          <w:bCs/>
          <w:sz w:val="28"/>
          <w:szCs w:val="28"/>
        </w:rPr>
      </w:pPr>
      <w:r>
        <w:rPr>
          <w:rFonts w:hint="eastAsia" w:ascii="宋体" w:hAnsi="宋体"/>
          <w:b/>
          <w:bCs/>
          <w:sz w:val="28"/>
          <w:szCs w:val="28"/>
        </w:rPr>
        <w:t>3.电子交易平台发现严重安全漏洞，有潜在泄密危险的；</w:t>
      </w:r>
    </w:p>
    <w:p>
      <w:pPr>
        <w:spacing w:line="440" w:lineRule="exact"/>
        <w:ind w:firstLine="562" w:firstLineChars="200"/>
        <w:rPr>
          <w:rFonts w:ascii="宋体" w:hAnsi="宋体"/>
          <w:b/>
          <w:bCs/>
          <w:sz w:val="28"/>
          <w:szCs w:val="28"/>
        </w:rPr>
      </w:pPr>
      <w:r>
        <w:rPr>
          <w:rFonts w:hint="eastAsia" w:ascii="宋体" w:hAnsi="宋体"/>
          <w:b/>
          <w:bCs/>
          <w:sz w:val="28"/>
          <w:szCs w:val="28"/>
        </w:rPr>
        <w:t>4.病毒发作导致不能进行正常操作的；</w:t>
      </w:r>
    </w:p>
    <w:p>
      <w:pPr>
        <w:spacing w:line="440" w:lineRule="exact"/>
        <w:ind w:firstLine="562" w:firstLineChars="200"/>
        <w:rPr>
          <w:rFonts w:ascii="宋体" w:hAnsi="宋体"/>
          <w:b/>
          <w:bCs/>
          <w:sz w:val="28"/>
          <w:szCs w:val="28"/>
        </w:rPr>
      </w:pPr>
      <w:r>
        <w:rPr>
          <w:rFonts w:hint="eastAsia" w:ascii="宋体" w:hAnsi="宋体"/>
          <w:b/>
          <w:bCs/>
          <w:sz w:val="28"/>
          <w:szCs w:val="28"/>
        </w:rPr>
        <w:t>5.其他无法保证电子交易的公平、公正和安全的情况。</w:t>
      </w:r>
    </w:p>
    <w:p>
      <w:pPr>
        <w:spacing w:line="440" w:lineRule="exact"/>
        <w:ind w:firstLine="562" w:firstLineChars="200"/>
        <w:rPr>
          <w:rFonts w:ascii="仿宋" w:hAnsi="仿宋" w:eastAsia="仿宋"/>
          <w:sz w:val="30"/>
          <w:szCs w:val="30"/>
        </w:rPr>
      </w:pPr>
      <w:r>
        <w:rPr>
          <w:rFonts w:hint="eastAsia" w:ascii="宋体" w:hAnsi="宋体"/>
          <w:b/>
          <w:bCs/>
          <w:sz w:val="28"/>
          <w:szCs w:val="28"/>
        </w:rPr>
        <w:t>出现前款规定情形，不影响采购公平、公正性的，</w:t>
      </w:r>
      <w:r>
        <w:rPr>
          <w:rFonts w:hint="eastAsia" w:hAnsi="宋体"/>
          <w:b/>
          <w:bCs/>
          <w:sz w:val="28"/>
          <w:szCs w:val="28"/>
        </w:rPr>
        <w:t>采购方</w:t>
      </w:r>
      <w:r>
        <w:rPr>
          <w:rFonts w:hint="eastAsia" w:ascii="宋体" w:hAnsi="宋体"/>
          <w:b/>
          <w:bCs/>
          <w:sz w:val="28"/>
          <w:szCs w:val="28"/>
        </w:rPr>
        <w:t>可以待上述情形消除后继续组织电子交易活动，也可以决定某些环节以纸质形式进行；影响或可能影响采购公平、公正性的，应当重新采购。</w:t>
      </w:r>
    </w:p>
    <w:p>
      <w:pPr>
        <w:pStyle w:val="22"/>
        <w:snapToGrid w:val="0"/>
        <w:spacing w:before="156" w:line="460" w:lineRule="exact"/>
        <w:ind w:firstLine="602" w:firstLineChars="200"/>
        <w:rPr>
          <w:rFonts w:ascii="仿宋" w:hAnsi="仿宋" w:eastAsia="仿宋"/>
          <w:b/>
          <w:sz w:val="30"/>
          <w:szCs w:val="30"/>
        </w:rPr>
      </w:pPr>
    </w:p>
    <w:p>
      <w:pPr>
        <w:pStyle w:val="22"/>
        <w:snapToGrid w:val="0"/>
        <w:spacing w:before="156" w:line="460" w:lineRule="exact"/>
        <w:ind w:firstLine="602" w:firstLineChars="200"/>
        <w:rPr>
          <w:rFonts w:ascii="仿宋" w:hAnsi="仿宋" w:eastAsia="仿宋"/>
          <w:b/>
          <w:sz w:val="30"/>
          <w:szCs w:val="30"/>
        </w:rPr>
      </w:pPr>
      <w:r>
        <w:rPr>
          <w:rFonts w:hint="eastAsia" w:ascii="仿宋" w:hAnsi="仿宋" w:eastAsia="仿宋"/>
          <w:b/>
          <w:sz w:val="30"/>
          <w:szCs w:val="30"/>
        </w:rPr>
        <w:t>三、组织单一来源采购程序</w:t>
      </w:r>
    </w:p>
    <w:p>
      <w:pPr>
        <w:pStyle w:val="22"/>
        <w:snapToGrid w:val="0"/>
        <w:spacing w:before="156" w:line="460" w:lineRule="exact"/>
        <w:ind w:firstLine="602" w:firstLineChars="200"/>
        <w:rPr>
          <w:rFonts w:ascii="仿宋" w:hAnsi="仿宋" w:eastAsia="仿宋"/>
          <w:b/>
          <w:sz w:val="30"/>
          <w:szCs w:val="30"/>
        </w:rPr>
      </w:pPr>
      <w:r>
        <w:rPr>
          <w:rFonts w:hint="eastAsia" w:ascii="仿宋" w:hAnsi="仿宋" w:eastAsia="仿宋"/>
          <w:b/>
          <w:sz w:val="30"/>
          <w:szCs w:val="30"/>
        </w:rPr>
        <w:t>（一）组建协商小组</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协商小组成员由采购中心组织具有相关经验的专业人员【或委托省财政厅采监处按《中华人民共和国政府采购法》相关要求，从政府采购评审专家库内相关专业的专家名单中随机抽取的专家成员组成】。协商小组成员为3人（含）以上组成。</w:t>
      </w:r>
    </w:p>
    <w:p>
      <w:pPr>
        <w:pStyle w:val="22"/>
        <w:snapToGrid w:val="0"/>
        <w:spacing w:before="156" w:line="460" w:lineRule="exact"/>
        <w:ind w:firstLine="551" w:firstLineChars="196"/>
        <w:rPr>
          <w:rFonts w:ascii="仿宋" w:hAnsi="仿宋" w:eastAsia="仿宋"/>
          <w:b/>
          <w:color w:val="auto"/>
          <w:sz w:val="28"/>
          <w:szCs w:val="28"/>
        </w:rPr>
      </w:pPr>
      <w:r>
        <w:rPr>
          <w:rFonts w:hint="eastAsia" w:ascii="仿宋" w:hAnsi="仿宋" w:eastAsia="仿宋"/>
          <w:b/>
          <w:color w:val="auto"/>
          <w:sz w:val="28"/>
          <w:szCs w:val="28"/>
        </w:rPr>
        <w:t>（二）组织开标</w:t>
      </w:r>
    </w:p>
    <w:p>
      <w:pPr>
        <w:pStyle w:val="22"/>
        <w:snapToGrid w:val="0"/>
        <w:spacing w:before="156" w:line="460" w:lineRule="exact"/>
        <w:ind w:firstLine="560" w:firstLineChars="200"/>
        <w:rPr>
          <w:rFonts w:hAnsi="宋体"/>
          <w:bCs/>
          <w:color w:val="auto"/>
          <w:sz w:val="28"/>
          <w:szCs w:val="28"/>
        </w:rPr>
      </w:pPr>
      <w:r>
        <w:rPr>
          <w:rFonts w:hint="eastAsia" w:hAnsi="宋体"/>
          <w:bCs/>
          <w:color w:val="auto"/>
          <w:sz w:val="28"/>
          <w:szCs w:val="28"/>
        </w:rPr>
        <w:t>采购方将按照单一来源采购文件规定的时间、地点和程序组织开标，各响应方授权代表及相关人员</w:t>
      </w:r>
      <w:r>
        <w:rPr>
          <w:rFonts w:hint="eastAsia" w:hAnsi="宋体"/>
          <w:b/>
          <w:bCs/>
          <w:color w:val="auto"/>
          <w:sz w:val="28"/>
          <w:szCs w:val="28"/>
        </w:rPr>
        <w:t>均应当准时在线参加</w:t>
      </w:r>
      <w:r>
        <w:rPr>
          <w:rFonts w:hint="eastAsia" w:hAnsi="宋体"/>
          <w:bCs/>
          <w:color w:val="auto"/>
          <w:sz w:val="28"/>
          <w:szCs w:val="28"/>
        </w:rPr>
        <w:t>，无关人员不得进入开标现场。响应方</w:t>
      </w:r>
      <w:r>
        <w:rPr>
          <w:rFonts w:hint="eastAsia" w:hAnsi="宋体"/>
          <w:b/>
          <w:bCs/>
          <w:color w:val="auto"/>
          <w:sz w:val="28"/>
          <w:szCs w:val="28"/>
        </w:rPr>
        <w:t>如未准时在线参加的</w:t>
      </w:r>
      <w:r>
        <w:rPr>
          <w:rFonts w:hint="eastAsia" w:hAnsi="宋体"/>
          <w:bCs/>
          <w:color w:val="auto"/>
          <w:sz w:val="28"/>
          <w:szCs w:val="28"/>
        </w:rPr>
        <w:t>，事后不得对采购相关人员、开标过程和开标结果提出异议。</w:t>
      </w:r>
    </w:p>
    <w:p>
      <w:pPr>
        <w:pStyle w:val="22"/>
        <w:snapToGrid w:val="0"/>
        <w:spacing w:before="156" w:line="460" w:lineRule="exact"/>
        <w:ind w:firstLine="562" w:firstLineChars="200"/>
        <w:rPr>
          <w:rFonts w:hAnsi="宋体"/>
          <w:b/>
          <w:bCs/>
          <w:color w:val="auto"/>
          <w:sz w:val="28"/>
          <w:szCs w:val="28"/>
        </w:rPr>
      </w:pPr>
      <w:r>
        <w:rPr>
          <w:rFonts w:hint="eastAsia" w:hAnsi="宋体"/>
          <w:b/>
          <w:bCs/>
          <w:color w:val="auto"/>
          <w:sz w:val="28"/>
          <w:szCs w:val="28"/>
        </w:rPr>
        <w:t>1.落实工作场地、设施，检查录音录像采集设备运行情况，验证电子交易平台是否能正常登录。并开启直播（如直播信号出现问题，不影响项目开标程序）</w:t>
      </w:r>
    </w:p>
    <w:p>
      <w:pPr>
        <w:pStyle w:val="22"/>
        <w:snapToGrid w:val="0"/>
        <w:spacing w:before="156" w:line="460" w:lineRule="exact"/>
        <w:ind w:firstLine="562" w:firstLineChars="200"/>
        <w:rPr>
          <w:rFonts w:hAnsi="宋体"/>
          <w:b/>
          <w:bCs/>
          <w:color w:val="auto"/>
          <w:sz w:val="28"/>
          <w:szCs w:val="28"/>
        </w:rPr>
      </w:pPr>
      <w:r>
        <w:rPr>
          <w:rFonts w:hint="eastAsia" w:hAnsi="宋体"/>
          <w:b/>
          <w:bCs/>
          <w:color w:val="auto"/>
          <w:sz w:val="28"/>
          <w:szCs w:val="28"/>
        </w:rPr>
        <w:t>2.协商由采购方主持，主持人介绍开标现场的人员情况，宣读递交响应文件的响应方名单、开标纪律、应当回避的情形等注意事项。</w:t>
      </w:r>
    </w:p>
    <w:p>
      <w:pPr>
        <w:spacing w:line="440" w:lineRule="exact"/>
        <w:ind w:firstLine="562" w:firstLineChars="200"/>
        <w:rPr>
          <w:rFonts w:ascii="宋体" w:hAnsi="宋体"/>
          <w:b/>
          <w:bCs/>
          <w:color w:val="auto"/>
          <w:sz w:val="28"/>
          <w:szCs w:val="28"/>
        </w:rPr>
      </w:pPr>
      <w:r>
        <w:rPr>
          <w:rFonts w:hAnsi="宋体"/>
          <w:b/>
          <w:bCs/>
          <w:color w:val="auto"/>
          <w:sz w:val="28"/>
          <w:szCs w:val="28"/>
        </w:rPr>
        <w:t>3.</w:t>
      </w:r>
      <w:r>
        <w:rPr>
          <w:rFonts w:hint="eastAsia" w:ascii="宋体" w:hAnsi="宋体"/>
          <w:b/>
          <w:bCs/>
          <w:color w:val="auto"/>
          <w:sz w:val="28"/>
          <w:szCs w:val="28"/>
        </w:rPr>
        <w:t>投标截止时，电子交易平台自动提取所有电子响应文件。采购方点击[开始解密]按钮后，响应方可以在线解密，解密时限为30分钟。</w:t>
      </w:r>
    </w:p>
    <w:p>
      <w:pPr>
        <w:spacing w:line="440" w:lineRule="exact"/>
        <w:ind w:firstLine="562" w:firstLineChars="200"/>
        <w:rPr>
          <w:rFonts w:ascii="宋体" w:hAnsi="宋体"/>
          <w:b/>
          <w:bCs/>
          <w:color w:val="auto"/>
          <w:sz w:val="28"/>
          <w:szCs w:val="28"/>
        </w:rPr>
      </w:pPr>
      <w:r>
        <w:rPr>
          <w:rFonts w:hint="eastAsia" w:ascii="宋体" w:hAnsi="宋体"/>
          <w:b/>
          <w:bCs/>
          <w:color w:val="auto"/>
          <w:sz w:val="28"/>
          <w:szCs w:val="28"/>
        </w:rPr>
        <w:t>4.响应方应当在解密时限内完成解密，如所有响应方的电子投标文件都已经解密完成的，则电子交易平台自动结束解密。如有任一响应方未解密，电子交易平台会在解密时限截止时自动结束解密。</w:t>
      </w:r>
    </w:p>
    <w:p>
      <w:pPr>
        <w:spacing w:line="440" w:lineRule="exact"/>
        <w:ind w:firstLine="562" w:firstLineChars="200"/>
        <w:rPr>
          <w:rFonts w:ascii="宋体" w:hAnsi="宋体"/>
          <w:b/>
          <w:bCs/>
          <w:color w:val="auto"/>
          <w:sz w:val="28"/>
          <w:szCs w:val="28"/>
        </w:rPr>
      </w:pPr>
      <w:r>
        <w:rPr>
          <w:rFonts w:hint="eastAsia" w:ascii="宋体" w:hAnsi="宋体"/>
          <w:b/>
          <w:bCs/>
          <w:color w:val="auto"/>
          <w:sz w:val="28"/>
          <w:szCs w:val="28"/>
        </w:rPr>
        <w:t>解密时限内未完成解密且按规定提供了备份投标文件的，采购方将拆封其备份投标文件，并导入电子交易平台。</w:t>
      </w:r>
    </w:p>
    <w:p>
      <w:pPr>
        <w:spacing w:line="440" w:lineRule="exact"/>
        <w:ind w:firstLine="562" w:firstLineChars="200"/>
        <w:rPr>
          <w:rFonts w:ascii="宋体" w:hAnsi="宋体"/>
          <w:b/>
          <w:bCs/>
          <w:color w:val="auto"/>
          <w:sz w:val="28"/>
          <w:szCs w:val="28"/>
        </w:rPr>
      </w:pPr>
      <w:r>
        <w:rPr>
          <w:rFonts w:hint="eastAsia" w:ascii="宋体" w:hAnsi="宋体"/>
          <w:b/>
          <w:bCs/>
          <w:color w:val="auto"/>
          <w:sz w:val="28"/>
          <w:szCs w:val="28"/>
        </w:rPr>
        <w:t>5.协商小组在商务和技术协商结束后，主持人通过电子交易平台宣告商务和技术协商无效响应方名称及理由，有效响应方的商务和技术得分情况。</w:t>
      </w:r>
    </w:p>
    <w:p>
      <w:pPr>
        <w:spacing w:line="440" w:lineRule="exact"/>
        <w:ind w:firstLine="562" w:firstLineChars="200"/>
        <w:rPr>
          <w:rFonts w:ascii="宋体" w:hAnsi="宋体"/>
          <w:b/>
          <w:bCs/>
          <w:color w:val="auto"/>
          <w:sz w:val="28"/>
          <w:szCs w:val="28"/>
        </w:rPr>
      </w:pPr>
      <w:r>
        <w:rPr>
          <w:rFonts w:hint="eastAsia" w:ascii="宋体" w:hAnsi="宋体"/>
          <w:b/>
          <w:bCs/>
          <w:color w:val="auto"/>
          <w:sz w:val="28"/>
          <w:szCs w:val="28"/>
        </w:rPr>
        <w:t>6.采购方在电子交易平台开启响应方的报价文件信息，响应方对报价信息进行确认。响应方对报价信息不予确认的不影响后续协商过程。</w:t>
      </w:r>
    </w:p>
    <w:p>
      <w:pPr>
        <w:pStyle w:val="22"/>
        <w:snapToGrid w:val="0"/>
        <w:spacing w:before="156" w:line="460" w:lineRule="exact"/>
        <w:ind w:firstLine="551" w:firstLineChars="196"/>
        <w:rPr>
          <w:rFonts w:hAnsi="宋体"/>
          <w:b/>
          <w:bCs/>
          <w:color w:val="auto"/>
          <w:sz w:val="28"/>
          <w:szCs w:val="28"/>
        </w:rPr>
      </w:pPr>
      <w:r>
        <w:rPr>
          <w:rFonts w:hint="eastAsia" w:hAnsi="宋体"/>
          <w:b/>
          <w:bCs/>
          <w:color w:val="auto"/>
          <w:sz w:val="28"/>
          <w:szCs w:val="28"/>
        </w:rPr>
        <w:t>7.协商小组经商议认为需要响应方作出必要澄清或说明的，应当通过电子交易平台交换数据电文。协商小组给予响应方提交澄清或说明的时间为半小时，响应方已经明确表示澄清或说明完毕的除外。</w:t>
      </w:r>
    </w:p>
    <w:p>
      <w:pPr>
        <w:spacing w:line="440" w:lineRule="exact"/>
        <w:ind w:firstLine="562" w:firstLineChars="200"/>
        <w:rPr>
          <w:rFonts w:ascii="宋体" w:hAnsi="宋体"/>
          <w:b/>
          <w:bCs/>
          <w:color w:val="auto"/>
          <w:sz w:val="28"/>
          <w:szCs w:val="28"/>
        </w:rPr>
      </w:pPr>
      <w:r>
        <w:rPr>
          <w:rFonts w:hint="eastAsia" w:ascii="宋体" w:hAnsi="宋体"/>
          <w:b/>
          <w:bCs/>
          <w:color w:val="auto"/>
          <w:sz w:val="28"/>
          <w:szCs w:val="28"/>
        </w:rPr>
        <w:t>8.在电子交易平台上公布协商结果。</w:t>
      </w:r>
    </w:p>
    <w:p>
      <w:pPr>
        <w:spacing w:line="440" w:lineRule="exact"/>
        <w:ind w:firstLine="562" w:firstLineChars="200"/>
        <w:rPr>
          <w:rFonts w:ascii="仿宋" w:hAnsi="仿宋" w:eastAsia="仿宋"/>
          <w:b/>
          <w:bCs/>
          <w:color w:val="auto"/>
          <w:sz w:val="28"/>
          <w:szCs w:val="28"/>
        </w:rPr>
      </w:pPr>
      <w:r>
        <w:rPr>
          <w:rFonts w:hint="eastAsia" w:ascii="宋体" w:hAnsi="宋体"/>
          <w:b/>
          <w:bCs/>
          <w:color w:val="auto"/>
          <w:sz w:val="28"/>
          <w:szCs w:val="28"/>
        </w:rPr>
        <w:t>特别说明：政采云公司如对电子化开标及协商程序有调整的，按调整后的程序操作。</w:t>
      </w:r>
    </w:p>
    <w:p>
      <w:pPr>
        <w:pStyle w:val="22"/>
        <w:snapToGrid w:val="0"/>
        <w:spacing w:before="156" w:line="460" w:lineRule="exact"/>
        <w:ind w:firstLine="590" w:firstLineChars="196"/>
        <w:rPr>
          <w:rFonts w:ascii="仿宋" w:hAnsi="仿宋" w:eastAsia="仿宋"/>
          <w:b/>
          <w:color w:val="auto"/>
          <w:sz w:val="30"/>
          <w:szCs w:val="30"/>
        </w:rPr>
      </w:pPr>
    </w:p>
    <w:p>
      <w:pPr>
        <w:pStyle w:val="22"/>
        <w:snapToGrid w:val="0"/>
        <w:spacing w:before="156" w:line="460" w:lineRule="exact"/>
        <w:ind w:firstLine="602" w:firstLineChars="200"/>
        <w:rPr>
          <w:rFonts w:ascii="仿宋" w:hAnsi="仿宋" w:eastAsia="仿宋"/>
          <w:b/>
          <w:color w:val="000000"/>
          <w:sz w:val="30"/>
          <w:szCs w:val="30"/>
        </w:rPr>
      </w:pPr>
      <w:r>
        <w:rPr>
          <w:rFonts w:hint="eastAsia" w:ascii="仿宋" w:hAnsi="仿宋" w:eastAsia="仿宋"/>
          <w:b/>
          <w:color w:val="000000"/>
          <w:sz w:val="30"/>
          <w:szCs w:val="30"/>
        </w:rPr>
        <w:t>（三）组织协商程序</w:t>
      </w:r>
    </w:p>
    <w:p>
      <w:pPr>
        <w:pStyle w:val="22"/>
        <w:snapToGrid w:val="0"/>
        <w:spacing w:before="156"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浙江省政府采购中心将按照单一来源采购文件规定的时间、地点和程序组织协商，各协商小组成员及相关人员应参加采购活动并接受核验、签到，无关人员不得进入协商现场。</w:t>
      </w:r>
    </w:p>
    <w:p>
      <w:pPr>
        <w:pStyle w:val="22"/>
        <w:snapToGrid w:val="0"/>
        <w:spacing w:before="156"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1、核验出席采购活动现场的各成员和相关监督人员身份，并要求其分别登记、签到，按规定统一收缴、保存其通讯工具，无关人员一律拒绝其进入采购现场。</w:t>
      </w:r>
    </w:p>
    <w:p>
      <w:pPr>
        <w:pStyle w:val="22"/>
        <w:snapToGrid w:val="0"/>
        <w:spacing w:before="156"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2、介绍现场的人员情况，宣布工作纪律，告知协商小组人员应当回避情形；组织推选协商小组组长。</w:t>
      </w:r>
    </w:p>
    <w:p>
      <w:pPr>
        <w:pStyle w:val="22"/>
        <w:snapToGrid w:val="0"/>
        <w:spacing w:before="156"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3、宣读提交单一来源响应文件的响应方名单，组织协商小组各位成员签订《政府采购评审人员廉洁自律承诺书》。</w:t>
      </w:r>
    </w:p>
    <w:p>
      <w:pPr>
        <w:pStyle w:val="22"/>
        <w:snapToGrid w:val="0"/>
        <w:spacing w:before="156"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4、根据需要简要介绍单一来源采购文件（含补充文件）制定情况、按书面陈述项目基本情况及协商工作需注意事项等，让协商小组尽快知悉和了解所采购项目的采购需求、协商依据、工作程序等；提醒协商小组对采购项目应确定协商方法和轮次；</w:t>
      </w:r>
    </w:p>
    <w:p>
      <w:pPr>
        <w:pStyle w:val="22"/>
        <w:snapToGrid w:val="0"/>
        <w:spacing w:before="156"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5、做好采购现场相关记录，协助协商小组组长做好协商报告起草、有关内容电脑文字录入等工作，并要求协商小组各成员签字确认。</w:t>
      </w:r>
    </w:p>
    <w:p>
      <w:pPr>
        <w:pStyle w:val="22"/>
        <w:snapToGrid w:val="0"/>
        <w:spacing w:before="156"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6、采购结束后，浙江省政府采购中心应对协商小组各成员的专业水平、职业道德、遵纪守法等情况进行评价；同时按规定向协商人员发放费用，并交还协商人员及其他现场相关人员的通讯工具。</w:t>
      </w:r>
    </w:p>
    <w:p>
      <w:pPr>
        <w:pStyle w:val="22"/>
        <w:snapToGrid w:val="0"/>
        <w:spacing w:before="156" w:line="460" w:lineRule="exact"/>
        <w:ind w:firstLine="602" w:firstLineChars="200"/>
        <w:rPr>
          <w:rFonts w:ascii="仿宋" w:hAnsi="仿宋" w:eastAsia="仿宋"/>
          <w:b/>
          <w:color w:val="000000"/>
          <w:sz w:val="30"/>
          <w:szCs w:val="30"/>
        </w:rPr>
      </w:pPr>
      <w:r>
        <w:rPr>
          <w:rFonts w:hint="eastAsia" w:ascii="仿宋" w:hAnsi="仿宋" w:eastAsia="仿宋"/>
          <w:b/>
          <w:color w:val="000000"/>
          <w:sz w:val="30"/>
          <w:szCs w:val="30"/>
        </w:rPr>
        <w:t>（四）协商小组协商程序</w:t>
      </w:r>
    </w:p>
    <w:p>
      <w:pPr>
        <w:pStyle w:val="22"/>
        <w:snapToGrid w:val="0"/>
        <w:spacing w:before="156"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1、在协商人员中推选协商小组组长。</w:t>
      </w:r>
    </w:p>
    <w:p>
      <w:pPr>
        <w:pStyle w:val="22"/>
        <w:snapToGrid w:val="0"/>
        <w:spacing w:before="156"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2、协商小组组长召集成员认真阅读单一来源采购文件以及相关材料，熟悉采购项目的基本概况，采购项目的质量要求、数量、主要技术标准或服务需求，采购合同主要条款，单一来源响应文件无效情形、协商依据、协商标准等。</w:t>
      </w:r>
    </w:p>
    <w:p>
      <w:pPr>
        <w:pStyle w:val="22"/>
        <w:snapToGrid w:val="0"/>
        <w:spacing w:before="156"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3、协商小组组长召集成员讨论确定协商方法和协商轮次。</w:t>
      </w:r>
    </w:p>
    <w:p>
      <w:pPr>
        <w:pStyle w:val="22"/>
        <w:snapToGrid w:val="0"/>
        <w:spacing w:before="156"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4、协商小组对单一来源响应文件的有效性、完整性和响应程度进行审查，确定是否作出实质性响应。</w:t>
      </w:r>
    </w:p>
    <w:p>
      <w:pPr>
        <w:pStyle w:val="22"/>
        <w:snapToGrid w:val="0"/>
        <w:spacing w:before="156"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5、协商小组对单一来源响应文件非实质性内容有疑议或异议，或者审查发现明显的文字或计算错误等，及时向协商小组组长提出。经协商小组商议认为需要响应方作出必要澄清或说明的，应通知该响应方以书面形式作出澄清或说明。书面通知及澄清说明文件应作为政府采购项目档案归档留存。</w:t>
      </w:r>
    </w:p>
    <w:p>
      <w:pPr>
        <w:spacing w:line="460" w:lineRule="exact"/>
        <w:ind w:firstLine="438" w:firstLineChars="146"/>
        <w:rPr>
          <w:rFonts w:ascii="仿宋" w:hAnsi="仿宋" w:eastAsia="仿宋"/>
          <w:sz w:val="30"/>
          <w:szCs w:val="30"/>
        </w:rPr>
      </w:pPr>
      <w:r>
        <w:rPr>
          <w:rFonts w:hint="eastAsia" w:ascii="仿宋" w:hAnsi="仿宋" w:eastAsia="仿宋"/>
          <w:sz w:val="30"/>
          <w:szCs w:val="30"/>
        </w:rPr>
        <w:t>6、协商小组与响应方就项目技术需求、服务、价格构成、供货、付款方式等要素进行协商，并要求其在规定时间内提交书面最终报价。</w:t>
      </w:r>
    </w:p>
    <w:p>
      <w:pPr>
        <w:spacing w:line="460" w:lineRule="exact"/>
        <w:ind w:firstLine="438" w:firstLineChars="146"/>
        <w:rPr>
          <w:rFonts w:ascii="仿宋" w:hAnsi="仿宋" w:eastAsia="仿宋"/>
          <w:sz w:val="30"/>
          <w:szCs w:val="30"/>
        </w:rPr>
      </w:pPr>
      <w:r>
        <w:rPr>
          <w:rFonts w:hint="eastAsia" w:ascii="仿宋" w:hAnsi="仿宋" w:eastAsia="仿宋"/>
          <w:sz w:val="30"/>
          <w:szCs w:val="30"/>
        </w:rPr>
        <w:t>7、协商小组对最终报价的合理性进行审核，并根据单一来源文件规定确定成交响应方。</w:t>
      </w:r>
    </w:p>
    <w:p>
      <w:pPr>
        <w:spacing w:line="460" w:lineRule="exact"/>
        <w:ind w:firstLine="438" w:firstLineChars="146"/>
        <w:rPr>
          <w:rFonts w:ascii="仿宋" w:hAnsi="仿宋" w:eastAsia="仿宋"/>
          <w:b/>
          <w:bCs/>
          <w:sz w:val="30"/>
          <w:szCs w:val="30"/>
        </w:rPr>
      </w:pPr>
      <w:r>
        <w:rPr>
          <w:rFonts w:hint="eastAsia" w:ascii="仿宋" w:hAnsi="仿宋" w:eastAsia="仿宋"/>
          <w:sz w:val="30"/>
          <w:szCs w:val="30"/>
        </w:rPr>
        <w:t>8、起草协商报告，所有协商小组成员须在报告上签字确认。</w:t>
      </w:r>
    </w:p>
    <w:p>
      <w:pPr>
        <w:pStyle w:val="22"/>
        <w:snapToGrid w:val="0"/>
        <w:spacing w:before="156" w:line="460" w:lineRule="exact"/>
        <w:ind w:firstLine="602" w:firstLineChars="200"/>
        <w:rPr>
          <w:rFonts w:ascii="仿宋" w:hAnsi="仿宋" w:eastAsia="仿宋"/>
          <w:b/>
          <w:sz w:val="30"/>
          <w:szCs w:val="30"/>
        </w:rPr>
      </w:pPr>
      <w:r>
        <w:rPr>
          <w:rFonts w:hint="eastAsia" w:ascii="仿宋" w:hAnsi="仿宋" w:eastAsia="仿宋"/>
          <w:b/>
          <w:sz w:val="30"/>
          <w:szCs w:val="30"/>
        </w:rPr>
        <w:t>（四）采购原则</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协商小组必须公平、公正、客观，不带任何倾向性和启发性；不得向外界透露任何与协商有关的内容，任何单位和个人不得干扰、影响协商的正常进行，协商小组及有关工作人员不得私下与响应方接触。</w:t>
      </w:r>
    </w:p>
    <w:p>
      <w:pPr>
        <w:snapToGrid w:val="0"/>
        <w:spacing w:line="460" w:lineRule="exact"/>
        <w:ind w:firstLine="738" w:firstLineChars="246"/>
        <w:jc w:val="left"/>
        <w:rPr>
          <w:rFonts w:ascii="仿宋" w:hAnsi="仿宋" w:eastAsia="仿宋"/>
          <w:sz w:val="30"/>
          <w:szCs w:val="30"/>
        </w:rPr>
      </w:pPr>
      <w:r>
        <w:rPr>
          <w:rFonts w:hint="eastAsia" w:ascii="仿宋" w:hAnsi="仿宋" w:eastAsia="仿宋"/>
          <w:sz w:val="30"/>
          <w:szCs w:val="30"/>
        </w:rPr>
        <w:t>1、协商人员因回避、临时缺席或健康原因等特殊情况不能继续参加采购工作的，应按规定更换协商人员,被更换的协商人员之前所作出的协商意见不再予以采纳，由更换后的协商人员重新进行协商。无法及时更换成员的，要立即停止采购工作、封存采购资料，并告知响应方重新采购的时间和地点。</w:t>
      </w:r>
    </w:p>
    <w:p>
      <w:pPr>
        <w:snapToGrid w:val="0"/>
        <w:spacing w:line="460" w:lineRule="exact"/>
        <w:ind w:firstLine="738" w:firstLineChars="246"/>
        <w:jc w:val="left"/>
        <w:rPr>
          <w:rFonts w:ascii="仿宋" w:hAnsi="仿宋" w:eastAsia="仿宋"/>
          <w:sz w:val="30"/>
          <w:szCs w:val="30"/>
        </w:rPr>
      </w:pPr>
      <w:r>
        <w:rPr>
          <w:rFonts w:hint="eastAsia" w:ascii="仿宋" w:hAnsi="仿宋" w:eastAsia="仿宋"/>
          <w:sz w:val="30"/>
          <w:szCs w:val="30"/>
        </w:rPr>
        <w:t>2、项目由协商小组根据质量和服务均能满足采购文件实质性响应要求且最后报价合理的原则确定成交响应方。</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 xml:space="preserve"> 3、采购结果由采购人代表签名确认。采购人若现场未签字确认且在规定时间内不提出异议的，视为默认。</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 xml:space="preserve"> 4、协商情况记录应当由采购全体人员签字认可。对记录有异议的采购人员，应当签署不同意见并说明理由。采购人员拒绝在记录上签字又不书面说明其不同意见和理由的，视为同意。</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 xml:space="preserve"> 5、采购结果经采购人确认后，采购中心将于2个工作日内在浙江省政府采购网上公告成交结果，并向成交响应方发出成交通知书。</w:t>
      </w:r>
    </w:p>
    <w:p>
      <w:pPr>
        <w:pStyle w:val="22"/>
        <w:snapToGrid w:val="0"/>
        <w:spacing w:before="156" w:line="460" w:lineRule="exact"/>
        <w:ind w:firstLine="596" w:firstLineChars="198"/>
        <w:outlineLvl w:val="1"/>
        <w:rPr>
          <w:rFonts w:ascii="仿宋" w:hAnsi="仿宋" w:eastAsia="仿宋"/>
          <w:b/>
          <w:sz w:val="30"/>
          <w:szCs w:val="30"/>
        </w:rPr>
      </w:pPr>
      <w:r>
        <w:rPr>
          <w:rFonts w:hint="eastAsia" w:ascii="仿宋" w:hAnsi="仿宋" w:eastAsia="仿宋"/>
          <w:b/>
          <w:sz w:val="30"/>
          <w:szCs w:val="30"/>
        </w:rPr>
        <w:t>四、合同授予</w:t>
      </w:r>
    </w:p>
    <w:p>
      <w:pPr>
        <w:snapToGrid w:val="0"/>
        <w:spacing w:line="460" w:lineRule="exact"/>
        <w:ind w:firstLine="590" w:firstLineChars="196"/>
        <w:rPr>
          <w:rFonts w:ascii="仿宋" w:hAnsi="仿宋" w:eastAsia="仿宋"/>
          <w:b/>
          <w:bCs/>
          <w:sz w:val="30"/>
          <w:szCs w:val="30"/>
        </w:rPr>
      </w:pPr>
      <w:r>
        <w:rPr>
          <w:rFonts w:hint="eastAsia" w:ascii="仿宋" w:hAnsi="仿宋" w:eastAsia="仿宋"/>
          <w:b/>
          <w:bCs/>
          <w:sz w:val="30"/>
          <w:szCs w:val="30"/>
        </w:rPr>
        <w:t>（一）签订合同</w:t>
      </w:r>
    </w:p>
    <w:p>
      <w:pPr>
        <w:snapToGrid w:val="0"/>
        <w:spacing w:line="460" w:lineRule="exact"/>
        <w:ind w:firstLine="588" w:firstLineChars="196"/>
        <w:jc w:val="left"/>
        <w:rPr>
          <w:rFonts w:ascii="仿宋" w:hAnsi="仿宋" w:eastAsia="仿宋"/>
          <w:color w:val="FF0000"/>
          <w:sz w:val="30"/>
          <w:szCs w:val="30"/>
        </w:rPr>
      </w:pPr>
      <w:r>
        <w:rPr>
          <w:rFonts w:hint="eastAsia" w:ascii="仿宋" w:hAnsi="仿宋" w:eastAsia="仿宋"/>
          <w:sz w:val="30"/>
          <w:szCs w:val="30"/>
        </w:rPr>
        <w:t>1.采购人与成交响应方应当在《成交通知书》发出之日起30日内尽快签订政府采购合同</w:t>
      </w:r>
      <w:r>
        <w:rPr>
          <w:rFonts w:hint="eastAsia" w:ascii="仿宋" w:hAnsi="仿宋" w:eastAsia="仿宋"/>
          <w:color w:val="FF0000"/>
          <w:sz w:val="30"/>
          <w:szCs w:val="30"/>
        </w:rPr>
        <w:t>。</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2.成交响应方拖延、拒签合同的,将被扣罚单一来源采购保证金并取消成交资格。</w:t>
      </w:r>
    </w:p>
    <w:p>
      <w:pPr>
        <w:pStyle w:val="22"/>
        <w:snapToGrid w:val="0"/>
        <w:spacing w:before="156" w:line="460" w:lineRule="exact"/>
        <w:ind w:firstLine="590" w:firstLineChars="196"/>
        <w:rPr>
          <w:rFonts w:ascii="仿宋" w:hAnsi="仿宋" w:eastAsia="仿宋"/>
          <w:b/>
          <w:sz w:val="30"/>
          <w:szCs w:val="30"/>
        </w:rPr>
      </w:pPr>
      <w:r>
        <w:rPr>
          <w:rFonts w:hint="eastAsia" w:ascii="仿宋" w:hAnsi="仿宋" w:eastAsia="仿宋"/>
          <w:b/>
          <w:sz w:val="30"/>
          <w:szCs w:val="30"/>
        </w:rPr>
        <w:t>（二）履约保证金</w:t>
      </w:r>
    </w:p>
    <w:p>
      <w:pPr>
        <w:pStyle w:val="22"/>
        <w:spacing w:before="156"/>
        <w:ind w:firstLine="600" w:firstLineChars="200"/>
        <w:rPr>
          <w:rFonts w:ascii="仿宋" w:hAnsi="仿宋" w:eastAsia="仿宋"/>
          <w:sz w:val="30"/>
          <w:szCs w:val="30"/>
        </w:rPr>
      </w:pPr>
      <w:r>
        <w:rPr>
          <w:rFonts w:hint="eastAsia" w:ascii="仿宋" w:hAnsi="仿宋" w:eastAsia="仿宋"/>
          <w:sz w:val="30"/>
          <w:szCs w:val="30"/>
        </w:rPr>
        <w:t>1、合同签订时，采购人按《中华人民共和国政府采购法实施条例》有关规定自行收取项目履约保证金。采购人要求中标或者成交响应方提交履约保证金的，响应方应当以支票、汇票、本票或者金融机构、担保机构出具的保函等非现金形式提交。履约保证金的数额不得超过政府采购合同金额的1%。</w:t>
      </w:r>
    </w:p>
    <w:p>
      <w:pPr>
        <w:pStyle w:val="22"/>
        <w:snapToGrid w:val="0"/>
        <w:spacing w:before="156" w:line="460" w:lineRule="exact"/>
        <w:ind w:firstLine="600" w:firstLineChars="200"/>
        <w:rPr>
          <w:rFonts w:ascii="仿宋" w:hAnsi="仿宋" w:eastAsia="仿宋"/>
          <w:sz w:val="30"/>
          <w:szCs w:val="30"/>
        </w:rPr>
      </w:pPr>
      <w:r>
        <w:rPr>
          <w:rFonts w:hint="eastAsia" w:ascii="仿宋" w:hAnsi="仿宋" w:eastAsia="仿宋"/>
          <w:sz w:val="30"/>
          <w:szCs w:val="30"/>
        </w:rPr>
        <w:t>2、按合同约定办理履约保证金退还手续。</w:t>
      </w:r>
    </w:p>
    <w:p>
      <w:pPr>
        <w:pStyle w:val="22"/>
        <w:snapToGrid w:val="0"/>
        <w:spacing w:before="156" w:line="460" w:lineRule="exact"/>
        <w:ind w:firstLine="596" w:firstLineChars="198"/>
        <w:rPr>
          <w:rFonts w:ascii="仿宋" w:hAnsi="仿宋" w:eastAsia="仿宋"/>
          <w:b/>
          <w:sz w:val="30"/>
          <w:szCs w:val="30"/>
        </w:rPr>
      </w:pPr>
      <w:r>
        <w:rPr>
          <w:rFonts w:hint="eastAsia" w:ascii="仿宋" w:hAnsi="仿宋" w:eastAsia="仿宋"/>
          <w:b/>
          <w:sz w:val="30"/>
          <w:szCs w:val="30"/>
        </w:rPr>
        <w:t>五、货款的结算</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货款由采购人自行支付。若资金在采购人处的，由采购人直接支付；若资金在核算中心的，由采购人向核算中心发起支付令，由核算中心把货款打入成交商账户。</w:t>
      </w:r>
    </w:p>
    <w:p>
      <w:pPr>
        <w:pStyle w:val="40"/>
      </w:pPr>
      <w:r>
        <w:rPr>
          <w:b w:val="0"/>
          <w:bCs w:val="0"/>
        </w:rPr>
        <w:br w:type="page"/>
      </w:r>
      <w:bookmarkStart w:id="31" w:name="_Toc510136960"/>
      <w:r>
        <w:rPr>
          <w:rFonts w:hint="eastAsia"/>
        </w:rPr>
        <w:t>第三章采购内容</w:t>
      </w:r>
      <w:bookmarkEnd w:id="31"/>
    </w:p>
    <w:p>
      <w:pPr>
        <w:snapToGrid w:val="0"/>
        <w:spacing w:before="156" w:beforeLines="50" w:after="156" w:afterLines="50"/>
        <w:ind w:left="238"/>
        <w:jc w:val="center"/>
        <w:rPr>
          <w:rFonts w:ascii="仿宋" w:hAnsi="仿宋" w:eastAsia="仿宋"/>
          <w:b/>
          <w:spacing w:val="40"/>
          <w:kern w:val="0"/>
          <w:sz w:val="30"/>
          <w:szCs w:val="30"/>
        </w:rPr>
      </w:pPr>
    </w:p>
    <w:p>
      <w:pPr>
        <w:snapToGrid w:val="0"/>
        <w:spacing w:line="460" w:lineRule="exact"/>
        <w:rPr>
          <w:rFonts w:ascii="仿宋" w:hAnsi="仿宋" w:eastAsia="仿宋"/>
          <w:b/>
          <w:kern w:val="0"/>
          <w:sz w:val="30"/>
          <w:szCs w:val="30"/>
        </w:rPr>
      </w:pPr>
      <w:bookmarkStart w:id="32" w:name="jsxq_xq_1"/>
      <w:bookmarkEnd w:id="32"/>
      <w:bookmarkStart w:id="33" w:name="技术需求"/>
      <w:bookmarkEnd w:id="33"/>
      <w:bookmarkStart w:id="34" w:name="_Toc451268224"/>
      <w:bookmarkStart w:id="35" w:name="_Toc510136961"/>
    </w:p>
    <w:p>
      <w:pPr>
        <w:numPr>
          <w:ilvl w:val="0"/>
          <w:numId w:val="7"/>
        </w:numPr>
        <w:rPr>
          <w:rFonts w:ascii="仿宋" w:hAnsi="仿宋" w:eastAsia="仿宋"/>
          <w:b/>
          <w:bCs/>
          <w:sz w:val="28"/>
          <w:szCs w:val="28"/>
        </w:rPr>
      </w:pPr>
      <w:bookmarkStart w:id="36" w:name="_Toc439237130"/>
      <w:r>
        <w:rPr>
          <w:rFonts w:hint="eastAsia" w:ascii="仿宋" w:hAnsi="仿宋" w:eastAsia="仿宋"/>
          <w:b/>
          <w:bCs/>
          <w:sz w:val="28"/>
          <w:szCs w:val="28"/>
        </w:rPr>
        <w:t>项目背景</w:t>
      </w:r>
    </w:p>
    <w:p>
      <w:pPr>
        <w:ind w:firstLine="560" w:firstLineChars="200"/>
        <w:rPr>
          <w:rFonts w:ascii="仿宋" w:hAnsi="仿宋" w:eastAsia="仿宋"/>
          <w:sz w:val="28"/>
          <w:szCs w:val="28"/>
        </w:rPr>
      </w:pPr>
      <w:r>
        <w:rPr>
          <w:rFonts w:hint="eastAsia" w:ascii="仿宋" w:hAnsi="仿宋" w:eastAsia="仿宋"/>
          <w:sz w:val="28"/>
          <w:szCs w:val="28"/>
        </w:rPr>
        <w:t>浙江电脑福利彩票在最近几年稳步高速发展，销量增长在全国连年名列前茅。为</w:t>
      </w:r>
      <w:r>
        <w:rPr>
          <w:rFonts w:ascii="仿宋" w:hAnsi="仿宋" w:eastAsia="仿宋"/>
          <w:sz w:val="28"/>
          <w:szCs w:val="28"/>
        </w:rPr>
        <w:t>保障该</w:t>
      </w:r>
      <w:r>
        <w:rPr>
          <w:rFonts w:hint="eastAsia" w:ascii="仿宋" w:hAnsi="仿宋" w:eastAsia="仿宋"/>
          <w:sz w:val="28"/>
          <w:szCs w:val="28"/>
        </w:rPr>
        <w:t>类</w:t>
      </w:r>
      <w:r>
        <w:rPr>
          <w:rFonts w:ascii="仿宋" w:hAnsi="仿宋" w:eastAsia="仿宋"/>
          <w:sz w:val="28"/>
          <w:szCs w:val="28"/>
        </w:rPr>
        <w:t>业务持续性高速发展，浙江省福利彩票管理中心近几年围绕投注类彩票业务陆续开展了大量数据化转型工作。</w:t>
      </w:r>
      <w:r>
        <w:rPr>
          <w:rFonts w:hint="eastAsia" w:ascii="仿宋" w:hAnsi="仿宋" w:eastAsia="仿宋"/>
          <w:sz w:val="28"/>
          <w:szCs w:val="28"/>
        </w:rPr>
        <w:t>自2019年起</w:t>
      </w:r>
      <w:r>
        <w:rPr>
          <w:rFonts w:ascii="仿宋" w:hAnsi="仿宋" w:eastAsia="仿宋"/>
          <w:sz w:val="28"/>
          <w:szCs w:val="28"/>
        </w:rPr>
        <w:t>，浙江省福利彩票管理中心</w:t>
      </w:r>
      <w:r>
        <w:rPr>
          <w:rFonts w:hint="eastAsia" w:ascii="仿宋" w:hAnsi="仿宋" w:eastAsia="仿宋"/>
          <w:sz w:val="28"/>
          <w:szCs w:val="28"/>
        </w:rPr>
        <w:t>与中国电信股份有限公司浙江分公司签订</w:t>
      </w:r>
      <w:r>
        <w:rPr>
          <w:rFonts w:ascii="仿宋" w:hAnsi="仿宋" w:eastAsia="仿宋"/>
          <w:sz w:val="28"/>
          <w:szCs w:val="28"/>
        </w:rPr>
        <w:t>全省</w:t>
      </w:r>
      <w:r>
        <w:rPr>
          <w:rFonts w:hint="eastAsia" w:ascii="仿宋" w:hAnsi="仿宋" w:eastAsia="仿宋"/>
          <w:sz w:val="28"/>
          <w:szCs w:val="28"/>
        </w:rPr>
        <w:t>VP</w:t>
      </w:r>
      <w:r>
        <w:rPr>
          <w:rFonts w:ascii="仿宋" w:hAnsi="仿宋" w:eastAsia="仿宋"/>
          <w:sz w:val="28"/>
          <w:szCs w:val="28"/>
        </w:rPr>
        <w:t>DN</w:t>
      </w:r>
      <w:r>
        <w:rPr>
          <w:rFonts w:hint="eastAsia" w:ascii="仿宋" w:hAnsi="仿宋" w:eastAsia="仿宋"/>
          <w:sz w:val="28"/>
          <w:szCs w:val="28"/>
        </w:rPr>
        <w:t>项目</w:t>
      </w:r>
      <w:r>
        <w:rPr>
          <w:rFonts w:ascii="仿宋" w:hAnsi="仿宋" w:eastAsia="仿宋"/>
          <w:sz w:val="28"/>
          <w:szCs w:val="28"/>
        </w:rPr>
        <w:t>后，</w:t>
      </w:r>
      <w:r>
        <w:rPr>
          <w:rFonts w:hint="eastAsia" w:ascii="仿宋" w:hAnsi="仿宋" w:eastAsia="仿宋"/>
          <w:sz w:val="28"/>
          <w:szCs w:val="28"/>
        </w:rPr>
        <w:t>全省</w:t>
      </w:r>
      <w:r>
        <w:rPr>
          <w:rFonts w:ascii="仿宋" w:hAnsi="仿宋" w:eastAsia="仿宋"/>
          <w:sz w:val="28"/>
          <w:szCs w:val="28"/>
        </w:rPr>
        <w:t>投注类彩票</w:t>
      </w:r>
      <w:r>
        <w:rPr>
          <w:rFonts w:hint="eastAsia" w:ascii="仿宋" w:hAnsi="仿宋" w:eastAsia="仿宋"/>
          <w:sz w:val="28"/>
          <w:szCs w:val="28"/>
        </w:rPr>
        <w:t>持稳定</w:t>
      </w:r>
      <w:r>
        <w:rPr>
          <w:rFonts w:ascii="仿宋" w:hAnsi="仿宋" w:eastAsia="仿宋"/>
          <w:sz w:val="28"/>
          <w:szCs w:val="28"/>
        </w:rPr>
        <w:t>上升态势发展，</w:t>
      </w:r>
      <w:r>
        <w:rPr>
          <w:rFonts w:hint="eastAsia" w:ascii="仿宋" w:hAnsi="仿宋" w:eastAsia="仿宋"/>
          <w:sz w:val="28"/>
          <w:szCs w:val="28"/>
        </w:rPr>
        <w:t>至今</w:t>
      </w:r>
      <w:r>
        <w:rPr>
          <w:rFonts w:ascii="仿宋" w:hAnsi="仿宋" w:eastAsia="仿宋"/>
          <w:sz w:val="28"/>
          <w:szCs w:val="28"/>
        </w:rPr>
        <w:t>双方合作良好，共同维护了浙江福彩核心业务</w:t>
      </w:r>
      <w:r>
        <w:rPr>
          <w:rFonts w:hint="eastAsia" w:ascii="仿宋" w:hAnsi="仿宋" w:eastAsia="仿宋"/>
          <w:sz w:val="28"/>
          <w:szCs w:val="28"/>
        </w:rPr>
        <w:t>的</w:t>
      </w:r>
      <w:r>
        <w:rPr>
          <w:rFonts w:ascii="仿宋" w:hAnsi="仿宋" w:eastAsia="仿宋"/>
          <w:sz w:val="28"/>
          <w:szCs w:val="28"/>
        </w:rPr>
        <w:t>正常运行。</w:t>
      </w:r>
      <w:r>
        <w:rPr>
          <w:rFonts w:hint="eastAsia" w:ascii="仿宋" w:hAnsi="仿宋" w:eastAsia="仿宋"/>
          <w:sz w:val="28"/>
          <w:szCs w:val="28"/>
        </w:rPr>
        <w:t>鉴于</w:t>
      </w:r>
      <w:r>
        <w:rPr>
          <w:rFonts w:ascii="仿宋" w:hAnsi="仿宋" w:eastAsia="仿宋"/>
          <w:sz w:val="28"/>
          <w:szCs w:val="28"/>
        </w:rPr>
        <w:t>近三年的友好合作，浙江省福利彩票管理中心</w:t>
      </w:r>
      <w:r>
        <w:rPr>
          <w:rFonts w:hint="eastAsia" w:ascii="仿宋" w:hAnsi="仿宋" w:eastAsia="仿宋"/>
          <w:sz w:val="28"/>
          <w:szCs w:val="28"/>
        </w:rPr>
        <w:t>就</w:t>
      </w:r>
      <w:r>
        <w:rPr>
          <w:rFonts w:ascii="仿宋" w:hAnsi="仿宋" w:eastAsia="仿宋"/>
          <w:sz w:val="28"/>
          <w:szCs w:val="28"/>
        </w:rPr>
        <w:t>下一期</w:t>
      </w:r>
      <w:r>
        <w:rPr>
          <w:rFonts w:hint="eastAsia" w:ascii="仿宋" w:hAnsi="仿宋" w:eastAsia="仿宋"/>
          <w:bCs/>
          <w:sz w:val="28"/>
          <w:szCs w:val="28"/>
        </w:rPr>
        <w:t>彩票业务宽带线路与机房租赁服务</w:t>
      </w:r>
      <w:r>
        <w:rPr>
          <w:rFonts w:hint="eastAsia" w:ascii="仿宋" w:hAnsi="仿宋" w:eastAsia="仿宋"/>
          <w:sz w:val="28"/>
          <w:szCs w:val="28"/>
        </w:rPr>
        <w:t>项目</w:t>
      </w:r>
      <w:r>
        <w:rPr>
          <w:rFonts w:ascii="仿宋" w:hAnsi="仿宋" w:eastAsia="仿宋"/>
          <w:sz w:val="28"/>
          <w:szCs w:val="28"/>
        </w:rPr>
        <w:t>以单一来源的方式向</w:t>
      </w:r>
      <w:r>
        <w:rPr>
          <w:rFonts w:hint="eastAsia" w:ascii="仿宋" w:hAnsi="仿宋" w:eastAsia="仿宋"/>
          <w:sz w:val="28"/>
          <w:szCs w:val="28"/>
        </w:rPr>
        <w:t>中国电信股份有限公司浙江分公司采购该项目</w:t>
      </w:r>
      <w:r>
        <w:rPr>
          <w:rFonts w:ascii="仿宋" w:hAnsi="仿宋" w:eastAsia="仿宋"/>
          <w:sz w:val="28"/>
          <w:szCs w:val="28"/>
        </w:rPr>
        <w:t>所含相关IDC</w:t>
      </w:r>
      <w:r>
        <w:rPr>
          <w:rFonts w:hint="eastAsia" w:ascii="仿宋" w:hAnsi="仿宋" w:eastAsia="仿宋"/>
          <w:sz w:val="28"/>
          <w:szCs w:val="28"/>
        </w:rPr>
        <w:t>、全省VPDN线路及运维等</w:t>
      </w:r>
      <w:r>
        <w:rPr>
          <w:rFonts w:ascii="仿宋" w:hAnsi="仿宋" w:eastAsia="仿宋"/>
          <w:sz w:val="28"/>
          <w:szCs w:val="28"/>
        </w:rPr>
        <w:t>各项服务</w:t>
      </w:r>
      <w:r>
        <w:rPr>
          <w:rFonts w:hint="eastAsia" w:ascii="仿宋" w:hAnsi="仿宋" w:eastAsia="仿宋"/>
          <w:sz w:val="28"/>
          <w:szCs w:val="28"/>
        </w:rPr>
        <w:t>，服务期限12个月。</w:t>
      </w:r>
    </w:p>
    <w:p>
      <w:pPr>
        <w:numPr>
          <w:ilvl w:val="0"/>
          <w:numId w:val="7"/>
        </w:numPr>
        <w:rPr>
          <w:rFonts w:ascii="仿宋" w:hAnsi="仿宋" w:eastAsia="仿宋"/>
          <w:b/>
          <w:bCs/>
          <w:sz w:val="28"/>
          <w:szCs w:val="28"/>
        </w:rPr>
      </w:pPr>
      <w:r>
        <w:rPr>
          <w:rFonts w:hint="eastAsia" w:ascii="仿宋" w:hAnsi="仿宋" w:eastAsia="仿宋"/>
          <w:b/>
          <w:bCs/>
          <w:sz w:val="28"/>
          <w:szCs w:val="28"/>
        </w:rPr>
        <w:t>采购内容</w:t>
      </w:r>
    </w:p>
    <w:p>
      <w:pPr>
        <w:rPr>
          <w:rFonts w:ascii="仿宋" w:hAnsi="仿宋" w:eastAsia="仿宋"/>
          <w:b/>
          <w:bCs/>
          <w:sz w:val="28"/>
          <w:szCs w:val="28"/>
        </w:rPr>
      </w:pPr>
      <w:r>
        <w:rPr>
          <w:rFonts w:hint="eastAsia" w:ascii="仿宋" w:hAnsi="仿宋" w:eastAsia="仿宋"/>
          <w:b/>
          <w:bCs/>
          <w:sz w:val="28"/>
          <w:szCs w:val="28"/>
        </w:rPr>
        <w:t>（一）宽带线路与机房租赁运维服务</w:t>
      </w:r>
    </w:p>
    <w:p>
      <w:pPr>
        <w:widowControl/>
        <w:ind w:firstLine="560" w:firstLineChars="200"/>
        <w:jc w:val="left"/>
        <w:rPr>
          <w:rFonts w:ascii="仿宋" w:hAnsi="仿宋" w:eastAsia="仿宋"/>
          <w:sz w:val="28"/>
          <w:szCs w:val="28"/>
        </w:rPr>
      </w:pPr>
      <w:r>
        <w:rPr>
          <w:rFonts w:hint="eastAsia" w:ascii="仿宋" w:hAnsi="仿宋" w:eastAsia="仿宋"/>
          <w:sz w:val="28"/>
          <w:szCs w:val="28"/>
        </w:rPr>
        <w:t>提供电脑</w:t>
      </w:r>
      <w:r>
        <w:rPr>
          <w:rFonts w:hint="eastAsia" w:ascii="仿宋" w:hAnsi="仿宋" w:eastAsia="仿宋"/>
          <w:sz w:val="28"/>
          <w:szCs w:val="28"/>
          <w:lang w:val="en-US" w:eastAsia="zh-CN"/>
        </w:rPr>
        <w:t>票</w:t>
      </w:r>
      <w:r>
        <w:rPr>
          <w:rFonts w:hint="eastAsia" w:ascii="仿宋" w:hAnsi="仿宋" w:eastAsia="仿宋"/>
          <w:sz w:val="28"/>
          <w:szCs w:val="28"/>
        </w:rPr>
        <w:t>投注机所需相关V</w:t>
      </w:r>
      <w:r>
        <w:rPr>
          <w:rFonts w:ascii="仿宋" w:hAnsi="仿宋" w:eastAsia="仿宋"/>
          <w:sz w:val="28"/>
          <w:szCs w:val="28"/>
        </w:rPr>
        <w:t>PDN</w:t>
      </w:r>
      <w:r>
        <w:rPr>
          <w:rFonts w:hint="eastAsia" w:ascii="仿宋" w:hAnsi="仿宋" w:eastAsia="仿宋"/>
          <w:sz w:val="28"/>
          <w:szCs w:val="28"/>
        </w:rPr>
        <w:t>、互联网宽带线路与机房租赁运维服务。</w:t>
      </w:r>
    </w:p>
    <w:p>
      <w:pPr>
        <w:rPr>
          <w:rFonts w:ascii="仿宋" w:hAnsi="仿宋" w:eastAsia="仿宋"/>
          <w:b/>
          <w:bCs/>
          <w:sz w:val="28"/>
          <w:szCs w:val="28"/>
        </w:rPr>
      </w:pPr>
      <w:r>
        <w:rPr>
          <w:rFonts w:hint="eastAsia" w:ascii="仿宋" w:hAnsi="仿宋" w:eastAsia="仿宋"/>
          <w:b/>
          <w:bCs/>
          <w:sz w:val="28"/>
          <w:szCs w:val="28"/>
        </w:rPr>
        <w:t>（二）云服务</w:t>
      </w:r>
    </w:p>
    <w:p>
      <w:pPr>
        <w:widowControl/>
        <w:ind w:firstLine="560" w:firstLineChars="200"/>
        <w:jc w:val="left"/>
        <w:rPr>
          <w:rFonts w:ascii="仿宋" w:hAnsi="仿宋" w:eastAsia="仿宋"/>
          <w:sz w:val="28"/>
          <w:szCs w:val="28"/>
        </w:rPr>
      </w:pPr>
      <w:r>
        <w:rPr>
          <w:rFonts w:hint="eastAsia" w:ascii="仿宋" w:hAnsi="仿宋" w:eastAsia="仿宋"/>
          <w:sz w:val="28"/>
          <w:szCs w:val="28"/>
        </w:rPr>
        <w:t>提供公有云资源，包含业务云服务器、云数据库、云安全、云监控、数据专线资源以及相关公有云管理服务。</w:t>
      </w:r>
    </w:p>
    <w:p>
      <w:pPr>
        <w:rPr>
          <w:rFonts w:ascii="仿宋" w:hAnsi="仿宋" w:eastAsia="仿宋"/>
          <w:b/>
          <w:bCs/>
          <w:sz w:val="28"/>
          <w:szCs w:val="28"/>
        </w:rPr>
      </w:pPr>
      <w:r>
        <w:rPr>
          <w:rFonts w:hint="eastAsia" w:ascii="仿宋" w:hAnsi="仿宋" w:eastAsia="仿宋"/>
          <w:b/>
          <w:bCs/>
          <w:sz w:val="28"/>
          <w:szCs w:val="28"/>
        </w:rPr>
        <w:t>（三）</w:t>
      </w:r>
      <w:r>
        <w:rPr>
          <w:rFonts w:ascii="仿宋" w:hAnsi="仿宋" w:eastAsia="仿宋"/>
          <w:b/>
          <w:bCs/>
          <w:sz w:val="28"/>
          <w:szCs w:val="28"/>
        </w:rPr>
        <w:t>5G接入服务</w:t>
      </w:r>
    </w:p>
    <w:p>
      <w:pPr>
        <w:widowControl/>
        <w:ind w:firstLine="560" w:firstLineChars="200"/>
        <w:jc w:val="left"/>
        <w:rPr>
          <w:rFonts w:ascii="仿宋" w:hAnsi="仿宋" w:eastAsia="仿宋"/>
          <w:sz w:val="28"/>
          <w:szCs w:val="28"/>
          <w:highlight w:val="yellow"/>
        </w:rPr>
      </w:pPr>
      <w:r>
        <w:rPr>
          <w:rFonts w:hint="eastAsia" w:ascii="仿宋" w:hAnsi="仿宋" w:eastAsia="仿宋"/>
          <w:sz w:val="28"/>
          <w:szCs w:val="28"/>
        </w:rPr>
        <w:t>为便携投注机提供在原有网络服务框架基础上，以安全</w:t>
      </w:r>
      <w:r>
        <w:rPr>
          <w:rFonts w:ascii="仿宋" w:hAnsi="仿宋" w:eastAsia="仿宋"/>
          <w:sz w:val="28"/>
          <w:szCs w:val="28"/>
        </w:rPr>
        <w:t>5G定制网</w:t>
      </w:r>
      <w:r>
        <w:rPr>
          <w:rFonts w:hint="eastAsia" w:ascii="仿宋" w:hAnsi="仿宋" w:eastAsia="仿宋"/>
          <w:sz w:val="28"/>
          <w:szCs w:val="28"/>
        </w:rPr>
        <w:t>接入</w:t>
      </w:r>
      <w:r>
        <w:rPr>
          <w:rFonts w:ascii="仿宋" w:hAnsi="仿宋" w:eastAsia="仿宋"/>
          <w:sz w:val="28"/>
          <w:szCs w:val="28"/>
        </w:rPr>
        <w:t>实现</w:t>
      </w:r>
      <w:r>
        <w:rPr>
          <w:rFonts w:hint="eastAsia" w:ascii="仿宋" w:hAnsi="仿宋" w:eastAsia="仿宋"/>
          <w:sz w:val="28"/>
          <w:szCs w:val="28"/>
        </w:rPr>
        <w:t>在面向接入条件复杂、进入门槛较高的环境</w:t>
      </w:r>
      <w:r>
        <w:rPr>
          <w:rFonts w:ascii="仿宋" w:hAnsi="仿宋" w:eastAsia="仿宋"/>
          <w:sz w:val="28"/>
          <w:szCs w:val="28"/>
        </w:rPr>
        <w:t>。</w:t>
      </w:r>
    </w:p>
    <w:p>
      <w:pPr>
        <w:numPr>
          <w:ilvl w:val="0"/>
          <w:numId w:val="7"/>
        </w:numPr>
        <w:rPr>
          <w:rFonts w:ascii="仿宋" w:hAnsi="仿宋" w:eastAsia="仿宋"/>
          <w:b/>
          <w:bCs/>
          <w:sz w:val="28"/>
          <w:szCs w:val="28"/>
        </w:rPr>
      </w:pPr>
      <w:r>
        <w:rPr>
          <w:rFonts w:hint="eastAsia" w:ascii="仿宋" w:hAnsi="仿宋" w:eastAsia="仿宋"/>
          <w:b/>
          <w:bCs/>
          <w:sz w:val="28"/>
          <w:szCs w:val="28"/>
        </w:rPr>
        <w:t>服务技术要求</w:t>
      </w:r>
    </w:p>
    <w:p>
      <w:pPr>
        <w:widowControl/>
        <w:ind w:firstLine="560" w:firstLineChars="200"/>
        <w:jc w:val="left"/>
        <w:rPr>
          <w:rFonts w:ascii="仿宋" w:hAnsi="仿宋" w:eastAsia="仿宋"/>
          <w:sz w:val="28"/>
          <w:szCs w:val="28"/>
        </w:rPr>
      </w:pPr>
      <w:r>
        <w:rPr>
          <w:rFonts w:hint="eastAsia" w:ascii="仿宋" w:hAnsi="仿宋" w:eastAsia="仿宋"/>
          <w:sz w:val="28"/>
          <w:szCs w:val="28"/>
        </w:rPr>
        <w:t>包含宽带线路与机房租赁运维服务、云服务、</w:t>
      </w:r>
      <w:r>
        <w:rPr>
          <w:rFonts w:ascii="仿宋" w:hAnsi="仿宋" w:eastAsia="仿宋"/>
          <w:sz w:val="28"/>
          <w:szCs w:val="28"/>
        </w:rPr>
        <w:t>5G接入服务</w:t>
      </w:r>
      <w:r>
        <w:rPr>
          <w:rFonts w:hint="eastAsia" w:ascii="仿宋" w:hAnsi="仿宋" w:eastAsia="仿宋"/>
          <w:sz w:val="28"/>
          <w:szCs w:val="28"/>
        </w:rPr>
        <w:t>共三类服务技术要求。</w:t>
      </w:r>
    </w:p>
    <w:p>
      <w:pPr>
        <w:rPr>
          <w:rFonts w:ascii="仿宋" w:hAnsi="仿宋" w:eastAsia="仿宋"/>
          <w:b/>
          <w:bCs/>
          <w:sz w:val="28"/>
          <w:szCs w:val="28"/>
        </w:rPr>
      </w:pPr>
      <w:r>
        <w:rPr>
          <w:rFonts w:hint="eastAsia" w:ascii="仿宋" w:hAnsi="仿宋" w:eastAsia="仿宋"/>
          <w:b/>
          <w:bCs/>
          <w:sz w:val="28"/>
          <w:szCs w:val="28"/>
        </w:rPr>
        <w:t>（一）宽带线路与机房租赁运维服务</w:t>
      </w:r>
    </w:p>
    <w:p>
      <w:pPr>
        <w:widowControl/>
        <w:ind w:firstLine="560" w:firstLineChars="200"/>
        <w:jc w:val="left"/>
        <w:rPr>
          <w:rFonts w:ascii="仿宋" w:hAnsi="仿宋" w:eastAsia="仿宋"/>
          <w:sz w:val="28"/>
          <w:szCs w:val="28"/>
        </w:rPr>
        <w:sectPr>
          <w:footerReference r:id="rId3" w:type="default"/>
          <w:pgSz w:w="11906" w:h="16838"/>
          <w:pgMar w:top="1440" w:right="1800" w:bottom="1440" w:left="1800" w:header="851" w:footer="992" w:gutter="0"/>
          <w:cols w:space="720" w:num="1"/>
          <w:docGrid w:type="lines" w:linePitch="312" w:charSpace="0"/>
        </w:sectPr>
      </w:pPr>
    </w:p>
    <w:tbl>
      <w:tblPr>
        <w:tblStyle w:val="43"/>
        <w:tblW w:w="8754" w:type="dxa"/>
        <w:tblInd w:w="-10" w:type="dxa"/>
        <w:tblLayout w:type="autofit"/>
        <w:tblCellMar>
          <w:top w:w="0" w:type="dxa"/>
          <w:left w:w="108" w:type="dxa"/>
          <w:bottom w:w="0" w:type="dxa"/>
          <w:right w:w="108" w:type="dxa"/>
        </w:tblCellMar>
      </w:tblPr>
      <w:tblGrid>
        <w:gridCol w:w="591"/>
        <w:gridCol w:w="696"/>
        <w:gridCol w:w="696"/>
        <w:gridCol w:w="696"/>
        <w:gridCol w:w="1182"/>
        <w:gridCol w:w="2661"/>
        <w:gridCol w:w="2463"/>
      </w:tblGrid>
      <w:tr>
        <w:trPr>
          <w:trHeight w:val="817" w:hRule="atLeast"/>
        </w:trPr>
        <w:tc>
          <w:tcPr>
            <w:tcW w:w="59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仿宋" w:hAnsi="仿宋" w:eastAsia="仿宋" w:cs="宋体"/>
                <w:b/>
                <w:bCs/>
                <w:kern w:val="0"/>
                <w:sz w:val="28"/>
                <w:szCs w:val="28"/>
              </w:rPr>
            </w:pPr>
            <w:r>
              <w:rPr>
                <w:rFonts w:hint="eastAsia" w:ascii="仿宋" w:hAnsi="仿宋" w:eastAsia="仿宋" w:cs="宋体"/>
                <w:b/>
                <w:bCs/>
                <w:kern w:val="0"/>
                <w:sz w:val="28"/>
                <w:szCs w:val="28"/>
              </w:rPr>
              <w:t>序号</w:t>
            </w:r>
          </w:p>
        </w:tc>
        <w:tc>
          <w:tcPr>
            <w:tcW w:w="1197" w:type="dxa"/>
            <w:tcBorders>
              <w:top w:val="single" w:color="auto" w:sz="8" w:space="0"/>
              <w:left w:val="nil"/>
              <w:bottom w:val="single" w:color="auto" w:sz="8" w:space="0"/>
              <w:right w:val="single" w:color="auto" w:sz="8" w:space="0"/>
            </w:tcBorders>
            <w:vAlign w:val="center"/>
          </w:tcPr>
          <w:p>
            <w:pPr>
              <w:widowControl/>
              <w:jc w:val="center"/>
              <w:rPr>
                <w:rFonts w:ascii="仿宋" w:hAnsi="仿宋" w:eastAsia="仿宋" w:cs="宋体"/>
                <w:b/>
                <w:bCs/>
                <w:kern w:val="0"/>
                <w:sz w:val="28"/>
                <w:szCs w:val="28"/>
              </w:rPr>
            </w:pPr>
            <w:r>
              <w:rPr>
                <w:rFonts w:hint="eastAsia" w:ascii="仿宋" w:hAnsi="仿宋" w:eastAsia="仿宋" w:cs="宋体"/>
                <w:b/>
                <w:bCs/>
                <w:kern w:val="0"/>
                <w:sz w:val="28"/>
                <w:szCs w:val="28"/>
              </w:rPr>
              <w:t>项目</w:t>
            </w:r>
          </w:p>
        </w:tc>
        <w:tc>
          <w:tcPr>
            <w:tcW w:w="953" w:type="dxa"/>
            <w:tcBorders>
              <w:top w:val="single" w:color="auto" w:sz="8" w:space="0"/>
              <w:left w:val="nil"/>
              <w:bottom w:val="single" w:color="auto" w:sz="8" w:space="0"/>
              <w:right w:val="single" w:color="auto" w:sz="8" w:space="0"/>
            </w:tcBorders>
            <w:vAlign w:val="center"/>
          </w:tcPr>
          <w:p>
            <w:pPr>
              <w:widowControl/>
              <w:jc w:val="center"/>
              <w:rPr>
                <w:rFonts w:ascii="仿宋" w:hAnsi="仿宋" w:eastAsia="仿宋" w:cs="宋体"/>
                <w:b/>
                <w:bCs/>
                <w:kern w:val="0"/>
                <w:sz w:val="28"/>
                <w:szCs w:val="28"/>
              </w:rPr>
            </w:pPr>
            <w:r>
              <w:rPr>
                <w:rFonts w:hint="eastAsia" w:ascii="仿宋" w:hAnsi="仿宋" w:eastAsia="仿宋" w:cs="宋体"/>
                <w:b/>
                <w:bCs/>
                <w:kern w:val="0"/>
                <w:sz w:val="28"/>
                <w:szCs w:val="28"/>
              </w:rPr>
              <w:t>业务类型</w:t>
            </w:r>
          </w:p>
        </w:tc>
        <w:tc>
          <w:tcPr>
            <w:tcW w:w="803" w:type="dxa"/>
            <w:tcBorders>
              <w:top w:val="single" w:color="auto" w:sz="8" w:space="0"/>
              <w:left w:val="nil"/>
              <w:bottom w:val="single" w:color="auto" w:sz="8" w:space="0"/>
              <w:right w:val="single" w:color="auto" w:sz="8" w:space="0"/>
            </w:tcBorders>
            <w:vAlign w:val="center"/>
          </w:tcPr>
          <w:p>
            <w:pPr>
              <w:widowControl/>
              <w:jc w:val="center"/>
              <w:rPr>
                <w:rFonts w:ascii="仿宋" w:hAnsi="仿宋" w:eastAsia="仿宋" w:cs="宋体"/>
                <w:b/>
                <w:bCs/>
                <w:kern w:val="0"/>
                <w:sz w:val="28"/>
                <w:szCs w:val="28"/>
              </w:rPr>
            </w:pPr>
            <w:r>
              <w:rPr>
                <w:rFonts w:hint="eastAsia" w:ascii="仿宋" w:hAnsi="仿宋" w:eastAsia="仿宋" w:cs="宋体"/>
                <w:b/>
                <w:bCs/>
                <w:kern w:val="0"/>
                <w:sz w:val="28"/>
                <w:szCs w:val="28"/>
              </w:rPr>
              <w:t>速率</w:t>
            </w:r>
          </w:p>
        </w:tc>
        <w:tc>
          <w:tcPr>
            <w:tcW w:w="1182" w:type="dxa"/>
            <w:tcBorders>
              <w:top w:val="single" w:color="auto" w:sz="8" w:space="0"/>
              <w:left w:val="nil"/>
              <w:bottom w:val="single" w:color="auto" w:sz="8" w:space="0"/>
              <w:right w:val="single" w:color="auto" w:sz="8" w:space="0"/>
            </w:tcBorders>
            <w:vAlign w:val="center"/>
          </w:tcPr>
          <w:p>
            <w:pPr>
              <w:widowControl/>
              <w:jc w:val="center"/>
              <w:rPr>
                <w:rFonts w:ascii="仿宋" w:hAnsi="仿宋" w:eastAsia="仿宋" w:cs="宋体"/>
                <w:b/>
                <w:bCs/>
                <w:kern w:val="0"/>
                <w:sz w:val="28"/>
                <w:szCs w:val="28"/>
              </w:rPr>
            </w:pPr>
            <w:r>
              <w:rPr>
                <w:rFonts w:hint="eastAsia" w:ascii="仿宋" w:hAnsi="仿宋" w:eastAsia="仿宋" w:cs="宋体"/>
                <w:b/>
                <w:bCs/>
                <w:kern w:val="0"/>
                <w:sz w:val="28"/>
                <w:szCs w:val="28"/>
              </w:rPr>
              <w:t>单位及数量</w:t>
            </w:r>
          </w:p>
        </w:tc>
        <w:tc>
          <w:tcPr>
            <w:tcW w:w="5124" w:type="dxa"/>
            <w:gridSpan w:val="2"/>
            <w:tcBorders>
              <w:top w:val="single" w:color="auto" w:sz="8" w:space="0"/>
              <w:left w:val="nil"/>
              <w:bottom w:val="single" w:color="auto" w:sz="8" w:space="0"/>
              <w:right w:val="single" w:color="000000" w:sz="8" w:space="0"/>
            </w:tcBorders>
            <w:noWrap/>
            <w:vAlign w:val="center"/>
          </w:tcPr>
          <w:p>
            <w:pPr>
              <w:widowControl/>
              <w:jc w:val="center"/>
              <w:rPr>
                <w:rFonts w:ascii="仿宋" w:hAnsi="仿宋" w:eastAsia="仿宋" w:cs="宋体"/>
                <w:b/>
                <w:bCs/>
                <w:kern w:val="0"/>
                <w:sz w:val="28"/>
                <w:szCs w:val="28"/>
              </w:rPr>
            </w:pPr>
            <w:r>
              <w:rPr>
                <w:rFonts w:hint="eastAsia" w:ascii="仿宋" w:hAnsi="仿宋" w:eastAsia="仿宋" w:cs="宋体"/>
                <w:b/>
                <w:bCs/>
                <w:kern w:val="0"/>
                <w:sz w:val="28"/>
                <w:szCs w:val="28"/>
              </w:rPr>
              <w:t>备注</w:t>
            </w:r>
          </w:p>
        </w:tc>
      </w:tr>
      <w:tr>
        <w:tblPrEx>
          <w:tblCellMar>
            <w:top w:w="0" w:type="dxa"/>
            <w:left w:w="108" w:type="dxa"/>
            <w:bottom w:w="0" w:type="dxa"/>
            <w:right w:w="108" w:type="dxa"/>
          </w:tblCellMar>
        </w:tblPrEx>
        <w:trPr>
          <w:trHeight w:val="625" w:hRule="atLeast"/>
        </w:trPr>
        <w:tc>
          <w:tcPr>
            <w:tcW w:w="591" w:type="dxa"/>
            <w:vMerge w:val="restart"/>
            <w:tcBorders>
              <w:top w:val="nil"/>
              <w:left w:val="single" w:color="auto" w:sz="8" w:space="0"/>
              <w:bottom w:val="single" w:color="000000" w:sz="8" w:space="0"/>
              <w:right w:val="single" w:color="auto" w:sz="8" w:space="0"/>
            </w:tcBorders>
            <w:noWrap/>
            <w:vAlign w:val="center"/>
          </w:tcPr>
          <w:p>
            <w:pPr>
              <w:widowControl/>
              <w:jc w:val="center"/>
              <w:rPr>
                <w:rFonts w:ascii="等线" w:eastAsia="等线" w:cs="宋体"/>
                <w:kern w:val="0"/>
                <w:sz w:val="22"/>
              </w:rPr>
            </w:pPr>
            <w:r>
              <w:rPr>
                <w:rFonts w:hint="eastAsia" w:ascii="等线" w:eastAsia="等线" w:cs="宋体"/>
                <w:kern w:val="0"/>
                <w:sz w:val="22"/>
              </w:rPr>
              <w:t>1</w:t>
            </w:r>
          </w:p>
        </w:tc>
        <w:tc>
          <w:tcPr>
            <w:tcW w:w="1197" w:type="dxa"/>
            <w:vMerge w:val="restart"/>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电脑彩票业务和容灾线路</w:t>
            </w:r>
          </w:p>
        </w:tc>
        <w:tc>
          <w:tcPr>
            <w:tcW w:w="953"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MSTP</w:t>
            </w:r>
          </w:p>
        </w:tc>
        <w:tc>
          <w:tcPr>
            <w:tcW w:w="803"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100M</w:t>
            </w:r>
          </w:p>
        </w:tc>
        <w:tc>
          <w:tcPr>
            <w:tcW w:w="1182"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1条</w:t>
            </w:r>
          </w:p>
        </w:tc>
        <w:tc>
          <w:tcPr>
            <w:tcW w:w="2661"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余杭区五常街道荆长路539号福彩大楼2楼机房</w:t>
            </w:r>
          </w:p>
        </w:tc>
        <w:tc>
          <w:tcPr>
            <w:tcW w:w="2463"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杭州市下城区 体育场路352号武林5楼数据机房</w:t>
            </w:r>
          </w:p>
        </w:tc>
      </w:tr>
      <w:tr>
        <w:tblPrEx>
          <w:tblCellMar>
            <w:top w:w="0" w:type="dxa"/>
            <w:left w:w="108" w:type="dxa"/>
            <w:bottom w:w="0" w:type="dxa"/>
            <w:right w:w="108" w:type="dxa"/>
          </w:tblCellMar>
        </w:tblPrEx>
        <w:trPr>
          <w:trHeight w:val="625" w:hRule="atLeast"/>
        </w:trPr>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等线" w:eastAsia="等线" w:cs="宋体"/>
                <w:kern w:val="0"/>
                <w:sz w:val="22"/>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kern w:val="0"/>
                <w:sz w:val="24"/>
                <w:szCs w:val="24"/>
              </w:rPr>
            </w:pPr>
          </w:p>
        </w:tc>
        <w:tc>
          <w:tcPr>
            <w:tcW w:w="953"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MSTP</w:t>
            </w:r>
          </w:p>
        </w:tc>
        <w:tc>
          <w:tcPr>
            <w:tcW w:w="803"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100M</w:t>
            </w:r>
          </w:p>
        </w:tc>
        <w:tc>
          <w:tcPr>
            <w:tcW w:w="1182"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1条</w:t>
            </w:r>
          </w:p>
        </w:tc>
        <w:tc>
          <w:tcPr>
            <w:tcW w:w="2661"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余杭区五常街道荆长路539号福彩大楼2楼机房</w:t>
            </w:r>
          </w:p>
        </w:tc>
        <w:tc>
          <w:tcPr>
            <w:tcW w:w="2463"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杭州市江干区 清江路257号电信大楼三楼南机房</w:t>
            </w:r>
          </w:p>
        </w:tc>
      </w:tr>
      <w:tr>
        <w:tblPrEx>
          <w:tblCellMar>
            <w:top w:w="0" w:type="dxa"/>
            <w:left w:w="108" w:type="dxa"/>
            <w:bottom w:w="0" w:type="dxa"/>
            <w:right w:w="108" w:type="dxa"/>
          </w:tblCellMar>
        </w:tblPrEx>
        <w:trPr>
          <w:trHeight w:val="625" w:hRule="atLeast"/>
        </w:trPr>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等线" w:eastAsia="等线" w:cs="宋体"/>
                <w:kern w:val="0"/>
                <w:sz w:val="22"/>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kern w:val="0"/>
                <w:sz w:val="24"/>
                <w:szCs w:val="24"/>
              </w:rPr>
            </w:pPr>
          </w:p>
        </w:tc>
        <w:tc>
          <w:tcPr>
            <w:tcW w:w="953"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MSTP</w:t>
            </w:r>
          </w:p>
        </w:tc>
        <w:tc>
          <w:tcPr>
            <w:tcW w:w="803"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100M</w:t>
            </w:r>
          </w:p>
        </w:tc>
        <w:tc>
          <w:tcPr>
            <w:tcW w:w="1182"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1条</w:t>
            </w:r>
          </w:p>
        </w:tc>
        <w:tc>
          <w:tcPr>
            <w:tcW w:w="2661"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兴议村十五组51号IDC机房福彩机柜</w:t>
            </w:r>
          </w:p>
        </w:tc>
        <w:tc>
          <w:tcPr>
            <w:tcW w:w="2463"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杭州市下城区 体育场路352号武林5楼数据机房</w:t>
            </w:r>
          </w:p>
        </w:tc>
      </w:tr>
      <w:tr>
        <w:tblPrEx>
          <w:tblCellMar>
            <w:top w:w="0" w:type="dxa"/>
            <w:left w:w="108" w:type="dxa"/>
            <w:bottom w:w="0" w:type="dxa"/>
            <w:right w:w="108" w:type="dxa"/>
          </w:tblCellMar>
        </w:tblPrEx>
        <w:trPr>
          <w:trHeight w:val="625" w:hRule="atLeast"/>
        </w:trPr>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等线" w:eastAsia="等线" w:cs="宋体"/>
                <w:kern w:val="0"/>
                <w:sz w:val="22"/>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kern w:val="0"/>
                <w:sz w:val="24"/>
                <w:szCs w:val="24"/>
              </w:rPr>
            </w:pPr>
          </w:p>
        </w:tc>
        <w:tc>
          <w:tcPr>
            <w:tcW w:w="953"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MSTP</w:t>
            </w:r>
          </w:p>
        </w:tc>
        <w:tc>
          <w:tcPr>
            <w:tcW w:w="803"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100M</w:t>
            </w:r>
          </w:p>
        </w:tc>
        <w:tc>
          <w:tcPr>
            <w:tcW w:w="1182"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1条</w:t>
            </w:r>
          </w:p>
        </w:tc>
        <w:tc>
          <w:tcPr>
            <w:tcW w:w="2661"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兴议村十五组51号IDC机房福彩机柜</w:t>
            </w:r>
          </w:p>
        </w:tc>
        <w:tc>
          <w:tcPr>
            <w:tcW w:w="2463"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杭州市江干区 清江路257号电信大楼三楼南机房</w:t>
            </w:r>
          </w:p>
        </w:tc>
      </w:tr>
      <w:tr>
        <w:tblPrEx>
          <w:tblCellMar>
            <w:top w:w="0" w:type="dxa"/>
            <w:left w:w="108" w:type="dxa"/>
            <w:bottom w:w="0" w:type="dxa"/>
            <w:right w:w="108" w:type="dxa"/>
          </w:tblCellMar>
        </w:tblPrEx>
        <w:trPr>
          <w:trHeight w:val="625" w:hRule="atLeast"/>
        </w:trPr>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等线" w:eastAsia="等线" w:cs="宋体"/>
                <w:kern w:val="0"/>
                <w:sz w:val="22"/>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kern w:val="0"/>
                <w:sz w:val="24"/>
                <w:szCs w:val="24"/>
              </w:rPr>
            </w:pPr>
          </w:p>
        </w:tc>
        <w:tc>
          <w:tcPr>
            <w:tcW w:w="953"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MSTP</w:t>
            </w:r>
          </w:p>
        </w:tc>
        <w:tc>
          <w:tcPr>
            <w:tcW w:w="803"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100M</w:t>
            </w:r>
          </w:p>
        </w:tc>
        <w:tc>
          <w:tcPr>
            <w:tcW w:w="1182"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1条</w:t>
            </w:r>
          </w:p>
        </w:tc>
        <w:tc>
          <w:tcPr>
            <w:tcW w:w="2661"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兴议村十五组51号IDC机房福彩机柜</w:t>
            </w:r>
          </w:p>
        </w:tc>
        <w:tc>
          <w:tcPr>
            <w:tcW w:w="2463"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余杭区五常街道荆长路539号福彩大楼2楼机房</w:t>
            </w:r>
          </w:p>
        </w:tc>
      </w:tr>
      <w:tr>
        <w:tblPrEx>
          <w:tblCellMar>
            <w:top w:w="0" w:type="dxa"/>
            <w:left w:w="108" w:type="dxa"/>
            <w:bottom w:w="0" w:type="dxa"/>
            <w:right w:w="108" w:type="dxa"/>
          </w:tblCellMar>
        </w:tblPrEx>
        <w:trPr>
          <w:trHeight w:val="625" w:hRule="atLeast"/>
        </w:trPr>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等线" w:eastAsia="等线" w:cs="宋体"/>
                <w:kern w:val="0"/>
                <w:sz w:val="22"/>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kern w:val="0"/>
                <w:sz w:val="24"/>
                <w:szCs w:val="24"/>
              </w:rPr>
            </w:pPr>
          </w:p>
        </w:tc>
        <w:tc>
          <w:tcPr>
            <w:tcW w:w="953"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MSTP</w:t>
            </w:r>
          </w:p>
        </w:tc>
        <w:tc>
          <w:tcPr>
            <w:tcW w:w="803"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100M</w:t>
            </w:r>
          </w:p>
        </w:tc>
        <w:tc>
          <w:tcPr>
            <w:tcW w:w="1182"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1条</w:t>
            </w:r>
          </w:p>
        </w:tc>
        <w:tc>
          <w:tcPr>
            <w:tcW w:w="2661"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兴议村十五组51号IDC机房福彩机柜</w:t>
            </w:r>
          </w:p>
        </w:tc>
        <w:tc>
          <w:tcPr>
            <w:tcW w:w="2463"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余杭区五常街道荆长路539号福彩大楼2楼机房</w:t>
            </w:r>
          </w:p>
        </w:tc>
      </w:tr>
      <w:tr>
        <w:tblPrEx>
          <w:tblCellMar>
            <w:top w:w="0" w:type="dxa"/>
            <w:left w:w="108" w:type="dxa"/>
            <w:bottom w:w="0" w:type="dxa"/>
            <w:right w:w="108" w:type="dxa"/>
          </w:tblCellMar>
        </w:tblPrEx>
        <w:trPr>
          <w:trHeight w:val="625" w:hRule="atLeast"/>
        </w:trPr>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等线" w:eastAsia="等线" w:cs="宋体"/>
                <w:kern w:val="0"/>
                <w:sz w:val="22"/>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kern w:val="0"/>
                <w:sz w:val="24"/>
                <w:szCs w:val="24"/>
              </w:rPr>
            </w:pPr>
          </w:p>
        </w:tc>
        <w:tc>
          <w:tcPr>
            <w:tcW w:w="953"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MSTP</w:t>
            </w:r>
          </w:p>
        </w:tc>
        <w:tc>
          <w:tcPr>
            <w:tcW w:w="803"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100M</w:t>
            </w:r>
          </w:p>
        </w:tc>
        <w:tc>
          <w:tcPr>
            <w:tcW w:w="1182"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1条</w:t>
            </w:r>
          </w:p>
        </w:tc>
        <w:tc>
          <w:tcPr>
            <w:tcW w:w="2661"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兴议村十五组51号IDC机房福彩机柜</w:t>
            </w:r>
          </w:p>
        </w:tc>
        <w:tc>
          <w:tcPr>
            <w:tcW w:w="2463"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余杭区五常街道荆长路539号福彩大楼2楼机房</w:t>
            </w:r>
          </w:p>
        </w:tc>
      </w:tr>
      <w:tr>
        <w:tblPrEx>
          <w:tblCellMar>
            <w:top w:w="0" w:type="dxa"/>
            <w:left w:w="108" w:type="dxa"/>
            <w:bottom w:w="0" w:type="dxa"/>
            <w:right w:w="108" w:type="dxa"/>
          </w:tblCellMar>
        </w:tblPrEx>
        <w:trPr>
          <w:trHeight w:val="625" w:hRule="atLeast"/>
        </w:trPr>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等线" w:eastAsia="等线" w:cs="宋体"/>
                <w:kern w:val="0"/>
                <w:sz w:val="22"/>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kern w:val="0"/>
                <w:sz w:val="24"/>
                <w:szCs w:val="24"/>
              </w:rPr>
            </w:pPr>
          </w:p>
        </w:tc>
        <w:tc>
          <w:tcPr>
            <w:tcW w:w="953"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MSTP</w:t>
            </w:r>
          </w:p>
        </w:tc>
        <w:tc>
          <w:tcPr>
            <w:tcW w:w="803"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100M</w:t>
            </w:r>
          </w:p>
        </w:tc>
        <w:tc>
          <w:tcPr>
            <w:tcW w:w="1182"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1条</w:t>
            </w:r>
          </w:p>
        </w:tc>
        <w:tc>
          <w:tcPr>
            <w:tcW w:w="2661"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余杭区五常街道荆长路539号福彩大楼2楼机房</w:t>
            </w:r>
          </w:p>
        </w:tc>
        <w:tc>
          <w:tcPr>
            <w:tcW w:w="2463"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兴议村十五组51号IDC机房福彩机柜</w:t>
            </w:r>
          </w:p>
        </w:tc>
      </w:tr>
      <w:tr>
        <w:tblPrEx>
          <w:tblCellMar>
            <w:top w:w="0" w:type="dxa"/>
            <w:left w:w="108" w:type="dxa"/>
            <w:bottom w:w="0" w:type="dxa"/>
            <w:right w:w="108" w:type="dxa"/>
          </w:tblCellMar>
        </w:tblPrEx>
        <w:trPr>
          <w:trHeight w:val="625" w:hRule="atLeast"/>
        </w:trPr>
        <w:tc>
          <w:tcPr>
            <w:tcW w:w="591" w:type="dxa"/>
            <w:tcBorders>
              <w:top w:val="nil"/>
              <w:left w:val="single" w:color="auto" w:sz="8" w:space="0"/>
              <w:bottom w:val="single" w:color="auto" w:sz="8" w:space="0"/>
              <w:right w:val="single" w:color="auto" w:sz="8" w:space="0"/>
            </w:tcBorders>
            <w:noWrap/>
            <w:vAlign w:val="center"/>
          </w:tcPr>
          <w:p>
            <w:pPr>
              <w:widowControl/>
              <w:jc w:val="center"/>
              <w:rPr>
                <w:rFonts w:ascii="等线" w:eastAsia="等线" w:cs="宋体"/>
                <w:kern w:val="0"/>
                <w:sz w:val="22"/>
              </w:rPr>
            </w:pPr>
            <w:r>
              <w:rPr>
                <w:rFonts w:hint="eastAsia" w:ascii="等线" w:eastAsia="等线" w:cs="宋体"/>
                <w:kern w:val="0"/>
                <w:sz w:val="22"/>
              </w:rPr>
              <w:t>2</w:t>
            </w:r>
          </w:p>
        </w:tc>
        <w:tc>
          <w:tcPr>
            <w:tcW w:w="1197"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电子政务网</w:t>
            </w:r>
          </w:p>
        </w:tc>
        <w:tc>
          <w:tcPr>
            <w:tcW w:w="953"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MSTP</w:t>
            </w:r>
          </w:p>
        </w:tc>
        <w:tc>
          <w:tcPr>
            <w:tcW w:w="803"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100M</w:t>
            </w:r>
          </w:p>
        </w:tc>
        <w:tc>
          <w:tcPr>
            <w:tcW w:w="1182"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1条</w:t>
            </w:r>
          </w:p>
        </w:tc>
        <w:tc>
          <w:tcPr>
            <w:tcW w:w="2661"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余杭区五常街道荆长路539号福彩大楼2楼机房</w:t>
            </w:r>
          </w:p>
        </w:tc>
        <w:tc>
          <w:tcPr>
            <w:tcW w:w="2463"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625" w:hRule="atLeast"/>
        </w:trPr>
        <w:tc>
          <w:tcPr>
            <w:tcW w:w="591" w:type="dxa"/>
            <w:tcBorders>
              <w:top w:val="nil"/>
              <w:left w:val="single" w:color="auto" w:sz="8" w:space="0"/>
              <w:bottom w:val="single" w:color="auto" w:sz="8" w:space="0"/>
              <w:right w:val="single" w:color="auto" w:sz="8" w:space="0"/>
            </w:tcBorders>
            <w:noWrap/>
            <w:vAlign w:val="center"/>
          </w:tcPr>
          <w:p>
            <w:pPr>
              <w:widowControl/>
              <w:jc w:val="center"/>
              <w:rPr>
                <w:rFonts w:ascii="等线" w:eastAsia="等线" w:cs="宋体"/>
                <w:kern w:val="0"/>
                <w:sz w:val="22"/>
              </w:rPr>
            </w:pPr>
            <w:r>
              <w:rPr>
                <w:rFonts w:hint="eastAsia" w:ascii="等线" w:eastAsia="等线" w:cs="宋体"/>
                <w:kern w:val="0"/>
                <w:sz w:val="22"/>
              </w:rPr>
              <w:t>3</w:t>
            </w:r>
          </w:p>
        </w:tc>
        <w:tc>
          <w:tcPr>
            <w:tcW w:w="1197"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即开票兑奖专线</w:t>
            </w:r>
          </w:p>
        </w:tc>
        <w:tc>
          <w:tcPr>
            <w:tcW w:w="953"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互联网专线</w:t>
            </w:r>
          </w:p>
        </w:tc>
        <w:tc>
          <w:tcPr>
            <w:tcW w:w="803"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100M</w:t>
            </w:r>
          </w:p>
        </w:tc>
        <w:tc>
          <w:tcPr>
            <w:tcW w:w="1182"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1条</w:t>
            </w:r>
          </w:p>
        </w:tc>
        <w:tc>
          <w:tcPr>
            <w:tcW w:w="2661"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余杭区五常街道荆长路539号福彩大楼2楼机房</w:t>
            </w:r>
          </w:p>
        </w:tc>
        <w:tc>
          <w:tcPr>
            <w:tcW w:w="2463"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625" w:hRule="atLeast"/>
        </w:trPr>
        <w:tc>
          <w:tcPr>
            <w:tcW w:w="591" w:type="dxa"/>
            <w:tcBorders>
              <w:top w:val="nil"/>
              <w:left w:val="single" w:color="auto" w:sz="8" w:space="0"/>
              <w:bottom w:val="single" w:color="auto" w:sz="8" w:space="0"/>
              <w:right w:val="single" w:color="auto" w:sz="8" w:space="0"/>
            </w:tcBorders>
            <w:noWrap/>
            <w:vAlign w:val="center"/>
          </w:tcPr>
          <w:p>
            <w:pPr>
              <w:widowControl/>
              <w:jc w:val="center"/>
              <w:rPr>
                <w:rFonts w:ascii="等线" w:eastAsia="等线" w:cs="宋体"/>
                <w:kern w:val="0"/>
                <w:sz w:val="22"/>
              </w:rPr>
            </w:pPr>
            <w:r>
              <w:rPr>
                <w:rFonts w:hint="eastAsia" w:ascii="等线" w:eastAsia="等线" w:cs="宋体"/>
                <w:kern w:val="0"/>
                <w:sz w:val="22"/>
              </w:rPr>
              <w:t>4</w:t>
            </w:r>
          </w:p>
        </w:tc>
        <w:tc>
          <w:tcPr>
            <w:tcW w:w="1197"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电脑票远程服务专线</w:t>
            </w:r>
          </w:p>
        </w:tc>
        <w:tc>
          <w:tcPr>
            <w:tcW w:w="953"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互联网专线</w:t>
            </w:r>
          </w:p>
        </w:tc>
        <w:tc>
          <w:tcPr>
            <w:tcW w:w="803"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100M</w:t>
            </w:r>
          </w:p>
        </w:tc>
        <w:tc>
          <w:tcPr>
            <w:tcW w:w="1182"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1条</w:t>
            </w:r>
          </w:p>
        </w:tc>
        <w:tc>
          <w:tcPr>
            <w:tcW w:w="2661"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余杭区五常街道荆长路539号福彩大楼2楼机房</w:t>
            </w:r>
          </w:p>
        </w:tc>
        <w:tc>
          <w:tcPr>
            <w:tcW w:w="2463" w:type="dxa"/>
            <w:tcBorders>
              <w:top w:val="nil"/>
              <w:left w:val="nil"/>
              <w:bottom w:val="single" w:color="auto" w:sz="8" w:space="0"/>
              <w:right w:val="single" w:color="auto" w:sz="8" w:space="0"/>
            </w:tcBorders>
            <w:vAlign w:val="center"/>
          </w:tcPr>
          <w:p>
            <w:pPr>
              <w:rPr>
                <w:rFonts w:ascii="仿宋" w:hAnsi="仿宋" w:eastAsia="仿宋" w:cs="宋体"/>
                <w:kern w:val="0"/>
                <w:sz w:val="24"/>
                <w:szCs w:val="24"/>
              </w:rPr>
            </w:pPr>
          </w:p>
        </w:tc>
      </w:tr>
      <w:tr>
        <w:tblPrEx>
          <w:tblCellMar>
            <w:top w:w="0" w:type="dxa"/>
            <w:left w:w="108" w:type="dxa"/>
            <w:bottom w:w="0" w:type="dxa"/>
            <w:right w:w="108" w:type="dxa"/>
          </w:tblCellMar>
        </w:tblPrEx>
        <w:trPr>
          <w:trHeight w:val="625" w:hRule="atLeast"/>
        </w:trPr>
        <w:tc>
          <w:tcPr>
            <w:tcW w:w="591" w:type="dxa"/>
            <w:tcBorders>
              <w:top w:val="nil"/>
              <w:left w:val="single" w:color="auto" w:sz="8" w:space="0"/>
              <w:bottom w:val="single" w:color="auto" w:sz="4" w:space="0"/>
              <w:right w:val="single" w:color="auto" w:sz="8" w:space="0"/>
            </w:tcBorders>
            <w:noWrap/>
            <w:vAlign w:val="center"/>
          </w:tcPr>
          <w:p>
            <w:pPr>
              <w:widowControl/>
              <w:jc w:val="center"/>
              <w:rPr>
                <w:rFonts w:ascii="等线" w:eastAsia="等线" w:cs="宋体"/>
                <w:kern w:val="0"/>
                <w:sz w:val="22"/>
              </w:rPr>
            </w:pPr>
            <w:r>
              <w:rPr>
                <w:rFonts w:hint="eastAsia" w:ascii="等线" w:eastAsia="等线" w:cs="宋体"/>
                <w:kern w:val="0"/>
                <w:sz w:val="22"/>
              </w:rPr>
              <w:t>5</w:t>
            </w:r>
          </w:p>
        </w:tc>
        <w:tc>
          <w:tcPr>
            <w:tcW w:w="1197" w:type="dxa"/>
            <w:tcBorders>
              <w:top w:val="nil"/>
              <w:left w:val="nil"/>
              <w:bottom w:val="single" w:color="auto" w:sz="4"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福彩业务线路</w:t>
            </w:r>
          </w:p>
        </w:tc>
        <w:tc>
          <w:tcPr>
            <w:tcW w:w="953" w:type="dxa"/>
            <w:tcBorders>
              <w:top w:val="nil"/>
              <w:left w:val="nil"/>
              <w:bottom w:val="single" w:color="auto" w:sz="4"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互联网专线</w:t>
            </w:r>
          </w:p>
        </w:tc>
        <w:tc>
          <w:tcPr>
            <w:tcW w:w="803" w:type="dxa"/>
            <w:tcBorders>
              <w:top w:val="nil"/>
              <w:left w:val="nil"/>
              <w:bottom w:val="single" w:color="auto" w:sz="4"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200M</w:t>
            </w:r>
          </w:p>
        </w:tc>
        <w:tc>
          <w:tcPr>
            <w:tcW w:w="1182" w:type="dxa"/>
            <w:tcBorders>
              <w:top w:val="nil"/>
              <w:left w:val="nil"/>
              <w:bottom w:val="single" w:color="auto" w:sz="4"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1条</w:t>
            </w:r>
          </w:p>
        </w:tc>
        <w:tc>
          <w:tcPr>
            <w:tcW w:w="2661" w:type="dxa"/>
            <w:tcBorders>
              <w:top w:val="nil"/>
              <w:left w:val="nil"/>
              <w:bottom w:val="single" w:color="auto" w:sz="4"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余杭区五常街道荆长路539号福彩大楼负一楼机房</w:t>
            </w:r>
          </w:p>
        </w:tc>
        <w:tc>
          <w:tcPr>
            <w:tcW w:w="2463" w:type="dxa"/>
            <w:tcBorders>
              <w:top w:val="nil"/>
              <w:left w:val="nil"/>
              <w:bottom w:val="single" w:color="auto" w:sz="4"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625" w:hRule="atLeast"/>
        </w:trPr>
        <w:tc>
          <w:tcPr>
            <w:tcW w:w="59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等线" w:eastAsia="等线" w:cs="宋体"/>
                <w:kern w:val="0"/>
                <w:sz w:val="22"/>
              </w:rPr>
            </w:pPr>
            <w:r>
              <w:rPr>
                <w:rFonts w:hint="eastAsia" w:ascii="等线" w:eastAsia="等线" w:cs="宋体"/>
                <w:kern w:val="0"/>
                <w:sz w:val="22"/>
              </w:rPr>
              <w:t>6</w:t>
            </w: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IDC机柜</w:t>
            </w:r>
          </w:p>
        </w:tc>
        <w:tc>
          <w:tcPr>
            <w:tcW w:w="9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机柜租赁</w:t>
            </w:r>
          </w:p>
        </w:tc>
        <w:tc>
          <w:tcPr>
            <w:tcW w:w="8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42U标准机柜</w:t>
            </w:r>
          </w:p>
        </w:tc>
        <w:tc>
          <w:tcPr>
            <w:tcW w:w="11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6个</w:t>
            </w:r>
          </w:p>
        </w:tc>
        <w:tc>
          <w:tcPr>
            <w:tcW w:w="26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兴议1期机柜 </w:t>
            </w:r>
          </w:p>
        </w:tc>
        <w:tc>
          <w:tcPr>
            <w:tcW w:w="24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兴议村十五组51号IDC 一期4号机房</w:t>
            </w:r>
          </w:p>
        </w:tc>
      </w:tr>
      <w:tr>
        <w:tblPrEx>
          <w:tblCellMar>
            <w:top w:w="0" w:type="dxa"/>
            <w:left w:w="108" w:type="dxa"/>
            <w:bottom w:w="0" w:type="dxa"/>
            <w:right w:w="108" w:type="dxa"/>
          </w:tblCellMar>
        </w:tblPrEx>
        <w:trPr>
          <w:trHeight w:val="304" w:hRule="atLeast"/>
        </w:trPr>
        <w:tc>
          <w:tcPr>
            <w:tcW w:w="591" w:type="dxa"/>
            <w:vMerge w:val="restart"/>
            <w:tcBorders>
              <w:top w:val="single" w:color="auto" w:sz="4" w:space="0"/>
              <w:left w:val="single" w:color="auto" w:sz="8" w:space="0"/>
              <w:bottom w:val="single" w:color="000000" w:sz="8" w:space="0"/>
              <w:right w:val="single" w:color="auto" w:sz="8" w:space="0"/>
            </w:tcBorders>
            <w:noWrap/>
            <w:vAlign w:val="center"/>
          </w:tcPr>
          <w:p>
            <w:pPr>
              <w:widowControl/>
              <w:jc w:val="center"/>
              <w:rPr>
                <w:rFonts w:ascii="等线" w:eastAsia="等线" w:cs="宋体"/>
                <w:kern w:val="0"/>
                <w:sz w:val="22"/>
              </w:rPr>
            </w:pPr>
            <w:r>
              <w:rPr>
                <w:rFonts w:hint="eastAsia" w:ascii="等线" w:eastAsia="等线" w:cs="宋体"/>
                <w:kern w:val="0"/>
                <w:sz w:val="22"/>
              </w:rPr>
              <w:t>7</w:t>
            </w:r>
          </w:p>
        </w:tc>
        <w:tc>
          <w:tcPr>
            <w:tcW w:w="1197" w:type="dxa"/>
            <w:vMerge w:val="restart"/>
            <w:tcBorders>
              <w:top w:val="single" w:color="auto" w:sz="4" w:space="0"/>
              <w:left w:val="single" w:color="auto" w:sz="8" w:space="0"/>
              <w:bottom w:val="single" w:color="000000"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全省 VPDN线路</w:t>
            </w:r>
          </w:p>
        </w:tc>
        <w:tc>
          <w:tcPr>
            <w:tcW w:w="953" w:type="dxa"/>
            <w:vMerge w:val="restart"/>
            <w:tcBorders>
              <w:top w:val="single" w:color="auto" w:sz="4" w:space="0"/>
              <w:left w:val="single" w:color="auto" w:sz="8" w:space="0"/>
              <w:bottom w:val="single" w:color="000000"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30M VPDN线路运维及安全防护服务</w:t>
            </w:r>
          </w:p>
        </w:tc>
        <w:tc>
          <w:tcPr>
            <w:tcW w:w="803" w:type="dxa"/>
            <w:vMerge w:val="restart"/>
            <w:tcBorders>
              <w:top w:val="single" w:color="auto" w:sz="4" w:space="0"/>
              <w:left w:val="single" w:color="auto" w:sz="8" w:space="0"/>
              <w:bottom w:val="single" w:color="000000"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30M 商务专线</w:t>
            </w:r>
          </w:p>
        </w:tc>
        <w:tc>
          <w:tcPr>
            <w:tcW w:w="1182" w:type="dxa"/>
            <w:vMerge w:val="restart"/>
            <w:tcBorders>
              <w:top w:val="single" w:color="auto" w:sz="4" w:space="0"/>
              <w:left w:val="single" w:color="auto" w:sz="8" w:space="0"/>
              <w:bottom w:val="single" w:color="000000"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8</w:t>
            </w:r>
            <w:r>
              <w:rPr>
                <w:rFonts w:ascii="仿宋" w:hAnsi="仿宋" w:eastAsia="仿宋" w:cs="宋体"/>
                <w:kern w:val="0"/>
                <w:sz w:val="24"/>
                <w:szCs w:val="24"/>
              </w:rPr>
              <w:t>4</w:t>
            </w:r>
            <w:r>
              <w:rPr>
                <w:rFonts w:hint="eastAsia" w:ascii="仿宋" w:hAnsi="仿宋" w:eastAsia="仿宋" w:cs="宋体"/>
                <w:kern w:val="0"/>
                <w:sz w:val="24"/>
                <w:szCs w:val="24"/>
              </w:rPr>
              <w:t>00条</w:t>
            </w:r>
          </w:p>
        </w:tc>
        <w:tc>
          <w:tcPr>
            <w:tcW w:w="5124" w:type="dxa"/>
            <w:gridSpan w:val="2"/>
            <w:tcBorders>
              <w:top w:val="single" w:color="auto" w:sz="4" w:space="0"/>
              <w:left w:val="nil"/>
              <w:bottom w:val="nil"/>
              <w:right w:val="single" w:color="000000" w:sz="8"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1.全省投注站点接入；</w:t>
            </w:r>
          </w:p>
        </w:tc>
      </w:tr>
      <w:tr>
        <w:tblPrEx>
          <w:tblCellMar>
            <w:top w:w="0" w:type="dxa"/>
            <w:left w:w="108" w:type="dxa"/>
            <w:bottom w:w="0" w:type="dxa"/>
            <w:right w:w="108" w:type="dxa"/>
          </w:tblCellMar>
        </w:tblPrEx>
        <w:trPr>
          <w:trHeight w:val="609" w:hRule="atLeast"/>
        </w:trPr>
        <w:tc>
          <w:tcPr>
            <w:tcW w:w="0" w:type="auto"/>
            <w:vMerge w:val="continue"/>
            <w:tcBorders>
              <w:top w:val="single" w:color="auto" w:sz="4" w:space="0"/>
              <w:left w:val="single" w:color="auto" w:sz="8" w:space="0"/>
              <w:bottom w:val="single" w:color="000000" w:sz="8" w:space="0"/>
              <w:right w:val="single" w:color="auto" w:sz="8" w:space="0"/>
            </w:tcBorders>
            <w:vAlign w:val="center"/>
          </w:tcPr>
          <w:p>
            <w:pPr>
              <w:widowControl/>
              <w:jc w:val="left"/>
              <w:rPr>
                <w:rFonts w:ascii="等线" w:eastAsia="等线" w:cs="宋体"/>
                <w:kern w:val="0"/>
                <w:sz w:val="22"/>
              </w:rPr>
            </w:pPr>
          </w:p>
        </w:tc>
        <w:tc>
          <w:tcPr>
            <w:tcW w:w="0" w:type="auto"/>
            <w:vMerge w:val="continue"/>
            <w:tcBorders>
              <w:top w:val="single" w:color="auto" w:sz="4" w:space="0"/>
              <w:left w:val="single" w:color="auto" w:sz="8" w:space="0"/>
              <w:bottom w:val="single" w:color="000000" w:sz="8" w:space="0"/>
              <w:right w:val="single" w:color="auto" w:sz="8" w:space="0"/>
            </w:tcBorders>
            <w:vAlign w:val="center"/>
          </w:tcPr>
          <w:p>
            <w:pPr>
              <w:widowControl/>
              <w:jc w:val="left"/>
              <w:rPr>
                <w:rFonts w:ascii="仿宋" w:hAnsi="仿宋" w:eastAsia="仿宋" w:cs="宋体"/>
                <w:kern w:val="0"/>
                <w:sz w:val="24"/>
                <w:szCs w:val="24"/>
              </w:rPr>
            </w:pPr>
          </w:p>
        </w:tc>
        <w:tc>
          <w:tcPr>
            <w:tcW w:w="0" w:type="auto"/>
            <w:vMerge w:val="continue"/>
            <w:tcBorders>
              <w:top w:val="single" w:color="auto" w:sz="4" w:space="0"/>
              <w:left w:val="single" w:color="auto" w:sz="8" w:space="0"/>
              <w:bottom w:val="single" w:color="000000" w:sz="8" w:space="0"/>
              <w:right w:val="single" w:color="auto" w:sz="8" w:space="0"/>
            </w:tcBorders>
            <w:vAlign w:val="center"/>
          </w:tcPr>
          <w:p>
            <w:pPr>
              <w:widowControl/>
              <w:jc w:val="left"/>
              <w:rPr>
                <w:rFonts w:ascii="仿宋" w:hAnsi="仿宋" w:eastAsia="仿宋" w:cs="宋体"/>
                <w:kern w:val="0"/>
                <w:sz w:val="24"/>
                <w:szCs w:val="24"/>
              </w:rPr>
            </w:pPr>
          </w:p>
        </w:tc>
        <w:tc>
          <w:tcPr>
            <w:tcW w:w="0" w:type="auto"/>
            <w:vMerge w:val="continue"/>
            <w:tcBorders>
              <w:top w:val="single" w:color="auto" w:sz="4" w:space="0"/>
              <w:left w:val="single" w:color="auto" w:sz="8" w:space="0"/>
              <w:bottom w:val="single" w:color="000000" w:sz="8" w:space="0"/>
              <w:right w:val="single" w:color="auto" w:sz="8" w:space="0"/>
            </w:tcBorders>
            <w:vAlign w:val="center"/>
          </w:tcPr>
          <w:p>
            <w:pPr>
              <w:widowControl/>
              <w:jc w:val="left"/>
              <w:rPr>
                <w:rFonts w:ascii="仿宋" w:hAnsi="仿宋" w:eastAsia="仿宋" w:cs="宋体"/>
                <w:kern w:val="0"/>
                <w:sz w:val="24"/>
                <w:szCs w:val="24"/>
              </w:rPr>
            </w:pPr>
          </w:p>
        </w:tc>
        <w:tc>
          <w:tcPr>
            <w:tcW w:w="0" w:type="auto"/>
            <w:vMerge w:val="continue"/>
            <w:tcBorders>
              <w:top w:val="single" w:color="auto" w:sz="4" w:space="0"/>
              <w:left w:val="single" w:color="auto" w:sz="8" w:space="0"/>
              <w:bottom w:val="single" w:color="000000" w:sz="8" w:space="0"/>
              <w:right w:val="single" w:color="auto" w:sz="8" w:space="0"/>
            </w:tcBorders>
            <w:vAlign w:val="center"/>
          </w:tcPr>
          <w:p>
            <w:pPr>
              <w:widowControl/>
              <w:jc w:val="left"/>
              <w:rPr>
                <w:rFonts w:ascii="仿宋" w:hAnsi="仿宋" w:eastAsia="仿宋" w:cs="宋体"/>
                <w:kern w:val="0"/>
                <w:sz w:val="24"/>
                <w:szCs w:val="24"/>
              </w:rPr>
            </w:pPr>
          </w:p>
        </w:tc>
        <w:tc>
          <w:tcPr>
            <w:tcW w:w="5124" w:type="dxa"/>
            <w:gridSpan w:val="2"/>
            <w:tcBorders>
              <w:top w:val="nil"/>
              <w:left w:val="nil"/>
              <w:bottom w:val="nil"/>
              <w:right w:val="single" w:color="000000" w:sz="8"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2.全省投注站点VPDN线路参数绑定、日常维护，设备维护，故障报修等；</w:t>
            </w:r>
          </w:p>
        </w:tc>
      </w:tr>
      <w:tr>
        <w:tblPrEx>
          <w:tblCellMar>
            <w:top w:w="0" w:type="dxa"/>
            <w:left w:w="108" w:type="dxa"/>
            <w:bottom w:w="0" w:type="dxa"/>
            <w:right w:w="108" w:type="dxa"/>
          </w:tblCellMar>
        </w:tblPrEx>
        <w:trPr>
          <w:trHeight w:val="609" w:hRule="atLeast"/>
        </w:trPr>
        <w:tc>
          <w:tcPr>
            <w:tcW w:w="0" w:type="auto"/>
            <w:vMerge w:val="continue"/>
            <w:tcBorders>
              <w:top w:val="single" w:color="auto" w:sz="4" w:space="0"/>
              <w:left w:val="single" w:color="auto" w:sz="8" w:space="0"/>
              <w:bottom w:val="single" w:color="000000" w:sz="8" w:space="0"/>
              <w:right w:val="single" w:color="auto" w:sz="8" w:space="0"/>
            </w:tcBorders>
            <w:vAlign w:val="center"/>
          </w:tcPr>
          <w:p>
            <w:pPr>
              <w:widowControl/>
              <w:jc w:val="left"/>
              <w:rPr>
                <w:rFonts w:ascii="等线" w:eastAsia="等线" w:cs="宋体"/>
                <w:kern w:val="0"/>
                <w:sz w:val="22"/>
              </w:rPr>
            </w:pPr>
          </w:p>
        </w:tc>
        <w:tc>
          <w:tcPr>
            <w:tcW w:w="0" w:type="auto"/>
            <w:vMerge w:val="continue"/>
            <w:tcBorders>
              <w:top w:val="single" w:color="auto" w:sz="4" w:space="0"/>
              <w:left w:val="single" w:color="auto" w:sz="8" w:space="0"/>
              <w:bottom w:val="single" w:color="000000" w:sz="8" w:space="0"/>
              <w:right w:val="single" w:color="auto" w:sz="8" w:space="0"/>
            </w:tcBorders>
            <w:vAlign w:val="center"/>
          </w:tcPr>
          <w:p>
            <w:pPr>
              <w:widowControl/>
              <w:jc w:val="left"/>
              <w:rPr>
                <w:rFonts w:ascii="仿宋" w:hAnsi="仿宋" w:eastAsia="仿宋" w:cs="宋体"/>
                <w:kern w:val="0"/>
                <w:sz w:val="24"/>
                <w:szCs w:val="24"/>
              </w:rPr>
            </w:pPr>
          </w:p>
        </w:tc>
        <w:tc>
          <w:tcPr>
            <w:tcW w:w="0" w:type="auto"/>
            <w:vMerge w:val="continue"/>
            <w:tcBorders>
              <w:top w:val="single" w:color="auto" w:sz="4" w:space="0"/>
              <w:left w:val="single" w:color="auto" w:sz="8" w:space="0"/>
              <w:bottom w:val="single" w:color="000000" w:sz="8" w:space="0"/>
              <w:right w:val="single" w:color="auto" w:sz="8" w:space="0"/>
            </w:tcBorders>
            <w:vAlign w:val="center"/>
          </w:tcPr>
          <w:p>
            <w:pPr>
              <w:widowControl/>
              <w:jc w:val="left"/>
              <w:rPr>
                <w:rFonts w:ascii="仿宋" w:hAnsi="仿宋" w:eastAsia="仿宋" w:cs="宋体"/>
                <w:kern w:val="0"/>
                <w:sz w:val="24"/>
                <w:szCs w:val="24"/>
              </w:rPr>
            </w:pPr>
          </w:p>
        </w:tc>
        <w:tc>
          <w:tcPr>
            <w:tcW w:w="0" w:type="auto"/>
            <w:vMerge w:val="continue"/>
            <w:tcBorders>
              <w:top w:val="single" w:color="auto" w:sz="4" w:space="0"/>
              <w:left w:val="single" w:color="auto" w:sz="8" w:space="0"/>
              <w:bottom w:val="single" w:color="000000" w:sz="8" w:space="0"/>
              <w:right w:val="single" w:color="auto" w:sz="8" w:space="0"/>
            </w:tcBorders>
            <w:vAlign w:val="center"/>
          </w:tcPr>
          <w:p>
            <w:pPr>
              <w:widowControl/>
              <w:jc w:val="left"/>
              <w:rPr>
                <w:rFonts w:ascii="仿宋" w:hAnsi="仿宋" w:eastAsia="仿宋" w:cs="宋体"/>
                <w:kern w:val="0"/>
                <w:sz w:val="24"/>
                <w:szCs w:val="24"/>
              </w:rPr>
            </w:pPr>
          </w:p>
        </w:tc>
        <w:tc>
          <w:tcPr>
            <w:tcW w:w="0" w:type="auto"/>
            <w:vMerge w:val="continue"/>
            <w:tcBorders>
              <w:top w:val="single" w:color="auto" w:sz="4" w:space="0"/>
              <w:left w:val="single" w:color="auto" w:sz="8" w:space="0"/>
              <w:bottom w:val="single" w:color="000000" w:sz="8" w:space="0"/>
              <w:right w:val="single" w:color="auto" w:sz="8" w:space="0"/>
            </w:tcBorders>
            <w:vAlign w:val="center"/>
          </w:tcPr>
          <w:p>
            <w:pPr>
              <w:widowControl/>
              <w:jc w:val="left"/>
              <w:rPr>
                <w:rFonts w:ascii="仿宋" w:hAnsi="仿宋" w:eastAsia="仿宋" w:cs="宋体"/>
                <w:kern w:val="0"/>
                <w:sz w:val="24"/>
                <w:szCs w:val="24"/>
              </w:rPr>
            </w:pPr>
          </w:p>
        </w:tc>
        <w:tc>
          <w:tcPr>
            <w:tcW w:w="5124" w:type="dxa"/>
            <w:gridSpan w:val="2"/>
            <w:tcBorders>
              <w:top w:val="nil"/>
              <w:left w:val="nil"/>
              <w:bottom w:val="nil"/>
              <w:right w:val="single" w:color="000000" w:sz="8"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3.电脑彩票数据中心V</w:t>
            </w:r>
            <w:r>
              <w:rPr>
                <w:rFonts w:ascii="仿宋" w:hAnsi="仿宋" w:eastAsia="仿宋" w:cs="宋体"/>
                <w:kern w:val="0"/>
                <w:sz w:val="24"/>
                <w:szCs w:val="24"/>
              </w:rPr>
              <w:t>PDN</w:t>
            </w:r>
            <w:r>
              <w:rPr>
                <w:rFonts w:hint="eastAsia" w:ascii="仿宋" w:hAnsi="仿宋" w:eastAsia="仿宋" w:cs="宋体"/>
                <w:kern w:val="0"/>
                <w:sz w:val="24"/>
                <w:szCs w:val="24"/>
              </w:rPr>
              <w:t>平台的日常维护；</w:t>
            </w:r>
          </w:p>
        </w:tc>
      </w:tr>
      <w:tr>
        <w:tblPrEx>
          <w:tblCellMar>
            <w:top w:w="0" w:type="dxa"/>
            <w:left w:w="108" w:type="dxa"/>
            <w:bottom w:w="0" w:type="dxa"/>
            <w:right w:w="108" w:type="dxa"/>
          </w:tblCellMar>
        </w:tblPrEx>
        <w:trPr>
          <w:trHeight w:val="609" w:hRule="atLeast"/>
        </w:trPr>
        <w:tc>
          <w:tcPr>
            <w:tcW w:w="0" w:type="auto"/>
            <w:vMerge w:val="continue"/>
            <w:tcBorders>
              <w:top w:val="single" w:color="auto" w:sz="4" w:space="0"/>
              <w:left w:val="single" w:color="auto" w:sz="8" w:space="0"/>
              <w:bottom w:val="single" w:color="000000" w:sz="8" w:space="0"/>
              <w:right w:val="single" w:color="auto" w:sz="8" w:space="0"/>
            </w:tcBorders>
            <w:vAlign w:val="center"/>
          </w:tcPr>
          <w:p>
            <w:pPr>
              <w:widowControl/>
              <w:jc w:val="left"/>
              <w:rPr>
                <w:rFonts w:ascii="等线" w:eastAsia="等线" w:cs="宋体"/>
                <w:kern w:val="0"/>
                <w:sz w:val="22"/>
              </w:rPr>
            </w:pPr>
          </w:p>
        </w:tc>
        <w:tc>
          <w:tcPr>
            <w:tcW w:w="0" w:type="auto"/>
            <w:vMerge w:val="continue"/>
            <w:tcBorders>
              <w:top w:val="single" w:color="auto" w:sz="4" w:space="0"/>
              <w:left w:val="single" w:color="auto" w:sz="8" w:space="0"/>
              <w:bottom w:val="single" w:color="000000" w:sz="8" w:space="0"/>
              <w:right w:val="single" w:color="auto" w:sz="8" w:space="0"/>
            </w:tcBorders>
            <w:vAlign w:val="center"/>
          </w:tcPr>
          <w:p>
            <w:pPr>
              <w:widowControl/>
              <w:jc w:val="left"/>
              <w:rPr>
                <w:rFonts w:ascii="仿宋" w:hAnsi="仿宋" w:eastAsia="仿宋" w:cs="宋体"/>
                <w:kern w:val="0"/>
                <w:sz w:val="24"/>
                <w:szCs w:val="24"/>
              </w:rPr>
            </w:pPr>
          </w:p>
        </w:tc>
        <w:tc>
          <w:tcPr>
            <w:tcW w:w="0" w:type="auto"/>
            <w:vMerge w:val="continue"/>
            <w:tcBorders>
              <w:top w:val="single" w:color="auto" w:sz="4" w:space="0"/>
              <w:left w:val="single" w:color="auto" w:sz="8" w:space="0"/>
              <w:bottom w:val="single" w:color="000000" w:sz="8" w:space="0"/>
              <w:right w:val="single" w:color="auto" w:sz="8" w:space="0"/>
            </w:tcBorders>
            <w:vAlign w:val="center"/>
          </w:tcPr>
          <w:p>
            <w:pPr>
              <w:widowControl/>
              <w:jc w:val="left"/>
              <w:rPr>
                <w:rFonts w:ascii="仿宋" w:hAnsi="仿宋" w:eastAsia="仿宋" w:cs="宋体"/>
                <w:kern w:val="0"/>
                <w:sz w:val="24"/>
                <w:szCs w:val="24"/>
              </w:rPr>
            </w:pPr>
          </w:p>
        </w:tc>
        <w:tc>
          <w:tcPr>
            <w:tcW w:w="0" w:type="auto"/>
            <w:vMerge w:val="continue"/>
            <w:tcBorders>
              <w:top w:val="single" w:color="auto" w:sz="4" w:space="0"/>
              <w:left w:val="single" w:color="auto" w:sz="8" w:space="0"/>
              <w:bottom w:val="single" w:color="000000" w:sz="8" w:space="0"/>
              <w:right w:val="single" w:color="auto" w:sz="8" w:space="0"/>
            </w:tcBorders>
            <w:vAlign w:val="center"/>
          </w:tcPr>
          <w:p>
            <w:pPr>
              <w:widowControl/>
              <w:jc w:val="left"/>
              <w:rPr>
                <w:rFonts w:ascii="仿宋" w:hAnsi="仿宋" w:eastAsia="仿宋" w:cs="宋体"/>
                <w:kern w:val="0"/>
                <w:sz w:val="24"/>
                <w:szCs w:val="24"/>
              </w:rPr>
            </w:pPr>
          </w:p>
        </w:tc>
        <w:tc>
          <w:tcPr>
            <w:tcW w:w="0" w:type="auto"/>
            <w:vMerge w:val="continue"/>
            <w:tcBorders>
              <w:top w:val="single" w:color="auto" w:sz="4" w:space="0"/>
              <w:left w:val="single" w:color="auto" w:sz="8" w:space="0"/>
              <w:bottom w:val="single" w:color="000000" w:sz="8" w:space="0"/>
              <w:right w:val="single" w:color="auto" w:sz="8" w:space="0"/>
            </w:tcBorders>
            <w:vAlign w:val="center"/>
          </w:tcPr>
          <w:p>
            <w:pPr>
              <w:widowControl/>
              <w:jc w:val="left"/>
              <w:rPr>
                <w:rFonts w:ascii="仿宋" w:hAnsi="仿宋" w:eastAsia="仿宋" w:cs="宋体"/>
                <w:kern w:val="0"/>
                <w:sz w:val="24"/>
                <w:szCs w:val="24"/>
              </w:rPr>
            </w:pPr>
          </w:p>
        </w:tc>
        <w:tc>
          <w:tcPr>
            <w:tcW w:w="5124" w:type="dxa"/>
            <w:gridSpan w:val="2"/>
            <w:tcBorders>
              <w:top w:val="nil"/>
              <w:left w:val="nil"/>
              <w:bottom w:val="nil"/>
              <w:right w:val="single" w:color="000000" w:sz="8"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4.定期统计VPDN链路的访问质量，如丢包、重传、访问慢等；</w:t>
            </w:r>
          </w:p>
        </w:tc>
      </w:tr>
      <w:tr>
        <w:tblPrEx>
          <w:tblCellMar>
            <w:top w:w="0" w:type="dxa"/>
            <w:left w:w="108" w:type="dxa"/>
            <w:bottom w:w="0" w:type="dxa"/>
            <w:right w:w="108" w:type="dxa"/>
          </w:tblCellMar>
        </w:tblPrEx>
        <w:trPr>
          <w:trHeight w:val="914" w:hRule="atLeast"/>
        </w:trPr>
        <w:tc>
          <w:tcPr>
            <w:tcW w:w="0" w:type="auto"/>
            <w:vMerge w:val="continue"/>
            <w:tcBorders>
              <w:top w:val="single" w:color="auto" w:sz="4" w:space="0"/>
              <w:left w:val="single" w:color="auto" w:sz="8" w:space="0"/>
              <w:bottom w:val="single" w:color="000000" w:sz="8" w:space="0"/>
              <w:right w:val="single" w:color="auto" w:sz="8" w:space="0"/>
            </w:tcBorders>
            <w:vAlign w:val="center"/>
          </w:tcPr>
          <w:p>
            <w:pPr>
              <w:widowControl/>
              <w:jc w:val="left"/>
              <w:rPr>
                <w:rFonts w:ascii="等线" w:eastAsia="等线" w:cs="宋体"/>
                <w:kern w:val="0"/>
                <w:sz w:val="22"/>
              </w:rPr>
            </w:pPr>
          </w:p>
        </w:tc>
        <w:tc>
          <w:tcPr>
            <w:tcW w:w="0" w:type="auto"/>
            <w:vMerge w:val="continue"/>
            <w:tcBorders>
              <w:top w:val="single" w:color="auto" w:sz="4" w:space="0"/>
              <w:left w:val="single" w:color="auto" w:sz="8" w:space="0"/>
              <w:bottom w:val="single" w:color="000000" w:sz="8" w:space="0"/>
              <w:right w:val="single" w:color="auto" w:sz="8" w:space="0"/>
            </w:tcBorders>
            <w:vAlign w:val="center"/>
          </w:tcPr>
          <w:p>
            <w:pPr>
              <w:widowControl/>
              <w:jc w:val="left"/>
              <w:rPr>
                <w:rFonts w:ascii="仿宋" w:hAnsi="仿宋" w:eastAsia="仿宋" w:cs="宋体"/>
                <w:kern w:val="0"/>
                <w:sz w:val="24"/>
                <w:szCs w:val="24"/>
              </w:rPr>
            </w:pPr>
          </w:p>
        </w:tc>
        <w:tc>
          <w:tcPr>
            <w:tcW w:w="0" w:type="auto"/>
            <w:vMerge w:val="continue"/>
            <w:tcBorders>
              <w:top w:val="single" w:color="auto" w:sz="4" w:space="0"/>
              <w:left w:val="single" w:color="auto" w:sz="8" w:space="0"/>
              <w:bottom w:val="single" w:color="000000" w:sz="8" w:space="0"/>
              <w:right w:val="single" w:color="auto" w:sz="8" w:space="0"/>
            </w:tcBorders>
            <w:vAlign w:val="center"/>
          </w:tcPr>
          <w:p>
            <w:pPr>
              <w:widowControl/>
              <w:jc w:val="left"/>
              <w:rPr>
                <w:rFonts w:ascii="仿宋" w:hAnsi="仿宋" w:eastAsia="仿宋" w:cs="宋体"/>
                <w:kern w:val="0"/>
                <w:sz w:val="24"/>
                <w:szCs w:val="24"/>
              </w:rPr>
            </w:pPr>
          </w:p>
        </w:tc>
        <w:tc>
          <w:tcPr>
            <w:tcW w:w="0" w:type="auto"/>
            <w:vMerge w:val="continue"/>
            <w:tcBorders>
              <w:top w:val="single" w:color="auto" w:sz="4" w:space="0"/>
              <w:left w:val="single" w:color="auto" w:sz="8" w:space="0"/>
              <w:bottom w:val="single" w:color="000000" w:sz="8" w:space="0"/>
              <w:right w:val="single" w:color="auto" w:sz="8" w:space="0"/>
            </w:tcBorders>
            <w:vAlign w:val="center"/>
          </w:tcPr>
          <w:p>
            <w:pPr>
              <w:widowControl/>
              <w:jc w:val="left"/>
              <w:rPr>
                <w:rFonts w:ascii="仿宋" w:hAnsi="仿宋" w:eastAsia="仿宋" w:cs="宋体"/>
                <w:kern w:val="0"/>
                <w:sz w:val="24"/>
                <w:szCs w:val="24"/>
              </w:rPr>
            </w:pPr>
          </w:p>
        </w:tc>
        <w:tc>
          <w:tcPr>
            <w:tcW w:w="0" w:type="auto"/>
            <w:vMerge w:val="continue"/>
            <w:tcBorders>
              <w:top w:val="single" w:color="auto" w:sz="4" w:space="0"/>
              <w:left w:val="single" w:color="auto" w:sz="8" w:space="0"/>
              <w:bottom w:val="single" w:color="000000" w:sz="8" w:space="0"/>
              <w:right w:val="single" w:color="auto" w:sz="8" w:space="0"/>
            </w:tcBorders>
            <w:vAlign w:val="center"/>
          </w:tcPr>
          <w:p>
            <w:pPr>
              <w:widowControl/>
              <w:jc w:val="left"/>
              <w:rPr>
                <w:rFonts w:ascii="仿宋" w:hAnsi="仿宋" w:eastAsia="仿宋" w:cs="宋体"/>
                <w:kern w:val="0"/>
                <w:sz w:val="24"/>
                <w:szCs w:val="24"/>
              </w:rPr>
            </w:pPr>
          </w:p>
        </w:tc>
        <w:tc>
          <w:tcPr>
            <w:tcW w:w="5124" w:type="dxa"/>
            <w:gridSpan w:val="2"/>
            <w:tcBorders>
              <w:top w:val="nil"/>
              <w:left w:val="nil"/>
              <w:bottom w:val="nil"/>
              <w:right w:val="single" w:color="000000" w:sz="8"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5.定期检查和评估VPDN网络及数据中心核心网络安全状况，发现潜在安全问题，如内网主机感染蠕虫、僵尸网络、木马等安全威胁等；</w:t>
            </w:r>
          </w:p>
        </w:tc>
      </w:tr>
      <w:tr>
        <w:tblPrEx>
          <w:tblCellMar>
            <w:top w:w="0" w:type="dxa"/>
            <w:left w:w="108" w:type="dxa"/>
            <w:bottom w:w="0" w:type="dxa"/>
            <w:right w:w="108" w:type="dxa"/>
          </w:tblCellMar>
        </w:tblPrEx>
        <w:trPr>
          <w:trHeight w:val="320" w:hRule="atLeast"/>
        </w:trPr>
        <w:tc>
          <w:tcPr>
            <w:tcW w:w="0" w:type="auto"/>
            <w:vMerge w:val="continue"/>
            <w:tcBorders>
              <w:top w:val="single" w:color="auto" w:sz="4" w:space="0"/>
              <w:left w:val="single" w:color="auto" w:sz="8" w:space="0"/>
              <w:bottom w:val="single" w:color="000000" w:sz="8" w:space="0"/>
              <w:right w:val="single" w:color="auto" w:sz="8" w:space="0"/>
            </w:tcBorders>
            <w:vAlign w:val="center"/>
          </w:tcPr>
          <w:p>
            <w:pPr>
              <w:widowControl/>
              <w:jc w:val="left"/>
              <w:rPr>
                <w:rFonts w:ascii="等线" w:eastAsia="等线" w:cs="宋体"/>
                <w:kern w:val="0"/>
                <w:sz w:val="22"/>
              </w:rPr>
            </w:pPr>
          </w:p>
        </w:tc>
        <w:tc>
          <w:tcPr>
            <w:tcW w:w="0" w:type="auto"/>
            <w:vMerge w:val="continue"/>
            <w:tcBorders>
              <w:top w:val="single" w:color="auto" w:sz="4" w:space="0"/>
              <w:left w:val="single" w:color="auto" w:sz="8" w:space="0"/>
              <w:bottom w:val="single" w:color="000000" w:sz="8" w:space="0"/>
              <w:right w:val="single" w:color="auto" w:sz="8" w:space="0"/>
            </w:tcBorders>
            <w:vAlign w:val="center"/>
          </w:tcPr>
          <w:p>
            <w:pPr>
              <w:widowControl/>
              <w:jc w:val="left"/>
              <w:rPr>
                <w:rFonts w:ascii="仿宋" w:hAnsi="仿宋" w:eastAsia="仿宋" w:cs="宋体"/>
                <w:kern w:val="0"/>
                <w:sz w:val="24"/>
                <w:szCs w:val="24"/>
              </w:rPr>
            </w:pPr>
          </w:p>
        </w:tc>
        <w:tc>
          <w:tcPr>
            <w:tcW w:w="0" w:type="auto"/>
            <w:vMerge w:val="continue"/>
            <w:tcBorders>
              <w:top w:val="single" w:color="auto" w:sz="4" w:space="0"/>
              <w:left w:val="single" w:color="auto" w:sz="8" w:space="0"/>
              <w:bottom w:val="single" w:color="000000" w:sz="8" w:space="0"/>
              <w:right w:val="single" w:color="auto" w:sz="8" w:space="0"/>
            </w:tcBorders>
            <w:vAlign w:val="center"/>
          </w:tcPr>
          <w:p>
            <w:pPr>
              <w:widowControl/>
              <w:jc w:val="left"/>
              <w:rPr>
                <w:rFonts w:ascii="仿宋" w:hAnsi="仿宋" w:eastAsia="仿宋" w:cs="宋体"/>
                <w:kern w:val="0"/>
                <w:sz w:val="24"/>
                <w:szCs w:val="24"/>
              </w:rPr>
            </w:pPr>
          </w:p>
        </w:tc>
        <w:tc>
          <w:tcPr>
            <w:tcW w:w="0" w:type="auto"/>
            <w:vMerge w:val="continue"/>
            <w:tcBorders>
              <w:top w:val="single" w:color="auto" w:sz="4" w:space="0"/>
              <w:left w:val="single" w:color="auto" w:sz="8" w:space="0"/>
              <w:bottom w:val="single" w:color="000000" w:sz="8" w:space="0"/>
              <w:right w:val="single" w:color="auto" w:sz="8" w:space="0"/>
            </w:tcBorders>
            <w:vAlign w:val="center"/>
          </w:tcPr>
          <w:p>
            <w:pPr>
              <w:widowControl/>
              <w:jc w:val="left"/>
              <w:rPr>
                <w:rFonts w:ascii="仿宋" w:hAnsi="仿宋" w:eastAsia="仿宋" w:cs="宋体"/>
                <w:kern w:val="0"/>
                <w:sz w:val="24"/>
                <w:szCs w:val="24"/>
              </w:rPr>
            </w:pPr>
          </w:p>
        </w:tc>
        <w:tc>
          <w:tcPr>
            <w:tcW w:w="0" w:type="auto"/>
            <w:vMerge w:val="continue"/>
            <w:tcBorders>
              <w:top w:val="single" w:color="auto" w:sz="4" w:space="0"/>
              <w:left w:val="single" w:color="auto" w:sz="8" w:space="0"/>
              <w:bottom w:val="single" w:color="000000" w:sz="8" w:space="0"/>
              <w:right w:val="single" w:color="auto" w:sz="8" w:space="0"/>
            </w:tcBorders>
            <w:vAlign w:val="center"/>
          </w:tcPr>
          <w:p>
            <w:pPr>
              <w:widowControl/>
              <w:jc w:val="left"/>
              <w:rPr>
                <w:rFonts w:ascii="仿宋" w:hAnsi="仿宋" w:eastAsia="仿宋" w:cs="宋体"/>
                <w:kern w:val="0"/>
                <w:sz w:val="24"/>
                <w:szCs w:val="24"/>
              </w:rPr>
            </w:pPr>
          </w:p>
        </w:tc>
        <w:tc>
          <w:tcPr>
            <w:tcW w:w="5124" w:type="dxa"/>
            <w:gridSpan w:val="2"/>
            <w:tcBorders>
              <w:top w:val="nil"/>
              <w:left w:val="nil"/>
              <w:bottom w:val="single" w:color="000000" w:sz="8" w:space="0"/>
              <w:right w:val="single" w:color="000000" w:sz="8"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xml:space="preserve">6.提供驻场工程师一名，开展各项日常维护工作。 </w:t>
            </w:r>
          </w:p>
        </w:tc>
      </w:tr>
      <w:tr>
        <w:tblPrEx>
          <w:tblCellMar>
            <w:top w:w="0" w:type="dxa"/>
            <w:left w:w="108" w:type="dxa"/>
            <w:bottom w:w="0" w:type="dxa"/>
            <w:right w:w="108" w:type="dxa"/>
          </w:tblCellMar>
        </w:tblPrEx>
        <w:trPr>
          <w:trHeight w:val="625" w:hRule="atLeast"/>
        </w:trPr>
        <w:tc>
          <w:tcPr>
            <w:tcW w:w="591" w:type="dxa"/>
            <w:tcBorders>
              <w:top w:val="nil"/>
              <w:left w:val="single" w:color="auto" w:sz="8" w:space="0"/>
              <w:bottom w:val="single" w:color="auto" w:sz="8" w:space="0"/>
              <w:right w:val="single" w:color="auto" w:sz="8" w:space="0"/>
            </w:tcBorders>
            <w:noWrap/>
            <w:vAlign w:val="center"/>
          </w:tcPr>
          <w:p>
            <w:pPr>
              <w:widowControl/>
              <w:jc w:val="center"/>
              <w:rPr>
                <w:rFonts w:ascii="等线" w:eastAsia="等线" w:cs="宋体"/>
                <w:kern w:val="0"/>
                <w:sz w:val="22"/>
              </w:rPr>
            </w:pPr>
            <w:r>
              <w:rPr>
                <w:rFonts w:hint="eastAsia" w:ascii="等线" w:eastAsia="等线" w:cs="宋体"/>
                <w:kern w:val="0"/>
                <w:sz w:val="22"/>
              </w:rPr>
              <w:t>8</w:t>
            </w:r>
          </w:p>
        </w:tc>
        <w:tc>
          <w:tcPr>
            <w:tcW w:w="1197"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机房远程监控</w:t>
            </w:r>
          </w:p>
        </w:tc>
        <w:tc>
          <w:tcPr>
            <w:tcW w:w="953"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IDC互联网出口独享带宽</w:t>
            </w:r>
          </w:p>
        </w:tc>
        <w:tc>
          <w:tcPr>
            <w:tcW w:w="803"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100M</w:t>
            </w:r>
          </w:p>
        </w:tc>
        <w:tc>
          <w:tcPr>
            <w:tcW w:w="1182"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1条</w:t>
            </w:r>
          </w:p>
        </w:tc>
        <w:tc>
          <w:tcPr>
            <w:tcW w:w="5124" w:type="dxa"/>
            <w:gridSpan w:val="2"/>
            <w:tcBorders>
              <w:top w:val="single" w:color="000000" w:sz="8" w:space="0"/>
              <w:left w:val="nil"/>
              <w:bottom w:val="single" w:color="auto" w:sz="8" w:space="0"/>
              <w:right w:val="single" w:color="000000" w:sz="8" w:space="0"/>
            </w:tcBorders>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IDC机房内用于远程维护及监控</w:t>
            </w:r>
          </w:p>
        </w:tc>
      </w:tr>
      <w:tr>
        <w:tblPrEx>
          <w:tblCellMar>
            <w:top w:w="0" w:type="dxa"/>
            <w:left w:w="108" w:type="dxa"/>
            <w:bottom w:w="0" w:type="dxa"/>
            <w:right w:w="108" w:type="dxa"/>
          </w:tblCellMar>
        </w:tblPrEx>
        <w:trPr>
          <w:trHeight w:val="304" w:hRule="atLeast"/>
        </w:trPr>
        <w:tc>
          <w:tcPr>
            <w:tcW w:w="591" w:type="dxa"/>
            <w:vMerge w:val="restart"/>
            <w:tcBorders>
              <w:top w:val="nil"/>
              <w:left w:val="single" w:color="auto" w:sz="8" w:space="0"/>
              <w:bottom w:val="single" w:color="000000" w:sz="8" w:space="0"/>
              <w:right w:val="single" w:color="auto" w:sz="8" w:space="0"/>
            </w:tcBorders>
            <w:noWrap/>
            <w:vAlign w:val="center"/>
          </w:tcPr>
          <w:p>
            <w:pPr>
              <w:widowControl/>
              <w:jc w:val="center"/>
              <w:rPr>
                <w:rFonts w:ascii="等线" w:eastAsia="等线" w:cs="宋体"/>
                <w:kern w:val="0"/>
                <w:sz w:val="22"/>
              </w:rPr>
            </w:pPr>
            <w:r>
              <w:rPr>
                <w:rFonts w:hint="eastAsia" w:ascii="等线" w:eastAsia="等线" w:cs="宋体"/>
                <w:kern w:val="0"/>
                <w:sz w:val="22"/>
              </w:rPr>
              <w:t>9</w:t>
            </w:r>
          </w:p>
        </w:tc>
        <w:tc>
          <w:tcPr>
            <w:tcW w:w="1197" w:type="dxa"/>
            <w:vMerge w:val="restart"/>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机房运维</w:t>
            </w:r>
          </w:p>
        </w:tc>
        <w:tc>
          <w:tcPr>
            <w:tcW w:w="953" w:type="dxa"/>
            <w:vMerge w:val="restart"/>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设备维保运维服务</w:t>
            </w:r>
          </w:p>
        </w:tc>
        <w:tc>
          <w:tcPr>
            <w:tcW w:w="803" w:type="dxa"/>
            <w:vMerge w:val="restart"/>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1项</w:t>
            </w:r>
          </w:p>
        </w:tc>
        <w:tc>
          <w:tcPr>
            <w:tcW w:w="1182" w:type="dxa"/>
            <w:vMerge w:val="restart"/>
            <w:tcBorders>
              <w:top w:val="nil"/>
              <w:left w:val="single" w:color="auto" w:sz="8" w:space="0"/>
              <w:bottom w:val="single" w:color="000000" w:sz="8" w:space="0"/>
              <w:right w:val="single" w:color="auto" w:sz="8" w:space="0"/>
            </w:tcBorders>
            <w:noWrap/>
            <w:vAlign w:val="center"/>
          </w:tcPr>
          <w:p>
            <w:pPr>
              <w:widowControl/>
              <w:jc w:val="center"/>
              <w:rPr>
                <w:rFonts w:ascii="等线" w:eastAsia="等线" w:cs="宋体"/>
                <w:kern w:val="0"/>
                <w:sz w:val="22"/>
              </w:rPr>
            </w:pPr>
            <w:r>
              <w:rPr>
                <w:rFonts w:hint="eastAsia" w:ascii="等线" w:eastAsia="等线" w:cs="宋体"/>
                <w:kern w:val="0"/>
                <w:sz w:val="22"/>
              </w:rPr>
              <w:t>　</w:t>
            </w:r>
          </w:p>
        </w:tc>
        <w:tc>
          <w:tcPr>
            <w:tcW w:w="5124" w:type="dxa"/>
            <w:gridSpan w:val="2"/>
            <w:tcBorders>
              <w:top w:val="single" w:color="auto" w:sz="8" w:space="0"/>
              <w:left w:val="nil"/>
              <w:bottom w:val="nil"/>
              <w:right w:val="single" w:color="000000" w:sz="8"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1.启明星辰 Osm-3600-s堡垒机1台；</w:t>
            </w:r>
          </w:p>
        </w:tc>
      </w:tr>
      <w:tr>
        <w:tblPrEx>
          <w:tblCellMar>
            <w:top w:w="0" w:type="dxa"/>
            <w:left w:w="108" w:type="dxa"/>
            <w:bottom w:w="0" w:type="dxa"/>
            <w:right w:w="108" w:type="dxa"/>
          </w:tblCellMar>
        </w:tblPrEx>
        <w:trPr>
          <w:trHeight w:val="304" w:hRule="atLeast"/>
        </w:trPr>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等线" w:eastAsia="等线" w:cs="宋体"/>
                <w:kern w:val="0"/>
                <w:sz w:val="22"/>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kern w:val="0"/>
                <w:sz w:val="28"/>
                <w:szCs w:val="28"/>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kern w:val="0"/>
                <w:sz w:val="28"/>
                <w:szCs w:val="28"/>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kern w:val="0"/>
                <w:sz w:val="24"/>
                <w:szCs w:val="24"/>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等线" w:eastAsia="等线" w:cs="宋体"/>
                <w:kern w:val="0"/>
                <w:sz w:val="22"/>
              </w:rPr>
            </w:pPr>
          </w:p>
        </w:tc>
        <w:tc>
          <w:tcPr>
            <w:tcW w:w="5124" w:type="dxa"/>
            <w:gridSpan w:val="2"/>
            <w:tcBorders>
              <w:top w:val="nil"/>
              <w:left w:val="nil"/>
              <w:bottom w:val="nil"/>
              <w:right w:val="single" w:color="000000" w:sz="8"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2.H3C SR6602-X2 路由器2台；</w:t>
            </w:r>
          </w:p>
        </w:tc>
      </w:tr>
      <w:tr>
        <w:tblPrEx>
          <w:tblCellMar>
            <w:top w:w="0" w:type="dxa"/>
            <w:left w:w="108" w:type="dxa"/>
            <w:bottom w:w="0" w:type="dxa"/>
            <w:right w:w="108" w:type="dxa"/>
          </w:tblCellMar>
        </w:tblPrEx>
        <w:trPr>
          <w:trHeight w:val="304" w:hRule="atLeast"/>
        </w:trPr>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等线" w:eastAsia="等线" w:cs="宋体"/>
                <w:kern w:val="0"/>
                <w:sz w:val="22"/>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kern w:val="0"/>
                <w:sz w:val="28"/>
                <w:szCs w:val="28"/>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kern w:val="0"/>
                <w:sz w:val="28"/>
                <w:szCs w:val="28"/>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kern w:val="0"/>
                <w:sz w:val="24"/>
                <w:szCs w:val="24"/>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等线" w:eastAsia="等线" w:cs="宋体"/>
                <w:kern w:val="0"/>
                <w:sz w:val="22"/>
              </w:rPr>
            </w:pPr>
          </w:p>
        </w:tc>
        <w:tc>
          <w:tcPr>
            <w:tcW w:w="5124" w:type="dxa"/>
            <w:gridSpan w:val="2"/>
            <w:tcBorders>
              <w:top w:val="nil"/>
              <w:left w:val="nil"/>
              <w:bottom w:val="nil"/>
              <w:right w:val="single" w:color="000000" w:sz="8"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3.H3C S7503交换机2台；</w:t>
            </w:r>
          </w:p>
        </w:tc>
      </w:tr>
      <w:tr>
        <w:tblPrEx>
          <w:tblCellMar>
            <w:top w:w="0" w:type="dxa"/>
            <w:left w:w="108" w:type="dxa"/>
            <w:bottom w:w="0" w:type="dxa"/>
            <w:right w:w="108" w:type="dxa"/>
          </w:tblCellMar>
        </w:tblPrEx>
        <w:trPr>
          <w:trHeight w:val="304" w:hRule="atLeast"/>
        </w:trPr>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等线" w:eastAsia="等线" w:cs="宋体"/>
                <w:kern w:val="0"/>
                <w:sz w:val="22"/>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kern w:val="0"/>
                <w:sz w:val="28"/>
                <w:szCs w:val="28"/>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kern w:val="0"/>
                <w:sz w:val="28"/>
                <w:szCs w:val="28"/>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kern w:val="0"/>
                <w:sz w:val="24"/>
                <w:szCs w:val="24"/>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等线" w:eastAsia="等线" w:cs="宋体"/>
                <w:kern w:val="0"/>
                <w:sz w:val="22"/>
              </w:rPr>
            </w:pPr>
          </w:p>
        </w:tc>
        <w:tc>
          <w:tcPr>
            <w:tcW w:w="5124" w:type="dxa"/>
            <w:gridSpan w:val="2"/>
            <w:tcBorders>
              <w:top w:val="nil"/>
              <w:left w:val="nil"/>
              <w:bottom w:val="nil"/>
              <w:right w:val="single" w:color="000000" w:sz="8"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4.天融信 TG-5230防火墙2台；</w:t>
            </w:r>
          </w:p>
        </w:tc>
      </w:tr>
      <w:tr>
        <w:tblPrEx>
          <w:tblCellMar>
            <w:top w:w="0" w:type="dxa"/>
            <w:left w:w="108" w:type="dxa"/>
            <w:bottom w:w="0" w:type="dxa"/>
            <w:right w:w="108" w:type="dxa"/>
          </w:tblCellMar>
        </w:tblPrEx>
        <w:trPr>
          <w:trHeight w:val="304" w:hRule="atLeast"/>
        </w:trPr>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等线" w:eastAsia="等线" w:cs="宋体"/>
                <w:kern w:val="0"/>
                <w:sz w:val="22"/>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kern w:val="0"/>
                <w:sz w:val="28"/>
                <w:szCs w:val="28"/>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kern w:val="0"/>
                <w:sz w:val="28"/>
                <w:szCs w:val="28"/>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kern w:val="0"/>
                <w:sz w:val="24"/>
                <w:szCs w:val="24"/>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等线" w:eastAsia="等线" w:cs="宋体"/>
                <w:kern w:val="0"/>
                <w:sz w:val="22"/>
              </w:rPr>
            </w:pPr>
          </w:p>
        </w:tc>
        <w:tc>
          <w:tcPr>
            <w:tcW w:w="5124" w:type="dxa"/>
            <w:gridSpan w:val="2"/>
            <w:tcBorders>
              <w:top w:val="nil"/>
              <w:left w:val="nil"/>
              <w:bottom w:val="nil"/>
              <w:right w:val="single" w:color="000000" w:sz="8"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5.IBM S824小型机1台；</w:t>
            </w:r>
          </w:p>
        </w:tc>
      </w:tr>
      <w:tr>
        <w:tblPrEx>
          <w:tblCellMar>
            <w:top w:w="0" w:type="dxa"/>
            <w:left w:w="108" w:type="dxa"/>
            <w:bottom w:w="0" w:type="dxa"/>
            <w:right w:w="108" w:type="dxa"/>
          </w:tblCellMar>
        </w:tblPrEx>
        <w:trPr>
          <w:trHeight w:val="304" w:hRule="atLeast"/>
        </w:trPr>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等线" w:eastAsia="等线" w:cs="宋体"/>
                <w:kern w:val="0"/>
                <w:sz w:val="22"/>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kern w:val="0"/>
                <w:sz w:val="28"/>
                <w:szCs w:val="28"/>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kern w:val="0"/>
                <w:sz w:val="28"/>
                <w:szCs w:val="28"/>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kern w:val="0"/>
                <w:sz w:val="24"/>
                <w:szCs w:val="24"/>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等线" w:eastAsia="等线" w:cs="宋体"/>
                <w:kern w:val="0"/>
                <w:sz w:val="22"/>
              </w:rPr>
            </w:pPr>
          </w:p>
        </w:tc>
        <w:tc>
          <w:tcPr>
            <w:tcW w:w="5124" w:type="dxa"/>
            <w:gridSpan w:val="2"/>
            <w:tcBorders>
              <w:top w:val="nil"/>
              <w:left w:val="nil"/>
              <w:bottom w:val="nil"/>
              <w:right w:val="single" w:color="000000" w:sz="8"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6.EMC VNX-5600存储1台；</w:t>
            </w:r>
          </w:p>
        </w:tc>
      </w:tr>
      <w:tr>
        <w:tblPrEx>
          <w:tblCellMar>
            <w:top w:w="0" w:type="dxa"/>
            <w:left w:w="108" w:type="dxa"/>
            <w:bottom w:w="0" w:type="dxa"/>
            <w:right w:w="108" w:type="dxa"/>
          </w:tblCellMar>
        </w:tblPrEx>
        <w:trPr>
          <w:trHeight w:val="304" w:hRule="atLeast"/>
        </w:trPr>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等线" w:eastAsia="等线" w:cs="宋体"/>
                <w:kern w:val="0"/>
                <w:sz w:val="22"/>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kern w:val="0"/>
                <w:sz w:val="28"/>
                <w:szCs w:val="28"/>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kern w:val="0"/>
                <w:sz w:val="28"/>
                <w:szCs w:val="28"/>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kern w:val="0"/>
                <w:sz w:val="24"/>
                <w:szCs w:val="24"/>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等线" w:eastAsia="等线" w:cs="宋体"/>
                <w:kern w:val="0"/>
                <w:sz w:val="22"/>
              </w:rPr>
            </w:pPr>
          </w:p>
        </w:tc>
        <w:tc>
          <w:tcPr>
            <w:tcW w:w="5124" w:type="dxa"/>
            <w:gridSpan w:val="2"/>
            <w:tcBorders>
              <w:top w:val="nil"/>
              <w:left w:val="nil"/>
              <w:bottom w:val="nil"/>
              <w:right w:val="single" w:color="000000" w:sz="8"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7.启明星漏洞扫描系统1套；</w:t>
            </w:r>
          </w:p>
        </w:tc>
      </w:tr>
      <w:tr>
        <w:tblPrEx>
          <w:tblCellMar>
            <w:top w:w="0" w:type="dxa"/>
            <w:left w:w="108" w:type="dxa"/>
            <w:bottom w:w="0" w:type="dxa"/>
            <w:right w:w="108" w:type="dxa"/>
          </w:tblCellMar>
        </w:tblPrEx>
        <w:trPr>
          <w:trHeight w:val="304" w:hRule="atLeast"/>
        </w:trPr>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等线" w:eastAsia="等线" w:cs="宋体"/>
                <w:kern w:val="0"/>
                <w:sz w:val="22"/>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kern w:val="0"/>
                <w:sz w:val="28"/>
                <w:szCs w:val="28"/>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kern w:val="0"/>
                <w:sz w:val="28"/>
                <w:szCs w:val="28"/>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kern w:val="0"/>
                <w:sz w:val="24"/>
                <w:szCs w:val="24"/>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等线" w:eastAsia="等线" w:cs="宋体"/>
                <w:kern w:val="0"/>
                <w:sz w:val="22"/>
              </w:rPr>
            </w:pPr>
          </w:p>
        </w:tc>
        <w:tc>
          <w:tcPr>
            <w:tcW w:w="5124" w:type="dxa"/>
            <w:gridSpan w:val="2"/>
            <w:tcBorders>
              <w:top w:val="nil"/>
              <w:left w:val="nil"/>
              <w:bottom w:val="nil"/>
              <w:right w:val="single" w:color="000000" w:sz="8"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8.兴议机房6个机柜内所有设备的日常巡检。</w:t>
            </w:r>
          </w:p>
        </w:tc>
      </w:tr>
      <w:tr>
        <w:tblPrEx>
          <w:tblCellMar>
            <w:top w:w="0" w:type="dxa"/>
            <w:left w:w="108" w:type="dxa"/>
            <w:bottom w:w="0" w:type="dxa"/>
            <w:right w:w="108" w:type="dxa"/>
          </w:tblCellMar>
        </w:tblPrEx>
        <w:trPr>
          <w:trHeight w:val="609" w:hRule="atLeast"/>
        </w:trPr>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等线" w:eastAsia="等线" w:cs="宋体"/>
                <w:kern w:val="0"/>
                <w:sz w:val="22"/>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kern w:val="0"/>
                <w:sz w:val="28"/>
                <w:szCs w:val="28"/>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kern w:val="0"/>
                <w:sz w:val="28"/>
                <w:szCs w:val="28"/>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kern w:val="0"/>
                <w:sz w:val="24"/>
                <w:szCs w:val="24"/>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等线" w:eastAsia="等线" w:cs="宋体"/>
                <w:kern w:val="0"/>
                <w:sz w:val="22"/>
              </w:rPr>
            </w:pPr>
          </w:p>
        </w:tc>
        <w:tc>
          <w:tcPr>
            <w:tcW w:w="5124" w:type="dxa"/>
            <w:gridSpan w:val="2"/>
            <w:tcBorders>
              <w:top w:val="nil"/>
              <w:left w:val="nil"/>
              <w:bottom w:val="single" w:color="000000" w:sz="8" w:space="0"/>
              <w:right w:val="single" w:color="000000" w:sz="8" w:space="0"/>
            </w:tcBorders>
            <w:vAlign w:val="center"/>
          </w:tcPr>
          <w:p>
            <w:pPr>
              <w:rPr>
                <w:rFonts w:ascii="仿宋" w:hAnsi="仿宋" w:eastAsia="仿宋" w:cs="宋体"/>
                <w:kern w:val="0"/>
                <w:sz w:val="24"/>
                <w:szCs w:val="24"/>
              </w:rPr>
            </w:pPr>
          </w:p>
        </w:tc>
      </w:tr>
    </w:tbl>
    <w:p>
      <w:pPr>
        <w:spacing w:line="360" w:lineRule="auto"/>
        <w:ind w:firstLine="281" w:firstLineChars="100"/>
        <w:rPr>
          <w:rFonts w:ascii="仿宋" w:hAnsi="仿宋" w:eastAsia="仿宋"/>
          <w:b/>
          <w:sz w:val="28"/>
          <w:szCs w:val="28"/>
        </w:rPr>
      </w:pPr>
      <w:r>
        <w:rPr>
          <w:rFonts w:hint="eastAsia" w:ascii="仿宋" w:hAnsi="仿宋" w:eastAsia="仿宋"/>
          <w:b/>
          <w:sz w:val="28"/>
          <w:szCs w:val="28"/>
        </w:rPr>
        <w:t>1、</w:t>
      </w:r>
      <w:r>
        <w:rPr>
          <w:rFonts w:eastAsia="仿宋" w:cs="Calibri"/>
          <w:b/>
          <w:sz w:val="28"/>
          <w:szCs w:val="28"/>
        </w:rPr>
        <w:t> </w:t>
      </w:r>
      <w:r>
        <w:rPr>
          <w:rFonts w:hint="eastAsia" w:ascii="仿宋" w:hAnsi="仿宋" w:eastAsia="仿宋"/>
          <w:b/>
          <w:sz w:val="28"/>
          <w:szCs w:val="28"/>
        </w:rPr>
        <w:t xml:space="preserve"> 线路服务</w:t>
      </w:r>
    </w:p>
    <w:p>
      <w:pPr>
        <w:spacing w:line="360" w:lineRule="auto"/>
        <w:ind w:firstLine="281" w:firstLineChars="100"/>
        <w:rPr>
          <w:rFonts w:ascii="仿宋" w:hAnsi="仿宋" w:eastAsia="仿宋"/>
          <w:b/>
          <w:bCs/>
          <w:sz w:val="28"/>
          <w:szCs w:val="28"/>
        </w:rPr>
      </w:pPr>
      <w:r>
        <w:rPr>
          <w:rFonts w:hint="eastAsia" w:ascii="仿宋" w:hAnsi="仿宋" w:eastAsia="仿宋"/>
          <w:b/>
          <w:bCs/>
          <w:sz w:val="28"/>
          <w:szCs w:val="28"/>
        </w:rPr>
        <w:t>1）、传输线路技术指标</w:t>
      </w:r>
    </w:p>
    <w:p>
      <w:pPr>
        <w:spacing w:line="360" w:lineRule="auto"/>
        <w:ind w:firstLine="420" w:firstLineChars="150"/>
        <w:rPr>
          <w:rFonts w:ascii="仿宋" w:hAnsi="仿宋" w:eastAsia="仿宋"/>
          <w:sz w:val="28"/>
          <w:szCs w:val="28"/>
        </w:rPr>
      </w:pPr>
      <w:r>
        <w:rPr>
          <w:rFonts w:hint="eastAsia" w:ascii="仿宋" w:hAnsi="仿宋" w:eastAsia="仿宋"/>
          <w:sz w:val="28"/>
          <w:szCs w:val="28"/>
        </w:rPr>
        <w:t>（1）线路纳入性能优良的承载网系统中，确保电路的服务质量，保证可用率优于99.9%；</w:t>
      </w:r>
    </w:p>
    <w:p>
      <w:pPr>
        <w:spacing w:line="360" w:lineRule="auto"/>
        <w:ind w:firstLine="420" w:firstLineChars="150"/>
        <w:rPr>
          <w:rFonts w:ascii="仿宋" w:hAnsi="仿宋" w:eastAsia="仿宋"/>
          <w:sz w:val="28"/>
          <w:szCs w:val="28"/>
        </w:rPr>
      </w:pPr>
      <w:r>
        <w:rPr>
          <w:rFonts w:hint="eastAsia" w:ascii="仿宋" w:hAnsi="仿宋" w:eastAsia="仿宋"/>
          <w:sz w:val="28"/>
          <w:szCs w:val="28"/>
        </w:rPr>
        <w:t>（2）同一电路障碍重复率≤3次/年；</w:t>
      </w:r>
    </w:p>
    <w:p>
      <w:pPr>
        <w:spacing w:line="360" w:lineRule="auto"/>
        <w:ind w:firstLine="420" w:firstLineChars="150"/>
        <w:rPr>
          <w:rFonts w:ascii="仿宋" w:hAnsi="仿宋" w:eastAsia="仿宋"/>
          <w:sz w:val="28"/>
          <w:szCs w:val="28"/>
        </w:rPr>
      </w:pPr>
      <w:r>
        <w:rPr>
          <w:rFonts w:hint="eastAsia" w:ascii="仿宋" w:hAnsi="仿宋" w:eastAsia="仿宋"/>
          <w:sz w:val="28"/>
          <w:szCs w:val="28"/>
        </w:rPr>
        <w:t>（3）线路产生故障后，4小时内恢复电路正常使用。</w:t>
      </w:r>
    </w:p>
    <w:p>
      <w:pPr>
        <w:spacing w:line="360" w:lineRule="auto"/>
        <w:ind w:firstLine="281" w:firstLineChars="100"/>
        <w:rPr>
          <w:rFonts w:ascii="仿宋" w:hAnsi="仿宋" w:eastAsia="仿宋"/>
          <w:b/>
          <w:bCs/>
          <w:sz w:val="28"/>
          <w:szCs w:val="28"/>
        </w:rPr>
      </w:pPr>
      <w:r>
        <w:rPr>
          <w:rFonts w:hint="eastAsia" w:ascii="仿宋" w:hAnsi="仿宋" w:eastAsia="仿宋"/>
          <w:b/>
          <w:bCs/>
          <w:sz w:val="28"/>
          <w:szCs w:val="28"/>
        </w:rPr>
        <w:t>2）、线路运维服务要求</w:t>
      </w:r>
    </w:p>
    <w:p>
      <w:pPr>
        <w:spacing w:line="360" w:lineRule="auto"/>
        <w:ind w:firstLine="420" w:firstLineChars="150"/>
        <w:rPr>
          <w:rFonts w:ascii="仿宋" w:hAnsi="仿宋" w:eastAsia="仿宋"/>
          <w:sz w:val="28"/>
          <w:szCs w:val="28"/>
        </w:rPr>
      </w:pPr>
      <w:r>
        <w:rPr>
          <w:rFonts w:hint="eastAsia" w:ascii="仿宋" w:hAnsi="仿宋" w:eastAsia="仿宋"/>
          <w:sz w:val="28"/>
          <w:szCs w:val="28"/>
        </w:rPr>
        <w:t>（1）提供7*24小时故障申告受理服务；</w:t>
      </w:r>
    </w:p>
    <w:p>
      <w:pPr>
        <w:spacing w:line="360" w:lineRule="auto"/>
        <w:ind w:firstLine="420" w:firstLineChars="150"/>
        <w:rPr>
          <w:rFonts w:ascii="仿宋" w:hAnsi="仿宋" w:eastAsia="仿宋"/>
          <w:sz w:val="28"/>
          <w:szCs w:val="28"/>
        </w:rPr>
      </w:pPr>
      <w:r>
        <w:rPr>
          <w:rFonts w:hint="eastAsia" w:ascii="仿宋" w:hAnsi="仿宋" w:eastAsia="仿宋"/>
          <w:sz w:val="28"/>
          <w:szCs w:val="28"/>
        </w:rPr>
        <w:t>（2）接到线路故障申告后应在30分钟内对申告进行响应，说明预期故障处理时间，一般故障1小时内排除；</w:t>
      </w:r>
    </w:p>
    <w:p>
      <w:pPr>
        <w:spacing w:line="360" w:lineRule="auto"/>
        <w:ind w:firstLine="420" w:firstLineChars="150"/>
        <w:rPr>
          <w:rFonts w:ascii="仿宋" w:hAnsi="仿宋" w:eastAsia="仿宋"/>
          <w:sz w:val="28"/>
          <w:szCs w:val="28"/>
        </w:rPr>
      </w:pPr>
      <w:r>
        <w:rPr>
          <w:rFonts w:hint="eastAsia" w:ascii="仿宋" w:hAnsi="仿宋" w:eastAsia="仿宋"/>
          <w:sz w:val="28"/>
          <w:szCs w:val="28"/>
        </w:rPr>
        <w:t>（3）对业务阻断超过2小时的线路故障，故障处理结束后，两个工作日内提交故障处理报告；</w:t>
      </w:r>
    </w:p>
    <w:p>
      <w:pPr>
        <w:spacing w:line="360" w:lineRule="auto"/>
        <w:ind w:firstLine="420" w:firstLineChars="150"/>
        <w:rPr>
          <w:rFonts w:ascii="仿宋" w:hAnsi="仿宋" w:eastAsia="仿宋"/>
          <w:sz w:val="28"/>
          <w:szCs w:val="28"/>
        </w:rPr>
      </w:pPr>
      <w:r>
        <w:rPr>
          <w:rFonts w:hint="eastAsia" w:ascii="仿宋" w:hAnsi="仿宋" w:eastAsia="仿宋"/>
          <w:sz w:val="28"/>
          <w:szCs w:val="28"/>
        </w:rPr>
        <w:t>（4）对每一次线路故障及故障处理情况都进行完整、准确的记录，根据需要随时进行故障记录查询。</w:t>
      </w:r>
    </w:p>
    <w:p>
      <w:pPr>
        <w:spacing w:line="360" w:lineRule="auto"/>
        <w:ind w:firstLine="281" w:firstLineChars="100"/>
        <w:rPr>
          <w:rFonts w:ascii="仿宋" w:hAnsi="仿宋" w:eastAsia="仿宋"/>
          <w:b/>
          <w:bCs/>
          <w:sz w:val="28"/>
          <w:szCs w:val="28"/>
        </w:rPr>
      </w:pPr>
      <w:r>
        <w:rPr>
          <w:rFonts w:hint="eastAsia" w:ascii="仿宋" w:hAnsi="仿宋" w:eastAsia="仿宋"/>
          <w:b/>
          <w:bCs/>
          <w:sz w:val="28"/>
          <w:szCs w:val="28"/>
        </w:rPr>
        <w:t>3）、日常的维护保障</w:t>
      </w:r>
    </w:p>
    <w:p>
      <w:pPr>
        <w:spacing w:line="360" w:lineRule="auto"/>
        <w:ind w:firstLine="420" w:firstLineChars="150"/>
        <w:rPr>
          <w:rFonts w:ascii="仿宋" w:hAnsi="仿宋" w:eastAsia="仿宋"/>
          <w:sz w:val="28"/>
          <w:szCs w:val="28"/>
        </w:rPr>
      </w:pPr>
      <w:r>
        <w:rPr>
          <w:rFonts w:hint="eastAsia" w:ascii="仿宋" w:hAnsi="仿宋" w:eastAsia="仿宋"/>
          <w:sz w:val="28"/>
          <w:szCs w:val="28"/>
        </w:rPr>
        <w:t>（1）提供网络检测服务，定期提供网络运行报告（包括电路的可用情况）；</w:t>
      </w:r>
    </w:p>
    <w:p>
      <w:pPr>
        <w:spacing w:line="360" w:lineRule="auto"/>
        <w:ind w:firstLine="420" w:firstLineChars="150"/>
        <w:rPr>
          <w:rFonts w:ascii="仿宋" w:hAnsi="仿宋" w:eastAsia="仿宋"/>
          <w:sz w:val="28"/>
          <w:szCs w:val="28"/>
        </w:rPr>
      </w:pPr>
      <w:r>
        <w:rPr>
          <w:rFonts w:hint="eastAsia" w:ascii="仿宋" w:hAnsi="仿宋" w:eastAsia="仿宋"/>
          <w:sz w:val="28"/>
          <w:szCs w:val="28"/>
        </w:rPr>
        <w:t>（2）当月故障清单、故障发生时间和结束时间、故障的详细原因、线路的流量情况等），并分析网络运行情况；</w:t>
      </w:r>
    </w:p>
    <w:p>
      <w:pPr>
        <w:spacing w:line="360" w:lineRule="auto"/>
        <w:ind w:firstLine="420" w:firstLineChars="150"/>
        <w:rPr>
          <w:rFonts w:ascii="仿宋" w:hAnsi="仿宋" w:eastAsia="仿宋"/>
          <w:sz w:val="28"/>
          <w:szCs w:val="28"/>
        </w:rPr>
      </w:pPr>
      <w:r>
        <w:rPr>
          <w:rFonts w:hint="eastAsia" w:ascii="仿宋" w:hAnsi="仿宋" w:eastAsia="仿宋"/>
          <w:sz w:val="28"/>
          <w:szCs w:val="28"/>
        </w:rPr>
        <w:t>（3）定期对网路运行情况和故障情况进行汇总，评估网路健康状况，分析网路中存在的安全隐患和薄弱环节，以便对线路故障进行预先防范；</w:t>
      </w:r>
    </w:p>
    <w:p>
      <w:pPr>
        <w:spacing w:line="360" w:lineRule="auto"/>
        <w:ind w:firstLine="420" w:firstLineChars="150"/>
        <w:rPr>
          <w:rFonts w:ascii="仿宋" w:hAnsi="仿宋" w:eastAsia="仿宋"/>
          <w:sz w:val="28"/>
          <w:szCs w:val="28"/>
        </w:rPr>
      </w:pPr>
      <w:r>
        <w:rPr>
          <w:rFonts w:hint="eastAsia" w:ascii="仿宋" w:hAnsi="仿宋" w:eastAsia="仿宋"/>
          <w:sz w:val="28"/>
          <w:szCs w:val="28"/>
        </w:rPr>
        <w:t>（4）专门设立维护支撑人员，对线路进行维护和管理；</w:t>
      </w:r>
    </w:p>
    <w:p>
      <w:pPr>
        <w:spacing w:line="360" w:lineRule="auto"/>
        <w:ind w:firstLine="420" w:firstLineChars="150"/>
        <w:rPr>
          <w:rFonts w:ascii="仿宋" w:hAnsi="仿宋" w:eastAsia="仿宋"/>
          <w:sz w:val="28"/>
          <w:szCs w:val="28"/>
        </w:rPr>
      </w:pPr>
      <w:r>
        <w:rPr>
          <w:rFonts w:hint="eastAsia" w:ascii="仿宋" w:hAnsi="仿宋" w:eastAsia="仿宋"/>
          <w:sz w:val="28"/>
          <w:szCs w:val="28"/>
        </w:rPr>
        <w:t>（5）放置在中标方的设备、线路进行定期的巡检维护，并提供巡检报告；</w:t>
      </w:r>
    </w:p>
    <w:p>
      <w:pPr>
        <w:spacing w:line="360" w:lineRule="auto"/>
        <w:ind w:firstLine="420" w:firstLineChars="150"/>
        <w:rPr>
          <w:rFonts w:ascii="仿宋" w:hAnsi="仿宋" w:eastAsia="仿宋"/>
          <w:sz w:val="28"/>
          <w:szCs w:val="28"/>
        </w:rPr>
      </w:pPr>
      <w:r>
        <w:rPr>
          <w:rFonts w:hint="eastAsia" w:ascii="仿宋" w:hAnsi="仿宋" w:eastAsia="仿宋"/>
          <w:sz w:val="28"/>
          <w:szCs w:val="28"/>
        </w:rPr>
        <w:t>（6）建立联系制度，沟通网络运行情况和服务情况。</w:t>
      </w:r>
    </w:p>
    <w:p>
      <w:pPr>
        <w:spacing w:line="360" w:lineRule="auto"/>
        <w:rPr>
          <w:rFonts w:ascii="仿宋" w:hAnsi="仿宋" w:eastAsia="仿宋"/>
          <w:b/>
          <w:sz w:val="28"/>
          <w:szCs w:val="28"/>
        </w:rPr>
      </w:pPr>
      <w:r>
        <w:rPr>
          <w:rFonts w:hint="eastAsia" w:ascii="仿宋" w:hAnsi="仿宋" w:eastAsia="仿宋"/>
          <w:b/>
          <w:sz w:val="28"/>
          <w:szCs w:val="28"/>
        </w:rPr>
        <w:t>2、IDC服务</w:t>
      </w:r>
    </w:p>
    <w:p>
      <w:pPr>
        <w:spacing w:line="360" w:lineRule="auto"/>
        <w:ind w:firstLine="281" w:firstLineChars="100"/>
        <w:rPr>
          <w:rFonts w:ascii="仿宋" w:hAnsi="仿宋" w:eastAsia="仿宋"/>
          <w:b/>
          <w:bCs/>
          <w:sz w:val="28"/>
          <w:szCs w:val="28"/>
        </w:rPr>
      </w:pPr>
      <w:r>
        <w:rPr>
          <w:rFonts w:hint="eastAsia" w:ascii="仿宋" w:hAnsi="仿宋" w:eastAsia="仿宋"/>
          <w:b/>
          <w:bCs/>
          <w:sz w:val="28"/>
          <w:szCs w:val="28"/>
        </w:rPr>
        <w:t>1）、IDC环境要求</w:t>
      </w:r>
    </w:p>
    <w:p>
      <w:pPr>
        <w:spacing w:line="360" w:lineRule="auto"/>
        <w:ind w:firstLine="420" w:firstLineChars="150"/>
        <w:rPr>
          <w:rFonts w:ascii="仿宋" w:hAnsi="仿宋" w:eastAsia="仿宋"/>
          <w:sz w:val="28"/>
          <w:szCs w:val="28"/>
        </w:rPr>
      </w:pPr>
      <w:r>
        <w:rPr>
          <w:rFonts w:hint="eastAsia" w:ascii="仿宋" w:hAnsi="仿宋" w:eastAsia="仿宋"/>
          <w:sz w:val="28"/>
          <w:szCs w:val="28"/>
        </w:rPr>
        <w:t>（1）IDC中心电力保障：提供两路一类市电，配备油机，采用UPS双系统供电模式；</w:t>
      </w:r>
    </w:p>
    <w:p>
      <w:pPr>
        <w:spacing w:line="360" w:lineRule="auto"/>
        <w:ind w:firstLine="420" w:firstLineChars="150"/>
        <w:rPr>
          <w:rFonts w:ascii="仿宋" w:hAnsi="仿宋" w:eastAsia="仿宋"/>
          <w:sz w:val="28"/>
          <w:szCs w:val="28"/>
        </w:rPr>
      </w:pPr>
      <w:r>
        <w:rPr>
          <w:rFonts w:hint="eastAsia" w:ascii="仿宋" w:hAnsi="仿宋" w:eastAsia="仿宋"/>
          <w:sz w:val="28"/>
          <w:szCs w:val="28"/>
        </w:rPr>
        <w:t>（2）需要配备防火设备：包括喷洒器防火装置，烟雾检测和火警；</w:t>
      </w:r>
    </w:p>
    <w:p>
      <w:pPr>
        <w:spacing w:line="360" w:lineRule="auto"/>
        <w:ind w:firstLine="420" w:firstLineChars="150"/>
        <w:rPr>
          <w:rFonts w:ascii="仿宋" w:hAnsi="仿宋" w:eastAsia="仿宋"/>
          <w:sz w:val="28"/>
          <w:szCs w:val="28"/>
        </w:rPr>
      </w:pPr>
      <w:r>
        <w:rPr>
          <w:rFonts w:hint="eastAsia" w:ascii="仿宋" w:hAnsi="仿宋" w:eastAsia="仿宋"/>
          <w:sz w:val="28"/>
          <w:szCs w:val="28"/>
        </w:rPr>
        <w:t>（3）具备7*24小时监控，可监控机房消防、空调、电源、UPS等。</w:t>
      </w:r>
    </w:p>
    <w:p>
      <w:pPr>
        <w:spacing w:line="360" w:lineRule="auto"/>
        <w:ind w:firstLine="281" w:firstLineChars="100"/>
        <w:rPr>
          <w:rFonts w:ascii="仿宋" w:hAnsi="仿宋" w:eastAsia="仿宋"/>
          <w:b/>
          <w:bCs/>
          <w:sz w:val="28"/>
          <w:szCs w:val="28"/>
        </w:rPr>
      </w:pPr>
      <w:r>
        <w:rPr>
          <w:rFonts w:hint="eastAsia" w:ascii="仿宋" w:hAnsi="仿宋" w:eastAsia="仿宋"/>
          <w:b/>
          <w:bCs/>
          <w:sz w:val="28"/>
          <w:szCs w:val="28"/>
        </w:rPr>
        <w:t>2）、IDC运维服务要求</w:t>
      </w:r>
    </w:p>
    <w:p>
      <w:pPr>
        <w:spacing w:line="360" w:lineRule="auto"/>
        <w:ind w:firstLine="420" w:firstLineChars="150"/>
        <w:rPr>
          <w:rFonts w:ascii="仿宋" w:hAnsi="仿宋" w:eastAsia="仿宋"/>
          <w:sz w:val="28"/>
          <w:szCs w:val="28"/>
        </w:rPr>
      </w:pPr>
      <w:r>
        <w:rPr>
          <w:rFonts w:hint="eastAsia" w:ascii="仿宋" w:hAnsi="仿宋" w:eastAsia="仿宋"/>
          <w:sz w:val="28"/>
          <w:szCs w:val="28"/>
        </w:rPr>
        <w:t>（1）提供7*24小时不间断电话支持服务，客户可以通过电话直接联络相关技术工程师，为相关问题的解决方案提供技术指导；</w:t>
      </w:r>
    </w:p>
    <w:p>
      <w:pPr>
        <w:spacing w:line="360" w:lineRule="auto"/>
        <w:ind w:firstLine="420" w:firstLineChars="15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）一旦发生紧急问题，相关的维护工程师迅速赶赴现场，解决故障；</w:t>
      </w:r>
    </w:p>
    <w:p>
      <w:pPr>
        <w:spacing w:line="360" w:lineRule="auto"/>
        <w:ind w:firstLine="420" w:firstLineChars="15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）提供定期的主机检查服务；</w:t>
      </w:r>
    </w:p>
    <w:p>
      <w:pPr>
        <w:spacing w:line="360" w:lineRule="auto"/>
        <w:ind w:firstLine="420" w:firstLineChars="15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4</w:t>
      </w:r>
      <w:r>
        <w:rPr>
          <w:rFonts w:hint="eastAsia" w:ascii="仿宋" w:hAnsi="仿宋" w:eastAsia="仿宋"/>
          <w:sz w:val="28"/>
          <w:szCs w:val="28"/>
        </w:rPr>
        <w:t>）重大事件或者活动时，提供相应的技术支持，制定相应的实施方案，并安排相应的维护人员进行技术支持，保证系统在重大事件期间运行无误；</w:t>
      </w:r>
    </w:p>
    <w:p>
      <w:pPr>
        <w:spacing w:line="360" w:lineRule="auto"/>
        <w:ind w:firstLine="420" w:firstLineChars="15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5</w:t>
      </w:r>
      <w:r>
        <w:rPr>
          <w:rFonts w:hint="eastAsia" w:ascii="仿宋" w:hAnsi="仿宋" w:eastAsia="仿宋"/>
          <w:sz w:val="28"/>
          <w:szCs w:val="28"/>
        </w:rPr>
        <w:t>）当故障涉及多方厂家或系统而客户无法进行准确故障定位时，提供技术支持，辅助客户进行准确的故障定位。</w:t>
      </w:r>
    </w:p>
    <w:p>
      <w:pPr>
        <w:spacing w:line="360" w:lineRule="auto"/>
        <w:rPr>
          <w:rFonts w:ascii="仿宋" w:hAnsi="仿宋" w:eastAsia="仿宋"/>
          <w:b/>
          <w:sz w:val="28"/>
          <w:szCs w:val="28"/>
        </w:rPr>
      </w:pPr>
      <w:r>
        <w:rPr>
          <w:rFonts w:hint="eastAsia" w:ascii="仿宋" w:hAnsi="仿宋" w:eastAsia="仿宋"/>
          <w:b/>
          <w:sz w:val="28"/>
          <w:szCs w:val="28"/>
        </w:rPr>
        <w:t>3、VPDN技术服务</w:t>
      </w:r>
    </w:p>
    <w:p>
      <w:pPr>
        <w:spacing w:line="360" w:lineRule="auto"/>
        <w:ind w:firstLine="281" w:firstLineChars="100"/>
        <w:rPr>
          <w:rFonts w:ascii="仿宋" w:hAnsi="仿宋" w:eastAsia="仿宋"/>
          <w:b/>
          <w:sz w:val="28"/>
          <w:szCs w:val="28"/>
        </w:rPr>
      </w:pPr>
      <w:r>
        <w:rPr>
          <w:rFonts w:hint="eastAsia" w:ascii="仿宋" w:hAnsi="仿宋" w:eastAsia="仿宋"/>
          <w:b/>
          <w:sz w:val="28"/>
          <w:szCs w:val="28"/>
        </w:rPr>
        <w:t>1）接入技术标准</w:t>
      </w:r>
    </w:p>
    <w:p>
      <w:pPr>
        <w:spacing w:line="360" w:lineRule="auto"/>
        <w:ind w:firstLine="280" w:firstLineChars="100"/>
        <w:rPr>
          <w:rFonts w:ascii="仿宋" w:hAnsi="仿宋" w:eastAsia="仿宋"/>
          <w:bCs/>
          <w:sz w:val="28"/>
          <w:szCs w:val="28"/>
        </w:rPr>
      </w:pPr>
      <w:r>
        <w:rPr>
          <w:rFonts w:hint="eastAsia" w:ascii="仿宋" w:hAnsi="仿宋" w:eastAsia="仿宋"/>
          <w:bCs/>
          <w:sz w:val="28"/>
          <w:szCs w:val="28"/>
        </w:rPr>
        <w:t>（1）VPDN技术标准</w:t>
      </w:r>
    </w:p>
    <w:p>
      <w:pPr>
        <w:numPr>
          <w:ilvl w:val="0"/>
          <w:numId w:val="8"/>
        </w:numPr>
        <w:spacing w:line="360" w:lineRule="auto"/>
        <w:rPr>
          <w:rFonts w:ascii="仿宋" w:hAnsi="仿宋" w:eastAsia="仿宋"/>
          <w:bCs/>
          <w:sz w:val="28"/>
          <w:szCs w:val="28"/>
        </w:rPr>
      </w:pPr>
      <w:r>
        <w:rPr>
          <w:rFonts w:hint="eastAsia" w:ascii="仿宋" w:hAnsi="仿宋" w:eastAsia="仿宋"/>
          <w:bCs/>
          <w:sz w:val="28"/>
          <w:szCs w:val="28"/>
        </w:rPr>
        <w:t>在平台网络侧BRAS，LNS设备，AAA认证平台提供双冗余保护；</w:t>
      </w:r>
    </w:p>
    <w:p>
      <w:pPr>
        <w:numPr>
          <w:ilvl w:val="0"/>
          <w:numId w:val="8"/>
        </w:numPr>
        <w:spacing w:line="360" w:lineRule="auto"/>
        <w:rPr>
          <w:rFonts w:ascii="仿宋" w:hAnsi="仿宋" w:eastAsia="仿宋"/>
          <w:bCs/>
          <w:sz w:val="28"/>
          <w:szCs w:val="28"/>
        </w:rPr>
      </w:pPr>
      <w:r>
        <w:rPr>
          <w:rFonts w:hint="eastAsia" w:ascii="仿宋" w:hAnsi="仿宋" w:eastAsia="仿宋"/>
          <w:bCs/>
          <w:sz w:val="28"/>
          <w:szCs w:val="28"/>
        </w:rPr>
        <w:t>支持L2TP隧道协议；</w:t>
      </w:r>
    </w:p>
    <w:p>
      <w:pPr>
        <w:numPr>
          <w:ilvl w:val="0"/>
          <w:numId w:val="8"/>
        </w:numPr>
        <w:spacing w:line="360" w:lineRule="auto"/>
        <w:rPr>
          <w:rFonts w:ascii="仿宋" w:hAnsi="仿宋" w:eastAsia="仿宋"/>
          <w:bCs/>
          <w:sz w:val="28"/>
          <w:szCs w:val="28"/>
        </w:rPr>
      </w:pPr>
      <w:r>
        <w:rPr>
          <w:rFonts w:hint="eastAsia" w:ascii="仿宋" w:hAnsi="仿宋" w:eastAsia="仿宋"/>
          <w:bCs/>
          <w:sz w:val="28"/>
          <w:szCs w:val="28"/>
        </w:rPr>
        <w:t>支持PPP拨号协议。</w:t>
      </w:r>
    </w:p>
    <w:p>
      <w:pPr>
        <w:spacing w:line="360" w:lineRule="auto"/>
        <w:ind w:firstLine="281" w:firstLineChars="100"/>
        <w:rPr>
          <w:rFonts w:ascii="仿宋" w:hAnsi="仿宋" w:eastAsia="仿宋"/>
          <w:b/>
          <w:sz w:val="28"/>
          <w:szCs w:val="28"/>
        </w:rPr>
      </w:pPr>
      <w:r>
        <w:rPr>
          <w:rFonts w:hint="eastAsia" w:ascii="仿宋" w:hAnsi="仿宋" w:eastAsia="仿宋"/>
          <w:b/>
          <w:sz w:val="28"/>
          <w:szCs w:val="28"/>
        </w:rPr>
        <w:t>2）、线路运维服务要求</w:t>
      </w:r>
    </w:p>
    <w:p>
      <w:pPr>
        <w:numPr>
          <w:ilvl w:val="0"/>
          <w:numId w:val="8"/>
        </w:numPr>
        <w:spacing w:line="360" w:lineRule="auto"/>
        <w:rPr>
          <w:rFonts w:ascii="仿宋" w:hAnsi="仿宋" w:eastAsia="仿宋"/>
          <w:bCs/>
          <w:sz w:val="28"/>
          <w:szCs w:val="28"/>
        </w:rPr>
      </w:pPr>
      <w:r>
        <w:rPr>
          <w:rFonts w:hint="eastAsia" w:ascii="仿宋" w:hAnsi="仿宋" w:eastAsia="仿宋"/>
          <w:bCs/>
          <w:sz w:val="28"/>
          <w:szCs w:val="28"/>
        </w:rPr>
        <w:t>提供7×24小时故障申告受理服务；</w:t>
      </w:r>
    </w:p>
    <w:p>
      <w:pPr>
        <w:numPr>
          <w:ilvl w:val="0"/>
          <w:numId w:val="8"/>
        </w:numPr>
        <w:spacing w:line="360" w:lineRule="auto"/>
        <w:rPr>
          <w:rFonts w:ascii="仿宋" w:hAnsi="仿宋" w:eastAsia="仿宋"/>
          <w:bCs/>
          <w:sz w:val="28"/>
          <w:szCs w:val="28"/>
        </w:rPr>
      </w:pPr>
      <w:r>
        <w:rPr>
          <w:rFonts w:hint="eastAsia" w:ascii="仿宋" w:hAnsi="仿宋" w:eastAsia="仿宋"/>
          <w:bCs/>
          <w:sz w:val="28"/>
          <w:szCs w:val="28"/>
        </w:rPr>
        <w:t>提供7×24小时不间断技术支持，并提供“一站式”服务；</w:t>
      </w:r>
    </w:p>
    <w:p>
      <w:pPr>
        <w:numPr>
          <w:ilvl w:val="0"/>
          <w:numId w:val="8"/>
        </w:numPr>
        <w:spacing w:line="360" w:lineRule="auto"/>
        <w:rPr>
          <w:rFonts w:ascii="仿宋" w:hAnsi="仿宋" w:eastAsia="仿宋"/>
          <w:bCs/>
          <w:sz w:val="28"/>
          <w:szCs w:val="28"/>
        </w:rPr>
      </w:pPr>
      <w:r>
        <w:rPr>
          <w:rFonts w:hint="eastAsia" w:ascii="仿宋" w:hAnsi="仿宋" w:eastAsia="仿宋"/>
          <w:bCs/>
          <w:sz w:val="28"/>
          <w:szCs w:val="28"/>
        </w:rPr>
        <w:t>建立联系制度，沟通网络运行情况和服务情况；</w:t>
      </w:r>
    </w:p>
    <w:p>
      <w:pPr>
        <w:numPr>
          <w:ilvl w:val="0"/>
          <w:numId w:val="8"/>
        </w:numPr>
        <w:spacing w:line="360" w:lineRule="auto"/>
        <w:rPr>
          <w:rFonts w:ascii="仿宋" w:hAnsi="仿宋" w:eastAsia="仿宋"/>
          <w:bCs/>
          <w:sz w:val="28"/>
          <w:szCs w:val="28"/>
        </w:rPr>
      </w:pPr>
      <w:r>
        <w:rPr>
          <w:rFonts w:hint="eastAsia" w:ascii="仿宋" w:hAnsi="仿宋" w:eastAsia="仿宋"/>
          <w:bCs/>
          <w:sz w:val="28"/>
          <w:szCs w:val="28"/>
        </w:rPr>
        <w:t>将线路参数在系统内进行绑定，实现一线专用，避免投注站点随意移机；</w:t>
      </w:r>
    </w:p>
    <w:p>
      <w:pPr>
        <w:numPr>
          <w:ilvl w:val="0"/>
          <w:numId w:val="8"/>
        </w:numPr>
        <w:spacing w:line="360" w:lineRule="auto"/>
        <w:rPr>
          <w:rFonts w:ascii="仿宋" w:hAnsi="仿宋" w:eastAsia="仿宋"/>
          <w:bCs/>
          <w:sz w:val="28"/>
          <w:szCs w:val="28"/>
        </w:rPr>
      </w:pPr>
      <w:r>
        <w:rPr>
          <w:rFonts w:hint="eastAsia" w:ascii="仿宋" w:hAnsi="仿宋" w:eastAsia="仿宋"/>
          <w:bCs/>
          <w:sz w:val="28"/>
          <w:szCs w:val="28"/>
        </w:rPr>
        <w:t>数据中心线路发生故障，要求1小时内恢复，投注站点线路发生故障，要求24小时内恢复。</w:t>
      </w:r>
    </w:p>
    <w:p>
      <w:pPr>
        <w:spacing w:line="360" w:lineRule="auto"/>
        <w:ind w:firstLine="281" w:firstLineChars="100"/>
        <w:rPr>
          <w:rFonts w:ascii="仿宋" w:hAnsi="仿宋" w:eastAsia="仿宋"/>
          <w:bCs/>
          <w:sz w:val="28"/>
          <w:szCs w:val="28"/>
        </w:rPr>
      </w:pPr>
      <w:r>
        <w:rPr>
          <w:rFonts w:hint="eastAsia" w:ascii="仿宋" w:hAnsi="仿宋" w:eastAsia="仿宋"/>
          <w:b/>
          <w:sz w:val="28"/>
          <w:szCs w:val="28"/>
        </w:rPr>
        <w:t>3）、设备运维、安全服务要求</w:t>
      </w:r>
    </w:p>
    <w:p>
      <w:pPr>
        <w:numPr>
          <w:ilvl w:val="0"/>
          <w:numId w:val="8"/>
        </w:numPr>
        <w:spacing w:line="360" w:lineRule="auto"/>
        <w:rPr>
          <w:rFonts w:ascii="仿宋" w:hAnsi="仿宋" w:eastAsia="仿宋"/>
          <w:bCs/>
          <w:sz w:val="28"/>
          <w:szCs w:val="28"/>
        </w:rPr>
      </w:pPr>
      <w:r>
        <w:rPr>
          <w:rFonts w:hint="eastAsia" w:ascii="仿宋" w:hAnsi="仿宋" w:eastAsia="仿宋"/>
          <w:bCs/>
          <w:sz w:val="28"/>
          <w:szCs w:val="28"/>
        </w:rPr>
        <w:t>提供7×24小时故障申告受理服务；</w:t>
      </w:r>
    </w:p>
    <w:p>
      <w:pPr>
        <w:numPr>
          <w:ilvl w:val="0"/>
          <w:numId w:val="8"/>
        </w:numPr>
        <w:spacing w:line="360" w:lineRule="auto"/>
        <w:rPr>
          <w:rFonts w:ascii="仿宋" w:hAnsi="仿宋" w:eastAsia="仿宋"/>
          <w:bCs/>
          <w:sz w:val="28"/>
          <w:szCs w:val="28"/>
        </w:rPr>
      </w:pPr>
      <w:r>
        <w:rPr>
          <w:rFonts w:hint="eastAsia" w:ascii="仿宋" w:hAnsi="仿宋" w:eastAsia="仿宋"/>
          <w:bCs/>
          <w:sz w:val="28"/>
          <w:szCs w:val="28"/>
        </w:rPr>
        <w:t>提供7×24小时不间断技术支持；</w:t>
      </w:r>
    </w:p>
    <w:p>
      <w:pPr>
        <w:numPr>
          <w:ilvl w:val="0"/>
          <w:numId w:val="8"/>
        </w:numPr>
        <w:spacing w:line="360" w:lineRule="auto"/>
        <w:rPr>
          <w:rFonts w:ascii="仿宋" w:hAnsi="仿宋" w:eastAsia="仿宋"/>
          <w:bCs/>
          <w:sz w:val="28"/>
          <w:szCs w:val="28"/>
        </w:rPr>
      </w:pPr>
      <w:r>
        <w:rPr>
          <w:rFonts w:hint="eastAsia" w:ascii="仿宋" w:hAnsi="仿宋" w:eastAsia="仿宋"/>
          <w:bCs/>
          <w:sz w:val="28"/>
          <w:szCs w:val="28"/>
        </w:rPr>
        <w:t>故障发生后，1小时内达到现场，故障4小时内修复或提供采购方认可的解决方案；</w:t>
      </w:r>
    </w:p>
    <w:p>
      <w:pPr>
        <w:numPr>
          <w:ilvl w:val="0"/>
          <w:numId w:val="8"/>
        </w:numPr>
        <w:spacing w:line="360" w:lineRule="auto"/>
        <w:rPr>
          <w:rFonts w:ascii="仿宋" w:hAnsi="仿宋" w:eastAsia="仿宋"/>
          <w:bCs/>
          <w:sz w:val="28"/>
          <w:szCs w:val="28"/>
        </w:rPr>
      </w:pPr>
      <w:r>
        <w:rPr>
          <w:rFonts w:hint="eastAsia" w:ascii="仿宋" w:hAnsi="仿宋" w:eastAsia="仿宋"/>
          <w:bCs/>
          <w:sz w:val="28"/>
          <w:szCs w:val="28"/>
        </w:rPr>
        <w:t>本条款中的设备指所有由中国电信股份有限公司浙江分公司提供的浙江省电脑彩票运营设备。</w:t>
      </w:r>
    </w:p>
    <w:p>
      <w:pPr>
        <w:widowControl/>
        <w:jc w:val="left"/>
        <w:rPr>
          <w:rFonts w:ascii="仿宋" w:hAnsi="仿宋" w:eastAsia="仿宋"/>
          <w:kern w:val="0"/>
          <w:sz w:val="28"/>
          <w:szCs w:val="28"/>
        </w:rPr>
      </w:pPr>
    </w:p>
    <w:p>
      <w:pPr>
        <w:rPr>
          <w:rFonts w:ascii="仿宋" w:hAnsi="仿宋" w:eastAsia="仿宋"/>
          <w:b/>
          <w:bCs/>
          <w:sz w:val="28"/>
          <w:szCs w:val="28"/>
        </w:rPr>
      </w:pPr>
      <w:r>
        <w:rPr>
          <w:rFonts w:hint="eastAsia" w:ascii="仿宋" w:hAnsi="仿宋" w:eastAsia="仿宋"/>
          <w:b/>
          <w:bCs/>
          <w:sz w:val="28"/>
          <w:szCs w:val="28"/>
        </w:rPr>
        <w:t>（二）云服务</w:t>
      </w:r>
    </w:p>
    <w:tbl>
      <w:tblPr>
        <w:tblStyle w:val="43"/>
        <w:tblW w:w="8754" w:type="dxa"/>
        <w:tblInd w:w="0" w:type="dxa"/>
        <w:tblLayout w:type="fixed"/>
        <w:tblCellMar>
          <w:top w:w="0" w:type="dxa"/>
          <w:left w:w="0" w:type="dxa"/>
          <w:bottom w:w="0" w:type="dxa"/>
          <w:right w:w="0" w:type="dxa"/>
        </w:tblCellMar>
      </w:tblPr>
      <w:tblGrid>
        <w:gridCol w:w="1670"/>
        <w:gridCol w:w="2059"/>
        <w:gridCol w:w="776"/>
        <w:gridCol w:w="775"/>
        <w:gridCol w:w="2059"/>
        <w:gridCol w:w="1415"/>
      </w:tblGrid>
      <w:tr>
        <w:tblPrEx>
          <w:tblCellMar>
            <w:top w:w="0" w:type="dxa"/>
            <w:left w:w="0" w:type="dxa"/>
            <w:bottom w:w="0" w:type="dxa"/>
            <w:right w:w="0" w:type="dxa"/>
          </w:tblCellMar>
        </w:tblPrEx>
        <w:trPr>
          <w:trHeight w:val="285"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宋体"/>
                <w:bCs/>
                <w:kern w:val="0"/>
                <w:sz w:val="28"/>
                <w:szCs w:val="28"/>
              </w:rPr>
            </w:pPr>
            <w:r>
              <w:rPr>
                <w:rFonts w:ascii="仿宋" w:hAnsi="仿宋" w:eastAsia="仿宋" w:cs="宋体"/>
                <w:bCs/>
                <w:kern w:val="0"/>
                <w:sz w:val="28"/>
                <w:szCs w:val="28"/>
              </w:rPr>
              <w:t>资源类型</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宋体"/>
                <w:bCs/>
                <w:kern w:val="0"/>
                <w:sz w:val="28"/>
                <w:szCs w:val="28"/>
              </w:rPr>
            </w:pPr>
            <w:r>
              <w:rPr>
                <w:rFonts w:ascii="仿宋" w:hAnsi="仿宋" w:eastAsia="仿宋" w:cs="宋体"/>
                <w:bCs/>
                <w:kern w:val="0"/>
                <w:sz w:val="28"/>
                <w:szCs w:val="28"/>
              </w:rPr>
              <w:t>配置规格</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宋体"/>
                <w:bCs/>
                <w:kern w:val="0"/>
                <w:sz w:val="28"/>
                <w:szCs w:val="28"/>
              </w:rPr>
            </w:pPr>
            <w:r>
              <w:rPr>
                <w:rFonts w:ascii="仿宋" w:hAnsi="仿宋" w:eastAsia="仿宋" w:cs="宋体"/>
                <w:bCs/>
                <w:kern w:val="0"/>
                <w:sz w:val="28"/>
                <w:szCs w:val="28"/>
              </w:rPr>
              <w:t>CPU</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宋体"/>
                <w:bCs/>
                <w:kern w:val="0"/>
                <w:sz w:val="28"/>
                <w:szCs w:val="28"/>
              </w:rPr>
            </w:pPr>
            <w:r>
              <w:rPr>
                <w:rFonts w:ascii="仿宋" w:hAnsi="仿宋" w:eastAsia="仿宋" w:cs="宋体"/>
                <w:bCs/>
                <w:kern w:val="0"/>
                <w:sz w:val="28"/>
                <w:szCs w:val="28"/>
              </w:rPr>
              <w:t>内存</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宋体"/>
                <w:bCs/>
                <w:kern w:val="0"/>
                <w:sz w:val="28"/>
                <w:szCs w:val="28"/>
              </w:rPr>
            </w:pPr>
            <w:r>
              <w:rPr>
                <w:rFonts w:ascii="仿宋" w:hAnsi="仿宋" w:eastAsia="仿宋" w:cs="宋体"/>
                <w:bCs/>
                <w:kern w:val="0"/>
                <w:sz w:val="28"/>
                <w:szCs w:val="28"/>
              </w:rPr>
              <w:t xml:space="preserve"> 存储 </w:t>
            </w:r>
          </w:p>
        </w:tc>
        <w:tc>
          <w:tcPr>
            <w:tcW w:w="1559" w:type="dxa"/>
            <w:tcBorders>
              <w:top w:val="single" w:color="000000" w:sz="4" w:space="0"/>
              <w:left w:val="single" w:color="000000" w:sz="4" w:space="0"/>
              <w:bottom w:val="single" w:color="000000" w:sz="4" w:space="0"/>
              <w:right w:val="single" w:color="000000" w:sz="4" w:space="0"/>
            </w:tcBorders>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备注</w:t>
            </w:r>
          </w:p>
        </w:tc>
      </w:tr>
      <w:tr>
        <w:tblPrEx>
          <w:tblCellMar>
            <w:top w:w="0" w:type="dxa"/>
            <w:left w:w="0" w:type="dxa"/>
            <w:bottom w:w="0" w:type="dxa"/>
            <w:right w:w="0" w:type="dxa"/>
          </w:tblCellMar>
        </w:tblPrEx>
        <w:trPr>
          <w:trHeight w:val="285" w:hRule="atLeast"/>
        </w:trPr>
        <w:tc>
          <w:tcPr>
            <w:tcW w:w="183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Cs/>
                <w:kern w:val="0"/>
                <w:sz w:val="28"/>
                <w:szCs w:val="28"/>
              </w:rPr>
            </w:pPr>
            <w:r>
              <w:rPr>
                <w:rFonts w:ascii="仿宋" w:hAnsi="仿宋" w:eastAsia="仿宋" w:cs="宋体"/>
                <w:bCs/>
                <w:kern w:val="0"/>
                <w:sz w:val="28"/>
                <w:szCs w:val="28"/>
              </w:rPr>
              <w:t>ECS服务器</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宋体"/>
                <w:bCs/>
                <w:kern w:val="0"/>
                <w:sz w:val="28"/>
                <w:szCs w:val="28"/>
              </w:rPr>
            </w:pPr>
            <w:r>
              <w:rPr>
                <w:rFonts w:ascii="仿宋" w:hAnsi="仿宋" w:eastAsia="仿宋" w:cs="宋体"/>
                <w:bCs/>
                <w:kern w:val="0"/>
                <w:sz w:val="28"/>
                <w:szCs w:val="28"/>
              </w:rPr>
              <w:t>服务器1</w:t>
            </w:r>
            <w:r>
              <w:rPr>
                <w:rFonts w:hint="eastAsia" w:ascii="仿宋" w:hAnsi="仿宋" w:eastAsia="仿宋" w:cs="宋体"/>
                <w:bCs/>
                <w:kern w:val="0"/>
                <w:sz w:val="28"/>
                <w:szCs w:val="28"/>
              </w:rPr>
              <w:t>（</w:t>
            </w:r>
            <w:r>
              <w:rPr>
                <w:rFonts w:ascii="仿宋" w:hAnsi="仿宋" w:eastAsia="仿宋" w:cs="宋体"/>
                <w:bCs/>
                <w:kern w:val="0"/>
                <w:sz w:val="28"/>
                <w:szCs w:val="28"/>
              </w:rPr>
              <w:t>4</w:t>
            </w:r>
            <w:r>
              <w:rPr>
                <w:rFonts w:hint="eastAsia" w:ascii="仿宋" w:hAnsi="仿宋" w:eastAsia="仿宋" w:cs="宋体"/>
                <w:bCs/>
                <w:kern w:val="0"/>
                <w:sz w:val="28"/>
                <w:szCs w:val="28"/>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宋体"/>
                <w:bCs/>
                <w:kern w:val="0"/>
                <w:sz w:val="28"/>
                <w:szCs w:val="28"/>
              </w:rPr>
            </w:pPr>
            <w:r>
              <w:rPr>
                <w:rFonts w:ascii="仿宋" w:hAnsi="仿宋" w:eastAsia="仿宋" w:cs="宋体"/>
                <w:bCs/>
                <w:kern w:val="0"/>
                <w:sz w:val="28"/>
                <w:szCs w:val="28"/>
              </w:rPr>
              <w:t>8C</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宋体"/>
                <w:bCs/>
                <w:kern w:val="0"/>
                <w:sz w:val="28"/>
                <w:szCs w:val="28"/>
              </w:rPr>
            </w:pPr>
            <w:r>
              <w:rPr>
                <w:rFonts w:ascii="仿宋" w:hAnsi="仿宋" w:eastAsia="仿宋" w:cs="宋体"/>
                <w:bCs/>
                <w:kern w:val="0"/>
                <w:sz w:val="28"/>
                <w:szCs w:val="28"/>
              </w:rPr>
              <w:t>32G</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宋体"/>
                <w:bCs/>
                <w:kern w:val="0"/>
                <w:sz w:val="28"/>
                <w:szCs w:val="28"/>
              </w:rPr>
            </w:pPr>
            <w:r>
              <w:rPr>
                <w:rFonts w:ascii="仿宋" w:hAnsi="仿宋" w:eastAsia="仿宋" w:cs="宋体"/>
                <w:bCs/>
                <w:kern w:val="0"/>
                <w:sz w:val="28"/>
                <w:szCs w:val="28"/>
              </w:rPr>
              <w:t>500G SAS</w:t>
            </w:r>
            <w:r>
              <w:rPr>
                <w:rFonts w:hint="eastAsia" w:ascii="仿宋" w:hAnsi="仿宋" w:eastAsia="仿宋" w:cs="宋体"/>
                <w:bCs/>
                <w:kern w:val="0"/>
                <w:sz w:val="28"/>
                <w:szCs w:val="28"/>
              </w:rPr>
              <w:t>存储</w:t>
            </w:r>
          </w:p>
        </w:tc>
        <w:tc>
          <w:tcPr>
            <w:tcW w:w="1559" w:type="dxa"/>
            <w:vMerge w:val="restart"/>
            <w:tcBorders>
              <w:top w:val="single" w:color="000000" w:sz="4" w:space="0"/>
              <w:left w:val="single" w:color="000000" w:sz="4" w:space="0"/>
              <w:right w:val="single" w:color="000000" w:sz="4" w:space="0"/>
            </w:tcBorders>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C</w:t>
            </w:r>
            <w:r>
              <w:rPr>
                <w:rFonts w:ascii="仿宋" w:hAnsi="仿宋" w:eastAsia="仿宋" w:cs="宋体"/>
                <w:bCs/>
                <w:kern w:val="0"/>
                <w:sz w:val="28"/>
                <w:szCs w:val="28"/>
              </w:rPr>
              <w:t>PU</w:t>
            </w:r>
            <w:r>
              <w:rPr>
                <w:rFonts w:hint="eastAsia" w:ascii="仿宋" w:hAnsi="仿宋" w:eastAsia="仿宋" w:cs="宋体"/>
                <w:bCs/>
                <w:kern w:val="0"/>
                <w:sz w:val="28"/>
                <w:szCs w:val="28"/>
              </w:rPr>
              <w:t>限定</w:t>
            </w:r>
            <w:r>
              <w:rPr>
                <w:rFonts w:ascii="仿宋" w:hAnsi="仿宋" w:eastAsia="仿宋" w:cs="宋体"/>
                <w:bCs/>
                <w:kern w:val="0"/>
                <w:sz w:val="28"/>
                <w:szCs w:val="28"/>
              </w:rPr>
              <w:t>Cascade Lake 6266</w:t>
            </w:r>
            <w:r>
              <w:rPr>
                <w:rFonts w:hint="eastAsia" w:ascii="仿宋" w:hAnsi="仿宋" w:eastAsia="仿宋" w:cs="宋体"/>
                <w:bCs/>
                <w:kern w:val="0"/>
                <w:sz w:val="28"/>
                <w:szCs w:val="28"/>
              </w:rPr>
              <w:t>，主频</w:t>
            </w:r>
            <w:r>
              <w:rPr>
                <w:rFonts w:ascii="仿宋" w:hAnsi="仿宋" w:eastAsia="仿宋" w:cs="宋体"/>
                <w:bCs/>
                <w:kern w:val="0"/>
                <w:sz w:val="28"/>
                <w:szCs w:val="28"/>
              </w:rPr>
              <w:t>3.0GHz</w:t>
            </w:r>
          </w:p>
        </w:tc>
      </w:tr>
      <w:tr>
        <w:tblPrEx>
          <w:tblCellMar>
            <w:top w:w="0" w:type="dxa"/>
            <w:left w:w="0" w:type="dxa"/>
            <w:bottom w:w="0" w:type="dxa"/>
            <w:right w:w="0" w:type="dxa"/>
          </w:tblCellMar>
        </w:tblPrEx>
        <w:trPr>
          <w:trHeight w:val="285" w:hRule="atLeast"/>
        </w:trPr>
        <w:tc>
          <w:tcPr>
            <w:tcW w:w="183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Cs/>
                <w:kern w:val="0"/>
                <w:sz w:val="28"/>
                <w:szCs w:val="28"/>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宋体"/>
                <w:bCs/>
                <w:kern w:val="0"/>
                <w:sz w:val="28"/>
                <w:szCs w:val="28"/>
              </w:rPr>
            </w:pPr>
            <w:r>
              <w:rPr>
                <w:rFonts w:ascii="仿宋" w:hAnsi="仿宋" w:eastAsia="仿宋" w:cs="宋体"/>
                <w:bCs/>
                <w:kern w:val="0"/>
                <w:sz w:val="28"/>
                <w:szCs w:val="28"/>
              </w:rPr>
              <w:t>服务器2</w:t>
            </w:r>
            <w:r>
              <w:rPr>
                <w:rFonts w:hint="eastAsia" w:ascii="仿宋" w:hAnsi="仿宋" w:eastAsia="仿宋" w:cs="宋体"/>
                <w:bCs/>
                <w:kern w:val="0"/>
                <w:sz w:val="28"/>
                <w:szCs w:val="28"/>
              </w:rPr>
              <w:t>（</w:t>
            </w:r>
            <w:r>
              <w:rPr>
                <w:rFonts w:ascii="仿宋" w:hAnsi="仿宋" w:eastAsia="仿宋" w:cs="宋体"/>
                <w:bCs/>
                <w:kern w:val="0"/>
                <w:sz w:val="28"/>
                <w:szCs w:val="28"/>
              </w:rPr>
              <w:t>2</w:t>
            </w:r>
            <w:r>
              <w:rPr>
                <w:rFonts w:hint="eastAsia" w:ascii="仿宋" w:hAnsi="仿宋" w:eastAsia="仿宋" w:cs="宋体"/>
                <w:bCs/>
                <w:kern w:val="0"/>
                <w:sz w:val="28"/>
                <w:szCs w:val="28"/>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宋体"/>
                <w:bCs/>
                <w:kern w:val="0"/>
                <w:sz w:val="28"/>
                <w:szCs w:val="28"/>
              </w:rPr>
            </w:pPr>
            <w:r>
              <w:rPr>
                <w:rFonts w:ascii="仿宋" w:hAnsi="仿宋" w:eastAsia="仿宋" w:cs="宋体"/>
                <w:bCs/>
                <w:kern w:val="0"/>
                <w:sz w:val="28"/>
                <w:szCs w:val="28"/>
              </w:rPr>
              <w:t>8C</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宋体"/>
                <w:bCs/>
                <w:kern w:val="0"/>
                <w:sz w:val="28"/>
                <w:szCs w:val="28"/>
              </w:rPr>
            </w:pPr>
            <w:r>
              <w:rPr>
                <w:rFonts w:ascii="仿宋" w:hAnsi="仿宋" w:eastAsia="仿宋" w:cs="宋体"/>
                <w:bCs/>
                <w:kern w:val="0"/>
                <w:sz w:val="28"/>
                <w:szCs w:val="28"/>
              </w:rPr>
              <w:t>16G</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宋体"/>
                <w:bCs/>
                <w:kern w:val="0"/>
                <w:sz w:val="28"/>
                <w:szCs w:val="28"/>
              </w:rPr>
            </w:pPr>
            <w:r>
              <w:rPr>
                <w:rFonts w:ascii="仿宋" w:hAnsi="仿宋" w:eastAsia="仿宋" w:cs="宋体"/>
                <w:bCs/>
                <w:kern w:val="0"/>
                <w:sz w:val="28"/>
                <w:szCs w:val="28"/>
              </w:rPr>
              <w:t>500G SAS</w:t>
            </w:r>
            <w:r>
              <w:rPr>
                <w:rFonts w:hint="eastAsia" w:ascii="仿宋" w:hAnsi="仿宋" w:eastAsia="仿宋" w:cs="宋体"/>
                <w:bCs/>
                <w:kern w:val="0"/>
                <w:sz w:val="28"/>
                <w:szCs w:val="28"/>
              </w:rPr>
              <w:t>存储</w:t>
            </w:r>
          </w:p>
        </w:tc>
        <w:tc>
          <w:tcPr>
            <w:tcW w:w="1559" w:type="dxa"/>
            <w:vMerge w:val="continue"/>
            <w:tcBorders>
              <w:left w:val="single" w:color="000000" w:sz="4" w:space="0"/>
              <w:right w:val="single" w:color="000000" w:sz="4" w:space="0"/>
            </w:tcBorders>
          </w:tcPr>
          <w:p>
            <w:pPr>
              <w:widowControl/>
              <w:jc w:val="center"/>
              <w:rPr>
                <w:rFonts w:ascii="仿宋" w:hAnsi="仿宋" w:eastAsia="仿宋" w:cs="宋体"/>
                <w:bCs/>
                <w:kern w:val="0"/>
                <w:sz w:val="28"/>
                <w:szCs w:val="28"/>
              </w:rPr>
            </w:pPr>
          </w:p>
        </w:tc>
      </w:tr>
      <w:tr>
        <w:tblPrEx>
          <w:tblCellMar>
            <w:top w:w="0" w:type="dxa"/>
            <w:left w:w="0" w:type="dxa"/>
            <w:bottom w:w="0" w:type="dxa"/>
            <w:right w:w="0" w:type="dxa"/>
          </w:tblCellMar>
        </w:tblPrEx>
        <w:trPr>
          <w:trHeight w:val="285" w:hRule="atLeast"/>
        </w:trPr>
        <w:tc>
          <w:tcPr>
            <w:tcW w:w="183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Cs/>
                <w:kern w:val="0"/>
                <w:sz w:val="28"/>
                <w:szCs w:val="28"/>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宋体"/>
                <w:bCs/>
                <w:kern w:val="0"/>
                <w:sz w:val="28"/>
                <w:szCs w:val="28"/>
              </w:rPr>
            </w:pPr>
            <w:r>
              <w:rPr>
                <w:rFonts w:ascii="仿宋" w:hAnsi="仿宋" w:eastAsia="仿宋" w:cs="宋体"/>
                <w:bCs/>
                <w:kern w:val="0"/>
                <w:sz w:val="28"/>
                <w:szCs w:val="28"/>
              </w:rPr>
              <w:t>服务器3</w:t>
            </w:r>
            <w:r>
              <w:rPr>
                <w:rFonts w:hint="eastAsia" w:ascii="仿宋" w:hAnsi="仿宋" w:eastAsia="仿宋" w:cs="宋体"/>
                <w:bCs/>
                <w:kern w:val="0"/>
                <w:sz w:val="28"/>
                <w:szCs w:val="28"/>
              </w:rPr>
              <w:t>（</w:t>
            </w:r>
            <w:r>
              <w:rPr>
                <w:rFonts w:ascii="仿宋" w:hAnsi="仿宋" w:eastAsia="仿宋" w:cs="宋体"/>
                <w:bCs/>
                <w:kern w:val="0"/>
                <w:sz w:val="28"/>
                <w:szCs w:val="28"/>
              </w:rPr>
              <w:t>1</w:t>
            </w:r>
            <w:r>
              <w:rPr>
                <w:rFonts w:hint="eastAsia" w:ascii="仿宋" w:hAnsi="仿宋" w:eastAsia="仿宋" w:cs="宋体"/>
                <w:bCs/>
                <w:kern w:val="0"/>
                <w:sz w:val="28"/>
                <w:szCs w:val="28"/>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宋体"/>
                <w:bCs/>
                <w:kern w:val="0"/>
                <w:sz w:val="28"/>
                <w:szCs w:val="28"/>
              </w:rPr>
            </w:pPr>
            <w:r>
              <w:rPr>
                <w:rFonts w:ascii="仿宋" w:hAnsi="仿宋" w:eastAsia="仿宋" w:cs="宋体"/>
                <w:bCs/>
                <w:kern w:val="0"/>
                <w:sz w:val="28"/>
                <w:szCs w:val="28"/>
              </w:rPr>
              <w:t>8C</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宋体"/>
                <w:bCs/>
                <w:kern w:val="0"/>
                <w:sz w:val="28"/>
                <w:szCs w:val="28"/>
              </w:rPr>
            </w:pPr>
            <w:r>
              <w:rPr>
                <w:rFonts w:ascii="仿宋" w:hAnsi="仿宋" w:eastAsia="仿宋" w:cs="宋体"/>
                <w:bCs/>
                <w:kern w:val="0"/>
                <w:sz w:val="28"/>
                <w:szCs w:val="28"/>
              </w:rPr>
              <w:t>16G</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宋体"/>
                <w:bCs/>
                <w:kern w:val="0"/>
                <w:sz w:val="28"/>
                <w:szCs w:val="28"/>
              </w:rPr>
            </w:pPr>
            <w:r>
              <w:rPr>
                <w:rFonts w:ascii="仿宋" w:hAnsi="仿宋" w:eastAsia="仿宋" w:cs="宋体"/>
                <w:bCs/>
                <w:kern w:val="0"/>
                <w:sz w:val="28"/>
                <w:szCs w:val="28"/>
              </w:rPr>
              <w:t>40G SAS</w:t>
            </w:r>
            <w:r>
              <w:rPr>
                <w:rFonts w:hint="eastAsia" w:ascii="仿宋" w:hAnsi="仿宋" w:eastAsia="仿宋" w:cs="宋体"/>
                <w:bCs/>
                <w:kern w:val="0"/>
                <w:sz w:val="28"/>
                <w:szCs w:val="28"/>
              </w:rPr>
              <w:t>存储</w:t>
            </w:r>
          </w:p>
        </w:tc>
        <w:tc>
          <w:tcPr>
            <w:tcW w:w="1559" w:type="dxa"/>
            <w:vMerge w:val="continue"/>
            <w:tcBorders>
              <w:left w:val="single" w:color="000000" w:sz="4" w:space="0"/>
              <w:right w:val="single" w:color="000000" w:sz="4" w:space="0"/>
            </w:tcBorders>
          </w:tcPr>
          <w:p>
            <w:pPr>
              <w:widowControl/>
              <w:jc w:val="center"/>
              <w:rPr>
                <w:rFonts w:ascii="仿宋" w:hAnsi="仿宋" w:eastAsia="仿宋" w:cs="宋体"/>
                <w:bCs/>
                <w:kern w:val="0"/>
                <w:sz w:val="28"/>
                <w:szCs w:val="28"/>
              </w:rPr>
            </w:pPr>
          </w:p>
        </w:tc>
      </w:tr>
      <w:tr>
        <w:tblPrEx>
          <w:tblCellMar>
            <w:top w:w="0" w:type="dxa"/>
            <w:left w:w="0" w:type="dxa"/>
            <w:bottom w:w="0" w:type="dxa"/>
            <w:right w:w="0" w:type="dxa"/>
          </w:tblCellMar>
        </w:tblPrEx>
        <w:trPr>
          <w:trHeight w:val="285" w:hRule="atLeast"/>
        </w:trPr>
        <w:tc>
          <w:tcPr>
            <w:tcW w:w="183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Cs/>
                <w:kern w:val="0"/>
                <w:sz w:val="28"/>
                <w:szCs w:val="28"/>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宋体"/>
                <w:bCs/>
                <w:kern w:val="0"/>
                <w:sz w:val="28"/>
                <w:szCs w:val="28"/>
              </w:rPr>
            </w:pPr>
            <w:r>
              <w:rPr>
                <w:rFonts w:ascii="仿宋" w:hAnsi="仿宋" w:eastAsia="仿宋" w:cs="宋体"/>
                <w:bCs/>
                <w:kern w:val="0"/>
                <w:sz w:val="28"/>
                <w:szCs w:val="28"/>
              </w:rPr>
              <w:t>服务器4</w:t>
            </w:r>
            <w:r>
              <w:rPr>
                <w:rFonts w:hint="eastAsia" w:ascii="仿宋" w:hAnsi="仿宋" w:eastAsia="仿宋" w:cs="宋体"/>
                <w:bCs/>
                <w:kern w:val="0"/>
                <w:sz w:val="28"/>
                <w:szCs w:val="28"/>
              </w:rPr>
              <w:t>（</w:t>
            </w:r>
            <w:r>
              <w:rPr>
                <w:rFonts w:ascii="仿宋" w:hAnsi="仿宋" w:eastAsia="仿宋" w:cs="宋体"/>
                <w:bCs/>
                <w:kern w:val="0"/>
                <w:sz w:val="28"/>
                <w:szCs w:val="28"/>
              </w:rPr>
              <w:t>4</w:t>
            </w:r>
            <w:r>
              <w:rPr>
                <w:rFonts w:hint="eastAsia" w:ascii="仿宋" w:hAnsi="仿宋" w:eastAsia="仿宋" w:cs="宋体"/>
                <w:bCs/>
                <w:kern w:val="0"/>
                <w:sz w:val="28"/>
                <w:szCs w:val="28"/>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4</w:t>
            </w:r>
            <w:r>
              <w:rPr>
                <w:rFonts w:ascii="仿宋" w:hAnsi="仿宋" w:eastAsia="仿宋" w:cs="宋体"/>
                <w:bCs/>
                <w:kern w:val="0"/>
                <w:sz w:val="28"/>
                <w:szCs w:val="28"/>
              </w:rPr>
              <w:t>C</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8</w:t>
            </w:r>
            <w:r>
              <w:rPr>
                <w:rFonts w:ascii="仿宋" w:hAnsi="仿宋" w:eastAsia="仿宋" w:cs="宋体"/>
                <w:bCs/>
                <w:kern w:val="0"/>
                <w:sz w:val="28"/>
                <w:szCs w:val="28"/>
              </w:rPr>
              <w:t>G</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宋体"/>
                <w:bCs/>
                <w:kern w:val="0"/>
                <w:sz w:val="28"/>
                <w:szCs w:val="28"/>
              </w:rPr>
            </w:pPr>
            <w:r>
              <w:rPr>
                <w:rFonts w:ascii="仿宋" w:hAnsi="仿宋" w:eastAsia="仿宋" w:cs="宋体"/>
                <w:bCs/>
                <w:kern w:val="0"/>
                <w:sz w:val="28"/>
                <w:szCs w:val="28"/>
              </w:rPr>
              <w:t>500G SAS</w:t>
            </w:r>
            <w:r>
              <w:rPr>
                <w:rFonts w:hint="eastAsia" w:ascii="仿宋" w:hAnsi="仿宋" w:eastAsia="仿宋" w:cs="宋体"/>
                <w:bCs/>
                <w:kern w:val="0"/>
                <w:sz w:val="28"/>
                <w:szCs w:val="28"/>
              </w:rPr>
              <w:t>存储</w:t>
            </w:r>
          </w:p>
        </w:tc>
        <w:tc>
          <w:tcPr>
            <w:tcW w:w="1559" w:type="dxa"/>
            <w:vMerge w:val="continue"/>
            <w:tcBorders>
              <w:left w:val="single" w:color="000000" w:sz="4" w:space="0"/>
              <w:right w:val="single" w:color="000000" w:sz="4" w:space="0"/>
            </w:tcBorders>
          </w:tcPr>
          <w:p>
            <w:pPr>
              <w:widowControl/>
              <w:jc w:val="center"/>
              <w:rPr>
                <w:rFonts w:ascii="仿宋" w:hAnsi="仿宋" w:eastAsia="仿宋" w:cs="宋体"/>
                <w:bCs/>
                <w:kern w:val="0"/>
                <w:sz w:val="28"/>
                <w:szCs w:val="28"/>
              </w:rPr>
            </w:pPr>
          </w:p>
        </w:tc>
      </w:tr>
      <w:tr>
        <w:tblPrEx>
          <w:tblCellMar>
            <w:top w:w="0" w:type="dxa"/>
            <w:left w:w="0" w:type="dxa"/>
            <w:bottom w:w="0" w:type="dxa"/>
            <w:right w:w="0" w:type="dxa"/>
          </w:tblCellMar>
        </w:tblPrEx>
        <w:trPr>
          <w:trHeight w:val="285"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数据库服务器</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RDS主备实例</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宋体"/>
                <w:bCs/>
                <w:kern w:val="0"/>
                <w:sz w:val="28"/>
                <w:szCs w:val="28"/>
              </w:rPr>
            </w:pPr>
            <w:r>
              <w:rPr>
                <w:rFonts w:ascii="仿宋" w:hAnsi="仿宋" w:eastAsia="仿宋" w:cs="宋体"/>
                <w:bCs/>
                <w:kern w:val="0"/>
                <w:sz w:val="28"/>
                <w:szCs w:val="28"/>
              </w:rPr>
              <w:t>8C</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宋体"/>
                <w:bCs/>
                <w:kern w:val="0"/>
                <w:sz w:val="28"/>
                <w:szCs w:val="28"/>
              </w:rPr>
            </w:pPr>
            <w:r>
              <w:rPr>
                <w:rFonts w:ascii="仿宋" w:hAnsi="仿宋" w:eastAsia="仿宋" w:cs="宋体"/>
                <w:bCs/>
                <w:kern w:val="0"/>
                <w:sz w:val="28"/>
                <w:szCs w:val="28"/>
              </w:rPr>
              <w:t>32G</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宋体"/>
                <w:bCs/>
                <w:kern w:val="0"/>
                <w:sz w:val="28"/>
                <w:szCs w:val="28"/>
              </w:rPr>
            </w:pPr>
            <w:r>
              <w:rPr>
                <w:rFonts w:ascii="仿宋" w:hAnsi="仿宋" w:eastAsia="仿宋" w:cs="宋体"/>
                <w:bCs/>
                <w:kern w:val="0"/>
                <w:sz w:val="28"/>
                <w:szCs w:val="28"/>
              </w:rPr>
              <w:t>500G SSD</w:t>
            </w:r>
            <w:r>
              <w:rPr>
                <w:rFonts w:hint="eastAsia" w:ascii="仿宋" w:hAnsi="仿宋" w:eastAsia="仿宋" w:cs="宋体"/>
                <w:bCs/>
                <w:kern w:val="0"/>
                <w:sz w:val="28"/>
                <w:szCs w:val="28"/>
              </w:rPr>
              <w:t>存储</w:t>
            </w:r>
          </w:p>
        </w:tc>
        <w:tc>
          <w:tcPr>
            <w:tcW w:w="1559" w:type="dxa"/>
            <w:vMerge w:val="continue"/>
            <w:tcBorders>
              <w:left w:val="single" w:color="000000" w:sz="4" w:space="0"/>
              <w:bottom w:val="single" w:color="000000" w:sz="4" w:space="0"/>
              <w:right w:val="single" w:color="000000" w:sz="4" w:space="0"/>
            </w:tcBorders>
          </w:tcPr>
          <w:p>
            <w:pPr>
              <w:widowControl/>
              <w:jc w:val="center"/>
              <w:rPr>
                <w:rFonts w:ascii="仿宋" w:hAnsi="仿宋" w:eastAsia="仿宋" w:cs="宋体"/>
                <w:bCs/>
                <w:kern w:val="0"/>
                <w:sz w:val="28"/>
                <w:szCs w:val="28"/>
              </w:rPr>
            </w:pPr>
          </w:p>
        </w:tc>
      </w:tr>
      <w:tr>
        <w:tblPrEx>
          <w:tblCellMar>
            <w:top w:w="0" w:type="dxa"/>
            <w:left w:w="0" w:type="dxa"/>
            <w:bottom w:w="0" w:type="dxa"/>
            <w:right w:w="0" w:type="dxa"/>
          </w:tblCellMar>
        </w:tblPrEx>
        <w:trPr>
          <w:trHeight w:val="285"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公网带宽</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独享带宽</w:t>
            </w:r>
          </w:p>
        </w:tc>
        <w:tc>
          <w:tcPr>
            <w:tcW w:w="396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宋体"/>
                <w:bCs/>
                <w:kern w:val="0"/>
                <w:sz w:val="28"/>
                <w:szCs w:val="28"/>
              </w:rPr>
            </w:pPr>
            <w:r>
              <w:rPr>
                <w:rFonts w:ascii="仿宋" w:hAnsi="仿宋" w:eastAsia="仿宋" w:cs="宋体"/>
                <w:bCs/>
                <w:kern w:val="0"/>
                <w:sz w:val="28"/>
                <w:szCs w:val="28"/>
              </w:rPr>
              <w:t>5</w:t>
            </w:r>
            <w:r>
              <w:rPr>
                <w:rFonts w:hint="eastAsia" w:ascii="仿宋" w:hAnsi="仿宋" w:eastAsia="仿宋" w:cs="宋体"/>
                <w:bCs/>
                <w:kern w:val="0"/>
                <w:sz w:val="28"/>
                <w:szCs w:val="28"/>
              </w:rPr>
              <w:t>个5</w:t>
            </w:r>
            <w:r>
              <w:rPr>
                <w:rFonts w:ascii="仿宋" w:hAnsi="仿宋" w:eastAsia="仿宋" w:cs="宋体"/>
                <w:bCs/>
                <w:kern w:val="0"/>
                <w:sz w:val="28"/>
                <w:szCs w:val="28"/>
              </w:rPr>
              <w:t>0M</w:t>
            </w:r>
            <w:r>
              <w:rPr>
                <w:rFonts w:hint="eastAsia" w:ascii="仿宋" w:hAnsi="仿宋" w:eastAsia="仿宋" w:cs="宋体"/>
                <w:bCs/>
                <w:kern w:val="0"/>
                <w:sz w:val="28"/>
                <w:szCs w:val="28"/>
              </w:rPr>
              <w:t>、1个2</w:t>
            </w:r>
            <w:r>
              <w:rPr>
                <w:rFonts w:ascii="仿宋" w:hAnsi="仿宋" w:eastAsia="仿宋" w:cs="宋体"/>
                <w:bCs/>
                <w:kern w:val="0"/>
                <w:sz w:val="28"/>
                <w:szCs w:val="28"/>
              </w:rPr>
              <w:t>0M</w:t>
            </w:r>
            <w:r>
              <w:rPr>
                <w:rFonts w:hint="eastAsia" w:ascii="仿宋" w:hAnsi="仿宋" w:eastAsia="仿宋" w:cs="宋体"/>
                <w:bCs/>
                <w:kern w:val="0"/>
                <w:sz w:val="28"/>
                <w:szCs w:val="28"/>
              </w:rPr>
              <w:t>、1个1</w:t>
            </w:r>
            <w:r>
              <w:rPr>
                <w:rFonts w:ascii="仿宋" w:hAnsi="仿宋" w:eastAsia="仿宋" w:cs="宋体"/>
                <w:bCs/>
                <w:kern w:val="0"/>
                <w:sz w:val="28"/>
                <w:szCs w:val="28"/>
              </w:rPr>
              <w:t>0M</w:t>
            </w:r>
            <w:r>
              <w:rPr>
                <w:rFonts w:hint="eastAsia" w:ascii="仿宋" w:hAnsi="仿宋" w:eastAsia="仿宋" w:cs="宋体"/>
                <w:bCs/>
                <w:kern w:val="0"/>
                <w:sz w:val="28"/>
                <w:szCs w:val="28"/>
              </w:rPr>
              <w:t>独立带宽，</w:t>
            </w:r>
            <w:r>
              <w:rPr>
                <w:rFonts w:ascii="仿宋" w:hAnsi="仿宋" w:eastAsia="仿宋" w:cs="宋体"/>
                <w:bCs/>
                <w:kern w:val="0"/>
                <w:sz w:val="28"/>
                <w:szCs w:val="28"/>
              </w:rPr>
              <w:t>7</w:t>
            </w:r>
            <w:r>
              <w:rPr>
                <w:rFonts w:hint="eastAsia" w:ascii="仿宋" w:hAnsi="仿宋" w:eastAsia="仿宋" w:cs="宋体"/>
                <w:bCs/>
                <w:kern w:val="0"/>
                <w:sz w:val="28"/>
                <w:szCs w:val="28"/>
              </w:rPr>
              <w:t>个公网I</w:t>
            </w:r>
            <w:r>
              <w:rPr>
                <w:rFonts w:ascii="仿宋" w:hAnsi="仿宋" w:eastAsia="仿宋" w:cs="宋体"/>
                <w:bCs/>
                <w:kern w:val="0"/>
                <w:sz w:val="28"/>
                <w:szCs w:val="28"/>
              </w:rPr>
              <w:t>P</w:t>
            </w:r>
          </w:p>
        </w:tc>
        <w:tc>
          <w:tcPr>
            <w:tcW w:w="1559" w:type="dxa"/>
            <w:tcBorders>
              <w:top w:val="single" w:color="000000" w:sz="4" w:space="0"/>
              <w:left w:val="single" w:color="000000" w:sz="4" w:space="0"/>
              <w:bottom w:val="single" w:color="000000" w:sz="4" w:space="0"/>
              <w:right w:val="single" w:color="000000" w:sz="4" w:space="0"/>
            </w:tcBorders>
          </w:tcPr>
          <w:p>
            <w:pPr>
              <w:widowControl/>
              <w:jc w:val="center"/>
              <w:rPr>
                <w:rFonts w:ascii="仿宋" w:hAnsi="仿宋" w:eastAsia="仿宋" w:cs="宋体"/>
                <w:bCs/>
                <w:kern w:val="0"/>
                <w:sz w:val="28"/>
                <w:szCs w:val="28"/>
              </w:rPr>
            </w:pPr>
          </w:p>
        </w:tc>
      </w:tr>
      <w:tr>
        <w:tblPrEx>
          <w:tblCellMar>
            <w:top w:w="0" w:type="dxa"/>
            <w:left w:w="0" w:type="dxa"/>
            <w:bottom w:w="0" w:type="dxa"/>
            <w:right w:w="0" w:type="dxa"/>
          </w:tblCellMar>
        </w:tblPrEx>
        <w:trPr>
          <w:trHeight w:val="285" w:hRule="atLeast"/>
        </w:trPr>
        <w:tc>
          <w:tcPr>
            <w:tcW w:w="183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云服务备份</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备份功能资源包</w:t>
            </w:r>
          </w:p>
        </w:tc>
        <w:tc>
          <w:tcPr>
            <w:tcW w:w="396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3</w:t>
            </w:r>
            <w:r>
              <w:rPr>
                <w:rFonts w:ascii="仿宋" w:hAnsi="仿宋" w:eastAsia="仿宋" w:cs="宋体"/>
                <w:bCs/>
                <w:kern w:val="0"/>
                <w:sz w:val="28"/>
                <w:szCs w:val="28"/>
              </w:rPr>
              <w:t>040G</w:t>
            </w:r>
            <w:r>
              <w:rPr>
                <w:rFonts w:hint="eastAsia" w:ascii="仿宋" w:hAnsi="仿宋" w:eastAsia="仿宋" w:cs="宋体"/>
                <w:bCs/>
                <w:kern w:val="0"/>
                <w:sz w:val="28"/>
                <w:szCs w:val="28"/>
              </w:rPr>
              <w:t>，超出部分按需付费</w:t>
            </w:r>
          </w:p>
        </w:tc>
        <w:tc>
          <w:tcPr>
            <w:tcW w:w="1559" w:type="dxa"/>
            <w:tcBorders>
              <w:top w:val="single" w:color="000000" w:sz="4" w:space="0"/>
              <w:left w:val="single" w:color="000000" w:sz="4" w:space="0"/>
              <w:bottom w:val="single" w:color="000000" w:sz="4" w:space="0"/>
              <w:right w:val="single" w:color="000000" w:sz="4" w:space="0"/>
            </w:tcBorders>
          </w:tcPr>
          <w:p>
            <w:pPr>
              <w:widowControl/>
              <w:jc w:val="center"/>
              <w:rPr>
                <w:rFonts w:ascii="仿宋" w:hAnsi="仿宋" w:eastAsia="仿宋" w:cs="宋体"/>
                <w:bCs/>
                <w:kern w:val="0"/>
                <w:sz w:val="28"/>
                <w:szCs w:val="28"/>
              </w:rPr>
            </w:pPr>
          </w:p>
        </w:tc>
      </w:tr>
      <w:tr>
        <w:tblPrEx>
          <w:tblCellMar>
            <w:top w:w="0" w:type="dxa"/>
            <w:left w:w="0" w:type="dxa"/>
            <w:bottom w:w="0" w:type="dxa"/>
            <w:right w:w="0" w:type="dxa"/>
          </w:tblCellMar>
        </w:tblPrEx>
        <w:trPr>
          <w:trHeight w:val="285" w:hRule="atLeast"/>
        </w:trPr>
        <w:tc>
          <w:tcPr>
            <w:tcW w:w="183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Cs/>
                <w:kern w:val="0"/>
                <w:sz w:val="28"/>
                <w:szCs w:val="28"/>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备份存储资源包</w:t>
            </w:r>
          </w:p>
        </w:tc>
        <w:tc>
          <w:tcPr>
            <w:tcW w:w="396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1</w:t>
            </w:r>
            <w:r>
              <w:rPr>
                <w:rFonts w:ascii="仿宋" w:hAnsi="仿宋" w:eastAsia="仿宋" w:cs="宋体"/>
                <w:bCs/>
                <w:kern w:val="0"/>
                <w:sz w:val="28"/>
                <w:szCs w:val="28"/>
              </w:rPr>
              <w:t>0640G</w:t>
            </w:r>
            <w:r>
              <w:rPr>
                <w:rFonts w:hint="eastAsia" w:ascii="仿宋" w:hAnsi="仿宋" w:eastAsia="仿宋" w:cs="宋体"/>
                <w:bCs/>
                <w:kern w:val="0"/>
                <w:sz w:val="28"/>
                <w:szCs w:val="28"/>
              </w:rPr>
              <w:t>，超出部分按需付费</w:t>
            </w:r>
          </w:p>
        </w:tc>
        <w:tc>
          <w:tcPr>
            <w:tcW w:w="1559" w:type="dxa"/>
            <w:tcBorders>
              <w:top w:val="single" w:color="000000" w:sz="4" w:space="0"/>
              <w:left w:val="single" w:color="000000" w:sz="4" w:space="0"/>
              <w:bottom w:val="single" w:color="000000" w:sz="4" w:space="0"/>
              <w:right w:val="single" w:color="000000" w:sz="4" w:space="0"/>
            </w:tcBorders>
          </w:tcPr>
          <w:p>
            <w:pPr>
              <w:widowControl/>
              <w:jc w:val="center"/>
              <w:rPr>
                <w:rFonts w:ascii="仿宋" w:hAnsi="仿宋" w:eastAsia="仿宋" w:cs="宋体"/>
                <w:bCs/>
                <w:kern w:val="0"/>
                <w:sz w:val="28"/>
                <w:szCs w:val="28"/>
              </w:rPr>
            </w:pPr>
          </w:p>
        </w:tc>
      </w:tr>
      <w:tr>
        <w:tblPrEx>
          <w:tblCellMar>
            <w:top w:w="0" w:type="dxa"/>
            <w:left w:w="0" w:type="dxa"/>
            <w:bottom w:w="0" w:type="dxa"/>
            <w:right w:w="0" w:type="dxa"/>
          </w:tblCellMar>
        </w:tblPrEx>
        <w:trPr>
          <w:trHeight w:val="285"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Cs/>
                <w:kern w:val="0"/>
                <w:sz w:val="28"/>
                <w:szCs w:val="28"/>
              </w:rPr>
            </w:pPr>
            <w:r>
              <w:rPr>
                <w:rFonts w:ascii="仿宋" w:hAnsi="仿宋" w:eastAsia="仿宋" w:cs="宋体"/>
                <w:bCs/>
                <w:kern w:val="0"/>
                <w:sz w:val="28"/>
                <w:szCs w:val="28"/>
              </w:rPr>
              <w:t xml:space="preserve">对象存储 </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宋体"/>
                <w:bCs/>
                <w:kern w:val="0"/>
                <w:sz w:val="28"/>
                <w:szCs w:val="28"/>
              </w:rPr>
            </w:pPr>
            <w:r>
              <w:rPr>
                <w:rFonts w:ascii="仿宋" w:hAnsi="仿宋" w:eastAsia="仿宋" w:cs="宋体"/>
                <w:bCs/>
                <w:kern w:val="0"/>
                <w:sz w:val="28"/>
                <w:szCs w:val="28"/>
              </w:rPr>
              <w:t>标准型</w:t>
            </w:r>
          </w:p>
        </w:tc>
        <w:tc>
          <w:tcPr>
            <w:tcW w:w="396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按需</w:t>
            </w:r>
          </w:p>
        </w:tc>
        <w:tc>
          <w:tcPr>
            <w:tcW w:w="1559" w:type="dxa"/>
            <w:tcBorders>
              <w:top w:val="single" w:color="000000" w:sz="4" w:space="0"/>
              <w:left w:val="single" w:color="000000" w:sz="4" w:space="0"/>
              <w:bottom w:val="single" w:color="000000" w:sz="4" w:space="0"/>
              <w:right w:val="single" w:color="000000" w:sz="4" w:space="0"/>
            </w:tcBorders>
          </w:tcPr>
          <w:p>
            <w:pPr>
              <w:widowControl/>
              <w:jc w:val="center"/>
              <w:rPr>
                <w:rFonts w:ascii="仿宋" w:hAnsi="仿宋" w:eastAsia="仿宋" w:cs="宋体"/>
                <w:bCs/>
                <w:kern w:val="0"/>
                <w:sz w:val="28"/>
                <w:szCs w:val="28"/>
              </w:rPr>
            </w:pPr>
          </w:p>
        </w:tc>
      </w:tr>
      <w:tr>
        <w:tblPrEx>
          <w:tblCellMar>
            <w:top w:w="0" w:type="dxa"/>
            <w:left w:w="0" w:type="dxa"/>
            <w:bottom w:w="0" w:type="dxa"/>
            <w:right w:w="0" w:type="dxa"/>
          </w:tblCellMar>
        </w:tblPrEx>
        <w:trPr>
          <w:trHeight w:val="285"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IPS入侵防御服务（1套）</w:t>
            </w:r>
          </w:p>
        </w:tc>
        <w:tc>
          <w:tcPr>
            <w:tcW w:w="623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1、入侵防护漏洞规则特征库数量在4000条以上；</w:t>
            </w:r>
            <w:r>
              <w:rPr>
                <w:rFonts w:hint="eastAsia" w:ascii="仿宋" w:hAnsi="仿宋" w:eastAsia="仿宋" w:cs="宋体"/>
                <w:bCs/>
                <w:kern w:val="0"/>
                <w:sz w:val="28"/>
                <w:szCs w:val="28"/>
              </w:rPr>
              <w:br w:type="textWrapping"/>
            </w:r>
            <w:r>
              <w:rPr>
                <w:rFonts w:hint="eastAsia" w:ascii="仿宋" w:hAnsi="仿宋" w:eastAsia="仿宋" w:cs="宋体"/>
                <w:bCs/>
                <w:kern w:val="0"/>
                <w:sz w:val="28"/>
                <w:szCs w:val="28"/>
              </w:rPr>
              <w:t>2、支持对常见应用服务（HTTP、FTP、SSH、SMTP、IMAP）和数据库软件（MySQL、Oracle、MSSQL）的口令暴力破解防护功能；</w:t>
            </w:r>
            <w:r>
              <w:rPr>
                <w:rFonts w:hint="eastAsia" w:ascii="仿宋" w:hAnsi="仿宋" w:eastAsia="仿宋" w:cs="宋体"/>
                <w:bCs/>
                <w:kern w:val="0"/>
                <w:sz w:val="28"/>
                <w:szCs w:val="28"/>
              </w:rPr>
              <w:br w:type="textWrapping"/>
            </w:r>
            <w:r>
              <w:rPr>
                <w:rFonts w:hint="eastAsia" w:ascii="仿宋" w:hAnsi="仿宋" w:eastAsia="仿宋" w:cs="宋体"/>
                <w:bCs/>
                <w:kern w:val="0"/>
                <w:sz w:val="28"/>
                <w:szCs w:val="28"/>
              </w:rPr>
              <w:t>3、具备防护常见网络协议（SSH、FTP、RDP、VNC、Netbios）和数据库（MySQL、Oracle、MSSQL）的弱密码扫描功能；</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限100M</w:t>
            </w:r>
          </w:p>
        </w:tc>
      </w:tr>
      <w:tr>
        <w:tblPrEx>
          <w:tblCellMar>
            <w:top w:w="0" w:type="dxa"/>
            <w:left w:w="0" w:type="dxa"/>
            <w:bottom w:w="0" w:type="dxa"/>
            <w:right w:w="0" w:type="dxa"/>
          </w:tblCellMar>
        </w:tblPrEx>
        <w:trPr>
          <w:trHeight w:val="285"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虚拟防火墙（1套）</w:t>
            </w:r>
          </w:p>
        </w:tc>
        <w:tc>
          <w:tcPr>
            <w:tcW w:w="623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1、支持对1000种以上应用、2500种以上应用动作，可以识别P2P、IM、OA办公应用、数据库应用、ERP应用、软件升级应用、木马外联、炒股软件、视频应用、代理软件、网银等协议；支持自定义规则;</w:t>
            </w:r>
            <w:r>
              <w:rPr>
                <w:rFonts w:hint="eastAsia" w:ascii="仿宋" w:hAnsi="仿宋" w:eastAsia="仿宋" w:cs="宋体"/>
                <w:bCs/>
                <w:kern w:val="0"/>
                <w:sz w:val="28"/>
                <w:szCs w:val="28"/>
              </w:rPr>
              <w:br w:type="textWrapping"/>
            </w:r>
            <w:r>
              <w:rPr>
                <w:rFonts w:hint="eastAsia" w:ascii="仿宋" w:hAnsi="仿宋" w:eastAsia="仿宋" w:cs="宋体"/>
                <w:bCs/>
                <w:kern w:val="0"/>
                <w:sz w:val="28"/>
                <w:szCs w:val="28"/>
              </w:rPr>
              <w:t>2、提供基于应用识别类型、用户名、接口、安全域、IP地址、端口、时间进行应用访问控制列表的制定；</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限100M</w:t>
            </w:r>
          </w:p>
        </w:tc>
      </w:tr>
      <w:tr>
        <w:tblPrEx>
          <w:tblCellMar>
            <w:top w:w="0" w:type="dxa"/>
            <w:left w:w="0" w:type="dxa"/>
            <w:bottom w:w="0" w:type="dxa"/>
            <w:right w:w="0" w:type="dxa"/>
          </w:tblCellMar>
        </w:tblPrEx>
        <w:trPr>
          <w:trHeight w:val="285"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WAF（1套）</w:t>
            </w:r>
          </w:p>
        </w:tc>
        <w:tc>
          <w:tcPr>
            <w:tcW w:w="623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Web攻击防护 保护服务器免受基于Web应用的攻击，如SQL注入防护、XSS攻击防护、CSRF攻击防护、Webshell脚本上传、系统命令注入、文件包含攻击、目录遍历攻击、信息泄露攻击和网站内容管理系统漏洞防护；</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限100M</w:t>
            </w:r>
          </w:p>
        </w:tc>
      </w:tr>
      <w:tr>
        <w:tblPrEx>
          <w:tblCellMar>
            <w:top w:w="0" w:type="dxa"/>
            <w:left w:w="0" w:type="dxa"/>
            <w:bottom w:w="0" w:type="dxa"/>
            <w:right w:w="0" w:type="dxa"/>
          </w:tblCellMar>
        </w:tblPrEx>
        <w:trPr>
          <w:trHeight w:val="285"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网页防篡改（1套）</w:t>
            </w:r>
          </w:p>
        </w:tc>
        <w:tc>
          <w:tcPr>
            <w:tcW w:w="623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1、网页篡改防护 支持在服务器上安装防篡改插件；</w:t>
            </w:r>
            <w:r>
              <w:rPr>
                <w:rFonts w:hint="eastAsia" w:ascii="仿宋" w:hAnsi="仿宋" w:eastAsia="仿宋" w:cs="宋体"/>
                <w:bCs/>
                <w:kern w:val="0"/>
                <w:sz w:val="28"/>
                <w:szCs w:val="28"/>
              </w:rPr>
              <w:br w:type="textWrapping"/>
            </w:r>
            <w:r>
              <w:rPr>
                <w:rFonts w:hint="eastAsia" w:ascii="仿宋" w:hAnsi="仿宋" w:eastAsia="仿宋" w:cs="宋体"/>
                <w:bCs/>
                <w:kern w:val="0"/>
                <w:sz w:val="28"/>
                <w:szCs w:val="28"/>
              </w:rPr>
              <w:t>2、支持通过采用IRF文件驱动流技术，在插件上配置需要保护的文件目录和允许修改该目录的应用程序，识别修改被保护网站目录的应用程序是否合法；</w:t>
            </w:r>
            <w:r>
              <w:rPr>
                <w:rFonts w:hint="eastAsia" w:ascii="仿宋" w:hAnsi="仿宋" w:eastAsia="仿宋" w:cs="宋体"/>
                <w:bCs/>
                <w:kern w:val="0"/>
                <w:sz w:val="28"/>
                <w:szCs w:val="28"/>
              </w:rPr>
              <w:br w:type="textWrapping"/>
            </w:r>
            <w:r>
              <w:rPr>
                <w:rFonts w:hint="eastAsia" w:ascii="仿宋" w:hAnsi="仿宋" w:eastAsia="仿宋" w:cs="宋体"/>
                <w:bCs/>
                <w:kern w:val="0"/>
                <w:sz w:val="28"/>
                <w:szCs w:val="28"/>
              </w:rPr>
              <w:t>3、客户端插件支持记录尝试修改，删除，新增被保护目录下文件的行为日志；</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不限制网站数量</w:t>
            </w:r>
          </w:p>
        </w:tc>
      </w:tr>
      <w:tr>
        <w:tblPrEx>
          <w:tblCellMar>
            <w:top w:w="0" w:type="dxa"/>
            <w:left w:w="0" w:type="dxa"/>
            <w:bottom w:w="0" w:type="dxa"/>
            <w:right w:w="0" w:type="dxa"/>
          </w:tblCellMar>
        </w:tblPrEx>
        <w:trPr>
          <w:trHeight w:val="285"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云主机防护服务（1</w:t>
            </w:r>
            <w:r>
              <w:rPr>
                <w:rFonts w:ascii="仿宋" w:hAnsi="仿宋" w:eastAsia="仿宋" w:cs="宋体"/>
                <w:bCs/>
                <w:kern w:val="0"/>
                <w:sz w:val="28"/>
                <w:szCs w:val="28"/>
              </w:rPr>
              <w:t>1</w:t>
            </w:r>
            <w:r>
              <w:rPr>
                <w:rFonts w:hint="eastAsia" w:ascii="仿宋" w:hAnsi="仿宋" w:eastAsia="仿宋" w:cs="宋体"/>
                <w:bCs/>
                <w:kern w:val="0"/>
                <w:sz w:val="28"/>
                <w:szCs w:val="28"/>
              </w:rPr>
              <w:t>套）</w:t>
            </w:r>
          </w:p>
        </w:tc>
        <w:tc>
          <w:tcPr>
            <w:tcW w:w="623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通过安装在云服务器上轻量级的软件和云端安全中心的联动，在不影响业务的情况下提供漏洞管理、基线检查和入侵告警等功能，适用于跨平台资产、漏洞批量安全管理及采用通用模版建站的网站.</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1台（企业版）</w:t>
            </w:r>
          </w:p>
        </w:tc>
      </w:tr>
      <w:tr>
        <w:tblPrEx>
          <w:tblCellMar>
            <w:top w:w="0" w:type="dxa"/>
            <w:left w:w="0" w:type="dxa"/>
            <w:bottom w:w="0" w:type="dxa"/>
            <w:right w:w="0" w:type="dxa"/>
          </w:tblCellMar>
        </w:tblPrEx>
        <w:trPr>
          <w:trHeight w:val="285"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数据库审计服务（1套）</w:t>
            </w:r>
          </w:p>
        </w:tc>
        <w:tc>
          <w:tcPr>
            <w:tcW w:w="623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支持Oracle数据库审计、SQL-Server数据库审计、DB2数据库审计、MySQL数据库审计；支持同时审计多种数据库及跨多种数据库平台操作</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限100M</w:t>
            </w:r>
          </w:p>
        </w:tc>
      </w:tr>
      <w:tr>
        <w:tblPrEx>
          <w:tblCellMar>
            <w:top w:w="0" w:type="dxa"/>
            <w:left w:w="0" w:type="dxa"/>
            <w:bottom w:w="0" w:type="dxa"/>
            <w:right w:w="0" w:type="dxa"/>
          </w:tblCellMar>
        </w:tblPrEx>
        <w:trPr>
          <w:trHeight w:val="285"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日志审计服务（1套）</w:t>
            </w:r>
          </w:p>
        </w:tc>
        <w:tc>
          <w:tcPr>
            <w:tcW w:w="623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20个资产全面日志采集、分析、展示</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20授权</w:t>
            </w:r>
          </w:p>
        </w:tc>
      </w:tr>
      <w:tr>
        <w:tblPrEx>
          <w:tblCellMar>
            <w:top w:w="0" w:type="dxa"/>
            <w:left w:w="0" w:type="dxa"/>
            <w:bottom w:w="0" w:type="dxa"/>
            <w:right w:w="0" w:type="dxa"/>
          </w:tblCellMar>
        </w:tblPrEx>
        <w:trPr>
          <w:trHeight w:val="285"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运维审计（1套）</w:t>
            </w:r>
          </w:p>
        </w:tc>
        <w:tc>
          <w:tcPr>
            <w:tcW w:w="623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单点登录、账号管理、账号认证、资源授权、访问管理，运维审计等</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20授权</w:t>
            </w:r>
          </w:p>
        </w:tc>
      </w:tr>
    </w:tbl>
    <w:p>
      <w:pPr>
        <w:spacing w:line="360" w:lineRule="auto"/>
        <w:ind w:firstLine="281" w:firstLineChars="100"/>
        <w:rPr>
          <w:rFonts w:ascii="仿宋" w:hAnsi="仿宋" w:eastAsia="仿宋"/>
          <w:b/>
          <w:sz w:val="28"/>
          <w:szCs w:val="28"/>
        </w:rPr>
      </w:pPr>
      <w:r>
        <w:rPr>
          <w:rFonts w:ascii="仿宋" w:hAnsi="仿宋" w:eastAsia="仿宋"/>
          <w:b/>
          <w:sz w:val="28"/>
          <w:szCs w:val="28"/>
        </w:rPr>
        <w:t>1</w:t>
      </w:r>
      <w:r>
        <w:rPr>
          <w:rFonts w:hint="eastAsia" w:ascii="仿宋" w:hAnsi="仿宋" w:eastAsia="仿宋"/>
          <w:b/>
          <w:sz w:val="28"/>
          <w:szCs w:val="28"/>
        </w:rPr>
        <w:t>、云平台成熟度要求</w:t>
      </w:r>
    </w:p>
    <w:p>
      <w:pPr>
        <w:widowControl/>
        <w:spacing w:line="360" w:lineRule="auto"/>
        <w:ind w:firstLine="560" w:firstLineChars="200"/>
        <w:jc w:val="left"/>
        <w:rPr>
          <w:rFonts w:ascii="仿宋" w:hAnsi="仿宋" w:eastAsia="仿宋" w:cs="宋体"/>
          <w:color w:val="000000"/>
          <w:kern w:val="0"/>
          <w:sz w:val="28"/>
          <w:szCs w:val="28"/>
        </w:rPr>
      </w:pPr>
      <w:r>
        <w:rPr>
          <w:rFonts w:ascii="仿宋" w:hAnsi="仿宋" w:eastAsia="仿宋"/>
          <w:bCs/>
          <w:sz w:val="28"/>
          <w:szCs w:val="28"/>
        </w:rPr>
        <w:t>1</w:t>
      </w:r>
      <w:r>
        <w:rPr>
          <w:rFonts w:hint="eastAsia" w:ascii="仿宋" w:hAnsi="仿宋" w:eastAsia="仿宋"/>
          <w:bCs/>
          <w:sz w:val="28"/>
          <w:szCs w:val="28"/>
        </w:rPr>
        <w:t>）</w:t>
      </w:r>
      <w:r>
        <w:rPr>
          <w:rFonts w:hint="eastAsia" w:ascii="仿宋" w:hAnsi="仿宋" w:eastAsia="仿宋" w:cs="宋体"/>
          <w:color w:val="000000"/>
          <w:kern w:val="0"/>
          <w:sz w:val="28"/>
          <w:szCs w:val="28"/>
        </w:rPr>
        <w:t>投标供应商具备工信部数据中心联盟认可的可信云认证证书，产品应包含虚拟化云平台分级、GPU云主机安全、物理机安全、云缓存、云分发、云备份、块存储安全、负载均衡安全等。</w:t>
      </w:r>
    </w:p>
    <w:p>
      <w:pPr>
        <w:widowControl/>
        <w:spacing w:line="360" w:lineRule="auto"/>
        <w:ind w:firstLine="560" w:firstLineChars="200"/>
        <w:jc w:val="left"/>
        <w:rPr>
          <w:rFonts w:ascii="仿宋" w:hAnsi="仿宋" w:eastAsia="仿宋" w:cs="宋体"/>
          <w:color w:val="000000"/>
          <w:kern w:val="0"/>
          <w:sz w:val="28"/>
          <w:szCs w:val="28"/>
        </w:rPr>
      </w:pPr>
      <w:r>
        <w:rPr>
          <w:rFonts w:ascii="仿宋" w:hAnsi="仿宋" w:eastAsia="仿宋" w:cs="宋体"/>
          <w:color w:val="000000"/>
          <w:kern w:val="0"/>
          <w:sz w:val="28"/>
          <w:szCs w:val="28"/>
        </w:rPr>
        <w:t>2</w:t>
      </w:r>
      <w:r>
        <w:rPr>
          <w:rFonts w:hint="eastAsia" w:ascii="仿宋" w:hAnsi="仿宋" w:eastAsia="仿宋" w:cs="宋体"/>
          <w:color w:val="000000"/>
          <w:kern w:val="0"/>
          <w:sz w:val="28"/>
          <w:szCs w:val="28"/>
        </w:rPr>
        <w:t>）投标供应商应在全国范围内具备成熟的公有云资源池部署，为用户提供可靠、安全的云计算平台解决方案，要求所提供云服务是业界领先的云服务，云产品被广泛使用，稳定性高。在最新全球权威咨询机构IDC的中国公有云基础设施服务（IaaS）排名靠前。</w:t>
      </w:r>
    </w:p>
    <w:p>
      <w:pPr>
        <w:widowControl/>
        <w:spacing w:line="360" w:lineRule="auto"/>
        <w:ind w:firstLine="560" w:firstLineChars="200"/>
        <w:jc w:val="left"/>
        <w:rPr>
          <w:rFonts w:ascii="仿宋" w:hAnsi="仿宋" w:eastAsia="仿宋" w:cs="宋体"/>
          <w:color w:val="000000"/>
          <w:kern w:val="0"/>
          <w:sz w:val="28"/>
          <w:szCs w:val="28"/>
        </w:rPr>
      </w:pPr>
      <w:r>
        <w:rPr>
          <w:rFonts w:ascii="仿宋" w:hAnsi="仿宋" w:eastAsia="仿宋" w:cs="宋体"/>
          <w:color w:val="000000"/>
          <w:kern w:val="0"/>
          <w:sz w:val="28"/>
          <w:szCs w:val="28"/>
        </w:rPr>
        <w:t>3</w:t>
      </w:r>
      <w:r>
        <w:rPr>
          <w:rFonts w:hint="eastAsia" w:ascii="仿宋" w:hAnsi="仿宋" w:eastAsia="仿宋" w:cs="宋体"/>
          <w:color w:val="000000"/>
          <w:kern w:val="0"/>
          <w:sz w:val="28"/>
          <w:szCs w:val="28"/>
        </w:rPr>
        <w:t>）云平台应具备在浙江省内的跨区容灾能力，跨区容灾需在不同的可用区范围内，可用区是同一区域内电力和网络互相隔离的物理区域，可用区之间可内网互通，一个可用区不受其他可用区故障的影响，支持跨中心和跨地域的数据同步以及容灾能力。</w:t>
      </w:r>
    </w:p>
    <w:p>
      <w:pPr>
        <w:spacing w:line="360" w:lineRule="auto"/>
        <w:ind w:firstLine="281" w:firstLineChars="100"/>
        <w:rPr>
          <w:rFonts w:ascii="仿宋" w:hAnsi="仿宋" w:eastAsia="仿宋"/>
          <w:b/>
          <w:sz w:val="28"/>
          <w:szCs w:val="28"/>
        </w:rPr>
      </w:pPr>
      <w:r>
        <w:rPr>
          <w:rFonts w:ascii="仿宋" w:hAnsi="仿宋" w:eastAsia="仿宋"/>
          <w:b/>
          <w:sz w:val="28"/>
          <w:szCs w:val="28"/>
        </w:rPr>
        <w:t>2</w:t>
      </w:r>
      <w:r>
        <w:rPr>
          <w:rFonts w:hint="eastAsia" w:ascii="仿宋" w:hAnsi="仿宋" w:eastAsia="仿宋"/>
          <w:b/>
          <w:sz w:val="28"/>
          <w:szCs w:val="28"/>
        </w:rPr>
        <w:t>、云平台安全要求</w:t>
      </w:r>
    </w:p>
    <w:p>
      <w:pPr>
        <w:widowControl/>
        <w:spacing w:line="360" w:lineRule="auto"/>
        <w:ind w:firstLine="560" w:firstLineChars="200"/>
        <w:jc w:val="left"/>
        <w:rPr>
          <w:rFonts w:ascii="仿宋" w:hAnsi="仿宋" w:eastAsia="仿宋"/>
          <w:bCs/>
          <w:sz w:val="28"/>
          <w:szCs w:val="28"/>
        </w:rPr>
      </w:pPr>
      <w:r>
        <w:rPr>
          <w:rFonts w:ascii="仿宋" w:hAnsi="仿宋" w:eastAsia="仿宋"/>
          <w:bCs/>
          <w:sz w:val="28"/>
          <w:szCs w:val="28"/>
        </w:rPr>
        <w:t>1</w:t>
      </w:r>
      <w:r>
        <w:rPr>
          <w:rFonts w:hint="eastAsia" w:ascii="仿宋" w:hAnsi="仿宋" w:eastAsia="仿宋"/>
          <w:bCs/>
          <w:sz w:val="28"/>
          <w:szCs w:val="28"/>
        </w:rPr>
        <w:t>）投标人针对本项目提供具有针对性、成熟性和先进性的入侵防御服务方案。</w:t>
      </w:r>
    </w:p>
    <w:p>
      <w:pPr>
        <w:widowControl/>
        <w:spacing w:line="360" w:lineRule="auto"/>
        <w:ind w:firstLine="560" w:firstLineChars="200"/>
        <w:jc w:val="left"/>
        <w:rPr>
          <w:rFonts w:ascii="仿宋" w:hAnsi="仿宋" w:eastAsia="仿宋"/>
          <w:bCs/>
          <w:sz w:val="28"/>
          <w:szCs w:val="28"/>
        </w:rPr>
      </w:pPr>
      <w:r>
        <w:rPr>
          <w:rFonts w:ascii="仿宋" w:hAnsi="仿宋" w:eastAsia="仿宋"/>
          <w:bCs/>
          <w:sz w:val="28"/>
          <w:szCs w:val="28"/>
        </w:rPr>
        <w:t>2</w:t>
      </w:r>
      <w:r>
        <w:rPr>
          <w:rFonts w:hint="eastAsia" w:ascii="仿宋" w:hAnsi="仿宋" w:eastAsia="仿宋"/>
          <w:bCs/>
          <w:sz w:val="28"/>
          <w:szCs w:val="28"/>
        </w:rPr>
        <w:t>）投标人针对本项目提供具有有针对性、成熟性和先进性的云防护服务方案（提供的方案需同时支持IP地址和域名的防护）。</w:t>
      </w:r>
    </w:p>
    <w:p>
      <w:pPr>
        <w:spacing w:line="360" w:lineRule="auto"/>
        <w:ind w:firstLine="281" w:firstLineChars="100"/>
        <w:rPr>
          <w:rFonts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、云主机性能指标要求</w:t>
      </w:r>
    </w:p>
    <w:p>
      <w:pPr>
        <w:widowControl/>
        <w:spacing w:line="360" w:lineRule="auto"/>
        <w:ind w:firstLine="560" w:firstLineChars="200"/>
        <w:jc w:val="left"/>
        <w:rPr>
          <w:rFonts w:ascii="仿宋" w:hAnsi="仿宋" w:eastAsia="仿宋"/>
          <w:bCs/>
          <w:sz w:val="28"/>
          <w:szCs w:val="28"/>
        </w:rPr>
      </w:pPr>
      <w:r>
        <w:rPr>
          <w:rFonts w:ascii="仿宋" w:hAnsi="仿宋" w:eastAsia="仿宋"/>
          <w:bCs/>
          <w:sz w:val="28"/>
          <w:szCs w:val="28"/>
        </w:rPr>
        <w:t>1</w:t>
      </w:r>
      <w:r>
        <w:rPr>
          <w:rFonts w:hint="eastAsia" w:ascii="仿宋" w:hAnsi="仿宋" w:eastAsia="仿宋"/>
          <w:bCs/>
          <w:sz w:val="28"/>
          <w:szCs w:val="28"/>
        </w:rPr>
        <w:t>）投标供应商所提供大规格虚拟机：最高支持64核CPU，512G内存虚拟机；硬盘挂载能力：最少支持挂载20个32TB云硬盘；带宽能力：单台云主机最高支持2Gbps带宽。</w:t>
      </w:r>
    </w:p>
    <w:p>
      <w:pPr>
        <w:widowControl/>
        <w:spacing w:line="360" w:lineRule="auto"/>
        <w:ind w:firstLine="560" w:firstLineChars="200"/>
        <w:jc w:val="left"/>
        <w:rPr>
          <w:rFonts w:ascii="仿宋" w:hAnsi="仿宋" w:eastAsia="仿宋"/>
          <w:bCs/>
          <w:sz w:val="28"/>
          <w:szCs w:val="28"/>
        </w:rPr>
      </w:pPr>
      <w:r>
        <w:rPr>
          <w:rFonts w:ascii="仿宋" w:hAnsi="仿宋" w:eastAsia="仿宋"/>
          <w:bCs/>
          <w:sz w:val="28"/>
          <w:szCs w:val="28"/>
        </w:rPr>
        <w:t>2</w:t>
      </w:r>
      <w:r>
        <w:rPr>
          <w:rFonts w:hint="eastAsia" w:ascii="仿宋" w:hAnsi="仿宋" w:eastAsia="仿宋"/>
          <w:bCs/>
          <w:sz w:val="28"/>
          <w:szCs w:val="28"/>
        </w:rPr>
        <w:t>）云主机支持“增、删、改、扩”等管理功能；支持创建云服务器组，云服务器可以按反亲和性策略来部署；支持云服务器的个性化初始配置，支持用户申请弹性云服务器时增加数据盘以及网卡，可以分别设置每块数据盘的容量以及每块网卡的网络；提供4种以上云主机机型；支持创建至少三种类型的块存储；支持云主机定期自动备份功能。</w:t>
      </w:r>
    </w:p>
    <w:p>
      <w:pPr>
        <w:spacing w:line="360" w:lineRule="auto"/>
        <w:ind w:firstLine="281" w:firstLineChars="100"/>
        <w:rPr>
          <w:rFonts w:ascii="仿宋" w:hAnsi="仿宋" w:eastAsia="仿宋"/>
          <w:b/>
          <w:sz w:val="28"/>
          <w:szCs w:val="28"/>
        </w:rPr>
      </w:pPr>
      <w:r>
        <w:rPr>
          <w:rFonts w:ascii="仿宋" w:hAnsi="仿宋" w:eastAsia="仿宋"/>
          <w:b/>
          <w:sz w:val="28"/>
          <w:szCs w:val="28"/>
        </w:rPr>
        <w:t>4</w:t>
      </w:r>
      <w:r>
        <w:rPr>
          <w:rFonts w:hint="eastAsia" w:ascii="仿宋" w:hAnsi="仿宋" w:eastAsia="仿宋"/>
          <w:b/>
          <w:sz w:val="28"/>
          <w:szCs w:val="28"/>
        </w:rPr>
        <w:t>、云硬盘性能指标要求</w:t>
      </w:r>
    </w:p>
    <w:p>
      <w:pPr>
        <w:widowControl/>
        <w:spacing w:line="360" w:lineRule="auto"/>
        <w:ind w:firstLine="560" w:firstLineChars="200"/>
        <w:jc w:val="left"/>
        <w:rPr>
          <w:rFonts w:ascii="仿宋" w:hAnsi="仿宋" w:eastAsia="仿宋"/>
          <w:bCs/>
          <w:sz w:val="28"/>
          <w:szCs w:val="28"/>
        </w:rPr>
      </w:pPr>
      <w:r>
        <w:rPr>
          <w:rFonts w:hint="eastAsia" w:ascii="仿宋" w:hAnsi="仿宋" w:eastAsia="仿宋"/>
          <w:bCs/>
          <w:sz w:val="28"/>
          <w:szCs w:val="28"/>
        </w:rPr>
        <w:t>在 OS （操作系统）支持的情况下，支持在线/离线扩容云硬盘容量；支持共享盘，每个云硬盘可以挂载给多台虚拟化云服务器；支持对磁盘进行创建、挂载、卸载、删除、扩容、创建备份等操作。</w:t>
      </w:r>
    </w:p>
    <w:p>
      <w:pPr>
        <w:spacing w:line="360" w:lineRule="auto"/>
        <w:ind w:firstLine="281" w:firstLineChars="100"/>
        <w:rPr>
          <w:rFonts w:ascii="仿宋" w:hAnsi="仿宋" w:eastAsia="仿宋"/>
          <w:b/>
          <w:sz w:val="28"/>
          <w:szCs w:val="28"/>
        </w:rPr>
      </w:pPr>
      <w:r>
        <w:rPr>
          <w:rFonts w:hint="eastAsia" w:ascii="仿宋" w:hAnsi="仿宋" w:eastAsia="仿宋"/>
          <w:b/>
          <w:sz w:val="28"/>
          <w:szCs w:val="28"/>
        </w:rPr>
        <w:t>5、对象存储性能指标要求</w:t>
      </w:r>
    </w:p>
    <w:p>
      <w:pPr>
        <w:widowControl/>
        <w:spacing w:line="360" w:lineRule="auto"/>
        <w:ind w:firstLine="560" w:firstLineChars="200"/>
        <w:jc w:val="left"/>
        <w:rPr>
          <w:rFonts w:ascii="仿宋" w:hAnsi="仿宋" w:eastAsia="仿宋"/>
          <w:bCs/>
          <w:sz w:val="28"/>
          <w:szCs w:val="28"/>
        </w:rPr>
      </w:pPr>
      <w:r>
        <w:rPr>
          <w:rFonts w:hint="eastAsia" w:ascii="仿宋" w:hAnsi="仿宋" w:eastAsia="仿宋"/>
          <w:bCs/>
          <w:sz w:val="28"/>
          <w:szCs w:val="28"/>
        </w:rPr>
        <w:t>投标供应商具备公有云服务的自服务门户，支持实时用量统计、日志记录；支持对象存储服务，提供多版本控制功能，上传同名的对象将以不同的版本号同时保存在对象存储中，为用户意外覆盖或删除对象场景提供恢复功能。</w:t>
      </w:r>
    </w:p>
    <w:p>
      <w:pPr>
        <w:spacing w:line="360" w:lineRule="auto"/>
        <w:ind w:firstLine="281" w:firstLineChars="100"/>
        <w:rPr>
          <w:rFonts w:ascii="仿宋" w:hAnsi="仿宋" w:eastAsia="仿宋"/>
          <w:b/>
          <w:sz w:val="28"/>
          <w:szCs w:val="28"/>
        </w:rPr>
      </w:pPr>
      <w:r>
        <w:rPr>
          <w:rFonts w:hint="eastAsia" w:ascii="仿宋" w:hAnsi="仿宋" w:eastAsia="仿宋"/>
          <w:b/>
          <w:sz w:val="28"/>
          <w:szCs w:val="28"/>
        </w:rPr>
        <w:t>6、虚拟专有网络性能指标</w:t>
      </w:r>
    </w:p>
    <w:p>
      <w:pPr>
        <w:widowControl/>
        <w:spacing w:line="360" w:lineRule="auto"/>
        <w:ind w:firstLine="560" w:firstLineChars="200"/>
        <w:jc w:val="left"/>
        <w:rPr>
          <w:rFonts w:ascii="仿宋" w:hAnsi="仿宋" w:eastAsia="仿宋"/>
          <w:bCs/>
          <w:sz w:val="28"/>
          <w:szCs w:val="28"/>
        </w:rPr>
      </w:pPr>
      <w:r>
        <w:rPr>
          <w:rFonts w:hint="eastAsia" w:ascii="仿宋" w:hAnsi="仿宋" w:eastAsia="仿宋"/>
          <w:bCs/>
          <w:sz w:val="28"/>
          <w:szCs w:val="28"/>
        </w:rPr>
        <w:t>投标供应商支持按需创建使用虚拟专有网络，可通过虚拟交换机将专有网络的私有 IP 地址划分成一个或多个子网，根据需要将其他服务部署在对应的子网下；支持子网ACL 规则创建，通过与子网关联的出/入方向规则控制出入子网的数据流。</w:t>
      </w:r>
    </w:p>
    <w:p>
      <w:pPr>
        <w:rPr>
          <w:rFonts w:ascii="仿宋" w:hAnsi="仿宋" w:eastAsia="仿宋"/>
          <w:kern w:val="0"/>
          <w:sz w:val="28"/>
          <w:szCs w:val="28"/>
        </w:rPr>
      </w:pPr>
      <w:r>
        <w:rPr>
          <w:rFonts w:hint="eastAsia" w:ascii="仿宋" w:hAnsi="仿宋" w:eastAsia="仿宋"/>
          <w:b/>
          <w:sz w:val="28"/>
          <w:szCs w:val="28"/>
        </w:rPr>
        <w:t>（三）</w:t>
      </w:r>
      <w:r>
        <w:rPr>
          <w:rFonts w:ascii="仿宋" w:hAnsi="仿宋" w:eastAsia="仿宋"/>
          <w:b/>
          <w:sz w:val="28"/>
          <w:szCs w:val="28"/>
        </w:rPr>
        <w:t>5G接入服务</w:t>
      </w:r>
    </w:p>
    <w:tbl>
      <w:tblPr>
        <w:tblStyle w:val="43"/>
        <w:tblW w:w="8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969"/>
        <w:gridCol w:w="3251"/>
        <w:gridCol w:w="901"/>
        <w:gridCol w:w="901"/>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79" w:type="dxa"/>
            <w:noWrap/>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序号</w:t>
            </w:r>
          </w:p>
        </w:tc>
        <w:tc>
          <w:tcPr>
            <w:tcW w:w="1069" w:type="dxa"/>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项目</w:t>
            </w:r>
          </w:p>
        </w:tc>
        <w:tc>
          <w:tcPr>
            <w:tcW w:w="3662" w:type="dxa"/>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业务描述</w:t>
            </w:r>
          </w:p>
        </w:tc>
        <w:tc>
          <w:tcPr>
            <w:tcW w:w="992" w:type="dxa"/>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单位</w:t>
            </w:r>
          </w:p>
        </w:tc>
        <w:tc>
          <w:tcPr>
            <w:tcW w:w="992" w:type="dxa"/>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数量</w:t>
            </w:r>
          </w:p>
        </w:tc>
        <w:tc>
          <w:tcPr>
            <w:tcW w:w="2261" w:type="dxa"/>
            <w:noWrap/>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79" w:type="dxa"/>
            <w:noWrap/>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1</w:t>
            </w:r>
          </w:p>
        </w:tc>
        <w:tc>
          <w:tcPr>
            <w:tcW w:w="1069" w:type="dxa"/>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无线接入服务</w:t>
            </w:r>
          </w:p>
        </w:tc>
        <w:tc>
          <w:tcPr>
            <w:tcW w:w="3662" w:type="dxa"/>
            <w:vAlign w:val="center"/>
          </w:tcPr>
          <w:p>
            <w:pPr>
              <w:widowControl/>
              <w:jc w:val="left"/>
              <w:rPr>
                <w:rFonts w:ascii="仿宋" w:hAnsi="仿宋" w:eastAsia="仿宋" w:cs="宋体"/>
                <w:bCs/>
                <w:kern w:val="0"/>
                <w:sz w:val="28"/>
                <w:szCs w:val="28"/>
              </w:rPr>
            </w:pPr>
            <w:r>
              <w:rPr>
                <w:rFonts w:hint="eastAsia" w:ascii="仿宋" w:hAnsi="仿宋" w:eastAsia="仿宋" w:cs="宋体"/>
                <w:bCs/>
                <w:kern w:val="0"/>
                <w:sz w:val="28"/>
                <w:szCs w:val="28"/>
              </w:rPr>
              <w:t>供应商提供的无线补点接入服务需具体以下功能：</w:t>
            </w:r>
          </w:p>
          <w:p>
            <w:pPr>
              <w:widowControl/>
              <w:jc w:val="left"/>
              <w:rPr>
                <w:rFonts w:ascii="仿宋" w:hAnsi="仿宋" w:eastAsia="仿宋" w:cs="宋体"/>
                <w:bCs/>
                <w:kern w:val="0"/>
                <w:sz w:val="28"/>
                <w:szCs w:val="28"/>
              </w:rPr>
            </w:pPr>
            <w:r>
              <w:rPr>
                <w:rFonts w:hint="eastAsia" w:ascii="仿宋" w:hAnsi="仿宋" w:eastAsia="仿宋" w:cs="宋体"/>
                <w:bCs/>
                <w:kern w:val="0"/>
                <w:sz w:val="28"/>
                <w:szCs w:val="28"/>
              </w:rPr>
              <w:t>1.按接入点提供专网无线接入服务；</w:t>
            </w:r>
          </w:p>
          <w:p>
            <w:pPr>
              <w:widowControl/>
              <w:jc w:val="left"/>
              <w:rPr>
                <w:rFonts w:ascii="仿宋" w:hAnsi="仿宋" w:eastAsia="仿宋" w:cs="宋体"/>
                <w:bCs/>
                <w:kern w:val="0"/>
                <w:sz w:val="28"/>
                <w:szCs w:val="28"/>
              </w:rPr>
            </w:pPr>
            <w:r>
              <w:rPr>
                <w:rFonts w:hint="eastAsia" w:ascii="仿宋" w:hAnsi="仿宋" w:eastAsia="仿宋" w:cs="宋体"/>
                <w:bCs/>
                <w:kern w:val="0"/>
                <w:sz w:val="28"/>
                <w:szCs w:val="28"/>
              </w:rPr>
              <w:t>2.满足便携投注机仅在固定片区使用，具有地域限制功能；</w:t>
            </w:r>
          </w:p>
          <w:p>
            <w:pPr>
              <w:widowControl/>
              <w:jc w:val="left"/>
              <w:rPr>
                <w:rFonts w:ascii="仿宋" w:hAnsi="仿宋" w:eastAsia="仿宋" w:cs="宋体"/>
                <w:bCs/>
                <w:kern w:val="0"/>
                <w:sz w:val="28"/>
                <w:szCs w:val="28"/>
              </w:rPr>
            </w:pPr>
            <w:r>
              <w:rPr>
                <w:rFonts w:hint="eastAsia" w:ascii="仿宋" w:hAnsi="仿宋" w:eastAsia="仿宋" w:cs="宋体"/>
                <w:bCs/>
                <w:kern w:val="0"/>
                <w:sz w:val="28"/>
                <w:szCs w:val="28"/>
              </w:rPr>
              <w:t>3.无线接入的专网需与现网保持业务一致</w:t>
            </w:r>
          </w:p>
          <w:p>
            <w:pPr>
              <w:widowControl/>
              <w:jc w:val="left"/>
              <w:rPr>
                <w:rFonts w:ascii="仿宋" w:hAnsi="仿宋" w:eastAsia="仿宋" w:cs="宋体"/>
                <w:bCs/>
                <w:color w:val="FF0000"/>
                <w:kern w:val="0"/>
                <w:sz w:val="28"/>
                <w:szCs w:val="28"/>
              </w:rPr>
            </w:pPr>
            <w:r>
              <w:rPr>
                <w:rFonts w:hint="eastAsia" w:ascii="仿宋" w:hAnsi="仿宋" w:eastAsia="仿宋" w:cs="宋体"/>
                <w:bCs/>
                <w:color w:val="auto"/>
                <w:kern w:val="0"/>
                <w:sz w:val="28"/>
                <w:szCs w:val="28"/>
              </w:rPr>
              <w:t>4.无线接入计费为首话单激活，且三个月没有流量自动注销</w:t>
            </w:r>
          </w:p>
        </w:tc>
        <w:tc>
          <w:tcPr>
            <w:tcW w:w="992" w:type="dxa"/>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项</w:t>
            </w:r>
          </w:p>
        </w:tc>
        <w:tc>
          <w:tcPr>
            <w:tcW w:w="992" w:type="dxa"/>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500</w:t>
            </w:r>
          </w:p>
        </w:tc>
        <w:tc>
          <w:tcPr>
            <w:tcW w:w="2261" w:type="dxa"/>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提供省内任意指定位置投注机安全接入。要求专网接入，与互联网隔离。</w:t>
            </w:r>
          </w:p>
          <w:p>
            <w:pPr>
              <w:widowControl/>
              <w:jc w:val="center"/>
              <w:rPr>
                <w:rFonts w:ascii="仿宋" w:hAnsi="仿宋" w:eastAsia="仿宋" w:cs="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79" w:type="dxa"/>
            <w:noWrap/>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2</w:t>
            </w:r>
          </w:p>
        </w:tc>
        <w:tc>
          <w:tcPr>
            <w:tcW w:w="1069" w:type="dxa"/>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运维服务</w:t>
            </w:r>
          </w:p>
        </w:tc>
        <w:tc>
          <w:tcPr>
            <w:tcW w:w="3662" w:type="dxa"/>
            <w:vAlign w:val="center"/>
          </w:tcPr>
          <w:p>
            <w:pPr>
              <w:widowControl/>
              <w:jc w:val="left"/>
              <w:rPr>
                <w:rFonts w:ascii="仿宋" w:hAnsi="仿宋" w:eastAsia="仿宋" w:cs="宋体"/>
                <w:bCs/>
                <w:kern w:val="0"/>
                <w:sz w:val="28"/>
                <w:szCs w:val="28"/>
              </w:rPr>
            </w:pPr>
            <w:r>
              <w:rPr>
                <w:rFonts w:hint="eastAsia" w:ascii="仿宋" w:hAnsi="仿宋" w:eastAsia="仿宋" w:cs="宋体"/>
                <w:bCs/>
                <w:kern w:val="0"/>
                <w:sz w:val="28"/>
                <w:szCs w:val="28"/>
              </w:rPr>
              <w:t>保持当前网络的服务水平</w:t>
            </w:r>
          </w:p>
        </w:tc>
        <w:tc>
          <w:tcPr>
            <w:tcW w:w="992" w:type="dxa"/>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项</w:t>
            </w:r>
          </w:p>
        </w:tc>
        <w:tc>
          <w:tcPr>
            <w:tcW w:w="992" w:type="dxa"/>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1</w:t>
            </w:r>
          </w:p>
        </w:tc>
        <w:tc>
          <w:tcPr>
            <w:tcW w:w="2261" w:type="dxa"/>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提供日常巡检、应急维护等服务</w:t>
            </w:r>
          </w:p>
        </w:tc>
      </w:tr>
    </w:tbl>
    <w:p>
      <w:pPr>
        <w:tabs>
          <w:tab w:val="left" w:pos="0"/>
        </w:tabs>
        <w:adjustRightInd w:val="0"/>
        <w:spacing w:line="360" w:lineRule="auto"/>
        <w:ind w:firstLine="480"/>
        <w:rPr>
          <w:rFonts w:ascii="仿宋" w:hAnsi="仿宋" w:eastAsia="仿宋" w:cs="Helvetica"/>
          <w:b/>
          <w:bCs/>
          <w:kern w:val="0"/>
          <w:sz w:val="28"/>
          <w:szCs w:val="28"/>
        </w:rPr>
      </w:pPr>
      <w:r>
        <w:rPr>
          <w:rFonts w:ascii="仿宋" w:hAnsi="仿宋" w:eastAsia="仿宋" w:cs="Helvetica"/>
          <w:b/>
          <w:bCs/>
          <w:kern w:val="0"/>
          <w:sz w:val="28"/>
          <w:szCs w:val="28"/>
        </w:rPr>
        <w:t>1</w:t>
      </w:r>
      <w:r>
        <w:rPr>
          <w:rFonts w:hint="eastAsia" w:ascii="仿宋" w:hAnsi="仿宋" w:eastAsia="仿宋" w:cs="Helvetica"/>
          <w:b/>
          <w:bCs/>
          <w:kern w:val="0"/>
          <w:sz w:val="28"/>
          <w:szCs w:val="28"/>
        </w:rPr>
        <w:t>、5G定制网技术服务</w:t>
      </w:r>
    </w:p>
    <w:p>
      <w:pPr>
        <w:tabs>
          <w:tab w:val="left" w:pos="0"/>
        </w:tabs>
        <w:adjustRightInd w:val="0"/>
        <w:spacing w:line="360" w:lineRule="auto"/>
        <w:ind w:firstLine="480"/>
        <w:rPr>
          <w:rFonts w:ascii="仿宋" w:hAnsi="仿宋" w:eastAsia="仿宋" w:cs="Helvetica"/>
          <w:b/>
          <w:bCs/>
          <w:kern w:val="0"/>
          <w:sz w:val="28"/>
          <w:szCs w:val="28"/>
        </w:rPr>
      </w:pPr>
      <w:r>
        <w:rPr>
          <w:rFonts w:hint="eastAsia" w:ascii="仿宋" w:hAnsi="仿宋" w:eastAsia="仿宋" w:cs="Helvetica"/>
          <w:b/>
          <w:bCs/>
          <w:kern w:val="0"/>
          <w:sz w:val="28"/>
          <w:szCs w:val="28"/>
        </w:rPr>
        <w:t>1）、接入技术标准</w:t>
      </w:r>
    </w:p>
    <w:p>
      <w:pPr>
        <w:tabs>
          <w:tab w:val="left" w:pos="0"/>
        </w:tabs>
        <w:adjustRightInd w:val="0"/>
        <w:spacing w:line="360" w:lineRule="auto"/>
        <w:ind w:firstLine="480"/>
        <w:rPr>
          <w:rFonts w:ascii="仿宋" w:hAnsi="仿宋" w:eastAsia="仿宋" w:cs="Helvetica"/>
          <w:kern w:val="0"/>
          <w:sz w:val="28"/>
          <w:szCs w:val="28"/>
        </w:rPr>
      </w:pPr>
      <w:r>
        <w:rPr>
          <w:rFonts w:hint="eastAsia" w:ascii="仿宋" w:hAnsi="仿宋" w:eastAsia="仿宋" w:cs="Helvetica"/>
          <w:kern w:val="0"/>
          <w:sz w:val="28"/>
          <w:szCs w:val="28"/>
        </w:rPr>
        <w:t>（1）5G定制网技术标准</w:t>
      </w:r>
    </w:p>
    <w:p>
      <w:pPr>
        <w:numPr>
          <w:ilvl w:val="0"/>
          <w:numId w:val="9"/>
        </w:numPr>
        <w:tabs>
          <w:tab w:val="left" w:pos="0"/>
        </w:tabs>
        <w:adjustRightInd w:val="0"/>
        <w:spacing w:line="360" w:lineRule="auto"/>
        <w:rPr>
          <w:rFonts w:ascii="仿宋" w:hAnsi="仿宋" w:eastAsia="仿宋" w:cs="Helvetica"/>
          <w:kern w:val="0"/>
          <w:sz w:val="28"/>
          <w:szCs w:val="28"/>
        </w:rPr>
      </w:pPr>
      <w:r>
        <w:rPr>
          <w:rFonts w:hint="eastAsia" w:ascii="仿宋" w:hAnsi="仿宋" w:eastAsia="仿宋" w:cs="Helvetica"/>
          <w:kern w:val="0"/>
          <w:sz w:val="28"/>
          <w:szCs w:val="28"/>
        </w:rPr>
        <w:t xml:space="preserve">在平台网络侧，认证平台侧提供双冗余保护； </w:t>
      </w:r>
    </w:p>
    <w:p>
      <w:pPr>
        <w:numPr>
          <w:ilvl w:val="0"/>
          <w:numId w:val="9"/>
        </w:numPr>
        <w:tabs>
          <w:tab w:val="left" w:pos="0"/>
        </w:tabs>
        <w:adjustRightInd w:val="0"/>
        <w:spacing w:line="360" w:lineRule="auto"/>
        <w:rPr>
          <w:rFonts w:ascii="仿宋" w:hAnsi="仿宋" w:eastAsia="仿宋" w:cs="Helvetica"/>
          <w:kern w:val="0"/>
          <w:sz w:val="28"/>
          <w:szCs w:val="28"/>
        </w:rPr>
      </w:pPr>
      <w:r>
        <w:rPr>
          <w:rFonts w:hint="eastAsia" w:ascii="仿宋" w:hAnsi="仿宋" w:eastAsia="仿宋" w:cs="Helvetica"/>
          <w:kern w:val="0"/>
          <w:sz w:val="28"/>
          <w:szCs w:val="28"/>
        </w:rPr>
        <w:t>供应商所提供的地域限制能力，需最小限制达到扇区级；</w:t>
      </w:r>
    </w:p>
    <w:p>
      <w:pPr>
        <w:numPr>
          <w:ilvl w:val="0"/>
          <w:numId w:val="9"/>
        </w:numPr>
        <w:tabs>
          <w:tab w:val="left" w:pos="0"/>
        </w:tabs>
        <w:adjustRightInd w:val="0"/>
        <w:spacing w:line="360" w:lineRule="auto"/>
        <w:rPr>
          <w:rFonts w:ascii="仿宋" w:hAnsi="仿宋" w:eastAsia="仿宋" w:cs="Helvetica"/>
          <w:kern w:val="0"/>
          <w:sz w:val="28"/>
          <w:szCs w:val="28"/>
        </w:rPr>
      </w:pPr>
      <w:r>
        <w:rPr>
          <w:rFonts w:hint="eastAsia" w:ascii="仿宋" w:hAnsi="仿宋" w:eastAsia="仿宋" w:cs="Helvetica"/>
          <w:kern w:val="0"/>
          <w:sz w:val="28"/>
          <w:szCs w:val="28"/>
        </w:rPr>
        <w:t>供应商所提供的网络接入点位可在浙江全省使用；</w:t>
      </w:r>
    </w:p>
    <w:p>
      <w:pPr>
        <w:tabs>
          <w:tab w:val="left" w:pos="0"/>
        </w:tabs>
        <w:adjustRightInd w:val="0"/>
        <w:spacing w:line="360" w:lineRule="auto"/>
        <w:ind w:firstLine="480"/>
        <w:rPr>
          <w:rFonts w:ascii="仿宋" w:hAnsi="仿宋" w:eastAsia="仿宋" w:cs="Helvetica"/>
          <w:b/>
          <w:bCs/>
          <w:kern w:val="0"/>
          <w:sz w:val="28"/>
          <w:szCs w:val="28"/>
        </w:rPr>
      </w:pPr>
      <w:r>
        <w:rPr>
          <w:rFonts w:hint="eastAsia" w:ascii="仿宋" w:hAnsi="仿宋" w:eastAsia="仿宋" w:cs="Helvetica"/>
          <w:b/>
          <w:bCs/>
          <w:kern w:val="0"/>
          <w:sz w:val="28"/>
          <w:szCs w:val="28"/>
        </w:rPr>
        <w:t>2）、线路运维服务要求</w:t>
      </w:r>
    </w:p>
    <w:p>
      <w:pPr>
        <w:numPr>
          <w:ilvl w:val="0"/>
          <w:numId w:val="9"/>
        </w:numPr>
        <w:tabs>
          <w:tab w:val="left" w:pos="0"/>
        </w:tabs>
        <w:adjustRightInd w:val="0"/>
        <w:spacing w:line="360" w:lineRule="auto"/>
        <w:rPr>
          <w:rFonts w:ascii="仿宋" w:hAnsi="仿宋" w:eastAsia="仿宋" w:cs="Helvetica"/>
          <w:kern w:val="0"/>
          <w:sz w:val="28"/>
          <w:szCs w:val="28"/>
        </w:rPr>
      </w:pPr>
      <w:r>
        <w:rPr>
          <w:rFonts w:hint="eastAsia" w:ascii="仿宋" w:hAnsi="仿宋" w:eastAsia="仿宋" w:cs="Helvetica"/>
          <w:kern w:val="0"/>
          <w:sz w:val="28"/>
          <w:szCs w:val="28"/>
        </w:rPr>
        <w:t>提供7×24小时故障申告受理服务；</w:t>
      </w:r>
    </w:p>
    <w:p>
      <w:pPr>
        <w:numPr>
          <w:ilvl w:val="0"/>
          <w:numId w:val="9"/>
        </w:numPr>
        <w:tabs>
          <w:tab w:val="left" w:pos="0"/>
        </w:tabs>
        <w:adjustRightInd w:val="0"/>
        <w:spacing w:line="360" w:lineRule="auto"/>
        <w:rPr>
          <w:rFonts w:ascii="仿宋" w:hAnsi="仿宋" w:eastAsia="仿宋" w:cs="Helvetica"/>
          <w:kern w:val="0"/>
          <w:sz w:val="28"/>
          <w:szCs w:val="28"/>
        </w:rPr>
      </w:pPr>
      <w:r>
        <w:rPr>
          <w:rFonts w:hint="eastAsia" w:ascii="仿宋" w:hAnsi="仿宋" w:eastAsia="仿宋" w:cs="Helvetica"/>
          <w:kern w:val="0"/>
          <w:sz w:val="28"/>
          <w:szCs w:val="28"/>
        </w:rPr>
        <w:t>提供7×24小时不间断技术支持，并提供“一站式”服务；</w:t>
      </w:r>
    </w:p>
    <w:p>
      <w:pPr>
        <w:numPr>
          <w:ilvl w:val="0"/>
          <w:numId w:val="9"/>
        </w:numPr>
        <w:tabs>
          <w:tab w:val="left" w:pos="0"/>
        </w:tabs>
        <w:adjustRightInd w:val="0"/>
        <w:spacing w:line="360" w:lineRule="auto"/>
        <w:rPr>
          <w:rFonts w:ascii="仿宋" w:hAnsi="仿宋" w:eastAsia="仿宋" w:cs="Helvetica"/>
          <w:kern w:val="0"/>
          <w:sz w:val="28"/>
          <w:szCs w:val="28"/>
        </w:rPr>
      </w:pPr>
      <w:r>
        <w:rPr>
          <w:rFonts w:hint="eastAsia" w:ascii="仿宋" w:hAnsi="仿宋" w:eastAsia="仿宋" w:cs="Helvetica"/>
          <w:kern w:val="0"/>
          <w:sz w:val="28"/>
          <w:szCs w:val="28"/>
        </w:rPr>
        <w:t>建立联系制度，沟通网络运行情况和服务情况；</w:t>
      </w:r>
    </w:p>
    <w:p>
      <w:pPr>
        <w:numPr>
          <w:ilvl w:val="0"/>
          <w:numId w:val="9"/>
        </w:numPr>
        <w:tabs>
          <w:tab w:val="left" w:pos="0"/>
        </w:tabs>
        <w:adjustRightInd w:val="0"/>
        <w:spacing w:line="360" w:lineRule="auto"/>
        <w:rPr>
          <w:rFonts w:ascii="仿宋" w:hAnsi="仿宋" w:eastAsia="仿宋" w:cs="Helvetica"/>
          <w:kern w:val="0"/>
          <w:sz w:val="28"/>
          <w:szCs w:val="28"/>
        </w:rPr>
      </w:pPr>
      <w:r>
        <w:rPr>
          <w:rFonts w:hint="eastAsia" w:ascii="仿宋" w:hAnsi="仿宋" w:eastAsia="仿宋" w:cs="Helvetica"/>
          <w:kern w:val="0"/>
          <w:sz w:val="28"/>
          <w:szCs w:val="28"/>
        </w:rPr>
        <w:t>在采购人提供所有设备IMEI国际移动设备识别码清单的前提下，5G卡网络接入不会机卡绑定；</w:t>
      </w:r>
    </w:p>
    <w:p>
      <w:pPr>
        <w:tabs>
          <w:tab w:val="left" w:pos="0"/>
        </w:tabs>
        <w:adjustRightInd w:val="0"/>
        <w:spacing w:line="360" w:lineRule="auto"/>
        <w:ind w:firstLine="480"/>
        <w:rPr>
          <w:rFonts w:ascii="仿宋" w:hAnsi="仿宋" w:eastAsia="仿宋" w:cs="Helvetica"/>
          <w:b/>
          <w:bCs/>
          <w:kern w:val="0"/>
          <w:sz w:val="28"/>
          <w:szCs w:val="28"/>
        </w:rPr>
      </w:pPr>
      <w:r>
        <w:rPr>
          <w:rFonts w:hint="eastAsia" w:ascii="仿宋" w:hAnsi="仿宋" w:eastAsia="仿宋" w:cs="Helvetica"/>
          <w:b/>
          <w:bCs/>
          <w:kern w:val="0"/>
          <w:sz w:val="28"/>
          <w:szCs w:val="28"/>
        </w:rPr>
        <w:t>3）、认证平台运维、安全服务要求</w:t>
      </w:r>
    </w:p>
    <w:p>
      <w:pPr>
        <w:numPr>
          <w:ilvl w:val="0"/>
          <w:numId w:val="9"/>
        </w:numPr>
        <w:tabs>
          <w:tab w:val="left" w:pos="0"/>
        </w:tabs>
        <w:adjustRightInd w:val="0"/>
        <w:spacing w:line="360" w:lineRule="auto"/>
        <w:rPr>
          <w:rFonts w:ascii="仿宋" w:hAnsi="仿宋" w:eastAsia="仿宋" w:cs="Helvetica"/>
          <w:kern w:val="0"/>
          <w:sz w:val="28"/>
          <w:szCs w:val="28"/>
        </w:rPr>
      </w:pPr>
      <w:r>
        <w:rPr>
          <w:rFonts w:hint="eastAsia" w:ascii="仿宋" w:hAnsi="仿宋" w:eastAsia="仿宋" w:cs="Helvetica"/>
          <w:kern w:val="0"/>
          <w:sz w:val="28"/>
          <w:szCs w:val="28"/>
        </w:rPr>
        <w:t>提供7×24小时故障申告受理服务；</w:t>
      </w:r>
    </w:p>
    <w:p>
      <w:pPr>
        <w:numPr>
          <w:ilvl w:val="0"/>
          <w:numId w:val="9"/>
        </w:numPr>
        <w:tabs>
          <w:tab w:val="left" w:pos="0"/>
        </w:tabs>
        <w:adjustRightInd w:val="0"/>
        <w:spacing w:line="360" w:lineRule="auto"/>
        <w:rPr>
          <w:rFonts w:ascii="仿宋" w:hAnsi="仿宋" w:eastAsia="仿宋" w:cs="Helvetica"/>
          <w:kern w:val="0"/>
          <w:sz w:val="28"/>
          <w:szCs w:val="28"/>
        </w:rPr>
      </w:pPr>
      <w:r>
        <w:rPr>
          <w:rFonts w:hint="eastAsia" w:ascii="仿宋" w:hAnsi="仿宋" w:eastAsia="仿宋" w:cs="Helvetica"/>
          <w:kern w:val="0"/>
          <w:sz w:val="28"/>
          <w:szCs w:val="28"/>
        </w:rPr>
        <w:t>提供7×24小时不间断技术支持；</w:t>
      </w:r>
    </w:p>
    <w:p>
      <w:pPr>
        <w:numPr>
          <w:ilvl w:val="0"/>
          <w:numId w:val="9"/>
        </w:numPr>
        <w:tabs>
          <w:tab w:val="left" w:pos="0"/>
        </w:tabs>
        <w:adjustRightInd w:val="0"/>
        <w:spacing w:line="360" w:lineRule="auto"/>
        <w:rPr>
          <w:rFonts w:ascii="仿宋" w:hAnsi="仿宋" w:eastAsia="仿宋"/>
          <w:sz w:val="28"/>
          <w:szCs w:val="28"/>
        </w:rPr>
      </w:pPr>
      <w:r>
        <w:rPr>
          <w:rFonts w:hint="eastAsia" w:ascii="仿宋" w:hAnsi="仿宋" w:eastAsia="仿宋" w:cs="Helvetica"/>
          <w:kern w:val="0"/>
          <w:sz w:val="28"/>
          <w:szCs w:val="28"/>
        </w:rPr>
        <w:t>故障发生后，1小时内达到现场，故障4小时内修复或提供采购方认可的解决方案。</w:t>
      </w:r>
    </w:p>
    <w:p>
      <w:pPr>
        <w:numPr>
          <w:ilvl w:val="0"/>
          <w:numId w:val="7"/>
        </w:numPr>
        <w:rPr>
          <w:rFonts w:ascii="仿宋" w:hAnsi="仿宋" w:eastAsia="仿宋"/>
          <w:b/>
          <w:bCs/>
          <w:sz w:val="28"/>
          <w:szCs w:val="28"/>
        </w:rPr>
      </w:pPr>
      <w:bookmarkStart w:id="37" w:name="_Toc410822653"/>
      <w:r>
        <w:rPr>
          <w:rFonts w:hint="eastAsia" w:ascii="仿宋" w:hAnsi="仿宋" w:eastAsia="仿宋"/>
          <w:b/>
          <w:bCs/>
          <w:sz w:val="28"/>
          <w:szCs w:val="28"/>
        </w:rPr>
        <w:t>其他要求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1、要求省电信加强与各地市电信的联系，能提供各地市电信福彩客户经理的联系方式，在遇到突发线路故障或局部地区故障时，各市福彩中心能第一时间与当地电信联系。</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2、如遇重大线路故障且因电信方面自身原因不能满足运维服务要求，造成福彩销售重大损失的情况，电信应赔偿相应的损失。</w:t>
      </w:r>
    </w:p>
    <w:p>
      <w:pPr>
        <w:spacing w:line="360" w:lineRule="auto"/>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、要求电信提供省福彩电信集团最重要客服的服务。</w:t>
      </w:r>
    </w:p>
    <w:p>
      <w:pPr>
        <w:spacing w:line="360" w:lineRule="auto"/>
        <w:ind w:firstLine="560" w:firstLineChars="200"/>
        <w:rPr>
          <w:rFonts w:ascii="仿宋" w:hAnsi="仿宋" w:eastAsia="仿宋"/>
          <w:bCs/>
          <w:sz w:val="28"/>
          <w:szCs w:val="28"/>
        </w:rPr>
      </w:pPr>
      <w:r>
        <w:rPr>
          <w:rFonts w:ascii="仿宋" w:hAnsi="仿宋" w:eastAsia="仿宋"/>
          <w:bCs/>
          <w:sz w:val="28"/>
          <w:szCs w:val="28"/>
        </w:rPr>
        <w:t>4</w:t>
      </w:r>
      <w:r>
        <w:rPr>
          <w:rFonts w:hint="eastAsia" w:ascii="仿宋" w:hAnsi="仿宋" w:eastAsia="仿宋"/>
          <w:bCs/>
          <w:sz w:val="28"/>
          <w:szCs w:val="28"/>
        </w:rPr>
        <w:t>、提供驻场技术人员，定期帮助省中心管理员巡查网络安全状况，帮助省中心做好网络安全预警等相关工作。该驻场技术人员工作能力由采购人人员考评，如采购人认为该技术人员能力不能达到要求，采购人有权要求更换技术服务人员，直到采购人认可为止。</w:t>
      </w:r>
    </w:p>
    <w:p>
      <w:pPr>
        <w:spacing w:line="360" w:lineRule="auto"/>
        <w:ind w:firstLine="560" w:firstLineChars="200"/>
        <w:rPr>
          <w:rFonts w:ascii="仿宋" w:hAnsi="仿宋" w:eastAsia="仿宋"/>
          <w:bCs/>
          <w:sz w:val="28"/>
          <w:szCs w:val="28"/>
        </w:rPr>
      </w:pPr>
      <w:r>
        <w:rPr>
          <w:rFonts w:ascii="仿宋" w:hAnsi="仿宋" w:eastAsia="仿宋"/>
          <w:bCs/>
          <w:sz w:val="28"/>
          <w:szCs w:val="28"/>
        </w:rPr>
        <w:t>5</w:t>
      </w:r>
      <w:r>
        <w:rPr>
          <w:rFonts w:hint="eastAsia" w:ascii="仿宋" w:hAnsi="仿宋" w:eastAsia="仿宋"/>
          <w:bCs/>
          <w:sz w:val="28"/>
          <w:szCs w:val="28"/>
        </w:rPr>
        <w:t>、建立联系制度，沟通网络运行情况和服务情况。</w:t>
      </w:r>
    </w:p>
    <w:p>
      <w:pPr>
        <w:spacing w:line="360" w:lineRule="auto"/>
        <w:ind w:firstLine="560" w:firstLineChars="200"/>
        <w:rPr>
          <w:rFonts w:ascii="仿宋" w:hAnsi="仿宋" w:eastAsia="仿宋"/>
          <w:bCs/>
          <w:sz w:val="28"/>
          <w:szCs w:val="28"/>
        </w:rPr>
      </w:pPr>
      <w:r>
        <w:rPr>
          <w:rFonts w:ascii="仿宋" w:hAnsi="仿宋" w:eastAsia="仿宋"/>
          <w:bCs/>
          <w:sz w:val="28"/>
          <w:szCs w:val="28"/>
        </w:rPr>
        <w:t>6</w:t>
      </w:r>
      <w:r>
        <w:rPr>
          <w:rFonts w:hint="eastAsia" w:ascii="仿宋" w:hAnsi="仿宋" w:eastAsia="仿宋"/>
          <w:bCs/>
          <w:sz w:val="28"/>
          <w:szCs w:val="28"/>
        </w:rPr>
        <w:t>、凡在本项目运行过程中线路接入必须的软硬件设施(如线缆、软件、硬件、模块等，包括未列出而系统实施又必需的软件、硬件)、服务等一切费用均以应包含在本次投标报价当中，采购人不再增加与此项目相关的任何费用，中标人也不得以任何理由增加费用。</w:t>
      </w:r>
      <w:bookmarkEnd w:id="37"/>
    </w:p>
    <w:p>
      <w:pPr>
        <w:spacing w:line="360" w:lineRule="auto"/>
        <w:rPr>
          <w:rFonts w:ascii="仿宋" w:hAnsi="仿宋" w:eastAsia="仿宋"/>
          <w:b/>
          <w:bCs/>
          <w:sz w:val="28"/>
          <w:szCs w:val="28"/>
        </w:rPr>
      </w:pPr>
      <w:r>
        <w:rPr>
          <w:rFonts w:hint="eastAsia" w:ascii="仿宋" w:hAnsi="仿宋" w:eastAsia="仿宋"/>
          <w:b/>
          <w:bCs/>
          <w:sz w:val="28"/>
          <w:szCs w:val="28"/>
        </w:rPr>
        <w:t>商务要求表</w:t>
      </w:r>
    </w:p>
    <w:tbl>
      <w:tblPr>
        <w:tblStyle w:val="4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服务期限（交付期）及地点</w:t>
            </w:r>
          </w:p>
        </w:tc>
        <w:tc>
          <w:tcPr>
            <w:tcW w:w="6775" w:type="dxa"/>
            <w:vAlign w:val="center"/>
          </w:tcPr>
          <w:p>
            <w:pPr>
              <w:rPr>
                <w:rFonts w:ascii="仿宋" w:hAnsi="仿宋" w:eastAsia="仿宋"/>
                <w:sz w:val="28"/>
                <w:szCs w:val="28"/>
              </w:rPr>
            </w:pPr>
            <w:r>
              <w:rPr>
                <w:rFonts w:ascii="仿宋" w:hAnsi="仿宋" w:eastAsia="仿宋"/>
                <w:sz w:val="28"/>
                <w:szCs w:val="28"/>
              </w:rPr>
              <w:t>12</w:t>
            </w:r>
            <w:r>
              <w:rPr>
                <w:rFonts w:hint="eastAsia" w:ascii="仿宋" w:hAnsi="仿宋" w:eastAsia="仿宋"/>
                <w:sz w:val="28"/>
                <w:szCs w:val="28"/>
              </w:rPr>
              <w:t>个月，采购人指定省内地点。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付款条件</w:t>
            </w:r>
          </w:p>
        </w:tc>
        <w:tc>
          <w:tcPr>
            <w:tcW w:w="6775" w:type="dxa"/>
            <w:vAlign w:val="center"/>
          </w:tcPr>
          <w:p>
            <w:pPr>
              <w:rPr>
                <w:rFonts w:ascii="仿宋" w:hAnsi="仿宋" w:eastAsia="仿宋" w:cs="仿宋"/>
                <w:bCs/>
                <w:sz w:val="28"/>
                <w:szCs w:val="28"/>
              </w:rPr>
            </w:pPr>
            <w:r>
              <w:rPr>
                <w:rFonts w:hint="eastAsia" w:ascii="仿宋" w:hAnsi="仿宋" w:eastAsia="仿宋" w:cs="仿宋"/>
                <w:bCs/>
                <w:sz w:val="28"/>
                <w:szCs w:val="28"/>
              </w:rPr>
              <w:t>合同签订后第6</w:t>
            </w:r>
            <w:r>
              <w:rPr>
                <w:rFonts w:ascii="仿宋" w:hAnsi="仿宋" w:eastAsia="仿宋" w:cs="仿宋"/>
                <w:bCs/>
                <w:sz w:val="28"/>
                <w:szCs w:val="28"/>
              </w:rPr>
              <w:t>个月支付合同款的</w:t>
            </w:r>
            <w:r>
              <w:rPr>
                <w:rFonts w:hint="eastAsia" w:ascii="仿宋" w:hAnsi="仿宋" w:eastAsia="仿宋" w:cs="仿宋"/>
                <w:bCs/>
                <w:sz w:val="28"/>
                <w:szCs w:val="28"/>
              </w:rPr>
              <w:t>50</w:t>
            </w:r>
            <w:r>
              <w:rPr>
                <w:rFonts w:ascii="仿宋" w:hAnsi="仿宋" w:eastAsia="仿宋" w:cs="仿宋"/>
                <w:bCs/>
                <w:sz w:val="28"/>
                <w:szCs w:val="28"/>
              </w:rPr>
              <w:t>%，第</w:t>
            </w:r>
            <w:r>
              <w:rPr>
                <w:rFonts w:hint="eastAsia" w:ascii="仿宋" w:hAnsi="仿宋" w:eastAsia="仿宋" w:cs="仿宋"/>
                <w:bCs/>
                <w:sz w:val="28"/>
                <w:szCs w:val="28"/>
              </w:rPr>
              <w:t>9个月支付合同款的20%，</w:t>
            </w:r>
            <w:r>
              <w:rPr>
                <w:rFonts w:ascii="仿宋" w:hAnsi="仿宋" w:eastAsia="仿宋" w:cs="仿宋"/>
                <w:bCs/>
                <w:sz w:val="28"/>
                <w:szCs w:val="28"/>
              </w:rPr>
              <w:t>最后一次</w:t>
            </w:r>
            <w:r>
              <w:rPr>
                <w:rFonts w:hint="eastAsia" w:ascii="仿宋" w:hAnsi="仿宋" w:eastAsia="仿宋" w:cs="仿宋"/>
                <w:bCs/>
                <w:sz w:val="28"/>
                <w:szCs w:val="28"/>
              </w:rPr>
              <w:t>费用于合同到期后一个月内支付剩余款项，剩余款项由浙江省福利彩票管理中心和中标人对账以后，按照服务情况对供应商按每条线路的实际使用情况按实结算；多退少补。</w:t>
            </w:r>
          </w:p>
          <w:p>
            <w:pPr>
              <w:rPr>
                <w:rFonts w:ascii="仿宋" w:hAnsi="仿宋" w:eastAsia="仿宋" w:cs="仿宋"/>
                <w:sz w:val="28"/>
                <w:szCs w:val="28"/>
              </w:rPr>
            </w:pPr>
            <w:r>
              <w:rPr>
                <w:rFonts w:hint="eastAsia" w:ascii="仿宋" w:hAnsi="仿宋" w:eastAsia="仿宋" w:cs="仿宋"/>
                <w:sz w:val="28"/>
                <w:szCs w:val="28"/>
              </w:rPr>
              <w:t>本项目不收履约保证金。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项目维护计划</w:t>
            </w:r>
          </w:p>
        </w:tc>
        <w:tc>
          <w:tcPr>
            <w:tcW w:w="6775" w:type="dxa"/>
            <w:vAlign w:val="center"/>
          </w:tcPr>
          <w:p>
            <w:pPr>
              <w:rPr>
                <w:rFonts w:ascii="仿宋" w:hAnsi="仿宋" w:eastAsia="仿宋" w:cs="仿宋"/>
                <w:sz w:val="28"/>
                <w:szCs w:val="28"/>
              </w:rPr>
            </w:pPr>
            <w:r>
              <w:rPr>
                <w:rFonts w:hint="eastAsia" w:ascii="仿宋" w:hAnsi="仿宋" w:eastAsia="仿宋" w:cs="仿宋"/>
                <w:sz w:val="28"/>
                <w:szCs w:val="28"/>
              </w:rPr>
              <w:t>1、全省VPDN平台及5</w:t>
            </w:r>
            <w:r>
              <w:rPr>
                <w:rFonts w:ascii="仿宋" w:hAnsi="仿宋" w:eastAsia="仿宋" w:cs="仿宋"/>
                <w:sz w:val="28"/>
                <w:szCs w:val="28"/>
              </w:rPr>
              <w:t>G</w:t>
            </w:r>
            <w:r>
              <w:rPr>
                <w:rFonts w:hint="eastAsia" w:ascii="仿宋" w:hAnsi="仿宋" w:eastAsia="仿宋" w:cs="仿宋"/>
                <w:sz w:val="28"/>
                <w:szCs w:val="28"/>
              </w:rPr>
              <w:t>接入服务发生故障时1小时内排除故障。</w:t>
            </w:r>
          </w:p>
          <w:p>
            <w:pPr>
              <w:rPr>
                <w:rFonts w:ascii="仿宋" w:hAnsi="仿宋" w:eastAsia="仿宋" w:cs="仿宋"/>
                <w:sz w:val="28"/>
                <w:szCs w:val="28"/>
              </w:rPr>
            </w:pPr>
            <w:r>
              <w:rPr>
                <w:rFonts w:hint="eastAsia" w:ascii="仿宋" w:hAnsi="仿宋" w:eastAsia="仿宋" w:cs="仿宋"/>
                <w:sz w:val="28"/>
                <w:szCs w:val="28"/>
              </w:rPr>
              <w:t>2、省福彩中心电脑彩票电信IDC机房数据中心网络及设备7×24小时的技术支持和服务，发生故障要2小时内排除故障。</w:t>
            </w:r>
          </w:p>
          <w:p>
            <w:pPr>
              <w:rPr>
                <w:rFonts w:ascii="仿宋" w:hAnsi="仿宋" w:eastAsia="仿宋" w:cs="仿宋"/>
                <w:sz w:val="28"/>
                <w:szCs w:val="28"/>
              </w:rPr>
            </w:pPr>
            <w:r>
              <w:rPr>
                <w:rFonts w:hint="eastAsia" w:ascii="仿宋" w:hAnsi="仿宋" w:eastAsia="仿宋" w:cs="仿宋"/>
                <w:sz w:val="28"/>
                <w:szCs w:val="28"/>
              </w:rPr>
              <w:t>3、中标人应提供所有设备服务期内的售后服务，并保证通道的畅通。</w:t>
            </w:r>
          </w:p>
          <w:p>
            <w:pPr>
              <w:rPr>
                <w:rFonts w:ascii="仿宋" w:hAnsi="仿宋" w:eastAsia="仿宋" w:cs="仿宋"/>
                <w:sz w:val="28"/>
                <w:szCs w:val="28"/>
              </w:rPr>
            </w:pPr>
            <w:r>
              <w:rPr>
                <w:rFonts w:hint="eastAsia" w:ascii="仿宋" w:hAnsi="仿宋" w:eastAsia="仿宋" w:cs="仿宋"/>
                <w:sz w:val="28"/>
                <w:szCs w:val="28"/>
              </w:rPr>
              <w:t>4、中标人应设有专门的本地售服机构，提供7×24小时的技术支持和服务，VPDN线路24小时内修复或提供采购方认可的解决方案，不收取额外费用。</w:t>
            </w:r>
          </w:p>
          <w:p>
            <w:pPr>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、在服务期内投标供应商必须为最终用户提供技术服务热线（</w:t>
            </w:r>
            <w:r>
              <w:rPr>
                <w:rFonts w:ascii="仿宋" w:hAnsi="仿宋" w:eastAsia="仿宋" w:cs="仿宋"/>
                <w:sz w:val="28"/>
                <w:szCs w:val="28"/>
              </w:rPr>
              <w:t>7*24小时），负责解答用户在云平台</w:t>
            </w:r>
            <w:r>
              <w:rPr>
                <w:rFonts w:hint="eastAsia" w:ascii="仿宋" w:hAnsi="仿宋" w:eastAsia="仿宋" w:cs="仿宋"/>
                <w:sz w:val="28"/>
                <w:szCs w:val="28"/>
              </w:rPr>
              <w:t>、5</w:t>
            </w:r>
            <w:r>
              <w:rPr>
                <w:rFonts w:ascii="仿宋" w:hAnsi="仿宋" w:eastAsia="仿宋" w:cs="仿宋"/>
                <w:sz w:val="28"/>
                <w:szCs w:val="28"/>
              </w:rPr>
              <w:t>G</w:t>
            </w:r>
            <w:r>
              <w:rPr>
                <w:rFonts w:hint="eastAsia" w:ascii="仿宋" w:hAnsi="仿宋" w:eastAsia="仿宋" w:cs="仿宋"/>
                <w:sz w:val="28"/>
                <w:szCs w:val="28"/>
              </w:rPr>
              <w:t>定制网服务</w:t>
            </w:r>
            <w:r>
              <w:rPr>
                <w:rFonts w:ascii="仿宋" w:hAnsi="仿宋" w:eastAsia="仿宋" w:cs="仿宋"/>
                <w:sz w:val="28"/>
                <w:szCs w:val="28"/>
              </w:rPr>
              <w:t>使用中遇到的问题，并及时提出解决问题的建议和操作方法。技术服务热线支持应是中文服务</w:t>
            </w:r>
            <w:r>
              <w:rPr>
                <w:rFonts w:hint="eastAsia" w:ascii="仿宋" w:hAnsi="仿宋" w:eastAsia="仿宋" w:cs="仿宋"/>
                <w:sz w:val="28"/>
                <w:szCs w:val="28"/>
              </w:rPr>
              <w:t>，不收取额外费用</w:t>
            </w:r>
            <w:r>
              <w:rPr>
                <w:rFonts w:ascii="仿宋" w:hAnsi="仿宋" w:eastAsia="仿宋" w:cs="仿宋"/>
                <w:sz w:val="28"/>
                <w:szCs w:val="28"/>
              </w:rPr>
              <w:t>。</w:t>
            </w:r>
          </w:p>
        </w:tc>
      </w:tr>
    </w:tbl>
    <w:p>
      <w:pPr>
        <w:spacing w:line="360" w:lineRule="auto"/>
        <w:rPr>
          <w:rFonts w:ascii="仿宋" w:hAnsi="仿宋"/>
          <w:b/>
          <w:bCs/>
          <w:color w:val="000000"/>
          <w:szCs w:val="32"/>
        </w:rPr>
      </w:pPr>
    </w:p>
    <w:p>
      <w:pPr>
        <w:widowControl/>
        <w:spacing w:line="360" w:lineRule="auto"/>
        <w:jc w:val="left"/>
        <w:rPr>
          <w:rFonts w:ascii="仿宋" w:hAnsi="仿宋"/>
          <w:color w:val="000000"/>
          <w:kern w:val="0"/>
          <w:sz w:val="16"/>
          <w:szCs w:val="32"/>
        </w:rPr>
        <w:sectPr>
          <w:pgSz w:w="11906" w:h="16838"/>
          <w:pgMar w:top="1440" w:right="1800" w:bottom="1440" w:left="1800" w:header="851" w:footer="992" w:gutter="0"/>
          <w:cols w:space="720" w:num="1"/>
          <w:docGrid w:type="lines" w:linePitch="312" w:charSpace="0"/>
        </w:sectPr>
      </w:pPr>
    </w:p>
    <w:bookmarkEnd w:id="36"/>
    <w:p>
      <w:pPr>
        <w:spacing w:line="360" w:lineRule="auto"/>
        <w:outlineLvl w:val="1"/>
        <w:rPr>
          <w:rFonts w:ascii="宋体" w:cs="仿宋_GB2312"/>
          <w:b/>
          <w:sz w:val="24"/>
          <w:szCs w:val="24"/>
        </w:rPr>
      </w:pPr>
      <w:bookmarkStart w:id="38" w:name="_Toc14173978"/>
      <w:bookmarkStart w:id="39" w:name="_Toc14173977"/>
    </w:p>
    <w:p>
      <w:pPr>
        <w:spacing w:line="360" w:lineRule="auto"/>
        <w:outlineLvl w:val="1"/>
        <w:rPr>
          <w:rFonts w:ascii="宋体" w:cs="仿宋_GB2312"/>
          <w:b/>
          <w:sz w:val="24"/>
          <w:szCs w:val="24"/>
        </w:rPr>
      </w:pPr>
    </w:p>
    <w:bookmarkEnd w:id="38"/>
    <w:bookmarkEnd w:id="39"/>
    <w:p>
      <w:pPr>
        <w:pStyle w:val="40"/>
      </w:pPr>
    </w:p>
    <w:p>
      <w:pPr>
        <w:pStyle w:val="40"/>
      </w:pPr>
      <w:r>
        <w:rPr>
          <w:rFonts w:hint="eastAsia"/>
        </w:rPr>
        <w:t>第四章浙江省政府采购合同主要条款指引</w:t>
      </w:r>
      <w:bookmarkEnd w:id="34"/>
      <w:bookmarkEnd w:id="35"/>
    </w:p>
    <w:p>
      <w:pPr>
        <w:snapToGrid w:val="0"/>
        <w:spacing w:before="120" w:beforeLines="50" w:after="120" w:afterLines="50"/>
        <w:jc w:val="center"/>
        <w:rPr>
          <w:rFonts w:ascii="仿宋" w:hAnsi="仿宋" w:eastAsia="仿宋"/>
          <w:b/>
          <w:bCs/>
          <w:sz w:val="36"/>
          <w:szCs w:val="36"/>
        </w:rPr>
      </w:pPr>
    </w:p>
    <w:p>
      <w:pPr>
        <w:pStyle w:val="22"/>
        <w:snapToGrid w:val="0"/>
        <w:spacing w:before="120" w:line="360" w:lineRule="auto"/>
        <w:jc w:val="center"/>
        <w:rPr>
          <w:rFonts w:ascii="仿宋" w:hAnsi="仿宋" w:eastAsia="仿宋"/>
          <w:sz w:val="30"/>
          <w:szCs w:val="30"/>
        </w:rPr>
      </w:pPr>
      <w:r>
        <w:rPr>
          <w:rFonts w:hint="eastAsia" w:ascii="仿宋" w:hAnsi="仿宋" w:eastAsia="仿宋"/>
          <w:sz w:val="30"/>
          <w:szCs w:val="30"/>
        </w:rPr>
        <w:t>编号：ZZCG202</w:t>
      </w:r>
      <w:r>
        <w:rPr>
          <w:rFonts w:ascii="仿宋" w:hAnsi="仿宋" w:eastAsia="仿宋"/>
          <w:sz w:val="30"/>
          <w:szCs w:val="30"/>
        </w:rPr>
        <w:t xml:space="preserve"> </w:t>
      </w:r>
      <w:r>
        <w:rPr>
          <w:rFonts w:hint="eastAsia" w:ascii="仿宋" w:hAnsi="仿宋" w:eastAsia="仿宋"/>
          <w:sz w:val="30"/>
          <w:szCs w:val="30"/>
        </w:rPr>
        <w:t>-</w:t>
      </w:r>
    </w:p>
    <w:p>
      <w:pPr>
        <w:pStyle w:val="22"/>
        <w:snapToGrid w:val="0"/>
        <w:spacing w:before="120" w:line="360" w:lineRule="auto"/>
        <w:jc w:val="center"/>
        <w:rPr>
          <w:rFonts w:ascii="仿宋" w:hAnsi="仿宋" w:eastAsia="仿宋"/>
          <w:sz w:val="30"/>
          <w:szCs w:val="30"/>
        </w:rPr>
      </w:pPr>
      <w:r>
        <w:rPr>
          <w:rFonts w:hint="eastAsia" w:ascii="仿宋" w:hAnsi="仿宋" w:eastAsia="仿宋"/>
          <w:sz w:val="30"/>
          <w:szCs w:val="30"/>
        </w:rPr>
        <w:t>确认号：</w:t>
      </w:r>
    </w:p>
    <w:p>
      <w:pPr>
        <w:spacing w:line="520" w:lineRule="exact"/>
        <w:ind w:firstLine="281" w:firstLineChars="100"/>
        <w:rPr>
          <w:rFonts w:ascii="仿宋" w:hAnsi="仿宋" w:eastAsia="仿宋"/>
          <w:sz w:val="28"/>
          <w:szCs w:val="30"/>
        </w:rPr>
      </w:pPr>
      <w:r>
        <w:rPr>
          <w:rFonts w:hint="eastAsia" w:ascii="仿宋" w:hAnsi="仿宋" w:eastAsia="仿宋" w:cs="微软雅黑"/>
          <w:b/>
          <w:bCs/>
          <w:sz w:val="28"/>
          <w:szCs w:val="30"/>
        </w:rPr>
        <w:t>甲方</w:t>
      </w:r>
      <w:r>
        <w:rPr>
          <w:rFonts w:hint="eastAsia" w:ascii="仿宋" w:hAnsi="仿宋" w:eastAsia="仿宋"/>
          <w:sz w:val="28"/>
          <w:szCs w:val="30"/>
        </w:rPr>
        <w:t>（</w:t>
      </w:r>
      <w:r>
        <w:rPr>
          <w:rFonts w:hint="eastAsia" w:ascii="仿宋" w:hAnsi="仿宋" w:eastAsia="仿宋" w:cs="微软雅黑"/>
          <w:sz w:val="28"/>
          <w:szCs w:val="30"/>
        </w:rPr>
        <w:t>采购人</w:t>
      </w:r>
      <w:r>
        <w:rPr>
          <w:rFonts w:hint="eastAsia" w:ascii="仿宋" w:hAnsi="仿宋" w:eastAsia="仿宋" w:cs="Malgun Gothic Semilight"/>
          <w:sz w:val="28"/>
          <w:szCs w:val="30"/>
        </w:rPr>
        <w:t>）：</w:t>
      </w:r>
    </w:p>
    <w:p>
      <w:pPr>
        <w:spacing w:line="520" w:lineRule="exact"/>
        <w:ind w:firstLine="281" w:firstLineChars="100"/>
        <w:rPr>
          <w:rFonts w:ascii="仿宋" w:hAnsi="仿宋" w:eastAsia="仿宋"/>
          <w:sz w:val="28"/>
          <w:szCs w:val="30"/>
        </w:rPr>
      </w:pPr>
      <w:r>
        <w:rPr>
          <w:rFonts w:hint="eastAsia" w:ascii="仿宋" w:hAnsi="仿宋" w:eastAsia="仿宋" w:cs="微软雅黑"/>
          <w:b/>
          <w:bCs/>
          <w:sz w:val="28"/>
          <w:szCs w:val="30"/>
        </w:rPr>
        <w:t>乙方</w:t>
      </w:r>
      <w:r>
        <w:rPr>
          <w:rFonts w:hint="eastAsia" w:ascii="仿宋" w:hAnsi="仿宋" w:eastAsia="仿宋"/>
          <w:sz w:val="28"/>
          <w:szCs w:val="30"/>
        </w:rPr>
        <w:t>（</w:t>
      </w:r>
      <w:r>
        <w:rPr>
          <w:rFonts w:hint="eastAsia" w:ascii="仿宋" w:hAnsi="仿宋" w:eastAsia="仿宋" w:cs="微软雅黑"/>
          <w:sz w:val="28"/>
          <w:szCs w:val="30"/>
        </w:rPr>
        <w:t>响应方</w:t>
      </w:r>
      <w:r>
        <w:rPr>
          <w:rFonts w:hint="eastAsia" w:ascii="仿宋" w:hAnsi="仿宋" w:eastAsia="仿宋" w:cs="Malgun Gothic Semilight"/>
          <w:sz w:val="28"/>
          <w:szCs w:val="30"/>
        </w:rPr>
        <w:t>）：</w:t>
      </w:r>
    </w:p>
    <w:p>
      <w:pPr>
        <w:pStyle w:val="22"/>
        <w:adjustRightInd w:val="0"/>
        <w:snapToGrid w:val="0"/>
        <w:spacing w:before="120" w:line="460" w:lineRule="exact"/>
        <w:ind w:firstLine="554" w:firstLineChars="198"/>
        <w:rPr>
          <w:rFonts w:ascii="仿宋" w:hAnsi="仿宋" w:eastAsia="仿宋"/>
          <w:b/>
          <w:snapToGrid w:val="0"/>
          <w:kern w:val="0"/>
          <w:sz w:val="28"/>
          <w:szCs w:val="30"/>
        </w:rPr>
      </w:pPr>
      <w:r>
        <w:rPr>
          <w:rFonts w:hint="eastAsia" w:ascii="仿宋" w:hAnsi="仿宋" w:eastAsia="仿宋" w:cs="微软雅黑"/>
          <w:snapToGrid w:val="0"/>
          <w:kern w:val="0"/>
          <w:sz w:val="28"/>
          <w:szCs w:val="30"/>
        </w:rPr>
        <w:t>甲</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乙双方根据浙江省政府采购中心关于</w:t>
      </w:r>
      <w:r>
        <w:rPr>
          <w:rFonts w:hint="eastAsia" w:ascii="仿宋" w:hAnsi="仿宋" w:eastAsia="仿宋" w:cs="微软雅黑"/>
          <w:sz w:val="28"/>
          <w:szCs w:val="30"/>
        </w:rPr>
        <w:t>项目编号为</w:t>
      </w:r>
      <w:r>
        <w:rPr>
          <w:rFonts w:hint="eastAsia" w:ascii="仿宋" w:hAnsi="仿宋" w:eastAsia="仿宋"/>
          <w:snapToGrid w:val="0"/>
          <w:kern w:val="0"/>
          <w:sz w:val="28"/>
          <w:szCs w:val="30"/>
        </w:rPr>
        <w:t>（</w:t>
      </w:r>
      <w:r>
        <w:rPr>
          <w:rFonts w:hint="eastAsia" w:ascii="仿宋" w:hAnsi="仿宋" w:eastAsia="仿宋" w:cs="微软雅黑"/>
          <w:snapToGrid w:val="0"/>
          <w:kern w:val="0"/>
          <w:sz w:val="28"/>
          <w:szCs w:val="30"/>
        </w:rPr>
        <w:t>标项及名称</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项目单一来源采购的结果</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签署本合同</w:t>
      </w:r>
      <w:r>
        <w:rPr>
          <w:rFonts w:hint="eastAsia" w:ascii="仿宋" w:hAnsi="仿宋" w:eastAsia="仿宋" w:cs="Malgun Gothic Semilight"/>
          <w:snapToGrid w:val="0"/>
          <w:kern w:val="0"/>
          <w:sz w:val="28"/>
          <w:szCs w:val="30"/>
        </w:rPr>
        <w:t>。</w:t>
      </w:r>
    </w:p>
    <w:p>
      <w:pPr>
        <w:pStyle w:val="22"/>
        <w:adjustRightInd w:val="0"/>
        <w:snapToGrid w:val="0"/>
        <w:spacing w:before="120" w:line="460" w:lineRule="exact"/>
        <w:ind w:firstLine="599" w:firstLineChars="213"/>
        <w:rPr>
          <w:rFonts w:ascii="仿宋" w:hAnsi="仿宋" w:eastAsia="仿宋"/>
          <w:b/>
          <w:sz w:val="28"/>
          <w:szCs w:val="30"/>
        </w:rPr>
      </w:pPr>
      <w:r>
        <w:rPr>
          <w:rFonts w:hint="eastAsia" w:ascii="仿宋" w:hAnsi="仿宋" w:eastAsia="仿宋" w:cs="微软雅黑"/>
          <w:b/>
          <w:snapToGrid w:val="0"/>
          <w:kern w:val="0"/>
          <w:sz w:val="28"/>
          <w:szCs w:val="30"/>
        </w:rPr>
        <w:t>一</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项目内容</w:t>
      </w:r>
      <w:r>
        <w:rPr>
          <w:rFonts w:hint="eastAsia" w:ascii="仿宋" w:hAnsi="仿宋" w:eastAsia="仿宋" w:cs="微软雅黑"/>
          <w:b/>
          <w:sz w:val="28"/>
          <w:szCs w:val="30"/>
        </w:rPr>
        <w:t>及合同价格</w:t>
      </w:r>
    </w:p>
    <w:p>
      <w:pPr>
        <w:pStyle w:val="22"/>
        <w:adjustRightInd w:val="0"/>
        <w:snapToGrid w:val="0"/>
        <w:spacing w:before="120" w:line="460" w:lineRule="exact"/>
        <w:ind w:firstLine="596" w:firstLineChars="213"/>
        <w:jc w:val="right"/>
        <w:rPr>
          <w:rFonts w:ascii="仿宋" w:hAnsi="仿宋" w:eastAsia="仿宋"/>
          <w:sz w:val="28"/>
          <w:szCs w:val="30"/>
        </w:rPr>
      </w:pPr>
      <w:r>
        <w:rPr>
          <w:rFonts w:hint="eastAsia" w:ascii="仿宋" w:hAnsi="仿宋" w:eastAsia="仿宋" w:cs="微软雅黑"/>
          <w:sz w:val="28"/>
          <w:szCs w:val="30"/>
        </w:rPr>
        <w:t>金额单位</w:t>
      </w:r>
      <w:r>
        <w:rPr>
          <w:rFonts w:hint="eastAsia" w:ascii="仿宋" w:hAnsi="仿宋" w:eastAsia="仿宋" w:cs="Malgun Gothic Semilight"/>
          <w:sz w:val="28"/>
          <w:szCs w:val="30"/>
        </w:rPr>
        <w:t>：</w:t>
      </w:r>
      <w:r>
        <w:rPr>
          <w:rFonts w:hint="eastAsia" w:ascii="仿宋" w:hAnsi="仿宋" w:eastAsia="仿宋" w:cs="微软雅黑"/>
          <w:sz w:val="28"/>
          <w:szCs w:val="30"/>
        </w:rPr>
        <w:t>元</w:t>
      </w:r>
    </w:p>
    <w:tbl>
      <w:tblPr>
        <w:tblStyle w:val="43"/>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8"/>
        <w:gridCol w:w="1980"/>
        <w:gridCol w:w="1980"/>
        <w:gridCol w:w="1260"/>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pPr>
              <w:pStyle w:val="22"/>
              <w:snapToGrid w:val="0"/>
              <w:spacing w:before="120" w:line="460" w:lineRule="exact"/>
              <w:jc w:val="center"/>
              <w:rPr>
                <w:rFonts w:ascii="仿宋" w:hAnsi="仿宋" w:eastAsia="仿宋"/>
                <w:sz w:val="28"/>
                <w:szCs w:val="30"/>
              </w:rPr>
            </w:pPr>
            <w:r>
              <w:rPr>
                <w:rFonts w:hint="eastAsia" w:ascii="仿宋" w:hAnsi="仿宋" w:eastAsia="仿宋" w:cs="微软雅黑"/>
                <w:sz w:val="28"/>
                <w:szCs w:val="30"/>
              </w:rPr>
              <w:t>项目名称</w:t>
            </w:r>
          </w:p>
        </w:tc>
        <w:tc>
          <w:tcPr>
            <w:tcW w:w="1980" w:type="dxa"/>
            <w:tcBorders>
              <w:top w:val="single" w:color="auto" w:sz="4" w:space="0"/>
              <w:left w:val="single" w:color="auto" w:sz="4" w:space="0"/>
              <w:bottom w:val="single" w:color="auto" w:sz="4" w:space="0"/>
              <w:right w:val="single" w:color="auto" w:sz="4" w:space="0"/>
            </w:tcBorders>
            <w:vAlign w:val="center"/>
          </w:tcPr>
          <w:p>
            <w:pPr>
              <w:pStyle w:val="22"/>
              <w:snapToGrid w:val="0"/>
              <w:spacing w:before="120" w:line="460" w:lineRule="exact"/>
              <w:jc w:val="center"/>
              <w:rPr>
                <w:rFonts w:ascii="仿宋" w:hAnsi="仿宋" w:eastAsia="仿宋"/>
                <w:sz w:val="28"/>
                <w:szCs w:val="30"/>
              </w:rPr>
            </w:pPr>
            <w:r>
              <w:rPr>
                <w:rFonts w:hint="eastAsia" w:ascii="仿宋" w:hAnsi="仿宋" w:eastAsia="仿宋" w:cs="微软雅黑"/>
                <w:sz w:val="28"/>
                <w:szCs w:val="30"/>
              </w:rPr>
              <w:t>型号规格</w:t>
            </w:r>
          </w:p>
        </w:tc>
        <w:tc>
          <w:tcPr>
            <w:tcW w:w="1980" w:type="dxa"/>
            <w:tcBorders>
              <w:top w:val="single" w:color="auto" w:sz="4" w:space="0"/>
              <w:left w:val="single" w:color="auto" w:sz="4" w:space="0"/>
              <w:bottom w:val="single" w:color="auto" w:sz="4" w:space="0"/>
              <w:right w:val="single" w:color="auto" w:sz="4" w:space="0"/>
            </w:tcBorders>
            <w:vAlign w:val="center"/>
          </w:tcPr>
          <w:p>
            <w:pPr>
              <w:pStyle w:val="22"/>
              <w:snapToGrid w:val="0"/>
              <w:spacing w:before="120" w:line="460" w:lineRule="exact"/>
              <w:jc w:val="center"/>
              <w:rPr>
                <w:rFonts w:ascii="仿宋" w:hAnsi="仿宋" w:eastAsia="仿宋"/>
                <w:sz w:val="28"/>
                <w:szCs w:val="30"/>
              </w:rPr>
            </w:pPr>
            <w:r>
              <w:rPr>
                <w:rFonts w:hint="eastAsia" w:ascii="仿宋" w:hAnsi="仿宋" w:eastAsia="仿宋" w:cs="微软雅黑"/>
                <w:sz w:val="28"/>
                <w:szCs w:val="30"/>
              </w:rPr>
              <w:t>配置要求</w:t>
            </w:r>
          </w:p>
        </w:tc>
        <w:tc>
          <w:tcPr>
            <w:tcW w:w="1260" w:type="dxa"/>
            <w:tcBorders>
              <w:top w:val="single" w:color="auto" w:sz="4" w:space="0"/>
              <w:left w:val="single" w:color="auto" w:sz="4" w:space="0"/>
              <w:bottom w:val="single" w:color="auto" w:sz="4" w:space="0"/>
              <w:right w:val="single" w:color="auto" w:sz="4" w:space="0"/>
            </w:tcBorders>
            <w:vAlign w:val="center"/>
          </w:tcPr>
          <w:p>
            <w:pPr>
              <w:pStyle w:val="22"/>
              <w:snapToGrid w:val="0"/>
              <w:spacing w:before="120" w:line="460" w:lineRule="exact"/>
              <w:ind w:left="-108"/>
              <w:jc w:val="center"/>
              <w:rPr>
                <w:rFonts w:ascii="仿宋" w:hAnsi="仿宋" w:eastAsia="仿宋"/>
                <w:sz w:val="28"/>
                <w:szCs w:val="30"/>
              </w:rPr>
            </w:pPr>
            <w:r>
              <w:rPr>
                <w:rFonts w:hint="eastAsia" w:ascii="仿宋" w:hAnsi="仿宋" w:eastAsia="仿宋" w:cs="微软雅黑"/>
                <w:sz w:val="28"/>
                <w:szCs w:val="30"/>
              </w:rPr>
              <w:t>数量</w:t>
            </w:r>
          </w:p>
        </w:tc>
        <w:tc>
          <w:tcPr>
            <w:tcW w:w="1572" w:type="dxa"/>
            <w:tcBorders>
              <w:top w:val="single" w:color="auto" w:sz="4" w:space="0"/>
              <w:left w:val="single" w:color="auto" w:sz="4" w:space="0"/>
              <w:bottom w:val="single" w:color="auto" w:sz="4" w:space="0"/>
              <w:right w:val="single" w:color="auto" w:sz="4" w:space="0"/>
            </w:tcBorders>
            <w:vAlign w:val="center"/>
          </w:tcPr>
          <w:p>
            <w:pPr>
              <w:pStyle w:val="22"/>
              <w:snapToGrid w:val="0"/>
              <w:spacing w:before="120" w:line="460" w:lineRule="exact"/>
              <w:ind w:left="-108"/>
              <w:jc w:val="center"/>
              <w:rPr>
                <w:rFonts w:ascii="仿宋" w:hAnsi="仿宋" w:eastAsia="仿宋"/>
                <w:sz w:val="28"/>
                <w:szCs w:val="30"/>
              </w:rPr>
            </w:pPr>
            <w:r>
              <w:rPr>
                <w:rFonts w:hint="eastAsia" w:ascii="仿宋" w:hAnsi="仿宋" w:eastAsia="仿宋" w:cs="微软雅黑"/>
                <w:sz w:val="28"/>
                <w:szCs w:val="30"/>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2340" w:type="dxa"/>
            <w:tcBorders>
              <w:top w:val="single" w:color="auto" w:sz="4" w:space="0"/>
              <w:left w:val="single" w:color="auto" w:sz="4" w:space="0"/>
              <w:bottom w:val="single" w:color="auto" w:sz="4" w:space="0"/>
              <w:right w:val="single" w:color="auto" w:sz="4" w:space="0"/>
            </w:tcBorders>
          </w:tcPr>
          <w:p>
            <w:pPr>
              <w:spacing w:line="460" w:lineRule="exact"/>
              <w:ind w:firstLine="596" w:firstLineChars="213"/>
              <w:rPr>
                <w:rFonts w:ascii="仿宋" w:hAnsi="仿宋" w:eastAsia="仿宋"/>
                <w:sz w:val="28"/>
                <w:szCs w:val="30"/>
              </w:rPr>
            </w:pPr>
          </w:p>
        </w:tc>
        <w:tc>
          <w:tcPr>
            <w:tcW w:w="1980" w:type="dxa"/>
            <w:tcBorders>
              <w:top w:val="single" w:color="auto" w:sz="4" w:space="0"/>
              <w:left w:val="single" w:color="auto" w:sz="4" w:space="0"/>
              <w:bottom w:val="single" w:color="auto" w:sz="4" w:space="0"/>
              <w:right w:val="single" w:color="auto" w:sz="4" w:space="0"/>
            </w:tcBorders>
          </w:tcPr>
          <w:p>
            <w:pPr>
              <w:spacing w:line="460" w:lineRule="exact"/>
              <w:ind w:firstLine="596" w:firstLineChars="213"/>
              <w:rPr>
                <w:rFonts w:ascii="仿宋" w:hAnsi="仿宋" w:eastAsia="仿宋"/>
                <w:sz w:val="28"/>
                <w:szCs w:val="30"/>
              </w:rPr>
            </w:pPr>
          </w:p>
        </w:tc>
        <w:tc>
          <w:tcPr>
            <w:tcW w:w="1980" w:type="dxa"/>
            <w:tcBorders>
              <w:top w:val="single" w:color="auto" w:sz="4" w:space="0"/>
              <w:left w:val="single" w:color="auto" w:sz="4" w:space="0"/>
              <w:bottom w:val="single" w:color="auto" w:sz="4" w:space="0"/>
              <w:right w:val="single" w:color="auto" w:sz="4" w:space="0"/>
            </w:tcBorders>
          </w:tcPr>
          <w:p>
            <w:pPr>
              <w:spacing w:line="460" w:lineRule="exact"/>
              <w:ind w:firstLine="596" w:firstLineChars="213"/>
              <w:rPr>
                <w:rFonts w:ascii="仿宋" w:hAnsi="仿宋" w:eastAsia="仿宋"/>
                <w:sz w:val="28"/>
                <w:szCs w:val="30"/>
              </w:rPr>
            </w:pPr>
          </w:p>
        </w:tc>
        <w:tc>
          <w:tcPr>
            <w:tcW w:w="1260" w:type="dxa"/>
            <w:tcBorders>
              <w:top w:val="single" w:color="auto" w:sz="4" w:space="0"/>
              <w:left w:val="single" w:color="auto" w:sz="4" w:space="0"/>
              <w:bottom w:val="single" w:color="auto" w:sz="4" w:space="0"/>
              <w:right w:val="single" w:color="auto" w:sz="4" w:space="0"/>
            </w:tcBorders>
          </w:tcPr>
          <w:p>
            <w:pPr>
              <w:spacing w:line="460" w:lineRule="exact"/>
              <w:ind w:firstLine="596" w:firstLineChars="213"/>
              <w:rPr>
                <w:rFonts w:ascii="仿宋" w:hAnsi="仿宋" w:eastAsia="仿宋"/>
                <w:sz w:val="28"/>
                <w:szCs w:val="30"/>
              </w:rPr>
            </w:pPr>
          </w:p>
        </w:tc>
        <w:tc>
          <w:tcPr>
            <w:tcW w:w="1572" w:type="dxa"/>
            <w:tcBorders>
              <w:top w:val="single" w:color="auto" w:sz="4" w:space="0"/>
              <w:left w:val="single" w:color="auto" w:sz="4" w:space="0"/>
              <w:bottom w:val="single" w:color="auto" w:sz="4" w:space="0"/>
              <w:right w:val="single" w:color="auto" w:sz="4" w:space="0"/>
            </w:tcBorders>
          </w:tcPr>
          <w:p>
            <w:pPr>
              <w:pStyle w:val="96"/>
              <w:spacing w:after="120" w:line="460" w:lineRule="exact"/>
              <w:ind w:firstLine="596" w:firstLineChars="213"/>
              <w:rPr>
                <w:rFonts w:ascii="仿宋" w:hAnsi="仿宋" w:eastAsia="仿宋"/>
                <w:color w:val="auto"/>
                <w:kern w:val="2"/>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6300" w:type="dxa"/>
            <w:gridSpan w:val="3"/>
            <w:tcBorders>
              <w:top w:val="single" w:color="auto" w:sz="4" w:space="0"/>
              <w:left w:val="single" w:color="auto" w:sz="4" w:space="0"/>
              <w:bottom w:val="single" w:color="auto" w:sz="4" w:space="0"/>
              <w:right w:val="single" w:color="auto" w:sz="4" w:space="0"/>
            </w:tcBorders>
          </w:tcPr>
          <w:p>
            <w:pPr>
              <w:pStyle w:val="22"/>
              <w:snapToGrid w:val="0"/>
              <w:spacing w:before="120" w:line="460" w:lineRule="exact"/>
              <w:ind w:firstLine="596" w:firstLineChars="213"/>
              <w:jc w:val="center"/>
              <w:rPr>
                <w:rFonts w:ascii="仿宋" w:hAnsi="仿宋" w:eastAsia="仿宋"/>
                <w:sz w:val="28"/>
                <w:szCs w:val="30"/>
              </w:rPr>
            </w:pPr>
            <w:r>
              <w:rPr>
                <w:rFonts w:hint="eastAsia" w:ascii="仿宋" w:hAnsi="仿宋" w:eastAsia="仿宋" w:cs="微软雅黑"/>
                <w:sz w:val="28"/>
                <w:szCs w:val="30"/>
              </w:rPr>
              <w:t>合计</w:t>
            </w:r>
          </w:p>
        </w:tc>
        <w:tc>
          <w:tcPr>
            <w:tcW w:w="1260" w:type="dxa"/>
            <w:tcBorders>
              <w:top w:val="single" w:color="auto" w:sz="4" w:space="0"/>
              <w:left w:val="single" w:color="auto" w:sz="4" w:space="0"/>
              <w:bottom w:val="single" w:color="auto" w:sz="4" w:space="0"/>
              <w:right w:val="single" w:color="auto" w:sz="4" w:space="0"/>
            </w:tcBorders>
          </w:tcPr>
          <w:p>
            <w:pPr>
              <w:pStyle w:val="22"/>
              <w:snapToGrid w:val="0"/>
              <w:spacing w:before="120" w:line="460" w:lineRule="exact"/>
              <w:ind w:firstLine="596" w:firstLineChars="213"/>
              <w:jc w:val="center"/>
              <w:rPr>
                <w:rFonts w:ascii="仿宋" w:hAnsi="仿宋" w:eastAsia="仿宋"/>
                <w:sz w:val="28"/>
                <w:szCs w:val="30"/>
              </w:rPr>
            </w:pPr>
          </w:p>
        </w:tc>
        <w:tc>
          <w:tcPr>
            <w:tcW w:w="1572" w:type="dxa"/>
            <w:tcBorders>
              <w:top w:val="single" w:color="auto" w:sz="4" w:space="0"/>
              <w:left w:val="single" w:color="auto" w:sz="4" w:space="0"/>
              <w:bottom w:val="single" w:color="auto" w:sz="4" w:space="0"/>
              <w:right w:val="single" w:color="auto" w:sz="4" w:space="0"/>
            </w:tcBorders>
          </w:tcPr>
          <w:p>
            <w:pPr>
              <w:pStyle w:val="96"/>
              <w:spacing w:after="120" w:line="460" w:lineRule="exact"/>
              <w:ind w:firstLine="596" w:firstLineChars="213"/>
              <w:rPr>
                <w:rFonts w:ascii="仿宋" w:hAnsi="仿宋" w:eastAsia="仿宋"/>
                <w:color w:val="auto"/>
                <w:kern w:val="2"/>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pPr>
              <w:pStyle w:val="22"/>
              <w:snapToGrid w:val="0"/>
              <w:spacing w:before="120" w:line="460" w:lineRule="exact"/>
              <w:rPr>
                <w:rFonts w:ascii="仿宋" w:hAnsi="仿宋" w:eastAsia="仿宋"/>
                <w:sz w:val="28"/>
                <w:szCs w:val="30"/>
              </w:rPr>
            </w:pPr>
            <w:r>
              <w:rPr>
                <w:rFonts w:hint="eastAsia" w:ascii="仿宋" w:hAnsi="仿宋" w:eastAsia="仿宋" w:cs="微软雅黑"/>
                <w:sz w:val="28"/>
                <w:szCs w:val="30"/>
              </w:rPr>
              <w:t>合同总价大写</w:t>
            </w:r>
            <w:r>
              <w:rPr>
                <w:rFonts w:hint="eastAsia" w:ascii="仿宋" w:hAnsi="仿宋" w:eastAsia="仿宋" w:cs="Malgun Gothic Semilight"/>
                <w:sz w:val="28"/>
                <w:szCs w:val="30"/>
              </w:rPr>
              <w:t>：</w:t>
            </w:r>
            <w:r>
              <w:rPr>
                <w:rFonts w:hint="eastAsia" w:ascii="仿宋" w:hAnsi="仿宋" w:eastAsia="仿宋" w:cs="微软雅黑"/>
                <w:sz w:val="28"/>
                <w:szCs w:val="30"/>
              </w:rPr>
              <w:t>小写</w:t>
            </w:r>
            <w:r>
              <w:rPr>
                <w:rFonts w:hint="eastAsia" w:ascii="仿宋" w:hAnsi="仿宋" w:eastAsia="仿宋" w:cs="Malgun Gothic Semilight"/>
                <w:sz w:val="28"/>
                <w:szCs w:val="30"/>
              </w:rPr>
              <w:t>：￥</w:t>
            </w:r>
          </w:p>
        </w:tc>
      </w:tr>
    </w:tbl>
    <w:p>
      <w:pPr>
        <w:pStyle w:val="22"/>
        <w:snapToGrid w:val="0"/>
        <w:spacing w:before="120" w:line="460" w:lineRule="exact"/>
        <w:ind w:firstLine="529" w:firstLineChars="189"/>
        <w:rPr>
          <w:rFonts w:ascii="仿宋" w:hAnsi="仿宋" w:eastAsia="仿宋"/>
          <w:sz w:val="28"/>
          <w:szCs w:val="30"/>
        </w:rPr>
      </w:pPr>
      <w:r>
        <w:rPr>
          <w:rFonts w:hint="eastAsia" w:ascii="仿宋" w:hAnsi="仿宋" w:eastAsia="仿宋" w:cs="微软雅黑"/>
          <w:sz w:val="28"/>
          <w:szCs w:val="30"/>
        </w:rPr>
        <w:t>注</w:t>
      </w:r>
      <w:r>
        <w:rPr>
          <w:rFonts w:hint="eastAsia" w:ascii="仿宋" w:hAnsi="仿宋" w:eastAsia="仿宋" w:cs="Malgun Gothic Semilight"/>
          <w:sz w:val="28"/>
          <w:szCs w:val="30"/>
        </w:rPr>
        <w:t>：</w:t>
      </w:r>
      <w:r>
        <w:rPr>
          <w:rFonts w:hint="eastAsia" w:ascii="仿宋" w:hAnsi="仿宋" w:eastAsia="仿宋"/>
          <w:sz w:val="28"/>
          <w:szCs w:val="30"/>
        </w:rPr>
        <w:t>1、</w:t>
      </w:r>
      <w:r>
        <w:rPr>
          <w:rFonts w:hint="eastAsia" w:ascii="仿宋" w:hAnsi="仿宋" w:eastAsia="仿宋" w:cs="微软雅黑"/>
          <w:sz w:val="28"/>
          <w:szCs w:val="30"/>
        </w:rPr>
        <w:t>商品型号</w:t>
      </w:r>
      <w:r>
        <w:rPr>
          <w:rFonts w:hint="eastAsia" w:ascii="仿宋" w:hAnsi="仿宋" w:eastAsia="仿宋" w:cs="Malgun Gothic Semilight"/>
          <w:sz w:val="28"/>
          <w:szCs w:val="30"/>
        </w:rPr>
        <w:t>、</w:t>
      </w:r>
      <w:r>
        <w:rPr>
          <w:rFonts w:hint="eastAsia" w:ascii="仿宋" w:hAnsi="仿宋" w:eastAsia="仿宋" w:cs="微软雅黑"/>
          <w:sz w:val="28"/>
          <w:szCs w:val="30"/>
        </w:rPr>
        <w:t>数量</w:t>
      </w:r>
      <w:r>
        <w:rPr>
          <w:rFonts w:hint="eastAsia" w:ascii="仿宋" w:hAnsi="仿宋" w:eastAsia="仿宋" w:cs="Malgun Gothic Semilight"/>
          <w:sz w:val="28"/>
          <w:szCs w:val="30"/>
        </w:rPr>
        <w:t>、</w:t>
      </w:r>
      <w:r>
        <w:rPr>
          <w:rFonts w:hint="eastAsia" w:ascii="仿宋" w:hAnsi="仿宋" w:eastAsia="仿宋" w:cs="微软雅黑"/>
          <w:sz w:val="28"/>
          <w:szCs w:val="30"/>
        </w:rPr>
        <w:t>配置要求及使用单位地址等详见附件清单</w:t>
      </w:r>
    </w:p>
    <w:p>
      <w:pPr>
        <w:spacing w:line="460" w:lineRule="exact"/>
        <w:ind w:firstLine="529" w:firstLineChars="189"/>
        <w:rPr>
          <w:rFonts w:ascii="仿宋" w:hAnsi="仿宋" w:eastAsia="仿宋"/>
          <w:sz w:val="28"/>
          <w:szCs w:val="30"/>
        </w:rPr>
      </w:pPr>
      <w:r>
        <w:rPr>
          <w:rFonts w:hint="eastAsia" w:ascii="仿宋" w:hAnsi="仿宋" w:eastAsia="仿宋"/>
          <w:sz w:val="28"/>
          <w:szCs w:val="30"/>
        </w:rPr>
        <w:t>　2、</w:t>
      </w:r>
      <w:r>
        <w:rPr>
          <w:rFonts w:hint="eastAsia" w:ascii="仿宋" w:hAnsi="仿宋" w:eastAsia="仿宋" w:cs="微软雅黑"/>
          <w:sz w:val="28"/>
          <w:szCs w:val="30"/>
        </w:rPr>
        <w:t>以上合同总价包含产品到达用户并能正常使用所需的一切费用</w:t>
      </w:r>
      <w:r>
        <w:rPr>
          <w:rFonts w:hint="eastAsia" w:ascii="仿宋" w:hAnsi="仿宋" w:eastAsia="仿宋" w:cs="Malgun Gothic Semilight"/>
          <w:sz w:val="28"/>
          <w:szCs w:val="30"/>
        </w:rPr>
        <w:t>。</w:t>
      </w:r>
    </w:p>
    <w:p>
      <w:pPr>
        <w:pStyle w:val="22"/>
        <w:adjustRightInd w:val="0"/>
        <w:snapToGrid w:val="0"/>
        <w:spacing w:before="120" w:line="460" w:lineRule="exact"/>
        <w:ind w:firstLine="557" w:firstLineChars="198"/>
        <w:rPr>
          <w:rFonts w:ascii="仿宋" w:hAnsi="仿宋" w:eastAsia="仿宋"/>
          <w:b/>
          <w:snapToGrid w:val="0"/>
          <w:kern w:val="0"/>
          <w:sz w:val="28"/>
          <w:szCs w:val="30"/>
        </w:rPr>
      </w:pPr>
      <w:r>
        <w:rPr>
          <w:rFonts w:hint="eastAsia" w:ascii="仿宋" w:hAnsi="仿宋" w:eastAsia="仿宋" w:cs="微软雅黑"/>
          <w:b/>
          <w:snapToGrid w:val="0"/>
          <w:kern w:val="0"/>
          <w:sz w:val="28"/>
          <w:szCs w:val="30"/>
        </w:rPr>
        <w:t>二</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技术资料</w:t>
      </w:r>
    </w:p>
    <w:p>
      <w:pPr>
        <w:pStyle w:val="22"/>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1.</w:t>
      </w:r>
      <w:r>
        <w:rPr>
          <w:rFonts w:hint="eastAsia" w:ascii="仿宋" w:hAnsi="仿宋" w:eastAsia="仿宋" w:cs="微软雅黑"/>
          <w:snapToGrid w:val="0"/>
          <w:kern w:val="0"/>
          <w:sz w:val="28"/>
          <w:szCs w:val="30"/>
        </w:rPr>
        <w:t>乙方应按单一来源采购文件规定的时间向甲方提供使用项目的有关技术资料</w:t>
      </w:r>
      <w:r>
        <w:rPr>
          <w:rFonts w:hint="eastAsia" w:ascii="仿宋" w:hAnsi="仿宋" w:eastAsia="仿宋" w:cs="Malgun Gothic Semilight"/>
          <w:snapToGrid w:val="0"/>
          <w:kern w:val="0"/>
          <w:sz w:val="28"/>
          <w:szCs w:val="30"/>
        </w:rPr>
        <w:t>。</w:t>
      </w:r>
    </w:p>
    <w:p>
      <w:pPr>
        <w:pStyle w:val="22"/>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2. </w:t>
      </w:r>
      <w:r>
        <w:rPr>
          <w:rFonts w:hint="eastAsia" w:ascii="仿宋" w:hAnsi="仿宋" w:eastAsia="仿宋" w:cs="微软雅黑"/>
          <w:snapToGrid w:val="0"/>
          <w:kern w:val="0"/>
          <w:sz w:val="28"/>
          <w:szCs w:val="30"/>
        </w:rPr>
        <w:t>没有甲方事先书面同意</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乙方不得将由甲方提供的有关合同或任何合同条文</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规格</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计划</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图纸</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样品或资料提供给与履行本合同无关的任何其他人</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即使向履行本合同有关的人员提供</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也应注意保密并限于履行合同的必需范围</w:t>
      </w:r>
      <w:r>
        <w:rPr>
          <w:rFonts w:hint="eastAsia" w:ascii="仿宋" w:hAnsi="仿宋" w:eastAsia="仿宋" w:cs="Malgun Gothic Semilight"/>
          <w:snapToGrid w:val="0"/>
          <w:kern w:val="0"/>
          <w:sz w:val="28"/>
          <w:szCs w:val="30"/>
        </w:rPr>
        <w:t>。</w:t>
      </w:r>
    </w:p>
    <w:p>
      <w:pPr>
        <w:pStyle w:val="22"/>
        <w:adjustRightInd w:val="0"/>
        <w:snapToGrid w:val="0"/>
        <w:spacing w:before="120" w:line="460" w:lineRule="exact"/>
        <w:ind w:firstLine="557" w:firstLineChars="198"/>
        <w:rPr>
          <w:rFonts w:ascii="仿宋" w:hAnsi="仿宋" w:eastAsia="仿宋"/>
          <w:b/>
          <w:snapToGrid w:val="0"/>
          <w:kern w:val="0"/>
          <w:sz w:val="28"/>
          <w:szCs w:val="30"/>
        </w:rPr>
      </w:pPr>
      <w:r>
        <w:rPr>
          <w:rFonts w:hint="eastAsia" w:ascii="仿宋" w:hAnsi="仿宋" w:eastAsia="仿宋" w:cs="微软雅黑"/>
          <w:b/>
          <w:snapToGrid w:val="0"/>
          <w:kern w:val="0"/>
          <w:sz w:val="28"/>
          <w:szCs w:val="30"/>
        </w:rPr>
        <w:t>三</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知识产权</w:t>
      </w:r>
    </w:p>
    <w:p>
      <w:pPr>
        <w:pStyle w:val="22"/>
        <w:adjustRightInd w:val="0"/>
        <w:snapToGrid w:val="0"/>
        <w:spacing w:before="120" w:line="460" w:lineRule="exact"/>
        <w:ind w:firstLine="596" w:firstLineChars="213"/>
        <w:rPr>
          <w:rFonts w:ascii="仿宋" w:hAnsi="仿宋" w:eastAsia="仿宋"/>
          <w:bCs/>
          <w:snapToGrid w:val="0"/>
          <w:kern w:val="0"/>
          <w:sz w:val="28"/>
          <w:szCs w:val="30"/>
        </w:rPr>
      </w:pPr>
      <w:r>
        <w:rPr>
          <w:rFonts w:hint="eastAsia" w:ascii="仿宋" w:hAnsi="仿宋" w:eastAsia="仿宋" w:cs="微软雅黑"/>
          <w:snapToGrid w:val="0"/>
          <w:kern w:val="0"/>
          <w:sz w:val="28"/>
          <w:szCs w:val="30"/>
        </w:rPr>
        <w:t>乙方应保证所提供的项目或其任何一部分均不会侵犯任何第三方的知识产权</w:t>
      </w:r>
      <w:r>
        <w:rPr>
          <w:rFonts w:hint="eastAsia" w:ascii="仿宋" w:hAnsi="仿宋" w:eastAsia="仿宋"/>
          <w:bCs/>
          <w:snapToGrid w:val="0"/>
          <w:kern w:val="0"/>
          <w:sz w:val="28"/>
          <w:szCs w:val="30"/>
        </w:rPr>
        <w:t>。</w:t>
      </w:r>
    </w:p>
    <w:p>
      <w:pPr>
        <w:pStyle w:val="22"/>
        <w:adjustRightInd w:val="0"/>
        <w:snapToGrid w:val="0"/>
        <w:spacing w:before="120" w:line="460" w:lineRule="exact"/>
        <w:ind w:firstLine="557" w:firstLineChars="198"/>
        <w:rPr>
          <w:rFonts w:ascii="仿宋" w:hAnsi="仿宋" w:eastAsia="仿宋"/>
          <w:snapToGrid w:val="0"/>
          <w:kern w:val="0"/>
          <w:sz w:val="28"/>
          <w:szCs w:val="30"/>
          <w:u w:val="single"/>
        </w:rPr>
      </w:pPr>
      <w:r>
        <w:rPr>
          <w:rFonts w:hint="eastAsia" w:ascii="仿宋" w:hAnsi="仿宋" w:eastAsia="仿宋" w:cs="微软雅黑"/>
          <w:b/>
          <w:snapToGrid w:val="0"/>
          <w:kern w:val="0"/>
          <w:sz w:val="28"/>
          <w:szCs w:val="30"/>
        </w:rPr>
        <w:t>四</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产权担保</w:t>
      </w:r>
    </w:p>
    <w:p>
      <w:pPr>
        <w:pStyle w:val="22"/>
        <w:adjustRightInd w:val="0"/>
        <w:snapToGrid w:val="0"/>
        <w:spacing w:before="120" w:line="460" w:lineRule="exact"/>
        <w:ind w:firstLine="596" w:firstLineChars="213"/>
        <w:rPr>
          <w:rFonts w:ascii="仿宋" w:hAnsi="仿宋" w:eastAsia="仿宋"/>
          <w:snapToGrid w:val="0"/>
          <w:kern w:val="0"/>
          <w:sz w:val="28"/>
          <w:szCs w:val="30"/>
          <w:u w:val="single"/>
        </w:rPr>
      </w:pPr>
      <w:r>
        <w:rPr>
          <w:rFonts w:hint="eastAsia" w:ascii="仿宋" w:hAnsi="仿宋" w:eastAsia="仿宋" w:cs="微软雅黑"/>
          <w:snapToGrid w:val="0"/>
          <w:kern w:val="0"/>
          <w:sz w:val="28"/>
          <w:szCs w:val="30"/>
        </w:rPr>
        <w:t>乙方保证所交付的项目的所有权完全属于乙方且无任何抵押</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查封等产权瑕疵</w:t>
      </w:r>
      <w:r>
        <w:rPr>
          <w:rFonts w:hint="eastAsia" w:ascii="仿宋" w:hAnsi="仿宋" w:eastAsia="仿宋" w:cs="Malgun Gothic Semilight"/>
          <w:snapToGrid w:val="0"/>
          <w:kern w:val="0"/>
          <w:sz w:val="28"/>
          <w:szCs w:val="30"/>
        </w:rPr>
        <w:t>。</w:t>
      </w:r>
    </w:p>
    <w:p>
      <w:pPr>
        <w:pStyle w:val="22"/>
        <w:adjustRightInd w:val="0"/>
        <w:snapToGrid w:val="0"/>
        <w:spacing w:before="120" w:line="460" w:lineRule="exact"/>
        <w:ind w:firstLine="557" w:firstLineChars="198"/>
        <w:rPr>
          <w:rFonts w:ascii="仿宋" w:hAnsi="仿宋" w:eastAsia="仿宋"/>
          <w:b/>
          <w:snapToGrid w:val="0"/>
          <w:kern w:val="0"/>
          <w:sz w:val="28"/>
          <w:szCs w:val="30"/>
        </w:rPr>
      </w:pPr>
      <w:r>
        <w:rPr>
          <w:rFonts w:hint="eastAsia" w:ascii="仿宋" w:hAnsi="仿宋" w:eastAsia="仿宋" w:cs="微软雅黑"/>
          <w:b/>
          <w:snapToGrid w:val="0"/>
          <w:kern w:val="0"/>
          <w:sz w:val="28"/>
          <w:szCs w:val="30"/>
        </w:rPr>
        <w:t>五</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转包或分包</w:t>
      </w:r>
    </w:p>
    <w:p>
      <w:pPr>
        <w:adjustRightInd w:val="0"/>
        <w:snapToGrid w:val="0"/>
        <w:spacing w:before="120" w:beforeLines="50" w:after="120" w:afterLines="5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本合同范围的项目</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应由乙方直接供应</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不得转让他人供应</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否则</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甲方有权解除合同</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没收履约保证金并追究乙方的违约责任</w:t>
      </w:r>
      <w:r>
        <w:rPr>
          <w:rFonts w:hint="eastAsia" w:ascii="仿宋" w:hAnsi="仿宋" w:eastAsia="仿宋" w:cs="Malgun Gothic Semilight"/>
          <w:snapToGrid w:val="0"/>
          <w:kern w:val="0"/>
          <w:sz w:val="28"/>
          <w:szCs w:val="30"/>
        </w:rPr>
        <w:t>。</w:t>
      </w:r>
    </w:p>
    <w:p>
      <w:pPr>
        <w:pStyle w:val="22"/>
        <w:adjustRightInd w:val="0"/>
        <w:snapToGrid w:val="0"/>
        <w:spacing w:before="120" w:line="460" w:lineRule="exact"/>
        <w:ind w:firstLine="599" w:firstLineChars="213"/>
        <w:rPr>
          <w:rFonts w:ascii="仿宋" w:hAnsi="仿宋" w:eastAsia="仿宋"/>
          <w:snapToGrid w:val="0"/>
          <w:kern w:val="0"/>
          <w:sz w:val="28"/>
          <w:szCs w:val="30"/>
        </w:rPr>
      </w:pPr>
      <w:r>
        <w:rPr>
          <w:rFonts w:hint="eastAsia" w:ascii="仿宋" w:hAnsi="仿宋" w:eastAsia="仿宋" w:cs="微软雅黑"/>
          <w:b/>
          <w:snapToGrid w:val="0"/>
          <w:kern w:val="0"/>
          <w:sz w:val="28"/>
          <w:szCs w:val="30"/>
        </w:rPr>
        <w:t>六</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质保期和履约保证金</w:t>
      </w:r>
    </w:p>
    <w:p>
      <w:pPr>
        <w:pStyle w:val="22"/>
        <w:adjustRightInd w:val="0"/>
        <w:snapToGrid w:val="0"/>
        <w:spacing w:before="120" w:line="460" w:lineRule="exact"/>
        <w:ind w:firstLine="560" w:firstLineChars="200"/>
        <w:jc w:val="left"/>
        <w:rPr>
          <w:rFonts w:ascii="仿宋" w:hAnsi="仿宋" w:eastAsia="仿宋"/>
          <w:snapToGrid w:val="0"/>
          <w:kern w:val="0"/>
          <w:sz w:val="28"/>
          <w:szCs w:val="30"/>
        </w:rPr>
      </w:pPr>
      <w:r>
        <w:rPr>
          <w:rFonts w:hint="eastAsia" w:ascii="仿宋" w:hAnsi="仿宋" w:eastAsia="仿宋"/>
          <w:snapToGrid w:val="0"/>
          <w:kern w:val="0"/>
          <w:sz w:val="28"/>
          <w:szCs w:val="30"/>
        </w:rPr>
        <w:t>1.</w:t>
      </w:r>
      <w:r>
        <w:rPr>
          <w:rFonts w:hint="eastAsia" w:ascii="仿宋" w:hAnsi="仿宋" w:eastAsia="仿宋" w:cs="微软雅黑"/>
          <w:snapToGrid w:val="0"/>
          <w:kern w:val="0"/>
          <w:sz w:val="28"/>
          <w:szCs w:val="30"/>
        </w:rPr>
        <w:t>质保期</w:t>
      </w:r>
      <w:bookmarkStart w:id="40" w:name="质保期（年）"/>
      <w:r>
        <w:rPr>
          <w:rFonts w:hint="eastAsia" w:ascii="仿宋" w:hAnsi="仿宋" w:eastAsia="仿宋"/>
          <w:snapToGrid w:val="0"/>
          <w:kern w:val="0"/>
          <w:sz w:val="28"/>
          <w:szCs w:val="30"/>
          <w:u w:val="single"/>
        </w:rPr>
        <w:t>[</w:t>
      </w:r>
      <w:r>
        <w:rPr>
          <w:rFonts w:hint="eastAsia" w:ascii="仿宋" w:hAnsi="仿宋" w:eastAsia="仿宋" w:cs="微软雅黑"/>
          <w:snapToGrid w:val="0"/>
          <w:kern w:val="0"/>
          <w:sz w:val="28"/>
          <w:szCs w:val="30"/>
          <w:u w:val="single"/>
        </w:rPr>
        <w:t>质保期</w:t>
      </w:r>
      <w:r>
        <w:rPr>
          <w:rFonts w:hint="eastAsia" w:ascii="仿宋" w:hAnsi="仿宋" w:eastAsia="仿宋" w:cs="Malgun Gothic Semilight"/>
          <w:snapToGrid w:val="0"/>
          <w:kern w:val="0"/>
          <w:sz w:val="28"/>
          <w:szCs w:val="30"/>
          <w:u w:val="single"/>
        </w:rPr>
        <w:t>（</w:t>
      </w:r>
      <w:r>
        <w:rPr>
          <w:rFonts w:hint="eastAsia" w:ascii="仿宋" w:hAnsi="仿宋" w:eastAsia="仿宋" w:cs="微软雅黑"/>
          <w:snapToGrid w:val="0"/>
          <w:kern w:val="0"/>
          <w:sz w:val="28"/>
          <w:szCs w:val="30"/>
          <w:u w:val="single"/>
        </w:rPr>
        <w:t>年</w:t>
      </w:r>
      <w:r>
        <w:rPr>
          <w:rFonts w:hint="eastAsia" w:ascii="仿宋" w:hAnsi="仿宋" w:eastAsia="仿宋" w:cs="Malgun Gothic Semilight"/>
          <w:snapToGrid w:val="0"/>
          <w:kern w:val="0"/>
          <w:sz w:val="28"/>
          <w:szCs w:val="30"/>
          <w:u w:val="single"/>
        </w:rPr>
        <w:t>）</w:t>
      </w:r>
      <w:r>
        <w:rPr>
          <w:rFonts w:hint="eastAsia" w:ascii="仿宋" w:hAnsi="仿宋" w:eastAsia="仿宋"/>
          <w:snapToGrid w:val="0"/>
          <w:kern w:val="0"/>
          <w:sz w:val="28"/>
          <w:szCs w:val="30"/>
          <w:u w:val="single"/>
        </w:rPr>
        <w:t>]</w:t>
      </w:r>
      <w:bookmarkEnd w:id="40"/>
      <w:r>
        <w:rPr>
          <w:rFonts w:hint="eastAsia" w:ascii="仿宋" w:hAnsi="仿宋" w:eastAsia="仿宋" w:cs="微软雅黑"/>
          <w:snapToGrid w:val="0"/>
          <w:kern w:val="0"/>
          <w:sz w:val="28"/>
          <w:szCs w:val="30"/>
        </w:rPr>
        <w:t>年</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自交货验收合格之日起计</w:t>
      </w:r>
      <w:r>
        <w:rPr>
          <w:rFonts w:hint="eastAsia" w:ascii="仿宋" w:hAnsi="仿宋" w:eastAsia="仿宋" w:cs="Malgun Gothic Semilight"/>
          <w:snapToGrid w:val="0"/>
          <w:kern w:val="0"/>
          <w:sz w:val="28"/>
          <w:szCs w:val="30"/>
        </w:rPr>
        <w:t>）</w:t>
      </w:r>
    </w:p>
    <w:p>
      <w:pPr>
        <w:pStyle w:val="22"/>
        <w:adjustRightInd w:val="0"/>
        <w:snapToGrid w:val="0"/>
        <w:spacing w:before="120" w:line="460" w:lineRule="exact"/>
        <w:ind w:firstLine="560" w:firstLineChars="200"/>
        <w:rPr>
          <w:rFonts w:ascii="仿宋" w:hAnsi="仿宋" w:eastAsia="仿宋"/>
          <w:snapToGrid w:val="0"/>
          <w:kern w:val="0"/>
          <w:sz w:val="28"/>
          <w:szCs w:val="30"/>
        </w:rPr>
      </w:pPr>
      <w:r>
        <w:rPr>
          <w:rFonts w:hint="eastAsia" w:ascii="仿宋" w:hAnsi="仿宋" w:eastAsia="仿宋"/>
          <w:snapToGrid w:val="0"/>
          <w:kern w:val="0"/>
          <w:sz w:val="28"/>
          <w:szCs w:val="30"/>
        </w:rPr>
        <w:t>2.</w:t>
      </w:r>
      <w:r>
        <w:rPr>
          <w:rFonts w:hint="eastAsia" w:ascii="仿宋" w:hAnsi="仿宋" w:eastAsia="仿宋" w:cs="微软雅黑"/>
          <w:snapToGrid w:val="0"/>
          <w:kern w:val="0"/>
          <w:sz w:val="28"/>
          <w:szCs w:val="30"/>
        </w:rPr>
        <w:t>履约保证金</w:t>
      </w:r>
      <w:bookmarkStart w:id="41" w:name="质保金（元）"/>
      <w:r>
        <w:rPr>
          <w:rFonts w:hint="eastAsia" w:ascii="仿宋" w:hAnsi="仿宋" w:eastAsia="仿宋"/>
          <w:snapToGrid w:val="0"/>
          <w:kern w:val="0"/>
          <w:sz w:val="28"/>
          <w:szCs w:val="30"/>
          <w:u w:val="single"/>
        </w:rPr>
        <w:t>[</w:t>
      </w:r>
      <w:r>
        <w:rPr>
          <w:rFonts w:hint="eastAsia" w:ascii="仿宋" w:hAnsi="仿宋" w:eastAsia="仿宋" w:cs="微软雅黑"/>
          <w:snapToGrid w:val="0"/>
          <w:kern w:val="0"/>
          <w:sz w:val="28"/>
          <w:szCs w:val="30"/>
          <w:u w:val="single"/>
        </w:rPr>
        <w:t>质保金</w:t>
      </w:r>
      <w:r>
        <w:rPr>
          <w:rFonts w:hint="eastAsia" w:ascii="仿宋" w:hAnsi="仿宋" w:eastAsia="仿宋" w:cs="Malgun Gothic Semilight"/>
          <w:snapToGrid w:val="0"/>
          <w:kern w:val="0"/>
          <w:sz w:val="28"/>
          <w:szCs w:val="30"/>
          <w:u w:val="single"/>
        </w:rPr>
        <w:t>（</w:t>
      </w:r>
      <w:r>
        <w:rPr>
          <w:rFonts w:hint="eastAsia" w:ascii="仿宋" w:hAnsi="仿宋" w:eastAsia="仿宋" w:cs="微软雅黑"/>
          <w:snapToGrid w:val="0"/>
          <w:kern w:val="0"/>
          <w:sz w:val="28"/>
          <w:szCs w:val="30"/>
          <w:u w:val="single"/>
        </w:rPr>
        <w:t>元</w:t>
      </w:r>
      <w:r>
        <w:rPr>
          <w:rFonts w:hint="eastAsia" w:ascii="仿宋" w:hAnsi="仿宋" w:eastAsia="仿宋" w:cs="Malgun Gothic Semilight"/>
          <w:snapToGrid w:val="0"/>
          <w:kern w:val="0"/>
          <w:sz w:val="28"/>
          <w:szCs w:val="30"/>
          <w:u w:val="single"/>
        </w:rPr>
        <w:t>）</w:t>
      </w:r>
      <w:r>
        <w:rPr>
          <w:rFonts w:hint="eastAsia" w:ascii="仿宋" w:hAnsi="仿宋" w:eastAsia="仿宋"/>
          <w:snapToGrid w:val="0"/>
          <w:kern w:val="0"/>
          <w:sz w:val="28"/>
          <w:szCs w:val="30"/>
          <w:u w:val="single"/>
        </w:rPr>
        <w:t>]</w:t>
      </w:r>
      <w:bookmarkEnd w:id="41"/>
      <w:r>
        <w:rPr>
          <w:rFonts w:hint="eastAsia" w:ascii="仿宋" w:hAnsi="仿宋" w:eastAsia="仿宋" w:cs="微软雅黑"/>
          <w:snapToGrid w:val="0"/>
          <w:kern w:val="0"/>
          <w:sz w:val="28"/>
          <w:szCs w:val="30"/>
        </w:rPr>
        <w:t>元</w:t>
      </w:r>
      <w:r>
        <w:rPr>
          <w:rFonts w:hint="eastAsia" w:ascii="仿宋" w:hAnsi="仿宋" w:eastAsia="仿宋" w:cs="Malgun Gothic Semilight"/>
          <w:snapToGrid w:val="0"/>
          <w:kern w:val="0"/>
          <w:sz w:val="28"/>
          <w:szCs w:val="30"/>
        </w:rPr>
        <w:t>。</w:t>
      </w:r>
      <w:r>
        <w:rPr>
          <w:rFonts w:hint="eastAsia" w:ascii="仿宋" w:hAnsi="仿宋" w:eastAsia="仿宋"/>
          <w:snapToGrid w:val="0"/>
          <w:kern w:val="0"/>
          <w:sz w:val="28"/>
          <w:szCs w:val="30"/>
        </w:rPr>
        <w:t>[</w:t>
      </w:r>
      <w:r>
        <w:rPr>
          <w:rFonts w:hint="eastAsia" w:ascii="仿宋" w:hAnsi="仿宋" w:eastAsia="仿宋" w:cs="微软雅黑"/>
          <w:snapToGrid w:val="0"/>
          <w:kern w:val="0"/>
          <w:sz w:val="28"/>
          <w:szCs w:val="30"/>
        </w:rPr>
        <w:t>履约保证金交给采购人处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在合同约定交货验收合格满</w:t>
      </w:r>
      <w:r>
        <w:rPr>
          <w:rFonts w:hint="eastAsia" w:ascii="仿宋" w:hAnsi="仿宋" w:eastAsia="仿宋" w:cs="Malgun Gothic Semilight"/>
          <w:snapToGrid w:val="0"/>
          <w:kern w:val="0"/>
          <w:sz w:val="28"/>
          <w:szCs w:val="30"/>
        </w:rPr>
        <w:t>（</w:t>
      </w:r>
      <w:bookmarkStart w:id="42" w:name="退还时间（月）"/>
      <w:r>
        <w:rPr>
          <w:rFonts w:hint="eastAsia" w:ascii="仿宋" w:hAnsi="仿宋" w:eastAsia="仿宋"/>
          <w:snapToGrid w:val="0"/>
          <w:kern w:val="0"/>
          <w:sz w:val="28"/>
          <w:szCs w:val="30"/>
        </w:rPr>
        <w:t>[</w:t>
      </w:r>
      <w:r>
        <w:rPr>
          <w:rFonts w:hint="eastAsia" w:ascii="仿宋" w:hAnsi="仿宋" w:eastAsia="仿宋" w:cs="微软雅黑"/>
          <w:snapToGrid w:val="0"/>
          <w:kern w:val="0"/>
          <w:sz w:val="28"/>
          <w:szCs w:val="30"/>
        </w:rPr>
        <w:t>退还时间</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月</w:t>
      </w:r>
      <w:r>
        <w:rPr>
          <w:rFonts w:hint="eastAsia" w:ascii="仿宋" w:hAnsi="仿宋" w:eastAsia="仿宋" w:cs="Malgun Gothic Semilight"/>
          <w:snapToGrid w:val="0"/>
          <w:kern w:val="0"/>
          <w:sz w:val="28"/>
          <w:szCs w:val="30"/>
        </w:rPr>
        <w:t>）</w:t>
      </w:r>
      <w:r>
        <w:rPr>
          <w:rFonts w:hint="eastAsia" w:ascii="仿宋" w:hAnsi="仿宋" w:eastAsia="仿宋"/>
          <w:snapToGrid w:val="0"/>
          <w:kern w:val="0"/>
          <w:sz w:val="28"/>
          <w:szCs w:val="30"/>
        </w:rPr>
        <w:t>]</w:t>
      </w:r>
      <w:bookmarkEnd w:id="42"/>
      <w:r>
        <w:rPr>
          <w:rFonts w:hint="eastAsia" w:ascii="仿宋" w:hAnsi="仿宋" w:eastAsia="仿宋"/>
          <w:snapToGrid w:val="0"/>
          <w:kern w:val="0"/>
          <w:sz w:val="28"/>
          <w:szCs w:val="30"/>
        </w:rPr>
        <w:t>）</w:t>
      </w:r>
      <w:r>
        <w:rPr>
          <w:rFonts w:hint="eastAsia" w:ascii="仿宋" w:hAnsi="仿宋" w:eastAsia="仿宋" w:cs="微软雅黑"/>
          <w:snapToGrid w:val="0"/>
          <w:kern w:val="0"/>
          <w:sz w:val="28"/>
          <w:szCs w:val="30"/>
        </w:rPr>
        <w:t>个月之日起</w:t>
      </w:r>
      <w:r>
        <w:rPr>
          <w:rFonts w:hint="eastAsia" w:ascii="仿宋" w:hAnsi="仿宋" w:eastAsia="仿宋"/>
          <w:snapToGrid w:val="0"/>
          <w:kern w:val="0"/>
          <w:sz w:val="28"/>
          <w:szCs w:val="30"/>
        </w:rPr>
        <w:t>5</w:t>
      </w:r>
      <w:r>
        <w:rPr>
          <w:rFonts w:hint="eastAsia" w:ascii="仿宋" w:hAnsi="仿宋" w:eastAsia="仿宋" w:cs="微软雅黑"/>
          <w:snapToGrid w:val="0"/>
          <w:kern w:val="0"/>
          <w:sz w:val="28"/>
          <w:szCs w:val="30"/>
        </w:rPr>
        <w:t>个工作日内无息退还</w:t>
      </w:r>
      <w:r>
        <w:rPr>
          <w:rFonts w:hint="eastAsia" w:ascii="仿宋" w:hAnsi="仿宋" w:eastAsia="仿宋"/>
          <w:snapToGrid w:val="0"/>
          <w:kern w:val="0"/>
          <w:sz w:val="28"/>
          <w:szCs w:val="30"/>
        </w:rPr>
        <w:t>]</w:t>
      </w:r>
    </w:p>
    <w:p>
      <w:pPr>
        <w:pStyle w:val="22"/>
        <w:adjustRightInd w:val="0"/>
        <w:snapToGrid w:val="0"/>
        <w:spacing w:before="120" w:line="460" w:lineRule="exact"/>
        <w:ind w:firstLine="599" w:firstLineChars="213"/>
        <w:rPr>
          <w:rFonts w:ascii="仿宋" w:hAnsi="仿宋" w:eastAsia="仿宋"/>
          <w:b/>
          <w:snapToGrid w:val="0"/>
          <w:kern w:val="0"/>
          <w:sz w:val="28"/>
          <w:szCs w:val="30"/>
        </w:rPr>
      </w:pPr>
      <w:r>
        <w:rPr>
          <w:rFonts w:hint="eastAsia" w:ascii="仿宋" w:hAnsi="仿宋" w:eastAsia="仿宋" w:cs="微软雅黑"/>
          <w:b/>
          <w:snapToGrid w:val="0"/>
          <w:kern w:val="0"/>
          <w:sz w:val="28"/>
          <w:szCs w:val="30"/>
        </w:rPr>
        <w:t>七</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交货期</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交货方式及交货地点</w:t>
      </w:r>
    </w:p>
    <w:p>
      <w:pPr>
        <w:pStyle w:val="22"/>
        <w:adjustRightInd w:val="0"/>
        <w:snapToGrid w:val="0"/>
        <w:spacing w:before="120" w:line="460" w:lineRule="exact"/>
        <w:ind w:firstLine="596" w:firstLineChars="213"/>
        <w:rPr>
          <w:rFonts w:ascii="仿宋" w:hAnsi="仿宋" w:eastAsia="仿宋"/>
          <w:bCs/>
          <w:snapToGrid w:val="0"/>
          <w:kern w:val="0"/>
          <w:sz w:val="28"/>
          <w:szCs w:val="30"/>
        </w:rPr>
      </w:pPr>
      <w:r>
        <w:rPr>
          <w:rFonts w:hint="eastAsia" w:ascii="仿宋" w:hAnsi="仿宋" w:eastAsia="仿宋"/>
          <w:bCs/>
          <w:snapToGrid w:val="0"/>
          <w:kern w:val="0"/>
          <w:sz w:val="28"/>
          <w:szCs w:val="30"/>
        </w:rPr>
        <w:t xml:space="preserve">1. </w:t>
      </w:r>
      <w:r>
        <w:rPr>
          <w:rFonts w:hint="eastAsia" w:ascii="仿宋" w:hAnsi="仿宋" w:eastAsia="仿宋" w:cs="微软雅黑"/>
          <w:bCs/>
          <w:snapToGrid w:val="0"/>
          <w:kern w:val="0"/>
          <w:sz w:val="28"/>
          <w:szCs w:val="30"/>
        </w:rPr>
        <w:t>交货期</w:t>
      </w:r>
      <w:r>
        <w:rPr>
          <w:rFonts w:hint="eastAsia" w:ascii="仿宋" w:hAnsi="仿宋" w:eastAsia="仿宋" w:cs="Malgun Gothic Semilight"/>
          <w:bCs/>
          <w:snapToGrid w:val="0"/>
          <w:kern w:val="0"/>
          <w:sz w:val="28"/>
          <w:szCs w:val="30"/>
        </w:rPr>
        <w:t>：</w:t>
      </w:r>
      <w:bookmarkStart w:id="43" w:name="交货期"/>
      <w:r>
        <w:rPr>
          <w:rFonts w:hint="eastAsia" w:ascii="仿宋" w:hAnsi="仿宋" w:eastAsia="仿宋"/>
          <w:bCs/>
          <w:snapToGrid w:val="0"/>
          <w:kern w:val="0"/>
          <w:sz w:val="28"/>
          <w:szCs w:val="30"/>
        </w:rPr>
        <w:t>[</w:t>
      </w:r>
      <w:r>
        <w:rPr>
          <w:rFonts w:hint="eastAsia" w:ascii="仿宋" w:hAnsi="仿宋" w:eastAsia="仿宋" w:cs="微软雅黑"/>
          <w:bCs/>
          <w:snapToGrid w:val="0"/>
          <w:kern w:val="0"/>
          <w:sz w:val="28"/>
          <w:szCs w:val="30"/>
        </w:rPr>
        <w:t>交货期</w:t>
      </w:r>
      <w:r>
        <w:rPr>
          <w:rFonts w:hint="eastAsia" w:ascii="仿宋" w:hAnsi="仿宋" w:eastAsia="仿宋"/>
          <w:bCs/>
          <w:snapToGrid w:val="0"/>
          <w:kern w:val="0"/>
          <w:sz w:val="28"/>
          <w:szCs w:val="30"/>
        </w:rPr>
        <w:t>]</w:t>
      </w:r>
      <w:bookmarkEnd w:id="43"/>
    </w:p>
    <w:p>
      <w:pPr>
        <w:pStyle w:val="22"/>
        <w:adjustRightInd w:val="0"/>
        <w:snapToGrid w:val="0"/>
        <w:spacing w:before="120" w:line="460" w:lineRule="exact"/>
        <w:ind w:firstLine="596" w:firstLineChars="213"/>
        <w:rPr>
          <w:rFonts w:ascii="仿宋" w:hAnsi="仿宋" w:eastAsia="仿宋"/>
          <w:bCs/>
          <w:snapToGrid w:val="0"/>
          <w:kern w:val="0"/>
          <w:sz w:val="28"/>
          <w:szCs w:val="30"/>
        </w:rPr>
      </w:pPr>
      <w:r>
        <w:rPr>
          <w:rFonts w:hint="eastAsia" w:ascii="仿宋" w:hAnsi="仿宋" w:eastAsia="仿宋"/>
          <w:bCs/>
          <w:snapToGrid w:val="0"/>
          <w:kern w:val="0"/>
          <w:sz w:val="28"/>
          <w:szCs w:val="30"/>
        </w:rPr>
        <w:t xml:space="preserve">2. </w:t>
      </w:r>
      <w:r>
        <w:rPr>
          <w:rFonts w:hint="eastAsia" w:ascii="仿宋" w:hAnsi="仿宋" w:eastAsia="仿宋" w:cs="微软雅黑"/>
          <w:bCs/>
          <w:snapToGrid w:val="0"/>
          <w:kern w:val="0"/>
          <w:sz w:val="28"/>
          <w:szCs w:val="30"/>
        </w:rPr>
        <w:t>交货方式</w:t>
      </w:r>
      <w:r>
        <w:rPr>
          <w:rFonts w:hint="eastAsia" w:ascii="仿宋" w:hAnsi="仿宋" w:eastAsia="仿宋" w:cs="Malgun Gothic Semilight"/>
          <w:bCs/>
          <w:snapToGrid w:val="0"/>
          <w:kern w:val="0"/>
          <w:sz w:val="28"/>
          <w:szCs w:val="30"/>
        </w:rPr>
        <w:t>：</w:t>
      </w:r>
      <w:bookmarkStart w:id="44" w:name="交货方式"/>
      <w:r>
        <w:rPr>
          <w:rFonts w:hint="eastAsia" w:ascii="仿宋" w:hAnsi="仿宋" w:eastAsia="仿宋"/>
          <w:bCs/>
          <w:snapToGrid w:val="0"/>
          <w:kern w:val="0"/>
          <w:sz w:val="28"/>
          <w:szCs w:val="30"/>
        </w:rPr>
        <w:t>[</w:t>
      </w:r>
      <w:r>
        <w:rPr>
          <w:rFonts w:hint="eastAsia" w:ascii="仿宋" w:hAnsi="仿宋" w:eastAsia="仿宋" w:cs="微软雅黑"/>
          <w:bCs/>
          <w:snapToGrid w:val="0"/>
          <w:kern w:val="0"/>
          <w:sz w:val="28"/>
          <w:szCs w:val="30"/>
        </w:rPr>
        <w:t>交货方式</w:t>
      </w:r>
      <w:r>
        <w:rPr>
          <w:rFonts w:hint="eastAsia" w:ascii="仿宋" w:hAnsi="仿宋" w:eastAsia="仿宋"/>
          <w:bCs/>
          <w:snapToGrid w:val="0"/>
          <w:kern w:val="0"/>
          <w:sz w:val="28"/>
          <w:szCs w:val="30"/>
        </w:rPr>
        <w:t>]</w:t>
      </w:r>
      <w:bookmarkEnd w:id="44"/>
    </w:p>
    <w:p>
      <w:pPr>
        <w:pStyle w:val="22"/>
        <w:adjustRightInd w:val="0"/>
        <w:snapToGrid w:val="0"/>
        <w:spacing w:before="120" w:line="460" w:lineRule="exact"/>
        <w:ind w:firstLine="596" w:firstLineChars="213"/>
        <w:rPr>
          <w:rFonts w:ascii="仿宋" w:hAnsi="仿宋" w:eastAsia="仿宋"/>
          <w:b/>
          <w:snapToGrid w:val="0"/>
          <w:kern w:val="0"/>
          <w:sz w:val="28"/>
          <w:szCs w:val="30"/>
        </w:rPr>
      </w:pPr>
      <w:r>
        <w:rPr>
          <w:rFonts w:hint="eastAsia" w:ascii="仿宋" w:hAnsi="仿宋" w:eastAsia="仿宋"/>
          <w:bCs/>
          <w:snapToGrid w:val="0"/>
          <w:kern w:val="0"/>
          <w:sz w:val="28"/>
          <w:szCs w:val="30"/>
        </w:rPr>
        <w:t xml:space="preserve">3. </w:t>
      </w:r>
      <w:r>
        <w:rPr>
          <w:rFonts w:hint="eastAsia" w:ascii="仿宋" w:hAnsi="仿宋" w:eastAsia="仿宋" w:cs="微软雅黑"/>
          <w:bCs/>
          <w:snapToGrid w:val="0"/>
          <w:kern w:val="0"/>
          <w:sz w:val="28"/>
          <w:szCs w:val="30"/>
        </w:rPr>
        <w:t>交货地点</w:t>
      </w:r>
      <w:r>
        <w:rPr>
          <w:rFonts w:hint="eastAsia" w:ascii="仿宋" w:hAnsi="仿宋" w:eastAsia="仿宋" w:cs="Malgun Gothic Semilight"/>
          <w:bCs/>
          <w:snapToGrid w:val="0"/>
          <w:kern w:val="0"/>
          <w:sz w:val="28"/>
          <w:szCs w:val="30"/>
        </w:rPr>
        <w:t>：</w:t>
      </w:r>
      <w:bookmarkStart w:id="45" w:name="交货地点"/>
      <w:r>
        <w:rPr>
          <w:rFonts w:hint="eastAsia" w:ascii="仿宋" w:hAnsi="仿宋" w:eastAsia="仿宋"/>
          <w:bCs/>
          <w:snapToGrid w:val="0"/>
          <w:kern w:val="0"/>
          <w:sz w:val="28"/>
          <w:szCs w:val="30"/>
        </w:rPr>
        <w:t>[</w:t>
      </w:r>
      <w:r>
        <w:rPr>
          <w:rFonts w:hint="eastAsia" w:ascii="仿宋" w:hAnsi="仿宋" w:eastAsia="仿宋" w:cs="微软雅黑"/>
          <w:bCs/>
          <w:snapToGrid w:val="0"/>
          <w:kern w:val="0"/>
          <w:sz w:val="28"/>
          <w:szCs w:val="30"/>
        </w:rPr>
        <w:t>交货地点</w:t>
      </w:r>
      <w:r>
        <w:rPr>
          <w:rFonts w:hint="eastAsia" w:ascii="仿宋" w:hAnsi="仿宋" w:eastAsia="仿宋"/>
          <w:bCs/>
          <w:snapToGrid w:val="0"/>
          <w:kern w:val="0"/>
          <w:sz w:val="28"/>
          <w:szCs w:val="30"/>
        </w:rPr>
        <w:t>]</w:t>
      </w:r>
      <w:bookmarkEnd w:id="45"/>
    </w:p>
    <w:p>
      <w:pPr>
        <w:pStyle w:val="22"/>
        <w:adjustRightInd w:val="0"/>
        <w:snapToGrid w:val="0"/>
        <w:spacing w:before="120" w:line="460" w:lineRule="exact"/>
        <w:ind w:firstLine="599" w:firstLineChars="213"/>
        <w:rPr>
          <w:rFonts w:ascii="仿宋" w:hAnsi="仿宋" w:eastAsia="仿宋"/>
          <w:b/>
          <w:snapToGrid w:val="0"/>
          <w:kern w:val="0"/>
          <w:sz w:val="28"/>
          <w:szCs w:val="30"/>
        </w:rPr>
      </w:pPr>
      <w:r>
        <w:rPr>
          <w:rFonts w:hint="eastAsia" w:ascii="仿宋" w:hAnsi="仿宋" w:eastAsia="仿宋" w:cs="微软雅黑"/>
          <w:b/>
          <w:snapToGrid w:val="0"/>
          <w:kern w:val="0"/>
          <w:sz w:val="28"/>
          <w:szCs w:val="30"/>
        </w:rPr>
        <w:t>八</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货款支付</w:t>
      </w:r>
    </w:p>
    <w:p>
      <w:pPr>
        <w:pStyle w:val="22"/>
        <w:adjustRightInd w:val="0"/>
        <w:snapToGrid w:val="0"/>
        <w:spacing w:before="120" w:line="460" w:lineRule="exact"/>
        <w:ind w:firstLine="596" w:firstLineChars="213"/>
        <w:rPr>
          <w:rFonts w:ascii="仿宋" w:hAnsi="仿宋" w:eastAsia="仿宋"/>
          <w:bCs/>
          <w:snapToGrid w:val="0"/>
          <w:kern w:val="0"/>
          <w:sz w:val="28"/>
          <w:szCs w:val="30"/>
        </w:rPr>
      </w:pPr>
      <w:r>
        <w:rPr>
          <w:rFonts w:hint="eastAsia" w:ascii="仿宋" w:hAnsi="仿宋" w:eastAsia="仿宋" w:cs="微软雅黑"/>
          <w:bCs/>
          <w:snapToGrid w:val="0"/>
          <w:kern w:val="0"/>
          <w:sz w:val="28"/>
          <w:szCs w:val="30"/>
        </w:rPr>
        <w:t>付款方式</w:t>
      </w:r>
      <w:r>
        <w:rPr>
          <w:rFonts w:hint="eastAsia" w:ascii="仿宋" w:hAnsi="仿宋" w:eastAsia="仿宋" w:cs="Malgun Gothic Semilight"/>
          <w:bCs/>
          <w:snapToGrid w:val="0"/>
          <w:kern w:val="0"/>
          <w:sz w:val="28"/>
          <w:szCs w:val="30"/>
        </w:rPr>
        <w:t>：详见商务要求表</w:t>
      </w:r>
    </w:p>
    <w:p>
      <w:pPr>
        <w:adjustRightInd w:val="0"/>
        <w:snapToGrid w:val="0"/>
        <w:spacing w:before="120" w:beforeLines="50" w:after="120" w:afterLines="50" w:line="460" w:lineRule="exact"/>
        <w:ind w:firstLine="599" w:firstLineChars="213"/>
        <w:rPr>
          <w:rFonts w:ascii="仿宋" w:hAnsi="仿宋" w:eastAsia="仿宋"/>
          <w:b/>
          <w:snapToGrid w:val="0"/>
          <w:kern w:val="0"/>
          <w:sz w:val="28"/>
          <w:szCs w:val="30"/>
        </w:rPr>
      </w:pPr>
      <w:r>
        <w:rPr>
          <w:rFonts w:hint="eastAsia" w:ascii="仿宋" w:hAnsi="仿宋" w:eastAsia="仿宋" w:cs="微软雅黑"/>
          <w:b/>
          <w:snapToGrid w:val="0"/>
          <w:kern w:val="0"/>
          <w:sz w:val="28"/>
          <w:szCs w:val="30"/>
        </w:rPr>
        <w:t>九</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税费</w:t>
      </w:r>
    </w:p>
    <w:p>
      <w:pPr>
        <w:adjustRightInd w:val="0"/>
        <w:snapToGrid w:val="0"/>
        <w:spacing w:before="120" w:beforeLines="50" w:after="120" w:afterLines="5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本合同执行中相关的一切税费均由乙方负担</w:t>
      </w:r>
      <w:r>
        <w:rPr>
          <w:rFonts w:hint="eastAsia" w:ascii="仿宋" w:hAnsi="仿宋" w:eastAsia="仿宋" w:cs="Malgun Gothic Semilight"/>
          <w:snapToGrid w:val="0"/>
          <w:kern w:val="0"/>
          <w:sz w:val="28"/>
          <w:szCs w:val="30"/>
        </w:rPr>
        <w:t>。</w:t>
      </w:r>
    </w:p>
    <w:p>
      <w:pPr>
        <w:pStyle w:val="22"/>
        <w:adjustRightInd w:val="0"/>
        <w:snapToGrid w:val="0"/>
        <w:spacing w:before="120" w:line="460" w:lineRule="exact"/>
        <w:ind w:firstLine="557" w:firstLineChars="198"/>
        <w:rPr>
          <w:rFonts w:ascii="仿宋" w:hAnsi="仿宋" w:eastAsia="仿宋"/>
          <w:snapToGrid w:val="0"/>
          <w:kern w:val="0"/>
          <w:sz w:val="28"/>
          <w:szCs w:val="30"/>
        </w:rPr>
      </w:pPr>
      <w:r>
        <w:rPr>
          <w:rFonts w:hint="eastAsia" w:ascii="仿宋" w:hAnsi="仿宋" w:eastAsia="仿宋" w:cs="微软雅黑"/>
          <w:b/>
          <w:snapToGrid w:val="0"/>
          <w:kern w:val="0"/>
          <w:sz w:val="28"/>
          <w:szCs w:val="30"/>
        </w:rPr>
        <w:t>十</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质量保证及售后服务</w:t>
      </w:r>
    </w:p>
    <w:p>
      <w:pPr>
        <w:pStyle w:val="22"/>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1.</w:t>
      </w:r>
      <w:r>
        <w:rPr>
          <w:rFonts w:hint="eastAsia" w:ascii="仿宋" w:hAnsi="仿宋" w:eastAsia="仿宋" w:cs="微软雅黑"/>
          <w:snapToGrid w:val="0"/>
          <w:kern w:val="0"/>
          <w:sz w:val="28"/>
          <w:szCs w:val="30"/>
        </w:rPr>
        <w:t>乙方保证本合同中所供应的商品是最新生产的符合国家技术规格和质量标准的出厂原装合格产品</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如发生所供商品与合同不符</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甲方</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使用方</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有权拒收或退货</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由此产生的一切责任和后果由乙方承担</w:t>
      </w:r>
      <w:r>
        <w:rPr>
          <w:rFonts w:hint="eastAsia" w:ascii="仿宋" w:hAnsi="仿宋" w:eastAsia="仿宋" w:cs="Malgun Gothic Semilight"/>
          <w:snapToGrid w:val="0"/>
          <w:kern w:val="0"/>
          <w:sz w:val="28"/>
          <w:szCs w:val="30"/>
        </w:rPr>
        <w:t>。</w:t>
      </w:r>
    </w:p>
    <w:p>
      <w:pPr>
        <w:pStyle w:val="22"/>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2. </w:t>
      </w:r>
      <w:r>
        <w:rPr>
          <w:rFonts w:hint="eastAsia" w:ascii="仿宋" w:hAnsi="仿宋" w:eastAsia="仿宋" w:cs="微软雅黑"/>
          <w:snapToGrid w:val="0"/>
          <w:kern w:val="0"/>
          <w:sz w:val="28"/>
          <w:szCs w:val="30"/>
        </w:rPr>
        <w:t>乙方提供的项目在质保期内因项目本身的质量问题发生故障</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乙方应负责免费更换</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对达不到技术要求者</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根据实际情况</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经双方协商</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可按以下办法处理</w:t>
      </w:r>
      <w:r>
        <w:rPr>
          <w:rFonts w:hint="eastAsia" w:ascii="仿宋" w:hAnsi="仿宋" w:eastAsia="仿宋" w:cs="Malgun Gothic Semilight"/>
          <w:snapToGrid w:val="0"/>
          <w:kern w:val="0"/>
          <w:sz w:val="28"/>
          <w:szCs w:val="30"/>
        </w:rPr>
        <w:t>：</w:t>
      </w:r>
    </w:p>
    <w:p>
      <w:pPr>
        <w:pStyle w:val="22"/>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⑴</w:t>
      </w:r>
      <w:r>
        <w:rPr>
          <w:rFonts w:hint="eastAsia" w:ascii="仿宋" w:hAnsi="仿宋" w:eastAsia="仿宋" w:cs="微软雅黑"/>
          <w:snapToGrid w:val="0"/>
          <w:kern w:val="0"/>
          <w:sz w:val="28"/>
          <w:szCs w:val="30"/>
        </w:rPr>
        <w:t>更换</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由乙方承担所发生的全部费用</w:t>
      </w:r>
      <w:r>
        <w:rPr>
          <w:rFonts w:hint="eastAsia" w:ascii="仿宋" w:hAnsi="仿宋" w:eastAsia="仿宋" w:cs="Malgun Gothic Semilight"/>
          <w:snapToGrid w:val="0"/>
          <w:kern w:val="0"/>
          <w:sz w:val="28"/>
          <w:szCs w:val="30"/>
        </w:rPr>
        <w:t>。</w:t>
      </w:r>
    </w:p>
    <w:p>
      <w:pPr>
        <w:pStyle w:val="22"/>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⑵</w:t>
      </w:r>
      <w:r>
        <w:rPr>
          <w:rFonts w:hint="eastAsia" w:ascii="仿宋" w:hAnsi="仿宋" w:eastAsia="仿宋" w:cs="微软雅黑"/>
          <w:snapToGrid w:val="0"/>
          <w:kern w:val="0"/>
          <w:sz w:val="28"/>
          <w:szCs w:val="30"/>
        </w:rPr>
        <w:t>贬值处理</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由甲乙双方合议定价</w:t>
      </w:r>
      <w:r>
        <w:rPr>
          <w:rFonts w:hint="eastAsia" w:ascii="仿宋" w:hAnsi="仿宋" w:eastAsia="仿宋" w:cs="Malgun Gothic Semilight"/>
          <w:snapToGrid w:val="0"/>
          <w:kern w:val="0"/>
          <w:sz w:val="28"/>
          <w:szCs w:val="30"/>
        </w:rPr>
        <w:t>。</w:t>
      </w:r>
    </w:p>
    <w:p>
      <w:pPr>
        <w:pStyle w:val="22"/>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⑶</w:t>
      </w:r>
      <w:r>
        <w:rPr>
          <w:rFonts w:hint="eastAsia" w:ascii="仿宋" w:hAnsi="仿宋" w:eastAsia="仿宋" w:cs="微软雅黑"/>
          <w:snapToGrid w:val="0"/>
          <w:kern w:val="0"/>
          <w:sz w:val="28"/>
          <w:szCs w:val="30"/>
        </w:rPr>
        <w:t>退货处理</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乙方应退还甲方支付的合同款</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同时应承担该项目的直接费用</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运输</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保险</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检验</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货款利息及银行手续费等</w:t>
      </w:r>
      <w:r>
        <w:rPr>
          <w:rFonts w:hint="eastAsia" w:ascii="仿宋" w:hAnsi="仿宋" w:eastAsia="仿宋" w:cs="Malgun Gothic Semilight"/>
          <w:snapToGrid w:val="0"/>
          <w:kern w:val="0"/>
          <w:sz w:val="28"/>
          <w:szCs w:val="30"/>
        </w:rPr>
        <w:t>）。</w:t>
      </w:r>
    </w:p>
    <w:p>
      <w:pPr>
        <w:pStyle w:val="22"/>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3. </w:t>
      </w:r>
      <w:r>
        <w:rPr>
          <w:rFonts w:hint="eastAsia" w:ascii="仿宋" w:hAnsi="仿宋" w:eastAsia="仿宋" w:cs="微软雅黑"/>
          <w:snapToGrid w:val="0"/>
          <w:kern w:val="0"/>
          <w:sz w:val="28"/>
          <w:szCs w:val="30"/>
        </w:rPr>
        <w:t>在质保期内</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乙方应对项目出现的质量及安全问题负责处理解决并承担一切费用</w:t>
      </w:r>
      <w:r>
        <w:rPr>
          <w:rFonts w:hint="eastAsia" w:ascii="仿宋" w:hAnsi="仿宋" w:eastAsia="仿宋" w:cs="Malgun Gothic Semilight"/>
          <w:snapToGrid w:val="0"/>
          <w:kern w:val="0"/>
          <w:sz w:val="28"/>
          <w:szCs w:val="30"/>
        </w:rPr>
        <w:t>。</w:t>
      </w:r>
    </w:p>
    <w:p>
      <w:pPr>
        <w:pStyle w:val="22"/>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4.</w:t>
      </w:r>
      <w:r>
        <w:rPr>
          <w:rFonts w:hint="eastAsia" w:ascii="仿宋" w:hAnsi="仿宋" w:eastAsia="仿宋" w:cs="微软雅黑"/>
          <w:snapToGrid w:val="0"/>
          <w:kern w:val="0"/>
          <w:sz w:val="28"/>
          <w:szCs w:val="30"/>
        </w:rPr>
        <w:t>上述的项目在质保期内免费保修</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因人为因素出现的故障不在免费保修范围内</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超过保修期的机器设备</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终生维修</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维修时只收部件成本费</w:t>
      </w:r>
      <w:r>
        <w:rPr>
          <w:rFonts w:hint="eastAsia" w:ascii="仿宋" w:hAnsi="仿宋" w:eastAsia="仿宋" w:cs="Malgun Gothic Semilight"/>
          <w:snapToGrid w:val="0"/>
          <w:kern w:val="0"/>
          <w:sz w:val="28"/>
          <w:szCs w:val="30"/>
        </w:rPr>
        <w:t>。</w:t>
      </w:r>
    </w:p>
    <w:p>
      <w:pPr>
        <w:pStyle w:val="22"/>
        <w:adjustRightInd w:val="0"/>
        <w:snapToGrid w:val="0"/>
        <w:spacing w:before="120" w:line="460" w:lineRule="exact"/>
        <w:ind w:firstLine="599" w:firstLineChars="213"/>
        <w:rPr>
          <w:rFonts w:ascii="仿宋" w:hAnsi="仿宋" w:eastAsia="仿宋"/>
          <w:b/>
          <w:snapToGrid w:val="0"/>
          <w:kern w:val="0"/>
          <w:sz w:val="28"/>
          <w:szCs w:val="30"/>
        </w:rPr>
      </w:pPr>
      <w:r>
        <w:rPr>
          <w:rFonts w:hint="eastAsia" w:ascii="仿宋" w:hAnsi="仿宋" w:eastAsia="仿宋" w:cs="微软雅黑"/>
          <w:b/>
          <w:snapToGrid w:val="0"/>
          <w:kern w:val="0"/>
          <w:sz w:val="28"/>
          <w:szCs w:val="30"/>
        </w:rPr>
        <w:t>十一</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调试和验收</w:t>
      </w:r>
    </w:p>
    <w:p>
      <w:pPr>
        <w:pStyle w:val="22"/>
        <w:adjustRightInd w:val="0"/>
        <w:snapToGrid w:val="0"/>
        <w:spacing w:before="120" w:line="460" w:lineRule="exact"/>
        <w:ind w:firstLine="596" w:firstLineChars="213"/>
        <w:jc w:val="left"/>
        <w:rPr>
          <w:rFonts w:ascii="仿宋" w:hAnsi="仿宋" w:eastAsia="仿宋"/>
          <w:snapToGrid w:val="0"/>
          <w:kern w:val="0"/>
          <w:sz w:val="28"/>
          <w:szCs w:val="30"/>
        </w:rPr>
      </w:pPr>
      <w:r>
        <w:rPr>
          <w:rFonts w:hint="eastAsia" w:ascii="仿宋" w:hAnsi="仿宋" w:eastAsia="仿宋"/>
          <w:snapToGrid w:val="0"/>
          <w:kern w:val="0"/>
          <w:sz w:val="28"/>
          <w:szCs w:val="30"/>
        </w:rPr>
        <w:t xml:space="preserve">1. </w:t>
      </w:r>
      <w:r>
        <w:rPr>
          <w:rFonts w:hint="eastAsia" w:ascii="仿宋" w:hAnsi="仿宋" w:eastAsia="仿宋" w:cs="微软雅黑"/>
          <w:snapToGrid w:val="0"/>
          <w:kern w:val="0"/>
          <w:sz w:val="28"/>
          <w:szCs w:val="30"/>
        </w:rPr>
        <w:t>甲方对乙方提交的项目依据单一来源采购文件上的技术规格要求和国家有关质量标准进行现场验收</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货到后</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甲方需在五个工作日内验收</w:t>
      </w:r>
      <w:r>
        <w:rPr>
          <w:rFonts w:hint="eastAsia" w:ascii="仿宋" w:hAnsi="仿宋" w:eastAsia="仿宋" w:cs="Malgun Gothic Semilight"/>
          <w:snapToGrid w:val="0"/>
          <w:kern w:val="0"/>
          <w:sz w:val="28"/>
          <w:szCs w:val="30"/>
        </w:rPr>
        <w:t>。</w:t>
      </w:r>
    </w:p>
    <w:p>
      <w:pPr>
        <w:pStyle w:val="22"/>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2. </w:t>
      </w:r>
      <w:r>
        <w:rPr>
          <w:rFonts w:hint="eastAsia" w:ascii="仿宋" w:hAnsi="仿宋" w:eastAsia="仿宋" w:cs="微软雅黑"/>
          <w:snapToGrid w:val="0"/>
          <w:kern w:val="0"/>
          <w:sz w:val="28"/>
          <w:szCs w:val="30"/>
        </w:rPr>
        <w:t>乙方交货前应对产品作出全面检查和对验收文件进行整理</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并列出清单</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作为甲方收货验收和使用的技术条件依据</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检验的结果应随项目交甲方</w:t>
      </w:r>
      <w:r>
        <w:rPr>
          <w:rFonts w:hint="eastAsia" w:ascii="仿宋" w:hAnsi="仿宋" w:eastAsia="仿宋" w:cs="Malgun Gothic Semilight"/>
          <w:snapToGrid w:val="0"/>
          <w:kern w:val="0"/>
          <w:sz w:val="28"/>
          <w:szCs w:val="30"/>
        </w:rPr>
        <w:t>。</w:t>
      </w:r>
    </w:p>
    <w:p>
      <w:pPr>
        <w:pStyle w:val="22"/>
        <w:adjustRightInd w:val="0"/>
        <w:snapToGrid w:val="0"/>
        <w:spacing w:before="120" w:line="460" w:lineRule="exact"/>
        <w:ind w:firstLine="596" w:firstLineChars="213"/>
        <w:rPr>
          <w:rFonts w:ascii="仿宋" w:hAnsi="仿宋" w:eastAsia="仿宋"/>
          <w:snapToGrid w:val="0"/>
          <w:kern w:val="0"/>
          <w:sz w:val="28"/>
          <w:szCs w:val="30"/>
          <w:u w:val="single"/>
        </w:rPr>
      </w:pPr>
      <w:r>
        <w:rPr>
          <w:rFonts w:hint="eastAsia" w:ascii="仿宋" w:hAnsi="仿宋" w:eastAsia="仿宋"/>
          <w:snapToGrid w:val="0"/>
          <w:kern w:val="0"/>
          <w:sz w:val="28"/>
          <w:szCs w:val="30"/>
        </w:rPr>
        <w:t xml:space="preserve">3. </w:t>
      </w:r>
      <w:r>
        <w:rPr>
          <w:rFonts w:hint="eastAsia" w:ascii="仿宋" w:hAnsi="仿宋" w:eastAsia="仿宋" w:cs="微软雅黑"/>
          <w:snapToGrid w:val="0"/>
          <w:kern w:val="0"/>
          <w:sz w:val="28"/>
          <w:szCs w:val="30"/>
        </w:rPr>
        <w:t>甲方对乙方提供的项目在使用前进行调试时</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乙方需负责安装并培训甲方的使用操作人员</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并协助甲方一起调试</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直到符合技术要求</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甲方才做最终验收</w:t>
      </w:r>
      <w:r>
        <w:rPr>
          <w:rFonts w:hint="eastAsia" w:ascii="仿宋" w:hAnsi="仿宋" w:eastAsia="仿宋" w:cs="Malgun Gothic Semilight"/>
          <w:snapToGrid w:val="0"/>
          <w:kern w:val="0"/>
          <w:sz w:val="28"/>
          <w:szCs w:val="30"/>
        </w:rPr>
        <w:t>。</w:t>
      </w:r>
    </w:p>
    <w:p>
      <w:pPr>
        <w:pStyle w:val="22"/>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4. </w:t>
      </w:r>
      <w:r>
        <w:rPr>
          <w:rFonts w:hint="eastAsia" w:ascii="仿宋" w:hAnsi="仿宋" w:eastAsia="仿宋" w:cs="微软雅黑"/>
          <w:snapToGrid w:val="0"/>
          <w:kern w:val="0"/>
          <w:sz w:val="28"/>
          <w:szCs w:val="30"/>
        </w:rPr>
        <w:t>对技术复杂的项目</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甲方应请国家认可的专业检测机构参与验收</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并由其出具质量检测报告</w:t>
      </w:r>
      <w:r>
        <w:rPr>
          <w:rFonts w:hint="eastAsia" w:ascii="仿宋" w:hAnsi="仿宋" w:eastAsia="仿宋" w:cs="Malgun Gothic Semilight"/>
          <w:snapToGrid w:val="0"/>
          <w:kern w:val="0"/>
          <w:sz w:val="28"/>
          <w:szCs w:val="30"/>
        </w:rPr>
        <w:t>。</w:t>
      </w:r>
    </w:p>
    <w:p>
      <w:pPr>
        <w:pStyle w:val="22"/>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5. </w:t>
      </w:r>
      <w:r>
        <w:rPr>
          <w:rFonts w:hint="eastAsia" w:ascii="仿宋" w:hAnsi="仿宋" w:eastAsia="仿宋" w:cs="微软雅黑"/>
          <w:snapToGrid w:val="0"/>
          <w:kern w:val="0"/>
          <w:sz w:val="28"/>
          <w:szCs w:val="30"/>
        </w:rPr>
        <w:t>验收时乙方必须在现场</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验收完毕后作出验收结果报告</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验收费用由乙方负责</w:t>
      </w:r>
      <w:r>
        <w:rPr>
          <w:rFonts w:hint="eastAsia" w:ascii="仿宋" w:hAnsi="仿宋" w:eastAsia="仿宋" w:cs="Malgun Gothic Semilight"/>
          <w:snapToGrid w:val="0"/>
          <w:kern w:val="0"/>
          <w:sz w:val="28"/>
          <w:szCs w:val="30"/>
        </w:rPr>
        <w:t>。</w:t>
      </w:r>
    </w:p>
    <w:p>
      <w:pPr>
        <w:pStyle w:val="22"/>
        <w:adjustRightInd w:val="0"/>
        <w:snapToGrid w:val="0"/>
        <w:spacing w:before="120" w:line="460" w:lineRule="exact"/>
        <w:ind w:firstLine="599" w:firstLineChars="213"/>
        <w:rPr>
          <w:rFonts w:ascii="仿宋" w:hAnsi="仿宋" w:eastAsia="仿宋"/>
          <w:b/>
          <w:snapToGrid w:val="0"/>
          <w:kern w:val="0"/>
          <w:sz w:val="28"/>
          <w:szCs w:val="30"/>
        </w:rPr>
      </w:pPr>
      <w:r>
        <w:rPr>
          <w:rFonts w:hint="eastAsia" w:ascii="仿宋" w:hAnsi="仿宋" w:eastAsia="仿宋" w:cs="微软雅黑"/>
          <w:b/>
          <w:snapToGrid w:val="0"/>
          <w:kern w:val="0"/>
          <w:sz w:val="28"/>
          <w:szCs w:val="30"/>
        </w:rPr>
        <w:t>十二</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项目包装</w:t>
      </w:r>
    </w:p>
    <w:p>
      <w:pPr>
        <w:pStyle w:val="22"/>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1. </w:t>
      </w:r>
      <w:r>
        <w:rPr>
          <w:rFonts w:hint="eastAsia" w:ascii="仿宋" w:hAnsi="仿宋" w:eastAsia="仿宋" w:cs="微软雅黑"/>
          <w:snapToGrid w:val="0"/>
          <w:kern w:val="0"/>
          <w:sz w:val="28"/>
          <w:szCs w:val="30"/>
        </w:rPr>
        <w:t>乙方应在项目发运前对其进行满足运输距离</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防潮</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防震</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防锈和防破损装卸等要求包装</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以保证项目安全运达甲方指定地点</w:t>
      </w:r>
      <w:r>
        <w:rPr>
          <w:rFonts w:hint="eastAsia" w:ascii="仿宋" w:hAnsi="仿宋" w:eastAsia="仿宋" w:cs="Malgun Gothic Semilight"/>
          <w:snapToGrid w:val="0"/>
          <w:kern w:val="0"/>
          <w:sz w:val="28"/>
          <w:szCs w:val="30"/>
        </w:rPr>
        <w:t>。</w:t>
      </w:r>
    </w:p>
    <w:p>
      <w:pPr>
        <w:pStyle w:val="22"/>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2. </w:t>
      </w:r>
      <w:r>
        <w:rPr>
          <w:rFonts w:hint="eastAsia" w:ascii="仿宋" w:hAnsi="仿宋" w:eastAsia="仿宋" w:cs="微软雅黑"/>
          <w:snapToGrid w:val="0"/>
          <w:kern w:val="0"/>
          <w:sz w:val="28"/>
          <w:szCs w:val="30"/>
        </w:rPr>
        <w:t>使用说明书</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质量检验证明书</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随配附件和工具以及清单一并附于项目内</w:t>
      </w:r>
      <w:r>
        <w:rPr>
          <w:rFonts w:hint="eastAsia" w:ascii="仿宋" w:hAnsi="仿宋" w:eastAsia="仿宋" w:cs="Malgun Gothic Semilight"/>
          <w:snapToGrid w:val="0"/>
          <w:kern w:val="0"/>
          <w:sz w:val="28"/>
          <w:szCs w:val="30"/>
        </w:rPr>
        <w:t>。</w:t>
      </w:r>
    </w:p>
    <w:p>
      <w:pPr>
        <w:pStyle w:val="22"/>
        <w:adjustRightInd w:val="0"/>
        <w:snapToGrid w:val="0"/>
        <w:spacing w:before="120" w:line="460" w:lineRule="exact"/>
        <w:ind w:firstLine="599" w:firstLineChars="213"/>
        <w:rPr>
          <w:rFonts w:ascii="仿宋" w:hAnsi="仿宋" w:eastAsia="仿宋"/>
          <w:b/>
          <w:snapToGrid w:val="0"/>
          <w:kern w:val="0"/>
          <w:sz w:val="28"/>
          <w:szCs w:val="30"/>
        </w:rPr>
      </w:pPr>
      <w:r>
        <w:rPr>
          <w:rFonts w:hint="eastAsia" w:ascii="仿宋" w:hAnsi="仿宋" w:eastAsia="仿宋" w:cs="微软雅黑"/>
          <w:b/>
          <w:snapToGrid w:val="0"/>
          <w:kern w:val="0"/>
          <w:sz w:val="28"/>
          <w:szCs w:val="30"/>
        </w:rPr>
        <w:t>十三</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违约责任</w:t>
      </w:r>
    </w:p>
    <w:p>
      <w:pPr>
        <w:pStyle w:val="22"/>
        <w:adjustRightInd w:val="0"/>
        <w:snapToGrid w:val="0"/>
        <w:spacing w:before="120" w:line="460" w:lineRule="exact"/>
        <w:ind w:left="1"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1. </w:t>
      </w:r>
      <w:r>
        <w:rPr>
          <w:rFonts w:hint="eastAsia" w:ascii="仿宋" w:hAnsi="仿宋" w:eastAsia="仿宋" w:cs="微软雅黑"/>
          <w:snapToGrid w:val="0"/>
          <w:kern w:val="0"/>
          <w:sz w:val="28"/>
          <w:szCs w:val="30"/>
        </w:rPr>
        <w:t>甲方无正当理由拒收项目的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甲方向乙方偿付拒收货款总值的百分之五违约金</w:t>
      </w:r>
      <w:r>
        <w:rPr>
          <w:rFonts w:hint="eastAsia" w:ascii="仿宋" w:hAnsi="仿宋" w:eastAsia="仿宋" w:cs="Malgun Gothic Semilight"/>
          <w:snapToGrid w:val="0"/>
          <w:kern w:val="0"/>
          <w:sz w:val="28"/>
          <w:szCs w:val="30"/>
        </w:rPr>
        <w:t>。</w:t>
      </w:r>
    </w:p>
    <w:p>
      <w:pPr>
        <w:pStyle w:val="22"/>
        <w:adjustRightInd w:val="0"/>
        <w:snapToGrid w:val="0"/>
        <w:spacing w:before="120" w:line="460" w:lineRule="exact"/>
        <w:ind w:left="1"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2. </w:t>
      </w:r>
      <w:r>
        <w:rPr>
          <w:rFonts w:hint="eastAsia" w:ascii="仿宋" w:hAnsi="仿宋" w:eastAsia="仿宋" w:cs="微软雅黑"/>
          <w:snapToGrid w:val="0"/>
          <w:kern w:val="0"/>
          <w:sz w:val="28"/>
          <w:szCs w:val="30"/>
        </w:rPr>
        <w:t>甲方无故逾期验收和办理货款支付手续的</w:t>
      </w:r>
      <w:r>
        <w:rPr>
          <w:rFonts w:hint="eastAsia" w:ascii="仿宋" w:hAnsi="仿宋" w:eastAsia="仿宋"/>
          <w:snapToGrid w:val="0"/>
          <w:kern w:val="0"/>
          <w:sz w:val="28"/>
          <w:szCs w:val="30"/>
        </w:rPr>
        <w:t>,</w:t>
      </w:r>
      <w:r>
        <w:rPr>
          <w:rFonts w:hint="eastAsia" w:ascii="仿宋" w:hAnsi="仿宋" w:eastAsia="仿宋" w:cs="微软雅黑"/>
          <w:snapToGrid w:val="0"/>
          <w:kern w:val="0"/>
          <w:sz w:val="28"/>
          <w:szCs w:val="30"/>
        </w:rPr>
        <w:t>甲方应按逾期付款总额每日万分之五向乙方支付违约金</w:t>
      </w:r>
      <w:r>
        <w:rPr>
          <w:rFonts w:hint="eastAsia" w:ascii="仿宋" w:hAnsi="仿宋" w:eastAsia="仿宋" w:cs="Malgun Gothic Semilight"/>
          <w:snapToGrid w:val="0"/>
          <w:kern w:val="0"/>
          <w:sz w:val="28"/>
          <w:szCs w:val="30"/>
        </w:rPr>
        <w:t>。</w:t>
      </w:r>
    </w:p>
    <w:p>
      <w:pPr>
        <w:pStyle w:val="22"/>
        <w:adjustRightInd w:val="0"/>
        <w:snapToGrid w:val="0"/>
        <w:spacing w:before="120" w:line="460" w:lineRule="exact"/>
        <w:ind w:left="1"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3. </w:t>
      </w:r>
      <w:r>
        <w:rPr>
          <w:rFonts w:hint="eastAsia" w:ascii="仿宋" w:hAnsi="仿宋" w:eastAsia="仿宋" w:cs="微软雅黑"/>
          <w:snapToGrid w:val="0"/>
          <w:kern w:val="0"/>
          <w:sz w:val="28"/>
          <w:szCs w:val="30"/>
        </w:rPr>
        <w:t>乙方逾期交付项目的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乙方应按逾期交货总额每日千分之六向甲方支付违约金</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由甲方从待付货款中扣除</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逾期超过约定日期</w:t>
      </w:r>
      <w:r>
        <w:rPr>
          <w:rFonts w:hint="eastAsia" w:ascii="仿宋" w:hAnsi="仿宋" w:eastAsia="仿宋"/>
          <w:snapToGrid w:val="0"/>
          <w:kern w:val="0"/>
          <w:sz w:val="28"/>
          <w:szCs w:val="30"/>
        </w:rPr>
        <w:t>10</w:t>
      </w:r>
      <w:r>
        <w:rPr>
          <w:rFonts w:hint="eastAsia" w:ascii="仿宋" w:hAnsi="仿宋" w:eastAsia="仿宋" w:cs="微软雅黑"/>
          <w:snapToGrid w:val="0"/>
          <w:kern w:val="0"/>
          <w:sz w:val="28"/>
          <w:szCs w:val="30"/>
        </w:rPr>
        <w:t>个工作日不能交货的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甲方可解除本合同</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乙方因逾期交货或因其他违约行为导致甲方解除合同的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乙方应向甲方支付合同总值</w:t>
      </w:r>
      <w:r>
        <w:rPr>
          <w:rFonts w:hint="eastAsia" w:ascii="仿宋" w:hAnsi="仿宋" w:eastAsia="仿宋"/>
          <w:snapToGrid w:val="0"/>
          <w:kern w:val="0"/>
          <w:sz w:val="28"/>
          <w:szCs w:val="30"/>
        </w:rPr>
        <w:t>5%</w:t>
      </w:r>
      <w:r>
        <w:rPr>
          <w:rFonts w:hint="eastAsia" w:ascii="仿宋" w:hAnsi="仿宋" w:eastAsia="仿宋" w:cs="微软雅黑"/>
          <w:snapToGrid w:val="0"/>
          <w:kern w:val="0"/>
          <w:sz w:val="28"/>
          <w:szCs w:val="30"/>
        </w:rPr>
        <w:t>的违约金</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如造成甲方损失超过违约金的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超出部分由乙方继续承担赔偿责任</w:t>
      </w:r>
      <w:r>
        <w:rPr>
          <w:rFonts w:hint="eastAsia" w:ascii="仿宋" w:hAnsi="仿宋" w:eastAsia="仿宋" w:cs="Malgun Gothic Semilight"/>
          <w:snapToGrid w:val="0"/>
          <w:kern w:val="0"/>
          <w:sz w:val="28"/>
          <w:szCs w:val="30"/>
        </w:rPr>
        <w:t>。</w:t>
      </w:r>
    </w:p>
    <w:p>
      <w:pPr>
        <w:pStyle w:val="22"/>
        <w:adjustRightInd w:val="0"/>
        <w:snapToGrid w:val="0"/>
        <w:spacing w:before="120" w:line="460" w:lineRule="exact"/>
        <w:ind w:left="1"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4. </w:t>
      </w:r>
      <w:r>
        <w:rPr>
          <w:rFonts w:hint="eastAsia" w:ascii="仿宋" w:hAnsi="仿宋" w:eastAsia="仿宋" w:cs="微软雅黑"/>
          <w:snapToGrid w:val="0"/>
          <w:kern w:val="0"/>
          <w:sz w:val="28"/>
          <w:szCs w:val="30"/>
        </w:rPr>
        <w:t>乙方所交的项目品种</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型号</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规格</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技术参数</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质量不符合合同规定及单一来源采购文件规定标准的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甲方有权拒收该项目</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乙方愿意更换项目但逾期交货的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按乙方逾期交货处理</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乙方拒绝更换项目的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甲方可单方面解除合同</w:t>
      </w:r>
      <w:r>
        <w:rPr>
          <w:rFonts w:hint="eastAsia" w:ascii="仿宋" w:hAnsi="仿宋" w:eastAsia="仿宋" w:cs="Malgun Gothic Semilight"/>
          <w:snapToGrid w:val="0"/>
          <w:kern w:val="0"/>
          <w:sz w:val="28"/>
          <w:szCs w:val="30"/>
        </w:rPr>
        <w:t>。</w:t>
      </w:r>
    </w:p>
    <w:p>
      <w:pPr>
        <w:pStyle w:val="22"/>
        <w:adjustRightInd w:val="0"/>
        <w:snapToGrid w:val="0"/>
        <w:spacing w:before="120" w:line="460" w:lineRule="exact"/>
        <w:ind w:firstLine="599" w:firstLineChars="213"/>
        <w:rPr>
          <w:rFonts w:ascii="仿宋" w:hAnsi="仿宋" w:eastAsia="仿宋"/>
          <w:b/>
          <w:snapToGrid w:val="0"/>
          <w:kern w:val="0"/>
          <w:sz w:val="28"/>
          <w:szCs w:val="30"/>
        </w:rPr>
      </w:pPr>
      <w:r>
        <w:rPr>
          <w:rFonts w:hint="eastAsia" w:ascii="仿宋" w:hAnsi="仿宋" w:eastAsia="仿宋" w:cs="微软雅黑"/>
          <w:b/>
          <w:snapToGrid w:val="0"/>
          <w:kern w:val="0"/>
          <w:sz w:val="28"/>
          <w:szCs w:val="30"/>
        </w:rPr>
        <w:t>十四</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不可抗力事件处理</w:t>
      </w:r>
    </w:p>
    <w:p>
      <w:pPr>
        <w:pStyle w:val="22"/>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1. </w:t>
      </w:r>
      <w:r>
        <w:rPr>
          <w:rFonts w:hint="eastAsia" w:ascii="仿宋" w:hAnsi="仿宋" w:eastAsia="仿宋" w:cs="微软雅黑"/>
          <w:snapToGrid w:val="0"/>
          <w:kern w:val="0"/>
          <w:sz w:val="28"/>
          <w:szCs w:val="30"/>
        </w:rPr>
        <w:t>在合同有效期内</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任何一方因不可抗力事件导致不能履行合同</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则合同履行期可延长</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其延长期与不可抗力影响期相同</w:t>
      </w:r>
      <w:r>
        <w:rPr>
          <w:rFonts w:hint="eastAsia" w:ascii="仿宋" w:hAnsi="仿宋" w:eastAsia="仿宋" w:cs="Malgun Gothic Semilight"/>
          <w:snapToGrid w:val="0"/>
          <w:kern w:val="0"/>
          <w:sz w:val="28"/>
          <w:szCs w:val="30"/>
        </w:rPr>
        <w:t>。</w:t>
      </w:r>
    </w:p>
    <w:p>
      <w:pPr>
        <w:pStyle w:val="22"/>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2. </w:t>
      </w:r>
      <w:r>
        <w:rPr>
          <w:rFonts w:hint="eastAsia" w:ascii="仿宋" w:hAnsi="仿宋" w:eastAsia="仿宋" w:cs="微软雅黑"/>
          <w:snapToGrid w:val="0"/>
          <w:kern w:val="0"/>
          <w:sz w:val="28"/>
          <w:szCs w:val="30"/>
        </w:rPr>
        <w:t>不可抗力事件发生后</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应立即通知对方</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并寄送有关权威机构出具的证明</w:t>
      </w:r>
      <w:r>
        <w:rPr>
          <w:rFonts w:hint="eastAsia" w:ascii="仿宋" w:hAnsi="仿宋" w:eastAsia="仿宋" w:cs="Malgun Gothic Semilight"/>
          <w:snapToGrid w:val="0"/>
          <w:kern w:val="0"/>
          <w:sz w:val="28"/>
          <w:szCs w:val="30"/>
        </w:rPr>
        <w:t>。</w:t>
      </w:r>
    </w:p>
    <w:p>
      <w:pPr>
        <w:pStyle w:val="22"/>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3. </w:t>
      </w:r>
      <w:r>
        <w:rPr>
          <w:rFonts w:hint="eastAsia" w:ascii="仿宋" w:hAnsi="仿宋" w:eastAsia="仿宋" w:cs="微软雅黑"/>
          <w:snapToGrid w:val="0"/>
          <w:kern w:val="0"/>
          <w:sz w:val="28"/>
          <w:szCs w:val="30"/>
        </w:rPr>
        <w:t>不可抗力事件延续</w:t>
      </w:r>
      <w:r>
        <w:rPr>
          <w:rFonts w:hint="eastAsia" w:ascii="仿宋" w:hAnsi="仿宋" w:eastAsia="仿宋"/>
          <w:snapToGrid w:val="0"/>
          <w:kern w:val="0"/>
          <w:sz w:val="28"/>
          <w:szCs w:val="30"/>
        </w:rPr>
        <w:t>120</w:t>
      </w:r>
      <w:r>
        <w:rPr>
          <w:rFonts w:hint="eastAsia" w:ascii="仿宋" w:hAnsi="仿宋" w:eastAsia="仿宋" w:cs="微软雅黑"/>
          <w:snapToGrid w:val="0"/>
          <w:kern w:val="0"/>
          <w:sz w:val="28"/>
          <w:szCs w:val="30"/>
        </w:rPr>
        <w:t>天以上</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双方应通过友好协商</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确定是否继续履行合同</w:t>
      </w:r>
      <w:r>
        <w:rPr>
          <w:rFonts w:hint="eastAsia" w:ascii="仿宋" w:hAnsi="仿宋" w:eastAsia="仿宋" w:cs="Malgun Gothic Semilight"/>
          <w:snapToGrid w:val="0"/>
          <w:kern w:val="0"/>
          <w:sz w:val="28"/>
          <w:szCs w:val="30"/>
        </w:rPr>
        <w:t>。</w:t>
      </w:r>
    </w:p>
    <w:p>
      <w:pPr>
        <w:pStyle w:val="22"/>
        <w:adjustRightInd w:val="0"/>
        <w:snapToGrid w:val="0"/>
        <w:spacing w:before="120" w:line="460" w:lineRule="exact"/>
        <w:ind w:firstLine="599" w:firstLineChars="213"/>
        <w:rPr>
          <w:rFonts w:ascii="仿宋" w:hAnsi="仿宋" w:eastAsia="仿宋"/>
          <w:b/>
          <w:snapToGrid w:val="0"/>
          <w:kern w:val="0"/>
          <w:sz w:val="28"/>
          <w:szCs w:val="30"/>
        </w:rPr>
      </w:pPr>
      <w:r>
        <w:rPr>
          <w:rFonts w:hint="eastAsia" w:ascii="仿宋" w:hAnsi="仿宋" w:eastAsia="仿宋" w:cs="微软雅黑"/>
          <w:b/>
          <w:snapToGrid w:val="0"/>
          <w:kern w:val="0"/>
          <w:sz w:val="28"/>
          <w:szCs w:val="30"/>
        </w:rPr>
        <w:t>十五</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诉讼</w:t>
      </w:r>
    </w:p>
    <w:p>
      <w:pPr>
        <w:pStyle w:val="22"/>
        <w:adjustRightInd w:val="0"/>
        <w:snapToGrid w:val="0"/>
        <w:spacing w:before="120" w:line="460" w:lineRule="exact"/>
        <w:ind w:left="2"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双方在执行合同中所发生的一切争议</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应通过协商解决</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如协商不成</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可向甲方所在地法院起诉</w:t>
      </w:r>
      <w:r>
        <w:rPr>
          <w:rFonts w:hint="eastAsia" w:ascii="仿宋" w:hAnsi="仿宋" w:eastAsia="仿宋" w:cs="Malgun Gothic Semilight"/>
          <w:snapToGrid w:val="0"/>
          <w:kern w:val="0"/>
          <w:sz w:val="28"/>
          <w:szCs w:val="30"/>
        </w:rPr>
        <w:t>。</w:t>
      </w:r>
    </w:p>
    <w:p>
      <w:pPr>
        <w:pStyle w:val="22"/>
        <w:adjustRightInd w:val="0"/>
        <w:snapToGrid w:val="0"/>
        <w:spacing w:before="120" w:line="460" w:lineRule="exact"/>
        <w:ind w:firstLine="599" w:firstLineChars="213"/>
        <w:rPr>
          <w:rFonts w:ascii="仿宋" w:hAnsi="仿宋" w:eastAsia="仿宋"/>
          <w:b/>
          <w:snapToGrid w:val="0"/>
          <w:kern w:val="0"/>
          <w:sz w:val="28"/>
          <w:szCs w:val="30"/>
        </w:rPr>
      </w:pPr>
      <w:r>
        <w:rPr>
          <w:rFonts w:hint="eastAsia" w:ascii="仿宋" w:hAnsi="仿宋" w:eastAsia="仿宋" w:cs="微软雅黑"/>
          <w:b/>
          <w:snapToGrid w:val="0"/>
          <w:kern w:val="0"/>
          <w:sz w:val="28"/>
          <w:szCs w:val="30"/>
        </w:rPr>
        <w:t>十六</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合同生效及其它</w:t>
      </w:r>
    </w:p>
    <w:p>
      <w:pPr>
        <w:pStyle w:val="22"/>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1. </w:t>
      </w:r>
      <w:r>
        <w:rPr>
          <w:rFonts w:hint="eastAsia" w:ascii="仿宋" w:hAnsi="仿宋" w:eastAsia="仿宋" w:cs="微软雅黑"/>
          <w:snapToGrid w:val="0"/>
          <w:kern w:val="0"/>
          <w:sz w:val="28"/>
          <w:szCs w:val="30"/>
        </w:rPr>
        <w:t>合同经甲</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w:t>
      </w:r>
      <w:r>
        <w:rPr>
          <w:rFonts w:hint="eastAsia" w:ascii="仿宋" w:hAnsi="仿宋" w:eastAsia="仿宋" w:cs="Malgun Gothic Semilight"/>
          <w:snapToGrid w:val="0"/>
          <w:kern w:val="0"/>
          <w:sz w:val="28"/>
          <w:szCs w:val="30"/>
        </w:rPr>
        <w:t>双</w:t>
      </w:r>
      <w:r>
        <w:rPr>
          <w:rFonts w:hint="eastAsia" w:ascii="仿宋" w:hAnsi="仿宋" w:eastAsia="仿宋" w:cs="微软雅黑"/>
          <w:snapToGrid w:val="0"/>
          <w:kern w:val="0"/>
          <w:sz w:val="28"/>
          <w:szCs w:val="30"/>
        </w:rPr>
        <w:t>方签名并加盖单位公章后生效</w:t>
      </w:r>
      <w:r>
        <w:rPr>
          <w:rFonts w:hint="eastAsia" w:ascii="仿宋" w:hAnsi="仿宋" w:eastAsia="仿宋" w:cs="Malgun Gothic Semilight"/>
          <w:snapToGrid w:val="0"/>
          <w:kern w:val="0"/>
          <w:sz w:val="28"/>
          <w:szCs w:val="30"/>
        </w:rPr>
        <w:t>。</w:t>
      </w:r>
    </w:p>
    <w:p>
      <w:pPr>
        <w:pStyle w:val="22"/>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2.</w:t>
      </w:r>
      <w:r>
        <w:rPr>
          <w:rFonts w:hint="eastAsia" w:ascii="仿宋" w:hAnsi="仿宋" w:eastAsia="仿宋" w:cs="微软雅黑"/>
          <w:snapToGrid w:val="0"/>
          <w:kern w:val="0"/>
          <w:sz w:val="28"/>
          <w:szCs w:val="30"/>
        </w:rPr>
        <w:t>合同执行中涉及采购资金和采购内容修改或补充的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须经财政部门审批</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并签书面补充协议</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经报政府采购监督管理部门备案后</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方可作为主合同不可分割的一部分</w:t>
      </w:r>
      <w:r>
        <w:rPr>
          <w:rFonts w:hint="eastAsia" w:ascii="仿宋" w:hAnsi="仿宋" w:eastAsia="仿宋" w:cs="Malgun Gothic Semilight"/>
          <w:snapToGrid w:val="0"/>
          <w:kern w:val="0"/>
          <w:sz w:val="28"/>
          <w:szCs w:val="30"/>
        </w:rPr>
        <w:t>。</w:t>
      </w:r>
    </w:p>
    <w:p>
      <w:pPr>
        <w:pStyle w:val="22"/>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3.</w:t>
      </w:r>
      <w:r>
        <w:rPr>
          <w:rFonts w:hint="eastAsia" w:ascii="仿宋" w:hAnsi="仿宋" w:eastAsia="仿宋" w:cs="微软雅黑"/>
          <w:snapToGrid w:val="0"/>
          <w:kern w:val="0"/>
          <w:sz w:val="28"/>
          <w:szCs w:val="30"/>
        </w:rPr>
        <w:t>单一来源采购文件</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单一来源采购响应文件与本合同具有同等法律效力</w:t>
      </w:r>
      <w:r>
        <w:rPr>
          <w:rFonts w:hint="eastAsia" w:ascii="仿宋" w:hAnsi="仿宋" w:eastAsia="仿宋" w:cs="Malgun Gothic Semilight"/>
          <w:snapToGrid w:val="0"/>
          <w:kern w:val="0"/>
          <w:sz w:val="28"/>
          <w:szCs w:val="30"/>
        </w:rPr>
        <w:t>。</w:t>
      </w:r>
    </w:p>
    <w:p>
      <w:pPr>
        <w:pStyle w:val="22"/>
        <w:adjustRightInd w:val="0"/>
        <w:snapToGrid w:val="0"/>
        <w:spacing w:before="120" w:line="460" w:lineRule="exact"/>
        <w:ind w:firstLine="560" w:firstLineChars="200"/>
        <w:rPr>
          <w:rFonts w:ascii="仿宋" w:hAnsi="仿宋" w:eastAsia="仿宋"/>
          <w:snapToGrid w:val="0"/>
          <w:kern w:val="0"/>
          <w:sz w:val="28"/>
          <w:szCs w:val="30"/>
        </w:rPr>
      </w:pPr>
      <w:r>
        <w:rPr>
          <w:rFonts w:hint="eastAsia" w:ascii="仿宋" w:hAnsi="仿宋" w:eastAsia="仿宋"/>
          <w:snapToGrid w:val="0"/>
          <w:kern w:val="0"/>
          <w:sz w:val="28"/>
          <w:szCs w:val="30"/>
        </w:rPr>
        <w:t>4.</w:t>
      </w:r>
      <w:r>
        <w:rPr>
          <w:rFonts w:hint="eastAsia" w:ascii="仿宋" w:hAnsi="仿宋" w:eastAsia="仿宋" w:cs="微软雅黑"/>
          <w:snapToGrid w:val="0"/>
          <w:kern w:val="0"/>
          <w:sz w:val="28"/>
          <w:szCs w:val="30"/>
        </w:rPr>
        <w:t>本合同未尽事宜</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遵照</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合同法</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有关条文执行</w:t>
      </w:r>
      <w:r>
        <w:rPr>
          <w:rFonts w:hint="eastAsia" w:ascii="仿宋" w:hAnsi="仿宋" w:eastAsia="仿宋" w:cs="Malgun Gothic Semilight"/>
          <w:snapToGrid w:val="0"/>
          <w:kern w:val="0"/>
          <w:sz w:val="28"/>
          <w:szCs w:val="30"/>
        </w:rPr>
        <w:t>。</w:t>
      </w:r>
    </w:p>
    <w:p>
      <w:pPr>
        <w:pStyle w:val="22"/>
        <w:adjustRightInd w:val="0"/>
        <w:snapToGrid w:val="0"/>
        <w:spacing w:before="120" w:line="460" w:lineRule="exact"/>
        <w:ind w:left="2" w:leftChars="1" w:firstLine="560" w:firstLineChars="200"/>
        <w:rPr>
          <w:rFonts w:ascii="仿宋" w:hAnsi="仿宋" w:eastAsia="仿宋"/>
          <w:snapToGrid w:val="0"/>
          <w:kern w:val="0"/>
          <w:sz w:val="28"/>
          <w:szCs w:val="30"/>
        </w:rPr>
      </w:pPr>
      <w:r>
        <w:rPr>
          <w:rFonts w:hint="eastAsia" w:ascii="仿宋" w:hAnsi="仿宋" w:eastAsia="仿宋"/>
          <w:snapToGrid w:val="0"/>
          <w:kern w:val="0"/>
          <w:sz w:val="28"/>
          <w:szCs w:val="30"/>
        </w:rPr>
        <w:t>5.</w:t>
      </w:r>
      <w:r>
        <w:rPr>
          <w:rFonts w:hint="eastAsia" w:ascii="仿宋" w:hAnsi="仿宋" w:eastAsia="仿宋" w:cs="微软雅黑"/>
          <w:snapToGrid w:val="0"/>
          <w:kern w:val="0"/>
          <w:sz w:val="28"/>
          <w:szCs w:val="30"/>
        </w:rPr>
        <w:t>本合同一式四份</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具有同等法律效力</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w:t>
      </w:r>
      <w:r>
        <w:rPr>
          <w:rFonts w:hint="eastAsia" w:ascii="仿宋" w:hAnsi="仿宋" w:eastAsia="仿宋" w:cs="Malgun Gothic Semilight"/>
          <w:snapToGrid w:val="0"/>
          <w:kern w:val="0"/>
          <w:sz w:val="28"/>
          <w:szCs w:val="30"/>
        </w:rPr>
        <w:t>双</w:t>
      </w:r>
      <w:r>
        <w:rPr>
          <w:rFonts w:hint="eastAsia" w:ascii="仿宋" w:hAnsi="仿宋" w:eastAsia="仿宋" w:cs="微软雅黑"/>
          <w:snapToGrid w:val="0"/>
          <w:kern w:val="0"/>
          <w:sz w:val="28"/>
          <w:szCs w:val="30"/>
        </w:rPr>
        <w:t>方各执二份</w:t>
      </w:r>
      <w:r>
        <w:rPr>
          <w:rFonts w:hint="eastAsia" w:ascii="仿宋" w:hAnsi="仿宋" w:eastAsia="仿宋" w:cs="Malgun Gothic Semilight"/>
          <w:snapToGrid w:val="0"/>
          <w:kern w:val="0"/>
          <w:sz w:val="28"/>
          <w:szCs w:val="30"/>
        </w:rPr>
        <w:t>。</w:t>
      </w:r>
    </w:p>
    <w:p>
      <w:pPr>
        <w:pStyle w:val="22"/>
        <w:adjustRightInd w:val="0"/>
        <w:snapToGrid w:val="0"/>
        <w:spacing w:before="120" w:line="460" w:lineRule="exact"/>
        <w:rPr>
          <w:rFonts w:ascii="仿宋" w:hAnsi="仿宋" w:eastAsia="仿宋"/>
          <w:snapToGrid w:val="0"/>
          <w:kern w:val="0"/>
          <w:sz w:val="28"/>
          <w:szCs w:val="30"/>
        </w:rPr>
      </w:pPr>
    </w:p>
    <w:p>
      <w:pPr>
        <w:pStyle w:val="22"/>
        <w:adjustRightInd w:val="0"/>
        <w:snapToGrid w:val="0"/>
        <w:spacing w:before="120" w:line="460" w:lineRule="exact"/>
        <w:ind w:left="1"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甲方</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盖章</w:t>
      </w:r>
      <w:r>
        <w:rPr>
          <w:rFonts w:hint="eastAsia" w:ascii="仿宋" w:hAnsi="仿宋" w:eastAsia="仿宋" w:cs="Malgun Gothic Semilight"/>
          <w:snapToGrid w:val="0"/>
          <w:kern w:val="0"/>
          <w:sz w:val="28"/>
          <w:szCs w:val="30"/>
        </w:rPr>
        <w:t>）：</w:t>
      </w:r>
    </w:p>
    <w:p>
      <w:pPr>
        <w:pStyle w:val="22"/>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地址</w:t>
      </w:r>
      <w:r>
        <w:rPr>
          <w:rFonts w:hint="eastAsia" w:ascii="仿宋" w:hAnsi="仿宋" w:eastAsia="仿宋" w:cs="Malgun Gothic Semilight"/>
          <w:snapToGrid w:val="0"/>
          <w:kern w:val="0"/>
          <w:sz w:val="28"/>
          <w:szCs w:val="30"/>
        </w:rPr>
        <w:t>：</w:t>
      </w:r>
    </w:p>
    <w:p>
      <w:pPr>
        <w:pStyle w:val="22"/>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法定</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授权</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代表人</w:t>
      </w:r>
      <w:r>
        <w:rPr>
          <w:rFonts w:hint="eastAsia" w:ascii="仿宋" w:hAnsi="仿宋" w:eastAsia="仿宋" w:cs="Malgun Gothic Semilight"/>
          <w:snapToGrid w:val="0"/>
          <w:kern w:val="0"/>
          <w:sz w:val="28"/>
          <w:szCs w:val="30"/>
        </w:rPr>
        <w:t>：</w:t>
      </w:r>
    </w:p>
    <w:p>
      <w:pPr>
        <w:pStyle w:val="22"/>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签名日期</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年月日</w:t>
      </w:r>
    </w:p>
    <w:p>
      <w:pPr>
        <w:pStyle w:val="22"/>
        <w:adjustRightInd w:val="0"/>
        <w:snapToGrid w:val="0"/>
        <w:spacing w:before="120" w:line="460" w:lineRule="exact"/>
        <w:ind w:firstLine="596" w:firstLineChars="213"/>
        <w:rPr>
          <w:rFonts w:ascii="仿宋" w:hAnsi="仿宋" w:eastAsia="仿宋"/>
          <w:snapToGrid w:val="0"/>
          <w:kern w:val="0"/>
          <w:sz w:val="28"/>
          <w:szCs w:val="30"/>
        </w:rPr>
      </w:pPr>
    </w:p>
    <w:p>
      <w:pPr>
        <w:pStyle w:val="22"/>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乙方</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盖章</w:t>
      </w:r>
      <w:r>
        <w:rPr>
          <w:rFonts w:hint="eastAsia" w:ascii="仿宋" w:hAnsi="仿宋" w:eastAsia="仿宋" w:cs="Malgun Gothic Semilight"/>
          <w:snapToGrid w:val="0"/>
          <w:kern w:val="0"/>
          <w:sz w:val="28"/>
          <w:szCs w:val="30"/>
        </w:rPr>
        <w:t>）：</w:t>
      </w:r>
    </w:p>
    <w:p>
      <w:pPr>
        <w:pStyle w:val="22"/>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地址</w:t>
      </w:r>
      <w:r>
        <w:rPr>
          <w:rFonts w:hint="eastAsia" w:ascii="仿宋" w:hAnsi="仿宋" w:eastAsia="仿宋" w:cs="Malgun Gothic Semilight"/>
          <w:snapToGrid w:val="0"/>
          <w:kern w:val="0"/>
          <w:sz w:val="28"/>
          <w:szCs w:val="30"/>
        </w:rPr>
        <w:t>：</w:t>
      </w:r>
    </w:p>
    <w:p>
      <w:pPr>
        <w:pStyle w:val="22"/>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开户行</w:t>
      </w:r>
      <w:r>
        <w:rPr>
          <w:rFonts w:hint="eastAsia" w:ascii="仿宋" w:hAnsi="仿宋" w:eastAsia="仿宋" w:cs="Malgun Gothic Semilight"/>
          <w:snapToGrid w:val="0"/>
          <w:kern w:val="0"/>
          <w:sz w:val="28"/>
          <w:szCs w:val="30"/>
        </w:rPr>
        <w:t>：</w:t>
      </w:r>
    </w:p>
    <w:p>
      <w:pPr>
        <w:pStyle w:val="22"/>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开户帐号</w:t>
      </w:r>
      <w:r>
        <w:rPr>
          <w:rFonts w:hint="eastAsia" w:ascii="仿宋" w:hAnsi="仿宋" w:eastAsia="仿宋" w:cs="Malgun Gothic Semilight"/>
          <w:snapToGrid w:val="0"/>
          <w:kern w:val="0"/>
          <w:sz w:val="28"/>
          <w:szCs w:val="30"/>
        </w:rPr>
        <w:t>：</w:t>
      </w:r>
    </w:p>
    <w:p>
      <w:pPr>
        <w:pStyle w:val="22"/>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法定</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授权</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代表人</w:t>
      </w:r>
      <w:r>
        <w:rPr>
          <w:rFonts w:hint="eastAsia" w:ascii="仿宋" w:hAnsi="仿宋" w:eastAsia="仿宋" w:cs="Malgun Gothic Semilight"/>
          <w:snapToGrid w:val="0"/>
          <w:kern w:val="0"/>
          <w:sz w:val="28"/>
          <w:szCs w:val="30"/>
        </w:rPr>
        <w:t>：</w:t>
      </w:r>
    </w:p>
    <w:p>
      <w:pPr>
        <w:pStyle w:val="22"/>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签名日期</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年月日</w:t>
      </w:r>
    </w:p>
    <w:p>
      <w:pPr>
        <w:pStyle w:val="40"/>
      </w:pPr>
      <w:bookmarkStart w:id="46" w:name="_Toc510136962"/>
      <w:r>
        <w:rPr>
          <w:rFonts w:hint="eastAsia"/>
          <w:snapToGrid w:val="0"/>
        </w:rPr>
        <w:t>第五章</w:t>
      </w:r>
      <w:r>
        <w:rPr>
          <w:rFonts w:hint="eastAsia"/>
        </w:rPr>
        <w:t>单一来源采购响应文件格式附件</w:t>
      </w:r>
      <w:bookmarkEnd w:id="46"/>
      <w:r>
        <w:rPr>
          <w:rFonts w:hint="eastAsia" w:ascii="仿宋" w:hAnsi="仿宋" w:eastAsia="仿宋"/>
          <w:b w:val="0"/>
          <w:sz w:val="30"/>
          <w:szCs w:val="30"/>
        </w:rPr>
        <w:br w:type="page"/>
      </w:r>
    </w:p>
    <w:p>
      <w:pPr>
        <w:ind w:right="-110"/>
        <w:jc w:val="center"/>
        <w:rPr>
          <w:rFonts w:ascii="仿宋" w:hAnsi="仿宋" w:eastAsia="仿宋"/>
          <w:spacing w:val="40"/>
          <w:sz w:val="52"/>
          <w:szCs w:val="52"/>
        </w:rPr>
      </w:pP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47" w:name="PO_15528_PM001_2"/>
      <w:r>
        <w:rPr>
          <w:rFonts w:hint="eastAsia" w:ascii="仿宋" w:hAnsi="仿宋" w:eastAsia="仿宋"/>
          <w:sz w:val="36"/>
          <w:szCs w:val="36"/>
        </w:rPr>
        <w:t>ZZCG2023C-DY-111</w:t>
      </w:r>
      <w:bookmarkEnd w:id="47"/>
      <w:r>
        <w:rPr>
          <w:rFonts w:hint="eastAsia" w:ascii="仿宋" w:hAnsi="仿宋" w:eastAsia="仿宋"/>
          <w:sz w:val="36"/>
          <w:szCs w:val="36"/>
        </w:rPr>
        <w:t>（标项  ）</w:t>
      </w:r>
    </w:p>
    <w:p>
      <w:pPr>
        <w:spacing w:after="100" w:afterAutospacing="1" w:line="800" w:lineRule="exact"/>
        <w:ind w:right="-108"/>
        <w:jc w:val="center"/>
        <w:rPr>
          <w:rFonts w:ascii="仿宋" w:hAnsi="仿宋" w:eastAsia="仿宋"/>
          <w:b/>
          <w:spacing w:val="40"/>
          <w:sz w:val="15"/>
          <w:szCs w:val="15"/>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格</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jc w:val="center"/>
        <w:rPr>
          <w:rFonts w:ascii="仿宋" w:hAnsi="仿宋" w:eastAsia="仿宋"/>
          <w:sz w:val="30"/>
          <w:szCs w:val="30"/>
        </w:rPr>
      </w:pPr>
    </w:p>
    <w:p>
      <w:pPr>
        <w:spacing w:line="600" w:lineRule="exact"/>
        <w:ind w:right="532" w:firstLine="600" w:firstLineChars="200"/>
        <w:rPr>
          <w:rFonts w:ascii="仿宋" w:hAnsi="仿宋" w:eastAsia="仿宋"/>
          <w:sz w:val="30"/>
          <w:szCs w:val="30"/>
        </w:rPr>
      </w:pPr>
      <w:r>
        <w:rPr>
          <w:rFonts w:hint="eastAsia" w:ascii="仿宋" w:hAnsi="仿宋" w:eastAsia="仿宋"/>
          <w:sz w:val="30"/>
          <w:szCs w:val="30"/>
        </w:rPr>
        <w:t>响应方全称：</w:t>
      </w:r>
    </w:p>
    <w:p>
      <w:pPr>
        <w:spacing w:line="600" w:lineRule="exact"/>
        <w:ind w:right="532" w:firstLine="600" w:firstLineChars="200"/>
        <w:rPr>
          <w:rFonts w:ascii="仿宋" w:hAnsi="仿宋" w:eastAsia="仿宋"/>
          <w:sz w:val="30"/>
          <w:szCs w:val="30"/>
        </w:rPr>
      </w:pPr>
      <w:r>
        <w:rPr>
          <w:rFonts w:hint="eastAsia" w:ascii="仿宋" w:hAnsi="仿宋" w:eastAsia="仿宋"/>
          <w:sz w:val="30"/>
          <w:szCs w:val="30"/>
        </w:rPr>
        <w:t>地址：</w:t>
      </w:r>
    </w:p>
    <w:p>
      <w:pPr>
        <w:spacing w:line="600" w:lineRule="exact"/>
        <w:ind w:right="532" w:firstLine="600" w:firstLineChars="200"/>
        <w:rPr>
          <w:rFonts w:ascii="仿宋" w:hAnsi="仿宋" w:eastAsia="仿宋"/>
          <w:sz w:val="30"/>
          <w:szCs w:val="30"/>
        </w:rPr>
      </w:pPr>
      <w:r>
        <w:rPr>
          <w:rFonts w:hint="eastAsia" w:ascii="仿宋" w:hAnsi="仿宋" w:eastAsia="仿宋"/>
          <w:sz w:val="30"/>
          <w:szCs w:val="30"/>
        </w:rPr>
        <w:t>时间：</w:t>
      </w:r>
    </w:p>
    <w:p>
      <w:pPr>
        <w:ind w:right="-110"/>
        <w:jc w:val="center"/>
        <w:rPr>
          <w:rFonts w:ascii="仿宋" w:hAnsi="仿宋" w:eastAsia="仿宋"/>
          <w:sz w:val="30"/>
          <w:szCs w:val="30"/>
        </w:rPr>
      </w:pPr>
    </w:p>
    <w:p>
      <w:pPr>
        <w:snapToGrid w:val="0"/>
        <w:spacing w:before="50" w:after="50"/>
        <w:ind w:firstLine="301" w:firstLineChars="100"/>
        <w:rPr>
          <w:rFonts w:ascii="仿宋" w:hAnsi="仿宋" w:eastAsia="仿宋"/>
          <w:b/>
          <w:sz w:val="30"/>
          <w:szCs w:val="30"/>
        </w:rPr>
      </w:pPr>
    </w:p>
    <w:p>
      <w:pPr>
        <w:snapToGrid w:val="0"/>
        <w:spacing w:before="50" w:after="50"/>
        <w:ind w:firstLine="301" w:firstLineChars="100"/>
        <w:rPr>
          <w:rFonts w:ascii="仿宋" w:hAnsi="仿宋" w:eastAsia="仿宋"/>
          <w:b/>
          <w:sz w:val="30"/>
          <w:szCs w:val="30"/>
        </w:rPr>
      </w:pPr>
    </w:p>
    <w:p>
      <w:pPr>
        <w:snapToGrid w:val="0"/>
        <w:spacing w:before="50" w:after="50"/>
        <w:ind w:firstLine="301" w:firstLineChars="100"/>
        <w:rPr>
          <w:rFonts w:ascii="仿宋" w:hAnsi="仿宋" w:eastAsia="仿宋"/>
          <w:b/>
          <w:bCs/>
          <w:color w:val="FF0000"/>
          <w:sz w:val="36"/>
          <w:szCs w:val="36"/>
        </w:rPr>
      </w:pPr>
      <w:r>
        <w:rPr>
          <w:rFonts w:hint="eastAsia" w:ascii="仿宋" w:hAnsi="仿宋" w:eastAsia="仿宋"/>
          <w:b/>
          <w:sz w:val="30"/>
          <w:szCs w:val="30"/>
        </w:rPr>
        <w:t>1、资格文件目录</w:t>
      </w:r>
    </w:p>
    <w:p>
      <w:pPr>
        <w:snapToGrid w:val="0"/>
        <w:spacing w:line="460" w:lineRule="exact"/>
        <w:ind w:firstLine="588" w:firstLineChars="196"/>
        <w:jc w:val="left"/>
        <w:rPr>
          <w:rFonts w:ascii="仿宋" w:hAnsi="仿宋" w:eastAsia="仿宋"/>
          <w:color w:val="auto"/>
          <w:sz w:val="30"/>
          <w:szCs w:val="30"/>
        </w:rPr>
      </w:pPr>
      <w:r>
        <w:rPr>
          <w:rFonts w:hint="eastAsia" w:ascii="宋体" w:hAnsi="宋体" w:cs="宋体"/>
          <w:color w:val="auto"/>
          <w:sz w:val="30"/>
          <w:szCs w:val="30"/>
        </w:rPr>
        <w:t>（</w:t>
      </w:r>
      <w:r>
        <w:rPr>
          <w:rFonts w:hint="eastAsia" w:ascii="仿宋" w:hAnsi="仿宋" w:eastAsia="仿宋"/>
          <w:color w:val="auto"/>
          <w:sz w:val="30"/>
          <w:szCs w:val="30"/>
        </w:rPr>
        <w:t>1）声明书 (格式见附件1，含重大违法记录声明)；</w:t>
      </w:r>
    </w:p>
    <w:p>
      <w:pPr>
        <w:snapToGrid w:val="0"/>
        <w:spacing w:line="460" w:lineRule="exact"/>
        <w:ind w:firstLine="588" w:firstLineChars="196"/>
        <w:jc w:val="left"/>
        <w:rPr>
          <w:rFonts w:ascii="仿宋" w:hAnsi="仿宋" w:eastAsia="仿宋"/>
          <w:color w:val="auto"/>
          <w:sz w:val="30"/>
          <w:szCs w:val="30"/>
        </w:rPr>
      </w:pPr>
      <w:r>
        <w:rPr>
          <w:rFonts w:hint="eastAsia" w:ascii="仿宋" w:hAnsi="仿宋" w:eastAsia="仿宋"/>
          <w:color w:val="auto"/>
          <w:sz w:val="30"/>
          <w:szCs w:val="30"/>
        </w:rPr>
        <w:t>（2）法定代表人授权委托书(格式见附件2)；</w:t>
      </w:r>
    </w:p>
    <w:p>
      <w:pPr>
        <w:snapToGrid w:val="0"/>
        <w:spacing w:line="460" w:lineRule="exact"/>
        <w:ind w:firstLine="588" w:firstLineChars="196"/>
        <w:jc w:val="left"/>
        <w:rPr>
          <w:rFonts w:ascii="仿宋" w:hAnsi="仿宋" w:eastAsia="仿宋"/>
          <w:color w:val="auto"/>
          <w:sz w:val="30"/>
          <w:szCs w:val="30"/>
        </w:rPr>
      </w:pPr>
      <w:r>
        <w:rPr>
          <w:rFonts w:hint="eastAsia" w:ascii="仿宋" w:hAnsi="仿宋" w:eastAsia="仿宋"/>
          <w:color w:val="auto"/>
          <w:sz w:val="30"/>
          <w:szCs w:val="30"/>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color w:val="auto"/>
          <w:sz w:val="30"/>
          <w:szCs w:val="30"/>
        </w:rPr>
      </w:pPr>
      <w:r>
        <w:rPr>
          <w:rFonts w:hint="eastAsia" w:ascii="仿宋" w:hAnsi="仿宋" w:eastAsia="仿宋"/>
          <w:color w:val="auto"/>
          <w:sz w:val="30"/>
          <w:szCs w:val="30"/>
        </w:rPr>
        <w:t>（4）联合响应协议书（若需要见附件3）;</w:t>
      </w:r>
    </w:p>
    <w:p>
      <w:pPr>
        <w:snapToGrid w:val="0"/>
        <w:spacing w:line="460" w:lineRule="exact"/>
        <w:ind w:firstLine="588" w:firstLineChars="196"/>
        <w:jc w:val="left"/>
        <w:rPr>
          <w:rFonts w:ascii="仿宋" w:hAnsi="仿宋" w:eastAsia="仿宋"/>
          <w:color w:val="auto"/>
          <w:sz w:val="30"/>
          <w:szCs w:val="30"/>
        </w:rPr>
      </w:pPr>
      <w:r>
        <w:rPr>
          <w:rFonts w:hint="eastAsia" w:ascii="仿宋" w:hAnsi="仿宋" w:eastAsia="仿宋"/>
          <w:color w:val="auto"/>
          <w:sz w:val="30"/>
          <w:szCs w:val="30"/>
        </w:rPr>
        <w:t>（5）联合响应授权委托书（若需要见附件4）;</w:t>
      </w:r>
    </w:p>
    <w:p>
      <w:pPr>
        <w:snapToGrid w:val="0"/>
        <w:spacing w:line="460" w:lineRule="exact"/>
        <w:ind w:firstLine="600" w:firstLineChars="200"/>
        <w:jc w:val="left"/>
        <w:rPr>
          <w:rFonts w:ascii="仿宋" w:hAnsi="仿宋" w:eastAsia="仿宋"/>
          <w:color w:val="auto"/>
          <w:sz w:val="30"/>
          <w:szCs w:val="30"/>
        </w:rPr>
      </w:pPr>
      <w:r>
        <w:rPr>
          <w:rFonts w:hint="eastAsia" w:ascii="仿宋" w:hAnsi="仿宋" w:eastAsia="仿宋"/>
          <w:color w:val="auto"/>
          <w:sz w:val="30"/>
          <w:szCs w:val="30"/>
        </w:rPr>
        <w:t>（6）提供采购公告中符合单一来源响应方特定条件要求的有效的其他资质复印件并加盖公司公章及需要说明的资料。</w:t>
      </w: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ind w:right="-110"/>
        <w:jc w:val="center"/>
        <w:rPr>
          <w:rFonts w:ascii="仿宋" w:hAnsi="仿宋" w:eastAsia="仿宋"/>
          <w:spacing w:val="40"/>
          <w:sz w:val="52"/>
          <w:szCs w:val="52"/>
        </w:rPr>
      </w:pP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项目编号：[项目采购-项目编号_]（标项  ）</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技</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术</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及</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商</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务</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jc w:val="center"/>
        <w:rPr>
          <w:rFonts w:ascii="仿宋" w:hAnsi="仿宋" w:eastAsia="仿宋"/>
          <w:sz w:val="36"/>
          <w:szCs w:val="36"/>
        </w:rPr>
      </w:pPr>
    </w:p>
    <w:p>
      <w:pPr>
        <w:spacing w:line="500" w:lineRule="exact"/>
        <w:ind w:right="532"/>
        <w:jc w:val="center"/>
        <w:rPr>
          <w:rFonts w:ascii="仿宋" w:hAnsi="仿宋" w:eastAsia="仿宋"/>
          <w:sz w:val="36"/>
          <w:szCs w:val="36"/>
        </w:rPr>
      </w:pP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响应方全称（公章）：</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地址：</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时间：</w:t>
      </w:r>
    </w:p>
    <w:p>
      <w:pPr>
        <w:ind w:right="-110"/>
        <w:jc w:val="center"/>
        <w:rPr>
          <w:rFonts w:ascii="仿宋" w:hAnsi="仿宋" w:eastAsia="仿宋"/>
          <w:spacing w:val="40"/>
          <w:sz w:val="52"/>
          <w:szCs w:val="52"/>
        </w:rPr>
      </w:pPr>
    </w:p>
    <w:p>
      <w:pPr>
        <w:ind w:right="-110"/>
        <w:jc w:val="center"/>
        <w:rPr>
          <w:rFonts w:ascii="仿宋" w:hAnsi="仿宋" w:eastAsia="仿宋"/>
          <w:spacing w:val="40"/>
          <w:sz w:val="52"/>
          <w:szCs w:val="52"/>
        </w:rPr>
      </w:pPr>
    </w:p>
    <w:p>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2.技术及商务文件目录：</w:t>
      </w:r>
    </w:p>
    <w:p>
      <w:pPr>
        <w:snapToGrid w:val="0"/>
        <w:spacing w:line="480" w:lineRule="exact"/>
        <w:ind w:firstLine="588" w:firstLineChars="196"/>
        <w:jc w:val="left"/>
        <w:rPr>
          <w:rFonts w:ascii="仿宋" w:hAnsi="仿宋" w:eastAsia="仿宋"/>
          <w:color w:val="auto"/>
          <w:kern w:val="0"/>
          <w:sz w:val="30"/>
          <w:szCs w:val="30"/>
        </w:rPr>
      </w:pPr>
      <w:r>
        <w:rPr>
          <w:rFonts w:hint="eastAsia" w:ascii="仿宋" w:hAnsi="仿宋" w:eastAsia="仿宋"/>
          <w:kern w:val="0"/>
          <w:sz w:val="30"/>
          <w:szCs w:val="30"/>
        </w:rPr>
        <w:t>（1）技</w:t>
      </w:r>
      <w:r>
        <w:rPr>
          <w:rFonts w:hint="eastAsia" w:ascii="仿宋" w:hAnsi="仿宋" w:eastAsia="仿宋"/>
          <w:color w:val="auto"/>
          <w:kern w:val="0"/>
          <w:sz w:val="30"/>
          <w:szCs w:val="30"/>
        </w:rPr>
        <w:t>术响应表（见附件5）；</w:t>
      </w:r>
    </w:p>
    <w:p>
      <w:pPr>
        <w:snapToGrid w:val="0"/>
        <w:spacing w:line="460" w:lineRule="exact"/>
        <w:ind w:firstLine="600" w:firstLineChars="200"/>
        <w:jc w:val="left"/>
        <w:rPr>
          <w:rFonts w:ascii="仿宋" w:hAnsi="仿宋" w:eastAsia="仿宋"/>
          <w:color w:val="auto"/>
          <w:sz w:val="30"/>
          <w:szCs w:val="30"/>
        </w:rPr>
      </w:pPr>
      <w:r>
        <w:rPr>
          <w:rFonts w:hint="eastAsia" w:ascii="仿宋" w:hAnsi="仿宋" w:eastAsia="仿宋"/>
          <w:color w:val="auto"/>
          <w:sz w:val="30"/>
          <w:szCs w:val="30"/>
        </w:rPr>
        <w:t>（2）项目总体解决方案（可包含且不限于对项目总体要求的理解、项目总体架构及技术解决方案等）；</w:t>
      </w:r>
    </w:p>
    <w:p>
      <w:pPr>
        <w:snapToGrid w:val="0"/>
        <w:spacing w:line="480" w:lineRule="exact"/>
        <w:ind w:firstLine="588" w:firstLineChars="196"/>
        <w:jc w:val="left"/>
        <w:rPr>
          <w:rFonts w:ascii="仿宋" w:hAnsi="仿宋" w:eastAsia="仿宋"/>
          <w:color w:val="auto"/>
          <w:sz w:val="30"/>
          <w:szCs w:val="30"/>
        </w:rPr>
      </w:pPr>
      <w:r>
        <w:rPr>
          <w:rFonts w:hint="eastAsia" w:ascii="仿宋" w:hAnsi="仿宋" w:eastAsia="仿宋"/>
          <w:color w:val="auto"/>
          <w:sz w:val="30"/>
          <w:szCs w:val="30"/>
        </w:rPr>
        <w:t>（3）项目实施计划（可包含且不限于保证工期的施工组织方案及人力资源安排、项目组人员清单《</w:t>
      </w:r>
      <w:r>
        <w:rPr>
          <w:rFonts w:hint="eastAsia" w:ascii="仿宋" w:hAnsi="仿宋" w:eastAsia="仿宋"/>
          <w:color w:val="auto"/>
          <w:kern w:val="0"/>
          <w:sz w:val="30"/>
          <w:szCs w:val="30"/>
        </w:rPr>
        <w:t>项目实施人员一览表</w:t>
      </w:r>
      <w:r>
        <w:rPr>
          <w:rFonts w:hint="eastAsia" w:ascii="仿宋" w:hAnsi="仿宋" w:eastAsia="仿宋"/>
          <w:color w:val="auto"/>
          <w:sz w:val="30"/>
          <w:szCs w:val="30"/>
        </w:rPr>
        <w:t>》（</w:t>
      </w:r>
      <w:r>
        <w:rPr>
          <w:rFonts w:hint="eastAsia" w:ascii="仿宋" w:hAnsi="仿宋" w:eastAsia="仿宋"/>
          <w:color w:val="auto"/>
          <w:kern w:val="0"/>
          <w:sz w:val="30"/>
          <w:szCs w:val="30"/>
        </w:rPr>
        <w:t>附件6）</w:t>
      </w:r>
      <w:r>
        <w:rPr>
          <w:rFonts w:hint="eastAsia" w:ascii="仿宋" w:hAnsi="仿宋" w:eastAsia="仿宋"/>
          <w:color w:val="auto"/>
          <w:sz w:val="30"/>
          <w:szCs w:val="30"/>
        </w:rPr>
        <w:t>）；</w:t>
      </w:r>
    </w:p>
    <w:p>
      <w:pPr>
        <w:snapToGrid w:val="0"/>
        <w:spacing w:line="460" w:lineRule="exact"/>
        <w:ind w:firstLine="600" w:firstLineChars="200"/>
        <w:jc w:val="left"/>
        <w:rPr>
          <w:rFonts w:ascii="仿宋" w:hAnsi="仿宋" w:eastAsia="仿宋"/>
          <w:color w:val="auto"/>
          <w:sz w:val="30"/>
          <w:szCs w:val="30"/>
        </w:rPr>
      </w:pPr>
      <w:r>
        <w:rPr>
          <w:rFonts w:hint="eastAsia" w:ascii="仿宋" w:hAnsi="仿宋" w:eastAsia="仿宋"/>
          <w:color w:val="auto"/>
          <w:sz w:val="30"/>
          <w:szCs w:val="30"/>
        </w:rPr>
        <w:t>（4）列入政府采购节能环保清单的证明资料（若有）；</w:t>
      </w:r>
    </w:p>
    <w:p>
      <w:pPr>
        <w:snapToGrid w:val="0"/>
        <w:spacing w:line="460" w:lineRule="exact"/>
        <w:ind w:firstLine="588" w:firstLineChars="196"/>
        <w:jc w:val="left"/>
        <w:rPr>
          <w:rFonts w:ascii="仿宋" w:hAnsi="仿宋" w:eastAsia="仿宋"/>
          <w:color w:val="auto"/>
          <w:sz w:val="30"/>
          <w:szCs w:val="30"/>
        </w:rPr>
      </w:pPr>
      <w:r>
        <w:rPr>
          <w:rFonts w:hint="eastAsia" w:ascii="仿宋" w:hAnsi="仿宋" w:eastAsia="仿宋"/>
          <w:color w:val="auto"/>
          <w:sz w:val="30"/>
          <w:szCs w:val="30"/>
        </w:rPr>
        <w:t>（5）商务响应表（附件7）；</w:t>
      </w:r>
    </w:p>
    <w:p>
      <w:pPr>
        <w:snapToGrid w:val="0"/>
        <w:spacing w:line="460" w:lineRule="exact"/>
        <w:ind w:firstLine="600" w:firstLineChars="200"/>
        <w:jc w:val="left"/>
        <w:rPr>
          <w:rFonts w:ascii="仿宋" w:hAnsi="仿宋" w:eastAsia="仿宋"/>
          <w:color w:val="auto"/>
          <w:sz w:val="30"/>
          <w:szCs w:val="30"/>
        </w:rPr>
      </w:pPr>
      <w:r>
        <w:rPr>
          <w:rFonts w:hint="eastAsia" w:ascii="仿宋" w:hAnsi="仿宋" w:eastAsia="仿宋"/>
          <w:color w:val="auto"/>
          <w:sz w:val="30"/>
          <w:szCs w:val="30"/>
        </w:rPr>
        <w:t>（6）售后服务计划（可包含且不限于对用户故障的响应、处理、定期巡检、备品备件、常用耗材提供、驻点人员情况等）；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color w:val="auto"/>
          <w:sz w:val="30"/>
          <w:szCs w:val="30"/>
        </w:rPr>
      </w:pPr>
      <w:r>
        <w:rPr>
          <w:rFonts w:hint="eastAsia" w:ascii="仿宋" w:hAnsi="仿宋" w:eastAsia="仿宋"/>
          <w:color w:val="auto"/>
          <w:sz w:val="30"/>
          <w:szCs w:val="30"/>
        </w:rPr>
        <w:t>（7）技术培训计划（若有）；</w:t>
      </w:r>
    </w:p>
    <w:p>
      <w:pPr>
        <w:snapToGrid w:val="0"/>
        <w:spacing w:line="460" w:lineRule="exact"/>
        <w:ind w:firstLine="600" w:firstLineChars="200"/>
        <w:jc w:val="left"/>
        <w:rPr>
          <w:rFonts w:ascii="仿宋" w:hAnsi="仿宋" w:eastAsia="仿宋"/>
          <w:color w:val="auto"/>
          <w:sz w:val="30"/>
          <w:szCs w:val="30"/>
        </w:rPr>
      </w:pPr>
      <w:r>
        <w:rPr>
          <w:rFonts w:hint="eastAsia" w:ascii="仿宋" w:hAnsi="仿宋" w:eastAsia="仿宋"/>
          <w:color w:val="auto"/>
          <w:sz w:val="30"/>
          <w:szCs w:val="30"/>
        </w:rPr>
        <w:t>（8）响应方履约能力（可包含且不限于技术力量情况、响应方各项能力证书）；</w:t>
      </w:r>
    </w:p>
    <w:p>
      <w:pPr>
        <w:snapToGrid w:val="0"/>
        <w:spacing w:line="460" w:lineRule="exact"/>
        <w:ind w:firstLine="588" w:firstLineChars="196"/>
        <w:jc w:val="left"/>
        <w:rPr>
          <w:rFonts w:ascii="仿宋" w:hAnsi="仿宋" w:eastAsia="仿宋"/>
          <w:color w:val="auto"/>
          <w:sz w:val="30"/>
          <w:szCs w:val="30"/>
        </w:rPr>
      </w:pPr>
      <w:r>
        <w:rPr>
          <w:rFonts w:hint="eastAsia" w:ascii="仿宋" w:hAnsi="仿宋" w:eastAsia="仿宋"/>
          <w:color w:val="auto"/>
          <w:sz w:val="30"/>
          <w:szCs w:val="30"/>
        </w:rPr>
        <w:t>（9）案例的业绩证明（响应方同类项目实施情况一览表（附件8）、合同复印件）；</w:t>
      </w:r>
    </w:p>
    <w:p>
      <w:pPr>
        <w:tabs>
          <w:tab w:val="left" w:pos="6540"/>
        </w:tabs>
        <w:snapToGrid w:val="0"/>
        <w:spacing w:line="460" w:lineRule="exact"/>
        <w:ind w:firstLine="600" w:firstLineChars="200"/>
        <w:jc w:val="left"/>
        <w:rPr>
          <w:rFonts w:ascii="仿宋" w:hAnsi="仿宋" w:eastAsia="仿宋"/>
          <w:color w:val="auto"/>
          <w:sz w:val="30"/>
          <w:szCs w:val="30"/>
        </w:rPr>
      </w:pPr>
      <w:r>
        <w:rPr>
          <w:rFonts w:hint="eastAsia" w:ascii="仿宋" w:hAnsi="仿宋" w:eastAsia="仿宋"/>
          <w:color w:val="auto"/>
          <w:sz w:val="30"/>
          <w:szCs w:val="30"/>
        </w:rPr>
        <w:t>（10）响应方认为需要的其他文件资料。</w:t>
      </w:r>
      <w:r>
        <w:rPr>
          <w:rFonts w:hint="eastAsia" w:ascii="仿宋" w:hAnsi="仿宋" w:eastAsia="仿宋"/>
          <w:color w:val="auto"/>
          <w:sz w:val="30"/>
          <w:szCs w:val="30"/>
        </w:rPr>
        <w:tab/>
      </w:r>
    </w:p>
    <w:p>
      <w:pPr>
        <w:ind w:right="-110"/>
        <w:jc w:val="center"/>
        <w:rPr>
          <w:rFonts w:ascii="仿宋" w:hAnsi="仿宋" w:eastAsia="仿宋"/>
          <w:spacing w:val="40"/>
          <w:sz w:val="52"/>
          <w:szCs w:val="52"/>
        </w:rPr>
      </w:pPr>
    </w:p>
    <w:p>
      <w:pPr>
        <w:ind w:right="-110"/>
        <w:jc w:val="center"/>
        <w:rPr>
          <w:rFonts w:ascii="仿宋" w:hAnsi="仿宋" w:eastAsia="仿宋"/>
          <w:spacing w:val="40"/>
          <w:sz w:val="52"/>
          <w:szCs w:val="52"/>
        </w:rPr>
      </w:pPr>
    </w:p>
    <w:p>
      <w:pPr>
        <w:ind w:right="-110"/>
        <w:jc w:val="center"/>
        <w:rPr>
          <w:rFonts w:ascii="仿宋" w:hAnsi="仿宋" w:eastAsia="仿宋"/>
          <w:spacing w:val="40"/>
          <w:sz w:val="52"/>
          <w:szCs w:val="52"/>
        </w:rPr>
      </w:pPr>
    </w:p>
    <w:p>
      <w:pPr>
        <w:ind w:right="-110"/>
        <w:jc w:val="center"/>
        <w:rPr>
          <w:rFonts w:ascii="仿宋" w:hAnsi="仿宋" w:eastAsia="仿宋"/>
          <w:spacing w:val="40"/>
          <w:sz w:val="52"/>
          <w:szCs w:val="52"/>
        </w:rPr>
      </w:pPr>
    </w:p>
    <w:p>
      <w:pPr>
        <w:ind w:right="-110"/>
        <w:jc w:val="center"/>
        <w:rPr>
          <w:rFonts w:ascii="仿宋" w:hAnsi="仿宋" w:eastAsia="仿宋"/>
          <w:spacing w:val="40"/>
          <w:sz w:val="52"/>
          <w:szCs w:val="52"/>
        </w:rPr>
      </w:pPr>
    </w:p>
    <w:p>
      <w:pPr>
        <w:ind w:right="-110"/>
        <w:jc w:val="center"/>
        <w:rPr>
          <w:rFonts w:ascii="仿宋" w:hAnsi="仿宋" w:eastAsia="仿宋"/>
          <w:spacing w:val="40"/>
          <w:sz w:val="52"/>
          <w:szCs w:val="52"/>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napToGrid w:val="0"/>
        <w:spacing w:before="120" w:beforeLines="50" w:after="50"/>
        <w:rPr>
          <w:rFonts w:ascii="仿宋" w:hAnsi="仿宋" w:eastAsia="仿宋"/>
          <w:b/>
          <w:sz w:val="30"/>
          <w:szCs w:val="30"/>
        </w:rPr>
      </w:pPr>
      <w:r>
        <w:rPr>
          <w:rFonts w:hint="eastAsia" w:ascii="仿宋" w:hAnsi="仿宋" w:eastAsia="仿宋"/>
          <w:b/>
          <w:sz w:val="30"/>
          <w:szCs w:val="30"/>
        </w:rPr>
        <w:t xml:space="preserve">                     </w:t>
      </w:r>
    </w:p>
    <w:p>
      <w:pPr>
        <w:ind w:right="-110"/>
        <w:jc w:val="center"/>
        <w:rPr>
          <w:rFonts w:ascii="仿宋" w:hAnsi="仿宋" w:eastAsia="仿宋"/>
          <w:spacing w:val="40"/>
          <w:sz w:val="52"/>
          <w:szCs w:val="52"/>
        </w:rPr>
      </w:pP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 （标项  ）</w:t>
      </w:r>
    </w:p>
    <w:p>
      <w:pPr>
        <w:spacing w:after="100" w:afterAutospacing="1" w:line="800" w:lineRule="exact"/>
        <w:ind w:right="-108"/>
        <w:jc w:val="center"/>
        <w:rPr>
          <w:rFonts w:ascii="仿宋" w:hAnsi="仿宋" w:eastAsia="仿宋"/>
          <w:b/>
          <w:spacing w:val="40"/>
          <w:sz w:val="84"/>
          <w:szCs w:val="84"/>
        </w:rPr>
      </w:pP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jc w:val="center"/>
        <w:rPr>
          <w:rFonts w:ascii="仿宋" w:hAnsi="仿宋" w:eastAsia="仿宋"/>
          <w:sz w:val="36"/>
          <w:szCs w:val="36"/>
        </w:rPr>
      </w:pPr>
    </w:p>
    <w:p>
      <w:pPr>
        <w:spacing w:line="500" w:lineRule="exact"/>
        <w:ind w:right="532" w:firstLine="720" w:firstLineChars="200"/>
        <w:rPr>
          <w:rFonts w:ascii="仿宋" w:hAnsi="仿宋" w:eastAsia="仿宋"/>
          <w:sz w:val="36"/>
          <w:szCs w:val="36"/>
        </w:rPr>
      </w:pPr>
      <w:r>
        <w:rPr>
          <w:rFonts w:hint="eastAsia" w:ascii="仿宋" w:hAnsi="仿宋" w:eastAsia="仿宋"/>
          <w:sz w:val="36"/>
          <w:szCs w:val="36"/>
        </w:rPr>
        <w:t>单一来源响应方全称：</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spacing w:line="600" w:lineRule="exact"/>
        <w:ind w:right="532"/>
        <w:rPr>
          <w:rFonts w:ascii="仿宋" w:hAnsi="仿宋" w:eastAsia="仿宋"/>
          <w:sz w:val="30"/>
          <w:szCs w:val="30"/>
        </w:rPr>
      </w:pPr>
    </w:p>
    <w:p>
      <w:pPr>
        <w:spacing w:line="600" w:lineRule="exact"/>
        <w:ind w:right="-108" w:firstLine="720" w:firstLineChars="200"/>
        <w:rPr>
          <w:rFonts w:ascii="仿宋" w:hAnsi="仿宋" w:eastAsia="仿宋"/>
          <w:sz w:val="36"/>
          <w:szCs w:val="36"/>
        </w:rPr>
      </w:pPr>
    </w:p>
    <w:p>
      <w:pPr>
        <w:spacing w:line="600" w:lineRule="exact"/>
        <w:ind w:right="532" w:firstLine="600" w:firstLineChars="200"/>
        <w:rPr>
          <w:rFonts w:ascii="仿宋" w:hAnsi="仿宋" w:eastAsia="仿宋"/>
          <w:sz w:val="30"/>
          <w:szCs w:val="30"/>
        </w:rPr>
      </w:pPr>
    </w:p>
    <w:p>
      <w:pPr>
        <w:tabs>
          <w:tab w:val="left" w:pos="6540"/>
        </w:tabs>
        <w:snapToGrid w:val="0"/>
        <w:spacing w:line="460" w:lineRule="exact"/>
        <w:ind w:firstLine="602" w:firstLineChars="200"/>
        <w:jc w:val="left"/>
        <w:rPr>
          <w:rFonts w:ascii="仿宋" w:hAnsi="仿宋" w:eastAsia="仿宋"/>
          <w:b/>
          <w:sz w:val="30"/>
          <w:szCs w:val="30"/>
        </w:rPr>
      </w:pPr>
    </w:p>
    <w:p>
      <w:pPr>
        <w:tabs>
          <w:tab w:val="left" w:pos="6540"/>
        </w:tabs>
        <w:snapToGrid w:val="0"/>
        <w:spacing w:line="460" w:lineRule="exact"/>
        <w:ind w:firstLine="602" w:firstLineChars="200"/>
        <w:jc w:val="left"/>
        <w:rPr>
          <w:rFonts w:ascii="仿宋" w:hAnsi="仿宋" w:eastAsia="仿宋"/>
          <w:b/>
          <w:sz w:val="30"/>
          <w:szCs w:val="30"/>
        </w:rPr>
      </w:pPr>
      <w:r>
        <w:rPr>
          <w:rFonts w:hint="eastAsia" w:ascii="仿宋" w:hAnsi="仿宋" w:eastAsia="仿宋"/>
          <w:b/>
          <w:sz w:val="30"/>
          <w:szCs w:val="30"/>
        </w:rPr>
        <w:t>3、报价文件目录</w:t>
      </w:r>
    </w:p>
    <w:p>
      <w:pPr>
        <w:pStyle w:val="24"/>
        <w:snapToGrid w:val="0"/>
        <w:spacing w:line="460" w:lineRule="exact"/>
        <w:ind w:left="0" w:leftChars="0"/>
        <w:rPr>
          <w:rFonts w:ascii="仿宋" w:hAnsi="仿宋" w:eastAsia="仿宋"/>
          <w:sz w:val="30"/>
          <w:szCs w:val="30"/>
        </w:rPr>
      </w:pPr>
      <w:r>
        <w:rPr>
          <w:rFonts w:hint="eastAsia" w:ascii="仿宋" w:hAnsi="仿宋" w:eastAsia="仿宋"/>
          <w:sz w:val="30"/>
          <w:szCs w:val="30"/>
        </w:rPr>
        <w:t>（1）投标报价明细表（附件9）；</w:t>
      </w:r>
    </w:p>
    <w:p>
      <w:pPr>
        <w:pStyle w:val="24"/>
        <w:snapToGrid w:val="0"/>
        <w:spacing w:line="460" w:lineRule="exact"/>
        <w:ind w:left="0" w:leftChars="0"/>
        <w:rPr>
          <w:rFonts w:ascii="仿宋" w:hAnsi="仿宋" w:eastAsia="仿宋"/>
          <w:sz w:val="30"/>
          <w:szCs w:val="30"/>
        </w:rPr>
      </w:pPr>
      <w:r>
        <w:rPr>
          <w:rFonts w:hint="eastAsia" w:ascii="仿宋" w:hAnsi="仿宋" w:eastAsia="仿宋"/>
          <w:sz w:val="30"/>
          <w:szCs w:val="30"/>
        </w:rPr>
        <w:t>（2）响应方针对报价需要说明的其他文件和说明（格式自拟）；</w:t>
      </w:r>
    </w:p>
    <w:p>
      <w:pPr>
        <w:pStyle w:val="24"/>
        <w:snapToGrid w:val="0"/>
        <w:spacing w:line="460" w:lineRule="exact"/>
        <w:ind w:left="0" w:leftChars="0"/>
        <w:rPr>
          <w:rFonts w:ascii="仿宋" w:hAnsi="仿宋" w:eastAsia="仿宋"/>
        </w:rPr>
      </w:pPr>
      <w:r>
        <w:rPr>
          <w:rFonts w:hint="eastAsia" w:ascii="仿宋" w:hAnsi="仿宋" w:eastAsia="仿宋"/>
          <w:sz w:val="30"/>
          <w:szCs w:val="30"/>
        </w:rPr>
        <w:t>（3）中小企业声明函（见附件10）；</w:t>
      </w:r>
    </w:p>
    <w:p>
      <w:pPr>
        <w:pStyle w:val="37"/>
        <w:widowControl w:val="0"/>
        <w:spacing w:line="460" w:lineRule="exact"/>
        <w:jc w:val="both"/>
        <w:rPr>
          <w:rFonts w:ascii="仿宋" w:hAnsi="仿宋" w:eastAsia="仿宋"/>
          <w:color w:val="auto"/>
          <w:sz w:val="30"/>
          <w:szCs w:val="30"/>
        </w:rPr>
      </w:pPr>
      <w:r>
        <w:rPr>
          <w:rFonts w:hint="eastAsia" w:ascii="仿宋" w:hAnsi="仿宋" w:eastAsia="仿宋"/>
          <w:color w:val="auto"/>
          <w:sz w:val="30"/>
          <w:szCs w:val="30"/>
        </w:rPr>
        <w:t>（4）残疾人福利企业声明函（见附件11）。</w:t>
      </w:r>
    </w:p>
    <w:p/>
    <w:p>
      <w:pPr>
        <w:ind w:right="-110"/>
        <w:jc w:val="center"/>
        <w:rPr>
          <w:rFonts w:ascii="仿宋" w:hAnsi="仿宋" w:eastAsia="仿宋"/>
          <w:spacing w:val="40"/>
          <w:sz w:val="52"/>
          <w:szCs w:val="52"/>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napToGrid w:val="0"/>
        <w:spacing w:before="120" w:beforeLines="50" w:after="50"/>
        <w:rPr>
          <w:rFonts w:ascii="仿宋" w:hAnsi="仿宋" w:eastAsia="仿宋"/>
          <w:sz w:val="36"/>
          <w:szCs w:val="36"/>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t>附件1：</w:t>
      </w:r>
    </w:p>
    <w:p>
      <w:pPr>
        <w:snapToGrid w:val="0"/>
        <w:spacing w:before="120" w:beforeLines="50" w:after="50" w:line="500" w:lineRule="exact"/>
        <w:jc w:val="center"/>
        <w:rPr>
          <w:rFonts w:ascii="仿宋" w:hAnsi="仿宋" w:eastAsia="仿宋"/>
          <w:b/>
          <w:sz w:val="36"/>
          <w:szCs w:val="36"/>
        </w:rPr>
      </w:pPr>
      <w:r>
        <w:rPr>
          <w:rFonts w:hint="eastAsia" w:ascii="仿宋" w:hAnsi="仿宋" w:eastAsia="仿宋"/>
          <w:b/>
          <w:sz w:val="36"/>
          <w:szCs w:val="36"/>
        </w:rPr>
        <w:t>声明书</w:t>
      </w:r>
    </w:p>
    <w:p>
      <w:pPr>
        <w:snapToGrid w:val="0"/>
        <w:spacing w:before="120" w:beforeLines="50" w:after="50" w:line="440" w:lineRule="exact"/>
        <w:rPr>
          <w:rFonts w:ascii="仿宋" w:hAnsi="仿宋" w:eastAsia="仿宋"/>
          <w:sz w:val="30"/>
          <w:szCs w:val="30"/>
        </w:rPr>
      </w:pPr>
      <w:r>
        <w:rPr>
          <w:rFonts w:hint="eastAsia" w:ascii="仿宋" w:hAnsi="仿宋" w:eastAsia="仿宋"/>
          <w:sz w:val="30"/>
          <w:szCs w:val="30"/>
        </w:rPr>
        <w:t>致浙江省政府采购中心：</w:t>
      </w:r>
    </w:p>
    <w:p>
      <w:pPr>
        <w:snapToGrid w:val="0"/>
        <w:spacing w:before="120" w:beforeLines="50" w:after="50" w:line="440" w:lineRule="exact"/>
        <w:ind w:firstLine="600" w:firstLineChars="200"/>
        <w:rPr>
          <w:rFonts w:ascii="仿宋" w:hAnsi="仿宋" w:eastAsia="仿宋"/>
          <w:sz w:val="30"/>
          <w:szCs w:val="30"/>
        </w:rPr>
      </w:pPr>
      <w:r>
        <w:rPr>
          <w:rFonts w:hint="eastAsia" w:ascii="仿宋" w:hAnsi="仿宋" w:eastAsia="仿宋"/>
          <w:sz w:val="30"/>
          <w:szCs w:val="30"/>
          <w:u w:val="single"/>
        </w:rPr>
        <w:t>（单一来源响应方名称）</w:t>
      </w:r>
      <w:r>
        <w:rPr>
          <w:rFonts w:hint="eastAsia" w:ascii="仿宋" w:hAnsi="仿宋" w:eastAsia="仿宋"/>
          <w:sz w:val="30"/>
          <w:szCs w:val="30"/>
        </w:rPr>
        <w:t>系中华人民共和国合法企业，经营地址。</w:t>
      </w:r>
    </w:p>
    <w:p>
      <w:pPr>
        <w:snapToGrid w:val="0"/>
        <w:spacing w:before="120" w:beforeLines="50" w:after="50" w:line="44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（响应方名称）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（采购项目名称）（编号为[项目采购-项目编号]         ）</w:t>
      </w:r>
      <w:r>
        <w:rPr>
          <w:rFonts w:hint="eastAsia" w:ascii="仿宋" w:hAnsi="仿宋" w:eastAsia="仿宋"/>
          <w:sz w:val="30"/>
          <w:szCs w:val="30"/>
        </w:rPr>
        <w:t>的投标，为此，我方就本次投标有关事项郑重声明如下：</w:t>
      </w:r>
    </w:p>
    <w:p>
      <w:pPr>
        <w:snapToGrid w:val="0"/>
        <w:spacing w:before="120" w:beforeLines="50" w:after="50" w:line="440" w:lineRule="exact"/>
        <w:ind w:firstLine="600" w:firstLineChars="200"/>
        <w:rPr>
          <w:rFonts w:ascii="仿宋" w:hAnsi="仿宋" w:eastAsia="仿宋"/>
          <w:sz w:val="30"/>
          <w:szCs w:val="30"/>
        </w:rPr>
      </w:pPr>
      <w:r>
        <w:rPr>
          <w:rFonts w:hint="eastAsia" w:ascii="仿宋" w:hAnsi="仿宋" w:eastAsia="仿宋"/>
          <w:sz w:val="30"/>
          <w:szCs w:val="30"/>
        </w:rPr>
        <w:t>1.我方已详细审查全部采购文件，同意采购文件的各项要求，包括疫情期间采取的各项应急开标措施。</w:t>
      </w:r>
    </w:p>
    <w:p>
      <w:pPr>
        <w:snapToGrid w:val="0"/>
        <w:spacing w:before="120" w:beforeLines="50" w:after="50" w:line="440" w:lineRule="exact"/>
        <w:ind w:firstLine="600" w:firstLineChars="200"/>
        <w:rPr>
          <w:rFonts w:ascii="仿宋" w:hAnsi="仿宋" w:eastAsia="仿宋"/>
          <w:sz w:val="30"/>
          <w:szCs w:val="30"/>
        </w:rPr>
      </w:pPr>
      <w:r>
        <w:rPr>
          <w:rFonts w:hint="eastAsia" w:ascii="仿宋" w:hAnsi="仿宋" w:eastAsia="仿宋"/>
          <w:sz w:val="30"/>
          <w:szCs w:val="30"/>
        </w:rPr>
        <w:t>2.我方向贵方提交的所有响应文件、资料都是准确的和真实的。</w:t>
      </w:r>
    </w:p>
    <w:p>
      <w:pPr>
        <w:snapToGrid w:val="0"/>
        <w:spacing w:before="120" w:beforeLines="50" w:after="50" w:line="440" w:lineRule="exact"/>
        <w:ind w:firstLine="600" w:firstLineChars="200"/>
        <w:rPr>
          <w:rFonts w:ascii="仿宋" w:hAnsi="仿宋" w:eastAsia="仿宋"/>
          <w:sz w:val="30"/>
          <w:szCs w:val="30"/>
        </w:rPr>
      </w:pPr>
      <w:r>
        <w:rPr>
          <w:rFonts w:hint="eastAsia" w:ascii="仿宋" w:hAnsi="仿宋" w:eastAsia="仿宋"/>
          <w:sz w:val="30"/>
          <w:szCs w:val="30"/>
        </w:rPr>
        <w:t>3.若中标，我方将按采购文件规定履行合同责任和义务。</w:t>
      </w:r>
    </w:p>
    <w:p>
      <w:pPr>
        <w:snapToGrid w:val="0"/>
        <w:spacing w:before="120" w:beforeLines="50" w:after="50" w:line="44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pPr>
        <w:snapToGrid w:val="0"/>
        <w:spacing w:before="120" w:beforeLines="50" w:after="50" w:line="440" w:lineRule="exact"/>
        <w:ind w:firstLine="600" w:firstLineChars="200"/>
        <w:rPr>
          <w:rFonts w:ascii="仿宋" w:hAnsi="仿宋" w:eastAsia="仿宋"/>
          <w:sz w:val="30"/>
          <w:szCs w:val="30"/>
        </w:rPr>
      </w:pPr>
      <w:r>
        <w:rPr>
          <w:rFonts w:hint="eastAsia" w:ascii="仿宋" w:hAnsi="仿宋" w:eastAsia="仿宋"/>
          <w:sz w:val="30"/>
          <w:szCs w:val="30"/>
        </w:rPr>
        <w:t>5.响应文件自开标日起有效期为90天。</w:t>
      </w:r>
    </w:p>
    <w:p>
      <w:pPr>
        <w:snapToGrid w:val="0"/>
        <w:spacing w:line="44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6.我方承诺已经具备参与政府采购活动的资格条件并且没有税收缴纳、社会保障等方面的失信记录；</w:t>
      </w:r>
    </w:p>
    <w:p>
      <w:pPr>
        <w:snapToGrid w:val="0"/>
        <w:spacing w:before="120" w:beforeLines="50" w:after="50" w:line="44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40" w:lineRule="exact"/>
        <w:ind w:firstLine="600" w:firstLineChars="200"/>
        <w:rPr>
          <w:rFonts w:ascii="仿宋" w:hAnsi="仿宋" w:eastAsia="仿宋"/>
          <w:sz w:val="30"/>
          <w:szCs w:val="30"/>
        </w:rPr>
      </w:pPr>
      <w:r>
        <w:rPr>
          <w:rFonts w:hint="eastAsia" w:ascii="仿宋" w:hAnsi="仿宋" w:eastAsia="仿宋"/>
          <w:sz w:val="30"/>
          <w:szCs w:val="30"/>
        </w:rPr>
        <w:t>8.以上事项如有虚假或隐瞒，我方愿意承担一切后果，并不再寻求任何旨在减轻或免除法律责任的辩解。</w:t>
      </w:r>
    </w:p>
    <w:p>
      <w:pPr>
        <w:snapToGrid w:val="0"/>
        <w:spacing w:before="120" w:beforeLines="50" w:after="50" w:line="440" w:lineRule="exact"/>
        <w:ind w:right="600" w:firstLine="150" w:firstLineChars="50"/>
        <w:rPr>
          <w:rFonts w:ascii="仿宋" w:hAnsi="仿宋" w:eastAsia="仿宋"/>
          <w:sz w:val="30"/>
          <w:szCs w:val="30"/>
          <w:u w:val="single"/>
        </w:rPr>
      </w:pPr>
      <w:r>
        <w:rPr>
          <w:rFonts w:hint="eastAsia" w:ascii="仿宋" w:hAnsi="仿宋" w:eastAsia="仿宋"/>
          <w:sz w:val="30"/>
          <w:szCs w:val="30"/>
        </w:rPr>
        <w:t>法定代表人签名（或签名章）：  日 期：</w:t>
      </w:r>
    </w:p>
    <w:p>
      <w:pPr>
        <w:snapToGrid w:val="0"/>
        <w:spacing w:before="120" w:beforeLines="50" w:after="50" w:line="440" w:lineRule="exact"/>
        <w:ind w:firstLine="150" w:firstLineChars="50"/>
        <w:rPr>
          <w:rFonts w:ascii="仿宋" w:hAnsi="仿宋" w:eastAsia="仿宋"/>
          <w:sz w:val="30"/>
          <w:szCs w:val="30"/>
        </w:rPr>
      </w:pPr>
      <w:r>
        <w:rPr>
          <w:rFonts w:hint="eastAsia" w:ascii="仿宋" w:hAnsi="仿宋" w:eastAsia="仿宋"/>
          <w:sz w:val="30"/>
          <w:szCs w:val="30"/>
        </w:rPr>
        <w:t>单一来源响应方全称（公章）：</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附件2：</w:t>
      </w:r>
    </w:p>
    <w:p>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pPr>
        <w:snapToGrid w:val="0"/>
        <w:spacing w:before="120" w:beforeLines="50" w:after="50"/>
        <w:jc w:val="center"/>
        <w:rPr>
          <w:rFonts w:ascii="仿宋" w:hAnsi="仿宋" w:eastAsia="仿宋"/>
          <w:b/>
          <w:sz w:val="30"/>
          <w:szCs w:val="30"/>
        </w:rPr>
      </w:pPr>
    </w:p>
    <w:p>
      <w:pPr>
        <w:snapToGrid w:val="0"/>
        <w:spacing w:before="120"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pPr>
        <w:snapToGrid w:val="0"/>
        <w:spacing w:before="120"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我（姓名）系（单一来源响应方名称）的法定代表人，现授权委托本单位在职职工 （姓名）为授权代表，以我方的名义参加项目编号：项目名称</w:t>
      </w:r>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pPr>
        <w:snapToGrid w:val="0"/>
        <w:spacing w:before="120" w:beforeLines="50" w:after="50" w:line="460" w:lineRule="exact"/>
        <w:ind w:firstLine="48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职务：</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传真：</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 xml:space="preserve">   职务：</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ind w:firstLine="6150" w:firstLineChars="205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单一来源响应方全称（公章）：         日  期：</w:t>
      </w:r>
    </w:p>
    <w:p>
      <w:pPr>
        <w:tabs>
          <w:tab w:val="left" w:pos="606"/>
        </w:tabs>
        <w:rPr>
          <w:rFonts w:ascii="仿宋" w:hAnsi="仿宋" w:eastAsia="仿宋"/>
          <w:sz w:val="30"/>
          <w:szCs w:val="30"/>
        </w:rPr>
      </w:pPr>
    </w:p>
    <w:p>
      <w:pPr>
        <w:snapToGrid w:val="0"/>
        <w:spacing w:before="120" w:beforeLines="50" w:after="50" w:line="460" w:lineRule="exact"/>
        <w:ind w:firstLine="6150" w:firstLineChars="2050"/>
        <w:rPr>
          <w:rFonts w:ascii="仿宋" w:hAnsi="仿宋" w:eastAsia="仿宋"/>
          <w:sz w:val="30"/>
          <w:szCs w:val="30"/>
        </w:rPr>
      </w:pPr>
    </w:p>
    <w:p>
      <w:pPr>
        <w:snapToGrid w:val="0"/>
        <w:spacing w:before="120" w:beforeLines="50" w:after="50" w:line="460" w:lineRule="exact"/>
        <w:ind w:firstLine="6150" w:firstLineChars="2050"/>
        <w:rPr>
          <w:rFonts w:ascii="仿宋" w:hAnsi="仿宋" w:eastAsia="仿宋"/>
          <w:sz w:val="30"/>
          <w:szCs w:val="30"/>
        </w:rPr>
      </w:pPr>
    </w:p>
    <w:p>
      <w:pPr>
        <w:snapToGrid w:val="0"/>
        <w:spacing w:before="120" w:beforeLines="50" w:after="50" w:line="460" w:lineRule="exact"/>
        <w:ind w:firstLine="6150" w:firstLineChars="2050"/>
        <w:rPr>
          <w:rFonts w:ascii="仿宋" w:hAnsi="仿宋" w:eastAsia="仿宋"/>
          <w:sz w:val="30"/>
          <w:szCs w:val="30"/>
        </w:rPr>
      </w:pPr>
    </w:p>
    <w:p>
      <w:pPr>
        <w:tabs>
          <w:tab w:val="left" w:pos="606"/>
        </w:tabs>
        <w:rPr>
          <w:rFonts w:ascii="宋体" w:hAnsi="宋体" w:cs="宋体"/>
          <w:spacing w:val="20"/>
          <w:sz w:val="30"/>
          <w:szCs w:val="30"/>
        </w:rPr>
      </w:pPr>
      <w:r>
        <w:rPr>
          <w:rFonts w:hint="eastAsia" w:ascii="宋体" w:hAnsi="宋体" w:cs="宋体"/>
          <w:sz w:val="30"/>
          <w:szCs w:val="30"/>
        </w:rPr>
        <w:t>附件3：</w:t>
      </w:r>
    </w:p>
    <w:p>
      <w:pPr>
        <w:pStyle w:val="11"/>
        <w:overflowPunct w:val="0"/>
        <w:spacing w:line="360" w:lineRule="auto"/>
        <w:ind w:firstLine="0"/>
        <w:jc w:val="center"/>
        <w:rPr>
          <w:rFonts w:ascii="宋体" w:hAnsi="宋体" w:cs="宋体"/>
          <w:b/>
          <w:spacing w:val="40"/>
          <w:kern w:val="0"/>
          <w:sz w:val="30"/>
          <w:szCs w:val="30"/>
        </w:rPr>
      </w:pPr>
      <w:r>
        <w:rPr>
          <w:rFonts w:hint="eastAsia" w:ascii="宋体" w:hAnsi="宋体" w:cs="宋体"/>
          <w:b/>
          <w:spacing w:val="40"/>
          <w:kern w:val="0"/>
          <w:sz w:val="30"/>
          <w:szCs w:val="30"/>
        </w:rPr>
        <w:t>联合响应协议书</w:t>
      </w:r>
    </w:p>
    <w:p>
      <w:pPr>
        <w:pStyle w:val="11"/>
        <w:overflowPunct w:val="0"/>
        <w:spacing w:line="460" w:lineRule="exact"/>
        <w:ind w:firstLine="642" w:firstLineChars="214"/>
        <w:rPr>
          <w:rFonts w:ascii="宋体" w:hAnsi="宋体" w:cs="宋体"/>
          <w:sz w:val="30"/>
          <w:szCs w:val="30"/>
        </w:rPr>
      </w:pPr>
      <w:r>
        <w:rPr>
          <w:rFonts w:hint="eastAsia" w:ascii="宋体" w:hAnsi="宋体" w:cs="宋体"/>
          <w:sz w:val="30"/>
          <w:szCs w:val="30"/>
        </w:rPr>
        <w:t>甲方：</w:t>
      </w:r>
    </w:p>
    <w:p>
      <w:pPr>
        <w:pStyle w:val="11"/>
        <w:overflowPunct w:val="0"/>
        <w:spacing w:line="460" w:lineRule="exact"/>
        <w:ind w:firstLine="642" w:firstLineChars="214"/>
        <w:rPr>
          <w:rFonts w:ascii="宋体" w:hAnsi="宋体" w:cs="宋体"/>
          <w:sz w:val="30"/>
          <w:szCs w:val="30"/>
        </w:rPr>
      </w:pPr>
      <w:r>
        <w:rPr>
          <w:rFonts w:hint="eastAsia" w:ascii="宋体" w:hAnsi="宋体" w:cs="宋体"/>
          <w:sz w:val="30"/>
          <w:szCs w:val="30"/>
        </w:rPr>
        <w:t>乙方：</w:t>
      </w:r>
    </w:p>
    <w:p>
      <w:pPr>
        <w:pStyle w:val="11"/>
        <w:overflowPunct w:val="0"/>
        <w:spacing w:line="460" w:lineRule="exact"/>
        <w:ind w:firstLine="642" w:firstLineChars="214"/>
        <w:rPr>
          <w:rFonts w:ascii="宋体" w:hAnsi="宋体" w:cs="宋体"/>
          <w:sz w:val="30"/>
          <w:szCs w:val="30"/>
        </w:rPr>
      </w:pPr>
      <w:r>
        <w:rPr>
          <w:rFonts w:hint="eastAsia" w:ascii="宋体" w:hAnsi="宋体" w:cs="宋体"/>
          <w:sz w:val="30"/>
          <w:szCs w:val="30"/>
        </w:rPr>
        <w:t>（如果有的话，可按甲、乙、丙、丁…序列增加）</w:t>
      </w:r>
    </w:p>
    <w:p>
      <w:pPr>
        <w:pStyle w:val="11"/>
        <w:overflowPunct w:val="0"/>
        <w:spacing w:line="460" w:lineRule="exact"/>
        <w:ind w:firstLine="642" w:firstLineChars="214"/>
        <w:rPr>
          <w:rFonts w:ascii="宋体" w:hAnsi="宋体" w:cs="宋体"/>
          <w:sz w:val="30"/>
          <w:szCs w:val="30"/>
        </w:rPr>
      </w:pPr>
      <w:r>
        <w:rPr>
          <w:rFonts w:hint="eastAsia" w:ascii="宋体" w:hAnsi="宋体" w:cs="宋体"/>
          <w:sz w:val="30"/>
          <w:szCs w:val="30"/>
        </w:rPr>
        <w:t>各方经协商，就响应             组织实施的编号为           号的采购活动联合进行采购之事宜，达成如下协议：</w:t>
      </w:r>
    </w:p>
    <w:p>
      <w:pPr>
        <w:pStyle w:val="11"/>
        <w:overflowPunct w:val="0"/>
        <w:spacing w:line="460" w:lineRule="exact"/>
        <w:ind w:firstLine="642" w:firstLineChars="214"/>
        <w:rPr>
          <w:rFonts w:ascii="宋体" w:hAnsi="宋体" w:cs="宋体"/>
          <w:sz w:val="30"/>
          <w:szCs w:val="30"/>
        </w:rPr>
      </w:pPr>
      <w:r>
        <w:rPr>
          <w:rFonts w:hint="eastAsia" w:ascii="宋体" w:hAnsi="宋体" w:cs="宋体"/>
          <w:sz w:val="30"/>
          <w:szCs w:val="30"/>
        </w:rPr>
        <w:t>一、各方一致决定，以           为主办人进行采购，并按照竞争性磋商文件的规定分别提交资格文件。</w:t>
      </w:r>
    </w:p>
    <w:p>
      <w:pPr>
        <w:pStyle w:val="11"/>
        <w:overflowPunct w:val="0"/>
        <w:spacing w:line="460" w:lineRule="exact"/>
        <w:ind w:firstLine="642" w:firstLineChars="214"/>
        <w:rPr>
          <w:rFonts w:ascii="宋体" w:hAnsi="宋体" w:cs="宋体"/>
          <w:sz w:val="30"/>
          <w:szCs w:val="30"/>
        </w:rPr>
      </w:pPr>
      <w:r>
        <w:rPr>
          <w:rFonts w:hint="eastAsia" w:ascii="宋体" w:hAnsi="宋体" w:cs="宋体"/>
          <w:sz w:val="30"/>
          <w:szCs w:val="30"/>
        </w:rPr>
        <w:t>二、在本次磋商过程中，主办人的法定代表人或授权代理人根据磋商文件规定及磋商内容而对磋商方和采购人所作的任何合法承诺，包括书面澄清及响应等均对联合响应各方产生约束力。如果成交并签订合同，则联合响应各方将共同履行对磋商方和采购人所负有的全部义务并就采购合同约定的事项对采购人承担连带责任。</w:t>
      </w:r>
    </w:p>
    <w:p>
      <w:pPr>
        <w:pStyle w:val="11"/>
        <w:overflowPunct w:val="0"/>
        <w:spacing w:line="460" w:lineRule="exact"/>
        <w:ind w:firstLine="642" w:firstLineChars="214"/>
        <w:rPr>
          <w:rFonts w:ascii="宋体" w:hAnsi="宋体" w:cs="宋体"/>
          <w:sz w:val="30"/>
          <w:szCs w:val="30"/>
        </w:rPr>
      </w:pPr>
      <w:r>
        <w:rPr>
          <w:rFonts w:hint="eastAsia" w:ascii="宋体" w:hAnsi="宋体" w:cs="宋体"/>
          <w:sz w:val="30"/>
          <w:szCs w:val="30"/>
        </w:rPr>
        <w:t>三、联合响应其余各方保证对主办人为响应本次采购而提供的产品和服务提供全部质量保证及售后服务支持。</w:t>
      </w:r>
    </w:p>
    <w:p>
      <w:pPr>
        <w:pStyle w:val="11"/>
        <w:overflowPunct w:val="0"/>
        <w:spacing w:line="460" w:lineRule="exact"/>
        <w:ind w:firstLine="642" w:firstLineChars="214"/>
        <w:rPr>
          <w:rFonts w:ascii="宋体" w:hAnsi="宋体" w:cs="宋体"/>
          <w:sz w:val="30"/>
          <w:szCs w:val="30"/>
        </w:rPr>
      </w:pPr>
      <w:r>
        <w:rPr>
          <w:rFonts w:hint="eastAsia" w:ascii="宋体" w:hAnsi="宋体" w:cs="宋体"/>
          <w:sz w:val="30"/>
          <w:szCs w:val="30"/>
        </w:rPr>
        <w:t>四、本次联合响应中，甲方承担的工作和义务为:</w:t>
      </w:r>
    </w:p>
    <w:p>
      <w:pPr>
        <w:pStyle w:val="11"/>
        <w:overflowPunct w:val="0"/>
        <w:spacing w:line="460" w:lineRule="exact"/>
        <w:ind w:firstLine="642" w:firstLineChars="214"/>
        <w:rPr>
          <w:rFonts w:ascii="宋体" w:hAnsi="宋体" w:cs="宋体"/>
          <w:sz w:val="30"/>
          <w:szCs w:val="30"/>
        </w:rPr>
      </w:pPr>
    </w:p>
    <w:p>
      <w:pPr>
        <w:pStyle w:val="11"/>
        <w:overflowPunct w:val="0"/>
        <w:spacing w:line="460" w:lineRule="exact"/>
        <w:ind w:firstLine="642" w:firstLineChars="214"/>
        <w:rPr>
          <w:rFonts w:ascii="宋体" w:hAnsi="宋体" w:cs="宋体"/>
          <w:sz w:val="30"/>
          <w:szCs w:val="30"/>
        </w:rPr>
      </w:pPr>
      <w:r>
        <w:rPr>
          <w:rFonts w:hint="eastAsia" w:ascii="宋体" w:hAnsi="宋体" w:cs="宋体"/>
          <w:sz w:val="30"/>
          <w:szCs w:val="30"/>
        </w:rPr>
        <w:t>乙方承担的工作和义务为：</w:t>
      </w:r>
    </w:p>
    <w:p>
      <w:pPr>
        <w:pStyle w:val="11"/>
        <w:overflowPunct w:val="0"/>
        <w:spacing w:line="460" w:lineRule="exact"/>
        <w:ind w:firstLine="642" w:firstLineChars="214"/>
        <w:rPr>
          <w:rFonts w:ascii="宋体" w:hAnsi="宋体" w:cs="宋体"/>
          <w:sz w:val="30"/>
          <w:szCs w:val="30"/>
        </w:rPr>
      </w:pPr>
    </w:p>
    <w:p>
      <w:pPr>
        <w:pStyle w:val="11"/>
        <w:overflowPunct w:val="0"/>
        <w:spacing w:line="460" w:lineRule="exact"/>
        <w:ind w:firstLine="642" w:firstLineChars="214"/>
        <w:rPr>
          <w:rFonts w:ascii="宋体" w:hAnsi="宋体" w:cs="宋体"/>
          <w:sz w:val="30"/>
          <w:szCs w:val="30"/>
        </w:rPr>
      </w:pPr>
      <w:r>
        <w:rPr>
          <w:rFonts w:hint="eastAsia" w:ascii="宋体" w:hAnsi="宋体" w:cs="宋体"/>
          <w:sz w:val="30"/>
          <w:szCs w:val="30"/>
        </w:rPr>
        <w:t>五、有关本次联合响应的其他事宜：</w:t>
      </w:r>
    </w:p>
    <w:p>
      <w:pPr>
        <w:pStyle w:val="11"/>
        <w:overflowPunct w:val="0"/>
        <w:spacing w:line="460" w:lineRule="exact"/>
        <w:ind w:firstLine="642" w:firstLineChars="214"/>
        <w:rPr>
          <w:rFonts w:ascii="宋体" w:hAnsi="宋体" w:cs="宋体"/>
          <w:sz w:val="30"/>
          <w:szCs w:val="30"/>
        </w:rPr>
      </w:pPr>
      <w:r>
        <w:rPr>
          <w:rFonts w:hint="eastAsia" w:ascii="宋体" w:hAnsi="宋体" w:cs="宋体"/>
          <w:sz w:val="30"/>
          <w:szCs w:val="30"/>
        </w:rPr>
        <w:t>六、本协议提交磋商方后，联合响应各方不得以任何形式对上述实质内容进行修改或撤销。</w:t>
      </w:r>
    </w:p>
    <w:p>
      <w:pPr>
        <w:pStyle w:val="11"/>
        <w:overflowPunct w:val="0"/>
        <w:spacing w:line="460" w:lineRule="exact"/>
        <w:ind w:firstLine="642" w:firstLineChars="214"/>
        <w:rPr>
          <w:rFonts w:ascii="宋体" w:hAnsi="宋体" w:cs="宋体"/>
          <w:sz w:val="30"/>
          <w:szCs w:val="30"/>
        </w:rPr>
      </w:pPr>
      <w:r>
        <w:rPr>
          <w:rFonts w:hint="eastAsia" w:ascii="宋体" w:hAnsi="宋体" w:cs="宋体"/>
          <w:sz w:val="30"/>
          <w:szCs w:val="30"/>
        </w:rPr>
        <w:t>七、本协议签约各方各持一份，并作为竞争磋商文件的一部分。</w:t>
      </w:r>
    </w:p>
    <w:tbl>
      <w:tblPr>
        <w:tblStyle w:val="43"/>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11"/>
              <w:overflowPunct w:val="0"/>
              <w:spacing w:line="460" w:lineRule="exact"/>
              <w:ind w:firstLine="0"/>
              <w:rPr>
                <w:rFonts w:ascii="宋体" w:hAnsi="宋体" w:cs="宋体"/>
                <w:sz w:val="30"/>
                <w:szCs w:val="30"/>
              </w:rPr>
            </w:pPr>
            <w:r>
              <w:rPr>
                <w:rFonts w:hint="eastAsia" w:ascii="宋体" w:hAnsi="宋体" w:cs="宋体"/>
                <w:sz w:val="30"/>
                <w:szCs w:val="30"/>
              </w:rPr>
              <w:t>甲方单位：       （公章）</w:t>
            </w:r>
          </w:p>
          <w:p>
            <w:pPr>
              <w:pStyle w:val="11"/>
              <w:overflowPunct w:val="0"/>
              <w:spacing w:line="460" w:lineRule="exact"/>
              <w:ind w:firstLine="0"/>
              <w:rPr>
                <w:rFonts w:ascii="宋体" w:hAnsi="宋体" w:cs="宋体"/>
                <w:sz w:val="30"/>
                <w:szCs w:val="30"/>
              </w:rPr>
            </w:pPr>
            <w:r>
              <w:rPr>
                <w:rFonts w:hint="eastAsia" w:ascii="宋体" w:hAnsi="宋体" w:cs="宋体"/>
                <w:sz w:val="30"/>
                <w:szCs w:val="30"/>
              </w:rPr>
              <w:t>法定代表人：     （签章）</w:t>
            </w:r>
          </w:p>
          <w:p>
            <w:pPr>
              <w:pStyle w:val="11"/>
              <w:overflowPunct w:val="0"/>
              <w:spacing w:line="460" w:lineRule="exact"/>
              <w:ind w:firstLine="0"/>
              <w:rPr>
                <w:rFonts w:ascii="宋体" w:hAnsi="宋体" w:cs="宋体"/>
                <w:sz w:val="30"/>
                <w:szCs w:val="30"/>
              </w:rPr>
            </w:pPr>
            <w:r>
              <w:rPr>
                <w:rFonts w:hint="eastAsia" w:ascii="宋体" w:hAnsi="宋体" w:cs="宋体"/>
                <w:sz w:val="30"/>
                <w:szCs w:val="30"/>
              </w:rPr>
              <w:t>日  期：  年  月   日</w:t>
            </w:r>
          </w:p>
        </w:tc>
        <w:tc>
          <w:tcPr>
            <w:tcW w:w="4264" w:type="dxa"/>
          </w:tcPr>
          <w:p>
            <w:pPr>
              <w:pStyle w:val="11"/>
              <w:overflowPunct w:val="0"/>
              <w:spacing w:line="460" w:lineRule="exact"/>
              <w:ind w:firstLine="0"/>
              <w:rPr>
                <w:rFonts w:ascii="宋体" w:hAnsi="宋体" w:cs="宋体"/>
                <w:sz w:val="30"/>
                <w:szCs w:val="30"/>
              </w:rPr>
            </w:pPr>
            <w:r>
              <w:rPr>
                <w:rFonts w:hint="eastAsia" w:ascii="宋体" w:hAnsi="宋体" w:cs="宋体"/>
                <w:sz w:val="30"/>
                <w:szCs w:val="30"/>
              </w:rPr>
              <w:t>乙方单位：       （公章）</w:t>
            </w:r>
          </w:p>
          <w:p>
            <w:pPr>
              <w:pStyle w:val="11"/>
              <w:overflowPunct w:val="0"/>
              <w:spacing w:line="460" w:lineRule="exact"/>
              <w:ind w:firstLine="0"/>
              <w:rPr>
                <w:rFonts w:ascii="宋体" w:hAnsi="宋体" w:cs="宋体"/>
                <w:sz w:val="30"/>
                <w:szCs w:val="30"/>
              </w:rPr>
            </w:pPr>
            <w:r>
              <w:rPr>
                <w:rFonts w:hint="eastAsia" w:ascii="宋体" w:hAnsi="宋体" w:cs="宋体"/>
                <w:sz w:val="30"/>
                <w:szCs w:val="30"/>
              </w:rPr>
              <w:t>法定代表人：     （签章）</w:t>
            </w:r>
          </w:p>
          <w:p>
            <w:pPr>
              <w:pStyle w:val="11"/>
              <w:overflowPunct w:val="0"/>
              <w:spacing w:line="460" w:lineRule="exact"/>
              <w:ind w:firstLine="0"/>
              <w:rPr>
                <w:rFonts w:ascii="宋体" w:hAnsi="宋体" w:cs="宋体"/>
                <w:sz w:val="30"/>
                <w:szCs w:val="30"/>
              </w:rPr>
            </w:pPr>
            <w:r>
              <w:rPr>
                <w:rFonts w:hint="eastAsia" w:ascii="宋体" w:hAnsi="宋体" w:cs="宋体"/>
                <w:sz w:val="30"/>
                <w:szCs w:val="30"/>
              </w:rPr>
              <w:t>日  期：  年  月   日</w:t>
            </w:r>
          </w:p>
        </w:tc>
      </w:tr>
    </w:tbl>
    <w:p>
      <w:pPr>
        <w:pStyle w:val="11"/>
        <w:overflowPunct w:val="0"/>
        <w:spacing w:line="460" w:lineRule="exact"/>
        <w:ind w:firstLine="0"/>
        <w:rPr>
          <w:rFonts w:ascii="宋体" w:hAnsi="宋体" w:cs="宋体"/>
          <w:sz w:val="30"/>
          <w:szCs w:val="30"/>
        </w:rPr>
      </w:pPr>
      <w:r>
        <w:rPr>
          <w:rFonts w:hint="eastAsia" w:ascii="宋体" w:hAnsi="宋体" w:cs="宋体"/>
          <w:kern w:val="0"/>
          <w:sz w:val="30"/>
          <w:szCs w:val="30"/>
        </w:rPr>
        <w:br w:type="page"/>
      </w:r>
      <w:r>
        <w:rPr>
          <w:rFonts w:hint="eastAsia" w:ascii="宋体" w:hAnsi="宋体" w:cs="宋体"/>
          <w:sz w:val="30"/>
          <w:szCs w:val="30"/>
        </w:rPr>
        <w:t>附件4：</w:t>
      </w:r>
    </w:p>
    <w:p>
      <w:pPr>
        <w:pStyle w:val="11"/>
        <w:overflowPunct w:val="0"/>
        <w:spacing w:line="460" w:lineRule="exact"/>
        <w:jc w:val="center"/>
        <w:rPr>
          <w:rFonts w:ascii="宋体" w:hAnsi="宋体" w:cs="宋体"/>
          <w:b/>
          <w:sz w:val="30"/>
          <w:szCs w:val="30"/>
        </w:rPr>
      </w:pPr>
      <w:r>
        <w:rPr>
          <w:rFonts w:hint="eastAsia" w:ascii="宋体" w:hAnsi="宋体" w:cs="宋体"/>
          <w:b/>
          <w:sz w:val="30"/>
          <w:szCs w:val="30"/>
        </w:rPr>
        <w:t>联合响应授权委托书</w:t>
      </w:r>
    </w:p>
    <w:p>
      <w:pPr>
        <w:pStyle w:val="11"/>
        <w:overflowPunct w:val="0"/>
        <w:spacing w:line="460" w:lineRule="exact"/>
        <w:rPr>
          <w:rFonts w:ascii="宋体" w:hAnsi="宋体" w:cs="宋体"/>
          <w:sz w:val="30"/>
          <w:szCs w:val="30"/>
        </w:rPr>
      </w:pPr>
    </w:p>
    <w:p>
      <w:pPr>
        <w:pStyle w:val="11"/>
        <w:overflowPunct w:val="0"/>
        <w:spacing w:line="460" w:lineRule="exact"/>
        <w:rPr>
          <w:rFonts w:ascii="宋体" w:hAnsi="宋体" w:cs="宋体"/>
          <w:sz w:val="30"/>
          <w:szCs w:val="30"/>
        </w:rPr>
      </w:pPr>
      <w:r>
        <w:rPr>
          <w:rFonts w:hint="eastAsia" w:ascii="宋体" w:hAnsi="宋体" w:cs="宋体"/>
          <w:sz w:val="30"/>
          <w:szCs w:val="30"/>
        </w:rPr>
        <w:t xml:space="preserve"> 本授权委托书声明：根据               与         签订的《联合响应协议书》的内容，主办人                 的法定代表人        现授权       为联合响应代理人，代理人在响应、开标、磋商、合同谈判过程中所签署的一切文件和处理与这有关的一切事务， 联合响应各方均予以认可并遵守。</w:t>
      </w:r>
    </w:p>
    <w:p>
      <w:pPr>
        <w:pStyle w:val="11"/>
        <w:overflowPunct w:val="0"/>
        <w:spacing w:line="460" w:lineRule="exact"/>
        <w:rPr>
          <w:rFonts w:ascii="宋体" w:hAnsi="宋体" w:cs="宋体"/>
          <w:sz w:val="30"/>
          <w:szCs w:val="30"/>
        </w:rPr>
      </w:pPr>
      <w:r>
        <w:rPr>
          <w:rFonts w:hint="eastAsia" w:ascii="宋体" w:hAnsi="宋体" w:cs="宋体"/>
          <w:sz w:val="30"/>
          <w:szCs w:val="30"/>
        </w:rPr>
        <w:t xml:space="preserve"> 特此委托。</w:t>
      </w:r>
    </w:p>
    <w:p>
      <w:pPr>
        <w:pStyle w:val="11"/>
        <w:overflowPunct w:val="0"/>
        <w:spacing w:line="460" w:lineRule="exact"/>
        <w:rPr>
          <w:rFonts w:ascii="宋体" w:hAnsi="宋体" w:cs="宋体"/>
          <w:sz w:val="30"/>
          <w:szCs w:val="30"/>
        </w:rPr>
      </w:pPr>
      <w:r>
        <w:rPr>
          <w:rFonts w:hint="eastAsia" w:ascii="宋体" w:hAnsi="宋体" w:cs="宋体"/>
          <w:sz w:val="30"/>
          <w:szCs w:val="30"/>
        </w:rPr>
        <w:t xml:space="preserve">     </w:t>
      </w:r>
    </w:p>
    <w:p>
      <w:pPr>
        <w:pStyle w:val="11"/>
        <w:overflowPunct w:val="0"/>
        <w:spacing w:line="460" w:lineRule="exact"/>
        <w:ind w:firstLine="600" w:firstLineChars="200"/>
        <w:rPr>
          <w:rFonts w:ascii="宋体" w:hAnsi="宋体" w:cs="宋体"/>
          <w:sz w:val="30"/>
          <w:szCs w:val="30"/>
        </w:rPr>
      </w:pPr>
      <w:r>
        <w:rPr>
          <w:rFonts w:hint="eastAsia" w:ascii="宋体" w:hAnsi="宋体" w:cs="宋体"/>
          <w:sz w:val="30"/>
          <w:szCs w:val="30"/>
        </w:rPr>
        <w:t>授权人（签名）：</w:t>
      </w:r>
    </w:p>
    <w:p>
      <w:pPr>
        <w:pStyle w:val="11"/>
        <w:overflowPunct w:val="0"/>
        <w:spacing w:line="460" w:lineRule="exact"/>
        <w:ind w:firstLine="600" w:firstLineChars="200"/>
        <w:rPr>
          <w:rFonts w:ascii="宋体" w:hAnsi="宋体" w:cs="宋体"/>
          <w:sz w:val="30"/>
          <w:szCs w:val="30"/>
        </w:rPr>
      </w:pPr>
    </w:p>
    <w:p>
      <w:pPr>
        <w:pStyle w:val="11"/>
        <w:overflowPunct w:val="0"/>
        <w:spacing w:line="460" w:lineRule="exact"/>
        <w:ind w:left="420" w:leftChars="200" w:firstLine="150" w:firstLineChars="50"/>
        <w:rPr>
          <w:rFonts w:ascii="宋体" w:hAnsi="宋体" w:cs="宋体"/>
          <w:sz w:val="30"/>
          <w:szCs w:val="30"/>
        </w:rPr>
      </w:pPr>
      <w:r>
        <w:rPr>
          <w:rFonts w:hint="eastAsia" w:ascii="宋体" w:hAnsi="宋体" w:cs="宋体"/>
          <w:sz w:val="30"/>
          <w:szCs w:val="30"/>
        </w:rPr>
        <w:t>日期：    年  月  日</w:t>
      </w:r>
    </w:p>
    <w:p>
      <w:pPr>
        <w:pStyle w:val="11"/>
        <w:overflowPunct w:val="0"/>
        <w:spacing w:line="460" w:lineRule="exact"/>
        <w:rPr>
          <w:rFonts w:ascii="宋体" w:hAnsi="宋体" w:cs="宋体"/>
          <w:sz w:val="30"/>
          <w:szCs w:val="30"/>
        </w:rPr>
      </w:pPr>
    </w:p>
    <w:p>
      <w:pPr>
        <w:pStyle w:val="11"/>
        <w:overflowPunct w:val="0"/>
        <w:spacing w:line="460" w:lineRule="exact"/>
        <w:ind w:firstLine="570" w:firstLineChars="190"/>
        <w:rPr>
          <w:rFonts w:ascii="宋体" w:hAnsi="宋体" w:cs="宋体"/>
          <w:sz w:val="30"/>
          <w:szCs w:val="30"/>
        </w:rPr>
      </w:pPr>
      <w:r>
        <w:rPr>
          <w:rFonts w:hint="eastAsia" w:ascii="宋体" w:hAnsi="宋体" w:cs="宋体"/>
          <w:sz w:val="30"/>
          <w:szCs w:val="30"/>
        </w:rPr>
        <w:t>授权代表（签名）；</w:t>
      </w:r>
    </w:p>
    <w:p>
      <w:pPr>
        <w:pStyle w:val="11"/>
        <w:overflowPunct w:val="0"/>
        <w:spacing w:line="460" w:lineRule="exact"/>
        <w:ind w:firstLine="570" w:firstLineChars="190"/>
        <w:rPr>
          <w:rFonts w:ascii="宋体" w:hAnsi="宋体" w:cs="宋体"/>
          <w:sz w:val="30"/>
          <w:szCs w:val="30"/>
        </w:rPr>
      </w:pPr>
    </w:p>
    <w:p>
      <w:pPr>
        <w:pStyle w:val="11"/>
        <w:overflowPunct w:val="0"/>
        <w:spacing w:line="460" w:lineRule="exact"/>
        <w:ind w:firstLine="570" w:firstLineChars="190"/>
        <w:rPr>
          <w:rFonts w:ascii="宋体" w:hAnsi="宋体" w:cs="宋体"/>
          <w:sz w:val="30"/>
          <w:szCs w:val="30"/>
        </w:rPr>
      </w:pPr>
      <w:r>
        <w:rPr>
          <w:rFonts w:hint="eastAsia" w:ascii="宋体" w:hAnsi="宋体" w:cs="宋体"/>
          <w:sz w:val="30"/>
          <w:szCs w:val="30"/>
        </w:rPr>
        <w:t>日期：    年  月  日</w:t>
      </w:r>
    </w:p>
    <w:p>
      <w:pPr>
        <w:tabs>
          <w:tab w:val="left" w:pos="606"/>
        </w:tabs>
        <w:spacing w:line="460" w:lineRule="exact"/>
        <w:rPr>
          <w:rFonts w:ascii="宋体" w:hAnsi="宋体" w:cs="宋体"/>
          <w:spacing w:val="20"/>
          <w:sz w:val="30"/>
          <w:szCs w:val="30"/>
        </w:rPr>
      </w:pPr>
    </w:p>
    <w:p>
      <w:pPr>
        <w:tabs>
          <w:tab w:val="left" w:pos="606"/>
        </w:tabs>
        <w:spacing w:line="460" w:lineRule="exact"/>
        <w:rPr>
          <w:rFonts w:ascii="宋体" w:hAnsi="宋体" w:cs="宋体"/>
          <w:spacing w:val="20"/>
          <w:sz w:val="30"/>
          <w:szCs w:val="30"/>
        </w:rPr>
      </w:pPr>
    </w:p>
    <w:tbl>
      <w:tblPr>
        <w:tblStyle w:val="43"/>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11"/>
              <w:overflowPunct w:val="0"/>
              <w:spacing w:line="460" w:lineRule="exact"/>
              <w:ind w:firstLine="0"/>
              <w:rPr>
                <w:rFonts w:ascii="宋体" w:hAnsi="宋体" w:cs="宋体"/>
                <w:sz w:val="30"/>
                <w:szCs w:val="30"/>
              </w:rPr>
            </w:pPr>
          </w:p>
          <w:p>
            <w:pPr>
              <w:pStyle w:val="11"/>
              <w:overflowPunct w:val="0"/>
              <w:spacing w:line="460" w:lineRule="exact"/>
              <w:ind w:firstLine="0"/>
              <w:rPr>
                <w:rFonts w:ascii="宋体" w:hAnsi="宋体" w:cs="宋体"/>
                <w:sz w:val="30"/>
                <w:szCs w:val="30"/>
              </w:rPr>
            </w:pPr>
          </w:p>
          <w:p>
            <w:pPr>
              <w:pStyle w:val="11"/>
              <w:overflowPunct w:val="0"/>
              <w:spacing w:line="460" w:lineRule="exact"/>
              <w:ind w:firstLine="0"/>
              <w:rPr>
                <w:rFonts w:ascii="宋体" w:hAnsi="宋体" w:cs="宋体"/>
                <w:sz w:val="30"/>
                <w:szCs w:val="30"/>
              </w:rPr>
            </w:pPr>
            <w:r>
              <w:rPr>
                <w:rFonts w:hint="eastAsia" w:ascii="宋体" w:hAnsi="宋体" w:cs="宋体"/>
                <w:sz w:val="30"/>
                <w:szCs w:val="30"/>
              </w:rPr>
              <w:t>联合体甲方单位：   （公章）</w:t>
            </w:r>
          </w:p>
          <w:p>
            <w:pPr>
              <w:pStyle w:val="11"/>
              <w:overflowPunct w:val="0"/>
              <w:spacing w:line="460" w:lineRule="exact"/>
              <w:ind w:firstLine="0"/>
              <w:rPr>
                <w:rFonts w:ascii="宋体" w:hAnsi="宋体" w:cs="宋体"/>
                <w:sz w:val="30"/>
                <w:szCs w:val="30"/>
              </w:rPr>
            </w:pPr>
          </w:p>
          <w:p>
            <w:pPr>
              <w:pStyle w:val="11"/>
              <w:overflowPunct w:val="0"/>
              <w:spacing w:line="460" w:lineRule="exact"/>
              <w:ind w:firstLine="0"/>
              <w:rPr>
                <w:rFonts w:ascii="宋体" w:hAnsi="宋体" w:cs="宋体"/>
                <w:sz w:val="30"/>
                <w:szCs w:val="30"/>
              </w:rPr>
            </w:pPr>
          </w:p>
          <w:p>
            <w:pPr>
              <w:pStyle w:val="11"/>
              <w:overflowPunct w:val="0"/>
              <w:spacing w:line="460" w:lineRule="exact"/>
              <w:ind w:firstLine="0"/>
              <w:rPr>
                <w:rFonts w:ascii="宋体" w:hAnsi="宋体" w:cs="宋体"/>
                <w:sz w:val="30"/>
                <w:szCs w:val="30"/>
              </w:rPr>
            </w:pPr>
            <w:r>
              <w:rPr>
                <w:rFonts w:hint="eastAsia" w:ascii="宋体" w:hAnsi="宋体" w:cs="宋体"/>
                <w:sz w:val="30"/>
                <w:szCs w:val="30"/>
              </w:rPr>
              <w:t>法定代表人：     （签章）</w:t>
            </w:r>
          </w:p>
          <w:p>
            <w:pPr>
              <w:pStyle w:val="11"/>
              <w:overflowPunct w:val="0"/>
              <w:spacing w:line="460" w:lineRule="exact"/>
              <w:ind w:firstLine="0"/>
              <w:rPr>
                <w:rFonts w:ascii="宋体" w:hAnsi="宋体" w:cs="宋体"/>
                <w:sz w:val="30"/>
                <w:szCs w:val="30"/>
              </w:rPr>
            </w:pPr>
          </w:p>
          <w:p>
            <w:pPr>
              <w:pStyle w:val="11"/>
              <w:overflowPunct w:val="0"/>
              <w:spacing w:line="460" w:lineRule="exact"/>
              <w:ind w:firstLine="0"/>
              <w:rPr>
                <w:rFonts w:ascii="宋体" w:hAnsi="宋体" w:cs="宋体"/>
                <w:sz w:val="30"/>
                <w:szCs w:val="30"/>
              </w:rPr>
            </w:pPr>
          </w:p>
          <w:p>
            <w:pPr>
              <w:pStyle w:val="11"/>
              <w:overflowPunct w:val="0"/>
              <w:spacing w:line="460" w:lineRule="exact"/>
              <w:ind w:firstLine="0"/>
              <w:rPr>
                <w:rFonts w:ascii="宋体" w:hAnsi="宋体" w:cs="宋体"/>
                <w:sz w:val="30"/>
                <w:szCs w:val="30"/>
              </w:rPr>
            </w:pPr>
            <w:r>
              <w:rPr>
                <w:rFonts w:hint="eastAsia" w:ascii="宋体" w:hAnsi="宋体" w:cs="宋体"/>
                <w:sz w:val="30"/>
                <w:szCs w:val="30"/>
              </w:rPr>
              <w:t>日  期：  年  月   日</w:t>
            </w:r>
          </w:p>
        </w:tc>
        <w:tc>
          <w:tcPr>
            <w:tcW w:w="4264" w:type="dxa"/>
          </w:tcPr>
          <w:p>
            <w:pPr>
              <w:pStyle w:val="11"/>
              <w:overflowPunct w:val="0"/>
              <w:spacing w:line="460" w:lineRule="exact"/>
              <w:ind w:firstLine="0"/>
              <w:rPr>
                <w:rFonts w:ascii="宋体" w:hAnsi="宋体" w:cs="宋体"/>
                <w:sz w:val="30"/>
                <w:szCs w:val="30"/>
              </w:rPr>
            </w:pPr>
          </w:p>
          <w:p>
            <w:pPr>
              <w:pStyle w:val="11"/>
              <w:overflowPunct w:val="0"/>
              <w:spacing w:line="460" w:lineRule="exact"/>
              <w:ind w:firstLine="0"/>
              <w:rPr>
                <w:rFonts w:ascii="宋体" w:hAnsi="宋体" w:cs="宋体"/>
                <w:sz w:val="30"/>
                <w:szCs w:val="30"/>
              </w:rPr>
            </w:pPr>
          </w:p>
          <w:p>
            <w:pPr>
              <w:pStyle w:val="11"/>
              <w:overflowPunct w:val="0"/>
              <w:spacing w:line="460" w:lineRule="exact"/>
              <w:ind w:firstLine="0"/>
              <w:rPr>
                <w:rFonts w:ascii="宋体" w:hAnsi="宋体" w:cs="宋体"/>
                <w:sz w:val="30"/>
                <w:szCs w:val="30"/>
              </w:rPr>
            </w:pPr>
            <w:r>
              <w:rPr>
                <w:rFonts w:hint="eastAsia" w:ascii="宋体" w:hAnsi="宋体" w:cs="宋体"/>
                <w:sz w:val="30"/>
                <w:szCs w:val="30"/>
              </w:rPr>
              <w:t>联合体乙方单位：   （公章）</w:t>
            </w:r>
          </w:p>
          <w:p>
            <w:pPr>
              <w:pStyle w:val="11"/>
              <w:overflowPunct w:val="0"/>
              <w:spacing w:line="460" w:lineRule="exact"/>
              <w:ind w:firstLine="0"/>
              <w:rPr>
                <w:rFonts w:ascii="宋体" w:hAnsi="宋体" w:cs="宋体"/>
                <w:sz w:val="30"/>
                <w:szCs w:val="30"/>
              </w:rPr>
            </w:pPr>
          </w:p>
          <w:p>
            <w:pPr>
              <w:pStyle w:val="11"/>
              <w:overflowPunct w:val="0"/>
              <w:spacing w:line="460" w:lineRule="exact"/>
              <w:ind w:firstLine="0"/>
              <w:rPr>
                <w:rFonts w:ascii="宋体" w:hAnsi="宋体" w:cs="宋体"/>
                <w:sz w:val="30"/>
                <w:szCs w:val="30"/>
              </w:rPr>
            </w:pPr>
          </w:p>
          <w:p>
            <w:pPr>
              <w:pStyle w:val="11"/>
              <w:overflowPunct w:val="0"/>
              <w:spacing w:line="460" w:lineRule="exact"/>
              <w:ind w:firstLine="0"/>
              <w:rPr>
                <w:rFonts w:ascii="宋体" w:hAnsi="宋体" w:cs="宋体"/>
                <w:sz w:val="30"/>
                <w:szCs w:val="30"/>
              </w:rPr>
            </w:pPr>
            <w:r>
              <w:rPr>
                <w:rFonts w:hint="eastAsia" w:ascii="宋体" w:hAnsi="宋体" w:cs="宋体"/>
                <w:sz w:val="30"/>
                <w:szCs w:val="30"/>
              </w:rPr>
              <w:t>法定代表人：     （签章）</w:t>
            </w:r>
          </w:p>
          <w:p>
            <w:pPr>
              <w:pStyle w:val="11"/>
              <w:overflowPunct w:val="0"/>
              <w:spacing w:line="460" w:lineRule="exact"/>
              <w:ind w:firstLine="0"/>
              <w:rPr>
                <w:rFonts w:ascii="宋体" w:hAnsi="宋体" w:cs="宋体"/>
                <w:sz w:val="30"/>
                <w:szCs w:val="30"/>
              </w:rPr>
            </w:pPr>
          </w:p>
          <w:p>
            <w:pPr>
              <w:pStyle w:val="11"/>
              <w:overflowPunct w:val="0"/>
              <w:spacing w:line="460" w:lineRule="exact"/>
              <w:ind w:firstLine="0"/>
              <w:rPr>
                <w:rFonts w:ascii="宋体" w:hAnsi="宋体" w:cs="宋体"/>
                <w:sz w:val="30"/>
                <w:szCs w:val="30"/>
              </w:rPr>
            </w:pPr>
          </w:p>
          <w:p>
            <w:pPr>
              <w:pStyle w:val="11"/>
              <w:overflowPunct w:val="0"/>
              <w:spacing w:line="460" w:lineRule="exact"/>
              <w:ind w:firstLine="0"/>
              <w:rPr>
                <w:rFonts w:ascii="宋体" w:hAnsi="宋体" w:cs="宋体"/>
                <w:sz w:val="30"/>
                <w:szCs w:val="30"/>
              </w:rPr>
            </w:pPr>
            <w:r>
              <w:rPr>
                <w:rFonts w:hint="eastAsia" w:ascii="宋体" w:hAnsi="宋体" w:cs="宋体"/>
                <w:sz w:val="30"/>
                <w:szCs w:val="30"/>
              </w:rPr>
              <w:t>日  期：  年  月   日</w:t>
            </w:r>
          </w:p>
        </w:tc>
      </w:tr>
    </w:tbl>
    <w:p>
      <w:pPr>
        <w:snapToGrid w:val="0"/>
        <w:spacing w:before="120" w:beforeLines="50" w:after="50" w:line="460" w:lineRule="exact"/>
        <w:ind w:firstLine="6150" w:firstLineChars="2050"/>
        <w:rPr>
          <w:rFonts w:ascii="仿宋" w:hAnsi="仿宋" w:eastAsia="仿宋"/>
          <w:sz w:val="30"/>
          <w:szCs w:val="30"/>
        </w:rPr>
      </w:pPr>
      <w:r>
        <w:rPr>
          <w:rFonts w:hAnsi="宋体" w:cs="宋体"/>
          <w:kern w:val="0"/>
          <w:sz w:val="30"/>
          <w:szCs w:val="30"/>
        </w:rPr>
        <w:br w:type="page"/>
      </w:r>
    </w:p>
    <w:p>
      <w:pPr>
        <w:snapToGrid w:val="0"/>
        <w:spacing w:line="460" w:lineRule="exact"/>
        <w:rPr>
          <w:rFonts w:ascii="仿宋" w:hAnsi="仿宋" w:eastAsia="仿宋"/>
          <w:sz w:val="30"/>
          <w:szCs w:val="30"/>
          <w:u w:val="single"/>
        </w:rPr>
      </w:pPr>
    </w:p>
    <w:p>
      <w:pPr>
        <w:snapToGrid w:val="0"/>
        <w:spacing w:before="50" w:after="50"/>
        <w:rPr>
          <w:rFonts w:ascii="仿宋" w:hAnsi="仿宋" w:eastAsia="仿宋"/>
          <w:sz w:val="30"/>
          <w:szCs w:val="30"/>
        </w:rPr>
      </w:pPr>
      <w:r>
        <w:rPr>
          <w:rFonts w:hint="eastAsia" w:ascii="仿宋" w:hAnsi="仿宋" w:eastAsia="仿宋"/>
          <w:sz w:val="30"/>
          <w:szCs w:val="30"/>
        </w:rPr>
        <w:t>附件5：</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pPr>
        <w:snapToGrid w:val="0"/>
        <w:spacing w:before="50" w:after="120" w:afterLines="50"/>
        <w:rPr>
          <w:rFonts w:ascii="仿宋" w:hAnsi="仿宋" w:eastAsia="仿宋"/>
          <w:b/>
          <w:sz w:val="32"/>
          <w:szCs w:val="32"/>
        </w:rPr>
      </w:pPr>
    </w:p>
    <w:p>
      <w:pPr>
        <w:pStyle w:val="12"/>
        <w:snapToGrid w:val="0"/>
        <w:ind w:left="1020" w:hanging="600"/>
        <w:rPr>
          <w:rFonts w:ascii="仿宋" w:hAnsi="仿宋" w:eastAsia="仿宋"/>
          <w:sz w:val="30"/>
          <w:szCs w:val="30"/>
          <w:u w:val="single"/>
        </w:rPr>
      </w:pPr>
      <w:r>
        <w:rPr>
          <w:rFonts w:hint="eastAsia" w:ascii="仿宋" w:hAnsi="仿宋" w:eastAsia="仿宋"/>
          <w:sz w:val="30"/>
          <w:szCs w:val="30"/>
        </w:rPr>
        <w:t>单一来源响应方全称（公章）：            标项：</w:t>
      </w:r>
    </w:p>
    <w:tbl>
      <w:tblPr>
        <w:tblStyle w:val="43"/>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采购文件要求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kern w:val="0"/>
                <w:sz w:val="30"/>
                <w:szCs w:val="30"/>
              </w:rPr>
            </w:pPr>
            <w:r>
              <w:rPr>
                <w:rFonts w:hint="eastAsia" w:ascii="仿宋" w:hAnsi="仿宋" w:eastAsia="仿宋"/>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2"/>
              <w:snapToGrid w:val="0"/>
              <w:spacing w:before="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22"/>
              <w:snapToGrid w:val="0"/>
              <w:spacing w:before="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22"/>
              <w:snapToGrid w:val="0"/>
              <w:spacing w:before="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2"/>
              <w:snapToGrid w:val="0"/>
              <w:spacing w:before="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22"/>
              <w:snapToGrid w:val="0"/>
              <w:spacing w:before="120" w:line="240" w:lineRule="auto"/>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22"/>
              <w:snapToGrid w:val="0"/>
              <w:spacing w:before="120" w:line="240" w:lineRule="auto"/>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2"/>
              <w:snapToGrid w:val="0"/>
              <w:spacing w:before="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22"/>
              <w:snapToGrid w:val="0"/>
              <w:spacing w:before="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22"/>
              <w:snapToGrid w:val="0"/>
              <w:spacing w:before="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2"/>
              <w:snapToGrid w:val="0"/>
              <w:spacing w:before="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22"/>
              <w:snapToGrid w:val="0"/>
              <w:spacing w:before="120" w:line="240" w:lineRule="auto"/>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pPr>
              <w:pStyle w:val="22"/>
              <w:snapToGrid w:val="0"/>
              <w:spacing w:before="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2"/>
              <w:snapToGrid w:val="0"/>
              <w:spacing w:before="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22"/>
              <w:snapToGrid w:val="0"/>
              <w:spacing w:before="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22"/>
              <w:snapToGrid w:val="0"/>
              <w:spacing w:before="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2"/>
              <w:snapToGrid w:val="0"/>
              <w:spacing w:before="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22"/>
              <w:snapToGrid w:val="0"/>
              <w:spacing w:before="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22"/>
              <w:snapToGrid w:val="0"/>
              <w:spacing w:before="120" w:line="240" w:lineRule="auto"/>
              <w:outlineLvl w:val="0"/>
              <w:rPr>
                <w:rFonts w:ascii="仿宋" w:hAnsi="仿宋" w:eastAsia="仿宋"/>
                <w:sz w:val="30"/>
                <w:szCs w:val="30"/>
              </w:rPr>
            </w:pPr>
          </w:p>
        </w:tc>
      </w:tr>
    </w:tbl>
    <w:p>
      <w:pPr>
        <w:pStyle w:val="15"/>
        <w:rPr>
          <w:rFonts w:ascii="仿宋" w:hAnsi="仿宋" w:eastAsia="仿宋"/>
          <w:spacing w:val="20"/>
          <w:kern w:val="0"/>
          <w:sz w:val="30"/>
          <w:szCs w:val="30"/>
        </w:rPr>
      </w:pPr>
      <w:r>
        <w:rPr>
          <w:rFonts w:hint="eastAsia" w:ascii="仿宋" w:hAnsi="仿宋" w:eastAsia="仿宋"/>
          <w:sz w:val="30"/>
          <w:szCs w:val="30"/>
        </w:rPr>
        <w:t>注：响应方应根据投标设备的性能指标、对照采购文件要求在“偏离情况”栏注明“正偏离”、“负偏离”或“无偏离”。</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t>授权代表签名：          日 期：</w:t>
      </w: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t>附件6：</w:t>
      </w:r>
    </w:p>
    <w:p>
      <w:pPr>
        <w:snapToGrid w:val="0"/>
        <w:spacing w:before="120" w:beforeLines="50" w:after="50"/>
        <w:jc w:val="center"/>
        <w:rPr>
          <w:rFonts w:ascii="仿宋" w:hAnsi="仿宋" w:eastAsia="仿宋"/>
          <w:b/>
          <w:sz w:val="36"/>
          <w:szCs w:val="36"/>
        </w:rPr>
      </w:pPr>
      <w:r>
        <w:rPr>
          <w:rFonts w:hint="eastAsia" w:ascii="仿宋" w:hAnsi="仿宋" w:eastAsia="仿宋"/>
          <w:b/>
          <w:sz w:val="36"/>
          <w:szCs w:val="36"/>
        </w:rPr>
        <w:t>项目实施人员（主要从业人员及其技术资格）一览表</w:t>
      </w:r>
    </w:p>
    <w:p>
      <w:pPr>
        <w:snapToGrid w:val="0"/>
        <w:spacing w:before="120" w:beforeLines="50" w:after="50"/>
        <w:jc w:val="center"/>
        <w:rPr>
          <w:rFonts w:ascii="仿宋" w:hAnsi="仿宋" w:eastAsia="仿宋"/>
          <w:b/>
          <w:sz w:val="30"/>
          <w:szCs w:val="30"/>
        </w:rPr>
      </w:pPr>
    </w:p>
    <w:p>
      <w:pPr>
        <w:pStyle w:val="12"/>
        <w:snapToGrid w:val="0"/>
        <w:ind w:left="1020" w:hanging="600"/>
        <w:rPr>
          <w:rFonts w:ascii="仿宋" w:hAnsi="仿宋" w:eastAsia="仿宋"/>
          <w:sz w:val="30"/>
          <w:szCs w:val="30"/>
          <w:u w:val="single"/>
        </w:rPr>
      </w:pPr>
      <w:r>
        <w:rPr>
          <w:rFonts w:hint="eastAsia" w:ascii="仿宋" w:hAnsi="仿宋" w:eastAsia="仿宋"/>
          <w:sz w:val="30"/>
          <w:szCs w:val="30"/>
        </w:rPr>
        <w:t>单一来源响应方全称（公章）：             标项：</w:t>
      </w:r>
    </w:p>
    <w:tbl>
      <w:tblPr>
        <w:tblStyle w:val="43"/>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专业技</w:t>
            </w:r>
          </w:p>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证书</w:t>
            </w:r>
          </w:p>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sz w:val="30"/>
                <w:szCs w:val="30"/>
              </w:rPr>
            </w:pPr>
            <w:r>
              <w:rPr>
                <w:rFonts w:hint="eastAsia" w:ascii="仿宋" w:hAnsi="仿宋" w:eastAsia="仿宋"/>
                <w:bCs/>
                <w:sz w:val="30"/>
                <w:szCs w:val="30"/>
              </w:rPr>
              <w:t>劳动合</w:t>
            </w:r>
          </w:p>
          <w:p>
            <w:pPr>
              <w:snapToGrid w:val="0"/>
              <w:spacing w:before="120" w:beforeLines="50" w:after="50" w:line="460" w:lineRule="exact"/>
              <w:jc w:val="center"/>
              <w:rPr>
                <w:rFonts w:ascii="仿宋" w:hAnsi="仿宋" w:eastAsia="仿宋"/>
                <w:bCs/>
                <w:sz w:val="30"/>
                <w:szCs w:val="30"/>
              </w:rPr>
            </w:pPr>
            <w:r>
              <w:rPr>
                <w:rFonts w:hint="eastAsia" w:ascii="仿宋" w:hAnsi="仿宋" w:eastAsia="仿宋"/>
                <w:bCs/>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663" w:type="dxa"/>
            <w:tcBorders>
              <w:top w:val="single" w:color="auto" w:sz="4" w:space="0"/>
              <w:left w:val="single" w:color="auto" w:sz="4" w:space="0"/>
              <w:bottom w:val="single" w:color="auto" w:sz="4" w:space="0"/>
              <w:right w:val="single" w:color="auto" w:sz="4" w:space="0"/>
            </w:tcBorders>
          </w:tcPr>
          <w:p>
            <w:pPr>
              <w:pStyle w:val="24"/>
              <w:snapToGrid w:val="0"/>
              <w:spacing w:before="120" w:beforeLines="50" w:after="50" w:line="460" w:lineRule="exact"/>
              <w:ind w:left="5250"/>
              <w:rPr>
                <w:rFonts w:ascii="仿宋" w:hAnsi="仿宋" w:eastAsia="仿宋"/>
                <w:b/>
                <w:bCs/>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beforeLines="50" w:after="50" w:line="460" w:lineRule="exact"/>
              <w:jc w:val="center"/>
              <w:outlineLvl w:val="0"/>
              <w:rPr>
                <w:rFonts w:ascii="仿宋" w:hAnsi="仿宋" w:eastAsia="仿宋"/>
                <w:b/>
                <w:bCs/>
                <w:sz w:val="30"/>
                <w:szCs w:val="30"/>
              </w:rPr>
            </w:pPr>
          </w:p>
        </w:tc>
        <w:tc>
          <w:tcPr>
            <w:tcW w:w="1663"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beforeLines="50" w:after="50" w:line="460" w:lineRule="exact"/>
              <w:jc w:val="center"/>
              <w:outlineLvl w:val="0"/>
              <w:rPr>
                <w:rFonts w:ascii="仿宋" w:hAnsi="仿宋" w:eastAsia="仿宋"/>
                <w:b/>
                <w:bCs/>
                <w:sz w:val="30"/>
                <w:szCs w:val="30"/>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beforeLines="50" w:after="50" w:line="460" w:lineRule="exact"/>
              <w:jc w:val="center"/>
              <w:outlineLvl w:val="0"/>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beforeLines="50" w:after="50" w:line="460" w:lineRule="exact"/>
              <w:jc w:val="center"/>
              <w:outlineLvl w:val="0"/>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beforeLines="50" w:after="50" w:line="460" w:lineRule="exact"/>
              <w:jc w:val="center"/>
              <w:outlineLvl w:val="0"/>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beforeLines="50" w:after="50" w:line="460" w:lineRule="exact"/>
              <w:jc w:val="center"/>
              <w:outlineLvl w:val="0"/>
              <w:rPr>
                <w:rFonts w:ascii="仿宋" w:hAnsi="仿宋" w:eastAsia="仿宋"/>
                <w:b/>
                <w:bCs/>
                <w:sz w:val="30"/>
                <w:szCs w:val="30"/>
              </w:rPr>
            </w:pPr>
          </w:p>
        </w:tc>
        <w:tc>
          <w:tcPr>
            <w:tcW w:w="1663"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beforeLines="50" w:after="50" w:line="460" w:lineRule="exact"/>
              <w:jc w:val="center"/>
              <w:outlineLvl w:val="0"/>
              <w:rPr>
                <w:rFonts w:ascii="仿宋" w:hAnsi="仿宋" w:eastAsia="仿宋"/>
                <w:b/>
                <w:bCs/>
                <w:sz w:val="30"/>
                <w:szCs w:val="30"/>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beforeLines="50" w:after="50" w:line="460" w:lineRule="exact"/>
              <w:jc w:val="center"/>
              <w:outlineLvl w:val="0"/>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beforeLines="50" w:after="50" w:line="460" w:lineRule="exact"/>
              <w:jc w:val="center"/>
              <w:outlineLvl w:val="0"/>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beforeLines="50" w:after="50" w:line="460" w:lineRule="exact"/>
              <w:jc w:val="center"/>
              <w:outlineLvl w:val="0"/>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r>
    </w:tbl>
    <w:p>
      <w:pPr>
        <w:snapToGrid w:val="0"/>
        <w:spacing w:before="50" w:after="120" w:afterLines="50" w:line="460" w:lineRule="exact"/>
        <w:jc w:val="left"/>
        <w:rPr>
          <w:rFonts w:ascii="仿宋" w:hAnsi="仿宋" w:eastAsia="仿宋"/>
          <w:sz w:val="30"/>
          <w:szCs w:val="30"/>
        </w:rPr>
      </w:pPr>
      <w:r>
        <w:rPr>
          <w:rFonts w:hint="eastAsia" w:ascii="仿宋" w:hAnsi="仿宋" w:eastAsia="仿宋"/>
          <w:sz w:val="30"/>
          <w:szCs w:val="30"/>
        </w:rPr>
        <w:t>注：在填写时，响应方可根据本表格式自行划表填写。</w:t>
      </w:r>
    </w:p>
    <w:p>
      <w:pPr>
        <w:snapToGrid w:val="0"/>
        <w:spacing w:before="50" w:after="120" w:afterLines="50" w:line="460" w:lineRule="exact"/>
        <w:jc w:val="left"/>
        <w:rPr>
          <w:rFonts w:ascii="仿宋" w:hAnsi="仿宋" w:eastAsia="仿宋"/>
          <w:sz w:val="30"/>
          <w:szCs w:val="30"/>
        </w:rPr>
      </w:pPr>
    </w:p>
    <w:p>
      <w:pPr>
        <w:snapToGrid w:val="0"/>
        <w:spacing w:before="50" w:after="50" w:line="460" w:lineRule="exact"/>
        <w:rPr>
          <w:rFonts w:ascii="仿宋" w:hAnsi="仿宋" w:eastAsia="仿宋"/>
          <w:spacing w:val="20"/>
          <w:sz w:val="30"/>
          <w:szCs w:val="30"/>
        </w:rPr>
      </w:pPr>
      <w:r>
        <w:rPr>
          <w:rFonts w:hint="eastAsia" w:ascii="仿宋" w:hAnsi="仿宋" w:eastAsia="仿宋"/>
          <w:spacing w:val="20"/>
          <w:sz w:val="30"/>
          <w:szCs w:val="30"/>
        </w:rPr>
        <w:t>全权代表签名：日期：</w:t>
      </w:r>
    </w:p>
    <w:p>
      <w:pPr>
        <w:snapToGrid w:val="0"/>
        <w:spacing w:before="50" w:after="50" w:line="460" w:lineRule="exact"/>
        <w:rPr>
          <w:rFonts w:ascii="仿宋" w:hAnsi="仿宋" w:eastAsia="仿宋"/>
          <w:spacing w:val="20"/>
          <w:sz w:val="30"/>
          <w:szCs w:val="30"/>
        </w:rPr>
      </w:pPr>
    </w:p>
    <w:p>
      <w:pPr>
        <w:snapToGrid w:val="0"/>
        <w:spacing w:before="50" w:after="50" w:line="460" w:lineRule="exact"/>
        <w:rPr>
          <w:rFonts w:ascii="仿宋" w:hAnsi="仿宋" w:eastAsia="仿宋"/>
          <w:spacing w:val="20"/>
          <w:sz w:val="30"/>
          <w:szCs w:val="30"/>
        </w:rPr>
      </w:pPr>
    </w:p>
    <w:p>
      <w:pPr>
        <w:snapToGrid w:val="0"/>
        <w:spacing w:before="50" w:after="50" w:line="460" w:lineRule="exact"/>
        <w:rPr>
          <w:rFonts w:ascii="仿宋" w:hAnsi="仿宋" w:eastAsia="仿宋"/>
          <w:spacing w:val="20"/>
          <w:sz w:val="30"/>
          <w:szCs w:val="30"/>
        </w:rPr>
      </w:pPr>
    </w:p>
    <w:p>
      <w:pPr>
        <w:snapToGrid w:val="0"/>
        <w:spacing w:before="50" w:after="50" w:line="460" w:lineRule="exact"/>
        <w:rPr>
          <w:rFonts w:ascii="仿宋" w:hAnsi="仿宋" w:eastAsia="仿宋"/>
          <w:spacing w:val="20"/>
          <w:sz w:val="30"/>
          <w:szCs w:val="30"/>
        </w:rPr>
      </w:pPr>
    </w:p>
    <w:p>
      <w:pPr>
        <w:snapToGrid w:val="0"/>
        <w:spacing w:before="50" w:after="50" w:line="460" w:lineRule="exact"/>
        <w:rPr>
          <w:rFonts w:ascii="仿宋" w:hAnsi="仿宋" w:eastAsia="仿宋"/>
          <w:spacing w:val="20"/>
          <w:sz w:val="30"/>
          <w:szCs w:val="30"/>
        </w:rPr>
      </w:pPr>
    </w:p>
    <w:p>
      <w:pPr>
        <w:snapToGrid w:val="0"/>
        <w:spacing w:before="50" w:after="50" w:line="460" w:lineRule="exact"/>
        <w:rPr>
          <w:rFonts w:ascii="仿宋" w:hAnsi="仿宋" w:eastAsia="仿宋"/>
          <w:spacing w:val="20"/>
          <w:sz w:val="30"/>
          <w:szCs w:val="30"/>
        </w:rPr>
      </w:pPr>
    </w:p>
    <w:p>
      <w:pPr>
        <w:snapToGrid w:val="0"/>
        <w:spacing w:before="50"/>
        <w:jc w:val="left"/>
        <w:rPr>
          <w:rFonts w:ascii="仿宋" w:hAnsi="仿宋" w:eastAsia="仿宋"/>
          <w:sz w:val="30"/>
          <w:szCs w:val="30"/>
        </w:rPr>
      </w:pPr>
      <w:r>
        <w:rPr>
          <w:rFonts w:hint="eastAsia" w:ascii="仿宋" w:hAnsi="仿宋" w:eastAsia="仿宋"/>
          <w:sz w:val="30"/>
          <w:szCs w:val="30"/>
        </w:rPr>
        <w:t>附件7：</w:t>
      </w:r>
    </w:p>
    <w:p>
      <w:pPr>
        <w:snapToGrid w:val="0"/>
        <w:spacing w:before="50"/>
        <w:jc w:val="center"/>
        <w:rPr>
          <w:rFonts w:ascii="仿宋" w:hAnsi="仿宋" w:eastAsia="仿宋"/>
          <w:b/>
          <w:spacing w:val="40"/>
          <w:kern w:val="0"/>
          <w:sz w:val="36"/>
          <w:szCs w:val="36"/>
        </w:rPr>
      </w:pPr>
      <w:r>
        <w:rPr>
          <w:rFonts w:hint="eastAsia" w:ascii="仿宋" w:hAnsi="仿宋" w:eastAsia="仿宋"/>
          <w:b/>
          <w:spacing w:val="40"/>
          <w:kern w:val="0"/>
          <w:sz w:val="36"/>
          <w:szCs w:val="36"/>
        </w:rPr>
        <w:t>商务响应表</w:t>
      </w:r>
    </w:p>
    <w:p>
      <w:pPr>
        <w:pStyle w:val="12"/>
        <w:snapToGrid w:val="0"/>
        <w:ind w:left="1020" w:hanging="600"/>
        <w:rPr>
          <w:rFonts w:ascii="仿宋" w:hAnsi="仿宋" w:eastAsia="仿宋"/>
          <w:sz w:val="30"/>
          <w:szCs w:val="30"/>
          <w:u w:val="single"/>
        </w:rPr>
      </w:pPr>
      <w:r>
        <w:rPr>
          <w:rFonts w:hint="eastAsia" w:ascii="仿宋" w:hAnsi="仿宋" w:eastAsia="仿宋"/>
          <w:sz w:val="30"/>
          <w:szCs w:val="30"/>
        </w:rPr>
        <w:t>单一来源响应方全称（公章）：               标项：</w:t>
      </w:r>
    </w:p>
    <w:tbl>
      <w:tblPr>
        <w:tblStyle w:val="43"/>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5"/>
        <w:gridCol w:w="3258"/>
        <w:gridCol w:w="958"/>
        <w:gridCol w:w="30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2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项目</w:t>
            </w:r>
          </w:p>
        </w:tc>
        <w:tc>
          <w:tcPr>
            <w:tcW w:w="3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单一来源采购文件要求</w:t>
            </w:r>
          </w:p>
        </w:tc>
        <w:tc>
          <w:tcPr>
            <w:tcW w:w="95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是否</w:t>
            </w:r>
          </w:p>
          <w:p>
            <w:pPr>
              <w:snapToGrid w:val="0"/>
              <w:spacing w:before="120" w:beforeLines="50"/>
              <w:jc w:val="center"/>
              <w:rPr>
                <w:rFonts w:ascii="仿宋" w:hAnsi="仿宋" w:eastAsia="仿宋"/>
                <w:sz w:val="30"/>
                <w:szCs w:val="30"/>
              </w:rPr>
            </w:pPr>
            <w:r>
              <w:rPr>
                <w:rFonts w:hint="eastAsia" w:ascii="仿宋" w:hAnsi="仿宋" w:eastAsia="仿宋"/>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响应方承诺或说明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26"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售后服务保障要求</w:t>
            </w:r>
          </w:p>
        </w:tc>
        <w:tc>
          <w:tcPr>
            <w:tcW w:w="3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958"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b/>
                <w:bCs/>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26"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服务期</w:t>
            </w:r>
          </w:p>
        </w:tc>
        <w:tc>
          <w:tcPr>
            <w:tcW w:w="3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958"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b/>
                <w:bCs/>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26"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项目进度要求</w:t>
            </w:r>
          </w:p>
        </w:tc>
        <w:tc>
          <w:tcPr>
            <w:tcW w:w="3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958"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b/>
                <w:bCs/>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服务时间</w:t>
            </w:r>
          </w:p>
        </w:tc>
        <w:tc>
          <w:tcPr>
            <w:tcW w:w="3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958"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b/>
                <w:bCs/>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服务地点</w:t>
            </w:r>
          </w:p>
        </w:tc>
        <w:tc>
          <w:tcPr>
            <w:tcW w:w="3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958"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b/>
                <w:bCs/>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b/>
                <w:bCs/>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全权代表签名：日期：</w:t>
      </w:r>
    </w:p>
    <w:p>
      <w:pPr>
        <w:snapToGrid w:val="0"/>
        <w:spacing w:before="120" w:beforeLines="50"/>
        <w:rPr>
          <w:rFonts w:ascii="仿宋" w:hAnsi="仿宋" w:eastAsia="仿宋"/>
          <w:sz w:val="30"/>
          <w:szCs w:val="30"/>
          <w:u w:val="single"/>
        </w:rPr>
      </w:pPr>
    </w:p>
    <w:p>
      <w:pPr>
        <w:snapToGrid w:val="0"/>
        <w:spacing w:before="120" w:beforeLines="50"/>
        <w:rPr>
          <w:rFonts w:ascii="仿宋" w:hAnsi="仿宋" w:eastAsia="仿宋"/>
          <w:sz w:val="30"/>
          <w:szCs w:val="30"/>
          <w:u w:val="single"/>
        </w:rPr>
      </w:pPr>
    </w:p>
    <w:p>
      <w:pPr>
        <w:snapToGrid w:val="0"/>
        <w:spacing w:before="120" w:beforeLines="50"/>
        <w:rPr>
          <w:rFonts w:ascii="仿宋" w:hAnsi="仿宋" w:eastAsia="仿宋"/>
          <w:sz w:val="30"/>
          <w:szCs w:val="30"/>
          <w:u w:val="single"/>
        </w:rPr>
      </w:pPr>
    </w:p>
    <w:p>
      <w:pPr>
        <w:spacing w:line="440" w:lineRule="exact"/>
        <w:ind w:firstLine="600" w:firstLineChars="200"/>
        <w:rPr>
          <w:rFonts w:ascii="仿宋" w:hAnsi="仿宋" w:eastAsia="仿宋"/>
          <w:sz w:val="30"/>
          <w:szCs w:val="30"/>
        </w:rPr>
      </w:pPr>
    </w:p>
    <w:p>
      <w:pPr>
        <w:pStyle w:val="22"/>
        <w:snapToGrid w:val="0"/>
        <w:spacing w:before="120" w:line="240" w:lineRule="auto"/>
        <w:jc w:val="center"/>
        <w:rPr>
          <w:rFonts w:ascii="仿宋" w:hAnsi="仿宋" w:eastAsia="仿宋"/>
          <w:b/>
          <w:sz w:val="36"/>
          <w:szCs w:val="36"/>
        </w:rPr>
      </w:pPr>
      <w:bookmarkStart w:id="48" w:name="报价明细表1"/>
      <w:bookmarkEnd w:id="48"/>
    </w:p>
    <w:p>
      <w:pPr>
        <w:pStyle w:val="22"/>
        <w:snapToGrid w:val="0"/>
        <w:spacing w:before="120" w:line="240" w:lineRule="auto"/>
        <w:jc w:val="center"/>
        <w:rPr>
          <w:rFonts w:ascii="仿宋" w:hAnsi="仿宋" w:eastAsia="仿宋"/>
          <w:b/>
          <w:sz w:val="36"/>
          <w:szCs w:val="36"/>
        </w:rPr>
      </w:pPr>
    </w:p>
    <w:p>
      <w:pPr>
        <w:pStyle w:val="22"/>
        <w:snapToGrid w:val="0"/>
        <w:spacing w:before="120" w:line="240" w:lineRule="auto"/>
        <w:jc w:val="center"/>
        <w:rPr>
          <w:rFonts w:ascii="仿宋" w:hAnsi="仿宋" w:eastAsia="仿宋"/>
          <w:b/>
          <w:sz w:val="36"/>
          <w:szCs w:val="36"/>
        </w:rPr>
      </w:pPr>
    </w:p>
    <w:p>
      <w:pPr>
        <w:pStyle w:val="22"/>
        <w:snapToGrid w:val="0"/>
        <w:spacing w:before="120" w:line="240" w:lineRule="auto"/>
        <w:jc w:val="center"/>
        <w:rPr>
          <w:rFonts w:ascii="仿宋" w:hAnsi="仿宋" w:eastAsia="仿宋"/>
          <w:b/>
          <w:sz w:val="36"/>
          <w:szCs w:val="36"/>
        </w:rPr>
      </w:pPr>
    </w:p>
    <w:p>
      <w:pPr>
        <w:pStyle w:val="22"/>
        <w:snapToGrid w:val="0"/>
        <w:spacing w:before="120" w:line="240" w:lineRule="auto"/>
        <w:jc w:val="center"/>
        <w:rPr>
          <w:rFonts w:ascii="仿宋" w:hAnsi="仿宋" w:eastAsia="仿宋"/>
          <w:b/>
          <w:sz w:val="36"/>
          <w:szCs w:val="36"/>
        </w:rPr>
      </w:pPr>
    </w:p>
    <w:p>
      <w:pPr>
        <w:snapToGrid w:val="0"/>
        <w:spacing w:before="50" w:after="50" w:line="460" w:lineRule="exact"/>
        <w:rPr>
          <w:rFonts w:ascii="仿宋" w:hAnsi="仿宋" w:eastAsia="仿宋"/>
          <w:spacing w:val="20"/>
          <w:sz w:val="30"/>
          <w:szCs w:val="30"/>
          <w:u w:val="single"/>
        </w:rPr>
      </w:pPr>
    </w:p>
    <w:p>
      <w:pPr>
        <w:snapToGrid w:val="0"/>
        <w:spacing w:before="50" w:after="120" w:afterLines="50" w:line="460" w:lineRule="exact"/>
        <w:jc w:val="left"/>
        <w:rPr>
          <w:rFonts w:ascii="仿宋" w:hAnsi="仿宋" w:eastAsia="仿宋"/>
          <w:sz w:val="30"/>
          <w:szCs w:val="30"/>
        </w:rPr>
      </w:pPr>
    </w:p>
    <w:p>
      <w:pPr>
        <w:pStyle w:val="22"/>
        <w:snapToGrid w:val="0"/>
        <w:spacing w:before="120" w:line="460" w:lineRule="exact"/>
        <w:rPr>
          <w:rFonts w:ascii="仿宋" w:hAnsi="仿宋" w:eastAsia="仿宋"/>
          <w:sz w:val="30"/>
          <w:szCs w:val="30"/>
        </w:rPr>
      </w:pPr>
    </w:p>
    <w:p>
      <w:pPr>
        <w:snapToGrid w:val="0"/>
        <w:spacing w:before="50" w:after="120" w:afterLines="50"/>
        <w:jc w:val="left"/>
        <w:rPr>
          <w:rFonts w:ascii="仿宋" w:hAnsi="仿宋" w:eastAsia="仿宋"/>
          <w:sz w:val="30"/>
          <w:szCs w:val="30"/>
        </w:rPr>
      </w:pPr>
    </w:p>
    <w:p>
      <w:pPr>
        <w:widowControl/>
        <w:jc w:val="left"/>
        <w:rPr>
          <w:rFonts w:ascii="仿宋" w:hAnsi="仿宋" w:eastAsia="仿宋"/>
          <w:kern w:val="0"/>
          <w:sz w:val="30"/>
          <w:szCs w:val="30"/>
        </w:rPr>
        <w:sectPr>
          <w:type w:val="continuous"/>
          <w:pgSz w:w="11906" w:h="16838"/>
          <w:pgMar w:top="1440" w:right="1800" w:bottom="1440" w:left="1800" w:header="851" w:footer="851" w:gutter="0"/>
          <w:cols w:space="720" w:num="1"/>
        </w:sect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t>附件8：</w:t>
      </w:r>
    </w:p>
    <w:p>
      <w:pPr>
        <w:pStyle w:val="31"/>
        <w:snapToGrid w:val="0"/>
        <w:ind w:left="723" w:hanging="723"/>
        <w:jc w:val="center"/>
        <w:rPr>
          <w:rFonts w:ascii="仿宋" w:hAnsi="仿宋" w:eastAsia="仿宋"/>
          <w:b/>
          <w:sz w:val="36"/>
          <w:szCs w:val="36"/>
        </w:rPr>
      </w:pPr>
      <w:r>
        <w:rPr>
          <w:rFonts w:hint="eastAsia" w:ascii="仿宋" w:hAnsi="仿宋" w:eastAsia="仿宋"/>
          <w:b/>
          <w:sz w:val="36"/>
          <w:szCs w:val="36"/>
        </w:rPr>
        <w:t>响应方同类项目实施情况一览表</w:t>
      </w:r>
    </w:p>
    <w:p>
      <w:pPr>
        <w:pStyle w:val="12"/>
        <w:snapToGrid w:val="0"/>
        <w:ind w:left="1020" w:hanging="600"/>
        <w:rPr>
          <w:rFonts w:ascii="仿宋" w:hAnsi="仿宋" w:eastAsia="仿宋" w:cs="Times New Roman"/>
          <w:sz w:val="30"/>
          <w:szCs w:val="30"/>
          <w:u w:val="single"/>
        </w:rPr>
      </w:pPr>
      <w:r>
        <w:rPr>
          <w:rFonts w:hint="eastAsia" w:ascii="仿宋" w:hAnsi="仿宋" w:eastAsia="仿宋"/>
          <w:sz w:val="30"/>
          <w:szCs w:val="30"/>
        </w:rPr>
        <w:t>单一来源响应方全称（公章）：</w:t>
      </w:r>
    </w:p>
    <w:tbl>
      <w:tblPr>
        <w:tblStyle w:val="43"/>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w:t>
            </w:r>
          </w:p>
          <w:p>
            <w:pPr>
              <w:snapToGrid w:val="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合同</w:t>
            </w:r>
          </w:p>
          <w:p>
            <w:pPr>
              <w:snapToGrid w:val="0"/>
              <w:jc w:val="center"/>
              <w:rPr>
                <w:rFonts w:ascii="仿宋" w:hAnsi="仿宋" w:eastAsia="仿宋"/>
                <w:sz w:val="30"/>
                <w:szCs w:val="30"/>
              </w:rPr>
            </w:pPr>
            <w:r>
              <w:rPr>
                <w:rFonts w:hint="eastAsia" w:ascii="仿宋" w:hAnsi="仿宋" w:eastAsia="仿宋"/>
                <w:sz w:val="30"/>
                <w:szCs w:val="30"/>
              </w:rPr>
              <w:t>金额</w:t>
            </w:r>
          </w:p>
          <w:p>
            <w:pPr>
              <w:snapToGrid w:val="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w:t>
            </w:r>
          </w:p>
          <w:p>
            <w:pPr>
              <w:snapToGrid w:val="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验收</w:t>
            </w:r>
          </w:p>
          <w:p>
            <w:pPr>
              <w:snapToGrid w:val="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r>
              <w:rPr>
                <w:rFonts w:hint="eastAsia" w:ascii="仿宋" w:hAnsi="仿宋" w:eastAsia="仿宋"/>
                <w:sz w:val="30"/>
                <w:szCs w:val="30"/>
              </w:rPr>
              <w:t>须提供响应方同类项目合同复印件、用户验收报告。</w:t>
            </w:r>
          </w:p>
        </w:tc>
      </w:tr>
    </w:tbl>
    <w:p>
      <w:pPr>
        <w:pStyle w:val="12"/>
        <w:snapToGrid w:val="0"/>
        <w:spacing w:before="240"/>
        <w:ind w:left="1020" w:hanging="600"/>
        <w:rPr>
          <w:rFonts w:ascii="仿宋" w:hAnsi="仿宋" w:eastAsia="仿宋"/>
          <w:sz w:val="30"/>
          <w:szCs w:val="30"/>
        </w:rPr>
      </w:pPr>
      <w:r>
        <w:rPr>
          <w:rFonts w:hint="eastAsia" w:ascii="仿宋" w:hAnsi="仿宋" w:eastAsia="仿宋"/>
          <w:sz w:val="30"/>
          <w:szCs w:val="30"/>
        </w:rPr>
        <w:t>全权代表签名：</w:t>
      </w:r>
      <w:r>
        <w:rPr>
          <w:rFonts w:hint="eastAsia" w:ascii="仿宋" w:hAnsi="仿宋" w:eastAsia="仿宋"/>
          <w:sz w:val="30"/>
          <w:szCs w:val="30"/>
          <w:u w:val="single"/>
        </w:rPr>
        <w:t>　　　　　</w:t>
      </w:r>
      <w:r>
        <w:rPr>
          <w:rFonts w:hint="eastAsia" w:ascii="仿宋" w:hAnsi="仿宋" w:eastAsia="仿宋"/>
          <w:sz w:val="30"/>
          <w:szCs w:val="30"/>
        </w:rPr>
        <w:t>时间：</w:t>
      </w:r>
    </w:p>
    <w:p>
      <w:pPr>
        <w:widowControl/>
        <w:jc w:val="left"/>
        <w:rPr>
          <w:rFonts w:ascii="仿宋" w:hAnsi="仿宋" w:eastAsia="仿宋"/>
          <w:kern w:val="0"/>
          <w:sz w:val="30"/>
          <w:szCs w:val="30"/>
        </w:rPr>
        <w:sectPr>
          <w:type w:val="continuous"/>
          <w:pgSz w:w="16838" w:h="11906" w:orient="landscape"/>
          <w:pgMar w:top="1440" w:right="1800" w:bottom="1440" w:left="1800" w:header="851" w:footer="851" w:gutter="0"/>
          <w:cols w:space="720" w:num="1"/>
        </w:sectPr>
      </w:pPr>
    </w:p>
    <w:p>
      <w:pPr>
        <w:pStyle w:val="22"/>
        <w:snapToGrid w:val="0"/>
        <w:spacing w:before="156" w:line="240" w:lineRule="auto"/>
        <w:jc w:val="left"/>
        <w:rPr>
          <w:rFonts w:ascii="仿宋" w:hAnsi="仿宋" w:eastAsia="仿宋"/>
          <w:sz w:val="30"/>
          <w:szCs w:val="30"/>
        </w:rPr>
      </w:pPr>
      <w:r>
        <w:rPr>
          <w:rFonts w:hint="eastAsia" w:ascii="仿宋" w:hAnsi="仿宋" w:eastAsia="仿宋"/>
          <w:sz w:val="30"/>
          <w:szCs w:val="30"/>
        </w:rPr>
        <w:t>附件9:</w:t>
      </w:r>
    </w:p>
    <w:p>
      <w:pPr>
        <w:pStyle w:val="22"/>
        <w:snapToGrid w:val="0"/>
        <w:spacing w:before="156" w:line="240" w:lineRule="auto"/>
        <w:jc w:val="center"/>
        <w:rPr>
          <w:rFonts w:ascii="仿宋" w:hAnsi="仿宋" w:eastAsia="仿宋"/>
          <w:b/>
          <w:sz w:val="36"/>
          <w:szCs w:val="36"/>
        </w:rPr>
      </w:pPr>
      <w:r>
        <w:rPr>
          <w:rFonts w:hint="eastAsia" w:ascii="仿宋" w:hAnsi="仿宋" w:eastAsia="仿宋"/>
          <w:b/>
          <w:sz w:val="36"/>
          <w:szCs w:val="36"/>
        </w:rPr>
        <w:t>投标报价明细表</w:t>
      </w:r>
    </w:p>
    <w:p>
      <w:pPr>
        <w:snapToGrid w:val="0"/>
        <w:spacing w:line="600" w:lineRule="exact"/>
        <w:rPr>
          <w:rFonts w:ascii="仿宋" w:hAnsi="仿宋" w:eastAsia="仿宋"/>
          <w:sz w:val="30"/>
          <w:szCs w:val="30"/>
        </w:rPr>
      </w:pPr>
      <w:r>
        <w:rPr>
          <w:rFonts w:hint="eastAsia" w:ascii="仿宋" w:hAnsi="仿宋" w:eastAsia="仿宋"/>
          <w:sz w:val="30"/>
          <w:szCs w:val="30"/>
        </w:rPr>
        <w:t>单一来源响应方全称（公章）：</w:t>
      </w:r>
    </w:p>
    <w:p>
      <w:pPr>
        <w:snapToGrid w:val="0"/>
        <w:spacing w:before="156" w:beforeLines="50" w:after="156" w:afterLines="50" w:line="600" w:lineRule="exact"/>
        <w:rPr>
          <w:rFonts w:ascii="仿宋" w:hAnsi="仿宋" w:eastAsia="仿宋"/>
          <w:sz w:val="30"/>
          <w:szCs w:val="30"/>
        </w:rPr>
      </w:pPr>
      <w:r>
        <w:rPr>
          <w:rFonts w:hint="eastAsia" w:ascii="仿宋" w:hAnsi="仿宋" w:eastAsia="仿宋"/>
          <w:sz w:val="30"/>
          <w:szCs w:val="30"/>
        </w:rPr>
        <w:t>采购编号及标项：</w:t>
      </w:r>
    </w:p>
    <w:tbl>
      <w:tblPr>
        <w:tblStyle w:val="43"/>
        <w:tblW w:w="90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273"/>
        <w:gridCol w:w="1845"/>
        <w:gridCol w:w="957"/>
        <w:gridCol w:w="852"/>
        <w:gridCol w:w="891"/>
        <w:gridCol w:w="1278"/>
        <w:gridCol w:w="14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050" w:type="dxa"/>
            <w:gridSpan w:val="8"/>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7"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服务内容</w:t>
            </w:r>
          </w:p>
        </w:tc>
        <w:tc>
          <w:tcPr>
            <w:tcW w:w="1845"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服务人员数量</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工作量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69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承接方情况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7"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845"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27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是否小微企业</w:t>
            </w:r>
          </w:p>
        </w:tc>
        <w:tc>
          <w:tcPr>
            <w:tcW w:w="1420"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184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4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84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4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84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4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50" w:type="dxa"/>
            <w:gridSpan w:val="8"/>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516" w:type="dxa"/>
            <w:gridSpan w:val="7"/>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snapToGrid w:val="0"/>
              <w:rPr>
                <w:rFonts w:ascii="仿宋" w:hAnsi="仿宋" w:eastAsia="仿宋"/>
                <w:sz w:val="24"/>
                <w:szCs w:val="24"/>
              </w:rPr>
            </w:pPr>
            <w:r>
              <w:rPr>
                <w:rFonts w:hint="eastAsia" w:ascii="仿宋" w:hAnsi="仿宋" w:eastAsia="仿宋"/>
                <w:sz w:val="24"/>
                <w:szCs w:val="24"/>
              </w:rPr>
              <w:t>3、报价中不允许出现报价优惠等字样,投标总价合计金额应与明细报价汇总相等。</w:t>
            </w:r>
          </w:p>
        </w:tc>
      </w:tr>
    </w:tbl>
    <w:p>
      <w:pPr>
        <w:snapToGrid w:val="0"/>
        <w:spacing w:before="240" w:after="50" w:line="400" w:lineRule="exact"/>
        <w:jc w:val="left"/>
        <w:rPr>
          <w:rFonts w:ascii="仿宋" w:hAnsi="仿宋" w:eastAsia="仿宋"/>
          <w:sz w:val="30"/>
          <w:szCs w:val="30"/>
        </w:rPr>
      </w:pPr>
    </w:p>
    <w:p>
      <w:pPr>
        <w:snapToGrid w:val="0"/>
        <w:spacing w:before="240" w:after="50" w:line="400" w:lineRule="exact"/>
        <w:jc w:val="left"/>
        <w:rPr>
          <w:rFonts w:ascii="仿宋" w:hAnsi="仿宋" w:eastAsia="仿宋"/>
          <w:sz w:val="30"/>
          <w:szCs w:val="30"/>
        </w:rPr>
      </w:pPr>
      <w:r>
        <w:rPr>
          <w:rFonts w:hint="eastAsia" w:ascii="仿宋" w:hAnsi="仿宋" w:eastAsia="仿宋"/>
          <w:sz w:val="30"/>
          <w:szCs w:val="30"/>
        </w:rPr>
        <w:t>授权代表签名：</w:t>
      </w:r>
    </w:p>
    <w:p>
      <w:pPr>
        <w:snapToGrid w:val="0"/>
        <w:spacing w:before="240" w:after="50" w:line="400" w:lineRule="exact"/>
        <w:jc w:val="left"/>
        <w:rPr>
          <w:rFonts w:ascii="仿宋" w:hAnsi="仿宋" w:eastAsia="仿宋"/>
          <w:sz w:val="30"/>
          <w:szCs w:val="30"/>
        </w:rPr>
      </w:pPr>
      <w:r>
        <w:rPr>
          <w:rFonts w:hint="eastAsia" w:ascii="仿宋" w:hAnsi="仿宋" w:eastAsia="仿宋"/>
          <w:sz w:val="30"/>
          <w:szCs w:val="30"/>
        </w:rPr>
        <w:t>日期：</w:t>
      </w: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r>
        <w:rPr>
          <w:rFonts w:hint="eastAsia" w:ascii="仿宋" w:hAnsi="仿宋" w:eastAsia="仿宋"/>
          <w:sz w:val="30"/>
          <w:szCs w:val="30"/>
        </w:rPr>
        <w:t>附件10：</w:t>
      </w:r>
    </w:p>
    <w:p>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中小企业声明函（服务）</w:t>
      </w:r>
    </w:p>
    <w:p>
      <w:pPr>
        <w:snapToGrid w:val="0"/>
        <w:spacing w:before="50" w:after="50"/>
        <w:jc w:val="center"/>
        <w:rPr>
          <w:rFonts w:ascii="仿宋" w:hAnsi="仿宋" w:eastAsia="仿宋"/>
          <w:b/>
          <w:sz w:val="36"/>
          <w:szCs w:val="36"/>
        </w:rPr>
      </w:pPr>
    </w:p>
    <w:p>
      <w:pPr>
        <w:snapToGrid w:val="0"/>
        <w:spacing w:line="312" w:lineRule="auto"/>
        <w:ind w:firstLine="560" w:firstLineChars="200"/>
        <w:rPr>
          <w:rFonts w:ascii="仿宋" w:hAnsi="仿宋" w:eastAsia="仿宋"/>
          <w:sz w:val="28"/>
          <w:szCs w:val="28"/>
        </w:rPr>
      </w:pPr>
    </w:p>
    <w:p>
      <w:pPr>
        <w:snapToGrid w:val="0"/>
        <w:spacing w:line="312" w:lineRule="auto"/>
        <w:ind w:firstLine="560" w:firstLineChars="200"/>
        <w:rPr>
          <w:rFonts w:ascii="仿宋" w:hAnsi="仿宋" w:eastAsia="仿宋"/>
          <w:sz w:val="28"/>
          <w:szCs w:val="28"/>
        </w:rPr>
      </w:pPr>
      <w:r>
        <w:rPr>
          <w:rFonts w:hint="eastAsia" w:ascii="仿宋" w:hAnsi="仿宋" w:eastAsia="仿宋"/>
          <w:sz w:val="28"/>
          <w:szCs w:val="28"/>
        </w:rPr>
        <w:t>本公司（联合体）郑重声明，根据《政府采购促进中小 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工程的施工单位全部为符合政策要求的中小企业（或者：服务全部由符合政策要求的中小企业承接，即提供（货物、服务、工程）的人员为中小企业依照《中华人民共和国劳动合同法》订立劳动合同的从业人员）。相关企业（含联合体中的中小企业、签订分包意向协议的中小企业）的具体情况如下： </w:t>
      </w:r>
    </w:p>
    <w:p>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1.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 承建（承接）企业为</w:t>
      </w:r>
      <w:r>
        <w:rPr>
          <w:rFonts w:hint="eastAsia" w:ascii="仿宋" w:hAnsi="仿宋" w:eastAsia="仿宋"/>
          <w:sz w:val="28"/>
          <w:szCs w:val="28"/>
          <w:u w:val="single"/>
        </w:rPr>
        <w:t>（企业名称）</w:t>
      </w:r>
      <w:r>
        <w:rPr>
          <w:rFonts w:hint="eastAsia" w:ascii="仿宋" w:hAnsi="仿宋" w:eastAsia="仿宋"/>
          <w:sz w:val="28"/>
          <w:szCs w:val="28"/>
        </w:rPr>
        <w:t>，从业人员人，营业收入为万元，资产总额为 万元</w:t>
      </w:r>
      <w:r>
        <w:rPr>
          <w:rFonts w:hint="eastAsia" w:ascii="仿宋" w:hAnsi="仿宋" w:eastAsia="仿宋"/>
          <w:sz w:val="28"/>
          <w:szCs w:val="28"/>
          <w:vertAlign w:val="superscript"/>
        </w:rPr>
        <w:t xml:space="preserve"> 1</w:t>
      </w:r>
      <w:r>
        <w:rPr>
          <w:rFonts w:hint="eastAsia" w:ascii="仿宋" w:hAnsi="仿宋" w:eastAsia="仿宋"/>
          <w:sz w:val="28"/>
          <w:szCs w:val="28"/>
        </w:rPr>
        <w:t xml:space="preserve">，属于（中型企业、小型企业、微型企业）； </w:t>
      </w:r>
    </w:p>
    <w:p>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；承建（承接）企业为</w:t>
      </w:r>
      <w:r>
        <w:rPr>
          <w:rFonts w:hint="eastAsia" w:ascii="仿宋" w:hAnsi="仿宋" w:eastAsia="仿宋"/>
          <w:sz w:val="28"/>
          <w:szCs w:val="28"/>
          <w:u w:val="single"/>
        </w:rPr>
        <w:t>（企业名称）</w:t>
      </w:r>
      <w:r>
        <w:rPr>
          <w:rFonts w:hint="eastAsia" w:ascii="仿宋" w:hAnsi="仿宋" w:eastAsia="仿宋"/>
          <w:sz w:val="28"/>
          <w:szCs w:val="28"/>
        </w:rPr>
        <w:t xml:space="preserve">，从业人员人，营业收入为万元，资产总额为万元，属于（中型企业、小型企业、微型企业）； </w:t>
      </w:r>
    </w:p>
    <w:p>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 </w:t>
      </w:r>
    </w:p>
    <w:p>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以上企业，不属于大企业的分支机构，不存在控股股东为大企业的情形，也不存在与大企业的负责人为同一人的情形。本企业对上述声明内容的真实性负责。如有虚假，将依法承担相应责任。 </w:t>
      </w:r>
    </w:p>
    <w:p>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 xml:space="preserve">响应方名称（盖章）： </w:t>
      </w:r>
    </w:p>
    <w:p>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日 期：</w:t>
      </w:r>
    </w:p>
    <w:p>
      <w:pPr>
        <w:pStyle w:val="22"/>
        <w:spacing w:before="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snapToGrid w:val="0"/>
        <w:spacing w:line="312" w:lineRule="auto"/>
        <w:ind w:firstLine="4620" w:firstLineChars="1650"/>
        <w:rPr>
          <w:rFonts w:ascii="仿宋" w:hAnsi="仿宋" w:eastAsia="仿宋"/>
          <w:sz w:val="28"/>
          <w:szCs w:val="28"/>
        </w:rPr>
      </w:pPr>
    </w:p>
    <w:p>
      <w:pPr>
        <w:snapToGrid w:val="0"/>
        <w:spacing w:line="312" w:lineRule="auto"/>
        <w:ind w:firstLine="753" w:firstLineChars="250"/>
        <w:jc w:val="center"/>
        <w:rPr>
          <w:rFonts w:ascii="仿宋" w:hAnsi="仿宋" w:eastAsia="仿宋"/>
          <w:b/>
          <w:sz w:val="30"/>
          <w:szCs w:val="30"/>
        </w:rPr>
      </w:pPr>
    </w:p>
    <w:p>
      <w:pPr>
        <w:snapToGrid w:val="0"/>
        <w:spacing w:line="312" w:lineRule="auto"/>
        <w:ind w:firstLine="753" w:firstLineChars="250"/>
        <w:jc w:val="center"/>
        <w:rPr>
          <w:rFonts w:ascii="仿宋" w:hAnsi="仿宋" w:eastAsia="仿宋"/>
          <w:b/>
          <w:sz w:val="30"/>
          <w:szCs w:val="30"/>
        </w:rPr>
      </w:pPr>
    </w:p>
    <w:p>
      <w:pPr>
        <w:snapToGrid w:val="0"/>
        <w:spacing w:line="312" w:lineRule="auto"/>
        <w:ind w:firstLine="753" w:firstLineChars="250"/>
        <w:jc w:val="center"/>
        <w:rPr>
          <w:rFonts w:ascii="仿宋" w:hAnsi="仿宋" w:eastAsia="仿宋"/>
          <w:b/>
          <w:sz w:val="30"/>
          <w:szCs w:val="30"/>
        </w:rPr>
      </w:pPr>
    </w:p>
    <w:p>
      <w:pPr>
        <w:jc w:val="left"/>
        <w:rPr>
          <w:rFonts w:ascii="仿宋" w:hAnsi="仿宋" w:eastAsia="仿宋"/>
        </w:rPr>
      </w:pPr>
      <w:r>
        <w:rPr>
          <w:rFonts w:hint="eastAsia" w:ascii="仿宋" w:hAnsi="仿宋" w:eastAsia="仿宋"/>
          <w:sz w:val="30"/>
          <w:szCs w:val="30"/>
        </w:rPr>
        <w:t>附件11：</w:t>
      </w:r>
    </w:p>
    <w:p>
      <w:pPr>
        <w:rPr>
          <w:rFonts w:ascii="仿宋" w:hAnsi="仿宋" w:eastAsia="仿宋"/>
        </w:rPr>
      </w:pP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pPr>
        <w:spacing w:line="588" w:lineRule="exact"/>
        <w:rPr>
          <w:rFonts w:ascii="仿宋_GB2312" w:eastAsia="仿宋_GB2312"/>
          <w:b/>
          <w:spacing w:val="6"/>
          <w:sz w:val="30"/>
          <w:szCs w:val="30"/>
        </w:rPr>
      </w:pPr>
    </w:p>
    <w:p>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p>
    <w:p>
      <w:pPr>
        <w:spacing w:line="588" w:lineRule="exact"/>
        <w:ind w:firstLine="624" w:firstLineChars="200"/>
        <w:rPr>
          <w:rFonts w:ascii="仿宋_GB2312" w:eastAsia="仿宋_GB2312"/>
          <w:spacing w:val="6"/>
          <w:sz w:val="30"/>
          <w:szCs w:val="30"/>
        </w:rPr>
      </w:pPr>
    </w:p>
    <w:p>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      响应方名称（盖章）：</w:t>
      </w:r>
    </w:p>
    <w:p>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       日  期：</w:t>
      </w:r>
    </w:p>
    <w:p/>
    <w:p/>
    <w:p>
      <w:pPr>
        <w:rPr>
          <w:rFonts w:ascii="仿宋" w:hAnsi="仿宋" w:eastAsia="仿宋"/>
        </w:rPr>
      </w:pPr>
    </w:p>
    <w:p>
      <w:pPr>
        <w:snapToGrid w:val="0"/>
        <w:spacing w:before="156" w:beforeLines="50" w:after="50"/>
        <w:rPr>
          <w:rFonts w:ascii="仿宋" w:hAnsi="仿宋" w:eastAsia="仿宋"/>
          <w:sz w:val="30"/>
          <w:szCs w:val="30"/>
        </w:rPr>
      </w:pPr>
    </w:p>
    <w:p>
      <w:pPr>
        <w:spacing w:line="600" w:lineRule="exact"/>
        <w:ind w:right="532"/>
        <w:rPr>
          <w:rFonts w:ascii="仿宋" w:hAnsi="仿宋" w:eastAsia="仿宋"/>
          <w:sz w:val="30"/>
          <w:szCs w:val="30"/>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Univers 57 Condensed">
    <w:altName w:val="宋体"/>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SF NS Text">
    <w:altName w:val="MingLiU-ExtB"/>
    <w:panose1 w:val="00000000000000000000"/>
    <w:charset w:val="88"/>
    <w:family w:val="roman"/>
    <w:pitch w:val="default"/>
    <w:sig w:usb0="00000000" w:usb1="00000000" w:usb2="00000010" w:usb3="00000000" w:csb0="00100000" w:csb1="00000000"/>
  </w:font>
  <w:font w:name="仿宋">
    <w:panose1 w:val="02010609060101010101"/>
    <w:charset w:val="86"/>
    <w:family w:val="modern"/>
    <w:pitch w:val="default"/>
    <w:sig w:usb0="800002BF" w:usb1="38CF7CFA" w:usb2="00000016" w:usb3="00000000" w:csb0="00040001" w:csb1="00000000"/>
  </w:font>
  <w:font w:name="仿宋GB2312">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楷体GB2312">
    <w:altName w:val="宋体"/>
    <w:panose1 w:val="00000000000000000000"/>
    <w:charset w:val="86"/>
    <w:family w:val="roman"/>
    <w:pitch w:val="default"/>
    <w:sig w:usb0="00000000" w:usb1="00000000" w:usb2="00000000" w:usb3="00000000" w:csb0="00000000" w:csb1="00000000"/>
  </w:font>
  <w:font w:name="Time">
    <w:altName w:val="微软雅黑"/>
    <w:panose1 w:val="00000000000000000000"/>
    <w:charset w:val="00"/>
    <w:family w:val="auto"/>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Malgun Gothic Semilight">
    <w:panose1 w:val="020B0502040204020203"/>
    <w:charset w:val="86"/>
    <w:family w:val="swiss"/>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201D1F"/>
    <w:multiLevelType w:val="singleLevel"/>
    <w:tmpl w:val="FE201D1F"/>
    <w:lvl w:ilvl="0" w:tentative="0">
      <w:start w:val="1"/>
      <w:numFmt w:val="bullet"/>
      <w:lvlText w:val=""/>
      <w:lvlJc w:val="left"/>
      <w:pPr>
        <w:ind w:left="420" w:hanging="420"/>
      </w:pPr>
      <w:rPr>
        <w:rFonts w:hint="default" w:ascii="Wingdings" w:hAnsi="Wingdings"/>
      </w:rPr>
    </w:lvl>
  </w:abstractNum>
  <w:abstractNum w:abstractNumId="1">
    <w:nsid w:val="FFFFFF7E"/>
    <w:multiLevelType w:val="singleLevel"/>
    <w:tmpl w:val="FFFFFF7E"/>
    <w:lvl w:ilvl="0" w:tentative="0">
      <w:start w:val="1"/>
      <w:numFmt w:val="decimal"/>
      <w:pStyle w:val="18"/>
      <w:lvlText w:val="%1."/>
      <w:lvlJc w:val="left"/>
      <w:pPr>
        <w:tabs>
          <w:tab w:val="left" w:pos="1200"/>
        </w:tabs>
        <w:ind w:left="1200" w:leftChars="400" w:hanging="360" w:hangingChars="200"/>
      </w:pPr>
    </w:lvl>
  </w:abstractNum>
  <w:abstractNum w:abstractNumId="2">
    <w:nsid w:val="FFFFFF88"/>
    <w:multiLevelType w:val="singleLevel"/>
    <w:tmpl w:val="FFFFFF88"/>
    <w:lvl w:ilvl="0" w:tentative="0">
      <w:start w:val="1"/>
      <w:numFmt w:val="decimal"/>
      <w:pStyle w:val="10"/>
      <w:lvlText w:val="%1."/>
      <w:lvlJc w:val="left"/>
      <w:pPr>
        <w:tabs>
          <w:tab w:val="left" w:pos="360"/>
        </w:tabs>
        <w:ind w:left="360" w:hanging="360" w:hangingChars="200"/>
      </w:pPr>
    </w:lvl>
  </w:abstractNum>
  <w:abstractNum w:abstractNumId="3">
    <w:nsid w:val="00000003"/>
    <w:multiLevelType w:val="multilevel"/>
    <w:tmpl w:val="00000003"/>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01F53CEE"/>
    <w:multiLevelType w:val="multilevel"/>
    <w:tmpl w:val="01F53CE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5332D9B"/>
    <w:multiLevelType w:val="multilevel"/>
    <w:tmpl w:val="05332D9B"/>
    <w:lvl w:ilvl="0" w:tentative="0">
      <w:start w:val="1"/>
      <w:numFmt w:val="decimal"/>
      <w:pStyle w:val="213"/>
      <w:lvlText w:val="%1."/>
      <w:lvlJc w:val="left"/>
      <w:pPr>
        <w:ind w:left="920" w:hanging="36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557FD3DA"/>
    <w:multiLevelType w:val="singleLevel"/>
    <w:tmpl w:val="557FD3DA"/>
    <w:lvl w:ilvl="0" w:tentative="0">
      <w:start w:val="3"/>
      <w:numFmt w:val="chineseCounting"/>
      <w:pStyle w:val="186"/>
      <w:suff w:val="nothing"/>
      <w:lvlText w:val="%1、"/>
      <w:lvlJc w:val="left"/>
      <w:pPr>
        <w:ind w:left="0" w:firstLine="0"/>
      </w:pPr>
      <w:rPr>
        <w:rFonts w:cs="Times New Roman"/>
      </w:rPr>
    </w:lvl>
  </w:abstractNum>
  <w:abstractNum w:abstractNumId="7">
    <w:nsid w:val="69C33920"/>
    <w:multiLevelType w:val="multilevel"/>
    <w:tmpl w:val="69C33920"/>
    <w:lvl w:ilvl="0" w:tentative="0">
      <w:start w:val="1"/>
      <w:numFmt w:val="chineseCountingThousand"/>
      <w:pStyle w:val="212"/>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69D73792"/>
    <w:multiLevelType w:val="multilevel"/>
    <w:tmpl w:val="69D73792"/>
    <w:lvl w:ilvl="0" w:tentative="0">
      <w:start w:val="1"/>
      <w:numFmt w:val="decimal"/>
      <w:lvlText w:val="%1."/>
      <w:lvlJc w:val="left"/>
      <w:pPr>
        <w:ind w:left="960" w:hanging="360"/>
      </w:pPr>
      <w:rPr>
        <w:strike w:val="0"/>
        <w:dstrike w:val="0"/>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2"/>
  </w:num>
  <w:num w:numId="2">
    <w:abstractNumId w:val="1"/>
  </w:num>
  <w:num w:numId="3">
    <w:abstractNumId w:val="6"/>
  </w:num>
  <w:num w:numId="4">
    <w:abstractNumId w:val="7"/>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RmZmY3NDdhYTgwMjQwN2IwNGFlZGUzZGQ4NjE4MjQifQ=="/>
  </w:docVars>
  <w:rsids>
    <w:rsidRoot w:val="00D531F9"/>
    <w:rsid w:val="0000039A"/>
    <w:rsid w:val="000964EB"/>
    <w:rsid w:val="000C33A4"/>
    <w:rsid w:val="000F23AB"/>
    <w:rsid w:val="0012146F"/>
    <w:rsid w:val="001675B1"/>
    <w:rsid w:val="001B4E1B"/>
    <w:rsid w:val="00204CBC"/>
    <w:rsid w:val="002053F5"/>
    <w:rsid w:val="0023222D"/>
    <w:rsid w:val="002668B3"/>
    <w:rsid w:val="002801F2"/>
    <w:rsid w:val="0030443E"/>
    <w:rsid w:val="00392E3F"/>
    <w:rsid w:val="003978F4"/>
    <w:rsid w:val="003F44AD"/>
    <w:rsid w:val="00445F93"/>
    <w:rsid w:val="00471D4B"/>
    <w:rsid w:val="00487322"/>
    <w:rsid w:val="00631210"/>
    <w:rsid w:val="006B1973"/>
    <w:rsid w:val="006D769F"/>
    <w:rsid w:val="00700A3B"/>
    <w:rsid w:val="00704C5F"/>
    <w:rsid w:val="0072169D"/>
    <w:rsid w:val="007E226D"/>
    <w:rsid w:val="007F5A03"/>
    <w:rsid w:val="00884CEE"/>
    <w:rsid w:val="008D58FD"/>
    <w:rsid w:val="009C0CD7"/>
    <w:rsid w:val="009C249E"/>
    <w:rsid w:val="009C30C0"/>
    <w:rsid w:val="00A139B6"/>
    <w:rsid w:val="00A355E1"/>
    <w:rsid w:val="00A64A2B"/>
    <w:rsid w:val="00AF1B7C"/>
    <w:rsid w:val="00B54E9B"/>
    <w:rsid w:val="00BD3745"/>
    <w:rsid w:val="00C03E42"/>
    <w:rsid w:val="00C20532"/>
    <w:rsid w:val="00C247BE"/>
    <w:rsid w:val="00C51D1B"/>
    <w:rsid w:val="00C54DC0"/>
    <w:rsid w:val="00CB1A57"/>
    <w:rsid w:val="00D531F9"/>
    <w:rsid w:val="00E75123"/>
    <w:rsid w:val="00E9523B"/>
    <w:rsid w:val="00F60BD9"/>
    <w:rsid w:val="00F67C5B"/>
    <w:rsid w:val="00FA3C95"/>
    <w:rsid w:val="00FB6FC2"/>
    <w:rsid w:val="00FB7CBD"/>
    <w:rsid w:val="00FD1553"/>
    <w:rsid w:val="0F2A18DE"/>
    <w:rsid w:val="1AA01C18"/>
    <w:rsid w:val="4CD558F8"/>
    <w:rsid w:val="638C22A7"/>
    <w:rsid w:val="7FCE7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qFormat="1"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5"/>
    <w:qFormat/>
    <w:uiPriority w:val="9"/>
    <w:pPr>
      <w:autoSpaceDE w:val="0"/>
      <w:autoSpaceDN w:val="0"/>
      <w:adjustRightInd w:val="0"/>
      <w:spacing w:line="360" w:lineRule="auto"/>
      <w:jc w:val="center"/>
      <w:outlineLvl w:val="0"/>
    </w:pPr>
    <w:rPr>
      <w:rFonts w:ascii="Times New Roman" w:hAnsi="Times New Roman" w:eastAsia="隶书"/>
      <w:b/>
      <w:bCs/>
      <w:kern w:val="0"/>
      <w:sz w:val="36"/>
      <w:szCs w:val="36"/>
    </w:rPr>
  </w:style>
  <w:style w:type="paragraph" w:styleId="3">
    <w:name w:val="heading 2"/>
    <w:basedOn w:val="1"/>
    <w:next w:val="1"/>
    <w:link w:val="230"/>
    <w:unhideWhenUsed/>
    <w:qFormat/>
    <w:uiPriority w:val="9"/>
    <w:pPr>
      <w:keepNext/>
      <w:keepLines/>
      <w:spacing w:before="260" w:after="260" w:line="412" w:lineRule="auto"/>
      <w:outlineLvl w:val="1"/>
    </w:pPr>
    <w:rPr>
      <w:rFonts w:ascii="Arial" w:hAnsi="Arial" w:eastAsia="黑体"/>
      <w:b/>
      <w:bCs/>
      <w:sz w:val="32"/>
      <w:szCs w:val="32"/>
    </w:rPr>
  </w:style>
  <w:style w:type="paragraph" w:styleId="4">
    <w:name w:val="heading 3"/>
    <w:basedOn w:val="1"/>
    <w:next w:val="1"/>
    <w:link w:val="231"/>
    <w:unhideWhenUsed/>
    <w:qFormat/>
    <w:uiPriority w:val="9"/>
    <w:pPr>
      <w:keepNext/>
      <w:keepLines/>
      <w:spacing w:before="260" w:after="260" w:line="412" w:lineRule="auto"/>
      <w:outlineLvl w:val="2"/>
    </w:pPr>
    <w:rPr>
      <w:b/>
      <w:bCs/>
      <w:sz w:val="32"/>
      <w:szCs w:val="32"/>
    </w:rPr>
  </w:style>
  <w:style w:type="paragraph" w:styleId="5">
    <w:name w:val="heading 4"/>
    <w:basedOn w:val="1"/>
    <w:next w:val="1"/>
    <w:link w:val="58"/>
    <w:semiHidden/>
    <w:unhideWhenUsed/>
    <w:qFormat/>
    <w:uiPriority w:val="9"/>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link w:val="59"/>
    <w:semiHidden/>
    <w:unhideWhenUsed/>
    <w:qFormat/>
    <w:uiPriority w:val="9"/>
    <w:pPr>
      <w:keepNext/>
      <w:keepLines/>
      <w:spacing w:before="280" w:after="290" w:line="372" w:lineRule="auto"/>
      <w:outlineLvl w:val="4"/>
    </w:pPr>
    <w:rPr>
      <w:rFonts w:ascii="Times New Roman" w:hAnsi="Times New Roman"/>
      <w:b/>
      <w:bCs/>
      <w:sz w:val="28"/>
      <w:szCs w:val="28"/>
    </w:rPr>
  </w:style>
  <w:style w:type="paragraph" w:styleId="7">
    <w:name w:val="heading 6"/>
    <w:basedOn w:val="1"/>
    <w:next w:val="1"/>
    <w:link w:val="60"/>
    <w:semiHidden/>
    <w:unhideWhenUsed/>
    <w:qFormat/>
    <w:uiPriority w:val="9"/>
    <w:pPr>
      <w:keepNext/>
      <w:keepLines/>
      <w:spacing w:before="240" w:after="64" w:line="316" w:lineRule="auto"/>
      <w:outlineLvl w:val="5"/>
    </w:pPr>
    <w:rPr>
      <w:rFonts w:ascii="Arial" w:hAnsi="Arial" w:eastAsia="黑体"/>
      <w:b/>
      <w:bCs/>
      <w:sz w:val="24"/>
      <w:szCs w:val="24"/>
    </w:rPr>
  </w:style>
  <w:style w:type="paragraph" w:styleId="8">
    <w:name w:val="heading 7"/>
    <w:basedOn w:val="1"/>
    <w:next w:val="1"/>
    <w:link w:val="61"/>
    <w:semiHidden/>
    <w:unhideWhenUsed/>
    <w:qFormat/>
    <w:uiPriority w:val="9"/>
    <w:pPr>
      <w:keepNext/>
      <w:keepLines/>
      <w:snapToGrid w:val="0"/>
      <w:spacing w:before="240" w:after="64" w:line="320" w:lineRule="atLeast"/>
      <w:jc w:val="center"/>
      <w:outlineLvl w:val="6"/>
    </w:pPr>
    <w:rPr>
      <w:rFonts w:ascii="宋体" w:hAnsi="宋体"/>
      <w:b/>
      <w:bCs/>
      <w:kern w:val="0"/>
      <w:sz w:val="24"/>
      <w:szCs w:val="24"/>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9">
    <w:name w:val="toc 7"/>
    <w:basedOn w:val="1"/>
    <w:next w:val="1"/>
    <w:semiHidden/>
    <w:unhideWhenUsed/>
    <w:qFormat/>
    <w:uiPriority w:val="39"/>
    <w:pPr>
      <w:snapToGrid w:val="0"/>
      <w:spacing w:line="600" w:lineRule="exact"/>
      <w:ind w:left="3120"/>
      <w:jc w:val="left"/>
    </w:pPr>
    <w:rPr>
      <w:rFonts w:ascii="Times New Roman" w:hAnsi="Times New Roman"/>
      <w:kern w:val="0"/>
      <w:sz w:val="18"/>
      <w:szCs w:val="18"/>
    </w:rPr>
  </w:style>
  <w:style w:type="paragraph" w:styleId="10">
    <w:name w:val="List Number"/>
    <w:basedOn w:val="1"/>
    <w:semiHidden/>
    <w:unhideWhenUsed/>
    <w:qFormat/>
    <w:uiPriority w:val="99"/>
    <w:pPr>
      <w:widowControl/>
      <w:numPr>
        <w:ilvl w:val="0"/>
        <w:numId w:val="1"/>
      </w:numPr>
      <w:tabs>
        <w:tab w:val="left" w:pos="454"/>
        <w:tab w:val="left" w:pos="720"/>
        <w:tab w:val="clear" w:pos="360"/>
      </w:tabs>
      <w:ind w:left="454" w:hanging="284" w:firstLineChars="0"/>
      <w:jc w:val="left"/>
    </w:pPr>
    <w:rPr>
      <w:rFonts w:ascii="Times New Roman" w:hAnsi="Times New Roman"/>
      <w:kern w:val="0"/>
      <w:sz w:val="24"/>
      <w:szCs w:val="20"/>
    </w:rPr>
  </w:style>
  <w:style w:type="paragraph" w:styleId="11">
    <w:name w:val="Normal Indent"/>
    <w:basedOn w:val="1"/>
    <w:link w:val="63"/>
    <w:semiHidden/>
    <w:unhideWhenUsed/>
    <w:qFormat/>
    <w:uiPriority w:val="99"/>
    <w:pPr>
      <w:ind w:firstLine="420"/>
    </w:pPr>
    <w:rPr>
      <w:rFonts w:asciiTheme="minorHAnsi" w:hAnsiTheme="minorHAnsi" w:eastAsiaTheme="minorEastAsia" w:cstheme="minorBidi"/>
    </w:rPr>
  </w:style>
  <w:style w:type="paragraph" w:styleId="12">
    <w:name w:val="caption"/>
    <w:basedOn w:val="1"/>
    <w:next w:val="1"/>
    <w:link w:val="153"/>
    <w:semiHidden/>
    <w:unhideWhenUsed/>
    <w:qFormat/>
    <w:uiPriority w:val="35"/>
    <w:pPr>
      <w:spacing w:before="152" w:after="160"/>
    </w:pPr>
    <w:rPr>
      <w:rFonts w:ascii="Arial" w:hAnsi="Arial" w:eastAsia="黑体" w:cs="Arial"/>
      <w:sz w:val="20"/>
      <w:szCs w:val="20"/>
    </w:rPr>
  </w:style>
  <w:style w:type="paragraph" w:styleId="13">
    <w:name w:val="Document Map"/>
    <w:basedOn w:val="1"/>
    <w:link w:val="149"/>
    <w:semiHidden/>
    <w:unhideWhenUsed/>
    <w:qFormat/>
    <w:uiPriority w:val="99"/>
    <w:rPr>
      <w:rFonts w:ascii="宋体"/>
      <w:sz w:val="18"/>
      <w:szCs w:val="18"/>
    </w:rPr>
  </w:style>
  <w:style w:type="paragraph" w:styleId="14">
    <w:name w:val="annotation text"/>
    <w:basedOn w:val="1"/>
    <w:link w:val="65"/>
    <w:semiHidden/>
    <w:unhideWhenUsed/>
    <w:qFormat/>
    <w:uiPriority w:val="99"/>
    <w:pPr>
      <w:jc w:val="left"/>
    </w:pPr>
  </w:style>
  <w:style w:type="paragraph" w:styleId="15">
    <w:name w:val="Body Text 3"/>
    <w:basedOn w:val="1"/>
    <w:link w:val="72"/>
    <w:semiHidden/>
    <w:unhideWhenUsed/>
    <w:qFormat/>
    <w:uiPriority w:val="99"/>
    <w:pPr>
      <w:snapToGrid w:val="0"/>
      <w:spacing w:before="50" w:after="50"/>
    </w:pPr>
    <w:rPr>
      <w:rFonts w:ascii="Times New Roman" w:hAnsi="宋体" w:eastAsia="仿宋_GB2312"/>
      <w:b/>
      <w:bCs/>
      <w:sz w:val="24"/>
      <w:szCs w:val="20"/>
    </w:rPr>
  </w:style>
  <w:style w:type="paragraph" w:styleId="16">
    <w:name w:val="Body Text"/>
    <w:basedOn w:val="1"/>
    <w:link w:val="67"/>
    <w:semiHidden/>
    <w:unhideWhenUsed/>
    <w:qFormat/>
    <w:uiPriority w:val="99"/>
    <w:pPr>
      <w:spacing w:after="120"/>
    </w:pPr>
  </w:style>
  <w:style w:type="paragraph" w:styleId="17">
    <w:name w:val="Body Text Indent"/>
    <w:basedOn w:val="1"/>
    <w:link w:val="68"/>
    <w:semiHidden/>
    <w:unhideWhenUsed/>
    <w:qFormat/>
    <w:uiPriority w:val="99"/>
    <w:pPr>
      <w:spacing w:line="200" w:lineRule="exact"/>
      <w:ind w:firstLine="301"/>
    </w:pPr>
    <w:rPr>
      <w:rFonts w:ascii="宋体" w:hAnsi="Courier New"/>
      <w:spacing w:val="-4"/>
      <w:sz w:val="18"/>
      <w:szCs w:val="20"/>
    </w:rPr>
  </w:style>
  <w:style w:type="paragraph" w:styleId="18">
    <w:name w:val="List Number 3"/>
    <w:basedOn w:val="1"/>
    <w:semiHidden/>
    <w:unhideWhenUsed/>
    <w:qFormat/>
    <w:uiPriority w:val="99"/>
    <w:pPr>
      <w:numPr>
        <w:ilvl w:val="0"/>
        <w:numId w:val="2"/>
      </w:numPr>
      <w:ind w:left="0" w:leftChars="0" w:firstLine="0" w:firstLineChars="0"/>
    </w:pPr>
    <w:rPr>
      <w:rFonts w:ascii="Times New Roman" w:hAnsi="Times New Roman"/>
      <w:szCs w:val="24"/>
    </w:rPr>
  </w:style>
  <w:style w:type="paragraph" w:styleId="19">
    <w:name w:val="List 2"/>
    <w:basedOn w:val="1"/>
    <w:semiHidden/>
    <w:unhideWhenUsed/>
    <w:qFormat/>
    <w:uiPriority w:val="99"/>
    <w:pPr>
      <w:ind w:left="100" w:leftChars="200" w:hanging="200" w:hangingChars="200"/>
    </w:pPr>
    <w:rPr>
      <w:rFonts w:ascii="Times New Roman" w:hAnsi="Times New Roman"/>
      <w:sz w:val="28"/>
      <w:szCs w:val="24"/>
    </w:rPr>
  </w:style>
  <w:style w:type="paragraph" w:styleId="20">
    <w:name w:val="toc 5"/>
    <w:basedOn w:val="1"/>
    <w:next w:val="1"/>
    <w:semiHidden/>
    <w:unhideWhenUsed/>
    <w:qFormat/>
    <w:uiPriority w:val="39"/>
    <w:pPr>
      <w:snapToGrid w:val="0"/>
      <w:spacing w:line="600" w:lineRule="exact"/>
      <w:ind w:left="2080"/>
      <w:jc w:val="left"/>
    </w:pPr>
    <w:rPr>
      <w:rFonts w:ascii="Times New Roman" w:hAnsi="Times New Roman"/>
      <w:kern w:val="0"/>
      <w:sz w:val="18"/>
      <w:szCs w:val="18"/>
    </w:rPr>
  </w:style>
  <w:style w:type="paragraph" w:styleId="21">
    <w:name w:val="toc 3"/>
    <w:basedOn w:val="1"/>
    <w:next w:val="1"/>
    <w:semiHidden/>
    <w:unhideWhenUsed/>
    <w:qFormat/>
    <w:uiPriority w:val="39"/>
    <w:pPr>
      <w:ind w:left="840" w:leftChars="400"/>
    </w:pPr>
  </w:style>
  <w:style w:type="paragraph" w:styleId="22">
    <w:name w:val="Plain Text"/>
    <w:basedOn w:val="1"/>
    <w:link w:val="151"/>
    <w:semiHidden/>
    <w:unhideWhenUsed/>
    <w:qFormat/>
    <w:uiPriority w:val="99"/>
    <w:pPr>
      <w:spacing w:beforeLines="50" w:line="400" w:lineRule="exact"/>
    </w:pPr>
    <w:rPr>
      <w:rFonts w:ascii="宋体" w:hAnsi="Courier New"/>
      <w:sz w:val="24"/>
      <w:szCs w:val="24"/>
    </w:rPr>
  </w:style>
  <w:style w:type="paragraph" w:styleId="23">
    <w:name w:val="toc 8"/>
    <w:basedOn w:val="1"/>
    <w:next w:val="1"/>
    <w:semiHidden/>
    <w:unhideWhenUsed/>
    <w:qFormat/>
    <w:uiPriority w:val="39"/>
    <w:pPr>
      <w:snapToGrid w:val="0"/>
      <w:spacing w:line="600" w:lineRule="exact"/>
      <w:ind w:left="3640"/>
      <w:jc w:val="left"/>
    </w:pPr>
    <w:rPr>
      <w:rFonts w:ascii="Times New Roman" w:hAnsi="Times New Roman"/>
      <w:kern w:val="0"/>
      <w:sz w:val="18"/>
      <w:szCs w:val="18"/>
    </w:rPr>
  </w:style>
  <w:style w:type="paragraph" w:styleId="24">
    <w:name w:val="Date"/>
    <w:basedOn w:val="1"/>
    <w:next w:val="1"/>
    <w:link w:val="150"/>
    <w:semiHidden/>
    <w:unhideWhenUsed/>
    <w:qFormat/>
    <w:uiPriority w:val="99"/>
    <w:pPr>
      <w:ind w:left="2500" w:leftChars="2500"/>
    </w:pPr>
    <w:rPr>
      <w:rFonts w:ascii="Times New Roman" w:hAnsi="Times New Roman" w:eastAsia="楷体_GB2312"/>
      <w:sz w:val="32"/>
      <w:szCs w:val="20"/>
    </w:rPr>
  </w:style>
  <w:style w:type="paragraph" w:styleId="25">
    <w:name w:val="Body Text Indent 2"/>
    <w:basedOn w:val="1"/>
    <w:link w:val="73"/>
    <w:semiHidden/>
    <w:unhideWhenUsed/>
    <w:qFormat/>
    <w:uiPriority w:val="99"/>
    <w:pPr>
      <w:snapToGrid w:val="0"/>
      <w:ind w:firstLine="542" w:firstLineChars="225"/>
    </w:pPr>
    <w:rPr>
      <w:rFonts w:ascii="仿宋_GB2312" w:hAnsi="宋体" w:cs="Arial"/>
      <w:b/>
      <w:bCs/>
      <w:color w:val="000000"/>
      <w:sz w:val="24"/>
      <w:szCs w:val="24"/>
    </w:rPr>
  </w:style>
  <w:style w:type="paragraph" w:styleId="26">
    <w:name w:val="Balloon Text"/>
    <w:basedOn w:val="1"/>
    <w:link w:val="78"/>
    <w:semiHidden/>
    <w:unhideWhenUsed/>
    <w:qFormat/>
    <w:uiPriority w:val="99"/>
    <w:rPr>
      <w:sz w:val="18"/>
      <w:szCs w:val="18"/>
    </w:rPr>
  </w:style>
  <w:style w:type="paragraph" w:styleId="27">
    <w:name w:val="footer"/>
    <w:basedOn w:val="1"/>
    <w:link w:val="229"/>
    <w:unhideWhenUsed/>
    <w:qFormat/>
    <w:uiPriority w:val="99"/>
    <w:pPr>
      <w:tabs>
        <w:tab w:val="center" w:pos="4153"/>
        <w:tab w:val="right" w:pos="8306"/>
      </w:tabs>
      <w:snapToGrid w:val="0"/>
      <w:jc w:val="left"/>
    </w:pPr>
    <w:rPr>
      <w:sz w:val="18"/>
      <w:szCs w:val="18"/>
    </w:rPr>
  </w:style>
  <w:style w:type="paragraph" w:styleId="28">
    <w:name w:val="header"/>
    <w:basedOn w:val="1"/>
    <w:link w:val="228"/>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unhideWhenUsed/>
    <w:qFormat/>
    <w:uiPriority w:val="39"/>
    <w:rPr>
      <w:rFonts w:ascii="Times New Roman" w:hAnsi="Times New Roman"/>
      <w:szCs w:val="24"/>
    </w:rPr>
  </w:style>
  <w:style w:type="paragraph" w:styleId="30">
    <w:name w:val="toc 4"/>
    <w:basedOn w:val="1"/>
    <w:next w:val="1"/>
    <w:semiHidden/>
    <w:unhideWhenUsed/>
    <w:qFormat/>
    <w:uiPriority w:val="39"/>
    <w:pPr>
      <w:snapToGrid w:val="0"/>
      <w:spacing w:line="600" w:lineRule="exact"/>
      <w:ind w:left="1560"/>
      <w:jc w:val="left"/>
    </w:pPr>
    <w:rPr>
      <w:rFonts w:ascii="Times New Roman" w:hAnsi="Times New Roman"/>
      <w:kern w:val="0"/>
      <w:sz w:val="18"/>
      <w:szCs w:val="18"/>
    </w:rPr>
  </w:style>
  <w:style w:type="paragraph" w:styleId="31">
    <w:name w:val="List"/>
    <w:basedOn w:val="1"/>
    <w:semiHidden/>
    <w:unhideWhenUsed/>
    <w:qFormat/>
    <w:uiPriority w:val="99"/>
    <w:pPr>
      <w:ind w:left="200" w:hanging="200" w:hangingChars="200"/>
    </w:pPr>
    <w:rPr>
      <w:rFonts w:ascii="Times New Roman" w:hAnsi="Times New Roman"/>
      <w:sz w:val="28"/>
      <w:szCs w:val="24"/>
    </w:rPr>
  </w:style>
  <w:style w:type="paragraph" w:styleId="32">
    <w:name w:val="footnote text"/>
    <w:basedOn w:val="1"/>
    <w:link w:val="64"/>
    <w:semiHidden/>
    <w:unhideWhenUsed/>
    <w:qFormat/>
    <w:uiPriority w:val="99"/>
    <w:pPr>
      <w:snapToGrid w:val="0"/>
      <w:jc w:val="left"/>
    </w:pPr>
    <w:rPr>
      <w:sz w:val="18"/>
      <w:szCs w:val="18"/>
    </w:rPr>
  </w:style>
  <w:style w:type="paragraph" w:styleId="33">
    <w:name w:val="toc 6"/>
    <w:basedOn w:val="1"/>
    <w:next w:val="1"/>
    <w:semiHidden/>
    <w:unhideWhenUsed/>
    <w:qFormat/>
    <w:uiPriority w:val="39"/>
    <w:pPr>
      <w:snapToGrid w:val="0"/>
      <w:spacing w:line="600" w:lineRule="exact"/>
      <w:ind w:left="2600"/>
      <w:jc w:val="left"/>
    </w:pPr>
    <w:rPr>
      <w:rFonts w:ascii="Times New Roman" w:hAnsi="Times New Roman"/>
      <w:kern w:val="0"/>
      <w:sz w:val="18"/>
      <w:szCs w:val="18"/>
    </w:rPr>
  </w:style>
  <w:style w:type="paragraph" w:styleId="34">
    <w:name w:val="Body Text Indent 3"/>
    <w:basedOn w:val="1"/>
    <w:link w:val="74"/>
    <w:semiHidden/>
    <w:unhideWhenUsed/>
    <w:qFormat/>
    <w:uiPriority w:val="99"/>
    <w:pPr>
      <w:snapToGrid w:val="0"/>
      <w:ind w:firstLine="480" w:firstLineChars="200"/>
      <w:jc w:val="left"/>
    </w:pPr>
    <w:rPr>
      <w:rFonts w:ascii="仿宋_GB2312" w:hAnsi="宋体" w:eastAsia="仿宋_GB2312"/>
      <w:color w:val="000000"/>
      <w:sz w:val="24"/>
      <w:szCs w:val="24"/>
    </w:rPr>
  </w:style>
  <w:style w:type="paragraph" w:styleId="35">
    <w:name w:val="toc 2"/>
    <w:basedOn w:val="1"/>
    <w:next w:val="1"/>
    <w:semiHidden/>
    <w:unhideWhenUsed/>
    <w:qFormat/>
    <w:uiPriority w:val="39"/>
    <w:pPr>
      <w:ind w:left="420" w:leftChars="200"/>
    </w:pPr>
  </w:style>
  <w:style w:type="paragraph" w:styleId="36">
    <w:name w:val="toc 9"/>
    <w:basedOn w:val="1"/>
    <w:next w:val="1"/>
    <w:semiHidden/>
    <w:unhideWhenUsed/>
    <w:qFormat/>
    <w:uiPriority w:val="39"/>
    <w:pPr>
      <w:snapToGrid w:val="0"/>
      <w:spacing w:line="600" w:lineRule="exact"/>
      <w:ind w:left="4160"/>
      <w:jc w:val="left"/>
    </w:pPr>
    <w:rPr>
      <w:rFonts w:ascii="Times New Roman" w:hAnsi="Times New Roman"/>
      <w:kern w:val="0"/>
      <w:sz w:val="18"/>
      <w:szCs w:val="18"/>
    </w:rPr>
  </w:style>
  <w:style w:type="paragraph" w:styleId="37">
    <w:name w:val="Body Text 2"/>
    <w:basedOn w:val="1"/>
    <w:link w:val="71"/>
    <w:semiHidden/>
    <w:unhideWhenUsed/>
    <w:qFormat/>
    <w:uiPriority w:val="99"/>
    <w:pPr>
      <w:widowControl/>
      <w:snapToGrid w:val="0"/>
      <w:spacing w:before="50" w:line="400" w:lineRule="exact"/>
      <w:jc w:val="left"/>
    </w:pPr>
    <w:rPr>
      <w:rFonts w:ascii="宋体" w:hAnsi="宋体"/>
      <w:color w:val="000000"/>
      <w:sz w:val="24"/>
      <w:szCs w:val="24"/>
    </w:rPr>
  </w:style>
  <w:style w:type="paragraph" w:styleId="38">
    <w:name w:val="HTML Preformatted"/>
    <w:basedOn w:val="1"/>
    <w:link w:val="62"/>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39">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40">
    <w:name w:val="Title"/>
    <w:basedOn w:val="1"/>
    <w:next w:val="1"/>
    <w:link w:val="147"/>
    <w:qFormat/>
    <w:uiPriority w:val="10"/>
    <w:pPr>
      <w:spacing w:before="240" w:after="60"/>
      <w:jc w:val="center"/>
      <w:outlineLvl w:val="0"/>
    </w:pPr>
    <w:rPr>
      <w:rFonts w:ascii="Cambria" w:hAnsi="Cambria"/>
      <w:b/>
      <w:bCs/>
      <w:kern w:val="0"/>
      <w:sz w:val="32"/>
      <w:szCs w:val="32"/>
    </w:rPr>
  </w:style>
  <w:style w:type="paragraph" w:styleId="41">
    <w:name w:val="annotation subject"/>
    <w:basedOn w:val="14"/>
    <w:next w:val="14"/>
    <w:link w:val="77"/>
    <w:semiHidden/>
    <w:unhideWhenUsed/>
    <w:qFormat/>
    <w:uiPriority w:val="99"/>
    <w:rPr>
      <w:b/>
      <w:bCs/>
    </w:rPr>
  </w:style>
  <w:style w:type="paragraph" w:styleId="42">
    <w:name w:val="Body Text First Indent"/>
    <w:basedOn w:val="16"/>
    <w:link w:val="70"/>
    <w:semiHidden/>
    <w:unhideWhenUsed/>
    <w:qFormat/>
    <w:uiPriority w:val="99"/>
    <w:pPr>
      <w:ind w:firstLine="420" w:firstLineChars="100"/>
    </w:pPr>
  </w:style>
  <w:style w:type="table" w:styleId="44">
    <w:name w:val="Table Grid"/>
    <w:basedOn w:val="43"/>
    <w:qFormat/>
    <w:uiPriority w:val="39"/>
    <w:rPr>
      <w:rFonts w:ascii="Calibri" w:hAnsi="Calibri" w:eastAsia="宋体"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qFormat/>
    <w:uiPriority w:val="22"/>
    <w:rPr>
      <w:rFonts w:hint="default" w:ascii="Times New Roman" w:hAnsi="Times New Roman" w:cs="Times New Roman"/>
      <w:b/>
    </w:rPr>
  </w:style>
  <w:style w:type="character" w:styleId="47">
    <w:name w:val="page number"/>
    <w:basedOn w:val="45"/>
    <w:semiHidden/>
    <w:unhideWhenUsed/>
    <w:qFormat/>
    <w:uiPriority w:val="99"/>
    <w:rPr>
      <w:rFonts w:hint="default" w:ascii="Times New Roman" w:hAnsi="Times New Roman" w:cs="Times New Roman"/>
    </w:rPr>
  </w:style>
  <w:style w:type="character" w:styleId="48">
    <w:name w:val="FollowedHyperlink"/>
    <w:semiHidden/>
    <w:unhideWhenUsed/>
    <w:qFormat/>
    <w:uiPriority w:val="99"/>
    <w:rPr>
      <w:color w:val="800080"/>
      <w:u w:val="single"/>
    </w:rPr>
  </w:style>
  <w:style w:type="character" w:styleId="49">
    <w:name w:val="Emphasis"/>
    <w:qFormat/>
    <w:uiPriority w:val="20"/>
    <w:rPr>
      <w:color w:val="CC0033"/>
    </w:rPr>
  </w:style>
  <w:style w:type="character" w:styleId="50">
    <w:name w:val="Hyperlink"/>
    <w:basedOn w:val="45"/>
    <w:semiHidden/>
    <w:unhideWhenUsed/>
    <w:qFormat/>
    <w:uiPriority w:val="99"/>
    <w:rPr>
      <w:color w:val="0000FF"/>
      <w:u w:val="single"/>
    </w:rPr>
  </w:style>
  <w:style w:type="character" w:styleId="51">
    <w:name w:val="annotation reference"/>
    <w:semiHidden/>
    <w:unhideWhenUsed/>
    <w:qFormat/>
    <w:uiPriority w:val="99"/>
    <w:rPr>
      <w:sz w:val="21"/>
      <w:szCs w:val="21"/>
    </w:rPr>
  </w:style>
  <w:style w:type="character" w:styleId="52">
    <w:name w:val="footnote reference"/>
    <w:semiHidden/>
    <w:unhideWhenUsed/>
    <w:qFormat/>
    <w:uiPriority w:val="99"/>
    <w:rPr>
      <w:vertAlign w:val="superscript"/>
    </w:rPr>
  </w:style>
  <w:style w:type="character" w:customStyle="1" w:styleId="53">
    <w:name w:val="页眉 字符"/>
    <w:basedOn w:val="45"/>
    <w:link w:val="28"/>
    <w:qFormat/>
    <w:uiPriority w:val="99"/>
    <w:rPr>
      <w:sz w:val="18"/>
      <w:szCs w:val="18"/>
    </w:rPr>
  </w:style>
  <w:style w:type="character" w:customStyle="1" w:styleId="54">
    <w:name w:val="页脚 字符"/>
    <w:basedOn w:val="45"/>
    <w:link w:val="27"/>
    <w:qFormat/>
    <w:uiPriority w:val="99"/>
    <w:rPr>
      <w:sz w:val="18"/>
      <w:szCs w:val="18"/>
    </w:rPr>
  </w:style>
  <w:style w:type="character" w:customStyle="1" w:styleId="55">
    <w:name w:val="标题 1 字符"/>
    <w:basedOn w:val="45"/>
    <w:link w:val="2"/>
    <w:qFormat/>
    <w:uiPriority w:val="9"/>
    <w:rPr>
      <w:rFonts w:ascii="Times New Roman" w:hAnsi="Times New Roman" w:eastAsia="隶书" w:cs="Times New Roman"/>
      <w:b/>
      <w:bCs/>
      <w:kern w:val="0"/>
      <w:sz w:val="36"/>
      <w:szCs w:val="36"/>
    </w:rPr>
  </w:style>
  <w:style w:type="character" w:customStyle="1" w:styleId="56">
    <w:name w:val="标题 2 字符"/>
    <w:basedOn w:val="45"/>
    <w:link w:val="3"/>
    <w:semiHidden/>
    <w:qFormat/>
    <w:uiPriority w:val="9"/>
    <w:rPr>
      <w:rFonts w:ascii="Arial" w:hAnsi="Arial" w:eastAsia="黑体" w:cs="Times New Roman"/>
      <w:b/>
      <w:bCs/>
      <w:sz w:val="32"/>
      <w:szCs w:val="32"/>
    </w:rPr>
  </w:style>
  <w:style w:type="character" w:customStyle="1" w:styleId="57">
    <w:name w:val="标题 3 字符"/>
    <w:basedOn w:val="45"/>
    <w:link w:val="4"/>
    <w:semiHidden/>
    <w:qFormat/>
    <w:uiPriority w:val="0"/>
    <w:rPr>
      <w:rFonts w:ascii="Calibri" w:hAnsi="Calibri" w:eastAsia="宋体" w:cs="Times New Roman"/>
      <w:b/>
      <w:bCs/>
      <w:sz w:val="32"/>
      <w:szCs w:val="32"/>
    </w:rPr>
  </w:style>
  <w:style w:type="character" w:customStyle="1" w:styleId="58">
    <w:name w:val="标题 4 字符"/>
    <w:basedOn w:val="45"/>
    <w:link w:val="5"/>
    <w:semiHidden/>
    <w:qFormat/>
    <w:uiPriority w:val="9"/>
    <w:rPr>
      <w:rFonts w:ascii="Arial" w:hAnsi="Arial" w:eastAsia="黑体" w:cs="Times New Roman"/>
      <w:b/>
      <w:bCs/>
      <w:sz w:val="28"/>
      <w:szCs w:val="28"/>
    </w:rPr>
  </w:style>
  <w:style w:type="character" w:customStyle="1" w:styleId="59">
    <w:name w:val="标题 5 字符"/>
    <w:basedOn w:val="45"/>
    <w:link w:val="6"/>
    <w:semiHidden/>
    <w:qFormat/>
    <w:uiPriority w:val="9"/>
    <w:rPr>
      <w:rFonts w:ascii="Times New Roman" w:hAnsi="Times New Roman" w:eastAsia="宋体" w:cs="Times New Roman"/>
      <w:b/>
      <w:bCs/>
      <w:sz w:val="28"/>
      <w:szCs w:val="28"/>
    </w:rPr>
  </w:style>
  <w:style w:type="character" w:customStyle="1" w:styleId="60">
    <w:name w:val="标题 6 字符"/>
    <w:basedOn w:val="45"/>
    <w:link w:val="7"/>
    <w:semiHidden/>
    <w:qFormat/>
    <w:uiPriority w:val="9"/>
    <w:rPr>
      <w:rFonts w:ascii="Arial" w:hAnsi="Arial" w:eastAsia="黑体" w:cs="Times New Roman"/>
      <w:b/>
      <w:bCs/>
      <w:sz w:val="24"/>
      <w:szCs w:val="24"/>
    </w:rPr>
  </w:style>
  <w:style w:type="character" w:customStyle="1" w:styleId="61">
    <w:name w:val="标题 7 字符"/>
    <w:basedOn w:val="45"/>
    <w:link w:val="8"/>
    <w:semiHidden/>
    <w:qFormat/>
    <w:uiPriority w:val="9"/>
    <w:rPr>
      <w:rFonts w:ascii="宋体" w:hAnsi="宋体" w:eastAsia="宋体" w:cs="Times New Roman"/>
      <w:b/>
      <w:bCs/>
      <w:kern w:val="0"/>
      <w:sz w:val="24"/>
      <w:szCs w:val="24"/>
    </w:rPr>
  </w:style>
  <w:style w:type="character" w:customStyle="1" w:styleId="62">
    <w:name w:val="HTML 预设格式 字符"/>
    <w:basedOn w:val="45"/>
    <w:link w:val="38"/>
    <w:semiHidden/>
    <w:qFormat/>
    <w:uiPriority w:val="99"/>
    <w:rPr>
      <w:rFonts w:ascii="Courier New" w:hAnsi="Courier New" w:eastAsia="宋体" w:cs="Times New Roman"/>
      <w:sz w:val="20"/>
      <w:szCs w:val="20"/>
    </w:rPr>
  </w:style>
  <w:style w:type="character" w:customStyle="1" w:styleId="63">
    <w:name w:val="正文缩进 字符"/>
    <w:link w:val="11"/>
    <w:semiHidden/>
    <w:qFormat/>
    <w:locked/>
    <w:uiPriority w:val="0"/>
  </w:style>
  <w:style w:type="character" w:customStyle="1" w:styleId="64">
    <w:name w:val="脚注文本 字符"/>
    <w:basedOn w:val="45"/>
    <w:link w:val="32"/>
    <w:semiHidden/>
    <w:qFormat/>
    <w:uiPriority w:val="99"/>
    <w:rPr>
      <w:rFonts w:ascii="Calibri" w:hAnsi="Calibri" w:eastAsia="宋体" w:cs="Times New Roman"/>
      <w:sz w:val="18"/>
      <w:szCs w:val="18"/>
    </w:rPr>
  </w:style>
  <w:style w:type="character" w:customStyle="1" w:styleId="65">
    <w:name w:val="批注文字 字符"/>
    <w:basedOn w:val="45"/>
    <w:link w:val="14"/>
    <w:semiHidden/>
    <w:qFormat/>
    <w:uiPriority w:val="99"/>
    <w:rPr>
      <w:rFonts w:ascii="Calibri" w:hAnsi="Calibri" w:eastAsia="宋体" w:cs="Times New Roman"/>
    </w:rPr>
  </w:style>
  <w:style w:type="character" w:customStyle="1" w:styleId="66">
    <w:name w:val="标题 Char"/>
    <w:basedOn w:val="45"/>
    <w:qFormat/>
    <w:uiPriority w:val="0"/>
    <w:rPr>
      <w:rFonts w:eastAsia="宋体" w:asciiTheme="majorHAnsi" w:hAnsiTheme="majorHAnsi" w:cstheme="majorBidi"/>
      <w:b/>
      <w:bCs/>
      <w:sz w:val="32"/>
      <w:szCs w:val="32"/>
    </w:rPr>
  </w:style>
  <w:style w:type="character" w:customStyle="1" w:styleId="67">
    <w:name w:val="正文文本 字符"/>
    <w:basedOn w:val="45"/>
    <w:link w:val="16"/>
    <w:semiHidden/>
    <w:qFormat/>
    <w:uiPriority w:val="99"/>
    <w:rPr>
      <w:rFonts w:ascii="Calibri" w:hAnsi="Calibri" w:eastAsia="宋体" w:cs="Times New Roman"/>
    </w:rPr>
  </w:style>
  <w:style w:type="character" w:customStyle="1" w:styleId="68">
    <w:name w:val="正文文本缩进 字符"/>
    <w:basedOn w:val="45"/>
    <w:link w:val="17"/>
    <w:semiHidden/>
    <w:qFormat/>
    <w:uiPriority w:val="99"/>
    <w:rPr>
      <w:rFonts w:ascii="宋体" w:hAnsi="Courier New" w:eastAsia="宋体" w:cs="Times New Roman"/>
      <w:spacing w:val="-4"/>
      <w:sz w:val="18"/>
      <w:szCs w:val="20"/>
    </w:rPr>
  </w:style>
  <w:style w:type="character" w:customStyle="1" w:styleId="69">
    <w:name w:val="日期 Char"/>
    <w:basedOn w:val="45"/>
    <w:semiHidden/>
    <w:qFormat/>
    <w:uiPriority w:val="0"/>
    <w:rPr>
      <w:rFonts w:ascii="Calibri" w:hAnsi="Calibri" w:eastAsia="宋体" w:cs="Times New Roman"/>
    </w:rPr>
  </w:style>
  <w:style w:type="character" w:customStyle="1" w:styleId="70">
    <w:name w:val="正文首行缩进 字符"/>
    <w:basedOn w:val="67"/>
    <w:link w:val="42"/>
    <w:semiHidden/>
    <w:qFormat/>
    <w:uiPriority w:val="99"/>
    <w:rPr>
      <w:rFonts w:ascii="Calibri" w:hAnsi="Calibri" w:eastAsia="宋体" w:cs="Times New Roman"/>
    </w:rPr>
  </w:style>
  <w:style w:type="character" w:customStyle="1" w:styleId="71">
    <w:name w:val="正文文本 2 字符"/>
    <w:basedOn w:val="45"/>
    <w:link w:val="37"/>
    <w:semiHidden/>
    <w:qFormat/>
    <w:uiPriority w:val="0"/>
    <w:rPr>
      <w:rFonts w:ascii="宋体" w:hAnsi="宋体" w:eastAsia="宋体" w:cs="Times New Roman"/>
      <w:color w:val="000000"/>
      <w:sz w:val="24"/>
      <w:szCs w:val="24"/>
    </w:rPr>
  </w:style>
  <w:style w:type="character" w:customStyle="1" w:styleId="72">
    <w:name w:val="正文文本 3 字符"/>
    <w:basedOn w:val="45"/>
    <w:link w:val="15"/>
    <w:semiHidden/>
    <w:qFormat/>
    <w:uiPriority w:val="99"/>
    <w:rPr>
      <w:rFonts w:ascii="Times New Roman" w:hAnsi="宋体" w:eastAsia="仿宋_GB2312" w:cs="Times New Roman"/>
      <w:b/>
      <w:bCs/>
      <w:sz w:val="24"/>
      <w:szCs w:val="20"/>
    </w:rPr>
  </w:style>
  <w:style w:type="character" w:customStyle="1" w:styleId="73">
    <w:name w:val="正文文本缩进 2 字符"/>
    <w:basedOn w:val="45"/>
    <w:link w:val="25"/>
    <w:semiHidden/>
    <w:qFormat/>
    <w:uiPriority w:val="99"/>
    <w:rPr>
      <w:rFonts w:ascii="仿宋_GB2312" w:hAnsi="宋体" w:eastAsia="宋体" w:cs="Arial"/>
      <w:b/>
      <w:bCs/>
      <w:color w:val="000000"/>
      <w:sz w:val="24"/>
      <w:szCs w:val="24"/>
    </w:rPr>
  </w:style>
  <w:style w:type="character" w:customStyle="1" w:styleId="74">
    <w:name w:val="正文文本缩进 3 字符"/>
    <w:basedOn w:val="45"/>
    <w:link w:val="34"/>
    <w:semiHidden/>
    <w:qFormat/>
    <w:uiPriority w:val="99"/>
    <w:rPr>
      <w:rFonts w:ascii="仿宋_GB2312" w:hAnsi="宋体" w:eastAsia="仿宋_GB2312" w:cs="Times New Roman"/>
      <w:color w:val="000000"/>
      <w:sz w:val="24"/>
      <w:szCs w:val="24"/>
    </w:rPr>
  </w:style>
  <w:style w:type="character" w:customStyle="1" w:styleId="75">
    <w:name w:val="文档结构图 Char"/>
    <w:basedOn w:val="45"/>
    <w:semiHidden/>
    <w:qFormat/>
    <w:uiPriority w:val="0"/>
    <w:rPr>
      <w:rFonts w:ascii="宋体" w:hAnsi="Calibri" w:eastAsia="宋体" w:cs="Times New Roman"/>
      <w:sz w:val="18"/>
      <w:szCs w:val="18"/>
    </w:rPr>
  </w:style>
  <w:style w:type="character" w:customStyle="1" w:styleId="76">
    <w:name w:val="纯文本 Char"/>
    <w:basedOn w:val="45"/>
    <w:semiHidden/>
    <w:qFormat/>
    <w:uiPriority w:val="0"/>
    <w:rPr>
      <w:rFonts w:ascii="宋体" w:hAnsi="Courier New" w:eastAsia="宋体" w:cs="Courier New"/>
      <w:szCs w:val="21"/>
    </w:rPr>
  </w:style>
  <w:style w:type="character" w:customStyle="1" w:styleId="77">
    <w:name w:val="批注主题 字符"/>
    <w:basedOn w:val="65"/>
    <w:link w:val="41"/>
    <w:semiHidden/>
    <w:qFormat/>
    <w:uiPriority w:val="99"/>
    <w:rPr>
      <w:rFonts w:ascii="Calibri" w:hAnsi="Calibri" w:eastAsia="宋体" w:cs="Times New Roman"/>
      <w:b/>
      <w:bCs/>
    </w:rPr>
  </w:style>
  <w:style w:type="character" w:customStyle="1" w:styleId="78">
    <w:name w:val="批注框文本 字符"/>
    <w:basedOn w:val="45"/>
    <w:link w:val="26"/>
    <w:semiHidden/>
    <w:qFormat/>
    <w:uiPriority w:val="99"/>
    <w:rPr>
      <w:rFonts w:ascii="Calibri" w:hAnsi="Calibri" w:eastAsia="宋体" w:cs="Times New Roman"/>
      <w:sz w:val="18"/>
      <w:szCs w:val="18"/>
    </w:rPr>
  </w:style>
  <w:style w:type="character" w:customStyle="1" w:styleId="79">
    <w:name w:val="a Char"/>
    <w:link w:val="80"/>
    <w:qFormat/>
    <w:locked/>
    <w:uiPriority w:val="0"/>
    <w:rPr>
      <w:rFonts w:ascii="宋体" w:hAnsi="宋体" w:eastAsia="仿宋_GB2312"/>
      <w:sz w:val="24"/>
    </w:rPr>
  </w:style>
  <w:style w:type="paragraph" w:customStyle="1" w:styleId="80">
    <w:name w:val="a"/>
    <w:basedOn w:val="1"/>
    <w:link w:val="79"/>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81">
    <w:name w:val="列出段落1 Char"/>
    <w:link w:val="82"/>
    <w:qFormat/>
    <w:locked/>
    <w:uiPriority w:val="99"/>
    <w:rPr>
      <w:rFonts w:ascii="Calibri" w:hAnsi="Calibri" w:cs="Calibri"/>
      <w:szCs w:val="21"/>
    </w:rPr>
  </w:style>
  <w:style w:type="paragraph" w:customStyle="1" w:styleId="82">
    <w:name w:val="列出段落1"/>
    <w:basedOn w:val="1"/>
    <w:link w:val="81"/>
    <w:qFormat/>
    <w:uiPriority w:val="34"/>
    <w:pPr>
      <w:ind w:firstLine="420" w:firstLineChars="200"/>
    </w:pPr>
    <w:rPr>
      <w:rFonts w:cs="Calibri" w:eastAsiaTheme="minorEastAsia"/>
      <w:szCs w:val="21"/>
    </w:rPr>
  </w:style>
  <w:style w:type="paragraph" w:customStyle="1" w:styleId="83">
    <w:name w:val="a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4">
    <w:name w:val="大表 mt"/>
    <w:basedOn w:val="1"/>
    <w:qFormat/>
    <w:uiPriority w:val="99"/>
    <w:pPr>
      <w:widowControl/>
      <w:jc w:val="left"/>
    </w:pPr>
    <w:rPr>
      <w:rFonts w:ascii="宋体" w:hAnsi="宋体" w:cs="宋体"/>
      <w:kern w:val="0"/>
      <w:szCs w:val="21"/>
    </w:rPr>
  </w:style>
  <w:style w:type="paragraph" w:customStyle="1" w:styleId="85">
    <w:name w:val="正文首行缩进:2字符"/>
    <w:basedOn w:val="1"/>
    <w:qFormat/>
    <w:uiPriority w:val="99"/>
    <w:pPr>
      <w:spacing w:line="360" w:lineRule="auto"/>
      <w:ind w:firstLine="480" w:firstLineChars="200"/>
    </w:pPr>
    <w:rPr>
      <w:rFonts w:ascii="Times New Roman" w:hAnsi="Times New Roman" w:cs="宋体"/>
      <w:szCs w:val="20"/>
    </w:rPr>
  </w:style>
  <w:style w:type="paragraph" w:customStyle="1" w:styleId="86">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87">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88">
    <w:name w:val="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89">
    <w:name w:val="纯文本1"/>
    <w:basedOn w:val="1"/>
    <w:qFormat/>
    <w:uiPriority w:val="99"/>
    <w:pPr>
      <w:spacing w:beforeLines="50" w:line="400" w:lineRule="exact"/>
    </w:pPr>
    <w:rPr>
      <w:rFonts w:ascii="宋体" w:hAnsi="Courier New" w:eastAsia="黑体"/>
      <w:sz w:val="24"/>
      <w:szCs w:val="24"/>
    </w:rPr>
  </w:style>
  <w:style w:type="paragraph" w:customStyle="1" w:styleId="90">
    <w:name w:val="wellhope正文"/>
    <w:basedOn w:val="1"/>
    <w:qFormat/>
    <w:uiPriority w:val="99"/>
    <w:pPr>
      <w:spacing w:before="60" w:after="60" w:line="360" w:lineRule="auto"/>
      <w:ind w:firstLine="200" w:firstLineChars="200"/>
    </w:pPr>
    <w:rPr>
      <w:rFonts w:ascii="Times New Roman" w:hAnsi="Times New Roman"/>
      <w:sz w:val="24"/>
      <w:szCs w:val="20"/>
    </w:rPr>
  </w:style>
  <w:style w:type="paragraph" w:customStyle="1" w:styleId="91">
    <w:name w:val="Char1"/>
    <w:basedOn w:val="1"/>
    <w:qFormat/>
    <w:uiPriority w:val="99"/>
    <w:rPr>
      <w:rFonts w:ascii="仿宋_GB2312" w:hAnsi="Times New Roman" w:eastAsia="仿宋_GB2312"/>
      <w:b/>
      <w:sz w:val="32"/>
      <w:szCs w:val="32"/>
    </w:rPr>
  </w:style>
  <w:style w:type="paragraph" w:customStyle="1" w:styleId="92">
    <w:name w:val="项目圆"/>
    <w:basedOn w:val="1"/>
    <w:qFormat/>
    <w:uiPriority w:val="99"/>
    <w:pPr>
      <w:tabs>
        <w:tab w:val="left" w:pos="840"/>
      </w:tabs>
      <w:spacing w:beforeLines="50" w:line="360" w:lineRule="auto"/>
      <w:ind w:left="454"/>
    </w:pPr>
    <w:rPr>
      <w:rFonts w:ascii="Times New Roman" w:hAnsi="Times New Roman"/>
      <w:szCs w:val="24"/>
    </w:rPr>
  </w:style>
  <w:style w:type="paragraph" w:customStyle="1" w:styleId="93">
    <w:name w:val="paragraph1"/>
    <w:basedOn w:val="1"/>
    <w:qFormat/>
    <w:uiPriority w:val="99"/>
    <w:pPr>
      <w:spacing w:line="360" w:lineRule="auto"/>
      <w:ind w:firstLine="420" w:firstLineChars="200"/>
    </w:pPr>
    <w:rPr>
      <w:rFonts w:ascii="Times New Roman" w:hAnsi="Times New Roman" w:eastAsia="楷体_GB2312"/>
      <w:sz w:val="24"/>
      <w:szCs w:val="20"/>
    </w:rPr>
  </w:style>
  <w:style w:type="paragraph" w:customStyle="1" w:styleId="94">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95">
    <w:name w:val="_Style 64"/>
    <w:basedOn w:val="1"/>
    <w:qFormat/>
    <w:uiPriority w:val="99"/>
    <w:rPr>
      <w:rFonts w:ascii="Times New Roman" w:hAnsi="Times New Roman"/>
      <w:sz w:val="24"/>
      <w:szCs w:val="24"/>
    </w:rPr>
  </w:style>
  <w:style w:type="paragraph" w:customStyle="1" w:styleId="96">
    <w:name w:val="Proposals body"/>
    <w:basedOn w:val="1"/>
    <w:next w:val="1"/>
    <w:qFormat/>
    <w:uiPriority w:val="99"/>
    <w:pPr>
      <w:widowControl/>
      <w:snapToGrid w:val="0"/>
      <w:spacing w:line="360" w:lineRule="auto"/>
      <w:jc w:val="left"/>
    </w:pPr>
    <w:rPr>
      <w:rFonts w:ascii="宋体" w:hAnsi="Times New Roman"/>
      <w:color w:val="000000"/>
      <w:kern w:val="0"/>
      <w:sz w:val="24"/>
      <w:szCs w:val="20"/>
    </w:rPr>
  </w:style>
  <w:style w:type="paragraph" w:customStyle="1" w:styleId="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98">
    <w:name w:val="样式 正文缩进 + 首行缩进:  2 字符"/>
    <w:basedOn w:val="11"/>
    <w:qFormat/>
    <w:uiPriority w:val="99"/>
    <w:pPr>
      <w:tabs>
        <w:tab w:val="left" w:pos="1080"/>
      </w:tabs>
      <w:spacing w:line="360" w:lineRule="auto"/>
      <w:ind w:left="1080" w:hanging="540"/>
    </w:pPr>
    <w:rPr>
      <w:rFonts w:ascii="宋体" w:hAnsi="宋体"/>
      <w:sz w:val="24"/>
      <w:szCs w:val="24"/>
    </w:rPr>
  </w:style>
  <w:style w:type="paragraph" w:customStyle="1" w:styleId="99">
    <w:name w:val="Pa3"/>
    <w:basedOn w:val="1"/>
    <w:next w:val="1"/>
    <w:qFormat/>
    <w:uiPriority w:val="99"/>
    <w:pPr>
      <w:widowControl/>
      <w:autoSpaceDE w:val="0"/>
      <w:autoSpaceDN w:val="0"/>
      <w:adjustRightInd w:val="0"/>
      <w:spacing w:line="141" w:lineRule="atLeast"/>
      <w:jc w:val="left"/>
    </w:pPr>
    <w:rPr>
      <w:rFonts w:ascii="Univers 57 Condensed" w:hAnsi="Times New Roman" w:eastAsia="Univers 57 Condensed"/>
      <w:kern w:val="0"/>
      <w:sz w:val="24"/>
      <w:szCs w:val="24"/>
    </w:rPr>
  </w:style>
  <w:style w:type="paragraph" w:customStyle="1" w:styleId="100">
    <w:name w:val="文档正文"/>
    <w:basedOn w:val="1"/>
    <w:qFormat/>
    <w:uiPriority w:val="99"/>
    <w:pPr>
      <w:adjustRightInd w:val="0"/>
      <w:spacing w:before="60" w:after="60" w:line="360" w:lineRule="auto"/>
      <w:ind w:firstLine="227"/>
    </w:pPr>
    <w:rPr>
      <w:rFonts w:ascii="宋体" w:hAnsi="Times New Roman"/>
      <w:kern w:val="0"/>
      <w:sz w:val="24"/>
      <w:szCs w:val="24"/>
    </w:rPr>
  </w:style>
  <w:style w:type="paragraph" w:customStyle="1" w:styleId="101">
    <w:name w:val="Char Char Char Char Char Char Char Char Char"/>
    <w:basedOn w:val="1"/>
    <w:qFormat/>
    <w:uiPriority w:val="99"/>
  </w:style>
  <w:style w:type="paragraph" w:customStyle="1" w:styleId="102">
    <w:name w:val="p0"/>
    <w:basedOn w:val="1"/>
    <w:qFormat/>
    <w:uiPriority w:val="99"/>
    <w:pPr>
      <w:widowControl/>
      <w:jc w:val="left"/>
    </w:pPr>
    <w:rPr>
      <w:rFonts w:ascii="Arial" w:hAnsi="Arial" w:cs="Arial"/>
      <w:kern w:val="0"/>
      <w:sz w:val="20"/>
      <w:szCs w:val="20"/>
    </w:rPr>
  </w:style>
  <w:style w:type="character" w:customStyle="1" w:styleId="103">
    <w:name w:val="正文2 Char"/>
    <w:link w:val="104"/>
    <w:qFormat/>
    <w:locked/>
    <w:uiPriority w:val="99"/>
    <w:rPr>
      <w:rFonts w:ascii="Times New Roman" w:hAnsi="Times New Roman" w:cs="Times New Roman"/>
      <w:sz w:val="24"/>
    </w:rPr>
  </w:style>
  <w:style w:type="paragraph" w:customStyle="1" w:styleId="104">
    <w:name w:val="正文2"/>
    <w:next w:val="29"/>
    <w:link w:val="103"/>
    <w:qFormat/>
    <w:uiPriority w:val="99"/>
    <w:pPr>
      <w:widowControl w:val="0"/>
      <w:spacing w:before="156" w:line="360" w:lineRule="auto"/>
      <w:ind w:firstLine="200" w:firstLineChars="200"/>
      <w:jc w:val="both"/>
    </w:pPr>
    <w:rPr>
      <w:rFonts w:ascii="Times New Roman" w:hAnsi="Times New Roman" w:cs="Times New Roman" w:eastAsiaTheme="minorEastAsia"/>
      <w:kern w:val="2"/>
      <w:sz w:val="24"/>
      <w:szCs w:val="22"/>
      <w:lang w:val="en-US" w:eastAsia="zh-CN" w:bidi="ar-SA"/>
    </w:rPr>
  </w:style>
  <w:style w:type="paragraph" w:customStyle="1" w:styleId="105">
    <w:name w:val="样式 标题 1标题1(cj) +"/>
    <w:basedOn w:val="2"/>
    <w:qFormat/>
    <w:uiPriority w:val="99"/>
    <w:pPr>
      <w:keepNext/>
      <w:keepLines/>
      <w:tabs>
        <w:tab w:val="left" w:pos="360"/>
      </w:tabs>
      <w:spacing w:before="340" w:after="330"/>
      <w:jc w:val="left"/>
    </w:pPr>
    <w:rPr>
      <w:rFonts w:ascii="宋体" w:hAnsi="Arial" w:eastAsia="仿宋_GB2312"/>
      <w:bCs w:val="0"/>
      <w:color w:val="000000"/>
      <w:sz w:val="32"/>
      <w:szCs w:val="20"/>
    </w:rPr>
  </w:style>
  <w:style w:type="paragraph" w:customStyle="1" w:styleId="106">
    <w:name w:val="图文框"/>
    <w:basedOn w:val="1"/>
    <w:qFormat/>
    <w:uiPriority w:val="99"/>
    <w:pPr>
      <w:jc w:val="center"/>
    </w:pPr>
    <w:rPr>
      <w:rFonts w:ascii="仿宋_GB2312" w:hAnsi="Times New Roman" w:eastAsia="仿宋_GB2312"/>
      <w:szCs w:val="24"/>
    </w:rPr>
  </w:style>
  <w:style w:type="character" w:customStyle="1" w:styleId="107">
    <w:name w:val="样式1 Char"/>
    <w:link w:val="108"/>
    <w:qFormat/>
    <w:locked/>
    <w:uiPriority w:val="0"/>
    <w:rPr>
      <w:rFonts w:ascii="Arial" w:hAnsi="Arial" w:cs="Arial"/>
    </w:rPr>
  </w:style>
  <w:style w:type="paragraph" w:customStyle="1" w:styleId="108">
    <w:name w:val="样式1"/>
    <w:basedOn w:val="1"/>
    <w:link w:val="107"/>
    <w:qFormat/>
    <w:uiPriority w:val="0"/>
    <w:pPr>
      <w:spacing w:line="360" w:lineRule="exact"/>
      <w:ind w:firstLine="200" w:firstLineChars="200"/>
    </w:pPr>
    <w:rPr>
      <w:rFonts w:ascii="Arial" w:hAnsi="Arial" w:cs="Arial" w:eastAsiaTheme="minorEastAsia"/>
    </w:rPr>
  </w:style>
  <w:style w:type="paragraph" w:customStyle="1" w:styleId="109">
    <w:name w:val="文档正文 Char"/>
    <w:basedOn w:val="1"/>
    <w:qFormat/>
    <w:uiPriority w:val="99"/>
    <w:pPr>
      <w:adjustRightInd w:val="0"/>
      <w:spacing w:line="500" w:lineRule="exact"/>
      <w:ind w:firstLine="567"/>
    </w:pPr>
    <w:rPr>
      <w:rFonts w:ascii="仿宋_GB2312" w:hAnsi="Times New Roman" w:eastAsia="仿宋_GB2312"/>
      <w:sz w:val="28"/>
      <w:szCs w:val="24"/>
    </w:rPr>
  </w:style>
  <w:style w:type="paragraph" w:customStyle="1" w:styleId="110">
    <w:name w:val="正文段"/>
    <w:basedOn w:val="1"/>
    <w:qFormat/>
    <w:uiPriority w:val="99"/>
    <w:pPr>
      <w:widowControl/>
      <w:snapToGrid w:val="0"/>
      <w:ind w:firstLine="200" w:firstLineChars="200"/>
    </w:pPr>
    <w:rPr>
      <w:rFonts w:ascii="Times New Roman" w:hAnsi="Times New Roman"/>
      <w:kern w:val="0"/>
      <w:sz w:val="24"/>
      <w:szCs w:val="20"/>
    </w:rPr>
  </w:style>
  <w:style w:type="paragraph" w:customStyle="1" w:styleId="111">
    <w:name w:val="Char Char Char Char Char Char Char"/>
    <w:basedOn w:val="1"/>
    <w:qFormat/>
    <w:uiPriority w:val="99"/>
    <w:pPr>
      <w:tabs>
        <w:tab w:val="left" w:pos="432"/>
      </w:tabs>
      <w:ind w:left="432" w:hanging="432"/>
    </w:pPr>
    <w:rPr>
      <w:rFonts w:ascii="Tahoma" w:hAnsi="Tahoma"/>
      <w:sz w:val="24"/>
      <w:szCs w:val="20"/>
    </w:rPr>
  </w:style>
  <w:style w:type="paragraph" w:customStyle="1" w:styleId="112">
    <w:name w:val="默认段落字体 Para Char Char Char Char Char Char Char Char Char1 Char Char Char Char"/>
    <w:basedOn w:val="1"/>
    <w:qFormat/>
    <w:uiPriority w:val="99"/>
    <w:rPr>
      <w:rFonts w:ascii="Tahoma" w:hAnsi="Tahoma"/>
      <w:sz w:val="24"/>
      <w:szCs w:val="20"/>
    </w:rPr>
  </w:style>
  <w:style w:type="paragraph" w:customStyle="1" w:styleId="113">
    <w:name w:val="序号"/>
    <w:basedOn w:val="1"/>
    <w:qFormat/>
    <w:uiPriority w:val="99"/>
    <w:pPr>
      <w:tabs>
        <w:tab w:val="left" w:pos="840"/>
      </w:tabs>
      <w:spacing w:line="360" w:lineRule="auto"/>
      <w:ind w:left="840" w:hanging="420"/>
    </w:pPr>
    <w:rPr>
      <w:rFonts w:ascii="Times New Roman" w:hAnsi="Times New Roman"/>
      <w:bCs/>
      <w:szCs w:val="24"/>
    </w:rPr>
  </w:style>
  <w:style w:type="paragraph" w:customStyle="1" w:styleId="114">
    <w:name w:val="样式 标题 1 + 段后: 0.5 行"/>
    <w:basedOn w:val="2"/>
    <w:qFormat/>
    <w:uiPriority w:val="99"/>
    <w:pPr>
      <w:keepNext/>
      <w:tabs>
        <w:tab w:val="left" w:pos="360"/>
      </w:tabs>
      <w:autoSpaceDE/>
      <w:autoSpaceDN/>
      <w:adjustRightInd/>
      <w:snapToGrid w:val="0"/>
      <w:spacing w:before="120" w:line="240" w:lineRule="auto"/>
      <w:jc w:val="left"/>
    </w:pPr>
    <w:rPr>
      <w:rFonts w:ascii="宋体" w:eastAsia="宋体"/>
      <w:bCs w:val="0"/>
      <w:sz w:val="28"/>
      <w:szCs w:val="20"/>
    </w:rPr>
  </w:style>
  <w:style w:type="paragraph" w:customStyle="1" w:styleId="115">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116">
    <w:name w:val="7.表小四"/>
    <w:basedOn w:val="1"/>
    <w:qFormat/>
    <w:uiPriority w:val="99"/>
    <w:pPr>
      <w:spacing w:beforeLines="50"/>
    </w:pPr>
    <w:rPr>
      <w:rFonts w:ascii="宋体" w:hAnsi="宋体"/>
      <w:sz w:val="24"/>
      <w:szCs w:val="24"/>
    </w:rPr>
  </w:style>
  <w:style w:type="character" w:customStyle="1" w:styleId="117">
    <w:name w:val="彩色列表 - 强调文字颜色 1 Char"/>
    <w:link w:val="118"/>
    <w:qFormat/>
    <w:locked/>
    <w:uiPriority w:val="99"/>
  </w:style>
  <w:style w:type="paragraph" w:customStyle="1" w:styleId="118">
    <w:name w:val="彩色列表 - 强调文字颜色 11"/>
    <w:basedOn w:val="1"/>
    <w:link w:val="117"/>
    <w:qFormat/>
    <w:uiPriority w:val="99"/>
    <w:pPr>
      <w:ind w:firstLine="420" w:firstLineChars="200"/>
    </w:pPr>
    <w:rPr>
      <w:rFonts w:asciiTheme="minorHAnsi" w:hAnsiTheme="minorHAnsi" w:eastAsiaTheme="minorEastAsia" w:cstheme="minorBidi"/>
    </w:rPr>
  </w:style>
  <w:style w:type="paragraph" w:customStyle="1" w:styleId="119">
    <w:name w:val="Char1 Char Char Char"/>
    <w:basedOn w:val="1"/>
    <w:qFormat/>
    <w:uiPriority w:val="99"/>
    <w:rPr>
      <w:rFonts w:ascii="Tahoma" w:hAnsi="Tahoma"/>
      <w:sz w:val="24"/>
      <w:szCs w:val="20"/>
    </w:rPr>
  </w:style>
  <w:style w:type="paragraph" w:customStyle="1" w:styleId="120">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121">
    <w:name w:val="表格文字"/>
    <w:basedOn w:val="1"/>
    <w:qFormat/>
    <w:uiPriority w:val="99"/>
    <w:pPr>
      <w:jc w:val="left"/>
    </w:pPr>
    <w:rPr>
      <w:rFonts w:ascii="Times New Roman" w:hAnsi="Times New Roman"/>
      <w:sz w:val="18"/>
      <w:szCs w:val="24"/>
    </w:rPr>
  </w:style>
  <w:style w:type="paragraph" w:customStyle="1" w:styleId="122">
    <w:name w:val="List Paragraph1"/>
    <w:basedOn w:val="1"/>
    <w:qFormat/>
    <w:uiPriority w:val="99"/>
    <w:pPr>
      <w:ind w:firstLine="420" w:firstLineChars="200"/>
    </w:pPr>
    <w:rPr>
      <w:rFonts w:ascii="Times New Roman" w:hAnsi="Times New Roman"/>
      <w:szCs w:val="24"/>
    </w:rPr>
  </w:style>
  <w:style w:type="character" w:customStyle="1" w:styleId="123">
    <w:name w:val="_正文段落 Char"/>
    <w:link w:val="124"/>
    <w:qFormat/>
    <w:locked/>
    <w:uiPriority w:val="0"/>
    <w:rPr>
      <w:rFonts w:ascii="Times New Roman" w:hAnsi="Times New Roman" w:cs="Times New Roman"/>
      <w:szCs w:val="24"/>
    </w:rPr>
  </w:style>
  <w:style w:type="paragraph" w:customStyle="1" w:styleId="124">
    <w:name w:val="_正文段落"/>
    <w:basedOn w:val="1"/>
    <w:link w:val="123"/>
    <w:qFormat/>
    <w:uiPriority w:val="0"/>
    <w:pPr>
      <w:spacing w:beforeLines="15" w:line="360" w:lineRule="auto"/>
      <w:ind w:firstLine="200" w:firstLineChars="200"/>
    </w:pPr>
    <w:rPr>
      <w:rFonts w:ascii="Times New Roman" w:hAnsi="Times New Roman" w:eastAsiaTheme="minorEastAsia"/>
      <w:szCs w:val="24"/>
    </w:rPr>
  </w:style>
  <w:style w:type="character" w:customStyle="1" w:styleId="125">
    <w:name w:val="InfoBlue Char"/>
    <w:link w:val="126"/>
    <w:qFormat/>
    <w:locked/>
    <w:uiPriority w:val="99"/>
    <w:rPr>
      <w:rFonts w:ascii="仿宋_GB2312" w:hAnsi="宋体" w:eastAsia="仿宋_GB2312"/>
      <w:sz w:val="30"/>
      <w:szCs w:val="30"/>
    </w:rPr>
  </w:style>
  <w:style w:type="paragraph" w:customStyle="1" w:styleId="126">
    <w:name w:val="InfoBlue"/>
    <w:basedOn w:val="1"/>
    <w:link w:val="125"/>
    <w:qFormat/>
    <w:uiPriority w:val="99"/>
    <w:pPr>
      <w:spacing w:before="120" w:after="120" w:line="360" w:lineRule="auto"/>
      <w:ind w:firstLine="600" w:firstLineChars="200"/>
    </w:pPr>
    <w:rPr>
      <w:rFonts w:ascii="仿宋_GB2312" w:hAnsi="宋体" w:eastAsia="仿宋_GB2312" w:cstheme="minorBidi"/>
      <w:sz w:val="30"/>
      <w:szCs w:val="30"/>
    </w:rPr>
  </w:style>
  <w:style w:type="paragraph" w:customStyle="1" w:styleId="127">
    <w:name w:val="样式 小四 行距: 1.5 倍行距"/>
    <w:basedOn w:val="1"/>
    <w:qFormat/>
    <w:uiPriority w:val="99"/>
    <w:pPr>
      <w:spacing w:line="360" w:lineRule="auto"/>
      <w:ind w:firstLine="480" w:firstLineChars="200"/>
    </w:pPr>
    <w:rPr>
      <w:rFonts w:ascii="Times New Roman" w:hAnsi="Times New Roman"/>
      <w:szCs w:val="20"/>
    </w:rPr>
  </w:style>
  <w:style w:type="character" w:customStyle="1" w:styleId="128">
    <w:name w:val="大汉方案正文 Char1"/>
    <w:link w:val="129"/>
    <w:qFormat/>
    <w:locked/>
    <w:uiPriority w:val="99"/>
    <w:rPr>
      <w:rFonts w:ascii="Arial" w:hAnsi="Arial" w:cs="Arial"/>
      <w:sz w:val="24"/>
    </w:rPr>
  </w:style>
  <w:style w:type="paragraph" w:customStyle="1" w:styleId="129">
    <w:name w:val="大汉方案正文"/>
    <w:basedOn w:val="1"/>
    <w:link w:val="128"/>
    <w:qFormat/>
    <w:uiPriority w:val="99"/>
    <w:pPr>
      <w:spacing w:line="360" w:lineRule="auto"/>
      <w:ind w:firstLine="200" w:firstLineChars="200"/>
    </w:pPr>
    <w:rPr>
      <w:rFonts w:ascii="Arial" w:hAnsi="Arial" w:cs="Arial" w:eastAsiaTheme="minorEastAsia"/>
      <w:sz w:val="24"/>
    </w:rPr>
  </w:style>
  <w:style w:type="character" w:customStyle="1" w:styleId="130">
    <w:name w:val="正文缩进2字符 Char"/>
    <w:link w:val="131"/>
    <w:qFormat/>
    <w:locked/>
    <w:uiPriority w:val="99"/>
    <w:rPr>
      <w:sz w:val="24"/>
      <w:szCs w:val="24"/>
    </w:rPr>
  </w:style>
  <w:style w:type="paragraph" w:customStyle="1" w:styleId="131">
    <w:name w:val="正文缩进2字符"/>
    <w:basedOn w:val="1"/>
    <w:link w:val="130"/>
    <w:qFormat/>
    <w:uiPriority w:val="99"/>
    <w:pPr>
      <w:spacing w:line="360" w:lineRule="auto"/>
      <w:ind w:firstLine="480" w:firstLineChars="200"/>
    </w:pPr>
    <w:rPr>
      <w:rFonts w:asciiTheme="minorHAnsi" w:hAnsiTheme="minorHAnsi" w:eastAsiaTheme="minorEastAsia" w:cstheme="minorBidi"/>
      <w:sz w:val="24"/>
      <w:szCs w:val="24"/>
    </w:rPr>
  </w:style>
  <w:style w:type="character" w:customStyle="1" w:styleId="132">
    <w:name w:val="title14"/>
    <w:basedOn w:val="45"/>
    <w:qFormat/>
    <w:uiPriority w:val="99"/>
  </w:style>
  <w:style w:type="character" w:customStyle="1" w:styleId="133">
    <w:name w:val="Char Char1"/>
    <w:qFormat/>
    <w:uiPriority w:val="99"/>
    <w:rPr>
      <w:kern w:val="2"/>
      <w:sz w:val="18"/>
      <w:szCs w:val="18"/>
    </w:rPr>
  </w:style>
  <w:style w:type="character" w:customStyle="1" w:styleId="134">
    <w:name w:val="Char Char2"/>
    <w:qFormat/>
    <w:uiPriority w:val="99"/>
    <w:rPr>
      <w:rFonts w:hint="eastAsia" w:ascii="宋体" w:hAnsi="Courier New" w:eastAsia="宋体"/>
      <w:sz w:val="21"/>
      <w:lang w:val="en-US" w:eastAsia="zh-CN" w:bidi="ar-SA"/>
    </w:rPr>
  </w:style>
  <w:style w:type="character" w:customStyle="1" w:styleId="135">
    <w:name w:val="标题 1 Char Char"/>
    <w:qFormat/>
    <w:uiPriority w:val="99"/>
    <w:rPr>
      <w:rFonts w:hint="eastAsia" w:ascii="宋体" w:hAnsi="宋体" w:eastAsia="宋体"/>
      <w:b/>
      <w:spacing w:val="-2"/>
      <w:sz w:val="24"/>
      <w:lang w:val="en-US" w:eastAsia="zh-CN" w:bidi="ar-SA"/>
    </w:rPr>
  </w:style>
  <w:style w:type="character" w:customStyle="1" w:styleId="136">
    <w:name w:val="b titlename wangputoptitle"/>
    <w:basedOn w:val="45"/>
    <w:qFormat/>
    <w:uiPriority w:val="99"/>
  </w:style>
  <w:style w:type="character" w:customStyle="1" w:styleId="137">
    <w:name w:val="normal_text"/>
    <w:basedOn w:val="45"/>
    <w:qFormat/>
    <w:uiPriority w:val="99"/>
  </w:style>
  <w:style w:type="character" w:customStyle="1" w:styleId="138">
    <w:name w:val="flname7"/>
    <w:basedOn w:val="45"/>
    <w:qFormat/>
    <w:uiPriority w:val="99"/>
  </w:style>
  <w:style w:type="character" w:customStyle="1" w:styleId="139">
    <w:name w:val="maywed421"/>
    <w:qFormat/>
    <w:uiPriority w:val="99"/>
    <w:rPr>
      <w:color w:val="366FB6"/>
      <w:u w:val="none"/>
    </w:rPr>
  </w:style>
  <w:style w:type="character" w:customStyle="1" w:styleId="140">
    <w:name w:val="spelle"/>
    <w:basedOn w:val="45"/>
    <w:qFormat/>
    <w:uiPriority w:val="99"/>
  </w:style>
  <w:style w:type="character" w:customStyle="1" w:styleId="141">
    <w:name w:val="font3"/>
    <w:basedOn w:val="45"/>
    <w:qFormat/>
    <w:uiPriority w:val="99"/>
  </w:style>
  <w:style w:type="character" w:customStyle="1" w:styleId="142">
    <w:name w:val="apple-style-span"/>
    <w:qFormat/>
    <w:uiPriority w:val="99"/>
  </w:style>
  <w:style w:type="character" w:customStyle="1" w:styleId="143">
    <w:name w:val="表正文 Char"/>
    <w:qFormat/>
    <w:uiPriority w:val="99"/>
    <w:rPr>
      <w:rFonts w:hint="eastAsia" w:ascii="宋体" w:hAnsi="宋体" w:eastAsia="宋体"/>
      <w:kern w:val="2"/>
      <w:sz w:val="21"/>
      <w:lang w:val="en-US" w:eastAsia="zh-CN" w:bidi="ar-SA"/>
    </w:rPr>
  </w:style>
  <w:style w:type="character" w:customStyle="1" w:styleId="144">
    <w:name w:val="para"/>
    <w:basedOn w:val="45"/>
    <w:qFormat/>
    <w:uiPriority w:val="99"/>
  </w:style>
  <w:style w:type="character" w:customStyle="1" w:styleId="145">
    <w:name w:val="纯文本 Char1"/>
    <w:qFormat/>
    <w:uiPriority w:val="99"/>
    <w:rPr>
      <w:rFonts w:hint="eastAsia" w:ascii="宋体" w:hAnsi="Courier New" w:eastAsia="宋体"/>
      <w:kern w:val="2"/>
      <w:sz w:val="24"/>
      <w:szCs w:val="24"/>
    </w:rPr>
  </w:style>
  <w:style w:type="character" w:customStyle="1" w:styleId="146">
    <w:name w:val="页脚 Char1"/>
    <w:basedOn w:val="45"/>
    <w:qFormat/>
    <w:locked/>
    <w:uiPriority w:val="99"/>
    <w:rPr>
      <w:rFonts w:ascii="Calibri" w:hAnsi="Calibri" w:eastAsia="宋体" w:cs="Times New Roman"/>
      <w:sz w:val="18"/>
      <w:szCs w:val="18"/>
    </w:rPr>
  </w:style>
  <w:style w:type="character" w:customStyle="1" w:styleId="147">
    <w:name w:val="标题 字符"/>
    <w:basedOn w:val="45"/>
    <w:link w:val="40"/>
    <w:qFormat/>
    <w:locked/>
    <w:uiPriority w:val="99"/>
    <w:rPr>
      <w:rFonts w:ascii="Cambria" w:hAnsi="Cambria" w:eastAsia="宋体" w:cs="Times New Roman"/>
      <w:b/>
      <w:bCs/>
      <w:kern w:val="0"/>
      <w:sz w:val="32"/>
      <w:szCs w:val="32"/>
    </w:rPr>
  </w:style>
  <w:style w:type="character" w:customStyle="1" w:styleId="148">
    <w:name w:val="页眉 Char1"/>
    <w:basedOn w:val="45"/>
    <w:semiHidden/>
    <w:qFormat/>
    <w:locked/>
    <w:uiPriority w:val="0"/>
    <w:rPr>
      <w:rFonts w:ascii="Calibri" w:hAnsi="Calibri" w:eastAsia="宋体" w:cs="Times New Roman"/>
      <w:sz w:val="18"/>
      <w:szCs w:val="18"/>
    </w:rPr>
  </w:style>
  <w:style w:type="character" w:customStyle="1" w:styleId="149">
    <w:name w:val="文档结构图 字符"/>
    <w:basedOn w:val="45"/>
    <w:link w:val="13"/>
    <w:semiHidden/>
    <w:qFormat/>
    <w:locked/>
    <w:uiPriority w:val="99"/>
    <w:rPr>
      <w:rFonts w:ascii="宋体" w:hAnsi="Calibri" w:eastAsia="宋体" w:cs="Times New Roman"/>
      <w:sz w:val="18"/>
      <w:szCs w:val="18"/>
    </w:rPr>
  </w:style>
  <w:style w:type="character" w:customStyle="1" w:styleId="150">
    <w:name w:val="日期 字符"/>
    <w:basedOn w:val="45"/>
    <w:link w:val="24"/>
    <w:qFormat/>
    <w:locked/>
    <w:uiPriority w:val="0"/>
    <w:rPr>
      <w:rFonts w:ascii="Times New Roman" w:hAnsi="Times New Roman" w:eastAsia="楷体_GB2312" w:cs="Times New Roman"/>
      <w:sz w:val="32"/>
      <w:szCs w:val="20"/>
    </w:rPr>
  </w:style>
  <w:style w:type="character" w:customStyle="1" w:styleId="151">
    <w:name w:val="纯文本 字符"/>
    <w:basedOn w:val="45"/>
    <w:link w:val="22"/>
    <w:qFormat/>
    <w:locked/>
    <w:uiPriority w:val="0"/>
    <w:rPr>
      <w:rFonts w:ascii="宋体" w:hAnsi="Courier New" w:eastAsia="宋体" w:cs="Times New Roman"/>
      <w:sz w:val="24"/>
      <w:szCs w:val="24"/>
    </w:rPr>
  </w:style>
  <w:style w:type="paragraph" w:customStyle="1" w:styleId="152">
    <w:name w:val="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53">
    <w:name w:val="题注 字符"/>
    <w:link w:val="12"/>
    <w:semiHidden/>
    <w:qFormat/>
    <w:locked/>
    <w:uiPriority w:val="0"/>
    <w:rPr>
      <w:rFonts w:ascii="Arial" w:hAnsi="Arial" w:eastAsia="黑体" w:cs="Arial"/>
      <w:sz w:val="20"/>
      <w:szCs w:val="20"/>
    </w:rPr>
  </w:style>
  <w:style w:type="character" w:customStyle="1" w:styleId="154">
    <w:name w:val="日期 字符1"/>
    <w:basedOn w:val="45"/>
    <w:semiHidden/>
    <w:qFormat/>
    <w:uiPriority w:val="0"/>
    <w:rPr>
      <w:rFonts w:ascii="Calibri" w:hAnsi="Calibri" w:eastAsia="宋体" w:cs="Times New Roman"/>
    </w:rPr>
  </w:style>
  <w:style w:type="character" w:customStyle="1" w:styleId="155">
    <w:name w:val="正文文本 2 字符1"/>
    <w:basedOn w:val="45"/>
    <w:semiHidden/>
    <w:qFormat/>
    <w:uiPriority w:val="0"/>
    <w:rPr>
      <w:rFonts w:ascii="Calibri" w:hAnsi="Calibri" w:eastAsia="宋体" w:cs="Times New Roman"/>
    </w:rPr>
  </w:style>
  <w:style w:type="character" w:customStyle="1" w:styleId="156">
    <w:name w:val="纯文本 字符1"/>
    <w:basedOn w:val="45"/>
    <w:semiHidden/>
    <w:qFormat/>
    <w:uiPriority w:val="0"/>
    <w:rPr>
      <w:rFonts w:hAnsi="Courier New" w:cs="Courier New" w:asciiTheme="minorEastAsia"/>
    </w:rPr>
  </w:style>
  <w:style w:type="character" w:customStyle="1" w:styleId="157">
    <w:name w:val="列出段落 字符"/>
    <w:link w:val="158"/>
    <w:qFormat/>
    <w:locked/>
    <w:uiPriority w:val="0"/>
    <w:rPr>
      <w:rFonts w:ascii="Calibri" w:hAnsi="Calibri" w:eastAsia="宋体" w:cs="Times New Roman"/>
    </w:rPr>
  </w:style>
  <w:style w:type="paragraph" w:styleId="158">
    <w:name w:val="List Paragraph"/>
    <w:basedOn w:val="1"/>
    <w:link w:val="157"/>
    <w:qFormat/>
    <w:uiPriority w:val="0"/>
    <w:pPr>
      <w:ind w:firstLine="420" w:firstLineChars="200"/>
    </w:pPr>
  </w:style>
  <w:style w:type="paragraph" w:customStyle="1" w:styleId="159">
    <w:name w:val="列出段落11"/>
    <w:basedOn w:val="1"/>
    <w:qFormat/>
    <w:uiPriority w:val="99"/>
    <w:pPr>
      <w:ind w:firstLine="420" w:firstLineChars="200"/>
    </w:pPr>
    <w:rPr>
      <w:rFonts w:asciiTheme="minorHAnsi" w:hAnsiTheme="minorHAnsi" w:eastAsiaTheme="minorEastAsia" w:cstheme="minorBidi"/>
      <w:sz w:val="24"/>
    </w:rPr>
  </w:style>
  <w:style w:type="paragraph" w:customStyle="1" w:styleId="160">
    <w:name w:val="列出段落[858D7CFB-ED40-4347-BF05-701D383B685F][858D7CFB-ED40-4347-BF05-701D383B685F]"/>
    <w:basedOn w:val="1"/>
    <w:qFormat/>
    <w:uiPriority w:val="99"/>
    <w:pPr>
      <w:ind w:firstLine="200" w:firstLineChars="200"/>
    </w:pPr>
  </w:style>
  <w:style w:type="paragraph" w:customStyle="1" w:styleId="161">
    <w:name w:val="Char11"/>
    <w:basedOn w:val="1"/>
    <w:qFormat/>
    <w:uiPriority w:val="99"/>
    <w:rPr>
      <w:rFonts w:ascii="仿宋_GB2312" w:hAnsi="Times New Roman" w:eastAsia="仿宋_GB2312"/>
      <w:b/>
      <w:sz w:val="32"/>
      <w:szCs w:val="32"/>
    </w:rPr>
  </w:style>
  <w:style w:type="paragraph" w:customStyle="1" w:styleId="162">
    <w:name w:val="Char Char Char Char Char Char Char1"/>
    <w:basedOn w:val="1"/>
    <w:qFormat/>
    <w:uiPriority w:val="99"/>
    <w:pPr>
      <w:tabs>
        <w:tab w:val="left" w:pos="432"/>
      </w:tabs>
      <w:ind w:left="432" w:hanging="432"/>
    </w:pPr>
    <w:rPr>
      <w:rFonts w:ascii="Tahoma" w:hAnsi="Tahoma"/>
      <w:sz w:val="24"/>
      <w:szCs w:val="20"/>
    </w:rPr>
  </w:style>
  <w:style w:type="character" w:customStyle="1" w:styleId="163">
    <w:name w:val="一级标题 Char"/>
    <w:link w:val="164"/>
    <w:qFormat/>
    <w:locked/>
    <w:uiPriority w:val="99"/>
    <w:rPr>
      <w:rFonts w:ascii="宋体" w:hAnsi="宋体" w:eastAsia="宋体"/>
      <w:b/>
      <w:sz w:val="36"/>
    </w:rPr>
  </w:style>
  <w:style w:type="paragraph" w:customStyle="1" w:styleId="164">
    <w:name w:val="一级标题"/>
    <w:basedOn w:val="22"/>
    <w:link w:val="163"/>
    <w:qFormat/>
    <w:uiPriority w:val="99"/>
    <w:pPr>
      <w:spacing w:line="360" w:lineRule="auto"/>
      <w:jc w:val="center"/>
    </w:pPr>
    <w:rPr>
      <w:rFonts w:hAnsi="宋体" w:cstheme="minorBidi"/>
      <w:b/>
      <w:sz w:val="36"/>
      <w:szCs w:val="22"/>
    </w:rPr>
  </w:style>
  <w:style w:type="paragraph" w:customStyle="1" w:styleId="165">
    <w:name w:val="正文1"/>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166">
    <w:name w:val="纯文本2"/>
    <w:basedOn w:val="165"/>
    <w:qFormat/>
    <w:uiPriority w:val="99"/>
    <w:pPr>
      <w:widowControl/>
      <w:jc w:val="left"/>
    </w:pPr>
    <w:rPr>
      <w:rFonts w:ascii="宋体" w:hAnsi="Courier New"/>
    </w:rPr>
  </w:style>
  <w:style w:type="paragraph" w:customStyle="1" w:styleId="167">
    <w:name w:val="Preistext2"/>
    <w:basedOn w:val="1"/>
    <w:qFormat/>
    <w:uiPriority w:val="99"/>
    <w:pPr>
      <w:tabs>
        <w:tab w:val="left" w:pos="709"/>
        <w:tab w:val="left" w:pos="1701"/>
        <w:tab w:val="left" w:pos="3119"/>
      </w:tabs>
      <w:ind w:left="1843" w:right="1701"/>
    </w:pPr>
    <w:rPr>
      <w:sz w:val="18"/>
      <w:szCs w:val="20"/>
      <w:lang w:val="en-GB" w:eastAsia="de-DE"/>
    </w:rPr>
  </w:style>
  <w:style w:type="paragraph" w:customStyle="1" w:styleId="16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169">
    <w:name w:val="p1"/>
    <w:basedOn w:val="1"/>
    <w:qFormat/>
    <w:uiPriority w:val="99"/>
    <w:pPr>
      <w:widowControl/>
      <w:jc w:val="left"/>
    </w:pPr>
    <w:rPr>
      <w:rFonts w:ascii=".SF NS Text" w:hAnsi="Times New Roman" w:eastAsia=".SF NS Text"/>
      <w:kern w:val="0"/>
      <w:sz w:val="20"/>
      <w:szCs w:val="20"/>
    </w:rPr>
  </w:style>
  <w:style w:type="paragraph" w:customStyle="1" w:styleId="170">
    <w:name w:val="List Paragraph2"/>
    <w:basedOn w:val="1"/>
    <w:qFormat/>
    <w:uiPriority w:val="99"/>
    <w:pPr>
      <w:widowControl/>
      <w:ind w:firstLine="420" w:firstLineChars="200"/>
      <w:jc w:val="left"/>
    </w:pPr>
    <w:rPr>
      <w:rFonts w:ascii="Times New Roman" w:hAnsi="Times New Roman"/>
      <w:kern w:val="0"/>
      <w:sz w:val="24"/>
      <w:szCs w:val="24"/>
    </w:rPr>
  </w:style>
  <w:style w:type="character" w:customStyle="1" w:styleId="171">
    <w:name w:val="图 字符"/>
    <w:link w:val="172"/>
    <w:qFormat/>
    <w:locked/>
    <w:uiPriority w:val="0"/>
    <w:rPr>
      <w:szCs w:val="21"/>
    </w:rPr>
  </w:style>
  <w:style w:type="paragraph" w:customStyle="1" w:styleId="172">
    <w:name w:val="图"/>
    <w:basedOn w:val="1"/>
    <w:link w:val="171"/>
    <w:qFormat/>
    <w:uiPriority w:val="0"/>
    <w:pPr>
      <w:spacing w:line="360" w:lineRule="auto"/>
      <w:jc w:val="center"/>
    </w:pPr>
    <w:rPr>
      <w:rFonts w:asciiTheme="minorHAnsi" w:hAnsiTheme="minorHAnsi" w:eastAsiaTheme="minorEastAsia" w:cstheme="minorBidi"/>
      <w:szCs w:val="21"/>
    </w:rPr>
  </w:style>
  <w:style w:type="character" w:customStyle="1" w:styleId="173">
    <w:name w:val="A_正文 Char"/>
    <w:link w:val="174"/>
    <w:qFormat/>
    <w:locked/>
    <w:uiPriority w:val="0"/>
    <w:rPr>
      <w:rFonts w:ascii="仿宋_GB2312" w:eastAsia="仿宋"/>
      <w:bCs/>
      <w:color w:val="000000"/>
      <w:sz w:val="28"/>
      <w:szCs w:val="28"/>
    </w:rPr>
  </w:style>
  <w:style w:type="paragraph" w:customStyle="1" w:styleId="174">
    <w:name w:val="A_正文"/>
    <w:basedOn w:val="1"/>
    <w:link w:val="173"/>
    <w:qFormat/>
    <w:uiPriority w:val="0"/>
    <w:pPr>
      <w:spacing w:line="600" w:lineRule="exact"/>
    </w:pPr>
    <w:rPr>
      <w:rFonts w:ascii="仿宋_GB2312" w:eastAsia="仿宋" w:hAnsiTheme="minorHAnsi" w:cstheme="minorBidi"/>
      <w:bCs/>
      <w:color w:val="000000"/>
      <w:sz w:val="28"/>
      <w:szCs w:val="28"/>
    </w:rPr>
  </w:style>
  <w:style w:type="character" w:customStyle="1" w:styleId="175">
    <w:name w:val="舟式样--正文 Char"/>
    <w:link w:val="176"/>
    <w:qFormat/>
    <w:locked/>
    <w:uiPriority w:val="0"/>
    <w:rPr>
      <w:rFonts w:ascii="仿宋" w:hAnsi="仿宋" w:eastAsia="仿宋"/>
      <w:sz w:val="30"/>
    </w:rPr>
  </w:style>
  <w:style w:type="paragraph" w:customStyle="1" w:styleId="176">
    <w:name w:val="舟式样--正文"/>
    <w:basedOn w:val="1"/>
    <w:link w:val="175"/>
    <w:qFormat/>
    <w:uiPriority w:val="0"/>
    <w:pPr>
      <w:spacing w:line="360" w:lineRule="auto"/>
      <w:ind w:firstLine="200" w:firstLineChars="200"/>
    </w:pPr>
    <w:rPr>
      <w:rFonts w:ascii="仿宋" w:hAnsi="仿宋" w:eastAsia="仿宋" w:cstheme="minorBidi"/>
      <w:sz w:val="30"/>
    </w:rPr>
  </w:style>
  <w:style w:type="character" w:customStyle="1" w:styleId="177">
    <w:name w:val="三级标题 字符"/>
    <w:link w:val="178"/>
    <w:qFormat/>
    <w:locked/>
    <w:uiPriority w:val="0"/>
    <w:rPr>
      <w:rFonts w:ascii="宋体" w:hAnsi="宋体" w:eastAsia="仿宋GB2312" w:cs="宋体"/>
      <w:b/>
      <w:sz w:val="32"/>
      <w:szCs w:val="32"/>
    </w:rPr>
  </w:style>
  <w:style w:type="paragraph" w:customStyle="1" w:styleId="178">
    <w:name w:val="三级标题"/>
    <w:basedOn w:val="4"/>
    <w:link w:val="177"/>
    <w:qFormat/>
    <w:uiPriority w:val="0"/>
    <w:pPr>
      <w:adjustRightInd w:val="0"/>
      <w:spacing w:before="120" w:after="0" w:line="416" w:lineRule="atLeast"/>
      <w:ind w:left="70" w:leftChars="70"/>
    </w:pPr>
    <w:rPr>
      <w:rFonts w:ascii="宋体" w:hAnsi="宋体" w:eastAsia="仿宋GB2312" w:cs="宋体"/>
      <w:bCs w:val="0"/>
    </w:rPr>
  </w:style>
  <w:style w:type="character" w:customStyle="1" w:styleId="179">
    <w:name w:val="3级标题 字符"/>
    <w:link w:val="180"/>
    <w:qFormat/>
    <w:locked/>
    <w:uiPriority w:val="0"/>
    <w:rPr>
      <w:rFonts w:ascii="微软雅黑" w:hAnsi="微软雅黑" w:eastAsia="微软雅黑" w:cs="Times New Roman"/>
      <w:b/>
      <w:bCs/>
      <w:sz w:val="32"/>
      <w:szCs w:val="32"/>
    </w:rPr>
  </w:style>
  <w:style w:type="paragraph" w:customStyle="1" w:styleId="180">
    <w:name w:val="3级标题"/>
    <w:basedOn w:val="4"/>
    <w:next w:val="1"/>
    <w:link w:val="179"/>
    <w:qFormat/>
    <w:uiPriority w:val="0"/>
    <w:rPr>
      <w:rFonts w:ascii="微软雅黑" w:hAnsi="微软雅黑" w:eastAsia="微软雅黑"/>
    </w:rPr>
  </w:style>
  <w:style w:type="character" w:customStyle="1" w:styleId="181">
    <w:name w:val="舟-正文 Char"/>
    <w:link w:val="182"/>
    <w:qFormat/>
    <w:locked/>
    <w:uiPriority w:val="0"/>
    <w:rPr>
      <w:rFonts w:ascii="仿宋" w:hAnsi="仿宋" w:eastAsia="仿宋_GB2312"/>
      <w:sz w:val="32"/>
      <w:szCs w:val="21"/>
    </w:rPr>
  </w:style>
  <w:style w:type="paragraph" w:customStyle="1" w:styleId="182">
    <w:name w:val="舟-正文"/>
    <w:basedOn w:val="1"/>
    <w:link w:val="181"/>
    <w:qFormat/>
    <w:uiPriority w:val="0"/>
    <w:pPr>
      <w:ind w:firstLine="560" w:firstLineChars="200"/>
    </w:pPr>
    <w:rPr>
      <w:rFonts w:ascii="仿宋" w:hAnsi="仿宋" w:eastAsia="仿宋_GB2312" w:cstheme="minorBidi"/>
      <w:sz w:val="32"/>
      <w:szCs w:val="21"/>
    </w:rPr>
  </w:style>
  <w:style w:type="character" w:customStyle="1" w:styleId="183">
    <w:name w:val="二级标题 字符"/>
    <w:link w:val="184"/>
    <w:qFormat/>
    <w:locked/>
    <w:uiPriority w:val="0"/>
    <w:rPr>
      <w:rFonts w:ascii="仿宋GB2312" w:hAnsi="Calibri Light" w:eastAsia="楷体GB2312"/>
      <w:b/>
      <w:kern w:val="44"/>
      <w:sz w:val="32"/>
      <w:szCs w:val="32"/>
    </w:rPr>
  </w:style>
  <w:style w:type="paragraph" w:customStyle="1" w:styleId="184">
    <w:name w:val="二级标题"/>
    <w:basedOn w:val="3"/>
    <w:link w:val="183"/>
    <w:qFormat/>
    <w:uiPriority w:val="0"/>
    <w:pPr>
      <w:spacing w:line="415" w:lineRule="auto"/>
      <w:ind w:left="75" w:leftChars="75"/>
    </w:pPr>
    <w:rPr>
      <w:rFonts w:ascii="仿宋GB2312" w:hAnsi="Calibri Light" w:eastAsia="楷体GB2312" w:cstheme="minorBidi"/>
      <w:bCs w:val="0"/>
      <w:kern w:val="44"/>
    </w:rPr>
  </w:style>
  <w:style w:type="character" w:customStyle="1" w:styleId="185">
    <w:name w:val="舟式样-标题2 字符"/>
    <w:link w:val="186"/>
    <w:qFormat/>
    <w:locked/>
    <w:uiPriority w:val="0"/>
    <w:rPr>
      <w:rFonts w:ascii="黑体" w:hAnsi="Cambria" w:eastAsia="楷体_GB2312"/>
      <w:b/>
      <w:bCs/>
      <w:sz w:val="32"/>
      <w:szCs w:val="32"/>
    </w:rPr>
  </w:style>
  <w:style w:type="paragraph" w:customStyle="1" w:styleId="186">
    <w:name w:val="舟式样-标题2"/>
    <w:basedOn w:val="3"/>
    <w:next w:val="1"/>
    <w:link w:val="185"/>
    <w:qFormat/>
    <w:uiPriority w:val="0"/>
    <w:pPr>
      <w:numPr>
        <w:ilvl w:val="0"/>
        <w:numId w:val="3"/>
      </w:numPr>
      <w:spacing w:before="0" w:after="0" w:line="360" w:lineRule="auto"/>
    </w:pPr>
    <w:rPr>
      <w:rFonts w:ascii="黑体" w:hAnsi="Cambria" w:eastAsia="楷体_GB2312" w:cstheme="minorBidi"/>
    </w:rPr>
  </w:style>
  <w:style w:type="character" w:customStyle="1" w:styleId="187">
    <w:name w:val="正文文本首行缩进 字符"/>
    <w:link w:val="188"/>
    <w:qFormat/>
    <w:locked/>
    <w:uiPriority w:val="0"/>
    <w:rPr>
      <w:rFonts w:ascii="Times New Roman" w:hAnsi="Times New Roman" w:cs="Times New Roman"/>
    </w:rPr>
  </w:style>
  <w:style w:type="paragraph" w:customStyle="1" w:styleId="188">
    <w:name w:val="_Style 187"/>
    <w:basedOn w:val="1"/>
    <w:next w:val="1"/>
    <w:link w:val="187"/>
    <w:qFormat/>
    <w:uiPriority w:val="0"/>
    <w:pPr>
      <w:ind w:left="2560"/>
      <w:jc w:val="left"/>
    </w:pPr>
    <w:rPr>
      <w:rFonts w:ascii="Times New Roman" w:hAnsi="Times New Roman" w:eastAsiaTheme="minorEastAsia"/>
    </w:rPr>
  </w:style>
  <w:style w:type="character" w:customStyle="1" w:styleId="189">
    <w:name w:val="方案正文 字符"/>
    <w:link w:val="190"/>
    <w:qFormat/>
    <w:locked/>
    <w:uiPriority w:val="0"/>
    <w:rPr>
      <w:rFonts w:ascii="仿宋" w:hAnsi="仿宋" w:eastAsia="仿宋" w:cs="宋体"/>
      <w:color w:val="000000"/>
      <w:sz w:val="28"/>
      <w:szCs w:val="32"/>
    </w:rPr>
  </w:style>
  <w:style w:type="paragraph" w:customStyle="1" w:styleId="190">
    <w:name w:val="方案正文"/>
    <w:basedOn w:val="158"/>
    <w:link w:val="189"/>
    <w:qFormat/>
    <w:uiPriority w:val="0"/>
    <w:pPr>
      <w:spacing w:line="360" w:lineRule="auto"/>
      <w:ind w:left="1140" w:firstLine="0" w:firstLineChars="0"/>
      <w:jc w:val="left"/>
    </w:pPr>
    <w:rPr>
      <w:rFonts w:ascii="仿宋" w:hAnsi="仿宋" w:eastAsia="仿宋" w:cs="宋体"/>
      <w:color w:val="000000"/>
      <w:sz w:val="28"/>
      <w:szCs w:val="32"/>
    </w:rPr>
  </w:style>
  <w:style w:type="character" w:customStyle="1" w:styleId="191">
    <w:name w:val="正文2019 Char"/>
    <w:link w:val="192"/>
    <w:qFormat/>
    <w:locked/>
    <w:uiPriority w:val="0"/>
    <w:rPr>
      <w:rFonts w:ascii="仿宋" w:hAnsi="仿宋" w:eastAsia="仿宋"/>
      <w:sz w:val="32"/>
      <w:szCs w:val="32"/>
    </w:rPr>
  </w:style>
  <w:style w:type="paragraph" w:customStyle="1" w:styleId="192">
    <w:name w:val="正文2019"/>
    <w:basedOn w:val="1"/>
    <w:link w:val="191"/>
    <w:qFormat/>
    <w:uiPriority w:val="0"/>
    <w:pPr>
      <w:spacing w:line="276" w:lineRule="auto"/>
      <w:ind w:firstLine="630" w:firstLineChars="200"/>
      <w:jc w:val="left"/>
    </w:pPr>
    <w:rPr>
      <w:rFonts w:ascii="仿宋" w:hAnsi="仿宋" w:eastAsia="仿宋" w:cstheme="minorBidi"/>
      <w:sz w:val="32"/>
      <w:szCs w:val="32"/>
    </w:rPr>
  </w:style>
  <w:style w:type="character" w:customStyle="1" w:styleId="193">
    <w:name w:val="投标正文 Char Char"/>
    <w:link w:val="194"/>
    <w:qFormat/>
    <w:locked/>
    <w:uiPriority w:val="0"/>
    <w:rPr>
      <w:sz w:val="24"/>
      <w:szCs w:val="24"/>
    </w:rPr>
  </w:style>
  <w:style w:type="paragraph" w:customStyle="1" w:styleId="194">
    <w:name w:val="投标正文"/>
    <w:basedOn w:val="1"/>
    <w:link w:val="193"/>
    <w:qFormat/>
    <w:uiPriority w:val="0"/>
    <w:pPr>
      <w:spacing w:line="360" w:lineRule="auto"/>
      <w:ind w:left="100" w:firstLine="480" w:firstLineChars="200"/>
    </w:pPr>
    <w:rPr>
      <w:rFonts w:asciiTheme="minorHAnsi" w:hAnsiTheme="minorHAnsi" w:eastAsiaTheme="minorEastAsia" w:cstheme="minorBidi"/>
      <w:sz w:val="24"/>
      <w:szCs w:val="24"/>
    </w:rPr>
  </w:style>
  <w:style w:type="character" w:customStyle="1" w:styleId="195">
    <w:name w:val="*正文 Char"/>
    <w:link w:val="196"/>
    <w:qFormat/>
    <w:locked/>
    <w:uiPriority w:val="0"/>
    <w:rPr>
      <w:rFonts w:ascii="Time" w:hAnsi="Time"/>
      <w:sz w:val="24"/>
      <w:szCs w:val="24"/>
      <w:lang w:val="zh-CN" w:bidi="en-US"/>
    </w:rPr>
  </w:style>
  <w:style w:type="paragraph" w:customStyle="1" w:styleId="196">
    <w:name w:val="*正文"/>
    <w:basedOn w:val="1"/>
    <w:link w:val="195"/>
    <w:qFormat/>
    <w:uiPriority w:val="0"/>
    <w:pPr>
      <w:widowControl/>
      <w:spacing w:line="360" w:lineRule="auto"/>
      <w:ind w:firstLine="200" w:firstLineChars="200"/>
      <w:contextualSpacing/>
    </w:pPr>
    <w:rPr>
      <w:rFonts w:ascii="Time" w:hAnsi="Time" w:eastAsiaTheme="minorEastAsia" w:cstheme="minorBidi"/>
      <w:sz w:val="24"/>
      <w:szCs w:val="24"/>
      <w:lang w:val="zh-CN" w:bidi="en-US"/>
    </w:rPr>
  </w:style>
  <w:style w:type="paragraph" w:customStyle="1" w:styleId="197">
    <w:name w:val="列出段落3"/>
    <w:basedOn w:val="1"/>
    <w:qFormat/>
    <w:uiPriority w:val="99"/>
    <w:pPr>
      <w:ind w:firstLine="420" w:firstLineChars="200"/>
    </w:pPr>
    <w:rPr>
      <w:sz w:val="32"/>
      <w:szCs w:val="24"/>
    </w:rPr>
  </w:style>
  <w:style w:type="paragraph" w:customStyle="1" w:styleId="198">
    <w:name w:val="列出段落7"/>
    <w:basedOn w:val="1"/>
    <w:qFormat/>
    <w:uiPriority w:val="34"/>
    <w:pPr>
      <w:spacing w:line="360" w:lineRule="auto"/>
      <w:ind w:firstLine="420" w:firstLineChars="200"/>
    </w:pPr>
    <w:rPr>
      <w:rFonts w:eastAsia="仿宋_GB2312" w:cs="宋体"/>
      <w:sz w:val="32"/>
      <w:szCs w:val="21"/>
    </w:rPr>
  </w:style>
  <w:style w:type="paragraph" w:customStyle="1" w:styleId="199">
    <w:name w:val="TOC 标题1"/>
    <w:basedOn w:val="2"/>
    <w:next w:val="1"/>
    <w:qFormat/>
    <w:uiPriority w:val="39"/>
    <w:pPr>
      <w:keepNext/>
      <w:keepLines/>
      <w:widowControl/>
      <w:autoSpaceDE/>
      <w:autoSpaceDN/>
      <w:adjustRightInd/>
      <w:spacing w:before="240" w:line="256" w:lineRule="auto"/>
      <w:jc w:val="left"/>
      <w:outlineLvl w:val="9"/>
    </w:pPr>
    <w:rPr>
      <w:rFonts w:ascii="等线 Light" w:hAnsi="等线 Light" w:eastAsia="等线 Light"/>
      <w:b w:val="0"/>
      <w:bCs w:val="0"/>
      <w:color w:val="2F5496"/>
      <w:sz w:val="32"/>
      <w:szCs w:val="32"/>
    </w:rPr>
  </w:style>
  <w:style w:type="paragraph" w:customStyle="1" w:styleId="200">
    <w:name w:val="自定义正文"/>
    <w:basedOn w:val="1"/>
    <w:qFormat/>
    <w:uiPriority w:val="99"/>
    <w:pPr>
      <w:spacing w:before="120" w:after="60" w:line="400" w:lineRule="exact"/>
      <w:ind w:firstLine="200" w:firstLineChars="200"/>
      <w:jc w:val="left"/>
    </w:pPr>
    <w:rPr>
      <w:rFonts w:ascii="仿宋_GB2312" w:hAnsi="Times New Roman" w:eastAsia="仿宋_GB2312"/>
      <w:sz w:val="24"/>
      <w:szCs w:val="20"/>
    </w:rPr>
  </w:style>
  <w:style w:type="paragraph" w:customStyle="1" w:styleId="201">
    <w:name w:val="修订1"/>
    <w:qFormat/>
    <w:uiPriority w:val="99"/>
    <w:rPr>
      <w:rFonts w:ascii="等线" w:hAnsi="等线" w:eastAsia="等线" w:cs="Times New Roman"/>
      <w:kern w:val="2"/>
      <w:sz w:val="21"/>
      <w:szCs w:val="22"/>
      <w:lang w:val="en-US" w:eastAsia="zh-CN" w:bidi="ar-SA"/>
    </w:rPr>
  </w:style>
  <w:style w:type="paragraph" w:customStyle="1" w:styleId="202">
    <w:name w:val="样式 正文首行缩进 2 + 首行缩进:  2 字符"/>
    <w:basedOn w:val="1"/>
    <w:qFormat/>
    <w:uiPriority w:val="99"/>
    <w:pPr>
      <w:spacing w:line="360" w:lineRule="auto"/>
      <w:ind w:firstLine="480" w:firstLineChars="200"/>
    </w:pPr>
    <w:rPr>
      <w:rFonts w:ascii="等线" w:hAnsi="等线" w:eastAsia="仿宋"/>
      <w:sz w:val="32"/>
      <w:szCs w:val="21"/>
    </w:rPr>
  </w:style>
  <w:style w:type="paragraph" w:customStyle="1" w:styleId="203">
    <w:name w:val="A正文小四"/>
    <w:basedOn w:val="1"/>
    <w:qFormat/>
    <w:uiPriority w:val="99"/>
    <w:pPr>
      <w:spacing w:line="360" w:lineRule="auto"/>
      <w:ind w:firstLine="200" w:firstLineChars="200"/>
    </w:pPr>
    <w:rPr>
      <w:rFonts w:ascii="Times New Roman" w:hAnsi="Times New Roman" w:eastAsia="仿宋"/>
      <w:sz w:val="30"/>
      <w:szCs w:val="24"/>
    </w:rPr>
  </w:style>
  <w:style w:type="paragraph" w:customStyle="1" w:styleId="204">
    <w:name w:val="修订2"/>
    <w:semiHidden/>
    <w:qFormat/>
    <w:uiPriority w:val="99"/>
    <w:rPr>
      <w:rFonts w:ascii="Calibri" w:hAnsi="Calibri" w:eastAsia="宋体" w:cs="Times New Roman"/>
      <w:kern w:val="2"/>
      <w:sz w:val="21"/>
      <w:szCs w:val="22"/>
      <w:lang w:val="en-US" w:eastAsia="zh-CN" w:bidi="ar-SA"/>
    </w:rPr>
  </w:style>
  <w:style w:type="paragraph" w:customStyle="1" w:styleId="205">
    <w:name w:val="二级节标题"/>
    <w:basedOn w:val="3"/>
    <w:next w:val="206"/>
    <w:qFormat/>
    <w:uiPriority w:val="99"/>
    <w:pPr>
      <w:tabs>
        <w:tab w:val="left" w:pos="360"/>
      </w:tabs>
      <w:spacing w:before="480" w:after="360" w:line="240" w:lineRule="auto"/>
      <w:contextualSpacing/>
      <w:jc w:val="left"/>
    </w:pPr>
    <w:rPr>
      <w:rFonts w:ascii="Times New Roman" w:hAnsi="Times New Roman"/>
      <w:bCs w:val="0"/>
    </w:rPr>
  </w:style>
  <w:style w:type="paragraph" w:customStyle="1" w:styleId="206">
    <w:name w:val="三级节标题"/>
    <w:basedOn w:val="4"/>
    <w:next w:val="207"/>
    <w:qFormat/>
    <w:uiPriority w:val="99"/>
    <w:pPr>
      <w:tabs>
        <w:tab w:val="left" w:pos="360"/>
      </w:tabs>
      <w:spacing w:before="400" w:after="320" w:line="240" w:lineRule="auto"/>
      <w:contextualSpacing/>
      <w:jc w:val="left"/>
    </w:pPr>
    <w:rPr>
      <w:rFonts w:ascii="Times New Roman" w:hAnsi="Times New Roman" w:eastAsia="黑体"/>
      <w:sz w:val="30"/>
    </w:rPr>
  </w:style>
  <w:style w:type="paragraph" w:customStyle="1" w:styleId="207">
    <w:name w:val="四级节标题"/>
    <w:basedOn w:val="5"/>
    <w:next w:val="208"/>
    <w:qFormat/>
    <w:uiPriority w:val="99"/>
    <w:pPr>
      <w:tabs>
        <w:tab w:val="left" w:pos="360"/>
      </w:tabs>
      <w:spacing w:before="320" w:after="280" w:line="240" w:lineRule="auto"/>
      <w:contextualSpacing/>
    </w:pPr>
    <w:rPr>
      <w:rFonts w:ascii="Times New Roman" w:hAnsi="Times New Roman"/>
    </w:rPr>
  </w:style>
  <w:style w:type="paragraph" w:customStyle="1" w:styleId="208">
    <w:name w:val="五级节标题"/>
    <w:basedOn w:val="6"/>
    <w:next w:val="209"/>
    <w:qFormat/>
    <w:uiPriority w:val="99"/>
    <w:pPr>
      <w:tabs>
        <w:tab w:val="left" w:pos="360"/>
      </w:tabs>
      <w:spacing w:before="240" w:after="200" w:line="240" w:lineRule="auto"/>
      <w:contextualSpacing/>
    </w:pPr>
    <w:rPr>
      <w:rFonts w:eastAsia="仿宋_GB2312"/>
    </w:rPr>
  </w:style>
  <w:style w:type="paragraph" w:customStyle="1" w:styleId="209">
    <w:name w:val="六级节标题"/>
    <w:basedOn w:val="7"/>
    <w:next w:val="1"/>
    <w:qFormat/>
    <w:uiPriority w:val="99"/>
    <w:pPr>
      <w:tabs>
        <w:tab w:val="left" w:pos="360"/>
        <w:tab w:val="left" w:pos="1200"/>
      </w:tabs>
      <w:spacing w:before="160" w:after="120" w:line="240" w:lineRule="auto"/>
      <w:contextualSpacing/>
    </w:pPr>
    <w:rPr>
      <w:rFonts w:ascii="Calibri Light" w:hAnsi="Calibri Light" w:eastAsia="仿宋_GB2312"/>
      <w:sz w:val="21"/>
    </w:rPr>
  </w:style>
  <w:style w:type="paragraph" w:customStyle="1" w:styleId="210">
    <w:name w:val="一级章标题"/>
    <w:basedOn w:val="2"/>
    <w:next w:val="205"/>
    <w:qFormat/>
    <w:uiPriority w:val="99"/>
    <w:pPr>
      <w:keepNext/>
      <w:keepLines/>
      <w:autoSpaceDE/>
      <w:autoSpaceDN/>
      <w:adjustRightInd/>
      <w:spacing w:before="560" w:after="400" w:line="240" w:lineRule="auto"/>
      <w:ind w:left="425"/>
      <w:contextualSpacing/>
    </w:pPr>
    <w:rPr>
      <w:rFonts w:eastAsia="黑体"/>
      <w:b w:val="0"/>
      <w:kern w:val="44"/>
      <w:sz w:val="32"/>
      <w:szCs w:val="32"/>
    </w:rPr>
  </w:style>
  <w:style w:type="paragraph" w:customStyle="1" w:styleId="211">
    <w:name w:val="可研正文"/>
    <w:basedOn w:val="1"/>
    <w:qFormat/>
    <w:uiPriority w:val="99"/>
    <w:pPr>
      <w:spacing w:line="360" w:lineRule="auto"/>
      <w:ind w:firstLine="200" w:firstLineChars="200"/>
    </w:pPr>
    <w:rPr>
      <w:rFonts w:eastAsia="仿宋_GB2312"/>
      <w:bCs/>
      <w:kern w:val="0"/>
      <w:sz w:val="28"/>
      <w:szCs w:val="20"/>
    </w:rPr>
  </w:style>
  <w:style w:type="paragraph" w:customStyle="1" w:styleId="212">
    <w:name w:val="二级章标题"/>
    <w:basedOn w:val="205"/>
    <w:qFormat/>
    <w:uiPriority w:val="99"/>
    <w:pPr>
      <w:numPr>
        <w:ilvl w:val="0"/>
        <w:numId w:val="4"/>
      </w:numPr>
      <w:shd w:val="clear" w:color="auto" w:fill="FFFFFF"/>
      <w:spacing w:before="0" w:beforeLines="100" w:after="0" w:afterLines="50" w:line="360" w:lineRule="auto"/>
      <w:ind w:left="981" w:firstLine="0"/>
    </w:pPr>
    <w:rPr>
      <w:rFonts w:ascii="仿宋" w:hAnsi="仿宋" w:eastAsia="仿宋" w:cs="仿宋"/>
      <w:color w:val="000000"/>
      <w:sz w:val="30"/>
      <w:szCs w:val="30"/>
    </w:rPr>
  </w:style>
  <w:style w:type="paragraph" w:customStyle="1" w:styleId="213">
    <w:name w:val="三级章标题"/>
    <w:basedOn w:val="206"/>
    <w:qFormat/>
    <w:uiPriority w:val="99"/>
    <w:pPr>
      <w:numPr>
        <w:ilvl w:val="0"/>
        <w:numId w:val="5"/>
      </w:numPr>
      <w:spacing w:before="0" w:beforeLines="50" w:after="0" w:line="360" w:lineRule="auto"/>
      <w:ind w:left="919" w:firstLine="0"/>
    </w:pPr>
    <w:rPr>
      <w:rFonts w:ascii="仿宋" w:hAnsi="仿宋" w:eastAsia="仿宋"/>
    </w:rPr>
  </w:style>
  <w:style w:type="paragraph" w:customStyle="1" w:styleId="214">
    <w:name w:val="样式 仿宋 三号 黑色 行距: 1.5 倍行距 首行缩进:  2 字符"/>
    <w:basedOn w:val="1"/>
    <w:qFormat/>
    <w:uiPriority w:val="99"/>
    <w:pPr>
      <w:spacing w:line="360" w:lineRule="auto"/>
      <w:ind w:firstLine="640" w:firstLineChars="200"/>
    </w:pPr>
    <w:rPr>
      <w:rFonts w:ascii="仿宋" w:hAnsi="仿宋" w:eastAsia="仿宋" w:cs="宋体"/>
      <w:color w:val="000000"/>
      <w:sz w:val="28"/>
      <w:szCs w:val="20"/>
    </w:rPr>
  </w:style>
  <w:style w:type="character" w:customStyle="1" w:styleId="215">
    <w:name w:val="标题 1 字符1"/>
    <w:basedOn w:val="45"/>
    <w:qFormat/>
    <w:locked/>
    <w:uiPriority w:val="9"/>
    <w:rPr>
      <w:rFonts w:ascii="Times New Roman" w:hAnsi="Times New Roman" w:eastAsia="隶书" w:cs="Times New Roman"/>
      <w:b/>
      <w:bCs/>
      <w:kern w:val="0"/>
      <w:sz w:val="36"/>
      <w:szCs w:val="36"/>
    </w:rPr>
  </w:style>
  <w:style w:type="character" w:customStyle="1" w:styleId="216">
    <w:name w:val="标题 4 字符1"/>
    <w:basedOn w:val="45"/>
    <w:semiHidden/>
    <w:qFormat/>
    <w:locked/>
    <w:uiPriority w:val="9"/>
    <w:rPr>
      <w:rFonts w:ascii="Arial" w:hAnsi="Arial" w:eastAsia="黑体" w:cs="Times New Roman"/>
      <w:b/>
      <w:bCs/>
      <w:sz w:val="28"/>
      <w:szCs w:val="28"/>
    </w:rPr>
  </w:style>
  <w:style w:type="character" w:customStyle="1" w:styleId="217">
    <w:name w:val="标题 6 字符1"/>
    <w:basedOn w:val="45"/>
    <w:semiHidden/>
    <w:qFormat/>
    <w:locked/>
    <w:uiPriority w:val="9"/>
    <w:rPr>
      <w:rFonts w:ascii="Arial" w:hAnsi="Arial" w:eastAsia="黑体" w:cs="Times New Roman"/>
      <w:b/>
      <w:bCs/>
      <w:sz w:val="24"/>
      <w:szCs w:val="24"/>
    </w:rPr>
  </w:style>
  <w:style w:type="character" w:customStyle="1" w:styleId="218">
    <w:name w:val="标题 7 字符1"/>
    <w:basedOn w:val="45"/>
    <w:semiHidden/>
    <w:qFormat/>
    <w:locked/>
    <w:uiPriority w:val="9"/>
    <w:rPr>
      <w:rFonts w:ascii="宋体" w:hAnsi="宋体" w:eastAsia="宋体" w:cs="Times New Roman"/>
      <w:b/>
      <w:bCs/>
      <w:kern w:val="0"/>
      <w:sz w:val="24"/>
      <w:szCs w:val="24"/>
    </w:rPr>
  </w:style>
  <w:style w:type="character" w:customStyle="1" w:styleId="219">
    <w:name w:val="批注文字 字符1"/>
    <w:basedOn w:val="45"/>
    <w:semiHidden/>
    <w:qFormat/>
    <w:locked/>
    <w:uiPriority w:val="99"/>
    <w:rPr>
      <w:rFonts w:ascii="Calibri" w:hAnsi="Calibri" w:eastAsia="宋体" w:cs="Times New Roman"/>
    </w:rPr>
  </w:style>
  <w:style w:type="character" w:customStyle="1" w:styleId="220">
    <w:name w:val="页脚 字符1"/>
    <w:basedOn w:val="45"/>
    <w:qFormat/>
    <w:locked/>
    <w:uiPriority w:val="99"/>
    <w:rPr>
      <w:rFonts w:hint="default" w:ascii="Times New Roman" w:hAnsi="Times New Roman" w:cs="Times New Roman"/>
      <w:kern w:val="2"/>
      <w:sz w:val="18"/>
      <w:szCs w:val="18"/>
    </w:rPr>
  </w:style>
  <w:style w:type="character" w:customStyle="1" w:styleId="221">
    <w:name w:val="页眉 字符1"/>
    <w:basedOn w:val="45"/>
    <w:qFormat/>
    <w:locked/>
    <w:uiPriority w:val="99"/>
    <w:rPr>
      <w:rFonts w:hint="default" w:ascii="Times New Roman" w:hAnsi="Times New Roman" w:cs="Times New Roman"/>
      <w:kern w:val="2"/>
      <w:sz w:val="18"/>
      <w:szCs w:val="18"/>
    </w:rPr>
  </w:style>
  <w:style w:type="character" w:customStyle="1" w:styleId="222">
    <w:name w:val="font11"/>
    <w:qFormat/>
    <w:uiPriority w:val="0"/>
    <w:rPr>
      <w:rFonts w:hint="eastAsia" w:ascii="微软雅黑" w:hAnsi="微软雅黑" w:eastAsia="微软雅黑" w:cs="微软雅黑"/>
      <w:color w:val="000000"/>
      <w:sz w:val="20"/>
      <w:szCs w:val="20"/>
      <w:u w:val="none"/>
    </w:rPr>
  </w:style>
  <w:style w:type="character" w:customStyle="1" w:styleId="223">
    <w:name w:val="未处理的提及1"/>
    <w:qFormat/>
    <w:uiPriority w:val="99"/>
    <w:rPr>
      <w:color w:val="605E5C"/>
      <w:shd w:val="clear" w:color="auto" w:fill="E1DFDD"/>
    </w:rPr>
  </w:style>
  <w:style w:type="character" w:customStyle="1" w:styleId="224">
    <w:name w:val="一级标题 字符"/>
    <w:qFormat/>
    <w:uiPriority w:val="0"/>
    <w:rPr>
      <w:rFonts w:hint="eastAsia" w:ascii="黑体" w:hAnsi="黑体" w:eastAsia="黑体"/>
      <w:bCs/>
      <w:kern w:val="44"/>
      <w:sz w:val="32"/>
      <w:szCs w:val="32"/>
    </w:rPr>
  </w:style>
  <w:style w:type="character" w:customStyle="1" w:styleId="225">
    <w:name w:val="标题 3 字符1"/>
    <w:qFormat/>
    <w:uiPriority w:val="0"/>
    <w:rPr>
      <w:rFonts w:hint="default" w:ascii="Calibri" w:hAnsi="Calibri" w:eastAsia="黑体" w:cs="Times New Roman"/>
      <w:b/>
      <w:kern w:val="0"/>
      <w:sz w:val="32"/>
      <w:szCs w:val="20"/>
    </w:rPr>
  </w:style>
  <w:style w:type="character" w:customStyle="1" w:styleId="226">
    <w:name w:val="纯文本 Char2"/>
    <w:qFormat/>
    <w:uiPriority w:val="99"/>
    <w:rPr>
      <w:rFonts w:hint="eastAsia" w:ascii="宋体" w:hAnsi="Courier New" w:eastAsia="宋体" w:cs="Times New Roman"/>
      <w:kern w:val="2"/>
      <w:sz w:val="24"/>
      <w:szCs w:val="24"/>
    </w:rPr>
  </w:style>
  <w:style w:type="character" w:customStyle="1" w:styleId="227">
    <w:name w:val="正文缩进 Char1"/>
    <w:qFormat/>
    <w:uiPriority w:val="0"/>
    <w:rPr>
      <w:rFonts w:hint="default" w:ascii="Calibri" w:hAnsi="Calibri" w:eastAsia="宋体" w:cs="Times New Roman"/>
      <w:kern w:val="2"/>
      <w:sz w:val="21"/>
      <w:lang w:val="en-US" w:eastAsia="zh-CN" w:bidi="ar-SA"/>
    </w:rPr>
  </w:style>
  <w:style w:type="character" w:customStyle="1" w:styleId="228">
    <w:name w:val="页眉 Char"/>
    <w:basedOn w:val="45"/>
    <w:link w:val="28"/>
    <w:qFormat/>
    <w:uiPriority w:val="99"/>
    <w:rPr>
      <w:rFonts w:asciiTheme="minorHAnsi" w:hAnsiTheme="minorHAnsi" w:eastAsiaTheme="minorEastAsia" w:cstheme="minorBidi"/>
      <w:sz w:val="18"/>
      <w:szCs w:val="18"/>
      <w:lang w:val="en-US" w:eastAsia="zh-CN" w:bidi="ar-SA"/>
    </w:rPr>
  </w:style>
  <w:style w:type="character" w:customStyle="1" w:styleId="229">
    <w:name w:val="页脚 Char"/>
    <w:basedOn w:val="45"/>
    <w:link w:val="27"/>
    <w:qFormat/>
    <w:uiPriority w:val="99"/>
    <w:rPr>
      <w:rFonts w:asciiTheme="minorHAnsi" w:hAnsiTheme="minorHAnsi" w:eastAsiaTheme="minorEastAsia" w:cstheme="minorBidi"/>
      <w:sz w:val="18"/>
      <w:szCs w:val="18"/>
      <w:lang w:val="en-US" w:eastAsia="zh-CN" w:bidi="ar-SA"/>
    </w:rPr>
  </w:style>
  <w:style w:type="character" w:customStyle="1" w:styleId="230">
    <w:name w:val="标题 2 Char"/>
    <w:basedOn w:val="45"/>
    <w:link w:val="3"/>
    <w:qFormat/>
    <w:uiPriority w:val="9"/>
    <w:rPr>
      <w:rFonts w:asciiTheme="majorHAnsi" w:hAnsiTheme="majorHAnsi" w:eastAsiaTheme="majorEastAsia" w:cstheme="majorBidi"/>
      <w:b/>
      <w:bCs/>
      <w:sz w:val="32"/>
      <w:szCs w:val="32"/>
      <w:lang w:val="en-US" w:eastAsia="zh-CN" w:bidi="ar-SA"/>
    </w:rPr>
  </w:style>
  <w:style w:type="character" w:customStyle="1" w:styleId="231">
    <w:name w:val="标题 3 Char"/>
    <w:basedOn w:val="45"/>
    <w:link w:val="4"/>
    <w:qFormat/>
    <w:uiPriority w:val="9"/>
    <w:rPr>
      <w:rFonts w:asciiTheme="minorHAnsi" w:hAnsiTheme="minorHAnsi" w:eastAsiaTheme="minorEastAsia" w:cstheme="minorBidi"/>
      <w:b/>
      <w:bCs/>
      <w:sz w:val="32"/>
      <w:szCs w:val="32"/>
      <w:lang w:val="en-US" w:eastAsia="zh-CN" w:bidi="ar-SA"/>
    </w:rPr>
  </w:style>
  <w:style w:type="paragraph" w:customStyle="1" w:styleId="232">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57</Pages>
  <Words>19960</Words>
  <Characters>21319</Characters>
  <Lines>48</Lines>
  <Paragraphs>13</Paragraphs>
  <TotalTime>0</TotalTime>
  <ScaleCrop>false</ScaleCrop>
  <LinksUpToDate>false</LinksUpToDate>
  <CharactersWithSpaces>21940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2023-08-24T08:29:00Z</dcterms:created>
  <dc:creator>a34617</dc:creator>
  <cp:lastModifiedBy>administrator</cp:lastModifiedBy>
  <dcterms:modified xsi:type="dcterms:W3CDTF">2023-09-07T07:42:49Z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63052017737D4C5BBC4D0BEB40CFADC3_13</vt:lpwstr>
  </property>
</Properties>
</file>