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hint="eastAsia" w:ascii="宋体" w:hAnsi="宋体"/>
          <w:b/>
          <w:bCs/>
          <w:color w:val="000000"/>
          <w:sz w:val="36"/>
          <w:szCs w:val="36"/>
        </w:rPr>
      </w:pPr>
      <w:bookmarkStart w:id="0" w:name="PO_15528_PM002_1"/>
      <w:bookmarkStart w:id="46" w:name="_GoBack"/>
      <w:bookmarkEnd w:id="46"/>
      <w:r>
        <w:rPr>
          <w:rFonts w:hint="eastAsia" w:ascii="宋体" w:hAnsi="宋体"/>
          <w:b/>
          <w:bCs/>
          <w:color w:val="000000"/>
          <w:sz w:val="36"/>
          <w:szCs w:val="36"/>
        </w:rPr>
        <w:t>浙江同济科技职业学院校级公共虚拟仿真实训项目</w:t>
      </w:r>
      <w:bookmarkEnd w:id="0"/>
    </w:p>
    <w:p>
      <w:pPr>
        <w:spacing w:before="312" w:beforeLines="100" w:line="360" w:lineRule="auto"/>
        <w:jc w:val="center"/>
        <w:rPr>
          <w:rFonts w:hint="eastAsia" w:ascii="宋体" w:hAnsi="宋体"/>
          <w:b/>
          <w:color w:val="000000"/>
          <w:spacing w:val="40"/>
          <w:sz w:val="84"/>
          <w:szCs w:val="84"/>
        </w:rPr>
      </w:pPr>
      <w:r>
        <w:rPr>
          <w:rFonts w:hint="eastAsia" w:ascii="宋体" w:hAnsi="宋体"/>
          <w:color w:val="000000"/>
          <w:sz w:val="36"/>
          <w:szCs w:val="36"/>
        </w:rPr>
        <w:t>项目编号：</w:t>
      </w:r>
      <w:bookmarkStart w:id="1" w:name="PO_15528_PM001"/>
      <w:r>
        <w:rPr>
          <w:rFonts w:hint="eastAsia" w:ascii="宋体" w:hAnsi="宋体"/>
          <w:color w:val="000000"/>
          <w:sz w:val="36"/>
          <w:szCs w:val="36"/>
        </w:rPr>
        <w:t>ZZCG2024T-GK-129</w:t>
      </w:r>
      <w:bookmarkEnd w:id="1"/>
    </w:p>
    <w:p>
      <w:pPr>
        <w:spacing w:before="312" w:beforeLines="100" w:after="100" w:afterAutospacing="1" w:line="800" w:lineRule="exact"/>
        <w:jc w:val="center"/>
        <w:rPr>
          <w:rFonts w:ascii="宋体" w:hAnsi="宋体"/>
          <w:b/>
          <w:color w:val="000000"/>
          <w:spacing w:val="40"/>
          <w:sz w:val="84"/>
          <w:szCs w:val="84"/>
        </w:rPr>
      </w:pPr>
      <w:r>
        <w:rPr>
          <w:rFonts w:hint="eastAsia" w:ascii="宋体" w:hAnsi="宋体"/>
          <w:b/>
          <w:color w:val="000000"/>
          <w:spacing w:val="40"/>
          <w:sz w:val="84"/>
          <w:szCs w:val="84"/>
        </w:rPr>
        <w:t>公</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 xml:space="preserve">招 </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pPr>
        <w:ind w:right="-110"/>
        <w:rPr>
          <w:rFonts w:ascii="宋体" w:hAnsi="宋体"/>
          <w:color w:val="000000"/>
          <w:sz w:val="32"/>
          <w:szCs w:val="32"/>
        </w:rPr>
      </w:pPr>
    </w:p>
    <w:p>
      <w:pPr>
        <w:ind w:right="-110"/>
        <w:rPr>
          <w:rFonts w:ascii="宋体" w:hAnsi="宋体"/>
          <w:color w:val="000000"/>
          <w:sz w:val="32"/>
          <w:szCs w:val="32"/>
        </w:rPr>
      </w:pPr>
    </w:p>
    <w:p>
      <w:pPr>
        <w:spacing w:line="500" w:lineRule="exact"/>
        <w:ind w:right="532" w:firstLine="540" w:firstLineChars="150"/>
        <w:jc w:val="center"/>
        <w:rPr>
          <w:rFonts w:ascii="宋体" w:hAnsi="宋体"/>
          <w:color w:val="000000"/>
          <w:sz w:val="36"/>
          <w:szCs w:val="36"/>
        </w:rPr>
      </w:pPr>
      <w:r>
        <w:rPr>
          <w:rFonts w:hint="eastAsia" w:ascii="宋体" w:hAnsi="宋体"/>
          <w:color w:val="000000"/>
          <w:sz w:val="36"/>
          <w:szCs w:val="36"/>
        </w:rPr>
        <w:t>浙 江 省 政 府 采 购 中 心</w:t>
      </w:r>
    </w:p>
    <w:p>
      <w:pPr>
        <w:spacing w:line="500" w:lineRule="exact"/>
        <w:ind w:right="532"/>
        <w:rPr>
          <w:rFonts w:ascii="宋体" w:hAnsi="宋体"/>
          <w:color w:val="000000"/>
          <w:sz w:val="36"/>
          <w:szCs w:val="36"/>
        </w:rPr>
      </w:pPr>
    </w:p>
    <w:p>
      <w:pPr>
        <w:wordWrap w:val="0"/>
        <w:spacing w:line="500" w:lineRule="exact"/>
        <w:ind w:right="-108" w:firstLine="540" w:firstLineChars="150"/>
        <w:rPr>
          <w:rFonts w:hAnsi="宋体"/>
          <w:b/>
          <w:color w:val="000000"/>
          <w:sz w:val="36"/>
          <w:szCs w:val="36"/>
        </w:rPr>
      </w:pPr>
      <w:r>
        <w:rPr>
          <w:rFonts w:hint="eastAsia" w:ascii="宋体" w:hAnsi="宋体"/>
          <w:color w:val="000000"/>
          <w:sz w:val="36"/>
          <w:szCs w:val="36"/>
        </w:rPr>
        <w:t>地    址：浙江省杭州市西湖区宝石一路3号</w:t>
      </w:r>
    </w:p>
    <w:p>
      <w:pPr>
        <w:spacing w:line="500" w:lineRule="exact"/>
        <w:ind w:right="-108" w:firstLine="3072" w:firstLineChars="850"/>
        <w:rPr>
          <w:rFonts w:hAnsi="宋体"/>
          <w:b/>
          <w:color w:val="000000"/>
          <w:sz w:val="36"/>
          <w:szCs w:val="36"/>
        </w:rPr>
      </w:pPr>
    </w:p>
    <w:p>
      <w:pPr>
        <w:spacing w:line="500" w:lineRule="exact"/>
        <w:ind w:right="-108" w:firstLine="3072" w:firstLineChars="850"/>
        <w:rPr>
          <w:rFonts w:hAnsi="宋体"/>
          <w:b/>
          <w:color w:val="000000"/>
          <w:sz w:val="36"/>
          <w:szCs w:val="36"/>
        </w:rPr>
      </w:pPr>
    </w:p>
    <w:p>
      <w:pPr>
        <w:spacing w:line="500" w:lineRule="exact"/>
        <w:ind w:right="-108" w:firstLine="3072" w:firstLineChars="850"/>
        <w:rPr>
          <w:rFonts w:hAnsi="宋体"/>
          <w:b/>
          <w:color w:val="000000"/>
          <w:sz w:val="36"/>
          <w:szCs w:val="36"/>
        </w:rPr>
      </w:pPr>
    </w:p>
    <w:p>
      <w:pPr>
        <w:spacing w:line="500" w:lineRule="exact"/>
        <w:ind w:right="-108" w:firstLine="3072" w:firstLineChars="850"/>
        <w:rPr>
          <w:rFonts w:hAnsi="宋体"/>
          <w:b/>
          <w:color w:val="000000"/>
          <w:sz w:val="36"/>
          <w:szCs w:val="36"/>
        </w:rPr>
      </w:pPr>
    </w:p>
    <w:p>
      <w:pPr>
        <w:spacing w:line="500" w:lineRule="exact"/>
        <w:ind w:right="-108" w:firstLine="3072" w:firstLineChars="850"/>
        <w:rPr>
          <w:rFonts w:hAnsi="宋体"/>
          <w:b/>
          <w:color w:val="000000"/>
          <w:sz w:val="36"/>
          <w:szCs w:val="36"/>
        </w:rPr>
      </w:pPr>
    </w:p>
    <w:p>
      <w:pPr>
        <w:spacing w:line="500" w:lineRule="exact"/>
        <w:ind w:right="-108" w:firstLine="3253" w:firstLineChars="900"/>
        <w:rPr>
          <w:rFonts w:hAnsi="宋体"/>
          <w:b/>
          <w:color w:val="000000"/>
          <w:sz w:val="36"/>
          <w:szCs w:val="36"/>
        </w:rPr>
      </w:pPr>
      <w:r>
        <w:rPr>
          <w:rFonts w:hint="eastAsia" w:hAnsi="宋体"/>
          <w:b/>
          <w:color w:val="000000"/>
          <w:sz w:val="36"/>
          <w:szCs w:val="36"/>
        </w:rPr>
        <w:t>目</w:t>
      </w:r>
      <w:r>
        <w:rPr>
          <w:rFonts w:hAnsi="宋体"/>
          <w:b/>
          <w:color w:val="000000"/>
          <w:sz w:val="36"/>
          <w:szCs w:val="36"/>
        </w:rPr>
        <w:t xml:space="preserve">     </w:t>
      </w:r>
      <w:r>
        <w:rPr>
          <w:rFonts w:hint="eastAsia" w:hAnsi="宋体"/>
          <w:b/>
          <w:color w:val="000000"/>
          <w:sz w:val="36"/>
          <w:szCs w:val="36"/>
        </w:rPr>
        <w:t>录</w:t>
      </w:r>
    </w:p>
    <w:p>
      <w:pPr>
        <w:pStyle w:val="31"/>
        <w:spacing w:before="156" w:after="156" w:line="360" w:lineRule="auto"/>
        <w:jc w:val="center"/>
        <w:rPr>
          <w:rFonts w:hAnsi="宋体" w:eastAsia="仿宋_GB2312"/>
          <w:color w:val="000000"/>
          <w:sz w:val="32"/>
          <w:szCs w:val="32"/>
        </w:rPr>
      </w:pPr>
    </w:p>
    <w:p>
      <w:pPr>
        <w:pStyle w:val="40"/>
        <w:tabs>
          <w:tab w:val="right" w:leader="dot" w:pos="8312"/>
        </w:tabs>
      </w:pPr>
      <w:r>
        <w:rPr>
          <w:rFonts w:hint="eastAsia" w:ascii="宋体" w:hAnsi="宋体" w:eastAsia="仿宋_GB2312"/>
          <w:color w:val="000000"/>
          <w:sz w:val="30"/>
          <w:szCs w:val="30"/>
        </w:rPr>
        <w:fldChar w:fldCharType="begin"/>
      </w:r>
      <w:r>
        <w:rPr>
          <w:rFonts w:hint="eastAsia" w:ascii="宋体" w:hAnsi="宋体" w:eastAsia="仿宋_GB2312"/>
          <w:color w:val="000000"/>
          <w:sz w:val="30"/>
          <w:szCs w:val="30"/>
        </w:rPr>
        <w:instrText xml:space="preserve"> TOC \o "1-1" \h \z \u </w:instrText>
      </w:r>
      <w:r>
        <w:rPr>
          <w:rFonts w:hint="eastAsia" w:ascii="宋体" w:hAnsi="宋体" w:eastAsia="仿宋_GB2312"/>
          <w:color w:val="000000"/>
          <w:sz w:val="30"/>
          <w:szCs w:val="30"/>
        </w:rPr>
        <w:fldChar w:fldCharType="separate"/>
      </w:r>
      <w:r>
        <w:fldChar w:fldCharType="begin"/>
      </w:r>
      <w:r>
        <w:instrText xml:space="preserve"> HYPERLINK \l "_Toc2371" </w:instrText>
      </w:r>
      <w:r>
        <w:fldChar w:fldCharType="separate"/>
      </w:r>
      <w:r>
        <w:rPr>
          <w:rFonts w:hint="eastAsia" w:hAnsi="宋体"/>
          <w:szCs w:val="36"/>
        </w:rPr>
        <w:t>第一章  公开招标采购公告</w:t>
      </w:r>
      <w:r>
        <w:tab/>
      </w:r>
      <w:r>
        <w:fldChar w:fldCharType="begin"/>
      </w:r>
      <w:r>
        <w:instrText xml:space="preserve"> PAGEREF _Toc2371 \h </w:instrText>
      </w:r>
      <w:r>
        <w:fldChar w:fldCharType="separate"/>
      </w:r>
      <w:r>
        <w:t>3</w:t>
      </w:r>
      <w:r>
        <w:fldChar w:fldCharType="end"/>
      </w:r>
      <w:r>
        <w:fldChar w:fldCharType="end"/>
      </w:r>
    </w:p>
    <w:p>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  投标人须知</w:t>
      </w:r>
      <w:r>
        <w:tab/>
      </w:r>
      <w:r>
        <w:fldChar w:fldCharType="begin"/>
      </w:r>
      <w:r>
        <w:instrText xml:space="preserve"> PAGEREF _Toc29498 \h </w:instrText>
      </w:r>
      <w:r>
        <w:fldChar w:fldCharType="separate"/>
      </w:r>
      <w:r>
        <w:t>7</w:t>
      </w:r>
      <w:r>
        <w:fldChar w:fldCharType="end"/>
      </w:r>
      <w:r>
        <w:fldChar w:fldCharType="end"/>
      </w:r>
    </w:p>
    <w:p>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  评标办法及评分标准</w:t>
      </w:r>
      <w:r>
        <w:tab/>
      </w:r>
      <w:r>
        <w:fldChar w:fldCharType="begin"/>
      </w:r>
      <w:r>
        <w:instrText xml:space="preserve"> PAGEREF _Toc2834 \h </w:instrText>
      </w:r>
      <w:r>
        <w:fldChar w:fldCharType="separate"/>
      </w:r>
      <w:r>
        <w:t>27</w:t>
      </w:r>
      <w:r>
        <w:fldChar w:fldCharType="end"/>
      </w:r>
      <w:r>
        <w:fldChar w:fldCharType="end"/>
      </w:r>
    </w:p>
    <w:p>
      <w:pPr>
        <w:pStyle w:val="40"/>
        <w:tabs>
          <w:tab w:val="right" w:leader="dot" w:pos="8312"/>
        </w:tabs>
        <w:rPr>
          <w:rFonts w:hint="eastAsia" w:eastAsia="仿宋"/>
          <w:lang w:val="en-US" w:eastAsia="zh-CN"/>
        </w:rPr>
      </w:pPr>
      <w:r>
        <w:fldChar w:fldCharType="begin"/>
      </w:r>
      <w:r>
        <w:instrText xml:space="preserve"> HYPERLINK \l "_Toc24960" </w:instrText>
      </w:r>
      <w:r>
        <w:fldChar w:fldCharType="separate"/>
      </w:r>
      <w:r>
        <w:rPr>
          <w:rFonts w:hint="eastAsia" w:hAnsi="宋体"/>
          <w:szCs w:val="36"/>
        </w:rPr>
        <w:t>第四章  招标需求</w:t>
      </w:r>
      <w:r>
        <w:tab/>
      </w:r>
      <w:r>
        <w:rPr>
          <w:rFonts w:hint="eastAsia"/>
          <w:lang w:val="en-US" w:eastAsia="zh-CN"/>
        </w:rPr>
        <w:t>3</w:t>
      </w:r>
      <w:r>
        <w:fldChar w:fldCharType="end"/>
      </w:r>
      <w:r>
        <w:rPr>
          <w:rFonts w:hint="eastAsia"/>
          <w:lang w:val="en-US" w:eastAsia="zh-CN"/>
        </w:rPr>
        <w:t>0</w:t>
      </w:r>
    </w:p>
    <w:p>
      <w:pPr>
        <w:pStyle w:val="40"/>
        <w:tabs>
          <w:tab w:val="right" w:leader="dot" w:pos="8312"/>
        </w:tabs>
        <w:rPr>
          <w:rFonts w:hint="eastAsia" w:eastAsia="仿宋"/>
          <w:lang w:val="en-US" w:eastAsia="zh-CN"/>
        </w:rPr>
      </w:pPr>
      <w:r>
        <w:fldChar w:fldCharType="begin"/>
      </w:r>
      <w:r>
        <w:instrText xml:space="preserve"> HYPERLINK \l "_Toc26308" </w:instrText>
      </w:r>
      <w:r>
        <w:fldChar w:fldCharType="separate"/>
      </w:r>
      <w:r>
        <w:rPr>
          <w:rFonts w:hint="eastAsia" w:hAnsi="宋体"/>
          <w:szCs w:val="36"/>
        </w:rPr>
        <w:t>第五章  浙江省政府采购合同主要条款指引</w:t>
      </w:r>
      <w:r>
        <w:tab/>
      </w:r>
      <w:r>
        <w:rPr>
          <w:rFonts w:hint="eastAsia"/>
          <w:lang w:val="en-US" w:eastAsia="zh-CN"/>
        </w:rPr>
        <w:t>5</w:t>
      </w:r>
      <w:r>
        <w:fldChar w:fldCharType="end"/>
      </w:r>
      <w:r>
        <w:rPr>
          <w:rFonts w:hint="eastAsia"/>
          <w:lang w:val="en-US" w:eastAsia="zh-CN"/>
        </w:rPr>
        <w:t>7</w:t>
      </w:r>
    </w:p>
    <w:p>
      <w:pPr>
        <w:pStyle w:val="40"/>
        <w:tabs>
          <w:tab w:val="right" w:leader="dot" w:pos="8312"/>
        </w:tabs>
        <w:rPr>
          <w:rFonts w:hint="eastAsia" w:eastAsia="仿宋"/>
          <w:lang w:val="en-US" w:eastAsia="zh-CN"/>
        </w:rPr>
      </w:pPr>
      <w:r>
        <w:fldChar w:fldCharType="begin"/>
      </w:r>
      <w:r>
        <w:instrText xml:space="preserve"> HYPERLINK \l "_Toc22013" </w:instrText>
      </w:r>
      <w:r>
        <w:fldChar w:fldCharType="separate"/>
      </w:r>
      <w:r>
        <w:rPr>
          <w:rFonts w:hint="eastAsia" w:hAnsi="宋体"/>
          <w:szCs w:val="36"/>
        </w:rPr>
        <w:t>第六章  投标文件格式附件</w:t>
      </w:r>
      <w:r>
        <w:tab/>
      </w:r>
      <w:r>
        <w:rPr>
          <w:rFonts w:hint="eastAsia"/>
          <w:lang w:val="en-US" w:eastAsia="zh-CN"/>
        </w:rPr>
        <w:t>6</w:t>
      </w:r>
      <w:r>
        <w:fldChar w:fldCharType="end"/>
      </w:r>
      <w:r>
        <w:rPr>
          <w:rFonts w:hint="eastAsia"/>
          <w:lang w:val="en-US" w:eastAsia="zh-CN"/>
        </w:rPr>
        <w:t>2</w:t>
      </w:r>
    </w:p>
    <w:p>
      <w:pPr>
        <w:spacing w:before="156" w:beforeLines="50" w:line="480" w:lineRule="exact"/>
        <w:ind w:left="165"/>
        <w:rPr>
          <w:rFonts w:ascii="宋体" w:hAnsi="宋体" w:eastAsia="仿宋_GB2312"/>
          <w:color w:val="000000"/>
          <w:sz w:val="30"/>
          <w:szCs w:val="30"/>
        </w:rPr>
      </w:pPr>
      <w:r>
        <w:rPr>
          <w:rFonts w:hint="eastAsia" w:ascii="宋体" w:hAnsi="宋体" w:eastAsia="仿宋_GB2312"/>
          <w:color w:val="000000"/>
          <w:szCs w:val="30"/>
        </w:rPr>
        <w:fldChar w:fldCharType="end"/>
      </w:r>
    </w:p>
    <w:p>
      <w:pPr>
        <w:pStyle w:val="31"/>
        <w:spacing w:before="156" w:after="156" w:line="360" w:lineRule="auto"/>
        <w:ind w:firstLine="640"/>
        <w:jc w:val="center"/>
        <w:outlineLvl w:val="0"/>
        <w:rPr>
          <w:rFonts w:hAnsi="宋体"/>
          <w:b/>
          <w:color w:val="000000"/>
          <w:sz w:val="36"/>
          <w:szCs w:val="36"/>
        </w:rPr>
      </w:pPr>
      <w:r>
        <w:rPr>
          <w:rFonts w:hint="eastAsia" w:hAnsi="宋体" w:eastAsia="仿宋_GB2312"/>
          <w:color w:val="000000"/>
          <w:kern w:val="0"/>
          <w:sz w:val="32"/>
          <w:szCs w:val="32"/>
        </w:rPr>
        <w:br w:type="page"/>
      </w:r>
      <w:bookmarkStart w:id="2" w:name="_Toc2371"/>
      <w:r>
        <w:rPr>
          <w:rFonts w:hint="eastAsia" w:hAnsi="宋体"/>
          <w:b/>
          <w:color w:val="000000"/>
          <w:sz w:val="36"/>
          <w:szCs w:val="36"/>
        </w:rPr>
        <w:t>第一章  公开招标采购公告</w:t>
      </w:r>
      <w:bookmarkEnd w:id="2"/>
    </w:p>
    <w:p>
      <w:pPr>
        <w:pStyle w:val="397"/>
        <w:widowControl w:val="0"/>
        <w:spacing w:after="156" w:line="460" w:lineRule="exact"/>
        <w:ind w:firstLine="560"/>
        <w:rPr>
          <w:rFonts w:ascii="仿宋" w:hAnsi="仿宋" w:eastAsia="仿宋"/>
          <w:color w:val="000000"/>
          <w:sz w:val="30"/>
          <w:szCs w:val="30"/>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pPr>
        <w:snapToGrid w:val="0"/>
        <w:spacing w:line="460" w:lineRule="exact"/>
        <w:ind w:firstLine="600" w:firstLineChars="200"/>
        <w:rPr>
          <w:rFonts w:hint="eastAsia" w:ascii="仿宋" w:hAnsi="仿宋" w:eastAsia="仿宋" w:cs="Arial"/>
          <w:color w:val="000000"/>
          <w:sz w:val="30"/>
          <w:szCs w:val="30"/>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bookmarkStart w:id="3" w:name="PO_15528_PM001_1"/>
      <w:r>
        <w:rPr>
          <w:rFonts w:hint="eastAsia" w:ascii="仿宋" w:hAnsi="仿宋" w:eastAsia="仿宋" w:cs="Arial"/>
          <w:b/>
          <w:bCs/>
          <w:color w:val="000000"/>
          <w:sz w:val="30"/>
          <w:szCs w:val="30"/>
        </w:rPr>
        <w:t>ZZCG2024T-GK-129</w:t>
      </w:r>
      <w:bookmarkEnd w:id="3"/>
    </w:p>
    <w:p>
      <w:pPr>
        <w:snapToGrid w:val="0"/>
        <w:spacing w:after="156"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pPr>
        <w:snapToGrid w:val="0"/>
        <w:spacing w:after="156" w:afterLines="50" w:line="460" w:lineRule="exact"/>
        <w:ind w:firstLine="602" w:firstLineChars="200"/>
        <w:rPr>
          <w:rFonts w:hint="eastAsia" w:ascii="仿宋" w:hAnsi="仿宋" w:eastAsia="仿宋" w:cs="Arial"/>
          <w:b/>
          <w:color w:val="000000"/>
          <w:sz w:val="28"/>
          <w:szCs w:val="28"/>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4" w:name="PO_15528_PM004"/>
      <w:r>
        <w:rPr>
          <w:rFonts w:hint="eastAsia" w:ascii="仿宋" w:hAnsi="仿宋" w:eastAsia="仿宋" w:cs="Arial"/>
          <w:b/>
          <w:color w:val="000000"/>
          <w:sz w:val="28"/>
          <w:szCs w:val="28"/>
        </w:rPr>
        <w:t xml:space="preserve"> </w:t>
      </w:r>
    </w:p>
    <w:tbl>
      <w:tblPr>
        <w:tblStyle w:val="59"/>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340"/>
        <w:gridCol w:w="869"/>
        <w:gridCol w:w="884"/>
        <w:gridCol w:w="1500"/>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noWrap w:val="0"/>
            <w:vAlign w:val="top"/>
          </w:tcPr>
          <w:p>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标项序号</w:t>
            </w:r>
          </w:p>
        </w:tc>
        <w:tc>
          <w:tcPr>
            <w:tcW w:w="1381" w:type="pct"/>
            <w:noWrap w:val="0"/>
            <w:vAlign w:val="top"/>
          </w:tcPr>
          <w:p>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标项名称</w:t>
            </w:r>
          </w:p>
        </w:tc>
        <w:tc>
          <w:tcPr>
            <w:tcW w:w="513" w:type="pct"/>
            <w:noWrap w:val="0"/>
            <w:vAlign w:val="top"/>
          </w:tcPr>
          <w:p>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数量</w:t>
            </w:r>
          </w:p>
        </w:tc>
        <w:tc>
          <w:tcPr>
            <w:tcW w:w="522" w:type="pct"/>
            <w:noWrap w:val="0"/>
            <w:vAlign w:val="top"/>
          </w:tcPr>
          <w:p>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单位</w:t>
            </w:r>
          </w:p>
        </w:tc>
        <w:tc>
          <w:tcPr>
            <w:tcW w:w="885" w:type="pct"/>
            <w:noWrap w:val="0"/>
            <w:vAlign w:val="top"/>
          </w:tcPr>
          <w:p>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预算金额(万元)</w:t>
            </w:r>
          </w:p>
        </w:tc>
        <w:tc>
          <w:tcPr>
            <w:tcW w:w="1203" w:type="pct"/>
            <w:noWrap w:val="0"/>
            <w:vAlign w:val="top"/>
          </w:tcPr>
          <w:p>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noWrap w:val="0"/>
            <w:vAlign w:val="top"/>
          </w:tcPr>
          <w:p>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1</w:t>
            </w:r>
          </w:p>
        </w:tc>
        <w:tc>
          <w:tcPr>
            <w:tcW w:w="1381" w:type="pct"/>
            <w:noWrap w:val="0"/>
            <w:vAlign w:val="top"/>
          </w:tcPr>
          <w:p>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浙江同济科技职业学院校级公共虚拟仿真实训项目</w:t>
            </w:r>
          </w:p>
        </w:tc>
        <w:tc>
          <w:tcPr>
            <w:tcW w:w="513" w:type="pct"/>
            <w:noWrap w:val="0"/>
            <w:vAlign w:val="top"/>
          </w:tcPr>
          <w:p>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1</w:t>
            </w:r>
          </w:p>
        </w:tc>
        <w:tc>
          <w:tcPr>
            <w:tcW w:w="522" w:type="pct"/>
            <w:noWrap w:val="0"/>
            <w:vAlign w:val="top"/>
          </w:tcPr>
          <w:p>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项</w:t>
            </w:r>
          </w:p>
        </w:tc>
        <w:tc>
          <w:tcPr>
            <w:tcW w:w="885" w:type="pct"/>
            <w:noWrap w:val="0"/>
            <w:vAlign w:val="top"/>
          </w:tcPr>
          <w:p>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176.0838</w:t>
            </w:r>
          </w:p>
        </w:tc>
        <w:tc>
          <w:tcPr>
            <w:tcW w:w="1203" w:type="pct"/>
            <w:noWrap w:val="0"/>
            <w:vAlign w:val="top"/>
          </w:tcPr>
          <w:p>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详见采购文件</w:t>
            </w:r>
          </w:p>
        </w:tc>
      </w:tr>
    </w:tbl>
    <w:p>
      <w:pPr>
        <w:snapToGrid w:val="0"/>
        <w:spacing w:after="156" w:afterLines="50"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lang w:val="en-US" w:eastAsia="zh-CN"/>
        </w:rPr>
        <w:t>注：</w:t>
      </w:r>
      <w:r>
        <w:rPr>
          <w:rFonts w:hint="eastAsia" w:ascii="仿宋" w:hAnsi="仿宋" w:eastAsia="仿宋" w:cs="Arial"/>
          <w:b/>
          <w:color w:val="000000"/>
          <w:sz w:val="28"/>
          <w:szCs w:val="28"/>
        </w:rPr>
        <w:t xml:space="preserve"> </w:t>
      </w:r>
      <w:bookmarkEnd w:id="4"/>
      <w:r>
        <w:rPr>
          <w:rFonts w:hint="eastAsia" w:ascii="仿宋" w:hAnsi="仿宋" w:eastAsia="仿宋" w:cs="Arial"/>
          <w:b/>
          <w:color w:val="000000"/>
          <w:sz w:val="28"/>
          <w:szCs w:val="28"/>
        </w:rPr>
        <w:t>本项目不接受分包和联合体投标投标理由如下：</w:t>
      </w:r>
    </w:p>
    <w:p>
      <w:pPr>
        <w:snapToGrid w:val="0"/>
        <w:spacing w:after="156" w:afterLines="50"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1.资源整合问题：联合体投标需要各个成员整合资源以提供全面的解决方案。但是，不同成员间可能存在资源分配和协调难题，可能会因为所需资源无法得到合理配置而导致项目流程中断。</w:t>
      </w:r>
    </w:p>
    <w:p>
      <w:pPr>
        <w:snapToGrid w:val="0"/>
        <w:spacing w:after="156" w:afterLines="50"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2.风险分担不均：联合体成员在项目实施过程中需要共同承担风险。然而，由于各成员之间的合作程度异质，风险分担存在不均衡的风险，给项目的顺利推进带来不确定因素。</w:t>
      </w:r>
    </w:p>
    <w:p>
      <w:pPr>
        <w:snapToGrid w:val="0"/>
        <w:spacing w:after="156" w:afterLines="50"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3.管理决策效率低：联合体投标可能涉及各成员之间的统筹协调和决策制定。不同组织间的管理决策效率可能存在差异，导致项目决策周期拉长，影响项目进展。</w:t>
      </w:r>
    </w:p>
    <w:p>
      <w:pPr>
        <w:snapToGrid w:val="0"/>
        <w:spacing w:after="156" w:afterLines="50"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综上所述，本校级公共虚拟仿真实训基地建设项目不接受分包和联合体投标。</w:t>
      </w:r>
    </w:p>
    <w:p>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pPr>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olor w:val="000000"/>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hint="eastAsia" w:ascii="仿宋" w:hAnsi="仿宋" w:eastAsia="仿宋" w:cs="Arial"/>
          <w:b/>
          <w:bCs/>
          <w:color w:val="000000"/>
          <w:sz w:val="30"/>
          <w:szCs w:val="30"/>
          <w:lang w:val="en-US" w:eastAsia="zh-CN"/>
        </w:rPr>
      </w:pPr>
      <w:bookmarkStart w:id="5" w:name="PO_416_PM006"/>
      <w:r>
        <w:rPr>
          <w:rFonts w:hint="eastAsia" w:ascii="仿宋" w:hAnsi="仿宋" w:eastAsia="仿宋" w:cs="Arial"/>
          <w:b/>
          <w:bCs/>
          <w:color w:val="000000"/>
          <w:sz w:val="30"/>
          <w:szCs w:val="30"/>
        </w:rPr>
        <w:t xml:space="preserve"> </w:t>
      </w:r>
      <w:bookmarkEnd w:id="5"/>
      <w:r>
        <w:rPr>
          <w:rFonts w:hint="eastAsia" w:ascii="仿宋" w:hAnsi="仿宋" w:eastAsia="仿宋" w:cs="Arial"/>
          <w:b/>
          <w:bCs/>
          <w:color w:val="000000"/>
          <w:sz w:val="30"/>
          <w:szCs w:val="30"/>
        </w:rPr>
        <w:t>投标人的特定条件：</w:t>
      </w:r>
      <w:r>
        <w:rPr>
          <w:rFonts w:hint="eastAsia" w:ascii="仿宋" w:hAnsi="仿宋" w:eastAsia="仿宋" w:cs="Arial"/>
          <w:b/>
          <w:bCs/>
          <w:color w:val="000000"/>
          <w:sz w:val="30"/>
          <w:szCs w:val="30"/>
          <w:lang w:val="en-US" w:eastAsia="zh-CN"/>
        </w:rPr>
        <w:t>无</w:t>
      </w:r>
    </w:p>
    <w:p>
      <w:pPr>
        <w:snapToGrid w:val="0"/>
        <w:spacing w:line="500" w:lineRule="exact"/>
        <w:ind w:firstLine="562" w:firstLineChars="200"/>
        <w:rPr>
          <w:rFonts w:ascii="宋体" w:hAnsi="宋体" w:cs="Arial"/>
          <w:b/>
          <w:bCs/>
          <w:color w:val="000000"/>
          <w:sz w:val="28"/>
          <w:szCs w:val="28"/>
        </w:rPr>
      </w:pPr>
      <w:r>
        <w:rPr>
          <w:rFonts w:hint="eastAsia" w:ascii="宋体" w:hAnsi="宋体" w:cs="仿宋"/>
          <w:b/>
          <w:bCs/>
          <w:color w:val="000000"/>
          <w:kern w:val="0"/>
          <w:sz w:val="28"/>
          <w:szCs w:val="28"/>
          <w:lang w:val="zh-CN"/>
        </w:rPr>
        <w:t>五、获取采购文件</w:t>
      </w:r>
    </w:p>
    <w:p>
      <w:pPr>
        <w:snapToGrid w:val="0"/>
        <w:spacing w:line="500" w:lineRule="exact"/>
        <w:ind w:firstLine="560" w:firstLineChars="200"/>
        <w:rPr>
          <w:rFonts w:ascii="宋体" w:hAnsi="宋体"/>
          <w:color w:val="000000"/>
          <w:kern w:val="0"/>
          <w:sz w:val="28"/>
          <w:szCs w:val="28"/>
        </w:rPr>
      </w:pPr>
      <w:r>
        <w:rPr>
          <w:rFonts w:hint="eastAsia" w:ascii="宋体" w:hAnsi="宋体"/>
          <w:color w:val="000000"/>
          <w:kern w:val="0"/>
          <w:sz w:val="28"/>
          <w:szCs w:val="28"/>
        </w:rPr>
        <w:t>1.获取时间：</w:t>
      </w:r>
      <w:r>
        <w:rPr>
          <w:rFonts w:hint="eastAsia" w:ascii="仿宋" w:hAnsi="仿宋" w:eastAsia="仿宋"/>
          <w:color w:val="000000"/>
          <w:kern w:val="0"/>
          <w:sz w:val="30"/>
          <w:szCs w:val="30"/>
        </w:rPr>
        <w:t xml:space="preserve">[项目采购-报名开始日期] 至 </w:t>
      </w:r>
      <w:bookmarkStart w:id="6" w:name="PO_15528_PM009"/>
      <w:r>
        <w:rPr>
          <w:rFonts w:hint="eastAsia" w:ascii="仿宋" w:hAnsi="仿宋" w:eastAsia="仿宋"/>
          <w:color w:val="000000"/>
          <w:kern w:val="0"/>
          <w:sz w:val="30"/>
          <w:szCs w:val="30"/>
          <w:lang w:eastAsia="zh-CN"/>
        </w:rPr>
        <w:t>2024-07-29 09:30:00</w:t>
      </w:r>
      <w:bookmarkEnd w:id="6"/>
      <w:r>
        <w:rPr>
          <w:rFonts w:hint="eastAsia" w:ascii="宋体" w:hAnsi="宋体"/>
          <w:color w:val="000000"/>
          <w:kern w:val="0"/>
          <w:sz w:val="28"/>
          <w:szCs w:val="28"/>
        </w:rPr>
        <w:t>。</w:t>
      </w:r>
    </w:p>
    <w:p>
      <w:pPr>
        <w:autoSpaceDE w:val="0"/>
        <w:autoSpaceDN w:val="0"/>
        <w:adjustRightInd w:val="0"/>
        <w:snapToGrid w:val="0"/>
        <w:spacing w:line="500" w:lineRule="exact"/>
        <w:ind w:firstLine="600"/>
        <w:rPr>
          <w:rFonts w:ascii="宋体" w:hAnsi="宋体" w:cs="仿宋"/>
          <w:color w:val="000000"/>
          <w:kern w:val="0"/>
          <w:sz w:val="28"/>
          <w:szCs w:val="28"/>
          <w:lang w:val="zh-CN"/>
        </w:rPr>
      </w:pPr>
      <w:r>
        <w:rPr>
          <w:rFonts w:hint="eastAsia" w:ascii="宋体" w:hAnsi="宋体" w:cs="仿宋"/>
          <w:color w:val="000000"/>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sz w:val="28"/>
          <w:szCs w:val="28"/>
        </w:rPr>
        <w:t>http://zfcg.czt.zj.gov.cn/</w:t>
      </w:r>
      <w:r>
        <w:rPr>
          <w:rStyle w:val="69"/>
          <w:color w:val="000000"/>
          <w:sz w:val="28"/>
          <w:szCs w:val="28"/>
        </w:rPr>
        <w:fldChar w:fldCharType="end"/>
      </w:r>
      <w:r>
        <w:rPr>
          <w:rFonts w:hint="eastAsia" w:ascii="宋体" w:hAnsi="宋体" w:cs="仿宋"/>
          <w:color w:val="000000"/>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000000"/>
          <w:kern w:val="0"/>
          <w:sz w:val="28"/>
          <w:szCs w:val="28"/>
          <w:lang w:val="zh-CN"/>
        </w:rPr>
      </w:pPr>
      <w:r>
        <w:rPr>
          <w:rFonts w:hint="eastAsia" w:ascii="宋体" w:hAnsi="宋体" w:cs="仿宋"/>
          <w:color w:val="000000"/>
          <w:kern w:val="0"/>
          <w:sz w:val="28"/>
          <w:szCs w:val="28"/>
          <w:lang w:val="zh-CN"/>
        </w:rPr>
        <w:t>3.招标文件免费获取。</w:t>
      </w:r>
    </w:p>
    <w:p>
      <w:pPr>
        <w:snapToGrid w:val="0"/>
        <w:spacing w:line="500" w:lineRule="exact"/>
        <w:ind w:firstLine="562" w:firstLineChars="200"/>
        <w:rPr>
          <w:rFonts w:ascii="宋体" w:hAnsi="宋体"/>
          <w:b/>
          <w:color w:val="000000"/>
          <w:kern w:val="0"/>
          <w:sz w:val="28"/>
          <w:szCs w:val="28"/>
        </w:rPr>
      </w:pPr>
      <w:r>
        <w:rPr>
          <w:rFonts w:hint="eastAsia" w:ascii="宋体" w:hAnsi="宋体" w:cs="Arial"/>
          <w:b/>
          <w:bCs/>
          <w:color w:val="000000"/>
          <w:sz w:val="28"/>
          <w:szCs w:val="28"/>
        </w:rPr>
        <w:t>六、投标截止时间、地点和形式</w:t>
      </w:r>
    </w:p>
    <w:p>
      <w:pPr>
        <w:pStyle w:val="31"/>
        <w:adjustRightInd w:val="0"/>
        <w:snapToGrid w:val="0"/>
        <w:spacing w:before="156" w:after="156" w:line="500" w:lineRule="exact"/>
        <w:ind w:firstLine="565" w:firstLineChars="201"/>
        <w:rPr>
          <w:rFonts w:hAnsi="宋体"/>
          <w:color w:val="000000"/>
          <w:kern w:val="0"/>
          <w:sz w:val="28"/>
          <w:szCs w:val="28"/>
        </w:rPr>
      </w:pPr>
      <w:r>
        <w:rPr>
          <w:rFonts w:hint="eastAsia" w:hAnsi="宋体"/>
          <w:b/>
          <w:color w:val="000000"/>
          <w:kern w:val="0"/>
          <w:sz w:val="28"/>
          <w:szCs w:val="28"/>
        </w:rPr>
        <w:t>投标截止时间：</w:t>
      </w:r>
      <w:bookmarkStart w:id="7" w:name="PO_15528_PM015"/>
      <w:r>
        <w:rPr>
          <w:rFonts w:hint="eastAsia" w:ascii="仿宋" w:hAnsi="仿宋" w:eastAsia="仿宋" w:cs="Arial"/>
          <w:color w:val="000000"/>
          <w:sz w:val="30"/>
          <w:szCs w:val="30"/>
          <w:lang w:eastAsia="zh-CN"/>
        </w:rPr>
        <w:t>2024-07-29 09:30:00</w:t>
      </w:r>
      <w:bookmarkEnd w:id="7"/>
      <w:r>
        <w:rPr>
          <w:rFonts w:hint="eastAsia" w:hAnsi="宋体"/>
          <w:b/>
          <w:color w:val="000000"/>
          <w:kern w:val="0"/>
          <w:sz w:val="28"/>
          <w:szCs w:val="28"/>
        </w:rPr>
        <w:t>。</w:t>
      </w:r>
    </w:p>
    <w:p>
      <w:pPr>
        <w:pStyle w:val="31"/>
        <w:adjustRightInd w:val="0"/>
        <w:snapToGrid w:val="0"/>
        <w:spacing w:before="156" w:after="156" w:line="500" w:lineRule="exact"/>
        <w:ind w:firstLine="562" w:firstLineChars="201"/>
        <w:rPr>
          <w:rFonts w:hAnsi="宋体"/>
          <w:color w:val="000000"/>
          <w:kern w:val="0"/>
          <w:sz w:val="28"/>
          <w:szCs w:val="28"/>
        </w:rPr>
      </w:pPr>
      <w:r>
        <w:rPr>
          <w:rFonts w:hint="eastAsia" w:hAnsi="宋体"/>
          <w:color w:val="000000"/>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1"/>
        <w:adjustRightInd w:val="0"/>
        <w:snapToGrid w:val="0"/>
        <w:spacing w:before="156" w:after="156" w:line="500" w:lineRule="exact"/>
        <w:ind w:firstLine="562" w:firstLineChars="201"/>
        <w:rPr>
          <w:rFonts w:hAnsi="宋体"/>
          <w:color w:val="000000"/>
          <w:kern w:val="0"/>
          <w:sz w:val="28"/>
          <w:szCs w:val="28"/>
        </w:rPr>
      </w:pPr>
      <w:r>
        <w:rPr>
          <w:rFonts w:hint="eastAsia" w:hAnsi="宋体"/>
          <w:color w:val="000000"/>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156" w:after="156" w:line="500" w:lineRule="exact"/>
        <w:ind w:firstLine="562" w:firstLineChars="201"/>
        <w:rPr>
          <w:rFonts w:hAnsi="宋体"/>
          <w:color w:val="000000"/>
          <w:kern w:val="0"/>
          <w:sz w:val="28"/>
          <w:szCs w:val="28"/>
        </w:rPr>
      </w:pPr>
      <w:r>
        <w:rPr>
          <w:rFonts w:hint="eastAsia" w:hAnsi="宋体"/>
          <w:color w:val="000000"/>
          <w:kern w:val="0"/>
          <w:sz w:val="28"/>
          <w:szCs w:val="28"/>
          <w:lang w:val="en-US" w:eastAsia="zh-CN"/>
        </w:rPr>
        <w:t>演示及</w:t>
      </w:r>
      <w:r>
        <w:rPr>
          <w:rFonts w:hint="eastAsia" w:hAnsi="宋体"/>
          <w:color w:val="000000"/>
          <w:kern w:val="0"/>
          <w:sz w:val="28"/>
          <w:szCs w:val="28"/>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1"/>
        <w:adjustRightInd w:val="0"/>
        <w:snapToGrid w:val="0"/>
        <w:spacing w:before="156" w:after="156" w:line="500" w:lineRule="exact"/>
        <w:ind w:firstLine="565" w:firstLineChars="201"/>
        <w:rPr>
          <w:rFonts w:hAnsi="宋体"/>
          <w:b/>
          <w:color w:val="000000"/>
          <w:kern w:val="0"/>
          <w:sz w:val="28"/>
          <w:szCs w:val="28"/>
        </w:rPr>
      </w:pPr>
      <w:r>
        <w:rPr>
          <w:rFonts w:hint="eastAsia" w:hAnsi="宋体"/>
          <w:b/>
          <w:color w:val="000000"/>
          <w:kern w:val="0"/>
          <w:sz w:val="28"/>
          <w:szCs w:val="28"/>
        </w:rPr>
        <w:t>本项目拒绝接受纸质投标文件。</w:t>
      </w:r>
    </w:p>
    <w:p>
      <w:pPr>
        <w:snapToGrid w:val="0"/>
        <w:spacing w:line="500" w:lineRule="exact"/>
        <w:ind w:firstLine="562" w:firstLineChars="200"/>
        <w:rPr>
          <w:rFonts w:ascii="宋体" w:hAnsi="宋体" w:cs="Arial"/>
          <w:b/>
          <w:bCs/>
          <w:color w:val="000000"/>
          <w:sz w:val="28"/>
          <w:szCs w:val="28"/>
        </w:rPr>
      </w:pPr>
      <w:r>
        <w:rPr>
          <w:rFonts w:hint="eastAsia" w:ascii="宋体" w:hAnsi="宋体" w:cs="Arial"/>
          <w:b/>
          <w:bCs/>
          <w:color w:val="000000"/>
          <w:sz w:val="28"/>
          <w:szCs w:val="28"/>
        </w:rPr>
        <w:t>七、开标时间及地点：</w:t>
      </w:r>
    </w:p>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本次招标将于</w:t>
      </w:r>
      <w:bookmarkStart w:id="8" w:name="PO_15528_PM015_1"/>
      <w:r>
        <w:rPr>
          <w:rFonts w:hint="eastAsia" w:ascii="宋体" w:hAnsi="宋体" w:cs="Arial"/>
          <w:b/>
          <w:color w:val="000000"/>
          <w:sz w:val="28"/>
          <w:szCs w:val="28"/>
          <w:lang w:eastAsia="zh-CN"/>
        </w:rPr>
        <w:t>2024-07-29 09:30:00</w:t>
      </w:r>
      <w:bookmarkEnd w:id="8"/>
      <w:r>
        <w:rPr>
          <w:rFonts w:hint="eastAsia" w:ascii="宋体" w:hAnsi="宋体" w:cs="Arial"/>
          <w:b/>
          <w:color w:val="000000"/>
          <w:sz w:val="28"/>
          <w:szCs w:val="28"/>
        </w:rPr>
        <w:t>时整在</w:t>
      </w:r>
      <w:bookmarkStart w:id="9" w:name="PO_15528_PM016_1"/>
      <w:r>
        <w:rPr>
          <w:rFonts w:hint="eastAsia" w:ascii="宋体" w:hAnsi="宋体" w:cs="Arial"/>
          <w:b/>
          <w:color w:val="000000"/>
          <w:sz w:val="28"/>
          <w:szCs w:val="28"/>
          <w:lang w:eastAsia="zh-CN"/>
        </w:rPr>
        <w:t>西湖区浙江省杭州市西湖区宝石一路3号203开标室</w:t>
      </w:r>
      <w:bookmarkEnd w:id="9"/>
      <w:r>
        <w:rPr>
          <w:rFonts w:hint="eastAsia" w:ascii="宋体" w:hAnsi="宋体" w:cs="Arial"/>
          <w:b/>
          <w:color w:val="000000"/>
          <w:sz w:val="28"/>
          <w:szCs w:val="28"/>
        </w:rPr>
        <w:t>开标。</w:t>
      </w:r>
    </w:p>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本项目实行“不见面开评标”，投标人无须派人员到现场出席开标会议。</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3442"/>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8"/>
                <w:szCs w:val="28"/>
              </w:rPr>
            </w:pPr>
            <w:r>
              <w:rPr>
                <w:rFonts w:hint="eastAsia" w:ascii="宋体" w:hAnsi="宋体" w:cs="宋体"/>
                <w:color w:val="000000"/>
                <w:kern w:val="0"/>
                <w:sz w:val="28"/>
                <w:szCs w:val="28"/>
              </w:rPr>
              <w:t>开评标现场咨询电话</w:t>
            </w:r>
          </w:p>
        </w:tc>
        <w:tc>
          <w:tcPr>
            <w:tcW w:w="3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203开标室：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w:t>
            </w:r>
            <w:r>
              <w:rPr>
                <w:rFonts w:ascii="宋体" w:hAnsi="宋体" w:cs="宋体"/>
                <w:color w:val="000000"/>
                <w:kern w:val="0"/>
                <w:sz w:val="28"/>
                <w:szCs w:val="28"/>
              </w:rPr>
              <w:t>1816</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301会议室：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8"/>
                <w:szCs w:val="28"/>
              </w:rPr>
            </w:pPr>
          </w:p>
        </w:tc>
        <w:tc>
          <w:tcPr>
            <w:tcW w:w="3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302会议室：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0571-88907720</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303会议室：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8"/>
                <w:szCs w:val="28"/>
              </w:rPr>
            </w:pPr>
          </w:p>
        </w:tc>
        <w:tc>
          <w:tcPr>
            <w:tcW w:w="3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306会议室：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0571-88907751</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p>
        </w:tc>
      </w:tr>
    </w:tbl>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八、电子交易平台的网络地址和登录方法</w:t>
      </w:r>
    </w:p>
    <w:p>
      <w:pPr>
        <w:snapToGrid w:val="0"/>
        <w:spacing w:line="500" w:lineRule="exact"/>
        <w:ind w:firstLine="562" w:firstLineChars="200"/>
        <w:rPr>
          <w:color w:val="000000"/>
          <w:sz w:val="28"/>
          <w:szCs w:val="28"/>
        </w:rPr>
      </w:pPr>
      <w:r>
        <w:rPr>
          <w:rFonts w:hint="eastAsia" w:ascii="宋体" w:hAnsi="宋体" w:cs="Arial"/>
          <w:b/>
          <w:color w:val="000000"/>
          <w:sz w:val="28"/>
          <w:szCs w:val="28"/>
        </w:rPr>
        <w:t>（一）网络地址：</w:t>
      </w:r>
      <w:r>
        <w:rPr>
          <w:rFonts w:hint="eastAsia" w:ascii="宋体" w:hAnsi="宋体" w:cs="仿宋"/>
          <w:color w:val="000000"/>
          <w:sz w:val="28"/>
          <w:szCs w:val="28"/>
        </w:rPr>
        <w:t xml:space="preserve">浙江政府采购网 </w:t>
      </w:r>
      <w:r>
        <w:fldChar w:fldCharType="begin"/>
      </w:r>
      <w:r>
        <w:instrText xml:space="preserve"> HYPERLINK "http://zfcg.czt.zj.gov.cn/" </w:instrText>
      </w:r>
      <w:r>
        <w:fldChar w:fldCharType="separate"/>
      </w:r>
      <w:r>
        <w:rPr>
          <w:rStyle w:val="69"/>
          <w:color w:val="000000"/>
          <w:sz w:val="28"/>
          <w:szCs w:val="28"/>
        </w:rPr>
        <w:t>http://zfcg.czt.zj.gov.cn/</w:t>
      </w:r>
      <w:r>
        <w:rPr>
          <w:rStyle w:val="69"/>
          <w:color w:val="000000"/>
          <w:sz w:val="28"/>
          <w:szCs w:val="28"/>
        </w:rPr>
        <w:fldChar w:fldCharType="end"/>
      </w:r>
    </w:p>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（二）登录方法：</w:t>
      </w:r>
      <w:r>
        <w:rPr>
          <w:rFonts w:hint="eastAsia" w:ascii="宋体" w:hAnsi="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000000"/>
          <w:sz w:val="28"/>
          <w:szCs w:val="28"/>
        </w:rPr>
      </w:pPr>
      <w:r>
        <w:rPr>
          <w:rFonts w:hint="eastAsia" w:ascii="宋体" w:hAnsi="宋体" w:cs="Arial"/>
          <w:b/>
          <w:bCs/>
          <w:color w:val="000000"/>
          <w:sz w:val="28"/>
          <w:szCs w:val="28"/>
        </w:rPr>
        <w:t>九、其他：</w:t>
      </w:r>
    </w:p>
    <w:p>
      <w:pPr>
        <w:snapToGrid w:val="0"/>
        <w:spacing w:line="440" w:lineRule="exact"/>
        <w:ind w:firstLine="562" w:firstLineChars="200"/>
        <w:rPr>
          <w:rFonts w:ascii="宋体" w:hAnsi="宋体" w:cs="Arial"/>
          <w:b/>
          <w:color w:val="000000"/>
          <w:sz w:val="28"/>
          <w:szCs w:val="28"/>
        </w:rPr>
      </w:pPr>
      <w:r>
        <w:rPr>
          <w:rFonts w:hint="eastAsia" w:ascii="宋体" w:hAnsi="宋体" w:cs="Arial"/>
          <w:b/>
          <w:color w:val="000000"/>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color w:val="000000"/>
          <w:sz w:val="28"/>
          <w:szCs w:val="28"/>
        </w:rPr>
      </w:pPr>
      <w:r>
        <w:rPr>
          <w:rFonts w:hint="eastAsia" w:ascii="宋体" w:hAnsi="宋体" w:cs="Arial"/>
          <w:b/>
          <w:color w:val="000000"/>
          <w:sz w:val="28"/>
          <w:szCs w:val="28"/>
        </w:rPr>
        <w:t>（https://edu.zcygov.cn/live?utm=a0018.2ef5001f.0.0.1939d340e5db11ea867fb57c149ddb61）自行提前学习</w:t>
      </w:r>
      <w:r>
        <w:rPr>
          <w:rFonts w:hint="eastAsia" w:ascii="宋体" w:hAnsi="宋体" w:cs="Arial"/>
          <w:color w:val="000000"/>
          <w:sz w:val="28"/>
          <w:szCs w:val="28"/>
        </w:rPr>
        <w:t>。</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59"/>
        <w:tblpPr w:leftFromText="180" w:rightFromText="180" w:vertAnchor="text" w:horzAnchor="page" w:tblpX="1337" w:tblpY="223"/>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1324"/>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7712"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7712"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网 站</w:t>
            </w:r>
          </w:p>
        </w:tc>
        <w:tc>
          <w:tcPr>
            <w:tcW w:w="7712"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132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传真</w:t>
            </w:r>
          </w:p>
        </w:tc>
        <w:tc>
          <w:tcPr>
            <w:tcW w:w="298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bookmarkStart w:id="10" w:name="PO_15528_PM032"/>
            <w:r>
              <w:rPr>
                <w:rFonts w:hint="eastAsia" w:ascii="仿宋" w:hAnsi="仿宋" w:eastAsia="仿宋" w:cs="仿宋"/>
                <w:color w:val="000000"/>
                <w:sz w:val="28"/>
                <w:szCs w:val="28"/>
              </w:rPr>
              <w:t>商红娟</w:t>
            </w:r>
            <w:bookmarkEnd w:id="10"/>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bookmarkStart w:id="11" w:name="PO_15528_PM033"/>
            <w:r>
              <w:rPr>
                <w:rFonts w:hint="eastAsia" w:ascii="仿宋" w:hAnsi="仿宋" w:eastAsia="仿宋" w:cs="仿宋"/>
                <w:color w:val="000000"/>
                <w:sz w:val="28"/>
                <w:szCs w:val="28"/>
              </w:rPr>
              <w:t>0571-88907706</w:t>
            </w:r>
            <w:bookmarkEnd w:id="11"/>
          </w:p>
        </w:tc>
        <w:tc>
          <w:tcPr>
            <w:tcW w:w="132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bookmarkStart w:id="12" w:name="PO_15528_PM034"/>
            <w:r>
              <w:rPr>
                <w:rFonts w:hint="eastAsia" w:ascii="仿宋" w:hAnsi="仿宋" w:eastAsia="仿宋" w:cs="仿宋"/>
                <w:color w:val="000000"/>
                <w:sz w:val="28"/>
                <w:szCs w:val="28"/>
              </w:rPr>
              <w:t xml:space="preserve"> </w:t>
            </w:r>
            <w:bookmarkEnd w:id="12"/>
          </w:p>
        </w:tc>
        <w:tc>
          <w:tcPr>
            <w:tcW w:w="2985" w:type="dxa"/>
            <w:vMerge w:val="restart"/>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四楼</w:t>
            </w:r>
            <w:bookmarkStart w:id="13" w:name="PO_409_PM001385"/>
            <w:r>
              <w:rPr>
                <w:rFonts w:hint="eastAsia" w:ascii="仿宋" w:hAnsi="仿宋" w:eastAsia="仿宋" w:cs="仿宋"/>
                <w:color w:val="000000"/>
                <w:sz w:val="28"/>
                <w:szCs w:val="28"/>
              </w:rPr>
              <w:t>采购二部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项目协办人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柯女士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0571-88901833</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29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吴</w:t>
            </w:r>
            <w:r>
              <w:rPr>
                <w:rFonts w:hint="eastAsia" w:ascii="仿宋" w:hAnsi="仿宋" w:eastAsia="仿宋" w:cs="仿宋"/>
                <w:color w:val="000000"/>
                <w:sz w:val="28"/>
                <w:szCs w:val="28"/>
              </w:rPr>
              <w:t>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0571-8890</w:t>
            </w:r>
            <w:r>
              <w:rPr>
                <w:rFonts w:hint="eastAsia" w:ascii="仿宋" w:hAnsi="仿宋" w:eastAsia="仿宋" w:cs="仿宋"/>
                <w:color w:val="000000"/>
                <w:sz w:val="28"/>
                <w:szCs w:val="28"/>
                <w:lang w:val="en-US" w:eastAsia="zh-CN"/>
              </w:rPr>
              <w:t>0117</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29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w:t>
            </w:r>
            <w:r>
              <w:rPr>
                <w:rFonts w:ascii="仿宋" w:hAnsi="仿宋" w:eastAsia="仿宋" w:cs="仿宋"/>
                <w:color w:val="000000"/>
                <w:sz w:val="28"/>
                <w:szCs w:val="28"/>
              </w:rPr>
              <w:t>7750</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95763</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p>
        </w:tc>
      </w:tr>
    </w:tbl>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十一、采购需求咨询</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rPr>
            </w:pPr>
            <w:bookmarkStart w:id="14" w:name="PO_TDCUS_ITEM_PRC_TABLE_1_1_2"/>
            <w:r>
              <w:rPr>
                <w:rFonts w:hint="eastAsia" w:ascii="仿宋_GB2312" w:hAnsi="仿宋" w:eastAsia="仿宋_GB2312"/>
                <w:color w:val="000000"/>
                <w:sz w:val="30"/>
                <w:szCs w:val="30"/>
              </w:rPr>
              <w:t>采购单位</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浙江同济科技职业学院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地址</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杭州市萧山区耕文路418号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咨询事项</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联系人</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马慧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联系方式</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0571-83518898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传真</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备注</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rPr>
            </w:pPr>
          </w:p>
        </w:tc>
      </w:tr>
      <w:bookmarkEnd w:id="14"/>
    </w:tbl>
    <w:p>
      <w:pPr>
        <w:snapToGrid w:val="0"/>
        <w:spacing w:line="440" w:lineRule="exact"/>
        <w:ind w:firstLine="602" w:firstLineChars="200"/>
        <w:jc w:val="both"/>
        <w:rPr>
          <w:rFonts w:ascii="仿宋" w:hAnsi="仿宋" w:eastAsia="仿宋" w:cs="Arial"/>
          <w:b/>
          <w:bCs/>
          <w:color w:val="000000"/>
          <w:sz w:val="30"/>
          <w:szCs w:val="30"/>
        </w:rPr>
      </w:pPr>
      <w:r>
        <w:rPr>
          <w:rFonts w:hint="eastAsia" w:ascii="仿宋" w:hAnsi="仿宋" w:eastAsia="仿宋" w:cs="Arial"/>
          <w:b/>
          <w:bCs/>
          <w:color w:val="000000"/>
          <w:sz w:val="30"/>
          <w:szCs w:val="30"/>
        </w:rPr>
        <w:t>十二、同级政府采购监督管理部门</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名    称：浙江省财政厅政府采购监管处、浙江省政府采购行政裁决服务中心（杭州）</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地   址：杭州市上城区四季青街道新业路市民之家G03办公室</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传   真：/</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联系人 ：朱女士、王女士</w:t>
      </w:r>
    </w:p>
    <w:p>
      <w:pPr>
        <w:snapToGrid w:val="0"/>
        <w:spacing w:line="360" w:lineRule="auto"/>
        <w:ind w:firstLine="560" w:firstLineChars="200"/>
        <w:rPr>
          <w:rFonts w:hint="eastAsia" w:ascii="宋体" w:hAnsi="宋体" w:cs="仿宋"/>
          <w:color w:val="000000"/>
          <w:sz w:val="28"/>
          <w:szCs w:val="28"/>
        </w:rPr>
      </w:pPr>
      <w:r>
        <w:rPr>
          <w:rFonts w:hint="eastAsia" w:ascii="宋体" w:hAnsi="宋体" w:cs="仿宋"/>
          <w:color w:val="000000"/>
          <w:sz w:val="28"/>
          <w:szCs w:val="28"/>
        </w:rPr>
        <w:t>监督投诉电话：0571-85252453</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预算金额未达100万元的采购项目，由采购人处理采购争议。</w:t>
      </w:r>
    </w:p>
    <w:p>
      <w:pPr>
        <w:pStyle w:val="31"/>
        <w:spacing w:before="156" w:after="156" w:line="360" w:lineRule="auto"/>
        <w:ind w:firstLine="2530" w:firstLineChars="700"/>
        <w:jc w:val="both"/>
        <w:outlineLvl w:val="0"/>
        <w:rPr>
          <w:rFonts w:hAnsi="宋体"/>
          <w:b/>
          <w:color w:val="000000"/>
          <w:sz w:val="36"/>
          <w:szCs w:val="36"/>
        </w:rPr>
      </w:pPr>
      <w:bookmarkStart w:id="15" w:name="_Toc496796636"/>
      <w:bookmarkStart w:id="16" w:name="_Toc29498"/>
      <w:r>
        <w:rPr>
          <w:rFonts w:hint="eastAsia" w:ascii="仿宋" w:hAnsi="仿宋" w:eastAsia="仿宋"/>
          <w:b/>
          <w:color w:val="000000"/>
          <w:sz w:val="36"/>
          <w:szCs w:val="36"/>
        </w:rPr>
        <w:t>第二章</w:t>
      </w:r>
      <w:bookmarkStart w:id="17" w:name="投标人须知"/>
      <w:r>
        <w:rPr>
          <w:rFonts w:hint="eastAsia" w:ascii="仿宋" w:hAnsi="仿宋" w:eastAsia="仿宋"/>
          <w:b/>
          <w:color w:val="000000"/>
          <w:sz w:val="36"/>
          <w:szCs w:val="36"/>
        </w:rPr>
        <w:t xml:space="preserve">  投标人须知</w:t>
      </w:r>
      <w:bookmarkEnd w:id="15"/>
      <w:bookmarkEnd w:id="16"/>
      <w:bookmarkEnd w:id="17"/>
    </w:p>
    <w:p>
      <w:pPr>
        <w:snapToGrid w:val="0"/>
        <w:rPr>
          <w:rFonts w:ascii="宋体" w:hAnsi="宋体"/>
          <w:color w:val="000000"/>
          <w:sz w:val="28"/>
          <w:szCs w:val="28"/>
        </w:rPr>
      </w:pPr>
      <w:r>
        <w:rPr>
          <w:rFonts w:hint="eastAsia" w:ascii="宋体" w:hAnsi="宋体"/>
          <w:color w:val="000000"/>
          <w:sz w:val="28"/>
          <w:szCs w:val="28"/>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内  容</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信用记录</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 w:hAnsi="仿宋" w:eastAsia="仿宋"/>
                <w:b/>
                <w:color w:val="000000"/>
                <w:sz w:val="24"/>
                <w:szCs w:val="24"/>
              </w:rPr>
            </w:pPr>
            <w:r>
              <w:rPr>
                <w:rFonts w:hint="eastAsia" w:ascii="仿宋" w:hAnsi="仿宋" w:eastAsia="仿宋"/>
                <w:b/>
                <w:color w:val="000000"/>
                <w:sz w:val="24"/>
                <w:szCs w:val="24"/>
              </w:rPr>
              <w:t>根据《政府采购促进中小企业发展管理办法》财库〔2020〕46号文件的规定，本项目</w:t>
            </w:r>
            <w:r>
              <w:rPr>
                <w:rFonts w:hint="eastAsia" w:ascii="仿宋" w:hAnsi="仿宋" w:eastAsia="仿宋"/>
                <w:b/>
                <w:color w:val="000000"/>
                <w:sz w:val="24"/>
                <w:szCs w:val="24"/>
                <w:u w:val="single"/>
              </w:rPr>
              <w:t>不</w:t>
            </w:r>
            <w:r>
              <w:rPr>
                <w:rFonts w:hint="eastAsia" w:ascii="仿宋" w:hAnsi="仿宋" w:eastAsia="仿宋"/>
                <w:b/>
                <w:color w:val="000000"/>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r>
              <w:rPr>
                <w:rFonts w:hint="eastAsia" w:ascii="仿宋_GB2312" w:hAnsi="仿宋" w:eastAsia="仿宋_GB2312"/>
                <w:bCs/>
                <w:color w:val="000000"/>
                <w:sz w:val="24"/>
              </w:rPr>
              <w:t>中小企业优惠措施</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0"/>
              </w:numPr>
              <w:snapToGrid w:val="0"/>
              <w:spacing w:line="460" w:lineRule="exact"/>
              <w:ind w:firstLineChars="0"/>
              <w:rPr>
                <w:rFonts w:ascii="仿宋" w:hAnsi="仿宋" w:eastAsia="仿宋"/>
                <w:b/>
                <w:color w:val="000000"/>
                <w:sz w:val="24"/>
                <w:szCs w:val="24"/>
                <w:u w:val="single"/>
              </w:rPr>
            </w:pPr>
            <w:r>
              <w:rPr>
                <w:rFonts w:hint="eastAsia" w:ascii="仿宋" w:hAnsi="仿宋" w:eastAsia="仿宋"/>
                <w:b/>
                <w:color w:val="000000"/>
                <w:sz w:val="24"/>
                <w:szCs w:val="24"/>
              </w:rPr>
              <w:t>项目属性（货物类）</w:t>
            </w:r>
          </w:p>
          <w:p>
            <w:pPr>
              <w:pStyle w:val="182"/>
              <w:numPr>
                <w:ilvl w:val="0"/>
                <w:numId w:val="30"/>
              </w:numPr>
              <w:snapToGrid w:val="0"/>
              <w:spacing w:line="460" w:lineRule="exact"/>
              <w:ind w:firstLineChars="0"/>
              <w:rPr>
                <w:rFonts w:ascii="仿宋" w:hAnsi="仿宋" w:eastAsia="仿宋"/>
                <w:b/>
                <w:color w:val="000000"/>
                <w:sz w:val="24"/>
                <w:szCs w:val="24"/>
              </w:rPr>
            </w:pPr>
            <w:r>
              <w:rPr>
                <w:rFonts w:hint="eastAsia" w:ascii="仿宋" w:hAnsi="仿宋" w:eastAsia="仿宋"/>
                <w:b/>
                <w:color w:val="000000"/>
                <w:sz w:val="24"/>
                <w:szCs w:val="24"/>
              </w:rPr>
              <w:t>中小企业划分标准所属行业（具体根据《中小企业划型标准规定》执行）</w:t>
            </w:r>
          </w:p>
          <w:p>
            <w:pPr>
              <w:snapToGrid w:val="0"/>
              <w:spacing w:line="460" w:lineRule="exact"/>
              <w:ind w:left="600"/>
              <w:rPr>
                <w:rFonts w:hint="eastAsia" w:ascii="仿宋" w:hAnsi="仿宋" w:eastAsia="仿宋"/>
                <w:b/>
                <w:color w:val="000000"/>
                <w:sz w:val="24"/>
                <w:szCs w:val="24"/>
              </w:rPr>
            </w:pPr>
            <w:r>
              <w:rPr>
                <w:rFonts w:hint="eastAsia" w:ascii="仿宋" w:hAnsi="仿宋" w:eastAsia="仿宋"/>
                <w:b/>
                <w:color w:val="000000"/>
                <w:sz w:val="24"/>
                <w:szCs w:val="24"/>
              </w:rPr>
              <w:t xml:space="preserve">采购标的： </w:t>
            </w:r>
            <w:r>
              <w:rPr>
                <w:rFonts w:hint="eastAsia" w:ascii="仿宋" w:hAnsi="仿宋" w:eastAsia="仿宋"/>
                <w:b/>
                <w:color w:val="000000"/>
                <w:kern w:val="0"/>
                <w:sz w:val="24"/>
                <w:szCs w:val="24"/>
              </w:rPr>
              <w:t>详见</w:t>
            </w:r>
            <w:r>
              <w:rPr>
                <w:rFonts w:hint="eastAsia" w:ascii="仿宋" w:hAnsi="仿宋" w:eastAsia="仿宋"/>
                <w:b/>
                <w:color w:val="000000"/>
                <w:kern w:val="0"/>
                <w:sz w:val="24"/>
                <w:szCs w:val="24"/>
                <w:lang w:val="en-US" w:eastAsia="zh-CN"/>
              </w:rPr>
              <w:t>第四章需求采购清单</w:t>
            </w:r>
            <w:r>
              <w:rPr>
                <w:rFonts w:hint="eastAsia" w:ascii="仿宋" w:hAnsi="仿宋" w:eastAsia="仿宋"/>
                <w:b/>
                <w:color w:val="000000"/>
                <w:kern w:val="0"/>
                <w:sz w:val="24"/>
                <w:szCs w:val="24"/>
              </w:rPr>
              <w:t xml:space="preserve"> </w:t>
            </w:r>
            <w:r>
              <w:rPr>
                <w:rFonts w:hint="eastAsia" w:ascii="仿宋" w:hAnsi="仿宋" w:eastAsia="仿宋"/>
                <w:b/>
                <w:color w:val="000000"/>
                <w:sz w:val="24"/>
                <w:szCs w:val="24"/>
              </w:rPr>
              <w:t>，所属行业：工业</w:t>
            </w:r>
          </w:p>
          <w:p>
            <w:pPr>
              <w:snapToGrid w:val="0"/>
              <w:spacing w:line="460" w:lineRule="exact"/>
              <w:ind w:left="600"/>
              <w:rPr>
                <w:rFonts w:ascii="仿宋" w:hAnsi="仿宋" w:eastAsia="仿宋"/>
                <w:b/>
                <w:strike/>
                <w:color w:val="000000"/>
                <w:sz w:val="24"/>
                <w:szCs w:val="24"/>
              </w:rPr>
            </w:pPr>
            <w:r>
              <w:rPr>
                <w:rFonts w:hint="eastAsia" w:ascii="仿宋" w:hAnsi="仿宋" w:eastAsia="仿宋"/>
                <w:b/>
                <w:color w:val="000000"/>
                <w:sz w:val="24"/>
                <w:szCs w:val="24"/>
              </w:rPr>
              <w:t>3.根据财库〔2020〕46号、〔2022〕19号的相关规定，在评审时对符合本办法规定的小微企业报价给予</w:t>
            </w:r>
            <w:r>
              <w:rPr>
                <w:rFonts w:hint="eastAsia" w:ascii="仿宋" w:hAnsi="仿宋" w:eastAsia="仿宋"/>
                <w:b/>
                <w:color w:val="000000"/>
                <w:sz w:val="24"/>
                <w:szCs w:val="24"/>
                <w:u w:val="single"/>
              </w:rPr>
              <w:t xml:space="preserve">  10%  </w:t>
            </w:r>
            <w:r>
              <w:rPr>
                <w:rFonts w:hint="eastAsia" w:ascii="仿宋" w:hAnsi="仿宋" w:eastAsia="仿宋"/>
                <w:b/>
                <w:color w:val="000000"/>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sz w:val="24"/>
                <w:szCs w:val="24"/>
                <w:u w:val="single"/>
              </w:rPr>
              <w:t xml:space="preserve">  4%  </w:t>
            </w:r>
            <w:r>
              <w:rPr>
                <w:rFonts w:hint="eastAsia" w:ascii="仿宋" w:hAnsi="仿宋" w:eastAsia="仿宋"/>
                <w:b/>
                <w:color w:val="000000"/>
                <w:sz w:val="24"/>
                <w:szCs w:val="24"/>
              </w:rPr>
              <w:t>的扣除，用扣除后的价格参加评审。</w:t>
            </w:r>
          </w:p>
          <w:p>
            <w:pPr>
              <w:snapToGrid w:val="0"/>
              <w:spacing w:line="460" w:lineRule="exact"/>
              <w:ind w:firstLine="602" w:firstLineChars="250"/>
              <w:rPr>
                <w:rFonts w:ascii="仿宋" w:hAnsi="仿宋" w:eastAsia="仿宋"/>
                <w:b/>
                <w:color w:val="000000"/>
                <w:sz w:val="24"/>
                <w:szCs w:val="24"/>
              </w:rPr>
            </w:pPr>
            <w:r>
              <w:rPr>
                <w:rFonts w:hint="eastAsia" w:ascii="仿宋" w:hAnsi="仿宋" w:eastAsia="仿宋"/>
                <w:b/>
                <w:color w:val="000000"/>
                <w:sz w:val="24"/>
                <w:szCs w:val="24"/>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000000"/>
                <w:sz w:val="24"/>
                <w:szCs w:val="24"/>
              </w:rPr>
            </w:pPr>
            <w:r>
              <w:rPr>
                <w:rFonts w:hint="eastAsia" w:ascii="仿宋" w:hAnsi="仿宋" w:eastAsia="仿宋"/>
                <w:b/>
                <w:color w:val="000000"/>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促进绿色发展有关政策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sz w:val="24"/>
                <w:szCs w:val="24"/>
              </w:rPr>
              <w:t>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首台套政策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质疑</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bookmarkStart w:id="18" w:name="PO_15528_PM042"/>
            <w:r>
              <w:rPr>
                <w:rFonts w:hint="eastAsia" w:ascii="仿宋" w:hAnsi="仿宋" w:eastAsia="仿宋"/>
                <w:color w:val="000000"/>
                <w:sz w:val="24"/>
                <w:szCs w:val="24"/>
              </w:rPr>
              <w:t>不允许进口产品</w:t>
            </w:r>
            <w:bookmarkEnd w:id="18"/>
            <w:r>
              <w:rPr>
                <w:rFonts w:hint="eastAsia" w:ascii="仿宋" w:hAnsi="仿宋" w:eastAsia="仿宋"/>
                <w:color w:val="000000"/>
                <w:sz w:val="24"/>
                <w:szCs w:val="24"/>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10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是否允许转包与分包</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转包：否</w:t>
            </w:r>
          </w:p>
          <w:p>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分包：</w:t>
            </w:r>
            <w:bookmarkStart w:id="19" w:name="PO_15528_PM044"/>
            <w:r>
              <w:rPr>
                <w:rFonts w:hint="eastAsia" w:ascii="仿宋_GB2312" w:hAnsi="仿宋" w:eastAsia="仿宋_GB2312"/>
                <w:bCs/>
                <w:color w:val="000000"/>
                <w:sz w:val="24"/>
                <w:lang w:val="en-US" w:eastAsia="zh-CN"/>
              </w:rPr>
              <w:t>不</w:t>
            </w:r>
            <w:r>
              <w:rPr>
                <w:rFonts w:hint="eastAsia" w:ascii="仿宋_GB2312" w:hAnsi="仿宋" w:eastAsia="仿宋_GB2312"/>
                <w:bCs/>
                <w:color w:val="000000"/>
                <w:sz w:val="24"/>
              </w:rPr>
              <w:t>允许分包</w:t>
            </w:r>
            <w:bookmarkEnd w:id="19"/>
            <w:r>
              <w:rPr>
                <w:rFonts w:hint="eastAsia" w:ascii="仿宋_GB2312" w:hAnsi="仿宋" w:eastAsia="仿宋_GB2312"/>
                <w:bCs/>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11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联合体投标</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_GB2312" w:hAnsi="仿宋" w:eastAsia="仿宋_GB2312"/>
                <w:bCs/>
                <w:color w:val="000000"/>
                <w:sz w:val="24"/>
              </w:rPr>
            </w:pPr>
            <w:bookmarkStart w:id="20" w:name="PO_15528_PM007_1"/>
            <w:r>
              <w:rPr>
                <w:rFonts w:hint="eastAsia" w:ascii="仿宋_GB2312" w:hAnsi="仿宋" w:eastAsia="仿宋_GB2312"/>
                <w:bCs/>
                <w:color w:val="000000"/>
                <w:sz w:val="24"/>
              </w:rPr>
              <w:t>不允许联合体投标</w:t>
            </w:r>
            <w:bookmarkEnd w:id="20"/>
            <w:r>
              <w:rPr>
                <w:rFonts w:hint="eastAsia" w:ascii="仿宋_GB2312" w:hAnsi="仿宋" w:eastAsia="仿宋_GB2312"/>
                <w:bCs/>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是否现场踏勘</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bookmarkStart w:id="21" w:name="PO_15528_PM040"/>
            <w:r>
              <w:rPr>
                <w:rFonts w:hint="eastAsia" w:ascii="仿宋" w:hAnsi="仿宋" w:eastAsia="仿宋"/>
                <w:color w:val="000000"/>
                <w:sz w:val="24"/>
                <w:szCs w:val="24"/>
              </w:rPr>
              <w:t>不组织现场踏勘</w:t>
            </w:r>
            <w:bookmarkEnd w:id="21"/>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是否提供演示</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进行演示, 演示顺序原则上按投标文件“解密时间从早到晚”顺序，演示时间20分钟内。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是否提供样品</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bookmarkStart w:id="22" w:name="PO_1000000445_PM043"/>
            <w:r>
              <w:rPr>
                <w:rFonts w:hint="eastAsia" w:ascii="仿宋" w:hAnsi="仿宋" w:eastAsia="仿宋"/>
                <w:color w:val="000000"/>
                <w:sz w:val="24"/>
                <w:szCs w:val="24"/>
              </w:rPr>
              <w:t>不要求提供样品</w:t>
            </w:r>
            <w:bookmarkEnd w:id="22"/>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投标文件组成</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投标文件均由资格文件、技术商务文件、报价文件组成。</w:t>
            </w:r>
          </w:p>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第一步：供应商登记</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sz w:val="24"/>
                <w:szCs w:val="24"/>
              </w:rPr>
              <w:t>https://middle.zcygov.cn/v-settle-front/registry</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第二步：申请CA</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投标人应在投标前完成CA数字证书办理（办理流程详见http://zfcg.czt.zj.gov.cn/bidClientTemplate/2019-05-27/12945.html）。完成CA数字证书办理预计一周左右，建议各投标人抓紧时间办理；</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第三步：下载客户端</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sz w:val="24"/>
                <w:szCs w:val="24"/>
              </w:rPr>
              <w:t>http://zfcg.czt.zj.gov.cn/bidClientTemplate/2019-09-24/12975.html</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第四步：具体流程</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sz w:val="24"/>
                <w:szCs w:val="24"/>
              </w:rPr>
              <w:t>https://edu.zcygov.cn/luban/e-biding</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提醒：</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1</w:t>
            </w:r>
            <w:r>
              <w:rPr>
                <w:rFonts w:ascii="仿宋" w:hAnsi="仿宋" w:eastAsia="仿宋"/>
                <w:b/>
                <w:color w:val="000000"/>
                <w:sz w:val="24"/>
                <w:szCs w:val="24"/>
              </w:rPr>
              <w:t>.</w:t>
            </w:r>
            <w:r>
              <w:rPr>
                <w:rFonts w:hint="eastAsia" w:ascii="仿宋" w:hAnsi="仿宋" w:eastAsia="仿宋"/>
                <w:b/>
                <w:color w:val="000000"/>
                <w:sz w:val="24"/>
                <w:szCs w:val="24"/>
              </w:rPr>
              <w:t>请各投标人合理安排时间，尽快完成第一、二、三步骤，避免影响投标。</w:t>
            </w:r>
          </w:p>
          <w:p>
            <w:pPr>
              <w:spacing w:line="400" w:lineRule="exact"/>
              <w:jc w:val="left"/>
              <w:rPr>
                <w:rFonts w:ascii="仿宋" w:hAnsi="仿宋" w:eastAsia="仿宋"/>
                <w:color w:val="000000"/>
                <w:sz w:val="24"/>
                <w:szCs w:val="24"/>
              </w:rPr>
            </w:pPr>
            <w:r>
              <w:rPr>
                <w:rFonts w:ascii="仿宋" w:hAnsi="仿宋" w:eastAsia="仿宋"/>
                <w:b/>
                <w:color w:val="000000"/>
                <w:sz w:val="24"/>
                <w:szCs w:val="24"/>
              </w:rPr>
              <w:t>2.</w:t>
            </w:r>
            <w:r>
              <w:rPr>
                <w:rFonts w:hint="eastAsia" w:ascii="仿宋" w:hAnsi="仿宋" w:eastAsia="仿宋"/>
                <w:b/>
                <w:color w:val="000000"/>
                <w:sz w:val="24"/>
                <w:szCs w:val="24"/>
              </w:rPr>
              <w:t>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投标文件的接收以本项目公告要求的时间、地点和“第二章”的“投标文件的编制”等要求为准。</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投标人递交备份投标文件，出现下列情况之一的，将被拒收：</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1、未按规定密封或标记的；</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2、由于包装不妥，在送交途中严重破损或失散的；</w:t>
            </w:r>
          </w:p>
          <w:p>
            <w:pPr>
              <w:spacing w:line="500" w:lineRule="exact"/>
              <w:jc w:val="left"/>
              <w:rPr>
                <w:rFonts w:ascii="仿宋" w:hAnsi="仿宋" w:eastAsia="仿宋"/>
                <w:color w:val="000000"/>
                <w:sz w:val="24"/>
                <w:szCs w:val="24"/>
              </w:rPr>
            </w:pPr>
            <w:r>
              <w:rPr>
                <w:rFonts w:hint="eastAsia" w:ascii="仿宋" w:hAnsi="仿宋" w:eastAsia="仿宋"/>
                <w:b/>
                <w:color w:val="000000"/>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投标撤销（撤回）</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1</w:t>
            </w:r>
            <w:r>
              <w:rPr>
                <w:rFonts w:ascii="仿宋_GB2312" w:hAnsi="仿宋" w:eastAsia="仿宋_GB2312"/>
                <w:bCs/>
                <w:color w:val="000000"/>
                <w:sz w:val="24"/>
              </w:rPr>
              <w:t>.</w:t>
            </w:r>
            <w:r>
              <w:rPr>
                <w:rFonts w:hint="eastAsia" w:ascii="仿宋_GB2312" w:hAnsi="仿宋" w:eastAsia="仿宋_GB2312"/>
                <w:bCs/>
                <w:color w:val="000000"/>
                <w:sz w:val="24"/>
              </w:rPr>
              <w:t>在投标截止时间起至投标有效期届满，供应商投标文件不可撤销。</w:t>
            </w:r>
          </w:p>
          <w:p>
            <w:pPr>
              <w:autoSpaceDE w:val="0"/>
              <w:autoSpaceDN w:val="0"/>
              <w:snapToGrid w:val="0"/>
              <w:jc w:val="left"/>
              <w:textAlignment w:val="bottom"/>
              <w:rPr>
                <w:rFonts w:ascii="仿宋" w:hAnsi="仿宋" w:eastAsia="仿宋"/>
                <w:b/>
                <w:color w:val="000000"/>
                <w:sz w:val="24"/>
                <w:szCs w:val="24"/>
              </w:rPr>
            </w:pPr>
            <w:r>
              <w:rPr>
                <w:rFonts w:ascii="仿宋_GB2312" w:hAnsi="仿宋" w:eastAsia="仿宋_GB2312"/>
                <w:bCs/>
                <w:color w:val="000000"/>
                <w:sz w:val="24"/>
              </w:rPr>
              <w:t>2.</w:t>
            </w:r>
            <w:r>
              <w:rPr>
                <w:rFonts w:hint="eastAsia" w:ascii="仿宋_GB2312" w:hAnsi="仿宋" w:eastAsia="仿宋_GB2312"/>
                <w:bCs/>
                <w:color w:val="000000"/>
                <w:sz w:val="24"/>
              </w:rPr>
              <w:t>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中标结果公告</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中标供应商确定之日起2个工作日内，将在</w:t>
            </w:r>
            <w:r>
              <w:rPr>
                <w:rFonts w:hint="eastAsia" w:ascii="仿宋" w:hAnsi="仿宋" w:eastAsia="仿宋" w:cs="Arial"/>
                <w:color w:val="000000"/>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sz w:val="24"/>
                <w:szCs w:val="24"/>
              </w:rPr>
              <w:t>http://www.zjzfcg.gov.cn</w:t>
            </w:r>
            <w:r>
              <w:rPr>
                <w:rStyle w:val="69"/>
                <w:rFonts w:hint="eastAsia" w:ascii="仿宋" w:hAnsi="仿宋" w:eastAsia="仿宋"/>
                <w:color w:val="000000"/>
                <w:sz w:val="24"/>
                <w:szCs w:val="24"/>
              </w:rPr>
              <w:fldChar w:fldCharType="end"/>
            </w:r>
            <w:r>
              <w:rPr>
                <w:rFonts w:hint="eastAsia" w:ascii="仿宋" w:hAnsi="仿宋" w:eastAsia="仿宋" w:cs="Arial"/>
                <w:color w:val="000000"/>
                <w:sz w:val="24"/>
                <w:szCs w:val="24"/>
              </w:rPr>
              <w:t>)发布</w:t>
            </w:r>
            <w:r>
              <w:rPr>
                <w:rFonts w:hint="eastAsia" w:ascii="仿宋" w:hAnsi="仿宋" w:eastAsia="仿宋"/>
                <w:color w:val="000000"/>
                <w:sz w:val="24"/>
                <w:szCs w:val="24"/>
              </w:rPr>
              <w:t>中标公告</w:t>
            </w:r>
            <w:r>
              <w:rPr>
                <w:rFonts w:hint="eastAsia" w:ascii="仿宋" w:hAnsi="仿宋" w:eastAsia="仿宋"/>
                <w:b/>
                <w:color w:val="000000"/>
                <w:sz w:val="24"/>
                <w:szCs w:val="24"/>
              </w:rPr>
              <w:t>（中标人为中小企业的，其声明函将随中标结果同时公告）</w:t>
            </w:r>
            <w:r>
              <w:rPr>
                <w:rFonts w:hint="eastAsia" w:ascii="仿宋" w:hAnsi="仿宋" w:eastAsia="仿宋"/>
                <w:color w:val="000000"/>
                <w:sz w:val="24"/>
                <w:szCs w:val="24"/>
              </w:rPr>
              <w:t>，公告期限为1个工作日</w:t>
            </w:r>
            <w:r>
              <w:rPr>
                <w:rFonts w:hint="eastAsia" w:ascii="仿宋" w:hAnsi="仿宋" w:eastAsia="仿宋" w:cs="Arial"/>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 w:hAnsi="仿宋" w:eastAsia="仿宋"/>
                <w:color w:val="000000"/>
                <w:sz w:val="24"/>
                <w:szCs w:val="24"/>
              </w:rPr>
            </w:pPr>
            <w:r>
              <w:rPr>
                <w:rFonts w:hint="eastAsia" w:ascii="仿宋_GB2312" w:hAnsi="仿宋" w:eastAsia="仿宋_GB2312"/>
                <w:bCs/>
                <w:color w:val="000000"/>
                <w:sz w:val="24"/>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21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履约保证金</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22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付款方式</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国库集中支付（采购人自行支付）详见各标项的商务要求表。</w:t>
            </w:r>
          </w:p>
          <w:p>
            <w:pPr>
              <w:autoSpaceDE w:val="0"/>
              <w:autoSpaceDN w:val="0"/>
              <w:snapToGrid w:val="0"/>
              <w:jc w:val="left"/>
              <w:textAlignment w:val="bottom"/>
              <w:rPr>
                <w:rFonts w:ascii="仿宋" w:hAnsi="仿宋" w:eastAsia="仿宋"/>
                <w:color w:val="000000"/>
                <w:sz w:val="28"/>
                <w:szCs w:val="28"/>
              </w:rPr>
            </w:pPr>
            <w:r>
              <w:rPr>
                <w:rFonts w:hint="eastAsia" w:ascii="仿宋_GB2312" w:hAnsi="仿宋" w:eastAsia="仿宋_GB2312"/>
                <w:bCs/>
                <w:color w:val="000000"/>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sz w:val="24"/>
              </w:rPr>
              <w:t>《浙江省财政厅关于进一步加大政府采购支持中小企业力度助力扎实稳住经济的通知》</w:t>
            </w:r>
            <w:r>
              <w:rPr>
                <w:rFonts w:hint="eastAsia" w:ascii="仿宋_GB2312" w:hAnsi="仿宋" w:eastAsia="仿宋_GB2312"/>
                <w:bCs/>
                <w:color w:val="000000"/>
                <w:sz w:val="24"/>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23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投标文件有效期</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color w:val="000000"/>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合同签订时间</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招标方代理费用</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解释权</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本招标文件的解释权属于浙江省政府采购中心。</w:t>
            </w:r>
          </w:p>
        </w:tc>
      </w:tr>
    </w:tbl>
    <w:p>
      <w:pPr>
        <w:pStyle w:val="31"/>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_GB2312"/>
          <w:color w:val="000000"/>
          <w:kern w:val="0"/>
          <w:sz w:val="30"/>
          <w:szCs w:val="30"/>
        </w:rPr>
        <w:br w:type="page"/>
      </w:r>
      <w:r>
        <w:rPr>
          <w:rFonts w:hint="eastAsia" w:ascii="仿宋" w:hAnsi="仿宋" w:eastAsia="仿宋"/>
          <w:b/>
          <w:bCs/>
          <w:color w:val="000000"/>
          <w:sz w:val="28"/>
          <w:szCs w:val="28"/>
        </w:rPr>
        <w:t>一、总  则</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（一）适用范围</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仅适用于本次招标文件中采购项目的招标、投标、评标、定标、验收、合同履约、付款等行为（法律、法规另有规定的，从其规定）。</w:t>
      </w:r>
    </w:p>
    <w:p>
      <w:pPr>
        <w:snapToGrid w:val="0"/>
        <w:spacing w:before="156" w:beforeLines="50" w:line="460" w:lineRule="exact"/>
        <w:ind w:firstLine="411" w:firstLineChars="147"/>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（二）定义 </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1.招标方：指组织本项目采购的浙江省政府采购中心。</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2.投标人：指响应招标、参加投标竞争的法人、其他组织或者自然人。</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6.项目：指投标人按招标文件规定向采购人提供的需求总称。</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7.电子交易平台:指政府采购项目电子交易平台，即政采云平台。</w:t>
      </w:r>
    </w:p>
    <w:p>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（三）投标人及委托有关说明</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1.如授权代表不是法定代表人，须有法定代表人出具的授权委托书</w:t>
      </w:r>
      <w:r>
        <w:rPr>
          <w:rFonts w:hint="eastAsia" w:ascii="仿宋" w:hAnsi="仿宋" w:eastAsia="仿宋"/>
          <w:b/>
          <w:bCs/>
          <w:color w:val="000000"/>
          <w:sz w:val="28"/>
          <w:szCs w:val="28"/>
        </w:rPr>
        <w:t>（格式见附件）。</w:t>
      </w:r>
      <w:r>
        <w:rPr>
          <w:rFonts w:hint="eastAsia" w:ascii="仿宋" w:hAnsi="仿宋" w:eastAsia="仿宋"/>
          <w:bCs/>
          <w:color w:val="000000"/>
          <w:sz w:val="28"/>
          <w:szCs w:val="28"/>
        </w:rPr>
        <w:t>投标人委派不在本单位缴纳社保的人员作为授权代表的，应当在投标文件中，说明具体原因、授权代表缴纳社保的单位，并附列该授权代表缴纳社保清单。</w:t>
      </w:r>
    </w:p>
    <w:p>
      <w:pPr>
        <w:pStyle w:val="31"/>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3.单位负责人为同一人或者存在直接控股、管理关系的不同供应商，不得参加同一合同项下的政府采购活动。</w:t>
      </w:r>
    </w:p>
    <w:p>
      <w:pPr>
        <w:pStyle w:val="31"/>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4.投标人应仔细阅读招标文件的所有内容，按照招标文件的要求提交投标文件，并对所提供的全部资料的真实性承担法律责任。</w:t>
      </w:r>
    </w:p>
    <w:p>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（四）投标费用</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（五）质疑</w:t>
      </w:r>
    </w:p>
    <w:p>
      <w:pPr>
        <w:snapToGrid w:val="0"/>
        <w:spacing w:line="460" w:lineRule="exact"/>
        <w:ind w:firstLine="700" w:firstLineChars="250"/>
        <w:rPr>
          <w:rFonts w:ascii="仿宋" w:hAnsi="仿宋" w:eastAsia="仿宋"/>
          <w:b/>
          <w:color w:val="000000"/>
          <w:sz w:val="28"/>
          <w:szCs w:val="28"/>
        </w:rPr>
      </w:pPr>
      <w:r>
        <w:rPr>
          <w:rFonts w:hint="eastAsia" w:ascii="仿宋" w:hAnsi="仿宋" w:eastAsia="仿宋"/>
          <w:bCs/>
          <w:color w:val="000000"/>
          <w:sz w:val="28"/>
          <w:szCs w:val="28"/>
        </w:rPr>
        <w:t>1.投标人认为采购文件使自己的权益受到损害的，可以自获取采购文件之日或者采购公告期限届满之日（公告期限届满后获取采购文件的，以公告期限届满之日为准）起7个工作日内，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b/>
          <w:color w:val="000000"/>
          <w:sz w:val="28"/>
          <w:szCs w:val="28"/>
        </w:rPr>
        <w:t>对采购文件需求及评分细则的以书面形式向采购人提出质疑，对其他内容的以书面形式向招标方提出质疑。</w:t>
      </w:r>
    </w:p>
    <w:p>
      <w:pPr>
        <w:snapToGrid w:val="0"/>
        <w:spacing w:line="460" w:lineRule="exact"/>
        <w:ind w:firstLine="700" w:firstLineChars="250"/>
        <w:rPr>
          <w:rFonts w:ascii="仿宋" w:hAnsi="仿宋" w:eastAsia="仿宋"/>
          <w:bCs/>
          <w:color w:val="000000"/>
          <w:sz w:val="28"/>
          <w:szCs w:val="28"/>
        </w:rPr>
      </w:pPr>
      <w:r>
        <w:rPr>
          <w:rFonts w:hint="eastAsia" w:ascii="仿宋" w:hAnsi="仿宋" w:eastAsia="仿宋"/>
          <w:bCs/>
          <w:color w:val="000000"/>
          <w:sz w:val="28"/>
          <w:szCs w:val="28"/>
        </w:rPr>
        <w:t>2</w:t>
      </w:r>
      <w:r>
        <w:rPr>
          <w:rFonts w:ascii="仿宋" w:hAnsi="仿宋" w:eastAsia="仿宋"/>
          <w:bCs/>
          <w:color w:val="000000"/>
          <w:sz w:val="28"/>
          <w:szCs w:val="28"/>
        </w:rPr>
        <w:t>.</w:t>
      </w:r>
      <w:r>
        <w:rPr>
          <w:rFonts w:hint="eastAsia" w:ascii="仿宋" w:hAnsi="仿宋" w:eastAsia="仿宋"/>
          <w:bCs/>
          <w:color w:val="000000"/>
          <w:sz w:val="28"/>
          <w:szCs w:val="28"/>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31"/>
        <w:snapToGrid w:val="0"/>
        <w:spacing w:beforeLines="0" w:after="156" w:line="460" w:lineRule="exact"/>
        <w:ind w:left="2" w:leftChars="1" w:firstLine="560" w:firstLineChars="200"/>
        <w:rPr>
          <w:rFonts w:ascii="仿宋" w:hAnsi="仿宋" w:eastAsia="仿宋"/>
          <w:bCs/>
          <w:color w:val="000000"/>
          <w:sz w:val="28"/>
          <w:szCs w:val="28"/>
        </w:rPr>
      </w:pPr>
      <w:r>
        <w:rPr>
          <w:rFonts w:ascii="仿宋" w:hAnsi="仿宋" w:eastAsia="仿宋"/>
          <w:bCs/>
          <w:color w:val="000000"/>
          <w:sz w:val="28"/>
          <w:szCs w:val="28"/>
        </w:rPr>
        <w:t>3</w:t>
      </w:r>
      <w:r>
        <w:rPr>
          <w:rFonts w:hint="eastAsia" w:ascii="仿宋" w:hAnsi="仿宋" w:eastAsia="仿宋"/>
          <w:bCs/>
          <w:color w:val="000000"/>
          <w:sz w:val="28"/>
          <w:szCs w:val="28"/>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sz w:val="28"/>
          <w:szCs w:val="28"/>
        </w:rPr>
        <w:t>http://zfcg.czt.zj.gov.cn/</w:t>
      </w:r>
      <w:r>
        <w:rPr>
          <w:rStyle w:val="69"/>
          <w:rFonts w:hint="eastAsia" w:ascii="仿宋" w:hAnsi="仿宋" w:eastAsia="仿宋"/>
          <w:bCs/>
          <w:color w:val="000000"/>
          <w:sz w:val="28"/>
          <w:szCs w:val="28"/>
        </w:rPr>
        <w:fldChar w:fldCharType="end"/>
      </w:r>
      <w:r>
        <w:rPr>
          <w:rFonts w:hint="eastAsia" w:ascii="仿宋" w:hAnsi="仿宋" w:eastAsia="仿宋"/>
          <w:bCs/>
          <w:color w:val="000000"/>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质疑函应当包括下列内容：</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b.质疑项目的名称、编号；</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d.事实依据；</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e.必要的法律依据；</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f.提出质疑的日期。</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color w:val="000000"/>
          <w:sz w:val="28"/>
          <w:szCs w:val="28"/>
        </w:rPr>
      </w:pPr>
      <w:r>
        <w:rPr>
          <w:rFonts w:ascii="仿宋" w:hAnsi="仿宋" w:eastAsia="仿宋"/>
          <w:bCs/>
          <w:color w:val="000000"/>
          <w:sz w:val="28"/>
          <w:szCs w:val="28"/>
        </w:rPr>
        <w:t>4.</w:t>
      </w:r>
      <w:r>
        <w:rPr>
          <w:rFonts w:hint="eastAsia" w:ascii="仿宋" w:hAnsi="仿宋" w:eastAsia="仿宋"/>
          <w:bCs/>
          <w:color w:val="000000"/>
          <w:sz w:val="28"/>
          <w:szCs w:val="28"/>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（六）招标文件的澄清与修改 </w:t>
      </w:r>
    </w:p>
    <w:p>
      <w:pPr>
        <w:pStyle w:val="31"/>
        <w:snapToGrid w:val="0"/>
        <w:spacing w:before="156" w:after="156" w:line="460" w:lineRule="exact"/>
        <w:ind w:firstLine="560" w:firstLineChars="200"/>
        <w:rPr>
          <w:rFonts w:ascii="仿宋" w:hAnsi="仿宋" w:eastAsia="仿宋"/>
          <w:b/>
          <w:bCs/>
          <w:color w:val="000000"/>
          <w:sz w:val="28"/>
          <w:szCs w:val="28"/>
        </w:rPr>
      </w:pPr>
      <w:r>
        <w:rPr>
          <w:rFonts w:hint="eastAsia" w:ascii="仿宋" w:hAnsi="仿宋" w:eastAsia="仿宋"/>
          <w:bCs/>
          <w:color w:val="000000"/>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sz w:val="28"/>
          <w:szCs w:val="28"/>
        </w:rPr>
        <w:t>逾期提出招标方将不予受理。</w:t>
      </w:r>
    </w:p>
    <w:p>
      <w:pPr>
        <w:pStyle w:val="31"/>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2.招标方主动进行的澄清、修改：招标方无论出于何种原因，均可主动对招标文件中的相关事项，用补充文件等方式进行澄清和修改。</w:t>
      </w:r>
    </w:p>
    <w:p>
      <w:pPr>
        <w:pStyle w:val="31"/>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312" w:beforeLines="100" w:after="312" w:afterLines="100" w:line="360" w:lineRule="auto"/>
        <w:jc w:val="center"/>
        <w:rPr>
          <w:rFonts w:ascii="仿宋" w:hAnsi="仿宋" w:eastAsia="仿宋"/>
          <w:bCs/>
          <w:color w:val="000000"/>
          <w:sz w:val="28"/>
          <w:szCs w:val="28"/>
        </w:rPr>
      </w:pPr>
      <w:r>
        <w:rPr>
          <w:rFonts w:hint="eastAsia" w:ascii="仿宋" w:hAnsi="仿宋" w:eastAsia="仿宋"/>
          <w:bCs/>
          <w:color w:val="000000"/>
          <w:sz w:val="28"/>
          <w:szCs w:val="28"/>
        </w:rPr>
        <w:t>二、投标文件的编制</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（一）投标文件编制工具</w:t>
      </w:r>
    </w:p>
    <w:p>
      <w:pPr>
        <w:pStyle w:val="31"/>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sz w:val="28"/>
          <w:szCs w:val="28"/>
        </w:rPr>
        <w:t>http://zfcg.czt.zj.gov.cn/bidClientTemplate/2019-09-24/12975.html</w:t>
      </w:r>
      <w:r>
        <w:rPr>
          <w:rStyle w:val="69"/>
          <w:rFonts w:hint="eastAsia" w:ascii="仿宋" w:hAnsi="仿宋" w:eastAsia="仿宋"/>
          <w:b/>
          <w:bCs/>
          <w:color w:val="000000"/>
          <w:sz w:val="28"/>
          <w:szCs w:val="28"/>
        </w:rPr>
        <w:fldChar w:fldCharType="end"/>
      </w:r>
      <w:r>
        <w:rPr>
          <w:rFonts w:hint="eastAsia" w:ascii="仿宋" w:hAnsi="仿宋" w:eastAsia="仿宋"/>
          <w:b/>
          <w:bCs/>
          <w:color w:val="000000"/>
          <w:sz w:val="28"/>
          <w:szCs w:val="28"/>
        </w:rPr>
        <w:t>，请自行下载并安装。</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（二）投标文件的组成</w:t>
      </w:r>
    </w:p>
    <w:p>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电子投标文件每个标项由资格文件、技术商务文件、投标报价文件三部份组成，具体详见“第六章  投标文件格式附件”。备份投标文件的组成和内容等同电子投标文件。</w:t>
      </w:r>
    </w:p>
    <w:p>
      <w:pPr>
        <w:pStyle w:val="50"/>
        <w:widowControl w:val="0"/>
        <w:spacing w:after="156" w:line="460" w:lineRule="exact"/>
        <w:ind w:firstLine="562" w:firstLineChars="200"/>
        <w:jc w:val="both"/>
        <w:rPr>
          <w:rFonts w:ascii="仿宋" w:hAnsi="仿宋" w:eastAsia="仿宋"/>
          <w:bCs/>
          <w:sz w:val="28"/>
          <w:szCs w:val="28"/>
        </w:rPr>
      </w:pPr>
      <w:r>
        <w:rPr>
          <w:rFonts w:hint="eastAsia" w:ascii="仿宋" w:hAnsi="仿宋" w:eastAsia="仿宋"/>
          <w:b/>
          <w:bCs/>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（三）投标文件的效力</w:t>
      </w:r>
    </w:p>
    <w:p>
      <w:pPr>
        <w:adjustRightInd w:val="0"/>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（四）投标文件的语言及计量</w:t>
      </w:r>
    </w:p>
    <w:p>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pPr>
        <w:pStyle w:val="16"/>
        <w:tabs>
          <w:tab w:val="clear" w:pos="454"/>
        </w:tabs>
        <w:snapToGrid w:val="0"/>
        <w:spacing w:before="156" w:beforeLines="50" w:after="156" w:line="460" w:lineRule="exact"/>
        <w:ind w:left="0" w:firstLine="548" w:firstLineChars="196"/>
        <w:rPr>
          <w:rFonts w:ascii="仿宋" w:hAnsi="仿宋" w:eastAsia="仿宋"/>
          <w:bCs/>
          <w:color w:val="000000"/>
          <w:sz w:val="28"/>
          <w:szCs w:val="28"/>
        </w:rPr>
      </w:pPr>
      <w:r>
        <w:rPr>
          <w:rFonts w:hint="eastAsia" w:ascii="仿宋" w:hAnsi="仿宋" w:eastAsia="仿宋"/>
          <w:bCs/>
          <w:color w:val="000000"/>
          <w:sz w:val="28"/>
          <w:szCs w:val="28"/>
        </w:rPr>
        <w:t>（五）投标文件的有效期</w:t>
      </w:r>
    </w:p>
    <w:p>
      <w:pPr>
        <w:pStyle w:val="16"/>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1.自投标截止日起90天内投标文件应保持有效。有效期不足的投标文件将作无效标处理。</w:t>
      </w:r>
    </w:p>
    <w:p>
      <w:pPr>
        <w:pStyle w:val="16"/>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2.中标供应商的投标文件自开标之日起至合同履行完毕止均应保持有效。</w:t>
      </w:r>
    </w:p>
    <w:p>
      <w:pPr>
        <w:snapToGrid w:val="0"/>
        <w:spacing w:before="156" w:beforeLines="50" w:line="460" w:lineRule="exact"/>
        <w:ind w:firstLine="420" w:firstLineChars="150"/>
        <w:jc w:val="left"/>
        <w:rPr>
          <w:rFonts w:ascii="仿宋" w:hAnsi="仿宋" w:eastAsia="仿宋"/>
          <w:bCs/>
          <w:color w:val="000000"/>
          <w:sz w:val="28"/>
          <w:szCs w:val="28"/>
        </w:rPr>
      </w:pPr>
      <w:r>
        <w:rPr>
          <w:rFonts w:hint="eastAsia" w:ascii="仿宋" w:hAnsi="仿宋" w:eastAsia="仿宋"/>
          <w:bCs/>
          <w:color w:val="000000"/>
          <w:sz w:val="28"/>
          <w:szCs w:val="28"/>
        </w:rPr>
        <w:t>（六）投标文件的签署和包装</w:t>
      </w:r>
    </w:p>
    <w:p>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1.电子投标文件部分： </w:t>
      </w:r>
    </w:p>
    <w:p>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2.投标人选择递交备份投标文件的，备份投标文件另须满足以下条件：</w:t>
      </w:r>
    </w:p>
    <w:p>
      <w:pPr>
        <w:pStyle w:val="31"/>
        <w:adjustRightInd w:val="0"/>
        <w:snapToGrid w:val="0"/>
        <w:spacing w:before="156" w:after="156" w:line="50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（1）储存形式：U盘、DVD </w:t>
      </w:r>
    </w:p>
    <w:p>
      <w:pPr>
        <w:pStyle w:val="31"/>
        <w:adjustRightInd w:val="0"/>
        <w:snapToGrid w:val="0"/>
        <w:spacing w:before="156" w:after="156" w:line="500" w:lineRule="exact"/>
        <w:ind w:firstLine="557" w:firstLineChars="198"/>
        <w:rPr>
          <w:rFonts w:ascii="仿宋" w:hAnsi="仿宋" w:eastAsia="仿宋"/>
          <w:bCs/>
          <w:color w:val="000000"/>
          <w:sz w:val="28"/>
          <w:szCs w:val="28"/>
        </w:rPr>
      </w:pPr>
      <w:r>
        <w:rPr>
          <w:rFonts w:hint="eastAsia" w:ascii="仿宋" w:hAnsi="仿宋" w:eastAsia="仿宋"/>
          <w:b/>
          <w:bCs/>
          <w:color w:val="000000"/>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56" w:beforeLines="50"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（七）投标报价</w:t>
      </w:r>
    </w:p>
    <w:p>
      <w:pPr>
        <w:tabs>
          <w:tab w:val="left" w:pos="525"/>
        </w:tabs>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3.投标报价金额到元为止，如投标报价总价出现角、分，将被抹除。</w:t>
      </w:r>
    </w:p>
    <w:p>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4.资格文件、技术商务文件中不得出现投标报价信息，否则按无效标处理。</w:t>
      </w:r>
    </w:p>
    <w:p>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（八）串通投标认定</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1.不同投标人的投标文件由同一单位或者个人编制或同一I</w:t>
      </w:r>
      <w:r>
        <w:rPr>
          <w:rFonts w:ascii="仿宋" w:hAnsi="仿宋" w:eastAsia="仿宋"/>
          <w:bCs/>
          <w:color w:val="000000"/>
          <w:sz w:val="28"/>
          <w:szCs w:val="28"/>
        </w:rPr>
        <w:t>P</w:t>
      </w:r>
      <w:r>
        <w:rPr>
          <w:rFonts w:hint="eastAsia" w:ascii="仿宋" w:hAnsi="仿宋" w:eastAsia="仿宋"/>
          <w:bCs/>
          <w:color w:val="000000"/>
          <w:sz w:val="28"/>
          <w:szCs w:val="28"/>
        </w:rPr>
        <w:t>地址上传；</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（九）投标无效的情形</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1.投标人未能提供合格的资格文件、投标有效期不足的；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3.仅提供备份投标文件的；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4.电子投标文件解密失败，且未在规定时间内提交备份投标文件的；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6.投标文件未按招标文件要求签署、盖章的；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7.与招标文件有重大偏离、未满足带“▲”号实质性指标的投标文件；</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9</w:t>
      </w:r>
      <w:r>
        <w:rPr>
          <w:rFonts w:ascii="仿宋" w:hAnsi="仿宋" w:eastAsia="仿宋"/>
          <w:bCs/>
          <w:color w:val="000000"/>
          <w:sz w:val="28"/>
          <w:szCs w:val="28"/>
        </w:rPr>
        <w:t>.</w:t>
      </w:r>
      <w:r>
        <w:rPr>
          <w:rFonts w:hint="eastAsia" w:ascii="仿宋" w:hAnsi="仿宋" w:eastAsia="仿宋"/>
          <w:bCs/>
          <w:color w:val="000000"/>
          <w:sz w:val="28"/>
          <w:szCs w:val="28"/>
        </w:rPr>
        <w:t>未提供样品或提供样品不满足采购需求实质性条件的；</w:t>
      </w:r>
    </w:p>
    <w:p>
      <w:pPr>
        <w:snapToGrid w:val="0"/>
        <w:spacing w:line="460" w:lineRule="exact"/>
        <w:ind w:firstLine="560" w:firstLineChars="200"/>
        <w:rPr>
          <w:rFonts w:ascii="仿宋" w:hAnsi="仿宋" w:eastAsia="仿宋"/>
          <w:bCs/>
          <w:color w:val="000000"/>
          <w:sz w:val="28"/>
          <w:szCs w:val="28"/>
        </w:rPr>
      </w:pPr>
      <w:r>
        <w:rPr>
          <w:rFonts w:ascii="仿宋" w:hAnsi="仿宋" w:eastAsia="仿宋"/>
          <w:bCs/>
          <w:color w:val="000000"/>
          <w:sz w:val="28"/>
          <w:szCs w:val="28"/>
        </w:rPr>
        <w:t>10</w:t>
      </w:r>
      <w:r>
        <w:rPr>
          <w:rFonts w:hint="eastAsia" w:ascii="仿宋" w:hAnsi="仿宋" w:eastAsia="仿宋"/>
          <w:bCs/>
          <w:color w:val="000000"/>
          <w:sz w:val="28"/>
          <w:szCs w:val="28"/>
        </w:rPr>
        <w:t>.投标报价超出招标文件中规定的预算金额或者最高限价的；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1</w:t>
      </w:r>
      <w:r>
        <w:rPr>
          <w:rFonts w:hint="eastAsia" w:ascii="仿宋" w:hAnsi="仿宋" w:eastAsia="仿宋"/>
          <w:bCs/>
          <w:color w:val="000000"/>
          <w:sz w:val="28"/>
          <w:szCs w:val="28"/>
        </w:rPr>
        <w:t>.标项以赠送方式投标的、对一个标项提供两个投标方案或两个报价的；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2</w:t>
      </w:r>
      <w:r>
        <w:rPr>
          <w:rFonts w:hint="eastAsia" w:ascii="仿宋" w:hAnsi="仿宋" w:eastAsia="仿宋"/>
          <w:bCs/>
          <w:color w:val="000000"/>
          <w:sz w:val="28"/>
          <w:szCs w:val="28"/>
        </w:rPr>
        <w:t>.评标委员会认为投标人的报价明显低于其他通过符合性审查投标人的报价，有可能影响产品质量或者不能诚信履约，且不能证明其报价合理性的；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3</w:t>
      </w:r>
      <w:r>
        <w:rPr>
          <w:rFonts w:hint="eastAsia" w:ascii="仿宋" w:hAnsi="仿宋" w:eastAsia="仿宋"/>
          <w:bCs/>
          <w:color w:val="000000"/>
          <w:sz w:val="28"/>
          <w:szCs w:val="28"/>
        </w:rPr>
        <w:t>.投标人不接受报价文件中修正后的报价的；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4</w:t>
      </w:r>
      <w:r>
        <w:rPr>
          <w:rFonts w:hint="eastAsia" w:ascii="仿宋" w:hAnsi="仿宋" w:eastAsia="仿宋"/>
          <w:bCs/>
          <w:color w:val="000000"/>
          <w:sz w:val="28"/>
          <w:szCs w:val="28"/>
        </w:rPr>
        <w:t>.未按本章“二、投标文件的编制”第七点投标报价要求报价的；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5</w:t>
      </w:r>
      <w:r>
        <w:rPr>
          <w:rFonts w:hint="eastAsia" w:ascii="仿宋" w:hAnsi="仿宋" w:eastAsia="仿宋"/>
          <w:bCs/>
          <w:color w:val="000000"/>
          <w:sz w:val="28"/>
          <w:szCs w:val="28"/>
        </w:rPr>
        <w:t>.投标文件含有采购人不能接受的附加条件的；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6</w:t>
      </w:r>
      <w:r>
        <w:rPr>
          <w:rFonts w:hint="eastAsia" w:ascii="仿宋" w:hAnsi="仿宋" w:eastAsia="仿宋"/>
          <w:bCs/>
          <w:color w:val="000000"/>
          <w:sz w:val="28"/>
          <w:szCs w:val="28"/>
        </w:rPr>
        <w:t>.投标人被视为串通投标的；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7</w:t>
      </w:r>
      <w:r>
        <w:rPr>
          <w:rFonts w:hint="eastAsia" w:ascii="仿宋" w:hAnsi="仿宋" w:eastAsia="仿宋"/>
          <w:bCs/>
          <w:color w:val="000000"/>
          <w:sz w:val="28"/>
          <w:szCs w:val="28"/>
        </w:rPr>
        <w:t>.不符合法律、法规和本招标文件规定的其他实质性要求的。</w:t>
      </w:r>
    </w:p>
    <w:p>
      <w:pPr>
        <w:pStyle w:val="31"/>
        <w:snapToGrid w:val="0"/>
        <w:spacing w:beforeLines="0" w:after="156" w:line="460" w:lineRule="exact"/>
        <w:ind w:left="759" w:leftChars="228" w:hanging="280" w:hangingChars="100"/>
        <w:rPr>
          <w:rFonts w:ascii="仿宋" w:hAnsi="仿宋" w:eastAsia="仿宋"/>
          <w:bCs/>
          <w:color w:val="000000"/>
          <w:sz w:val="28"/>
          <w:szCs w:val="28"/>
        </w:rPr>
      </w:pPr>
      <w:r>
        <w:rPr>
          <w:rFonts w:hint="eastAsia" w:ascii="仿宋" w:hAnsi="仿宋" w:eastAsia="仿宋"/>
          <w:bCs/>
          <w:color w:val="000000"/>
          <w:sz w:val="28"/>
          <w:szCs w:val="28"/>
        </w:rPr>
        <w:t>（十）错误修正</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2.大写金额和小写金额不一致的，以大写金额为准；</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（十一）采购过程中的异常情况及处理措施</w:t>
      </w:r>
    </w:p>
    <w:p>
      <w:pPr>
        <w:pStyle w:val="31"/>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1.电子交易平台发生故障而无法登录访问的；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2.电子交易平台应用或数据库出现错误，不能进行正常操作的；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3.电子交易平台发现严重安全漏洞，有潜在泄密危险的；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4.病毒发作导致不能进行正常操作的；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5.其他无法保证电子交易的公平、公正和安全的情况。</w:t>
      </w:r>
    </w:p>
    <w:p>
      <w:pPr>
        <w:spacing w:line="44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三、开、评标程序及评标委员会的评审程序</w:t>
      </w:r>
    </w:p>
    <w:p>
      <w:pPr>
        <w:pStyle w:val="31"/>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w:t>
      </w:r>
    </w:p>
    <w:p>
      <w:pPr>
        <w:pStyle w:val="31"/>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招标方将按照招标文件规定的时间、地点和程序组织开标，各投标人授权代表及相关人员</w:t>
      </w:r>
      <w:r>
        <w:rPr>
          <w:rFonts w:hint="eastAsia" w:ascii="仿宋" w:hAnsi="仿宋" w:eastAsia="仿宋"/>
          <w:b/>
          <w:bCs/>
          <w:color w:val="000000"/>
          <w:sz w:val="28"/>
          <w:szCs w:val="28"/>
        </w:rPr>
        <w:t>均应当准时在线参加</w:t>
      </w:r>
      <w:r>
        <w:rPr>
          <w:rFonts w:hint="eastAsia" w:ascii="仿宋" w:hAnsi="仿宋" w:eastAsia="仿宋"/>
          <w:bCs/>
          <w:color w:val="000000"/>
          <w:sz w:val="28"/>
          <w:szCs w:val="28"/>
        </w:rPr>
        <w:t>，无关人员不得进入开标现场。</w:t>
      </w:r>
      <w:r>
        <w:rPr>
          <w:rFonts w:hint="eastAsia" w:ascii="仿宋" w:hAnsi="仿宋" w:eastAsia="仿宋"/>
          <w:b/>
          <w:bCs/>
          <w:color w:val="000000"/>
          <w:sz w:val="28"/>
          <w:szCs w:val="28"/>
        </w:rPr>
        <w:t>投标人如未准时在线参加的</w:t>
      </w:r>
      <w:r>
        <w:rPr>
          <w:rFonts w:hint="eastAsia" w:ascii="仿宋" w:hAnsi="仿宋" w:eastAsia="仿宋"/>
          <w:bCs/>
          <w:color w:val="000000"/>
          <w:sz w:val="28"/>
          <w:szCs w:val="28"/>
        </w:rPr>
        <w:t>，事后不得对采购相关人员、开标过程和开标结果提出异议。</w:t>
      </w:r>
    </w:p>
    <w:p>
      <w:pPr>
        <w:pStyle w:val="31"/>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 落实工作场地、设施，检查录音录像采集设备运行情况，验证电子交易平台是否能正常登录，并开启直播（如直播信号出现问题，不影响项目开标程序）。</w:t>
      </w:r>
    </w:p>
    <w:p>
      <w:pPr>
        <w:pStyle w:val="31"/>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 开标由招标方主持，主持人介绍开标现场的人员情况，宣读递交投标文件的投标人名单、递交备份投标文件的投标人名单、开标纪律、应当回避的情形等注意事项。</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解密时限内未完成解密且按规定提供了备份投标文件的，招标方将在开标直播间拆封其备份投标文件，并导入电子交易平台。</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6.招标方在电子交易平台开启投标人的报价文件信息，投标人对报价信息进行确认。投标人对报价信息不予确认的不影响后续评标过程。</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8.在电子交易平台上公布评审结果。</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特别说明：政采云公司如对电子化开标及评审程序有调整的，按调整后的程序操作。</w:t>
      </w:r>
    </w:p>
    <w:p>
      <w:pPr>
        <w:pStyle w:val="31"/>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1、开启开标场地录音录像采集设备，并确保正常运行。</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2、按规定统一收缴、保存评标现场相关人员通讯工具。</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3、介绍评审现场的人员情况，宣布评审工作纪律，告知评审人员应当回避情形；组织推选评标委员会组长。</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4、宣读提交投标文件的供应商名单，组织评标委员会各位成员签订纸质形式的《政府采购评审人员廉洁自律承诺书》。</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7、采购人代表对投标人资格文件进行审查并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对投标人“信用中国”网站（www.creditchina.gov.cn）、中国政府采购网（www.ccgp.gov.cn）信用记录情况进行核实，资格不符合的，应组织相关投标人代表进行陈述、澄清或申辩。</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9、做好评审现场相关记录，协助评标委员会组长做好评审报告起草、有关内容电脑文字录入等工作，并要求评标委员会各成员签字确认。</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56" w:after="156" w:line="460" w:lineRule="exact"/>
        <w:ind w:firstLine="551" w:firstLineChars="196"/>
        <w:rPr>
          <w:rFonts w:ascii="仿宋" w:hAnsi="仿宋" w:eastAsia="仿宋"/>
          <w:bCs/>
          <w:color w:val="000000"/>
          <w:sz w:val="28"/>
          <w:szCs w:val="28"/>
        </w:rPr>
      </w:pPr>
      <w:r>
        <w:rPr>
          <w:rFonts w:hint="eastAsia" w:ascii="仿宋" w:hAnsi="仿宋" w:eastAsia="仿宋"/>
          <w:b/>
          <w:bCs/>
          <w:color w:val="000000"/>
          <w:sz w:val="28"/>
          <w:szCs w:val="28"/>
        </w:rPr>
        <w:t>11、招标方将在《中标公告》中，公开评标委员会对每个投标人的《评分明细》以及《得分汇总表》情况。</w:t>
      </w:r>
      <w:r>
        <w:rPr>
          <w:rFonts w:ascii="Calibri" w:hAnsi="Calibri" w:eastAsia="仿宋" w:cs="Calibri"/>
          <w:b/>
          <w:bCs/>
          <w:color w:val="000000"/>
          <w:sz w:val="28"/>
          <w:szCs w:val="28"/>
        </w:rPr>
        <w:t> </w:t>
      </w:r>
      <w:r>
        <w:rPr>
          <w:rFonts w:hint="eastAsia" w:ascii="仿宋" w:hAnsi="仿宋" w:eastAsia="仿宋"/>
          <w:b/>
          <w:bCs/>
          <w:color w:val="000000"/>
          <w:sz w:val="28"/>
          <w:szCs w:val="28"/>
        </w:rPr>
        <w:tab/>
      </w:r>
    </w:p>
    <w:p>
      <w:pPr>
        <w:pStyle w:val="31"/>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pPr>
        <w:pStyle w:val="31"/>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
          <w:b/>
          <w:bCs/>
          <w:color w:val="000000"/>
          <w:sz w:val="28"/>
          <w:szCs w:val="28"/>
        </w:rPr>
        <w:t>四、评审原则</w:t>
      </w:r>
    </w:p>
    <w:p>
      <w:pPr>
        <w:pStyle w:val="31"/>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pPr>
        <w:pStyle w:val="31"/>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1.项目由评标委员会根据第三章《评标办法与评分标准》规定提出中标候选人排序。</w:t>
      </w:r>
    </w:p>
    <w:p>
      <w:pPr>
        <w:pStyle w:val="31"/>
        <w:snapToGrid w:val="0"/>
        <w:spacing w:before="156" w:after="156" w:line="460" w:lineRule="exact"/>
        <w:ind w:firstLine="560" w:firstLineChars="200"/>
        <w:rPr>
          <w:rFonts w:ascii="仿宋" w:hAnsi="仿宋" w:eastAsia="仿宋"/>
          <w:color w:val="000000"/>
          <w:sz w:val="28"/>
          <w:szCs w:val="28"/>
        </w:rPr>
      </w:pPr>
      <w:r>
        <w:rPr>
          <w:rFonts w:hint="eastAsia" w:hAnsi="宋体"/>
          <w:color w:val="000000"/>
          <w:sz w:val="28"/>
          <w:szCs w:val="28"/>
        </w:rPr>
        <w:t xml:space="preserve"> </w:t>
      </w:r>
      <w:r>
        <w:rPr>
          <w:rFonts w:hint="eastAsia" w:ascii="仿宋" w:hAnsi="仿宋" w:eastAsia="仿宋"/>
          <w:color w:val="000000"/>
          <w:sz w:val="28"/>
          <w:szCs w:val="28"/>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31"/>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sz w:val="28"/>
          <w:szCs w:val="28"/>
        </w:rPr>
        <w:t>。</w:t>
      </w: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2.中标人拖延、拒签合同的,将被取消中标资格。</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（二）履约保证金</w:t>
      </w:r>
    </w:p>
    <w:p>
      <w:pPr>
        <w:pStyle w:val="31"/>
        <w:snapToGrid w:val="0"/>
        <w:spacing w:before="312" w:beforeLines="100" w:after="312" w:afterLines="10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56" w:after="156"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2.按合同约定办理履约保证金退还手续。</w:t>
      </w: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七、货款的结算</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货款由采购人按采购文件规定的付款方式自行支付。纳入国库集中支付的，按照国库集中支付有关规定付款。</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sz w:val="28"/>
          <w:szCs w:val="28"/>
        </w:rPr>
        <w:t>浙江省财政厅关于进一步加大政府采购支持中小企业力度助力扎实稳住经济的通知</w:t>
      </w:r>
      <w:r>
        <w:rPr>
          <w:rFonts w:hint="eastAsia" w:ascii="仿宋" w:hAnsi="仿宋" w:eastAsia="仿宋"/>
          <w:color w:val="000000"/>
          <w:sz w:val="28"/>
          <w:szCs w:val="28"/>
        </w:rPr>
        <w:t>》等相关规范，对预付款支付要求如下：</w:t>
      </w:r>
    </w:p>
    <w:p>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1.对中小企业合同预付款比例原则上不低于合同金额的40％，不高于合同金额的70%；</w:t>
      </w:r>
    </w:p>
    <w:p>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2.项目分年安排预算的，每年预付款比例不低于项目年度计划支付资金额的40％，不高于年度计划支付资金额的70%；</w:t>
      </w:r>
    </w:p>
    <w:p>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3.采购项目实施以人工投入为主的，可适当降低预付款比例，但不得低于20%。</w:t>
      </w:r>
    </w:p>
    <w:p>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4.对供应商为大型企业的项目或者以人工投入为主且实行按月定期结算支付款项的项目，预付款可低于上述比例或者不约定预付款。</w:t>
      </w:r>
    </w:p>
    <w:p>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备注：在签订合同时，供应商明确表示无需预付款或者主动要求降低预付款比例的，采购单位可不适用前述预付款比例的规定。</w:t>
      </w:r>
    </w:p>
    <w:p>
      <w:pPr>
        <w:pStyle w:val="31"/>
        <w:spacing w:before="156" w:after="156" w:line="360" w:lineRule="auto"/>
        <w:jc w:val="center"/>
        <w:outlineLvl w:val="0"/>
        <w:rPr>
          <w:rFonts w:hAnsi="宋体"/>
          <w:b/>
          <w:color w:val="000000"/>
          <w:sz w:val="36"/>
          <w:szCs w:val="36"/>
        </w:rPr>
      </w:pPr>
      <w:r>
        <w:rPr>
          <w:rFonts w:hint="eastAsia" w:hAnsi="宋体"/>
          <w:b/>
          <w:color w:val="000000"/>
          <w:kern w:val="0"/>
          <w:sz w:val="36"/>
          <w:szCs w:val="36"/>
        </w:rPr>
        <w:br w:type="page"/>
      </w:r>
      <w:bookmarkStart w:id="23" w:name="_Toc2834"/>
      <w:bookmarkStart w:id="24" w:name="_Toc496796637"/>
      <w:r>
        <w:rPr>
          <w:rFonts w:hint="eastAsia" w:hAnsi="宋体"/>
          <w:b/>
          <w:color w:val="000000"/>
          <w:sz w:val="36"/>
          <w:szCs w:val="36"/>
        </w:rPr>
        <w:t>第三章</w:t>
      </w:r>
      <w:bookmarkStart w:id="25" w:name="评标办法及评分标准"/>
      <w:r>
        <w:rPr>
          <w:rFonts w:hint="eastAsia" w:hAnsi="宋体"/>
          <w:b/>
          <w:color w:val="000000"/>
          <w:sz w:val="36"/>
          <w:szCs w:val="36"/>
        </w:rPr>
        <w:t xml:space="preserve">  评标办法及评分标准</w:t>
      </w:r>
      <w:bookmarkEnd w:id="23"/>
      <w:bookmarkEnd w:id="24"/>
      <w:bookmarkEnd w:id="25"/>
    </w:p>
    <w:p>
      <w:pPr>
        <w:spacing w:before="156" w:beforeLines="50" w:after="156" w:afterLines="50" w:line="460" w:lineRule="exact"/>
        <w:ind w:firstLine="42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pPr>
        <w:spacing w:before="156" w:beforeLines="50" w:after="156"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pPr>
        <w:spacing w:before="156" w:beforeLines="50" w:after="156"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中标候选人数量: 有效投标供应商数量等于 3 家时，中标候选人数量为 1家: 有效投标供应商数量等于 4家时，中标候选人数量为2家; 有效投标供应商数量大于等于 5家时，中标候选人数量为3家</w:t>
      </w:r>
    </w:p>
    <w:p>
      <w:pPr>
        <w:spacing w:before="156" w:beforeLines="50" w:after="156" w:afterLines="50" w:line="460" w:lineRule="exact"/>
        <w:ind w:firstLine="590" w:firstLineChars="196"/>
        <w:rPr>
          <w:rFonts w:ascii="仿宋" w:hAnsi="仿宋" w:eastAsia="仿宋"/>
          <w:b/>
          <w:bCs/>
          <w:color w:val="000000"/>
          <w:sz w:val="30"/>
          <w:szCs w:val="30"/>
        </w:rPr>
      </w:pPr>
      <w:r>
        <w:rPr>
          <w:rFonts w:hint="eastAsia" w:ascii="仿宋" w:hAnsi="仿宋" w:eastAsia="仿宋"/>
          <w:b/>
          <w:bCs/>
          <w:color w:val="000000"/>
          <w:sz w:val="30"/>
          <w:szCs w:val="30"/>
        </w:rPr>
        <w:t>二、分值的计算</w:t>
      </w:r>
    </w:p>
    <w:p>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pPr>
        <w:spacing w:before="156" w:beforeLines="50" w:after="156"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pPr>
        <w:spacing w:before="156" w:beforeLines="50" w:after="156"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rPr>
        <w:t>综合得分=价格分+(技术分+资信商务及其他分)</w:t>
      </w:r>
    </w:p>
    <w:p>
      <w:pPr>
        <w:spacing w:before="156" w:beforeLines="50" w:after="156" w:afterLines="50" w:line="460" w:lineRule="exact"/>
        <w:ind w:firstLine="602" w:firstLineChars="200"/>
        <w:rPr>
          <w:rFonts w:ascii="仿宋" w:hAnsi="仿宋" w:eastAsia="仿宋"/>
          <w:b/>
          <w:bCs/>
          <w:color w:val="000000"/>
          <w:sz w:val="30"/>
          <w:szCs w:val="30"/>
        </w:rPr>
      </w:pPr>
    </w:p>
    <w:p>
      <w:pPr>
        <w:spacing w:before="156" w:beforeLines="50" w:after="156" w:afterLines="50" w:line="460" w:lineRule="exact"/>
        <w:ind w:firstLine="602" w:firstLineChars="200"/>
        <w:rPr>
          <w:rFonts w:ascii="仿宋" w:hAnsi="仿宋" w:eastAsia="仿宋"/>
          <w:bCs/>
          <w:color w:val="000000"/>
          <w:sz w:val="30"/>
          <w:szCs w:val="30"/>
        </w:rPr>
      </w:pPr>
      <w:r>
        <w:rPr>
          <w:rFonts w:hint="eastAsia" w:ascii="仿宋" w:hAnsi="仿宋" w:eastAsia="仿宋"/>
          <w:b/>
          <w:bCs/>
          <w:color w:val="000000"/>
          <w:sz w:val="30"/>
          <w:szCs w:val="30"/>
        </w:rPr>
        <w:t>特别提醒：</w:t>
      </w:r>
      <w:r>
        <w:rPr>
          <w:rFonts w:hint="eastAsia" w:ascii="仿宋" w:hAnsi="仿宋" w:eastAsia="仿宋"/>
          <w:bCs/>
          <w:color w:val="000000"/>
          <w:sz w:val="30"/>
          <w:szCs w:val="30"/>
        </w:rPr>
        <w:t>评标委员会对每个投标人的评分明细以及得分汇总表情况在中标公告中公布。</w:t>
      </w:r>
    </w:p>
    <w:p>
      <w:pPr>
        <w:spacing w:before="156" w:beforeLines="50" w:after="156" w:afterLines="50" w:line="460" w:lineRule="exact"/>
        <w:rPr>
          <w:rFonts w:ascii="仿宋" w:hAnsi="仿宋"/>
          <w:bCs/>
          <w:color w:val="000000"/>
          <w:sz w:val="30"/>
          <w:szCs w:val="30"/>
        </w:rPr>
      </w:pPr>
    </w:p>
    <w:p>
      <w:pPr>
        <w:spacing w:before="156" w:beforeLines="50" w:after="156" w:afterLines="50" w:line="320" w:lineRule="exact"/>
        <w:rPr>
          <w:rFonts w:ascii="仿宋" w:hAnsi="仿宋" w:eastAsia="仿宋_GB2312"/>
          <w:b/>
          <w:color w:val="000000"/>
          <w:sz w:val="30"/>
          <w:szCs w:val="30"/>
        </w:rPr>
      </w:pPr>
      <w:r>
        <w:rPr>
          <w:rFonts w:hint="eastAsia" w:ascii="仿宋" w:hAnsi="仿宋" w:eastAsia="仿宋_GB2312"/>
          <w:bCs/>
          <w:color w:val="000000"/>
          <w:kern w:val="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bookmarkStart w:id="26" w:name="_Toc496796638"/>
    </w:p>
    <w:tbl>
      <w:tblPr>
        <w:tblStyle w:val="5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05"/>
        <w:gridCol w:w="5434"/>
        <w:gridCol w:w="606"/>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pPr>
              <w:spacing w:before="156" w:beforeLines="50" w:after="156" w:afterLines="50" w:line="340" w:lineRule="exact"/>
              <w:rPr>
                <w:rFonts w:hint="eastAsia" w:ascii="仿宋" w:hAnsi="仿宋" w:eastAsia="仿宋" w:cs="仿宋"/>
                <w:b/>
                <w:color w:val="000000"/>
                <w:sz w:val="24"/>
                <w:szCs w:val="24"/>
              </w:rPr>
            </w:pPr>
            <w:bookmarkStart w:id="27" w:name="PO_TDCUS_ITEM_SM_TABLE_1_1"/>
            <w:r>
              <w:rPr>
                <w:rFonts w:hint="eastAsia" w:ascii="仿宋" w:hAnsi="仿宋" w:eastAsia="仿宋" w:cs="仿宋"/>
                <w:b/>
                <w:color w:val="000000"/>
                <w:sz w:val="24"/>
                <w:szCs w:val="24"/>
              </w:rPr>
              <w:t>序号</w:t>
            </w:r>
          </w:p>
        </w:tc>
        <w:tc>
          <w:tcPr>
            <w:tcW w:w="531"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评分类型</w:t>
            </w:r>
          </w:p>
        </w:tc>
        <w:tc>
          <w:tcPr>
            <w:tcW w:w="3190"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评分标准</w:t>
            </w:r>
          </w:p>
        </w:tc>
        <w:tc>
          <w:tcPr>
            <w:tcW w:w="355"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分值</w:t>
            </w:r>
          </w:p>
        </w:tc>
        <w:tc>
          <w:tcPr>
            <w:tcW w:w="507"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531"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报价</w:t>
            </w:r>
          </w:p>
        </w:tc>
        <w:tc>
          <w:tcPr>
            <w:tcW w:w="3190"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(评标基准价／有效投标报价)*最大分值</w:t>
            </w:r>
          </w:p>
        </w:tc>
        <w:tc>
          <w:tcPr>
            <w:tcW w:w="355"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30</w:t>
            </w:r>
          </w:p>
        </w:tc>
        <w:tc>
          <w:tcPr>
            <w:tcW w:w="507"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pPr>
              <w:spacing w:before="156" w:beforeLines="50" w:after="156" w:afterLines="50" w:line="34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1</w:t>
            </w:r>
          </w:p>
        </w:tc>
        <w:tc>
          <w:tcPr>
            <w:tcW w:w="531"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技术</w:t>
            </w:r>
          </w:p>
        </w:tc>
        <w:tc>
          <w:tcPr>
            <w:tcW w:w="3190" w:type="pct"/>
            <w:noWrap w:val="0"/>
            <w:vAlign w:val="top"/>
          </w:tcPr>
          <w:p>
            <w:pPr>
              <w:pStyle w:val="992"/>
              <w:ind w:firstLine="0" w:firstLineChars="0"/>
              <w:rPr>
                <w:rFonts w:hint="eastAsia" w:ascii="仿宋" w:hAnsi="仿宋" w:eastAsia="仿宋" w:cs="仿宋"/>
                <w:b w:val="0"/>
                <w:color w:val="auto"/>
                <w:sz w:val="24"/>
                <w:szCs w:val="24"/>
              </w:rPr>
            </w:pPr>
            <w:r>
              <w:rPr>
                <w:rFonts w:hint="eastAsia" w:ascii="仿宋" w:hAnsi="仿宋" w:eastAsia="仿宋" w:cs="仿宋"/>
                <w:sz w:val="24"/>
                <w:szCs w:val="24"/>
              </w:rPr>
              <w:t>根据各投标人所投货物设备组成、技术性能、功能特点以及对招标文件技术要求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除</w:t>
            </w:r>
            <w:r>
              <w:rPr>
                <w:rFonts w:hint="eastAsia" w:ascii="仿宋" w:hAnsi="仿宋" w:eastAsia="仿宋" w:cs="仿宋"/>
                <w:sz w:val="24"/>
                <w:szCs w:val="24"/>
              </w:rPr>
              <w:t>标“●”号</w:t>
            </w:r>
            <w:r>
              <w:rPr>
                <w:rFonts w:hint="eastAsia" w:ascii="仿宋" w:hAnsi="仿宋" w:eastAsia="仿宋" w:cs="仿宋"/>
                <w:sz w:val="24"/>
                <w:szCs w:val="24"/>
                <w:lang w:val="en-US" w:eastAsia="zh-CN"/>
              </w:rPr>
              <w:t>视频演示</w:t>
            </w:r>
            <w:r>
              <w:rPr>
                <w:rFonts w:hint="eastAsia" w:ascii="仿宋" w:hAnsi="仿宋" w:eastAsia="仿宋" w:cs="仿宋"/>
                <w:sz w:val="24"/>
                <w:szCs w:val="24"/>
              </w:rPr>
              <w:t>参数</w:t>
            </w:r>
            <w:r>
              <w:rPr>
                <w:rFonts w:hint="eastAsia" w:ascii="仿宋" w:hAnsi="仿宋" w:eastAsia="仿宋" w:cs="仿宋"/>
                <w:sz w:val="24"/>
                <w:szCs w:val="24"/>
                <w:lang w:val="en-US" w:eastAsia="zh-CN"/>
              </w:rPr>
              <w:t>外）</w:t>
            </w:r>
            <w:r>
              <w:rPr>
                <w:rFonts w:hint="eastAsia" w:ascii="仿宋" w:hAnsi="仿宋" w:eastAsia="仿宋" w:cs="仿宋"/>
                <w:sz w:val="24"/>
                <w:szCs w:val="24"/>
              </w:rPr>
              <w:t>条款的逐条响应情况进行评分，符合明确指标参数得3</w:t>
            </w:r>
            <w:r>
              <w:rPr>
                <w:rFonts w:hint="eastAsia" w:ascii="仿宋" w:hAnsi="仿宋" w:eastAsia="仿宋" w:cs="仿宋"/>
                <w:sz w:val="24"/>
                <w:szCs w:val="24"/>
                <w:lang w:val="en-US" w:eastAsia="zh-CN"/>
              </w:rPr>
              <w:t>2</w:t>
            </w:r>
            <w:r>
              <w:rPr>
                <w:rFonts w:hint="eastAsia" w:ascii="仿宋" w:hAnsi="仿宋" w:eastAsia="仿宋" w:cs="仿宋"/>
                <w:sz w:val="24"/>
                <w:szCs w:val="24"/>
              </w:rPr>
              <w:t>分。标★号参数负偏离或缺漏项的每项扣3分；非标★参数属负偏离或缺漏项的每项扣2分</w:t>
            </w:r>
            <w:r>
              <w:rPr>
                <w:rFonts w:hint="eastAsia" w:ascii="仿宋" w:hAnsi="仿宋" w:eastAsia="仿宋" w:cs="仿宋"/>
                <w:sz w:val="24"/>
                <w:szCs w:val="24"/>
                <w:lang w:eastAsia="zh-CN"/>
              </w:rPr>
              <w:t>，</w:t>
            </w:r>
            <w:r>
              <w:rPr>
                <w:rFonts w:hint="eastAsia" w:ascii="仿宋" w:hAnsi="仿宋" w:eastAsia="仿宋" w:cs="仿宋"/>
                <w:sz w:val="24"/>
                <w:szCs w:val="24"/>
              </w:rPr>
              <w:t>扣完为止。</w:t>
            </w:r>
          </w:p>
        </w:tc>
        <w:tc>
          <w:tcPr>
            <w:tcW w:w="355"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3</w:t>
            </w:r>
            <w:r>
              <w:rPr>
                <w:rFonts w:hint="eastAsia" w:ascii="仿宋" w:hAnsi="仿宋" w:eastAsia="仿宋" w:cs="仿宋"/>
                <w:b/>
                <w:color w:val="000000"/>
                <w:sz w:val="24"/>
                <w:szCs w:val="24"/>
                <w:lang w:val="en-US" w:eastAsia="zh-CN"/>
              </w:rPr>
              <w:t>2</w:t>
            </w:r>
          </w:p>
        </w:tc>
        <w:tc>
          <w:tcPr>
            <w:tcW w:w="507"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pPr>
              <w:spacing w:before="156" w:beforeLines="50" w:after="156" w:afterLines="50" w:line="34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2</w:t>
            </w:r>
          </w:p>
        </w:tc>
        <w:tc>
          <w:tcPr>
            <w:tcW w:w="531"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技术</w:t>
            </w:r>
          </w:p>
        </w:tc>
        <w:tc>
          <w:tcPr>
            <w:tcW w:w="3190" w:type="pct"/>
            <w:noWrap w:val="0"/>
            <w:vAlign w:val="top"/>
          </w:tcPr>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针对投标人提供此项目的技术方案进行评分：</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提供项目需求分析，可行并完整的得1分；</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提供项目技术亮点，可行并完整的得1分；</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提供项目建设规范，可行并完整的得1分；</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提供项目建设内容，可行并完整的得1分；</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提供项目质量保证措施，可行并完整的得1分；</w:t>
            </w:r>
          </w:p>
          <w:p>
            <w:pPr>
              <w:spacing w:line="276" w:lineRule="auto"/>
              <w:ind w:left="63" w:leftChars="30" w:right="63" w:rightChars="30"/>
              <w:rPr>
                <w:rFonts w:hint="eastAsia" w:ascii="仿宋" w:hAnsi="仿宋" w:eastAsia="仿宋" w:cs="仿宋"/>
                <w:b/>
                <w:color w:val="000000"/>
                <w:sz w:val="24"/>
                <w:szCs w:val="24"/>
              </w:rPr>
            </w:pPr>
            <w:r>
              <w:rPr>
                <w:rFonts w:hint="eastAsia" w:ascii="仿宋" w:hAnsi="仿宋" w:eastAsia="仿宋" w:cs="仿宋"/>
                <w:sz w:val="24"/>
                <w:szCs w:val="24"/>
              </w:rPr>
              <w:t>以上内容最多得5分。</w:t>
            </w:r>
          </w:p>
        </w:tc>
        <w:tc>
          <w:tcPr>
            <w:tcW w:w="355"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5</w:t>
            </w:r>
          </w:p>
        </w:tc>
        <w:tc>
          <w:tcPr>
            <w:tcW w:w="507"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pPr>
              <w:spacing w:before="156" w:beforeLines="50" w:after="156" w:afterLines="50" w:line="34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3</w:t>
            </w:r>
          </w:p>
        </w:tc>
        <w:tc>
          <w:tcPr>
            <w:tcW w:w="531"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技术</w:t>
            </w:r>
          </w:p>
        </w:tc>
        <w:tc>
          <w:tcPr>
            <w:tcW w:w="3190" w:type="pct"/>
            <w:noWrap w:val="0"/>
            <w:vAlign w:val="top"/>
          </w:tcPr>
          <w:p>
            <w:pPr>
              <w:spacing w:before="156" w:beforeLines="50" w:after="156" w:afterLines="50" w:line="340" w:lineRule="exact"/>
              <w:rPr>
                <w:rFonts w:hint="eastAsia" w:ascii="仿宋" w:hAnsi="仿宋" w:eastAsia="仿宋" w:cs="仿宋"/>
                <w:sz w:val="24"/>
                <w:szCs w:val="24"/>
              </w:rPr>
            </w:pPr>
            <w:r>
              <w:rPr>
                <w:rFonts w:hint="eastAsia" w:ascii="仿宋" w:hAnsi="仿宋" w:eastAsia="仿宋" w:cs="仿宋"/>
                <w:sz w:val="24"/>
                <w:szCs w:val="24"/>
              </w:rPr>
              <w:t>针对投标人提供此项目的实施方案进行评分：</w:t>
            </w:r>
          </w:p>
          <w:p>
            <w:pPr>
              <w:spacing w:before="156" w:beforeLines="50" w:after="156" w:afterLines="50" w:line="340" w:lineRule="exact"/>
              <w:rPr>
                <w:rFonts w:hint="eastAsia" w:ascii="仿宋" w:hAnsi="仿宋" w:eastAsia="仿宋" w:cs="仿宋"/>
                <w:sz w:val="24"/>
                <w:szCs w:val="24"/>
              </w:rPr>
            </w:pPr>
            <w:r>
              <w:rPr>
                <w:rFonts w:hint="eastAsia" w:ascii="仿宋" w:hAnsi="仿宋" w:eastAsia="仿宋" w:cs="仿宋"/>
                <w:sz w:val="24"/>
                <w:szCs w:val="24"/>
              </w:rPr>
              <w:t>提供项目进度计划，可行并完整的得1分；</w:t>
            </w:r>
          </w:p>
          <w:p>
            <w:pPr>
              <w:spacing w:before="156" w:beforeLines="50" w:after="156" w:afterLines="50" w:line="340" w:lineRule="exact"/>
              <w:rPr>
                <w:rFonts w:hint="eastAsia" w:ascii="仿宋" w:hAnsi="仿宋" w:eastAsia="仿宋" w:cs="仿宋"/>
                <w:sz w:val="24"/>
                <w:szCs w:val="24"/>
              </w:rPr>
            </w:pPr>
            <w:r>
              <w:rPr>
                <w:rFonts w:hint="eastAsia" w:ascii="仿宋" w:hAnsi="仿宋" w:eastAsia="仿宋" w:cs="仿宋"/>
                <w:sz w:val="24"/>
                <w:szCs w:val="24"/>
              </w:rPr>
              <w:t>提供项目实施步骤，可行并完整的得1分；</w:t>
            </w:r>
          </w:p>
          <w:p>
            <w:pPr>
              <w:spacing w:before="156" w:beforeLines="50" w:after="156" w:afterLines="50" w:line="340" w:lineRule="exact"/>
              <w:rPr>
                <w:rFonts w:hint="eastAsia" w:ascii="仿宋" w:hAnsi="仿宋" w:eastAsia="仿宋" w:cs="仿宋"/>
                <w:sz w:val="24"/>
                <w:szCs w:val="24"/>
              </w:rPr>
            </w:pPr>
            <w:r>
              <w:rPr>
                <w:rFonts w:hint="eastAsia" w:ascii="仿宋" w:hAnsi="仿宋" w:eastAsia="仿宋" w:cs="仿宋"/>
                <w:sz w:val="24"/>
                <w:szCs w:val="24"/>
              </w:rPr>
              <w:t>提供进度保证措施，可行并完整的得1分；</w:t>
            </w:r>
          </w:p>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sz w:val="24"/>
                <w:szCs w:val="24"/>
              </w:rPr>
              <w:t>以上内容最多得3分。</w:t>
            </w:r>
          </w:p>
        </w:tc>
        <w:tc>
          <w:tcPr>
            <w:tcW w:w="355"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3</w:t>
            </w:r>
          </w:p>
        </w:tc>
        <w:tc>
          <w:tcPr>
            <w:tcW w:w="507"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pPr>
              <w:spacing w:before="156" w:beforeLines="50" w:after="156" w:afterLines="50" w:line="34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4</w:t>
            </w:r>
          </w:p>
        </w:tc>
        <w:tc>
          <w:tcPr>
            <w:tcW w:w="531"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技术</w:t>
            </w:r>
          </w:p>
        </w:tc>
        <w:tc>
          <w:tcPr>
            <w:tcW w:w="3190" w:type="pct"/>
            <w:noWrap w:val="0"/>
            <w:vAlign w:val="top"/>
          </w:tcPr>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为保证项目安装实施顺利，投标人拟配备的售后服务团队包含中级网络工程师、高级软件工程师、系统分析师得3分，漏项或未提供此项不得分。</w:t>
            </w:r>
          </w:p>
          <w:p>
            <w:pPr>
              <w:spacing w:before="156" w:beforeLines="50" w:after="156" w:afterLines="50" w:line="340" w:lineRule="exact"/>
              <w:rPr>
                <w:rFonts w:hint="eastAsia" w:ascii="仿宋" w:hAnsi="仿宋" w:eastAsia="仿宋" w:cs="仿宋"/>
                <w:sz w:val="24"/>
                <w:szCs w:val="24"/>
              </w:rPr>
            </w:pPr>
            <w:r>
              <w:rPr>
                <w:rFonts w:hint="eastAsia" w:ascii="仿宋" w:hAnsi="仿宋" w:eastAsia="仿宋" w:cs="仿宋"/>
                <w:sz w:val="24"/>
                <w:szCs w:val="24"/>
              </w:rPr>
              <w:t>注：须提供售后服务人员证书复印件并加盖投标人公章。</w:t>
            </w:r>
          </w:p>
        </w:tc>
        <w:tc>
          <w:tcPr>
            <w:tcW w:w="355"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3</w:t>
            </w:r>
          </w:p>
        </w:tc>
        <w:tc>
          <w:tcPr>
            <w:tcW w:w="507"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pPr>
              <w:spacing w:before="156" w:beforeLines="50" w:after="156" w:afterLines="50" w:line="34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5</w:t>
            </w:r>
          </w:p>
        </w:tc>
        <w:tc>
          <w:tcPr>
            <w:tcW w:w="531"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技术</w:t>
            </w:r>
          </w:p>
        </w:tc>
        <w:tc>
          <w:tcPr>
            <w:tcW w:w="3190" w:type="pct"/>
            <w:noWrap w:val="0"/>
            <w:vAlign w:val="top"/>
          </w:tcPr>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color w:val="000000"/>
                <w:kern w:val="0"/>
                <w:sz w:val="24"/>
                <w:szCs w:val="24"/>
              </w:rPr>
              <w:t>为了验</w:t>
            </w:r>
            <w:r>
              <w:rPr>
                <w:rFonts w:hint="eastAsia" w:ascii="仿宋" w:hAnsi="仿宋" w:eastAsia="仿宋" w:cs="仿宋"/>
                <w:sz w:val="24"/>
                <w:szCs w:val="24"/>
              </w:rPr>
              <w:t>证投标人提供的产品功能实现及场景还原效果是否满足采购人教学需求，保证项目顺利实施，招标需求中标●项，需提供视频演示以下内容：</w:t>
            </w:r>
          </w:p>
          <w:p>
            <w:pPr>
              <w:pStyle w:val="674"/>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1.提供第四章招标需求中“演示项一”的视频演示内容，</w:t>
            </w:r>
          </w:p>
          <w:p>
            <w:pPr>
              <w:spacing w:line="276" w:lineRule="auto"/>
              <w:ind w:left="0" w:leftChars="0" w:right="63" w:rightChars="30"/>
              <w:rPr>
                <w:rFonts w:hint="eastAsia" w:ascii="仿宋" w:hAnsi="仿宋" w:eastAsia="仿宋" w:cs="仿宋"/>
                <w:sz w:val="24"/>
                <w:szCs w:val="24"/>
              </w:rPr>
            </w:pPr>
            <w:r>
              <w:rPr>
                <w:rFonts w:hint="eastAsia" w:ascii="仿宋" w:hAnsi="仿宋" w:eastAsia="仿宋" w:cs="仿宋"/>
                <w:sz w:val="24"/>
                <w:szCs w:val="24"/>
              </w:rPr>
              <w:t>视频演示完整且正确得2分，否则得0分。</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2.提供第四章招标需求中“演示项二”的视频演示内容，以上演示完整且正确得2分，否则得0分。</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3.提供第四章招标需求中“演示项三”的视频演示内容</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以上演示完整且正确得2分，否则得0分。</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4.提供第四章招标需求中“演示项四”的视频演示内容</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以上演示完整且正确得4分，否则得0分。</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5.提供第四章招标需求中“演示项五”的视频演示内容</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以上演示完整且正确得3分，否则得0分。</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6. 提供第四章招标需求中“演示项六”的视频演示内容</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以上演示完整且正确得2分，否则得0分。</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注：以上演示内容须进行完整的操作过程录屏，并生成mp4格式视频文件，压制在U盘中。并在密封袋上注明“演示文件”字样（开标截止时间之后提交将被拒绝）；因投标人U盘或视频格式问题导致无法播放的，由投标人自行承担一切风险和责任。</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注：要求提供视频证明材料的内容须进行完整的操作过程录屏，并生成mp4格式视频文件，压制在U盘中。并在密封袋上注明“视频证明材料”字样（开标截止时间之后提交将被拒绝）；因投标人U盘或视频格式问题导致无法播放的，由投标人自行承担一切风险和责任。</w:t>
            </w:r>
          </w:p>
        </w:tc>
        <w:tc>
          <w:tcPr>
            <w:tcW w:w="355"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15</w:t>
            </w:r>
          </w:p>
        </w:tc>
        <w:tc>
          <w:tcPr>
            <w:tcW w:w="507"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pPr>
              <w:spacing w:before="156" w:beforeLines="50" w:after="156" w:afterLines="50" w:line="34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6</w:t>
            </w:r>
          </w:p>
        </w:tc>
        <w:tc>
          <w:tcPr>
            <w:tcW w:w="531"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商务资信</w:t>
            </w:r>
          </w:p>
        </w:tc>
        <w:tc>
          <w:tcPr>
            <w:tcW w:w="3190" w:type="pct"/>
            <w:noWrap w:val="0"/>
            <w:vAlign w:val="top"/>
          </w:tcPr>
          <w:p>
            <w:pPr>
              <w:spacing w:line="276" w:lineRule="auto"/>
              <w:ind w:left="63" w:leftChars="30" w:right="63" w:rightChars="30"/>
              <w:jc w:val="left"/>
              <w:rPr>
                <w:rFonts w:hint="eastAsia" w:ascii="仿宋" w:hAnsi="仿宋" w:eastAsia="仿宋" w:cs="仿宋"/>
                <w:sz w:val="24"/>
                <w:szCs w:val="24"/>
                <w:lang w:val="en-US" w:eastAsia="zh-CN"/>
              </w:rPr>
            </w:pPr>
          </w:p>
          <w:p>
            <w:pPr>
              <w:spacing w:line="276" w:lineRule="auto"/>
              <w:ind w:left="63" w:leftChars="30" w:right="63" w:rightChars="3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技术培训（详见商务要求表）</w:t>
            </w:r>
          </w:p>
        </w:tc>
        <w:tc>
          <w:tcPr>
            <w:tcW w:w="355"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4</w:t>
            </w:r>
          </w:p>
        </w:tc>
        <w:tc>
          <w:tcPr>
            <w:tcW w:w="507"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pPr>
              <w:spacing w:before="156" w:beforeLines="50" w:after="156" w:afterLines="50" w:line="34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7</w:t>
            </w:r>
          </w:p>
        </w:tc>
        <w:tc>
          <w:tcPr>
            <w:tcW w:w="531"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商务资信</w:t>
            </w:r>
          </w:p>
        </w:tc>
        <w:tc>
          <w:tcPr>
            <w:tcW w:w="3190" w:type="pct"/>
            <w:noWrap w:val="0"/>
            <w:vAlign w:val="top"/>
          </w:tcPr>
          <w:p>
            <w:pPr>
              <w:spacing w:line="276" w:lineRule="auto"/>
              <w:ind w:left="63" w:leftChars="30" w:right="63" w:rightChars="30"/>
              <w:jc w:val="left"/>
              <w:rPr>
                <w:rFonts w:hint="eastAsia" w:ascii="仿宋" w:hAnsi="仿宋" w:eastAsia="仿宋" w:cs="仿宋"/>
                <w:sz w:val="24"/>
                <w:szCs w:val="24"/>
                <w:lang w:val="en-US" w:eastAsia="zh-CN"/>
              </w:rPr>
            </w:pPr>
          </w:p>
          <w:p>
            <w:pPr>
              <w:spacing w:line="276" w:lineRule="auto"/>
              <w:ind w:left="63" w:leftChars="30" w:right="63" w:rightChars="3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投标人技术力量情况（详见商务要求表）</w:t>
            </w:r>
          </w:p>
        </w:tc>
        <w:tc>
          <w:tcPr>
            <w:tcW w:w="355"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5</w:t>
            </w:r>
          </w:p>
        </w:tc>
        <w:tc>
          <w:tcPr>
            <w:tcW w:w="507"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pPr>
              <w:spacing w:before="156" w:beforeLines="50" w:after="156" w:afterLines="50" w:line="34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8</w:t>
            </w:r>
          </w:p>
        </w:tc>
        <w:tc>
          <w:tcPr>
            <w:tcW w:w="531"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商务资信</w:t>
            </w:r>
          </w:p>
        </w:tc>
        <w:tc>
          <w:tcPr>
            <w:tcW w:w="3190" w:type="pct"/>
            <w:noWrap w:val="0"/>
            <w:vAlign w:val="top"/>
          </w:tcPr>
          <w:p>
            <w:pPr>
              <w:spacing w:line="276" w:lineRule="auto"/>
              <w:ind w:left="63" w:leftChars="30" w:right="63" w:rightChars="30"/>
              <w:jc w:val="left"/>
              <w:rPr>
                <w:rFonts w:hint="eastAsia" w:ascii="仿宋" w:hAnsi="仿宋" w:eastAsia="仿宋" w:cs="仿宋"/>
                <w:sz w:val="24"/>
                <w:szCs w:val="24"/>
                <w:lang w:val="en-US" w:eastAsia="zh-CN"/>
              </w:rPr>
            </w:pPr>
          </w:p>
          <w:p>
            <w:pPr>
              <w:spacing w:line="276" w:lineRule="auto"/>
              <w:ind w:left="63" w:leftChars="30" w:right="63" w:rightChars="3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经验或业绩要求（详见商务要求表）</w:t>
            </w:r>
          </w:p>
        </w:tc>
        <w:tc>
          <w:tcPr>
            <w:tcW w:w="355" w:type="pct"/>
            <w:noWrap w:val="0"/>
            <w:vAlign w:val="top"/>
          </w:tcPr>
          <w:p>
            <w:pPr>
              <w:spacing w:before="156" w:beforeLines="50" w:after="156" w:afterLines="50" w:line="3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3</w:t>
            </w:r>
          </w:p>
        </w:tc>
        <w:tc>
          <w:tcPr>
            <w:tcW w:w="507" w:type="pct"/>
            <w:noWrap w:val="0"/>
            <w:vAlign w:val="top"/>
          </w:tcPr>
          <w:p>
            <w:pPr>
              <w:spacing w:before="156" w:beforeLines="50" w:after="156" w:afterLines="50" w:line="340" w:lineRule="exact"/>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客观分</w:t>
            </w:r>
          </w:p>
        </w:tc>
      </w:tr>
    </w:tbl>
    <w:p>
      <w:pPr>
        <w:spacing w:before="156" w:beforeLines="50" w:after="156" w:afterLines="50" w:line="340" w:lineRule="exact"/>
        <w:rPr>
          <w:rFonts w:hint="eastAsia" w:ascii="仿宋_GB2312" w:hAnsi="宋体" w:eastAsia="仿宋_GB2312"/>
          <w:b/>
          <w:color w:val="000000"/>
          <w:sz w:val="32"/>
          <w:szCs w:val="32"/>
        </w:rPr>
      </w:pPr>
      <w:r>
        <w:rPr>
          <w:rFonts w:hint="eastAsia" w:ascii="仿宋_GB2312" w:hAnsi="宋体" w:eastAsia="仿宋_GB2312"/>
          <w:b/>
          <w:color w:val="000000"/>
          <w:sz w:val="32"/>
          <w:szCs w:val="32"/>
        </w:rPr>
        <w:t xml:space="preserve"> </w:t>
      </w:r>
      <w:bookmarkEnd w:id="27"/>
    </w:p>
    <w:p>
      <w:pPr>
        <w:spacing w:after="312" w:afterLines="100"/>
        <w:ind w:firstLine="2530" w:firstLineChars="700"/>
        <w:outlineLvl w:val="0"/>
        <w:rPr>
          <w:rFonts w:hAnsi="宋体"/>
          <w:b/>
          <w:color w:val="000000"/>
          <w:sz w:val="36"/>
          <w:szCs w:val="36"/>
        </w:rPr>
      </w:pPr>
      <w:bookmarkStart w:id="28" w:name="_Toc24960"/>
      <w:r>
        <w:rPr>
          <w:rFonts w:hint="eastAsia" w:hAnsi="宋体"/>
          <w:b/>
          <w:color w:val="000000"/>
          <w:sz w:val="36"/>
          <w:szCs w:val="36"/>
        </w:rPr>
        <w:t>第四章  招标需求</w:t>
      </w:r>
      <w:bookmarkEnd w:id="26"/>
      <w:bookmarkEnd w:id="28"/>
    </w:p>
    <w:p>
      <w:pPr>
        <w:snapToGrid w:val="0"/>
        <w:spacing w:before="156" w:beforeLines="50" w:after="156" w:afterLines="50"/>
        <w:rPr>
          <w:rFonts w:ascii="仿宋" w:hAnsi="仿宋" w:eastAsia="仿宋"/>
          <w:b/>
          <w:color w:val="000000"/>
          <w:spacing w:val="40"/>
          <w:kern w:val="0"/>
          <w:sz w:val="28"/>
          <w:szCs w:val="28"/>
        </w:rPr>
      </w:pPr>
      <w:r>
        <w:rPr>
          <w:rFonts w:hint="eastAsia" w:ascii="仿宋" w:hAnsi="仿宋" w:eastAsia="仿宋"/>
          <w:b/>
          <w:color w:val="000000"/>
          <w:spacing w:val="40"/>
          <w:kern w:val="0"/>
          <w:sz w:val="28"/>
          <w:szCs w:val="28"/>
        </w:rPr>
        <w:t>特别说明：</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sz w:val="30"/>
          <w:szCs w:val="30"/>
        </w:rPr>
      </w:pPr>
      <w:r>
        <w:rPr>
          <w:rFonts w:hint="eastAsia" w:ascii="仿宋" w:hAnsi="仿宋" w:eastAsia="仿宋"/>
          <w:b/>
          <w:color w:val="000000"/>
          <w:sz w:val="28"/>
          <w:szCs w:val="28"/>
        </w:rPr>
        <w:t>3.核心产品在各标项内容中明确，如出现同品牌情况的，评标委员会根据评审原则第4条规定执行</w:t>
      </w:r>
      <w:r>
        <w:rPr>
          <w:rFonts w:hint="eastAsia" w:ascii="仿宋" w:hAnsi="仿宋" w:eastAsia="仿宋_GB2312"/>
          <w:b/>
          <w:color w:val="000000"/>
          <w:sz w:val="30"/>
          <w:szCs w:val="30"/>
        </w:rPr>
        <w:t>。</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5</w:t>
      </w:r>
      <w:r>
        <w:rPr>
          <w:rFonts w:ascii="仿宋" w:hAnsi="仿宋" w:eastAsia="仿宋"/>
          <w:b/>
          <w:color w:val="000000"/>
          <w:sz w:val="28"/>
          <w:szCs w:val="28"/>
        </w:rPr>
        <w:t>.</w:t>
      </w:r>
      <w:r>
        <w:rPr>
          <w:rFonts w:hint="eastAsia" w:ascii="仿宋" w:hAnsi="仿宋" w:eastAsia="仿宋"/>
          <w:b/>
          <w:color w:val="000000"/>
          <w:sz w:val="28"/>
          <w:szCs w:val="28"/>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2" w:firstLineChars="200"/>
        <w:rPr>
          <w:rFonts w:ascii="仿宋" w:hAnsi="仿宋" w:eastAsia="仿宋"/>
          <w:b/>
          <w:color w:val="000000"/>
          <w:sz w:val="28"/>
          <w:szCs w:val="28"/>
        </w:rPr>
      </w:pPr>
      <w:r>
        <w:rPr>
          <w:rFonts w:ascii="仿宋" w:hAnsi="仿宋" w:eastAsia="仿宋"/>
          <w:b/>
          <w:color w:val="000000"/>
          <w:sz w:val="28"/>
          <w:szCs w:val="28"/>
        </w:rPr>
        <w:t>6.</w:t>
      </w:r>
      <w:r>
        <w:rPr>
          <w:rFonts w:hint="eastAsia" w:ascii="仿宋" w:hAnsi="仿宋" w:eastAsia="仿宋"/>
          <w:b/>
          <w:color w:val="000000"/>
          <w:sz w:val="28"/>
          <w:szCs w:val="28"/>
        </w:rPr>
        <w:t>供应商承诺提供赠品、回扣、采购预算中本身不包含的其他商品或服务，视作无效承诺。</w:t>
      </w:r>
    </w:p>
    <w:p>
      <w:pPr>
        <w:spacing w:line="360" w:lineRule="auto"/>
        <w:rPr>
          <w:rFonts w:hint="eastAsia" w:ascii="仿宋" w:hAnsi="仿宋" w:eastAsia="仿宋"/>
          <w:b/>
          <w:bCs/>
          <w:color w:val="000000"/>
          <w:sz w:val="28"/>
          <w:szCs w:val="28"/>
        </w:rPr>
      </w:pPr>
      <w:bookmarkStart w:id="29" w:name="_Toc496796639"/>
    </w:p>
    <w:p>
      <w:pPr>
        <w:pStyle w:val="31"/>
        <w:spacing w:before="156" w:after="156" w:line="360" w:lineRule="auto"/>
        <w:jc w:val="center"/>
        <w:rPr>
          <w:rFonts w:hint="eastAsia" w:hAnsi="宋体"/>
          <w:b/>
          <w:color w:val="000000"/>
          <w:sz w:val="36"/>
          <w:szCs w:val="36"/>
        </w:rPr>
      </w:pPr>
      <w:bookmarkStart w:id="30" w:name="PO_TDCUS_ITEM_PB_REQ_PR_1_1_0"/>
      <w:r>
        <w:rPr>
          <w:rFonts w:hint="eastAsia" w:hAnsi="宋体"/>
          <w:b/>
          <w:bCs/>
          <w:color w:val="000000"/>
          <w:sz w:val="36"/>
          <w:szCs w:val="36"/>
        </w:rPr>
        <w:t>浙江同济科技职业学院校级公共虚拟仿真实训项目</w:t>
      </w:r>
      <w:r>
        <w:rPr>
          <w:rFonts w:hint="eastAsia" w:hAnsi="宋体"/>
          <w:b/>
          <w:color w:val="000000"/>
          <w:sz w:val="36"/>
          <w:szCs w:val="36"/>
        </w:rPr>
        <w:t>的需求文档:</w:t>
      </w:r>
      <w:bookmarkEnd w:id="30"/>
      <w:bookmarkStart w:id="31" w:name="PO_TDCUS_ITEM_PB_REQ_FILE_1_1_0"/>
    </w:p>
    <w:p>
      <w:pPr>
        <w:pStyle w:val="31"/>
        <w:spacing w:before="156" w:after="156" w:line="360" w:lineRule="auto"/>
        <w:jc w:val="center"/>
        <w:rPr>
          <w:rFonts w:hint="eastAsia" w:hAnsi="宋体"/>
          <w:b/>
          <w:color w:val="000000"/>
          <w:sz w:val="36"/>
          <w:szCs w:val="36"/>
        </w:rPr>
      </w:pPr>
    </w:p>
    <w:p>
      <w:pPr>
        <w:rPr>
          <w:rFonts w:ascii="宋体" w:hAnsi="宋体" w:eastAsia="宋体"/>
          <w:sz w:val="28"/>
          <w:szCs w:val="32"/>
        </w:rPr>
      </w:pPr>
      <w:r>
        <w:rPr>
          <w:rFonts w:hint="eastAsia" w:ascii="宋体" w:hAnsi="宋体" w:eastAsia="宋体"/>
          <w:sz w:val="28"/>
          <w:szCs w:val="32"/>
        </w:rPr>
        <w:t>采购清单：</w:t>
      </w:r>
    </w:p>
    <w:tbl>
      <w:tblPr>
        <w:tblStyle w:val="59"/>
        <w:tblW w:w="520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72"/>
        <w:gridCol w:w="4366"/>
        <w:gridCol w:w="875"/>
        <w:gridCol w:w="1017"/>
        <w:gridCol w:w="17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8"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Arial"/>
                <w:sz w:val="22"/>
              </w:rPr>
            </w:pPr>
            <w:r>
              <w:rPr>
                <w:rFonts w:ascii="宋体" w:hAnsi="宋体" w:eastAsia="宋体" w:cs="Arial"/>
                <w:sz w:val="22"/>
              </w:rPr>
              <w:t>序号</w:t>
            </w: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Arial"/>
                <w:sz w:val="22"/>
              </w:rPr>
            </w:pPr>
            <w:r>
              <w:rPr>
                <w:rFonts w:hint="eastAsia" w:ascii="宋体" w:hAnsi="宋体" w:eastAsia="宋体" w:cs="Arial"/>
                <w:sz w:val="22"/>
              </w:rPr>
              <w:t>物品</w:t>
            </w:r>
            <w:r>
              <w:rPr>
                <w:rFonts w:ascii="宋体" w:hAnsi="宋体" w:eastAsia="宋体" w:cs="Arial"/>
                <w:sz w:val="22"/>
              </w:rPr>
              <w:t>名称</w:t>
            </w:r>
          </w:p>
        </w:tc>
        <w:tc>
          <w:tcPr>
            <w:tcW w:w="49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Arial"/>
                <w:sz w:val="22"/>
              </w:rPr>
            </w:pPr>
            <w:r>
              <w:rPr>
                <w:rFonts w:hint="eastAsia" w:ascii="宋体" w:hAnsi="宋体" w:eastAsia="宋体" w:cs="Arial"/>
                <w:sz w:val="22"/>
              </w:rPr>
              <w:t>数量</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Arial"/>
                <w:sz w:val="22"/>
              </w:rPr>
            </w:pPr>
            <w:r>
              <w:rPr>
                <w:rFonts w:hint="eastAsia" w:ascii="宋体" w:hAnsi="宋体" w:eastAsia="宋体" w:cs="Arial"/>
                <w:sz w:val="22"/>
              </w:rPr>
              <w:t>单位</w:t>
            </w:r>
          </w:p>
        </w:tc>
        <w:tc>
          <w:tcPr>
            <w:tcW w:w="984"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Arial"/>
                <w:sz w:val="22"/>
              </w:rPr>
            </w:pPr>
            <w:r>
              <w:rPr>
                <w:rFonts w:hint="eastAsia" w:ascii="宋体" w:hAnsi="宋体" w:eastAsia="宋体" w:cs="Arial"/>
                <w:sz w:val="2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sz w:val="22"/>
              </w:rPr>
            </w:pPr>
            <w:r>
              <w:rPr>
                <w:rFonts w:hint="eastAsia" w:ascii="宋体" w:hAnsi="宋体" w:eastAsia="宋体"/>
                <w:sz w:val="22"/>
              </w:rPr>
              <w:t>校级开放式虚拟仿真教学及资源共享平台</w:t>
            </w:r>
          </w:p>
        </w:tc>
        <w:tc>
          <w:tcPr>
            <w:tcW w:w="49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套</w:t>
            </w:r>
          </w:p>
        </w:tc>
        <w:tc>
          <w:tcPr>
            <w:tcW w:w="984"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sz w:val="22"/>
              </w:rPr>
            </w:pPr>
            <w:r>
              <w:rPr>
                <w:rFonts w:hint="eastAsia" w:ascii="宋体" w:hAnsi="宋体" w:eastAsia="宋体" w:cs="宋体"/>
                <w:sz w:val="22"/>
              </w:rPr>
              <w:t>文档预览服务器</w:t>
            </w:r>
          </w:p>
        </w:tc>
        <w:tc>
          <w:tcPr>
            <w:tcW w:w="49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cs="宋体"/>
                <w:sz w:val="22"/>
              </w:rPr>
            </w:pPr>
            <w:r>
              <w:rPr>
                <w:rFonts w:hint="eastAsia" w:ascii="宋体" w:hAnsi="宋体" w:eastAsia="宋体" w:cs="宋体"/>
                <w:sz w:val="22"/>
              </w:rPr>
              <w:t>台</w:t>
            </w:r>
          </w:p>
        </w:tc>
        <w:tc>
          <w:tcPr>
            <w:tcW w:w="984"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强制节能产品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sz w:val="22"/>
              </w:rPr>
            </w:pPr>
            <w:r>
              <w:rPr>
                <w:rFonts w:hint="eastAsia" w:ascii="宋体" w:hAnsi="宋体" w:eastAsia="宋体"/>
                <w:sz w:val="22"/>
              </w:rPr>
              <w:t>应用服务器</w:t>
            </w:r>
          </w:p>
        </w:tc>
        <w:tc>
          <w:tcPr>
            <w:tcW w:w="49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cs="宋体"/>
                <w:sz w:val="22"/>
              </w:rPr>
            </w:pPr>
            <w:r>
              <w:rPr>
                <w:rFonts w:hint="eastAsia" w:ascii="宋体" w:hAnsi="宋体" w:eastAsia="宋体" w:cs="宋体"/>
                <w:sz w:val="22"/>
              </w:rPr>
              <w:t>台</w:t>
            </w:r>
          </w:p>
        </w:tc>
        <w:tc>
          <w:tcPr>
            <w:tcW w:w="984"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强制节能产品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sz w:val="22"/>
              </w:rPr>
            </w:pPr>
            <w:r>
              <w:rPr>
                <w:rFonts w:hint="eastAsia" w:ascii="宋体" w:hAnsi="宋体" w:eastAsia="宋体"/>
                <w:sz w:val="22"/>
              </w:rPr>
              <w:t>数据库服务器</w:t>
            </w:r>
          </w:p>
        </w:tc>
        <w:tc>
          <w:tcPr>
            <w:tcW w:w="49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台</w:t>
            </w:r>
          </w:p>
        </w:tc>
        <w:tc>
          <w:tcPr>
            <w:tcW w:w="984"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强制节能产品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sz w:val="22"/>
              </w:rPr>
            </w:pPr>
            <w:r>
              <w:rPr>
                <w:rFonts w:hint="eastAsia" w:ascii="宋体" w:hAnsi="宋体" w:eastAsia="宋体"/>
                <w:sz w:val="22"/>
              </w:rPr>
              <w:t>交换机</w:t>
            </w:r>
          </w:p>
        </w:tc>
        <w:tc>
          <w:tcPr>
            <w:tcW w:w="49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台</w:t>
            </w:r>
          </w:p>
        </w:tc>
        <w:tc>
          <w:tcPr>
            <w:tcW w:w="984"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sz w:val="22"/>
              </w:rPr>
            </w:pPr>
            <w:r>
              <w:rPr>
                <w:rFonts w:hint="eastAsia" w:ascii="宋体" w:hAnsi="宋体" w:eastAsia="宋体"/>
                <w:sz w:val="22"/>
              </w:rPr>
              <w:t>防火墙</w:t>
            </w:r>
          </w:p>
        </w:tc>
        <w:tc>
          <w:tcPr>
            <w:tcW w:w="49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cs="宋体"/>
                <w:sz w:val="22"/>
              </w:rPr>
            </w:pPr>
            <w:r>
              <w:rPr>
                <w:rFonts w:hint="eastAsia" w:ascii="宋体" w:hAnsi="宋体" w:eastAsia="宋体" w:cs="宋体"/>
                <w:sz w:val="22"/>
              </w:rPr>
              <w:t>台</w:t>
            </w:r>
          </w:p>
        </w:tc>
        <w:tc>
          <w:tcPr>
            <w:tcW w:w="984"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sz w:val="22"/>
              </w:rPr>
            </w:pPr>
            <w:r>
              <w:rPr>
                <w:rFonts w:hint="eastAsia" w:ascii="宋体" w:hAnsi="宋体" w:eastAsia="宋体"/>
                <w:sz w:val="22"/>
              </w:rPr>
              <w:t>机柜</w:t>
            </w:r>
          </w:p>
        </w:tc>
        <w:tc>
          <w:tcPr>
            <w:tcW w:w="49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个</w:t>
            </w:r>
          </w:p>
        </w:tc>
        <w:tc>
          <w:tcPr>
            <w:tcW w:w="984"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sz w:val="22"/>
              </w:rPr>
            </w:pPr>
            <w:r>
              <w:rPr>
                <w:rFonts w:hint="eastAsia" w:ascii="宋体" w:hAnsi="宋体" w:eastAsia="宋体"/>
                <w:sz w:val="22"/>
              </w:rPr>
              <w:t>虚拟现实操作一体机（教师端）</w:t>
            </w:r>
          </w:p>
        </w:tc>
        <w:tc>
          <w:tcPr>
            <w:tcW w:w="49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套</w:t>
            </w:r>
          </w:p>
        </w:tc>
        <w:tc>
          <w:tcPr>
            <w:tcW w:w="984"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sz w:val="22"/>
              </w:rPr>
            </w:pPr>
            <w:r>
              <w:rPr>
                <w:rFonts w:hint="eastAsia" w:ascii="宋体" w:hAnsi="宋体" w:eastAsia="宋体"/>
                <w:sz w:val="22"/>
              </w:rPr>
              <w:t>高配置电脑</w:t>
            </w:r>
          </w:p>
        </w:tc>
        <w:tc>
          <w:tcPr>
            <w:tcW w:w="49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cs="宋体"/>
                <w:sz w:val="22"/>
              </w:rPr>
            </w:pPr>
            <w:r>
              <w:rPr>
                <w:rFonts w:hint="eastAsia" w:ascii="宋体" w:hAnsi="宋体" w:eastAsia="宋体" w:cs="宋体"/>
                <w:sz w:val="22"/>
              </w:rPr>
              <w:t>50</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cs="宋体"/>
                <w:sz w:val="22"/>
              </w:rPr>
            </w:pPr>
            <w:r>
              <w:rPr>
                <w:rFonts w:hint="eastAsia" w:ascii="宋体" w:hAnsi="宋体" w:eastAsia="宋体" w:cs="宋体"/>
                <w:sz w:val="22"/>
              </w:rPr>
              <w:t>套</w:t>
            </w:r>
          </w:p>
        </w:tc>
        <w:tc>
          <w:tcPr>
            <w:tcW w:w="984"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强制节能产品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sz w:val="22"/>
              </w:rPr>
            </w:pPr>
            <w:r>
              <w:rPr>
                <w:rFonts w:hint="eastAsia" w:ascii="宋体" w:hAnsi="宋体" w:eastAsia="宋体"/>
                <w:sz w:val="22"/>
              </w:rPr>
              <w:t>智慧黑板（屏86寸）</w:t>
            </w:r>
          </w:p>
        </w:tc>
        <w:tc>
          <w:tcPr>
            <w:tcW w:w="49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套</w:t>
            </w:r>
          </w:p>
        </w:tc>
        <w:tc>
          <w:tcPr>
            <w:tcW w:w="984"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sz w:val="22"/>
              </w:rPr>
            </w:pPr>
            <w:r>
              <w:rPr>
                <w:rFonts w:hint="eastAsia" w:ascii="宋体" w:hAnsi="宋体" w:eastAsia="宋体"/>
                <w:sz w:val="22"/>
              </w:rPr>
              <w:t>增强现实摄像头</w:t>
            </w:r>
          </w:p>
        </w:tc>
        <w:tc>
          <w:tcPr>
            <w:tcW w:w="49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套</w:t>
            </w:r>
          </w:p>
        </w:tc>
        <w:tc>
          <w:tcPr>
            <w:tcW w:w="984"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sz w:val="22"/>
              </w:rPr>
            </w:pPr>
            <w:r>
              <w:rPr>
                <w:rFonts w:hint="eastAsia" w:ascii="宋体" w:hAnsi="宋体" w:eastAsia="宋体"/>
                <w:sz w:val="22"/>
              </w:rPr>
              <w:t>增强现实 AR 软件</w:t>
            </w:r>
          </w:p>
        </w:tc>
        <w:tc>
          <w:tcPr>
            <w:tcW w:w="493" w:type="pct"/>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jc w:val="center"/>
              <w:rPr>
                <w:rFonts w:ascii="宋体" w:hAnsi="宋体" w:eastAsia="宋体" w:cs="宋体"/>
                <w:sz w:val="22"/>
              </w:rPr>
            </w:pPr>
            <w:r>
              <w:rPr>
                <w:rFonts w:hint="eastAsia" w:ascii="宋体" w:hAnsi="宋体" w:eastAsia="宋体" w:cs="宋体"/>
                <w:sz w:val="22"/>
              </w:rPr>
              <w:t>套</w:t>
            </w:r>
          </w:p>
        </w:tc>
        <w:tc>
          <w:tcPr>
            <w:tcW w:w="984" w:type="pct"/>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sz w:val="22"/>
              </w:rPr>
            </w:pPr>
            <w:r>
              <w:rPr>
                <w:rFonts w:hint="eastAsia" w:ascii="宋体" w:hAnsi="宋体" w:eastAsia="宋体"/>
                <w:sz w:val="22"/>
              </w:rPr>
              <w:t>综合支架</w:t>
            </w:r>
          </w:p>
        </w:tc>
        <w:tc>
          <w:tcPr>
            <w:tcW w:w="493" w:type="pct"/>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jc w:val="center"/>
              <w:rPr>
                <w:rFonts w:ascii="宋体" w:hAnsi="宋体" w:eastAsia="宋体" w:cs="宋体"/>
                <w:sz w:val="22"/>
              </w:rPr>
            </w:pPr>
            <w:r>
              <w:rPr>
                <w:rFonts w:hint="eastAsia" w:ascii="宋体" w:hAnsi="宋体" w:eastAsia="宋体" w:cs="宋体"/>
                <w:sz w:val="22"/>
              </w:rPr>
              <w:t>套</w:t>
            </w:r>
          </w:p>
        </w:tc>
        <w:tc>
          <w:tcPr>
            <w:tcW w:w="984" w:type="pct"/>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sz w:val="22"/>
              </w:rPr>
            </w:pPr>
            <w:r>
              <w:rPr>
                <w:rFonts w:hint="eastAsia" w:ascii="宋体" w:hAnsi="宋体" w:eastAsia="宋体"/>
                <w:sz w:val="22"/>
              </w:rPr>
              <w:t>24 口交换机</w:t>
            </w:r>
          </w:p>
        </w:tc>
        <w:tc>
          <w:tcPr>
            <w:tcW w:w="49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3</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个</w:t>
            </w:r>
          </w:p>
        </w:tc>
        <w:tc>
          <w:tcPr>
            <w:tcW w:w="984"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sz w:val="22"/>
              </w:rPr>
            </w:pPr>
            <w:r>
              <w:rPr>
                <w:rFonts w:hint="eastAsia" w:ascii="宋体" w:hAnsi="宋体" w:eastAsia="宋体"/>
                <w:sz w:val="22"/>
              </w:rPr>
              <w:t>机柜</w:t>
            </w:r>
          </w:p>
        </w:tc>
        <w:tc>
          <w:tcPr>
            <w:tcW w:w="49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cs="宋体"/>
                <w:sz w:val="22"/>
              </w:rPr>
            </w:pPr>
            <w:r>
              <w:rPr>
                <w:rFonts w:hint="eastAsia" w:ascii="宋体" w:hAnsi="宋体" w:eastAsia="宋体" w:cs="宋体"/>
                <w:sz w:val="22"/>
              </w:rPr>
              <w:t>个</w:t>
            </w:r>
          </w:p>
        </w:tc>
        <w:tc>
          <w:tcPr>
            <w:tcW w:w="984"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sz w:val="22"/>
              </w:rPr>
            </w:pPr>
            <w:r>
              <w:rPr>
                <w:rFonts w:hint="eastAsia" w:ascii="宋体" w:hAnsi="宋体" w:eastAsia="宋体"/>
                <w:sz w:val="22"/>
              </w:rPr>
              <w:t>无线路由器</w:t>
            </w:r>
          </w:p>
        </w:tc>
        <w:tc>
          <w:tcPr>
            <w:tcW w:w="49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套</w:t>
            </w:r>
          </w:p>
        </w:tc>
        <w:tc>
          <w:tcPr>
            <w:tcW w:w="984"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sz w:val="22"/>
              </w:rPr>
            </w:pPr>
            <w:r>
              <w:rPr>
                <w:rFonts w:hint="eastAsia" w:ascii="宋体" w:hAnsi="宋体" w:eastAsia="宋体"/>
                <w:sz w:val="22"/>
              </w:rPr>
              <w:t>音响系统</w:t>
            </w:r>
          </w:p>
        </w:tc>
        <w:tc>
          <w:tcPr>
            <w:tcW w:w="493" w:type="pct"/>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jc w:val="center"/>
              <w:rPr>
                <w:rFonts w:ascii="宋体" w:hAnsi="宋体" w:eastAsia="宋体" w:cs="宋体"/>
                <w:sz w:val="22"/>
              </w:rPr>
            </w:pPr>
            <w:r>
              <w:rPr>
                <w:rFonts w:hint="eastAsia" w:ascii="宋体" w:hAnsi="宋体" w:eastAsia="宋体" w:cs="宋体"/>
                <w:sz w:val="22"/>
              </w:rPr>
              <w:t>套</w:t>
            </w:r>
          </w:p>
        </w:tc>
        <w:tc>
          <w:tcPr>
            <w:tcW w:w="984" w:type="pct"/>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sz w:val="22"/>
              </w:rPr>
            </w:pPr>
            <w:r>
              <w:rPr>
                <w:rFonts w:hint="eastAsia" w:ascii="宋体" w:hAnsi="宋体" w:eastAsia="宋体"/>
                <w:sz w:val="22"/>
              </w:rPr>
              <w:t>教师桌椅</w:t>
            </w:r>
          </w:p>
        </w:tc>
        <w:tc>
          <w:tcPr>
            <w:tcW w:w="493" w:type="pct"/>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jc w:val="center"/>
              <w:rPr>
                <w:rFonts w:ascii="宋体" w:hAnsi="宋体" w:eastAsia="宋体" w:cs="宋体"/>
                <w:sz w:val="22"/>
              </w:rPr>
            </w:pPr>
            <w:r>
              <w:rPr>
                <w:rFonts w:hint="eastAsia" w:ascii="宋体" w:hAnsi="宋体" w:eastAsia="宋体" w:cs="宋体"/>
                <w:sz w:val="22"/>
              </w:rPr>
              <w:t>1</w:t>
            </w:r>
          </w:p>
        </w:tc>
        <w:tc>
          <w:tcPr>
            <w:tcW w:w="573" w:type="pct"/>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jc w:val="center"/>
              <w:rPr>
                <w:rFonts w:hint="eastAsia" w:ascii="宋体" w:hAnsi="宋体" w:eastAsia="宋体" w:cs="宋体"/>
                <w:sz w:val="22"/>
              </w:rPr>
            </w:pPr>
            <w:r>
              <w:rPr>
                <w:rFonts w:hint="eastAsia" w:ascii="宋体" w:hAnsi="宋体" w:eastAsia="宋体" w:cs="宋体"/>
                <w:sz w:val="22"/>
              </w:rPr>
              <w:t>个</w:t>
            </w:r>
          </w:p>
        </w:tc>
        <w:tc>
          <w:tcPr>
            <w:tcW w:w="984" w:type="pct"/>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sz w:val="22"/>
              </w:rPr>
            </w:pPr>
            <w:r>
              <w:rPr>
                <w:rFonts w:hint="eastAsia" w:ascii="宋体" w:hAnsi="宋体" w:eastAsia="宋体"/>
                <w:sz w:val="22"/>
              </w:rPr>
              <w:t>学生桌（二人桌）</w:t>
            </w:r>
          </w:p>
        </w:tc>
        <w:tc>
          <w:tcPr>
            <w:tcW w:w="49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25</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cs="宋体"/>
                <w:sz w:val="22"/>
              </w:rPr>
            </w:pPr>
            <w:r>
              <w:rPr>
                <w:rFonts w:hint="eastAsia" w:ascii="宋体" w:hAnsi="宋体" w:eastAsia="宋体" w:cs="宋体"/>
                <w:sz w:val="22"/>
              </w:rPr>
              <w:t>个</w:t>
            </w:r>
          </w:p>
        </w:tc>
        <w:tc>
          <w:tcPr>
            <w:tcW w:w="984"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sz w:val="22"/>
              </w:rPr>
            </w:pPr>
            <w:r>
              <w:rPr>
                <w:rFonts w:hint="eastAsia" w:ascii="宋体" w:hAnsi="宋体" w:eastAsia="宋体"/>
                <w:sz w:val="22"/>
              </w:rPr>
              <w:t>学生椅</w:t>
            </w:r>
          </w:p>
        </w:tc>
        <w:tc>
          <w:tcPr>
            <w:tcW w:w="49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50</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r>
              <w:rPr>
                <w:rFonts w:hint="eastAsia" w:ascii="宋体" w:hAnsi="宋体" w:eastAsia="宋体" w:cs="宋体"/>
                <w:sz w:val="22"/>
              </w:rPr>
              <w:t>张</w:t>
            </w:r>
          </w:p>
        </w:tc>
        <w:tc>
          <w:tcPr>
            <w:tcW w:w="984"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91" w:type="pct"/>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276" w:lineRule="auto"/>
              <w:ind w:firstLineChars="0"/>
              <w:jc w:val="center"/>
              <w:rPr>
                <w:rFonts w:ascii="宋体" w:hAnsi="宋体" w:eastAsia="宋体"/>
                <w:sz w:val="22"/>
              </w:rPr>
            </w:pPr>
          </w:p>
        </w:tc>
        <w:tc>
          <w:tcPr>
            <w:tcW w:w="24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sz w:val="22"/>
              </w:rPr>
            </w:pPr>
            <w:r>
              <w:rPr>
                <w:rFonts w:hint="eastAsia" w:ascii="宋体" w:hAnsi="宋体" w:eastAsia="宋体"/>
                <w:sz w:val="22"/>
              </w:rPr>
              <w:t>附属配套设施建设</w:t>
            </w:r>
          </w:p>
        </w:tc>
        <w:tc>
          <w:tcPr>
            <w:tcW w:w="49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cs="宋体"/>
                <w:sz w:val="22"/>
              </w:rPr>
            </w:pPr>
            <w:r>
              <w:rPr>
                <w:rFonts w:hint="eastAsia" w:ascii="宋体" w:hAnsi="宋体" w:eastAsia="宋体" w:cs="宋体"/>
                <w:sz w:val="22"/>
              </w:rPr>
              <w:t>100</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cs="宋体"/>
                <w:sz w:val="22"/>
              </w:rPr>
            </w:pPr>
            <w:r>
              <w:rPr>
                <w:rFonts w:hint="eastAsia" w:ascii="宋体" w:hAnsi="宋体" w:eastAsia="宋体" w:cs="宋体"/>
                <w:sz w:val="22"/>
              </w:rPr>
              <w:t>平米</w:t>
            </w:r>
          </w:p>
        </w:tc>
        <w:tc>
          <w:tcPr>
            <w:tcW w:w="984" w:type="pct"/>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eastAsia="宋体" w:cs="宋体"/>
                <w:sz w:val="22"/>
              </w:rPr>
            </w:pPr>
          </w:p>
        </w:tc>
      </w:tr>
    </w:tbl>
    <w:p>
      <w:pPr>
        <w:pStyle w:val="31"/>
        <w:spacing w:before="156" w:after="156" w:line="360" w:lineRule="auto"/>
        <w:jc w:val="both"/>
        <w:rPr>
          <w:rFonts w:hint="default" w:hAnsi="宋体" w:eastAsia="宋体"/>
          <w:b/>
          <w:color w:val="000000"/>
          <w:sz w:val="36"/>
          <w:szCs w:val="36"/>
          <w:lang w:val="en-US" w:eastAsia="zh-CN"/>
        </w:rPr>
      </w:pPr>
      <w:r>
        <w:rPr>
          <w:rFonts w:hint="eastAsia" w:hAnsi="宋体"/>
          <w:b/>
          <w:color w:val="000000"/>
          <w:sz w:val="36"/>
          <w:szCs w:val="36"/>
          <w:lang w:val="en-US" w:eastAsia="zh-CN"/>
        </w:rPr>
        <w:t>技术参数要求：</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482"/>
        <w:gridCol w:w="495"/>
        <w:gridCol w:w="480"/>
        <w:gridCol w:w="5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48" w:type="dxa"/>
            <w:noWrap w:val="0"/>
            <w:vAlign w:val="center"/>
          </w:tcPr>
          <w:p>
            <w:pPr>
              <w:widowControl/>
              <w:jc w:val="center"/>
              <w:textAlignment w:val="center"/>
              <w:rPr>
                <w:rFonts w:hint="eastAsia" w:ascii="宋体" w:hAnsi="宋体" w:cs="宋体"/>
              </w:rPr>
            </w:pPr>
            <w:r>
              <w:rPr>
                <w:rFonts w:hint="eastAsia" w:ascii="宋体" w:hAnsi="宋体" w:cs="宋体"/>
                <w:b/>
                <w:bCs/>
                <w:color w:val="000000"/>
                <w:kern w:val="0"/>
                <w:sz w:val="22"/>
                <w:lang w:bidi="ar"/>
              </w:rPr>
              <w:t>序号</w:t>
            </w:r>
          </w:p>
        </w:tc>
        <w:tc>
          <w:tcPr>
            <w:tcW w:w="1482" w:type="dxa"/>
            <w:noWrap w:val="0"/>
            <w:vAlign w:val="center"/>
          </w:tcPr>
          <w:p>
            <w:pPr>
              <w:widowControl/>
              <w:spacing w:line="320" w:lineRule="atLeast"/>
              <w:jc w:val="center"/>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项目内容</w:t>
            </w:r>
          </w:p>
          <w:p>
            <w:pPr>
              <w:widowControl/>
              <w:spacing w:line="320" w:lineRule="atLeast"/>
              <w:jc w:val="center"/>
              <w:textAlignment w:val="center"/>
              <w:rPr>
                <w:rFonts w:hint="eastAsia" w:ascii="宋体" w:hAnsi="宋体" w:cs="宋体"/>
              </w:rPr>
            </w:pPr>
            <w:r>
              <w:rPr>
                <w:rFonts w:hint="eastAsia" w:ascii="宋体" w:hAnsi="宋体" w:cs="宋体"/>
                <w:b/>
                <w:bCs/>
                <w:color w:val="000000"/>
                <w:kern w:val="0"/>
                <w:sz w:val="22"/>
                <w:lang w:bidi="ar"/>
              </w:rPr>
              <w:t>（设备名称）</w:t>
            </w:r>
          </w:p>
        </w:tc>
        <w:tc>
          <w:tcPr>
            <w:tcW w:w="495" w:type="dxa"/>
            <w:noWrap w:val="0"/>
            <w:vAlign w:val="center"/>
          </w:tcPr>
          <w:p>
            <w:pPr>
              <w:widowControl/>
              <w:jc w:val="center"/>
              <w:textAlignment w:val="center"/>
              <w:rPr>
                <w:rFonts w:hint="eastAsia" w:ascii="宋体" w:hAnsi="宋体" w:cs="宋体"/>
              </w:rPr>
            </w:pPr>
            <w:r>
              <w:rPr>
                <w:rFonts w:hint="eastAsia" w:ascii="宋体" w:hAnsi="宋体" w:cs="宋体"/>
                <w:b/>
                <w:bCs/>
                <w:color w:val="000000"/>
                <w:kern w:val="0"/>
                <w:sz w:val="22"/>
                <w:lang w:bidi="ar"/>
              </w:rPr>
              <w:t>单位</w:t>
            </w:r>
          </w:p>
        </w:tc>
        <w:tc>
          <w:tcPr>
            <w:tcW w:w="480" w:type="dxa"/>
            <w:noWrap w:val="0"/>
            <w:vAlign w:val="center"/>
          </w:tcPr>
          <w:p>
            <w:pPr>
              <w:widowControl/>
              <w:jc w:val="center"/>
              <w:textAlignment w:val="center"/>
              <w:rPr>
                <w:rFonts w:hint="eastAsia" w:ascii="宋体" w:hAnsi="宋体" w:cs="宋体"/>
              </w:rPr>
            </w:pPr>
            <w:r>
              <w:rPr>
                <w:rFonts w:hint="eastAsia" w:ascii="宋体" w:hAnsi="宋体" w:cs="宋体"/>
                <w:b/>
                <w:bCs/>
                <w:color w:val="000000"/>
                <w:kern w:val="0"/>
                <w:sz w:val="22"/>
                <w:lang w:bidi="ar"/>
              </w:rPr>
              <w:t>数量</w:t>
            </w:r>
          </w:p>
        </w:tc>
        <w:tc>
          <w:tcPr>
            <w:tcW w:w="5617" w:type="dxa"/>
            <w:noWrap w:val="0"/>
            <w:vAlign w:val="center"/>
          </w:tcPr>
          <w:p>
            <w:pPr>
              <w:widowControl/>
              <w:jc w:val="center"/>
              <w:textAlignment w:val="center"/>
              <w:rPr>
                <w:rFonts w:ascii="宋体" w:hAnsi="宋体"/>
              </w:rPr>
            </w:pPr>
            <w:r>
              <w:rPr>
                <w:rFonts w:hint="eastAsia" w:ascii="宋体" w:hAnsi="宋体" w:cs="宋体"/>
                <w:b/>
                <w:bCs/>
                <w:color w:val="000000"/>
                <w:kern w:val="0"/>
                <w:sz w:val="22"/>
                <w:lang w:bidi="ar"/>
              </w:rPr>
              <w:t>招标参数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1482" w:type="dxa"/>
            <w:noWrap w:val="0"/>
            <w:vAlign w:val="center"/>
          </w:tcPr>
          <w:p>
            <w:pPr>
              <w:widowControl/>
              <w:jc w:val="center"/>
              <w:textAlignment w:val="center"/>
              <w:rPr>
                <w:rFonts w:hint="eastAsia" w:ascii="宋体" w:hAnsi="宋体" w:cs="宋体"/>
              </w:rPr>
            </w:pPr>
            <w:r>
              <w:rPr>
                <w:rFonts w:hint="eastAsia" w:ascii="等线" w:hAnsi="等线"/>
                <w:b/>
                <w:szCs w:val="21"/>
              </w:rPr>
              <w:t>校级开放式虚拟仿真教学及资源共享平台（核心产品）</w:t>
            </w:r>
          </w:p>
        </w:tc>
        <w:tc>
          <w:tcPr>
            <w:tcW w:w="495"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套</w:t>
            </w:r>
          </w:p>
        </w:tc>
        <w:tc>
          <w:tcPr>
            <w:tcW w:w="480"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pPr>
              <w:pStyle w:val="208"/>
              <w:spacing w:line="276" w:lineRule="auto"/>
              <w:ind w:firstLine="0" w:firstLineChars="0"/>
              <w:jc w:val="left"/>
              <w:rPr>
                <w:rFonts w:ascii="宋体" w:hAnsi="宋体" w:cs="Arial"/>
                <w:szCs w:val="21"/>
              </w:rPr>
            </w:pPr>
            <w:r>
              <w:rPr>
                <w:rFonts w:hint="eastAsia" w:ascii="宋体" w:hAnsi="宋体" w:cs="Arial"/>
                <w:szCs w:val="21"/>
              </w:rPr>
              <w:t>一、整体要求：</w:t>
            </w:r>
          </w:p>
          <w:p>
            <w:pPr>
              <w:pStyle w:val="208"/>
              <w:spacing w:line="276" w:lineRule="auto"/>
              <w:ind w:firstLine="0" w:firstLineChars="0"/>
              <w:jc w:val="left"/>
              <w:rPr>
                <w:rFonts w:ascii="宋体" w:hAnsi="宋体" w:cs="Arial"/>
                <w:szCs w:val="21"/>
              </w:rPr>
            </w:pPr>
            <w:r>
              <w:rPr>
                <w:rFonts w:hint="eastAsia" w:ascii="宋体" w:hAnsi="宋体" w:cs="Arial"/>
                <w:szCs w:val="21"/>
              </w:rPr>
              <w:t>1.平台采用B/S架构设计，支持采用静态文件和动态应用系统分离方式部署，静态文件管理系统可通过动态配置切换，支持公有云对象存储、私有云对象存储和本地文件服务器。可随时根据参与教学人数进行横向部署扩展。</w:t>
            </w:r>
          </w:p>
          <w:p>
            <w:pPr>
              <w:pStyle w:val="208"/>
              <w:spacing w:line="276" w:lineRule="auto"/>
              <w:ind w:firstLine="0" w:firstLineChars="0"/>
              <w:jc w:val="left"/>
              <w:rPr>
                <w:rFonts w:ascii="宋体" w:hAnsi="宋体" w:cs="Arial"/>
                <w:szCs w:val="21"/>
              </w:rPr>
            </w:pPr>
            <w:r>
              <w:rPr>
                <w:rFonts w:hint="eastAsia" w:ascii="宋体" w:hAnsi="宋体" w:cs="Arial"/>
                <w:szCs w:val="21"/>
              </w:rPr>
              <w:t>2.为了保证我校的信息系统安全，系统应支持在不开启http协议之外端口的情况下能进行版本升级和二次开发部分定点更新。</w:t>
            </w:r>
          </w:p>
          <w:p>
            <w:pPr>
              <w:pStyle w:val="208"/>
              <w:spacing w:line="276" w:lineRule="auto"/>
              <w:ind w:firstLine="0" w:firstLineChars="0"/>
              <w:jc w:val="left"/>
              <w:rPr>
                <w:rFonts w:ascii="宋体" w:hAnsi="宋体" w:cs="Arial"/>
                <w:szCs w:val="21"/>
              </w:rPr>
            </w:pPr>
            <w:r>
              <w:rPr>
                <w:rFonts w:hint="eastAsia" w:ascii="宋体" w:hAnsi="宋体" w:cs="Arial"/>
                <w:szCs w:val="21"/>
              </w:rPr>
              <w:t>3.★供货商提供的产品需证明能够支持1000并发量，同时在线人数10000人，提供第三方测评机构出具的性能测评报告。</w:t>
            </w:r>
            <w:r>
              <w:rPr>
                <w:rFonts w:hint="eastAsia" w:ascii="宋体" w:hAnsi="宋体" w:cs="Arial"/>
                <w:b/>
                <w:bCs/>
                <w:szCs w:val="21"/>
              </w:rPr>
              <w:t>（提供测评报告复印件）</w:t>
            </w:r>
          </w:p>
          <w:p>
            <w:pPr>
              <w:pStyle w:val="208"/>
              <w:spacing w:line="276" w:lineRule="auto"/>
              <w:ind w:firstLine="0" w:firstLineChars="0"/>
              <w:jc w:val="left"/>
              <w:rPr>
                <w:rFonts w:ascii="宋体" w:hAnsi="宋体" w:cs="Arial"/>
                <w:szCs w:val="21"/>
              </w:rPr>
            </w:pPr>
            <w:r>
              <w:rPr>
                <w:rFonts w:hint="eastAsia" w:ascii="宋体" w:hAnsi="宋体" w:cs="Arial"/>
                <w:szCs w:val="21"/>
              </w:rPr>
              <w:t>4.★需提供中国计算机软件著作权登记证书作为自主产权证明。</w:t>
            </w:r>
            <w:r>
              <w:rPr>
                <w:rFonts w:hint="eastAsia" w:ascii="宋体" w:hAnsi="宋体" w:cs="Arial"/>
                <w:b/>
                <w:bCs/>
                <w:szCs w:val="21"/>
              </w:rPr>
              <w:t>（提供证书复印件）</w:t>
            </w:r>
          </w:p>
          <w:p>
            <w:pPr>
              <w:pStyle w:val="208"/>
              <w:spacing w:line="276" w:lineRule="auto"/>
              <w:ind w:firstLine="0" w:firstLineChars="0"/>
              <w:jc w:val="left"/>
              <w:rPr>
                <w:rFonts w:ascii="宋体" w:hAnsi="宋体" w:cs="Arial"/>
                <w:b/>
                <w:bCs/>
                <w:szCs w:val="21"/>
              </w:rPr>
            </w:pPr>
            <w:r>
              <w:rPr>
                <w:rFonts w:hint="eastAsia" w:ascii="宋体" w:hAnsi="宋体" w:cs="Arial"/>
                <w:szCs w:val="21"/>
              </w:rPr>
              <w:t>5.★国产化支持：系统需支持适配安全可靠的国产操作系统及国产CPU芯片。</w:t>
            </w:r>
            <w:r>
              <w:rPr>
                <w:rFonts w:hint="eastAsia" w:ascii="宋体" w:hAnsi="宋体" w:cs="Arial"/>
                <w:b/>
                <w:bCs/>
                <w:szCs w:val="21"/>
              </w:rPr>
              <w:t>（要求提供对应产品相应认证证书复印件）</w:t>
            </w:r>
          </w:p>
          <w:p>
            <w:pPr>
              <w:pStyle w:val="208"/>
              <w:spacing w:line="276" w:lineRule="auto"/>
              <w:ind w:firstLine="0" w:firstLineChars="0"/>
              <w:jc w:val="left"/>
              <w:rPr>
                <w:rFonts w:ascii="宋体" w:hAnsi="宋体" w:cs="Arial"/>
                <w:szCs w:val="21"/>
              </w:rPr>
            </w:pPr>
            <w:r>
              <w:rPr>
                <w:rFonts w:hint="eastAsia" w:ascii="宋体" w:hAnsi="宋体" w:cs="Arial"/>
                <w:szCs w:val="21"/>
              </w:rPr>
              <w:t>1)系统至少兼容3家主流国产操作系统，包括但不限于：统信（UOS）、麒麟（银河）、中科方德、普华、中科红旗、欧拉（openEuler），以确保信息安全的要求。</w:t>
            </w:r>
          </w:p>
          <w:p>
            <w:pPr>
              <w:pStyle w:val="208"/>
              <w:spacing w:line="276" w:lineRule="auto"/>
              <w:ind w:firstLine="0" w:firstLineChars="0"/>
              <w:jc w:val="left"/>
              <w:rPr>
                <w:rFonts w:ascii="宋体" w:hAnsi="宋体" w:cs="Arial"/>
                <w:szCs w:val="21"/>
              </w:rPr>
            </w:pPr>
            <w:r>
              <w:rPr>
                <w:rFonts w:hint="eastAsia" w:ascii="宋体" w:hAnsi="宋体" w:cs="Arial"/>
                <w:szCs w:val="21"/>
              </w:rPr>
              <w:t>2)需适配国产CPU，至少支持ARM、X86、LoongArch三种CPU架构。</w:t>
            </w:r>
          </w:p>
          <w:p>
            <w:pPr>
              <w:pStyle w:val="208"/>
              <w:spacing w:line="276" w:lineRule="auto"/>
              <w:ind w:firstLine="0" w:firstLineChars="0"/>
              <w:jc w:val="left"/>
              <w:rPr>
                <w:rFonts w:ascii="宋体" w:hAnsi="宋体" w:cs="Arial"/>
                <w:szCs w:val="21"/>
              </w:rPr>
            </w:pPr>
            <w:r>
              <w:rPr>
                <w:rFonts w:hint="eastAsia" w:ascii="宋体" w:hAnsi="宋体" w:cs="Arial"/>
                <w:szCs w:val="21"/>
              </w:rPr>
              <w:t>6.成交供应商可在项目成交后随时根据采购人要求到校提供产品演示，确保产品功能完整性。</w:t>
            </w:r>
          </w:p>
          <w:p>
            <w:pPr>
              <w:pStyle w:val="208"/>
              <w:spacing w:line="276" w:lineRule="auto"/>
              <w:ind w:firstLine="0" w:firstLineChars="0"/>
              <w:jc w:val="left"/>
              <w:rPr>
                <w:rFonts w:ascii="宋体" w:hAnsi="宋体" w:cs="Arial"/>
                <w:szCs w:val="21"/>
              </w:rPr>
            </w:pPr>
            <w:r>
              <w:rPr>
                <w:rFonts w:hint="eastAsia" w:ascii="宋体" w:hAnsi="宋体" w:cs="Arial"/>
                <w:szCs w:val="21"/>
              </w:rPr>
              <w:t>7.●【演示项一】提供云监测服务，建设的平台开放外网的情况下，支持每周7*24*2的双倍智能监测，统计联通率、停滞率、总时长、联通时长、停滞时长。支持异常检测结果的推送并自动生成检测报告。</w:t>
            </w:r>
            <w:r>
              <w:rPr>
                <w:rFonts w:hint="eastAsia" w:ascii="宋体" w:hAnsi="宋体" w:cs="Arial"/>
                <w:b/>
                <w:bCs/>
                <w:szCs w:val="21"/>
              </w:rPr>
              <w:t>（要求提供该功能视频演示）</w:t>
            </w:r>
          </w:p>
          <w:p>
            <w:pPr>
              <w:pStyle w:val="208"/>
              <w:spacing w:line="276" w:lineRule="auto"/>
              <w:ind w:firstLine="0" w:firstLineChars="0"/>
              <w:jc w:val="left"/>
              <w:rPr>
                <w:rFonts w:ascii="宋体" w:hAnsi="宋体" w:cs="Arial"/>
                <w:b/>
                <w:bCs/>
                <w:szCs w:val="21"/>
              </w:rPr>
            </w:pPr>
            <w:r>
              <w:rPr>
                <w:rFonts w:hint="eastAsia" w:ascii="宋体" w:hAnsi="宋体" w:cs="Arial"/>
                <w:szCs w:val="21"/>
              </w:rPr>
              <w:t>8.★</w:t>
            </w:r>
            <w:r>
              <w:rPr>
                <w:rFonts w:hint="eastAsia" w:ascii="宋体" w:hAnsi="宋体" w:eastAsia="宋体" w:cs="仿宋_GB2312"/>
                <w:color w:val="000000"/>
                <w:sz w:val="20"/>
                <w:szCs w:val="20"/>
                <w:lang w:bidi="ar"/>
              </w:rPr>
              <w:t>为保证系统安全，需提供第三方机构出具的三级等保测评报告以及三级安全等级保护备案证明，且综合得分不低于80分</w:t>
            </w:r>
            <w:r>
              <w:rPr>
                <w:rFonts w:hint="eastAsia" w:ascii="宋体" w:hAnsi="宋体" w:cs="Arial"/>
                <w:szCs w:val="20"/>
              </w:rPr>
              <w:t>。</w:t>
            </w:r>
            <w:r>
              <w:rPr>
                <w:rFonts w:hint="eastAsia" w:ascii="宋体" w:hAnsi="宋体" w:cs="Arial"/>
                <w:b/>
                <w:bCs/>
                <w:szCs w:val="21"/>
              </w:rPr>
              <w:t>（需提供三级等保备案证明）</w:t>
            </w:r>
          </w:p>
          <w:p>
            <w:pPr>
              <w:pStyle w:val="208"/>
              <w:spacing w:line="276" w:lineRule="auto"/>
              <w:ind w:firstLine="0" w:firstLineChars="0"/>
              <w:jc w:val="left"/>
              <w:rPr>
                <w:rFonts w:ascii="宋体" w:hAnsi="宋体" w:cs="Arial"/>
                <w:szCs w:val="21"/>
              </w:rPr>
            </w:pPr>
            <w:r>
              <w:rPr>
                <w:rFonts w:hint="eastAsia" w:ascii="宋体" w:hAnsi="宋体" w:cs="Arial"/>
                <w:szCs w:val="21"/>
              </w:rPr>
              <w:t>二、详细要求</w:t>
            </w:r>
          </w:p>
          <w:p>
            <w:pPr>
              <w:pStyle w:val="208"/>
              <w:spacing w:line="276" w:lineRule="auto"/>
              <w:ind w:firstLine="0" w:firstLineChars="0"/>
              <w:jc w:val="left"/>
              <w:rPr>
                <w:rFonts w:ascii="宋体" w:hAnsi="宋体" w:cs="Arial"/>
                <w:szCs w:val="21"/>
              </w:rPr>
            </w:pPr>
            <w:r>
              <w:rPr>
                <w:rFonts w:hint="eastAsia" w:ascii="宋体" w:hAnsi="宋体" w:cs="Arial"/>
                <w:szCs w:val="21"/>
              </w:rPr>
              <w:t>（一）智慧共享门户</w:t>
            </w:r>
          </w:p>
          <w:p>
            <w:pPr>
              <w:pStyle w:val="208"/>
              <w:spacing w:line="276" w:lineRule="auto"/>
              <w:ind w:firstLine="0" w:firstLineChars="0"/>
              <w:jc w:val="left"/>
              <w:rPr>
                <w:rFonts w:ascii="宋体" w:hAnsi="宋体" w:cs="Arial"/>
                <w:szCs w:val="21"/>
              </w:rPr>
            </w:pPr>
            <w:r>
              <w:rPr>
                <w:rFonts w:hint="eastAsia" w:ascii="宋体" w:hAnsi="宋体" w:cs="Arial"/>
                <w:szCs w:val="21"/>
              </w:rPr>
              <w:t>1.结合学院的专业特色进行设计开发，在需求沟通及设计阶段提供不少于10套的设计模板供用户参考，布局合理,能够展示优质共享的仿真实训资源及重要通知公告等。</w:t>
            </w:r>
          </w:p>
          <w:p>
            <w:pPr>
              <w:pStyle w:val="208"/>
              <w:spacing w:line="276" w:lineRule="auto"/>
              <w:ind w:firstLine="0" w:firstLineChars="0"/>
              <w:jc w:val="left"/>
              <w:rPr>
                <w:rFonts w:ascii="宋体" w:hAnsi="宋体" w:cs="Arial"/>
                <w:szCs w:val="21"/>
              </w:rPr>
            </w:pPr>
            <w:r>
              <w:rPr>
                <w:rFonts w:hint="eastAsia" w:ascii="宋体" w:hAnsi="宋体" w:cs="Arial"/>
                <w:szCs w:val="21"/>
              </w:rPr>
              <w:t>2.门户网站风格样式，需要结合学校特色、教师需求等进行个性化设计定制开发。</w:t>
            </w:r>
          </w:p>
          <w:p>
            <w:pPr>
              <w:pStyle w:val="208"/>
              <w:spacing w:line="276" w:lineRule="auto"/>
              <w:ind w:firstLine="0" w:firstLineChars="0"/>
              <w:jc w:val="left"/>
              <w:rPr>
                <w:rFonts w:ascii="宋体" w:hAnsi="宋体" w:cs="Arial"/>
                <w:szCs w:val="21"/>
              </w:rPr>
            </w:pPr>
            <w:r>
              <w:rPr>
                <w:rFonts w:hint="eastAsia" w:ascii="宋体" w:hAnsi="宋体" w:cs="Arial"/>
                <w:szCs w:val="21"/>
              </w:rPr>
              <w:t>3.提供用户登录功能，信息共享门户前台作为用户统一登录的入口，支持校级管理员、院级管理员、教学、学生、校外用户登录使用，登录方式一般包含使用后台管理的账号密码登录、注册账号密码登录、统一身份认证登录，不用身份权限的用户登录系统后可以看到不同的用户界面。</w:t>
            </w:r>
          </w:p>
          <w:p>
            <w:pPr>
              <w:pStyle w:val="208"/>
              <w:spacing w:line="276" w:lineRule="auto"/>
              <w:ind w:firstLine="0" w:firstLineChars="0"/>
              <w:jc w:val="left"/>
              <w:rPr>
                <w:rFonts w:ascii="宋体" w:hAnsi="宋体" w:cs="Arial"/>
                <w:szCs w:val="21"/>
              </w:rPr>
            </w:pPr>
            <w:r>
              <w:rPr>
                <w:rFonts w:hint="eastAsia" w:ascii="宋体" w:hAnsi="宋体" w:cs="Arial"/>
                <w:szCs w:val="21"/>
              </w:rPr>
              <w:t>4.提供数据统计功能，门户网站中可以将累计学习人数、累计访问量、问答讨论数相关数据进行展示和汇总。</w:t>
            </w:r>
          </w:p>
          <w:p>
            <w:pPr>
              <w:pStyle w:val="208"/>
              <w:spacing w:line="276" w:lineRule="auto"/>
              <w:ind w:firstLine="0" w:firstLineChars="0"/>
              <w:jc w:val="left"/>
              <w:rPr>
                <w:rFonts w:ascii="宋体" w:hAnsi="宋体" w:cs="Arial"/>
                <w:szCs w:val="21"/>
              </w:rPr>
            </w:pPr>
            <w:r>
              <w:rPr>
                <w:rFonts w:hint="eastAsia" w:ascii="宋体" w:hAnsi="宋体" w:cs="Arial"/>
                <w:szCs w:val="21"/>
              </w:rPr>
              <w:t>5.提供信息共享门户后台管理功能，为门户的搭建提供后台管理支撑。</w:t>
            </w:r>
          </w:p>
          <w:p>
            <w:pPr>
              <w:pStyle w:val="208"/>
              <w:spacing w:line="276" w:lineRule="auto"/>
              <w:ind w:firstLine="0" w:firstLineChars="0"/>
              <w:jc w:val="left"/>
              <w:rPr>
                <w:rFonts w:ascii="宋体" w:hAnsi="宋体" w:cs="Arial"/>
                <w:szCs w:val="21"/>
              </w:rPr>
            </w:pPr>
            <w:r>
              <w:rPr>
                <w:rFonts w:hint="eastAsia" w:ascii="宋体" w:hAnsi="宋体" w:cs="Arial"/>
                <w:szCs w:val="21"/>
              </w:rPr>
              <w:t>6.提供站点管理，该门户网站均有自己对应的唯一的站点，后续相关网站内容的维护均在该站点下进行维护。</w:t>
            </w:r>
          </w:p>
          <w:p>
            <w:pPr>
              <w:pStyle w:val="208"/>
              <w:spacing w:line="276" w:lineRule="auto"/>
              <w:ind w:firstLine="0" w:firstLineChars="0"/>
              <w:jc w:val="left"/>
              <w:rPr>
                <w:rFonts w:ascii="宋体" w:hAnsi="宋体" w:cs="Arial"/>
                <w:b/>
                <w:bCs/>
                <w:szCs w:val="21"/>
              </w:rPr>
            </w:pPr>
            <w:r>
              <w:rPr>
                <w:rFonts w:hint="eastAsia" w:ascii="宋体" w:hAnsi="宋体" w:cs="Arial"/>
                <w:szCs w:val="21"/>
              </w:rPr>
              <w:t>7.●【演示项二】提供管理与服务门户网站，具有自动映射域名，灵活配置功能，支持多个模块自由组合、站点导入导出以形成新网站；支持管理员在线编辑站点中的样式，无需手动替换服务器文件即可在线完成门户网站的维护，并支持实时预览。提供实训报告管理功能，教师可对于实训报告模板进行在线编辑，根据实训内容创建、编辑、完善成符合实训教学要求的模板，通过实训报告模板的发布，可以满足学生在线进行实训报告的填写与提交，方便教师进行收集、批改与评价。学生可在线编辑提交实训报告并且可以上传实训报告附件，附件支持word、pdf、图片等格式附件，教师可在线查看报告并用批改工具在报告上 进行批注和批改，可对学生的实训报告内容进行评价评语、可增加/去除批改痕迹，打“ √ ” 打“ × ”撤回操作；同时学生可查看老师批阅的实训报告内容。</w:t>
            </w:r>
            <w:r>
              <w:rPr>
                <w:rFonts w:hint="eastAsia" w:ascii="宋体" w:hAnsi="宋体" w:cs="Arial"/>
                <w:b/>
                <w:bCs/>
                <w:szCs w:val="21"/>
              </w:rPr>
              <w:t>（要求提供该功能视频演示）</w:t>
            </w:r>
          </w:p>
          <w:p>
            <w:pPr>
              <w:pStyle w:val="208"/>
              <w:spacing w:line="276" w:lineRule="auto"/>
              <w:ind w:firstLine="0" w:firstLineChars="0"/>
              <w:jc w:val="left"/>
              <w:rPr>
                <w:rFonts w:ascii="宋体" w:hAnsi="宋体" w:cs="Arial"/>
                <w:szCs w:val="21"/>
              </w:rPr>
            </w:pPr>
            <w:r>
              <w:rPr>
                <w:rFonts w:hint="eastAsia" w:ascii="宋体" w:hAnsi="宋体" w:cs="Arial"/>
                <w:szCs w:val="21"/>
              </w:rPr>
              <w:t>8.提供文章管理，管理员可以维护网站前台可展示的文章内容。</w:t>
            </w:r>
          </w:p>
          <w:p>
            <w:pPr>
              <w:pStyle w:val="208"/>
              <w:spacing w:line="276" w:lineRule="auto"/>
              <w:ind w:firstLine="0" w:firstLineChars="0"/>
              <w:jc w:val="left"/>
              <w:rPr>
                <w:rFonts w:ascii="宋体" w:hAnsi="宋体" w:cs="Arial"/>
                <w:szCs w:val="21"/>
              </w:rPr>
            </w:pPr>
            <w:r>
              <w:rPr>
                <w:rFonts w:hint="eastAsia" w:ascii="宋体" w:hAnsi="宋体" w:cs="Arial"/>
                <w:szCs w:val="21"/>
              </w:rPr>
              <w:t>9.支持单个文章的添加，管理员可以维护文章所属栏目、文章标题、英文名称、文章简介、文章内容。</w:t>
            </w:r>
          </w:p>
          <w:p>
            <w:pPr>
              <w:pStyle w:val="208"/>
              <w:spacing w:line="276" w:lineRule="auto"/>
              <w:ind w:firstLine="0" w:firstLineChars="0"/>
              <w:jc w:val="left"/>
              <w:rPr>
                <w:rFonts w:ascii="宋体" w:hAnsi="宋体" w:cs="Arial"/>
                <w:szCs w:val="21"/>
              </w:rPr>
            </w:pPr>
            <w:r>
              <w:rPr>
                <w:rFonts w:hint="eastAsia" w:ascii="宋体" w:hAnsi="宋体" w:cs="Arial"/>
                <w:szCs w:val="21"/>
              </w:rPr>
              <w:t>10.支持文章的导入功能，可以将文章进行批量的导入，便于管理员的管理。</w:t>
            </w:r>
          </w:p>
          <w:p>
            <w:pPr>
              <w:pStyle w:val="208"/>
              <w:spacing w:line="276" w:lineRule="auto"/>
              <w:ind w:firstLine="0" w:firstLineChars="0"/>
              <w:jc w:val="left"/>
              <w:rPr>
                <w:rFonts w:ascii="宋体" w:hAnsi="宋体" w:cs="Arial"/>
                <w:szCs w:val="21"/>
              </w:rPr>
            </w:pPr>
            <w:r>
              <w:rPr>
                <w:rFonts w:hint="eastAsia" w:ascii="宋体" w:hAnsi="宋体" w:cs="Arial"/>
                <w:szCs w:val="21"/>
              </w:rPr>
              <w:t>11.提供栏目管理，管理员可以维护网站前台可展示的栏目内容。栏目内容包括栏目图片，展示区域，打开方式，排序，可以灵活设置栏目的展示前后顺序。</w:t>
            </w:r>
          </w:p>
          <w:p>
            <w:pPr>
              <w:pStyle w:val="208"/>
              <w:spacing w:line="276" w:lineRule="auto"/>
              <w:ind w:firstLine="0" w:firstLineChars="0"/>
              <w:jc w:val="left"/>
              <w:rPr>
                <w:rFonts w:ascii="宋体" w:hAnsi="宋体" w:cs="Arial"/>
                <w:szCs w:val="21"/>
              </w:rPr>
            </w:pPr>
            <w:r>
              <w:rPr>
                <w:rFonts w:hint="eastAsia" w:ascii="宋体" w:hAnsi="宋体" w:cs="Arial"/>
                <w:szCs w:val="21"/>
              </w:rPr>
              <w:t>（二）公共基础数据支撑管理</w:t>
            </w:r>
          </w:p>
          <w:p>
            <w:pPr>
              <w:pStyle w:val="208"/>
              <w:spacing w:line="276" w:lineRule="auto"/>
              <w:ind w:firstLine="0" w:firstLineChars="0"/>
              <w:jc w:val="left"/>
              <w:rPr>
                <w:rFonts w:ascii="宋体" w:hAnsi="宋体" w:cs="Arial"/>
                <w:szCs w:val="21"/>
              </w:rPr>
            </w:pPr>
            <w:r>
              <w:rPr>
                <w:rFonts w:hint="eastAsia" w:ascii="宋体" w:hAnsi="宋体" w:cs="Arial"/>
                <w:szCs w:val="21"/>
              </w:rPr>
              <w:t>1.支持自定义组织架构，支持定义多级组织架构，管理员可以对学院、专业、班级进行增删改查、支持数据的批量操作；组织构架可与用户数据、资源数据形成关联与联动。</w:t>
            </w:r>
          </w:p>
          <w:p>
            <w:pPr>
              <w:pStyle w:val="208"/>
              <w:spacing w:line="276" w:lineRule="auto"/>
              <w:ind w:firstLine="0" w:firstLineChars="0"/>
              <w:jc w:val="left"/>
              <w:rPr>
                <w:rFonts w:ascii="宋体" w:hAnsi="宋体" w:cs="Arial"/>
                <w:szCs w:val="21"/>
              </w:rPr>
            </w:pPr>
            <w:r>
              <w:rPr>
                <w:rFonts w:hint="eastAsia" w:ascii="宋体" w:hAnsi="宋体" w:cs="Arial"/>
                <w:szCs w:val="21"/>
              </w:rPr>
              <w:t>2.支持对于实训平台的基础信息进行维护与管理，包含：专业信息管理、课程信息管理、组织机构管理、年级管理、班级信息管理、教师信息管理、学生信息管理等基础信息管理功能。</w:t>
            </w:r>
          </w:p>
          <w:p>
            <w:pPr>
              <w:pStyle w:val="208"/>
              <w:spacing w:line="276" w:lineRule="auto"/>
              <w:ind w:firstLine="0" w:firstLineChars="0"/>
              <w:jc w:val="left"/>
              <w:rPr>
                <w:rFonts w:ascii="宋体" w:hAnsi="宋体" w:cs="Arial"/>
                <w:szCs w:val="21"/>
              </w:rPr>
            </w:pPr>
            <w:r>
              <w:rPr>
                <w:rFonts w:hint="eastAsia" w:ascii="宋体" w:hAnsi="宋体" w:cs="Arial"/>
                <w:szCs w:val="21"/>
              </w:rPr>
              <w:t>3.提供系统管理功能，包括功能管理、角色管理、角色权限管理、用户管理、日志管理。</w:t>
            </w:r>
          </w:p>
          <w:p>
            <w:pPr>
              <w:pStyle w:val="208"/>
              <w:spacing w:line="276" w:lineRule="auto"/>
              <w:ind w:firstLine="0" w:firstLineChars="0"/>
              <w:jc w:val="left"/>
              <w:rPr>
                <w:rFonts w:ascii="宋体" w:hAnsi="宋体" w:cs="Arial"/>
                <w:szCs w:val="21"/>
              </w:rPr>
            </w:pPr>
            <w:r>
              <w:rPr>
                <w:rFonts w:hint="eastAsia" w:ascii="宋体" w:hAnsi="宋体" w:cs="Arial"/>
                <w:szCs w:val="21"/>
              </w:rPr>
              <w:t>4.人员角色可自定义，系统默认有系统管理员、系部管理员、教师，学生用户角色，配置不同的功能权限、使用界面、使用模块。</w:t>
            </w:r>
          </w:p>
          <w:p>
            <w:pPr>
              <w:pStyle w:val="208"/>
              <w:spacing w:line="276" w:lineRule="auto"/>
              <w:ind w:firstLine="0" w:firstLineChars="0"/>
              <w:jc w:val="left"/>
              <w:rPr>
                <w:rFonts w:ascii="宋体" w:hAnsi="宋体" w:cs="Arial"/>
                <w:szCs w:val="21"/>
              </w:rPr>
            </w:pPr>
            <w:r>
              <w:rPr>
                <w:rFonts w:hint="eastAsia" w:ascii="宋体" w:hAnsi="宋体" w:cs="Arial"/>
                <w:szCs w:val="21"/>
              </w:rPr>
              <w:t>5.用户数据管理，支持用户数据的批量导入/导出，批量禁/启用，批量删除/恢复。并提供数据检索和用户注册功能。</w:t>
            </w:r>
          </w:p>
          <w:p>
            <w:pPr>
              <w:pStyle w:val="208"/>
              <w:spacing w:line="276" w:lineRule="auto"/>
              <w:ind w:firstLine="0" w:firstLineChars="0"/>
              <w:jc w:val="left"/>
              <w:rPr>
                <w:rFonts w:ascii="宋体" w:hAnsi="宋体" w:cs="Arial"/>
                <w:szCs w:val="21"/>
              </w:rPr>
            </w:pPr>
            <w:r>
              <w:rPr>
                <w:rFonts w:hint="eastAsia" w:ascii="宋体" w:hAnsi="宋体" w:cs="Arial"/>
                <w:szCs w:val="21"/>
              </w:rPr>
              <w:t>6.用户角色及权限管理，系统角色支持根据实际管理需求进行自主灵活设置,给不同的角色配置不同的功能权限。</w:t>
            </w:r>
          </w:p>
          <w:p>
            <w:pPr>
              <w:pStyle w:val="208"/>
              <w:spacing w:line="276" w:lineRule="auto"/>
              <w:ind w:firstLine="0" w:firstLineChars="0"/>
              <w:jc w:val="left"/>
              <w:rPr>
                <w:rFonts w:ascii="宋体" w:hAnsi="宋体" w:cs="Arial"/>
                <w:szCs w:val="21"/>
              </w:rPr>
            </w:pPr>
            <w:r>
              <w:rPr>
                <w:rFonts w:hint="eastAsia" w:ascii="宋体" w:hAnsi="宋体" w:cs="Arial"/>
                <w:szCs w:val="21"/>
              </w:rPr>
              <w:t>7.自定义组织架构，支持自定义组织架构，支持多级组织架构定义（院，专业，班级）。管理员可以对校区、学院、专业、班级进行增删改查、支持数据的批量操作。</w:t>
            </w:r>
          </w:p>
          <w:p>
            <w:pPr>
              <w:pStyle w:val="208"/>
              <w:spacing w:line="276" w:lineRule="auto"/>
              <w:ind w:firstLine="0" w:firstLineChars="0"/>
              <w:jc w:val="left"/>
              <w:rPr>
                <w:rFonts w:ascii="宋体" w:hAnsi="宋体" w:cs="Arial"/>
                <w:szCs w:val="21"/>
              </w:rPr>
            </w:pPr>
            <w:r>
              <w:rPr>
                <w:rFonts w:hint="eastAsia" w:ascii="宋体" w:hAnsi="宋体" w:cs="Arial"/>
                <w:szCs w:val="21"/>
              </w:rPr>
              <w:t>8.用户数据管理，支持用户数据的批量导入/导出，批量禁/启用，批量删除/恢复。并提供数据检索和用户注册功能。</w:t>
            </w:r>
          </w:p>
          <w:p>
            <w:pPr>
              <w:pStyle w:val="208"/>
              <w:spacing w:line="276" w:lineRule="auto"/>
              <w:ind w:firstLine="0" w:firstLineChars="0"/>
              <w:jc w:val="left"/>
              <w:rPr>
                <w:rFonts w:ascii="宋体" w:hAnsi="宋体" w:cs="Arial"/>
                <w:szCs w:val="21"/>
              </w:rPr>
            </w:pPr>
            <w:r>
              <w:rPr>
                <w:rFonts w:hint="eastAsia" w:ascii="宋体" w:hAnsi="宋体" w:cs="Arial"/>
                <w:szCs w:val="21"/>
              </w:rPr>
              <w:t>9.用户角色及权限管理，系统角色支持根据实际管理需求进行自主灵活设置,给不同的角色配置不同的功能权限，满足教务管理、教师教学、学生学习等的教学需求。</w:t>
            </w:r>
          </w:p>
          <w:p>
            <w:pPr>
              <w:pStyle w:val="208"/>
              <w:spacing w:line="276" w:lineRule="auto"/>
              <w:ind w:firstLine="0" w:firstLineChars="0"/>
              <w:jc w:val="left"/>
              <w:rPr>
                <w:rFonts w:ascii="宋体" w:hAnsi="宋体" w:cs="Arial"/>
                <w:szCs w:val="21"/>
              </w:rPr>
            </w:pPr>
            <w:r>
              <w:rPr>
                <w:rFonts w:hint="eastAsia" w:ascii="宋体" w:hAnsi="宋体" w:cs="Arial"/>
                <w:szCs w:val="21"/>
              </w:rPr>
              <w:t>10.访问ip管理，系统可以添加并记录访问ip，可以记录访问ip、访问国家、省份、城市、运行商信息。</w:t>
            </w:r>
          </w:p>
          <w:p>
            <w:pPr>
              <w:pStyle w:val="208"/>
              <w:spacing w:line="276" w:lineRule="auto"/>
              <w:ind w:firstLine="0" w:firstLineChars="0"/>
              <w:jc w:val="left"/>
              <w:rPr>
                <w:rFonts w:ascii="宋体" w:hAnsi="宋体" w:cs="Arial"/>
                <w:szCs w:val="21"/>
              </w:rPr>
            </w:pPr>
            <w:r>
              <w:rPr>
                <w:rFonts w:hint="eastAsia" w:ascii="宋体" w:hAnsi="宋体" w:cs="Arial"/>
                <w:szCs w:val="21"/>
              </w:rPr>
              <w:t>11.★提供数据库监控功能：</w:t>
            </w:r>
            <w:r>
              <w:rPr>
                <w:rFonts w:hint="eastAsia" w:ascii="宋体" w:hAnsi="宋体" w:cs="Arial"/>
                <w:b/>
                <w:bCs/>
                <w:szCs w:val="21"/>
              </w:rPr>
              <w:t>（需提供软件功能截图）</w:t>
            </w:r>
          </w:p>
          <w:p>
            <w:pPr>
              <w:pStyle w:val="208"/>
              <w:spacing w:line="276" w:lineRule="auto"/>
              <w:ind w:firstLine="0" w:firstLineChars="0"/>
              <w:jc w:val="left"/>
              <w:rPr>
                <w:rFonts w:ascii="宋体" w:hAnsi="宋体" w:cs="Arial"/>
                <w:szCs w:val="21"/>
              </w:rPr>
            </w:pPr>
            <w:r>
              <w:rPr>
                <w:rFonts w:hint="eastAsia" w:ascii="宋体" w:hAnsi="宋体" w:cs="Arial"/>
                <w:szCs w:val="21"/>
              </w:rPr>
              <w:t>1)通过系统查看系统运行情况包括：最大并发、请求次数、会话数、Jdbc执行数、Jdbc时间、读取行数、更新行数、操作系统访问统计（MacOSX、Windows、Linux）。</w:t>
            </w:r>
          </w:p>
          <w:p>
            <w:pPr>
              <w:pStyle w:val="208"/>
              <w:spacing w:line="276" w:lineRule="auto"/>
              <w:ind w:firstLine="0" w:firstLineChars="0"/>
              <w:jc w:val="left"/>
              <w:rPr>
                <w:rFonts w:ascii="宋体" w:hAnsi="宋体" w:cs="Arial"/>
                <w:szCs w:val="21"/>
              </w:rPr>
            </w:pPr>
            <w:r>
              <w:rPr>
                <w:rFonts w:hint="eastAsia" w:ascii="宋体" w:hAnsi="宋体" w:cs="Arial"/>
                <w:szCs w:val="21"/>
              </w:rPr>
              <w:t>2)通过对访问路径统计，可详细分析系统热点功能及压力集中路径，便于对系统优化升级，包括详细统计有：URI(路径)、请求次数、请求时间、最大并发、Jdbc执行数、Jdbc出错数、Jdbc时间等。</w:t>
            </w:r>
          </w:p>
          <w:p>
            <w:pPr>
              <w:pStyle w:val="208"/>
              <w:spacing w:line="276" w:lineRule="auto"/>
              <w:ind w:firstLine="0" w:firstLineChars="0"/>
              <w:jc w:val="left"/>
              <w:rPr>
                <w:rFonts w:ascii="宋体" w:hAnsi="宋体" w:cs="Arial"/>
                <w:szCs w:val="21"/>
              </w:rPr>
            </w:pPr>
            <w:r>
              <w:rPr>
                <w:rFonts w:hint="eastAsia" w:ascii="宋体" w:hAnsi="宋体" w:cs="Arial"/>
                <w:szCs w:val="21"/>
              </w:rPr>
              <w:t>3)系统可以详细跟踪系统每个会话状态，并给出统计信息：SESSIONID、Principal、创建时间、最后访问时间、访问IP地址、请求次数、最大并发等。</w:t>
            </w:r>
          </w:p>
          <w:p>
            <w:pPr>
              <w:pStyle w:val="208"/>
              <w:spacing w:line="276" w:lineRule="auto"/>
              <w:ind w:firstLine="0" w:firstLineChars="0"/>
              <w:jc w:val="left"/>
              <w:rPr>
                <w:rFonts w:ascii="宋体" w:hAnsi="宋体" w:cs="Arial"/>
                <w:szCs w:val="21"/>
              </w:rPr>
            </w:pPr>
            <w:r>
              <w:rPr>
                <w:rFonts w:hint="eastAsia" w:ascii="宋体" w:hAnsi="宋体" w:cs="Arial"/>
                <w:szCs w:val="21"/>
              </w:rPr>
              <w:t>（三）智慧实训教学管理</w:t>
            </w:r>
          </w:p>
          <w:p>
            <w:pPr>
              <w:pStyle w:val="208"/>
              <w:spacing w:line="276" w:lineRule="auto"/>
              <w:ind w:firstLine="0" w:firstLineChars="0"/>
              <w:jc w:val="left"/>
              <w:rPr>
                <w:rFonts w:ascii="宋体" w:hAnsi="宋体" w:cs="Arial"/>
                <w:szCs w:val="21"/>
              </w:rPr>
            </w:pPr>
            <w:r>
              <w:rPr>
                <w:rFonts w:hint="eastAsia" w:ascii="宋体" w:hAnsi="宋体" w:cs="Arial"/>
                <w:szCs w:val="21"/>
              </w:rPr>
              <w:t>1.仿真实训课程管理，支持与我校教务系统对接，直接可以从教务系统中将虚拟仿真相关的课程导入，也可以根据排好的实训课程直接导入或添加。同时支持手新增课程，可以对已有的课程增、删、改、查，对课程基本信息的进行维护。</w:t>
            </w:r>
          </w:p>
          <w:p>
            <w:pPr>
              <w:pStyle w:val="208"/>
              <w:spacing w:line="276" w:lineRule="auto"/>
              <w:ind w:firstLine="0" w:firstLineChars="0"/>
              <w:jc w:val="left"/>
              <w:rPr>
                <w:rFonts w:ascii="宋体" w:hAnsi="宋体" w:cs="Arial"/>
                <w:szCs w:val="21"/>
              </w:rPr>
            </w:pPr>
            <w:r>
              <w:rPr>
                <w:rFonts w:hint="eastAsia" w:ascii="宋体" w:hAnsi="宋体" w:cs="Arial"/>
                <w:szCs w:val="21"/>
              </w:rPr>
              <w:t>2.★支持PPT、Word、Excel、PDF、压缩包、视频、动画等格式的教辅资源。可以对教辅资源进行批量操作，支持全选、批量删除等操作，可以对课程下的教辅资源进行增、删、改、查进行维护</w:t>
            </w:r>
            <w:r>
              <w:rPr>
                <w:rFonts w:hint="eastAsia" w:ascii="宋体" w:hAnsi="宋体" w:cs="Arial"/>
                <w:b/>
                <w:bCs/>
                <w:szCs w:val="21"/>
              </w:rPr>
              <w:t>（该功能需提供截图证明）</w:t>
            </w:r>
          </w:p>
          <w:p>
            <w:pPr>
              <w:pStyle w:val="208"/>
              <w:spacing w:line="276" w:lineRule="auto"/>
              <w:ind w:firstLine="0" w:firstLineChars="0"/>
              <w:jc w:val="left"/>
              <w:rPr>
                <w:rFonts w:ascii="宋体" w:hAnsi="宋体" w:cs="Arial"/>
                <w:szCs w:val="21"/>
              </w:rPr>
            </w:pPr>
            <w:r>
              <w:rPr>
                <w:rFonts w:hint="eastAsia" w:ascii="宋体" w:hAnsi="宋体" w:cs="Arial"/>
                <w:szCs w:val="21"/>
              </w:rPr>
              <w:t>3.支持教学资源基本信息的维护与管理，可对教学资源进行增、删、改、查。</w:t>
            </w:r>
          </w:p>
          <w:p>
            <w:pPr>
              <w:pStyle w:val="208"/>
              <w:spacing w:line="276" w:lineRule="auto"/>
              <w:ind w:firstLine="0" w:firstLineChars="0"/>
              <w:jc w:val="left"/>
              <w:rPr>
                <w:rFonts w:ascii="宋体" w:hAnsi="宋体" w:cs="Arial"/>
                <w:szCs w:val="21"/>
              </w:rPr>
            </w:pPr>
            <w:r>
              <w:rPr>
                <w:rFonts w:hint="eastAsia" w:ascii="宋体" w:hAnsi="宋体" w:cs="Arial"/>
                <w:szCs w:val="21"/>
              </w:rPr>
              <w:t>4.支持实训资源管理，包括对包含实训信息、资源简介等内容信息的维护；可以对教学资源的基础信息维护包含：项目图片、项目名称、所属课程、简介、操作描述、实训原理、实训要求、成绩比例及智能指导批改信息维护；实训实训程序的上传，支持程序形式包含：客户端、资源包、超链接、移动端及虚拟化资源类型的程序上传</w:t>
            </w:r>
          </w:p>
          <w:p>
            <w:pPr>
              <w:pStyle w:val="208"/>
              <w:spacing w:line="276" w:lineRule="auto"/>
              <w:ind w:firstLine="0" w:firstLineChars="0"/>
              <w:jc w:val="left"/>
              <w:rPr>
                <w:rFonts w:ascii="宋体" w:hAnsi="宋体" w:cs="Arial"/>
                <w:szCs w:val="21"/>
              </w:rPr>
            </w:pPr>
            <w:r>
              <w:rPr>
                <w:rFonts w:hint="eastAsia" w:ascii="宋体" w:hAnsi="宋体" w:cs="Arial"/>
                <w:szCs w:val="21"/>
              </w:rPr>
              <w:t>5.支持的实训类型有虚拟实训三维仿真实训、链接实训，均可通过网页在线操作。通过浏览器在线打开，进行虚拟仿真实训操作。学生进行实训操作更加便利。</w:t>
            </w:r>
          </w:p>
          <w:p>
            <w:pPr>
              <w:pStyle w:val="208"/>
              <w:spacing w:line="276" w:lineRule="auto"/>
              <w:ind w:firstLine="0" w:firstLineChars="0"/>
              <w:jc w:val="left"/>
              <w:rPr>
                <w:rFonts w:ascii="宋体" w:hAnsi="宋体" w:cs="Arial"/>
                <w:szCs w:val="21"/>
              </w:rPr>
            </w:pPr>
            <w:r>
              <w:rPr>
                <w:rFonts w:hint="eastAsia" w:ascii="宋体" w:hAnsi="宋体" w:cs="Arial"/>
                <w:szCs w:val="21"/>
              </w:rPr>
              <w:t>6.★支持在线实训，学生能够在线进行实训操作，提供实训报告管理功能，支持学生在线提交实训报告。报告可以在线编辑，编辑内容可以暂时保存，保存内容可后期进行修改后进行提交。</w:t>
            </w:r>
            <w:r>
              <w:rPr>
                <w:rFonts w:hint="eastAsia" w:ascii="宋体" w:hAnsi="宋体" w:cs="Arial"/>
                <w:b/>
                <w:bCs/>
                <w:szCs w:val="21"/>
              </w:rPr>
              <w:t>（该功能需提供截图证明）</w:t>
            </w:r>
          </w:p>
          <w:p>
            <w:pPr>
              <w:pStyle w:val="208"/>
              <w:spacing w:line="276" w:lineRule="auto"/>
              <w:ind w:firstLine="0" w:firstLineChars="0"/>
              <w:jc w:val="left"/>
              <w:rPr>
                <w:rFonts w:ascii="宋体" w:hAnsi="宋体" w:cs="Arial"/>
                <w:szCs w:val="21"/>
              </w:rPr>
            </w:pPr>
            <w:r>
              <w:rPr>
                <w:rFonts w:hint="eastAsia" w:ascii="宋体" w:hAnsi="宋体" w:cs="Arial"/>
                <w:szCs w:val="21"/>
              </w:rPr>
              <w:t>7.虚拟仿真课件编辑管理</w:t>
            </w:r>
          </w:p>
          <w:p>
            <w:pPr>
              <w:pStyle w:val="208"/>
              <w:spacing w:line="276" w:lineRule="auto"/>
              <w:ind w:firstLine="0" w:firstLineChars="0"/>
              <w:jc w:val="left"/>
              <w:rPr>
                <w:rFonts w:ascii="宋体" w:hAnsi="宋体" w:cs="Arial"/>
                <w:szCs w:val="21"/>
              </w:rPr>
            </w:pPr>
            <w:r>
              <w:rPr>
                <w:rFonts w:hint="eastAsia" w:ascii="宋体" w:hAnsi="宋体" w:cs="Arial"/>
                <w:szCs w:val="21"/>
              </w:rPr>
              <w:t>（1）支持创建PPT/Word文档或者本地导入PPT/Word文档进行备课，支持对创建或者导入的课件进行二次编辑，支持在Microsoft Office或WPS Office中使用；（添加WPS支持，目的是国产/信创支持）</w:t>
            </w:r>
          </w:p>
          <w:p>
            <w:pPr>
              <w:pStyle w:val="208"/>
              <w:spacing w:line="276" w:lineRule="auto"/>
              <w:ind w:firstLine="0" w:firstLineChars="0"/>
              <w:jc w:val="left"/>
              <w:rPr>
                <w:rFonts w:ascii="宋体" w:hAnsi="宋体" w:cs="Arial"/>
                <w:szCs w:val="21"/>
              </w:rPr>
            </w:pPr>
            <w:r>
              <w:rPr>
                <w:rFonts w:hint="eastAsia" w:ascii="宋体" w:hAnsi="宋体" w:cs="Arial"/>
                <w:szCs w:val="21"/>
              </w:rPr>
              <w:t>（2）●【演示项三】支持使用平台账号直接登录，调用用户在平台中的课件进行编辑，编辑完成后可同步至课程下，实现一站式体验；（添加平台账号登录，统一使用平台账号密码），用户预览的同时，提供该资源的共享连接或二维码供用户复制到制作的课件PPT、Word文档中，方便用户编辑文档、预览资源；观看者可使用手机直接扫码预览添加的图片、视频、3D模型资源等等。（添加二维码预览，方便观看使用）兼容市面上主流的及特殊行业软件制作的3D模型，包括但不限于3DsMAX、Maya、Sketchup、Solidworks、Paint3D、Motionbuilder、AutoCAD、DRACO、Meshmixer、LDraw、Rhino、Gromacs、SWISS-MODEL、Python、OpenPhase等行业软件制作的3D模型，兼容模型格式包括但不限于3dm, 3ds, 3mf, amf, bim, brep, dae, fbx, fcstd, gltf, ifc, iges, step, stl, obj, off, ply, wrl.等格式，支持上述3D模型在线预览，支持对模型自由旋转、缩放；</w:t>
            </w:r>
            <w:r>
              <w:rPr>
                <w:rFonts w:hint="eastAsia" w:ascii="宋体" w:hAnsi="宋体" w:cs="Arial"/>
                <w:b/>
                <w:bCs/>
                <w:szCs w:val="21"/>
              </w:rPr>
              <w:t>（要求提供该功能视频演示）</w:t>
            </w:r>
          </w:p>
          <w:p>
            <w:pPr>
              <w:pStyle w:val="208"/>
              <w:spacing w:line="276" w:lineRule="auto"/>
              <w:ind w:firstLine="0" w:firstLineChars="0"/>
              <w:jc w:val="left"/>
              <w:rPr>
                <w:rFonts w:ascii="宋体" w:hAnsi="宋体" w:cs="Arial"/>
                <w:szCs w:val="21"/>
              </w:rPr>
            </w:pPr>
            <w:r>
              <w:rPr>
                <w:rFonts w:hint="eastAsia" w:ascii="宋体" w:hAnsi="宋体" w:cs="Arial"/>
                <w:szCs w:val="21"/>
              </w:rPr>
              <w:t>8.支持线下实训结果上传与维护，能够上传实训报告，提交实训过程中遇到的问题，可以查看教师对实训报告的评估、考核与反馈。</w:t>
            </w:r>
          </w:p>
          <w:p>
            <w:pPr>
              <w:pStyle w:val="208"/>
              <w:spacing w:line="276" w:lineRule="auto"/>
              <w:ind w:firstLine="0" w:firstLineChars="0"/>
              <w:jc w:val="left"/>
              <w:rPr>
                <w:rFonts w:ascii="宋体" w:hAnsi="宋体" w:cs="Arial"/>
                <w:szCs w:val="21"/>
              </w:rPr>
            </w:pPr>
            <w:r>
              <w:rPr>
                <w:rFonts w:hint="eastAsia" w:ascii="宋体" w:hAnsi="宋体" w:cs="Arial"/>
                <w:szCs w:val="21"/>
              </w:rPr>
              <w:t>9.提供实训报告管理功能，支持学生在线提交实训报告，教师可对实训报告进行在线批注和批改。也支持实训报告上传PDF。</w:t>
            </w:r>
          </w:p>
          <w:p>
            <w:pPr>
              <w:pStyle w:val="208"/>
              <w:spacing w:line="276" w:lineRule="auto"/>
              <w:ind w:firstLine="0" w:firstLineChars="0"/>
              <w:jc w:val="left"/>
              <w:rPr>
                <w:rFonts w:ascii="宋体" w:hAnsi="宋体" w:cs="Arial"/>
                <w:b/>
                <w:bCs/>
                <w:szCs w:val="21"/>
              </w:rPr>
            </w:pPr>
            <w:r>
              <w:rPr>
                <w:rFonts w:hint="eastAsia" w:ascii="宋体" w:hAnsi="宋体" w:cs="Arial"/>
                <w:szCs w:val="21"/>
              </w:rPr>
              <w:t>10.★支持报告以PDF、Word、html 3种格式导出，保存到本地，进行报告的线下查看。</w:t>
            </w:r>
            <w:r>
              <w:rPr>
                <w:rFonts w:hint="eastAsia" w:ascii="宋体" w:hAnsi="宋体" w:cs="Arial"/>
                <w:b/>
                <w:bCs/>
                <w:szCs w:val="21"/>
              </w:rPr>
              <w:t>（该功能需提供截图证明）</w:t>
            </w:r>
          </w:p>
          <w:p>
            <w:pPr>
              <w:pStyle w:val="208"/>
              <w:spacing w:line="276" w:lineRule="auto"/>
              <w:ind w:firstLine="0" w:firstLineChars="0"/>
              <w:jc w:val="left"/>
              <w:rPr>
                <w:rFonts w:ascii="宋体" w:hAnsi="宋体" w:cs="Arial"/>
                <w:szCs w:val="21"/>
              </w:rPr>
            </w:pPr>
            <w:r>
              <w:rPr>
                <w:rFonts w:hint="eastAsia" w:ascii="宋体" w:hAnsi="宋体" w:cs="Arial"/>
                <w:szCs w:val="21"/>
              </w:rPr>
              <w:t>11.支持维护实训项目的名称信息，实训项目的操作描述信息，实训项目的学时信息，实训项目的简介信息，实训项目的实训原理信息，实训项目的实训要求信息等。</w:t>
            </w:r>
          </w:p>
          <w:p>
            <w:pPr>
              <w:pStyle w:val="208"/>
              <w:spacing w:line="276" w:lineRule="auto"/>
              <w:ind w:firstLine="0" w:firstLineChars="0"/>
              <w:jc w:val="left"/>
              <w:rPr>
                <w:rFonts w:ascii="宋体" w:hAnsi="宋体" w:cs="Arial"/>
                <w:szCs w:val="21"/>
              </w:rPr>
            </w:pPr>
            <w:r>
              <w:rPr>
                <w:rFonts w:hint="eastAsia" w:ascii="宋体" w:hAnsi="宋体" w:cs="Arial"/>
                <w:szCs w:val="21"/>
              </w:rPr>
              <w:t>12.★实训操作排队提醒要求：对于实训资源不足的情况，支持学生进行排队，并可以查询当前排队信息</w:t>
            </w:r>
            <w:r>
              <w:rPr>
                <w:rFonts w:hint="eastAsia" w:ascii="宋体" w:hAnsi="宋体" w:cs="Arial"/>
                <w:b/>
                <w:bCs/>
                <w:szCs w:val="21"/>
              </w:rPr>
              <w:t>（该功能需提供截图证明）</w:t>
            </w:r>
          </w:p>
          <w:p>
            <w:pPr>
              <w:pStyle w:val="208"/>
              <w:spacing w:line="276" w:lineRule="auto"/>
              <w:ind w:firstLine="0" w:firstLineChars="0"/>
              <w:jc w:val="left"/>
              <w:rPr>
                <w:rFonts w:ascii="宋体" w:hAnsi="宋体" w:cs="Arial"/>
                <w:szCs w:val="21"/>
              </w:rPr>
            </w:pPr>
            <w:r>
              <w:rPr>
                <w:rFonts w:hint="eastAsia" w:ascii="宋体" w:hAnsi="宋体" w:cs="Arial"/>
                <w:szCs w:val="21"/>
              </w:rPr>
              <w:t>13.支持上传、导入实训课程的成绩信息支持调整和维护实训课程成绩信息。</w:t>
            </w:r>
          </w:p>
          <w:p>
            <w:pPr>
              <w:pStyle w:val="208"/>
              <w:spacing w:line="276" w:lineRule="auto"/>
              <w:ind w:firstLine="0" w:firstLineChars="0"/>
              <w:jc w:val="left"/>
              <w:rPr>
                <w:rFonts w:ascii="宋体" w:hAnsi="宋体" w:cs="Arial"/>
                <w:szCs w:val="21"/>
              </w:rPr>
            </w:pPr>
            <w:r>
              <w:rPr>
                <w:rFonts w:hint="eastAsia" w:ascii="宋体" w:hAnsi="宋体" w:cs="Arial"/>
                <w:szCs w:val="21"/>
              </w:rPr>
              <w:t>14.提供实训成绩统计结果的查询功能:可以以实训为单位统计班级成绩情况。教师发布成绩后，学生可查看成绩。实训成绩可按单个实训项目导出，也可选择多个实训导出。</w:t>
            </w:r>
          </w:p>
          <w:p>
            <w:pPr>
              <w:pStyle w:val="208"/>
              <w:spacing w:line="276" w:lineRule="auto"/>
              <w:ind w:firstLine="0" w:firstLineChars="0"/>
              <w:jc w:val="left"/>
              <w:rPr>
                <w:rFonts w:ascii="宋体" w:hAnsi="宋体" w:cs="Arial"/>
                <w:szCs w:val="21"/>
              </w:rPr>
            </w:pPr>
            <w:r>
              <w:rPr>
                <w:rFonts w:hint="eastAsia" w:ascii="宋体" w:hAnsi="宋体" w:cs="Arial"/>
                <w:szCs w:val="21"/>
              </w:rPr>
              <w:t>15.支持以项目为单位开展理论学习、实训操作、报告提交、问答讨论、项目评价教学管理。</w:t>
            </w:r>
          </w:p>
          <w:p>
            <w:pPr>
              <w:pStyle w:val="208"/>
              <w:spacing w:line="276" w:lineRule="auto"/>
              <w:ind w:firstLine="0" w:firstLineChars="0"/>
              <w:jc w:val="left"/>
              <w:rPr>
                <w:rFonts w:ascii="宋体" w:hAnsi="宋体" w:cs="Arial"/>
                <w:szCs w:val="21"/>
              </w:rPr>
            </w:pPr>
            <w:r>
              <w:rPr>
                <w:rFonts w:hint="eastAsia" w:ascii="宋体" w:hAnsi="宋体" w:cs="Arial"/>
                <w:szCs w:val="21"/>
              </w:rPr>
              <w:t>16.支持教师在线批改报告、成绩评定、报告导出、项目成绩、课程成绩导出。</w:t>
            </w:r>
          </w:p>
          <w:p>
            <w:pPr>
              <w:pStyle w:val="208"/>
              <w:spacing w:line="276" w:lineRule="auto"/>
              <w:ind w:firstLine="0" w:firstLineChars="0"/>
              <w:jc w:val="left"/>
              <w:rPr>
                <w:rFonts w:ascii="宋体" w:hAnsi="宋体" w:cs="Arial"/>
                <w:szCs w:val="21"/>
              </w:rPr>
            </w:pPr>
            <w:r>
              <w:rPr>
                <w:rFonts w:hint="eastAsia" w:ascii="宋体" w:hAnsi="宋体" w:cs="Arial"/>
                <w:szCs w:val="21"/>
              </w:rPr>
              <w:t>17.提供问答讨论功能，用户发起讨论主题，其他人员可回复。问答讨论针对实训过程中的内容进行讨论，可由教师或学生发起，参与项目的教师或学生可针对问答进行回复，供学生教师进行交流讨论。</w:t>
            </w:r>
          </w:p>
          <w:p>
            <w:pPr>
              <w:pStyle w:val="208"/>
              <w:spacing w:line="276" w:lineRule="auto"/>
              <w:ind w:firstLine="0" w:firstLineChars="0"/>
              <w:jc w:val="left"/>
              <w:rPr>
                <w:rFonts w:ascii="宋体" w:hAnsi="宋体" w:cs="Arial"/>
                <w:szCs w:val="21"/>
              </w:rPr>
            </w:pPr>
            <w:r>
              <w:rPr>
                <w:rFonts w:hint="eastAsia" w:ascii="宋体" w:hAnsi="宋体" w:cs="Arial"/>
                <w:szCs w:val="21"/>
              </w:rPr>
              <w:t>18.★提供课程评价功能，支持评价参数自定义，满足不同课程评价需求。教师可以在后台进行评价指标的设置，可以更加清楚的了解学生在教学环节中的意见和建议。学生参与项目学习的学生可以对该项目进行综合评分评价，参与评价学生需要对评价指标进行逐一评分</w:t>
            </w:r>
            <w:r>
              <w:rPr>
                <w:rFonts w:hint="eastAsia" w:ascii="宋体" w:hAnsi="宋体" w:cs="Arial"/>
                <w:b/>
                <w:bCs/>
                <w:szCs w:val="21"/>
              </w:rPr>
              <w:t>（该功能需提供截图证明）</w:t>
            </w:r>
          </w:p>
          <w:p>
            <w:pPr>
              <w:pStyle w:val="208"/>
              <w:spacing w:line="276" w:lineRule="auto"/>
              <w:ind w:firstLine="0" w:firstLineChars="0"/>
              <w:jc w:val="left"/>
              <w:rPr>
                <w:rFonts w:ascii="宋体" w:hAnsi="宋体" w:cs="Arial"/>
                <w:szCs w:val="21"/>
              </w:rPr>
            </w:pPr>
            <w:r>
              <w:rPr>
                <w:rFonts w:hint="eastAsia" w:ascii="宋体" w:hAnsi="宋体" w:cs="Arial"/>
                <w:szCs w:val="21"/>
              </w:rPr>
              <w:t>（四）智慧实训场所及设备管理</w:t>
            </w:r>
          </w:p>
          <w:p>
            <w:pPr>
              <w:pStyle w:val="208"/>
              <w:spacing w:line="276" w:lineRule="auto"/>
              <w:ind w:firstLine="0" w:firstLineChars="0"/>
              <w:jc w:val="left"/>
              <w:rPr>
                <w:rFonts w:ascii="宋体" w:hAnsi="宋体" w:cs="Arial"/>
                <w:b/>
                <w:bCs/>
                <w:szCs w:val="21"/>
              </w:rPr>
            </w:pPr>
            <w:r>
              <w:rPr>
                <w:rFonts w:hint="eastAsia" w:ascii="宋体" w:hAnsi="宋体" w:cs="Arial"/>
                <w:szCs w:val="21"/>
              </w:rPr>
              <w:t>1.★系统中能够体现专业虚拟仿真实训中心、公共虚拟仿真实训中心、虚拟仿真体验中心和虚拟仿真研创中心。每个专业虚拟仿真实训中心下可设若干按一定逻辑组合的虚拟仿真实训室，每个实训室里可以管理相关的虚拟仿真实训设备。</w:t>
            </w:r>
            <w:r>
              <w:rPr>
                <w:rFonts w:hint="eastAsia" w:ascii="宋体" w:hAnsi="宋体" w:cs="Arial"/>
                <w:b/>
                <w:bCs/>
                <w:szCs w:val="21"/>
              </w:rPr>
              <w:t>（该功能需提供截图证明）</w:t>
            </w:r>
          </w:p>
          <w:p>
            <w:pPr>
              <w:pStyle w:val="208"/>
              <w:spacing w:line="276" w:lineRule="auto"/>
              <w:ind w:firstLine="0" w:firstLineChars="0"/>
              <w:jc w:val="left"/>
              <w:rPr>
                <w:rFonts w:ascii="宋体" w:hAnsi="宋体" w:cs="Arial"/>
                <w:szCs w:val="21"/>
              </w:rPr>
            </w:pPr>
            <w:r>
              <w:rPr>
                <w:rFonts w:hint="eastAsia" w:ascii="宋体" w:hAnsi="宋体" w:cs="Arial"/>
                <w:szCs w:val="21"/>
              </w:rPr>
              <w:t>2.提供对基地虚拟仿真实训中心、实训室基本数据的管理。实训室的名称、编号、地点、面积、工位情况、建立年份、使用性质等实训室基础信息属性的管理。</w:t>
            </w:r>
          </w:p>
          <w:p>
            <w:pPr>
              <w:pStyle w:val="208"/>
              <w:spacing w:line="276" w:lineRule="auto"/>
              <w:ind w:firstLine="0" w:firstLineChars="0"/>
              <w:jc w:val="left"/>
              <w:rPr>
                <w:rFonts w:ascii="宋体" w:hAnsi="宋体" w:cs="Arial"/>
                <w:szCs w:val="21"/>
              </w:rPr>
            </w:pPr>
            <w:r>
              <w:rPr>
                <w:rFonts w:hint="eastAsia" w:ascii="宋体" w:hAnsi="宋体" w:cs="Arial"/>
                <w:szCs w:val="21"/>
              </w:rPr>
              <w:t>3.支持对虚拟仿真实训教学场所及实训设备管理。</w:t>
            </w:r>
          </w:p>
          <w:p>
            <w:pPr>
              <w:pStyle w:val="208"/>
              <w:spacing w:line="276" w:lineRule="auto"/>
              <w:ind w:firstLine="0" w:firstLineChars="0"/>
              <w:jc w:val="left"/>
              <w:rPr>
                <w:rFonts w:ascii="宋体" w:hAnsi="宋体" w:cs="Arial"/>
                <w:szCs w:val="21"/>
              </w:rPr>
            </w:pPr>
            <w:r>
              <w:rPr>
                <w:rFonts w:hint="eastAsia" w:ascii="宋体" w:hAnsi="宋体" w:cs="Arial"/>
                <w:szCs w:val="21"/>
              </w:rPr>
              <w:t>4.提供开放预约管理，对实训室进行开放设置管理，提高实训室利用率。用户可以通过在线完成实训室的空闲及可预约时段的查看，并进行预约操作。也可以通过搜索具体的实训室，进行查看。</w:t>
            </w:r>
          </w:p>
          <w:p>
            <w:pPr>
              <w:pStyle w:val="208"/>
              <w:spacing w:line="276" w:lineRule="auto"/>
              <w:ind w:firstLine="0" w:firstLineChars="0"/>
              <w:jc w:val="left"/>
              <w:rPr>
                <w:rFonts w:ascii="宋体" w:hAnsi="宋体" w:cs="Arial"/>
                <w:szCs w:val="21"/>
              </w:rPr>
            </w:pPr>
            <w:r>
              <w:rPr>
                <w:rFonts w:hint="eastAsia" w:ascii="宋体" w:hAnsi="宋体" w:cs="Arial"/>
                <w:szCs w:val="21"/>
              </w:rPr>
              <w:t>5.预约信息的详细记录，包括预约时间、预约人数、申请说明等信息。</w:t>
            </w:r>
          </w:p>
          <w:p>
            <w:pPr>
              <w:pStyle w:val="208"/>
              <w:spacing w:line="276" w:lineRule="auto"/>
              <w:ind w:firstLine="0" w:firstLineChars="0"/>
              <w:jc w:val="left"/>
              <w:rPr>
                <w:rFonts w:ascii="宋体" w:hAnsi="宋体" w:cs="Arial"/>
                <w:szCs w:val="21"/>
              </w:rPr>
            </w:pPr>
            <w:r>
              <w:rPr>
                <w:rFonts w:hint="eastAsia" w:ascii="宋体" w:hAnsi="宋体" w:cs="Arial"/>
                <w:szCs w:val="21"/>
              </w:rPr>
              <w:t>6.审批管理，对于需要进行审核的实训室预约，通过实训室管理员进行审核后才可以生效。对于无需审核的实训室，用户直接预约完即可完成使用。</w:t>
            </w:r>
          </w:p>
          <w:p>
            <w:pPr>
              <w:pStyle w:val="208"/>
              <w:spacing w:line="276" w:lineRule="auto"/>
              <w:ind w:firstLine="0" w:firstLineChars="0"/>
              <w:jc w:val="left"/>
              <w:rPr>
                <w:rFonts w:ascii="宋体" w:hAnsi="宋体" w:cs="Arial"/>
                <w:szCs w:val="21"/>
              </w:rPr>
            </w:pPr>
            <w:r>
              <w:rPr>
                <w:rFonts w:hint="eastAsia" w:ascii="宋体" w:hAnsi="宋体" w:cs="Arial"/>
                <w:szCs w:val="21"/>
              </w:rPr>
              <w:t>（五）数据挖掘与分析</w:t>
            </w:r>
          </w:p>
          <w:p>
            <w:pPr>
              <w:pStyle w:val="208"/>
              <w:spacing w:line="276" w:lineRule="auto"/>
              <w:ind w:firstLine="0" w:firstLineChars="0"/>
              <w:jc w:val="left"/>
              <w:rPr>
                <w:rFonts w:ascii="宋体" w:hAnsi="宋体" w:cs="Arial"/>
                <w:szCs w:val="21"/>
              </w:rPr>
            </w:pPr>
            <w:r>
              <w:rPr>
                <w:rFonts w:hint="eastAsia" w:ascii="宋体" w:hAnsi="宋体" w:cs="Arial"/>
                <w:szCs w:val="21"/>
              </w:rPr>
              <w:t>1.提供课程下班级数量、学生人数、课程下项目数、教学资源数、试题数量、课程讨论数量及课程评价统计</w:t>
            </w:r>
          </w:p>
          <w:p>
            <w:pPr>
              <w:pStyle w:val="208"/>
              <w:spacing w:line="276" w:lineRule="auto"/>
              <w:ind w:firstLine="0" w:firstLineChars="0"/>
              <w:jc w:val="left"/>
              <w:rPr>
                <w:rFonts w:ascii="宋体" w:hAnsi="宋体" w:cs="Arial"/>
                <w:szCs w:val="21"/>
              </w:rPr>
            </w:pPr>
            <w:r>
              <w:rPr>
                <w:rFonts w:hint="eastAsia" w:ascii="宋体" w:hAnsi="宋体" w:cs="Arial"/>
                <w:szCs w:val="21"/>
              </w:rPr>
              <w:t>2.提供开课下学生活跃度的排名统计、课程成绩分析及资源统计，项目成绩分析及课程评价分析</w:t>
            </w:r>
          </w:p>
          <w:p>
            <w:pPr>
              <w:pStyle w:val="208"/>
              <w:spacing w:line="276" w:lineRule="auto"/>
              <w:ind w:firstLine="0" w:firstLineChars="0"/>
              <w:jc w:val="left"/>
              <w:rPr>
                <w:rFonts w:ascii="宋体" w:hAnsi="宋体" w:cs="Arial"/>
                <w:szCs w:val="21"/>
              </w:rPr>
            </w:pPr>
            <w:r>
              <w:rPr>
                <w:rFonts w:hint="eastAsia" w:ascii="宋体" w:hAnsi="宋体" w:cs="Arial"/>
                <w:szCs w:val="21"/>
              </w:rPr>
              <w:t>3.提供实训课程数据分析，包括该课程访问总量分析及实训总次数分析等。</w:t>
            </w:r>
          </w:p>
          <w:p>
            <w:pPr>
              <w:pStyle w:val="208"/>
              <w:spacing w:line="276" w:lineRule="auto"/>
              <w:ind w:firstLine="0" w:firstLineChars="0"/>
              <w:jc w:val="left"/>
              <w:rPr>
                <w:rFonts w:ascii="宋体" w:hAnsi="宋体" w:cs="Arial"/>
                <w:szCs w:val="21"/>
              </w:rPr>
            </w:pPr>
            <w:r>
              <w:rPr>
                <w:rFonts w:hint="eastAsia" w:ascii="宋体" w:hAnsi="宋体" w:cs="Arial"/>
                <w:szCs w:val="21"/>
              </w:rPr>
              <w:t>4.提供各学院开课统计、各学院课程总数以及各学院课程下资源数等统计分析。</w:t>
            </w:r>
          </w:p>
          <w:p>
            <w:pPr>
              <w:pStyle w:val="208"/>
              <w:spacing w:line="276" w:lineRule="auto"/>
              <w:ind w:firstLine="0" w:firstLineChars="0"/>
              <w:jc w:val="left"/>
              <w:rPr>
                <w:rFonts w:ascii="宋体" w:hAnsi="宋体" w:cs="Arial"/>
                <w:szCs w:val="21"/>
              </w:rPr>
            </w:pPr>
            <w:r>
              <w:rPr>
                <w:rFonts w:hint="eastAsia" w:ascii="宋体" w:hAnsi="宋体" w:cs="Arial"/>
                <w:szCs w:val="21"/>
              </w:rPr>
              <w:t>5.提供仿真资源数量、共享量、访问量、每年更新量信息进行综合统计。</w:t>
            </w:r>
          </w:p>
          <w:p>
            <w:pPr>
              <w:pStyle w:val="208"/>
              <w:spacing w:line="276" w:lineRule="auto"/>
              <w:ind w:firstLine="0" w:firstLineChars="0"/>
              <w:jc w:val="left"/>
              <w:rPr>
                <w:rFonts w:ascii="宋体" w:hAnsi="宋体" w:cs="Arial"/>
                <w:szCs w:val="21"/>
              </w:rPr>
            </w:pPr>
            <w:r>
              <w:rPr>
                <w:rFonts w:hint="eastAsia" w:ascii="宋体" w:hAnsi="宋体" w:cs="Arial"/>
                <w:szCs w:val="21"/>
              </w:rPr>
              <w:t>6.同时对学生个人学习情况也可以统计提供个人课程综合得分、当前排名和超过的学员排名率，累计学习时间和学习进度</w:t>
            </w:r>
          </w:p>
          <w:p>
            <w:pPr>
              <w:pStyle w:val="208"/>
              <w:spacing w:line="276" w:lineRule="auto"/>
              <w:ind w:firstLine="0" w:firstLineChars="0"/>
              <w:jc w:val="left"/>
              <w:rPr>
                <w:rFonts w:ascii="宋体" w:hAnsi="宋体" w:cs="Arial"/>
                <w:szCs w:val="21"/>
              </w:rPr>
            </w:pPr>
            <w:r>
              <w:rPr>
                <w:rFonts w:hint="eastAsia" w:ascii="宋体" w:hAnsi="宋体" w:cs="Arial"/>
                <w:szCs w:val="21"/>
              </w:rPr>
              <w:t>7.提供平台运行访问，用户活跃度情况统计及资源日访问量</w:t>
            </w:r>
          </w:p>
          <w:p>
            <w:pPr>
              <w:pStyle w:val="208"/>
              <w:spacing w:line="276" w:lineRule="auto"/>
              <w:ind w:firstLine="0" w:firstLineChars="0"/>
              <w:jc w:val="left"/>
              <w:rPr>
                <w:rFonts w:ascii="宋体" w:hAnsi="宋体" w:cs="Arial"/>
                <w:szCs w:val="21"/>
              </w:rPr>
            </w:pPr>
            <w:r>
              <w:rPr>
                <w:rFonts w:hint="eastAsia" w:ascii="宋体" w:hAnsi="宋体" w:cs="Arial"/>
                <w:szCs w:val="21"/>
              </w:rPr>
              <w:t>8.提供学院数量、专业数量统计、课程总数统计、资源数、开课总数统计、平台在线人数、校内用户数、校外临时用户数及仿真实训课程使用总人数的分析统计等。</w:t>
            </w:r>
          </w:p>
          <w:p>
            <w:pPr>
              <w:pStyle w:val="208"/>
              <w:spacing w:line="276" w:lineRule="auto"/>
              <w:ind w:firstLine="0" w:firstLineChars="0"/>
              <w:jc w:val="left"/>
              <w:rPr>
                <w:rFonts w:ascii="宋体" w:hAnsi="宋体" w:cs="Arial"/>
                <w:b/>
                <w:bCs/>
                <w:szCs w:val="21"/>
              </w:rPr>
            </w:pPr>
            <w:r>
              <w:rPr>
                <w:rFonts w:hint="eastAsia" w:ascii="宋体" w:hAnsi="宋体" w:cs="Arial"/>
                <w:szCs w:val="21"/>
              </w:rPr>
              <w:t>9.●【演示项四】可视化大屏展示</w:t>
            </w:r>
            <w:r>
              <w:rPr>
                <w:rFonts w:hint="eastAsia" w:ascii="宋体" w:hAnsi="宋体" w:cs="Arial"/>
                <w:b/>
                <w:bCs/>
                <w:szCs w:val="21"/>
              </w:rPr>
              <w:t>（要求提供该功能视频演示）</w:t>
            </w:r>
          </w:p>
          <w:p>
            <w:pPr>
              <w:pStyle w:val="208"/>
              <w:spacing w:line="276" w:lineRule="auto"/>
              <w:ind w:firstLine="0" w:firstLineChars="0"/>
              <w:jc w:val="left"/>
              <w:rPr>
                <w:rFonts w:ascii="宋体" w:hAnsi="宋体" w:cs="Arial"/>
                <w:szCs w:val="21"/>
              </w:rPr>
            </w:pPr>
            <w:r>
              <w:rPr>
                <w:rFonts w:hint="eastAsia" w:ascii="宋体" w:hAnsi="宋体" w:cs="Arial"/>
                <w:szCs w:val="21"/>
              </w:rPr>
              <w:t>（1）动态大屏设计功能，系统支持自定义大屏样式和数据展示。添加一个新的大屏，设定报表编码和报表类型；</w:t>
            </w:r>
          </w:p>
          <w:p>
            <w:pPr>
              <w:pStyle w:val="208"/>
              <w:spacing w:line="276" w:lineRule="auto"/>
              <w:ind w:firstLine="0" w:firstLineChars="0"/>
              <w:jc w:val="left"/>
              <w:rPr>
                <w:rFonts w:ascii="宋体" w:hAnsi="宋体" w:cs="Arial"/>
                <w:szCs w:val="21"/>
              </w:rPr>
            </w:pPr>
            <w:r>
              <w:rPr>
                <w:rFonts w:hint="eastAsia" w:ascii="宋体" w:hAnsi="宋体" w:cs="Arial"/>
                <w:szCs w:val="21"/>
              </w:rPr>
              <w:t>（2）系统支持自定义大屏样式和数据展示，提供不少于20种的图形设计，可任意位置和样式拖拽，支持不限个数的图层展示和编辑可以布局3模块，可以布局7模块；</w:t>
            </w:r>
          </w:p>
          <w:p>
            <w:pPr>
              <w:pStyle w:val="208"/>
              <w:spacing w:line="276" w:lineRule="auto"/>
              <w:ind w:firstLine="0" w:firstLineChars="0"/>
              <w:jc w:val="left"/>
              <w:rPr>
                <w:rFonts w:ascii="宋体" w:hAnsi="宋体" w:cs="Arial"/>
                <w:szCs w:val="21"/>
              </w:rPr>
            </w:pPr>
            <w:r>
              <w:rPr>
                <w:rFonts w:hint="eastAsia" w:ascii="宋体" w:hAnsi="宋体" w:cs="Arial"/>
                <w:szCs w:val="21"/>
              </w:rPr>
              <w:t>（3）可灵活布置大屏内任意个数的模块，各模块的样式，如字体、内容、背景、key值、动画等；</w:t>
            </w:r>
          </w:p>
          <w:p>
            <w:pPr>
              <w:pStyle w:val="208"/>
              <w:spacing w:line="276" w:lineRule="auto"/>
              <w:ind w:firstLine="0" w:firstLineChars="0"/>
              <w:jc w:val="left"/>
              <w:rPr>
                <w:rFonts w:ascii="宋体" w:hAnsi="宋体" w:cs="Arial"/>
                <w:szCs w:val="21"/>
              </w:rPr>
            </w:pPr>
            <w:r>
              <w:rPr>
                <w:rFonts w:hint="eastAsia" w:ascii="宋体" w:hAnsi="宋体" w:cs="Arial"/>
                <w:szCs w:val="21"/>
              </w:rPr>
              <w:t>（4）支持大屏实时预览和编辑。分别预览3模块、7模块的大屏；大屏中的展示数据可以管理平台中找到数据根源。</w:t>
            </w:r>
          </w:p>
          <w:p>
            <w:pPr>
              <w:pStyle w:val="208"/>
              <w:spacing w:line="276" w:lineRule="auto"/>
              <w:ind w:firstLine="0" w:firstLineChars="0"/>
              <w:jc w:val="left"/>
              <w:rPr>
                <w:rFonts w:ascii="宋体" w:hAnsi="宋体" w:cs="Arial"/>
                <w:szCs w:val="21"/>
              </w:rPr>
            </w:pPr>
            <w:r>
              <w:rPr>
                <w:rFonts w:hint="eastAsia" w:ascii="宋体" w:hAnsi="宋体" w:cs="Arial"/>
                <w:szCs w:val="21"/>
              </w:rPr>
              <w:t>（六）开放接口管理</w:t>
            </w:r>
          </w:p>
          <w:p>
            <w:pPr>
              <w:pStyle w:val="208"/>
              <w:spacing w:line="276" w:lineRule="auto"/>
              <w:ind w:firstLine="0" w:firstLineChars="0"/>
              <w:jc w:val="left"/>
              <w:rPr>
                <w:rFonts w:ascii="宋体" w:hAnsi="宋体" w:cs="Arial"/>
                <w:szCs w:val="21"/>
              </w:rPr>
            </w:pPr>
            <w:r>
              <w:rPr>
                <w:rFonts w:hint="eastAsia" w:ascii="宋体" w:hAnsi="宋体" w:cs="Arial"/>
                <w:szCs w:val="21"/>
              </w:rPr>
              <w:t>1.与我校基本信息管理系统对接：</w:t>
            </w:r>
          </w:p>
          <w:p>
            <w:pPr>
              <w:pStyle w:val="208"/>
              <w:spacing w:line="276" w:lineRule="auto"/>
              <w:ind w:firstLine="0" w:firstLineChars="0"/>
              <w:jc w:val="left"/>
              <w:rPr>
                <w:rFonts w:ascii="宋体" w:hAnsi="宋体" w:cs="Arial"/>
                <w:szCs w:val="21"/>
              </w:rPr>
            </w:pPr>
            <w:r>
              <w:rPr>
                <w:rFonts w:hint="eastAsia" w:ascii="宋体" w:hAnsi="宋体" w:cs="Arial"/>
                <w:szCs w:val="21"/>
              </w:rPr>
              <w:t>为了保证基本信息的一致性以及用户使用的便捷性，需要做到与我校管理基本信息的系统做到同步，包括用户姓名、学/工号、隶属的角色、班级、专业、院系等信息。</w:t>
            </w:r>
          </w:p>
          <w:p>
            <w:pPr>
              <w:pStyle w:val="208"/>
              <w:spacing w:line="276" w:lineRule="auto"/>
              <w:ind w:firstLine="0" w:firstLineChars="0"/>
              <w:jc w:val="left"/>
              <w:rPr>
                <w:rFonts w:ascii="宋体" w:hAnsi="宋体" w:cs="Arial"/>
                <w:szCs w:val="21"/>
              </w:rPr>
            </w:pPr>
            <w:r>
              <w:rPr>
                <w:rFonts w:hint="eastAsia" w:ascii="宋体" w:hAnsi="宋体" w:cs="Arial"/>
                <w:szCs w:val="21"/>
              </w:rPr>
              <w:t>2.提供数据集成服务，通过基于HTTP接口协议，可以将实训数据与第三方系统平台进行对接，并进行接入管理。</w:t>
            </w:r>
          </w:p>
          <w:p>
            <w:pPr>
              <w:pStyle w:val="208"/>
              <w:spacing w:line="276" w:lineRule="auto"/>
              <w:ind w:firstLine="0" w:firstLineChars="0"/>
              <w:jc w:val="left"/>
              <w:rPr>
                <w:rFonts w:ascii="宋体" w:hAnsi="宋体" w:cs="Arial"/>
                <w:szCs w:val="21"/>
              </w:rPr>
            </w:pPr>
            <w:r>
              <w:rPr>
                <w:rFonts w:hint="eastAsia" w:ascii="宋体" w:hAnsi="宋体" w:cs="Arial"/>
                <w:szCs w:val="21"/>
              </w:rPr>
              <w:t>3.协助院校填写申报对接相关信息：</w:t>
            </w:r>
          </w:p>
          <w:p>
            <w:pPr>
              <w:pStyle w:val="208"/>
              <w:spacing w:line="276" w:lineRule="auto"/>
              <w:ind w:firstLine="0" w:firstLineChars="0"/>
              <w:jc w:val="left"/>
              <w:rPr>
                <w:rFonts w:ascii="宋体" w:hAnsi="宋体" w:cs="Arial"/>
                <w:szCs w:val="21"/>
              </w:rPr>
            </w:pPr>
            <w:r>
              <w:rPr>
                <w:rFonts w:hint="eastAsia" w:ascii="宋体" w:hAnsi="宋体" w:cs="Arial"/>
                <w:szCs w:val="21"/>
              </w:rPr>
              <w:t>3.1填写课程申请信息。</w:t>
            </w:r>
          </w:p>
          <w:p>
            <w:pPr>
              <w:pStyle w:val="208"/>
              <w:spacing w:line="276" w:lineRule="auto"/>
              <w:ind w:firstLine="0" w:firstLineChars="0"/>
              <w:jc w:val="left"/>
              <w:rPr>
                <w:rFonts w:ascii="宋体" w:hAnsi="宋体" w:cs="Arial"/>
                <w:szCs w:val="21"/>
              </w:rPr>
            </w:pPr>
            <w:r>
              <w:rPr>
                <w:rFonts w:hint="eastAsia" w:ascii="宋体" w:hAnsi="宋体" w:cs="Arial"/>
                <w:szCs w:val="21"/>
              </w:rPr>
              <w:t>教师在国家智慧教育服务平台虚拟仿真实训中心添加课程，包括课程名字、教育阶段、专业代码、通过年份等信息。</w:t>
            </w:r>
          </w:p>
          <w:p>
            <w:pPr>
              <w:pStyle w:val="208"/>
              <w:spacing w:line="276" w:lineRule="auto"/>
              <w:ind w:firstLine="0" w:firstLineChars="0"/>
              <w:jc w:val="left"/>
              <w:rPr>
                <w:rFonts w:ascii="宋体" w:hAnsi="宋体" w:cs="Arial"/>
                <w:szCs w:val="21"/>
              </w:rPr>
            </w:pPr>
            <w:r>
              <w:rPr>
                <w:rFonts w:hint="eastAsia" w:ascii="宋体" w:hAnsi="宋体" w:cs="Arial"/>
                <w:szCs w:val="21"/>
              </w:rPr>
              <w:t>3.2填写资源编码相关信息。</w:t>
            </w:r>
          </w:p>
          <w:p>
            <w:pPr>
              <w:pStyle w:val="208"/>
              <w:spacing w:line="276" w:lineRule="auto"/>
              <w:ind w:firstLine="0" w:firstLineChars="0"/>
              <w:jc w:val="left"/>
              <w:rPr>
                <w:rFonts w:ascii="宋体" w:hAnsi="宋体" w:cs="Arial"/>
                <w:szCs w:val="21"/>
              </w:rPr>
            </w:pPr>
            <w:r>
              <w:rPr>
                <w:rFonts w:hint="eastAsia" w:ascii="宋体" w:hAnsi="宋体" w:cs="Arial"/>
                <w:szCs w:val="21"/>
              </w:rPr>
              <w:t>教师在国家智慧教育服务平台虚拟仿真实训中心添加资源编码，包括归属课程、资源名称、资源编码等信息。</w:t>
            </w:r>
          </w:p>
          <w:p>
            <w:pPr>
              <w:pStyle w:val="208"/>
              <w:spacing w:line="276" w:lineRule="auto"/>
              <w:ind w:firstLine="0" w:firstLineChars="0"/>
              <w:jc w:val="left"/>
              <w:rPr>
                <w:rFonts w:ascii="宋体" w:hAnsi="宋体" w:cs="Arial"/>
                <w:szCs w:val="21"/>
              </w:rPr>
            </w:pPr>
            <w:r>
              <w:rPr>
                <w:rFonts w:hint="eastAsia" w:ascii="宋体" w:hAnsi="宋体" w:cs="Arial"/>
                <w:szCs w:val="21"/>
              </w:rPr>
              <w:t>3.3填写资源相关信息。</w:t>
            </w:r>
          </w:p>
          <w:p>
            <w:pPr>
              <w:pStyle w:val="208"/>
              <w:spacing w:line="276" w:lineRule="auto"/>
              <w:ind w:firstLine="0" w:firstLineChars="0"/>
              <w:jc w:val="left"/>
              <w:rPr>
                <w:rFonts w:ascii="宋体" w:hAnsi="宋体" w:cs="Arial"/>
                <w:szCs w:val="21"/>
              </w:rPr>
            </w:pPr>
            <w:r>
              <w:rPr>
                <w:rFonts w:hint="eastAsia" w:ascii="宋体" w:hAnsi="宋体" w:cs="Arial"/>
                <w:szCs w:val="21"/>
              </w:rPr>
              <w:t>教师在国家智慧教育服务平台虚拟仿真实训中心添加资源相关信息，包括资源名称、资源类型、语言类型、链接地址、适配终端、封面图、资源截图/视频、实训介绍、实训目标、实训成绩与构成、实训步骤、硬件及网络说明、对接配置、版权属性、应用属性等信息。</w:t>
            </w:r>
          </w:p>
          <w:p>
            <w:pPr>
              <w:pStyle w:val="208"/>
              <w:spacing w:line="276" w:lineRule="auto"/>
              <w:ind w:firstLine="0" w:firstLineChars="0"/>
              <w:jc w:val="left"/>
              <w:rPr>
                <w:rFonts w:ascii="宋体" w:hAnsi="宋体" w:cs="Arial"/>
                <w:szCs w:val="21"/>
              </w:rPr>
            </w:pPr>
            <w:r>
              <w:rPr>
                <w:rFonts w:hint="eastAsia" w:ascii="宋体" w:hAnsi="宋体" w:cs="Arial"/>
                <w:szCs w:val="21"/>
              </w:rPr>
              <w:t>3.4教师联系国家智慧教育服务平台虚拟仿真实训中心审核人，加快审核进度。</w:t>
            </w:r>
          </w:p>
          <w:p>
            <w:pPr>
              <w:pStyle w:val="208"/>
              <w:spacing w:line="276" w:lineRule="auto"/>
              <w:ind w:firstLine="0" w:firstLineChars="0"/>
              <w:jc w:val="left"/>
              <w:rPr>
                <w:rFonts w:ascii="宋体" w:hAnsi="宋体" w:cs="Arial"/>
                <w:szCs w:val="21"/>
              </w:rPr>
            </w:pPr>
            <w:r>
              <w:rPr>
                <w:rFonts w:hint="eastAsia" w:ascii="宋体" w:hAnsi="宋体" w:cs="Arial"/>
                <w:szCs w:val="21"/>
              </w:rPr>
              <w:t>3.5教师提取课程编码、资源编码、秘钥等信息。</w:t>
            </w:r>
          </w:p>
          <w:p>
            <w:pPr>
              <w:pStyle w:val="208"/>
              <w:spacing w:line="276" w:lineRule="auto"/>
              <w:ind w:firstLine="0" w:firstLineChars="0"/>
              <w:jc w:val="left"/>
              <w:rPr>
                <w:rFonts w:ascii="宋体" w:hAnsi="宋体" w:cs="Arial"/>
                <w:b/>
                <w:bCs/>
                <w:szCs w:val="21"/>
              </w:rPr>
            </w:pPr>
            <w:r>
              <w:rPr>
                <w:rFonts w:hint="eastAsia" w:ascii="宋体" w:hAnsi="宋体" w:cs="Arial"/>
                <w:szCs w:val="21"/>
              </w:rPr>
              <w:t>4.★平台具有与国家智慧教育服务平台虚拟仿真实训中心对接功能</w:t>
            </w:r>
            <w:r>
              <w:rPr>
                <w:rFonts w:hint="eastAsia" w:ascii="宋体" w:hAnsi="宋体" w:cs="Arial"/>
                <w:b/>
                <w:bCs/>
                <w:szCs w:val="21"/>
              </w:rPr>
              <w:t>（提供对接成功案例证明材料和数据展示截图）</w:t>
            </w:r>
          </w:p>
          <w:p>
            <w:pPr>
              <w:pStyle w:val="208"/>
              <w:spacing w:line="276" w:lineRule="auto"/>
              <w:ind w:firstLine="0" w:firstLineChars="0"/>
              <w:jc w:val="left"/>
              <w:rPr>
                <w:rFonts w:ascii="宋体" w:hAnsi="宋体" w:cs="Arial"/>
                <w:szCs w:val="21"/>
              </w:rPr>
            </w:pPr>
            <w:r>
              <w:rPr>
                <w:rFonts w:hint="eastAsia" w:ascii="宋体" w:hAnsi="宋体" w:cs="Arial"/>
                <w:szCs w:val="21"/>
              </w:rPr>
              <w:t>5.平台具有登录态同步接口</w:t>
            </w:r>
          </w:p>
          <w:p>
            <w:pPr>
              <w:pStyle w:val="208"/>
              <w:spacing w:line="276" w:lineRule="auto"/>
              <w:ind w:firstLine="0" w:firstLineChars="0"/>
              <w:jc w:val="left"/>
              <w:rPr>
                <w:rFonts w:ascii="宋体" w:hAnsi="宋体" w:cs="Arial"/>
                <w:szCs w:val="21"/>
              </w:rPr>
            </w:pPr>
            <w:r>
              <w:rPr>
                <w:rFonts w:hint="eastAsia" w:ascii="宋体" w:hAnsi="宋体" w:cs="Arial"/>
                <w:szCs w:val="21"/>
              </w:rPr>
              <w:t>该接口为从国家智慧教育服务平台虚拟仿真实训中心进入校级平台实现用户自动登录学习。用户在“虚拟仿真实训中心”注册或登录后，点击虚仿实训资源的“在线实训”时，虚拟仿真实训中心会将已登录用户的部分非敏感信息加密，生成参数 sign 附在软件的实训URL后面，校级平台接受到请求后，先对sign进行url解码("UTF-8")，解码后使用解密密钥对 sign 进行解密，获取用户信息实现自动登录并进入软件学习场景。</w:t>
            </w:r>
          </w:p>
          <w:p>
            <w:pPr>
              <w:pStyle w:val="208"/>
              <w:spacing w:line="276" w:lineRule="auto"/>
              <w:ind w:firstLine="0" w:firstLineChars="0"/>
              <w:jc w:val="left"/>
              <w:rPr>
                <w:rFonts w:ascii="宋体" w:hAnsi="宋体" w:cs="Arial"/>
                <w:szCs w:val="21"/>
              </w:rPr>
            </w:pPr>
            <w:r>
              <w:rPr>
                <w:rFonts w:hint="eastAsia" w:ascii="宋体" w:hAnsi="宋体" w:cs="Arial"/>
                <w:szCs w:val="21"/>
              </w:rPr>
              <w:t>6.平台具有实训启动程序接口</w:t>
            </w:r>
          </w:p>
          <w:p>
            <w:pPr>
              <w:pStyle w:val="208"/>
              <w:spacing w:line="276" w:lineRule="auto"/>
              <w:ind w:firstLine="0" w:firstLineChars="0"/>
              <w:jc w:val="left"/>
              <w:rPr>
                <w:rFonts w:ascii="宋体" w:hAnsi="宋体" w:cs="Arial"/>
                <w:szCs w:val="21"/>
              </w:rPr>
            </w:pPr>
            <w:r>
              <w:rPr>
                <w:rFonts w:hint="eastAsia" w:ascii="宋体" w:hAnsi="宋体" w:cs="Arial"/>
                <w:szCs w:val="21"/>
              </w:rPr>
              <w:t>该接口是指校级平台启动虚拟仿真资源后，校级平台向国家智慧教育服务平台虚拟仿真实训中心发起资源认证、用户认证等信息，虚拟仿真实训中心返回调用凭证、实习ID、accessToken等信息，供后续接口调用。</w:t>
            </w:r>
          </w:p>
          <w:p>
            <w:pPr>
              <w:pStyle w:val="208"/>
              <w:spacing w:line="276" w:lineRule="auto"/>
              <w:ind w:firstLine="0" w:firstLineChars="0"/>
              <w:jc w:val="left"/>
              <w:rPr>
                <w:rFonts w:ascii="宋体" w:hAnsi="宋体" w:cs="Arial"/>
                <w:szCs w:val="21"/>
              </w:rPr>
            </w:pPr>
            <w:r>
              <w:rPr>
                <w:rFonts w:hint="eastAsia" w:ascii="宋体" w:hAnsi="宋体" w:cs="Arial"/>
                <w:szCs w:val="21"/>
              </w:rPr>
              <w:t>7.平台具有实训过程数据接口</w:t>
            </w:r>
          </w:p>
          <w:p>
            <w:pPr>
              <w:pStyle w:val="208"/>
              <w:spacing w:line="276" w:lineRule="auto"/>
              <w:ind w:firstLine="0" w:firstLineChars="0"/>
              <w:jc w:val="left"/>
              <w:rPr>
                <w:rFonts w:ascii="宋体" w:hAnsi="宋体" w:cs="Arial"/>
                <w:szCs w:val="21"/>
              </w:rPr>
            </w:pPr>
            <w:r>
              <w:rPr>
                <w:rFonts w:hint="eastAsia" w:ascii="宋体" w:hAnsi="宋体" w:cs="Arial"/>
                <w:szCs w:val="21"/>
              </w:rPr>
              <w:t>该接口是指校级平台将用户做实训过程中的操作步骤数据上传到国家智慧教育服务平台虚拟仿真实训中心。主要包括：操作时间、步骤序号、步骤名称、实训位置、步骤描述、步骤满分值、是否是第一步、是否是最后一步、操作用时、当前步骤得分、累计分数、操作描述、操作评价、实验进度、开始时间、结束时间等内容。</w:t>
            </w:r>
          </w:p>
          <w:p>
            <w:pPr>
              <w:pStyle w:val="208"/>
              <w:spacing w:line="276" w:lineRule="auto"/>
              <w:ind w:firstLine="0" w:firstLineChars="0"/>
              <w:jc w:val="left"/>
              <w:rPr>
                <w:rFonts w:ascii="宋体" w:hAnsi="宋体" w:cs="Arial"/>
                <w:b/>
                <w:bCs/>
                <w:szCs w:val="21"/>
              </w:rPr>
            </w:pPr>
            <w:r>
              <w:rPr>
                <w:rFonts w:hint="eastAsia" w:ascii="宋体" w:hAnsi="宋体" w:cs="Arial"/>
                <w:szCs w:val="21"/>
              </w:rPr>
              <w:t>8.★具备国家要求的全国职业教育智慧大脑系统中需要的虚拟仿真相关的表信息，根据文件《全国职业教育智慧大脑院校中台 高职数据标准及接口规范》中涉及虚拟仿真的接口规范有如下两个: ODS_XNFZJDDWFWSJ、ODS_XNFZSZZYJBSJ，虚拟仿真平台能提供涉及这两项数据表中的相关数据。</w:t>
            </w:r>
            <w:r>
              <w:rPr>
                <w:rFonts w:hint="eastAsia" w:ascii="宋体" w:hAnsi="宋体" w:cs="Arial"/>
                <w:b/>
                <w:bCs/>
                <w:szCs w:val="21"/>
              </w:rPr>
              <w:t>（提供对接成功案例证明材料和抓取是这两个表的数据展示截图）</w:t>
            </w:r>
          </w:p>
          <w:p>
            <w:pPr>
              <w:pStyle w:val="208"/>
              <w:spacing w:line="276" w:lineRule="auto"/>
              <w:ind w:firstLine="0" w:firstLineChars="0"/>
              <w:jc w:val="left"/>
              <w:rPr>
                <w:rFonts w:ascii="宋体" w:hAnsi="宋体" w:cs="Arial"/>
                <w:b/>
                <w:bCs/>
                <w:szCs w:val="21"/>
              </w:rPr>
            </w:pPr>
            <w:r>
              <w:rPr>
                <w:rFonts w:hint="eastAsia" w:ascii="宋体" w:hAnsi="宋体" w:cs="Arial"/>
                <w:szCs w:val="21"/>
              </w:rPr>
              <w:t>9.●【演示项五】供应商应有虚拟仿真资源开放集成接口测试系统，提供在线联调功能；提供客户端、web等类型资源接入的标准化SDK；并免费开放使用，a.可用浏览器打开在线联调平台，可看到开放的接口说明、SDK说明以及对接可视化流程；b.在在线联调平台中接入任一实验，演示整个实验的调试过程：A:当调试过程中如调试失败，在调试界面及时获取系统给出的错误提示并支出错误原因；B:当调试成功，在调试界面及时给出调试成功说明；c.对接成功的实验，可以进一步集成到控制系统和教学软件中，可以对实验进行开课排课等，以满足各类虚拟仿真实验资源方便快捷接入学校虚拟仿真平台，并实现国家平台数据互通。</w:t>
            </w:r>
            <w:r>
              <w:rPr>
                <w:rFonts w:hint="eastAsia" w:ascii="宋体" w:hAnsi="宋体" w:cs="Arial"/>
                <w:b/>
                <w:bCs/>
                <w:szCs w:val="21"/>
              </w:rPr>
              <w:t>（要求提供该功能视频演示）</w:t>
            </w:r>
          </w:p>
          <w:p>
            <w:pPr>
              <w:pStyle w:val="208"/>
              <w:spacing w:line="276" w:lineRule="auto"/>
              <w:ind w:firstLine="0" w:firstLineChars="0"/>
              <w:jc w:val="left"/>
              <w:rPr>
                <w:rFonts w:ascii="宋体" w:hAnsi="宋体" w:cs="Arial"/>
                <w:szCs w:val="21"/>
              </w:rPr>
            </w:pPr>
            <w:r>
              <w:rPr>
                <w:rFonts w:hint="eastAsia" w:ascii="宋体" w:hAnsi="宋体" w:cs="Arial"/>
                <w:szCs w:val="21"/>
              </w:rPr>
              <w:t>（七）地下水开采设计与应用虚拟仿真实验系统建设</w:t>
            </w:r>
          </w:p>
          <w:p>
            <w:pPr>
              <w:pStyle w:val="208"/>
              <w:spacing w:line="276" w:lineRule="auto"/>
              <w:ind w:firstLine="0" w:firstLineChars="0"/>
              <w:jc w:val="left"/>
              <w:rPr>
                <w:rFonts w:ascii="宋体" w:hAnsi="宋体" w:cs="Arial"/>
                <w:szCs w:val="21"/>
              </w:rPr>
            </w:pPr>
            <w:r>
              <w:rPr>
                <w:rFonts w:hint="eastAsia" w:ascii="宋体" w:hAnsi="宋体" w:cs="Arial"/>
                <w:szCs w:val="21"/>
              </w:rPr>
              <w:t>1．本系统是针对地下水开采设计与应用配套开发的可在网上开展的虚拟实验课程，课程模拟真实实验中用到的器材和设备，提供与真实实验相似的实验环境；</w:t>
            </w:r>
          </w:p>
          <w:p>
            <w:pPr>
              <w:pStyle w:val="208"/>
              <w:spacing w:line="276" w:lineRule="auto"/>
              <w:ind w:firstLine="0" w:firstLineChars="0"/>
              <w:jc w:val="left"/>
              <w:rPr>
                <w:rFonts w:ascii="宋体" w:hAnsi="宋体" w:cs="Arial"/>
                <w:szCs w:val="21"/>
              </w:rPr>
            </w:pPr>
            <w:r>
              <w:rPr>
                <w:rFonts w:hint="eastAsia" w:ascii="宋体" w:hAnsi="宋体" w:cs="Arial"/>
                <w:szCs w:val="21"/>
              </w:rPr>
              <w:t>2．B/S结构，支持网页界面操作方式；</w:t>
            </w:r>
          </w:p>
          <w:p>
            <w:pPr>
              <w:pStyle w:val="208"/>
              <w:spacing w:line="276" w:lineRule="auto"/>
              <w:ind w:firstLine="0" w:firstLineChars="0"/>
              <w:jc w:val="left"/>
              <w:rPr>
                <w:rFonts w:ascii="宋体" w:hAnsi="宋体" w:cs="Arial"/>
                <w:szCs w:val="21"/>
              </w:rPr>
            </w:pPr>
            <w:r>
              <w:rPr>
                <w:rFonts w:hint="eastAsia" w:ascii="宋体" w:hAnsi="宋体" w:cs="Arial"/>
                <w:szCs w:val="21"/>
              </w:rPr>
              <w:t>3．流程步骤：每一个步骤是一个任务，引导学生一步一步操作，完成任务；</w:t>
            </w:r>
          </w:p>
          <w:p>
            <w:pPr>
              <w:pStyle w:val="208"/>
              <w:spacing w:line="276" w:lineRule="auto"/>
              <w:ind w:firstLine="0" w:firstLineChars="0"/>
              <w:jc w:val="left"/>
              <w:rPr>
                <w:rFonts w:ascii="宋体" w:hAnsi="宋体" w:cs="Arial"/>
                <w:szCs w:val="21"/>
              </w:rPr>
            </w:pPr>
            <w:r>
              <w:rPr>
                <w:rFonts w:hint="eastAsia" w:ascii="宋体" w:hAnsi="宋体" w:cs="Arial"/>
                <w:szCs w:val="21"/>
              </w:rPr>
              <w:t>4．操作不当可以进行提示；</w:t>
            </w:r>
          </w:p>
          <w:p>
            <w:pPr>
              <w:pStyle w:val="208"/>
              <w:spacing w:line="276" w:lineRule="auto"/>
              <w:ind w:firstLine="0" w:firstLineChars="0"/>
              <w:jc w:val="left"/>
              <w:rPr>
                <w:rFonts w:ascii="宋体" w:hAnsi="宋体" w:cs="Arial"/>
                <w:szCs w:val="21"/>
              </w:rPr>
            </w:pPr>
            <w:r>
              <w:rPr>
                <w:rFonts w:hint="eastAsia" w:ascii="宋体" w:hAnsi="宋体" w:cs="Arial"/>
                <w:szCs w:val="21"/>
              </w:rPr>
              <w:t>5．操作模式：有高亮提示和操作引导提示，引导学生操作和设备认知：</w:t>
            </w:r>
          </w:p>
          <w:p>
            <w:pPr>
              <w:pStyle w:val="208"/>
              <w:spacing w:line="276" w:lineRule="auto"/>
              <w:ind w:firstLine="0" w:firstLineChars="0"/>
              <w:jc w:val="left"/>
              <w:rPr>
                <w:rFonts w:ascii="宋体" w:hAnsi="宋体" w:cs="Arial"/>
                <w:szCs w:val="21"/>
              </w:rPr>
            </w:pPr>
            <w:r>
              <w:rPr>
                <w:rFonts w:hint="eastAsia" w:ascii="宋体" w:hAnsi="宋体" w:cs="Arial"/>
                <w:szCs w:val="21"/>
              </w:rPr>
              <w:t>6．自由模式：通过键盘鼠标配合使用，观察装置、设备视角：</w:t>
            </w:r>
          </w:p>
          <w:p>
            <w:pPr>
              <w:pStyle w:val="208"/>
              <w:spacing w:line="276" w:lineRule="auto"/>
              <w:ind w:firstLine="0" w:firstLineChars="0"/>
              <w:jc w:val="left"/>
              <w:rPr>
                <w:rFonts w:ascii="宋体" w:hAnsi="宋体" w:cs="Arial"/>
                <w:szCs w:val="21"/>
              </w:rPr>
            </w:pPr>
            <w:r>
              <w:rPr>
                <w:rFonts w:hint="eastAsia" w:ascii="宋体" w:hAnsi="宋体" w:cs="Arial"/>
                <w:szCs w:val="21"/>
              </w:rPr>
              <w:t>7．全屏功能：能最大化最小化实验界面；</w:t>
            </w:r>
          </w:p>
          <w:p>
            <w:pPr>
              <w:pStyle w:val="208"/>
              <w:spacing w:line="276" w:lineRule="auto"/>
              <w:ind w:firstLine="0" w:firstLineChars="0"/>
              <w:jc w:val="left"/>
              <w:rPr>
                <w:rFonts w:ascii="宋体" w:hAnsi="宋体" w:cs="Arial"/>
                <w:szCs w:val="21"/>
              </w:rPr>
            </w:pPr>
            <w:r>
              <w:rPr>
                <w:rFonts w:hint="eastAsia" w:ascii="宋体" w:hAnsi="宋体" w:cs="Arial"/>
                <w:szCs w:val="21"/>
              </w:rPr>
              <w:t>8．具有理论知识考核模块，通过模拟考题的形式对实验进行考核；</w:t>
            </w:r>
          </w:p>
          <w:p>
            <w:pPr>
              <w:pStyle w:val="208"/>
              <w:spacing w:line="276" w:lineRule="auto"/>
              <w:ind w:firstLine="0" w:firstLineChars="0"/>
              <w:jc w:val="left"/>
              <w:rPr>
                <w:rFonts w:ascii="宋体" w:hAnsi="宋体" w:cs="Arial"/>
                <w:szCs w:val="21"/>
              </w:rPr>
            </w:pPr>
            <w:r>
              <w:rPr>
                <w:rFonts w:hint="eastAsia" w:ascii="宋体" w:hAnsi="宋体" w:cs="Arial"/>
                <w:szCs w:val="21"/>
              </w:rPr>
              <w:t>9．设备认知：介绍实验过程中使用的设备。包括水位仪、采样器、水质测量仪、水泵、钻机、井等设备和场景。</w:t>
            </w:r>
          </w:p>
          <w:p>
            <w:pPr>
              <w:pStyle w:val="208"/>
              <w:spacing w:line="276" w:lineRule="auto"/>
              <w:ind w:firstLine="0" w:firstLineChars="0"/>
              <w:jc w:val="left"/>
              <w:rPr>
                <w:rFonts w:ascii="宋体" w:hAnsi="宋体" w:cs="Arial"/>
                <w:szCs w:val="21"/>
              </w:rPr>
            </w:pPr>
            <w:r>
              <w:rPr>
                <w:rFonts w:hint="eastAsia" w:ascii="宋体" w:hAnsi="宋体" w:cs="Arial"/>
                <w:szCs w:val="21"/>
              </w:rPr>
              <w:t>10．实验内容：共包括三个实验模块。</w:t>
            </w:r>
          </w:p>
          <w:p>
            <w:pPr>
              <w:pStyle w:val="208"/>
              <w:spacing w:line="276" w:lineRule="auto"/>
              <w:ind w:firstLine="0" w:firstLineChars="0"/>
              <w:jc w:val="left"/>
              <w:rPr>
                <w:rFonts w:ascii="宋体" w:hAnsi="宋体" w:cs="Arial"/>
                <w:szCs w:val="21"/>
              </w:rPr>
            </w:pPr>
            <w:r>
              <w:rPr>
                <w:rFonts w:hint="eastAsia" w:ascii="宋体" w:hAnsi="宋体" w:cs="Arial"/>
                <w:szCs w:val="21"/>
              </w:rPr>
              <w:t>10.1水文地质条件认知</w:t>
            </w:r>
          </w:p>
          <w:p>
            <w:pPr>
              <w:pStyle w:val="208"/>
              <w:spacing w:line="276" w:lineRule="auto"/>
              <w:ind w:firstLine="0" w:firstLineChars="0"/>
              <w:jc w:val="left"/>
              <w:rPr>
                <w:rFonts w:ascii="宋体" w:hAnsi="宋体" w:cs="Arial"/>
                <w:szCs w:val="21"/>
              </w:rPr>
            </w:pPr>
            <w:r>
              <w:rPr>
                <w:rFonts w:hint="eastAsia" w:ascii="宋体" w:hAnsi="宋体" w:cs="Arial"/>
                <w:szCs w:val="21"/>
              </w:rPr>
              <w:t>（1）在“实验项目选择菜单”中选择实验“场地漫游”，开始对水文地质条件进行认知。进入漫游场景页面，可对四个典型区（集中居民区、沿河区、滨海区和郊区）进行选择，支持显示区域缩略图；</w:t>
            </w:r>
          </w:p>
          <w:p>
            <w:pPr>
              <w:pStyle w:val="208"/>
              <w:spacing w:line="276" w:lineRule="auto"/>
              <w:ind w:firstLine="0" w:firstLineChars="0"/>
              <w:jc w:val="left"/>
              <w:rPr>
                <w:rFonts w:ascii="宋体" w:hAnsi="宋体" w:cs="Arial"/>
                <w:szCs w:val="21"/>
              </w:rPr>
            </w:pPr>
            <w:r>
              <w:rPr>
                <w:rFonts w:hint="eastAsia" w:ascii="宋体" w:hAnsi="宋体" w:cs="Arial"/>
                <w:szCs w:val="21"/>
              </w:rPr>
              <w:t>（2）四个典型区域共16个观察点，支持快速传送至观察点；</w:t>
            </w:r>
          </w:p>
          <w:p>
            <w:pPr>
              <w:pStyle w:val="208"/>
              <w:spacing w:line="276" w:lineRule="auto"/>
              <w:ind w:firstLine="0" w:firstLineChars="0"/>
              <w:jc w:val="left"/>
              <w:rPr>
                <w:rFonts w:ascii="宋体" w:hAnsi="宋体" w:cs="Arial"/>
                <w:szCs w:val="21"/>
              </w:rPr>
            </w:pPr>
            <w:r>
              <w:rPr>
                <w:rFonts w:hint="eastAsia" w:ascii="宋体" w:hAnsi="宋体" w:cs="Arial"/>
                <w:szCs w:val="21"/>
              </w:rPr>
              <w:t>（3）进入各场景后，运用工具背包中的水位仪测量水位，并记录地下水位数据；采样器移动至井口位置，采集地下水样品，测量水样水质，记录水质测试指标并获取地下水参数；</w:t>
            </w:r>
          </w:p>
          <w:p>
            <w:pPr>
              <w:pStyle w:val="208"/>
              <w:spacing w:line="276" w:lineRule="auto"/>
              <w:ind w:firstLine="0" w:firstLineChars="0"/>
              <w:jc w:val="left"/>
              <w:rPr>
                <w:rFonts w:ascii="宋体" w:hAnsi="宋体" w:cs="Arial"/>
                <w:szCs w:val="21"/>
              </w:rPr>
            </w:pPr>
            <w:r>
              <w:rPr>
                <w:rFonts w:hint="eastAsia" w:ascii="宋体" w:hAnsi="宋体" w:cs="Arial"/>
                <w:szCs w:val="21"/>
              </w:rPr>
              <w:t>（4）进入沿河区场景的水文循环观察点，了解地表水与地下水转换关系；</w:t>
            </w:r>
          </w:p>
          <w:p>
            <w:pPr>
              <w:pStyle w:val="208"/>
              <w:spacing w:line="276" w:lineRule="auto"/>
              <w:ind w:firstLine="0" w:firstLineChars="0"/>
              <w:jc w:val="left"/>
              <w:rPr>
                <w:rFonts w:ascii="宋体" w:hAnsi="宋体" w:cs="Arial"/>
                <w:szCs w:val="21"/>
              </w:rPr>
            </w:pPr>
            <w:r>
              <w:rPr>
                <w:rFonts w:hint="eastAsia" w:ascii="宋体" w:hAnsi="宋体" w:cs="Arial"/>
                <w:szCs w:val="21"/>
              </w:rPr>
              <w:t>（5）场景漫游结束后，完成自测题考核。</w:t>
            </w:r>
          </w:p>
          <w:p>
            <w:pPr>
              <w:pStyle w:val="208"/>
              <w:spacing w:line="276" w:lineRule="auto"/>
              <w:ind w:firstLine="0" w:firstLineChars="0"/>
              <w:jc w:val="left"/>
              <w:rPr>
                <w:rFonts w:ascii="宋体" w:hAnsi="宋体" w:cs="Arial"/>
                <w:szCs w:val="21"/>
              </w:rPr>
            </w:pPr>
            <w:r>
              <w:rPr>
                <w:rFonts w:hint="eastAsia" w:ascii="宋体" w:hAnsi="宋体" w:cs="Arial"/>
                <w:szCs w:val="21"/>
              </w:rPr>
              <w:t>10.2参数实验模块</w:t>
            </w:r>
          </w:p>
          <w:p>
            <w:pPr>
              <w:pStyle w:val="208"/>
              <w:spacing w:line="276" w:lineRule="auto"/>
              <w:ind w:firstLine="0" w:firstLineChars="0"/>
              <w:jc w:val="left"/>
              <w:rPr>
                <w:rFonts w:ascii="宋体" w:hAnsi="宋体" w:cs="Arial"/>
                <w:szCs w:val="21"/>
              </w:rPr>
            </w:pPr>
            <w:r>
              <w:rPr>
                <w:rFonts w:hint="eastAsia" w:ascii="宋体" w:hAnsi="宋体" w:cs="Arial"/>
                <w:szCs w:val="21"/>
              </w:rPr>
              <w:t>（1）在“实验项目选择菜单”中选择实验“参数实验”，包含抽水实验、钻探实验。</w:t>
            </w:r>
          </w:p>
          <w:p>
            <w:pPr>
              <w:pStyle w:val="208"/>
              <w:spacing w:line="276" w:lineRule="auto"/>
              <w:ind w:firstLine="0" w:firstLineChars="0"/>
              <w:jc w:val="left"/>
              <w:rPr>
                <w:rFonts w:ascii="宋体" w:hAnsi="宋体" w:cs="Arial"/>
                <w:szCs w:val="21"/>
              </w:rPr>
            </w:pPr>
            <w:r>
              <w:rPr>
                <w:rFonts w:hint="eastAsia" w:ascii="宋体" w:hAnsi="宋体" w:cs="Arial"/>
                <w:szCs w:val="21"/>
              </w:rPr>
              <w:t>（2）在沙盘上任意选择合适的抽水实验位置，若实验点不符合施工要求，系统将会给出提示，则需重新选择。学习抽水实验原理及基本方法，认识抽水实验仪器及使用原理等。</w:t>
            </w:r>
          </w:p>
          <w:p>
            <w:pPr>
              <w:pStyle w:val="208"/>
              <w:spacing w:line="276" w:lineRule="auto"/>
              <w:ind w:firstLine="0" w:firstLineChars="0"/>
              <w:jc w:val="left"/>
              <w:rPr>
                <w:rFonts w:ascii="宋体" w:hAnsi="宋体" w:cs="Arial"/>
                <w:szCs w:val="21"/>
              </w:rPr>
            </w:pPr>
            <w:r>
              <w:rPr>
                <w:rFonts w:hint="eastAsia" w:ascii="宋体" w:hAnsi="宋体" w:cs="Arial"/>
                <w:szCs w:val="21"/>
              </w:rPr>
              <w:t>（3）在地面放置钻机，观察抽水实验过程，依次将井、矩形堰、水泵及水位计放置到高亮位置，完成抽水实验准备工作后，点击确定开始抽水实验，放置秒表、水位计及流量计。待水位计与流量计数值稳定后，在数据记录表中记录水位及涌水量数据，点击确定，记录下一组数据，其中降深数据通过计算得出。</w:t>
            </w:r>
          </w:p>
          <w:p>
            <w:pPr>
              <w:pStyle w:val="208"/>
              <w:spacing w:line="276" w:lineRule="auto"/>
              <w:ind w:firstLine="0" w:firstLineChars="0"/>
              <w:jc w:val="left"/>
              <w:rPr>
                <w:rFonts w:ascii="宋体" w:hAnsi="宋体" w:cs="Arial"/>
                <w:szCs w:val="21"/>
              </w:rPr>
            </w:pPr>
            <w:r>
              <w:rPr>
                <w:rFonts w:hint="eastAsia" w:ascii="宋体" w:hAnsi="宋体" w:cs="Arial"/>
                <w:szCs w:val="21"/>
              </w:rPr>
              <w:t>（4）记录3组抽水实验数据，随后根据数据获取降深及涌水量随时间变化曲线，了解抽水实验涌水量及降深随时间变化的特征。</w:t>
            </w:r>
          </w:p>
          <w:p>
            <w:pPr>
              <w:pStyle w:val="208"/>
              <w:spacing w:line="276" w:lineRule="auto"/>
              <w:ind w:firstLine="0" w:firstLineChars="0"/>
              <w:jc w:val="left"/>
              <w:rPr>
                <w:rFonts w:ascii="宋体" w:hAnsi="宋体" w:cs="Arial"/>
                <w:szCs w:val="21"/>
              </w:rPr>
            </w:pPr>
            <w:r>
              <w:rPr>
                <w:rFonts w:hint="eastAsia" w:ascii="宋体" w:hAnsi="宋体" w:cs="Arial"/>
                <w:szCs w:val="21"/>
              </w:rPr>
              <w:t>（5）在钻探实验场地，放置钻机，观察钻探及岩芯采集过程。支持对不同地层岩芯柱状图进行学习，查看区域抽水实验与钻孔实验参数计算结果。</w:t>
            </w:r>
          </w:p>
          <w:p>
            <w:pPr>
              <w:pStyle w:val="208"/>
              <w:spacing w:line="276" w:lineRule="auto"/>
              <w:ind w:firstLine="0" w:firstLineChars="0"/>
              <w:jc w:val="left"/>
              <w:rPr>
                <w:rFonts w:ascii="宋体" w:hAnsi="宋体" w:cs="Arial"/>
                <w:szCs w:val="21"/>
              </w:rPr>
            </w:pPr>
            <w:r>
              <w:rPr>
                <w:rFonts w:hint="eastAsia" w:ascii="宋体" w:hAnsi="宋体" w:cs="Arial"/>
                <w:szCs w:val="21"/>
              </w:rPr>
              <w:t>10.3开采实验</w:t>
            </w:r>
          </w:p>
          <w:p>
            <w:pPr>
              <w:pStyle w:val="208"/>
              <w:spacing w:line="276" w:lineRule="auto"/>
              <w:ind w:firstLine="0" w:firstLineChars="0"/>
              <w:jc w:val="left"/>
              <w:rPr>
                <w:rFonts w:ascii="宋体" w:hAnsi="宋体" w:cs="Arial"/>
                <w:szCs w:val="21"/>
              </w:rPr>
            </w:pPr>
            <w:r>
              <w:rPr>
                <w:rFonts w:hint="eastAsia" w:ascii="宋体" w:hAnsi="宋体" w:cs="Arial"/>
                <w:szCs w:val="21"/>
              </w:rPr>
              <w:t>（1）在“实验项目选择菜单”中选择实验“开采优化实验”，选择一个目标进行地下水开采方案设计。</w:t>
            </w:r>
          </w:p>
          <w:p>
            <w:pPr>
              <w:pStyle w:val="208"/>
              <w:spacing w:line="276" w:lineRule="auto"/>
              <w:ind w:firstLine="0" w:firstLineChars="0"/>
              <w:jc w:val="left"/>
              <w:rPr>
                <w:rFonts w:ascii="宋体" w:hAnsi="宋体" w:cs="Arial"/>
                <w:szCs w:val="21"/>
              </w:rPr>
            </w:pPr>
            <w:r>
              <w:rPr>
                <w:rFonts w:hint="eastAsia" w:ascii="宋体" w:hAnsi="宋体" w:cs="Arial"/>
                <w:szCs w:val="21"/>
              </w:rPr>
              <w:t>（2）选择开采点，了解地下水开采设计选点的基本方法，输入渗透系数、降水入渗系数、弹性释水系数及开采量等参数。通过控制变量法，可设置不同参数探究对地下水循环的影响，观察地下水流场的变化。</w:t>
            </w:r>
          </w:p>
          <w:p>
            <w:pPr>
              <w:pStyle w:val="208"/>
              <w:spacing w:line="276" w:lineRule="auto"/>
              <w:ind w:firstLine="0" w:firstLineChars="0"/>
              <w:jc w:val="left"/>
              <w:rPr>
                <w:rFonts w:ascii="宋体" w:hAnsi="宋体" w:cs="Arial"/>
                <w:szCs w:val="21"/>
              </w:rPr>
            </w:pPr>
            <w:r>
              <w:rPr>
                <w:rFonts w:hint="eastAsia" w:ascii="宋体" w:hAnsi="宋体" w:cs="Arial"/>
                <w:szCs w:val="21"/>
              </w:rPr>
              <w:t>11．★需提供以下功能演示：</w:t>
            </w:r>
            <w:r>
              <w:rPr>
                <w:rFonts w:hint="eastAsia" w:ascii="宋体" w:hAnsi="宋体" w:cs="Arial"/>
                <w:b/>
                <w:bCs/>
                <w:szCs w:val="21"/>
              </w:rPr>
              <w:t>（要求提供该功能视频证明材料）</w:t>
            </w:r>
          </w:p>
          <w:p>
            <w:pPr>
              <w:pStyle w:val="208"/>
              <w:spacing w:line="276" w:lineRule="auto"/>
              <w:ind w:firstLine="0" w:firstLineChars="0"/>
              <w:jc w:val="left"/>
              <w:rPr>
                <w:rFonts w:ascii="宋体" w:hAnsi="宋体" w:cs="Arial"/>
                <w:szCs w:val="21"/>
              </w:rPr>
            </w:pPr>
            <w:r>
              <w:rPr>
                <w:rFonts w:hint="eastAsia" w:ascii="宋体" w:hAnsi="宋体" w:cs="Arial"/>
                <w:szCs w:val="21"/>
              </w:rPr>
              <w:t>（1）演示抽水实验：</w:t>
            </w:r>
          </w:p>
          <w:p>
            <w:pPr>
              <w:pStyle w:val="208"/>
              <w:spacing w:line="276" w:lineRule="auto"/>
              <w:ind w:firstLine="0" w:firstLineChars="0"/>
              <w:jc w:val="left"/>
              <w:rPr>
                <w:rFonts w:ascii="宋体" w:hAnsi="宋体" w:cs="Arial"/>
                <w:szCs w:val="21"/>
              </w:rPr>
            </w:pPr>
            <w:r>
              <w:rPr>
                <w:rFonts w:hint="eastAsia" w:ascii="宋体" w:hAnsi="宋体" w:cs="Arial"/>
                <w:szCs w:val="21"/>
              </w:rPr>
              <w:t>a）在沙盘上任意选择合适的抽水实验位置，若实验点不符合施工要求，系统将会给出提示，则需重新选择。学习抽水实验原理及基本方法，认识抽水实验仪器及使用原理等。</w:t>
            </w:r>
          </w:p>
          <w:p>
            <w:pPr>
              <w:pStyle w:val="208"/>
              <w:spacing w:line="276" w:lineRule="auto"/>
              <w:ind w:firstLine="0" w:firstLineChars="0"/>
              <w:jc w:val="left"/>
              <w:rPr>
                <w:rFonts w:ascii="宋体" w:hAnsi="宋体" w:cs="Arial"/>
                <w:szCs w:val="21"/>
              </w:rPr>
            </w:pPr>
            <w:r>
              <w:rPr>
                <w:rFonts w:hint="eastAsia" w:ascii="宋体" w:hAnsi="宋体" w:cs="Arial"/>
                <w:szCs w:val="21"/>
              </w:rPr>
              <w:t>b）在地面放置钻机，观察抽水实验过程，依次将井、矩形堰、水泵及水位计放置到高亮位置，完成抽水实验准备工作后，点击确定开始抽水实验，放置秒表、水位计及流量计。待水位计与流量计数值稳定后，在数据记录表中记录水位及涌水量数据，点击确定，记录下一组数据，其中降深数据通过计算得出。</w:t>
            </w:r>
          </w:p>
          <w:p>
            <w:pPr>
              <w:pStyle w:val="208"/>
              <w:spacing w:line="276" w:lineRule="auto"/>
              <w:ind w:firstLine="0" w:firstLineChars="0"/>
              <w:jc w:val="left"/>
              <w:rPr>
                <w:rFonts w:ascii="宋体" w:hAnsi="宋体" w:cs="Arial"/>
                <w:szCs w:val="21"/>
              </w:rPr>
            </w:pPr>
            <w:r>
              <w:rPr>
                <w:rFonts w:hint="eastAsia" w:ascii="宋体" w:hAnsi="宋体" w:cs="Arial"/>
                <w:szCs w:val="21"/>
              </w:rPr>
              <w:t>c）记录3组抽水实验数据，随后根据数据获取降深及涌水量随时间变化曲线，了解抽水实验涌水量及降深随时间变化的特征。</w:t>
            </w:r>
          </w:p>
          <w:p>
            <w:pPr>
              <w:pStyle w:val="208"/>
              <w:spacing w:line="276" w:lineRule="auto"/>
              <w:ind w:firstLine="0" w:firstLineChars="0"/>
              <w:jc w:val="left"/>
              <w:rPr>
                <w:rFonts w:ascii="宋体" w:hAnsi="宋体" w:cs="Arial"/>
                <w:szCs w:val="21"/>
              </w:rPr>
            </w:pPr>
            <w:r>
              <w:rPr>
                <w:rFonts w:hint="eastAsia" w:ascii="宋体" w:hAnsi="宋体" w:cs="Arial"/>
                <w:szCs w:val="21"/>
              </w:rPr>
              <w:t>（2）演示钻探实验：</w:t>
            </w:r>
          </w:p>
          <w:p>
            <w:pPr>
              <w:pStyle w:val="208"/>
              <w:spacing w:line="276" w:lineRule="auto"/>
              <w:ind w:firstLine="0" w:firstLineChars="0"/>
              <w:jc w:val="left"/>
              <w:rPr>
                <w:rFonts w:ascii="宋体" w:hAnsi="宋体" w:cs="Arial"/>
                <w:szCs w:val="21"/>
              </w:rPr>
            </w:pPr>
            <w:r>
              <w:rPr>
                <w:rFonts w:hint="eastAsia" w:ascii="宋体" w:hAnsi="宋体" w:cs="Arial"/>
                <w:szCs w:val="21"/>
              </w:rPr>
              <w:t>a）在钻探实验场地，放置钻机，观察钻探及岩芯采集过程。支持对不同地层岩芯柱状图进行学习，查看区域抽水实验与钻孔实验参数计算结果。</w:t>
            </w:r>
          </w:p>
          <w:p>
            <w:pPr>
              <w:pStyle w:val="208"/>
              <w:spacing w:line="276" w:lineRule="auto"/>
              <w:ind w:firstLine="0" w:firstLineChars="0"/>
              <w:jc w:val="left"/>
              <w:rPr>
                <w:rFonts w:ascii="宋体" w:hAnsi="宋体" w:cs="Arial"/>
                <w:szCs w:val="21"/>
              </w:rPr>
            </w:pPr>
            <w:r>
              <w:rPr>
                <w:rFonts w:hint="eastAsia" w:ascii="宋体" w:hAnsi="宋体" w:cs="Arial"/>
                <w:szCs w:val="21"/>
              </w:rPr>
              <w:t>（八）泄流操作及设计虚拟仿真实验建设</w:t>
            </w:r>
          </w:p>
          <w:p>
            <w:pPr>
              <w:pStyle w:val="208"/>
              <w:spacing w:line="276" w:lineRule="auto"/>
              <w:ind w:firstLine="0" w:firstLineChars="0"/>
              <w:jc w:val="left"/>
              <w:rPr>
                <w:rFonts w:ascii="宋体" w:hAnsi="宋体" w:cs="Arial"/>
                <w:szCs w:val="21"/>
              </w:rPr>
            </w:pPr>
            <w:r>
              <w:rPr>
                <w:rFonts w:hint="eastAsia" w:ascii="宋体" w:hAnsi="宋体" w:cs="Arial"/>
                <w:szCs w:val="21"/>
              </w:rPr>
              <w:t>1．本系统是针对溢流坝泄流配套开发的可在网上开展的虚拟实验课程，课程模拟真实实验中用到的器材和设备，提供与真实实验相似的实验环境；</w:t>
            </w:r>
          </w:p>
          <w:p>
            <w:pPr>
              <w:pStyle w:val="208"/>
              <w:spacing w:line="276" w:lineRule="auto"/>
              <w:ind w:firstLine="0" w:firstLineChars="0"/>
              <w:jc w:val="left"/>
              <w:rPr>
                <w:rFonts w:ascii="宋体" w:hAnsi="宋体" w:cs="Arial"/>
                <w:szCs w:val="21"/>
              </w:rPr>
            </w:pPr>
            <w:r>
              <w:rPr>
                <w:rFonts w:hint="eastAsia" w:ascii="宋体" w:hAnsi="宋体" w:cs="Arial"/>
                <w:szCs w:val="21"/>
              </w:rPr>
              <w:t>2．B/S结构，支持网页界面操作方式；</w:t>
            </w:r>
          </w:p>
          <w:p>
            <w:pPr>
              <w:pStyle w:val="208"/>
              <w:spacing w:line="276" w:lineRule="auto"/>
              <w:ind w:firstLine="0" w:firstLineChars="0"/>
              <w:jc w:val="left"/>
              <w:rPr>
                <w:rFonts w:ascii="宋体" w:hAnsi="宋体" w:cs="Arial"/>
                <w:szCs w:val="21"/>
              </w:rPr>
            </w:pPr>
            <w:r>
              <w:rPr>
                <w:rFonts w:hint="eastAsia" w:ascii="宋体" w:hAnsi="宋体" w:cs="Arial"/>
                <w:szCs w:val="21"/>
              </w:rPr>
              <w:t>3．流程步骤：每一个步骤是一个任务，引导学生一步一步操作，完成任务；</w:t>
            </w:r>
          </w:p>
          <w:p>
            <w:pPr>
              <w:pStyle w:val="208"/>
              <w:spacing w:line="276" w:lineRule="auto"/>
              <w:ind w:firstLine="0" w:firstLineChars="0"/>
              <w:jc w:val="left"/>
              <w:rPr>
                <w:rFonts w:ascii="宋体" w:hAnsi="宋体" w:cs="Arial"/>
                <w:szCs w:val="21"/>
              </w:rPr>
            </w:pPr>
            <w:r>
              <w:rPr>
                <w:rFonts w:hint="eastAsia" w:ascii="宋体" w:hAnsi="宋体" w:cs="Arial"/>
                <w:szCs w:val="21"/>
              </w:rPr>
              <w:t>4．操作不当可以进行提示；</w:t>
            </w:r>
          </w:p>
          <w:p>
            <w:pPr>
              <w:pStyle w:val="208"/>
              <w:spacing w:line="276" w:lineRule="auto"/>
              <w:ind w:firstLine="0" w:firstLineChars="0"/>
              <w:jc w:val="left"/>
              <w:rPr>
                <w:rFonts w:ascii="宋体" w:hAnsi="宋体" w:cs="Arial"/>
                <w:szCs w:val="21"/>
              </w:rPr>
            </w:pPr>
            <w:r>
              <w:rPr>
                <w:rFonts w:hint="eastAsia" w:ascii="宋体" w:hAnsi="宋体" w:cs="Arial"/>
                <w:szCs w:val="21"/>
              </w:rPr>
              <w:t>5．操作模式：有高亮提示和操作引导提示，引导学生操作和设备认知：</w:t>
            </w:r>
          </w:p>
          <w:p>
            <w:pPr>
              <w:pStyle w:val="208"/>
              <w:spacing w:line="276" w:lineRule="auto"/>
              <w:ind w:firstLine="0" w:firstLineChars="0"/>
              <w:jc w:val="left"/>
              <w:rPr>
                <w:rFonts w:ascii="宋体" w:hAnsi="宋体" w:cs="Arial"/>
                <w:szCs w:val="21"/>
              </w:rPr>
            </w:pPr>
            <w:r>
              <w:rPr>
                <w:rFonts w:hint="eastAsia" w:ascii="宋体" w:hAnsi="宋体" w:cs="Arial"/>
                <w:szCs w:val="21"/>
              </w:rPr>
              <w:t>6．自由模式：通过键盘鼠标配合使用，观察装置、设备视角：</w:t>
            </w:r>
          </w:p>
          <w:p>
            <w:pPr>
              <w:pStyle w:val="208"/>
              <w:spacing w:line="276" w:lineRule="auto"/>
              <w:ind w:firstLine="0" w:firstLineChars="0"/>
              <w:jc w:val="left"/>
              <w:rPr>
                <w:rFonts w:ascii="宋体" w:hAnsi="宋体" w:cs="Arial"/>
                <w:szCs w:val="21"/>
              </w:rPr>
            </w:pPr>
            <w:r>
              <w:rPr>
                <w:rFonts w:hint="eastAsia" w:ascii="宋体" w:hAnsi="宋体" w:cs="Arial"/>
                <w:szCs w:val="21"/>
              </w:rPr>
              <w:t>7．全屏功能：能最大化最小化实验界面；</w:t>
            </w:r>
          </w:p>
          <w:p>
            <w:pPr>
              <w:pStyle w:val="208"/>
              <w:spacing w:line="276" w:lineRule="auto"/>
              <w:ind w:firstLine="0" w:firstLineChars="0"/>
              <w:jc w:val="left"/>
              <w:rPr>
                <w:rFonts w:ascii="宋体" w:hAnsi="宋体" w:cs="Arial"/>
                <w:szCs w:val="21"/>
              </w:rPr>
            </w:pPr>
            <w:r>
              <w:rPr>
                <w:rFonts w:hint="eastAsia" w:ascii="宋体" w:hAnsi="宋体" w:cs="Arial"/>
                <w:szCs w:val="21"/>
              </w:rPr>
              <w:t>8．具有理论知识考核模块，通过模拟考题的形式对实验进行考核；</w:t>
            </w:r>
          </w:p>
          <w:p>
            <w:pPr>
              <w:pStyle w:val="208"/>
              <w:spacing w:line="276" w:lineRule="auto"/>
              <w:ind w:firstLine="0" w:firstLineChars="0"/>
              <w:jc w:val="left"/>
              <w:rPr>
                <w:rFonts w:ascii="宋体" w:hAnsi="宋体" w:cs="Arial"/>
                <w:szCs w:val="21"/>
              </w:rPr>
            </w:pPr>
            <w:r>
              <w:rPr>
                <w:rFonts w:hint="eastAsia" w:ascii="宋体" w:hAnsi="宋体" w:cs="Arial"/>
                <w:szCs w:val="21"/>
              </w:rPr>
              <w:t>9．系统采用3dmax建模软件建设模拟真实实验相似场景、设备。</w:t>
            </w:r>
          </w:p>
          <w:p>
            <w:pPr>
              <w:pStyle w:val="208"/>
              <w:spacing w:line="276" w:lineRule="auto"/>
              <w:ind w:firstLine="0" w:firstLineChars="0"/>
              <w:jc w:val="left"/>
              <w:rPr>
                <w:rFonts w:ascii="宋体" w:hAnsi="宋体" w:cs="Arial"/>
                <w:szCs w:val="21"/>
              </w:rPr>
            </w:pPr>
            <w:r>
              <w:rPr>
                <w:rFonts w:hint="eastAsia" w:ascii="宋体" w:hAnsi="宋体" w:cs="Arial"/>
                <w:szCs w:val="21"/>
              </w:rPr>
              <w:t>10．实验内容：</w:t>
            </w:r>
          </w:p>
          <w:p>
            <w:pPr>
              <w:pStyle w:val="208"/>
              <w:spacing w:line="276" w:lineRule="auto"/>
              <w:ind w:firstLine="0" w:firstLineChars="0"/>
              <w:jc w:val="left"/>
              <w:rPr>
                <w:rFonts w:ascii="宋体" w:hAnsi="宋体" w:cs="Arial"/>
                <w:szCs w:val="21"/>
              </w:rPr>
            </w:pPr>
            <w:r>
              <w:rPr>
                <w:rFonts w:hint="eastAsia" w:ascii="宋体" w:hAnsi="宋体" w:cs="Arial"/>
                <w:szCs w:val="21"/>
              </w:rPr>
              <w:t>包含溢流坝设计和溢流坝泄流消能。</w:t>
            </w:r>
          </w:p>
          <w:p>
            <w:pPr>
              <w:pStyle w:val="208"/>
              <w:spacing w:line="276" w:lineRule="auto"/>
              <w:ind w:firstLine="0" w:firstLineChars="0"/>
              <w:jc w:val="left"/>
              <w:rPr>
                <w:rFonts w:ascii="宋体" w:hAnsi="宋体" w:cs="Arial"/>
                <w:szCs w:val="21"/>
              </w:rPr>
            </w:pPr>
            <w:r>
              <w:rPr>
                <w:rFonts w:hint="eastAsia" w:ascii="宋体" w:hAnsi="宋体" w:cs="Arial"/>
                <w:szCs w:val="21"/>
              </w:rPr>
              <w:t>（1）设备认知：包含有闸墩、闸门和启闭机三种设备的认知学习；</w:t>
            </w:r>
          </w:p>
          <w:p>
            <w:pPr>
              <w:pStyle w:val="208"/>
              <w:spacing w:line="276" w:lineRule="auto"/>
              <w:ind w:firstLine="0" w:firstLineChars="0"/>
              <w:jc w:val="left"/>
              <w:rPr>
                <w:rFonts w:ascii="宋体" w:hAnsi="宋体" w:cs="Arial"/>
                <w:szCs w:val="21"/>
              </w:rPr>
            </w:pPr>
            <w:r>
              <w:rPr>
                <w:rFonts w:hint="eastAsia" w:ascii="宋体" w:hAnsi="宋体" w:cs="Arial"/>
                <w:szCs w:val="21"/>
              </w:rPr>
              <w:t>（2）溢流坝设计包含基础设置、孔口布置、闸门和启闭机设置、闸墩设置、剖面设计、消能防冲、溢流坝自由搭建、溢流坝泄流等内容；</w:t>
            </w:r>
          </w:p>
          <w:p>
            <w:pPr>
              <w:pStyle w:val="208"/>
              <w:spacing w:line="276" w:lineRule="auto"/>
              <w:ind w:firstLine="0" w:firstLineChars="0"/>
              <w:jc w:val="left"/>
              <w:rPr>
                <w:rFonts w:ascii="宋体" w:hAnsi="宋体" w:cs="Arial"/>
                <w:szCs w:val="21"/>
              </w:rPr>
            </w:pPr>
            <w:r>
              <w:rPr>
                <w:rFonts w:hint="eastAsia" w:ascii="宋体" w:hAnsi="宋体" w:cs="Arial"/>
                <w:szCs w:val="21"/>
              </w:rPr>
              <w:t>（3）基础设置：设置溢流坝的泄水方式和溢流坝段的横缝；</w:t>
            </w:r>
          </w:p>
          <w:p>
            <w:pPr>
              <w:pStyle w:val="208"/>
              <w:spacing w:line="276" w:lineRule="auto"/>
              <w:ind w:firstLine="0" w:firstLineChars="0"/>
              <w:jc w:val="left"/>
              <w:rPr>
                <w:rFonts w:ascii="宋体" w:hAnsi="宋体" w:cs="Arial"/>
                <w:szCs w:val="21"/>
              </w:rPr>
            </w:pPr>
            <w:r>
              <w:rPr>
                <w:rFonts w:hint="eastAsia" w:ascii="宋体" w:hAnsi="宋体" w:cs="Arial"/>
                <w:szCs w:val="21"/>
              </w:rPr>
              <w:t>（4）孔口布置：需要设定下泄水量数值、河道宽度和地质条件等内容；</w:t>
            </w:r>
          </w:p>
          <w:p>
            <w:pPr>
              <w:pStyle w:val="208"/>
              <w:spacing w:line="276" w:lineRule="auto"/>
              <w:ind w:firstLine="0" w:firstLineChars="0"/>
              <w:jc w:val="left"/>
              <w:rPr>
                <w:rFonts w:ascii="宋体" w:hAnsi="宋体" w:cs="Arial"/>
                <w:szCs w:val="21"/>
              </w:rPr>
            </w:pPr>
            <w:r>
              <w:rPr>
                <w:rFonts w:hint="eastAsia" w:ascii="宋体" w:hAnsi="宋体" w:cs="Arial"/>
                <w:szCs w:val="21"/>
              </w:rPr>
              <w:t>（5）闸门和启闭机设置：设置闸门形式、宽度、高度，根据闸门的设置选择合适的启闭机；</w:t>
            </w:r>
          </w:p>
          <w:p>
            <w:pPr>
              <w:pStyle w:val="208"/>
              <w:spacing w:line="276" w:lineRule="auto"/>
              <w:ind w:firstLine="0" w:firstLineChars="0"/>
              <w:jc w:val="left"/>
              <w:rPr>
                <w:rFonts w:ascii="宋体" w:hAnsi="宋体" w:cs="Arial"/>
                <w:szCs w:val="21"/>
              </w:rPr>
            </w:pPr>
            <w:r>
              <w:rPr>
                <w:rFonts w:hint="eastAsia" w:ascii="宋体" w:hAnsi="宋体" w:cs="Arial"/>
                <w:szCs w:val="21"/>
              </w:rPr>
              <w:t>（6）闸墩设置：闸墩的断面形状判断和闸墩尺寸设计；</w:t>
            </w:r>
          </w:p>
          <w:p>
            <w:pPr>
              <w:pStyle w:val="208"/>
              <w:spacing w:line="276" w:lineRule="auto"/>
              <w:ind w:firstLine="0" w:firstLineChars="0"/>
              <w:jc w:val="left"/>
              <w:rPr>
                <w:rFonts w:ascii="宋体" w:hAnsi="宋体" w:cs="Arial"/>
                <w:szCs w:val="21"/>
              </w:rPr>
            </w:pPr>
            <w:r>
              <w:rPr>
                <w:rFonts w:hint="eastAsia" w:ascii="宋体" w:hAnsi="宋体" w:cs="Arial"/>
                <w:szCs w:val="21"/>
              </w:rPr>
              <w:t>（7）剖面设计：溢流堰剖面设计包含WES型溢流堰堰面、反弧段和中间直线段三个部分的设计；</w:t>
            </w:r>
          </w:p>
          <w:p>
            <w:pPr>
              <w:pStyle w:val="208"/>
              <w:spacing w:line="276" w:lineRule="auto"/>
              <w:ind w:firstLine="0" w:firstLineChars="0"/>
              <w:jc w:val="left"/>
              <w:rPr>
                <w:rFonts w:ascii="宋体" w:hAnsi="宋体" w:cs="Arial"/>
                <w:szCs w:val="21"/>
              </w:rPr>
            </w:pPr>
            <w:r>
              <w:rPr>
                <w:rFonts w:hint="eastAsia" w:ascii="宋体" w:hAnsi="宋体" w:cs="Arial"/>
                <w:szCs w:val="21"/>
              </w:rPr>
              <w:t>（8）消能防冲：进行消能防冲和底流消能的基础设置；</w:t>
            </w:r>
          </w:p>
          <w:p>
            <w:pPr>
              <w:pStyle w:val="208"/>
              <w:spacing w:line="276" w:lineRule="auto"/>
              <w:ind w:firstLine="0" w:firstLineChars="0"/>
              <w:jc w:val="left"/>
              <w:rPr>
                <w:rFonts w:ascii="宋体" w:hAnsi="宋体" w:cs="Arial"/>
                <w:szCs w:val="21"/>
              </w:rPr>
            </w:pPr>
            <w:r>
              <w:rPr>
                <w:rFonts w:hint="eastAsia" w:ascii="宋体" w:hAnsi="宋体" w:cs="Arial"/>
                <w:szCs w:val="21"/>
              </w:rPr>
              <w:t>（9）溢流坝自由搭建：从库中选择部件自由组建完整的溢流坝，可对每个部分构造进行缩放旋转等操作；</w:t>
            </w:r>
          </w:p>
          <w:p>
            <w:pPr>
              <w:pStyle w:val="208"/>
              <w:spacing w:line="276" w:lineRule="auto"/>
              <w:ind w:firstLine="0" w:firstLineChars="0"/>
              <w:jc w:val="left"/>
              <w:rPr>
                <w:rFonts w:ascii="宋体" w:hAnsi="宋体" w:cs="Arial"/>
                <w:szCs w:val="21"/>
              </w:rPr>
            </w:pPr>
            <w:r>
              <w:rPr>
                <w:rFonts w:hint="eastAsia" w:ascii="宋体" w:hAnsi="宋体" w:cs="Arial"/>
                <w:szCs w:val="21"/>
              </w:rPr>
              <w:t>（10）流坝泄流：自由搭建的溢流坝泄流动画。</w:t>
            </w:r>
          </w:p>
          <w:p>
            <w:pPr>
              <w:pStyle w:val="208"/>
              <w:spacing w:line="276" w:lineRule="auto"/>
              <w:ind w:firstLine="0" w:firstLineChars="0"/>
              <w:jc w:val="left"/>
              <w:rPr>
                <w:rFonts w:ascii="宋体" w:hAnsi="宋体" w:cs="Arial"/>
                <w:szCs w:val="21"/>
              </w:rPr>
            </w:pPr>
            <w:r>
              <w:rPr>
                <w:rFonts w:hint="eastAsia" w:ascii="宋体" w:hAnsi="宋体" w:cs="Arial"/>
                <w:szCs w:val="21"/>
              </w:rPr>
              <w:t>11．●【演示项六】需提供以下功能演示：</w:t>
            </w:r>
            <w:r>
              <w:rPr>
                <w:rFonts w:hint="eastAsia" w:ascii="宋体" w:hAnsi="宋体" w:cs="Arial"/>
                <w:b/>
                <w:bCs/>
                <w:szCs w:val="21"/>
              </w:rPr>
              <w:t>（要求提供该功能视频演示）</w:t>
            </w:r>
          </w:p>
          <w:p>
            <w:pPr>
              <w:pStyle w:val="208"/>
              <w:spacing w:line="276" w:lineRule="auto"/>
              <w:ind w:firstLine="0" w:firstLineChars="0"/>
              <w:jc w:val="left"/>
              <w:rPr>
                <w:rFonts w:ascii="宋体" w:hAnsi="宋体" w:cs="Arial"/>
                <w:szCs w:val="21"/>
              </w:rPr>
            </w:pPr>
            <w:r>
              <w:rPr>
                <w:rFonts w:hint="eastAsia" w:ascii="宋体" w:hAnsi="宋体" w:cs="Arial"/>
                <w:szCs w:val="21"/>
              </w:rPr>
              <w:t>（1）演示设置溢流坝的泄水方式和溢流坝段的横缝；</w:t>
            </w:r>
          </w:p>
          <w:p>
            <w:pPr>
              <w:pStyle w:val="208"/>
              <w:spacing w:line="276" w:lineRule="auto"/>
              <w:ind w:firstLine="0" w:firstLineChars="0"/>
              <w:jc w:val="left"/>
              <w:rPr>
                <w:rFonts w:ascii="宋体" w:hAnsi="宋体" w:cs="Arial"/>
                <w:szCs w:val="21"/>
              </w:rPr>
            </w:pPr>
            <w:r>
              <w:rPr>
                <w:rFonts w:hint="eastAsia" w:ascii="宋体" w:hAnsi="宋体" w:cs="Arial"/>
                <w:szCs w:val="21"/>
              </w:rPr>
              <w:t>（2）演示孔口布置，需要设定下泄水量数值、河道宽度和地质条件等内容；</w:t>
            </w:r>
          </w:p>
          <w:p>
            <w:pPr>
              <w:pStyle w:val="208"/>
              <w:spacing w:line="276" w:lineRule="auto"/>
              <w:ind w:firstLine="0" w:firstLineChars="0"/>
              <w:jc w:val="left"/>
              <w:rPr>
                <w:rFonts w:ascii="宋体" w:hAnsi="宋体" w:cs="Arial"/>
                <w:szCs w:val="21"/>
              </w:rPr>
            </w:pPr>
            <w:r>
              <w:rPr>
                <w:rFonts w:hint="eastAsia" w:ascii="宋体" w:hAnsi="宋体" w:cs="Arial"/>
                <w:szCs w:val="21"/>
              </w:rPr>
              <w:t>（3）演示闸门和启闭机设置：设置闸门形式、宽度、高度，根据闸门的设置选择合适的启闭机；</w:t>
            </w:r>
          </w:p>
          <w:p>
            <w:pPr>
              <w:pStyle w:val="208"/>
              <w:spacing w:line="276" w:lineRule="auto"/>
              <w:ind w:firstLine="0" w:firstLineChars="0"/>
              <w:jc w:val="left"/>
              <w:rPr>
                <w:rFonts w:ascii="宋体" w:hAnsi="宋体" w:cs="Arial"/>
                <w:szCs w:val="21"/>
              </w:rPr>
            </w:pPr>
            <w:r>
              <w:rPr>
                <w:rFonts w:hint="eastAsia" w:ascii="宋体" w:hAnsi="宋体" w:cs="Arial"/>
                <w:szCs w:val="21"/>
              </w:rPr>
              <w:t>（4）演示闸墩设置：闸墩的断面形状判断和闸墩尺寸设计；</w:t>
            </w:r>
          </w:p>
          <w:p>
            <w:pPr>
              <w:pStyle w:val="208"/>
              <w:spacing w:line="276" w:lineRule="auto"/>
              <w:ind w:firstLine="0" w:firstLineChars="0"/>
              <w:jc w:val="left"/>
              <w:rPr>
                <w:rFonts w:ascii="宋体" w:hAnsi="宋体" w:cs="Arial"/>
                <w:szCs w:val="21"/>
              </w:rPr>
            </w:pPr>
            <w:r>
              <w:rPr>
                <w:rFonts w:hint="eastAsia" w:ascii="宋体" w:hAnsi="宋体" w:cs="Arial"/>
                <w:szCs w:val="21"/>
              </w:rPr>
              <w:t>（5）演示剖面设计：溢流堰剖面设计包含WES型溢流堰堰面、反弧段和中间直线段三个部分的设计；</w:t>
            </w:r>
          </w:p>
          <w:p>
            <w:pPr>
              <w:pStyle w:val="208"/>
              <w:spacing w:line="276" w:lineRule="auto"/>
              <w:ind w:firstLine="0" w:firstLineChars="0"/>
              <w:jc w:val="left"/>
              <w:rPr>
                <w:rFonts w:ascii="宋体" w:hAnsi="宋体" w:cs="Arial"/>
                <w:szCs w:val="21"/>
              </w:rPr>
            </w:pPr>
            <w:r>
              <w:rPr>
                <w:rFonts w:hint="eastAsia" w:ascii="宋体" w:hAnsi="宋体" w:cs="Arial"/>
                <w:szCs w:val="21"/>
              </w:rPr>
              <w:t>（九）水电站预报与发电调度虚拟仿真实验建设</w:t>
            </w:r>
          </w:p>
          <w:p>
            <w:pPr>
              <w:pStyle w:val="208"/>
              <w:spacing w:line="276" w:lineRule="auto"/>
              <w:ind w:firstLine="0" w:firstLineChars="0"/>
              <w:jc w:val="left"/>
              <w:rPr>
                <w:rFonts w:ascii="宋体" w:hAnsi="宋体" w:cs="Arial"/>
                <w:szCs w:val="21"/>
              </w:rPr>
            </w:pPr>
            <w:r>
              <w:rPr>
                <w:rFonts w:hint="eastAsia" w:ascii="宋体" w:hAnsi="宋体" w:cs="Arial"/>
                <w:szCs w:val="21"/>
              </w:rPr>
              <w:t>1．本系统是针对梯级电站的经流预报与发电调度配套开发的可在网上开展的虚拟实验课程，课程模拟真实实验中用到的器材和设备，提供与真实实验相似的实验环境；</w:t>
            </w:r>
          </w:p>
          <w:p>
            <w:pPr>
              <w:pStyle w:val="208"/>
              <w:spacing w:line="276" w:lineRule="auto"/>
              <w:ind w:firstLine="0" w:firstLineChars="0"/>
              <w:jc w:val="left"/>
              <w:rPr>
                <w:rFonts w:ascii="宋体" w:hAnsi="宋体" w:cs="Arial"/>
                <w:szCs w:val="21"/>
              </w:rPr>
            </w:pPr>
            <w:r>
              <w:rPr>
                <w:rFonts w:hint="eastAsia" w:ascii="宋体" w:hAnsi="宋体" w:cs="Arial"/>
                <w:szCs w:val="21"/>
              </w:rPr>
              <w:t>2．B/S结构，支持网页界面操作方式；</w:t>
            </w:r>
          </w:p>
          <w:p>
            <w:pPr>
              <w:pStyle w:val="208"/>
              <w:spacing w:line="276" w:lineRule="auto"/>
              <w:ind w:firstLine="0" w:firstLineChars="0"/>
              <w:jc w:val="left"/>
              <w:rPr>
                <w:rFonts w:ascii="宋体" w:hAnsi="宋体" w:cs="Arial"/>
                <w:szCs w:val="21"/>
              </w:rPr>
            </w:pPr>
            <w:r>
              <w:rPr>
                <w:rFonts w:hint="eastAsia" w:ascii="宋体" w:hAnsi="宋体" w:cs="Arial"/>
                <w:szCs w:val="21"/>
              </w:rPr>
              <w:t>3．流程步骤：每一个步骤是一个任务，引导学生一步一步操作，完成任务；</w:t>
            </w:r>
          </w:p>
          <w:p>
            <w:pPr>
              <w:pStyle w:val="208"/>
              <w:spacing w:line="276" w:lineRule="auto"/>
              <w:ind w:firstLine="0" w:firstLineChars="0"/>
              <w:jc w:val="left"/>
              <w:rPr>
                <w:rFonts w:ascii="宋体" w:hAnsi="宋体" w:cs="Arial"/>
                <w:szCs w:val="21"/>
              </w:rPr>
            </w:pPr>
            <w:r>
              <w:rPr>
                <w:rFonts w:hint="eastAsia" w:ascii="宋体" w:hAnsi="宋体" w:cs="Arial"/>
                <w:szCs w:val="21"/>
              </w:rPr>
              <w:t>4．操作不当可以进行提示；</w:t>
            </w:r>
          </w:p>
          <w:p>
            <w:pPr>
              <w:pStyle w:val="208"/>
              <w:spacing w:line="276" w:lineRule="auto"/>
              <w:ind w:firstLine="0" w:firstLineChars="0"/>
              <w:jc w:val="left"/>
              <w:rPr>
                <w:rFonts w:ascii="宋体" w:hAnsi="宋体" w:cs="Arial"/>
                <w:szCs w:val="21"/>
              </w:rPr>
            </w:pPr>
            <w:r>
              <w:rPr>
                <w:rFonts w:hint="eastAsia" w:ascii="宋体" w:hAnsi="宋体" w:cs="Arial"/>
                <w:szCs w:val="21"/>
              </w:rPr>
              <w:t>5．操作模式：有高亮提示和操作引导提示，引导学生操作和设备认知：</w:t>
            </w:r>
          </w:p>
          <w:p>
            <w:pPr>
              <w:pStyle w:val="208"/>
              <w:spacing w:line="276" w:lineRule="auto"/>
              <w:ind w:firstLine="0" w:firstLineChars="0"/>
              <w:jc w:val="left"/>
              <w:rPr>
                <w:rFonts w:ascii="宋体" w:hAnsi="宋体" w:cs="Arial"/>
                <w:szCs w:val="21"/>
              </w:rPr>
            </w:pPr>
            <w:r>
              <w:rPr>
                <w:rFonts w:hint="eastAsia" w:ascii="宋体" w:hAnsi="宋体" w:cs="Arial"/>
                <w:szCs w:val="21"/>
              </w:rPr>
              <w:t>6．自由模式：通过键盘鼠标配合使用，观察装置、设备视角：</w:t>
            </w:r>
          </w:p>
          <w:p>
            <w:pPr>
              <w:pStyle w:val="208"/>
              <w:spacing w:line="276" w:lineRule="auto"/>
              <w:ind w:firstLine="0" w:firstLineChars="0"/>
              <w:jc w:val="left"/>
              <w:rPr>
                <w:rFonts w:ascii="宋体" w:hAnsi="宋体" w:cs="Arial"/>
                <w:szCs w:val="21"/>
              </w:rPr>
            </w:pPr>
            <w:r>
              <w:rPr>
                <w:rFonts w:hint="eastAsia" w:ascii="宋体" w:hAnsi="宋体" w:cs="Arial"/>
                <w:szCs w:val="21"/>
              </w:rPr>
              <w:t>7．全屏功能：能最大化最小化实验界面；</w:t>
            </w:r>
          </w:p>
          <w:p>
            <w:pPr>
              <w:pStyle w:val="208"/>
              <w:spacing w:line="276" w:lineRule="auto"/>
              <w:ind w:firstLine="0" w:firstLineChars="0"/>
              <w:jc w:val="left"/>
              <w:rPr>
                <w:rFonts w:ascii="宋体" w:hAnsi="宋体" w:cs="Arial"/>
                <w:szCs w:val="21"/>
              </w:rPr>
            </w:pPr>
            <w:r>
              <w:rPr>
                <w:rFonts w:hint="eastAsia" w:ascii="宋体" w:hAnsi="宋体" w:cs="Arial"/>
                <w:szCs w:val="21"/>
              </w:rPr>
              <w:t>8．具有理论知识考核模块，通过模拟考题的形式对实验进行考核；</w:t>
            </w:r>
          </w:p>
          <w:p>
            <w:pPr>
              <w:pStyle w:val="208"/>
              <w:spacing w:line="276" w:lineRule="auto"/>
              <w:ind w:firstLine="0" w:firstLineChars="0"/>
              <w:jc w:val="left"/>
              <w:rPr>
                <w:rFonts w:ascii="宋体" w:hAnsi="宋体" w:cs="Arial"/>
                <w:szCs w:val="21"/>
              </w:rPr>
            </w:pPr>
            <w:r>
              <w:rPr>
                <w:rFonts w:hint="eastAsia" w:ascii="宋体" w:hAnsi="宋体" w:cs="Arial"/>
                <w:szCs w:val="21"/>
              </w:rPr>
              <w:t>9．系统采用3dmax建模软件建设模拟真实实验相似场景、设备。</w:t>
            </w:r>
          </w:p>
          <w:p>
            <w:pPr>
              <w:pStyle w:val="208"/>
              <w:spacing w:line="276" w:lineRule="auto"/>
              <w:ind w:firstLine="0" w:firstLineChars="0"/>
              <w:jc w:val="left"/>
              <w:rPr>
                <w:rFonts w:ascii="宋体" w:hAnsi="宋体" w:cs="Arial"/>
                <w:szCs w:val="21"/>
              </w:rPr>
            </w:pPr>
            <w:r>
              <w:rPr>
                <w:rFonts w:hint="eastAsia" w:ascii="宋体" w:hAnsi="宋体" w:cs="Arial"/>
                <w:szCs w:val="21"/>
              </w:rPr>
              <w:t>10．实验内容：共包含三个实验模块</w:t>
            </w:r>
          </w:p>
          <w:p>
            <w:pPr>
              <w:pStyle w:val="208"/>
              <w:spacing w:line="276" w:lineRule="auto"/>
              <w:ind w:firstLine="0" w:firstLineChars="0"/>
              <w:jc w:val="left"/>
              <w:rPr>
                <w:rFonts w:ascii="宋体" w:hAnsi="宋体" w:cs="Arial"/>
                <w:szCs w:val="21"/>
              </w:rPr>
            </w:pPr>
            <w:r>
              <w:rPr>
                <w:rFonts w:hint="eastAsia" w:ascii="宋体" w:hAnsi="宋体" w:cs="Arial"/>
                <w:szCs w:val="21"/>
              </w:rPr>
              <w:t>10.1电站信息设置</w:t>
            </w:r>
          </w:p>
          <w:p>
            <w:pPr>
              <w:pStyle w:val="208"/>
              <w:spacing w:line="276" w:lineRule="auto"/>
              <w:ind w:firstLine="0" w:firstLineChars="0"/>
              <w:jc w:val="left"/>
              <w:rPr>
                <w:rFonts w:ascii="宋体" w:hAnsi="宋体" w:cs="Arial"/>
                <w:szCs w:val="21"/>
              </w:rPr>
            </w:pPr>
            <w:r>
              <w:rPr>
                <w:rFonts w:hint="eastAsia" w:ascii="宋体" w:hAnsi="宋体" w:cs="Arial"/>
                <w:szCs w:val="21"/>
              </w:rPr>
              <w:t>（1）展示梯级水电站流域分布图，从左至右分别是溪洛渡、向家坝、三峡和葛洲坝电站，鼠标悬浮显示不同电站的名称、所属流域、代码等基本属性；单击即可进入水电站进行电站流域场景漫游。</w:t>
            </w:r>
          </w:p>
          <w:p>
            <w:pPr>
              <w:pStyle w:val="208"/>
              <w:spacing w:line="276" w:lineRule="auto"/>
              <w:ind w:firstLine="0" w:firstLineChars="0"/>
              <w:jc w:val="left"/>
              <w:rPr>
                <w:rFonts w:ascii="宋体" w:hAnsi="宋体" w:cs="Arial"/>
                <w:szCs w:val="21"/>
              </w:rPr>
            </w:pPr>
            <w:r>
              <w:rPr>
                <w:rFonts w:hint="eastAsia" w:ascii="宋体" w:hAnsi="宋体" w:cs="Arial"/>
                <w:szCs w:val="21"/>
              </w:rPr>
              <w:t>（2）支持查看大坝剖面及电站简介，可以输入特征水位或者电站其他信息；可以查看四座电站的水位库容关系图。</w:t>
            </w:r>
          </w:p>
          <w:p>
            <w:pPr>
              <w:pStyle w:val="208"/>
              <w:spacing w:line="276" w:lineRule="auto"/>
              <w:ind w:firstLine="0" w:firstLineChars="0"/>
              <w:jc w:val="left"/>
              <w:rPr>
                <w:rFonts w:ascii="宋体" w:hAnsi="宋体" w:cs="Arial"/>
                <w:szCs w:val="21"/>
              </w:rPr>
            </w:pPr>
            <w:r>
              <w:rPr>
                <w:rFonts w:hint="eastAsia" w:ascii="宋体" w:hAnsi="宋体" w:cs="Arial"/>
                <w:szCs w:val="21"/>
              </w:rPr>
              <w:t>10.2降雨径流预报</w:t>
            </w:r>
          </w:p>
          <w:p>
            <w:pPr>
              <w:pStyle w:val="208"/>
              <w:spacing w:line="276" w:lineRule="auto"/>
              <w:ind w:firstLine="0" w:firstLineChars="0"/>
              <w:jc w:val="left"/>
              <w:rPr>
                <w:rFonts w:ascii="宋体" w:hAnsi="宋体" w:cs="Arial"/>
                <w:szCs w:val="21"/>
              </w:rPr>
            </w:pPr>
            <w:r>
              <w:rPr>
                <w:rFonts w:hint="eastAsia" w:ascii="宋体" w:hAnsi="宋体" w:cs="Arial"/>
                <w:szCs w:val="21"/>
              </w:rPr>
              <w:t>（1）在水文站生成各时段雨量值，生成降雨量并计算平均值后，按流程输入设置相关参数。包括蒸发量，流域蓄水容量，pa值等。</w:t>
            </w:r>
          </w:p>
          <w:p>
            <w:pPr>
              <w:pStyle w:val="208"/>
              <w:spacing w:line="276" w:lineRule="auto"/>
              <w:ind w:firstLine="0" w:firstLineChars="0"/>
              <w:jc w:val="left"/>
              <w:rPr>
                <w:rFonts w:ascii="宋体" w:hAnsi="宋体" w:cs="Arial"/>
                <w:szCs w:val="21"/>
              </w:rPr>
            </w:pPr>
            <w:r>
              <w:rPr>
                <w:rFonts w:hint="eastAsia" w:ascii="宋体" w:hAnsi="宋体" w:cs="Arial"/>
                <w:szCs w:val="21"/>
              </w:rPr>
              <w:t>（2）选择单位线后，点击计算则可以自动计算地面流量，完成计算后，将绘制洪水过程线，支持显示相应坐标。</w:t>
            </w:r>
          </w:p>
          <w:p>
            <w:pPr>
              <w:pStyle w:val="208"/>
              <w:spacing w:line="276" w:lineRule="auto"/>
              <w:ind w:firstLine="0" w:firstLineChars="0"/>
              <w:jc w:val="left"/>
              <w:rPr>
                <w:rFonts w:ascii="宋体" w:hAnsi="宋体" w:cs="Arial"/>
                <w:szCs w:val="21"/>
              </w:rPr>
            </w:pPr>
            <w:r>
              <w:rPr>
                <w:rFonts w:hint="eastAsia" w:ascii="宋体" w:hAnsi="宋体" w:cs="Arial"/>
                <w:szCs w:val="21"/>
              </w:rPr>
              <w:t>10.3发电调度计算</w:t>
            </w:r>
          </w:p>
          <w:p>
            <w:pPr>
              <w:pStyle w:val="208"/>
              <w:spacing w:line="276" w:lineRule="auto"/>
              <w:ind w:firstLine="0" w:firstLineChars="0"/>
              <w:jc w:val="left"/>
              <w:rPr>
                <w:rFonts w:ascii="宋体" w:hAnsi="宋体" w:cs="Arial"/>
                <w:szCs w:val="21"/>
              </w:rPr>
            </w:pPr>
            <w:r>
              <w:rPr>
                <w:rFonts w:hint="eastAsia" w:ascii="宋体" w:hAnsi="宋体" w:cs="Arial"/>
                <w:szCs w:val="21"/>
              </w:rPr>
              <w:t>（1）在虚拟电脑界面中添加方案条目，输入名称与备注完成方案创建，点击编辑进入方案编辑；</w:t>
            </w:r>
          </w:p>
          <w:p>
            <w:pPr>
              <w:pStyle w:val="208"/>
              <w:spacing w:line="276" w:lineRule="auto"/>
              <w:ind w:firstLine="0" w:firstLineChars="0"/>
              <w:jc w:val="left"/>
              <w:rPr>
                <w:rFonts w:ascii="宋体" w:hAnsi="宋体" w:cs="Arial"/>
                <w:szCs w:val="21"/>
              </w:rPr>
            </w:pPr>
            <w:r>
              <w:rPr>
                <w:rFonts w:hint="eastAsia" w:ascii="宋体" w:hAnsi="宋体" w:cs="Arial"/>
                <w:szCs w:val="21"/>
              </w:rPr>
              <w:t>（2）确认流域概况后，调节负荷设置和区间径流量，输入起始水量和给定电量，在查看结果时支持数据对比。</w:t>
            </w:r>
          </w:p>
          <w:p>
            <w:pPr>
              <w:pStyle w:val="208"/>
              <w:spacing w:line="276" w:lineRule="auto"/>
              <w:ind w:firstLine="0" w:firstLineChars="0"/>
              <w:jc w:val="left"/>
              <w:rPr>
                <w:rFonts w:ascii="宋体" w:hAnsi="宋体" w:cs="Arial"/>
                <w:szCs w:val="21"/>
              </w:rPr>
            </w:pPr>
            <w:r>
              <w:rPr>
                <w:rFonts w:hint="eastAsia" w:ascii="宋体" w:hAnsi="宋体" w:cs="Arial"/>
                <w:szCs w:val="21"/>
              </w:rPr>
              <w:t>11、★需提供以下功能演示：</w:t>
            </w:r>
            <w:r>
              <w:rPr>
                <w:rFonts w:hint="eastAsia" w:ascii="宋体" w:hAnsi="宋体" w:cs="Arial"/>
                <w:b/>
                <w:bCs/>
                <w:szCs w:val="21"/>
              </w:rPr>
              <w:t>（要求提供该功能视频证明材料）</w:t>
            </w:r>
          </w:p>
          <w:p>
            <w:pPr>
              <w:pStyle w:val="208"/>
              <w:spacing w:line="276" w:lineRule="auto"/>
              <w:ind w:firstLine="0" w:firstLineChars="0"/>
              <w:jc w:val="left"/>
              <w:rPr>
                <w:rFonts w:ascii="宋体" w:hAnsi="宋体" w:cs="Arial"/>
                <w:szCs w:val="21"/>
              </w:rPr>
            </w:pPr>
            <w:r>
              <w:rPr>
                <w:rFonts w:hint="eastAsia" w:ascii="宋体" w:hAnsi="宋体" w:cs="Arial"/>
                <w:szCs w:val="21"/>
              </w:rPr>
              <w:t>（1）演示电站设置，在梯级水电站流域分布图中，查看电站基本属性，进入电站流域漫游；查看大坝剖面图，输入特征水位及电站信息等内容。</w:t>
            </w:r>
          </w:p>
          <w:p>
            <w:pPr>
              <w:pStyle w:val="208"/>
              <w:spacing w:line="276" w:lineRule="auto"/>
              <w:ind w:firstLine="0" w:firstLineChars="0"/>
              <w:jc w:val="left"/>
              <w:rPr>
                <w:rFonts w:ascii="宋体" w:hAnsi="宋体" w:cs="Arial"/>
                <w:szCs w:val="21"/>
              </w:rPr>
            </w:pPr>
            <w:r>
              <w:rPr>
                <w:rFonts w:hint="eastAsia" w:ascii="宋体" w:hAnsi="宋体" w:cs="Arial"/>
                <w:szCs w:val="21"/>
              </w:rPr>
              <w:t>（2）演示将于经流预报，生成各时段雨量值，生成降雨量并计算平均值后，输入设置蒸发量，流域蓄水容量，pa值等相关参数。</w:t>
            </w:r>
          </w:p>
          <w:p>
            <w:pPr>
              <w:pStyle w:val="208"/>
              <w:spacing w:line="276" w:lineRule="auto"/>
              <w:ind w:firstLine="0" w:firstLineChars="0"/>
              <w:jc w:val="left"/>
              <w:rPr>
                <w:rFonts w:ascii="宋体" w:hAnsi="宋体" w:cs="Arial"/>
                <w:szCs w:val="21"/>
              </w:rPr>
            </w:pPr>
            <w:r>
              <w:rPr>
                <w:rFonts w:hint="eastAsia" w:ascii="宋体" w:hAnsi="宋体" w:cs="Arial"/>
                <w:szCs w:val="21"/>
              </w:rPr>
              <w:t>（十）水利工程枢纽虚拟仿真实验建设</w:t>
            </w:r>
          </w:p>
          <w:p>
            <w:pPr>
              <w:pStyle w:val="208"/>
              <w:spacing w:line="276" w:lineRule="auto"/>
              <w:ind w:firstLine="0" w:firstLineChars="0"/>
              <w:jc w:val="left"/>
              <w:rPr>
                <w:rFonts w:ascii="宋体" w:hAnsi="宋体" w:cs="Arial"/>
                <w:szCs w:val="21"/>
              </w:rPr>
            </w:pPr>
            <w:r>
              <w:rPr>
                <w:rFonts w:hint="eastAsia" w:ascii="宋体" w:hAnsi="宋体" w:cs="Arial"/>
                <w:szCs w:val="21"/>
              </w:rPr>
              <w:t>1．本系统是针对水利工程枢纽配套开发的可在网上开展的虚拟实验课程，课程模拟真实实验中用到的器材和设备，提供与真实实验相似的实验环境；</w:t>
            </w:r>
          </w:p>
          <w:p>
            <w:pPr>
              <w:pStyle w:val="208"/>
              <w:spacing w:line="276" w:lineRule="auto"/>
              <w:ind w:firstLine="0" w:firstLineChars="0"/>
              <w:jc w:val="left"/>
              <w:rPr>
                <w:rFonts w:ascii="宋体" w:hAnsi="宋体" w:cs="Arial"/>
                <w:szCs w:val="21"/>
              </w:rPr>
            </w:pPr>
            <w:r>
              <w:rPr>
                <w:rFonts w:hint="eastAsia" w:ascii="宋体" w:hAnsi="宋体" w:cs="Arial"/>
                <w:szCs w:val="21"/>
              </w:rPr>
              <w:t>2．B/S结构，支持网页界面操作方式；</w:t>
            </w:r>
          </w:p>
          <w:p>
            <w:pPr>
              <w:pStyle w:val="208"/>
              <w:spacing w:line="276" w:lineRule="auto"/>
              <w:ind w:firstLine="0" w:firstLineChars="0"/>
              <w:jc w:val="left"/>
              <w:rPr>
                <w:rFonts w:ascii="宋体" w:hAnsi="宋体" w:cs="Arial"/>
                <w:szCs w:val="21"/>
              </w:rPr>
            </w:pPr>
            <w:r>
              <w:rPr>
                <w:rFonts w:hint="eastAsia" w:ascii="宋体" w:hAnsi="宋体" w:cs="Arial"/>
                <w:szCs w:val="21"/>
              </w:rPr>
              <w:t>3．流程步骤：每一个步骤是一个任务，引导学生一步一步操作，完成任务；</w:t>
            </w:r>
          </w:p>
          <w:p>
            <w:pPr>
              <w:pStyle w:val="208"/>
              <w:spacing w:line="276" w:lineRule="auto"/>
              <w:ind w:firstLine="0" w:firstLineChars="0"/>
              <w:jc w:val="left"/>
              <w:rPr>
                <w:rFonts w:ascii="宋体" w:hAnsi="宋体" w:cs="Arial"/>
                <w:szCs w:val="21"/>
              </w:rPr>
            </w:pPr>
            <w:r>
              <w:rPr>
                <w:rFonts w:hint="eastAsia" w:ascii="宋体" w:hAnsi="宋体" w:cs="Arial"/>
                <w:szCs w:val="21"/>
              </w:rPr>
              <w:t>4．操作不当可以进行提示；</w:t>
            </w:r>
          </w:p>
          <w:p>
            <w:pPr>
              <w:pStyle w:val="208"/>
              <w:spacing w:line="276" w:lineRule="auto"/>
              <w:ind w:firstLine="0" w:firstLineChars="0"/>
              <w:jc w:val="left"/>
              <w:rPr>
                <w:rFonts w:ascii="宋体" w:hAnsi="宋体" w:cs="Arial"/>
                <w:szCs w:val="21"/>
              </w:rPr>
            </w:pPr>
            <w:r>
              <w:rPr>
                <w:rFonts w:hint="eastAsia" w:ascii="宋体" w:hAnsi="宋体" w:cs="Arial"/>
                <w:szCs w:val="21"/>
              </w:rPr>
              <w:t>5．操作模式：有高亮提示和操作引导提示，引导学生操作和设备认知：</w:t>
            </w:r>
          </w:p>
          <w:p>
            <w:pPr>
              <w:pStyle w:val="208"/>
              <w:spacing w:line="276" w:lineRule="auto"/>
              <w:ind w:firstLine="0" w:firstLineChars="0"/>
              <w:jc w:val="left"/>
              <w:rPr>
                <w:rFonts w:ascii="宋体" w:hAnsi="宋体" w:cs="Arial"/>
                <w:szCs w:val="21"/>
              </w:rPr>
            </w:pPr>
            <w:r>
              <w:rPr>
                <w:rFonts w:hint="eastAsia" w:ascii="宋体" w:hAnsi="宋体" w:cs="Arial"/>
                <w:szCs w:val="21"/>
              </w:rPr>
              <w:t>6．自由模式：通过键盘鼠标配合使用，观察装置、设备视角：</w:t>
            </w:r>
          </w:p>
          <w:p>
            <w:pPr>
              <w:pStyle w:val="208"/>
              <w:spacing w:line="276" w:lineRule="auto"/>
              <w:ind w:firstLine="0" w:firstLineChars="0"/>
              <w:jc w:val="left"/>
              <w:rPr>
                <w:rFonts w:ascii="宋体" w:hAnsi="宋体" w:cs="Arial"/>
                <w:szCs w:val="21"/>
              </w:rPr>
            </w:pPr>
            <w:r>
              <w:rPr>
                <w:rFonts w:hint="eastAsia" w:ascii="宋体" w:hAnsi="宋体" w:cs="Arial"/>
                <w:szCs w:val="21"/>
              </w:rPr>
              <w:t>7．全屏功能：能最大化最小化实验界面；</w:t>
            </w:r>
          </w:p>
          <w:p>
            <w:pPr>
              <w:pStyle w:val="208"/>
              <w:spacing w:line="276" w:lineRule="auto"/>
              <w:ind w:firstLine="0" w:firstLineChars="0"/>
              <w:jc w:val="left"/>
              <w:rPr>
                <w:rFonts w:ascii="宋体" w:hAnsi="宋体" w:cs="Arial"/>
                <w:szCs w:val="21"/>
              </w:rPr>
            </w:pPr>
            <w:r>
              <w:rPr>
                <w:rFonts w:hint="eastAsia" w:ascii="宋体" w:hAnsi="宋体" w:cs="Arial"/>
                <w:szCs w:val="21"/>
              </w:rPr>
              <w:t>8．具有理论知识考核模块，通过模拟考题的形式对实验进行考核；</w:t>
            </w:r>
          </w:p>
          <w:p>
            <w:pPr>
              <w:pStyle w:val="208"/>
              <w:spacing w:line="276" w:lineRule="auto"/>
              <w:ind w:firstLine="0" w:firstLineChars="0"/>
              <w:jc w:val="left"/>
              <w:rPr>
                <w:rFonts w:ascii="宋体" w:hAnsi="宋体" w:cs="Arial"/>
                <w:szCs w:val="21"/>
              </w:rPr>
            </w:pPr>
            <w:r>
              <w:rPr>
                <w:rFonts w:hint="eastAsia" w:ascii="宋体" w:hAnsi="宋体" w:cs="Arial"/>
                <w:szCs w:val="21"/>
              </w:rPr>
              <w:t>9．系统采用3dmax建模软件建设模拟真实实验相似场景、设备。</w:t>
            </w:r>
          </w:p>
          <w:p>
            <w:pPr>
              <w:pStyle w:val="208"/>
              <w:spacing w:line="276" w:lineRule="auto"/>
              <w:ind w:firstLine="0" w:firstLineChars="0"/>
              <w:jc w:val="left"/>
              <w:rPr>
                <w:rFonts w:ascii="宋体" w:hAnsi="宋体" w:cs="Arial"/>
                <w:szCs w:val="21"/>
              </w:rPr>
            </w:pPr>
            <w:r>
              <w:rPr>
                <w:rFonts w:hint="eastAsia" w:ascii="宋体" w:hAnsi="宋体" w:cs="Arial"/>
                <w:szCs w:val="21"/>
              </w:rPr>
              <w:t>10．实验内容：共包含两个实验模块</w:t>
            </w:r>
          </w:p>
          <w:p>
            <w:pPr>
              <w:pStyle w:val="208"/>
              <w:spacing w:line="276" w:lineRule="auto"/>
              <w:ind w:firstLine="0" w:firstLineChars="0"/>
              <w:jc w:val="left"/>
              <w:rPr>
                <w:rFonts w:ascii="宋体" w:hAnsi="宋体" w:cs="Arial"/>
                <w:szCs w:val="21"/>
              </w:rPr>
            </w:pPr>
            <w:r>
              <w:rPr>
                <w:rFonts w:hint="eastAsia" w:ascii="宋体" w:hAnsi="宋体" w:cs="Arial"/>
                <w:szCs w:val="21"/>
              </w:rPr>
              <w:t>10.1水利枢纽认知</w:t>
            </w:r>
          </w:p>
          <w:p>
            <w:pPr>
              <w:pStyle w:val="208"/>
              <w:spacing w:line="276" w:lineRule="auto"/>
              <w:ind w:firstLine="0" w:firstLineChars="0"/>
              <w:jc w:val="left"/>
              <w:rPr>
                <w:rFonts w:ascii="宋体" w:hAnsi="宋体" w:cs="Arial"/>
                <w:szCs w:val="21"/>
              </w:rPr>
            </w:pPr>
            <w:r>
              <w:rPr>
                <w:rFonts w:hint="eastAsia" w:ascii="宋体" w:hAnsi="宋体" w:cs="Arial"/>
                <w:szCs w:val="21"/>
              </w:rPr>
              <w:t>（1）在“实验项目选择菜单”中选择实验“水利枢纽认知”，进入场景。</w:t>
            </w:r>
          </w:p>
          <w:p>
            <w:pPr>
              <w:pStyle w:val="208"/>
              <w:spacing w:line="276" w:lineRule="auto"/>
              <w:ind w:firstLine="0" w:firstLineChars="0"/>
              <w:jc w:val="left"/>
              <w:rPr>
                <w:rFonts w:ascii="宋体" w:hAnsi="宋体" w:cs="Arial"/>
                <w:szCs w:val="21"/>
              </w:rPr>
            </w:pPr>
            <w:r>
              <w:rPr>
                <w:rFonts w:hint="eastAsia" w:ascii="宋体" w:hAnsi="宋体" w:cs="Arial"/>
                <w:szCs w:val="21"/>
              </w:rPr>
              <w:t>（2）在水利工程枢纽环境中漫游，认知水利枢纽中的非溢流坝段、右坝段厂房、溢流坝段、左坝段厂房、发电厂房、移动式闸门启闭机、升船机等。</w:t>
            </w:r>
          </w:p>
          <w:p>
            <w:pPr>
              <w:pStyle w:val="208"/>
              <w:spacing w:line="276" w:lineRule="auto"/>
              <w:ind w:firstLine="0" w:firstLineChars="0"/>
              <w:jc w:val="left"/>
              <w:rPr>
                <w:rFonts w:ascii="宋体" w:hAnsi="宋体" w:cs="Arial"/>
                <w:szCs w:val="21"/>
              </w:rPr>
            </w:pPr>
            <w:r>
              <w:rPr>
                <w:rFonts w:hint="eastAsia" w:ascii="宋体" w:hAnsi="宋体" w:cs="Arial"/>
                <w:szCs w:val="21"/>
              </w:rPr>
              <w:t>10.2水工模型实验</w:t>
            </w:r>
          </w:p>
          <w:p>
            <w:pPr>
              <w:pStyle w:val="208"/>
              <w:spacing w:line="276" w:lineRule="auto"/>
              <w:ind w:firstLine="0" w:firstLineChars="0"/>
              <w:jc w:val="left"/>
              <w:rPr>
                <w:rFonts w:ascii="宋体" w:hAnsi="宋体" w:cs="Arial"/>
                <w:szCs w:val="21"/>
              </w:rPr>
            </w:pPr>
            <w:r>
              <w:rPr>
                <w:rFonts w:hint="eastAsia" w:ascii="宋体" w:hAnsi="宋体" w:cs="Arial"/>
                <w:szCs w:val="21"/>
              </w:rPr>
              <w:t>（1）在“实验项目选择菜单”中选择实验“水工模型实验”。</w:t>
            </w:r>
          </w:p>
          <w:p>
            <w:pPr>
              <w:pStyle w:val="208"/>
              <w:spacing w:line="276" w:lineRule="auto"/>
              <w:ind w:firstLine="0" w:firstLineChars="0"/>
              <w:jc w:val="left"/>
              <w:rPr>
                <w:rFonts w:ascii="宋体" w:hAnsi="宋体" w:cs="Arial"/>
                <w:szCs w:val="21"/>
              </w:rPr>
            </w:pPr>
            <w:r>
              <w:rPr>
                <w:rFonts w:hint="eastAsia" w:ascii="宋体" w:hAnsi="宋体" w:cs="Arial"/>
                <w:szCs w:val="21"/>
              </w:rPr>
              <w:t>（2）从工具库中选择下游地形模型、上游水库模型、进水管及流量计、测压管、排水闸门、交通桥、坝后式厂房、冲沙底孔、导水槽、引水管路、表孔、中孔等模型进行水工拼接搭建。</w:t>
            </w:r>
          </w:p>
          <w:p>
            <w:pPr>
              <w:pStyle w:val="208"/>
              <w:spacing w:line="276" w:lineRule="auto"/>
              <w:ind w:firstLine="0" w:firstLineChars="0"/>
              <w:jc w:val="left"/>
              <w:rPr>
                <w:rFonts w:ascii="宋体" w:hAnsi="宋体" w:cs="Arial"/>
                <w:szCs w:val="21"/>
              </w:rPr>
            </w:pPr>
            <w:r>
              <w:rPr>
                <w:rFonts w:hint="eastAsia" w:ascii="宋体" w:hAnsi="宋体" w:cs="Arial"/>
                <w:szCs w:val="21"/>
              </w:rPr>
              <w:t>（3）原方案模型实验：设置水位和泄水孔方案，然后开始泄洪，使用水位测针、旋桨流速计和水准仪，测量水位与流量，并观察流态。</w:t>
            </w:r>
          </w:p>
          <w:p>
            <w:pPr>
              <w:pStyle w:val="208"/>
              <w:spacing w:line="276" w:lineRule="auto"/>
              <w:ind w:firstLine="0" w:firstLineChars="0"/>
              <w:jc w:val="left"/>
              <w:rPr>
                <w:rFonts w:ascii="宋体" w:hAnsi="宋体" w:cs="Arial"/>
                <w:szCs w:val="21"/>
              </w:rPr>
            </w:pPr>
            <w:r>
              <w:rPr>
                <w:rFonts w:hint="eastAsia" w:ascii="宋体" w:hAnsi="宋体" w:cs="Arial"/>
                <w:szCs w:val="21"/>
              </w:rPr>
              <w:t>11．★需提供以下功能演示：</w:t>
            </w:r>
            <w:r>
              <w:rPr>
                <w:rFonts w:hint="eastAsia" w:ascii="宋体" w:hAnsi="宋体" w:cs="Arial"/>
                <w:b/>
                <w:bCs/>
                <w:szCs w:val="21"/>
              </w:rPr>
              <w:t>（要求提供该功能视频证明材料）</w:t>
            </w:r>
          </w:p>
          <w:p>
            <w:pPr>
              <w:pStyle w:val="208"/>
              <w:spacing w:line="276" w:lineRule="auto"/>
              <w:ind w:firstLine="0" w:firstLineChars="0"/>
              <w:jc w:val="left"/>
              <w:rPr>
                <w:rFonts w:ascii="宋体" w:hAnsi="宋体" w:cs="Arial"/>
                <w:szCs w:val="21"/>
              </w:rPr>
            </w:pPr>
            <w:r>
              <w:rPr>
                <w:rFonts w:hint="eastAsia" w:ascii="宋体" w:hAnsi="宋体" w:cs="Arial"/>
                <w:szCs w:val="21"/>
              </w:rPr>
              <w:t>（1）演示水工模型搭建，从工具库中选择下游地形模型、上游水库模型、进水管及流量计、测压管、排水闸门、交通桥、坝后式厂房、冲沙底孔、导水槽、引水管路、表孔、中孔等模型进行水工拼接搭建。</w:t>
            </w:r>
          </w:p>
          <w:p>
            <w:pPr>
              <w:widowControl/>
              <w:spacing w:line="240" w:lineRule="atLeast"/>
              <w:jc w:val="left"/>
              <w:textAlignment w:val="center"/>
              <w:rPr>
                <w:rFonts w:hint="eastAsia" w:ascii="宋体" w:hAnsi="宋体" w:cs="仿宋"/>
                <w:color w:val="000000"/>
                <w:kern w:val="0"/>
                <w:sz w:val="24"/>
                <w:szCs w:val="24"/>
                <w:lang w:bidi="ar"/>
              </w:rPr>
            </w:pPr>
            <w:r>
              <w:rPr>
                <w:rFonts w:hint="eastAsia" w:ascii="宋体" w:hAnsi="宋体" w:cs="Arial"/>
                <w:kern w:val="0"/>
                <w:sz w:val="20"/>
                <w:szCs w:val="21"/>
              </w:rPr>
              <w:t>（2）演示泄洪实验，设置水位和泄水孔方案，然后开始泄洪，使用水位测针、旋桨流速计和水准仪，测量水位与流量，并观察流态。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2</w:t>
            </w:r>
          </w:p>
        </w:tc>
        <w:tc>
          <w:tcPr>
            <w:tcW w:w="1482" w:type="dxa"/>
            <w:noWrap w:val="0"/>
            <w:vAlign w:val="center"/>
          </w:tcPr>
          <w:p>
            <w:pPr>
              <w:widowControl/>
              <w:jc w:val="center"/>
              <w:textAlignment w:val="center"/>
              <w:rPr>
                <w:rFonts w:hint="eastAsia" w:ascii="宋体" w:hAnsi="宋体" w:cs="宋体"/>
              </w:rPr>
            </w:pPr>
            <w:r>
              <w:rPr>
                <w:rFonts w:hint="eastAsia" w:ascii="等线" w:hAnsi="等线" w:cs="Arial"/>
                <w:szCs w:val="21"/>
              </w:rPr>
              <w:t>文件服务器</w:t>
            </w:r>
          </w:p>
        </w:tc>
        <w:tc>
          <w:tcPr>
            <w:tcW w:w="495"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台</w:t>
            </w:r>
          </w:p>
        </w:tc>
        <w:tc>
          <w:tcPr>
            <w:tcW w:w="480"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pPr>
              <w:pStyle w:val="208"/>
              <w:spacing w:line="276" w:lineRule="auto"/>
              <w:ind w:firstLine="0" w:firstLineChars="0"/>
              <w:jc w:val="left"/>
              <w:rPr>
                <w:rFonts w:hint="eastAsia" w:ascii="宋体" w:hAnsi="宋体" w:cs="Arial"/>
                <w:szCs w:val="21"/>
              </w:rPr>
            </w:pPr>
            <w:r>
              <w:rPr>
                <w:rFonts w:hint="eastAsia" w:ascii="宋体" w:hAnsi="宋体" w:cs="Arial"/>
                <w:szCs w:val="21"/>
              </w:rPr>
              <w:t>不低于以下配置：</w:t>
            </w:r>
          </w:p>
          <w:p>
            <w:pPr>
              <w:pStyle w:val="208"/>
              <w:spacing w:line="276" w:lineRule="auto"/>
              <w:ind w:firstLine="0" w:firstLineChars="0"/>
              <w:jc w:val="left"/>
              <w:rPr>
                <w:rFonts w:hint="eastAsia" w:ascii="宋体" w:hAnsi="宋体" w:cs="Arial"/>
                <w:szCs w:val="21"/>
              </w:rPr>
            </w:pPr>
            <w:r>
              <w:rPr>
                <w:rFonts w:hint="eastAsia" w:ascii="宋体" w:hAnsi="宋体" w:cs="Arial"/>
                <w:szCs w:val="21"/>
              </w:rPr>
              <w:t>电源：2个服务器900W交流电源</w:t>
            </w:r>
          </w:p>
          <w:p>
            <w:pPr>
              <w:pStyle w:val="208"/>
              <w:spacing w:line="276" w:lineRule="auto"/>
              <w:ind w:firstLine="0" w:firstLineChars="0"/>
              <w:jc w:val="left"/>
              <w:rPr>
                <w:rFonts w:hint="eastAsia" w:ascii="宋体" w:hAnsi="宋体" w:cs="Arial"/>
                <w:szCs w:val="21"/>
              </w:rPr>
            </w:pPr>
            <w:r>
              <w:rPr>
                <w:rFonts w:hint="eastAsia" w:ascii="宋体" w:hAnsi="宋体"/>
                <w:bCs/>
                <w:color w:val="000000"/>
                <w:sz w:val="28"/>
                <w:szCs w:val="28"/>
              </w:rPr>
              <w:t>▲</w:t>
            </w:r>
            <w:r>
              <w:rPr>
                <w:rFonts w:hint="eastAsia" w:ascii="宋体" w:hAnsi="宋体" w:cs="Arial"/>
                <w:szCs w:val="21"/>
              </w:rPr>
              <w:t>CPU： 64核、</w:t>
            </w:r>
            <w:r>
              <w:rPr>
                <w:rFonts w:ascii="宋体" w:hAnsi="宋体" w:cs="Arial"/>
                <w:szCs w:val="21"/>
              </w:rPr>
              <w:t>2.6GHz</w:t>
            </w:r>
            <w:r>
              <w:rPr>
                <w:rFonts w:hint="eastAsia" w:ascii="宋体" w:hAnsi="宋体" w:cs="Arial"/>
                <w:szCs w:val="21"/>
              </w:rPr>
              <w:t xml:space="preserve"> CPU</w:t>
            </w:r>
          </w:p>
          <w:p>
            <w:pPr>
              <w:pStyle w:val="208"/>
              <w:spacing w:line="276" w:lineRule="auto"/>
              <w:ind w:firstLine="0" w:firstLineChars="0"/>
              <w:jc w:val="left"/>
              <w:rPr>
                <w:rFonts w:hint="eastAsia" w:ascii="宋体" w:hAnsi="宋体" w:cs="Arial"/>
                <w:szCs w:val="21"/>
              </w:rPr>
            </w:pPr>
            <w:r>
              <w:rPr>
                <w:rFonts w:hint="eastAsia" w:ascii="宋体" w:hAnsi="宋体"/>
                <w:bCs/>
                <w:color w:val="000000"/>
                <w:sz w:val="28"/>
                <w:szCs w:val="28"/>
              </w:rPr>
              <w:t>▲</w:t>
            </w:r>
            <w:r>
              <w:rPr>
                <w:rFonts w:hint="eastAsia" w:ascii="宋体" w:hAnsi="宋体" w:cs="Arial"/>
                <w:szCs w:val="21"/>
              </w:rPr>
              <w:t>内存：主板内存槽数量≥4个；DDR4 RDIMM-32GB≥2；</w:t>
            </w:r>
          </w:p>
          <w:p>
            <w:pPr>
              <w:pStyle w:val="208"/>
              <w:spacing w:line="276" w:lineRule="auto"/>
              <w:ind w:firstLine="0" w:firstLineChars="0"/>
              <w:jc w:val="left"/>
              <w:rPr>
                <w:rFonts w:hint="eastAsia" w:ascii="宋体" w:hAnsi="宋体" w:cs="Arial"/>
                <w:szCs w:val="21"/>
              </w:rPr>
            </w:pPr>
            <w:r>
              <w:rPr>
                <w:rFonts w:hint="eastAsia" w:ascii="宋体" w:hAnsi="宋体"/>
                <w:bCs/>
                <w:color w:val="000000"/>
                <w:sz w:val="28"/>
                <w:szCs w:val="28"/>
              </w:rPr>
              <w:t>▲</w:t>
            </w:r>
            <w:r>
              <w:rPr>
                <w:rFonts w:hint="eastAsia" w:ascii="宋体" w:hAnsi="宋体" w:cs="Arial"/>
                <w:szCs w:val="21"/>
              </w:rPr>
              <w:t>硬磁盘实配容量： SSD系统硬盘≥480GB，数据硬盘容量≥150TB；</w:t>
            </w:r>
          </w:p>
          <w:p>
            <w:pPr>
              <w:pStyle w:val="208"/>
              <w:spacing w:line="276" w:lineRule="auto"/>
              <w:ind w:firstLine="0" w:firstLineChars="0"/>
              <w:jc w:val="left"/>
              <w:rPr>
                <w:rFonts w:hint="eastAsia" w:ascii="宋体" w:hAnsi="宋体" w:cs="Arial"/>
                <w:szCs w:val="21"/>
              </w:rPr>
            </w:pPr>
            <w:r>
              <w:rPr>
                <w:rFonts w:hint="eastAsia" w:ascii="宋体" w:hAnsi="宋体" w:cs="Arial"/>
                <w:szCs w:val="21"/>
              </w:rPr>
              <w:t>RAID卡：SR430-2G≥1，支持RAID0/1/5/6/10/50/60；</w:t>
            </w:r>
          </w:p>
          <w:p>
            <w:pPr>
              <w:pStyle w:val="208"/>
              <w:spacing w:line="276" w:lineRule="auto"/>
              <w:ind w:firstLine="0" w:firstLineChars="0"/>
              <w:jc w:val="left"/>
              <w:rPr>
                <w:rFonts w:hint="eastAsia" w:ascii="宋体" w:hAnsi="宋体" w:cs="Arial"/>
                <w:szCs w:val="21"/>
              </w:rPr>
            </w:pPr>
            <w:r>
              <w:rPr>
                <w:rFonts w:hint="eastAsia" w:ascii="宋体" w:hAnsi="宋体" w:cs="Arial"/>
                <w:szCs w:val="21"/>
              </w:rPr>
              <w:t>千兆网卡：≥4个</w:t>
            </w:r>
          </w:p>
          <w:p>
            <w:pPr>
              <w:pStyle w:val="208"/>
              <w:spacing w:line="276" w:lineRule="auto"/>
              <w:ind w:firstLine="0" w:firstLineChars="0"/>
              <w:jc w:val="left"/>
              <w:rPr>
                <w:rFonts w:hint="eastAsia" w:ascii="宋体" w:hAnsi="宋体" w:cs="Arial"/>
                <w:szCs w:val="21"/>
              </w:rPr>
            </w:pPr>
            <w:r>
              <w:rPr>
                <w:rFonts w:hint="eastAsia" w:ascii="宋体" w:hAnsi="宋体" w:cs="Arial"/>
                <w:szCs w:val="21"/>
              </w:rPr>
              <w:t>以太网卡10GE≥2个</w:t>
            </w:r>
          </w:p>
          <w:p>
            <w:pPr>
              <w:pStyle w:val="208"/>
              <w:spacing w:line="276" w:lineRule="auto"/>
              <w:ind w:firstLine="0" w:firstLineChars="0"/>
              <w:jc w:val="left"/>
              <w:rPr>
                <w:rFonts w:hint="eastAsia" w:ascii="宋体" w:hAnsi="宋体" w:cs="Arial"/>
                <w:szCs w:val="21"/>
              </w:rPr>
            </w:pPr>
            <w:r>
              <w:rPr>
                <w:rFonts w:hint="eastAsia" w:ascii="宋体" w:hAnsi="宋体" w:cs="Arial"/>
                <w:szCs w:val="21"/>
              </w:rPr>
              <w:t>散热器：2个导风罩(1U散热器)</w:t>
            </w:r>
          </w:p>
          <w:p>
            <w:pPr>
              <w:widowControl/>
              <w:spacing w:line="276" w:lineRule="auto"/>
              <w:jc w:val="left"/>
              <w:textAlignment w:val="center"/>
              <w:rPr>
                <w:rFonts w:hint="eastAsia" w:ascii="宋体" w:hAnsi="宋体" w:cs="仿宋"/>
                <w:color w:val="000000"/>
                <w:kern w:val="0"/>
                <w:sz w:val="24"/>
                <w:szCs w:val="24"/>
                <w:lang w:bidi="ar"/>
              </w:rPr>
            </w:pPr>
            <w:r>
              <w:rPr>
                <w:rFonts w:hint="eastAsia" w:ascii="宋体" w:hAnsi="宋体" w:cs="Arial"/>
                <w:szCs w:val="21"/>
              </w:rPr>
              <w:t>滑轨:1个2U静态滑轨套件"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3</w:t>
            </w:r>
          </w:p>
        </w:tc>
        <w:tc>
          <w:tcPr>
            <w:tcW w:w="1482" w:type="dxa"/>
            <w:noWrap w:val="0"/>
            <w:vAlign w:val="center"/>
          </w:tcPr>
          <w:p>
            <w:pPr>
              <w:widowControl/>
              <w:jc w:val="center"/>
              <w:textAlignment w:val="center"/>
              <w:rPr>
                <w:rFonts w:hint="eastAsia" w:ascii="宋体" w:hAnsi="宋体" w:cs="宋体"/>
              </w:rPr>
            </w:pPr>
            <w:r>
              <w:rPr>
                <w:rFonts w:hint="eastAsia" w:ascii="等线" w:hAnsi="等线" w:cs="Arial"/>
                <w:szCs w:val="21"/>
              </w:rPr>
              <w:t>应用服务器</w:t>
            </w:r>
          </w:p>
        </w:tc>
        <w:tc>
          <w:tcPr>
            <w:tcW w:w="495"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台</w:t>
            </w:r>
          </w:p>
        </w:tc>
        <w:tc>
          <w:tcPr>
            <w:tcW w:w="480"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pPr>
              <w:pStyle w:val="208"/>
              <w:spacing w:line="276" w:lineRule="auto"/>
              <w:ind w:firstLine="0" w:firstLineChars="0"/>
              <w:jc w:val="left"/>
              <w:rPr>
                <w:rFonts w:hint="eastAsia" w:ascii="宋体" w:hAnsi="宋体" w:cs="Arial"/>
                <w:szCs w:val="21"/>
              </w:rPr>
            </w:pPr>
            <w:r>
              <w:rPr>
                <w:rFonts w:hint="eastAsia" w:ascii="宋体" w:hAnsi="宋体" w:cs="Arial"/>
                <w:szCs w:val="21"/>
              </w:rPr>
              <w:t>不低于以下配置：</w:t>
            </w:r>
          </w:p>
          <w:p>
            <w:pPr>
              <w:pStyle w:val="208"/>
              <w:spacing w:line="276" w:lineRule="auto"/>
              <w:ind w:firstLine="0" w:firstLineChars="0"/>
              <w:jc w:val="left"/>
              <w:rPr>
                <w:rFonts w:hint="eastAsia" w:ascii="宋体" w:hAnsi="宋体" w:cs="Arial"/>
                <w:szCs w:val="21"/>
              </w:rPr>
            </w:pPr>
            <w:r>
              <w:rPr>
                <w:rFonts w:hint="eastAsia" w:ascii="宋体" w:hAnsi="宋体" w:cs="Arial"/>
                <w:szCs w:val="21"/>
              </w:rPr>
              <w:t>电源：2个服务器900W交流电源</w:t>
            </w:r>
          </w:p>
          <w:p>
            <w:pPr>
              <w:pStyle w:val="208"/>
              <w:spacing w:line="276" w:lineRule="auto"/>
              <w:ind w:firstLine="0" w:firstLineChars="0"/>
              <w:jc w:val="left"/>
              <w:rPr>
                <w:rFonts w:hint="eastAsia" w:ascii="宋体" w:hAnsi="宋体" w:cs="Arial"/>
                <w:szCs w:val="21"/>
              </w:rPr>
            </w:pPr>
            <w:r>
              <w:rPr>
                <w:rFonts w:hint="eastAsia" w:ascii="宋体" w:hAnsi="宋体"/>
                <w:bCs/>
                <w:color w:val="000000"/>
                <w:sz w:val="28"/>
                <w:szCs w:val="28"/>
              </w:rPr>
              <w:t>▲</w:t>
            </w:r>
            <w:r>
              <w:rPr>
                <w:rFonts w:hint="eastAsia" w:ascii="宋体" w:hAnsi="宋体" w:cs="Arial"/>
                <w:szCs w:val="21"/>
              </w:rPr>
              <w:t>CPU： 64核、</w:t>
            </w:r>
            <w:r>
              <w:rPr>
                <w:rFonts w:ascii="宋体" w:hAnsi="宋体" w:cs="Arial"/>
                <w:szCs w:val="21"/>
              </w:rPr>
              <w:t>2.6GHz</w:t>
            </w:r>
            <w:r>
              <w:rPr>
                <w:rFonts w:hint="eastAsia" w:ascii="宋体" w:hAnsi="宋体" w:cs="Arial"/>
                <w:szCs w:val="21"/>
              </w:rPr>
              <w:t xml:space="preserve"> CPU</w:t>
            </w:r>
          </w:p>
          <w:p>
            <w:pPr>
              <w:pStyle w:val="208"/>
              <w:spacing w:line="276" w:lineRule="auto"/>
              <w:ind w:firstLine="0" w:firstLineChars="0"/>
              <w:jc w:val="left"/>
              <w:rPr>
                <w:rFonts w:hint="eastAsia" w:ascii="宋体" w:hAnsi="宋体" w:cs="Arial"/>
                <w:szCs w:val="21"/>
              </w:rPr>
            </w:pPr>
            <w:r>
              <w:rPr>
                <w:rFonts w:hint="eastAsia" w:ascii="宋体" w:hAnsi="宋体"/>
                <w:bCs/>
                <w:color w:val="000000"/>
                <w:sz w:val="28"/>
                <w:szCs w:val="28"/>
              </w:rPr>
              <w:t>▲</w:t>
            </w:r>
            <w:r>
              <w:rPr>
                <w:rFonts w:hint="eastAsia" w:ascii="宋体" w:hAnsi="宋体" w:cs="Arial"/>
                <w:szCs w:val="21"/>
              </w:rPr>
              <w:t>内存：主板内存槽数量≥4个；DDR4 RDIMM-32GB≥2；</w:t>
            </w:r>
          </w:p>
          <w:p>
            <w:pPr>
              <w:pStyle w:val="208"/>
              <w:spacing w:line="276" w:lineRule="auto"/>
              <w:ind w:firstLine="0" w:firstLineChars="0"/>
              <w:jc w:val="left"/>
              <w:rPr>
                <w:rFonts w:ascii="宋体" w:hAnsi="宋体" w:cs="Arial"/>
                <w:szCs w:val="21"/>
              </w:rPr>
            </w:pPr>
            <w:r>
              <w:rPr>
                <w:rFonts w:hint="eastAsia" w:ascii="宋体" w:hAnsi="宋体"/>
                <w:bCs/>
                <w:color w:val="000000"/>
                <w:sz w:val="28"/>
                <w:szCs w:val="28"/>
              </w:rPr>
              <w:t>▲</w:t>
            </w:r>
            <w:r>
              <w:rPr>
                <w:rFonts w:hint="eastAsia" w:ascii="宋体" w:hAnsi="宋体" w:cs="Arial"/>
                <w:szCs w:val="21"/>
              </w:rPr>
              <w:t>硬磁盘实配容量： SSD系统硬盘≥480GB，数据硬盘容量≥100TB；</w:t>
            </w:r>
          </w:p>
          <w:p>
            <w:pPr>
              <w:pStyle w:val="208"/>
              <w:spacing w:line="276" w:lineRule="auto"/>
              <w:ind w:firstLine="0" w:firstLineChars="0"/>
              <w:jc w:val="left"/>
              <w:rPr>
                <w:rFonts w:hint="eastAsia" w:ascii="宋体" w:hAnsi="宋体" w:cs="Arial"/>
                <w:szCs w:val="21"/>
              </w:rPr>
            </w:pPr>
            <w:r>
              <w:rPr>
                <w:rFonts w:hint="eastAsia" w:ascii="宋体" w:hAnsi="宋体" w:cs="Arial"/>
                <w:szCs w:val="21"/>
              </w:rPr>
              <w:t>RAID卡：SR430-2G≥1，支持RAID0/1/5/6/10/50/60；</w:t>
            </w:r>
          </w:p>
          <w:p>
            <w:pPr>
              <w:pStyle w:val="208"/>
              <w:spacing w:line="276" w:lineRule="auto"/>
              <w:ind w:firstLine="0" w:firstLineChars="0"/>
              <w:jc w:val="left"/>
              <w:rPr>
                <w:rFonts w:hint="eastAsia" w:ascii="宋体" w:hAnsi="宋体" w:cs="Arial"/>
                <w:szCs w:val="21"/>
              </w:rPr>
            </w:pPr>
            <w:r>
              <w:rPr>
                <w:rFonts w:hint="eastAsia" w:ascii="宋体" w:hAnsi="宋体" w:cs="Arial"/>
                <w:szCs w:val="21"/>
              </w:rPr>
              <w:t>千兆网卡：≥4个</w:t>
            </w:r>
          </w:p>
          <w:p>
            <w:pPr>
              <w:pStyle w:val="208"/>
              <w:spacing w:line="276" w:lineRule="auto"/>
              <w:ind w:firstLine="0" w:firstLineChars="0"/>
              <w:jc w:val="left"/>
              <w:rPr>
                <w:rFonts w:hint="eastAsia" w:ascii="宋体" w:hAnsi="宋体" w:cs="Arial"/>
                <w:szCs w:val="21"/>
              </w:rPr>
            </w:pPr>
            <w:r>
              <w:rPr>
                <w:rFonts w:hint="eastAsia" w:ascii="宋体" w:hAnsi="宋体" w:cs="Arial"/>
                <w:szCs w:val="21"/>
              </w:rPr>
              <w:t>以太网卡10GE≥2个</w:t>
            </w:r>
          </w:p>
          <w:p>
            <w:pPr>
              <w:pStyle w:val="208"/>
              <w:spacing w:line="276" w:lineRule="auto"/>
              <w:ind w:firstLine="0" w:firstLineChars="0"/>
              <w:jc w:val="left"/>
              <w:rPr>
                <w:rFonts w:hint="eastAsia" w:ascii="宋体" w:hAnsi="宋体" w:cs="Arial"/>
                <w:szCs w:val="21"/>
              </w:rPr>
            </w:pPr>
            <w:r>
              <w:rPr>
                <w:rFonts w:hint="eastAsia" w:ascii="宋体" w:hAnsi="宋体" w:cs="Arial"/>
                <w:szCs w:val="21"/>
              </w:rPr>
              <w:t>散热器：2个导风罩(1U散热器)</w:t>
            </w:r>
          </w:p>
          <w:p>
            <w:pPr>
              <w:widowControl/>
              <w:spacing w:line="240" w:lineRule="atLeast"/>
              <w:jc w:val="left"/>
              <w:textAlignment w:val="center"/>
              <w:rPr>
                <w:rFonts w:hint="eastAsia" w:ascii="宋体" w:hAnsi="宋体" w:cs="仿宋"/>
                <w:color w:val="000000"/>
                <w:kern w:val="0"/>
                <w:sz w:val="24"/>
                <w:szCs w:val="24"/>
                <w:lang w:bidi="ar"/>
              </w:rPr>
            </w:pPr>
            <w:r>
              <w:rPr>
                <w:rFonts w:hint="eastAsia" w:ascii="宋体" w:hAnsi="宋体" w:cs="Arial"/>
                <w:szCs w:val="21"/>
              </w:rPr>
              <w:t>滑轨:1个2U静态滑轨套件"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4</w:t>
            </w:r>
          </w:p>
        </w:tc>
        <w:tc>
          <w:tcPr>
            <w:tcW w:w="1482" w:type="dxa"/>
            <w:noWrap w:val="0"/>
            <w:vAlign w:val="center"/>
          </w:tcPr>
          <w:p>
            <w:pPr>
              <w:widowControl/>
              <w:jc w:val="center"/>
              <w:textAlignment w:val="center"/>
              <w:rPr>
                <w:rFonts w:hint="eastAsia" w:ascii="宋体" w:hAnsi="宋体" w:cs="宋体"/>
              </w:rPr>
            </w:pPr>
            <w:r>
              <w:rPr>
                <w:rFonts w:hint="eastAsia" w:ascii="等线" w:hAnsi="等线" w:cs="Arial"/>
                <w:szCs w:val="21"/>
              </w:rPr>
              <w:t>数据库服务器</w:t>
            </w:r>
          </w:p>
        </w:tc>
        <w:tc>
          <w:tcPr>
            <w:tcW w:w="495"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块</w:t>
            </w:r>
          </w:p>
        </w:tc>
        <w:tc>
          <w:tcPr>
            <w:tcW w:w="480"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pPr>
              <w:pStyle w:val="208"/>
              <w:spacing w:line="276" w:lineRule="auto"/>
              <w:ind w:firstLine="0" w:firstLineChars="0"/>
              <w:jc w:val="left"/>
              <w:rPr>
                <w:rFonts w:hint="eastAsia" w:ascii="宋体" w:hAnsi="宋体" w:cs="Arial"/>
                <w:szCs w:val="21"/>
              </w:rPr>
            </w:pPr>
            <w:r>
              <w:rPr>
                <w:rFonts w:hint="eastAsia" w:ascii="宋体" w:hAnsi="宋体" w:cs="Arial"/>
                <w:szCs w:val="21"/>
              </w:rPr>
              <w:t>不低于以下配置：</w:t>
            </w:r>
          </w:p>
          <w:p>
            <w:pPr>
              <w:pStyle w:val="208"/>
              <w:spacing w:line="276" w:lineRule="auto"/>
              <w:ind w:firstLine="0" w:firstLineChars="0"/>
              <w:jc w:val="left"/>
              <w:rPr>
                <w:rFonts w:hint="eastAsia" w:ascii="宋体" w:hAnsi="宋体" w:cs="Arial"/>
                <w:szCs w:val="21"/>
              </w:rPr>
            </w:pPr>
            <w:r>
              <w:rPr>
                <w:rFonts w:hint="eastAsia" w:ascii="宋体" w:hAnsi="宋体" w:cs="Arial"/>
                <w:szCs w:val="21"/>
              </w:rPr>
              <w:t>电源：2个服务器900W交流电源</w:t>
            </w:r>
          </w:p>
          <w:p>
            <w:pPr>
              <w:pStyle w:val="208"/>
              <w:spacing w:line="276" w:lineRule="auto"/>
              <w:ind w:firstLine="0" w:firstLineChars="0"/>
              <w:jc w:val="left"/>
              <w:rPr>
                <w:rFonts w:hint="eastAsia" w:ascii="宋体" w:hAnsi="宋体" w:cs="Arial"/>
                <w:szCs w:val="21"/>
              </w:rPr>
            </w:pPr>
            <w:r>
              <w:rPr>
                <w:rFonts w:hint="eastAsia" w:ascii="宋体" w:hAnsi="宋体" w:cs="Arial"/>
                <w:szCs w:val="21"/>
              </w:rPr>
              <w:t>▲CPU： 64核、2.6GHz CPU</w:t>
            </w:r>
          </w:p>
          <w:p>
            <w:pPr>
              <w:pStyle w:val="208"/>
              <w:spacing w:line="276" w:lineRule="auto"/>
              <w:ind w:firstLine="0" w:firstLineChars="0"/>
              <w:jc w:val="left"/>
              <w:rPr>
                <w:rFonts w:hint="eastAsia" w:ascii="宋体" w:hAnsi="宋体" w:cs="Arial"/>
                <w:szCs w:val="21"/>
              </w:rPr>
            </w:pPr>
            <w:r>
              <w:rPr>
                <w:rFonts w:hint="eastAsia" w:ascii="宋体" w:hAnsi="宋体" w:cs="Arial"/>
                <w:szCs w:val="21"/>
              </w:rPr>
              <w:t>▲内存：主板内存槽数量≥4个；DDR4 RDIMM-32GB≥2；</w:t>
            </w:r>
          </w:p>
          <w:p>
            <w:pPr>
              <w:pStyle w:val="208"/>
              <w:spacing w:line="276" w:lineRule="auto"/>
              <w:ind w:firstLine="0" w:firstLineChars="0"/>
              <w:jc w:val="left"/>
              <w:rPr>
                <w:rFonts w:hint="eastAsia" w:ascii="宋体" w:hAnsi="宋体" w:cs="Arial"/>
                <w:szCs w:val="21"/>
              </w:rPr>
            </w:pPr>
            <w:r>
              <w:rPr>
                <w:rFonts w:hint="eastAsia" w:ascii="宋体" w:hAnsi="宋体" w:cs="Arial"/>
                <w:szCs w:val="21"/>
              </w:rPr>
              <w:t xml:space="preserve">▲硬磁盘实配容量： SSD系统硬盘≥480GB，数据硬盘容量≥100TB </w:t>
            </w:r>
          </w:p>
          <w:p>
            <w:pPr>
              <w:pStyle w:val="208"/>
              <w:spacing w:line="276" w:lineRule="auto"/>
              <w:ind w:firstLine="0" w:firstLineChars="0"/>
              <w:jc w:val="left"/>
              <w:rPr>
                <w:rFonts w:hint="eastAsia" w:ascii="宋体" w:hAnsi="宋体" w:cs="Arial"/>
                <w:szCs w:val="21"/>
              </w:rPr>
            </w:pPr>
            <w:r>
              <w:rPr>
                <w:rFonts w:hint="eastAsia" w:ascii="宋体" w:hAnsi="宋体" w:cs="Arial"/>
                <w:szCs w:val="21"/>
              </w:rPr>
              <w:t>RAID卡：SR430-2G≥1，支持RAID0/1/5/6/10/50/60；</w:t>
            </w:r>
          </w:p>
          <w:p>
            <w:pPr>
              <w:pStyle w:val="208"/>
              <w:spacing w:line="276" w:lineRule="auto"/>
              <w:ind w:firstLine="0" w:firstLineChars="0"/>
              <w:jc w:val="left"/>
              <w:rPr>
                <w:rFonts w:hint="eastAsia" w:ascii="宋体" w:hAnsi="宋体" w:cs="Arial"/>
                <w:szCs w:val="21"/>
              </w:rPr>
            </w:pPr>
            <w:r>
              <w:rPr>
                <w:rFonts w:hint="eastAsia" w:ascii="宋体" w:hAnsi="宋体" w:cs="Arial"/>
                <w:szCs w:val="21"/>
              </w:rPr>
              <w:t>千兆网卡：≥4个</w:t>
            </w:r>
          </w:p>
          <w:p>
            <w:pPr>
              <w:pStyle w:val="208"/>
              <w:spacing w:line="276" w:lineRule="auto"/>
              <w:ind w:firstLine="0" w:firstLineChars="0"/>
              <w:jc w:val="left"/>
              <w:rPr>
                <w:rFonts w:hint="eastAsia" w:ascii="宋体" w:hAnsi="宋体" w:cs="Arial"/>
                <w:szCs w:val="21"/>
              </w:rPr>
            </w:pPr>
            <w:r>
              <w:rPr>
                <w:rFonts w:hint="eastAsia" w:ascii="宋体" w:hAnsi="宋体" w:cs="Arial"/>
                <w:szCs w:val="21"/>
              </w:rPr>
              <w:t>以太网卡10GE≥2个</w:t>
            </w:r>
          </w:p>
          <w:p>
            <w:pPr>
              <w:pStyle w:val="208"/>
              <w:spacing w:line="276" w:lineRule="auto"/>
              <w:ind w:firstLine="0" w:firstLineChars="0"/>
              <w:jc w:val="left"/>
              <w:rPr>
                <w:rFonts w:hint="eastAsia" w:ascii="宋体" w:hAnsi="宋体" w:cs="Arial"/>
                <w:szCs w:val="21"/>
              </w:rPr>
            </w:pPr>
            <w:r>
              <w:rPr>
                <w:rFonts w:hint="eastAsia" w:ascii="宋体" w:hAnsi="宋体" w:cs="Arial"/>
                <w:szCs w:val="21"/>
              </w:rPr>
              <w:t>散热器：2个导风罩(1U散热器)</w:t>
            </w:r>
          </w:p>
          <w:p>
            <w:pPr>
              <w:widowControl/>
              <w:spacing w:line="240" w:lineRule="atLeast"/>
              <w:jc w:val="left"/>
              <w:textAlignment w:val="center"/>
              <w:rPr>
                <w:rFonts w:hint="eastAsia" w:ascii="宋体" w:hAnsi="宋体" w:cs="仿宋"/>
                <w:color w:val="000000"/>
                <w:kern w:val="0"/>
                <w:sz w:val="24"/>
                <w:szCs w:val="24"/>
                <w:lang w:bidi="ar"/>
              </w:rPr>
            </w:pPr>
            <w:r>
              <w:rPr>
                <w:rFonts w:hint="eastAsia" w:ascii="宋体" w:hAnsi="宋体" w:cs="Arial"/>
                <w:szCs w:val="21"/>
              </w:rPr>
              <w:t>滑轨:1个2U静态滑轨套件"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5</w:t>
            </w:r>
          </w:p>
        </w:tc>
        <w:tc>
          <w:tcPr>
            <w:tcW w:w="1482"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交换机</w:t>
            </w:r>
          </w:p>
        </w:tc>
        <w:tc>
          <w:tcPr>
            <w:tcW w:w="495"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套</w:t>
            </w:r>
          </w:p>
        </w:tc>
        <w:tc>
          <w:tcPr>
            <w:tcW w:w="480"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pPr>
              <w:widowControl/>
              <w:spacing w:line="240" w:lineRule="atLeast"/>
              <w:jc w:val="left"/>
              <w:textAlignment w:val="center"/>
              <w:rPr>
                <w:rFonts w:hint="eastAsia" w:ascii="宋体" w:hAnsi="宋体" w:cs="仿宋"/>
                <w:color w:val="000000"/>
                <w:kern w:val="0"/>
                <w:sz w:val="20"/>
                <w:szCs w:val="20"/>
                <w:lang w:bidi="ar"/>
              </w:rPr>
            </w:pPr>
            <w:r>
              <w:rPr>
                <w:rFonts w:hint="eastAsia" w:ascii="宋体" w:hAnsi="宋体" w:cs="Arial"/>
                <w:sz w:val="20"/>
                <w:szCs w:val="20"/>
              </w:rPr>
              <w:t>交换机24口千兆以太网+4口万兆光企业级网络Web管理中小公司接入组网无噪音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6</w:t>
            </w:r>
          </w:p>
        </w:tc>
        <w:tc>
          <w:tcPr>
            <w:tcW w:w="1482"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防火墙</w:t>
            </w:r>
          </w:p>
        </w:tc>
        <w:tc>
          <w:tcPr>
            <w:tcW w:w="495"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台</w:t>
            </w:r>
          </w:p>
        </w:tc>
        <w:tc>
          <w:tcPr>
            <w:tcW w:w="480"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pPr>
              <w:widowControl/>
              <w:spacing w:line="240" w:lineRule="atLeast"/>
              <w:jc w:val="left"/>
              <w:textAlignment w:val="center"/>
              <w:rPr>
                <w:rFonts w:hint="eastAsia" w:ascii="宋体" w:hAnsi="宋体" w:cs="仿宋"/>
                <w:color w:val="000000"/>
                <w:kern w:val="0"/>
                <w:sz w:val="20"/>
                <w:szCs w:val="20"/>
                <w:lang w:bidi="ar"/>
              </w:rPr>
            </w:pPr>
            <w:r>
              <w:rPr>
                <w:rFonts w:hint="eastAsia" w:ascii="宋体" w:hAnsi="宋体" w:cs="Arial"/>
                <w:sz w:val="20"/>
                <w:szCs w:val="20"/>
              </w:rPr>
              <w:t>8千兆光电复用口 2万兆光口企业级机架式防火墙 带机量500 sk-link</w:t>
            </w:r>
            <w:r>
              <w:rPr>
                <w:rFonts w:hint="eastAsia" w:ascii="宋体" w:hAnsi="宋体" w:cs="仿宋"/>
                <w:color w:val="000000"/>
                <w:kern w:val="0"/>
                <w:sz w:val="20"/>
                <w:szCs w:val="20"/>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7</w:t>
            </w:r>
          </w:p>
        </w:tc>
        <w:tc>
          <w:tcPr>
            <w:tcW w:w="1482"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机柜</w:t>
            </w:r>
          </w:p>
        </w:tc>
        <w:tc>
          <w:tcPr>
            <w:tcW w:w="495"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台</w:t>
            </w:r>
          </w:p>
        </w:tc>
        <w:tc>
          <w:tcPr>
            <w:tcW w:w="480"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pPr>
              <w:pStyle w:val="208"/>
              <w:spacing w:line="276" w:lineRule="auto"/>
              <w:ind w:firstLine="0" w:firstLineChars="0"/>
              <w:jc w:val="left"/>
              <w:rPr>
                <w:rFonts w:ascii="宋体" w:hAnsi="宋体" w:cs="Arial"/>
                <w:szCs w:val="20"/>
              </w:rPr>
            </w:pPr>
            <w:r>
              <w:rPr>
                <w:rFonts w:hint="eastAsia" w:ascii="宋体" w:hAnsi="宋体" w:cs="Arial"/>
                <w:szCs w:val="20"/>
              </w:rPr>
              <w:t>机柜容量：42U；</w:t>
            </w:r>
          </w:p>
          <w:p>
            <w:pPr>
              <w:pStyle w:val="208"/>
              <w:spacing w:line="276" w:lineRule="auto"/>
              <w:ind w:firstLine="0" w:firstLineChars="0"/>
              <w:jc w:val="left"/>
              <w:rPr>
                <w:rFonts w:ascii="宋体" w:hAnsi="宋体" w:cs="Arial"/>
                <w:szCs w:val="20"/>
              </w:rPr>
            </w:pPr>
            <w:r>
              <w:rPr>
                <w:rFonts w:hint="eastAsia" w:ascii="宋体" w:hAnsi="宋体" w:cs="Arial"/>
                <w:szCs w:val="20"/>
              </w:rPr>
              <w:t xml:space="preserve">1、外观尺寸：600mm(宽）×1000mm(深）×2000mm(高）; </w:t>
            </w:r>
          </w:p>
          <w:p>
            <w:pPr>
              <w:pStyle w:val="208"/>
              <w:spacing w:line="276" w:lineRule="auto"/>
              <w:ind w:firstLine="0" w:firstLineChars="0"/>
              <w:jc w:val="left"/>
              <w:rPr>
                <w:rFonts w:ascii="宋体" w:hAnsi="宋体" w:cs="Arial"/>
                <w:szCs w:val="20"/>
              </w:rPr>
            </w:pPr>
            <w:r>
              <w:rPr>
                <w:rFonts w:hint="eastAsia" w:ascii="宋体" w:hAnsi="宋体" w:cs="Arial"/>
                <w:szCs w:val="20"/>
              </w:rPr>
              <w:t>2.承重：600kg；</w:t>
            </w:r>
          </w:p>
          <w:p>
            <w:pPr>
              <w:pStyle w:val="208"/>
              <w:spacing w:line="276" w:lineRule="auto"/>
              <w:ind w:firstLine="0" w:firstLineChars="0"/>
              <w:jc w:val="left"/>
              <w:rPr>
                <w:rFonts w:ascii="宋体" w:hAnsi="宋体" w:cs="Arial"/>
                <w:szCs w:val="20"/>
              </w:rPr>
            </w:pPr>
            <w:r>
              <w:rPr>
                <w:rFonts w:hint="eastAsia" w:ascii="宋体" w:hAnsi="宋体" w:cs="Arial"/>
                <w:szCs w:val="20"/>
              </w:rPr>
              <w:t>3材质：前门网孔门、后门网孔门；</w:t>
            </w:r>
          </w:p>
          <w:p>
            <w:pPr>
              <w:pStyle w:val="208"/>
              <w:spacing w:line="276" w:lineRule="auto"/>
              <w:ind w:firstLine="0" w:firstLineChars="0"/>
              <w:jc w:val="left"/>
              <w:rPr>
                <w:rFonts w:ascii="宋体" w:hAnsi="宋体" w:cs="Arial"/>
                <w:szCs w:val="20"/>
              </w:rPr>
            </w:pPr>
            <w:r>
              <w:rPr>
                <w:rFonts w:hint="eastAsia" w:ascii="宋体" w:hAnsi="宋体" w:cs="Arial"/>
                <w:szCs w:val="20"/>
              </w:rPr>
              <w:t xml:space="preserve">4.柜体框架材料：冷轧钢板钢板厚度0.7mm立柱1.8mm； </w:t>
            </w:r>
          </w:p>
          <w:p>
            <w:pPr>
              <w:pStyle w:val="208"/>
              <w:spacing w:line="276" w:lineRule="auto"/>
              <w:ind w:firstLine="0" w:firstLineChars="0"/>
              <w:jc w:val="left"/>
              <w:rPr>
                <w:rFonts w:ascii="宋体" w:hAnsi="宋体" w:cs="Arial"/>
                <w:szCs w:val="20"/>
              </w:rPr>
            </w:pPr>
            <w:r>
              <w:rPr>
                <w:rFonts w:hint="eastAsia" w:ascii="宋体" w:hAnsi="宋体" w:cs="Arial"/>
                <w:szCs w:val="20"/>
              </w:rPr>
              <w:t xml:space="preserve">5.材质：优质冷轧钢,表面酸洗、磷化、静电喷塑 </w:t>
            </w:r>
          </w:p>
          <w:p>
            <w:pPr>
              <w:pStyle w:val="208"/>
              <w:spacing w:line="276" w:lineRule="auto"/>
              <w:ind w:firstLine="0" w:firstLineChars="0"/>
              <w:jc w:val="left"/>
              <w:rPr>
                <w:rFonts w:ascii="宋体" w:hAnsi="宋体" w:cs="Arial"/>
                <w:szCs w:val="20"/>
              </w:rPr>
            </w:pPr>
            <w:r>
              <w:rPr>
                <w:rFonts w:hint="eastAsia" w:ascii="宋体" w:hAnsi="宋体" w:cs="Arial"/>
                <w:szCs w:val="20"/>
              </w:rPr>
              <w:t xml:space="preserve">6.机身颜色：黑色 </w:t>
            </w:r>
          </w:p>
          <w:p>
            <w:pPr>
              <w:widowControl/>
              <w:spacing w:line="240" w:lineRule="atLeast"/>
              <w:jc w:val="left"/>
              <w:textAlignment w:val="center"/>
              <w:rPr>
                <w:rFonts w:hint="eastAsia" w:ascii="宋体" w:hAnsi="宋体" w:cs="仿宋"/>
                <w:color w:val="000000"/>
                <w:kern w:val="0"/>
                <w:sz w:val="20"/>
                <w:szCs w:val="20"/>
                <w:lang w:bidi="ar"/>
              </w:rPr>
            </w:pPr>
            <w:r>
              <w:rPr>
                <w:rFonts w:hint="eastAsia" w:ascii="宋体" w:hAnsi="宋体" w:cs="Arial"/>
                <w:sz w:val="20"/>
                <w:szCs w:val="20"/>
              </w:rPr>
              <w:t>7.配置：托盘3个，风扇2个，6口10APDU插排1个，螺丝1包，脚轮支脚4套。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8</w:t>
            </w:r>
          </w:p>
        </w:tc>
        <w:tc>
          <w:tcPr>
            <w:tcW w:w="1482" w:type="dxa"/>
            <w:noWrap w:val="0"/>
            <w:vAlign w:val="center"/>
          </w:tcPr>
          <w:p>
            <w:pPr>
              <w:widowControl/>
              <w:jc w:val="center"/>
              <w:textAlignment w:val="center"/>
              <w:rPr>
                <w:rFonts w:hint="eastAsia" w:ascii="宋体" w:hAnsi="宋体" w:cs="宋体"/>
              </w:rPr>
            </w:pPr>
            <w:r>
              <w:rPr>
                <w:rFonts w:hint="eastAsia" w:ascii="宋体" w:hAnsi="宋体" w:cs="宋体"/>
                <w:b/>
                <w:bCs/>
                <w:color w:val="000000"/>
                <w:kern w:val="0"/>
                <w:sz w:val="24"/>
                <w:szCs w:val="24"/>
                <w:lang w:bidi="ar"/>
              </w:rPr>
              <w:t>虚拟现实操作一体机（教师端）</w:t>
            </w:r>
          </w:p>
        </w:tc>
        <w:tc>
          <w:tcPr>
            <w:tcW w:w="495"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套</w:t>
            </w:r>
          </w:p>
        </w:tc>
        <w:tc>
          <w:tcPr>
            <w:tcW w:w="480"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pPr>
              <w:spacing w:line="276" w:lineRule="auto"/>
              <w:rPr>
                <w:rFonts w:hint="eastAsia" w:ascii="宋体" w:hAnsi="宋体"/>
                <w:szCs w:val="21"/>
              </w:rPr>
            </w:pPr>
            <w:r>
              <w:rPr>
                <w:rFonts w:hint="eastAsia" w:ascii="宋体" w:hAnsi="宋体"/>
                <w:szCs w:val="21"/>
              </w:rPr>
              <w:t>一、光学交互系统模块</w:t>
            </w:r>
          </w:p>
          <w:p>
            <w:pPr>
              <w:spacing w:line="276" w:lineRule="auto"/>
              <w:rPr>
                <w:rFonts w:hint="eastAsia" w:ascii="宋体" w:hAnsi="宋体"/>
                <w:szCs w:val="21"/>
              </w:rPr>
            </w:pPr>
            <w:r>
              <w:rPr>
                <w:rFonts w:hint="eastAsia" w:ascii="宋体" w:hAnsi="宋体"/>
                <w:szCs w:val="21"/>
              </w:rPr>
              <w:t>1.</w:t>
            </w:r>
            <w:r>
              <w:rPr>
                <w:rFonts w:hint="eastAsia" w:ascii="宋体" w:hAnsi="宋体" w:cs="Arial"/>
                <w:szCs w:val="21"/>
              </w:rPr>
              <w:t>★</w:t>
            </w:r>
            <w:r>
              <w:rPr>
                <w:rFonts w:hint="eastAsia" w:ascii="宋体" w:hAnsi="宋体"/>
                <w:szCs w:val="21"/>
              </w:rPr>
              <w:t>设备一体式设计，显示尺寸不小于27英寸；内置至少四组红外相机组成光</w:t>
            </w:r>
            <w:r>
              <w:rPr>
                <w:rFonts w:hint="eastAsia" w:ascii="宋体" w:hAnsi="宋体"/>
                <w:szCs w:val="21"/>
              </w:rPr>
              <w:tab/>
            </w:r>
            <w:r>
              <w:rPr>
                <w:rFonts w:hint="eastAsia" w:ascii="宋体" w:hAnsi="宋体"/>
                <w:szCs w:val="21"/>
              </w:rPr>
              <w:t>学追踪系统，为保证使用便捷性，3D立体光学跟踪系统内置于一体机内，无外部连接线路；</w:t>
            </w:r>
            <w:r>
              <w:rPr>
                <w:rFonts w:hint="eastAsia" w:ascii="宋体" w:hAnsi="宋体"/>
                <w:b/>
                <w:bCs/>
                <w:szCs w:val="21"/>
              </w:rPr>
              <w:t>【提供实物图片证明材料加盖公章】</w:t>
            </w:r>
            <w:r>
              <w:rPr>
                <w:rFonts w:hint="eastAsia" w:ascii="宋体" w:hAnsi="宋体"/>
                <w:szCs w:val="21"/>
              </w:rPr>
              <w:t>；</w:t>
            </w:r>
          </w:p>
          <w:p>
            <w:pPr>
              <w:spacing w:line="276" w:lineRule="auto"/>
              <w:rPr>
                <w:rFonts w:hint="eastAsia" w:ascii="宋体" w:hAnsi="宋体"/>
                <w:szCs w:val="21"/>
              </w:rPr>
            </w:pPr>
            <w:r>
              <w:rPr>
                <w:rFonts w:hint="eastAsia" w:ascii="宋体" w:hAnsi="宋体"/>
                <w:szCs w:val="21"/>
              </w:rPr>
              <w:t>2.支持3D姿态动态调节，光学追踪系统可准确判断眼镜所在位置，根据视角的不同转换不同视角下的显示内容；</w:t>
            </w:r>
          </w:p>
          <w:p>
            <w:pPr>
              <w:spacing w:line="276" w:lineRule="auto"/>
              <w:rPr>
                <w:rFonts w:hint="eastAsia" w:ascii="宋体" w:hAnsi="宋体"/>
                <w:szCs w:val="21"/>
              </w:rPr>
            </w:pPr>
            <w:r>
              <w:rPr>
                <w:rFonts w:hint="eastAsia" w:ascii="宋体" w:hAnsi="宋体"/>
                <w:szCs w:val="21"/>
              </w:rPr>
              <w:t>3.可提供基于Unity3D、UE4、WebGL等常见三维引擎的SDK，支持二次开发，SDK支持免编译自动生成配置文件启动web浏览器3D立体可视化；</w:t>
            </w:r>
          </w:p>
          <w:p>
            <w:pPr>
              <w:spacing w:line="276" w:lineRule="auto"/>
              <w:rPr>
                <w:rFonts w:hint="eastAsia" w:ascii="宋体" w:hAnsi="宋体"/>
                <w:szCs w:val="21"/>
              </w:rPr>
            </w:pPr>
            <w:r>
              <w:rPr>
                <w:rFonts w:hint="eastAsia" w:ascii="宋体" w:hAnsi="宋体"/>
                <w:szCs w:val="21"/>
              </w:rPr>
              <w:t>4.支持3D视差调节，支持2D/3D显示动态或手动切换；</w:t>
            </w:r>
          </w:p>
          <w:p>
            <w:pPr>
              <w:spacing w:line="276" w:lineRule="auto"/>
              <w:rPr>
                <w:rFonts w:hint="eastAsia" w:ascii="宋体" w:hAnsi="宋体"/>
                <w:szCs w:val="21"/>
              </w:rPr>
            </w:pPr>
            <w:r>
              <w:rPr>
                <w:rFonts w:hint="eastAsia" w:ascii="宋体" w:hAnsi="宋体"/>
                <w:szCs w:val="21"/>
              </w:rPr>
              <w:t>5.提供3D跟踪眼镜一副，具备≥5个光学反光标志物。提供3D观看眼镜一副；</w:t>
            </w:r>
          </w:p>
          <w:p>
            <w:pPr>
              <w:spacing w:line="276" w:lineRule="auto"/>
              <w:rPr>
                <w:rFonts w:hint="eastAsia" w:ascii="宋体" w:hAnsi="宋体"/>
                <w:szCs w:val="21"/>
              </w:rPr>
            </w:pPr>
            <w:r>
              <w:rPr>
                <w:rFonts w:hint="eastAsia" w:ascii="宋体" w:hAnsi="宋体"/>
                <w:szCs w:val="21"/>
              </w:rPr>
              <w:t>6.</w:t>
            </w:r>
            <w:r>
              <w:rPr>
                <w:rFonts w:hint="eastAsia" w:ascii="宋体" w:hAnsi="宋体" w:cs="Arial"/>
                <w:szCs w:val="21"/>
              </w:rPr>
              <w:t>★</w:t>
            </w:r>
            <w:r>
              <w:rPr>
                <w:rFonts w:hint="eastAsia" w:ascii="宋体" w:hAnsi="宋体"/>
                <w:szCs w:val="21"/>
              </w:rPr>
              <w:t>3D眼镜通过红外方式来接收同步信号，眼镜的透光率大于35%，充电充满时间长度不超过3小时、连续使用时间不小于36小时；</w:t>
            </w:r>
            <w:r>
              <w:rPr>
                <w:rFonts w:hint="eastAsia" w:ascii="宋体" w:hAnsi="宋体"/>
                <w:b/>
                <w:bCs/>
                <w:szCs w:val="21"/>
              </w:rPr>
              <w:t>【</w:t>
            </w:r>
            <w:r>
              <w:rPr>
                <w:rFonts w:hint="eastAsia"/>
              </w:rPr>
              <w:t>提供国家认可的具备CMA认证的检测机构所出具的检测报告复印件并加盖供应商公章</w:t>
            </w:r>
            <w:r>
              <w:rPr>
                <w:rFonts w:hint="eastAsia" w:ascii="宋体" w:hAnsi="宋体"/>
                <w:b/>
                <w:bCs/>
                <w:szCs w:val="21"/>
              </w:rPr>
              <w:t>】</w:t>
            </w:r>
          </w:p>
          <w:p>
            <w:pPr>
              <w:spacing w:line="276" w:lineRule="auto"/>
              <w:rPr>
                <w:rFonts w:hint="eastAsia" w:ascii="宋体" w:hAnsi="宋体"/>
                <w:szCs w:val="21"/>
              </w:rPr>
            </w:pPr>
            <w:r>
              <w:rPr>
                <w:rFonts w:hint="eastAsia" w:ascii="宋体" w:hAnsi="宋体"/>
                <w:szCs w:val="21"/>
              </w:rPr>
              <w:t>7.支持在同一台三维交互一体机中的一个应用场景里，两支六自由度空间交互笔可以通过虚拟射线同时对虚拟场景中的模型进行移动和旋转等操作并实时观看3D屏幕效果，同时可启动AR增强现实效果并录制操作过程；</w:t>
            </w:r>
          </w:p>
          <w:p>
            <w:pPr>
              <w:spacing w:line="276" w:lineRule="auto"/>
              <w:rPr>
                <w:rFonts w:hint="eastAsia" w:ascii="宋体" w:hAnsi="宋体"/>
                <w:b/>
                <w:bCs/>
                <w:szCs w:val="21"/>
              </w:rPr>
            </w:pPr>
            <w:r>
              <w:rPr>
                <w:rFonts w:hint="eastAsia" w:ascii="宋体" w:hAnsi="宋体"/>
                <w:szCs w:val="21"/>
              </w:rPr>
              <w:t>8.支持至少2台三维交互一体机在同一个应用场景中进行协同操作。协同操作至少包括六自由度空间交互笔对应用场景的同一个模型进行移动和旋转操作并观看场景3D立体效果；</w:t>
            </w:r>
          </w:p>
          <w:p>
            <w:pPr>
              <w:spacing w:line="276" w:lineRule="auto"/>
              <w:rPr>
                <w:rFonts w:hint="eastAsia" w:ascii="宋体" w:hAnsi="宋体"/>
                <w:b/>
                <w:bCs/>
                <w:szCs w:val="21"/>
              </w:rPr>
            </w:pPr>
            <w:r>
              <w:rPr>
                <w:rFonts w:hint="eastAsia" w:ascii="宋体" w:hAnsi="宋体"/>
                <w:szCs w:val="21"/>
              </w:rPr>
              <w:t>9.</w:t>
            </w:r>
            <w:r>
              <w:rPr>
                <w:rFonts w:hint="eastAsia" w:ascii="宋体" w:hAnsi="宋体" w:cs="Arial"/>
                <w:szCs w:val="21"/>
              </w:rPr>
              <w:t>★</w:t>
            </w:r>
            <w:r>
              <w:rPr>
                <w:rFonts w:hint="eastAsia" w:ascii="宋体" w:hAnsi="宋体"/>
                <w:szCs w:val="21"/>
              </w:rPr>
              <w:t>六自由度空间交互笔支持以下性能：</w:t>
            </w:r>
            <w:r>
              <w:rPr>
                <w:rFonts w:hint="eastAsia" w:ascii="宋体" w:hAnsi="宋体"/>
                <w:b/>
                <w:bCs/>
                <w:szCs w:val="21"/>
              </w:rPr>
              <w:t>【</w:t>
            </w:r>
            <w:r>
              <w:rPr>
                <w:rFonts w:hint="eastAsia"/>
              </w:rPr>
              <w:t>提供国家认可的具备CMA认证的检测机构所出具的检测报告复印件并加盖供应商公章</w:t>
            </w:r>
            <w:r>
              <w:rPr>
                <w:rFonts w:hint="eastAsia" w:ascii="宋体" w:hAnsi="宋体"/>
                <w:b/>
                <w:bCs/>
                <w:szCs w:val="21"/>
              </w:rPr>
              <w:t>】</w:t>
            </w:r>
          </w:p>
          <w:p>
            <w:pPr>
              <w:spacing w:line="276" w:lineRule="auto"/>
              <w:rPr>
                <w:rFonts w:hint="eastAsia" w:ascii="宋体" w:hAnsi="宋体"/>
                <w:szCs w:val="21"/>
              </w:rPr>
            </w:pPr>
            <w:r>
              <w:rPr>
                <w:rFonts w:hint="eastAsia" w:ascii="宋体" w:hAnsi="宋体"/>
                <w:szCs w:val="21"/>
              </w:rPr>
              <w:t>1）含一根USB线缆，无电池，不需要充电；具有至少三个逻辑操作按键，一个RGB指灯及一个力反馈震动马达及一个六自由度惯性测量芯片；</w:t>
            </w:r>
          </w:p>
          <w:p>
            <w:pPr>
              <w:spacing w:line="276" w:lineRule="auto"/>
              <w:rPr>
                <w:rFonts w:hint="eastAsia" w:ascii="宋体" w:hAnsi="宋体"/>
                <w:szCs w:val="21"/>
              </w:rPr>
            </w:pPr>
            <w:r>
              <w:rPr>
                <w:rFonts w:hint="eastAsia" w:ascii="宋体" w:hAnsi="宋体"/>
                <w:szCs w:val="21"/>
              </w:rPr>
              <w:t>2）具备3个自由度坐标轴移动、3个自由度坐标轴转动，六自由度空间交互笔追踪精度&lt;1mm，角度精度&lt;0.1度；</w:t>
            </w:r>
          </w:p>
          <w:p>
            <w:pPr>
              <w:spacing w:line="276" w:lineRule="auto"/>
              <w:rPr>
                <w:rFonts w:hint="eastAsia" w:ascii="宋体" w:hAnsi="宋体"/>
                <w:szCs w:val="21"/>
              </w:rPr>
            </w:pPr>
            <w:r>
              <w:rPr>
                <w:rFonts w:hint="eastAsia" w:ascii="宋体" w:hAnsi="宋体"/>
                <w:szCs w:val="21"/>
              </w:rPr>
              <w:t>3）六自由度空间交互笔数据刷新率≥120Hz；</w:t>
            </w:r>
          </w:p>
          <w:p>
            <w:pPr>
              <w:spacing w:line="276" w:lineRule="auto"/>
              <w:rPr>
                <w:rFonts w:hint="eastAsia" w:ascii="宋体" w:hAnsi="宋体"/>
                <w:szCs w:val="21"/>
              </w:rPr>
            </w:pPr>
            <w:r>
              <w:rPr>
                <w:rFonts w:hint="eastAsia" w:ascii="宋体" w:hAnsi="宋体"/>
                <w:szCs w:val="21"/>
              </w:rPr>
              <w:t>10.桌面VR一体机性能要求不低于以下要求：Intel I5 7代/512GB SSD/4GB显存独显/8GB内存；</w:t>
            </w:r>
          </w:p>
          <w:p>
            <w:pPr>
              <w:spacing w:line="276" w:lineRule="auto"/>
              <w:rPr>
                <w:rFonts w:hint="eastAsia" w:ascii="宋体" w:hAnsi="宋体"/>
                <w:b/>
                <w:bCs/>
                <w:szCs w:val="21"/>
              </w:rPr>
            </w:pPr>
            <w:r>
              <w:rPr>
                <w:rFonts w:hint="eastAsia" w:ascii="宋体" w:hAnsi="宋体"/>
                <w:szCs w:val="21"/>
              </w:rPr>
              <w:t>11.</w:t>
            </w:r>
            <w:r>
              <w:rPr>
                <w:rFonts w:hint="eastAsia" w:ascii="宋体" w:hAnsi="宋体" w:cs="Arial"/>
                <w:szCs w:val="21"/>
              </w:rPr>
              <w:t>★</w:t>
            </w:r>
            <w:r>
              <w:rPr>
                <w:rFonts w:hint="eastAsia" w:ascii="宋体" w:hAnsi="宋体"/>
                <w:szCs w:val="21"/>
              </w:rPr>
              <w:t>具有不少于6个USB接口，分布于一体机左右两侧，其中右侧至少有2个USB接口；具有不少于1个Type C 接口、不少于1个USB B型接口；一体机背面具有上下至少两套防尘式多列竖形散热结构，上面长度不小于450mm，上下开口均小于2.5mm；支持底座可自由上下、左右、倾斜调整；支持内置式连接OPS电脑；支持远程硬件底层固件本地升级；</w:t>
            </w:r>
            <w:r>
              <w:rPr>
                <w:rFonts w:hint="eastAsia" w:ascii="宋体" w:hAnsi="宋体"/>
                <w:b/>
                <w:bCs/>
                <w:szCs w:val="21"/>
              </w:rPr>
              <w:t>【</w:t>
            </w:r>
            <w:r>
              <w:rPr>
                <w:rFonts w:hint="eastAsia"/>
              </w:rPr>
              <w:t>提供国家认可的具备CMA认证的检测机构所出具的检测报告复印件并加盖供应商公章</w:t>
            </w:r>
            <w:r>
              <w:rPr>
                <w:rFonts w:hint="eastAsia" w:ascii="宋体" w:hAnsi="宋体"/>
                <w:b/>
                <w:bCs/>
                <w:szCs w:val="21"/>
              </w:rPr>
              <w:t>】</w:t>
            </w:r>
          </w:p>
          <w:p>
            <w:pPr>
              <w:spacing w:line="276" w:lineRule="auto"/>
              <w:rPr>
                <w:rFonts w:hint="eastAsia" w:ascii="宋体" w:hAnsi="宋体"/>
                <w:szCs w:val="21"/>
              </w:rPr>
            </w:pPr>
            <w:r>
              <w:rPr>
                <w:rFonts w:hint="eastAsia" w:ascii="宋体" w:hAnsi="宋体"/>
                <w:szCs w:val="21"/>
              </w:rPr>
              <w:t>12.支持头部光学跟踪手动/自动切换，支持外部120Hz信号及控制数据信号同时输入；</w:t>
            </w:r>
          </w:p>
          <w:p>
            <w:pPr>
              <w:spacing w:line="276" w:lineRule="auto"/>
              <w:rPr>
                <w:rFonts w:hint="eastAsia" w:ascii="宋体" w:hAnsi="宋体"/>
                <w:szCs w:val="21"/>
              </w:rPr>
            </w:pPr>
            <w:r>
              <w:rPr>
                <w:rFonts w:hint="eastAsia" w:ascii="宋体" w:hAnsi="宋体"/>
                <w:szCs w:val="21"/>
              </w:rPr>
              <w:t>13.设备内置线上个人及团队培训系统入口，可使用web浏览器在PC或移动终端使用。具有至少中文、英文、西班牙文；提供不少于三组培训目录细节，包括设备安装、设备调试使用、第三方软件开发教程等视频及pdf文档，每个视频不少于3分钟；</w:t>
            </w:r>
          </w:p>
          <w:p>
            <w:pPr>
              <w:spacing w:line="276" w:lineRule="auto"/>
              <w:rPr>
                <w:rFonts w:hint="eastAsia" w:ascii="宋体" w:hAnsi="宋体"/>
                <w:szCs w:val="21"/>
              </w:rPr>
            </w:pPr>
            <w:r>
              <w:rPr>
                <w:rFonts w:hint="eastAsia" w:ascii="宋体" w:hAnsi="宋体"/>
                <w:szCs w:val="21"/>
              </w:rPr>
              <w:t>14.支持H.264 MVC编码器、左右、上下、帧连续等常见3D格式、支持左右替换，支持开启3D文件获取信息、支持行交错、列交错、实景立体、包括红蓝绿纯色算法内的至少10种算法；支至少提供古典乐在内的15种音效；支持对亮度、对比度、饱和度、颜色控制；支持包括Segoe UI、Verdana等字体的变换；支持5秒为单元的快进搜索及跳转。支持内置设置固定位置最小化、自动旋转画面到图像的水平和垂直尺寸；支持搜索信息：解码器类型，输入输出格式、尺寸、音频解码、采样率等；</w:t>
            </w:r>
          </w:p>
          <w:p>
            <w:pPr>
              <w:spacing w:line="276" w:lineRule="auto"/>
              <w:rPr>
                <w:rFonts w:hint="eastAsia" w:ascii="宋体" w:hAnsi="宋体"/>
                <w:szCs w:val="21"/>
              </w:rPr>
            </w:pPr>
            <w:r>
              <w:rPr>
                <w:rFonts w:hint="eastAsia" w:ascii="宋体" w:hAnsi="宋体"/>
                <w:szCs w:val="21"/>
              </w:rPr>
              <w:t>15.具有可优化自检系统，支持实时监控VR软件硬件运行装调，至少支持5项关键数据并以不同颜色绘制在同一张表格中；支持设置1秒、2秒、5秒等至少5项监测间隔；支持本地USB协议、tcp/ip协议、串口232/485、http</w:t>
            </w:r>
            <w:r>
              <w:rPr>
                <w:rFonts w:hint="eastAsia" w:ascii="宋体" w:hAnsi="宋体"/>
                <w:szCs w:val="21"/>
              </w:rPr>
              <w:tab/>
            </w:r>
            <w:r>
              <w:rPr>
                <w:rFonts w:hint="eastAsia" w:ascii="宋体" w:hAnsi="宋体"/>
                <w:szCs w:val="21"/>
              </w:rPr>
              <w:t>协议提示及报送预警及监测信息；支持本地报告数据保存；支持现实Max最大值及实时数值；支持设置系统自动启动。</w:t>
            </w:r>
          </w:p>
          <w:p>
            <w:pPr>
              <w:spacing w:line="276" w:lineRule="auto"/>
              <w:rPr>
                <w:rFonts w:hint="eastAsia" w:ascii="宋体" w:hAnsi="宋体"/>
                <w:szCs w:val="21"/>
              </w:rPr>
            </w:pPr>
            <w:r>
              <w:rPr>
                <w:rFonts w:hint="eastAsia" w:ascii="宋体" w:hAnsi="宋体"/>
                <w:szCs w:val="21"/>
              </w:rPr>
              <w:t>二、XR智能管理平台</w:t>
            </w:r>
          </w:p>
          <w:p>
            <w:pPr>
              <w:spacing w:line="276" w:lineRule="auto"/>
              <w:rPr>
                <w:rFonts w:hint="eastAsia" w:ascii="宋体" w:hAnsi="宋体"/>
                <w:szCs w:val="21"/>
              </w:rPr>
            </w:pPr>
            <w:r>
              <w:rPr>
                <w:rFonts w:hint="eastAsia" w:ascii="宋体" w:hAnsi="宋体"/>
                <w:szCs w:val="21"/>
              </w:rPr>
              <w:t>1.平台支持web端、PC端，提供关于相关产品的用户交流论坛，以便用户了</w:t>
            </w:r>
            <w:r>
              <w:rPr>
                <w:rFonts w:hint="eastAsia" w:ascii="宋体" w:hAnsi="宋体"/>
                <w:szCs w:val="21"/>
              </w:rPr>
              <w:tab/>
            </w:r>
            <w:r>
              <w:rPr>
                <w:rFonts w:hint="eastAsia" w:ascii="宋体" w:hAnsi="宋体"/>
                <w:szCs w:val="21"/>
              </w:rPr>
              <w:t>解产品最新动态、快速解决问题；</w:t>
            </w:r>
          </w:p>
          <w:p>
            <w:pPr>
              <w:spacing w:line="276" w:lineRule="auto"/>
              <w:rPr>
                <w:rFonts w:hint="eastAsia" w:ascii="宋体" w:hAnsi="宋体"/>
                <w:szCs w:val="21"/>
              </w:rPr>
            </w:pPr>
            <w:r>
              <w:rPr>
                <w:rFonts w:hint="eastAsia" w:ascii="宋体" w:hAnsi="宋体"/>
                <w:szCs w:val="21"/>
              </w:rPr>
              <w:t>2.云端虚拟教学资源分类包括设备类别、职业教育、高等教育、其他等；</w:t>
            </w:r>
          </w:p>
          <w:p>
            <w:pPr>
              <w:spacing w:line="276" w:lineRule="auto"/>
              <w:rPr>
                <w:rFonts w:hint="eastAsia" w:ascii="宋体" w:hAnsi="宋体"/>
                <w:szCs w:val="21"/>
              </w:rPr>
            </w:pPr>
            <w:r>
              <w:rPr>
                <w:rFonts w:hint="eastAsia" w:ascii="宋体" w:hAnsi="宋体"/>
                <w:szCs w:val="21"/>
              </w:rPr>
              <w:t>3.平台包含职业教育服务模块，分类包括装备制造、交通运输、电子与信息、医药卫生、旅游、思政教育、土木建筑、农林牧渔等；</w:t>
            </w:r>
          </w:p>
          <w:p>
            <w:pPr>
              <w:spacing w:line="276" w:lineRule="auto"/>
              <w:rPr>
                <w:rFonts w:hint="eastAsia" w:ascii="宋体" w:hAnsi="宋体"/>
                <w:szCs w:val="21"/>
              </w:rPr>
            </w:pPr>
            <w:r>
              <w:rPr>
                <w:rFonts w:hint="eastAsia" w:ascii="宋体" w:hAnsi="宋体"/>
                <w:szCs w:val="21"/>
              </w:rPr>
              <w:t xml:space="preserve">4.平台包含高等教育服务模块，分类包括装备制造、材料类、医学类、安全工程、水利环境、人文社科、土木建筑、旅游管理等； </w:t>
            </w:r>
          </w:p>
          <w:p>
            <w:pPr>
              <w:spacing w:line="276" w:lineRule="auto"/>
              <w:rPr>
                <w:rFonts w:hint="eastAsia" w:ascii="宋体" w:hAnsi="宋体"/>
                <w:szCs w:val="21"/>
              </w:rPr>
            </w:pPr>
            <w:r>
              <w:rPr>
                <w:rFonts w:hint="eastAsia" w:ascii="宋体" w:hAnsi="宋体"/>
                <w:szCs w:val="21"/>
              </w:rPr>
              <w:t>5.平台包含中小学智慧教育服务模块，分类包括物理、生物、化学、自然科学、生命科学、德育教育、安全管理等；</w:t>
            </w:r>
          </w:p>
          <w:p>
            <w:pPr>
              <w:spacing w:line="276" w:lineRule="auto"/>
              <w:rPr>
                <w:rFonts w:hint="eastAsia" w:ascii="宋体" w:hAnsi="宋体"/>
                <w:szCs w:val="21"/>
              </w:rPr>
            </w:pPr>
            <w:r>
              <w:rPr>
                <w:rFonts w:hint="eastAsia" w:ascii="宋体" w:hAnsi="宋体"/>
                <w:szCs w:val="21"/>
              </w:rPr>
              <w:t xml:space="preserve">6.平台采用网络分布式架构方式，完全模块化多层结构设计； </w:t>
            </w:r>
          </w:p>
          <w:p>
            <w:pPr>
              <w:spacing w:line="276" w:lineRule="auto"/>
              <w:rPr>
                <w:rFonts w:hint="eastAsia" w:ascii="宋体" w:hAnsi="宋体"/>
                <w:szCs w:val="21"/>
              </w:rPr>
            </w:pPr>
            <w:r>
              <w:rPr>
                <w:rFonts w:hint="eastAsia" w:ascii="宋体" w:hAnsi="宋体"/>
                <w:szCs w:val="21"/>
              </w:rPr>
              <w:t>7.系统采用C/S与B/S架构相结合的设计方式，满足用户在不同场景下的使用需求；</w:t>
            </w:r>
          </w:p>
          <w:p>
            <w:pPr>
              <w:spacing w:line="276" w:lineRule="auto"/>
              <w:rPr>
                <w:rFonts w:hint="eastAsia" w:ascii="宋体" w:hAnsi="宋体"/>
                <w:szCs w:val="21"/>
              </w:rPr>
            </w:pPr>
            <w:r>
              <w:rPr>
                <w:rFonts w:hint="eastAsia" w:ascii="宋体" w:hAnsi="宋体"/>
                <w:szCs w:val="21"/>
              </w:rPr>
              <w:t>8.平台客户端支持使用方从云平台下载VR内容到本地，并进行体验、浏览、管理；</w:t>
            </w:r>
          </w:p>
          <w:p>
            <w:pPr>
              <w:spacing w:line="276" w:lineRule="auto"/>
              <w:rPr>
                <w:rFonts w:hint="eastAsia" w:ascii="宋体" w:hAnsi="宋体"/>
                <w:szCs w:val="21"/>
              </w:rPr>
            </w:pPr>
            <w:r>
              <w:rPr>
                <w:rFonts w:hint="eastAsia" w:ascii="宋体" w:hAnsi="宋体"/>
                <w:szCs w:val="21"/>
              </w:rPr>
              <w:t xml:space="preserve">9.提供在线更新功能，方便用户即时体验最新版本功能； </w:t>
            </w:r>
          </w:p>
          <w:p>
            <w:pPr>
              <w:spacing w:line="276" w:lineRule="auto"/>
              <w:rPr>
                <w:rFonts w:hint="eastAsia" w:ascii="宋体" w:hAnsi="宋体"/>
                <w:szCs w:val="21"/>
              </w:rPr>
            </w:pPr>
            <w:r>
              <w:rPr>
                <w:rFonts w:hint="eastAsia" w:ascii="宋体" w:hAnsi="宋体"/>
                <w:szCs w:val="21"/>
              </w:rPr>
              <w:t>10.</w:t>
            </w:r>
            <w:r>
              <w:rPr>
                <w:rFonts w:hint="eastAsia" w:ascii="宋体" w:hAnsi="宋体" w:cs="Arial"/>
                <w:szCs w:val="21"/>
              </w:rPr>
              <w:t>★</w:t>
            </w:r>
            <w:r>
              <w:rPr>
                <w:rFonts w:hint="eastAsia" w:ascii="宋体" w:hAnsi="宋体"/>
                <w:szCs w:val="21"/>
              </w:rPr>
              <w:t>使用方登陆账户后可对资源进行收藏，并能在个人收藏页面能快速找到已</w:t>
            </w:r>
            <w:r>
              <w:rPr>
                <w:rFonts w:hint="eastAsia" w:ascii="宋体" w:hAnsi="宋体"/>
                <w:szCs w:val="21"/>
              </w:rPr>
              <w:tab/>
            </w:r>
            <w:r>
              <w:rPr>
                <w:rFonts w:hint="eastAsia" w:ascii="宋体" w:hAnsi="宋体"/>
                <w:szCs w:val="21"/>
              </w:rPr>
              <w:t>收藏内容；</w:t>
            </w:r>
            <w:r>
              <w:rPr>
                <w:rFonts w:hint="eastAsia" w:ascii="宋体" w:hAnsi="宋体"/>
                <w:b/>
                <w:bCs/>
                <w:szCs w:val="21"/>
              </w:rPr>
              <w:t>【</w:t>
            </w:r>
            <w:r>
              <w:rPr>
                <w:rFonts w:hint="eastAsia"/>
              </w:rPr>
              <w:t>提供国家认可的具备CMA认证的检测机构所出具的检测报告复印件并加盖供应商公章</w:t>
            </w:r>
            <w:r>
              <w:rPr>
                <w:rFonts w:hint="eastAsia" w:ascii="宋体" w:hAnsi="宋体"/>
                <w:b/>
                <w:bCs/>
                <w:szCs w:val="21"/>
              </w:rPr>
              <w:t>】</w:t>
            </w:r>
          </w:p>
          <w:p>
            <w:pPr>
              <w:spacing w:line="276" w:lineRule="auto"/>
              <w:rPr>
                <w:rFonts w:hint="eastAsia" w:ascii="宋体" w:hAnsi="宋体"/>
                <w:szCs w:val="21"/>
              </w:rPr>
            </w:pPr>
            <w:r>
              <w:rPr>
                <w:rFonts w:hint="eastAsia" w:ascii="宋体" w:hAnsi="宋体"/>
                <w:szCs w:val="21"/>
              </w:rPr>
              <w:t>11.具备网络应急处理功能，在网络中断的情况下，恢复网络后支持断点续传，</w:t>
            </w:r>
            <w:r>
              <w:rPr>
                <w:rFonts w:hint="eastAsia" w:ascii="宋体" w:hAnsi="宋体"/>
                <w:szCs w:val="21"/>
              </w:rPr>
              <w:tab/>
            </w:r>
            <w:r>
              <w:rPr>
                <w:rFonts w:hint="eastAsia" w:ascii="宋体" w:hAnsi="宋体"/>
                <w:szCs w:val="21"/>
              </w:rPr>
              <w:t xml:space="preserve">提高资源下载的稳定性； </w:t>
            </w:r>
          </w:p>
          <w:p>
            <w:pPr>
              <w:spacing w:line="276" w:lineRule="auto"/>
              <w:rPr>
                <w:rFonts w:hint="eastAsia" w:ascii="宋体" w:hAnsi="宋体"/>
                <w:szCs w:val="21"/>
              </w:rPr>
            </w:pPr>
            <w:r>
              <w:rPr>
                <w:rFonts w:hint="eastAsia" w:ascii="宋体" w:hAnsi="宋体"/>
                <w:szCs w:val="21"/>
              </w:rPr>
              <w:t>12.支持硬件检测功能，可对桌面三维交互一体机等硬件进行一键体检，快速定</w:t>
            </w:r>
            <w:r>
              <w:rPr>
                <w:rFonts w:hint="eastAsia" w:ascii="宋体" w:hAnsi="宋体"/>
                <w:szCs w:val="21"/>
              </w:rPr>
              <w:tab/>
            </w:r>
            <w:r>
              <w:rPr>
                <w:rFonts w:hint="eastAsia" w:ascii="宋体" w:hAnsi="宋体"/>
                <w:szCs w:val="21"/>
              </w:rPr>
              <w:t>位问题，方便日常维护；</w:t>
            </w:r>
          </w:p>
          <w:p>
            <w:pPr>
              <w:spacing w:line="276" w:lineRule="auto"/>
              <w:rPr>
                <w:rFonts w:hint="eastAsia" w:ascii="宋体" w:hAnsi="宋体"/>
                <w:szCs w:val="21"/>
              </w:rPr>
            </w:pPr>
            <w:r>
              <w:rPr>
                <w:rFonts w:hint="eastAsia" w:ascii="宋体" w:hAnsi="宋体"/>
                <w:szCs w:val="21"/>
              </w:rPr>
              <w:t>13.</w:t>
            </w:r>
            <w:r>
              <w:rPr>
                <w:rFonts w:hint="eastAsia" w:ascii="宋体" w:hAnsi="宋体" w:cs="Arial"/>
                <w:szCs w:val="21"/>
              </w:rPr>
              <w:t>★</w:t>
            </w:r>
            <w:r>
              <w:rPr>
                <w:rFonts w:hint="eastAsia" w:ascii="宋体" w:hAnsi="宋体"/>
                <w:szCs w:val="21"/>
              </w:rPr>
              <w:t>平台需包含支持与服务模块，给出常见问题解决方案，提供用户快速反馈问题入口；</w:t>
            </w:r>
            <w:r>
              <w:rPr>
                <w:rFonts w:hint="eastAsia" w:ascii="宋体" w:hAnsi="宋体"/>
                <w:b/>
                <w:bCs/>
                <w:szCs w:val="21"/>
              </w:rPr>
              <w:t>【</w:t>
            </w:r>
            <w:r>
              <w:rPr>
                <w:rFonts w:hint="eastAsia"/>
              </w:rPr>
              <w:t>提供国家认可的具备CMA认证的检测机构所出具的检测报告复印件并加盖供应商公章</w:t>
            </w:r>
            <w:r>
              <w:rPr>
                <w:rFonts w:hint="eastAsia" w:ascii="宋体" w:hAnsi="宋体"/>
                <w:b/>
                <w:bCs/>
                <w:szCs w:val="21"/>
              </w:rPr>
              <w:t>】</w:t>
            </w:r>
          </w:p>
          <w:p>
            <w:pPr>
              <w:spacing w:line="276" w:lineRule="auto"/>
              <w:rPr>
                <w:rFonts w:hint="eastAsia" w:ascii="宋体" w:hAnsi="宋体"/>
                <w:szCs w:val="21"/>
              </w:rPr>
            </w:pPr>
            <w:r>
              <w:rPr>
                <w:rFonts w:hint="eastAsia" w:ascii="宋体" w:hAnsi="宋体"/>
                <w:szCs w:val="21"/>
              </w:rPr>
              <w:t xml:space="preserve">三、VR资源库 </w:t>
            </w:r>
          </w:p>
          <w:p>
            <w:pPr>
              <w:spacing w:line="276" w:lineRule="auto"/>
              <w:rPr>
                <w:rFonts w:hint="eastAsia" w:ascii="宋体" w:hAnsi="宋体"/>
                <w:szCs w:val="21"/>
              </w:rPr>
            </w:pPr>
            <w:r>
              <w:rPr>
                <w:rFonts w:hint="eastAsia" w:ascii="宋体" w:hAnsi="宋体"/>
                <w:szCs w:val="21"/>
              </w:rPr>
              <w:t>1.软件以VR模型展示和交互操作为核心，通过不同主题的场景内容，如发动机、恐龙科普、人体头部结构、八大行星、海洋世界、心脏等，结合语音和动画讲解的方式，提高用户对科普类知识的直观体验；</w:t>
            </w:r>
          </w:p>
          <w:p>
            <w:pPr>
              <w:spacing w:line="276" w:lineRule="auto"/>
              <w:rPr>
                <w:rFonts w:hint="eastAsia" w:ascii="宋体" w:hAnsi="宋体"/>
                <w:szCs w:val="21"/>
              </w:rPr>
            </w:pPr>
            <w:r>
              <w:rPr>
                <w:rFonts w:hint="eastAsia" w:ascii="宋体" w:hAnsi="宋体"/>
                <w:szCs w:val="21"/>
              </w:rPr>
              <w:t>2.发动机场景包含四冲程发动机的整体结构认知、工作原理学习、两大结构了解，通过语音介绍和动画特效相结合的方式，让用户充分熟悉常用四冲程发动机的相关知识点；</w:t>
            </w:r>
          </w:p>
          <w:p>
            <w:pPr>
              <w:spacing w:line="276" w:lineRule="auto"/>
              <w:rPr>
                <w:rFonts w:hint="eastAsia" w:ascii="宋体" w:hAnsi="宋体"/>
                <w:szCs w:val="21"/>
              </w:rPr>
            </w:pPr>
            <w:r>
              <w:rPr>
                <w:rFonts w:hint="eastAsia" w:ascii="宋体" w:hAnsi="宋体"/>
                <w:szCs w:val="21"/>
              </w:rPr>
              <w:t>3.恐龙图鉴在森林场景中展示多种恐龙生活场景，用户可选择感兴趣的恐龙进行单独观看，了解其食性、生活时期、分布区域、简介等。场景中至少包括迅猛龙、霸王龙、沧龙、副栉龙、棘龙、三角龙、剑龙、始祖鸟、腕龙；</w:t>
            </w:r>
          </w:p>
          <w:p>
            <w:pPr>
              <w:widowControl/>
              <w:spacing w:line="276" w:lineRule="auto"/>
              <w:jc w:val="left"/>
              <w:textAlignment w:val="center"/>
              <w:rPr>
                <w:rFonts w:hint="eastAsia" w:ascii="宋体" w:hAnsi="宋体" w:cs="仿宋"/>
                <w:color w:val="000000"/>
                <w:kern w:val="0"/>
                <w:szCs w:val="21"/>
                <w:lang w:bidi="ar"/>
              </w:rPr>
            </w:pPr>
            <w:r>
              <w:rPr>
                <w:rFonts w:hint="eastAsia" w:ascii="宋体" w:hAnsi="宋体"/>
                <w:szCs w:val="21"/>
              </w:rPr>
              <w:t>4.心脏场景通过语音和三维模型动画讲解的方式，介绍心脏的结构和功能、人体血液循环、相关病理分析，其中病理分析介绍了冠心病常见病因以及手术治疗方案。软件还包含互动测试模块，通过将含有心脏结构名称的标签放置在正确的位置的方式，对心脏结构的熟悉度进行测试，其中上述标签在每次进入互动测试模块时会进行随机排列，提高测试结果的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9</w:t>
            </w:r>
          </w:p>
        </w:tc>
        <w:tc>
          <w:tcPr>
            <w:tcW w:w="1482"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高配置电脑</w:t>
            </w:r>
          </w:p>
        </w:tc>
        <w:tc>
          <w:tcPr>
            <w:tcW w:w="495"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台</w:t>
            </w:r>
          </w:p>
        </w:tc>
        <w:tc>
          <w:tcPr>
            <w:tcW w:w="480"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50</w:t>
            </w:r>
          </w:p>
        </w:tc>
        <w:tc>
          <w:tcPr>
            <w:tcW w:w="5617" w:type="dxa"/>
            <w:noWrap w:val="0"/>
            <w:vAlign w:val="center"/>
          </w:tcPr>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产品规格： </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▲CPU不低于Intel i</w:t>
            </w:r>
            <w:r>
              <w:rPr>
                <w:rFonts w:hint="eastAsia" w:ascii="宋体" w:hAnsi="宋体" w:cs="仿宋"/>
                <w:color w:val="000000"/>
                <w:kern w:val="0"/>
                <w:szCs w:val="21"/>
                <w:lang w:val="en-US" w:eastAsia="zh-CN" w:bidi="ar"/>
              </w:rPr>
              <w:t>7</w:t>
            </w:r>
            <w:r>
              <w:rPr>
                <w:rFonts w:hint="eastAsia" w:ascii="宋体" w:hAnsi="宋体" w:cs="仿宋"/>
                <w:color w:val="000000"/>
                <w:kern w:val="0"/>
                <w:szCs w:val="21"/>
                <w:lang w:bidi="ar"/>
              </w:rPr>
              <w:t>-12</w:t>
            </w:r>
            <w:r>
              <w:rPr>
                <w:rFonts w:hint="eastAsia" w:ascii="宋体" w:hAnsi="宋体" w:cs="仿宋"/>
                <w:color w:val="000000"/>
                <w:kern w:val="0"/>
                <w:szCs w:val="21"/>
                <w:lang w:val="en-US" w:eastAsia="zh-CN" w:bidi="ar"/>
              </w:rPr>
              <w:t>7</w:t>
            </w:r>
            <w:r>
              <w:rPr>
                <w:rFonts w:hint="eastAsia" w:ascii="宋体" w:hAnsi="宋体" w:cs="仿宋"/>
                <w:color w:val="000000"/>
                <w:kern w:val="0"/>
                <w:szCs w:val="21"/>
                <w:lang w:bidi="ar"/>
              </w:rPr>
              <w:t>00处理器</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主板：Intel芯片组</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▲内存：不低于16G内存，提供至少2个内存槽位</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▲显卡：显存容量不低于6GB，显存位宽不低于192</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声卡：集成声卡</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▲硬盘：不低于512G  SSD + 1TB SATA3 7200rpm HDD</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▲网卡：1000M以太网卡</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键盘、鼠标</w:t>
            </w:r>
            <w:r>
              <w:rPr>
                <w:rFonts w:hint="eastAsia" w:ascii="宋体" w:hAnsi="宋体" w:cs="仿宋"/>
                <w:color w:val="000000"/>
                <w:kern w:val="0"/>
                <w:szCs w:val="21"/>
                <w:lang w:bidi="ar"/>
              </w:rPr>
              <w:tab/>
            </w:r>
            <w:r>
              <w:rPr>
                <w:rFonts w:hint="eastAsia" w:ascii="宋体" w:hAnsi="宋体" w:cs="仿宋"/>
                <w:color w:val="000000"/>
                <w:kern w:val="0"/>
                <w:szCs w:val="21"/>
                <w:lang w:bidi="ar"/>
              </w:rPr>
              <w:t>原厂键盘、抗菌鼠标；</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USB接口≥8个USB接口，至少4个USB3.2接口；</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其它接口：集成1个VGA接口，1个HDMI接口，RJ45网口</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插槽：1个PCIE*16,2个PCIE*1</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电源：400W以上电源</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显示屏；</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显示屏屏占比≥80%，显示器分辨率≥1920×1080；</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显示屏像素密度≥85像素/英寸；</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▲显示屏可视角度水平≥170°，显示屏尺寸27英寸，显示屏屏幕比例为16：9，显示器外观颜色为黑色；</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操作系统：预装Windows 操作系统 </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整机外观</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产品表面不应有凹痕、划伤、裂缝、变形和污染等。表面涂层均匀，不应起泡、龟裂、脱落和磨损，金属零部件无锈蚀及其它机械损伤；产品表面说明功能的文字、符号、标志，应清晰、端正、牢固。</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状态指示灯：在产品显著位置提供状态指示功能，如运行状态，</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整机结构：</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a) 机箱应符合GB/T 4208、GB/T 26246的相关规定； </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b) 产品内部结构应符合通用部件的安装需求； </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c) 所有输入输出接口应符合相关国家或行业标准； </w:t>
            </w:r>
          </w:p>
          <w:p>
            <w:pPr>
              <w:widowControl/>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d) 产品零部件应紧固无松动，可插拔部件应可靠连接，开关、按钮和其它控制部件应灵活可靠，布局应方便使用；</w:t>
            </w:r>
          </w:p>
          <w:p>
            <w:pPr>
              <w:widowControl/>
              <w:spacing w:line="240" w:lineRule="atLeast"/>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服务：提供三年上门服务。当日下午4点前报修，下一自然日24点前修复，若没有完成修复，则提供迟日数对应的月度延保服务；在三年维保时间内，承诺将提供1次试性故障硬盘（单盘）数据拯救服务，若未恢复则不计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10</w:t>
            </w:r>
          </w:p>
        </w:tc>
        <w:tc>
          <w:tcPr>
            <w:tcW w:w="1482"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智慧黑板（屏 86 寸）</w:t>
            </w:r>
          </w:p>
        </w:tc>
        <w:tc>
          <w:tcPr>
            <w:tcW w:w="495"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套</w:t>
            </w:r>
          </w:p>
        </w:tc>
        <w:tc>
          <w:tcPr>
            <w:tcW w:w="480"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一、整体设计</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1.UHD液晶屏体：A规屏，显示尺寸≥86英寸； </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2.三段式一体化设计，无推拉结构，显示部分四边框采用金属包边防护，整体尺寸：宽≥4300mm，高≥1200mm，厚≤70mm； </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3.智慧黑板物理分辨率：3840×2160；最大可视角度≥178度；色彩覆盖率不低于120%，最高灰阶 256 灰阶，整机画面无频闪。</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4.采用全物理防眩光钢化玻璃，钢化玻璃厚度≤3.5mm，钢化玻璃表面硬度≥莫氏7级；屏体表面因磨耗而引起的雾度≤2%。</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5.屏幕贴合方式：全贴合。钢化玻璃和液晶显示层无间隙密贴合，无水雾/水汽;减少显示面板与玻璃间的偏光、散射，画面显示更加清晰通透，178度可见屏体图像;视差更小，笔尖与液晶屏距离为0mm，周光影偏差为0mm； </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6.智慧黑板具有物理防蓝光功能；依据GB/T 20145-2006国家标准，整机视网膜蓝光危害（蓝光加权辐射亮度LB）≤0.3。</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7.为方便用户进行各类设置和操作，设备前置具有中文标识的物理按键提供快捷操作，实现音量加减、窗口关闭、触控开关、护眼等功能。</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8.智慧黑板具有中文标识前置面板输入接口：≥2路双通道USB3.0接口，≥1路标准非转接HDMI接口；≥1路USB Type-C接口；</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9.智慧黑板后置≥2路HDMI输入接口、≥1路HDMI输出接口、≥1路YPbPr分量输入接、≥1路USB Type-B触控接口、≥1路USB Type-B 3.0接口，≥1路VGA，以上接口不接受扩展方式；</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10.交互黑板整机具备中文标识的前置物理电脑还原按键，针孔式设计防止误操作； </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11.整机前置接口面板、前置按键面板屏体主板、屏体电源板、扬声器分别支持单独前拆，无需拆卸显示屏，方便后续维护。</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12.电容触控技术，支持Windows系统和安卓系统中进行40点触控，20点同时书写。</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13.方便教师使用扩声设备，屏体前置无线麦克风接收器插槽， </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14.整机内置≥2.2声道扬声器，具2个前置额定10W中高音 音箱， 2个额定20W低音音箱；峰值功率最高可达（ 90W）可单独对高音、低音、 平衡音进行调整整机扬声器，在100%音量下，1米处声压级≥90db，10米处声压级≥80db，谐振频率≤260Hz； </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15.屏体具有物理防蓝光功能，扫描机身二维码即可获得防蓝光证书</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16.整机具备8个带有中文标识前置物理按键，实现老师开关机、音量+/-、护眼等的操作，每个按键具备2种功能； </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17.为满足教学场景使用需求，支持不少于3种方式进行屏幕下移，屏幕下移后仍可进行触控、书写等操作 。</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18.整机具有中文标识的前置接口（不接受扩展方式）：USB Type-C ≥1和HDMI≥1，双通道USB Type-A 3.0≥2（Windows和Android系统均能被识别，无需区分）</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19.前置全功能Type-C接口具备音频、视频、数据、触控、充电等功能，外接电脑可调用交互设备麦克风、音响、摄像头等数据</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20.整机侧置接口：USB2.0≥1（其中至少包含一路Windows与Android双通道接口，支持读取外接存储设备数据和识别展台信号），HDMI IN≥1，RS232≥1，Audio out≥1，USB Type-B(TOUCH)≥1；</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21.触控一体机能通过前置物理按键实现电脑还原功能，并具有中文标识。</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22.嵌入式系统版本不低于Android11.0，内存≥2GB，存储空间≥8GB，并支持扩展64G。</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23.整机功耗≤350W，且符合GB21520-2015能源1级要求； </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 xml:space="preserve">24.一体化2D降噪4K摄像头，支持 1300W有效像素的视频采集，视角在135°的范围下，畸变不大于5%，支持上下角度调节，搭配AI软件实现自动点名点数功能，支持远程巡课系统，摄像头具备工作指示灯； </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25.为方便维护，整机 OPS 采用下插拔卡扣固定结构，无需拆卸显示屏及两侧书写板 即可完成插拔操作</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二、工作站模块</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1.采用80PIN Intel通用标准接口，模块化即插即用，易于维护。</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2.CPU采用Intel第11代酷睿I5处理器或以上；。</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3.内存：8GB DDR4内存或以上配置；硬盘：256GBSSD固态硬盘或以上，具备防震功能。</w:t>
            </w:r>
          </w:p>
          <w:p>
            <w:pPr>
              <w:widowControl/>
              <w:spacing w:line="271" w:lineRule="auto"/>
              <w:jc w:val="left"/>
              <w:textAlignment w:val="center"/>
              <w:rPr>
                <w:rFonts w:ascii="宋体" w:hAnsi="宋体" w:cs="仿宋"/>
                <w:color w:val="000000"/>
                <w:kern w:val="0"/>
                <w:szCs w:val="21"/>
                <w:lang w:bidi="ar"/>
              </w:rPr>
            </w:pPr>
            <w:r>
              <w:rPr>
                <w:rFonts w:hint="eastAsia" w:ascii="宋体" w:hAnsi="宋体" w:cs="仿宋"/>
                <w:color w:val="000000"/>
                <w:kern w:val="0"/>
                <w:szCs w:val="21"/>
                <w:lang w:bidi="ar"/>
              </w:rPr>
              <w:t>4.具有独立非外扩展的视频输出接口：≥1路HDMI，≥3路USB3.0。</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5、独立工作站：CPU：英特尔12代处理器，核心数≥6核；内存：≥16GB DDR4、硬盘：容量≥512G SSD+1TB机械硬盘、显卡：独立显卡，显存≥6G、操作系统：window 操作系统 、显示器；27英寸或以上尺寸；</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三、智慧课堂系统</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1.系统为基于Windows系统的教师授课软件，C/S架构，无需平台支撑在局域网环境下即可开展课堂互动教学，互动过程数据自动保存到课程文件夹中。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11</w:t>
            </w:r>
          </w:p>
        </w:tc>
        <w:tc>
          <w:tcPr>
            <w:tcW w:w="1482"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增强现实摄像头</w:t>
            </w:r>
          </w:p>
        </w:tc>
        <w:tc>
          <w:tcPr>
            <w:tcW w:w="495"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套</w:t>
            </w:r>
          </w:p>
        </w:tc>
        <w:tc>
          <w:tcPr>
            <w:tcW w:w="480"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pPr>
              <w:pStyle w:val="208"/>
              <w:spacing w:line="276" w:lineRule="auto"/>
              <w:ind w:firstLine="2" w:firstLineChars="1"/>
              <w:jc w:val="left"/>
              <w:rPr>
                <w:rFonts w:ascii="宋体" w:hAnsi="宋体" w:cs="宋体"/>
                <w:color w:val="000000"/>
                <w:sz w:val="21"/>
                <w:szCs w:val="21"/>
                <w:lang w:bidi="ar"/>
              </w:rPr>
            </w:pPr>
            <w:r>
              <w:rPr>
                <w:rFonts w:ascii="宋体" w:hAnsi="宋体" w:cs="宋体"/>
                <w:color w:val="000000"/>
                <w:sz w:val="21"/>
                <w:szCs w:val="21"/>
                <w:lang w:bidi="ar"/>
              </w:rPr>
              <w:t>1.相机支持1080p全高清视频录制，带有自动降噪功能的内置双重立体声麦克风；</w:t>
            </w:r>
          </w:p>
          <w:p>
            <w:pPr>
              <w:pStyle w:val="208"/>
              <w:spacing w:line="276" w:lineRule="auto"/>
              <w:ind w:firstLine="2" w:firstLineChars="1"/>
              <w:jc w:val="left"/>
              <w:rPr>
                <w:rFonts w:ascii="宋体" w:hAnsi="宋体" w:cs="宋体"/>
                <w:color w:val="000000"/>
                <w:sz w:val="21"/>
                <w:szCs w:val="21"/>
                <w:lang w:bidi="ar"/>
              </w:rPr>
            </w:pPr>
            <w:r>
              <w:rPr>
                <w:rFonts w:ascii="宋体" w:hAnsi="宋体" w:cs="宋体"/>
                <w:color w:val="000000"/>
                <w:sz w:val="21"/>
                <w:szCs w:val="21"/>
                <w:lang w:bidi="ar"/>
              </w:rPr>
              <w:t>2.相机采用USB接口方式与电脑连接，连接线不短于1.5米，支持屏幕前180°</w:t>
            </w:r>
            <w:r>
              <w:rPr>
                <w:rFonts w:ascii="宋体" w:hAnsi="宋体" w:cs="宋体"/>
                <w:color w:val="000000"/>
                <w:sz w:val="21"/>
                <w:szCs w:val="21"/>
                <w:lang w:bidi="ar"/>
              </w:rPr>
              <w:tab/>
            </w:r>
            <w:r>
              <w:rPr>
                <w:rFonts w:ascii="宋体" w:hAnsi="宋体" w:cs="宋体"/>
                <w:color w:val="000000"/>
                <w:sz w:val="21"/>
                <w:szCs w:val="21"/>
                <w:lang w:bidi="ar"/>
              </w:rPr>
              <w:t>范围内任意位置标定后呈现AR效果；</w:t>
            </w:r>
          </w:p>
          <w:p>
            <w:pPr>
              <w:pStyle w:val="208"/>
              <w:spacing w:line="276" w:lineRule="auto"/>
              <w:ind w:firstLine="2" w:firstLineChars="1"/>
              <w:jc w:val="left"/>
              <w:rPr>
                <w:rFonts w:ascii="宋体" w:hAnsi="宋体" w:cs="宋体"/>
                <w:color w:val="000000"/>
                <w:sz w:val="21"/>
                <w:szCs w:val="21"/>
                <w:lang w:bidi="ar"/>
              </w:rPr>
            </w:pPr>
            <w:r>
              <w:rPr>
                <w:rFonts w:ascii="宋体" w:hAnsi="宋体" w:cs="宋体"/>
                <w:color w:val="000000"/>
                <w:sz w:val="21"/>
                <w:szCs w:val="21"/>
                <w:lang w:bidi="ar"/>
              </w:rPr>
              <w:t>3.</w:t>
            </w:r>
            <w:r>
              <w:rPr>
                <w:rFonts w:hint="eastAsia" w:ascii="宋体" w:hAnsi="宋体" w:cs="Arial"/>
                <w:sz w:val="21"/>
                <w:szCs w:val="21"/>
              </w:rPr>
              <w:t xml:space="preserve"> ★</w:t>
            </w:r>
            <w:r>
              <w:rPr>
                <w:rFonts w:ascii="宋体" w:hAnsi="宋体" w:cs="宋体"/>
                <w:color w:val="000000"/>
                <w:sz w:val="21"/>
                <w:szCs w:val="21"/>
                <w:lang w:bidi="ar"/>
              </w:rPr>
              <w:t>采用棋盘格方式对相机与屏幕之间的空间姿态关系进行标定，棋盘格含不少于15个特征二维码；</w:t>
            </w:r>
            <w:r>
              <w:rPr>
                <w:rFonts w:ascii="宋体" w:hAnsi="宋体" w:cs="宋体"/>
                <w:b/>
                <w:bCs/>
                <w:color w:val="000000"/>
                <w:sz w:val="21"/>
                <w:szCs w:val="21"/>
                <w:lang w:bidi="ar"/>
              </w:rPr>
              <w:t>【</w:t>
            </w:r>
            <w:r>
              <w:rPr>
                <w:rFonts w:hint="eastAsia"/>
              </w:rPr>
              <w:t>提供国家认可的具备CMA认证的检测机构所出具的检测报告复印件并加盖供应商公章</w:t>
            </w:r>
            <w:r>
              <w:rPr>
                <w:rFonts w:ascii="宋体" w:hAnsi="宋体" w:cs="宋体"/>
                <w:b/>
                <w:bCs/>
                <w:color w:val="000000"/>
                <w:sz w:val="21"/>
                <w:szCs w:val="21"/>
                <w:lang w:bidi="ar"/>
              </w:rPr>
              <w:t>】</w:t>
            </w:r>
          </w:p>
          <w:p>
            <w:pPr>
              <w:widowControl/>
              <w:spacing w:line="240" w:lineRule="atLeast"/>
              <w:jc w:val="left"/>
              <w:textAlignment w:val="center"/>
              <w:rPr>
                <w:rFonts w:hint="eastAsia" w:ascii="宋体" w:hAnsi="宋体" w:cs="仿宋"/>
                <w:color w:val="000000"/>
                <w:kern w:val="0"/>
                <w:szCs w:val="21"/>
                <w:lang w:bidi="ar"/>
              </w:rPr>
            </w:pPr>
            <w:r>
              <w:rPr>
                <w:rFonts w:ascii="宋体" w:hAnsi="宋体" w:cs="宋体"/>
                <w:color w:val="000000"/>
                <w:kern w:val="0"/>
                <w:szCs w:val="21"/>
                <w:lang w:bidi="ar"/>
              </w:rPr>
              <w:t>4.相机支持即插即用，免驱动使用；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12</w:t>
            </w:r>
          </w:p>
        </w:tc>
        <w:tc>
          <w:tcPr>
            <w:tcW w:w="1482"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增强现实 AR 软件</w:t>
            </w:r>
          </w:p>
        </w:tc>
        <w:tc>
          <w:tcPr>
            <w:tcW w:w="495"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套</w:t>
            </w:r>
          </w:p>
        </w:tc>
        <w:tc>
          <w:tcPr>
            <w:tcW w:w="480"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pPr>
              <w:spacing w:line="276" w:lineRule="auto"/>
              <w:rPr>
                <w:rFonts w:ascii="宋体" w:hAnsi="宋体"/>
                <w:szCs w:val="21"/>
              </w:rPr>
            </w:pPr>
            <w:r>
              <w:rPr>
                <w:rFonts w:ascii="宋体" w:hAnsi="宋体"/>
                <w:szCs w:val="21"/>
              </w:rPr>
              <w:t>一、功能要求：</w:t>
            </w:r>
          </w:p>
          <w:p>
            <w:pPr>
              <w:spacing w:line="276" w:lineRule="auto"/>
              <w:rPr>
                <w:rFonts w:ascii="宋体" w:hAnsi="宋体"/>
                <w:szCs w:val="21"/>
              </w:rPr>
            </w:pPr>
            <w:r>
              <w:rPr>
                <w:rFonts w:ascii="宋体" w:hAnsi="宋体"/>
                <w:szCs w:val="21"/>
              </w:rPr>
              <w:t>1.支持一键设置屏幕多屏连接模式，包括扩展和复制模式，无需人为在Windows桌面设置；</w:t>
            </w:r>
          </w:p>
          <w:p>
            <w:pPr>
              <w:spacing w:line="276" w:lineRule="auto"/>
              <w:rPr>
                <w:rFonts w:ascii="宋体" w:hAnsi="宋体"/>
                <w:szCs w:val="21"/>
              </w:rPr>
            </w:pPr>
            <w:r>
              <w:rPr>
                <w:rFonts w:ascii="宋体" w:hAnsi="宋体"/>
                <w:szCs w:val="21"/>
              </w:rPr>
              <w:t>2.具备自动校正功能，在光线不足情况下也可以获得清晰影像；</w:t>
            </w:r>
          </w:p>
          <w:p>
            <w:pPr>
              <w:spacing w:line="276" w:lineRule="auto"/>
              <w:rPr>
                <w:rFonts w:ascii="宋体" w:hAnsi="宋体"/>
                <w:szCs w:val="21"/>
              </w:rPr>
            </w:pPr>
            <w:r>
              <w:rPr>
                <w:rFonts w:ascii="宋体" w:hAnsi="宋体"/>
                <w:szCs w:val="21"/>
              </w:rPr>
              <w:t>3.可将三维交换一体机与互动大屏（或投影显示设备）连接达到虚拟现实交互场景；</w:t>
            </w:r>
          </w:p>
          <w:p>
            <w:pPr>
              <w:spacing w:line="276" w:lineRule="auto"/>
              <w:rPr>
                <w:rFonts w:ascii="宋体" w:hAnsi="宋体"/>
                <w:szCs w:val="21"/>
              </w:rPr>
            </w:pPr>
            <w:r>
              <w:rPr>
                <w:rFonts w:ascii="宋体" w:hAnsi="宋体"/>
                <w:szCs w:val="21"/>
              </w:rPr>
              <w:t>4.支持XR模式和AR模式两种混合现实输出模式，其中XR模式下虚拟场景与现实场景进行简单叠加。AR模式下虚拟场景与现实场景则基于严格的空</w:t>
            </w:r>
            <w:r>
              <w:rPr>
                <w:rFonts w:hint="eastAsia" w:ascii="宋体" w:hAnsi="宋体"/>
                <w:szCs w:val="21"/>
              </w:rPr>
              <w:tab/>
            </w:r>
            <w:r>
              <w:rPr>
                <w:rFonts w:ascii="宋体" w:hAnsi="宋体"/>
                <w:szCs w:val="21"/>
              </w:rPr>
              <w:t>间位置关系进行叠加，叠加后虚拟屏幕与现实屏幕在增强现实画面中重合在一起；</w:t>
            </w:r>
          </w:p>
          <w:p>
            <w:pPr>
              <w:spacing w:line="276" w:lineRule="auto"/>
              <w:rPr>
                <w:rFonts w:ascii="宋体" w:hAnsi="宋体"/>
                <w:szCs w:val="21"/>
              </w:rPr>
            </w:pPr>
            <w:r>
              <w:rPr>
                <w:rFonts w:ascii="宋体" w:hAnsi="宋体"/>
                <w:szCs w:val="21"/>
              </w:rPr>
              <w:t>5.可对画面截图存档，分辨率跟随互动大屏和投影设备；</w:t>
            </w:r>
          </w:p>
          <w:p>
            <w:pPr>
              <w:widowControl/>
              <w:spacing w:line="240" w:lineRule="atLeast"/>
              <w:jc w:val="left"/>
              <w:textAlignment w:val="center"/>
              <w:rPr>
                <w:rFonts w:hint="eastAsia" w:ascii="宋体" w:hAnsi="宋体" w:cs="仿宋"/>
                <w:color w:val="000000"/>
                <w:kern w:val="0"/>
                <w:szCs w:val="21"/>
                <w:lang w:bidi="ar"/>
              </w:rPr>
            </w:pPr>
            <w:r>
              <w:rPr>
                <w:rFonts w:ascii="宋体" w:hAnsi="宋体"/>
                <w:szCs w:val="21"/>
              </w:rPr>
              <w:t>6.可对画面录像存档，录像分辨率可设置低、中、高三档；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13</w:t>
            </w:r>
          </w:p>
        </w:tc>
        <w:tc>
          <w:tcPr>
            <w:tcW w:w="1482"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综合支架</w:t>
            </w:r>
          </w:p>
        </w:tc>
        <w:tc>
          <w:tcPr>
            <w:tcW w:w="495"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套</w:t>
            </w:r>
          </w:p>
        </w:tc>
        <w:tc>
          <w:tcPr>
            <w:tcW w:w="480"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1、材质：合金</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2、最大管径：≥20mm</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3、最小管径：≥12mm</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4、折合高度：≥47cm</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5、最低工作高度：≥45cm</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Arial"/>
                <w:szCs w:val="21"/>
              </w:rPr>
              <w:t>6、最高工作高度：≥150cm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14</w:t>
            </w:r>
          </w:p>
        </w:tc>
        <w:tc>
          <w:tcPr>
            <w:tcW w:w="1482"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24 口交换机</w:t>
            </w:r>
          </w:p>
        </w:tc>
        <w:tc>
          <w:tcPr>
            <w:tcW w:w="495" w:type="dxa"/>
            <w:noWrap w:val="0"/>
            <w:vAlign w:val="center"/>
          </w:tcPr>
          <w:p>
            <w:pPr>
              <w:widowControl/>
              <w:jc w:val="left"/>
              <w:textAlignment w:val="center"/>
              <w:rPr>
                <w:rFonts w:hint="eastAsia" w:ascii="宋体" w:hAnsi="宋体" w:cs="宋体"/>
              </w:rPr>
            </w:pPr>
            <w:r>
              <w:rPr>
                <w:rFonts w:hint="eastAsia" w:ascii="宋体" w:hAnsi="宋体" w:cs="宋体"/>
                <w:color w:val="000000"/>
                <w:kern w:val="0"/>
                <w:sz w:val="20"/>
                <w:szCs w:val="20"/>
                <w:lang w:bidi="ar"/>
              </w:rPr>
              <w:t>个</w:t>
            </w:r>
          </w:p>
        </w:tc>
        <w:tc>
          <w:tcPr>
            <w:tcW w:w="480" w:type="dxa"/>
            <w:noWrap w:val="0"/>
            <w:vAlign w:val="center"/>
          </w:tcPr>
          <w:p>
            <w:pPr>
              <w:widowControl/>
              <w:jc w:val="left"/>
              <w:textAlignment w:val="center"/>
              <w:rPr>
                <w:rFonts w:hint="eastAsia" w:ascii="宋体" w:hAnsi="宋体" w:cs="宋体"/>
              </w:rPr>
            </w:pPr>
            <w:r>
              <w:rPr>
                <w:rFonts w:hint="eastAsia" w:ascii="宋体" w:hAnsi="宋体" w:cs="宋体"/>
                <w:color w:val="000000"/>
                <w:kern w:val="0"/>
                <w:sz w:val="20"/>
                <w:szCs w:val="20"/>
                <w:lang w:bidi="ar"/>
              </w:rPr>
              <w:t>3</w:t>
            </w:r>
          </w:p>
        </w:tc>
        <w:tc>
          <w:tcPr>
            <w:tcW w:w="5617" w:type="dxa"/>
            <w:noWrap w:val="0"/>
            <w:vAlign w:val="center"/>
          </w:tcPr>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1、交换容量：256Gbps.</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2、包转发率：42Mpps</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3、端口管理：1个Console口</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4、固定端口：24*10/100/1000Base-T以太网端口，4*100/1000 Base-X SFP光口</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5、电口属性：支持半双工.全双工.自协商工作模式，支持MDI/MDIX</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6、以太网特性：流控，绿色以太网（EEE）端口自动节能，动态链路聚合/静态端口聚合，电缆诊断</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7、IPV4：ARP，DHCP client</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8、组播：支持快速离开机制</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9、Qos：支持Diff-Serv Qos，支持SP/WRR/SP+WRR流量限速。802.1p/DSCP优先级映射</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Arial"/>
                <w:szCs w:val="21"/>
              </w:rPr>
              <w:t>10、安全性：支持用户分级管理和口令保护.支持SSH为用户登录提供安全加密通道，支持可控IP地址的FTP登录和口令机制，支持MAC地址限制,支持广播报文抑制"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15</w:t>
            </w:r>
          </w:p>
        </w:tc>
        <w:tc>
          <w:tcPr>
            <w:tcW w:w="1482"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机柜</w:t>
            </w:r>
          </w:p>
        </w:tc>
        <w:tc>
          <w:tcPr>
            <w:tcW w:w="495" w:type="dxa"/>
            <w:noWrap w:val="0"/>
            <w:vAlign w:val="center"/>
          </w:tcPr>
          <w:p>
            <w:pPr>
              <w:widowControl/>
              <w:jc w:val="left"/>
              <w:textAlignment w:val="center"/>
              <w:rPr>
                <w:rFonts w:hint="eastAsia" w:ascii="宋体" w:hAnsi="宋体" w:cs="宋体"/>
              </w:rPr>
            </w:pPr>
            <w:r>
              <w:rPr>
                <w:rFonts w:hint="eastAsia" w:ascii="宋体" w:hAnsi="宋体" w:cs="宋体"/>
                <w:color w:val="000000"/>
                <w:kern w:val="0"/>
                <w:sz w:val="20"/>
                <w:szCs w:val="20"/>
                <w:lang w:bidi="ar"/>
              </w:rPr>
              <w:t>个</w:t>
            </w:r>
          </w:p>
        </w:tc>
        <w:tc>
          <w:tcPr>
            <w:tcW w:w="480" w:type="dxa"/>
            <w:noWrap w:val="0"/>
            <w:vAlign w:val="center"/>
          </w:tcPr>
          <w:p>
            <w:pPr>
              <w:widowControl/>
              <w:jc w:val="left"/>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网络机柜：9U</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 xml:space="preserve">1.外观尺寸：600mm(宽）×450mm(深）×500mm(高）9U； </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 xml:space="preserve">2.配置1个托盘，10套螺丝螺母，4个膨胀螺丝 </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3.承重：200kg；</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 xml:space="preserve">4.柜体框架材料：冷轧钢板钢板厚度0.8mm立柱1.4mm ； </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Arial"/>
                <w:szCs w:val="21"/>
              </w:rPr>
              <w:t>5.机身颜色：黑色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16</w:t>
            </w:r>
          </w:p>
        </w:tc>
        <w:tc>
          <w:tcPr>
            <w:tcW w:w="1482"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无线路由器</w:t>
            </w:r>
          </w:p>
        </w:tc>
        <w:tc>
          <w:tcPr>
            <w:tcW w:w="495" w:type="dxa"/>
            <w:noWrap w:val="0"/>
            <w:vAlign w:val="center"/>
          </w:tcPr>
          <w:p>
            <w:pPr>
              <w:widowControl/>
              <w:jc w:val="left"/>
              <w:textAlignment w:val="center"/>
              <w:rPr>
                <w:rFonts w:hint="eastAsia" w:ascii="宋体" w:hAnsi="宋体" w:cs="宋体"/>
              </w:rPr>
            </w:pPr>
            <w:r>
              <w:rPr>
                <w:rFonts w:hint="eastAsia" w:ascii="宋体" w:hAnsi="宋体" w:cs="宋体"/>
                <w:color w:val="000000"/>
                <w:kern w:val="0"/>
                <w:sz w:val="20"/>
                <w:szCs w:val="20"/>
                <w:lang w:bidi="ar"/>
              </w:rPr>
              <w:t>套</w:t>
            </w:r>
          </w:p>
        </w:tc>
        <w:tc>
          <w:tcPr>
            <w:tcW w:w="480" w:type="dxa"/>
            <w:noWrap w:val="0"/>
            <w:vAlign w:val="center"/>
          </w:tcPr>
          <w:p>
            <w:pPr>
              <w:widowControl/>
              <w:jc w:val="left"/>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路由器</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1.带机量：≥50台</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2.传输速率10/100/1000Mbps</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3.接口：</w:t>
            </w:r>
            <w:r>
              <w:rPr>
                <w:rFonts w:ascii="宋体" w:hAnsi="宋体" w:cs="Segoe UI"/>
                <w:sz w:val="21"/>
                <w:szCs w:val="21"/>
              </w:rPr>
              <w:t xml:space="preserve"> WAN口</w:t>
            </w:r>
            <w:r>
              <w:rPr>
                <w:rFonts w:hint="eastAsia" w:ascii="宋体" w:hAnsi="宋体" w:cs="Segoe UI"/>
                <w:sz w:val="21"/>
                <w:szCs w:val="21"/>
              </w:rPr>
              <w:t>：1个、</w:t>
            </w:r>
            <w:r>
              <w:rPr>
                <w:rFonts w:ascii="宋体" w:hAnsi="宋体" w:cs="Segoe UI"/>
                <w:sz w:val="21"/>
                <w:szCs w:val="21"/>
              </w:rPr>
              <w:t>LAN口</w:t>
            </w:r>
            <w:r>
              <w:rPr>
                <w:rFonts w:hint="eastAsia" w:ascii="宋体" w:hAnsi="宋体" w:cs="Segoe UI"/>
                <w:sz w:val="21"/>
                <w:szCs w:val="21"/>
              </w:rPr>
              <w:t>≥3个</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4.</w:t>
            </w:r>
            <w:r>
              <w:rPr>
                <w:rFonts w:hint="eastAsia" w:ascii="宋体" w:hAnsi="宋体"/>
                <w:sz w:val="21"/>
                <w:szCs w:val="21"/>
              </w:rPr>
              <w:t xml:space="preserve"> </w:t>
            </w:r>
            <w:r>
              <w:rPr>
                <w:rFonts w:hint="eastAsia" w:ascii="宋体" w:hAnsi="宋体" w:cs="Arial"/>
                <w:sz w:val="21"/>
                <w:szCs w:val="21"/>
              </w:rPr>
              <w:t>无线速率</w:t>
            </w:r>
            <w:r>
              <w:rPr>
                <w:rFonts w:hint="eastAsia" w:ascii="宋体" w:hAnsi="宋体" w:cs="Arial"/>
                <w:sz w:val="21"/>
                <w:szCs w:val="21"/>
              </w:rPr>
              <w:tab/>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2.4GHz：574Mbps</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Arial"/>
                <w:szCs w:val="21"/>
              </w:rPr>
              <w:t>5GHz：2402Mbps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17</w:t>
            </w:r>
          </w:p>
        </w:tc>
        <w:tc>
          <w:tcPr>
            <w:tcW w:w="1482"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音响系统</w:t>
            </w:r>
          </w:p>
        </w:tc>
        <w:tc>
          <w:tcPr>
            <w:tcW w:w="495" w:type="dxa"/>
            <w:noWrap w:val="0"/>
            <w:vAlign w:val="center"/>
          </w:tcPr>
          <w:p>
            <w:pPr>
              <w:widowControl/>
              <w:jc w:val="left"/>
              <w:textAlignment w:val="center"/>
              <w:rPr>
                <w:rFonts w:hint="eastAsia" w:ascii="宋体" w:hAnsi="宋体" w:cs="宋体"/>
              </w:rPr>
            </w:pPr>
            <w:r>
              <w:rPr>
                <w:rFonts w:hint="eastAsia" w:ascii="宋体" w:hAnsi="宋体" w:cs="宋体"/>
                <w:color w:val="000000"/>
                <w:kern w:val="0"/>
                <w:sz w:val="20"/>
                <w:szCs w:val="20"/>
                <w:lang w:bidi="ar"/>
              </w:rPr>
              <w:t>个</w:t>
            </w:r>
          </w:p>
        </w:tc>
        <w:tc>
          <w:tcPr>
            <w:tcW w:w="480" w:type="dxa"/>
            <w:noWrap w:val="0"/>
            <w:vAlign w:val="center"/>
          </w:tcPr>
          <w:p>
            <w:pPr>
              <w:widowControl/>
              <w:jc w:val="left"/>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 xml:space="preserve">一、音响*2 </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额定功率：≥60W</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灵 敏 度：≥92dB</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频率响应：75-18KHz</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定压输入：≥100V</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阻抗：4-8Ω</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低音单元：≥5英寸</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音响毛重：≥3.5Kg</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 xml:space="preserve">二、功放*1 </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输出方式:4-16Ω，110V</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频率响应:40Hz-16KHz&lt;±2dB</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话筒输入:-52dB</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线路:-10dB/10KΩ</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供电电源:220V/50Hz</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三、无线麦克*4</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晶体频率:24.576MHZ</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工作频率:500-980MHz</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输入收灵敏度:8mV</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音频动态范围:96dB</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总谐波失真:0.01%</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负载电容:10-15pF</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信道间隔:100KHz</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输出功率:10-13dBm</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发射带宽:300KHz</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Arial"/>
                <w:szCs w:val="21"/>
              </w:rPr>
              <w:t>接收延时:3MS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18</w:t>
            </w:r>
          </w:p>
        </w:tc>
        <w:tc>
          <w:tcPr>
            <w:tcW w:w="1482"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教师桌椅</w:t>
            </w:r>
          </w:p>
        </w:tc>
        <w:tc>
          <w:tcPr>
            <w:tcW w:w="495" w:type="dxa"/>
            <w:noWrap w:val="0"/>
            <w:vAlign w:val="center"/>
          </w:tcPr>
          <w:p>
            <w:pPr>
              <w:widowControl/>
              <w:jc w:val="left"/>
              <w:textAlignment w:val="center"/>
              <w:rPr>
                <w:rFonts w:hint="eastAsia" w:ascii="宋体" w:hAnsi="宋体" w:cs="宋体"/>
              </w:rPr>
            </w:pPr>
            <w:r>
              <w:rPr>
                <w:rFonts w:hint="eastAsia" w:ascii="宋体" w:hAnsi="宋体" w:cs="宋体"/>
                <w:color w:val="000000"/>
                <w:kern w:val="0"/>
                <w:sz w:val="20"/>
                <w:szCs w:val="20"/>
                <w:lang w:bidi="ar"/>
              </w:rPr>
              <w:t>个</w:t>
            </w:r>
          </w:p>
        </w:tc>
        <w:tc>
          <w:tcPr>
            <w:tcW w:w="480" w:type="dxa"/>
            <w:noWrap w:val="0"/>
            <w:vAlign w:val="center"/>
          </w:tcPr>
          <w:p>
            <w:pPr>
              <w:widowControl/>
              <w:jc w:val="left"/>
              <w:textAlignment w:val="center"/>
              <w:rPr>
                <w:rFonts w:hint="eastAsia" w:ascii="宋体" w:hAnsi="宋体" w:cs="宋体"/>
              </w:rPr>
            </w:pPr>
            <w:r>
              <w:rPr>
                <w:rFonts w:hint="eastAsia" w:ascii="宋体" w:hAnsi="宋体" w:cs="宋体"/>
                <w:color w:val="000000"/>
                <w:kern w:val="0"/>
                <w:sz w:val="20"/>
                <w:szCs w:val="20"/>
                <w:lang w:bidi="ar"/>
              </w:rPr>
              <w:t>1</w:t>
            </w:r>
          </w:p>
        </w:tc>
        <w:tc>
          <w:tcPr>
            <w:tcW w:w="5617" w:type="dxa"/>
            <w:noWrap w:val="0"/>
            <w:vAlign w:val="center"/>
          </w:tcPr>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一、教师桌</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1、采用冷轧优质A3冷轧钢板，质量达到行业相关安全保护标准，木制部分为优质中密度板。</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2、材料料厚：钢板：厚规格为：装饰件1.2mm,连接件1.5mm,承重部件2.0mm，且搭配合理，加工硬化，牢固耐用。</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3、表面处理：钢板经脱脂、酸洗、防锈磷化处理，表面静电喷塑，耐酸碱、防绣蚀、抗静电。</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4、木板：台板为中密度板贴真木皮喷环保漆，表面做防火底漆处理。颜色分：木本色,深红棕,闪光蓝,等多种可选。</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二、教师椅：</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1、灰色PP加纤维背架带升降头枕，尼龙固定腰靠</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2、灰色PP分体固定扶手</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3、高弹力海绵</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4、配黑色原位锁定底盘</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5、100#沉口4公分黑杆</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6、∮320MM 021电镀脚</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Arial"/>
                <w:szCs w:val="21"/>
              </w:rPr>
              <w:t>7、∮55MM 电镀轮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19</w:t>
            </w:r>
          </w:p>
        </w:tc>
        <w:tc>
          <w:tcPr>
            <w:tcW w:w="1482"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学生桌（二人桌）</w:t>
            </w:r>
          </w:p>
        </w:tc>
        <w:tc>
          <w:tcPr>
            <w:tcW w:w="495" w:type="dxa"/>
            <w:noWrap w:val="0"/>
            <w:vAlign w:val="center"/>
          </w:tcPr>
          <w:p>
            <w:pPr>
              <w:widowControl/>
              <w:jc w:val="left"/>
              <w:textAlignment w:val="center"/>
              <w:rPr>
                <w:rFonts w:hint="eastAsia" w:ascii="宋体" w:hAnsi="宋体" w:cs="宋体"/>
              </w:rPr>
            </w:pPr>
            <w:r>
              <w:rPr>
                <w:rFonts w:hint="eastAsia" w:ascii="宋体" w:hAnsi="宋体" w:cs="宋体"/>
                <w:color w:val="000000"/>
                <w:kern w:val="0"/>
                <w:sz w:val="20"/>
                <w:szCs w:val="20"/>
                <w:lang w:bidi="ar"/>
              </w:rPr>
              <w:t>个</w:t>
            </w:r>
          </w:p>
        </w:tc>
        <w:tc>
          <w:tcPr>
            <w:tcW w:w="480" w:type="dxa"/>
            <w:noWrap w:val="0"/>
            <w:vAlign w:val="center"/>
          </w:tcPr>
          <w:p>
            <w:pPr>
              <w:widowControl/>
              <w:jc w:val="left"/>
              <w:textAlignment w:val="center"/>
              <w:rPr>
                <w:rFonts w:hint="eastAsia" w:ascii="宋体" w:hAnsi="宋体" w:cs="宋体"/>
              </w:rPr>
            </w:pPr>
            <w:r>
              <w:rPr>
                <w:rFonts w:hint="eastAsia" w:ascii="宋体" w:hAnsi="宋体" w:cs="宋体"/>
                <w:color w:val="000000"/>
                <w:kern w:val="0"/>
                <w:sz w:val="20"/>
                <w:szCs w:val="20"/>
                <w:lang w:bidi="ar"/>
              </w:rPr>
              <w:t>25</w:t>
            </w:r>
          </w:p>
        </w:tc>
        <w:tc>
          <w:tcPr>
            <w:tcW w:w="5617" w:type="dxa"/>
            <w:noWrap w:val="0"/>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jc w:val="left"/>
              <w:rPr>
                <w:rFonts w:hint="eastAsia" w:ascii="宋体" w:hAnsi="宋体" w:cs="宋体"/>
                <w:color w:val="333333"/>
                <w:kern w:val="0"/>
                <w:szCs w:val="21"/>
              </w:rPr>
            </w:pPr>
            <w:r>
              <w:rPr>
                <w:rFonts w:hint="eastAsia" w:ascii="宋体" w:hAnsi="宋体" w:cs="宋体"/>
                <w:color w:val="333333"/>
                <w:kern w:val="0"/>
                <w:szCs w:val="21"/>
              </w:rPr>
              <w:t>规格：二人桌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jc w:val="left"/>
              <w:rPr>
                <w:rFonts w:hint="eastAsia" w:ascii="宋体" w:hAnsi="宋体" w:cs="宋体"/>
                <w:color w:val="333333"/>
                <w:kern w:val="0"/>
                <w:szCs w:val="21"/>
              </w:rPr>
            </w:pPr>
            <w:r>
              <w:rPr>
                <w:rFonts w:hint="eastAsia" w:ascii="宋体" w:hAnsi="宋体" w:cs="宋体"/>
                <w:color w:val="333333"/>
                <w:kern w:val="0"/>
                <w:szCs w:val="21"/>
              </w:rPr>
              <w:t>1、台面采用木颗粒环保板，E1级，2mm厚PVC热熔胶封边；            2、桌腿采用1.2mm厚40*40优质方钢焊接，外包1.0mm厚冷轧钢板；</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jc w:val="left"/>
              <w:rPr>
                <w:rFonts w:hint="eastAsia" w:ascii="宋体" w:hAnsi="宋体" w:cs="宋体"/>
                <w:color w:val="333333"/>
                <w:kern w:val="0"/>
                <w:szCs w:val="21"/>
              </w:rPr>
            </w:pPr>
            <w:r>
              <w:rPr>
                <w:rFonts w:hint="eastAsia" w:ascii="宋体" w:hAnsi="宋体" w:cs="宋体"/>
                <w:color w:val="333333"/>
                <w:kern w:val="0"/>
                <w:szCs w:val="21"/>
              </w:rPr>
              <w:t>3、桌腿整体经酸洗磷化后，进行环氧树脂静电粉末喷涂，高温固化处理；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jc w:val="left"/>
              <w:rPr>
                <w:rFonts w:hint="eastAsia" w:ascii="宋体" w:hAnsi="宋体" w:cs="宋体"/>
                <w:color w:val="333333"/>
                <w:kern w:val="0"/>
                <w:szCs w:val="21"/>
              </w:rPr>
            </w:pPr>
            <w:r>
              <w:rPr>
                <w:rFonts w:hint="eastAsia" w:ascii="宋体" w:hAnsi="宋体" w:cs="宋体"/>
                <w:color w:val="333333"/>
                <w:kern w:val="0"/>
                <w:szCs w:val="21"/>
              </w:rPr>
              <w:t>4、底脚采用不锈钢底脚，外包橡胶，具有防滑减震的作用。</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宋体"/>
                <w:color w:val="333333"/>
                <w:kern w:val="0"/>
                <w:szCs w:val="21"/>
              </w:rPr>
              <w:t>5、尺寸：1400mm（L)*600mm（W）*750mm（H）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20</w:t>
            </w:r>
          </w:p>
        </w:tc>
        <w:tc>
          <w:tcPr>
            <w:tcW w:w="1482"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学生椅</w:t>
            </w:r>
          </w:p>
        </w:tc>
        <w:tc>
          <w:tcPr>
            <w:tcW w:w="495" w:type="dxa"/>
            <w:noWrap w:val="0"/>
            <w:vAlign w:val="center"/>
          </w:tcPr>
          <w:p>
            <w:pPr>
              <w:widowControl/>
              <w:jc w:val="left"/>
              <w:textAlignment w:val="center"/>
              <w:rPr>
                <w:rFonts w:hint="eastAsia" w:ascii="宋体" w:hAnsi="宋体" w:cs="宋体"/>
              </w:rPr>
            </w:pPr>
            <w:r>
              <w:rPr>
                <w:rFonts w:hint="eastAsia" w:ascii="宋体" w:hAnsi="宋体" w:cs="宋体"/>
                <w:color w:val="000000"/>
                <w:kern w:val="0"/>
                <w:sz w:val="20"/>
                <w:szCs w:val="20"/>
                <w:lang w:bidi="ar"/>
              </w:rPr>
              <w:t>个</w:t>
            </w:r>
          </w:p>
        </w:tc>
        <w:tc>
          <w:tcPr>
            <w:tcW w:w="480" w:type="dxa"/>
            <w:noWrap w:val="0"/>
            <w:vAlign w:val="center"/>
          </w:tcPr>
          <w:p>
            <w:pPr>
              <w:widowControl/>
              <w:jc w:val="left"/>
              <w:textAlignment w:val="center"/>
              <w:rPr>
                <w:rFonts w:hint="eastAsia" w:ascii="宋体" w:hAnsi="宋体" w:cs="宋体"/>
              </w:rPr>
            </w:pPr>
            <w:r>
              <w:rPr>
                <w:rFonts w:hint="eastAsia" w:ascii="宋体" w:hAnsi="宋体" w:cs="宋体"/>
                <w:color w:val="000000"/>
                <w:kern w:val="0"/>
                <w:sz w:val="20"/>
                <w:szCs w:val="20"/>
                <w:lang w:bidi="ar"/>
              </w:rPr>
              <w:t>50</w:t>
            </w:r>
          </w:p>
        </w:tc>
        <w:tc>
          <w:tcPr>
            <w:tcW w:w="5617" w:type="dxa"/>
            <w:noWrap w:val="0"/>
            <w:vAlign w:val="center"/>
          </w:tcPr>
          <w:p>
            <w:pPr>
              <w:spacing w:line="271" w:lineRule="auto"/>
              <w:rPr>
                <w:rFonts w:ascii="宋体" w:hAnsi="宋体"/>
                <w:szCs w:val="21"/>
              </w:rPr>
            </w:pPr>
            <w:r>
              <w:rPr>
                <w:rFonts w:hint="eastAsia" w:ascii="宋体" w:hAnsi="宋体"/>
                <w:szCs w:val="21"/>
              </w:rPr>
              <w:t>与学生桌配套使用，每张二人桌配置</w:t>
            </w:r>
            <w:r>
              <w:rPr>
                <w:rFonts w:ascii="宋体" w:hAnsi="宋体"/>
                <w:szCs w:val="21"/>
              </w:rPr>
              <w:t>2把学生椅；</w:t>
            </w:r>
          </w:p>
          <w:p>
            <w:pPr>
              <w:spacing w:line="271" w:lineRule="auto"/>
              <w:rPr>
                <w:rFonts w:ascii="宋体" w:hAnsi="宋体"/>
                <w:szCs w:val="21"/>
              </w:rPr>
            </w:pPr>
            <w:r>
              <w:rPr>
                <w:rFonts w:hint="eastAsia" w:ascii="宋体" w:hAnsi="宋体"/>
                <w:szCs w:val="21"/>
              </w:rPr>
              <w:t>架子：采用加厚高承重圆管、高级电镀</w:t>
            </w:r>
          </w:p>
          <w:p>
            <w:pPr>
              <w:spacing w:line="271" w:lineRule="auto"/>
              <w:rPr>
                <w:rFonts w:ascii="宋体" w:hAnsi="宋体"/>
                <w:szCs w:val="21"/>
              </w:rPr>
            </w:pPr>
            <w:r>
              <w:rPr>
                <w:rFonts w:hint="eastAsia" w:ascii="宋体" w:hAnsi="宋体"/>
                <w:szCs w:val="21"/>
              </w:rPr>
              <w:t>靠背：钢制架</w:t>
            </w:r>
            <w:r>
              <w:rPr>
                <w:rFonts w:ascii="宋体" w:hAnsi="宋体"/>
                <w:szCs w:val="21"/>
              </w:rPr>
              <w:t xml:space="preserve">+透气牛津网布 </w:t>
            </w:r>
          </w:p>
          <w:p>
            <w:pPr>
              <w:spacing w:line="271" w:lineRule="auto"/>
              <w:rPr>
                <w:rFonts w:ascii="宋体" w:hAnsi="宋体"/>
                <w:szCs w:val="21"/>
              </w:rPr>
            </w:pPr>
            <w:r>
              <w:rPr>
                <w:rFonts w:hint="eastAsia" w:ascii="宋体" w:hAnsi="宋体"/>
                <w:szCs w:val="21"/>
              </w:rPr>
              <w:t>坐垫：</w:t>
            </w:r>
            <w:r>
              <w:rPr>
                <w:rFonts w:ascii="宋体" w:hAnsi="宋体"/>
                <w:szCs w:val="21"/>
              </w:rPr>
              <w:t>45高密度海绵坐垫</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szCs w:val="21"/>
              </w:rPr>
              <w:t>尺寸：椅子高度：</w:t>
            </w:r>
            <w:r>
              <w:rPr>
                <w:rFonts w:ascii="宋体" w:hAnsi="宋体"/>
                <w:szCs w:val="21"/>
              </w:rPr>
              <w:t>38cm-45cm之间</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21</w:t>
            </w:r>
          </w:p>
        </w:tc>
        <w:tc>
          <w:tcPr>
            <w:tcW w:w="1482" w:type="dxa"/>
            <w:noWrap w:val="0"/>
            <w:vAlign w:val="center"/>
          </w:tcPr>
          <w:p>
            <w:pPr>
              <w:widowControl/>
              <w:jc w:val="center"/>
              <w:textAlignment w:val="center"/>
              <w:rPr>
                <w:rFonts w:hint="eastAsia" w:ascii="宋体" w:hAnsi="宋体" w:cs="宋体"/>
              </w:rPr>
            </w:pPr>
            <w:r>
              <w:rPr>
                <w:rFonts w:hint="eastAsia" w:ascii="宋体" w:hAnsi="宋体" w:cs="宋体"/>
                <w:color w:val="000000"/>
                <w:kern w:val="0"/>
                <w:sz w:val="20"/>
                <w:szCs w:val="20"/>
                <w:lang w:bidi="ar"/>
              </w:rPr>
              <w:t>附属配套设施建设</w:t>
            </w:r>
          </w:p>
        </w:tc>
        <w:tc>
          <w:tcPr>
            <w:tcW w:w="495" w:type="dxa"/>
            <w:noWrap w:val="0"/>
            <w:vAlign w:val="center"/>
          </w:tcPr>
          <w:p>
            <w:pPr>
              <w:widowControl/>
              <w:jc w:val="left"/>
              <w:textAlignment w:val="center"/>
              <w:rPr>
                <w:rFonts w:hint="eastAsia" w:ascii="宋体" w:hAnsi="宋体" w:cs="宋体"/>
              </w:rPr>
            </w:pPr>
            <w:r>
              <w:rPr>
                <w:rFonts w:hint="eastAsia" w:ascii="宋体" w:hAnsi="宋体" w:cs="宋体"/>
                <w:color w:val="000000"/>
                <w:kern w:val="0"/>
                <w:sz w:val="20"/>
                <w:szCs w:val="20"/>
                <w:lang w:bidi="ar"/>
              </w:rPr>
              <w:t>平方</w:t>
            </w:r>
          </w:p>
        </w:tc>
        <w:tc>
          <w:tcPr>
            <w:tcW w:w="480" w:type="dxa"/>
            <w:noWrap w:val="0"/>
            <w:vAlign w:val="center"/>
          </w:tcPr>
          <w:p>
            <w:pPr>
              <w:widowControl/>
              <w:jc w:val="left"/>
              <w:textAlignment w:val="center"/>
              <w:rPr>
                <w:rFonts w:hint="eastAsia" w:ascii="宋体" w:hAnsi="宋体" w:cs="宋体"/>
              </w:rPr>
            </w:pPr>
            <w:r>
              <w:rPr>
                <w:rFonts w:hint="eastAsia" w:ascii="宋体" w:hAnsi="宋体" w:cs="宋体"/>
                <w:color w:val="000000"/>
                <w:kern w:val="0"/>
                <w:sz w:val="20"/>
                <w:szCs w:val="20"/>
                <w:lang w:bidi="ar"/>
              </w:rPr>
              <w:t>100</w:t>
            </w:r>
          </w:p>
        </w:tc>
        <w:tc>
          <w:tcPr>
            <w:tcW w:w="5617" w:type="dxa"/>
            <w:noWrap w:val="0"/>
            <w:vAlign w:val="center"/>
          </w:tcPr>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一、强弱电工程：1、定制布置强电供应网络和终端；2、布置弱电主机向网络使用终端的线路和信号传输线等各种弱电传送网络。</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二、天花工程：1、天花吊顶造型的建造；2、隐蔽工程的协同处理：包括恒温恒湿系统、照明系统和强弱电网络的网络管道排布。</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三、墙面工程：1、墙面造型的建造，根据不同的设计使用相应的材料完成定制需求；2、墙面隐蔽工程的协同处理：包括强弱电系统线路的排布和避让。3、墙面电器设备挂装的预埋件和承重基层处理。4、教室专用定制门的应用。</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四、地面工程：1、地面面材根据客户需求定制，包含地面面材铺贴；2、地面隐蔽工程的协同处理，包括强电和弱电系统的铺设。</w:t>
            </w:r>
          </w:p>
          <w:p>
            <w:pPr>
              <w:pStyle w:val="208"/>
              <w:spacing w:line="271" w:lineRule="auto"/>
              <w:ind w:firstLine="0" w:firstLineChars="0"/>
              <w:jc w:val="left"/>
              <w:rPr>
                <w:rFonts w:ascii="宋体" w:hAnsi="宋体" w:cs="Arial"/>
                <w:sz w:val="21"/>
                <w:szCs w:val="21"/>
              </w:rPr>
            </w:pPr>
            <w:r>
              <w:rPr>
                <w:rFonts w:hint="eastAsia" w:ascii="宋体" w:hAnsi="宋体" w:cs="Arial"/>
                <w:sz w:val="21"/>
                <w:szCs w:val="21"/>
              </w:rPr>
              <w:t>五、软装工程：1、教室专用遮光窗帘的应用；2、文化墙的设计和制作安装；</w:t>
            </w:r>
          </w:p>
          <w:p>
            <w:pPr>
              <w:widowControl/>
              <w:spacing w:line="271" w:lineRule="auto"/>
              <w:jc w:val="left"/>
              <w:textAlignment w:val="center"/>
              <w:rPr>
                <w:rFonts w:hint="eastAsia" w:ascii="宋体" w:hAnsi="宋体" w:cs="仿宋"/>
                <w:color w:val="000000"/>
                <w:kern w:val="0"/>
                <w:szCs w:val="21"/>
                <w:lang w:bidi="ar"/>
              </w:rPr>
            </w:pPr>
            <w:r>
              <w:rPr>
                <w:rFonts w:hint="eastAsia" w:ascii="宋体" w:hAnsi="宋体" w:cs="Arial"/>
                <w:szCs w:val="21"/>
              </w:rPr>
              <w:t xml:space="preserve">六、恒温恒湿设备和安装          </w:t>
            </w:r>
          </w:p>
        </w:tc>
        <w:bookmarkStart w:id="32" w:name="PO_TDCUS_ITEM_PB_REQ_TABLE_1_1_0"/>
      </w:tr>
      <w:bookmarkEnd w:id="31"/>
      <w:bookmarkEnd w:id="32"/>
    </w:tbl>
    <w:p>
      <w:pPr>
        <w:widowControl/>
        <w:jc w:val="left"/>
        <w:rPr>
          <w:rFonts w:hint="eastAsia" w:ascii="仿宋" w:hAnsi="仿宋" w:eastAsia="仿宋"/>
          <w:b/>
          <w:bCs/>
          <w:color w:val="000000"/>
          <w:sz w:val="28"/>
          <w:szCs w:val="28"/>
        </w:rPr>
      </w:pPr>
      <w:r>
        <w:rPr>
          <w:rFonts w:hint="eastAsia" w:ascii="仿宋" w:hAnsi="仿宋" w:eastAsia="仿宋"/>
          <w:b/>
          <w:bCs/>
          <w:color w:val="000000"/>
          <w:sz w:val="28"/>
          <w:szCs w:val="28"/>
        </w:rPr>
        <w:t>注：根据《通用服务器政府采购需求标准（2023版）》、</w:t>
      </w:r>
      <w:r>
        <w:rPr>
          <w:rFonts w:hint="eastAsia" w:ascii="仿宋" w:hAnsi="仿宋" w:eastAsia="仿宋" w:cs="仿宋"/>
          <w:b/>
          <w:bCs/>
          <w:color w:val="000000"/>
          <w:sz w:val="28"/>
          <w:szCs w:val="28"/>
        </w:rPr>
        <w:t>《</w:t>
      </w:r>
      <w:r>
        <w:rPr>
          <w:rFonts w:hint="eastAsia" w:ascii="仿宋" w:hAnsi="仿宋" w:eastAsia="仿宋"/>
          <w:b/>
          <w:bCs/>
          <w:color w:val="000000"/>
          <w:sz w:val="28"/>
          <w:szCs w:val="28"/>
        </w:rPr>
        <w:t>台式计算机政府采购需求标准（2023 年版）</w:t>
      </w:r>
      <w:r>
        <w:rPr>
          <w:rFonts w:hint="eastAsia" w:ascii="仿宋" w:hAnsi="仿宋" w:eastAsia="仿宋" w:cs="仿宋"/>
          <w:b/>
          <w:bCs/>
          <w:color w:val="000000"/>
          <w:sz w:val="28"/>
          <w:szCs w:val="28"/>
        </w:rPr>
        <w:t>》</w:t>
      </w:r>
      <w:r>
        <w:rPr>
          <w:rFonts w:hint="eastAsia" w:ascii="仿宋" w:hAnsi="仿宋" w:eastAsia="仿宋"/>
          <w:b/>
          <w:bCs/>
          <w:color w:val="000000"/>
          <w:sz w:val="28"/>
          <w:szCs w:val="28"/>
        </w:rPr>
        <w:t>的通知要求，标准中加“*”的指标为本项目采购需求的实质性要求，供应商须出具承诺函，承诺投标产品的技术参数满足加“*”的指标。</w:t>
      </w:r>
    </w:p>
    <w:p>
      <w:pPr>
        <w:spacing w:line="360" w:lineRule="auto"/>
        <w:rPr>
          <w:rFonts w:hint="eastAsia" w:ascii="仿宋" w:hAnsi="仿宋" w:eastAsia="仿宋"/>
          <w:b/>
          <w:bCs/>
          <w:color w:val="000000"/>
          <w:sz w:val="28"/>
          <w:szCs w:val="28"/>
        </w:rPr>
      </w:pPr>
    </w:p>
    <w:p>
      <w:pPr>
        <w:spacing w:line="360" w:lineRule="auto"/>
        <w:rPr>
          <w:rFonts w:hint="eastAsia" w:ascii="仿宋" w:hAnsi="仿宋" w:eastAsia="仿宋"/>
          <w:b/>
          <w:bCs/>
          <w:color w:val="000000"/>
          <w:sz w:val="28"/>
          <w:szCs w:val="28"/>
        </w:rPr>
      </w:pPr>
    </w:p>
    <w:p>
      <w:pPr>
        <w:spacing w:line="360" w:lineRule="auto"/>
        <w:rPr>
          <w:rFonts w:ascii="仿宋" w:hAnsi="仿宋" w:eastAsia="仿宋"/>
          <w:b/>
          <w:bCs/>
          <w:color w:val="000000"/>
          <w:sz w:val="28"/>
          <w:szCs w:val="28"/>
        </w:rPr>
      </w:pPr>
      <w:r>
        <w:rPr>
          <w:rFonts w:hint="eastAsia" w:ascii="仿宋" w:hAnsi="仿宋" w:eastAsia="仿宋"/>
          <w:b/>
          <w:bCs/>
          <w:color w:val="000000"/>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▲项目工期（交货期）及地点</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sz w:val="24"/>
                <w:szCs w:val="24"/>
              </w:rPr>
            </w:pPr>
            <w:r>
              <w:rPr>
                <w:rFonts w:hint="eastAsia" w:ascii="仿宋" w:hAnsi="仿宋" w:eastAsia="仿宋"/>
                <w:color w:val="000000"/>
                <w:sz w:val="24"/>
                <w:szCs w:val="24"/>
              </w:rPr>
              <w:t>交货期：合同签订后30个工作日内</w:t>
            </w:r>
          </w:p>
          <w:p>
            <w:pPr>
              <w:rPr>
                <w:rFonts w:ascii="仿宋" w:hAnsi="仿宋" w:eastAsia="仿宋"/>
                <w:color w:val="000000"/>
                <w:sz w:val="24"/>
                <w:szCs w:val="24"/>
              </w:rPr>
            </w:pPr>
            <w:r>
              <w:rPr>
                <w:rFonts w:hint="eastAsia" w:ascii="仿宋" w:hAnsi="仿宋" w:eastAsia="仿宋"/>
                <w:color w:val="000000"/>
                <w:sz w:val="24"/>
                <w:szCs w:val="24"/>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2"/>
              </w:numPr>
              <w:jc w:val="left"/>
              <w:rPr>
                <w:rFonts w:hint="eastAsia" w:ascii="仿宋" w:hAnsi="仿宋" w:eastAsia="仿宋"/>
                <w:color w:val="000000"/>
                <w:sz w:val="24"/>
                <w:szCs w:val="24"/>
                <w:lang w:bidi="ar"/>
              </w:rPr>
            </w:pPr>
            <w:r>
              <w:rPr>
                <w:rFonts w:hint="eastAsia" w:ascii="仿宋" w:hAnsi="仿宋" w:eastAsia="仿宋"/>
                <w:color w:val="000000"/>
                <w:sz w:val="24"/>
                <w:szCs w:val="24"/>
                <w:lang w:bidi="ar"/>
              </w:rPr>
              <w:t>履约保证金：乙方在收到甲方发出的签订合同要约后7天内向甲方提交合同金额</w:t>
            </w:r>
            <w:r>
              <w:rPr>
                <w:rFonts w:hint="eastAsia" w:ascii="仿宋" w:hAnsi="仿宋" w:eastAsia="仿宋"/>
                <w:color w:val="000000"/>
                <w:sz w:val="24"/>
                <w:szCs w:val="24"/>
                <w:lang w:val="en-US" w:eastAsia="zh-CN" w:bidi="ar"/>
              </w:rPr>
              <w:t>1</w:t>
            </w:r>
            <w:r>
              <w:rPr>
                <w:rFonts w:hint="eastAsia" w:ascii="仿宋" w:hAnsi="仿宋" w:eastAsia="仿宋"/>
                <w:color w:val="000000"/>
                <w:sz w:val="24"/>
                <w:szCs w:val="24"/>
                <w:lang w:bidi="ar"/>
              </w:rPr>
              <w:t>%的履约保证金（提交方式：支票、汇票、本票或者金融机构、担保机构出具的保函等非现金形式），即人民币（大写[]）元（¥[]），履约保证金在合同货物经校级验收合格后，由浙江同济科技职业学院财务部门无息退还。</w:t>
            </w:r>
          </w:p>
          <w:p>
            <w:pPr>
              <w:widowControl/>
              <w:numPr>
                <w:ilvl w:val="0"/>
                <w:numId w:val="0"/>
              </w:numPr>
              <w:jc w:val="left"/>
              <w:rPr>
                <w:rFonts w:hint="eastAsia" w:ascii="仿宋" w:hAnsi="仿宋" w:eastAsia="仿宋"/>
                <w:color w:val="000000"/>
                <w:sz w:val="24"/>
                <w:szCs w:val="24"/>
              </w:rPr>
            </w:pPr>
            <w:r>
              <w:rPr>
                <w:rFonts w:hint="eastAsia" w:ascii="仿宋" w:hAnsi="仿宋" w:eastAsia="仿宋"/>
                <w:color w:val="000000"/>
                <w:sz w:val="24"/>
                <w:szCs w:val="24"/>
                <w:lang w:bidi="ar"/>
              </w:rPr>
              <w:t>2.付款方式：合同生效以及具备实施条件后7个工作日内甲方向乙方支付合同金额的40%；合同货物送达甲方指定地点，安装调试成功并经校级验收合格后，甲方于7个工作日内向乙方支付剩余合同价款。</w:t>
            </w:r>
          </w:p>
          <w:p>
            <w:pPr>
              <w:widowControl/>
              <w:jc w:val="left"/>
              <w:rPr>
                <w:rFonts w:hint="eastAsia" w:ascii="仿宋" w:hAnsi="仿宋" w:eastAsia="仿宋"/>
                <w:color w:val="000000"/>
                <w:sz w:val="24"/>
                <w:szCs w:val="24"/>
              </w:rPr>
            </w:pPr>
            <w:r>
              <w:rPr>
                <w:rFonts w:hint="eastAsia" w:ascii="仿宋" w:hAnsi="仿宋" w:eastAsia="仿宋"/>
                <w:color w:val="000000"/>
                <w:sz w:val="24"/>
                <w:szCs w:val="24"/>
                <w:lang w:bidi="ar"/>
              </w:rPr>
              <w:t>备注：在签订合同时，乙方明确表示无需预付款或者主动要求降低预付款比例的，可降低预付款比例。</w:t>
            </w:r>
          </w:p>
          <w:p>
            <w:pPr>
              <w:rPr>
                <w:rFonts w:ascii="仿宋" w:hAnsi="仿宋" w:eastAsia="仿宋"/>
                <w:b/>
                <w:color w:val="000000"/>
                <w:sz w:val="24"/>
                <w:szCs w:val="24"/>
              </w:rPr>
            </w:pPr>
            <w:r>
              <w:rPr>
                <w:rFonts w:hint="eastAsia" w:ascii="仿宋" w:hAnsi="仿宋" w:eastAsia="仿宋"/>
                <w:color w:val="000000"/>
                <w:sz w:val="24"/>
                <w:szCs w:val="24"/>
                <w:lang w:bidi="ar"/>
              </w:rPr>
              <w:t xml:space="preserve">3.当采购数量与实际使用数量不一致时，乙方应根据实际使用量供货，合同的最终结算金额按实际使用量乘以成交单价进行计算。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违约责任及争议解决方式</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sz w:val="24"/>
                <w:szCs w:val="24"/>
              </w:rPr>
            </w:pPr>
            <w:r>
              <w:rPr>
                <w:rFonts w:hint="eastAsia" w:ascii="仿宋" w:hAnsi="仿宋" w:eastAsia="仿宋"/>
                <w:color w:val="000000"/>
                <w:sz w:val="24"/>
                <w:szCs w:val="24"/>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售</w:t>
            </w:r>
          </w:p>
          <w:p>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后</w:t>
            </w:r>
          </w:p>
          <w:p>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服务</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项目维护计划</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_GB2312"/>
                <w:color w:val="000000"/>
                <w:sz w:val="24"/>
                <w:szCs w:val="24"/>
              </w:rPr>
            </w:pPr>
            <w:r>
              <w:rPr>
                <w:rFonts w:hint="eastAsia" w:ascii="仿宋" w:hAnsi="仿宋" w:eastAsia="仿宋"/>
                <w:sz w:val="24"/>
                <w:szCs w:val="24"/>
              </w:rPr>
              <w:t>质保期自验收合格之日起计1年，按生产厂家的规定执行。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_GB2312"/>
                <w:b/>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响应情况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pStyle w:val="182"/>
              <w:ind w:firstLine="0" w:firstLineChars="0"/>
              <w:rPr>
                <w:color w:val="000000"/>
                <w:sz w:val="24"/>
                <w:szCs w:val="24"/>
              </w:rPr>
            </w:pPr>
            <w:r>
              <w:rPr>
                <w:rFonts w:hint="eastAsia" w:ascii="仿宋" w:hAnsi="仿宋" w:eastAsia="仿宋"/>
                <w:sz w:val="24"/>
                <w:szCs w:val="24"/>
              </w:rPr>
              <w:t>系统故障报修的响应时间：提供全天候无间断的远程技术服务，4小时内对问题做出响应。若电话中无法解决，3个工作日内到达现场进行解决。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_GB2312"/>
                <w:b/>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技术培训</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pStyle w:val="21"/>
              <w:rPr>
                <w:rFonts w:hint="eastAsia" w:ascii="仿宋" w:hAnsi="仿宋" w:eastAsia="仿宋"/>
                <w:kern w:val="0"/>
                <w:sz w:val="24"/>
                <w:szCs w:val="24"/>
              </w:rPr>
            </w:pPr>
            <w:r>
              <w:rPr>
                <w:rFonts w:hint="eastAsia" w:ascii="仿宋" w:hAnsi="仿宋" w:eastAsia="仿宋"/>
                <w:kern w:val="0"/>
                <w:sz w:val="24"/>
                <w:szCs w:val="24"/>
              </w:rPr>
              <w:t>针对投标人提供此项目的售后及培训服务方案进行评分，包括但不限于：</w:t>
            </w:r>
          </w:p>
          <w:p>
            <w:pPr>
              <w:pStyle w:val="21"/>
              <w:rPr>
                <w:rFonts w:hint="eastAsia" w:ascii="仿宋" w:hAnsi="仿宋" w:eastAsia="仿宋"/>
                <w:kern w:val="0"/>
                <w:sz w:val="24"/>
                <w:szCs w:val="24"/>
              </w:rPr>
            </w:pPr>
            <w:r>
              <w:rPr>
                <w:rFonts w:hint="eastAsia" w:ascii="仿宋" w:hAnsi="仿宋" w:eastAsia="仿宋"/>
                <w:kern w:val="0"/>
                <w:sz w:val="24"/>
                <w:szCs w:val="24"/>
              </w:rPr>
              <w:t>提供项目售后服务方案制度，可行并完整的得1分；</w:t>
            </w:r>
          </w:p>
          <w:p>
            <w:pPr>
              <w:pStyle w:val="21"/>
              <w:rPr>
                <w:rFonts w:hint="eastAsia" w:ascii="仿宋" w:hAnsi="仿宋" w:eastAsia="仿宋"/>
                <w:kern w:val="0"/>
                <w:sz w:val="24"/>
                <w:szCs w:val="24"/>
              </w:rPr>
            </w:pPr>
            <w:r>
              <w:rPr>
                <w:rFonts w:hint="eastAsia" w:ascii="仿宋" w:hAnsi="仿宋" w:eastAsia="仿宋"/>
                <w:kern w:val="0"/>
                <w:sz w:val="24"/>
                <w:szCs w:val="24"/>
              </w:rPr>
              <w:t>提供项目应急预案，可行并完整的得1分；</w:t>
            </w:r>
          </w:p>
          <w:p>
            <w:pPr>
              <w:pStyle w:val="21"/>
              <w:rPr>
                <w:rFonts w:hint="eastAsia" w:ascii="仿宋" w:hAnsi="仿宋" w:eastAsia="仿宋"/>
                <w:kern w:val="0"/>
                <w:sz w:val="24"/>
                <w:szCs w:val="24"/>
              </w:rPr>
            </w:pPr>
            <w:r>
              <w:rPr>
                <w:rFonts w:hint="eastAsia" w:ascii="仿宋" w:hAnsi="仿宋" w:eastAsia="仿宋"/>
                <w:kern w:val="0"/>
                <w:sz w:val="24"/>
                <w:szCs w:val="24"/>
              </w:rPr>
              <w:t>提供项目培训课程，可行并完整的得1分；</w:t>
            </w:r>
          </w:p>
          <w:p>
            <w:pPr>
              <w:pStyle w:val="21"/>
              <w:rPr>
                <w:rFonts w:hint="eastAsia" w:ascii="仿宋" w:hAnsi="仿宋" w:eastAsia="仿宋"/>
                <w:kern w:val="0"/>
                <w:sz w:val="24"/>
                <w:szCs w:val="24"/>
              </w:rPr>
            </w:pPr>
            <w:r>
              <w:rPr>
                <w:rFonts w:hint="eastAsia" w:ascii="仿宋" w:hAnsi="仿宋" w:eastAsia="仿宋"/>
                <w:kern w:val="0"/>
                <w:sz w:val="24"/>
                <w:szCs w:val="24"/>
              </w:rPr>
              <w:t>提供项目培训授课人员安排，可行并完整的得1分；</w:t>
            </w:r>
          </w:p>
          <w:p>
            <w:pPr>
              <w:pStyle w:val="21"/>
              <w:rPr>
                <w:rFonts w:hint="eastAsia" w:ascii="仿宋" w:hAnsi="仿宋" w:eastAsia="仿宋"/>
                <w:kern w:val="0"/>
                <w:sz w:val="24"/>
                <w:szCs w:val="24"/>
              </w:rPr>
            </w:pPr>
            <w:r>
              <w:rPr>
                <w:rFonts w:hint="eastAsia" w:ascii="仿宋" w:hAnsi="仿宋" w:eastAsia="仿宋"/>
                <w:kern w:val="0"/>
                <w:sz w:val="24"/>
                <w:szCs w:val="24"/>
              </w:rPr>
              <w:t>注：须提供售后服务承诺函并加盖投标人公章。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履约能力</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投标人技术力量情况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1.投标人具备在有效期内的ISO14001环境管理体系认证证书、ISO45001职业健康安全管理体系认证证书得1分，仅具备其中一项不得分，未提供不得分；</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2.投标人具备在有效期内的ISO20000信息技术服务管理体系认证证书、ISO27001信息安全管理体系认证证书得1分，仅具备其中一项不得分，未提供不得分；</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3.投标人具备在有效期内的GB/T27922-2011商品售后服务评价体系认证证书，达到五星级服务认证的得</w:t>
            </w:r>
            <w:r>
              <w:rPr>
                <w:rFonts w:hint="eastAsia" w:ascii="仿宋" w:hAnsi="仿宋" w:eastAsia="仿宋" w:cs="仿宋"/>
                <w:sz w:val="24"/>
                <w:szCs w:val="24"/>
                <w:lang w:val="en-US" w:eastAsia="zh-CN"/>
              </w:rPr>
              <w:t>1</w:t>
            </w:r>
            <w:r>
              <w:rPr>
                <w:rFonts w:hint="eastAsia" w:ascii="仿宋" w:hAnsi="仿宋" w:eastAsia="仿宋" w:cs="仿宋"/>
                <w:sz w:val="24"/>
                <w:szCs w:val="24"/>
              </w:rPr>
              <w:t>分，未提供不得分。</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4.投标人具备在有效期内的ISO27017云服务信息安全管理体系认证证书得</w:t>
            </w:r>
            <w:r>
              <w:rPr>
                <w:rFonts w:hint="eastAsia" w:ascii="仿宋" w:hAnsi="仿宋" w:eastAsia="仿宋" w:cs="仿宋"/>
                <w:sz w:val="24"/>
                <w:szCs w:val="24"/>
                <w:lang w:val="en-US" w:eastAsia="zh-CN"/>
              </w:rPr>
              <w:t>1</w:t>
            </w:r>
            <w:r>
              <w:rPr>
                <w:rFonts w:hint="eastAsia" w:ascii="仿宋" w:hAnsi="仿宋" w:eastAsia="仿宋" w:cs="仿宋"/>
                <w:sz w:val="24"/>
                <w:szCs w:val="24"/>
              </w:rPr>
              <w:t>分，未提供不得分。</w:t>
            </w:r>
          </w:p>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5.投标人具备在有效期内的ISO28000:2007供应链安全管理体系认证证书得1分，未提供不得分。</w:t>
            </w:r>
          </w:p>
          <w:p>
            <w:pPr>
              <w:pStyle w:val="21"/>
              <w:rPr>
                <w:rFonts w:hint="eastAsia" w:ascii="仿宋" w:hAnsi="仿宋" w:eastAsia="仿宋"/>
                <w:kern w:val="0"/>
                <w:sz w:val="24"/>
                <w:szCs w:val="24"/>
              </w:rPr>
            </w:pPr>
            <w:r>
              <w:rPr>
                <w:rFonts w:hint="eastAsia" w:ascii="仿宋" w:hAnsi="仿宋" w:eastAsia="仿宋" w:cs="仿宋"/>
                <w:sz w:val="24"/>
                <w:szCs w:val="24"/>
              </w:rPr>
              <w:t>注：以上证书均须提供证书复印件并加盖投标人公章、提供在“国家市场监督管理总局-全国认证认可信息公共服务平台”查询记录截图并加盖投标人公章，证明材料内容提供不全或不一致的不得分。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_GB2312"/>
                <w:b/>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经验或业绩要求</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63" w:leftChars="30" w:right="63" w:rightChars="30"/>
              <w:rPr>
                <w:rFonts w:hint="eastAsia" w:ascii="仿宋" w:hAnsi="仿宋" w:eastAsia="仿宋" w:cs="仿宋"/>
                <w:sz w:val="24"/>
                <w:szCs w:val="24"/>
              </w:rPr>
            </w:pPr>
            <w:r>
              <w:rPr>
                <w:rFonts w:hint="eastAsia" w:ascii="仿宋" w:hAnsi="仿宋" w:eastAsia="仿宋" w:cs="仿宋"/>
                <w:sz w:val="24"/>
                <w:szCs w:val="24"/>
              </w:rPr>
              <w:t>投标人提供自2021年1月1日至今承揽过的与本项目类似业绩的合同案例（以合同签订日期为准），提供一个得0.5分，低于4个不得分，最多得3分。</w:t>
            </w:r>
          </w:p>
          <w:p>
            <w:pPr>
              <w:pStyle w:val="21"/>
              <w:rPr>
                <w:rFonts w:hint="eastAsia" w:ascii="仿宋" w:hAnsi="仿宋" w:eastAsia="仿宋"/>
                <w:kern w:val="0"/>
                <w:sz w:val="24"/>
                <w:szCs w:val="24"/>
              </w:rPr>
            </w:pPr>
            <w:r>
              <w:rPr>
                <w:rFonts w:hint="eastAsia" w:ascii="仿宋" w:hAnsi="仿宋" w:eastAsia="仿宋" w:cs="仿宋"/>
                <w:sz w:val="24"/>
                <w:szCs w:val="24"/>
              </w:rPr>
              <w:t>注：须提供合同复印件并加盖投标人公章。</w:t>
            </w:r>
          </w:p>
        </w:tc>
      </w:tr>
    </w:tbl>
    <w:p>
      <w:pPr>
        <w:widowControl/>
        <w:jc w:val="left"/>
        <w:rPr>
          <w:rFonts w:hAnsi="宋体"/>
          <w:b/>
          <w:color w:val="000000"/>
          <w:sz w:val="36"/>
          <w:szCs w:val="36"/>
        </w:rPr>
      </w:pPr>
      <w:r>
        <w:rPr>
          <w:rFonts w:ascii="仿宋" w:hAnsi="仿宋" w:eastAsia="仿宋" w:cs="仿宋"/>
          <w:b/>
          <w:bCs/>
          <w:color w:val="000000"/>
          <w:spacing w:val="30"/>
          <w:sz w:val="24"/>
          <w:szCs w:val="24"/>
        </w:rPr>
        <w:br w:type="page"/>
      </w:r>
      <w:bookmarkStart w:id="33" w:name="_Toc26308"/>
      <w:r>
        <w:rPr>
          <w:rFonts w:hint="eastAsia" w:ascii="仿宋" w:hAnsi="仿宋" w:eastAsia="仿宋" w:cs="仿宋"/>
          <w:b/>
          <w:bCs/>
          <w:color w:val="000000"/>
          <w:spacing w:val="30"/>
          <w:sz w:val="28"/>
          <w:szCs w:val="28"/>
        </w:rPr>
        <w:t xml:space="preserve">    </w:t>
      </w:r>
      <w:r>
        <w:rPr>
          <w:rFonts w:hint="eastAsia" w:hAnsi="宋体"/>
          <w:b/>
          <w:color w:val="000000"/>
          <w:sz w:val="36"/>
          <w:szCs w:val="36"/>
        </w:rPr>
        <w:t>第五章  浙江省政府采购合同主要条款指引</w:t>
      </w:r>
      <w:bookmarkEnd w:id="29"/>
      <w:bookmarkEnd w:id="33"/>
    </w:p>
    <w:p>
      <w:pPr>
        <w:rPr>
          <w:color w:val="000000"/>
        </w:rPr>
      </w:pPr>
    </w:p>
    <w:p>
      <w:pPr>
        <w:pStyle w:val="31"/>
        <w:snapToGrid w:val="0"/>
        <w:spacing w:before="156" w:after="156" w:line="360" w:lineRule="auto"/>
        <w:jc w:val="center"/>
        <w:rPr>
          <w:rFonts w:ascii="仿宋" w:hAnsi="仿宋" w:eastAsia="仿宋"/>
          <w:color w:val="000000"/>
          <w:sz w:val="30"/>
          <w:szCs w:val="30"/>
        </w:rPr>
      </w:pPr>
      <w:r>
        <w:rPr>
          <w:rFonts w:hint="eastAsia" w:ascii="仿宋" w:hAnsi="仿宋" w:eastAsia="仿宋"/>
          <w:color w:val="000000"/>
          <w:sz w:val="30"/>
          <w:szCs w:val="30"/>
        </w:rPr>
        <w:t xml:space="preserve">                       合同编号：        </w:t>
      </w:r>
    </w:p>
    <w:p>
      <w:pPr>
        <w:pStyle w:val="31"/>
        <w:snapToGrid w:val="0"/>
        <w:spacing w:before="156" w:after="156"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确认书号：</w:t>
      </w:r>
    </w:p>
    <w:p>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甲方</w:t>
      </w:r>
      <w:r>
        <w:rPr>
          <w:rFonts w:hint="eastAsia" w:ascii="仿宋" w:hAnsi="仿宋" w:eastAsia="仿宋"/>
          <w:color w:val="000000"/>
          <w:sz w:val="30"/>
          <w:szCs w:val="30"/>
        </w:rPr>
        <w:t xml:space="preserve">（采购人）： </w:t>
      </w:r>
    </w:p>
    <w:p>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乙方</w:t>
      </w:r>
      <w:r>
        <w:rPr>
          <w:rFonts w:hint="eastAsia" w:ascii="仿宋" w:hAnsi="仿宋" w:eastAsia="仿宋"/>
          <w:color w:val="000000"/>
          <w:sz w:val="30"/>
          <w:szCs w:val="30"/>
        </w:rPr>
        <w:t xml:space="preserve">（供应商）： </w:t>
      </w:r>
    </w:p>
    <w:p>
      <w:pPr>
        <w:pStyle w:val="31"/>
        <w:adjustRightInd w:val="0"/>
        <w:snapToGrid w:val="0"/>
        <w:spacing w:before="156" w:after="156" w:line="460" w:lineRule="exact"/>
        <w:ind w:firstLine="594" w:firstLineChars="198"/>
        <w:rPr>
          <w:rFonts w:ascii="仿宋" w:hAnsi="仿宋" w:eastAsia="仿宋"/>
          <w:b/>
          <w:snapToGrid w:val="0"/>
          <w:color w:val="000000"/>
          <w:sz w:val="30"/>
          <w:szCs w:val="30"/>
        </w:rPr>
      </w:pPr>
      <w:r>
        <w:rPr>
          <w:rFonts w:hint="eastAsia" w:ascii="仿宋" w:hAnsi="仿宋" w:eastAsia="仿宋"/>
          <w:snapToGrid w:val="0"/>
          <w:color w:val="000000"/>
          <w:sz w:val="30"/>
          <w:szCs w:val="30"/>
        </w:rPr>
        <w:t>甲、乙双方根据浙江省政府采购中心关于</w:t>
      </w:r>
      <w:r>
        <w:rPr>
          <w:rFonts w:hint="eastAsia" w:ascii="仿宋" w:hAnsi="仿宋" w:eastAsia="仿宋"/>
          <w:color w:val="000000"/>
          <w:sz w:val="30"/>
          <w:szCs w:val="30"/>
        </w:rPr>
        <w:t>项目编号为      的</w:t>
      </w:r>
      <w:r>
        <w:rPr>
          <w:rFonts w:hint="eastAsia" w:ascii="仿宋" w:hAnsi="仿宋" w:eastAsia="仿宋"/>
          <w:snapToGrid w:val="0"/>
          <w:color w:val="000000"/>
          <w:sz w:val="30"/>
          <w:szCs w:val="30"/>
        </w:rPr>
        <w:t>（标项及名称）项目公开招标的结果，签署本合同。</w:t>
      </w:r>
    </w:p>
    <w:p>
      <w:pPr>
        <w:pStyle w:val="31"/>
        <w:adjustRightInd w:val="0"/>
        <w:snapToGrid w:val="0"/>
        <w:spacing w:before="156" w:after="156" w:line="460" w:lineRule="exact"/>
        <w:ind w:firstLine="641" w:firstLineChars="213"/>
        <w:rPr>
          <w:rFonts w:ascii="仿宋" w:hAnsi="仿宋" w:eastAsia="仿宋"/>
          <w:b/>
          <w:color w:val="000000"/>
          <w:sz w:val="30"/>
          <w:szCs w:val="30"/>
        </w:rPr>
      </w:pPr>
      <w:r>
        <w:rPr>
          <w:rFonts w:hint="eastAsia" w:ascii="仿宋" w:hAnsi="仿宋" w:eastAsia="仿宋"/>
          <w:b/>
          <w:snapToGrid w:val="0"/>
          <w:color w:val="000000"/>
          <w:sz w:val="30"/>
          <w:szCs w:val="30"/>
        </w:rPr>
        <w:t>一、项目内容</w:t>
      </w:r>
      <w:r>
        <w:rPr>
          <w:rFonts w:hint="eastAsia" w:ascii="仿宋" w:hAnsi="仿宋" w:eastAsia="仿宋"/>
          <w:b/>
          <w:color w:val="000000"/>
          <w:sz w:val="30"/>
          <w:szCs w:val="30"/>
        </w:rPr>
        <w:t>及合同价格</w:t>
      </w:r>
    </w:p>
    <w:p>
      <w:pPr>
        <w:pStyle w:val="31"/>
        <w:adjustRightInd w:val="0"/>
        <w:snapToGrid w:val="0"/>
        <w:spacing w:before="156" w:after="156" w:line="460" w:lineRule="exact"/>
        <w:ind w:firstLine="639" w:firstLineChars="213"/>
        <w:jc w:val="right"/>
        <w:rPr>
          <w:rFonts w:ascii="仿宋" w:hAnsi="仿宋" w:eastAsia="仿宋"/>
          <w:color w:val="000000"/>
          <w:sz w:val="30"/>
          <w:szCs w:val="30"/>
        </w:rPr>
      </w:pPr>
      <w:r>
        <w:rPr>
          <w:rFonts w:hint="eastAsia" w:ascii="仿宋" w:hAnsi="仿宋" w:eastAsia="仿宋"/>
          <w:color w:val="000000"/>
          <w:sz w:val="30"/>
          <w:szCs w:val="30"/>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项目名称</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color w:val="000000"/>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仿宋" w:hAnsi="仿宋" w:eastAsia="仿宋"/>
                <w:color w:val="000000"/>
                <w:sz w:val="30"/>
                <w:szCs w:val="30"/>
              </w:rPr>
            </w:pPr>
            <w:r>
              <w:rPr>
                <w:rFonts w:hint="eastAsia" w:ascii="仿宋" w:hAnsi="仿宋" w:eastAsia="仿宋"/>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432"/>
              <w:spacing w:after="120" w:line="460" w:lineRule="exact"/>
              <w:ind w:firstLine="639" w:firstLineChars="213"/>
              <w:rPr>
                <w:rFonts w:ascii="仿宋" w:hAnsi="仿宋" w:eastAsia="仿宋"/>
                <w:kern w:val="2"/>
                <w:sz w:val="30"/>
                <w:szCs w:val="30"/>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pStyle w:val="432"/>
              <w:spacing w:after="120" w:line="460" w:lineRule="exact"/>
              <w:ind w:left="1890"/>
              <w:rPr>
                <w:rFonts w:ascii="仿宋" w:hAnsi="仿宋" w:eastAsia="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56" w:after="156" w:line="460" w:lineRule="exact"/>
              <w:ind w:firstLine="639" w:firstLineChars="213"/>
              <w:jc w:val="center"/>
              <w:rPr>
                <w:rFonts w:ascii="仿宋" w:hAnsi="仿宋" w:eastAsia="仿宋"/>
                <w:color w:val="000000"/>
                <w:sz w:val="30"/>
                <w:szCs w:val="30"/>
              </w:rPr>
            </w:pPr>
            <w:r>
              <w:rPr>
                <w:rFonts w:hint="eastAsia" w:ascii="仿宋" w:hAnsi="仿宋" w:eastAsia="仿宋"/>
                <w:color w:val="000000"/>
                <w:sz w:val="30"/>
                <w:szCs w:val="30"/>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56" w:after="156" w:line="460" w:lineRule="exact"/>
              <w:ind w:firstLine="639" w:firstLineChars="213"/>
              <w:jc w:val="center"/>
              <w:rPr>
                <w:rFonts w:ascii="仿宋" w:hAnsi="仿宋" w:eastAsia="仿宋"/>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pPr>
              <w:pStyle w:val="432"/>
              <w:spacing w:after="120" w:line="460" w:lineRule="exact"/>
              <w:ind w:firstLine="639" w:firstLineChars="213"/>
              <w:rPr>
                <w:rFonts w:ascii="仿宋" w:hAnsi="仿宋" w:eastAsia="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56" w:after="156" w:line="460" w:lineRule="exact"/>
              <w:rPr>
                <w:rFonts w:ascii="仿宋" w:hAnsi="仿宋" w:eastAsia="仿宋"/>
                <w:color w:val="000000"/>
                <w:sz w:val="30"/>
                <w:szCs w:val="30"/>
              </w:rPr>
            </w:pPr>
            <w:r>
              <w:rPr>
                <w:rFonts w:hint="eastAsia" w:ascii="仿宋" w:hAnsi="仿宋" w:eastAsia="仿宋"/>
                <w:color w:val="000000"/>
                <w:sz w:val="30"/>
                <w:szCs w:val="30"/>
              </w:rPr>
              <w:t>合同总价大写：                              小写：￥</w:t>
            </w:r>
          </w:p>
        </w:tc>
      </w:tr>
    </w:tbl>
    <w:p>
      <w:pPr>
        <w:pStyle w:val="31"/>
        <w:snapToGrid w:val="0"/>
        <w:spacing w:before="120" w:beforeLines="0" w:after="156" w:line="460" w:lineRule="exact"/>
        <w:ind w:left="-178" w:leftChars="-85" w:firstLine="639" w:firstLineChars="213"/>
        <w:rPr>
          <w:rFonts w:ascii="仿宋" w:hAnsi="仿宋" w:eastAsia="仿宋"/>
          <w:color w:val="000000"/>
          <w:kern w:val="0"/>
          <w:sz w:val="30"/>
          <w:szCs w:val="30"/>
        </w:rPr>
      </w:pPr>
      <w:r>
        <w:rPr>
          <w:rFonts w:hint="eastAsia" w:ascii="仿宋" w:hAnsi="仿宋" w:eastAsia="仿宋"/>
          <w:color w:val="000000"/>
          <w:sz w:val="30"/>
          <w:szCs w:val="30"/>
        </w:rPr>
        <w:t>注：1.项目具体技术需求及采购人地址等详见招标文件、投标文件以及询标记录。</w:t>
      </w:r>
    </w:p>
    <w:p>
      <w:pPr>
        <w:spacing w:line="460" w:lineRule="exact"/>
        <w:ind w:firstLine="639" w:firstLineChars="213"/>
        <w:rPr>
          <w:rFonts w:ascii="仿宋" w:hAnsi="仿宋" w:eastAsia="仿宋"/>
          <w:color w:val="000000"/>
          <w:sz w:val="30"/>
          <w:szCs w:val="30"/>
        </w:rPr>
      </w:pPr>
      <w:r>
        <w:rPr>
          <w:rFonts w:hint="eastAsia" w:ascii="仿宋" w:hAnsi="仿宋" w:eastAsia="仿宋"/>
          <w:color w:val="000000"/>
          <w:sz w:val="30"/>
          <w:szCs w:val="30"/>
        </w:rPr>
        <w:t>　2.以上合同总价包含项目达到预期使用效果所需的一切费用。</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二、技术资料</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1.乙方应按招标文件规定的时间向甲方提供使用项目的有关技术资料。</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三、知识产权</w:t>
      </w:r>
    </w:p>
    <w:p>
      <w:pPr>
        <w:pStyle w:val="31"/>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snapToGrid w:val="0"/>
          <w:color w:val="000000"/>
          <w:sz w:val="30"/>
          <w:szCs w:val="30"/>
        </w:rPr>
        <w:t>乙方应保证所提供的货物或其任何一部分均不会侵犯任何第三方的知识产权</w:t>
      </w:r>
      <w:r>
        <w:rPr>
          <w:rFonts w:hint="eastAsia" w:ascii="仿宋" w:hAnsi="仿宋" w:eastAsia="仿宋"/>
          <w:bCs/>
          <w:snapToGrid w:val="0"/>
          <w:color w:val="000000"/>
          <w:sz w:val="30"/>
          <w:szCs w:val="30"/>
        </w:rPr>
        <w:t>。</w:t>
      </w:r>
    </w:p>
    <w:p>
      <w:pPr>
        <w:pStyle w:val="31"/>
        <w:adjustRightInd w:val="0"/>
        <w:snapToGrid w:val="0"/>
        <w:spacing w:before="156" w:after="156" w:line="460" w:lineRule="exact"/>
        <w:ind w:firstLine="596" w:firstLineChars="198"/>
        <w:rPr>
          <w:rFonts w:ascii="仿宋" w:hAnsi="仿宋" w:eastAsia="仿宋"/>
          <w:snapToGrid w:val="0"/>
          <w:color w:val="000000"/>
          <w:sz w:val="30"/>
          <w:szCs w:val="30"/>
          <w:u w:val="single"/>
        </w:rPr>
      </w:pPr>
      <w:r>
        <w:rPr>
          <w:rFonts w:hint="eastAsia" w:ascii="仿宋" w:hAnsi="仿宋" w:eastAsia="仿宋"/>
          <w:b/>
          <w:snapToGrid w:val="0"/>
          <w:color w:val="000000"/>
          <w:sz w:val="30"/>
          <w:szCs w:val="30"/>
        </w:rPr>
        <w:t>四、产权担保</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u w:val="single"/>
        </w:rPr>
      </w:pPr>
      <w:r>
        <w:rPr>
          <w:rFonts w:hint="eastAsia" w:ascii="仿宋" w:hAnsi="仿宋" w:eastAsia="仿宋"/>
          <w:snapToGrid w:val="0"/>
          <w:color w:val="000000"/>
          <w:sz w:val="30"/>
          <w:szCs w:val="30"/>
        </w:rPr>
        <w:t>乙方保证所交付的货物的所有权完全属于乙方且无任何抵押、查封等产权瑕疵。</w:t>
      </w:r>
    </w:p>
    <w:p>
      <w:pPr>
        <w:pStyle w:val="31"/>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五、转包或分包</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不允许转包。</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u w:val="single"/>
        </w:rPr>
      </w:pPr>
      <w:r>
        <w:rPr>
          <w:rFonts w:hint="eastAsia" w:ascii="仿宋" w:hAnsi="仿宋" w:eastAsia="仿宋"/>
          <w:snapToGrid w:val="0"/>
          <w:color w:val="000000"/>
          <w:kern w:val="0"/>
          <w:sz w:val="30"/>
          <w:szCs w:val="30"/>
        </w:rPr>
        <w:t>允许分包部分</w:t>
      </w:r>
      <w:r>
        <w:rPr>
          <w:rFonts w:hint="eastAsia" w:ascii="仿宋" w:hAnsi="仿宋" w:eastAsia="仿宋"/>
          <w:snapToGrid w:val="0"/>
          <w:color w:val="000000"/>
          <w:kern w:val="0"/>
          <w:sz w:val="30"/>
          <w:szCs w:val="30"/>
          <w:u w:val="single"/>
        </w:rPr>
        <w:t xml:space="preserve">               。</w:t>
      </w:r>
    </w:p>
    <w:p>
      <w:pPr>
        <w:adjustRightInd w:val="0"/>
        <w:snapToGrid w:val="0"/>
        <w:spacing w:before="156" w:beforeLines="50" w:after="156" w:afterLines="50" w:line="460" w:lineRule="exact"/>
        <w:ind w:firstLine="600" w:firstLineChars="200"/>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如乙方将项目转包或将不允许分包部分就行了分包，甲方有权解除合同，没收履约保证金并追究乙方的违约责任。</w:t>
      </w:r>
    </w:p>
    <w:p>
      <w:pPr>
        <w:pStyle w:val="31"/>
        <w:adjustRightInd w:val="0"/>
        <w:snapToGrid w:val="0"/>
        <w:spacing w:before="156" w:after="156" w:line="460" w:lineRule="exact"/>
        <w:ind w:firstLine="641" w:firstLineChars="213"/>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六、质保期和履约保证金</w:t>
      </w:r>
    </w:p>
    <w:p>
      <w:pPr>
        <w:pStyle w:val="31"/>
        <w:adjustRightInd w:val="0"/>
        <w:snapToGrid w:val="0"/>
        <w:spacing w:before="156" w:after="156" w:line="460" w:lineRule="exact"/>
        <w:ind w:firstLine="600" w:firstLineChars="200"/>
        <w:jc w:val="left"/>
        <w:rPr>
          <w:rFonts w:ascii="仿宋" w:hAnsi="仿宋" w:eastAsia="仿宋"/>
          <w:snapToGrid w:val="0"/>
          <w:color w:val="000000"/>
          <w:sz w:val="30"/>
          <w:szCs w:val="30"/>
        </w:rPr>
      </w:pPr>
      <w:r>
        <w:rPr>
          <w:rFonts w:hint="eastAsia" w:ascii="仿宋" w:hAnsi="仿宋" w:eastAsia="仿宋"/>
          <w:snapToGrid w:val="0"/>
          <w:color w:val="000000"/>
          <w:sz w:val="30"/>
          <w:szCs w:val="30"/>
        </w:rPr>
        <w:t>1.质保期年。（自项目验收合格交付使用之日起计）</w:t>
      </w:r>
    </w:p>
    <w:p>
      <w:pPr>
        <w:pStyle w:val="31"/>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2.履约保证金元。[履约保证金交至采购人处，在合同约定交货验收合格满（   ）个月之日起5个工作日内无息退还]</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七、项目工期及实施地点</w:t>
      </w:r>
    </w:p>
    <w:p>
      <w:pPr>
        <w:pStyle w:val="31"/>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bCs/>
          <w:snapToGrid w:val="0"/>
          <w:color w:val="000000"/>
          <w:sz w:val="30"/>
          <w:szCs w:val="30"/>
        </w:rPr>
        <w:t>1.交货期：</w:t>
      </w:r>
    </w:p>
    <w:p>
      <w:pPr>
        <w:pStyle w:val="31"/>
        <w:adjustRightInd w:val="0"/>
        <w:snapToGrid w:val="0"/>
        <w:spacing w:before="156" w:after="156" w:line="460" w:lineRule="exact"/>
        <w:ind w:firstLine="639" w:firstLineChars="213"/>
        <w:rPr>
          <w:rFonts w:ascii="仿宋" w:hAnsi="仿宋" w:eastAsia="仿宋"/>
          <w:b/>
          <w:snapToGrid w:val="0"/>
          <w:color w:val="000000"/>
          <w:sz w:val="30"/>
          <w:szCs w:val="30"/>
        </w:rPr>
      </w:pPr>
      <w:r>
        <w:rPr>
          <w:rFonts w:hint="eastAsia" w:ascii="仿宋" w:hAnsi="仿宋" w:eastAsia="仿宋"/>
          <w:bCs/>
          <w:snapToGrid w:val="0"/>
          <w:color w:val="000000"/>
          <w:sz w:val="30"/>
          <w:szCs w:val="30"/>
        </w:rPr>
        <w:t>2.实施地点：</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八、货款支付</w:t>
      </w:r>
    </w:p>
    <w:p>
      <w:pPr>
        <w:spacing w:line="360" w:lineRule="auto"/>
        <w:rPr>
          <w:rFonts w:hint="default" w:ascii="仿宋" w:hAnsi="仿宋" w:eastAsia="仿宋"/>
          <w:bCs/>
          <w:snapToGrid w:val="0"/>
          <w:color w:val="000000"/>
          <w:sz w:val="30"/>
          <w:szCs w:val="30"/>
          <w:lang w:val="en-US" w:eastAsia="zh-CN"/>
        </w:rPr>
      </w:pPr>
      <w:r>
        <w:rPr>
          <w:rFonts w:hint="eastAsia" w:ascii="仿宋" w:hAnsi="仿宋" w:eastAsia="仿宋"/>
          <w:bCs/>
          <w:snapToGrid w:val="0"/>
          <w:color w:val="000000"/>
          <w:sz w:val="30"/>
          <w:szCs w:val="30"/>
        </w:rPr>
        <w:t xml:space="preserve"> 付款方式：</w:t>
      </w:r>
      <w:r>
        <w:rPr>
          <w:rFonts w:hint="eastAsia" w:ascii="仿宋" w:hAnsi="仿宋" w:eastAsia="仿宋"/>
          <w:bCs/>
          <w:snapToGrid w:val="0"/>
          <w:color w:val="000000"/>
          <w:sz w:val="30"/>
          <w:szCs w:val="30"/>
          <w:lang w:val="en-US" w:eastAsia="zh-CN"/>
        </w:rPr>
        <w:t>详见商务要求表</w:t>
      </w:r>
    </w:p>
    <w:p>
      <w:pPr>
        <w:adjustRightInd w:val="0"/>
        <w:snapToGrid w:val="0"/>
        <w:spacing w:before="156" w:beforeLines="50" w:after="156" w:afterLines="50" w:line="460" w:lineRule="exact"/>
        <w:ind w:firstLine="641" w:firstLineChars="213"/>
        <w:rPr>
          <w:rFonts w:ascii="仿宋" w:hAnsi="仿宋" w:eastAsia="仿宋"/>
          <w:b/>
          <w:snapToGrid w:val="0"/>
          <w:color w:val="000000"/>
          <w:kern w:val="0"/>
          <w:sz w:val="30"/>
          <w:szCs w:val="30"/>
        </w:rPr>
      </w:pPr>
      <w:r>
        <w:rPr>
          <w:rFonts w:hint="eastAsia" w:ascii="仿宋" w:hAnsi="仿宋" w:eastAsia="仿宋"/>
          <w:b/>
          <w:snapToGrid w:val="0"/>
          <w:color w:val="000000"/>
          <w:kern w:val="0"/>
          <w:sz w:val="30"/>
          <w:szCs w:val="30"/>
        </w:rPr>
        <w:t>九、税费</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本合同执行中相关的一切税费均由乙方负担。</w:t>
      </w:r>
    </w:p>
    <w:p>
      <w:pPr>
        <w:pStyle w:val="31"/>
        <w:adjustRightInd w:val="0"/>
        <w:snapToGrid w:val="0"/>
        <w:spacing w:before="156" w:after="156" w:line="460" w:lineRule="exact"/>
        <w:ind w:firstLine="596" w:firstLineChars="198"/>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十、质量保证及售后服务</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十一、调试和验收</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十二、货物包装</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十三、违约责任</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1.甲方无正当理由拒收验收项目的，甲方向乙方偿付拒收合同总价的百分之五违约金。</w:t>
      </w:r>
    </w:p>
    <w:p>
      <w:pPr>
        <w:pStyle w:val="31"/>
        <w:adjustRightInd w:val="0"/>
        <w:snapToGrid w:val="0"/>
        <w:spacing w:before="156" w:after="156" w:line="460" w:lineRule="exact"/>
        <w:ind w:left="1"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2. 甲方收到乙方提供的发票，结合验收情况，验收合格的，在15日内将采购资金支付到乙方约定账户。</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甲方无故逾期验收和办理合同款项支付手续的,甲方应按逾期付款总额每日万分之五向乙方支付违约金。</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5.解除合同应按《浙江省政府采购合同暂行办法》向财政备案。</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十四、不可抗力事件处理</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1.在合同有效期内，任何一方因不可抗力事件导致不能履行合同，则合同履行期可延长，其延长期与不可抗力影响期相同。</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2.不可抗力事件发生后，应立即通知对方，并寄送有关权威机构出具的证明。</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3.不可抗力事件延续120天以上，双方应通过友好协商，确定是否继续履行合同。</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十五、诉讼</w:t>
      </w:r>
    </w:p>
    <w:p>
      <w:pPr>
        <w:pStyle w:val="31"/>
        <w:adjustRightInd w:val="0"/>
        <w:snapToGrid w:val="0"/>
        <w:spacing w:before="156" w:after="156" w:line="460" w:lineRule="exact"/>
        <w:ind w:left="2"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双方在执行合同中所发生的一切争议，应通过协商解决。如协商不成，可向甲方所在地法院起诉。</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十六、合同生效及其它</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1.合同经甲、乙两方签名并加盖单位公章后生效。</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3.招标文件、投标文件与本合同具有同等法律效力。</w:t>
      </w:r>
    </w:p>
    <w:p>
      <w:pPr>
        <w:pStyle w:val="31"/>
        <w:adjustRightInd w:val="0"/>
        <w:snapToGrid w:val="0"/>
        <w:spacing w:before="156" w:after="156" w:line="460" w:lineRule="exact"/>
        <w:ind w:firstLine="599" w:firstLineChars="213"/>
        <w:rPr>
          <w:rFonts w:ascii="仿宋" w:hAnsi="仿宋" w:eastAsia="仿宋"/>
          <w:snapToGrid w:val="0"/>
          <w:color w:val="000000"/>
          <w:sz w:val="30"/>
          <w:szCs w:val="30"/>
        </w:rPr>
      </w:pPr>
      <w:r>
        <w:rPr>
          <w:rFonts w:hint="eastAsia" w:ascii="仿宋" w:hAnsi="仿宋" w:eastAsia="仿宋"/>
          <w:b/>
          <w:color w:val="000000"/>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5.本合同未尽事宜，遵照《中华人民共和国民法典》有关条文执行。</w:t>
      </w:r>
    </w:p>
    <w:p>
      <w:pPr>
        <w:pStyle w:val="31"/>
        <w:adjustRightInd w:val="0"/>
        <w:snapToGrid w:val="0"/>
        <w:spacing w:before="120" w:beforeLines="0" w:after="156" w:line="460" w:lineRule="exact"/>
        <w:ind w:left="2" w:leftChars="1"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6.本合同一式四份，具有同等法律效力，甲、乙两方各执二份。</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甲方（盖章）：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法定（授权）代表人：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签名日期：     年   月   日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乙方（盖章）：</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开户行：</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开户帐号：</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法定（授权）代表人：</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签名日期：      年   月   日</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p>
    <w:p>
      <w:pPr>
        <w:rPr>
          <w:color w:val="000000"/>
          <w:szCs w:val="30"/>
        </w:rPr>
      </w:pPr>
    </w:p>
    <w:p>
      <w:pPr>
        <w:pStyle w:val="31"/>
        <w:spacing w:before="156" w:after="156" w:line="360" w:lineRule="auto"/>
        <w:jc w:val="center"/>
        <w:outlineLvl w:val="0"/>
        <w:rPr>
          <w:rFonts w:hAnsi="宋体"/>
          <w:b/>
          <w:color w:val="000000"/>
          <w:sz w:val="36"/>
          <w:szCs w:val="36"/>
        </w:rPr>
      </w:pPr>
      <w:r>
        <w:rPr>
          <w:rFonts w:hint="eastAsia" w:ascii="仿宋_GB2312" w:eastAsia="仿宋_GB2312"/>
          <w:snapToGrid w:val="0"/>
          <w:color w:val="000000"/>
          <w:kern w:val="0"/>
          <w:sz w:val="30"/>
          <w:szCs w:val="30"/>
        </w:rPr>
        <w:br w:type="page"/>
      </w:r>
      <w:bookmarkStart w:id="34" w:name="_Toc22013"/>
      <w:r>
        <w:rPr>
          <w:rFonts w:hint="eastAsia" w:hAnsi="宋体"/>
          <w:b/>
          <w:color w:val="000000"/>
          <w:sz w:val="36"/>
          <w:szCs w:val="36"/>
        </w:rPr>
        <w:t>第六章</w:t>
      </w:r>
      <w:r>
        <w:rPr>
          <w:rFonts w:hint="eastAsia" w:hAnsi="宋体"/>
          <w:b/>
          <w:color w:val="000000"/>
          <w:sz w:val="36"/>
          <w:szCs w:val="36"/>
          <w:lang w:val="en-US" w:eastAsia="zh-CN"/>
        </w:rPr>
        <w:t xml:space="preserve">  </w:t>
      </w:r>
      <w:r>
        <w:rPr>
          <w:rFonts w:hint="eastAsia" w:hAnsi="宋体"/>
          <w:b/>
          <w:color w:val="000000"/>
          <w:sz w:val="36"/>
          <w:szCs w:val="36"/>
        </w:rPr>
        <w:t>投标文件格式附件</w:t>
      </w:r>
      <w:bookmarkEnd w:id="34"/>
    </w:p>
    <w:p>
      <w:pPr>
        <w:pStyle w:val="31"/>
        <w:spacing w:before="156" w:after="156" w:line="360" w:lineRule="auto"/>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snapToGrid w:val="0"/>
        <w:spacing w:before="156" w:beforeLines="50" w:after="50"/>
        <w:rPr>
          <w:rFonts w:ascii="仿宋" w:hAnsi="仿宋" w:eastAsia="仿宋"/>
          <w:bCs/>
          <w:color w:val="000000"/>
          <w:sz w:val="30"/>
          <w:szCs w:val="30"/>
        </w:rPr>
      </w:pPr>
      <w:r>
        <w:rPr>
          <w:rFonts w:hint="eastAsia" w:ascii="仿宋" w:hAnsi="仿宋" w:eastAsia="仿宋"/>
          <w:color w:val="000000"/>
          <w:sz w:val="30"/>
          <w:szCs w:val="30"/>
        </w:rPr>
        <w:t>附件1</w:t>
      </w:r>
      <w:r>
        <w:rPr>
          <w:rFonts w:hint="eastAsia" w:ascii="仿宋" w:hAnsi="仿宋" w:eastAsia="仿宋"/>
          <w:b/>
          <w:color w:val="000000"/>
          <w:sz w:val="30"/>
          <w:szCs w:val="30"/>
        </w:rPr>
        <w:t xml:space="preserve">：                                          </w:t>
      </w:r>
    </w:p>
    <w:p>
      <w:pPr>
        <w:spacing w:before="312" w:beforeLines="100" w:line="240" w:lineRule="atLeast"/>
        <w:jc w:val="center"/>
        <w:rPr>
          <w:rFonts w:hint="eastAsia" w:ascii="仿宋" w:hAnsi="仿宋" w:eastAsia="仿宋"/>
          <w:color w:val="000000"/>
          <w:sz w:val="36"/>
          <w:szCs w:val="36"/>
        </w:rPr>
      </w:pPr>
      <w:bookmarkStart w:id="35" w:name="PO_1000000445_PM002_2"/>
      <w:r>
        <w:rPr>
          <w:rFonts w:hint="eastAsia" w:ascii="仿宋" w:hAnsi="仿宋" w:eastAsia="仿宋"/>
          <w:b/>
          <w:color w:val="000000"/>
          <w:spacing w:val="40"/>
          <w:sz w:val="52"/>
          <w:szCs w:val="52"/>
        </w:rPr>
        <w:t>浙江同济科技职业学院校级公共虚拟仿真实训项目</w:t>
      </w:r>
      <w:bookmarkEnd w:id="35"/>
    </w:p>
    <w:p>
      <w:pPr>
        <w:spacing w:before="312"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36" w:name="PO_15528_PM001_2"/>
      <w:r>
        <w:rPr>
          <w:rFonts w:hint="eastAsia" w:ascii="仿宋" w:hAnsi="仿宋" w:eastAsia="仿宋"/>
          <w:color w:val="000000"/>
          <w:sz w:val="36"/>
          <w:szCs w:val="36"/>
        </w:rPr>
        <w:t>ZZCG2024T-GK-129</w:t>
      </w:r>
      <w:bookmarkEnd w:id="36"/>
      <w:r>
        <w:rPr>
          <w:rFonts w:hint="eastAsia" w:ascii="仿宋" w:hAnsi="仿宋" w:eastAsia="仿宋"/>
          <w:color w:val="000000"/>
          <w:sz w:val="36"/>
          <w:szCs w:val="36"/>
        </w:rPr>
        <w:t>（标项  ）</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格</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color w:val="000000"/>
          <w:sz w:val="36"/>
          <w:szCs w:val="36"/>
        </w:rPr>
      </w:pPr>
      <w:r>
        <w:rPr>
          <w:rFonts w:hint="eastAsia" w:ascii="仿宋" w:hAnsi="仿宋" w:eastAsia="仿宋"/>
          <w:b/>
          <w:color w:val="000000"/>
          <w:spacing w:val="40"/>
          <w:sz w:val="84"/>
          <w:szCs w:val="84"/>
        </w:rPr>
        <w:t>件</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ascii="仿宋" w:hAnsi="仿宋" w:eastAsia="仿宋"/>
          <w:b/>
          <w:bCs/>
          <w:sz w:val="36"/>
          <w:szCs w:val="36"/>
        </w:rPr>
      </w:pPr>
      <w:r>
        <w:rPr>
          <w:rFonts w:hint="eastAsia" w:ascii="仿宋" w:hAnsi="仿宋" w:eastAsia="仿宋"/>
          <w:b/>
          <w:color w:val="000000"/>
          <w:kern w:val="0"/>
          <w:sz w:val="36"/>
          <w:szCs w:val="36"/>
        </w:rPr>
        <w:br w:type="page"/>
      </w:r>
      <w:r>
        <w:rPr>
          <w:rFonts w:hint="eastAsia" w:ascii="仿宋" w:hAnsi="仿宋" w:eastAsia="仿宋"/>
          <w:b/>
          <w:sz w:val="36"/>
          <w:szCs w:val="36"/>
        </w:rPr>
        <w:t>1、</w:t>
      </w:r>
      <w:r>
        <w:rPr>
          <w:rFonts w:hint="eastAsia" w:ascii="仿宋" w:hAnsi="仿宋" w:eastAsia="仿宋"/>
          <w:b/>
          <w:bCs/>
          <w:sz w:val="36"/>
          <w:szCs w:val="36"/>
        </w:rPr>
        <w:t>资格文件目录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4"/>
        <w:snapToGrid w:val="0"/>
        <w:spacing w:after="120"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widowControl/>
        <w:jc w:val="left"/>
        <w:rPr>
          <w:rFonts w:ascii="仿宋" w:hAnsi="仿宋" w:eastAsia="仿宋"/>
          <w:b/>
          <w:bCs/>
          <w:sz w:val="30"/>
          <w:szCs w:val="30"/>
        </w:rPr>
      </w:pPr>
      <w:r>
        <w:rPr>
          <w:rFonts w:ascii="仿宋" w:hAnsi="仿宋" w:eastAsia="仿宋"/>
          <w:bCs/>
          <w:sz w:val="28"/>
          <w:szCs w:val="28"/>
        </w:rPr>
        <w:br w:type="page"/>
      </w:r>
      <w:r>
        <w:rPr>
          <w:rFonts w:hint="eastAsia" w:ascii="仿宋" w:hAnsi="仿宋" w:eastAsia="仿宋"/>
          <w:b/>
          <w:bCs/>
          <w:sz w:val="30"/>
          <w:szCs w:val="30"/>
        </w:rPr>
        <w:t>▲投标人须知（九）投标无效的情形中“1.投标人未能提供合格的资格文件”包括但不限于下列情形：</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pPr>
        <w:pStyle w:val="31"/>
        <w:snapToGrid w:val="0"/>
        <w:spacing w:before="156" w:after="156" w:line="240" w:lineRule="auto"/>
        <w:rPr>
          <w:rFonts w:ascii="仿宋" w:hAnsi="仿宋" w:eastAsia="仿宋"/>
          <w:sz w:val="30"/>
          <w:szCs w:val="30"/>
        </w:rPr>
      </w:pPr>
    </w:p>
    <w:p>
      <w:pPr>
        <w:pStyle w:val="31"/>
        <w:snapToGrid w:val="0"/>
        <w:spacing w:before="156" w:after="156" w:line="240" w:lineRule="auto"/>
        <w:rPr>
          <w:rFonts w:ascii="仿宋" w:hAnsi="仿宋" w:eastAsia="仿宋"/>
          <w:sz w:val="30"/>
          <w:szCs w:val="30"/>
        </w:rPr>
      </w:pPr>
    </w:p>
    <w:p>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37" w:name="PO_3000002632_PM002"/>
      <w:r>
        <w:rPr>
          <w:rFonts w:hint="eastAsia" w:ascii="仿宋" w:hAnsi="仿宋" w:eastAsia="仿宋"/>
          <w:b/>
          <w:sz w:val="30"/>
          <w:szCs w:val="30"/>
          <w:u w:val="single"/>
        </w:rPr>
        <w:t>浙江同济科技职业学院校级公共虚拟仿真实训项目</w:t>
      </w:r>
      <w:bookmarkEnd w:id="37"/>
      <w:r>
        <w:rPr>
          <w:rFonts w:hint="eastAsia" w:ascii="仿宋" w:hAnsi="仿宋" w:eastAsia="仿宋"/>
          <w:sz w:val="30"/>
          <w:szCs w:val="30"/>
          <w:u w:val="single"/>
        </w:rPr>
        <w:t>（编号为</w:t>
      </w:r>
      <w:bookmarkStart w:id="38" w:name="PO_15528_PM001_3"/>
      <w:r>
        <w:rPr>
          <w:rFonts w:hint="eastAsia" w:ascii="仿宋" w:hAnsi="仿宋" w:eastAsia="仿宋"/>
          <w:sz w:val="30"/>
          <w:szCs w:val="30"/>
          <w:u w:val="single"/>
        </w:rPr>
        <w:t>ZZCG2024T-GK-129</w:t>
      </w:r>
      <w:bookmarkEnd w:id="38"/>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pPr>
        <w:snapToGrid w:val="0"/>
        <w:spacing w:before="156" w:beforeLines="50" w:after="50" w:line="460" w:lineRule="exact"/>
        <w:ind w:right="600" w:firstLine="150" w:firstLineChars="50"/>
        <w:rPr>
          <w:rFonts w:ascii="仿宋" w:hAnsi="仿宋" w:eastAsia="仿宋"/>
          <w:sz w:val="30"/>
          <w:szCs w:val="30"/>
        </w:rPr>
      </w:pPr>
    </w:p>
    <w:p>
      <w:pPr>
        <w:snapToGrid w:val="0"/>
        <w:spacing w:before="156" w:beforeLines="50" w:after="50" w:line="460" w:lineRule="exact"/>
        <w:ind w:right="600" w:firstLine="150" w:firstLineChars="50"/>
        <w:rPr>
          <w:rFonts w:ascii="仿宋" w:hAnsi="仿宋" w:eastAsia="仿宋"/>
          <w:sz w:val="30"/>
          <w:szCs w:val="30"/>
        </w:rPr>
      </w:pPr>
    </w:p>
    <w:p>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56" w:beforeLines="50" w:after="50"/>
        <w:jc w:val="center"/>
        <w:rPr>
          <w:rFonts w:ascii="仿宋" w:hAnsi="仿宋" w:eastAsia="仿宋"/>
          <w:b/>
          <w:sz w:val="30"/>
          <w:szCs w:val="30"/>
        </w:rPr>
      </w:pPr>
    </w:p>
    <w:p>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39" w:name="PO_3000002632_PM002_1"/>
      <w:r>
        <w:rPr>
          <w:rFonts w:hint="eastAsia" w:ascii="仿宋" w:hAnsi="仿宋" w:eastAsia="仿宋"/>
          <w:b/>
          <w:sz w:val="30"/>
          <w:szCs w:val="30"/>
          <w:u w:val="single"/>
        </w:rPr>
        <w:t>浙江同济科技职业学院校级公共虚拟仿真实训项目</w:t>
      </w:r>
      <w:bookmarkEnd w:id="39"/>
      <w:r>
        <w:rPr>
          <w:rFonts w:hint="eastAsia" w:ascii="仿宋" w:hAnsi="仿宋" w:eastAsia="仿宋"/>
          <w:sz w:val="30"/>
          <w:szCs w:val="30"/>
        </w:rPr>
        <w:t xml:space="preserve"> 项目编号：</w:t>
      </w:r>
      <w:bookmarkStart w:id="40" w:name="PO_3000002632_PM001"/>
      <w:r>
        <w:rPr>
          <w:rFonts w:hint="eastAsia" w:ascii="仿宋" w:hAnsi="仿宋" w:eastAsia="仿宋"/>
          <w:b/>
          <w:sz w:val="30"/>
          <w:szCs w:val="30"/>
          <w:u w:val="single"/>
        </w:rPr>
        <w:t>ZZCG2024T-GK-129</w:t>
      </w:r>
      <w:bookmarkEnd w:id="40"/>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56" w:beforeLines="50" w:after="50" w:line="460" w:lineRule="exact"/>
        <w:ind w:firstLine="48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56" w:beforeLines="50" w:after="50" w:line="460" w:lineRule="exact"/>
        <w:ind w:firstLine="6150" w:firstLineChars="205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widowControl/>
        <w:jc w:val="left"/>
        <w:rPr>
          <w:rFonts w:hAnsi="宋体" w:cs="宋体"/>
          <w:bCs/>
          <w:sz w:val="24"/>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tabs>
          <w:tab w:val="left" w:pos="606"/>
        </w:tabs>
        <w:spacing w:line="360" w:lineRule="exact"/>
        <w:rPr>
          <w:rFonts w:hint="eastAsia" w:ascii="仿宋" w:hAnsi="仿宋" w:eastAsia="仿宋"/>
          <w:sz w:val="30"/>
          <w:szCs w:val="30"/>
        </w:rPr>
      </w:pPr>
    </w:p>
    <w:p>
      <w:pPr>
        <w:tabs>
          <w:tab w:val="left" w:pos="606"/>
        </w:tabs>
        <w:spacing w:line="360" w:lineRule="exact"/>
        <w:rPr>
          <w:rFonts w:hint="eastAsia" w:ascii="仿宋" w:hAnsi="仿宋" w:eastAsia="仿宋"/>
          <w:sz w:val="30"/>
          <w:szCs w:val="30"/>
        </w:rPr>
      </w:pPr>
    </w:p>
    <w:p>
      <w:pPr>
        <w:tabs>
          <w:tab w:val="left" w:pos="606"/>
        </w:tabs>
        <w:spacing w:line="360" w:lineRule="exact"/>
        <w:rPr>
          <w:rFonts w:ascii="仿宋" w:hAnsi="仿宋" w:eastAsia="仿宋"/>
          <w:b/>
          <w:spacing w:val="40"/>
          <w:kern w:val="0"/>
          <w:sz w:val="30"/>
          <w:szCs w:val="30"/>
        </w:rPr>
      </w:pPr>
      <w:r>
        <w:rPr>
          <w:rFonts w:hint="eastAsia" w:ascii="仿宋" w:hAnsi="仿宋" w:eastAsia="仿宋"/>
          <w:sz w:val="30"/>
          <w:szCs w:val="30"/>
        </w:rPr>
        <w:t xml:space="preserve">附件4：              </w:t>
      </w:r>
      <w:r>
        <w:rPr>
          <w:rFonts w:hint="eastAsia" w:ascii="仿宋" w:hAnsi="仿宋" w:eastAsia="仿宋"/>
          <w:b/>
          <w:spacing w:val="40"/>
          <w:kern w:val="0"/>
          <w:sz w:val="30"/>
          <w:szCs w:val="30"/>
        </w:rPr>
        <w:t>联合投标协议书</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1" w:name="PO_3000002632_PM001_1"/>
      <w:r>
        <w:rPr>
          <w:rFonts w:hint="eastAsia" w:ascii="仿宋" w:hAnsi="仿宋" w:eastAsia="仿宋"/>
          <w:b/>
          <w:sz w:val="30"/>
          <w:szCs w:val="30"/>
          <w:u w:val="single"/>
        </w:rPr>
        <w:t>ZZCG2024T-GK-129</w:t>
      </w:r>
      <w:bookmarkEnd w:id="41"/>
      <w:r>
        <w:rPr>
          <w:rFonts w:hint="eastAsia" w:ascii="仿宋" w:hAnsi="仿宋" w:eastAsia="仿宋"/>
          <w:sz w:val="30"/>
          <w:szCs w:val="30"/>
        </w:rPr>
        <w:t>的招标活动联合进行投标之事宜，达成如下协议：</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noWrap w:val="0"/>
            <w:vAlign w:val="top"/>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7"/>
        <w:overflowPunct w:val="0"/>
        <w:spacing w:line="460" w:lineRule="exact"/>
        <w:rPr>
          <w:rFonts w:ascii="仿宋" w:hAnsi="仿宋" w:eastAsia="仿宋"/>
          <w:sz w:val="30"/>
          <w:szCs w:val="30"/>
        </w:rPr>
      </w:pP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pStyle w:val="17"/>
        <w:overflowPunct w:val="0"/>
        <w:spacing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noWrap w:val="0"/>
            <w:vAlign w:val="top"/>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58"/>
        <w:spacing w:before="156" w:after="156"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before="50" w:after="50"/>
        <w:jc w:val="left"/>
        <w:rPr>
          <w:rFonts w:ascii="仿宋" w:hAnsi="仿宋" w:eastAsia="仿宋"/>
          <w:sz w:val="30"/>
          <w:szCs w:val="30"/>
        </w:rPr>
      </w:pP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hint="eastAsia" w:ascii="仿宋" w:hAnsi="仿宋" w:eastAsia="仿宋"/>
          <w:b/>
          <w:kern w:val="0"/>
          <w:sz w:val="36"/>
          <w:szCs w:val="36"/>
        </w:rPr>
        <w:br w:type="page"/>
      </w:r>
      <w:r>
        <w:rPr>
          <w:rFonts w:hint="eastAsia" w:ascii="仿宋" w:hAnsi="仿宋" w:eastAsia="仿宋"/>
          <w:b/>
          <w:kern w:val="0"/>
          <w:sz w:val="36"/>
          <w:szCs w:val="36"/>
        </w:rPr>
        <w:t xml:space="preserve">       </w:t>
      </w:r>
      <w:r>
        <w:rPr>
          <w:rFonts w:hint="eastAsia"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widowControl/>
        <w:jc w:val="left"/>
        <w:rPr>
          <w:rFonts w:ascii="仿宋" w:hAnsi="仿宋" w:eastAsia="仿宋"/>
          <w:sz w:val="28"/>
          <w:szCs w:val="28"/>
        </w:rPr>
        <w:sectPr>
          <w:pgSz w:w="11906" w:h="16838"/>
          <w:pgMar w:top="1440" w:right="1800" w:bottom="1440" w:left="1800" w:header="851" w:footer="992" w:gutter="0"/>
          <w:cols w:space="720" w:num="1"/>
          <w:docGrid w:type="lines" w:linePitch="312" w:charSpace="0"/>
        </w:sectPr>
      </w:pPr>
    </w:p>
    <w:p>
      <w:pPr>
        <w:jc w:val="left"/>
        <w:rPr>
          <w:rFonts w:ascii="仿宋" w:hAnsi="仿宋" w:eastAsia="仿宋"/>
        </w:rPr>
      </w:pPr>
      <w:r>
        <w:rPr>
          <w:rFonts w:hint="eastAsia" w:ascii="仿宋" w:hAnsi="仿宋" w:eastAsia="仿宋"/>
          <w:sz w:val="30"/>
          <w:szCs w:val="30"/>
        </w:rPr>
        <w:t>附件8：</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color w:val="000000"/>
          <w:sz w:val="28"/>
          <w:szCs w:val="28"/>
          <w:u w:val="single"/>
        </w:rPr>
      </w:pPr>
    </w:p>
    <w:p>
      <w:pPr>
        <w:rPr>
          <w:color w:val="000000"/>
        </w:rPr>
      </w:pPr>
    </w:p>
    <w:p>
      <w:pPr>
        <w:rPr>
          <w:color w:val="000000"/>
        </w:rPr>
      </w:pPr>
    </w:p>
    <w:p>
      <w:pPr>
        <w:widowControl/>
        <w:jc w:val="left"/>
        <w:rPr>
          <w:rFonts w:ascii="仿宋" w:hAnsi="仿宋" w:eastAsia="仿宋"/>
          <w:color w:val="000000"/>
          <w:sz w:val="30"/>
          <w:szCs w:val="30"/>
        </w:rPr>
      </w:pPr>
    </w:p>
    <w:p>
      <w:pPr>
        <w:widowControl/>
        <w:jc w:val="left"/>
        <w:rPr>
          <w:rFonts w:ascii="仿宋" w:hAnsi="仿宋" w:eastAsia="仿宋"/>
          <w:b/>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附件9</w:t>
      </w:r>
      <w:r>
        <w:rPr>
          <w:rFonts w:hint="eastAsia" w:ascii="仿宋" w:hAnsi="仿宋" w:eastAsia="仿宋"/>
          <w:b/>
          <w:color w:val="000000"/>
          <w:sz w:val="30"/>
          <w:szCs w:val="30"/>
        </w:rPr>
        <w:t xml:space="preserve">：                                     </w:t>
      </w:r>
    </w:p>
    <w:p>
      <w:pPr>
        <w:spacing w:before="240" w:beforeLines="100" w:line="240" w:lineRule="atLeast"/>
        <w:jc w:val="center"/>
        <w:rPr>
          <w:rFonts w:hint="eastAsia" w:ascii="仿宋" w:hAnsi="仿宋" w:eastAsia="仿宋"/>
          <w:b/>
          <w:color w:val="000000"/>
          <w:spacing w:val="40"/>
          <w:sz w:val="52"/>
          <w:szCs w:val="52"/>
        </w:rPr>
      </w:pPr>
      <w:bookmarkStart w:id="42" w:name="PO_1000000445_PM002"/>
      <w:r>
        <w:rPr>
          <w:rFonts w:hint="eastAsia" w:ascii="仿宋" w:hAnsi="仿宋" w:eastAsia="仿宋"/>
          <w:b/>
          <w:color w:val="000000"/>
          <w:spacing w:val="40"/>
          <w:sz w:val="52"/>
          <w:szCs w:val="52"/>
        </w:rPr>
        <w:t>浙江同济科技职业学院校级公共虚拟仿真实训项目</w:t>
      </w:r>
      <w:bookmarkEnd w:id="42"/>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43" w:name="PO_15528_PM001_4"/>
      <w:r>
        <w:rPr>
          <w:rFonts w:hint="eastAsia" w:ascii="仿宋" w:hAnsi="仿宋" w:eastAsia="仿宋"/>
          <w:color w:val="000000"/>
          <w:sz w:val="36"/>
          <w:szCs w:val="36"/>
        </w:rPr>
        <w:t>ZZCG2024T-GK-129</w:t>
      </w:r>
      <w:bookmarkEnd w:id="43"/>
      <w:r>
        <w:rPr>
          <w:rFonts w:hint="eastAsia" w:ascii="仿宋" w:hAnsi="仿宋" w:eastAsia="仿宋"/>
          <w:color w:val="000000"/>
          <w:sz w:val="36"/>
          <w:szCs w:val="36"/>
        </w:rPr>
        <w:t>（标项  ）</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ascii="仿宋" w:hAnsi="仿宋" w:eastAsia="仿宋"/>
          <w:color w:val="000000"/>
          <w:sz w:val="30"/>
          <w:szCs w:val="30"/>
        </w:rPr>
      </w:pPr>
    </w:p>
    <w:p>
      <w:pPr>
        <w:snapToGrid w:val="0"/>
        <w:spacing w:before="50" w:after="50"/>
        <w:rPr>
          <w:rFonts w:ascii="仿宋" w:hAnsi="仿宋" w:eastAsia="仿宋"/>
          <w:color w:val="000000"/>
          <w:sz w:val="30"/>
          <w:szCs w:val="30"/>
        </w:rPr>
      </w:pPr>
    </w:p>
    <w:p>
      <w:pPr>
        <w:snapToGrid w:val="0"/>
        <w:spacing w:before="50" w:after="50"/>
        <w:rPr>
          <w:rFonts w:ascii="仿宋" w:hAnsi="仿宋" w:eastAsia="仿宋"/>
          <w:b/>
          <w:bCs/>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（1）评分对应表（格式见附件，主要用于评委对应评分内容）</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（2）投标项目明细清单（含货物、服务等）；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（3）技术响应表（格式见附件）；</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（6）列入政府采购节能环保清单的证明资料（若有）；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（7）商务响应表（格式见附件）；</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（9）技术培训计划（若有）；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（11）案例的业绩证明（投标人业绩情况一览表、合同复印件等）；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（12）投标人认为需要的其他文件资料。</w:t>
      </w:r>
    </w:p>
    <w:p>
      <w:pPr>
        <w:snapToGrid w:val="0"/>
        <w:spacing w:before="50" w:after="120" w:afterLines="50"/>
        <w:jc w:val="left"/>
        <w:rPr>
          <w:rFonts w:ascii="仿宋" w:hAnsi="仿宋" w:eastAsia="仿宋"/>
          <w:color w:val="000000"/>
          <w:sz w:val="30"/>
          <w:szCs w:val="30"/>
        </w:rPr>
      </w:pPr>
    </w:p>
    <w:p>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附件10：</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pPr>
        <w:snapToGrid w:val="0"/>
        <w:spacing w:before="50"/>
        <w:jc w:val="center"/>
        <w:rPr>
          <w:rFonts w:ascii="仿宋" w:hAnsi="仿宋" w:eastAsia="仿宋"/>
          <w:b/>
          <w:color w:val="000000"/>
          <w:sz w:val="32"/>
          <w:szCs w:val="32"/>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附件11：</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pPr>
        <w:snapToGrid w:val="0"/>
        <w:spacing w:before="50" w:after="120" w:afterLines="50"/>
        <w:rPr>
          <w:rFonts w:ascii="仿宋" w:hAnsi="仿宋" w:eastAsia="仿宋"/>
          <w:b/>
          <w:color w:val="000000"/>
          <w:spacing w:val="40"/>
          <w:kern w:val="0"/>
          <w:sz w:val="36"/>
          <w:szCs w:val="36"/>
        </w:rPr>
      </w:pPr>
    </w:p>
    <w:p>
      <w:pPr>
        <w:pStyle w:val="18"/>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                标项：</w:t>
      </w:r>
    </w:p>
    <w:p>
      <w:pPr>
        <w:pStyle w:val="18"/>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规格</w:t>
            </w:r>
          </w:p>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单位及</w:t>
            </w:r>
          </w:p>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sz w:val="30"/>
          <w:szCs w:val="30"/>
        </w:rPr>
      </w:pPr>
    </w:p>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pacing w:val="20"/>
          <w:kern w:val="0"/>
          <w:sz w:val="30"/>
          <w:szCs w:val="30"/>
        </w:rPr>
        <w:br w:type="page"/>
      </w:r>
      <w:r>
        <w:rPr>
          <w:rFonts w:hint="eastAsia" w:ascii="仿宋" w:hAnsi="仿宋" w:eastAsia="仿宋"/>
          <w:color w:val="000000"/>
          <w:sz w:val="30"/>
          <w:szCs w:val="30"/>
        </w:rPr>
        <w:t>附件12：</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pPr>
        <w:snapToGrid w:val="0"/>
        <w:spacing w:before="50" w:after="120" w:afterLines="50"/>
        <w:rPr>
          <w:rFonts w:ascii="仿宋" w:hAnsi="仿宋" w:eastAsia="仿宋"/>
          <w:b/>
          <w:color w:val="000000"/>
          <w:sz w:val="32"/>
          <w:szCs w:val="32"/>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color w:val="000000"/>
                <w:kern w:val="0"/>
                <w:sz w:val="30"/>
                <w:szCs w:val="30"/>
              </w:rPr>
            </w:pPr>
            <w:r>
              <w:rPr>
                <w:rFonts w:hint="eastAsia" w:ascii="仿宋" w:hAnsi="仿宋" w:eastAsia="仿宋"/>
                <w:color w:val="000000"/>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bl>
    <w:p>
      <w:pPr>
        <w:pStyle w:val="23"/>
        <w:rPr>
          <w:rFonts w:ascii="仿宋" w:hAnsi="仿宋" w:eastAsia="仿宋"/>
          <w:color w:val="000000"/>
          <w:spacing w:val="20"/>
          <w:kern w:val="0"/>
          <w:sz w:val="30"/>
          <w:szCs w:val="30"/>
        </w:rPr>
      </w:pPr>
      <w:r>
        <w:rPr>
          <w:rFonts w:hint="eastAsia" w:ascii="仿宋" w:hAnsi="仿宋" w:eastAsia="仿宋"/>
          <w:color w:val="000000"/>
          <w:sz w:val="30"/>
          <w:szCs w:val="30"/>
        </w:rPr>
        <w:t>注：投标人应根据投标设备的性能指标、对照招标文件要求在“偏离情况”栏注明“正偏离”、“负偏离”或“无偏离”。</w:t>
      </w: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t>授权代表签名：          日 期：</w:t>
      </w:r>
    </w:p>
    <w:p>
      <w:pPr>
        <w:snapToGrid w:val="0"/>
        <w:spacing w:before="50" w:after="120" w:afterLines="50"/>
        <w:jc w:val="left"/>
        <w:rPr>
          <w:rFonts w:ascii="仿宋" w:hAnsi="仿宋" w:eastAsia="仿宋"/>
          <w:color w:val="00000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pPr>
        <w:snapToGrid w:val="0"/>
        <w:spacing w:before="120" w:beforeLines="50" w:after="50"/>
        <w:rPr>
          <w:rFonts w:ascii="仿宋" w:hAnsi="仿宋" w:eastAsia="仿宋"/>
          <w:b/>
          <w:color w:val="000000"/>
          <w:sz w:val="30"/>
          <w:szCs w:val="30"/>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专业技</w:t>
            </w:r>
          </w:p>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证书</w:t>
            </w:r>
          </w:p>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劳动合</w:t>
            </w:r>
          </w:p>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20" w:beforeLines="50" w:after="120" w:line="460" w:lineRule="exact"/>
              <w:ind w:left="5250"/>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bl>
    <w:p>
      <w:pPr>
        <w:snapToGrid w:val="0"/>
        <w:spacing w:before="50" w:after="120" w:afterLines="50"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sz w:val="30"/>
          <w:szCs w:val="30"/>
        </w:rPr>
      </w:pPr>
    </w:p>
    <w:p>
      <w:pPr>
        <w:snapToGrid w:val="0"/>
        <w:spacing w:before="50" w:after="50" w:line="460" w:lineRule="exact"/>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 日  期：</w:t>
      </w:r>
    </w:p>
    <w:p>
      <w:pPr>
        <w:snapToGrid w:val="0"/>
        <w:spacing w:before="50" w:after="120" w:afterLines="50" w:line="460" w:lineRule="exact"/>
        <w:jc w:val="left"/>
        <w:rPr>
          <w:rFonts w:ascii="仿宋" w:hAnsi="仿宋" w:eastAsia="仿宋"/>
          <w:color w:val="000000"/>
          <w:sz w:val="30"/>
          <w:szCs w:val="30"/>
        </w:rPr>
      </w:pPr>
    </w:p>
    <w:p>
      <w:pPr>
        <w:pStyle w:val="31"/>
        <w:snapToGrid w:val="0"/>
        <w:spacing w:before="120" w:after="120" w:line="460" w:lineRule="exact"/>
        <w:rPr>
          <w:rFonts w:ascii="仿宋" w:hAnsi="仿宋" w:eastAsia="仿宋"/>
          <w:color w:val="000000"/>
          <w:sz w:val="30"/>
          <w:szCs w:val="30"/>
        </w:rPr>
      </w:pPr>
    </w:p>
    <w:p>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附件14：</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pPr>
        <w:snapToGrid w:val="0"/>
        <w:spacing w:before="50"/>
        <w:jc w:val="center"/>
        <w:rPr>
          <w:rFonts w:ascii="仿宋" w:hAnsi="仿宋" w:eastAsia="仿宋"/>
          <w:b/>
          <w:color w:val="000000"/>
          <w:sz w:val="32"/>
          <w:szCs w:val="32"/>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是否</w:t>
            </w:r>
          </w:p>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color w:val="000000"/>
                <w:sz w:val="30"/>
                <w:szCs w:val="30"/>
              </w:rPr>
            </w:pPr>
          </w:p>
        </w:tc>
      </w:tr>
    </w:tbl>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widowControl/>
        <w:jc w:val="left"/>
        <w:rPr>
          <w:rFonts w:ascii="仿宋" w:hAnsi="仿宋" w:eastAsia="仿宋"/>
          <w:color w:val="000000"/>
          <w:kern w:val="0"/>
          <w:sz w:val="30"/>
          <w:szCs w:val="30"/>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附件15：</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w:t>
            </w:r>
          </w:p>
          <w:p>
            <w:pPr>
              <w:snapToGrid w:val="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合同</w:t>
            </w:r>
          </w:p>
          <w:p>
            <w:pPr>
              <w:snapToGrid w:val="0"/>
              <w:jc w:val="center"/>
              <w:rPr>
                <w:rFonts w:ascii="仿宋" w:hAnsi="仿宋" w:eastAsia="仿宋"/>
                <w:color w:val="000000"/>
                <w:sz w:val="30"/>
                <w:szCs w:val="30"/>
              </w:rPr>
            </w:pPr>
            <w:r>
              <w:rPr>
                <w:rFonts w:hint="eastAsia" w:ascii="仿宋" w:hAnsi="仿宋" w:eastAsia="仿宋"/>
                <w:color w:val="000000"/>
                <w:sz w:val="30"/>
                <w:szCs w:val="30"/>
              </w:rPr>
              <w:t>金额</w:t>
            </w:r>
          </w:p>
          <w:p>
            <w:pPr>
              <w:snapToGrid w:val="0"/>
              <w:jc w:val="center"/>
              <w:rPr>
                <w:rFonts w:ascii="仿宋" w:hAnsi="仿宋" w:eastAsia="仿宋"/>
                <w:color w:val="000000"/>
                <w:sz w:val="30"/>
                <w:szCs w:val="30"/>
              </w:rPr>
            </w:pPr>
            <w:r>
              <w:rPr>
                <w:rFonts w:hint="eastAsia" w:ascii="仿宋" w:hAnsi="仿宋" w:eastAsia="仿宋"/>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采购单位联系人及</w:t>
            </w:r>
          </w:p>
          <w:p>
            <w:pPr>
              <w:snapToGrid w:val="0"/>
              <w:jc w:val="center"/>
              <w:rPr>
                <w:rFonts w:ascii="仿宋" w:hAnsi="仿宋" w:eastAsia="仿宋"/>
                <w:color w:val="000000"/>
                <w:sz w:val="30"/>
                <w:szCs w:val="30"/>
              </w:rPr>
            </w:pPr>
            <w:r>
              <w:rPr>
                <w:rFonts w:hint="eastAsia" w:ascii="仿宋" w:hAnsi="仿宋" w:eastAsia="仿宋"/>
                <w:color w:val="000000"/>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合</w:t>
            </w:r>
          </w:p>
          <w:p>
            <w:pPr>
              <w:snapToGrid w:val="0"/>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验收</w:t>
            </w:r>
          </w:p>
          <w:p>
            <w:pPr>
              <w:snapToGrid w:val="0"/>
              <w:jc w:val="center"/>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center"/>
              <w:rPr>
                <w:rFonts w:ascii="仿宋" w:hAnsi="仿宋" w:eastAsia="仿宋"/>
                <w:color w:val="000000"/>
                <w:sz w:val="30"/>
                <w:szCs w:val="30"/>
              </w:rPr>
            </w:pPr>
            <w:r>
              <w:rPr>
                <w:rFonts w:hint="eastAsia" w:ascii="仿宋" w:hAnsi="仿宋" w:eastAsia="仿宋"/>
                <w:color w:val="000000"/>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r>
              <w:rPr>
                <w:rFonts w:hint="eastAsia" w:ascii="仿宋" w:hAnsi="仿宋" w:eastAsia="仿宋"/>
                <w:color w:val="000000"/>
                <w:sz w:val="32"/>
                <w:szCs w:val="32"/>
              </w:rPr>
              <w:t>提供投标人同类项目合同复印件、用户验收报告（如有）。</w:t>
            </w:r>
          </w:p>
        </w:tc>
      </w:tr>
    </w:tbl>
    <w:p>
      <w:pPr>
        <w:pStyle w:val="18"/>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p>
    <w:p>
      <w:pPr>
        <w:widowControl/>
        <w:jc w:val="left"/>
        <w:rPr>
          <w:rFonts w:ascii="仿宋" w:hAnsi="仿宋" w:eastAsia="仿宋"/>
          <w:color w:val="000000"/>
          <w:kern w:val="0"/>
          <w:sz w:val="30"/>
          <w:szCs w:val="30"/>
        </w:rPr>
        <w:sectPr>
          <w:pgSz w:w="16838" w:h="11906" w:orient="landscape"/>
          <w:pgMar w:top="1797" w:right="1474" w:bottom="1797" w:left="1247" w:header="851" w:footer="851" w:gutter="0"/>
          <w:cols w:space="720" w:num="1"/>
        </w:sectPr>
      </w:pPr>
    </w:p>
    <w:p>
      <w:pPr>
        <w:snapToGrid w:val="0"/>
        <w:spacing w:before="156" w:beforeLines="50" w:after="50"/>
        <w:rPr>
          <w:rFonts w:ascii="仿宋" w:hAnsi="仿宋" w:eastAsia="仿宋"/>
          <w:b/>
          <w:color w:val="000000"/>
          <w:sz w:val="30"/>
          <w:szCs w:val="30"/>
        </w:rPr>
      </w:pPr>
      <w:r>
        <w:rPr>
          <w:rFonts w:hint="eastAsia" w:ascii="仿宋" w:hAnsi="仿宋" w:eastAsia="仿宋"/>
          <w:color w:val="000000"/>
          <w:sz w:val="30"/>
          <w:szCs w:val="30"/>
        </w:rPr>
        <w:t>附件16</w:t>
      </w:r>
      <w:r>
        <w:rPr>
          <w:rFonts w:hint="eastAsia" w:ascii="仿宋" w:hAnsi="仿宋" w:eastAsia="仿宋"/>
          <w:b/>
          <w:color w:val="000000"/>
          <w:sz w:val="30"/>
          <w:szCs w:val="30"/>
        </w:rPr>
        <w:t xml:space="preserve">：                                    </w:t>
      </w:r>
    </w:p>
    <w:p>
      <w:pPr>
        <w:spacing w:before="312" w:beforeLines="100" w:line="240" w:lineRule="atLeast"/>
        <w:jc w:val="center"/>
        <w:rPr>
          <w:rFonts w:hint="eastAsia" w:ascii="仿宋" w:hAnsi="仿宋" w:eastAsia="仿宋"/>
          <w:b/>
          <w:color w:val="000000"/>
          <w:spacing w:val="40"/>
          <w:sz w:val="52"/>
          <w:szCs w:val="52"/>
        </w:rPr>
      </w:pPr>
      <w:bookmarkStart w:id="44" w:name="PO_1000000445_PM002_1"/>
      <w:r>
        <w:rPr>
          <w:rFonts w:hint="eastAsia" w:ascii="仿宋" w:hAnsi="仿宋" w:eastAsia="仿宋"/>
          <w:b/>
          <w:color w:val="000000"/>
          <w:spacing w:val="40"/>
          <w:sz w:val="52"/>
          <w:szCs w:val="52"/>
        </w:rPr>
        <w:t>浙江同济科技职业学院校级公共虚拟仿真实训项目</w:t>
      </w:r>
      <w:bookmarkEnd w:id="44"/>
    </w:p>
    <w:p>
      <w:pPr>
        <w:spacing w:before="312"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45" w:name="PO_1000000445_PM001"/>
      <w:r>
        <w:rPr>
          <w:rFonts w:hint="eastAsia" w:ascii="仿宋" w:hAnsi="仿宋" w:eastAsia="仿宋"/>
          <w:b/>
          <w:color w:val="000000"/>
          <w:sz w:val="36"/>
          <w:szCs w:val="36"/>
        </w:rPr>
        <w:t>ZZCG2024T-GK-129</w:t>
      </w:r>
      <w:bookmarkEnd w:id="45"/>
      <w:r>
        <w:rPr>
          <w:rFonts w:hint="eastAsia" w:ascii="仿宋" w:hAnsi="仿宋" w:eastAsia="仿宋"/>
          <w:color w:val="000000"/>
          <w:sz w:val="36"/>
          <w:szCs w:val="36"/>
        </w:rPr>
        <w:t>（标项  ）</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500" w:lineRule="exact"/>
        <w:ind w:right="532"/>
        <w:jc w:val="center"/>
        <w:rPr>
          <w:rFonts w:ascii="仿宋" w:hAnsi="仿宋" w:eastAsia="仿宋"/>
          <w:color w:val="000000"/>
          <w:sz w:val="36"/>
          <w:szCs w:val="36"/>
        </w:rPr>
      </w:pPr>
    </w:p>
    <w:p>
      <w:pPr>
        <w:spacing w:line="5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ascii="仿宋" w:hAnsi="仿宋" w:eastAsia="仿宋"/>
          <w:color w:val="000000"/>
          <w:sz w:val="30"/>
          <w:szCs w:val="30"/>
        </w:rPr>
      </w:pPr>
    </w:p>
    <w:p>
      <w:pPr>
        <w:pStyle w:val="34"/>
        <w:snapToGrid w:val="0"/>
        <w:spacing w:after="120"/>
        <w:ind w:left="0" w:leftChars="0"/>
        <w:rPr>
          <w:rFonts w:ascii="仿宋" w:hAnsi="仿宋" w:eastAsia="仿宋"/>
          <w:b/>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pPr>
        <w:rPr>
          <w:rFonts w:ascii="仿宋" w:hAnsi="仿宋" w:eastAsia="仿宋"/>
          <w:color w:val="000000"/>
        </w:rPr>
      </w:pPr>
    </w:p>
    <w:p>
      <w:pPr>
        <w:pStyle w:val="34"/>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（1）开标一览表（见附件17）；</w:t>
      </w:r>
    </w:p>
    <w:p>
      <w:pPr>
        <w:pStyle w:val="34"/>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）中小企业声明函（若需要，格式见附件7）；</w:t>
      </w:r>
    </w:p>
    <w:p>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）残疾人福利企业声明函（若需要，格式见附件8）；</w:t>
      </w:r>
    </w:p>
    <w:p>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pPr>
        <w:pStyle w:val="31"/>
        <w:snapToGrid w:val="0"/>
        <w:spacing w:before="156" w:after="156" w:line="240" w:lineRule="auto"/>
        <w:jc w:val="left"/>
        <w:rPr>
          <w:rFonts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附件17：</w:t>
      </w:r>
    </w:p>
    <w:p>
      <w:pPr>
        <w:pStyle w:val="31"/>
        <w:snapToGrid w:val="0"/>
        <w:spacing w:before="156" w:after="156"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pPr>
        <w:pStyle w:val="31"/>
        <w:snapToGrid w:val="0"/>
        <w:spacing w:before="156" w:after="156"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pPr>
        <w:snapToGrid w:val="0"/>
        <w:rPr>
          <w:rFonts w:ascii="仿宋" w:hAnsi="仿宋" w:eastAsia="仿宋"/>
          <w:b/>
          <w:color w:val="000000"/>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品牌</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产地</w:t>
            </w:r>
          </w:p>
        </w:tc>
        <w:tc>
          <w:tcPr>
            <w:tcW w:w="1029"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规格</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型号</w:t>
            </w:r>
          </w:p>
        </w:tc>
        <w:tc>
          <w:tcPr>
            <w:tcW w:w="957"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数量</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02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Cs w:val="21"/>
              </w:rPr>
              <w:t>是否中小企业</w:t>
            </w:r>
          </w:p>
        </w:tc>
        <w:tc>
          <w:tcPr>
            <w:tcW w:w="708"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sz w:val="24"/>
                <w:szCs w:val="24"/>
              </w:rPr>
            </w:pPr>
            <w:r>
              <w:rPr>
                <w:rFonts w:hint="eastAsia" w:ascii="仿宋" w:hAnsi="仿宋" w:eastAsia="仿宋"/>
                <w:color w:val="000000"/>
                <w:sz w:val="24"/>
                <w:szCs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sz w:val="24"/>
          <w:szCs w:val="24"/>
        </w:rPr>
      </w:pPr>
    </w:p>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30"/>
          <w:szCs w:val="30"/>
        </w:rPr>
      </w:pPr>
      <w:r>
        <w:rPr>
          <w:rFonts w:hint="eastAsia" w:ascii="仿宋" w:hAnsi="仿宋" w:eastAsia="仿宋"/>
          <w:color w:val="000000"/>
          <w:kern w:val="0"/>
          <w:sz w:val="30"/>
          <w:szCs w:val="30"/>
        </w:rPr>
        <w:br w:type="page"/>
      </w:r>
    </w:p>
    <w:p>
      <w:pPr>
        <w:pStyle w:val="31"/>
        <w:snapToGrid w:val="0"/>
        <w:spacing w:before="156" w:after="156"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pPr>
        <w:pStyle w:val="31"/>
        <w:snapToGrid w:val="0"/>
        <w:spacing w:before="156" w:after="156"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957"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工作量</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84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是否中小企业承接</w:t>
            </w:r>
          </w:p>
        </w:tc>
        <w:tc>
          <w:tcPr>
            <w:tcW w:w="708"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13"/>
                <w:szCs w:val="13"/>
              </w:rPr>
            </w:pPr>
            <w:r>
              <w:rPr>
                <w:rFonts w:hint="eastAsia" w:ascii="仿宋" w:hAnsi="仿宋" w:eastAsia="仿宋"/>
                <w:b/>
                <w:color w:val="000000"/>
                <w:sz w:val="13"/>
                <w:szCs w:val="13"/>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sz w:val="24"/>
                <w:szCs w:val="24"/>
              </w:rPr>
            </w:pPr>
            <w:r>
              <w:rPr>
                <w:rFonts w:hint="eastAsia" w:ascii="仿宋" w:hAnsi="仿宋" w:eastAsia="仿宋"/>
                <w:b/>
                <w:color w:val="000000"/>
                <w:sz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pPr>
        <w:snapToGrid w:val="0"/>
        <w:spacing w:line="360" w:lineRule="auto"/>
        <w:rPr>
          <w:rFonts w:ascii="仿宋" w:hAnsi="仿宋" w:eastAsia="仿宋"/>
          <w:color w:val="000000"/>
          <w:sz w:val="30"/>
          <w:szCs w:val="30"/>
        </w:rPr>
      </w:pPr>
    </w:p>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4EEE2EC"/>
    <w:multiLevelType w:val="singleLevel"/>
    <w:tmpl w:val="34EEE2EC"/>
    <w:lvl w:ilvl="0" w:tentative="0">
      <w:start w:val="1"/>
      <w:numFmt w:val="decimal"/>
      <w:lvlText w:val="%1."/>
      <w:lvlJc w:val="left"/>
      <w:pPr>
        <w:tabs>
          <w:tab w:val="left" w:pos="312"/>
        </w:tabs>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7C10406A"/>
    <w:multiLevelType w:val="multilevel"/>
    <w:tmpl w:val="7C10406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8"/>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25"/>
  </w:num>
  <w:num w:numId="15">
    <w:abstractNumId w:val="19"/>
  </w:num>
  <w:num w:numId="16">
    <w:abstractNumId w:val="16"/>
  </w:num>
  <w:num w:numId="17">
    <w:abstractNumId w:val="4"/>
  </w:num>
  <w:num w:numId="18">
    <w:abstractNumId w:val="23"/>
  </w:num>
  <w:num w:numId="19">
    <w:abstractNumId w:val="6"/>
  </w:num>
  <w:num w:numId="20">
    <w:abstractNumId w:val="13"/>
  </w:num>
  <w:num w:numId="21">
    <w:abstractNumId w:val="11"/>
  </w:num>
  <w:num w:numId="22">
    <w:abstractNumId w:val="20"/>
  </w:num>
  <w:num w:numId="23">
    <w:abstractNumId w:val="7"/>
  </w:num>
  <w:num w:numId="24">
    <w:abstractNumId w:val="29"/>
  </w:num>
  <w:num w:numId="25">
    <w:abstractNumId w:val="3"/>
  </w:num>
  <w:num w:numId="26">
    <w:abstractNumId w:val="26"/>
  </w:num>
  <w:num w:numId="27">
    <w:abstractNumId w:val="21"/>
  </w:num>
  <w:num w:numId="28">
    <w:abstractNumId w:val="10"/>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NDcxMTE4MTk5OTNiOTdiMjZjY2U0NTY2M2M5YTM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2323471"/>
    <w:rsid w:val="590A1DA2"/>
    <w:rsid w:val="598E7CA7"/>
    <w:rsid w:val="76E22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qFormat/>
    <w:uiPriority w:val="0"/>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0"/>
    <w:rPr>
      <w:b/>
      <w:bCs/>
    </w:rPr>
  </w:style>
  <w:style w:type="paragraph" w:styleId="57">
    <w:name w:val="Body Text First Indent"/>
    <w:basedOn w:val="24"/>
    <w:link w:val="102"/>
    <w:qFormat/>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2">
    <w:name w:val="_Style 30"/>
    <w:basedOn w:val="1"/>
    <w:next w:val="182"/>
    <w:qFormat/>
    <w:uiPriority w:val="0"/>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43713</Words>
  <Characters>47183</Characters>
  <Lines>0</Lines>
  <Paragraphs>0</Paragraphs>
  <TotalTime>1</TotalTime>
  <ScaleCrop>false</ScaleCrop>
  <LinksUpToDate>false</LinksUpToDate>
  <CharactersWithSpaces>49453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2024-05-11T07:46:00Z</dcterms:created>
  <dc:creator>流泪烟花</dc:creator>
  <cp:lastModifiedBy>Administrator</cp:lastModifiedBy>
  <cp:lastPrinted>2021-01-25T02:12:00Z</cp:lastPrinted>
  <dcterms:modified xsi:type="dcterms:W3CDTF">2024-07-09T01:36:05Z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DB76EF5E13464CDDA32B44FFD735F983_13</vt:lpwstr>
  </property>
</Properties>
</file>